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spacing w:before="33" w:beforeLines="10" w:line="400" w:lineRule="exact"/>
        <w:rPr>
          <w:rFonts w:ascii="宋体" w:hAnsi="宋体"/>
          <w:b/>
          <w:bCs/>
          <w:spacing w:val="80"/>
          <w:sz w:val="28"/>
          <w:szCs w:val="28"/>
        </w:rPr>
      </w:pPr>
    </w:p>
    <w:p>
      <w:pPr>
        <w:pStyle w:val="19"/>
        <w:jc w:val="center"/>
        <w:rPr>
          <w:rFonts w:hAnsi="宋体"/>
          <w:b/>
          <w:bCs/>
          <w:spacing w:val="80"/>
          <w:sz w:val="64"/>
        </w:rPr>
      </w:pPr>
    </w:p>
    <w:p>
      <w:pPr>
        <w:pStyle w:val="19"/>
        <w:jc w:val="center"/>
        <w:rPr>
          <w:rFonts w:hAnsi="宋体"/>
          <w:b/>
          <w:bCs/>
          <w:sz w:val="44"/>
          <w:szCs w:val="44"/>
        </w:rPr>
      </w:pPr>
    </w:p>
    <w:p>
      <w:pPr>
        <w:pStyle w:val="19"/>
        <w:jc w:val="center"/>
        <w:rPr>
          <w:rFonts w:hAnsi="宋体"/>
          <w:b/>
          <w:bCs/>
          <w:sz w:val="44"/>
          <w:szCs w:val="44"/>
        </w:rPr>
      </w:pPr>
    </w:p>
    <w:p>
      <w:pPr>
        <w:pStyle w:val="19"/>
        <w:tabs>
          <w:tab w:val="left" w:pos="0"/>
        </w:tabs>
        <w:jc w:val="center"/>
        <w:rPr>
          <w:rFonts w:hAnsi="宋体"/>
          <w:b/>
          <w:bCs/>
          <w:sz w:val="90"/>
          <w:szCs w:val="90"/>
        </w:rPr>
      </w:pPr>
      <w:r>
        <w:rPr>
          <w:rFonts w:hint="eastAsia" w:hAnsi="宋体"/>
          <w:sz w:val="90"/>
          <w:szCs w:val="90"/>
        </w:rPr>
        <w:t>公开招标文件</w:t>
      </w:r>
    </w:p>
    <w:p>
      <w:pPr>
        <w:jc w:val="center"/>
        <w:rPr>
          <w:rFonts w:ascii="宋体" w:hAnsi="宋体"/>
          <w:b/>
          <w:sz w:val="32"/>
          <w:szCs w:val="32"/>
        </w:rPr>
      </w:pPr>
    </w:p>
    <w:p>
      <w:pPr>
        <w:pStyle w:val="19"/>
        <w:rPr>
          <w:rFonts w:hAnsi="宋体"/>
        </w:rPr>
      </w:pPr>
    </w:p>
    <w:p>
      <w:pPr>
        <w:tabs>
          <w:tab w:val="left" w:pos="7665"/>
        </w:tabs>
        <w:ind w:right="-94" w:rightChars="-45"/>
        <w:rPr>
          <w:rFonts w:ascii="宋体" w:hAnsi="宋体"/>
          <w:sz w:val="28"/>
          <w:szCs w:val="28"/>
        </w:rPr>
      </w:pPr>
    </w:p>
    <w:p>
      <w:pPr>
        <w:spacing w:line="360" w:lineRule="auto"/>
        <w:ind w:left="2133" w:leftChars="730" w:hanging="600" w:hangingChars="200"/>
        <w:jc w:val="left"/>
        <w:rPr>
          <w:rFonts w:hint="eastAsia" w:ascii="宋体" w:hAnsi="宋体" w:eastAsia="宋体"/>
          <w:bCs/>
          <w:sz w:val="30"/>
          <w:szCs w:val="30"/>
          <w:u w:val="single"/>
          <w:lang w:eastAsia="zh-CN"/>
        </w:rPr>
      </w:pPr>
      <w:r>
        <w:rPr>
          <w:rFonts w:hint="eastAsia" w:ascii="宋体" w:hAnsi="宋体"/>
          <w:bCs/>
          <w:sz w:val="30"/>
          <w:szCs w:val="30"/>
        </w:rPr>
        <w:t>项目名称：</w:t>
      </w:r>
      <w:r>
        <w:rPr>
          <w:rFonts w:hint="eastAsia" w:ascii="宋体" w:hAnsi="宋体"/>
          <w:bCs/>
          <w:sz w:val="30"/>
          <w:szCs w:val="30"/>
          <w:u w:val="none"/>
          <w:lang w:eastAsia="zh-CN"/>
        </w:rPr>
        <w:t>2020年备灾点救灾物资采购项目</w:t>
      </w:r>
    </w:p>
    <w:p>
      <w:pPr>
        <w:spacing w:line="360" w:lineRule="auto"/>
        <w:ind w:firstLine="1500" w:firstLineChars="500"/>
        <w:jc w:val="left"/>
        <w:rPr>
          <w:rFonts w:hint="eastAsia" w:ascii="宋体" w:hAnsi="宋体" w:eastAsia="宋体"/>
          <w:bCs/>
          <w:sz w:val="30"/>
          <w:szCs w:val="30"/>
          <w:u w:val="single"/>
          <w:lang w:eastAsia="zh-CN"/>
        </w:rPr>
      </w:pPr>
      <w:r>
        <w:rPr>
          <w:rFonts w:hint="eastAsia" w:ascii="宋体" w:hAnsi="宋体"/>
          <w:bCs/>
          <w:sz w:val="30"/>
          <w:szCs w:val="30"/>
          <w:lang w:eastAsia="zh-CN"/>
        </w:rPr>
        <w:t>项目编号：YLZC2020-G1-240257-HSHJ</w:t>
      </w:r>
    </w:p>
    <w:p>
      <w:pPr>
        <w:spacing w:line="360" w:lineRule="auto"/>
        <w:ind w:left="2133" w:leftChars="730" w:hanging="600" w:hangingChars="200"/>
        <w:jc w:val="left"/>
        <w:rPr>
          <w:rFonts w:hint="eastAsia" w:ascii="宋体" w:hAnsi="宋体" w:eastAsia="宋体"/>
          <w:bCs/>
          <w:sz w:val="30"/>
          <w:szCs w:val="30"/>
          <w:u w:val="single"/>
          <w:lang w:eastAsia="zh-CN"/>
        </w:rPr>
      </w:pPr>
      <w:r>
        <w:rPr>
          <w:rFonts w:hint="eastAsia" w:ascii="宋体" w:hAnsi="宋体"/>
          <w:bCs/>
          <w:sz w:val="30"/>
          <w:szCs w:val="30"/>
          <w:lang w:eastAsia="zh-CN"/>
        </w:rPr>
        <w:t>采购计划文号：YLZC2020-G1-70854-001</w:t>
      </w:r>
    </w:p>
    <w:p>
      <w:pPr>
        <w:tabs>
          <w:tab w:val="left" w:pos="7665"/>
        </w:tabs>
        <w:ind w:right="-94" w:rightChars="-45"/>
        <w:jc w:val="left"/>
        <w:rPr>
          <w:rFonts w:ascii="宋体" w:hAnsi="宋体"/>
          <w:bCs/>
          <w:sz w:val="30"/>
          <w:szCs w:val="30"/>
        </w:rPr>
      </w:pPr>
    </w:p>
    <w:p>
      <w:pPr>
        <w:spacing w:line="360" w:lineRule="exact"/>
        <w:ind w:left="173" w:hanging="173" w:hangingChars="48"/>
        <w:rPr>
          <w:rFonts w:ascii="宋体" w:hAnsi="宋体"/>
          <w:b/>
          <w:sz w:val="36"/>
          <w:szCs w:val="36"/>
        </w:rPr>
      </w:pPr>
    </w:p>
    <w:p>
      <w:pPr>
        <w:jc w:val="left"/>
        <w:rPr>
          <w:rFonts w:ascii="宋体" w:hAnsi="宋体"/>
          <w:b/>
          <w:sz w:val="36"/>
          <w:szCs w:val="36"/>
        </w:rPr>
      </w:pPr>
    </w:p>
    <w:p>
      <w:pPr>
        <w:jc w:val="center"/>
        <w:rPr>
          <w:rFonts w:ascii="宋体" w:hAnsi="宋体"/>
          <w:b/>
          <w:sz w:val="36"/>
          <w:szCs w:val="36"/>
        </w:rPr>
      </w:pPr>
    </w:p>
    <w:p>
      <w:pPr>
        <w:rPr>
          <w:rFonts w:ascii="宋体" w:hAnsi="宋体"/>
          <w:b/>
          <w:sz w:val="36"/>
          <w:szCs w:val="36"/>
        </w:rPr>
      </w:pPr>
      <w:r>
        <w:rPr>
          <w:rFonts w:hint="eastAsia" w:ascii="宋体" w:hAnsi="宋体"/>
          <w:b/>
          <w:sz w:val="36"/>
          <w:szCs w:val="36"/>
        </w:rPr>
        <w:t xml:space="preserve">       采购人：兴业县应急管理局</w:t>
      </w:r>
    </w:p>
    <w:p>
      <w:pPr>
        <w:rPr>
          <w:rFonts w:ascii="宋体" w:hAnsi="宋体"/>
          <w:b/>
          <w:sz w:val="36"/>
          <w:szCs w:val="36"/>
        </w:rPr>
      </w:pPr>
      <w:r>
        <w:rPr>
          <w:rFonts w:hint="eastAsia" w:ascii="宋体" w:hAnsi="宋体"/>
          <w:b/>
          <w:sz w:val="36"/>
          <w:szCs w:val="36"/>
        </w:rPr>
        <w:t xml:space="preserve">       采购代理机构：广西恒晟水环境治理有限公司</w:t>
      </w:r>
    </w:p>
    <w:p>
      <w:pPr>
        <w:widowControl/>
        <w:jc w:val="center"/>
        <w:rPr>
          <w:rFonts w:ascii="宋体" w:hAnsi="宋体"/>
          <w:b/>
          <w:bCs/>
          <w:spacing w:val="80"/>
          <w:sz w:val="28"/>
          <w:szCs w:val="28"/>
        </w:rPr>
      </w:pPr>
      <w:r>
        <w:rPr>
          <w:rFonts w:hint="eastAsia" w:ascii="宋体" w:hAnsi="宋体"/>
          <w:b/>
          <w:sz w:val="36"/>
          <w:szCs w:val="36"/>
        </w:rPr>
        <w:t>2020年12月</w:t>
      </w:r>
    </w:p>
    <w:p>
      <w:pPr>
        <w:rPr>
          <w:rFonts w:ascii="宋体" w:hAnsi="宋体"/>
          <w:b/>
          <w:bCs/>
          <w:spacing w:val="80"/>
          <w:sz w:val="28"/>
          <w:szCs w:val="28"/>
        </w:rPr>
      </w:pPr>
    </w:p>
    <w:p>
      <w:pPr>
        <w:pStyle w:val="19"/>
        <w:jc w:val="center"/>
        <w:rPr>
          <w:rFonts w:hAnsi="宋体"/>
          <w:b/>
          <w:sz w:val="48"/>
          <w:szCs w:val="48"/>
        </w:rPr>
        <w:sectPr>
          <w:headerReference r:id="rId5" w:type="first"/>
          <w:footerReference r:id="rId8" w:type="first"/>
          <w:headerReference r:id="rId3" w:type="default"/>
          <w:footerReference r:id="rId6" w:type="default"/>
          <w:headerReference r:id="rId4" w:type="even"/>
          <w:footerReference r:id="rId7" w:type="even"/>
          <w:pgSz w:w="11906" w:h="16838"/>
          <w:pgMar w:top="1134" w:right="1134" w:bottom="1134" w:left="1134" w:header="720" w:footer="720" w:gutter="0"/>
          <w:pgNumType w:start="1"/>
          <w:cols w:space="720" w:num="1"/>
          <w:titlePg/>
          <w:docGrid w:type="lines" w:linePitch="331" w:charSpace="0"/>
        </w:sectPr>
      </w:pPr>
    </w:p>
    <w:p>
      <w:pPr>
        <w:pStyle w:val="19"/>
        <w:jc w:val="center"/>
        <w:rPr>
          <w:rFonts w:hAnsi="宋体"/>
          <w:b/>
          <w:sz w:val="48"/>
          <w:szCs w:val="48"/>
        </w:rPr>
      </w:pPr>
      <w:r>
        <w:rPr>
          <w:rFonts w:hint="eastAsia" w:hAnsi="宋体"/>
          <w:b/>
          <w:sz w:val="48"/>
          <w:szCs w:val="48"/>
        </w:rPr>
        <w:t>目  录</w:t>
      </w:r>
    </w:p>
    <w:p>
      <w:pPr>
        <w:pStyle w:val="19"/>
        <w:spacing w:line="500" w:lineRule="exact"/>
        <w:jc w:val="center"/>
        <w:rPr>
          <w:rFonts w:hAnsi="宋体"/>
          <w:b/>
          <w:sz w:val="28"/>
          <w:szCs w:val="28"/>
        </w:rPr>
      </w:pPr>
    </w:p>
    <w:p>
      <w:pPr>
        <w:pStyle w:val="25"/>
        <w:tabs>
          <w:tab w:val="right" w:leader="dot" w:pos="9628"/>
        </w:tabs>
        <w:rPr>
          <w:rFonts w:ascii="宋体" w:hAnsi="宋体" w:cstheme="minorBidi"/>
          <w:b w:val="0"/>
          <w:bCs w:val="0"/>
          <w:caps w:val="0"/>
          <w:sz w:val="21"/>
          <w:szCs w:val="22"/>
        </w:rPr>
      </w:pPr>
      <w:bookmarkStart w:id="0" w:name="_Toc139967217"/>
      <w:bookmarkStart w:id="1" w:name="_Toc213206171"/>
      <w:bookmarkStart w:id="2" w:name="_Toc139966433"/>
      <w:bookmarkStart w:id="3" w:name="_Toc139967210"/>
      <w:bookmarkStart w:id="4" w:name="_Toc139966426"/>
      <w:r>
        <w:rPr>
          <w:rFonts w:ascii="宋体" w:hAnsi="宋体"/>
          <w:b w:val="0"/>
          <w:bCs w:val="0"/>
          <w:caps w:val="0"/>
          <w:sz w:val="24"/>
          <w:szCs w:val="24"/>
        </w:rPr>
        <w:fldChar w:fldCharType="begin"/>
      </w:r>
      <w:r>
        <w:rPr>
          <w:rFonts w:ascii="宋体" w:hAnsi="宋体"/>
          <w:b w:val="0"/>
          <w:bCs w:val="0"/>
          <w:caps w:val="0"/>
          <w:sz w:val="24"/>
          <w:szCs w:val="24"/>
        </w:rPr>
        <w:instrText xml:space="preserve"> TOC \o "1-3" \h \z \u </w:instrText>
      </w:r>
      <w:r>
        <w:rPr>
          <w:rFonts w:ascii="宋体" w:hAnsi="宋体"/>
          <w:b w:val="0"/>
          <w:bCs w:val="0"/>
          <w:caps w:val="0"/>
          <w:sz w:val="24"/>
          <w:szCs w:val="24"/>
        </w:rPr>
        <w:fldChar w:fldCharType="separate"/>
      </w:r>
      <w:r>
        <w:fldChar w:fldCharType="begin"/>
      </w:r>
      <w:r>
        <w:instrText xml:space="preserve"> HYPERLINK \l "_Toc57749775" </w:instrText>
      </w:r>
      <w:r>
        <w:fldChar w:fldCharType="separate"/>
      </w:r>
      <w:r>
        <w:rPr>
          <w:rStyle w:val="40"/>
          <w:rFonts w:ascii="宋体" w:hAnsi="宋体"/>
          <w:color w:val="auto"/>
        </w:rPr>
        <w:t>第一章 公告</w:t>
      </w:r>
      <w:r>
        <w:rPr>
          <w:rFonts w:ascii="宋体" w:hAnsi="宋体"/>
        </w:rPr>
        <w:tab/>
      </w:r>
      <w:r>
        <w:rPr>
          <w:rFonts w:ascii="宋体" w:hAnsi="宋体"/>
        </w:rPr>
        <w:fldChar w:fldCharType="begin"/>
      </w:r>
      <w:r>
        <w:rPr>
          <w:rFonts w:ascii="宋体" w:hAnsi="宋体"/>
        </w:rPr>
        <w:instrText xml:space="preserve"> PAGEREF _Toc57749775 \h </w:instrText>
      </w:r>
      <w:r>
        <w:rPr>
          <w:rFonts w:ascii="宋体" w:hAnsi="宋体"/>
        </w:rPr>
        <w:fldChar w:fldCharType="separate"/>
      </w:r>
      <w:r>
        <w:rPr>
          <w:rFonts w:ascii="宋体" w:hAnsi="宋体"/>
        </w:rPr>
        <w:t>3</w:t>
      </w:r>
      <w:r>
        <w:rPr>
          <w:rFonts w:ascii="宋体" w:hAnsi="宋体"/>
        </w:rPr>
        <w:fldChar w:fldCharType="end"/>
      </w:r>
      <w:r>
        <w:rPr>
          <w:rFonts w:ascii="宋体" w:hAnsi="宋体"/>
        </w:rPr>
        <w:fldChar w:fldCharType="end"/>
      </w:r>
    </w:p>
    <w:p>
      <w:pPr>
        <w:pStyle w:val="25"/>
        <w:tabs>
          <w:tab w:val="right" w:leader="dot" w:pos="9628"/>
        </w:tabs>
        <w:rPr>
          <w:rFonts w:ascii="宋体" w:hAnsi="宋体" w:cstheme="minorBidi"/>
          <w:b w:val="0"/>
          <w:bCs w:val="0"/>
          <w:caps w:val="0"/>
          <w:sz w:val="21"/>
          <w:szCs w:val="22"/>
        </w:rPr>
      </w:pPr>
      <w:r>
        <w:fldChar w:fldCharType="begin"/>
      </w:r>
      <w:r>
        <w:instrText xml:space="preserve"> HYPERLINK \l "_Toc57749776" </w:instrText>
      </w:r>
      <w:r>
        <w:fldChar w:fldCharType="separate"/>
      </w:r>
      <w:r>
        <w:rPr>
          <w:rStyle w:val="40"/>
          <w:rFonts w:ascii="宋体" w:hAnsi="宋体"/>
          <w:color w:val="auto"/>
        </w:rPr>
        <w:t>第二章 采购需求一览表</w:t>
      </w:r>
      <w:r>
        <w:rPr>
          <w:rFonts w:ascii="宋体" w:hAnsi="宋体"/>
        </w:rPr>
        <w:tab/>
      </w:r>
      <w:r>
        <w:rPr>
          <w:rFonts w:ascii="宋体" w:hAnsi="宋体"/>
        </w:rPr>
        <w:fldChar w:fldCharType="begin"/>
      </w:r>
      <w:r>
        <w:rPr>
          <w:rFonts w:ascii="宋体" w:hAnsi="宋体"/>
        </w:rPr>
        <w:instrText xml:space="preserve"> PAGEREF _Toc57749776 \h </w:instrText>
      </w:r>
      <w:r>
        <w:rPr>
          <w:rFonts w:ascii="宋体" w:hAnsi="宋体"/>
        </w:rPr>
        <w:fldChar w:fldCharType="separate"/>
      </w:r>
      <w:r>
        <w:rPr>
          <w:rFonts w:ascii="宋体" w:hAnsi="宋体"/>
        </w:rPr>
        <w:t>5</w:t>
      </w:r>
      <w:r>
        <w:rPr>
          <w:rFonts w:ascii="宋体" w:hAnsi="宋体"/>
        </w:rPr>
        <w:fldChar w:fldCharType="end"/>
      </w:r>
      <w:r>
        <w:rPr>
          <w:rFonts w:ascii="宋体" w:hAnsi="宋体"/>
        </w:rPr>
        <w:fldChar w:fldCharType="end"/>
      </w:r>
    </w:p>
    <w:p>
      <w:pPr>
        <w:pStyle w:val="25"/>
        <w:tabs>
          <w:tab w:val="right" w:leader="dot" w:pos="9628"/>
        </w:tabs>
        <w:rPr>
          <w:rFonts w:ascii="宋体" w:hAnsi="宋体" w:cstheme="minorBidi"/>
          <w:b w:val="0"/>
          <w:bCs w:val="0"/>
          <w:caps w:val="0"/>
          <w:sz w:val="21"/>
          <w:szCs w:val="22"/>
        </w:rPr>
      </w:pPr>
      <w:r>
        <w:fldChar w:fldCharType="begin"/>
      </w:r>
      <w:r>
        <w:instrText xml:space="preserve"> HYPERLINK \l "_Toc57749777" </w:instrText>
      </w:r>
      <w:r>
        <w:fldChar w:fldCharType="separate"/>
      </w:r>
      <w:r>
        <w:rPr>
          <w:rStyle w:val="40"/>
          <w:rFonts w:ascii="宋体" w:hAnsi="宋体"/>
          <w:color w:val="auto"/>
        </w:rPr>
        <w:t>第三章 评标办法</w:t>
      </w:r>
      <w:r>
        <w:rPr>
          <w:rFonts w:ascii="宋体" w:hAnsi="宋体"/>
        </w:rPr>
        <w:tab/>
      </w:r>
      <w:r>
        <w:rPr>
          <w:rFonts w:ascii="宋体" w:hAnsi="宋体"/>
        </w:rPr>
        <w:fldChar w:fldCharType="begin"/>
      </w:r>
      <w:r>
        <w:rPr>
          <w:rFonts w:ascii="宋体" w:hAnsi="宋体"/>
        </w:rPr>
        <w:instrText xml:space="preserve"> PAGEREF _Toc57749777 \h </w:instrText>
      </w:r>
      <w:r>
        <w:rPr>
          <w:rFonts w:ascii="宋体" w:hAnsi="宋体"/>
        </w:rPr>
        <w:fldChar w:fldCharType="separate"/>
      </w:r>
      <w:r>
        <w:rPr>
          <w:rFonts w:ascii="宋体" w:hAnsi="宋体"/>
        </w:rPr>
        <w:t>16</w:t>
      </w:r>
      <w:r>
        <w:rPr>
          <w:rFonts w:ascii="宋体" w:hAnsi="宋体"/>
        </w:rPr>
        <w:fldChar w:fldCharType="end"/>
      </w:r>
      <w:r>
        <w:rPr>
          <w:rFonts w:ascii="宋体" w:hAnsi="宋体"/>
        </w:rPr>
        <w:fldChar w:fldCharType="end"/>
      </w:r>
    </w:p>
    <w:p>
      <w:pPr>
        <w:pStyle w:val="25"/>
        <w:tabs>
          <w:tab w:val="right" w:leader="dot" w:pos="9628"/>
        </w:tabs>
        <w:rPr>
          <w:rFonts w:ascii="宋体" w:hAnsi="宋体" w:cstheme="minorBidi"/>
          <w:b w:val="0"/>
          <w:bCs w:val="0"/>
          <w:caps w:val="0"/>
          <w:sz w:val="21"/>
          <w:szCs w:val="22"/>
        </w:rPr>
      </w:pPr>
      <w:r>
        <w:fldChar w:fldCharType="begin"/>
      </w:r>
      <w:r>
        <w:instrText xml:space="preserve"> HYPERLINK \l "_Toc57749778" </w:instrText>
      </w:r>
      <w:r>
        <w:fldChar w:fldCharType="separate"/>
      </w:r>
      <w:r>
        <w:rPr>
          <w:rStyle w:val="40"/>
          <w:rFonts w:ascii="宋体" w:hAnsi="宋体"/>
          <w:color w:val="auto"/>
        </w:rPr>
        <w:t>第四章 投标人须知</w:t>
      </w:r>
      <w:r>
        <w:rPr>
          <w:rFonts w:ascii="宋体" w:hAnsi="宋体"/>
        </w:rPr>
        <w:tab/>
      </w:r>
      <w:r>
        <w:rPr>
          <w:rFonts w:ascii="宋体" w:hAnsi="宋体"/>
        </w:rPr>
        <w:fldChar w:fldCharType="begin"/>
      </w:r>
      <w:r>
        <w:rPr>
          <w:rFonts w:ascii="宋体" w:hAnsi="宋体"/>
        </w:rPr>
        <w:instrText xml:space="preserve"> PAGEREF _Toc57749778 \h </w:instrText>
      </w:r>
      <w:r>
        <w:rPr>
          <w:rFonts w:ascii="宋体" w:hAnsi="宋体"/>
        </w:rPr>
        <w:fldChar w:fldCharType="separate"/>
      </w:r>
      <w:r>
        <w:rPr>
          <w:rFonts w:ascii="宋体" w:hAnsi="宋体"/>
        </w:rPr>
        <w:t>20</w:t>
      </w:r>
      <w:r>
        <w:rPr>
          <w:rFonts w:ascii="宋体" w:hAnsi="宋体"/>
        </w:rPr>
        <w:fldChar w:fldCharType="end"/>
      </w:r>
      <w:r>
        <w:rPr>
          <w:rFonts w:ascii="宋体" w:hAnsi="宋体"/>
        </w:rPr>
        <w:fldChar w:fldCharType="end"/>
      </w:r>
    </w:p>
    <w:p>
      <w:pPr>
        <w:pStyle w:val="28"/>
        <w:rPr>
          <w:rFonts w:ascii="宋体" w:hAnsi="宋体" w:cstheme="minorBidi"/>
          <w:smallCaps w:val="0"/>
          <w:sz w:val="21"/>
          <w:szCs w:val="22"/>
        </w:rPr>
      </w:pPr>
      <w:r>
        <w:fldChar w:fldCharType="begin"/>
      </w:r>
      <w:r>
        <w:instrText xml:space="preserve"> HYPERLINK \l "_Toc57749779" </w:instrText>
      </w:r>
      <w:r>
        <w:fldChar w:fldCharType="separate"/>
      </w:r>
      <w:r>
        <w:rPr>
          <w:rStyle w:val="40"/>
          <w:rFonts w:ascii="宋体" w:hAnsi="宋体"/>
          <w:color w:val="auto"/>
        </w:rPr>
        <w:t>投标人须知前附表</w:t>
      </w:r>
      <w:r>
        <w:rPr>
          <w:rFonts w:ascii="宋体" w:hAnsi="宋体"/>
        </w:rPr>
        <w:tab/>
      </w:r>
      <w:r>
        <w:rPr>
          <w:rFonts w:ascii="宋体" w:hAnsi="宋体"/>
        </w:rPr>
        <w:fldChar w:fldCharType="begin"/>
      </w:r>
      <w:r>
        <w:rPr>
          <w:rFonts w:ascii="宋体" w:hAnsi="宋体"/>
        </w:rPr>
        <w:instrText xml:space="preserve"> PAGEREF _Toc57749779 \h </w:instrText>
      </w:r>
      <w:r>
        <w:rPr>
          <w:rFonts w:ascii="宋体" w:hAnsi="宋体"/>
        </w:rPr>
        <w:fldChar w:fldCharType="separate"/>
      </w:r>
      <w:r>
        <w:rPr>
          <w:rFonts w:ascii="宋体" w:hAnsi="宋体"/>
        </w:rPr>
        <w:t>20</w:t>
      </w:r>
      <w:r>
        <w:rPr>
          <w:rFonts w:ascii="宋体" w:hAnsi="宋体"/>
        </w:rPr>
        <w:fldChar w:fldCharType="end"/>
      </w:r>
      <w:r>
        <w:rPr>
          <w:rFonts w:ascii="宋体" w:hAnsi="宋体"/>
        </w:rPr>
        <w:fldChar w:fldCharType="end"/>
      </w:r>
    </w:p>
    <w:p>
      <w:pPr>
        <w:pStyle w:val="28"/>
        <w:rPr>
          <w:rFonts w:ascii="宋体" w:hAnsi="宋体" w:cstheme="minorBidi"/>
          <w:smallCaps w:val="0"/>
          <w:sz w:val="21"/>
          <w:szCs w:val="22"/>
        </w:rPr>
      </w:pPr>
      <w:r>
        <w:fldChar w:fldCharType="begin"/>
      </w:r>
      <w:r>
        <w:instrText xml:space="preserve"> HYPERLINK \l "_Toc57749780" </w:instrText>
      </w:r>
      <w:r>
        <w:fldChar w:fldCharType="separate"/>
      </w:r>
      <w:r>
        <w:rPr>
          <w:rStyle w:val="40"/>
          <w:rFonts w:ascii="宋体" w:hAnsi="宋体"/>
          <w:color w:val="auto"/>
        </w:rPr>
        <w:t>一 总则</w:t>
      </w:r>
      <w:r>
        <w:rPr>
          <w:rFonts w:ascii="宋体" w:hAnsi="宋体"/>
        </w:rPr>
        <w:tab/>
      </w:r>
      <w:r>
        <w:rPr>
          <w:rFonts w:ascii="宋体" w:hAnsi="宋体"/>
        </w:rPr>
        <w:fldChar w:fldCharType="begin"/>
      </w:r>
      <w:r>
        <w:rPr>
          <w:rFonts w:ascii="宋体" w:hAnsi="宋体"/>
        </w:rPr>
        <w:instrText xml:space="preserve"> PAGEREF _Toc57749780 \h </w:instrText>
      </w:r>
      <w:r>
        <w:rPr>
          <w:rFonts w:ascii="宋体" w:hAnsi="宋体"/>
        </w:rPr>
        <w:fldChar w:fldCharType="separate"/>
      </w:r>
      <w:r>
        <w:rPr>
          <w:rFonts w:ascii="宋体" w:hAnsi="宋体"/>
        </w:rPr>
        <w:t>23</w:t>
      </w:r>
      <w:r>
        <w:rPr>
          <w:rFonts w:ascii="宋体" w:hAnsi="宋体"/>
        </w:rPr>
        <w:fldChar w:fldCharType="end"/>
      </w:r>
      <w:r>
        <w:rPr>
          <w:rFonts w:ascii="宋体" w:hAnsi="宋体"/>
        </w:rPr>
        <w:fldChar w:fldCharType="end"/>
      </w:r>
    </w:p>
    <w:p>
      <w:pPr>
        <w:pStyle w:val="28"/>
        <w:rPr>
          <w:rFonts w:ascii="宋体" w:hAnsi="宋体" w:cstheme="minorBidi"/>
          <w:smallCaps w:val="0"/>
          <w:sz w:val="21"/>
          <w:szCs w:val="22"/>
        </w:rPr>
      </w:pPr>
      <w:r>
        <w:fldChar w:fldCharType="begin"/>
      </w:r>
      <w:r>
        <w:instrText xml:space="preserve"> HYPERLINK \l "_Toc57749781" </w:instrText>
      </w:r>
      <w:r>
        <w:fldChar w:fldCharType="separate"/>
      </w:r>
      <w:r>
        <w:rPr>
          <w:rStyle w:val="40"/>
          <w:rFonts w:ascii="宋体" w:hAnsi="宋体"/>
          <w:color w:val="auto"/>
        </w:rPr>
        <w:t>二 公开招标文件</w:t>
      </w:r>
      <w:r>
        <w:rPr>
          <w:rFonts w:ascii="宋体" w:hAnsi="宋体"/>
        </w:rPr>
        <w:tab/>
      </w:r>
      <w:r>
        <w:rPr>
          <w:rFonts w:ascii="宋体" w:hAnsi="宋体"/>
        </w:rPr>
        <w:fldChar w:fldCharType="begin"/>
      </w:r>
      <w:r>
        <w:rPr>
          <w:rFonts w:ascii="宋体" w:hAnsi="宋体"/>
        </w:rPr>
        <w:instrText xml:space="preserve"> PAGEREF _Toc57749781 \h </w:instrText>
      </w:r>
      <w:r>
        <w:rPr>
          <w:rFonts w:ascii="宋体" w:hAnsi="宋体"/>
        </w:rPr>
        <w:fldChar w:fldCharType="separate"/>
      </w:r>
      <w:r>
        <w:rPr>
          <w:rFonts w:ascii="宋体" w:hAnsi="宋体"/>
        </w:rPr>
        <w:t>26</w:t>
      </w:r>
      <w:r>
        <w:rPr>
          <w:rFonts w:ascii="宋体" w:hAnsi="宋体"/>
        </w:rPr>
        <w:fldChar w:fldCharType="end"/>
      </w:r>
      <w:r>
        <w:rPr>
          <w:rFonts w:ascii="宋体" w:hAnsi="宋体"/>
        </w:rPr>
        <w:fldChar w:fldCharType="end"/>
      </w:r>
    </w:p>
    <w:p>
      <w:pPr>
        <w:pStyle w:val="28"/>
        <w:rPr>
          <w:rFonts w:ascii="宋体" w:hAnsi="宋体" w:cstheme="minorBidi"/>
          <w:smallCaps w:val="0"/>
          <w:sz w:val="21"/>
          <w:szCs w:val="22"/>
        </w:rPr>
      </w:pPr>
      <w:r>
        <w:fldChar w:fldCharType="begin"/>
      </w:r>
      <w:r>
        <w:instrText xml:space="preserve"> HYPERLINK \l "_Toc57749782" </w:instrText>
      </w:r>
      <w:r>
        <w:fldChar w:fldCharType="separate"/>
      </w:r>
      <w:r>
        <w:rPr>
          <w:rStyle w:val="40"/>
          <w:rFonts w:ascii="宋体" w:hAnsi="宋体"/>
          <w:color w:val="auto"/>
        </w:rPr>
        <w:t>三 投标文件</w:t>
      </w:r>
      <w:r>
        <w:rPr>
          <w:rFonts w:ascii="宋体" w:hAnsi="宋体"/>
        </w:rPr>
        <w:tab/>
      </w:r>
      <w:r>
        <w:rPr>
          <w:rFonts w:ascii="宋体" w:hAnsi="宋体"/>
        </w:rPr>
        <w:fldChar w:fldCharType="begin"/>
      </w:r>
      <w:r>
        <w:rPr>
          <w:rFonts w:ascii="宋体" w:hAnsi="宋体"/>
        </w:rPr>
        <w:instrText xml:space="preserve"> PAGEREF _Toc57749782 \h </w:instrText>
      </w:r>
      <w:r>
        <w:rPr>
          <w:rFonts w:ascii="宋体" w:hAnsi="宋体"/>
        </w:rPr>
        <w:fldChar w:fldCharType="separate"/>
      </w:r>
      <w:r>
        <w:rPr>
          <w:rFonts w:ascii="宋体" w:hAnsi="宋体"/>
        </w:rPr>
        <w:t>27</w:t>
      </w:r>
      <w:r>
        <w:rPr>
          <w:rFonts w:ascii="宋体" w:hAnsi="宋体"/>
        </w:rPr>
        <w:fldChar w:fldCharType="end"/>
      </w:r>
      <w:r>
        <w:rPr>
          <w:rFonts w:ascii="宋体" w:hAnsi="宋体"/>
        </w:rPr>
        <w:fldChar w:fldCharType="end"/>
      </w:r>
    </w:p>
    <w:p>
      <w:pPr>
        <w:pStyle w:val="28"/>
        <w:rPr>
          <w:rFonts w:ascii="宋体" w:hAnsi="宋体" w:cstheme="minorBidi"/>
          <w:smallCaps w:val="0"/>
          <w:sz w:val="21"/>
          <w:szCs w:val="22"/>
        </w:rPr>
      </w:pPr>
      <w:r>
        <w:fldChar w:fldCharType="begin"/>
      </w:r>
      <w:r>
        <w:instrText xml:space="preserve"> HYPERLINK \l "_Toc57749783" </w:instrText>
      </w:r>
      <w:r>
        <w:fldChar w:fldCharType="separate"/>
      </w:r>
      <w:r>
        <w:rPr>
          <w:rStyle w:val="40"/>
          <w:rFonts w:ascii="宋体" w:hAnsi="宋体"/>
          <w:color w:val="auto"/>
        </w:rPr>
        <w:t>四 投标</w:t>
      </w:r>
      <w:r>
        <w:rPr>
          <w:rFonts w:ascii="宋体" w:hAnsi="宋体"/>
        </w:rPr>
        <w:tab/>
      </w:r>
      <w:r>
        <w:rPr>
          <w:rFonts w:ascii="宋体" w:hAnsi="宋体"/>
        </w:rPr>
        <w:fldChar w:fldCharType="begin"/>
      </w:r>
      <w:r>
        <w:rPr>
          <w:rFonts w:ascii="宋体" w:hAnsi="宋体"/>
        </w:rPr>
        <w:instrText xml:space="preserve"> PAGEREF _Toc57749783 \h </w:instrText>
      </w:r>
      <w:r>
        <w:rPr>
          <w:rFonts w:ascii="宋体" w:hAnsi="宋体"/>
        </w:rPr>
        <w:fldChar w:fldCharType="separate"/>
      </w:r>
      <w:r>
        <w:rPr>
          <w:rFonts w:ascii="宋体" w:hAnsi="宋体"/>
        </w:rPr>
        <w:t>30</w:t>
      </w:r>
      <w:r>
        <w:rPr>
          <w:rFonts w:ascii="宋体" w:hAnsi="宋体"/>
        </w:rPr>
        <w:fldChar w:fldCharType="end"/>
      </w:r>
      <w:r>
        <w:rPr>
          <w:rFonts w:ascii="宋体" w:hAnsi="宋体"/>
        </w:rPr>
        <w:fldChar w:fldCharType="end"/>
      </w:r>
    </w:p>
    <w:p>
      <w:pPr>
        <w:pStyle w:val="28"/>
        <w:rPr>
          <w:rFonts w:ascii="宋体" w:hAnsi="宋体" w:cstheme="minorBidi"/>
          <w:smallCaps w:val="0"/>
          <w:sz w:val="21"/>
          <w:szCs w:val="22"/>
        </w:rPr>
      </w:pPr>
      <w:r>
        <w:fldChar w:fldCharType="begin"/>
      </w:r>
      <w:r>
        <w:instrText xml:space="preserve"> HYPERLINK \l "_Toc57749784" </w:instrText>
      </w:r>
      <w:r>
        <w:fldChar w:fldCharType="separate"/>
      </w:r>
      <w:r>
        <w:rPr>
          <w:rStyle w:val="40"/>
          <w:rFonts w:ascii="宋体" w:hAnsi="宋体"/>
          <w:color w:val="auto"/>
        </w:rPr>
        <w:t>五 开标与评标</w:t>
      </w:r>
      <w:r>
        <w:rPr>
          <w:rFonts w:ascii="宋体" w:hAnsi="宋体"/>
        </w:rPr>
        <w:tab/>
      </w:r>
      <w:r>
        <w:rPr>
          <w:rFonts w:ascii="宋体" w:hAnsi="宋体"/>
        </w:rPr>
        <w:fldChar w:fldCharType="begin"/>
      </w:r>
      <w:r>
        <w:rPr>
          <w:rFonts w:ascii="宋体" w:hAnsi="宋体"/>
        </w:rPr>
        <w:instrText xml:space="preserve"> PAGEREF _Toc57749784 \h </w:instrText>
      </w:r>
      <w:r>
        <w:rPr>
          <w:rFonts w:ascii="宋体" w:hAnsi="宋体"/>
        </w:rPr>
        <w:fldChar w:fldCharType="separate"/>
      </w:r>
      <w:r>
        <w:rPr>
          <w:rFonts w:ascii="宋体" w:hAnsi="宋体"/>
        </w:rPr>
        <w:t>30</w:t>
      </w:r>
      <w:r>
        <w:rPr>
          <w:rFonts w:ascii="宋体" w:hAnsi="宋体"/>
        </w:rPr>
        <w:fldChar w:fldCharType="end"/>
      </w:r>
      <w:r>
        <w:rPr>
          <w:rFonts w:ascii="宋体" w:hAnsi="宋体"/>
        </w:rPr>
        <w:fldChar w:fldCharType="end"/>
      </w:r>
    </w:p>
    <w:p>
      <w:pPr>
        <w:pStyle w:val="28"/>
        <w:rPr>
          <w:rFonts w:ascii="宋体" w:hAnsi="宋体" w:cstheme="minorBidi"/>
          <w:smallCaps w:val="0"/>
          <w:sz w:val="21"/>
          <w:szCs w:val="22"/>
        </w:rPr>
      </w:pPr>
      <w:r>
        <w:fldChar w:fldCharType="begin"/>
      </w:r>
      <w:r>
        <w:instrText xml:space="preserve"> HYPERLINK \l "_Toc57749785" </w:instrText>
      </w:r>
      <w:r>
        <w:fldChar w:fldCharType="separate"/>
      </w:r>
      <w:r>
        <w:rPr>
          <w:rStyle w:val="40"/>
          <w:rFonts w:ascii="宋体" w:hAnsi="宋体"/>
          <w:color w:val="auto"/>
        </w:rPr>
        <w:t>六 合同授予</w:t>
      </w:r>
      <w:r>
        <w:rPr>
          <w:rFonts w:ascii="宋体" w:hAnsi="宋体"/>
        </w:rPr>
        <w:tab/>
      </w:r>
      <w:r>
        <w:rPr>
          <w:rFonts w:ascii="宋体" w:hAnsi="宋体"/>
        </w:rPr>
        <w:fldChar w:fldCharType="begin"/>
      </w:r>
      <w:r>
        <w:rPr>
          <w:rFonts w:ascii="宋体" w:hAnsi="宋体"/>
        </w:rPr>
        <w:instrText xml:space="preserve"> PAGEREF _Toc57749785 \h </w:instrText>
      </w:r>
      <w:r>
        <w:rPr>
          <w:rFonts w:ascii="宋体" w:hAnsi="宋体"/>
        </w:rPr>
        <w:fldChar w:fldCharType="separate"/>
      </w:r>
      <w:r>
        <w:rPr>
          <w:rFonts w:ascii="宋体" w:hAnsi="宋体"/>
        </w:rPr>
        <w:t>35</w:t>
      </w:r>
      <w:r>
        <w:rPr>
          <w:rFonts w:ascii="宋体" w:hAnsi="宋体"/>
        </w:rPr>
        <w:fldChar w:fldCharType="end"/>
      </w:r>
      <w:r>
        <w:rPr>
          <w:rFonts w:ascii="宋体" w:hAnsi="宋体"/>
        </w:rPr>
        <w:fldChar w:fldCharType="end"/>
      </w:r>
    </w:p>
    <w:p>
      <w:pPr>
        <w:pStyle w:val="28"/>
        <w:rPr>
          <w:rFonts w:ascii="宋体" w:hAnsi="宋体" w:cstheme="minorBidi"/>
          <w:smallCaps w:val="0"/>
          <w:sz w:val="21"/>
          <w:szCs w:val="22"/>
        </w:rPr>
      </w:pPr>
      <w:r>
        <w:fldChar w:fldCharType="begin"/>
      </w:r>
      <w:r>
        <w:instrText xml:space="preserve"> HYPERLINK \l "_Toc57749786" </w:instrText>
      </w:r>
      <w:r>
        <w:fldChar w:fldCharType="separate"/>
      </w:r>
      <w:r>
        <w:rPr>
          <w:rStyle w:val="40"/>
          <w:rFonts w:ascii="宋体" w:hAnsi="宋体"/>
          <w:color w:val="auto"/>
        </w:rPr>
        <w:t>七 其他事项</w:t>
      </w:r>
      <w:r>
        <w:rPr>
          <w:rFonts w:ascii="宋体" w:hAnsi="宋体"/>
        </w:rPr>
        <w:tab/>
      </w:r>
      <w:r>
        <w:rPr>
          <w:rFonts w:ascii="宋体" w:hAnsi="宋体"/>
        </w:rPr>
        <w:fldChar w:fldCharType="begin"/>
      </w:r>
      <w:r>
        <w:rPr>
          <w:rFonts w:ascii="宋体" w:hAnsi="宋体"/>
        </w:rPr>
        <w:instrText xml:space="preserve"> PAGEREF _Toc57749786 \h </w:instrText>
      </w:r>
      <w:r>
        <w:rPr>
          <w:rFonts w:ascii="宋体" w:hAnsi="宋体"/>
        </w:rPr>
        <w:fldChar w:fldCharType="separate"/>
      </w:r>
      <w:r>
        <w:rPr>
          <w:rFonts w:ascii="宋体" w:hAnsi="宋体"/>
        </w:rPr>
        <w:t>38</w:t>
      </w:r>
      <w:r>
        <w:rPr>
          <w:rFonts w:ascii="宋体" w:hAnsi="宋体"/>
        </w:rPr>
        <w:fldChar w:fldCharType="end"/>
      </w:r>
      <w:r>
        <w:rPr>
          <w:rFonts w:ascii="宋体" w:hAnsi="宋体"/>
        </w:rPr>
        <w:fldChar w:fldCharType="end"/>
      </w:r>
    </w:p>
    <w:p>
      <w:pPr>
        <w:pStyle w:val="25"/>
        <w:tabs>
          <w:tab w:val="right" w:leader="dot" w:pos="9628"/>
        </w:tabs>
        <w:rPr>
          <w:rFonts w:ascii="宋体" w:hAnsi="宋体" w:cstheme="minorBidi"/>
          <w:b w:val="0"/>
          <w:bCs w:val="0"/>
          <w:caps w:val="0"/>
          <w:sz w:val="21"/>
          <w:szCs w:val="22"/>
        </w:rPr>
      </w:pPr>
      <w:r>
        <w:fldChar w:fldCharType="begin"/>
      </w:r>
      <w:r>
        <w:instrText xml:space="preserve"> HYPERLINK \l "_Toc57749787" </w:instrText>
      </w:r>
      <w:r>
        <w:fldChar w:fldCharType="separate"/>
      </w:r>
      <w:r>
        <w:rPr>
          <w:rStyle w:val="40"/>
          <w:rFonts w:ascii="宋体" w:hAnsi="宋体"/>
          <w:color w:val="auto"/>
        </w:rPr>
        <w:t>第五章 投标文件格式</w:t>
      </w:r>
      <w:r>
        <w:rPr>
          <w:rFonts w:ascii="宋体" w:hAnsi="宋体"/>
        </w:rPr>
        <w:tab/>
      </w:r>
      <w:r>
        <w:rPr>
          <w:rFonts w:ascii="宋体" w:hAnsi="宋体"/>
        </w:rPr>
        <w:fldChar w:fldCharType="begin"/>
      </w:r>
      <w:r>
        <w:rPr>
          <w:rFonts w:ascii="宋体" w:hAnsi="宋体"/>
        </w:rPr>
        <w:instrText xml:space="preserve"> PAGEREF _Toc57749787 \h </w:instrText>
      </w:r>
      <w:r>
        <w:rPr>
          <w:rFonts w:ascii="宋体" w:hAnsi="宋体"/>
        </w:rPr>
        <w:fldChar w:fldCharType="separate"/>
      </w:r>
      <w:r>
        <w:rPr>
          <w:rFonts w:ascii="宋体" w:hAnsi="宋体"/>
        </w:rPr>
        <w:t>39</w:t>
      </w:r>
      <w:r>
        <w:rPr>
          <w:rFonts w:ascii="宋体" w:hAnsi="宋体"/>
        </w:rPr>
        <w:fldChar w:fldCharType="end"/>
      </w:r>
      <w:r>
        <w:rPr>
          <w:rFonts w:ascii="宋体" w:hAnsi="宋体"/>
        </w:rPr>
        <w:fldChar w:fldCharType="end"/>
      </w:r>
    </w:p>
    <w:p>
      <w:pPr>
        <w:pStyle w:val="25"/>
        <w:tabs>
          <w:tab w:val="right" w:leader="dot" w:pos="9628"/>
        </w:tabs>
        <w:rPr>
          <w:rFonts w:ascii="宋体" w:hAnsi="宋体" w:cstheme="minorBidi"/>
          <w:b w:val="0"/>
          <w:bCs w:val="0"/>
          <w:caps w:val="0"/>
          <w:sz w:val="21"/>
          <w:szCs w:val="22"/>
        </w:rPr>
      </w:pPr>
      <w:r>
        <w:fldChar w:fldCharType="begin"/>
      </w:r>
      <w:r>
        <w:instrText xml:space="preserve"> HYPERLINK \l "_Toc57749788" </w:instrText>
      </w:r>
      <w:r>
        <w:fldChar w:fldCharType="separate"/>
      </w:r>
      <w:r>
        <w:rPr>
          <w:rStyle w:val="40"/>
          <w:rFonts w:ascii="宋体" w:hAnsi="宋体"/>
          <w:color w:val="auto"/>
        </w:rPr>
        <w:t>第六章 合同条款及格式</w:t>
      </w:r>
      <w:r>
        <w:rPr>
          <w:rFonts w:ascii="宋体" w:hAnsi="宋体"/>
        </w:rPr>
        <w:tab/>
      </w:r>
      <w:r>
        <w:rPr>
          <w:rFonts w:ascii="宋体" w:hAnsi="宋体"/>
        </w:rPr>
        <w:fldChar w:fldCharType="begin"/>
      </w:r>
      <w:r>
        <w:rPr>
          <w:rFonts w:ascii="宋体" w:hAnsi="宋体"/>
        </w:rPr>
        <w:instrText xml:space="preserve"> PAGEREF _Toc57749788 \h </w:instrText>
      </w:r>
      <w:r>
        <w:rPr>
          <w:rFonts w:ascii="宋体" w:hAnsi="宋体"/>
        </w:rPr>
        <w:fldChar w:fldCharType="separate"/>
      </w:r>
      <w:r>
        <w:rPr>
          <w:rFonts w:ascii="宋体" w:hAnsi="宋体"/>
        </w:rPr>
        <w:t>53</w:t>
      </w:r>
      <w:r>
        <w:rPr>
          <w:rFonts w:ascii="宋体" w:hAnsi="宋体"/>
        </w:rPr>
        <w:fldChar w:fldCharType="end"/>
      </w:r>
      <w:r>
        <w:rPr>
          <w:rFonts w:ascii="宋体" w:hAnsi="宋体"/>
        </w:rPr>
        <w:fldChar w:fldCharType="end"/>
      </w:r>
    </w:p>
    <w:p>
      <w:pPr>
        <w:pStyle w:val="25"/>
        <w:tabs>
          <w:tab w:val="right" w:leader="dot" w:pos="9628"/>
        </w:tabs>
        <w:rPr>
          <w:rFonts w:ascii="宋体" w:hAnsi="宋体" w:cstheme="minorBidi"/>
          <w:b w:val="0"/>
          <w:bCs w:val="0"/>
          <w:caps w:val="0"/>
          <w:sz w:val="21"/>
          <w:szCs w:val="22"/>
        </w:rPr>
      </w:pPr>
      <w:r>
        <w:fldChar w:fldCharType="begin"/>
      </w:r>
      <w:r>
        <w:instrText xml:space="preserve"> HYPERLINK \l "_Toc57749789" </w:instrText>
      </w:r>
      <w:r>
        <w:fldChar w:fldCharType="separate"/>
      </w:r>
      <w:r>
        <w:rPr>
          <w:rStyle w:val="40"/>
          <w:rFonts w:ascii="宋体" w:hAnsi="宋体"/>
          <w:color w:val="auto"/>
        </w:rPr>
        <w:t>第七章  质疑材料格式</w:t>
      </w:r>
      <w:r>
        <w:rPr>
          <w:rFonts w:ascii="宋体" w:hAnsi="宋体"/>
        </w:rPr>
        <w:tab/>
      </w:r>
      <w:r>
        <w:rPr>
          <w:rFonts w:ascii="宋体" w:hAnsi="宋体"/>
        </w:rPr>
        <w:fldChar w:fldCharType="begin"/>
      </w:r>
      <w:r>
        <w:rPr>
          <w:rFonts w:ascii="宋体" w:hAnsi="宋体"/>
        </w:rPr>
        <w:instrText xml:space="preserve"> PAGEREF _Toc57749789 \h </w:instrText>
      </w:r>
      <w:r>
        <w:rPr>
          <w:rFonts w:ascii="宋体" w:hAnsi="宋体"/>
        </w:rPr>
        <w:fldChar w:fldCharType="separate"/>
      </w:r>
      <w:r>
        <w:rPr>
          <w:rFonts w:ascii="宋体" w:hAnsi="宋体"/>
        </w:rPr>
        <w:t>61</w:t>
      </w:r>
      <w:r>
        <w:rPr>
          <w:rFonts w:ascii="宋体" w:hAnsi="宋体"/>
        </w:rPr>
        <w:fldChar w:fldCharType="end"/>
      </w:r>
      <w:r>
        <w:rPr>
          <w:rFonts w:ascii="宋体" w:hAnsi="宋体"/>
        </w:rPr>
        <w:fldChar w:fldCharType="end"/>
      </w:r>
    </w:p>
    <w:p>
      <w:pPr>
        <w:pStyle w:val="19"/>
        <w:spacing w:line="500" w:lineRule="exact"/>
        <w:jc w:val="center"/>
        <w:outlineLvl w:val="0"/>
        <w:rPr>
          <w:rFonts w:hAnsi="宋体"/>
          <w:b/>
          <w:bCs/>
          <w:caps/>
          <w:sz w:val="28"/>
          <w:szCs w:val="28"/>
        </w:rPr>
      </w:pPr>
      <w:r>
        <w:rPr>
          <w:rFonts w:hAnsi="宋体"/>
          <w:bCs/>
          <w:caps/>
          <w:szCs w:val="24"/>
        </w:rPr>
        <w:fldChar w:fldCharType="end"/>
      </w:r>
      <w:bookmarkStart w:id="5" w:name="_Toc213325920"/>
    </w:p>
    <w:p>
      <w:pPr>
        <w:pStyle w:val="19"/>
        <w:jc w:val="center"/>
        <w:outlineLvl w:val="0"/>
        <w:rPr>
          <w:rFonts w:hAnsi="宋体"/>
          <w:b/>
          <w:bCs/>
          <w:caps/>
          <w:sz w:val="28"/>
          <w:szCs w:val="28"/>
        </w:rPr>
      </w:pPr>
    </w:p>
    <w:p>
      <w:pPr>
        <w:rPr>
          <w:rFonts w:ascii="宋体" w:hAnsi="宋体"/>
        </w:rPr>
      </w:pPr>
      <w:r>
        <w:rPr>
          <w:rFonts w:ascii="宋体" w:hAnsi="宋体"/>
        </w:rPr>
        <w:br w:type="page"/>
      </w:r>
    </w:p>
    <w:p>
      <w:pPr>
        <w:pStyle w:val="3"/>
        <w:rPr>
          <w:rFonts w:ascii="宋体" w:hAnsi="宋体"/>
          <w:szCs w:val="36"/>
        </w:rPr>
      </w:pPr>
      <w:bookmarkStart w:id="6" w:name="_Toc57749775"/>
      <w:r>
        <w:rPr>
          <w:rFonts w:hint="eastAsia" w:ascii="宋体" w:hAnsi="宋体"/>
        </w:rPr>
        <w:t>第一章公告</w:t>
      </w:r>
      <w:bookmarkEnd w:id="0"/>
      <w:bookmarkEnd w:id="1"/>
      <w:bookmarkEnd w:id="2"/>
      <w:bookmarkEnd w:id="5"/>
      <w:bookmarkEnd w:id="6"/>
    </w:p>
    <w:p>
      <w:pPr>
        <w:pStyle w:val="19"/>
        <w:jc w:val="center"/>
        <w:rPr>
          <w:rFonts w:hAnsi="宋体"/>
          <w:b/>
          <w:sz w:val="28"/>
          <w:szCs w:val="30"/>
        </w:rPr>
      </w:pPr>
      <w:r>
        <w:rPr>
          <w:rFonts w:hint="eastAsia" w:hAnsi="宋体"/>
          <w:b/>
          <w:sz w:val="28"/>
          <w:szCs w:val="30"/>
        </w:rPr>
        <w:t>公开招标公告</w:t>
      </w:r>
    </w:p>
    <w:p>
      <w:pPr>
        <w:pBdr>
          <w:top w:val="single" w:color="auto" w:sz="4" w:space="1"/>
          <w:left w:val="single" w:color="auto" w:sz="4" w:space="4"/>
          <w:bottom w:val="single" w:color="auto" w:sz="4" w:space="1"/>
          <w:right w:val="single" w:color="auto" w:sz="4" w:space="4"/>
        </w:pBdr>
        <w:spacing w:line="440" w:lineRule="exact"/>
        <w:ind w:firstLine="420" w:firstLineChars="200"/>
        <w:rPr>
          <w:rFonts w:ascii="宋体" w:hAnsi="宋体"/>
          <w:kern w:val="0"/>
          <w:szCs w:val="21"/>
        </w:rPr>
      </w:pPr>
      <w:r>
        <w:rPr>
          <w:rFonts w:hint="eastAsia" w:ascii="宋体" w:hAnsi="宋体"/>
          <w:kern w:val="0"/>
          <w:szCs w:val="21"/>
        </w:rPr>
        <w:t>项目概况</w:t>
      </w:r>
    </w:p>
    <w:p>
      <w:pPr>
        <w:pBdr>
          <w:top w:val="single" w:color="auto" w:sz="4" w:space="1"/>
          <w:left w:val="single" w:color="auto" w:sz="4" w:space="4"/>
          <w:bottom w:val="single" w:color="auto" w:sz="4" w:space="1"/>
          <w:right w:val="single" w:color="auto" w:sz="4" w:space="4"/>
        </w:pBdr>
        <w:spacing w:line="500" w:lineRule="exact"/>
        <w:ind w:firstLine="420" w:firstLineChars="200"/>
        <w:rPr>
          <w:rFonts w:ascii="宋体" w:hAnsi="宋体" w:cs="宋体"/>
          <w:szCs w:val="21"/>
        </w:rPr>
      </w:pPr>
      <w:r>
        <w:rPr>
          <w:rFonts w:hint="eastAsia" w:ascii="宋体" w:hAnsi="宋体"/>
          <w:kern w:val="0"/>
          <w:szCs w:val="21"/>
          <w:lang w:eastAsia="zh-CN"/>
        </w:rPr>
        <w:t>2020年备灾点救灾物资采购项目</w:t>
      </w:r>
      <w:r>
        <w:rPr>
          <w:rFonts w:hint="eastAsia" w:ascii="宋体" w:hAnsi="宋体" w:cs="宋体"/>
          <w:szCs w:val="21"/>
        </w:rPr>
        <w:t>招标项目的潜在投标人应在</w:t>
      </w:r>
      <w:r>
        <w:rPr>
          <w:rFonts w:hint="eastAsia" w:hAnsi="宋体" w:cs="宋体"/>
          <w:bCs/>
          <w:spacing w:val="-4"/>
          <w:szCs w:val="21"/>
          <w:u w:val="single"/>
        </w:rPr>
        <w:t>政采云平台（https://www.zcygov.cn/）</w:t>
      </w:r>
      <w:r>
        <w:rPr>
          <w:rFonts w:hint="eastAsia" w:ascii="宋体" w:hAnsi="宋体" w:cs="宋体"/>
          <w:szCs w:val="21"/>
        </w:rPr>
        <w:t>获取招标文件，并于</w:t>
      </w:r>
      <w:r>
        <w:rPr>
          <w:rFonts w:hint="eastAsia" w:ascii="宋体" w:hAnsi="宋体" w:cs="宋体"/>
          <w:szCs w:val="21"/>
          <w:u w:val="single"/>
          <w:lang w:val="en-US" w:eastAsia="zh-CN"/>
        </w:rPr>
        <w:t>2021</w:t>
      </w:r>
      <w:r>
        <w:rPr>
          <w:rFonts w:hint="eastAsia" w:ascii="宋体" w:hAnsi="宋体" w:cs="宋体"/>
          <w:bCs/>
          <w:szCs w:val="21"/>
          <w:u w:val="single"/>
        </w:rPr>
        <w:t>年</w:t>
      </w:r>
      <w:r>
        <w:rPr>
          <w:rFonts w:hint="eastAsia" w:ascii="宋体" w:hAnsi="宋体" w:cs="宋体"/>
          <w:bCs/>
          <w:szCs w:val="21"/>
          <w:u w:val="single"/>
          <w:lang w:val="en-US" w:eastAsia="zh-CN"/>
        </w:rPr>
        <w:t>1</w:t>
      </w:r>
      <w:r>
        <w:rPr>
          <w:rFonts w:hint="eastAsia" w:ascii="宋体" w:hAnsi="宋体" w:cs="宋体"/>
          <w:bCs/>
          <w:szCs w:val="21"/>
          <w:u w:val="single"/>
        </w:rPr>
        <w:t>月</w:t>
      </w:r>
      <w:r>
        <w:rPr>
          <w:rFonts w:hint="eastAsia" w:ascii="宋体" w:hAnsi="宋体" w:cs="宋体"/>
          <w:bCs/>
          <w:szCs w:val="21"/>
          <w:u w:val="single"/>
          <w:lang w:val="en-US" w:eastAsia="zh-CN"/>
        </w:rPr>
        <w:t>6</w:t>
      </w:r>
      <w:r>
        <w:rPr>
          <w:rFonts w:hint="eastAsia" w:ascii="宋体" w:hAnsi="宋体" w:cs="宋体"/>
          <w:bCs/>
          <w:szCs w:val="21"/>
          <w:u w:val="single"/>
        </w:rPr>
        <w:t>日 上午10点00分（</w:t>
      </w:r>
      <w:r>
        <w:rPr>
          <w:rFonts w:hint="eastAsia" w:ascii="宋体" w:hAnsi="宋体" w:cs="宋体"/>
          <w:bCs/>
          <w:szCs w:val="21"/>
        </w:rPr>
        <w:t>北京时间）前递交投标文件</w:t>
      </w:r>
      <w:r>
        <w:rPr>
          <w:rFonts w:hint="eastAsia" w:ascii="宋体" w:hAnsi="宋体" w:cs="宋体"/>
          <w:szCs w:val="21"/>
        </w:rPr>
        <w:t>。</w:t>
      </w:r>
    </w:p>
    <w:p>
      <w:pPr>
        <w:pBdr>
          <w:top w:val="single" w:color="auto" w:sz="4" w:space="1"/>
          <w:left w:val="single" w:color="auto" w:sz="4" w:space="4"/>
          <w:bottom w:val="single" w:color="auto" w:sz="4" w:space="1"/>
          <w:right w:val="single" w:color="auto" w:sz="4" w:space="4"/>
        </w:pBdr>
        <w:spacing w:line="440" w:lineRule="exact"/>
        <w:ind w:firstLine="420" w:firstLineChars="200"/>
        <w:rPr>
          <w:rFonts w:ascii="宋体" w:hAnsi="宋体"/>
          <w:kern w:val="0"/>
          <w:szCs w:val="21"/>
        </w:rPr>
      </w:pPr>
    </w:p>
    <w:p>
      <w:pPr>
        <w:spacing w:line="440" w:lineRule="exact"/>
        <w:rPr>
          <w:rFonts w:ascii="宋体" w:hAnsi="宋体"/>
          <w:b/>
          <w:sz w:val="24"/>
        </w:rPr>
      </w:pPr>
      <w:bookmarkStart w:id="7" w:name="_Toc28359079"/>
      <w:bookmarkStart w:id="8" w:name="_Toc35393790"/>
      <w:bookmarkStart w:id="9" w:name="_Toc28359002"/>
      <w:bookmarkStart w:id="10" w:name="_Toc35393621"/>
      <w:r>
        <w:rPr>
          <w:rFonts w:hint="eastAsia" w:ascii="宋体" w:hAnsi="宋体"/>
          <w:b/>
          <w:sz w:val="24"/>
        </w:rPr>
        <w:t>一、项目基本情况</w:t>
      </w:r>
      <w:bookmarkEnd w:id="7"/>
      <w:bookmarkEnd w:id="8"/>
      <w:bookmarkEnd w:id="9"/>
      <w:bookmarkEnd w:id="10"/>
      <w:bookmarkStart w:id="11" w:name="_Toc139966431"/>
      <w:bookmarkStart w:id="12" w:name="_Toc213325921"/>
      <w:bookmarkStart w:id="13" w:name="_Toc213206172"/>
      <w:bookmarkStart w:id="14" w:name="_Toc139967215"/>
    </w:p>
    <w:p>
      <w:pPr>
        <w:snapToGrid w:val="0"/>
        <w:spacing w:line="440" w:lineRule="exact"/>
        <w:ind w:firstLine="420" w:firstLineChars="200"/>
        <w:rPr>
          <w:rFonts w:hint="eastAsia" w:ascii="宋体" w:hAnsi="宋体" w:eastAsia="宋体" w:cs="Arial"/>
          <w:bCs/>
          <w:szCs w:val="21"/>
          <w:u w:val="single"/>
          <w:lang w:eastAsia="zh-CN"/>
        </w:rPr>
      </w:pPr>
      <w:r>
        <w:rPr>
          <w:rFonts w:hint="eastAsia" w:ascii="宋体" w:hAnsi="宋体" w:cs="Arial"/>
          <w:bCs/>
          <w:szCs w:val="21"/>
          <w:lang w:eastAsia="zh-CN"/>
        </w:rPr>
        <w:t>项目编号：YLZC2020-G1-240257-HSHJ</w:t>
      </w:r>
    </w:p>
    <w:p>
      <w:pPr>
        <w:spacing w:line="440" w:lineRule="exact"/>
        <w:ind w:firstLine="420" w:firstLineChars="200"/>
        <w:jc w:val="left"/>
        <w:rPr>
          <w:rFonts w:hint="eastAsia" w:ascii="宋体" w:hAnsi="宋体" w:eastAsia="宋体" w:cs="Arial"/>
          <w:bCs/>
          <w:szCs w:val="21"/>
          <w:u w:val="single"/>
          <w:lang w:eastAsia="zh-CN"/>
        </w:rPr>
      </w:pPr>
      <w:r>
        <w:rPr>
          <w:rFonts w:hint="eastAsia" w:ascii="宋体" w:hAnsi="宋体" w:cs="Arial"/>
          <w:bCs/>
          <w:szCs w:val="21"/>
          <w:lang w:eastAsia="zh-CN"/>
        </w:rPr>
        <w:t>采购计划文号：YLZC2020-G1-70854-001</w:t>
      </w:r>
    </w:p>
    <w:p>
      <w:pPr>
        <w:snapToGrid w:val="0"/>
        <w:spacing w:line="440" w:lineRule="exact"/>
        <w:ind w:firstLine="420" w:firstLineChars="200"/>
        <w:rPr>
          <w:rFonts w:hint="eastAsia" w:ascii="宋体" w:hAnsi="宋体" w:eastAsia="宋体"/>
          <w:kern w:val="0"/>
          <w:szCs w:val="21"/>
          <w:u w:val="single"/>
          <w:lang w:eastAsia="zh-CN"/>
        </w:rPr>
      </w:pPr>
      <w:r>
        <w:rPr>
          <w:rFonts w:hint="eastAsia" w:ascii="宋体" w:hAnsi="宋体" w:cs="Arial"/>
          <w:bCs/>
          <w:szCs w:val="21"/>
        </w:rPr>
        <w:t>项目名称</w:t>
      </w:r>
      <w:r>
        <w:rPr>
          <w:rFonts w:hint="eastAsia" w:ascii="宋体" w:hAnsi="宋体" w:cs="Arial"/>
          <w:bCs/>
          <w:szCs w:val="21"/>
          <w:u w:val="none"/>
        </w:rPr>
        <w:t>：</w:t>
      </w:r>
      <w:r>
        <w:rPr>
          <w:rFonts w:hint="eastAsia" w:ascii="宋体" w:hAnsi="宋体"/>
          <w:kern w:val="0"/>
          <w:szCs w:val="21"/>
          <w:u w:val="none"/>
          <w:lang w:eastAsia="zh-CN"/>
        </w:rPr>
        <w:t>2020年备灾点救灾物资采购项目</w:t>
      </w:r>
    </w:p>
    <w:p>
      <w:pPr>
        <w:snapToGrid w:val="0"/>
        <w:spacing w:line="440" w:lineRule="exact"/>
        <w:ind w:firstLine="420" w:firstLineChars="200"/>
        <w:rPr>
          <w:rFonts w:ascii="宋体" w:hAnsi="宋体" w:cs="Arial"/>
          <w:szCs w:val="21"/>
        </w:rPr>
      </w:pPr>
      <w:r>
        <w:rPr>
          <w:rFonts w:hint="eastAsia" w:ascii="宋体" w:hAnsi="宋体" w:cs="Arial"/>
          <w:szCs w:val="21"/>
        </w:rPr>
        <w:t>预算金额：人民币贰佰肆拾陆万元整（￥2460000.00元）</w:t>
      </w:r>
    </w:p>
    <w:p>
      <w:pPr>
        <w:snapToGrid w:val="0"/>
        <w:spacing w:line="440" w:lineRule="exact"/>
        <w:ind w:firstLine="420" w:firstLineChars="200"/>
        <w:rPr>
          <w:rFonts w:ascii="宋体" w:hAnsi="宋体" w:cs="Arial"/>
          <w:szCs w:val="21"/>
        </w:rPr>
      </w:pPr>
      <w:r>
        <w:rPr>
          <w:rFonts w:hint="eastAsia" w:ascii="宋体" w:hAnsi="宋体" w:cs="Arial"/>
          <w:szCs w:val="21"/>
        </w:rPr>
        <w:t>最高限价（如有）：与预算金额一致。</w:t>
      </w:r>
    </w:p>
    <w:p>
      <w:pPr>
        <w:snapToGrid w:val="0"/>
        <w:spacing w:line="440" w:lineRule="exact"/>
        <w:ind w:firstLine="420" w:firstLineChars="200"/>
        <w:rPr>
          <w:rFonts w:ascii="宋体" w:hAnsi="宋体" w:cs="Arial"/>
          <w:szCs w:val="21"/>
        </w:rPr>
      </w:pPr>
      <w:r>
        <w:rPr>
          <w:rFonts w:hint="eastAsia" w:ascii="宋体" w:hAnsi="宋体" w:cs="Arial"/>
          <w:szCs w:val="21"/>
        </w:rPr>
        <w:t>采购需求：</w:t>
      </w:r>
    </w:p>
    <w:tbl>
      <w:tblPr>
        <w:tblStyle w:val="34"/>
        <w:tblW w:w="9923" w:type="dxa"/>
        <w:tblInd w:w="108"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80"/>
        <w:gridCol w:w="5103"/>
        <w:gridCol w:w="1559"/>
        <w:gridCol w:w="2381"/>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80" w:type="dxa"/>
            <w:tcBorders>
              <w:top w:val="single" w:color="auto" w:sz="4" w:space="0"/>
              <w:bottom w:val="single" w:color="auto" w:sz="4" w:space="0"/>
              <w:right w:val="single" w:color="auto" w:sz="4" w:space="0"/>
            </w:tcBorders>
          </w:tcPr>
          <w:p>
            <w:pPr>
              <w:adjustRightInd/>
              <w:spacing w:line="440" w:lineRule="exact"/>
              <w:jc w:val="center"/>
              <w:textAlignment w:val="auto"/>
              <w:rPr>
                <w:rFonts w:ascii="宋体" w:hAnsi="宋体"/>
              </w:rPr>
            </w:pPr>
            <w:r>
              <w:rPr>
                <w:rFonts w:hint="eastAsia" w:ascii="宋体" w:hAnsi="宋体"/>
              </w:rPr>
              <w:t>标号</w:t>
            </w:r>
          </w:p>
        </w:tc>
        <w:tc>
          <w:tcPr>
            <w:tcW w:w="5103" w:type="dxa"/>
            <w:tcBorders>
              <w:top w:val="single" w:color="auto" w:sz="4" w:space="0"/>
              <w:left w:val="single" w:color="auto" w:sz="4" w:space="0"/>
              <w:bottom w:val="single" w:color="auto" w:sz="4" w:space="0"/>
              <w:right w:val="single" w:color="auto" w:sz="4" w:space="0"/>
            </w:tcBorders>
          </w:tcPr>
          <w:p>
            <w:pPr>
              <w:adjustRightInd/>
              <w:spacing w:line="440" w:lineRule="exact"/>
              <w:jc w:val="center"/>
              <w:textAlignment w:val="auto"/>
              <w:rPr>
                <w:rFonts w:ascii="宋体" w:hAnsi="宋体"/>
              </w:rPr>
            </w:pPr>
            <w:r>
              <w:rPr>
                <w:rFonts w:hint="eastAsia" w:ascii="宋体" w:hAnsi="宋体"/>
              </w:rPr>
              <w:t>采购名称</w:t>
            </w:r>
          </w:p>
        </w:tc>
        <w:tc>
          <w:tcPr>
            <w:tcW w:w="1559" w:type="dxa"/>
            <w:tcBorders>
              <w:top w:val="single" w:color="auto" w:sz="4" w:space="0"/>
              <w:left w:val="single" w:color="auto" w:sz="4" w:space="0"/>
              <w:bottom w:val="single" w:color="auto" w:sz="4" w:space="0"/>
              <w:right w:val="single" w:color="auto" w:sz="4" w:space="0"/>
            </w:tcBorders>
          </w:tcPr>
          <w:p>
            <w:pPr>
              <w:adjustRightInd/>
              <w:spacing w:line="440" w:lineRule="exact"/>
              <w:jc w:val="center"/>
              <w:textAlignment w:val="auto"/>
              <w:rPr>
                <w:rFonts w:ascii="宋体" w:hAnsi="宋体"/>
              </w:rPr>
            </w:pPr>
            <w:r>
              <w:rPr>
                <w:rFonts w:hint="eastAsia" w:ascii="宋体" w:hAnsi="宋体"/>
              </w:rPr>
              <w:t>数量</w:t>
            </w:r>
          </w:p>
        </w:tc>
        <w:tc>
          <w:tcPr>
            <w:tcW w:w="2381" w:type="dxa"/>
            <w:tcBorders>
              <w:top w:val="single" w:color="auto" w:sz="4" w:space="0"/>
              <w:left w:val="single" w:color="auto" w:sz="4" w:space="0"/>
              <w:bottom w:val="single" w:color="auto" w:sz="4" w:space="0"/>
            </w:tcBorders>
          </w:tcPr>
          <w:p>
            <w:pPr>
              <w:adjustRightInd/>
              <w:spacing w:line="440" w:lineRule="exact"/>
              <w:jc w:val="center"/>
              <w:textAlignment w:val="auto"/>
              <w:rPr>
                <w:rFonts w:ascii="宋体" w:hAnsi="宋体"/>
              </w:rPr>
            </w:pPr>
            <w:r>
              <w:rPr>
                <w:rFonts w:hint="eastAsia" w:ascii="宋体" w:hAnsi="宋体"/>
              </w:rPr>
              <w:t>预算金额（万元）</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80" w:type="dxa"/>
            <w:tcBorders>
              <w:top w:val="single" w:color="auto" w:sz="4" w:space="0"/>
              <w:bottom w:val="single" w:color="auto" w:sz="4" w:space="0"/>
              <w:right w:val="single" w:color="auto" w:sz="4" w:space="0"/>
            </w:tcBorders>
            <w:vAlign w:val="center"/>
          </w:tcPr>
          <w:p>
            <w:pPr>
              <w:adjustRightInd/>
              <w:spacing w:line="440" w:lineRule="exact"/>
              <w:jc w:val="center"/>
              <w:textAlignment w:val="auto"/>
              <w:rPr>
                <w:rFonts w:ascii="宋体" w:hAnsi="宋体"/>
              </w:rPr>
            </w:pPr>
            <w:r>
              <w:rPr>
                <w:rFonts w:hint="eastAsia" w:ascii="宋体" w:hAnsi="宋体"/>
              </w:rPr>
              <w:t>1</w:t>
            </w:r>
          </w:p>
        </w:tc>
        <w:tc>
          <w:tcPr>
            <w:tcW w:w="5103" w:type="dxa"/>
            <w:tcBorders>
              <w:top w:val="single" w:color="auto" w:sz="4" w:space="0"/>
              <w:left w:val="single" w:color="auto" w:sz="4" w:space="0"/>
              <w:bottom w:val="single" w:color="auto" w:sz="4" w:space="0"/>
              <w:right w:val="single" w:color="auto" w:sz="4" w:space="0"/>
            </w:tcBorders>
            <w:vAlign w:val="center"/>
          </w:tcPr>
          <w:p>
            <w:pPr>
              <w:adjustRightInd/>
              <w:spacing w:line="440" w:lineRule="exact"/>
              <w:jc w:val="center"/>
              <w:textAlignment w:val="auto"/>
              <w:rPr>
                <w:rFonts w:ascii="宋体" w:hAnsi="宋体"/>
              </w:rPr>
            </w:pPr>
            <w:r>
              <w:rPr>
                <w:rFonts w:hint="eastAsia" w:ascii="宋体" w:hAnsi="宋体"/>
                <w:lang w:eastAsia="zh-CN"/>
              </w:rPr>
              <w:t>2020年备灾点救灾物资采购项目</w:t>
            </w:r>
            <w:r>
              <w:rPr>
                <w:rFonts w:hint="eastAsia" w:ascii="宋体" w:hAnsi="宋体"/>
              </w:rPr>
              <w:t>,详见采购文件。</w:t>
            </w:r>
          </w:p>
        </w:tc>
        <w:tc>
          <w:tcPr>
            <w:tcW w:w="1559" w:type="dxa"/>
            <w:tcBorders>
              <w:top w:val="single" w:color="auto" w:sz="4" w:space="0"/>
              <w:left w:val="single" w:color="auto" w:sz="4" w:space="0"/>
              <w:bottom w:val="single" w:color="auto" w:sz="4" w:space="0"/>
              <w:right w:val="single" w:color="auto" w:sz="4" w:space="0"/>
            </w:tcBorders>
            <w:vAlign w:val="center"/>
          </w:tcPr>
          <w:p>
            <w:pPr>
              <w:adjustRightInd/>
              <w:spacing w:line="440" w:lineRule="exact"/>
              <w:jc w:val="center"/>
              <w:textAlignment w:val="auto"/>
              <w:rPr>
                <w:rFonts w:ascii="宋体" w:hAnsi="宋体"/>
              </w:rPr>
            </w:pPr>
            <w:r>
              <w:rPr>
                <w:rFonts w:ascii="宋体" w:hAnsi="宋体"/>
              </w:rPr>
              <w:t>1</w:t>
            </w:r>
            <w:r>
              <w:rPr>
                <w:rFonts w:hint="eastAsia" w:ascii="宋体" w:hAnsi="宋体"/>
              </w:rPr>
              <w:t>项</w:t>
            </w:r>
          </w:p>
        </w:tc>
        <w:tc>
          <w:tcPr>
            <w:tcW w:w="2381" w:type="dxa"/>
            <w:tcBorders>
              <w:top w:val="single" w:color="auto" w:sz="4" w:space="0"/>
              <w:left w:val="single" w:color="auto" w:sz="4" w:space="0"/>
              <w:bottom w:val="single" w:color="auto" w:sz="4" w:space="0"/>
            </w:tcBorders>
            <w:vAlign w:val="center"/>
          </w:tcPr>
          <w:p>
            <w:pPr>
              <w:adjustRightInd/>
              <w:spacing w:line="440" w:lineRule="exact"/>
              <w:jc w:val="center"/>
              <w:textAlignment w:val="auto"/>
              <w:rPr>
                <w:rFonts w:ascii="宋体" w:hAnsi="宋体"/>
              </w:rPr>
            </w:pPr>
            <w:r>
              <w:rPr>
                <w:rFonts w:hint="eastAsia" w:ascii="宋体" w:hAnsi="宋体"/>
              </w:rPr>
              <w:t>246</w:t>
            </w:r>
          </w:p>
        </w:tc>
      </w:tr>
    </w:tbl>
    <w:p>
      <w:pPr>
        <w:snapToGrid w:val="0"/>
        <w:spacing w:line="440" w:lineRule="exact"/>
        <w:ind w:firstLine="422" w:firstLineChars="200"/>
        <w:rPr>
          <w:rFonts w:ascii="宋体" w:hAnsi="宋体" w:cs="Arial"/>
          <w:b/>
          <w:bCs/>
          <w:kern w:val="1"/>
          <w:szCs w:val="21"/>
        </w:rPr>
      </w:pPr>
      <w:r>
        <w:rPr>
          <w:rFonts w:hint="eastAsia" w:ascii="宋体" w:hAnsi="宋体" w:cs="Arial"/>
          <w:b/>
          <w:bCs/>
          <w:kern w:val="1"/>
          <w:szCs w:val="21"/>
        </w:rPr>
        <w:t>具体内容详见：招标文件</w:t>
      </w:r>
      <w:r>
        <w:rPr>
          <w:rFonts w:ascii="宋体" w:hAnsi="宋体" w:cs="Arial"/>
          <w:b/>
          <w:bCs/>
          <w:kern w:val="1"/>
          <w:szCs w:val="21"/>
        </w:rPr>
        <w:t>采购需求一览表</w:t>
      </w:r>
      <w:r>
        <w:rPr>
          <w:rFonts w:hint="eastAsia" w:ascii="宋体" w:hAnsi="宋体" w:cs="Arial"/>
          <w:b/>
          <w:bCs/>
          <w:kern w:val="1"/>
          <w:szCs w:val="21"/>
        </w:rPr>
        <w:t>。</w:t>
      </w:r>
    </w:p>
    <w:p>
      <w:pPr>
        <w:spacing w:line="440" w:lineRule="exact"/>
        <w:ind w:firstLine="420" w:firstLineChars="200"/>
        <w:rPr>
          <w:rFonts w:hint="eastAsia" w:ascii="宋体" w:hAnsi="宋体" w:eastAsia="宋体"/>
          <w:color w:val="FF0000"/>
          <w:lang w:eastAsia="zh-CN"/>
        </w:rPr>
      </w:pPr>
      <w:r>
        <w:rPr>
          <w:rFonts w:hint="eastAsia" w:ascii="宋体" w:hAnsi="宋体"/>
          <w:lang w:eastAsia="zh-CN"/>
        </w:rPr>
        <w:t>合同履行期限：15个工作日</w:t>
      </w:r>
    </w:p>
    <w:p>
      <w:pPr>
        <w:spacing w:line="440" w:lineRule="exact"/>
        <w:rPr>
          <w:rFonts w:ascii="宋体" w:hAnsi="宋体"/>
          <w:b/>
        </w:rPr>
      </w:pPr>
      <w:r>
        <w:rPr>
          <w:rFonts w:hint="eastAsia" w:ascii="宋体" w:hAnsi="宋体"/>
          <w:b/>
        </w:rPr>
        <w:t>二、申请人的资格要求：</w:t>
      </w:r>
    </w:p>
    <w:p>
      <w:pPr>
        <w:snapToGrid w:val="0"/>
        <w:spacing w:line="440" w:lineRule="exact"/>
        <w:ind w:firstLine="420" w:firstLineChars="200"/>
        <w:jc w:val="left"/>
        <w:rPr>
          <w:rFonts w:ascii="宋体" w:hAnsi="宋体" w:cs="Arial"/>
          <w:szCs w:val="21"/>
        </w:rPr>
      </w:pPr>
      <w:r>
        <w:rPr>
          <w:rFonts w:ascii="宋体" w:hAnsi="宋体" w:cs="Arial"/>
          <w:szCs w:val="21"/>
        </w:rPr>
        <w:t>1.</w:t>
      </w:r>
      <w:r>
        <w:rPr>
          <w:rFonts w:hint="eastAsia" w:ascii="宋体" w:hAnsi="宋体" w:cs="Arial"/>
          <w:szCs w:val="21"/>
        </w:rPr>
        <w:t>符合《中华人民共和国政府采购法》第二十二条规定。</w:t>
      </w:r>
    </w:p>
    <w:p>
      <w:pPr>
        <w:snapToGrid w:val="0"/>
        <w:spacing w:line="440" w:lineRule="exact"/>
        <w:ind w:firstLine="420" w:firstLineChars="200"/>
        <w:jc w:val="left"/>
        <w:rPr>
          <w:rFonts w:ascii="宋体" w:hAnsi="宋体" w:cs="Arial"/>
          <w:szCs w:val="21"/>
        </w:rPr>
      </w:pPr>
      <w:r>
        <w:rPr>
          <w:rFonts w:ascii="宋体" w:hAnsi="宋体" w:cs="Arial"/>
          <w:szCs w:val="21"/>
        </w:rPr>
        <w:t>2.</w:t>
      </w:r>
      <w:r>
        <w:rPr>
          <w:rFonts w:hint="eastAsia" w:ascii="宋体" w:hAnsi="宋体" w:cs="Arial"/>
          <w:szCs w:val="21"/>
        </w:rPr>
        <w:t>国内注册（指按国家有关规定要求注册的），具备合法资格的供应商。</w:t>
      </w:r>
    </w:p>
    <w:p>
      <w:pPr>
        <w:snapToGrid w:val="0"/>
        <w:spacing w:line="440" w:lineRule="exact"/>
        <w:ind w:firstLine="420" w:firstLineChars="200"/>
        <w:jc w:val="left"/>
        <w:rPr>
          <w:rFonts w:ascii="宋体" w:hAnsi="宋体" w:cs="Arial"/>
          <w:szCs w:val="21"/>
        </w:rPr>
      </w:pPr>
      <w:r>
        <w:rPr>
          <w:rFonts w:ascii="宋体" w:hAnsi="宋体" w:cs="Arial"/>
          <w:szCs w:val="21"/>
        </w:rPr>
        <w:t>3.</w:t>
      </w:r>
      <w:r>
        <w:rPr>
          <w:rFonts w:hint="eastAsia" w:ascii="宋体" w:hAnsi="宋体" w:cs="Arial"/>
          <w:szCs w:val="21"/>
        </w:rPr>
        <w:t>单位负责人为同一人或者存在直接控股、管理关系的不同供应商，不得参加同一合同项下的政府采购活动。除单一来源采购项目外，为采购项目提供整体设计、规范编制或者项目管理、监理、检测等服务的供应商，不得再参加该采购项目的其他采购活动。</w:t>
      </w:r>
    </w:p>
    <w:p>
      <w:pPr>
        <w:snapToGrid w:val="0"/>
        <w:spacing w:line="440" w:lineRule="exact"/>
        <w:ind w:firstLine="420" w:firstLineChars="200"/>
        <w:jc w:val="left"/>
        <w:rPr>
          <w:rFonts w:ascii="宋体" w:hAnsi="宋体" w:cs="Arial"/>
          <w:szCs w:val="21"/>
        </w:rPr>
      </w:pPr>
      <w:r>
        <w:rPr>
          <w:rFonts w:ascii="宋体" w:hAnsi="宋体" w:cs="Arial"/>
          <w:szCs w:val="21"/>
        </w:rPr>
        <w:t>4.</w:t>
      </w:r>
      <w:r>
        <w:rPr>
          <w:rFonts w:hint="eastAsia" w:ascii="宋体" w:hAnsi="宋体" w:cs="Arial"/>
          <w:szCs w:val="21"/>
        </w:rPr>
        <w:t>对在“信用中国”网站</w:t>
      </w:r>
      <w:r>
        <w:rPr>
          <w:rFonts w:ascii="宋体" w:hAnsi="宋体" w:cs="Arial"/>
          <w:szCs w:val="21"/>
        </w:rPr>
        <w:t>(www.creditchina.gov.cn)</w:t>
      </w:r>
      <w:r>
        <w:rPr>
          <w:rFonts w:hint="eastAsia" w:ascii="宋体" w:hAnsi="宋体" w:cs="Arial"/>
          <w:szCs w:val="21"/>
        </w:rPr>
        <w:t>被列入失信被执行人、重大税收违法案件当事人名单、政府采购严重违法失信行为记录名单及其他不符合《中华人民共和国政府采购法》第二十二条规定条件的供应商，不得参与政府采购活动。</w:t>
      </w:r>
    </w:p>
    <w:p>
      <w:pPr>
        <w:snapToGrid w:val="0"/>
        <w:spacing w:line="440" w:lineRule="exact"/>
        <w:ind w:firstLine="420" w:firstLineChars="200"/>
        <w:jc w:val="left"/>
        <w:rPr>
          <w:rFonts w:ascii="宋体" w:hAnsi="宋体" w:cs="Arial"/>
          <w:szCs w:val="21"/>
        </w:rPr>
      </w:pPr>
      <w:r>
        <w:rPr>
          <w:rFonts w:hint="eastAsia" w:ascii="宋体" w:hAnsi="宋体" w:cs="Arial"/>
          <w:szCs w:val="21"/>
        </w:rPr>
        <w:t>5．本项目不接受联合体投标。</w:t>
      </w:r>
    </w:p>
    <w:p>
      <w:pPr>
        <w:snapToGrid w:val="0"/>
        <w:spacing w:line="440" w:lineRule="exact"/>
        <w:ind w:firstLine="422" w:firstLineChars="200"/>
        <w:jc w:val="left"/>
        <w:rPr>
          <w:rFonts w:ascii="宋体" w:hAnsi="宋体"/>
          <w:b/>
        </w:rPr>
      </w:pPr>
      <w:r>
        <w:rPr>
          <w:rFonts w:hint="eastAsia" w:ascii="宋体" w:hAnsi="宋体"/>
          <w:b/>
        </w:rPr>
        <w:t>三、获取招标文件</w:t>
      </w:r>
    </w:p>
    <w:p>
      <w:pPr>
        <w:spacing w:after="120" w:line="320" w:lineRule="exact"/>
        <w:ind w:firstLine="420" w:firstLineChars="200"/>
        <w:jc w:val="left"/>
        <w:rPr>
          <w:rFonts w:hAnsi="宋体" w:cs="宋体"/>
          <w:szCs w:val="21"/>
        </w:rPr>
      </w:pPr>
      <w:bookmarkStart w:id="15" w:name="_Toc28359082"/>
      <w:bookmarkStart w:id="16" w:name="_Toc28359005"/>
      <w:bookmarkStart w:id="17" w:name="_Toc35393793"/>
      <w:bookmarkStart w:id="18" w:name="_Toc35393624"/>
      <w:r>
        <w:rPr>
          <w:rFonts w:hint="eastAsia" w:hAnsi="宋体" w:cs="宋体"/>
          <w:szCs w:val="21"/>
        </w:rPr>
        <w:t>1.获取时间：</w:t>
      </w:r>
      <w:r>
        <w:rPr>
          <w:rFonts w:hint="eastAsia" w:hAnsi="宋体" w:cs="宋体"/>
          <w:szCs w:val="21"/>
          <w:lang w:val="en-US" w:eastAsia="zh-CN"/>
        </w:rPr>
        <w:t>2020</w:t>
      </w:r>
      <w:r>
        <w:rPr>
          <w:rFonts w:hint="eastAsia" w:hAnsi="宋体" w:cs="宋体"/>
          <w:szCs w:val="21"/>
        </w:rPr>
        <w:t>年</w:t>
      </w:r>
      <w:r>
        <w:rPr>
          <w:rFonts w:hint="eastAsia" w:hAnsi="宋体" w:cs="宋体"/>
          <w:szCs w:val="21"/>
          <w:lang w:val="en-US" w:eastAsia="zh-CN"/>
        </w:rPr>
        <w:t>12</w:t>
      </w:r>
      <w:r>
        <w:rPr>
          <w:rFonts w:hint="eastAsia" w:hAnsi="宋体" w:cs="宋体"/>
          <w:szCs w:val="21"/>
        </w:rPr>
        <w:t>月</w:t>
      </w:r>
      <w:r>
        <w:rPr>
          <w:rFonts w:hint="eastAsia" w:hAnsi="宋体" w:cs="宋体"/>
          <w:szCs w:val="21"/>
          <w:lang w:val="en-US" w:eastAsia="zh-CN"/>
        </w:rPr>
        <w:t>17</w:t>
      </w:r>
      <w:r>
        <w:rPr>
          <w:rFonts w:hint="eastAsia" w:hAnsi="宋体" w:cs="宋体"/>
          <w:szCs w:val="21"/>
        </w:rPr>
        <w:t>日起至</w:t>
      </w:r>
      <w:r>
        <w:rPr>
          <w:rFonts w:hint="eastAsia" w:hAnsi="宋体" w:cs="宋体"/>
          <w:szCs w:val="21"/>
          <w:lang w:val="en-US" w:eastAsia="zh-CN"/>
        </w:rPr>
        <w:t>2020</w:t>
      </w:r>
      <w:r>
        <w:rPr>
          <w:rFonts w:hint="eastAsia" w:hAnsi="宋体" w:cs="宋体"/>
          <w:szCs w:val="21"/>
        </w:rPr>
        <w:t>年</w:t>
      </w:r>
      <w:r>
        <w:rPr>
          <w:rFonts w:hint="eastAsia" w:hAnsi="宋体" w:cs="宋体"/>
          <w:szCs w:val="21"/>
          <w:lang w:val="en-US" w:eastAsia="zh-CN"/>
        </w:rPr>
        <w:t>12</w:t>
      </w:r>
      <w:r>
        <w:rPr>
          <w:rFonts w:hint="eastAsia" w:hAnsi="宋体" w:cs="宋体"/>
          <w:szCs w:val="21"/>
        </w:rPr>
        <w:t>月</w:t>
      </w:r>
      <w:r>
        <w:rPr>
          <w:rFonts w:hint="eastAsia" w:hAnsi="宋体" w:cs="宋体"/>
          <w:szCs w:val="21"/>
          <w:lang w:val="en-US" w:eastAsia="zh-CN"/>
        </w:rPr>
        <w:t>24</w:t>
      </w:r>
      <w:r>
        <w:rPr>
          <w:rFonts w:hint="eastAsia" w:hAnsi="宋体" w:cs="宋体"/>
          <w:szCs w:val="21"/>
        </w:rPr>
        <w:t>日北京时间17时30分止</w:t>
      </w:r>
    </w:p>
    <w:p>
      <w:pPr>
        <w:spacing w:after="120" w:line="320" w:lineRule="exact"/>
        <w:ind w:firstLine="420" w:firstLineChars="200"/>
        <w:jc w:val="left"/>
        <w:rPr>
          <w:rFonts w:hAnsi="宋体" w:cs="宋体"/>
          <w:szCs w:val="21"/>
        </w:rPr>
      </w:pPr>
      <w:r>
        <w:rPr>
          <w:rFonts w:hint="eastAsia" w:hAnsi="宋体" w:cs="宋体"/>
          <w:szCs w:val="21"/>
        </w:rPr>
        <w:t>2.地点：登录政采云平台（https://www.zcygov.cn/）免费下载</w:t>
      </w:r>
    </w:p>
    <w:p>
      <w:pPr>
        <w:spacing w:after="120" w:line="320" w:lineRule="exact"/>
        <w:ind w:firstLine="420" w:firstLineChars="200"/>
        <w:jc w:val="left"/>
        <w:rPr>
          <w:rFonts w:hAnsi="宋体" w:cs="宋体"/>
          <w:spacing w:val="-6"/>
        </w:rPr>
      </w:pPr>
      <w:r>
        <w:rPr>
          <w:rFonts w:hint="eastAsia" w:hAnsi="宋体" w:cs="宋体"/>
          <w:szCs w:val="21"/>
        </w:rPr>
        <w:t>3.获取方式：潜在供应商均可于</w:t>
      </w:r>
      <w:r>
        <w:rPr>
          <w:rFonts w:hint="eastAsia" w:hAnsi="宋体" w:cs="宋体"/>
          <w:szCs w:val="21"/>
          <w:lang w:val="en-US" w:eastAsia="zh-CN"/>
        </w:rPr>
        <w:t>2020</w:t>
      </w:r>
      <w:r>
        <w:rPr>
          <w:rFonts w:hint="eastAsia" w:hAnsi="宋体" w:cs="宋体"/>
          <w:szCs w:val="21"/>
        </w:rPr>
        <w:t>年</w:t>
      </w:r>
      <w:r>
        <w:rPr>
          <w:rFonts w:hint="eastAsia" w:hAnsi="宋体" w:cs="宋体"/>
          <w:szCs w:val="21"/>
          <w:lang w:val="en-US" w:eastAsia="zh-CN"/>
        </w:rPr>
        <w:t>12</w:t>
      </w:r>
      <w:r>
        <w:rPr>
          <w:rFonts w:hint="eastAsia" w:hAnsi="宋体" w:cs="宋体"/>
          <w:szCs w:val="21"/>
        </w:rPr>
        <w:t>月</w:t>
      </w:r>
      <w:r>
        <w:rPr>
          <w:rFonts w:hint="eastAsia" w:hAnsi="宋体" w:cs="宋体"/>
          <w:szCs w:val="21"/>
          <w:lang w:val="en-US" w:eastAsia="zh-CN"/>
        </w:rPr>
        <w:t>17</w:t>
      </w:r>
      <w:r>
        <w:rPr>
          <w:rFonts w:hint="eastAsia" w:hAnsi="宋体" w:cs="宋体"/>
          <w:szCs w:val="21"/>
        </w:rPr>
        <w:t>日起至</w:t>
      </w:r>
      <w:r>
        <w:rPr>
          <w:rFonts w:hint="eastAsia" w:hAnsi="宋体" w:cs="宋体"/>
          <w:szCs w:val="21"/>
          <w:lang w:val="en-US" w:eastAsia="zh-CN"/>
        </w:rPr>
        <w:t>2020</w:t>
      </w:r>
      <w:r>
        <w:rPr>
          <w:rFonts w:hint="eastAsia" w:hAnsi="宋体" w:cs="宋体"/>
          <w:szCs w:val="21"/>
        </w:rPr>
        <w:t>年</w:t>
      </w:r>
      <w:r>
        <w:rPr>
          <w:rFonts w:hint="eastAsia" w:hAnsi="宋体" w:cs="宋体"/>
          <w:szCs w:val="21"/>
          <w:lang w:val="en-US" w:eastAsia="zh-CN"/>
        </w:rPr>
        <w:t>12</w:t>
      </w:r>
      <w:r>
        <w:rPr>
          <w:rFonts w:hint="eastAsia" w:hAnsi="宋体" w:cs="宋体"/>
          <w:szCs w:val="21"/>
        </w:rPr>
        <w:t>月</w:t>
      </w:r>
      <w:r>
        <w:rPr>
          <w:rFonts w:hint="eastAsia" w:hAnsi="宋体" w:cs="宋体"/>
          <w:szCs w:val="21"/>
          <w:lang w:val="en-US" w:eastAsia="zh-CN"/>
        </w:rPr>
        <w:t>24</w:t>
      </w:r>
      <w:r>
        <w:rPr>
          <w:rFonts w:hint="eastAsia" w:hAnsi="宋体" w:cs="宋体"/>
          <w:szCs w:val="21"/>
        </w:rPr>
        <w:t>日北京时间17时30分止（逾期下载投标无效）登录政采云（https://www.zcygov.cn/）自行下载招标文件电子版。</w:t>
      </w:r>
      <w:r>
        <w:rPr>
          <w:rFonts w:hint="eastAsia" w:hAnsi="宋体" w:cs="宋体"/>
          <w:spacing w:val="-6"/>
        </w:rPr>
        <w:t>未注册的供应商可在政采云平台完成注册后再进行报名，如在操作过程中遇到问题或者需要技术支持，请致电政采云客服热线:400-881-7190。</w:t>
      </w:r>
    </w:p>
    <w:p>
      <w:pPr>
        <w:spacing w:line="440" w:lineRule="exact"/>
        <w:rPr>
          <w:rFonts w:ascii="宋体" w:hAnsi="宋体"/>
          <w:b/>
        </w:rPr>
      </w:pPr>
      <w:r>
        <w:rPr>
          <w:rFonts w:hint="eastAsia" w:ascii="宋体" w:hAnsi="宋体"/>
          <w:b/>
        </w:rPr>
        <w:t>四、提交投标文件</w:t>
      </w:r>
      <w:bookmarkEnd w:id="15"/>
      <w:bookmarkEnd w:id="16"/>
      <w:r>
        <w:rPr>
          <w:rFonts w:hint="eastAsia" w:ascii="宋体" w:hAnsi="宋体"/>
          <w:b/>
        </w:rPr>
        <w:t>截止时间、开标时间和地点</w:t>
      </w:r>
      <w:bookmarkEnd w:id="17"/>
      <w:bookmarkEnd w:id="18"/>
    </w:p>
    <w:p>
      <w:pPr>
        <w:spacing w:line="440" w:lineRule="exact"/>
        <w:ind w:firstLine="424" w:firstLineChars="201"/>
        <w:rPr>
          <w:rFonts w:ascii="宋体" w:hAnsi="宋体"/>
          <w:b/>
        </w:rPr>
      </w:pPr>
      <w:r>
        <w:rPr>
          <w:rFonts w:hint="eastAsia" w:ascii="宋体" w:hAnsi="宋体"/>
          <w:b/>
        </w:rPr>
        <w:t>（一）提交投标文件截止时间</w:t>
      </w:r>
    </w:p>
    <w:p>
      <w:pPr>
        <w:spacing w:line="500" w:lineRule="exact"/>
        <w:ind w:firstLine="420" w:firstLineChars="200"/>
        <w:rPr>
          <w:rFonts w:ascii="宋体" w:hAnsi="宋体" w:cs="宋体"/>
          <w:szCs w:val="21"/>
        </w:rPr>
      </w:pPr>
      <w:r>
        <w:rPr>
          <w:rFonts w:hint="eastAsia" w:ascii="宋体" w:hAnsi="宋体" w:cs="宋体"/>
          <w:szCs w:val="21"/>
        </w:rPr>
        <w:t>时间：</w:t>
      </w:r>
      <w:r>
        <w:rPr>
          <w:rFonts w:hint="eastAsia" w:ascii="宋体" w:hAnsi="宋体" w:cs="宋体"/>
          <w:szCs w:val="21"/>
          <w:lang w:val="en-US" w:eastAsia="zh-CN"/>
        </w:rPr>
        <w:t>2021</w:t>
      </w:r>
      <w:r>
        <w:rPr>
          <w:rFonts w:hint="eastAsia" w:ascii="宋体" w:hAnsi="宋体" w:cs="宋体"/>
          <w:szCs w:val="21"/>
        </w:rPr>
        <w:t>年</w:t>
      </w:r>
      <w:r>
        <w:rPr>
          <w:rFonts w:hint="eastAsia" w:ascii="宋体" w:hAnsi="宋体" w:cs="宋体"/>
          <w:szCs w:val="21"/>
          <w:lang w:val="en-US" w:eastAsia="zh-CN"/>
        </w:rPr>
        <w:t>1</w:t>
      </w:r>
      <w:r>
        <w:rPr>
          <w:rFonts w:hint="eastAsia" w:ascii="宋体" w:hAnsi="宋体" w:cs="宋体"/>
          <w:szCs w:val="21"/>
        </w:rPr>
        <w:t>月</w:t>
      </w:r>
      <w:r>
        <w:rPr>
          <w:rFonts w:hint="eastAsia" w:ascii="宋体" w:hAnsi="宋体" w:cs="宋体"/>
          <w:szCs w:val="21"/>
          <w:lang w:val="en-US" w:eastAsia="zh-CN"/>
        </w:rPr>
        <w:t>6</w:t>
      </w:r>
      <w:r>
        <w:rPr>
          <w:rFonts w:hint="eastAsia" w:ascii="宋体" w:hAnsi="宋体" w:cs="宋体"/>
          <w:szCs w:val="21"/>
        </w:rPr>
        <w:t>日上午10点00分（北京时间）</w:t>
      </w:r>
    </w:p>
    <w:p>
      <w:pPr>
        <w:widowControl/>
        <w:autoSpaceDE w:val="0"/>
        <w:spacing w:line="320" w:lineRule="exact"/>
        <w:ind w:firstLine="420" w:firstLineChars="200"/>
        <w:rPr>
          <w:rFonts w:ascii="宋体" w:hAnsi="宋体" w:cs="宋体"/>
          <w:szCs w:val="21"/>
        </w:rPr>
      </w:pPr>
      <w:r>
        <w:rPr>
          <w:rFonts w:hint="eastAsia" w:ascii="宋体" w:hAnsi="宋体" w:cs="宋体"/>
          <w:szCs w:val="21"/>
        </w:rPr>
        <w:t>地点：</w:t>
      </w:r>
      <w:r>
        <w:rPr>
          <w:rFonts w:hint="eastAsia" w:hAnsi="宋体"/>
        </w:rPr>
        <w:t>兴业县公共资源交易中心三楼（兴业县政务服务中心三楼）</w:t>
      </w:r>
      <w:r>
        <w:rPr>
          <w:rFonts w:hint="eastAsia" w:ascii="宋体" w:hAnsi="宋体" w:cs="宋体"/>
          <w:szCs w:val="21"/>
        </w:rPr>
        <w:t>，逾期送达的将予以拒收。</w:t>
      </w:r>
    </w:p>
    <w:p>
      <w:pPr>
        <w:spacing w:line="440" w:lineRule="exact"/>
        <w:ind w:firstLine="424" w:firstLineChars="201"/>
        <w:rPr>
          <w:rFonts w:ascii="宋体" w:hAnsi="宋体"/>
          <w:b/>
        </w:rPr>
      </w:pPr>
      <w:r>
        <w:rPr>
          <w:rFonts w:hint="eastAsia" w:ascii="宋体" w:hAnsi="宋体"/>
          <w:b/>
        </w:rPr>
        <w:t>（二）开标时间及地点：</w:t>
      </w:r>
    </w:p>
    <w:p>
      <w:pPr>
        <w:widowControl/>
        <w:autoSpaceDE w:val="0"/>
        <w:spacing w:line="320" w:lineRule="exact"/>
        <w:ind w:firstLine="420" w:firstLineChars="200"/>
        <w:rPr>
          <w:rFonts w:hAnsi="宋体"/>
        </w:rPr>
      </w:pPr>
      <w:r>
        <w:rPr>
          <w:rFonts w:hint="eastAsia" w:hAnsi="宋体"/>
        </w:rPr>
        <w:t>时间：</w:t>
      </w:r>
      <w:r>
        <w:rPr>
          <w:rFonts w:hint="eastAsia" w:hAnsi="宋体"/>
          <w:lang w:val="en-US" w:eastAsia="zh-CN"/>
        </w:rPr>
        <w:t>2021</w:t>
      </w:r>
      <w:r>
        <w:rPr>
          <w:rFonts w:hint="eastAsia" w:hAnsi="宋体" w:cs="宋体"/>
        </w:rPr>
        <w:t>年</w:t>
      </w:r>
      <w:r>
        <w:rPr>
          <w:rFonts w:hint="eastAsia" w:hAnsi="宋体" w:cs="宋体"/>
          <w:lang w:val="en-US" w:eastAsia="zh-CN"/>
        </w:rPr>
        <w:t>1</w:t>
      </w:r>
      <w:r>
        <w:rPr>
          <w:rFonts w:hint="eastAsia" w:hAnsi="宋体" w:cs="宋体"/>
        </w:rPr>
        <w:t>月</w:t>
      </w:r>
      <w:r>
        <w:rPr>
          <w:rFonts w:hint="eastAsia" w:hAnsi="宋体" w:cs="宋体"/>
          <w:lang w:val="en-US" w:eastAsia="zh-CN"/>
        </w:rPr>
        <w:t>6</w:t>
      </w:r>
      <w:r>
        <w:rPr>
          <w:rFonts w:hint="eastAsia" w:hAnsi="宋体" w:cs="宋体"/>
        </w:rPr>
        <w:t>日北京时间10时00分</w:t>
      </w:r>
      <w:r>
        <w:rPr>
          <w:rFonts w:hint="eastAsia" w:hAnsi="宋体"/>
        </w:rPr>
        <w:t>。</w:t>
      </w:r>
    </w:p>
    <w:p>
      <w:pPr>
        <w:spacing w:line="440" w:lineRule="exact"/>
        <w:ind w:firstLine="420" w:firstLineChars="200"/>
        <w:rPr>
          <w:rFonts w:hAnsi="宋体"/>
        </w:rPr>
      </w:pPr>
      <w:r>
        <w:rPr>
          <w:rFonts w:hint="eastAsia" w:hAnsi="宋体"/>
        </w:rPr>
        <w:t>地点：兴业县公共资源交易中心三楼（兴业县政务服务中心三楼）。</w:t>
      </w:r>
    </w:p>
    <w:p>
      <w:pPr>
        <w:spacing w:line="440" w:lineRule="exact"/>
        <w:ind w:firstLine="422" w:firstLineChars="200"/>
        <w:rPr>
          <w:rFonts w:ascii="宋体" w:hAnsi="宋体"/>
          <w:b/>
        </w:rPr>
      </w:pPr>
      <w:r>
        <w:rPr>
          <w:rFonts w:hint="eastAsia" w:ascii="宋体" w:hAnsi="宋体"/>
          <w:b/>
        </w:rPr>
        <w:t>五、公告期限</w:t>
      </w:r>
    </w:p>
    <w:p>
      <w:pPr>
        <w:spacing w:line="440" w:lineRule="exact"/>
        <w:ind w:firstLine="422" w:firstLineChars="201"/>
        <w:rPr>
          <w:rFonts w:ascii="宋体" w:hAnsi="宋体"/>
        </w:rPr>
      </w:pPr>
      <w:r>
        <w:rPr>
          <w:rFonts w:hint="eastAsia" w:ascii="宋体" w:hAnsi="宋体"/>
        </w:rPr>
        <w:t>自本公告发布之日起5个工作日。</w:t>
      </w:r>
    </w:p>
    <w:p>
      <w:pPr>
        <w:spacing w:line="440" w:lineRule="exact"/>
        <w:rPr>
          <w:rFonts w:ascii="宋体" w:hAnsi="宋体"/>
          <w:b/>
        </w:rPr>
      </w:pPr>
      <w:bookmarkStart w:id="19" w:name="_Toc35393626"/>
      <w:bookmarkStart w:id="20" w:name="_Toc35393795"/>
      <w:r>
        <w:rPr>
          <w:rFonts w:hint="eastAsia" w:ascii="宋体" w:hAnsi="宋体"/>
          <w:b/>
        </w:rPr>
        <w:t>六、其他补充事宜</w:t>
      </w:r>
      <w:bookmarkEnd w:id="19"/>
      <w:bookmarkEnd w:id="20"/>
    </w:p>
    <w:p>
      <w:pPr>
        <w:spacing w:line="440" w:lineRule="exact"/>
        <w:ind w:firstLine="422" w:firstLineChars="201"/>
        <w:rPr>
          <w:rFonts w:ascii="宋体" w:hAnsi="宋体"/>
        </w:rPr>
      </w:pPr>
      <w:r>
        <w:rPr>
          <w:rFonts w:hint="eastAsia" w:ascii="宋体" w:hAnsi="宋体"/>
        </w:rPr>
        <w:t>1.本项目不收取投标保证金。</w:t>
      </w:r>
    </w:p>
    <w:p>
      <w:pPr>
        <w:spacing w:line="440" w:lineRule="exact"/>
        <w:ind w:firstLine="422" w:firstLineChars="201"/>
        <w:rPr>
          <w:rFonts w:ascii="宋体" w:hAnsi="宋体"/>
        </w:rPr>
      </w:pPr>
      <w:r>
        <w:rPr>
          <w:rFonts w:hint="eastAsia" w:ascii="宋体" w:hAnsi="宋体"/>
        </w:rPr>
        <w:t>2.需要落实的政府采购政策：政府采购促进中小企业发展；政府采购支持采用本国产品的政策；强制采购、优先采购环境标志产品、节能产品；促进残疾人就业政府采购政策；政府采购支持监狱企业发展；政府采购扶持不发达地区和少数民族地区。</w:t>
      </w:r>
    </w:p>
    <w:p>
      <w:pPr>
        <w:spacing w:line="440" w:lineRule="exact"/>
        <w:ind w:firstLine="422" w:firstLineChars="201"/>
        <w:rPr>
          <w:rFonts w:ascii="宋体" w:hAnsi="宋体"/>
        </w:rPr>
      </w:pPr>
      <w:r>
        <w:rPr>
          <w:rFonts w:hint="eastAsia" w:ascii="宋体" w:hAnsi="宋体"/>
        </w:rPr>
        <w:t>3.公告媒体：中国政府采购网、广西壮族自治区政府采购网</w:t>
      </w:r>
    </w:p>
    <w:p>
      <w:pPr>
        <w:spacing w:line="440" w:lineRule="exact"/>
        <w:rPr>
          <w:rFonts w:ascii="宋体" w:hAnsi="宋体"/>
          <w:b/>
        </w:rPr>
      </w:pPr>
      <w:bookmarkStart w:id="21" w:name="_Toc28359085"/>
      <w:bookmarkStart w:id="22" w:name="_Toc35393627"/>
      <w:bookmarkStart w:id="23" w:name="_Toc28359008"/>
      <w:bookmarkStart w:id="24" w:name="_Toc35393796"/>
      <w:r>
        <w:rPr>
          <w:rFonts w:hint="eastAsia" w:ascii="宋体" w:hAnsi="宋体"/>
          <w:b/>
        </w:rPr>
        <w:t>七、对本次招标提出询问，请按</w:t>
      </w:r>
      <w:r>
        <w:rPr>
          <w:rFonts w:ascii="宋体" w:hAnsi="宋体"/>
          <w:b/>
        </w:rPr>
        <w:t>以下方式</w:t>
      </w:r>
      <w:r>
        <w:rPr>
          <w:rFonts w:hint="eastAsia" w:ascii="宋体" w:hAnsi="宋体"/>
          <w:b/>
        </w:rPr>
        <w:t>联系。</w:t>
      </w:r>
      <w:bookmarkEnd w:id="21"/>
      <w:bookmarkEnd w:id="22"/>
      <w:bookmarkEnd w:id="23"/>
      <w:bookmarkEnd w:id="24"/>
    </w:p>
    <w:p>
      <w:pPr>
        <w:spacing w:line="440" w:lineRule="exact"/>
        <w:ind w:firstLine="422" w:firstLineChars="201"/>
        <w:rPr>
          <w:rFonts w:ascii="宋体" w:hAnsi="宋体"/>
        </w:rPr>
      </w:pPr>
      <w:r>
        <w:rPr>
          <w:rFonts w:hint="eastAsia" w:ascii="宋体" w:hAnsi="宋体"/>
        </w:rPr>
        <w:t>1.采购人信息</w:t>
      </w:r>
    </w:p>
    <w:p>
      <w:pPr>
        <w:spacing w:line="440" w:lineRule="exact"/>
        <w:ind w:firstLine="422" w:firstLineChars="201"/>
        <w:rPr>
          <w:rFonts w:ascii="宋体" w:hAnsi="宋体"/>
        </w:rPr>
      </w:pPr>
      <w:bookmarkStart w:id="25" w:name="_Toc28359009"/>
      <w:bookmarkStart w:id="26" w:name="_Toc28359086"/>
      <w:r>
        <w:rPr>
          <w:rFonts w:hint="eastAsia" w:ascii="宋体" w:hAnsi="宋体"/>
        </w:rPr>
        <w:t>名 称：兴业县应急管理局　　　　　　　　　　　</w:t>
      </w:r>
    </w:p>
    <w:p>
      <w:pPr>
        <w:spacing w:line="440" w:lineRule="exact"/>
        <w:ind w:firstLine="422" w:firstLineChars="201"/>
        <w:rPr>
          <w:rFonts w:ascii="宋体" w:hAnsi="宋体"/>
        </w:rPr>
      </w:pPr>
      <w:r>
        <w:rPr>
          <w:rFonts w:hint="eastAsia" w:ascii="宋体" w:hAnsi="宋体"/>
        </w:rPr>
        <w:t>地址：</w:t>
      </w:r>
      <w:r>
        <w:rPr>
          <w:rFonts w:hint="eastAsia" w:ascii="宋体" w:hAnsi="宋体" w:eastAsia="宋体" w:cs="宋体"/>
          <w:b w:val="0"/>
          <w:i w:val="0"/>
          <w:caps w:val="0"/>
          <w:color w:val="333333"/>
          <w:spacing w:val="0"/>
          <w:sz w:val="21"/>
          <w:szCs w:val="21"/>
          <w:shd w:val="clear" w:fill="FFFFFF"/>
        </w:rPr>
        <w:t>兴业县环城小区牛麻垌</w:t>
      </w:r>
      <w:r>
        <w:rPr>
          <w:rFonts w:hint="eastAsia" w:ascii="宋体" w:hAnsi="宋体" w:eastAsia="宋体" w:cs="宋体"/>
        </w:rPr>
        <w:t>　</w:t>
      </w:r>
      <w:r>
        <w:rPr>
          <w:rFonts w:hint="eastAsia" w:ascii="宋体" w:hAnsi="宋体"/>
        </w:rPr>
        <w:t>　　　　　　　　</w:t>
      </w:r>
    </w:p>
    <w:p>
      <w:pPr>
        <w:spacing w:line="440" w:lineRule="exact"/>
        <w:ind w:firstLine="422" w:firstLineChars="201"/>
        <w:rPr>
          <w:rFonts w:hint="default" w:ascii="宋体" w:hAnsi="宋体" w:eastAsia="宋体"/>
          <w:lang w:val="en-US" w:eastAsia="zh-CN"/>
        </w:rPr>
      </w:pPr>
      <w:r>
        <w:rPr>
          <w:rFonts w:hint="eastAsia" w:ascii="宋体" w:hAnsi="宋体"/>
        </w:rPr>
        <w:t>联系方式：</w:t>
      </w:r>
      <w:r>
        <w:rPr>
          <w:rFonts w:hint="eastAsia" w:ascii="宋体" w:hAnsi="宋体"/>
          <w:lang w:val="en-US" w:eastAsia="zh-CN"/>
        </w:rPr>
        <w:t>15077580930</w:t>
      </w:r>
    </w:p>
    <w:p>
      <w:pPr>
        <w:spacing w:line="440" w:lineRule="exact"/>
        <w:ind w:firstLine="422" w:firstLineChars="201"/>
        <w:rPr>
          <w:rFonts w:ascii="宋体" w:hAnsi="宋体"/>
        </w:rPr>
      </w:pPr>
      <w:r>
        <w:rPr>
          <w:rFonts w:hint="eastAsia" w:ascii="宋体" w:hAnsi="宋体"/>
        </w:rPr>
        <w:t>2.采购代理机构信息</w:t>
      </w:r>
      <w:bookmarkEnd w:id="25"/>
      <w:bookmarkEnd w:id="26"/>
    </w:p>
    <w:p>
      <w:pPr>
        <w:snapToGrid w:val="0"/>
        <w:ind w:firstLine="420" w:firstLineChars="200"/>
        <w:rPr>
          <w:rFonts w:hAnsi="宋体" w:cs="宋体"/>
          <w:szCs w:val="21"/>
        </w:rPr>
      </w:pPr>
      <w:bookmarkStart w:id="27" w:name="_Toc28359010"/>
      <w:bookmarkStart w:id="28" w:name="_Toc28359087"/>
      <w:r>
        <w:rPr>
          <w:rFonts w:hint="eastAsia" w:hAnsi="宋体" w:cs="宋体"/>
          <w:szCs w:val="21"/>
        </w:rPr>
        <w:t>名称：广西恒晟水环境治理有限公司</w:t>
      </w:r>
    </w:p>
    <w:p>
      <w:pPr>
        <w:snapToGrid w:val="0"/>
        <w:ind w:firstLine="420" w:firstLineChars="200"/>
        <w:rPr>
          <w:rFonts w:hAnsi="宋体" w:cs="宋体"/>
          <w:szCs w:val="21"/>
        </w:rPr>
      </w:pPr>
      <w:r>
        <w:rPr>
          <w:rFonts w:hint="eastAsia" w:hAnsi="宋体" w:cs="宋体"/>
          <w:szCs w:val="21"/>
        </w:rPr>
        <w:t>地址：玉林市富林.金桂丽湾赏菊园W-16幢1302号</w:t>
      </w:r>
    </w:p>
    <w:p>
      <w:pPr>
        <w:snapToGrid w:val="0"/>
        <w:ind w:firstLine="420" w:firstLineChars="200"/>
        <w:rPr>
          <w:rFonts w:hAnsi="宋体" w:cs="宋体"/>
          <w:szCs w:val="21"/>
        </w:rPr>
      </w:pPr>
      <w:r>
        <w:rPr>
          <w:rFonts w:hint="eastAsia" w:hAnsi="宋体" w:cs="宋体"/>
          <w:szCs w:val="21"/>
        </w:rPr>
        <w:t>联系方式： 0775-2266880、3760881</w:t>
      </w:r>
    </w:p>
    <w:p>
      <w:pPr>
        <w:widowControl/>
        <w:autoSpaceDE w:val="0"/>
        <w:spacing w:line="320" w:lineRule="exact"/>
        <w:ind w:firstLine="210" w:firstLineChars="100"/>
        <w:rPr>
          <w:rFonts w:hAnsi="宋体"/>
          <w:szCs w:val="21"/>
        </w:rPr>
      </w:pPr>
      <w:r>
        <w:rPr>
          <w:rFonts w:hint="eastAsia" w:hAnsi="宋体"/>
          <w:szCs w:val="21"/>
        </w:rPr>
        <w:t xml:space="preserve">  联系人：甘丽萍</w:t>
      </w:r>
    </w:p>
    <w:p>
      <w:pPr>
        <w:spacing w:line="440" w:lineRule="exact"/>
        <w:ind w:firstLine="422" w:firstLineChars="201"/>
        <w:rPr>
          <w:rFonts w:ascii="宋体" w:hAnsi="宋体"/>
        </w:rPr>
      </w:pPr>
      <w:r>
        <w:rPr>
          <w:rFonts w:hint="eastAsia" w:ascii="宋体" w:hAnsi="宋体"/>
        </w:rPr>
        <w:t>3.项目</w:t>
      </w:r>
      <w:r>
        <w:rPr>
          <w:rFonts w:ascii="宋体" w:hAnsi="宋体"/>
        </w:rPr>
        <w:t>联系方式</w:t>
      </w:r>
      <w:bookmarkEnd w:id="27"/>
      <w:bookmarkEnd w:id="28"/>
    </w:p>
    <w:p>
      <w:pPr>
        <w:spacing w:after="120" w:line="320" w:lineRule="exact"/>
        <w:ind w:firstLine="630" w:firstLineChars="300"/>
        <w:jc w:val="left"/>
        <w:rPr>
          <w:szCs w:val="21"/>
        </w:rPr>
      </w:pPr>
      <w:r>
        <w:rPr>
          <w:rFonts w:hint="eastAsia"/>
          <w:szCs w:val="21"/>
        </w:rPr>
        <w:t>项目联系人：</w:t>
      </w:r>
      <w:r>
        <w:rPr>
          <w:rFonts w:hint="eastAsia" w:hAnsi="宋体"/>
          <w:szCs w:val="21"/>
        </w:rPr>
        <w:t>甘丽萍</w:t>
      </w:r>
      <w:r>
        <w:rPr>
          <w:rFonts w:hint="eastAsia"/>
          <w:szCs w:val="21"/>
        </w:rPr>
        <w:t xml:space="preserve">     </w:t>
      </w:r>
    </w:p>
    <w:p>
      <w:pPr>
        <w:snapToGrid w:val="0"/>
        <w:ind w:firstLine="630" w:firstLineChars="300"/>
        <w:rPr>
          <w:rFonts w:hAnsi="宋体" w:cs="宋体"/>
          <w:szCs w:val="21"/>
        </w:rPr>
      </w:pPr>
      <w:r>
        <w:rPr>
          <w:rFonts w:hint="eastAsia"/>
          <w:szCs w:val="21"/>
        </w:rPr>
        <w:t>电      话</w:t>
      </w:r>
      <w:r>
        <w:rPr>
          <w:rFonts w:hint="eastAsia" w:hAnsi="宋体" w:cs="宋体"/>
          <w:szCs w:val="21"/>
        </w:rPr>
        <w:t>： 0775-2266880、3760881</w:t>
      </w:r>
    </w:p>
    <w:p>
      <w:pPr>
        <w:spacing w:line="320" w:lineRule="exact"/>
        <w:ind w:firstLine="420" w:firstLineChars="200"/>
        <w:rPr>
          <w:rFonts w:hAnsi="宋体" w:cs="宋体"/>
          <w:szCs w:val="21"/>
        </w:rPr>
      </w:pPr>
      <w:r>
        <w:rPr>
          <w:rFonts w:hint="eastAsia" w:hAnsi="宋体" w:cs="宋体"/>
          <w:szCs w:val="21"/>
        </w:rPr>
        <w:t xml:space="preserve">4.监督部门： </w:t>
      </w:r>
    </w:p>
    <w:p>
      <w:pPr>
        <w:spacing w:line="320" w:lineRule="exact"/>
        <w:ind w:firstLine="420" w:firstLineChars="200"/>
        <w:rPr>
          <w:rFonts w:ascii="宋体" w:hAnsi="宋体" w:cs="宋体"/>
          <w:szCs w:val="21"/>
        </w:rPr>
      </w:pPr>
      <w:r>
        <w:rPr>
          <w:rFonts w:hint="eastAsia" w:hAnsi="宋体" w:cs="宋体"/>
          <w:bCs/>
          <w:szCs w:val="21"/>
        </w:rPr>
        <w:t xml:space="preserve"> 兴业县财政局；电 话：0775-3765088</w:t>
      </w:r>
    </w:p>
    <w:p>
      <w:pPr>
        <w:spacing w:line="440" w:lineRule="exact"/>
        <w:ind w:firstLine="5040" w:firstLineChars="2400"/>
        <w:jc w:val="left"/>
        <w:rPr>
          <w:rFonts w:ascii="宋体" w:hAnsi="宋体"/>
        </w:rPr>
      </w:pPr>
      <w:r>
        <w:rPr>
          <w:rFonts w:hint="eastAsia" w:ascii="宋体" w:hAnsi="宋体" w:cs="宋体"/>
          <w:szCs w:val="21"/>
        </w:rPr>
        <w:t xml:space="preserve">          采购人：</w:t>
      </w:r>
      <w:r>
        <w:rPr>
          <w:rFonts w:hint="eastAsia" w:ascii="宋体" w:hAnsi="宋体" w:cs="宋体"/>
          <w:spacing w:val="2"/>
          <w:szCs w:val="21"/>
        </w:rPr>
        <w:t>兴业县应急管理局</w:t>
      </w:r>
    </w:p>
    <w:p>
      <w:pPr>
        <w:spacing w:line="440" w:lineRule="exact"/>
        <w:ind w:firstLine="630" w:firstLineChars="300"/>
        <w:jc w:val="right"/>
        <w:rPr>
          <w:rStyle w:val="202"/>
          <w:rFonts w:ascii="宋体" w:hAnsi="宋体"/>
          <w:kern w:val="0"/>
          <w:szCs w:val="21"/>
        </w:rPr>
      </w:pPr>
      <w:r>
        <w:rPr>
          <w:rFonts w:hint="eastAsia" w:ascii="宋体" w:hAnsi="宋体" w:cs="宋体"/>
          <w:szCs w:val="21"/>
        </w:rPr>
        <w:t xml:space="preserve">                                  采购代理机构：</w:t>
      </w:r>
      <w:r>
        <w:rPr>
          <w:rStyle w:val="202"/>
          <w:rFonts w:hint="eastAsia" w:ascii="宋体" w:hAnsi="宋体"/>
          <w:kern w:val="0"/>
          <w:szCs w:val="21"/>
        </w:rPr>
        <w:t>广西恒晟水环境治理有限公司</w:t>
      </w:r>
    </w:p>
    <w:p>
      <w:pPr>
        <w:spacing w:line="440" w:lineRule="exact"/>
        <w:jc w:val="center"/>
        <w:rPr>
          <w:rStyle w:val="202"/>
          <w:rFonts w:ascii="宋体" w:hAnsi="宋体"/>
        </w:rPr>
      </w:pPr>
      <w:r>
        <w:rPr>
          <w:rFonts w:hint="eastAsia" w:ascii="宋体" w:hAnsi="宋体" w:cs="宋体"/>
          <w:szCs w:val="21"/>
        </w:rPr>
        <w:t xml:space="preserve">                                               日  期：2020年</w:t>
      </w:r>
      <w:r>
        <w:rPr>
          <w:rFonts w:hint="eastAsia" w:ascii="宋体" w:hAnsi="宋体" w:cs="宋体"/>
          <w:szCs w:val="21"/>
          <w:lang w:val="en-US" w:eastAsia="zh-CN"/>
        </w:rPr>
        <w:t>12</w:t>
      </w:r>
      <w:r>
        <w:rPr>
          <w:rFonts w:hint="eastAsia" w:ascii="宋体" w:hAnsi="宋体" w:cs="宋体"/>
          <w:szCs w:val="21"/>
        </w:rPr>
        <w:t>月</w:t>
      </w:r>
      <w:r>
        <w:rPr>
          <w:rFonts w:hint="eastAsia" w:ascii="宋体" w:hAnsi="宋体" w:cs="宋体"/>
          <w:szCs w:val="21"/>
          <w:lang w:val="en-US" w:eastAsia="zh-CN"/>
        </w:rPr>
        <w:t>17</w:t>
      </w:r>
      <w:r>
        <w:rPr>
          <w:rFonts w:hint="eastAsia" w:ascii="宋体" w:hAnsi="宋体" w:cs="宋体"/>
          <w:szCs w:val="21"/>
        </w:rPr>
        <w:t xml:space="preserve"> 日</w:t>
      </w:r>
    </w:p>
    <w:p>
      <w:pPr>
        <w:rPr>
          <w:rFonts w:ascii="宋体" w:hAnsi="宋体"/>
        </w:rPr>
      </w:pPr>
      <w:r>
        <w:rPr>
          <w:rFonts w:ascii="宋体" w:hAnsi="宋体"/>
          <w:shd w:val="clear" w:color="auto" w:fill="FFFFFF"/>
        </w:rPr>
        <w:br w:type="page"/>
      </w:r>
    </w:p>
    <w:p>
      <w:pPr>
        <w:pStyle w:val="3"/>
        <w:rPr>
          <w:rFonts w:ascii="宋体" w:hAnsi="宋体"/>
        </w:rPr>
      </w:pPr>
      <w:bookmarkStart w:id="29" w:name="_Toc57749776"/>
      <w:r>
        <w:rPr>
          <w:rFonts w:hint="eastAsia" w:ascii="宋体" w:hAnsi="宋体"/>
        </w:rPr>
        <w:t>第二章</w:t>
      </w:r>
      <w:bookmarkEnd w:id="11"/>
      <w:bookmarkEnd w:id="12"/>
      <w:bookmarkEnd w:id="13"/>
      <w:bookmarkEnd w:id="14"/>
      <w:r>
        <w:rPr>
          <w:rFonts w:hint="eastAsia" w:ascii="宋体" w:hAnsi="宋体"/>
          <w:szCs w:val="32"/>
        </w:rPr>
        <w:t>采购需求一览表</w:t>
      </w:r>
      <w:bookmarkEnd w:id="29"/>
    </w:p>
    <w:p>
      <w:pPr>
        <w:spacing w:line="400" w:lineRule="exact"/>
        <w:rPr>
          <w:rFonts w:ascii="宋体" w:hAnsi="宋体"/>
          <w:b w:val="0"/>
          <w:bCs/>
          <w:color w:val="auto"/>
        </w:rPr>
      </w:pPr>
      <w:r>
        <w:rPr>
          <w:rFonts w:hint="eastAsia" w:ascii="宋体" w:hAnsi="宋体"/>
          <w:b w:val="0"/>
          <w:bCs/>
          <w:color w:val="auto"/>
        </w:rPr>
        <w:t>说明：</w:t>
      </w:r>
    </w:p>
    <w:p>
      <w:pPr>
        <w:spacing w:line="360" w:lineRule="exact"/>
        <w:ind w:firstLine="424" w:firstLineChars="202"/>
        <w:jc w:val="left"/>
        <w:rPr>
          <w:rFonts w:ascii="宋体" w:hAnsi="宋体"/>
          <w:b w:val="0"/>
          <w:bCs/>
          <w:color w:val="auto"/>
          <w:szCs w:val="21"/>
        </w:rPr>
      </w:pPr>
      <w:bookmarkStart w:id="30" w:name="_Toc254970631"/>
      <w:bookmarkStart w:id="31" w:name="_Toc254970490"/>
      <w:r>
        <w:rPr>
          <w:rFonts w:hint="eastAsia" w:ascii="宋体" w:hAnsi="宋体"/>
          <w:b w:val="0"/>
          <w:bCs/>
          <w:color w:val="auto"/>
          <w:szCs w:val="21"/>
        </w:rPr>
        <w:t>1、本需求表中功能目标及技术指标不明确或有误的，请以详细正确的技术参数进行响应并承诺。</w:t>
      </w:r>
    </w:p>
    <w:p>
      <w:pPr>
        <w:spacing w:line="360" w:lineRule="exact"/>
        <w:ind w:firstLine="424" w:firstLineChars="202"/>
        <w:jc w:val="left"/>
        <w:rPr>
          <w:rFonts w:ascii="宋体" w:hAnsi="宋体"/>
          <w:b w:val="0"/>
          <w:bCs/>
          <w:color w:val="auto"/>
          <w:szCs w:val="21"/>
        </w:rPr>
      </w:pPr>
      <w:r>
        <w:rPr>
          <w:rFonts w:hint="eastAsia" w:ascii="宋体" w:hAnsi="宋体"/>
          <w:b w:val="0"/>
          <w:bCs/>
          <w:color w:val="auto"/>
          <w:szCs w:val="21"/>
        </w:rPr>
        <w:t>2、招标文件中标注“</w:t>
      </w:r>
      <w:r>
        <w:rPr>
          <w:rFonts w:hint="eastAsia" w:ascii="宋体" w:hAnsi="宋体"/>
          <w:b w:val="0"/>
          <w:bCs/>
          <w:color w:val="auto"/>
        </w:rPr>
        <w:t>★</w:t>
      </w:r>
      <w:r>
        <w:rPr>
          <w:rFonts w:hint="eastAsia" w:ascii="宋体" w:hAnsi="宋体"/>
          <w:b w:val="0"/>
          <w:bCs/>
          <w:color w:val="auto"/>
          <w:szCs w:val="21"/>
        </w:rPr>
        <w:t>”号的条款为实质性响应条款，必须满足或优于，否则投标无效。标注“▲”号的条款为技术要求评分项。</w:t>
      </w:r>
    </w:p>
    <w:p>
      <w:pPr>
        <w:spacing w:line="360" w:lineRule="exact"/>
        <w:ind w:firstLine="424" w:firstLineChars="202"/>
        <w:jc w:val="left"/>
        <w:rPr>
          <w:rFonts w:ascii="宋体" w:hAnsi="宋体"/>
          <w:b w:val="0"/>
          <w:bCs/>
          <w:color w:val="auto"/>
          <w:szCs w:val="21"/>
        </w:rPr>
      </w:pPr>
      <w:r>
        <w:rPr>
          <w:rFonts w:hint="eastAsia" w:ascii="宋体" w:hAnsi="宋体"/>
          <w:b w:val="0"/>
          <w:bCs/>
          <w:color w:val="auto"/>
          <w:szCs w:val="21"/>
        </w:rPr>
        <w:t>3、投标人必须自行为其投标产品侵犯其他投标人或专利人的专利成果承担相应法律责任；同时，具有产品专利的投标人应在其投标文件中提供与其自有产品专利相关的有效证明材料，否则，不能就其产品的专利在本项目投标过程中被侵权问题提出异议。</w:t>
      </w:r>
    </w:p>
    <w:p>
      <w:pPr>
        <w:spacing w:line="360" w:lineRule="exact"/>
        <w:ind w:firstLine="424" w:firstLineChars="202"/>
        <w:jc w:val="left"/>
        <w:rPr>
          <w:rFonts w:ascii="宋体" w:hAnsi="宋体"/>
          <w:b w:val="0"/>
          <w:bCs/>
          <w:color w:val="auto"/>
          <w:szCs w:val="21"/>
        </w:rPr>
      </w:pPr>
      <w:r>
        <w:rPr>
          <w:rFonts w:hint="eastAsia" w:ascii="宋体" w:hAnsi="宋体"/>
          <w:b w:val="0"/>
          <w:bCs/>
          <w:color w:val="auto"/>
          <w:szCs w:val="21"/>
        </w:rPr>
        <w:t>4、招标文件中所要求提供的证明材料，如为英文文本的请同时提供中文译本。</w:t>
      </w:r>
    </w:p>
    <w:p>
      <w:pPr>
        <w:spacing w:line="360" w:lineRule="exact"/>
        <w:ind w:firstLine="424" w:firstLineChars="202"/>
        <w:jc w:val="left"/>
        <w:rPr>
          <w:rFonts w:ascii="宋体" w:hAnsi="宋体"/>
          <w:b w:val="0"/>
          <w:bCs/>
          <w:color w:val="auto"/>
          <w:szCs w:val="21"/>
        </w:rPr>
      </w:pPr>
      <w:r>
        <w:rPr>
          <w:rFonts w:hint="eastAsia" w:ascii="宋体" w:hAnsi="宋体"/>
          <w:b w:val="0"/>
          <w:bCs/>
          <w:color w:val="auto"/>
          <w:szCs w:val="21"/>
        </w:rPr>
        <w:t>5、投标人所投标货物或服务如国家有强制性要求的按国家规定执行，并提供相关证明材料。</w:t>
      </w:r>
      <w:bookmarkEnd w:id="30"/>
      <w:bookmarkEnd w:id="31"/>
    </w:p>
    <w:p>
      <w:pPr>
        <w:pStyle w:val="23"/>
        <w:rPr>
          <w:rFonts w:ascii="宋体" w:hAnsi="宋体"/>
          <w:b w:val="0"/>
          <w:bCs/>
          <w:color w:val="auto"/>
        </w:rPr>
      </w:pPr>
    </w:p>
    <w:tbl>
      <w:tblPr>
        <w:tblStyle w:val="20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9"/>
        <w:gridCol w:w="1139"/>
        <w:gridCol w:w="6237"/>
        <w:gridCol w:w="709"/>
        <w:gridCol w:w="8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699" w:type="dxa"/>
            <w:vAlign w:val="center"/>
          </w:tcPr>
          <w:p>
            <w:pPr>
              <w:jc w:val="center"/>
              <w:rPr>
                <w:rFonts w:ascii="宋体" w:hAnsi="宋体" w:eastAsia="等线"/>
                <w:b w:val="0"/>
                <w:bCs/>
                <w:color w:val="auto"/>
                <w:szCs w:val="21"/>
              </w:rPr>
            </w:pPr>
            <w:r>
              <w:rPr>
                <w:rStyle w:val="202"/>
                <w:rFonts w:ascii="宋体" w:hAnsi="宋体" w:eastAsia="等线"/>
                <w:b w:val="0"/>
                <w:bCs/>
                <w:color w:val="auto"/>
                <w:szCs w:val="21"/>
              </w:rPr>
              <w:t>序号</w:t>
            </w:r>
          </w:p>
        </w:tc>
        <w:tc>
          <w:tcPr>
            <w:tcW w:w="1139" w:type="dxa"/>
            <w:vAlign w:val="center"/>
          </w:tcPr>
          <w:p>
            <w:pPr>
              <w:jc w:val="center"/>
              <w:rPr>
                <w:rFonts w:ascii="宋体" w:hAnsi="宋体" w:eastAsia="等线"/>
                <w:b w:val="0"/>
                <w:bCs/>
                <w:color w:val="auto"/>
                <w:szCs w:val="21"/>
              </w:rPr>
            </w:pPr>
            <w:r>
              <w:rPr>
                <w:rStyle w:val="202"/>
                <w:rFonts w:ascii="宋体" w:hAnsi="宋体" w:eastAsia="等线"/>
                <w:b w:val="0"/>
                <w:bCs/>
                <w:color w:val="auto"/>
                <w:szCs w:val="21"/>
              </w:rPr>
              <w:t>名称</w:t>
            </w:r>
          </w:p>
        </w:tc>
        <w:tc>
          <w:tcPr>
            <w:tcW w:w="6237" w:type="dxa"/>
            <w:vAlign w:val="center"/>
          </w:tcPr>
          <w:p>
            <w:pPr>
              <w:jc w:val="center"/>
              <w:rPr>
                <w:rFonts w:ascii="宋体" w:hAnsi="宋体" w:eastAsia="等线"/>
                <w:b w:val="0"/>
                <w:bCs/>
                <w:color w:val="auto"/>
                <w:szCs w:val="21"/>
              </w:rPr>
            </w:pPr>
            <w:r>
              <w:rPr>
                <w:rStyle w:val="202"/>
                <w:rFonts w:hint="eastAsia" w:ascii="宋体" w:hAnsi="宋体" w:eastAsia="等线"/>
                <w:b w:val="0"/>
                <w:bCs/>
                <w:color w:val="auto"/>
                <w:szCs w:val="21"/>
              </w:rPr>
              <w:t>产品</w:t>
            </w:r>
            <w:r>
              <w:rPr>
                <w:rStyle w:val="202"/>
                <w:rFonts w:ascii="宋体" w:hAnsi="宋体" w:eastAsia="等线"/>
                <w:b w:val="0"/>
                <w:bCs/>
                <w:color w:val="auto"/>
                <w:szCs w:val="21"/>
              </w:rPr>
              <w:t>参数</w:t>
            </w:r>
          </w:p>
        </w:tc>
        <w:tc>
          <w:tcPr>
            <w:tcW w:w="709" w:type="dxa"/>
            <w:vAlign w:val="center"/>
          </w:tcPr>
          <w:p>
            <w:pPr>
              <w:adjustRightInd/>
              <w:spacing w:line="400" w:lineRule="exact"/>
              <w:jc w:val="center"/>
              <w:textAlignment w:val="auto"/>
              <w:rPr>
                <w:rFonts w:ascii="宋体" w:hAnsi="宋体" w:eastAsia="等线"/>
                <w:b w:val="0"/>
                <w:bCs/>
                <w:color w:val="auto"/>
                <w:szCs w:val="21"/>
              </w:rPr>
            </w:pPr>
            <w:r>
              <w:rPr>
                <w:rFonts w:hint="eastAsia" w:ascii="宋体" w:hAnsi="宋体" w:eastAsia="等线"/>
                <w:b w:val="0"/>
                <w:bCs/>
                <w:color w:val="auto"/>
                <w:szCs w:val="21"/>
              </w:rPr>
              <w:t>单位</w:t>
            </w:r>
          </w:p>
        </w:tc>
        <w:tc>
          <w:tcPr>
            <w:tcW w:w="844" w:type="dxa"/>
            <w:vAlign w:val="center"/>
          </w:tcPr>
          <w:p>
            <w:pPr>
              <w:adjustRightInd/>
              <w:spacing w:line="400" w:lineRule="exact"/>
              <w:jc w:val="center"/>
              <w:textAlignment w:val="auto"/>
              <w:rPr>
                <w:rFonts w:ascii="宋体" w:hAnsi="宋体" w:eastAsia="等线"/>
                <w:b w:val="0"/>
                <w:bCs/>
                <w:color w:val="auto"/>
                <w:szCs w:val="21"/>
              </w:rPr>
            </w:pPr>
            <w:r>
              <w:rPr>
                <w:rFonts w:hint="eastAsia" w:ascii="宋体" w:hAnsi="宋体" w:eastAsia="等线"/>
                <w:b w:val="0"/>
                <w:bCs/>
                <w:color w:val="auto"/>
                <w:szCs w:val="21"/>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9" w:type="dxa"/>
            <w:vAlign w:val="center"/>
          </w:tcPr>
          <w:p>
            <w:pPr>
              <w:spacing w:line="240" w:lineRule="auto"/>
              <w:jc w:val="center"/>
              <w:rPr>
                <w:rFonts w:hint="eastAsia" w:ascii="宋体" w:hAnsi="宋体" w:eastAsia="宋体" w:cs="宋体"/>
                <w:b w:val="0"/>
                <w:bCs/>
                <w:color w:val="auto"/>
                <w:sz w:val="21"/>
                <w:szCs w:val="21"/>
              </w:rPr>
            </w:pPr>
            <w:r>
              <w:rPr>
                <w:rStyle w:val="202"/>
                <w:rFonts w:hint="eastAsia" w:ascii="宋体" w:hAnsi="宋体" w:eastAsia="宋体" w:cs="宋体"/>
                <w:b w:val="0"/>
                <w:bCs/>
                <w:color w:val="auto"/>
                <w:sz w:val="21"/>
                <w:szCs w:val="21"/>
              </w:rPr>
              <w:t>1</w:t>
            </w:r>
          </w:p>
        </w:tc>
        <w:tc>
          <w:tcPr>
            <w:tcW w:w="1139" w:type="dxa"/>
            <w:shd w:val="clear" w:color="auto" w:fill="auto"/>
            <w:vAlign w:val="center"/>
          </w:tcPr>
          <w:p>
            <w:pPr>
              <w:spacing w:line="240" w:lineRule="auto"/>
              <w:jc w:val="center"/>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w:t>
            </w:r>
            <w:r>
              <w:rPr>
                <w:rStyle w:val="202"/>
                <w:rFonts w:hint="eastAsia" w:ascii="宋体" w:hAnsi="宋体" w:eastAsia="宋体" w:cs="宋体"/>
                <w:b w:val="0"/>
                <w:bCs/>
                <w:color w:val="auto"/>
                <w:sz w:val="21"/>
                <w:szCs w:val="21"/>
              </w:rPr>
              <w:t>帐篷</w:t>
            </w:r>
          </w:p>
        </w:tc>
        <w:tc>
          <w:tcPr>
            <w:tcW w:w="6237" w:type="dxa"/>
            <w:shd w:val="clear" w:color="auto" w:fill="auto"/>
            <w:vAlign w:val="center"/>
          </w:tcPr>
          <w:p>
            <w:pPr>
              <w:spacing w:line="240" w:lineRule="auto"/>
              <w:jc w:val="left"/>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帐篷式样：</w:t>
            </w:r>
            <w:r>
              <w:rPr>
                <w:rFonts w:hint="eastAsia" w:ascii="宋体" w:hAnsi="宋体" w:eastAsia="宋体" w:cs="宋体"/>
                <w:b w:val="0"/>
                <w:bCs/>
                <w:color w:val="auto"/>
                <w:sz w:val="21"/>
                <w:szCs w:val="21"/>
              </w:rPr>
              <w:br w:type="textWrapping"/>
            </w:r>
            <w:r>
              <w:rPr>
                <w:rFonts w:hint="eastAsia" w:ascii="宋体" w:hAnsi="宋体" w:eastAsia="宋体" w:cs="宋体"/>
                <w:b w:val="0"/>
                <w:bCs/>
                <w:color w:val="auto"/>
                <w:sz w:val="21"/>
                <w:szCs w:val="21"/>
              </w:rPr>
              <w:t>帐篷为长方形双坡面直立墙建筑样式，开门山墙上开三角窗一个，开窗山墙开三角窗一个，方形窗一个，两侧墙各开方形窗户两个。侧墙可以支起成阳篷，整体帐篷通过拉绳拉起，用三角桩加固。篷架为插接式框架结构，柱底四周全部设有落地横杆。能在自重和8级风力荷载作用下安全使用。篷体可根具采购单位要求印“xx应急”字样。</w:t>
            </w:r>
          </w:p>
          <w:p>
            <w:pPr>
              <w:spacing w:line="240" w:lineRule="auto"/>
              <w:jc w:val="left"/>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规格:</w:t>
            </w:r>
            <w:r>
              <w:rPr>
                <w:rFonts w:hint="eastAsia" w:ascii="宋体" w:hAnsi="宋体" w:eastAsia="宋体" w:cs="宋体"/>
                <w:b w:val="0"/>
                <w:bCs/>
                <w:color w:val="auto"/>
                <w:sz w:val="21"/>
                <w:szCs w:val="21"/>
              </w:rPr>
              <w:br w:type="textWrapping"/>
            </w:r>
            <w:r>
              <w:rPr>
                <w:rFonts w:hint="eastAsia" w:ascii="宋体" w:hAnsi="宋体" w:eastAsia="宋体" w:cs="宋体"/>
                <w:b w:val="0"/>
                <w:bCs/>
                <w:color w:val="auto"/>
                <w:sz w:val="21"/>
                <w:szCs w:val="21"/>
              </w:rPr>
              <w:t>帐篷长3.7m、宽3.2m、顶高2.67m、边高1.75m；使用面积12㎡。</w:t>
            </w:r>
          </w:p>
          <w:p>
            <w:pPr>
              <w:spacing w:line="240" w:lineRule="auto"/>
              <w:jc w:val="left"/>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帐篷主要材料：</w:t>
            </w:r>
            <w:r>
              <w:rPr>
                <w:rFonts w:hint="eastAsia" w:ascii="宋体" w:hAnsi="宋体" w:eastAsia="宋体" w:cs="宋体"/>
                <w:b w:val="0"/>
                <w:bCs/>
                <w:color w:val="auto"/>
                <w:sz w:val="21"/>
                <w:szCs w:val="21"/>
              </w:rPr>
              <w:br w:type="textWrapping"/>
            </w:r>
            <w:r>
              <w:rPr>
                <w:rFonts w:hint="eastAsia" w:ascii="宋体" w:hAnsi="宋体" w:eastAsia="宋体" w:cs="宋体"/>
                <w:b w:val="0"/>
                <w:bCs/>
                <w:color w:val="auto"/>
                <w:sz w:val="21"/>
                <w:szCs w:val="21"/>
              </w:rPr>
              <w:t>（1）面料为333dtex×333dtex 天蓝色涤纶涂层布；</w:t>
            </w:r>
            <w:r>
              <w:rPr>
                <w:rFonts w:hint="eastAsia" w:ascii="宋体" w:hAnsi="宋体" w:eastAsia="宋体" w:cs="宋体"/>
                <w:b w:val="0"/>
                <w:bCs/>
                <w:color w:val="auto"/>
                <w:sz w:val="21"/>
                <w:szCs w:val="21"/>
              </w:rPr>
              <w:br w:type="textWrapping"/>
            </w:r>
            <w:r>
              <w:rPr>
                <w:rFonts w:hint="eastAsia" w:ascii="宋体" w:hAnsi="宋体" w:eastAsia="宋体" w:cs="宋体"/>
                <w:b w:val="0"/>
                <w:bCs/>
                <w:color w:val="auto"/>
                <w:sz w:val="21"/>
                <w:szCs w:val="21"/>
              </w:rPr>
              <w:t>（2）通用杆、地杆、立杆采用Φ25mm×1.0mm焊接钢管；</w:t>
            </w:r>
            <w:r>
              <w:rPr>
                <w:rFonts w:hint="eastAsia" w:ascii="宋体" w:hAnsi="宋体" w:eastAsia="宋体" w:cs="宋体"/>
                <w:b w:val="0"/>
                <w:bCs/>
                <w:color w:val="auto"/>
                <w:sz w:val="21"/>
                <w:szCs w:val="21"/>
              </w:rPr>
              <w:br w:type="textWrapping"/>
            </w:r>
            <w:r>
              <w:rPr>
                <w:rFonts w:hint="eastAsia" w:ascii="宋体" w:hAnsi="宋体" w:eastAsia="宋体" w:cs="宋体"/>
                <w:b w:val="0"/>
                <w:bCs/>
                <w:color w:val="auto"/>
                <w:sz w:val="21"/>
                <w:szCs w:val="21"/>
              </w:rPr>
              <w:t>（3）三通、四通等连接管件采用直径为Φ28mm×1.0mm焊接钢管；</w:t>
            </w:r>
          </w:p>
          <w:p>
            <w:pPr>
              <w:spacing w:line="240" w:lineRule="auto"/>
              <w:jc w:val="left"/>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（4）阳篷杆采用直径为Φ19mm×1.0mm焊接钢管；</w:t>
            </w:r>
          </w:p>
          <w:p>
            <w:pPr>
              <w:spacing w:line="240" w:lineRule="auto"/>
              <w:jc w:val="left"/>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4、性能：防雨、防潮、挡风、遮阳。</w:t>
            </w:r>
            <w:r>
              <w:rPr>
                <w:rFonts w:hint="eastAsia" w:ascii="宋体" w:hAnsi="宋体" w:eastAsia="宋体" w:cs="宋体"/>
                <w:b w:val="0"/>
                <w:bCs/>
                <w:color w:val="auto"/>
                <w:sz w:val="21"/>
                <w:szCs w:val="21"/>
              </w:rPr>
              <w:br w:type="textWrapping"/>
            </w:r>
            <w:r>
              <w:rPr>
                <w:rFonts w:hint="eastAsia" w:ascii="宋体" w:hAnsi="宋体" w:eastAsia="宋体" w:cs="宋体"/>
                <w:b w:val="0"/>
                <w:bCs/>
                <w:color w:val="auto"/>
                <w:sz w:val="21"/>
                <w:szCs w:val="21"/>
              </w:rPr>
              <w:t>5、包装：篷体、配件内包装用同样的篷布料缝制包装袋，把篷体、配件装在一起，并在篷体包装内放检验单、产品包装单和帐篷使用说明书；篷杆单独包装。</w:t>
            </w:r>
          </w:p>
          <w:p>
            <w:pPr>
              <w:spacing w:line="240" w:lineRule="auto"/>
              <w:jc w:val="left"/>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6、执行产品标准： 2010年民政部行业标准《救灾帐篷 第2部分12㎡单帐篷ＭＺ／011.2-2010》。</w:t>
            </w:r>
          </w:p>
          <w:p>
            <w:pPr>
              <w:spacing w:line="240" w:lineRule="auto"/>
              <w:jc w:val="left"/>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技术参数：</w:t>
            </w:r>
          </w:p>
          <w:p>
            <w:pPr>
              <w:spacing w:line="240" w:lineRule="auto"/>
              <w:jc w:val="left"/>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★成份：基布：聚酯纤维100%，涂层：聚氯乙烯（PVC）</w:t>
            </w:r>
          </w:p>
          <w:p>
            <w:pPr>
              <w:spacing w:line="240" w:lineRule="auto"/>
              <w:jc w:val="left"/>
              <w:rPr>
                <w:rFonts w:hint="eastAsia" w:ascii="宋体" w:hAnsi="宋体" w:eastAsia="宋体" w:cs="宋体"/>
                <w:b w:val="0"/>
                <w:bCs/>
                <w:color w:val="auto"/>
                <w:sz w:val="21"/>
                <w:szCs w:val="21"/>
                <w:lang w:eastAsia="zh-CN"/>
              </w:rPr>
            </w:pPr>
            <w:r>
              <w:rPr>
                <w:rFonts w:hint="eastAsia" w:ascii="宋体" w:hAnsi="宋体" w:eastAsia="宋体" w:cs="宋体"/>
                <w:b w:val="0"/>
                <w:bCs/>
                <w:color w:val="auto"/>
                <w:sz w:val="21"/>
                <w:szCs w:val="21"/>
              </w:rPr>
              <w:t>★单位面积质量：≥345g/</w:t>
            </w:r>
            <w:r>
              <w:rPr>
                <w:rFonts w:hint="eastAsia" w:ascii="宋体" w:hAnsi="宋体" w:cs="宋体"/>
                <w:b w:val="0"/>
                <w:bCs/>
                <w:color w:val="auto"/>
                <w:sz w:val="21"/>
                <w:szCs w:val="21"/>
                <w:lang w:eastAsia="zh-CN"/>
              </w:rPr>
              <w:t>㎡</w:t>
            </w:r>
          </w:p>
          <w:p>
            <w:pPr>
              <w:spacing w:line="240" w:lineRule="auto"/>
              <w:jc w:val="left"/>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★断裂强力：经向≥1400N，纬向：≥1100N</w:t>
            </w:r>
          </w:p>
          <w:p>
            <w:pPr>
              <w:spacing w:line="240" w:lineRule="auto"/>
              <w:jc w:val="left"/>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★撕破强力：经向≥70N，纬向：≥55N</w:t>
            </w:r>
          </w:p>
          <w:p>
            <w:pPr>
              <w:spacing w:line="240" w:lineRule="auto"/>
              <w:jc w:val="left"/>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★抗粘连性：无粘连</w:t>
            </w:r>
          </w:p>
          <w:p>
            <w:pPr>
              <w:spacing w:line="240" w:lineRule="auto"/>
              <w:jc w:val="left"/>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★耐静水压：50kPa保持5min通过。</w:t>
            </w:r>
          </w:p>
          <w:p>
            <w:pPr>
              <w:spacing w:line="240" w:lineRule="auto"/>
              <w:jc w:val="left"/>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★阻燃性能：损毁长度：≤150mm</w:t>
            </w:r>
          </w:p>
          <w:p>
            <w:pPr>
              <w:spacing w:line="240" w:lineRule="auto"/>
              <w:jc w:val="left"/>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★续燃时间：≤10S</w:t>
            </w:r>
          </w:p>
          <w:p>
            <w:pPr>
              <w:spacing w:line="240" w:lineRule="auto"/>
              <w:jc w:val="left"/>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★阴燃时间：0.0S</w:t>
            </w:r>
          </w:p>
          <w:p>
            <w:pPr>
              <w:spacing w:line="240" w:lineRule="auto"/>
              <w:jc w:val="left"/>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★燃烧特征：炭化</w:t>
            </w:r>
          </w:p>
          <w:p>
            <w:pPr>
              <w:spacing w:line="240" w:lineRule="auto"/>
              <w:jc w:val="left"/>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★熔融、滴落物：无</w:t>
            </w:r>
          </w:p>
          <w:p>
            <w:pPr>
              <w:spacing w:line="240" w:lineRule="auto"/>
              <w:jc w:val="left"/>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★防水性能：30min不渗漏</w:t>
            </w:r>
          </w:p>
          <w:p>
            <w:pPr>
              <w:pStyle w:val="2"/>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lang w:eastAsia="zh-CN" w:bidi="zh-CN"/>
              </w:rPr>
              <w:t>带“</w:t>
            </w:r>
            <w:r>
              <w:rPr>
                <w:rFonts w:hint="eastAsia" w:ascii="宋体" w:hAnsi="宋体" w:eastAsia="宋体" w:cs="宋体"/>
                <w:b w:val="0"/>
                <w:bCs/>
                <w:color w:val="auto"/>
                <w:sz w:val="21"/>
                <w:szCs w:val="21"/>
              </w:rPr>
              <w:t>★</w:t>
            </w:r>
            <w:r>
              <w:rPr>
                <w:rFonts w:hint="eastAsia" w:ascii="宋体" w:hAnsi="宋体" w:eastAsia="宋体" w:cs="宋体"/>
                <w:b w:val="0"/>
                <w:bCs/>
                <w:color w:val="auto"/>
                <w:sz w:val="21"/>
                <w:szCs w:val="21"/>
                <w:lang w:eastAsia="zh-CN" w:bidi="zh-CN"/>
              </w:rPr>
              <w:t>”需</w:t>
            </w:r>
            <w:r>
              <w:rPr>
                <w:rFonts w:hint="eastAsia" w:ascii="宋体" w:hAnsi="宋体" w:eastAsia="宋体" w:cs="宋体"/>
                <w:b w:val="0"/>
                <w:bCs/>
                <w:color w:val="auto"/>
                <w:sz w:val="21"/>
                <w:szCs w:val="21"/>
                <w:lang w:bidi="zh-CN"/>
              </w:rPr>
              <w:t>提供具有检测资质的第三方的质检报告</w:t>
            </w:r>
          </w:p>
        </w:tc>
        <w:tc>
          <w:tcPr>
            <w:tcW w:w="709" w:type="dxa"/>
            <w:shd w:val="clear" w:color="auto" w:fill="auto"/>
            <w:vAlign w:val="center"/>
          </w:tcPr>
          <w:p>
            <w:pPr>
              <w:widowControl/>
              <w:jc w:val="center"/>
              <w:textAlignment w:val="center"/>
              <w:rPr>
                <w:rFonts w:hint="eastAsia" w:ascii="宋体" w:hAnsi="宋体" w:eastAsia="宋体" w:cs="宋体"/>
                <w:b w:val="0"/>
                <w:bCs/>
                <w:color w:val="auto"/>
                <w:sz w:val="21"/>
                <w:szCs w:val="21"/>
              </w:rPr>
            </w:pPr>
            <w:r>
              <w:rPr>
                <w:rFonts w:hint="eastAsia" w:ascii="宋体" w:hAnsi="宋体" w:eastAsia="宋体" w:cs="宋体"/>
                <w:b w:val="0"/>
                <w:bCs/>
                <w:color w:val="auto"/>
                <w:kern w:val="0"/>
                <w:sz w:val="21"/>
                <w:szCs w:val="21"/>
                <w:lang w:bidi="ar"/>
              </w:rPr>
              <w:t>顶</w:t>
            </w:r>
          </w:p>
        </w:tc>
        <w:tc>
          <w:tcPr>
            <w:tcW w:w="844" w:type="dxa"/>
            <w:shd w:val="clear" w:color="auto" w:fill="auto"/>
            <w:vAlign w:val="center"/>
          </w:tcPr>
          <w:p>
            <w:pPr>
              <w:widowControl/>
              <w:jc w:val="center"/>
              <w:textAlignment w:val="center"/>
              <w:rPr>
                <w:rFonts w:hint="eastAsia" w:ascii="宋体" w:hAnsi="宋体" w:eastAsia="宋体" w:cs="宋体"/>
                <w:b w:val="0"/>
                <w:bCs/>
                <w:color w:val="auto"/>
                <w:sz w:val="21"/>
                <w:szCs w:val="21"/>
              </w:rPr>
            </w:pPr>
            <w:r>
              <w:rPr>
                <w:rFonts w:hint="eastAsia" w:ascii="宋体" w:hAnsi="宋体" w:eastAsia="宋体" w:cs="宋体"/>
                <w:b w:val="0"/>
                <w:bCs/>
                <w:color w:val="auto"/>
                <w:kern w:val="0"/>
                <w:sz w:val="21"/>
                <w:szCs w:val="21"/>
                <w:lang w:bidi="ar"/>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9" w:type="dxa"/>
            <w:vAlign w:val="center"/>
          </w:tcPr>
          <w:p>
            <w:pPr>
              <w:spacing w:line="240" w:lineRule="auto"/>
              <w:jc w:val="center"/>
              <w:rPr>
                <w:rFonts w:hint="eastAsia" w:ascii="宋体" w:hAnsi="宋体" w:eastAsia="宋体" w:cs="宋体"/>
                <w:b w:val="0"/>
                <w:bCs/>
                <w:color w:val="auto"/>
                <w:sz w:val="21"/>
                <w:szCs w:val="21"/>
              </w:rPr>
            </w:pPr>
            <w:r>
              <w:rPr>
                <w:rStyle w:val="202"/>
                <w:rFonts w:hint="eastAsia" w:ascii="宋体" w:hAnsi="宋体" w:eastAsia="宋体" w:cs="宋体"/>
                <w:b w:val="0"/>
                <w:bCs/>
                <w:color w:val="auto"/>
                <w:sz w:val="21"/>
                <w:szCs w:val="21"/>
              </w:rPr>
              <w:t>2</w:t>
            </w:r>
          </w:p>
        </w:tc>
        <w:tc>
          <w:tcPr>
            <w:tcW w:w="1139" w:type="dxa"/>
            <w:shd w:val="clear" w:color="auto" w:fill="auto"/>
            <w:vAlign w:val="center"/>
          </w:tcPr>
          <w:p>
            <w:pPr>
              <w:spacing w:line="240" w:lineRule="auto"/>
              <w:jc w:val="center"/>
              <w:rPr>
                <w:rFonts w:hint="eastAsia" w:ascii="宋体" w:hAnsi="宋体" w:eastAsia="宋体" w:cs="宋体"/>
                <w:b w:val="0"/>
                <w:bCs/>
                <w:color w:val="auto"/>
                <w:sz w:val="21"/>
                <w:szCs w:val="21"/>
              </w:rPr>
            </w:pPr>
            <w:r>
              <w:rPr>
                <w:rStyle w:val="202"/>
                <w:rFonts w:hint="eastAsia" w:ascii="宋体" w:hAnsi="宋体" w:eastAsia="宋体" w:cs="宋体"/>
                <w:b w:val="0"/>
                <w:bCs/>
                <w:color w:val="auto"/>
                <w:sz w:val="21"/>
                <w:szCs w:val="21"/>
              </w:rPr>
              <w:t>折叠床</w:t>
            </w:r>
          </w:p>
        </w:tc>
        <w:tc>
          <w:tcPr>
            <w:tcW w:w="6237" w:type="dxa"/>
            <w:shd w:val="clear" w:color="auto" w:fill="auto"/>
            <w:vAlign w:val="center"/>
          </w:tcPr>
          <w:p>
            <w:pPr>
              <w:spacing w:line="240" w:lineRule="auto"/>
              <w:jc w:val="left"/>
              <w:rPr>
                <w:rStyle w:val="202"/>
                <w:rFonts w:hint="eastAsia" w:ascii="宋体" w:hAnsi="宋体" w:eastAsia="宋体" w:cs="宋体"/>
                <w:b w:val="0"/>
                <w:bCs/>
                <w:color w:val="auto"/>
                <w:sz w:val="21"/>
                <w:szCs w:val="21"/>
              </w:rPr>
            </w:pPr>
            <w:r>
              <w:rPr>
                <w:rStyle w:val="202"/>
                <w:rFonts w:hint="eastAsia" w:ascii="宋体" w:hAnsi="宋体" w:eastAsia="宋体" w:cs="宋体"/>
                <w:b w:val="0"/>
                <w:bCs/>
                <w:color w:val="auto"/>
                <w:sz w:val="21"/>
                <w:szCs w:val="21"/>
              </w:rPr>
              <w:t>救灾专用折叠床为钢管床架折叠式。折叠床由床面和床架两部分组成，床头附带一个可搭扣的枕头，床面的上半部位加垫塑料板一块，塑料板在使用时向床尾方向推，折叠时向床头方向推。床背面配置可调节束紧带两条.</w:t>
            </w:r>
          </w:p>
          <w:p>
            <w:pPr>
              <w:spacing w:line="240" w:lineRule="auto"/>
              <w:jc w:val="left"/>
              <w:rPr>
                <w:rStyle w:val="202"/>
                <w:rFonts w:hint="eastAsia" w:ascii="宋体" w:hAnsi="宋体" w:eastAsia="宋体" w:cs="宋体"/>
                <w:b w:val="0"/>
                <w:bCs/>
                <w:color w:val="auto"/>
                <w:sz w:val="21"/>
                <w:szCs w:val="21"/>
              </w:rPr>
            </w:pPr>
            <w:r>
              <w:rPr>
                <w:rStyle w:val="202"/>
                <w:rFonts w:hint="eastAsia" w:ascii="宋体" w:hAnsi="宋体" w:eastAsia="宋体" w:cs="宋体"/>
                <w:b w:val="0"/>
                <w:bCs/>
                <w:color w:val="auto"/>
                <w:sz w:val="21"/>
                <w:szCs w:val="21"/>
              </w:rPr>
              <w:t>规格：1800*700*350mm</w:t>
            </w:r>
          </w:p>
          <w:p>
            <w:pPr>
              <w:spacing w:line="240" w:lineRule="auto"/>
              <w:jc w:val="left"/>
              <w:rPr>
                <w:rStyle w:val="202"/>
                <w:rFonts w:hint="eastAsia" w:ascii="宋体" w:hAnsi="宋体" w:eastAsia="宋体" w:cs="宋体"/>
                <w:b w:val="0"/>
                <w:bCs/>
                <w:color w:val="auto"/>
                <w:sz w:val="21"/>
                <w:szCs w:val="21"/>
              </w:rPr>
            </w:pPr>
            <w:r>
              <w:rPr>
                <w:rStyle w:val="202"/>
                <w:rFonts w:hint="eastAsia" w:ascii="宋体" w:hAnsi="宋体" w:eastAsia="宋体" w:cs="宋体"/>
                <w:b w:val="0"/>
                <w:bCs/>
                <w:color w:val="auto"/>
                <w:sz w:val="21"/>
                <w:szCs w:val="21"/>
              </w:rPr>
              <w:t>折叠床主要材料：</w:t>
            </w:r>
            <w:r>
              <w:rPr>
                <w:rStyle w:val="202"/>
                <w:rFonts w:hint="eastAsia" w:ascii="宋体" w:hAnsi="宋体" w:eastAsia="宋体" w:cs="宋体"/>
                <w:b w:val="0"/>
                <w:bCs/>
                <w:color w:val="auto"/>
                <w:sz w:val="21"/>
                <w:szCs w:val="21"/>
              </w:rPr>
              <w:br w:type="textWrapping" w:clear="all"/>
            </w:r>
            <w:r>
              <w:rPr>
                <w:rStyle w:val="202"/>
                <w:rFonts w:hint="eastAsia" w:ascii="宋体" w:hAnsi="宋体" w:eastAsia="宋体" w:cs="宋体"/>
                <w:b w:val="0"/>
                <w:bCs/>
                <w:color w:val="auto"/>
                <w:sz w:val="21"/>
                <w:szCs w:val="21"/>
              </w:rPr>
              <w:t>（1）面料为666dtex×666dtex 天蓝色牛津布;</w:t>
            </w:r>
          </w:p>
          <w:p>
            <w:pPr>
              <w:numPr>
                <w:ilvl w:val="0"/>
                <w:numId w:val="11"/>
              </w:numPr>
              <w:spacing w:line="240" w:lineRule="auto"/>
              <w:jc w:val="left"/>
              <w:rPr>
                <w:rStyle w:val="202"/>
                <w:rFonts w:hint="eastAsia" w:ascii="宋体" w:hAnsi="宋体" w:eastAsia="宋体" w:cs="宋体"/>
                <w:b w:val="0"/>
                <w:bCs/>
                <w:color w:val="auto"/>
                <w:sz w:val="21"/>
                <w:szCs w:val="21"/>
              </w:rPr>
            </w:pPr>
            <w:r>
              <w:rPr>
                <w:rStyle w:val="202"/>
                <w:rFonts w:hint="eastAsia" w:ascii="宋体" w:hAnsi="宋体" w:eastAsia="宋体" w:cs="宋体"/>
                <w:b w:val="0"/>
                <w:bCs/>
                <w:color w:val="auto"/>
                <w:sz w:val="21"/>
                <w:szCs w:val="21"/>
              </w:rPr>
              <w:t>杆件为Φ25mm×1.1mm焊接钢管</w:t>
            </w:r>
          </w:p>
          <w:p>
            <w:pPr>
              <w:spacing w:line="240" w:lineRule="auto"/>
              <w:jc w:val="left"/>
              <w:rPr>
                <w:rStyle w:val="202"/>
                <w:rFonts w:hint="eastAsia" w:ascii="宋体" w:hAnsi="宋体" w:eastAsia="宋体" w:cs="宋体"/>
                <w:b w:val="0"/>
                <w:bCs/>
                <w:color w:val="auto"/>
                <w:sz w:val="21"/>
                <w:szCs w:val="21"/>
              </w:rPr>
            </w:pPr>
            <w:r>
              <w:rPr>
                <w:rStyle w:val="202"/>
                <w:rFonts w:hint="eastAsia" w:ascii="宋体" w:hAnsi="宋体" w:eastAsia="宋体" w:cs="宋体"/>
                <w:b w:val="0"/>
                <w:bCs/>
                <w:color w:val="auto"/>
                <w:sz w:val="21"/>
                <w:szCs w:val="21"/>
              </w:rPr>
              <w:t>外观质量</w:t>
            </w:r>
          </w:p>
          <w:p>
            <w:pPr>
              <w:spacing w:line="240" w:lineRule="auto"/>
              <w:jc w:val="left"/>
              <w:rPr>
                <w:rStyle w:val="202"/>
                <w:rFonts w:hint="eastAsia" w:ascii="宋体" w:hAnsi="宋体" w:eastAsia="宋体" w:cs="宋体"/>
                <w:b w:val="0"/>
                <w:bCs/>
                <w:color w:val="auto"/>
                <w:sz w:val="21"/>
                <w:szCs w:val="21"/>
              </w:rPr>
            </w:pPr>
            <w:r>
              <w:rPr>
                <w:rStyle w:val="202"/>
                <w:rFonts w:hint="eastAsia" w:ascii="宋体" w:hAnsi="宋体" w:eastAsia="宋体" w:cs="宋体"/>
                <w:b w:val="0"/>
                <w:bCs/>
                <w:color w:val="auto"/>
                <w:sz w:val="21"/>
                <w:szCs w:val="21"/>
              </w:rPr>
              <w:t>（1）成品结构应符合主管部门审查批准的标样；</w:t>
            </w:r>
          </w:p>
          <w:p>
            <w:pPr>
              <w:spacing w:line="240" w:lineRule="auto"/>
              <w:jc w:val="left"/>
              <w:rPr>
                <w:rStyle w:val="202"/>
                <w:rFonts w:hint="eastAsia" w:ascii="宋体" w:hAnsi="宋体" w:eastAsia="宋体" w:cs="宋体"/>
                <w:b w:val="0"/>
                <w:bCs/>
                <w:color w:val="auto"/>
                <w:sz w:val="21"/>
                <w:szCs w:val="21"/>
              </w:rPr>
            </w:pPr>
            <w:r>
              <w:rPr>
                <w:rStyle w:val="202"/>
                <w:rFonts w:hint="eastAsia" w:ascii="宋体" w:hAnsi="宋体" w:eastAsia="宋体" w:cs="宋体"/>
                <w:b w:val="0"/>
                <w:bCs/>
                <w:color w:val="auto"/>
                <w:sz w:val="21"/>
                <w:szCs w:val="21"/>
              </w:rPr>
              <w:t>（2）外观应规整、平展、整洁；</w:t>
            </w:r>
          </w:p>
          <w:p>
            <w:pPr>
              <w:spacing w:line="240" w:lineRule="auto"/>
              <w:jc w:val="left"/>
              <w:rPr>
                <w:rStyle w:val="202"/>
                <w:rFonts w:hint="eastAsia" w:ascii="宋体" w:hAnsi="宋体" w:eastAsia="宋体" w:cs="宋体"/>
                <w:b w:val="0"/>
                <w:bCs/>
                <w:color w:val="auto"/>
                <w:sz w:val="21"/>
                <w:szCs w:val="21"/>
              </w:rPr>
            </w:pPr>
            <w:r>
              <w:rPr>
                <w:rStyle w:val="202"/>
                <w:rFonts w:hint="eastAsia" w:ascii="宋体" w:hAnsi="宋体" w:eastAsia="宋体" w:cs="宋体"/>
                <w:b w:val="0"/>
                <w:bCs/>
                <w:color w:val="auto"/>
                <w:sz w:val="21"/>
                <w:szCs w:val="21"/>
              </w:rPr>
              <w:t>（3）主体材料色相及织物组织应符合主管部门审查批准的标样，颜色为天蓝（潘通色卡19-4049） 成品表面色差按 GB/T250－2008 检验时不得低于4级。各种线带与主体材料的色差不得低于3 级；</w:t>
            </w:r>
          </w:p>
          <w:p>
            <w:pPr>
              <w:spacing w:line="240" w:lineRule="auto"/>
              <w:jc w:val="left"/>
              <w:rPr>
                <w:rStyle w:val="202"/>
                <w:rFonts w:hint="eastAsia" w:ascii="宋体" w:hAnsi="宋体" w:eastAsia="宋体" w:cs="宋体"/>
                <w:b w:val="0"/>
                <w:bCs/>
                <w:color w:val="auto"/>
                <w:sz w:val="21"/>
                <w:szCs w:val="21"/>
              </w:rPr>
            </w:pPr>
            <w:r>
              <w:rPr>
                <w:rStyle w:val="202"/>
                <w:rFonts w:hint="eastAsia" w:ascii="宋体" w:hAnsi="宋体" w:eastAsia="宋体" w:cs="宋体"/>
                <w:b w:val="0"/>
                <w:bCs/>
                <w:color w:val="auto"/>
                <w:sz w:val="21"/>
                <w:szCs w:val="21"/>
              </w:rPr>
              <w:t>（4）白色印字应端正,清晰,色度饱满,牢固,不得露底色。</w:t>
            </w:r>
          </w:p>
          <w:p>
            <w:pPr>
              <w:spacing w:line="240" w:lineRule="auto"/>
              <w:jc w:val="left"/>
              <w:rPr>
                <w:rStyle w:val="202"/>
                <w:rFonts w:hint="eastAsia" w:ascii="宋体" w:hAnsi="宋体" w:eastAsia="宋体" w:cs="宋体"/>
                <w:b w:val="0"/>
                <w:bCs/>
                <w:color w:val="auto"/>
                <w:sz w:val="21"/>
                <w:szCs w:val="21"/>
              </w:rPr>
            </w:pPr>
            <w:r>
              <w:rPr>
                <w:rStyle w:val="202"/>
                <w:rFonts w:hint="eastAsia" w:ascii="宋体" w:hAnsi="宋体" w:eastAsia="宋体" w:cs="宋体"/>
                <w:b w:val="0"/>
                <w:bCs/>
                <w:color w:val="auto"/>
                <w:sz w:val="21"/>
                <w:szCs w:val="21"/>
              </w:rPr>
              <w:t>1.4 缝制要求</w:t>
            </w:r>
          </w:p>
          <w:p>
            <w:pPr>
              <w:spacing w:line="240" w:lineRule="auto"/>
              <w:jc w:val="left"/>
              <w:rPr>
                <w:rStyle w:val="202"/>
                <w:rFonts w:hint="eastAsia" w:ascii="宋体" w:hAnsi="宋体" w:eastAsia="宋体" w:cs="宋体"/>
                <w:b w:val="0"/>
                <w:bCs/>
                <w:color w:val="auto"/>
                <w:sz w:val="21"/>
                <w:szCs w:val="21"/>
              </w:rPr>
            </w:pPr>
            <w:r>
              <w:rPr>
                <w:rStyle w:val="202"/>
                <w:rFonts w:hint="eastAsia" w:ascii="宋体" w:hAnsi="宋体" w:eastAsia="宋体" w:cs="宋体"/>
                <w:b w:val="0"/>
                <w:bCs/>
                <w:color w:val="auto"/>
                <w:sz w:val="21"/>
                <w:szCs w:val="21"/>
              </w:rPr>
              <w:t>（1）在床头背面缝制一个能装入一块长度为840mm，宽度为500mm，厚度为4mm 的塑料板的贴袋，并在开口部位上部缝制一个袋盖，通过搭扣带扣合。枕头高60mm，与缝制在床头背面上部居中部位的锦丝搭扣带扣合；</w:t>
            </w:r>
          </w:p>
          <w:p>
            <w:pPr>
              <w:spacing w:line="240" w:lineRule="auto"/>
              <w:jc w:val="left"/>
              <w:rPr>
                <w:rStyle w:val="202"/>
                <w:rFonts w:hint="eastAsia" w:ascii="宋体" w:hAnsi="宋体" w:eastAsia="宋体" w:cs="宋体"/>
                <w:b w:val="0"/>
                <w:bCs/>
                <w:color w:val="auto"/>
                <w:sz w:val="21"/>
                <w:szCs w:val="21"/>
              </w:rPr>
            </w:pPr>
            <w:r>
              <w:rPr>
                <w:rStyle w:val="202"/>
                <w:rFonts w:hint="eastAsia" w:ascii="宋体" w:hAnsi="宋体" w:eastAsia="宋体" w:cs="宋体"/>
                <w:b w:val="0"/>
                <w:bCs/>
                <w:color w:val="auto"/>
                <w:sz w:val="21"/>
                <w:szCs w:val="21"/>
              </w:rPr>
              <w:t>（2）在床面背部缝制两条采用插扣连接、三道梁调节的束紧带，束紧带净长1700mm。带子宽度为50mm，插扣穿带孔内径大于 50mm；</w:t>
            </w:r>
          </w:p>
          <w:p>
            <w:pPr>
              <w:spacing w:line="240" w:lineRule="auto"/>
              <w:jc w:val="left"/>
              <w:rPr>
                <w:rStyle w:val="202"/>
                <w:rFonts w:hint="eastAsia" w:ascii="宋体" w:hAnsi="宋体" w:eastAsia="宋体" w:cs="宋体"/>
                <w:b w:val="0"/>
                <w:bCs/>
                <w:color w:val="auto"/>
                <w:sz w:val="21"/>
                <w:szCs w:val="21"/>
              </w:rPr>
            </w:pPr>
            <w:r>
              <w:rPr>
                <w:rStyle w:val="202"/>
                <w:rFonts w:hint="eastAsia" w:ascii="宋体" w:hAnsi="宋体" w:eastAsia="宋体" w:cs="宋体"/>
                <w:b w:val="0"/>
                <w:bCs/>
                <w:color w:val="auto"/>
                <w:sz w:val="21"/>
                <w:szCs w:val="21"/>
              </w:rPr>
              <w:t>（3）缝纫线路须规整、线迹直顺针码均匀、缝制牢固，缝头宽窄一致，不得有开线、断线、跳线、死折、残留针眼、出套、毛漏及掉道等缺陷；</w:t>
            </w:r>
          </w:p>
          <w:p>
            <w:pPr>
              <w:spacing w:line="240" w:lineRule="auto"/>
              <w:jc w:val="left"/>
              <w:rPr>
                <w:rStyle w:val="202"/>
                <w:rFonts w:hint="eastAsia" w:ascii="宋体" w:hAnsi="宋体" w:eastAsia="宋体" w:cs="宋体"/>
                <w:b w:val="0"/>
                <w:bCs/>
                <w:color w:val="auto"/>
                <w:sz w:val="21"/>
                <w:szCs w:val="21"/>
              </w:rPr>
            </w:pPr>
            <w:r>
              <w:rPr>
                <w:rStyle w:val="202"/>
                <w:rFonts w:hint="eastAsia" w:ascii="宋体" w:hAnsi="宋体" w:eastAsia="宋体" w:cs="宋体"/>
                <w:b w:val="0"/>
                <w:bCs/>
                <w:color w:val="auto"/>
                <w:sz w:val="21"/>
                <w:szCs w:val="21"/>
              </w:rPr>
              <w:t>（4） 起止针须回针3道～5 道，长度为10mm～15mm，断线接头处须重缝 20mm～30mm；</w:t>
            </w:r>
          </w:p>
          <w:p>
            <w:pPr>
              <w:spacing w:line="240" w:lineRule="auto"/>
              <w:jc w:val="left"/>
              <w:rPr>
                <w:rStyle w:val="202"/>
                <w:rFonts w:hint="eastAsia" w:ascii="宋体" w:hAnsi="宋体" w:eastAsia="宋体" w:cs="宋体"/>
                <w:b w:val="0"/>
                <w:bCs/>
                <w:color w:val="auto"/>
                <w:sz w:val="21"/>
                <w:szCs w:val="21"/>
              </w:rPr>
            </w:pPr>
            <w:r>
              <w:rPr>
                <w:rStyle w:val="202"/>
                <w:rFonts w:hint="eastAsia" w:ascii="宋体" w:hAnsi="宋体" w:eastAsia="宋体" w:cs="宋体"/>
                <w:b w:val="0"/>
                <w:bCs/>
                <w:color w:val="auto"/>
                <w:sz w:val="21"/>
                <w:szCs w:val="21"/>
              </w:rPr>
              <w:t>（5） 针码密度，7针/30mm～10针/30mm ，上下线松紧应一致；</w:t>
            </w:r>
          </w:p>
          <w:p>
            <w:pPr>
              <w:spacing w:line="240" w:lineRule="auto"/>
              <w:jc w:val="left"/>
              <w:rPr>
                <w:rStyle w:val="202"/>
                <w:rFonts w:hint="eastAsia" w:ascii="宋体" w:hAnsi="宋体" w:eastAsia="宋体" w:cs="宋体"/>
                <w:b w:val="0"/>
                <w:bCs/>
                <w:color w:val="auto"/>
                <w:sz w:val="21"/>
                <w:szCs w:val="21"/>
              </w:rPr>
            </w:pPr>
            <w:r>
              <w:rPr>
                <w:rStyle w:val="202"/>
                <w:rFonts w:hint="eastAsia" w:ascii="宋体" w:hAnsi="宋体" w:eastAsia="宋体" w:cs="宋体"/>
                <w:b w:val="0"/>
                <w:bCs/>
                <w:color w:val="auto"/>
                <w:sz w:val="21"/>
                <w:szCs w:val="21"/>
              </w:rPr>
              <w:t>（6） 明线距边宽1mm～2mm，缝后应平展；</w:t>
            </w:r>
          </w:p>
          <w:p>
            <w:pPr>
              <w:spacing w:line="240" w:lineRule="auto"/>
              <w:jc w:val="left"/>
              <w:rPr>
                <w:rStyle w:val="202"/>
                <w:rFonts w:hint="eastAsia" w:ascii="宋体" w:hAnsi="宋体" w:eastAsia="宋体" w:cs="宋体"/>
                <w:b w:val="0"/>
                <w:bCs/>
                <w:color w:val="auto"/>
                <w:sz w:val="21"/>
                <w:szCs w:val="21"/>
              </w:rPr>
            </w:pPr>
            <w:r>
              <w:rPr>
                <w:rStyle w:val="202"/>
                <w:rFonts w:hint="eastAsia" w:ascii="宋体" w:hAnsi="宋体" w:eastAsia="宋体" w:cs="宋体"/>
                <w:b w:val="0"/>
                <w:bCs/>
                <w:color w:val="auto"/>
                <w:sz w:val="21"/>
                <w:szCs w:val="21"/>
              </w:rPr>
              <w:t>（7） 滚条包边应包紧扎实；</w:t>
            </w:r>
          </w:p>
          <w:p>
            <w:pPr>
              <w:spacing w:line="240" w:lineRule="auto"/>
              <w:jc w:val="left"/>
              <w:rPr>
                <w:rStyle w:val="202"/>
                <w:rFonts w:hint="eastAsia" w:ascii="宋体" w:hAnsi="宋体" w:eastAsia="宋体" w:cs="宋体"/>
                <w:b w:val="0"/>
                <w:bCs/>
                <w:color w:val="auto"/>
                <w:sz w:val="21"/>
                <w:szCs w:val="21"/>
              </w:rPr>
            </w:pPr>
            <w:r>
              <w:rPr>
                <w:rStyle w:val="202"/>
                <w:rFonts w:hint="eastAsia" w:ascii="宋体" w:hAnsi="宋体" w:eastAsia="宋体" w:cs="宋体"/>
                <w:b w:val="0"/>
                <w:bCs/>
                <w:color w:val="auto"/>
                <w:sz w:val="21"/>
                <w:szCs w:val="21"/>
              </w:rPr>
              <w:t>（8） 各线带缝制部位应加垫布。</w:t>
            </w:r>
          </w:p>
          <w:p>
            <w:pPr>
              <w:spacing w:line="240" w:lineRule="auto"/>
              <w:jc w:val="left"/>
              <w:rPr>
                <w:rStyle w:val="202"/>
                <w:rFonts w:hint="eastAsia" w:ascii="宋体" w:hAnsi="宋体" w:eastAsia="宋体" w:cs="宋体"/>
                <w:b w:val="0"/>
                <w:bCs/>
                <w:color w:val="auto"/>
                <w:sz w:val="21"/>
                <w:szCs w:val="21"/>
              </w:rPr>
            </w:pPr>
            <w:r>
              <w:rPr>
                <w:rStyle w:val="202"/>
                <w:rFonts w:hint="eastAsia" w:ascii="宋体" w:hAnsi="宋体" w:eastAsia="宋体" w:cs="宋体"/>
                <w:b w:val="0"/>
                <w:bCs/>
                <w:color w:val="auto"/>
                <w:sz w:val="21"/>
                <w:szCs w:val="21"/>
              </w:rPr>
              <w:t>床架要求</w:t>
            </w:r>
          </w:p>
          <w:p>
            <w:pPr>
              <w:spacing w:line="240" w:lineRule="auto"/>
              <w:jc w:val="left"/>
              <w:rPr>
                <w:rStyle w:val="202"/>
                <w:rFonts w:hint="eastAsia" w:ascii="宋体" w:hAnsi="宋体" w:eastAsia="宋体" w:cs="宋体"/>
                <w:b w:val="0"/>
                <w:bCs/>
                <w:color w:val="auto"/>
                <w:sz w:val="21"/>
                <w:szCs w:val="21"/>
              </w:rPr>
            </w:pPr>
            <w:r>
              <w:rPr>
                <w:rStyle w:val="202"/>
                <w:rFonts w:hint="eastAsia" w:ascii="宋体" w:hAnsi="宋体" w:eastAsia="宋体" w:cs="宋体"/>
                <w:b w:val="0"/>
                <w:bCs/>
                <w:color w:val="auto"/>
                <w:sz w:val="21"/>
                <w:szCs w:val="21"/>
              </w:rPr>
              <w:t>（1） 床整体支承后水平偏差不得超过 5 mm；</w:t>
            </w:r>
          </w:p>
          <w:p>
            <w:pPr>
              <w:spacing w:line="240" w:lineRule="auto"/>
              <w:jc w:val="left"/>
              <w:rPr>
                <w:rStyle w:val="202"/>
                <w:rFonts w:hint="eastAsia" w:ascii="宋体" w:hAnsi="宋体" w:eastAsia="宋体" w:cs="宋体"/>
                <w:b w:val="0"/>
                <w:bCs/>
                <w:color w:val="auto"/>
                <w:sz w:val="21"/>
                <w:szCs w:val="21"/>
              </w:rPr>
            </w:pPr>
            <w:r>
              <w:rPr>
                <w:rStyle w:val="202"/>
                <w:rFonts w:hint="eastAsia" w:ascii="宋体" w:hAnsi="宋体" w:eastAsia="宋体" w:cs="宋体"/>
                <w:b w:val="0"/>
                <w:bCs/>
                <w:color w:val="auto"/>
                <w:sz w:val="21"/>
                <w:szCs w:val="21"/>
              </w:rPr>
              <w:t>（2） 床架、床脚及折页各配件喷塑前需除油、除锈、磷化处理后再进行喷塑环氧树脂处理， 颜色为本白，色相应均匀、漆膜应饱满、光洁、均匀、牢固，不得有露底、积粉、流挂、皱皮等缺陷；</w:t>
            </w:r>
          </w:p>
          <w:p>
            <w:pPr>
              <w:spacing w:line="240" w:lineRule="auto"/>
              <w:jc w:val="left"/>
              <w:rPr>
                <w:rStyle w:val="202"/>
                <w:rFonts w:hint="eastAsia" w:ascii="宋体" w:hAnsi="宋体" w:eastAsia="宋体" w:cs="宋体"/>
                <w:b w:val="0"/>
                <w:bCs/>
                <w:color w:val="auto"/>
                <w:sz w:val="21"/>
                <w:szCs w:val="21"/>
              </w:rPr>
            </w:pPr>
            <w:r>
              <w:rPr>
                <w:rStyle w:val="202"/>
                <w:rFonts w:hint="eastAsia" w:ascii="宋体" w:hAnsi="宋体" w:eastAsia="宋体" w:cs="宋体"/>
                <w:b w:val="0"/>
                <w:bCs/>
                <w:color w:val="auto"/>
                <w:sz w:val="21"/>
                <w:szCs w:val="21"/>
              </w:rPr>
              <w:t>（3） 床架、床脚 100°～105°弯曲部位应规整，各配件表面应光洁，不得有毛刺、锐角。管材不得有裂纹；</w:t>
            </w:r>
          </w:p>
          <w:p>
            <w:pPr>
              <w:spacing w:line="240" w:lineRule="auto"/>
              <w:jc w:val="left"/>
              <w:rPr>
                <w:rStyle w:val="202"/>
                <w:rFonts w:hint="eastAsia" w:ascii="宋体" w:hAnsi="宋体" w:eastAsia="宋体" w:cs="宋体"/>
                <w:b w:val="0"/>
                <w:bCs/>
                <w:color w:val="auto"/>
                <w:sz w:val="21"/>
                <w:szCs w:val="21"/>
              </w:rPr>
            </w:pPr>
            <w:r>
              <w:rPr>
                <w:rStyle w:val="202"/>
                <w:rFonts w:hint="eastAsia" w:ascii="宋体" w:hAnsi="宋体" w:eastAsia="宋体" w:cs="宋体"/>
                <w:b w:val="0"/>
                <w:bCs/>
                <w:color w:val="auto"/>
                <w:sz w:val="21"/>
                <w:szCs w:val="21"/>
              </w:rPr>
              <w:t>（4） 折页与床架的螺钉连接松紧适度，不得过松或过紧，折页与床脚的铆合应牢固。铆钉应端正圆滑；</w:t>
            </w:r>
          </w:p>
          <w:p>
            <w:pPr>
              <w:spacing w:line="240" w:lineRule="auto"/>
              <w:jc w:val="left"/>
              <w:rPr>
                <w:rStyle w:val="202"/>
                <w:rFonts w:hint="eastAsia" w:ascii="宋体" w:hAnsi="宋体" w:eastAsia="宋体" w:cs="宋体"/>
                <w:b w:val="0"/>
                <w:bCs/>
                <w:color w:val="auto"/>
                <w:sz w:val="21"/>
                <w:szCs w:val="21"/>
              </w:rPr>
            </w:pPr>
            <w:r>
              <w:rPr>
                <w:rStyle w:val="202"/>
                <w:rFonts w:hint="eastAsia" w:ascii="宋体" w:hAnsi="宋体" w:eastAsia="宋体" w:cs="宋体"/>
                <w:b w:val="0"/>
                <w:bCs/>
                <w:color w:val="auto"/>
                <w:sz w:val="21"/>
                <w:szCs w:val="21"/>
              </w:rPr>
              <w:t>（5） 活动三节环经电镀锌及钝化处理。镀层应细致、均匀，不得有镀层粗糙、烧焦、起泡、裂纹、脱落等缺陷；</w:t>
            </w:r>
          </w:p>
          <w:p>
            <w:pPr>
              <w:spacing w:line="240" w:lineRule="auto"/>
              <w:jc w:val="left"/>
              <w:rPr>
                <w:rStyle w:val="202"/>
                <w:rFonts w:hint="eastAsia" w:ascii="宋体" w:hAnsi="宋体" w:eastAsia="宋体" w:cs="宋体"/>
                <w:b w:val="0"/>
                <w:bCs/>
                <w:color w:val="auto"/>
                <w:sz w:val="21"/>
                <w:szCs w:val="21"/>
              </w:rPr>
            </w:pPr>
            <w:r>
              <w:rPr>
                <w:rStyle w:val="202"/>
                <w:rFonts w:hint="eastAsia" w:ascii="宋体" w:hAnsi="宋体" w:eastAsia="宋体" w:cs="宋体"/>
                <w:b w:val="0"/>
                <w:bCs/>
                <w:color w:val="auto"/>
                <w:sz w:val="21"/>
                <w:szCs w:val="21"/>
              </w:rPr>
              <w:t>（6） 各冲压成型件应规整、边缘不得有毛刺。</w:t>
            </w:r>
          </w:p>
          <w:p>
            <w:pPr>
              <w:spacing w:line="240" w:lineRule="auto"/>
              <w:jc w:val="left"/>
              <w:rPr>
                <w:rStyle w:val="202"/>
                <w:rFonts w:hint="eastAsia" w:ascii="宋体" w:hAnsi="宋体" w:eastAsia="宋体" w:cs="宋体"/>
                <w:b w:val="0"/>
                <w:bCs/>
                <w:color w:val="auto"/>
                <w:sz w:val="21"/>
                <w:szCs w:val="21"/>
              </w:rPr>
            </w:pPr>
            <w:r>
              <w:rPr>
                <w:rStyle w:val="202"/>
                <w:rFonts w:hint="eastAsia" w:ascii="宋体" w:hAnsi="宋体" w:eastAsia="宋体" w:cs="宋体"/>
                <w:b w:val="0"/>
                <w:bCs/>
                <w:color w:val="auto"/>
                <w:sz w:val="21"/>
                <w:szCs w:val="21"/>
              </w:rPr>
              <w:t>组装</w:t>
            </w:r>
          </w:p>
          <w:p>
            <w:pPr>
              <w:spacing w:line="240" w:lineRule="auto"/>
              <w:jc w:val="left"/>
              <w:rPr>
                <w:rStyle w:val="202"/>
                <w:rFonts w:hint="eastAsia" w:ascii="宋体" w:hAnsi="宋体" w:eastAsia="宋体" w:cs="宋体"/>
                <w:b w:val="0"/>
                <w:bCs/>
                <w:color w:val="auto"/>
                <w:sz w:val="21"/>
                <w:szCs w:val="21"/>
              </w:rPr>
            </w:pPr>
            <w:r>
              <w:rPr>
                <w:rStyle w:val="202"/>
                <w:rFonts w:hint="eastAsia" w:ascii="宋体" w:hAnsi="宋体" w:eastAsia="宋体" w:cs="宋体"/>
                <w:b w:val="0"/>
                <w:bCs/>
                <w:color w:val="auto"/>
                <w:sz w:val="21"/>
                <w:szCs w:val="21"/>
              </w:rPr>
              <w:t>（1） 在床头装海绵枕一个用搭扣带扣合；</w:t>
            </w:r>
          </w:p>
          <w:p>
            <w:pPr>
              <w:spacing w:line="240" w:lineRule="auto"/>
              <w:jc w:val="left"/>
              <w:rPr>
                <w:rStyle w:val="202"/>
                <w:rFonts w:hint="eastAsia" w:ascii="宋体" w:hAnsi="宋体" w:eastAsia="宋体" w:cs="宋体"/>
                <w:b w:val="0"/>
                <w:bCs/>
                <w:color w:val="auto"/>
                <w:sz w:val="21"/>
                <w:szCs w:val="21"/>
              </w:rPr>
            </w:pPr>
            <w:r>
              <w:rPr>
                <w:rStyle w:val="202"/>
                <w:rFonts w:hint="eastAsia" w:ascii="宋体" w:hAnsi="宋体" w:eastAsia="宋体" w:cs="宋体"/>
                <w:b w:val="0"/>
                <w:bCs/>
                <w:color w:val="auto"/>
                <w:sz w:val="21"/>
                <w:szCs w:val="21"/>
              </w:rPr>
              <w:t>（2） 在床头面的贴袋内装塑料板一块，装入后用搭扣带扣合。</w:t>
            </w:r>
          </w:p>
          <w:p>
            <w:pPr>
              <w:spacing w:line="240" w:lineRule="auto"/>
              <w:jc w:val="left"/>
              <w:rPr>
                <w:rFonts w:hint="eastAsia" w:ascii="宋体" w:hAnsi="宋体" w:eastAsia="宋体" w:cs="宋体"/>
                <w:b w:val="0"/>
                <w:bCs/>
                <w:color w:val="auto"/>
                <w:sz w:val="21"/>
                <w:szCs w:val="21"/>
              </w:rPr>
            </w:pPr>
            <w:r>
              <w:rPr>
                <w:rStyle w:val="202"/>
                <w:rFonts w:hint="eastAsia" w:ascii="宋体" w:hAnsi="宋体" w:eastAsia="宋体" w:cs="宋体"/>
                <w:b w:val="0"/>
                <w:bCs/>
                <w:color w:val="auto"/>
                <w:sz w:val="21"/>
                <w:szCs w:val="21"/>
              </w:rPr>
              <w:t>6、产品标准： 2010年民政部行业标准《ＭＺ／T015.1-2010》。</w:t>
            </w:r>
          </w:p>
        </w:tc>
        <w:tc>
          <w:tcPr>
            <w:tcW w:w="709" w:type="dxa"/>
            <w:shd w:val="clear" w:color="auto" w:fill="auto"/>
            <w:vAlign w:val="center"/>
          </w:tcPr>
          <w:p>
            <w:pPr>
              <w:widowControl/>
              <w:jc w:val="center"/>
              <w:textAlignment w:val="center"/>
              <w:rPr>
                <w:rFonts w:hint="eastAsia" w:ascii="宋体" w:hAnsi="宋体" w:eastAsia="宋体" w:cs="宋体"/>
                <w:b w:val="0"/>
                <w:bCs/>
                <w:color w:val="auto"/>
                <w:sz w:val="21"/>
                <w:szCs w:val="21"/>
              </w:rPr>
            </w:pPr>
            <w:r>
              <w:rPr>
                <w:rFonts w:hint="eastAsia" w:ascii="宋体" w:hAnsi="宋体" w:eastAsia="宋体" w:cs="宋体"/>
                <w:b w:val="0"/>
                <w:bCs/>
                <w:color w:val="auto"/>
                <w:kern w:val="0"/>
                <w:sz w:val="21"/>
                <w:szCs w:val="21"/>
                <w:lang w:bidi="ar"/>
              </w:rPr>
              <w:t>张</w:t>
            </w:r>
          </w:p>
        </w:tc>
        <w:tc>
          <w:tcPr>
            <w:tcW w:w="844" w:type="dxa"/>
            <w:shd w:val="clear" w:color="auto" w:fill="auto"/>
            <w:vAlign w:val="center"/>
          </w:tcPr>
          <w:p>
            <w:pPr>
              <w:widowControl/>
              <w:jc w:val="center"/>
              <w:textAlignment w:val="center"/>
              <w:rPr>
                <w:rFonts w:hint="eastAsia" w:ascii="宋体" w:hAnsi="宋体" w:eastAsia="宋体" w:cs="宋体"/>
                <w:b w:val="0"/>
                <w:bCs/>
                <w:color w:val="auto"/>
                <w:sz w:val="21"/>
                <w:szCs w:val="21"/>
              </w:rPr>
            </w:pPr>
            <w:r>
              <w:rPr>
                <w:rFonts w:hint="eastAsia" w:ascii="宋体" w:hAnsi="宋体" w:eastAsia="宋体" w:cs="宋体"/>
                <w:b w:val="0"/>
                <w:bCs/>
                <w:color w:val="auto"/>
                <w:kern w:val="0"/>
                <w:sz w:val="21"/>
                <w:szCs w:val="21"/>
                <w:lang w:bidi="ar"/>
              </w:rPr>
              <w:t>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9" w:type="dxa"/>
            <w:vAlign w:val="center"/>
          </w:tcPr>
          <w:p>
            <w:pPr>
              <w:spacing w:line="240" w:lineRule="auto"/>
              <w:jc w:val="center"/>
              <w:rPr>
                <w:rFonts w:hint="eastAsia" w:ascii="宋体" w:hAnsi="宋体" w:eastAsia="宋体" w:cs="宋体"/>
                <w:b w:val="0"/>
                <w:bCs/>
                <w:color w:val="auto"/>
                <w:sz w:val="21"/>
                <w:szCs w:val="21"/>
              </w:rPr>
            </w:pPr>
            <w:r>
              <w:rPr>
                <w:rStyle w:val="202"/>
                <w:rFonts w:hint="eastAsia" w:ascii="宋体" w:hAnsi="宋体" w:eastAsia="宋体" w:cs="宋体"/>
                <w:b w:val="0"/>
                <w:bCs/>
                <w:color w:val="auto"/>
                <w:sz w:val="21"/>
                <w:szCs w:val="21"/>
              </w:rPr>
              <w:t>3</w:t>
            </w:r>
          </w:p>
        </w:tc>
        <w:tc>
          <w:tcPr>
            <w:tcW w:w="1139" w:type="dxa"/>
            <w:shd w:val="clear" w:color="auto" w:fill="auto"/>
            <w:vAlign w:val="center"/>
          </w:tcPr>
          <w:p>
            <w:pPr>
              <w:spacing w:line="240" w:lineRule="auto"/>
              <w:jc w:val="center"/>
              <w:rPr>
                <w:rFonts w:hint="eastAsia" w:ascii="宋体" w:hAnsi="宋体" w:eastAsia="宋体" w:cs="宋体"/>
                <w:b w:val="0"/>
                <w:bCs/>
                <w:color w:val="auto"/>
                <w:sz w:val="21"/>
                <w:szCs w:val="21"/>
              </w:rPr>
            </w:pPr>
            <w:r>
              <w:rPr>
                <w:rStyle w:val="202"/>
                <w:rFonts w:hint="eastAsia" w:ascii="宋体" w:hAnsi="宋体" w:eastAsia="宋体" w:cs="宋体"/>
                <w:b w:val="0"/>
                <w:bCs/>
                <w:color w:val="auto"/>
                <w:sz w:val="21"/>
                <w:szCs w:val="21"/>
              </w:rPr>
              <w:t>防潮垫</w:t>
            </w:r>
          </w:p>
        </w:tc>
        <w:tc>
          <w:tcPr>
            <w:tcW w:w="6237" w:type="dxa"/>
            <w:shd w:val="clear" w:color="auto" w:fill="auto"/>
            <w:vAlign w:val="center"/>
          </w:tcPr>
          <w:p>
            <w:pPr>
              <w:spacing w:line="240" w:lineRule="auto"/>
              <w:jc w:val="left"/>
              <w:rPr>
                <w:rStyle w:val="202"/>
                <w:rFonts w:hint="eastAsia" w:ascii="宋体" w:hAnsi="宋体" w:eastAsia="宋体" w:cs="宋体"/>
                <w:b w:val="0"/>
                <w:bCs/>
                <w:color w:val="auto"/>
                <w:sz w:val="21"/>
                <w:szCs w:val="21"/>
              </w:rPr>
            </w:pPr>
            <w:r>
              <w:rPr>
                <w:rStyle w:val="202"/>
                <w:rFonts w:hint="eastAsia" w:ascii="宋体" w:hAnsi="宋体" w:eastAsia="宋体" w:cs="宋体"/>
                <w:b w:val="0"/>
                <w:bCs/>
                <w:color w:val="auto"/>
                <w:sz w:val="21"/>
                <w:szCs w:val="21"/>
              </w:rPr>
              <w:t>数码迷彩防潮垫</w:t>
            </w:r>
          </w:p>
          <w:p>
            <w:pPr>
              <w:spacing w:line="240" w:lineRule="auto"/>
              <w:jc w:val="left"/>
              <w:rPr>
                <w:rStyle w:val="202"/>
                <w:rFonts w:hint="eastAsia" w:ascii="宋体" w:hAnsi="宋体" w:eastAsia="宋体" w:cs="宋体"/>
                <w:b w:val="0"/>
                <w:bCs/>
                <w:color w:val="auto"/>
                <w:sz w:val="21"/>
                <w:szCs w:val="21"/>
              </w:rPr>
            </w:pPr>
            <w:r>
              <w:rPr>
                <w:rStyle w:val="202"/>
                <w:rFonts w:hint="eastAsia" w:ascii="宋体" w:hAnsi="宋体" w:eastAsia="宋体" w:cs="宋体"/>
                <w:b w:val="0"/>
                <w:bCs/>
                <w:color w:val="auto"/>
                <w:sz w:val="21"/>
                <w:szCs w:val="21"/>
              </w:rPr>
              <w:t>规格：200*100*0.35厘米</w:t>
            </w:r>
          </w:p>
          <w:p>
            <w:pPr>
              <w:spacing w:line="240" w:lineRule="auto"/>
              <w:jc w:val="left"/>
              <w:rPr>
                <w:rStyle w:val="202"/>
                <w:rFonts w:hint="eastAsia" w:ascii="宋体" w:hAnsi="宋体" w:eastAsia="宋体" w:cs="宋体"/>
                <w:b w:val="0"/>
                <w:bCs/>
                <w:color w:val="auto"/>
                <w:sz w:val="21"/>
                <w:szCs w:val="21"/>
              </w:rPr>
            </w:pPr>
            <w:r>
              <w:rPr>
                <w:rStyle w:val="202"/>
                <w:rFonts w:hint="eastAsia" w:ascii="宋体" w:hAnsi="宋体" w:eastAsia="宋体" w:cs="宋体"/>
                <w:b w:val="0"/>
                <w:bCs/>
                <w:color w:val="auto"/>
                <w:sz w:val="21"/>
                <w:szCs w:val="21"/>
              </w:rPr>
              <w:t>颜色：07数码迷彩</w:t>
            </w:r>
          </w:p>
          <w:p>
            <w:pPr>
              <w:spacing w:line="240" w:lineRule="auto"/>
              <w:jc w:val="left"/>
              <w:rPr>
                <w:rStyle w:val="202"/>
                <w:rFonts w:hint="eastAsia" w:ascii="宋体" w:hAnsi="宋体" w:eastAsia="宋体" w:cs="宋体"/>
                <w:b w:val="0"/>
                <w:bCs/>
                <w:color w:val="auto"/>
                <w:sz w:val="21"/>
                <w:szCs w:val="21"/>
              </w:rPr>
            </w:pPr>
            <w:r>
              <w:rPr>
                <w:rStyle w:val="202"/>
                <w:rFonts w:hint="eastAsia" w:ascii="宋体" w:hAnsi="宋体" w:eastAsia="宋体" w:cs="宋体"/>
                <w:b w:val="0"/>
                <w:bCs/>
                <w:color w:val="auto"/>
                <w:sz w:val="21"/>
                <w:szCs w:val="21"/>
              </w:rPr>
              <w:t>面料：190T迷彩布</w:t>
            </w:r>
          </w:p>
          <w:p>
            <w:pPr>
              <w:spacing w:line="240" w:lineRule="auto"/>
              <w:jc w:val="left"/>
              <w:rPr>
                <w:rStyle w:val="202"/>
                <w:rFonts w:hint="eastAsia" w:ascii="宋体" w:hAnsi="宋体" w:eastAsia="宋体" w:cs="宋体"/>
                <w:b w:val="0"/>
                <w:bCs/>
                <w:color w:val="auto"/>
                <w:sz w:val="21"/>
                <w:szCs w:val="21"/>
              </w:rPr>
            </w:pPr>
            <w:r>
              <w:rPr>
                <w:rStyle w:val="202"/>
                <w:rFonts w:hint="eastAsia" w:ascii="宋体" w:hAnsi="宋体" w:eastAsia="宋体" w:cs="宋体"/>
                <w:b w:val="0"/>
                <w:bCs/>
                <w:color w:val="auto"/>
                <w:sz w:val="21"/>
                <w:szCs w:val="21"/>
              </w:rPr>
              <w:t>底料：铝膜</w:t>
            </w:r>
          </w:p>
          <w:p>
            <w:pPr>
              <w:spacing w:line="240" w:lineRule="auto"/>
              <w:jc w:val="left"/>
              <w:rPr>
                <w:rStyle w:val="202"/>
                <w:rFonts w:hint="eastAsia" w:ascii="宋体" w:hAnsi="宋体" w:eastAsia="宋体" w:cs="宋体"/>
                <w:b w:val="0"/>
                <w:bCs/>
                <w:color w:val="auto"/>
                <w:sz w:val="21"/>
                <w:szCs w:val="21"/>
              </w:rPr>
            </w:pPr>
            <w:r>
              <w:rPr>
                <w:rStyle w:val="202"/>
                <w:rFonts w:hint="eastAsia" w:ascii="宋体" w:hAnsi="宋体" w:eastAsia="宋体" w:cs="宋体"/>
                <w:b w:val="0"/>
                <w:bCs/>
                <w:color w:val="auto"/>
                <w:sz w:val="21"/>
                <w:szCs w:val="21"/>
              </w:rPr>
              <w:t>填充：EPE珍珠棉</w:t>
            </w:r>
          </w:p>
          <w:p>
            <w:pPr>
              <w:spacing w:line="240" w:lineRule="auto"/>
              <w:jc w:val="left"/>
              <w:rPr>
                <w:rStyle w:val="202"/>
                <w:rFonts w:hint="eastAsia" w:ascii="宋体" w:hAnsi="宋体" w:eastAsia="宋体" w:cs="宋体"/>
                <w:b w:val="0"/>
                <w:bCs/>
                <w:color w:val="auto"/>
                <w:sz w:val="21"/>
                <w:szCs w:val="21"/>
              </w:rPr>
            </w:pPr>
            <w:r>
              <w:rPr>
                <w:rStyle w:val="202"/>
                <w:rFonts w:hint="eastAsia" w:ascii="宋体" w:hAnsi="宋体" w:eastAsia="宋体" w:cs="宋体"/>
                <w:b w:val="0"/>
                <w:bCs/>
                <w:color w:val="auto"/>
                <w:sz w:val="21"/>
                <w:szCs w:val="21"/>
              </w:rPr>
              <w:t>重量：0.5KG</w:t>
            </w:r>
          </w:p>
          <w:p>
            <w:pPr>
              <w:spacing w:line="240" w:lineRule="auto"/>
              <w:jc w:val="left"/>
              <w:rPr>
                <w:rFonts w:hint="eastAsia" w:ascii="宋体" w:hAnsi="宋体" w:eastAsia="宋体" w:cs="宋体"/>
                <w:b w:val="0"/>
                <w:bCs/>
                <w:color w:val="auto"/>
                <w:sz w:val="21"/>
                <w:szCs w:val="21"/>
              </w:rPr>
            </w:pPr>
            <w:r>
              <w:rPr>
                <w:rStyle w:val="202"/>
                <w:rFonts w:hint="eastAsia" w:ascii="宋体" w:hAnsi="宋体" w:eastAsia="宋体" w:cs="宋体"/>
                <w:b w:val="0"/>
                <w:bCs/>
                <w:color w:val="auto"/>
                <w:sz w:val="21"/>
                <w:szCs w:val="21"/>
              </w:rPr>
              <w:t>包装：牛津布压缩包装袋</w:t>
            </w:r>
          </w:p>
        </w:tc>
        <w:tc>
          <w:tcPr>
            <w:tcW w:w="709" w:type="dxa"/>
            <w:shd w:val="clear" w:color="auto" w:fill="auto"/>
            <w:vAlign w:val="center"/>
          </w:tcPr>
          <w:p>
            <w:pPr>
              <w:widowControl/>
              <w:jc w:val="center"/>
              <w:textAlignment w:val="center"/>
              <w:rPr>
                <w:rFonts w:hint="eastAsia" w:ascii="宋体" w:hAnsi="宋体" w:eastAsia="宋体" w:cs="宋体"/>
                <w:b w:val="0"/>
                <w:bCs/>
                <w:color w:val="auto"/>
                <w:sz w:val="21"/>
                <w:szCs w:val="21"/>
              </w:rPr>
            </w:pPr>
            <w:r>
              <w:rPr>
                <w:rFonts w:hint="eastAsia" w:ascii="宋体" w:hAnsi="宋体" w:eastAsia="宋体" w:cs="宋体"/>
                <w:b w:val="0"/>
                <w:bCs/>
                <w:color w:val="auto"/>
                <w:kern w:val="0"/>
                <w:sz w:val="21"/>
                <w:szCs w:val="21"/>
                <w:lang w:bidi="ar"/>
              </w:rPr>
              <w:t>张</w:t>
            </w:r>
          </w:p>
        </w:tc>
        <w:tc>
          <w:tcPr>
            <w:tcW w:w="844" w:type="dxa"/>
            <w:shd w:val="clear" w:color="auto" w:fill="auto"/>
            <w:vAlign w:val="center"/>
          </w:tcPr>
          <w:p>
            <w:pPr>
              <w:widowControl/>
              <w:jc w:val="center"/>
              <w:textAlignment w:val="center"/>
              <w:rPr>
                <w:rFonts w:hint="eastAsia" w:ascii="宋体" w:hAnsi="宋体" w:eastAsia="宋体" w:cs="宋体"/>
                <w:b w:val="0"/>
                <w:bCs/>
                <w:color w:val="auto"/>
                <w:sz w:val="21"/>
                <w:szCs w:val="21"/>
              </w:rPr>
            </w:pPr>
            <w:r>
              <w:rPr>
                <w:rFonts w:hint="eastAsia" w:ascii="宋体" w:hAnsi="宋体" w:eastAsia="宋体" w:cs="宋体"/>
                <w:b w:val="0"/>
                <w:bCs/>
                <w:color w:val="auto"/>
                <w:kern w:val="0"/>
                <w:sz w:val="21"/>
                <w:szCs w:val="21"/>
                <w:lang w:bidi="ar"/>
              </w:rPr>
              <w:t>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9" w:type="dxa"/>
            <w:vAlign w:val="center"/>
          </w:tcPr>
          <w:p>
            <w:pPr>
              <w:spacing w:line="240" w:lineRule="auto"/>
              <w:jc w:val="center"/>
              <w:rPr>
                <w:rFonts w:hint="eastAsia" w:ascii="宋体" w:hAnsi="宋体" w:eastAsia="宋体" w:cs="宋体"/>
                <w:b w:val="0"/>
                <w:bCs/>
                <w:color w:val="auto"/>
                <w:sz w:val="21"/>
                <w:szCs w:val="21"/>
              </w:rPr>
            </w:pPr>
            <w:r>
              <w:rPr>
                <w:rStyle w:val="202"/>
                <w:rFonts w:hint="eastAsia" w:ascii="宋体" w:hAnsi="宋体" w:eastAsia="宋体" w:cs="宋体"/>
                <w:b w:val="0"/>
                <w:bCs/>
                <w:color w:val="auto"/>
                <w:sz w:val="21"/>
                <w:szCs w:val="21"/>
              </w:rPr>
              <w:t>4</w:t>
            </w:r>
          </w:p>
        </w:tc>
        <w:tc>
          <w:tcPr>
            <w:tcW w:w="1139" w:type="dxa"/>
            <w:shd w:val="clear" w:color="auto" w:fill="auto"/>
            <w:vAlign w:val="center"/>
          </w:tcPr>
          <w:p>
            <w:pPr>
              <w:spacing w:line="240" w:lineRule="auto"/>
              <w:jc w:val="center"/>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w:t>
            </w:r>
            <w:r>
              <w:rPr>
                <w:rStyle w:val="202"/>
                <w:rFonts w:hint="eastAsia" w:ascii="宋体" w:hAnsi="宋体" w:eastAsia="宋体" w:cs="宋体"/>
                <w:b w:val="0"/>
                <w:bCs/>
                <w:color w:val="auto"/>
                <w:sz w:val="21"/>
                <w:szCs w:val="21"/>
              </w:rPr>
              <w:t>棉被</w:t>
            </w:r>
          </w:p>
        </w:tc>
        <w:tc>
          <w:tcPr>
            <w:tcW w:w="6237" w:type="dxa"/>
            <w:shd w:val="clear" w:color="auto" w:fill="auto"/>
            <w:vAlign w:val="center"/>
          </w:tcPr>
          <w:p>
            <w:pPr>
              <w:spacing w:line="240" w:lineRule="auto"/>
              <w:jc w:val="left"/>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棉被：</w:t>
            </w:r>
          </w:p>
          <w:p>
            <w:pPr>
              <w:spacing w:line="240" w:lineRule="auto"/>
              <w:jc w:val="left"/>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成份：棉：100%</w:t>
            </w:r>
          </w:p>
          <w:p>
            <w:pPr>
              <w:spacing w:line="240" w:lineRule="auto"/>
              <w:jc w:val="left"/>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棉质要求：</w:t>
            </w:r>
          </w:p>
          <w:p>
            <w:pPr>
              <w:spacing w:line="240" w:lineRule="auto"/>
              <w:jc w:val="left"/>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★含杂率:≤0.8%</w:t>
            </w:r>
          </w:p>
          <w:p>
            <w:pPr>
              <w:pStyle w:val="2"/>
              <w:spacing w:line="240" w:lineRule="auto"/>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★短纤维含量：≤22</w:t>
            </w:r>
          </w:p>
          <w:p>
            <w:pPr>
              <w:spacing w:line="240" w:lineRule="auto"/>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★填充物质量偏差率：≥-3.0%</w:t>
            </w:r>
          </w:p>
          <w:p>
            <w:pPr>
              <w:spacing w:line="240" w:lineRule="auto"/>
              <w:jc w:val="left"/>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网纱:</w:t>
            </w:r>
          </w:p>
          <w:p>
            <w:pPr>
              <w:spacing w:line="240" w:lineRule="auto"/>
              <w:jc w:val="left"/>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面纱(层)：≥3</w:t>
            </w:r>
            <w:r>
              <w:rPr>
                <w:rFonts w:hint="eastAsia" w:ascii="宋体" w:hAnsi="宋体" w:eastAsia="宋体" w:cs="宋体"/>
                <w:b w:val="0"/>
                <w:bCs/>
                <w:color w:val="auto"/>
                <w:sz w:val="21"/>
                <w:szCs w:val="21"/>
              </w:rPr>
              <w:br w:type="textWrapping"/>
            </w:r>
            <w:r>
              <w:rPr>
                <w:rFonts w:hint="eastAsia" w:ascii="宋体" w:hAnsi="宋体" w:eastAsia="宋体" w:cs="宋体"/>
                <w:b w:val="0"/>
                <w:bCs/>
                <w:color w:val="auto"/>
                <w:sz w:val="21"/>
                <w:szCs w:val="21"/>
              </w:rPr>
              <w:t>密度(根/10cm)：竖纱：≥21     左斜纱：≥15    右斜纱：≥15</w:t>
            </w:r>
            <w:r>
              <w:rPr>
                <w:rFonts w:hint="eastAsia" w:ascii="宋体" w:hAnsi="宋体" w:eastAsia="宋体" w:cs="宋体"/>
                <w:b w:val="0"/>
                <w:bCs/>
                <w:color w:val="auto"/>
                <w:sz w:val="21"/>
                <w:szCs w:val="21"/>
              </w:rPr>
              <w:br w:type="textWrapping"/>
            </w:r>
            <w:r>
              <w:rPr>
                <w:rFonts w:hint="eastAsia" w:ascii="宋体" w:hAnsi="宋体" w:eastAsia="宋体" w:cs="宋体"/>
                <w:b w:val="0"/>
                <w:bCs/>
                <w:color w:val="auto"/>
                <w:sz w:val="21"/>
                <w:szCs w:val="21"/>
              </w:rPr>
              <w:t>筋纱(道)：     竖筋：≥8      左筋纱：≥18    右筋纱：≥18</w:t>
            </w:r>
          </w:p>
          <w:p>
            <w:pPr>
              <w:spacing w:line="240" w:lineRule="auto"/>
              <w:jc w:val="left"/>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研磨率: 正面：≥98.0%  反面：≥96.0%</w:t>
            </w:r>
          </w:p>
          <w:p>
            <w:pPr>
              <w:spacing w:line="240" w:lineRule="auto"/>
              <w:jc w:val="left"/>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感官要求:成品铺棉均匀，厚薄一致，手感无棉块；包边整齐，四边平直，四角方正，无缺花，不塌边。</w:t>
            </w:r>
          </w:p>
          <w:p>
            <w:pPr>
              <w:spacing w:line="240" w:lineRule="auto"/>
              <w:jc w:val="left"/>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原料要求: GB/T 18383-2007</w:t>
            </w:r>
          </w:p>
          <w:p>
            <w:pPr>
              <w:spacing w:line="240" w:lineRule="auto"/>
              <w:jc w:val="left"/>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被套</w:t>
            </w:r>
          </w:p>
          <w:p>
            <w:pPr>
              <w:spacing w:line="240" w:lineRule="auto"/>
              <w:jc w:val="left"/>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成份：棉：100%</w:t>
            </w:r>
          </w:p>
          <w:p>
            <w:pPr>
              <w:pStyle w:val="2"/>
              <w:spacing w:line="240" w:lineRule="auto"/>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★PH值：5.9</w:t>
            </w:r>
          </w:p>
          <w:p>
            <w:pPr>
              <w:pStyle w:val="2"/>
              <w:spacing w:line="240" w:lineRule="auto"/>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★耐水色牢度：变色≥3级、沾色≥3级</w:t>
            </w:r>
          </w:p>
          <w:p>
            <w:pPr>
              <w:spacing w:line="240" w:lineRule="auto"/>
              <w:jc w:val="left"/>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★耐酸汗色牢度：变色≥3级、沾色≥3级</w:t>
            </w:r>
          </w:p>
          <w:p>
            <w:pPr>
              <w:pStyle w:val="2"/>
              <w:spacing w:line="240" w:lineRule="auto"/>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★耐碱汗色牢度：变色≥3级、沾色≥3级</w:t>
            </w:r>
          </w:p>
          <w:p>
            <w:pPr>
              <w:spacing w:line="240" w:lineRule="auto"/>
              <w:jc w:val="left"/>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★耐干摩擦色牢度：≥3级</w:t>
            </w:r>
          </w:p>
          <w:p>
            <w:pPr>
              <w:spacing w:line="240" w:lineRule="auto"/>
              <w:jc w:val="left"/>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★耐湿摩擦色牢度：≥3级</w:t>
            </w:r>
          </w:p>
          <w:p>
            <w:pPr>
              <w:spacing w:line="240" w:lineRule="auto"/>
              <w:jc w:val="left"/>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★耐水色牢度：变色≥3级，沾色≥3级、</w:t>
            </w:r>
          </w:p>
          <w:p>
            <w:pPr>
              <w:spacing w:line="240" w:lineRule="auto"/>
              <w:jc w:val="left"/>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★甲醛含量：2（检出限≤300mg/kg）</w:t>
            </w:r>
          </w:p>
          <w:p>
            <w:pPr>
              <w:spacing w:line="240" w:lineRule="auto"/>
              <w:jc w:val="left"/>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★可分解致癌芳香胺染料：未检出（检出限值：禁用）</w:t>
            </w:r>
          </w:p>
          <w:p>
            <w:pPr>
              <w:spacing w:line="240" w:lineRule="auto"/>
              <w:jc w:val="left"/>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★规格尺寸偏差率：长度方向±2.5%，宽度方向±1.5%</w:t>
            </w:r>
          </w:p>
          <w:p>
            <w:pPr>
              <w:pStyle w:val="2"/>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lang w:eastAsia="zh-CN" w:bidi="zh-CN"/>
              </w:rPr>
              <w:t>带“</w:t>
            </w:r>
            <w:r>
              <w:rPr>
                <w:rFonts w:hint="eastAsia" w:ascii="宋体" w:hAnsi="宋体" w:eastAsia="宋体" w:cs="宋体"/>
                <w:b w:val="0"/>
                <w:bCs/>
                <w:color w:val="auto"/>
                <w:sz w:val="21"/>
                <w:szCs w:val="21"/>
              </w:rPr>
              <w:t>★</w:t>
            </w:r>
            <w:r>
              <w:rPr>
                <w:rFonts w:hint="eastAsia" w:ascii="宋体" w:hAnsi="宋体" w:eastAsia="宋体" w:cs="宋体"/>
                <w:b w:val="0"/>
                <w:bCs/>
                <w:color w:val="auto"/>
                <w:sz w:val="21"/>
                <w:szCs w:val="21"/>
                <w:lang w:eastAsia="zh-CN" w:bidi="zh-CN"/>
              </w:rPr>
              <w:t>”需</w:t>
            </w:r>
            <w:r>
              <w:rPr>
                <w:rFonts w:hint="eastAsia" w:ascii="宋体" w:hAnsi="宋体" w:eastAsia="宋体" w:cs="宋体"/>
                <w:b w:val="0"/>
                <w:bCs/>
                <w:color w:val="auto"/>
                <w:sz w:val="21"/>
                <w:szCs w:val="21"/>
                <w:lang w:bidi="zh-CN"/>
              </w:rPr>
              <w:t>提供具有检测资质的第三方的质检报告</w:t>
            </w:r>
          </w:p>
        </w:tc>
        <w:tc>
          <w:tcPr>
            <w:tcW w:w="709" w:type="dxa"/>
            <w:shd w:val="clear" w:color="auto" w:fill="auto"/>
            <w:vAlign w:val="center"/>
          </w:tcPr>
          <w:p>
            <w:pPr>
              <w:widowControl/>
              <w:jc w:val="center"/>
              <w:textAlignment w:val="center"/>
              <w:rPr>
                <w:rFonts w:hint="eastAsia" w:ascii="宋体" w:hAnsi="宋体" w:eastAsia="宋体" w:cs="宋体"/>
                <w:b w:val="0"/>
                <w:bCs/>
                <w:color w:val="auto"/>
                <w:sz w:val="21"/>
                <w:szCs w:val="21"/>
              </w:rPr>
            </w:pPr>
            <w:r>
              <w:rPr>
                <w:rFonts w:hint="eastAsia" w:ascii="宋体" w:hAnsi="宋体" w:eastAsia="宋体" w:cs="宋体"/>
                <w:b w:val="0"/>
                <w:bCs/>
                <w:color w:val="auto"/>
                <w:kern w:val="0"/>
                <w:sz w:val="21"/>
                <w:szCs w:val="21"/>
                <w:lang w:bidi="ar"/>
              </w:rPr>
              <w:t>床</w:t>
            </w:r>
          </w:p>
        </w:tc>
        <w:tc>
          <w:tcPr>
            <w:tcW w:w="844" w:type="dxa"/>
            <w:shd w:val="clear" w:color="auto" w:fill="auto"/>
            <w:vAlign w:val="center"/>
          </w:tcPr>
          <w:p>
            <w:pPr>
              <w:widowControl/>
              <w:jc w:val="center"/>
              <w:textAlignment w:val="center"/>
              <w:rPr>
                <w:rFonts w:hint="eastAsia" w:ascii="宋体" w:hAnsi="宋体" w:eastAsia="宋体" w:cs="宋体"/>
                <w:b w:val="0"/>
                <w:bCs/>
                <w:color w:val="auto"/>
                <w:sz w:val="21"/>
                <w:szCs w:val="21"/>
              </w:rPr>
            </w:pPr>
            <w:r>
              <w:rPr>
                <w:rFonts w:hint="eastAsia" w:ascii="宋体" w:hAnsi="宋体" w:eastAsia="宋体" w:cs="宋体"/>
                <w:b w:val="0"/>
                <w:bCs/>
                <w:color w:val="auto"/>
                <w:kern w:val="0"/>
                <w:sz w:val="21"/>
                <w:szCs w:val="21"/>
                <w:lang w:bidi="ar"/>
              </w:rPr>
              <w:t>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9" w:type="dxa"/>
            <w:vAlign w:val="center"/>
          </w:tcPr>
          <w:p>
            <w:pPr>
              <w:spacing w:line="240" w:lineRule="auto"/>
              <w:jc w:val="center"/>
              <w:rPr>
                <w:rFonts w:hint="eastAsia" w:ascii="宋体" w:hAnsi="宋体" w:eastAsia="宋体" w:cs="宋体"/>
                <w:b w:val="0"/>
                <w:bCs/>
                <w:color w:val="auto"/>
                <w:sz w:val="21"/>
                <w:szCs w:val="21"/>
              </w:rPr>
            </w:pPr>
            <w:r>
              <w:rPr>
                <w:rStyle w:val="202"/>
                <w:rFonts w:hint="eastAsia" w:ascii="宋体" w:hAnsi="宋体" w:eastAsia="宋体" w:cs="宋体"/>
                <w:b w:val="0"/>
                <w:bCs/>
                <w:color w:val="auto"/>
                <w:sz w:val="21"/>
                <w:szCs w:val="21"/>
              </w:rPr>
              <w:t>5</w:t>
            </w:r>
          </w:p>
        </w:tc>
        <w:tc>
          <w:tcPr>
            <w:tcW w:w="1139" w:type="dxa"/>
            <w:shd w:val="clear" w:color="auto" w:fill="auto"/>
            <w:vAlign w:val="center"/>
          </w:tcPr>
          <w:p>
            <w:pPr>
              <w:spacing w:line="240" w:lineRule="auto"/>
              <w:jc w:val="center"/>
              <w:rPr>
                <w:rFonts w:hint="eastAsia" w:ascii="宋体" w:hAnsi="宋体" w:eastAsia="宋体" w:cs="宋体"/>
                <w:b w:val="0"/>
                <w:bCs/>
                <w:color w:val="auto"/>
                <w:sz w:val="21"/>
                <w:szCs w:val="21"/>
              </w:rPr>
            </w:pPr>
            <w:r>
              <w:rPr>
                <w:rStyle w:val="202"/>
                <w:rFonts w:hint="eastAsia" w:ascii="宋体" w:hAnsi="宋体" w:eastAsia="宋体" w:cs="宋体"/>
                <w:b w:val="0"/>
                <w:bCs/>
                <w:color w:val="auto"/>
                <w:sz w:val="21"/>
                <w:szCs w:val="21"/>
              </w:rPr>
              <w:t>蚊帐</w:t>
            </w:r>
          </w:p>
        </w:tc>
        <w:tc>
          <w:tcPr>
            <w:tcW w:w="6237" w:type="dxa"/>
            <w:shd w:val="clear" w:color="auto" w:fill="auto"/>
            <w:vAlign w:val="center"/>
          </w:tcPr>
          <w:p>
            <w:pPr>
              <w:spacing w:line="240" w:lineRule="auto"/>
              <w:jc w:val="left"/>
              <w:rPr>
                <w:rFonts w:hint="eastAsia" w:ascii="宋体" w:hAnsi="宋体" w:eastAsia="宋体" w:cs="宋体"/>
                <w:b w:val="0"/>
                <w:bCs/>
                <w:color w:val="auto"/>
                <w:sz w:val="21"/>
                <w:szCs w:val="21"/>
              </w:rPr>
            </w:pPr>
            <w:r>
              <w:rPr>
                <w:rStyle w:val="202"/>
                <w:rFonts w:hint="eastAsia" w:ascii="宋体" w:hAnsi="宋体" w:eastAsia="宋体" w:cs="宋体"/>
                <w:b w:val="0"/>
                <w:bCs/>
                <w:color w:val="auto"/>
                <w:sz w:val="21"/>
                <w:szCs w:val="21"/>
              </w:rPr>
              <w:t>87/武款蚊帐，材质：涤纶网纱，尺寸：185*98*175CM（长宽高），款式：陆款（无拉链），武款（带拉链）</w:t>
            </w:r>
          </w:p>
        </w:tc>
        <w:tc>
          <w:tcPr>
            <w:tcW w:w="709" w:type="dxa"/>
            <w:shd w:val="clear" w:color="auto" w:fill="auto"/>
            <w:vAlign w:val="center"/>
          </w:tcPr>
          <w:p>
            <w:pPr>
              <w:widowControl/>
              <w:jc w:val="center"/>
              <w:textAlignment w:val="center"/>
              <w:rPr>
                <w:rFonts w:hint="eastAsia" w:ascii="宋体" w:hAnsi="宋体" w:eastAsia="宋体" w:cs="宋体"/>
                <w:b w:val="0"/>
                <w:bCs/>
                <w:color w:val="auto"/>
                <w:sz w:val="21"/>
                <w:szCs w:val="21"/>
              </w:rPr>
            </w:pPr>
            <w:r>
              <w:rPr>
                <w:rFonts w:hint="eastAsia" w:ascii="宋体" w:hAnsi="宋体" w:eastAsia="宋体" w:cs="宋体"/>
                <w:b w:val="0"/>
                <w:bCs/>
                <w:color w:val="auto"/>
                <w:kern w:val="0"/>
                <w:sz w:val="21"/>
                <w:szCs w:val="21"/>
                <w:lang w:bidi="ar"/>
              </w:rPr>
              <w:t>床</w:t>
            </w:r>
          </w:p>
        </w:tc>
        <w:tc>
          <w:tcPr>
            <w:tcW w:w="844" w:type="dxa"/>
            <w:shd w:val="clear" w:color="auto" w:fill="auto"/>
            <w:vAlign w:val="center"/>
          </w:tcPr>
          <w:p>
            <w:pPr>
              <w:widowControl/>
              <w:jc w:val="center"/>
              <w:textAlignment w:val="center"/>
              <w:rPr>
                <w:rFonts w:hint="eastAsia" w:ascii="宋体" w:hAnsi="宋体" w:eastAsia="宋体" w:cs="宋体"/>
                <w:b w:val="0"/>
                <w:bCs/>
                <w:color w:val="auto"/>
                <w:sz w:val="21"/>
                <w:szCs w:val="21"/>
              </w:rPr>
            </w:pPr>
            <w:r>
              <w:rPr>
                <w:rFonts w:hint="eastAsia" w:ascii="宋体" w:hAnsi="宋体" w:eastAsia="宋体" w:cs="宋体"/>
                <w:b w:val="0"/>
                <w:bCs/>
                <w:color w:val="auto"/>
                <w:kern w:val="0"/>
                <w:sz w:val="21"/>
                <w:szCs w:val="21"/>
                <w:lang w:bidi="ar"/>
              </w:rPr>
              <w:t>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9" w:type="dxa"/>
            <w:vAlign w:val="center"/>
          </w:tcPr>
          <w:p>
            <w:pPr>
              <w:spacing w:line="240" w:lineRule="auto"/>
              <w:jc w:val="center"/>
              <w:rPr>
                <w:rFonts w:hint="eastAsia" w:ascii="宋体" w:hAnsi="宋体" w:eastAsia="宋体" w:cs="宋体"/>
                <w:b w:val="0"/>
                <w:bCs/>
                <w:color w:val="auto"/>
                <w:sz w:val="21"/>
                <w:szCs w:val="21"/>
              </w:rPr>
            </w:pPr>
            <w:r>
              <w:rPr>
                <w:rStyle w:val="202"/>
                <w:rFonts w:hint="eastAsia" w:ascii="宋体" w:hAnsi="宋体" w:eastAsia="宋体" w:cs="宋体"/>
                <w:b w:val="0"/>
                <w:bCs/>
                <w:color w:val="auto"/>
                <w:sz w:val="21"/>
                <w:szCs w:val="21"/>
              </w:rPr>
              <w:t>6</w:t>
            </w:r>
          </w:p>
        </w:tc>
        <w:tc>
          <w:tcPr>
            <w:tcW w:w="1139" w:type="dxa"/>
            <w:shd w:val="clear" w:color="auto" w:fill="auto"/>
            <w:vAlign w:val="center"/>
          </w:tcPr>
          <w:p>
            <w:pPr>
              <w:spacing w:line="240" w:lineRule="auto"/>
              <w:jc w:val="center"/>
              <w:rPr>
                <w:rFonts w:hint="eastAsia" w:ascii="宋体" w:hAnsi="宋体" w:eastAsia="宋体" w:cs="宋体"/>
                <w:b w:val="0"/>
                <w:bCs/>
                <w:color w:val="auto"/>
                <w:sz w:val="21"/>
                <w:szCs w:val="21"/>
              </w:rPr>
            </w:pPr>
            <w:r>
              <w:rPr>
                <w:rStyle w:val="202"/>
                <w:rFonts w:hint="eastAsia" w:ascii="宋体" w:hAnsi="宋体" w:eastAsia="宋体" w:cs="宋体"/>
                <w:b w:val="0"/>
                <w:bCs/>
                <w:color w:val="auto"/>
                <w:kern w:val="0"/>
                <w:sz w:val="21"/>
                <w:szCs w:val="21"/>
              </w:rPr>
              <w:t>手套（纱）</w:t>
            </w:r>
          </w:p>
        </w:tc>
        <w:tc>
          <w:tcPr>
            <w:tcW w:w="6237" w:type="dxa"/>
            <w:shd w:val="clear" w:color="auto" w:fill="auto"/>
            <w:vAlign w:val="center"/>
          </w:tcPr>
          <w:p>
            <w:pPr>
              <w:spacing w:line="240" w:lineRule="auto"/>
              <w:jc w:val="left"/>
              <w:rPr>
                <w:rStyle w:val="202"/>
                <w:rFonts w:hint="eastAsia" w:ascii="宋体" w:hAnsi="宋体" w:eastAsia="宋体" w:cs="宋体"/>
                <w:b w:val="0"/>
                <w:bCs/>
                <w:color w:val="auto"/>
                <w:sz w:val="21"/>
                <w:szCs w:val="21"/>
              </w:rPr>
            </w:pPr>
            <w:r>
              <w:rPr>
                <w:rStyle w:val="202"/>
                <w:rFonts w:hint="eastAsia" w:ascii="宋体" w:hAnsi="宋体" w:eastAsia="宋体" w:cs="宋体"/>
                <w:b w:val="0"/>
                <w:bCs/>
                <w:color w:val="auto"/>
                <w:sz w:val="21"/>
                <w:szCs w:val="21"/>
              </w:rPr>
              <w:t>手套（纱）：</w:t>
            </w:r>
          </w:p>
          <w:p>
            <w:pPr>
              <w:spacing w:line="240" w:lineRule="auto"/>
              <w:jc w:val="left"/>
              <w:rPr>
                <w:rStyle w:val="202"/>
                <w:rFonts w:hint="eastAsia" w:ascii="宋体" w:hAnsi="宋体" w:eastAsia="宋体" w:cs="宋体"/>
                <w:b w:val="0"/>
                <w:bCs/>
                <w:color w:val="auto"/>
                <w:sz w:val="21"/>
                <w:szCs w:val="21"/>
              </w:rPr>
            </w:pPr>
            <w:r>
              <w:rPr>
                <w:rStyle w:val="202"/>
                <w:rFonts w:hint="eastAsia" w:ascii="宋体" w:hAnsi="宋体" w:eastAsia="宋体" w:cs="宋体"/>
                <w:b w:val="0"/>
                <w:bCs/>
                <w:color w:val="auto"/>
                <w:sz w:val="21"/>
                <w:szCs w:val="21"/>
              </w:rPr>
              <w:t>长度:19.5-21厘米</w:t>
            </w:r>
          </w:p>
          <w:p>
            <w:pPr>
              <w:spacing w:line="240" w:lineRule="auto"/>
              <w:jc w:val="left"/>
              <w:rPr>
                <w:rStyle w:val="202"/>
                <w:rFonts w:hint="eastAsia" w:ascii="宋体" w:hAnsi="宋体" w:eastAsia="宋体" w:cs="宋体"/>
                <w:b w:val="0"/>
                <w:bCs/>
                <w:color w:val="auto"/>
                <w:sz w:val="21"/>
                <w:szCs w:val="21"/>
              </w:rPr>
            </w:pPr>
            <w:r>
              <w:rPr>
                <w:rStyle w:val="202"/>
                <w:rFonts w:hint="eastAsia" w:ascii="宋体" w:hAnsi="宋体" w:eastAsia="宋体" w:cs="宋体"/>
                <w:b w:val="0"/>
                <w:bCs/>
                <w:color w:val="auto"/>
                <w:sz w:val="21"/>
                <w:szCs w:val="21"/>
              </w:rPr>
              <w:t>材质:劳保棉纱</w:t>
            </w:r>
          </w:p>
          <w:p>
            <w:pPr>
              <w:spacing w:line="240" w:lineRule="auto"/>
              <w:jc w:val="left"/>
              <w:rPr>
                <w:rStyle w:val="202"/>
                <w:rFonts w:hint="eastAsia" w:ascii="宋体" w:hAnsi="宋体" w:eastAsia="宋体" w:cs="宋体"/>
                <w:b w:val="0"/>
                <w:bCs/>
                <w:color w:val="auto"/>
                <w:sz w:val="21"/>
                <w:szCs w:val="21"/>
              </w:rPr>
            </w:pPr>
            <w:r>
              <w:rPr>
                <w:rStyle w:val="202"/>
                <w:rFonts w:hint="eastAsia" w:ascii="宋体" w:hAnsi="宋体" w:eastAsia="宋体" w:cs="宋体"/>
                <w:b w:val="0"/>
                <w:bCs/>
                <w:color w:val="auto"/>
                <w:sz w:val="21"/>
                <w:szCs w:val="21"/>
              </w:rPr>
              <w:t>纤维含量：棉14.2%、聚酯纤维85.8%</w:t>
            </w:r>
          </w:p>
          <w:p>
            <w:pPr>
              <w:spacing w:line="240" w:lineRule="auto"/>
              <w:jc w:val="left"/>
              <w:rPr>
                <w:rStyle w:val="202"/>
                <w:rFonts w:hint="eastAsia" w:ascii="宋体" w:hAnsi="宋体" w:eastAsia="宋体" w:cs="宋体"/>
                <w:b w:val="0"/>
                <w:bCs/>
                <w:color w:val="auto"/>
                <w:sz w:val="21"/>
                <w:szCs w:val="21"/>
              </w:rPr>
            </w:pPr>
            <w:r>
              <w:rPr>
                <w:rStyle w:val="202"/>
                <w:rFonts w:hint="eastAsia" w:ascii="宋体" w:hAnsi="宋体" w:eastAsia="宋体" w:cs="宋体"/>
                <w:b w:val="0"/>
                <w:bCs/>
                <w:color w:val="auto"/>
                <w:sz w:val="21"/>
                <w:szCs w:val="21"/>
              </w:rPr>
              <w:t>线密度：35.8S</w:t>
            </w:r>
          </w:p>
          <w:p>
            <w:pPr>
              <w:spacing w:line="240" w:lineRule="auto"/>
              <w:jc w:val="left"/>
              <w:rPr>
                <w:rStyle w:val="202"/>
                <w:rFonts w:hint="eastAsia" w:ascii="宋体" w:hAnsi="宋体" w:eastAsia="宋体" w:cs="宋体"/>
                <w:b w:val="0"/>
                <w:bCs/>
                <w:color w:val="auto"/>
                <w:sz w:val="21"/>
                <w:szCs w:val="21"/>
              </w:rPr>
            </w:pPr>
            <w:r>
              <w:rPr>
                <w:rStyle w:val="202"/>
                <w:rFonts w:hint="eastAsia" w:ascii="宋体" w:hAnsi="宋体" w:eastAsia="宋体" w:cs="宋体"/>
                <w:b w:val="0"/>
                <w:bCs/>
                <w:color w:val="auto"/>
                <w:sz w:val="21"/>
                <w:szCs w:val="21"/>
              </w:rPr>
              <w:t>克重：164g/m2</w:t>
            </w:r>
          </w:p>
          <w:p>
            <w:pPr>
              <w:spacing w:line="240" w:lineRule="auto"/>
              <w:jc w:val="left"/>
              <w:rPr>
                <w:rStyle w:val="202"/>
                <w:rFonts w:hint="eastAsia" w:ascii="宋体" w:hAnsi="宋体" w:eastAsia="宋体" w:cs="宋体"/>
                <w:b w:val="0"/>
                <w:bCs/>
                <w:color w:val="auto"/>
                <w:sz w:val="21"/>
                <w:szCs w:val="21"/>
              </w:rPr>
            </w:pPr>
            <w:r>
              <w:rPr>
                <w:rStyle w:val="202"/>
                <w:rFonts w:hint="eastAsia" w:ascii="宋体" w:hAnsi="宋体" w:eastAsia="宋体" w:cs="宋体"/>
                <w:b w:val="0"/>
                <w:bCs/>
                <w:color w:val="auto"/>
                <w:sz w:val="21"/>
                <w:szCs w:val="21"/>
              </w:rPr>
              <w:t>织物密度：单面16348圈数/100cm</w:t>
            </w:r>
          </w:p>
          <w:p>
            <w:pPr>
              <w:spacing w:line="240" w:lineRule="auto"/>
              <w:jc w:val="left"/>
              <w:rPr>
                <w:rStyle w:val="202"/>
                <w:rFonts w:hint="eastAsia" w:ascii="宋体" w:hAnsi="宋体" w:eastAsia="宋体" w:cs="宋体"/>
                <w:b w:val="0"/>
                <w:bCs/>
                <w:color w:val="auto"/>
                <w:sz w:val="21"/>
                <w:szCs w:val="21"/>
              </w:rPr>
            </w:pPr>
            <w:r>
              <w:rPr>
                <w:rStyle w:val="202"/>
                <w:rFonts w:hint="eastAsia" w:ascii="宋体" w:hAnsi="宋体" w:eastAsia="宋体" w:cs="宋体"/>
                <w:b w:val="0"/>
                <w:bCs/>
                <w:color w:val="auto"/>
                <w:sz w:val="21"/>
                <w:szCs w:val="21"/>
              </w:rPr>
              <w:t>甲醛含量：未检出</w:t>
            </w:r>
          </w:p>
          <w:p>
            <w:pPr>
              <w:spacing w:line="240" w:lineRule="auto"/>
              <w:jc w:val="left"/>
              <w:rPr>
                <w:rFonts w:hint="eastAsia" w:ascii="宋体" w:hAnsi="宋体" w:eastAsia="宋体" w:cs="宋体"/>
                <w:b w:val="0"/>
                <w:bCs/>
                <w:color w:val="auto"/>
                <w:sz w:val="21"/>
                <w:szCs w:val="21"/>
              </w:rPr>
            </w:pPr>
            <w:r>
              <w:rPr>
                <w:rStyle w:val="202"/>
                <w:rFonts w:hint="eastAsia" w:ascii="宋体" w:hAnsi="宋体" w:eastAsia="宋体" w:cs="宋体"/>
                <w:b w:val="0"/>
                <w:bCs/>
                <w:color w:val="auto"/>
                <w:sz w:val="21"/>
                <w:szCs w:val="21"/>
              </w:rPr>
              <w:t>PH值：6.6</w:t>
            </w:r>
          </w:p>
        </w:tc>
        <w:tc>
          <w:tcPr>
            <w:tcW w:w="709" w:type="dxa"/>
            <w:shd w:val="clear" w:color="auto" w:fill="auto"/>
            <w:vAlign w:val="center"/>
          </w:tcPr>
          <w:p>
            <w:pPr>
              <w:widowControl/>
              <w:jc w:val="center"/>
              <w:textAlignment w:val="center"/>
              <w:rPr>
                <w:rFonts w:hint="eastAsia" w:ascii="宋体" w:hAnsi="宋体" w:eastAsia="宋体" w:cs="宋体"/>
                <w:b w:val="0"/>
                <w:bCs/>
                <w:color w:val="auto"/>
                <w:sz w:val="21"/>
                <w:szCs w:val="21"/>
              </w:rPr>
            </w:pPr>
            <w:r>
              <w:rPr>
                <w:rFonts w:hint="eastAsia" w:ascii="宋体" w:hAnsi="宋体" w:eastAsia="宋体" w:cs="宋体"/>
                <w:b w:val="0"/>
                <w:bCs/>
                <w:color w:val="auto"/>
                <w:kern w:val="0"/>
                <w:sz w:val="21"/>
                <w:szCs w:val="21"/>
                <w:lang w:bidi="ar"/>
              </w:rPr>
              <w:t>双</w:t>
            </w:r>
          </w:p>
        </w:tc>
        <w:tc>
          <w:tcPr>
            <w:tcW w:w="844" w:type="dxa"/>
            <w:shd w:val="clear" w:color="auto" w:fill="auto"/>
            <w:vAlign w:val="center"/>
          </w:tcPr>
          <w:p>
            <w:pPr>
              <w:widowControl/>
              <w:jc w:val="center"/>
              <w:textAlignment w:val="center"/>
              <w:rPr>
                <w:rFonts w:hint="eastAsia" w:ascii="宋体" w:hAnsi="宋体" w:eastAsia="宋体" w:cs="宋体"/>
                <w:b w:val="0"/>
                <w:bCs/>
                <w:color w:val="auto"/>
                <w:sz w:val="21"/>
                <w:szCs w:val="21"/>
              </w:rPr>
            </w:pPr>
            <w:r>
              <w:rPr>
                <w:rFonts w:hint="eastAsia" w:ascii="宋体" w:hAnsi="宋体" w:eastAsia="宋体" w:cs="宋体"/>
                <w:b w:val="0"/>
                <w:bCs/>
                <w:color w:val="auto"/>
                <w:kern w:val="0"/>
                <w:sz w:val="21"/>
                <w:szCs w:val="21"/>
                <w:lang w:bidi="ar"/>
              </w:rPr>
              <w:t>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9" w:type="dxa"/>
            <w:vAlign w:val="center"/>
          </w:tcPr>
          <w:p>
            <w:pPr>
              <w:spacing w:line="240" w:lineRule="auto"/>
              <w:jc w:val="center"/>
              <w:rPr>
                <w:rFonts w:hint="eastAsia" w:ascii="宋体" w:hAnsi="宋体" w:eastAsia="宋体" w:cs="宋体"/>
                <w:b w:val="0"/>
                <w:bCs/>
                <w:color w:val="auto"/>
                <w:sz w:val="21"/>
                <w:szCs w:val="21"/>
              </w:rPr>
            </w:pPr>
            <w:r>
              <w:rPr>
                <w:rStyle w:val="202"/>
                <w:rFonts w:hint="eastAsia" w:ascii="宋体" w:hAnsi="宋体" w:eastAsia="宋体" w:cs="宋体"/>
                <w:b w:val="0"/>
                <w:bCs/>
                <w:color w:val="auto"/>
                <w:sz w:val="21"/>
                <w:szCs w:val="21"/>
              </w:rPr>
              <w:t>7</w:t>
            </w:r>
          </w:p>
        </w:tc>
        <w:tc>
          <w:tcPr>
            <w:tcW w:w="1139" w:type="dxa"/>
            <w:shd w:val="clear" w:color="auto" w:fill="auto"/>
            <w:vAlign w:val="center"/>
          </w:tcPr>
          <w:p>
            <w:pPr>
              <w:spacing w:line="240" w:lineRule="auto"/>
              <w:jc w:val="center"/>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w:t>
            </w:r>
            <w:r>
              <w:rPr>
                <w:rStyle w:val="202"/>
                <w:rFonts w:hint="eastAsia" w:ascii="宋体" w:hAnsi="宋体" w:eastAsia="宋体" w:cs="宋体"/>
                <w:b w:val="0"/>
                <w:bCs/>
                <w:color w:val="auto"/>
                <w:sz w:val="21"/>
                <w:szCs w:val="21"/>
              </w:rPr>
              <w:t>雨衣</w:t>
            </w:r>
          </w:p>
        </w:tc>
        <w:tc>
          <w:tcPr>
            <w:tcW w:w="6237" w:type="dxa"/>
            <w:shd w:val="clear" w:color="auto" w:fill="auto"/>
            <w:vAlign w:val="center"/>
          </w:tcPr>
          <w:p>
            <w:pPr>
              <w:spacing w:line="240" w:lineRule="auto"/>
              <w:jc w:val="left"/>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雨衣面料透气率 mm/s（根据 GB/T 5453-1997 压降：100 Pa 试验面积：20cm²），★测试结果：0.145，符合FZ/T14023-2012</w:t>
            </w:r>
          </w:p>
          <w:p>
            <w:pPr>
              <w:spacing w:line="240" w:lineRule="auto"/>
              <w:jc w:val="left"/>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 xml:space="preserve">雨衣面料静水压 kPa (根据GB/T 4744-1997 增压法：6.0kPa/min 水温：20.0℃ 正面向下接触水面)，★检测结果平均值： 151，符合FZ/T14023-2012. </w:t>
            </w:r>
          </w:p>
          <w:p>
            <w:pPr>
              <w:pStyle w:val="2"/>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lang w:eastAsia="zh-CN" w:bidi="zh-CN"/>
              </w:rPr>
              <w:t>带“</w:t>
            </w:r>
            <w:r>
              <w:rPr>
                <w:rFonts w:hint="eastAsia" w:ascii="宋体" w:hAnsi="宋体" w:eastAsia="宋体" w:cs="宋体"/>
                <w:b w:val="0"/>
                <w:bCs/>
                <w:color w:val="auto"/>
                <w:sz w:val="21"/>
                <w:szCs w:val="21"/>
              </w:rPr>
              <w:t>★</w:t>
            </w:r>
            <w:r>
              <w:rPr>
                <w:rFonts w:hint="eastAsia" w:ascii="宋体" w:hAnsi="宋体" w:eastAsia="宋体" w:cs="宋体"/>
                <w:b w:val="0"/>
                <w:bCs/>
                <w:color w:val="auto"/>
                <w:sz w:val="21"/>
                <w:szCs w:val="21"/>
                <w:lang w:eastAsia="zh-CN" w:bidi="zh-CN"/>
              </w:rPr>
              <w:t>”需</w:t>
            </w:r>
            <w:r>
              <w:rPr>
                <w:rFonts w:hint="eastAsia" w:ascii="宋体" w:hAnsi="宋体" w:eastAsia="宋体" w:cs="宋体"/>
                <w:b w:val="0"/>
                <w:bCs/>
                <w:color w:val="auto"/>
                <w:sz w:val="21"/>
                <w:szCs w:val="21"/>
                <w:lang w:bidi="zh-CN"/>
              </w:rPr>
              <w:t>提供具有检测资质的第三方的质检报告</w:t>
            </w:r>
          </w:p>
        </w:tc>
        <w:tc>
          <w:tcPr>
            <w:tcW w:w="709" w:type="dxa"/>
            <w:shd w:val="clear" w:color="auto" w:fill="auto"/>
            <w:vAlign w:val="center"/>
          </w:tcPr>
          <w:p>
            <w:pPr>
              <w:widowControl/>
              <w:jc w:val="center"/>
              <w:textAlignment w:val="center"/>
              <w:rPr>
                <w:rFonts w:hint="eastAsia" w:ascii="宋体" w:hAnsi="宋体" w:eastAsia="宋体" w:cs="宋体"/>
                <w:b w:val="0"/>
                <w:bCs/>
                <w:color w:val="auto"/>
                <w:sz w:val="21"/>
                <w:szCs w:val="21"/>
              </w:rPr>
            </w:pPr>
            <w:r>
              <w:rPr>
                <w:rFonts w:hint="eastAsia" w:ascii="宋体" w:hAnsi="宋体" w:eastAsia="宋体" w:cs="宋体"/>
                <w:b w:val="0"/>
                <w:bCs/>
                <w:color w:val="auto"/>
                <w:kern w:val="0"/>
                <w:sz w:val="21"/>
                <w:szCs w:val="21"/>
                <w:lang w:bidi="ar"/>
              </w:rPr>
              <w:t>套</w:t>
            </w:r>
          </w:p>
        </w:tc>
        <w:tc>
          <w:tcPr>
            <w:tcW w:w="844" w:type="dxa"/>
            <w:shd w:val="clear" w:color="auto" w:fill="auto"/>
            <w:vAlign w:val="center"/>
          </w:tcPr>
          <w:p>
            <w:pPr>
              <w:widowControl/>
              <w:jc w:val="center"/>
              <w:textAlignment w:val="center"/>
              <w:rPr>
                <w:rFonts w:hint="eastAsia" w:ascii="宋体" w:hAnsi="宋体" w:eastAsia="宋体" w:cs="宋体"/>
                <w:b w:val="0"/>
                <w:bCs/>
                <w:color w:val="auto"/>
                <w:sz w:val="21"/>
                <w:szCs w:val="21"/>
              </w:rPr>
            </w:pPr>
            <w:r>
              <w:rPr>
                <w:rFonts w:hint="eastAsia" w:ascii="宋体" w:hAnsi="宋体" w:eastAsia="宋体" w:cs="宋体"/>
                <w:b w:val="0"/>
                <w:bCs/>
                <w:color w:val="auto"/>
                <w:kern w:val="0"/>
                <w:sz w:val="21"/>
                <w:szCs w:val="21"/>
                <w:lang w:bidi="ar"/>
              </w:rPr>
              <w:t>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9" w:type="dxa"/>
            <w:vAlign w:val="center"/>
          </w:tcPr>
          <w:p>
            <w:pPr>
              <w:spacing w:line="240" w:lineRule="auto"/>
              <w:jc w:val="center"/>
              <w:rPr>
                <w:rFonts w:hint="eastAsia" w:ascii="宋体" w:hAnsi="宋体" w:eastAsia="宋体" w:cs="宋体"/>
                <w:b w:val="0"/>
                <w:bCs/>
                <w:color w:val="auto"/>
                <w:sz w:val="21"/>
                <w:szCs w:val="21"/>
              </w:rPr>
            </w:pPr>
            <w:r>
              <w:rPr>
                <w:rStyle w:val="202"/>
                <w:rFonts w:hint="eastAsia" w:ascii="宋体" w:hAnsi="宋体" w:eastAsia="宋体" w:cs="宋体"/>
                <w:b w:val="0"/>
                <w:bCs/>
                <w:color w:val="auto"/>
                <w:sz w:val="21"/>
                <w:szCs w:val="21"/>
              </w:rPr>
              <w:t>8</w:t>
            </w:r>
          </w:p>
        </w:tc>
        <w:tc>
          <w:tcPr>
            <w:tcW w:w="1139" w:type="dxa"/>
            <w:shd w:val="clear" w:color="auto" w:fill="auto"/>
            <w:vAlign w:val="center"/>
          </w:tcPr>
          <w:p>
            <w:pPr>
              <w:spacing w:line="240" w:lineRule="auto"/>
              <w:jc w:val="center"/>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w:t>
            </w:r>
            <w:r>
              <w:rPr>
                <w:rStyle w:val="202"/>
                <w:rFonts w:hint="eastAsia" w:ascii="宋体" w:hAnsi="宋体" w:eastAsia="宋体" w:cs="宋体"/>
                <w:b w:val="0"/>
                <w:bCs/>
                <w:color w:val="auto"/>
                <w:sz w:val="21"/>
                <w:szCs w:val="21"/>
              </w:rPr>
              <w:t>雨鞋</w:t>
            </w:r>
          </w:p>
        </w:tc>
        <w:tc>
          <w:tcPr>
            <w:tcW w:w="6237" w:type="dxa"/>
            <w:shd w:val="clear" w:color="auto" w:fill="auto"/>
            <w:vAlign w:val="center"/>
          </w:tcPr>
          <w:p>
            <w:pPr>
              <w:spacing w:line="240" w:lineRule="auto"/>
              <w:jc w:val="left"/>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靴面无气泡冒出。</w:t>
            </w:r>
          </w:p>
          <w:p>
            <w:pPr>
              <w:spacing w:line="240" w:lineRule="auto"/>
              <w:jc w:val="left"/>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★前掌着力部位最厚处厚度10.0mm±0.8mm、</w:t>
            </w:r>
          </w:p>
          <w:p>
            <w:pPr>
              <w:spacing w:line="240" w:lineRule="auto"/>
              <w:jc w:val="left"/>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★底板厚度4.2mm±0.5mm、</w:t>
            </w:r>
          </w:p>
          <w:p>
            <w:pPr>
              <w:spacing w:line="240" w:lineRule="auto"/>
              <w:jc w:val="left"/>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★后跟着力部位厚度20.4mm±0.7mm、</w:t>
            </w:r>
          </w:p>
          <w:p>
            <w:pPr>
              <w:spacing w:line="240" w:lineRule="auto"/>
              <w:jc w:val="left"/>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★靴（鞋）面厚度1.3mm±0.2mm</w:t>
            </w:r>
          </w:p>
          <w:p>
            <w:pPr>
              <w:pStyle w:val="2"/>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lang w:eastAsia="zh-CN" w:bidi="zh-CN"/>
              </w:rPr>
              <w:t>带“</w:t>
            </w:r>
            <w:r>
              <w:rPr>
                <w:rFonts w:hint="eastAsia" w:ascii="宋体" w:hAnsi="宋体" w:eastAsia="宋体" w:cs="宋体"/>
                <w:b w:val="0"/>
                <w:bCs/>
                <w:color w:val="auto"/>
                <w:sz w:val="21"/>
                <w:szCs w:val="21"/>
              </w:rPr>
              <w:t>★</w:t>
            </w:r>
            <w:r>
              <w:rPr>
                <w:rFonts w:hint="eastAsia" w:ascii="宋体" w:hAnsi="宋体" w:eastAsia="宋体" w:cs="宋体"/>
                <w:b w:val="0"/>
                <w:bCs/>
                <w:color w:val="auto"/>
                <w:sz w:val="21"/>
                <w:szCs w:val="21"/>
                <w:lang w:eastAsia="zh-CN" w:bidi="zh-CN"/>
              </w:rPr>
              <w:t>”需</w:t>
            </w:r>
            <w:r>
              <w:rPr>
                <w:rFonts w:hint="eastAsia" w:ascii="宋体" w:hAnsi="宋体" w:eastAsia="宋体" w:cs="宋体"/>
                <w:b w:val="0"/>
                <w:bCs/>
                <w:color w:val="auto"/>
                <w:sz w:val="21"/>
                <w:szCs w:val="21"/>
                <w:lang w:bidi="zh-CN"/>
              </w:rPr>
              <w:t>提供具有检测资质的第三方的质检报告</w:t>
            </w:r>
          </w:p>
        </w:tc>
        <w:tc>
          <w:tcPr>
            <w:tcW w:w="709" w:type="dxa"/>
            <w:shd w:val="clear" w:color="auto" w:fill="auto"/>
            <w:vAlign w:val="center"/>
          </w:tcPr>
          <w:p>
            <w:pPr>
              <w:widowControl/>
              <w:jc w:val="center"/>
              <w:textAlignment w:val="center"/>
              <w:rPr>
                <w:rFonts w:hint="eastAsia" w:ascii="宋体" w:hAnsi="宋体" w:eastAsia="宋体" w:cs="宋体"/>
                <w:b w:val="0"/>
                <w:bCs/>
                <w:color w:val="auto"/>
                <w:sz w:val="21"/>
                <w:szCs w:val="21"/>
              </w:rPr>
            </w:pPr>
            <w:r>
              <w:rPr>
                <w:rFonts w:hint="eastAsia" w:ascii="宋体" w:hAnsi="宋体" w:eastAsia="宋体" w:cs="宋体"/>
                <w:b w:val="0"/>
                <w:bCs/>
                <w:color w:val="auto"/>
                <w:kern w:val="0"/>
                <w:sz w:val="21"/>
                <w:szCs w:val="21"/>
                <w:lang w:bidi="ar"/>
              </w:rPr>
              <w:t>双</w:t>
            </w:r>
          </w:p>
        </w:tc>
        <w:tc>
          <w:tcPr>
            <w:tcW w:w="844" w:type="dxa"/>
            <w:shd w:val="clear" w:color="auto" w:fill="auto"/>
            <w:vAlign w:val="center"/>
          </w:tcPr>
          <w:p>
            <w:pPr>
              <w:widowControl/>
              <w:jc w:val="center"/>
              <w:textAlignment w:val="center"/>
              <w:rPr>
                <w:rFonts w:hint="eastAsia" w:ascii="宋体" w:hAnsi="宋体" w:eastAsia="宋体" w:cs="宋体"/>
                <w:b w:val="0"/>
                <w:bCs/>
                <w:color w:val="auto"/>
                <w:sz w:val="21"/>
                <w:szCs w:val="21"/>
              </w:rPr>
            </w:pPr>
            <w:r>
              <w:rPr>
                <w:rFonts w:hint="eastAsia" w:ascii="宋体" w:hAnsi="宋体" w:eastAsia="宋体" w:cs="宋体"/>
                <w:b w:val="0"/>
                <w:bCs/>
                <w:color w:val="auto"/>
                <w:kern w:val="0"/>
                <w:sz w:val="21"/>
                <w:szCs w:val="21"/>
                <w:lang w:bidi="ar"/>
              </w:rPr>
              <w:t>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9" w:type="dxa"/>
            <w:vAlign w:val="center"/>
          </w:tcPr>
          <w:p>
            <w:pPr>
              <w:spacing w:line="240" w:lineRule="auto"/>
              <w:jc w:val="center"/>
              <w:rPr>
                <w:rFonts w:hint="eastAsia" w:ascii="宋体" w:hAnsi="宋体" w:eastAsia="宋体" w:cs="宋体"/>
                <w:b w:val="0"/>
                <w:bCs/>
                <w:color w:val="auto"/>
                <w:sz w:val="21"/>
                <w:szCs w:val="21"/>
              </w:rPr>
            </w:pPr>
            <w:r>
              <w:rPr>
                <w:rStyle w:val="202"/>
                <w:rFonts w:hint="eastAsia" w:ascii="宋体" w:hAnsi="宋体" w:eastAsia="宋体" w:cs="宋体"/>
                <w:b w:val="0"/>
                <w:bCs/>
                <w:color w:val="auto"/>
                <w:sz w:val="21"/>
                <w:szCs w:val="21"/>
              </w:rPr>
              <w:t>9</w:t>
            </w:r>
          </w:p>
        </w:tc>
        <w:tc>
          <w:tcPr>
            <w:tcW w:w="1139" w:type="dxa"/>
            <w:shd w:val="clear" w:color="auto" w:fill="auto"/>
            <w:vAlign w:val="center"/>
          </w:tcPr>
          <w:p>
            <w:pPr>
              <w:spacing w:line="240" w:lineRule="auto"/>
              <w:jc w:val="center"/>
              <w:rPr>
                <w:rFonts w:hint="eastAsia" w:ascii="宋体" w:hAnsi="宋体" w:eastAsia="宋体" w:cs="宋体"/>
                <w:b w:val="0"/>
                <w:bCs/>
                <w:color w:val="auto"/>
                <w:sz w:val="21"/>
                <w:szCs w:val="21"/>
              </w:rPr>
            </w:pPr>
            <w:r>
              <w:rPr>
                <w:rStyle w:val="202"/>
                <w:rFonts w:hint="eastAsia" w:ascii="宋体" w:hAnsi="宋体" w:eastAsia="宋体" w:cs="宋体"/>
                <w:b w:val="0"/>
                <w:bCs/>
                <w:color w:val="auto"/>
                <w:sz w:val="21"/>
                <w:szCs w:val="21"/>
              </w:rPr>
              <w:t>救生衣</w:t>
            </w:r>
          </w:p>
        </w:tc>
        <w:tc>
          <w:tcPr>
            <w:tcW w:w="6237" w:type="dxa"/>
            <w:shd w:val="clear" w:color="auto" w:fill="auto"/>
            <w:vAlign w:val="center"/>
          </w:tcPr>
          <w:p>
            <w:pPr>
              <w:spacing w:line="240" w:lineRule="auto"/>
              <w:jc w:val="left"/>
              <w:rPr>
                <w:rStyle w:val="202"/>
                <w:rFonts w:hint="eastAsia" w:ascii="宋体" w:hAnsi="宋体" w:eastAsia="宋体" w:cs="宋体"/>
                <w:b w:val="0"/>
                <w:bCs/>
                <w:color w:val="auto"/>
                <w:sz w:val="21"/>
                <w:szCs w:val="21"/>
              </w:rPr>
            </w:pPr>
            <w:r>
              <w:rPr>
                <w:rStyle w:val="202"/>
                <w:rFonts w:hint="eastAsia" w:ascii="宋体" w:hAnsi="宋体" w:eastAsia="宋体" w:cs="宋体"/>
                <w:b w:val="0"/>
                <w:bCs/>
                <w:color w:val="auto"/>
                <w:sz w:val="21"/>
                <w:szCs w:val="21"/>
              </w:rPr>
              <w:t>1、救生衣为橙色，在平静的水线上有200cm²的反光材料，且配备耐腐蚀哨笛一只；</w:t>
            </w:r>
          </w:p>
          <w:p>
            <w:pPr>
              <w:spacing w:line="240" w:lineRule="auto"/>
              <w:jc w:val="left"/>
              <w:rPr>
                <w:rStyle w:val="202"/>
                <w:rFonts w:hint="eastAsia" w:ascii="宋体" w:hAnsi="宋体" w:eastAsia="宋体" w:cs="宋体"/>
                <w:b w:val="0"/>
                <w:bCs/>
                <w:color w:val="auto"/>
                <w:sz w:val="21"/>
                <w:szCs w:val="21"/>
              </w:rPr>
            </w:pPr>
            <w:r>
              <w:rPr>
                <w:rStyle w:val="202"/>
                <w:rFonts w:hint="eastAsia" w:ascii="宋体" w:hAnsi="宋体" w:eastAsia="宋体" w:cs="宋体"/>
                <w:b w:val="0"/>
                <w:bCs/>
                <w:color w:val="auto"/>
                <w:sz w:val="21"/>
                <w:szCs w:val="21"/>
              </w:rPr>
              <w:t>2、救生衣应能适应-30℃和+65℃的工作环境，无明开变化；</w:t>
            </w:r>
          </w:p>
          <w:p>
            <w:pPr>
              <w:spacing w:line="240" w:lineRule="auto"/>
              <w:jc w:val="left"/>
              <w:rPr>
                <w:rStyle w:val="202"/>
                <w:rFonts w:hint="eastAsia" w:ascii="宋体" w:hAnsi="宋体" w:eastAsia="宋体" w:cs="宋体"/>
                <w:b w:val="0"/>
                <w:bCs/>
                <w:color w:val="auto"/>
                <w:sz w:val="21"/>
                <w:szCs w:val="21"/>
              </w:rPr>
            </w:pPr>
            <w:r>
              <w:rPr>
                <w:rStyle w:val="202"/>
                <w:rFonts w:hint="eastAsia" w:ascii="宋体" w:hAnsi="宋体" w:eastAsia="宋体" w:cs="宋体"/>
                <w:b w:val="0"/>
                <w:bCs/>
                <w:color w:val="auto"/>
                <w:sz w:val="21"/>
                <w:szCs w:val="21"/>
              </w:rPr>
              <w:t>3、浮力：96.53N</w:t>
            </w:r>
          </w:p>
          <w:p>
            <w:pPr>
              <w:spacing w:line="240" w:lineRule="auto"/>
              <w:jc w:val="left"/>
              <w:rPr>
                <w:rStyle w:val="202"/>
                <w:rFonts w:hint="eastAsia" w:ascii="宋体" w:hAnsi="宋体" w:eastAsia="宋体" w:cs="宋体"/>
                <w:b w:val="0"/>
                <w:bCs/>
                <w:color w:val="auto"/>
                <w:sz w:val="21"/>
                <w:szCs w:val="21"/>
              </w:rPr>
            </w:pPr>
            <w:r>
              <w:rPr>
                <w:rStyle w:val="202"/>
                <w:rFonts w:hint="eastAsia" w:ascii="宋体" w:hAnsi="宋体" w:eastAsia="宋体" w:cs="宋体"/>
                <w:b w:val="0"/>
                <w:bCs/>
                <w:color w:val="auto"/>
                <w:sz w:val="21"/>
                <w:szCs w:val="21"/>
              </w:rPr>
              <w:t>4、救生衣具有耐燃烧性，在移出火焰后，未燃烧或继续熔化；</w:t>
            </w:r>
          </w:p>
          <w:p>
            <w:pPr>
              <w:spacing w:line="240" w:lineRule="auto"/>
              <w:jc w:val="left"/>
              <w:rPr>
                <w:rStyle w:val="202"/>
                <w:rFonts w:hint="eastAsia" w:ascii="宋体" w:hAnsi="宋体" w:eastAsia="宋体" w:cs="宋体"/>
                <w:b w:val="0"/>
                <w:bCs/>
                <w:color w:val="auto"/>
                <w:sz w:val="21"/>
                <w:szCs w:val="21"/>
              </w:rPr>
            </w:pPr>
            <w:r>
              <w:rPr>
                <w:rStyle w:val="202"/>
                <w:rFonts w:hint="eastAsia" w:ascii="宋体" w:hAnsi="宋体" w:eastAsia="宋体" w:cs="宋体"/>
                <w:b w:val="0"/>
                <w:bCs/>
                <w:color w:val="auto"/>
                <w:sz w:val="21"/>
                <w:szCs w:val="21"/>
              </w:rPr>
              <w:t>5、浸水性能：保持人体垂直或后倾状态，使其头部露出水面，未发现有将穿着者面部浸入水中的倾向；</w:t>
            </w:r>
          </w:p>
          <w:p>
            <w:pPr>
              <w:spacing w:line="240" w:lineRule="auto"/>
              <w:jc w:val="left"/>
              <w:rPr>
                <w:rFonts w:hint="eastAsia" w:ascii="宋体" w:hAnsi="宋体" w:eastAsia="宋体" w:cs="宋体"/>
                <w:b w:val="0"/>
                <w:bCs/>
                <w:color w:val="auto"/>
                <w:sz w:val="21"/>
                <w:szCs w:val="21"/>
              </w:rPr>
            </w:pPr>
            <w:r>
              <w:rPr>
                <w:rStyle w:val="202"/>
                <w:rFonts w:hint="eastAsia" w:ascii="宋体" w:hAnsi="宋体" w:eastAsia="宋体" w:cs="宋体"/>
                <w:b w:val="0"/>
                <w:bCs/>
                <w:color w:val="auto"/>
                <w:sz w:val="21"/>
                <w:szCs w:val="21"/>
              </w:rPr>
              <w:t>6、包布抗拉破断强度径向1178N、纬向1245N、缚带拉破断强度2133N、缝线抗拉破断强度24.96N；</w:t>
            </w:r>
          </w:p>
        </w:tc>
        <w:tc>
          <w:tcPr>
            <w:tcW w:w="709" w:type="dxa"/>
            <w:shd w:val="clear" w:color="auto" w:fill="auto"/>
            <w:vAlign w:val="center"/>
          </w:tcPr>
          <w:p>
            <w:pPr>
              <w:widowControl/>
              <w:jc w:val="center"/>
              <w:textAlignment w:val="center"/>
              <w:rPr>
                <w:rFonts w:hint="eastAsia" w:ascii="宋体" w:hAnsi="宋体" w:eastAsia="宋体" w:cs="宋体"/>
                <w:b w:val="0"/>
                <w:bCs/>
                <w:color w:val="auto"/>
                <w:sz w:val="21"/>
                <w:szCs w:val="21"/>
              </w:rPr>
            </w:pPr>
            <w:r>
              <w:rPr>
                <w:rFonts w:hint="eastAsia" w:ascii="宋体" w:hAnsi="宋体" w:eastAsia="宋体" w:cs="宋体"/>
                <w:b w:val="0"/>
                <w:bCs/>
                <w:color w:val="auto"/>
                <w:kern w:val="0"/>
                <w:sz w:val="21"/>
                <w:szCs w:val="21"/>
                <w:lang w:bidi="ar"/>
              </w:rPr>
              <w:t>件</w:t>
            </w:r>
          </w:p>
        </w:tc>
        <w:tc>
          <w:tcPr>
            <w:tcW w:w="844" w:type="dxa"/>
            <w:shd w:val="clear" w:color="auto" w:fill="auto"/>
            <w:vAlign w:val="center"/>
          </w:tcPr>
          <w:p>
            <w:pPr>
              <w:widowControl/>
              <w:jc w:val="center"/>
              <w:textAlignment w:val="center"/>
              <w:rPr>
                <w:rFonts w:hint="eastAsia" w:ascii="宋体" w:hAnsi="宋体" w:eastAsia="宋体" w:cs="宋体"/>
                <w:b w:val="0"/>
                <w:bCs/>
                <w:color w:val="auto"/>
                <w:sz w:val="21"/>
                <w:szCs w:val="21"/>
              </w:rPr>
            </w:pPr>
            <w:r>
              <w:rPr>
                <w:rFonts w:hint="eastAsia" w:ascii="宋体" w:hAnsi="宋体" w:eastAsia="宋体" w:cs="宋体"/>
                <w:b w:val="0"/>
                <w:bCs/>
                <w:color w:val="auto"/>
                <w:kern w:val="0"/>
                <w:sz w:val="21"/>
                <w:szCs w:val="21"/>
                <w:lang w:bidi="ar"/>
              </w:rPr>
              <w:t>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9" w:type="dxa"/>
            <w:vAlign w:val="center"/>
          </w:tcPr>
          <w:p>
            <w:pPr>
              <w:spacing w:line="240" w:lineRule="auto"/>
              <w:jc w:val="center"/>
              <w:rPr>
                <w:rFonts w:hint="eastAsia" w:ascii="宋体" w:hAnsi="宋体" w:eastAsia="宋体" w:cs="宋体"/>
                <w:b w:val="0"/>
                <w:bCs/>
                <w:color w:val="auto"/>
                <w:sz w:val="21"/>
                <w:szCs w:val="21"/>
              </w:rPr>
            </w:pPr>
            <w:r>
              <w:rPr>
                <w:rStyle w:val="202"/>
                <w:rFonts w:hint="eastAsia" w:ascii="宋体" w:hAnsi="宋体" w:eastAsia="宋体" w:cs="宋体"/>
                <w:b w:val="0"/>
                <w:bCs/>
                <w:color w:val="auto"/>
                <w:sz w:val="21"/>
                <w:szCs w:val="21"/>
              </w:rPr>
              <w:t>10</w:t>
            </w:r>
          </w:p>
        </w:tc>
        <w:tc>
          <w:tcPr>
            <w:tcW w:w="1139" w:type="dxa"/>
            <w:shd w:val="clear" w:color="auto" w:fill="auto"/>
            <w:vAlign w:val="center"/>
          </w:tcPr>
          <w:p>
            <w:pPr>
              <w:spacing w:line="240" w:lineRule="auto"/>
              <w:jc w:val="center"/>
              <w:rPr>
                <w:rFonts w:hint="eastAsia" w:ascii="宋体" w:hAnsi="宋体" w:eastAsia="宋体" w:cs="宋体"/>
                <w:b w:val="0"/>
                <w:bCs/>
                <w:color w:val="auto"/>
                <w:sz w:val="21"/>
                <w:szCs w:val="21"/>
              </w:rPr>
            </w:pPr>
            <w:r>
              <w:rPr>
                <w:rStyle w:val="202"/>
                <w:rFonts w:hint="eastAsia" w:ascii="宋体" w:hAnsi="宋体" w:eastAsia="宋体" w:cs="宋体"/>
                <w:b w:val="0"/>
                <w:bCs/>
                <w:color w:val="auto"/>
                <w:sz w:val="21"/>
                <w:szCs w:val="21"/>
              </w:rPr>
              <w:t>喇叭</w:t>
            </w:r>
          </w:p>
        </w:tc>
        <w:tc>
          <w:tcPr>
            <w:tcW w:w="6237" w:type="dxa"/>
            <w:shd w:val="clear" w:color="auto" w:fill="auto"/>
            <w:vAlign w:val="center"/>
          </w:tcPr>
          <w:p>
            <w:pPr>
              <w:spacing w:line="240" w:lineRule="auto"/>
              <w:jc w:val="left"/>
              <w:rPr>
                <w:rStyle w:val="202"/>
                <w:rFonts w:hint="eastAsia" w:ascii="宋体" w:hAnsi="宋体" w:eastAsia="宋体" w:cs="宋体"/>
                <w:b w:val="0"/>
                <w:bCs/>
                <w:color w:val="auto"/>
                <w:sz w:val="21"/>
                <w:szCs w:val="21"/>
              </w:rPr>
            </w:pPr>
            <w:r>
              <w:rPr>
                <w:rStyle w:val="202"/>
                <w:rFonts w:hint="eastAsia" w:ascii="宋体" w:hAnsi="宋体" w:eastAsia="宋体" w:cs="宋体"/>
                <w:b w:val="0"/>
                <w:bCs/>
                <w:color w:val="auto"/>
                <w:sz w:val="21"/>
                <w:szCs w:val="21"/>
              </w:rPr>
              <w:t>最大功率:30W MAX</w:t>
            </w:r>
          </w:p>
          <w:p>
            <w:pPr>
              <w:spacing w:line="240" w:lineRule="auto"/>
              <w:jc w:val="left"/>
              <w:rPr>
                <w:rStyle w:val="202"/>
                <w:rFonts w:hint="eastAsia" w:ascii="宋体" w:hAnsi="宋体" w:eastAsia="宋体" w:cs="宋体"/>
                <w:b w:val="0"/>
                <w:bCs/>
                <w:color w:val="auto"/>
                <w:sz w:val="21"/>
                <w:szCs w:val="21"/>
              </w:rPr>
            </w:pPr>
            <w:r>
              <w:rPr>
                <w:rStyle w:val="202"/>
                <w:rFonts w:hint="eastAsia" w:ascii="宋体" w:hAnsi="宋体" w:eastAsia="宋体" w:cs="宋体"/>
                <w:b w:val="0"/>
                <w:bCs/>
                <w:color w:val="auto"/>
                <w:sz w:val="21"/>
                <w:szCs w:val="21"/>
              </w:rPr>
              <w:t>传播距离:800米</w:t>
            </w:r>
          </w:p>
          <w:p>
            <w:pPr>
              <w:spacing w:line="240" w:lineRule="auto"/>
              <w:jc w:val="left"/>
              <w:rPr>
                <w:rStyle w:val="202"/>
                <w:rFonts w:hint="eastAsia" w:ascii="宋体" w:hAnsi="宋体" w:eastAsia="宋体" w:cs="宋体"/>
                <w:b w:val="0"/>
                <w:bCs/>
                <w:color w:val="auto"/>
                <w:sz w:val="21"/>
                <w:szCs w:val="21"/>
              </w:rPr>
            </w:pPr>
            <w:r>
              <w:rPr>
                <w:rStyle w:val="202"/>
                <w:rFonts w:hint="eastAsia" w:ascii="宋体" w:hAnsi="宋体" w:eastAsia="宋体" w:cs="宋体"/>
                <w:b w:val="0"/>
                <w:bCs/>
                <w:color w:val="auto"/>
                <w:sz w:val="21"/>
                <w:szCs w:val="21"/>
              </w:rPr>
              <w:t>电池容量:2000mA/h</w:t>
            </w:r>
          </w:p>
          <w:p>
            <w:pPr>
              <w:spacing w:line="240" w:lineRule="auto"/>
              <w:jc w:val="left"/>
              <w:rPr>
                <w:rStyle w:val="202"/>
                <w:rFonts w:hint="eastAsia" w:ascii="宋体" w:hAnsi="宋体" w:eastAsia="宋体" w:cs="宋体"/>
                <w:b w:val="0"/>
                <w:bCs/>
                <w:color w:val="auto"/>
                <w:sz w:val="21"/>
                <w:szCs w:val="21"/>
              </w:rPr>
            </w:pPr>
            <w:r>
              <w:rPr>
                <w:rStyle w:val="202"/>
                <w:rFonts w:hint="eastAsia" w:ascii="宋体" w:hAnsi="宋体" w:eastAsia="宋体" w:cs="宋体"/>
                <w:b w:val="0"/>
                <w:bCs/>
                <w:color w:val="auto"/>
                <w:sz w:val="21"/>
                <w:szCs w:val="21"/>
              </w:rPr>
              <w:t>使用时长:满电15小时(喊话)</w:t>
            </w:r>
          </w:p>
          <w:p>
            <w:pPr>
              <w:spacing w:line="240" w:lineRule="auto"/>
              <w:jc w:val="left"/>
              <w:rPr>
                <w:rStyle w:val="202"/>
                <w:rFonts w:hint="eastAsia" w:ascii="宋体" w:hAnsi="宋体" w:eastAsia="宋体" w:cs="宋体"/>
                <w:b w:val="0"/>
                <w:bCs/>
                <w:color w:val="auto"/>
                <w:sz w:val="21"/>
                <w:szCs w:val="21"/>
              </w:rPr>
            </w:pPr>
            <w:r>
              <w:rPr>
                <w:rStyle w:val="202"/>
                <w:rFonts w:hint="eastAsia" w:ascii="宋体" w:hAnsi="宋体" w:eastAsia="宋体" w:cs="宋体"/>
                <w:b w:val="0"/>
                <w:bCs/>
                <w:color w:val="auto"/>
                <w:sz w:val="21"/>
                <w:szCs w:val="21"/>
              </w:rPr>
              <w:t>充电时间:5小时</w:t>
            </w:r>
          </w:p>
          <w:p>
            <w:pPr>
              <w:spacing w:line="240" w:lineRule="auto"/>
              <w:jc w:val="left"/>
              <w:rPr>
                <w:rFonts w:hint="eastAsia" w:ascii="宋体" w:hAnsi="宋体" w:eastAsia="宋体" w:cs="宋体"/>
                <w:b w:val="0"/>
                <w:bCs/>
                <w:color w:val="auto"/>
                <w:sz w:val="21"/>
                <w:szCs w:val="21"/>
              </w:rPr>
            </w:pPr>
            <w:r>
              <w:rPr>
                <w:rStyle w:val="202"/>
                <w:rFonts w:hint="eastAsia" w:ascii="宋体" w:hAnsi="宋体" w:eastAsia="宋体" w:cs="宋体"/>
                <w:b w:val="0"/>
                <w:bCs/>
                <w:color w:val="auto"/>
                <w:sz w:val="21"/>
                <w:szCs w:val="21"/>
              </w:rPr>
              <w:t>产品功能:喊话、扩音、200秒录音、警报声、内存卡播放</w:t>
            </w:r>
          </w:p>
        </w:tc>
        <w:tc>
          <w:tcPr>
            <w:tcW w:w="709" w:type="dxa"/>
            <w:shd w:val="clear" w:color="auto" w:fill="auto"/>
            <w:vAlign w:val="center"/>
          </w:tcPr>
          <w:p>
            <w:pPr>
              <w:widowControl/>
              <w:jc w:val="center"/>
              <w:textAlignment w:val="center"/>
              <w:rPr>
                <w:rFonts w:hint="eastAsia" w:ascii="宋体" w:hAnsi="宋体" w:eastAsia="宋体" w:cs="宋体"/>
                <w:b w:val="0"/>
                <w:bCs/>
                <w:color w:val="auto"/>
                <w:sz w:val="21"/>
                <w:szCs w:val="21"/>
              </w:rPr>
            </w:pPr>
            <w:r>
              <w:rPr>
                <w:rFonts w:hint="eastAsia" w:ascii="宋体" w:hAnsi="宋体" w:eastAsia="宋体" w:cs="宋体"/>
                <w:b w:val="0"/>
                <w:bCs/>
                <w:color w:val="auto"/>
                <w:kern w:val="0"/>
                <w:sz w:val="21"/>
                <w:szCs w:val="21"/>
                <w:lang w:bidi="ar"/>
              </w:rPr>
              <w:t>个</w:t>
            </w:r>
          </w:p>
        </w:tc>
        <w:tc>
          <w:tcPr>
            <w:tcW w:w="844" w:type="dxa"/>
            <w:shd w:val="clear" w:color="auto" w:fill="auto"/>
            <w:vAlign w:val="center"/>
          </w:tcPr>
          <w:p>
            <w:pPr>
              <w:widowControl/>
              <w:jc w:val="center"/>
              <w:textAlignment w:val="center"/>
              <w:rPr>
                <w:rFonts w:hint="eastAsia" w:ascii="宋体" w:hAnsi="宋体" w:eastAsia="宋体" w:cs="宋体"/>
                <w:b w:val="0"/>
                <w:bCs/>
                <w:color w:val="auto"/>
                <w:sz w:val="21"/>
                <w:szCs w:val="21"/>
              </w:rPr>
            </w:pPr>
            <w:r>
              <w:rPr>
                <w:rFonts w:hint="eastAsia" w:ascii="宋体" w:hAnsi="宋体" w:eastAsia="宋体" w:cs="宋体"/>
                <w:b w:val="0"/>
                <w:bCs/>
                <w:color w:val="auto"/>
                <w:kern w:val="0"/>
                <w:sz w:val="21"/>
                <w:szCs w:val="21"/>
                <w:lang w:bidi="ar"/>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9" w:type="dxa"/>
            <w:vAlign w:val="center"/>
          </w:tcPr>
          <w:p>
            <w:pPr>
              <w:spacing w:line="240" w:lineRule="auto"/>
              <w:jc w:val="center"/>
              <w:rPr>
                <w:rFonts w:hint="eastAsia" w:ascii="宋体" w:hAnsi="宋体" w:eastAsia="宋体" w:cs="宋体"/>
                <w:b w:val="0"/>
                <w:bCs/>
                <w:color w:val="auto"/>
                <w:sz w:val="21"/>
                <w:szCs w:val="21"/>
              </w:rPr>
            </w:pPr>
            <w:r>
              <w:rPr>
                <w:rStyle w:val="202"/>
                <w:rFonts w:hint="eastAsia" w:ascii="宋体" w:hAnsi="宋体" w:eastAsia="宋体" w:cs="宋体"/>
                <w:b w:val="0"/>
                <w:bCs/>
                <w:color w:val="auto"/>
                <w:sz w:val="21"/>
                <w:szCs w:val="21"/>
              </w:rPr>
              <w:t>11</w:t>
            </w:r>
          </w:p>
        </w:tc>
        <w:tc>
          <w:tcPr>
            <w:tcW w:w="1139" w:type="dxa"/>
            <w:shd w:val="clear" w:color="auto" w:fill="auto"/>
            <w:vAlign w:val="center"/>
          </w:tcPr>
          <w:p>
            <w:pPr>
              <w:spacing w:line="240" w:lineRule="auto"/>
              <w:jc w:val="center"/>
              <w:rPr>
                <w:rFonts w:hint="eastAsia" w:ascii="宋体" w:hAnsi="宋体" w:eastAsia="宋体" w:cs="宋体"/>
                <w:b w:val="0"/>
                <w:bCs/>
                <w:color w:val="auto"/>
                <w:sz w:val="21"/>
                <w:szCs w:val="21"/>
              </w:rPr>
            </w:pPr>
            <w:r>
              <w:rPr>
                <w:rStyle w:val="202"/>
                <w:rFonts w:hint="eastAsia" w:ascii="宋体" w:hAnsi="宋体" w:eastAsia="宋体" w:cs="宋体"/>
                <w:b w:val="0"/>
                <w:bCs/>
                <w:color w:val="auto"/>
                <w:sz w:val="21"/>
                <w:szCs w:val="21"/>
              </w:rPr>
              <w:t>对讲机</w:t>
            </w:r>
          </w:p>
        </w:tc>
        <w:tc>
          <w:tcPr>
            <w:tcW w:w="6237" w:type="dxa"/>
            <w:shd w:val="clear" w:color="auto" w:fill="auto"/>
            <w:vAlign w:val="center"/>
          </w:tcPr>
          <w:p>
            <w:pPr>
              <w:spacing w:line="240" w:lineRule="auto"/>
              <w:jc w:val="left"/>
              <w:rPr>
                <w:rStyle w:val="202"/>
                <w:rFonts w:hint="eastAsia" w:ascii="宋体" w:hAnsi="宋体" w:eastAsia="宋体" w:cs="宋体"/>
                <w:b w:val="0"/>
                <w:bCs/>
                <w:color w:val="auto"/>
                <w:sz w:val="21"/>
                <w:szCs w:val="21"/>
              </w:rPr>
            </w:pPr>
            <w:r>
              <w:rPr>
                <w:rStyle w:val="202"/>
                <w:rFonts w:hint="eastAsia" w:ascii="宋体" w:hAnsi="宋体" w:eastAsia="宋体" w:cs="宋体"/>
                <w:b w:val="0"/>
                <w:bCs/>
                <w:color w:val="auto"/>
                <w:sz w:val="21"/>
                <w:szCs w:val="21"/>
              </w:rPr>
              <w:t>功率：15W</w:t>
            </w:r>
          </w:p>
          <w:p>
            <w:pPr>
              <w:spacing w:line="240" w:lineRule="auto"/>
              <w:jc w:val="left"/>
              <w:rPr>
                <w:rStyle w:val="202"/>
                <w:rFonts w:hint="eastAsia" w:ascii="宋体" w:hAnsi="宋体" w:eastAsia="宋体" w:cs="宋体"/>
                <w:b w:val="0"/>
                <w:bCs/>
                <w:color w:val="auto"/>
                <w:sz w:val="21"/>
                <w:szCs w:val="21"/>
              </w:rPr>
            </w:pPr>
            <w:r>
              <w:rPr>
                <w:rStyle w:val="202"/>
                <w:rFonts w:hint="eastAsia" w:ascii="宋体" w:hAnsi="宋体" w:eastAsia="宋体" w:cs="宋体"/>
                <w:b w:val="0"/>
                <w:bCs/>
                <w:color w:val="auto"/>
                <w:sz w:val="21"/>
                <w:szCs w:val="21"/>
              </w:rPr>
              <w:t>电池容量：7500mAh</w:t>
            </w:r>
          </w:p>
          <w:p>
            <w:pPr>
              <w:spacing w:line="240" w:lineRule="auto"/>
              <w:jc w:val="left"/>
              <w:rPr>
                <w:rStyle w:val="202"/>
                <w:rFonts w:hint="eastAsia" w:ascii="宋体" w:hAnsi="宋体" w:eastAsia="宋体" w:cs="宋体"/>
                <w:b w:val="0"/>
                <w:bCs/>
                <w:color w:val="auto"/>
                <w:sz w:val="21"/>
                <w:szCs w:val="21"/>
              </w:rPr>
            </w:pPr>
            <w:r>
              <w:rPr>
                <w:rStyle w:val="202"/>
                <w:rFonts w:hint="eastAsia" w:ascii="宋体" w:hAnsi="宋体" w:eastAsia="宋体" w:cs="宋体"/>
                <w:b w:val="0"/>
                <w:bCs/>
                <w:color w:val="auto"/>
                <w:sz w:val="21"/>
                <w:szCs w:val="21"/>
              </w:rPr>
              <w:t>使用2-3天、待机15天</w:t>
            </w:r>
          </w:p>
          <w:p>
            <w:pPr>
              <w:spacing w:line="240" w:lineRule="auto"/>
              <w:jc w:val="left"/>
              <w:rPr>
                <w:rFonts w:hint="eastAsia" w:ascii="宋体" w:hAnsi="宋体" w:eastAsia="宋体" w:cs="宋体"/>
                <w:b w:val="0"/>
                <w:bCs/>
                <w:color w:val="auto"/>
                <w:sz w:val="21"/>
                <w:szCs w:val="21"/>
              </w:rPr>
            </w:pPr>
            <w:r>
              <w:rPr>
                <w:rStyle w:val="202"/>
                <w:rFonts w:hint="eastAsia" w:ascii="宋体" w:hAnsi="宋体" w:eastAsia="宋体" w:cs="宋体"/>
                <w:b w:val="0"/>
                <w:bCs/>
                <w:color w:val="auto"/>
                <w:sz w:val="21"/>
                <w:szCs w:val="21"/>
              </w:rPr>
              <w:t>使用距离：3-15公里</w:t>
            </w:r>
          </w:p>
        </w:tc>
        <w:tc>
          <w:tcPr>
            <w:tcW w:w="709" w:type="dxa"/>
            <w:shd w:val="clear" w:color="auto" w:fill="auto"/>
            <w:vAlign w:val="center"/>
          </w:tcPr>
          <w:p>
            <w:pPr>
              <w:widowControl/>
              <w:jc w:val="center"/>
              <w:textAlignment w:val="center"/>
              <w:rPr>
                <w:rFonts w:hint="eastAsia" w:ascii="宋体" w:hAnsi="宋体" w:eastAsia="宋体" w:cs="宋体"/>
                <w:b w:val="0"/>
                <w:bCs/>
                <w:color w:val="auto"/>
                <w:sz w:val="21"/>
                <w:szCs w:val="21"/>
              </w:rPr>
            </w:pPr>
            <w:r>
              <w:rPr>
                <w:rFonts w:hint="eastAsia" w:ascii="宋体" w:hAnsi="宋体" w:eastAsia="宋体" w:cs="宋体"/>
                <w:b w:val="0"/>
                <w:bCs/>
                <w:color w:val="auto"/>
                <w:kern w:val="0"/>
                <w:sz w:val="21"/>
                <w:szCs w:val="21"/>
                <w:lang w:bidi="ar"/>
              </w:rPr>
              <w:t>台</w:t>
            </w:r>
          </w:p>
        </w:tc>
        <w:tc>
          <w:tcPr>
            <w:tcW w:w="844" w:type="dxa"/>
            <w:shd w:val="clear" w:color="auto" w:fill="auto"/>
            <w:vAlign w:val="center"/>
          </w:tcPr>
          <w:p>
            <w:pPr>
              <w:widowControl/>
              <w:jc w:val="center"/>
              <w:textAlignment w:val="center"/>
              <w:rPr>
                <w:rFonts w:hint="eastAsia" w:ascii="宋体" w:hAnsi="宋体" w:eastAsia="宋体" w:cs="宋体"/>
                <w:b w:val="0"/>
                <w:bCs/>
                <w:color w:val="auto"/>
                <w:sz w:val="21"/>
                <w:szCs w:val="21"/>
              </w:rPr>
            </w:pPr>
            <w:r>
              <w:rPr>
                <w:rFonts w:hint="eastAsia" w:ascii="宋体" w:hAnsi="宋体" w:eastAsia="宋体" w:cs="宋体"/>
                <w:b w:val="0"/>
                <w:bCs/>
                <w:color w:val="auto"/>
                <w:kern w:val="0"/>
                <w:sz w:val="21"/>
                <w:szCs w:val="21"/>
                <w:lang w:bidi="ar"/>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9" w:type="dxa"/>
            <w:vAlign w:val="center"/>
          </w:tcPr>
          <w:p>
            <w:pPr>
              <w:spacing w:line="240" w:lineRule="auto"/>
              <w:jc w:val="center"/>
              <w:rPr>
                <w:rFonts w:hint="eastAsia" w:ascii="宋体" w:hAnsi="宋体" w:eastAsia="宋体" w:cs="宋体"/>
                <w:b w:val="0"/>
                <w:bCs/>
                <w:color w:val="auto"/>
                <w:sz w:val="21"/>
                <w:szCs w:val="21"/>
              </w:rPr>
            </w:pPr>
            <w:r>
              <w:rPr>
                <w:rStyle w:val="202"/>
                <w:rFonts w:hint="eastAsia" w:ascii="宋体" w:hAnsi="宋体" w:eastAsia="宋体" w:cs="宋体"/>
                <w:b w:val="0"/>
                <w:bCs/>
                <w:color w:val="auto"/>
                <w:sz w:val="21"/>
                <w:szCs w:val="21"/>
              </w:rPr>
              <w:t>12</w:t>
            </w:r>
          </w:p>
        </w:tc>
        <w:tc>
          <w:tcPr>
            <w:tcW w:w="1139" w:type="dxa"/>
            <w:shd w:val="clear" w:color="auto" w:fill="auto"/>
            <w:vAlign w:val="center"/>
          </w:tcPr>
          <w:p>
            <w:pPr>
              <w:spacing w:line="240" w:lineRule="auto"/>
              <w:jc w:val="center"/>
              <w:rPr>
                <w:rFonts w:hint="eastAsia" w:ascii="宋体" w:hAnsi="宋体" w:eastAsia="宋体" w:cs="宋体"/>
                <w:b w:val="0"/>
                <w:bCs/>
                <w:color w:val="auto"/>
                <w:sz w:val="21"/>
                <w:szCs w:val="21"/>
              </w:rPr>
            </w:pPr>
            <w:r>
              <w:rPr>
                <w:rStyle w:val="202"/>
                <w:rFonts w:hint="eastAsia" w:ascii="宋体" w:hAnsi="宋体" w:eastAsia="宋体" w:cs="宋体"/>
                <w:b w:val="0"/>
                <w:bCs/>
                <w:color w:val="auto"/>
                <w:sz w:val="21"/>
                <w:szCs w:val="21"/>
              </w:rPr>
              <w:t>警报器</w:t>
            </w:r>
          </w:p>
        </w:tc>
        <w:tc>
          <w:tcPr>
            <w:tcW w:w="6237" w:type="dxa"/>
            <w:shd w:val="clear" w:color="auto" w:fill="auto"/>
            <w:vAlign w:val="center"/>
          </w:tcPr>
          <w:p>
            <w:pPr>
              <w:spacing w:line="240" w:lineRule="auto"/>
              <w:jc w:val="left"/>
              <w:rPr>
                <w:rFonts w:hint="eastAsia" w:ascii="宋体" w:hAnsi="宋体" w:eastAsia="宋体" w:cs="宋体"/>
                <w:b w:val="0"/>
                <w:bCs/>
                <w:color w:val="auto"/>
                <w:sz w:val="21"/>
                <w:szCs w:val="21"/>
              </w:rPr>
            </w:pPr>
            <w:r>
              <w:rPr>
                <w:rStyle w:val="202"/>
                <w:rFonts w:hint="eastAsia" w:ascii="宋体" w:hAnsi="宋体" w:eastAsia="宋体" w:cs="宋体"/>
                <w:b w:val="0"/>
                <w:bCs/>
                <w:color w:val="auto"/>
                <w:sz w:val="21"/>
                <w:szCs w:val="21"/>
              </w:rPr>
              <w:t>款式：便携式，声音等级dB(A)1m：110±2，音响频率HZ：550±20，传送距离Φm：1000，材质：铝合金，净重kg：1.2</w:t>
            </w:r>
          </w:p>
        </w:tc>
        <w:tc>
          <w:tcPr>
            <w:tcW w:w="709" w:type="dxa"/>
            <w:shd w:val="clear" w:color="auto" w:fill="auto"/>
            <w:vAlign w:val="center"/>
          </w:tcPr>
          <w:p>
            <w:pPr>
              <w:widowControl/>
              <w:jc w:val="center"/>
              <w:textAlignment w:val="center"/>
              <w:rPr>
                <w:rFonts w:hint="eastAsia" w:ascii="宋体" w:hAnsi="宋体" w:eastAsia="宋体" w:cs="宋体"/>
                <w:b w:val="0"/>
                <w:bCs/>
                <w:color w:val="auto"/>
                <w:sz w:val="21"/>
                <w:szCs w:val="21"/>
              </w:rPr>
            </w:pPr>
            <w:r>
              <w:rPr>
                <w:rFonts w:hint="eastAsia" w:ascii="宋体" w:hAnsi="宋体" w:eastAsia="宋体" w:cs="宋体"/>
                <w:b w:val="0"/>
                <w:bCs/>
                <w:color w:val="auto"/>
                <w:kern w:val="0"/>
                <w:sz w:val="21"/>
                <w:szCs w:val="21"/>
                <w:lang w:bidi="ar"/>
              </w:rPr>
              <w:t>个</w:t>
            </w:r>
          </w:p>
        </w:tc>
        <w:tc>
          <w:tcPr>
            <w:tcW w:w="844" w:type="dxa"/>
            <w:shd w:val="clear" w:color="auto" w:fill="auto"/>
            <w:vAlign w:val="center"/>
          </w:tcPr>
          <w:p>
            <w:pPr>
              <w:widowControl/>
              <w:jc w:val="center"/>
              <w:textAlignment w:val="center"/>
              <w:rPr>
                <w:rFonts w:hint="eastAsia" w:ascii="宋体" w:hAnsi="宋体" w:eastAsia="宋体" w:cs="宋体"/>
                <w:b w:val="0"/>
                <w:bCs/>
                <w:color w:val="auto"/>
                <w:sz w:val="21"/>
                <w:szCs w:val="21"/>
              </w:rPr>
            </w:pPr>
            <w:r>
              <w:rPr>
                <w:rFonts w:hint="eastAsia" w:ascii="宋体" w:hAnsi="宋体" w:eastAsia="宋体" w:cs="宋体"/>
                <w:b w:val="0"/>
                <w:bCs/>
                <w:color w:val="auto"/>
                <w:kern w:val="0"/>
                <w:sz w:val="21"/>
                <w:szCs w:val="21"/>
                <w:lang w:bidi="ar"/>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9" w:type="dxa"/>
            <w:vAlign w:val="center"/>
          </w:tcPr>
          <w:p>
            <w:pPr>
              <w:spacing w:line="240" w:lineRule="auto"/>
              <w:jc w:val="center"/>
              <w:rPr>
                <w:rFonts w:hint="eastAsia" w:ascii="宋体" w:hAnsi="宋体" w:eastAsia="宋体" w:cs="宋体"/>
                <w:b w:val="0"/>
                <w:bCs/>
                <w:color w:val="auto"/>
                <w:sz w:val="21"/>
                <w:szCs w:val="21"/>
              </w:rPr>
            </w:pPr>
            <w:r>
              <w:rPr>
                <w:rStyle w:val="202"/>
                <w:rFonts w:hint="eastAsia" w:ascii="宋体" w:hAnsi="宋体" w:eastAsia="宋体" w:cs="宋体"/>
                <w:b w:val="0"/>
                <w:bCs/>
                <w:color w:val="auto"/>
                <w:sz w:val="21"/>
                <w:szCs w:val="21"/>
              </w:rPr>
              <w:t>13</w:t>
            </w:r>
          </w:p>
        </w:tc>
        <w:tc>
          <w:tcPr>
            <w:tcW w:w="1139" w:type="dxa"/>
            <w:shd w:val="clear" w:color="auto" w:fill="auto"/>
            <w:vAlign w:val="center"/>
          </w:tcPr>
          <w:p>
            <w:pPr>
              <w:spacing w:line="240" w:lineRule="auto"/>
              <w:jc w:val="center"/>
              <w:rPr>
                <w:rFonts w:hint="eastAsia" w:ascii="宋体" w:hAnsi="宋体" w:eastAsia="宋体" w:cs="宋体"/>
                <w:b w:val="0"/>
                <w:bCs/>
                <w:color w:val="auto"/>
                <w:sz w:val="21"/>
                <w:szCs w:val="21"/>
              </w:rPr>
            </w:pPr>
            <w:r>
              <w:rPr>
                <w:rStyle w:val="202"/>
                <w:rFonts w:hint="eastAsia" w:ascii="宋体" w:hAnsi="宋体" w:eastAsia="宋体" w:cs="宋体"/>
                <w:b w:val="0"/>
                <w:bCs/>
                <w:color w:val="auto"/>
                <w:sz w:val="21"/>
                <w:szCs w:val="21"/>
              </w:rPr>
              <w:t>应急灯</w:t>
            </w:r>
          </w:p>
        </w:tc>
        <w:tc>
          <w:tcPr>
            <w:tcW w:w="6237" w:type="dxa"/>
            <w:shd w:val="clear" w:color="auto" w:fill="auto"/>
            <w:vAlign w:val="center"/>
          </w:tcPr>
          <w:p>
            <w:pPr>
              <w:spacing w:line="240" w:lineRule="auto"/>
              <w:jc w:val="left"/>
              <w:rPr>
                <w:rStyle w:val="202"/>
                <w:rFonts w:hint="eastAsia" w:ascii="宋体" w:hAnsi="宋体" w:eastAsia="宋体" w:cs="宋体"/>
                <w:b w:val="0"/>
                <w:bCs/>
                <w:color w:val="auto"/>
                <w:sz w:val="21"/>
                <w:szCs w:val="21"/>
              </w:rPr>
            </w:pPr>
            <w:r>
              <w:rPr>
                <w:rStyle w:val="202"/>
                <w:rFonts w:hint="eastAsia" w:ascii="宋体" w:hAnsi="宋体" w:eastAsia="宋体" w:cs="宋体"/>
                <w:b w:val="0"/>
                <w:bCs/>
                <w:color w:val="auto"/>
                <w:sz w:val="21"/>
                <w:szCs w:val="21"/>
              </w:rPr>
              <w:t>防水:IPX6暴雨级防水</w:t>
            </w:r>
          </w:p>
          <w:p>
            <w:pPr>
              <w:spacing w:line="240" w:lineRule="auto"/>
              <w:jc w:val="left"/>
              <w:rPr>
                <w:rStyle w:val="202"/>
                <w:rFonts w:hint="eastAsia" w:ascii="宋体" w:hAnsi="宋体" w:eastAsia="宋体" w:cs="宋体"/>
                <w:b w:val="0"/>
                <w:bCs/>
                <w:color w:val="auto"/>
                <w:sz w:val="21"/>
                <w:szCs w:val="21"/>
              </w:rPr>
            </w:pPr>
            <w:r>
              <w:rPr>
                <w:rStyle w:val="202"/>
                <w:rFonts w:hint="eastAsia" w:ascii="宋体" w:hAnsi="宋体" w:eastAsia="宋体" w:cs="宋体"/>
                <w:b w:val="0"/>
                <w:bCs/>
                <w:color w:val="auto"/>
                <w:sz w:val="21"/>
                <w:szCs w:val="21"/>
              </w:rPr>
              <w:t>电池:2节内置18650电池(充电)</w:t>
            </w:r>
          </w:p>
          <w:p>
            <w:pPr>
              <w:spacing w:line="240" w:lineRule="auto"/>
              <w:jc w:val="left"/>
              <w:rPr>
                <w:rFonts w:hint="eastAsia" w:ascii="宋体" w:hAnsi="宋体" w:eastAsia="宋体" w:cs="宋体"/>
                <w:b w:val="0"/>
                <w:bCs/>
                <w:color w:val="auto"/>
                <w:sz w:val="21"/>
                <w:szCs w:val="21"/>
              </w:rPr>
            </w:pPr>
            <w:r>
              <w:rPr>
                <w:rStyle w:val="202"/>
                <w:rFonts w:hint="eastAsia" w:ascii="宋体" w:hAnsi="宋体" w:eastAsia="宋体" w:cs="宋体"/>
                <w:b w:val="0"/>
                <w:bCs/>
                <w:color w:val="auto"/>
                <w:sz w:val="21"/>
                <w:szCs w:val="21"/>
              </w:rPr>
              <w:t>续航:强光最长16小时</w:t>
            </w:r>
          </w:p>
        </w:tc>
        <w:tc>
          <w:tcPr>
            <w:tcW w:w="709" w:type="dxa"/>
            <w:shd w:val="clear" w:color="auto" w:fill="auto"/>
            <w:vAlign w:val="center"/>
          </w:tcPr>
          <w:p>
            <w:pPr>
              <w:widowControl/>
              <w:jc w:val="center"/>
              <w:textAlignment w:val="center"/>
              <w:rPr>
                <w:rFonts w:hint="eastAsia" w:ascii="宋体" w:hAnsi="宋体" w:eastAsia="宋体" w:cs="宋体"/>
                <w:b w:val="0"/>
                <w:bCs/>
                <w:color w:val="auto"/>
                <w:sz w:val="21"/>
                <w:szCs w:val="21"/>
              </w:rPr>
            </w:pPr>
            <w:r>
              <w:rPr>
                <w:rFonts w:hint="eastAsia" w:ascii="宋体" w:hAnsi="宋体" w:eastAsia="宋体" w:cs="宋体"/>
                <w:b w:val="0"/>
                <w:bCs/>
                <w:color w:val="auto"/>
                <w:kern w:val="0"/>
                <w:sz w:val="21"/>
                <w:szCs w:val="21"/>
                <w:lang w:bidi="ar"/>
              </w:rPr>
              <w:t>个</w:t>
            </w:r>
          </w:p>
        </w:tc>
        <w:tc>
          <w:tcPr>
            <w:tcW w:w="844" w:type="dxa"/>
            <w:shd w:val="clear" w:color="auto" w:fill="auto"/>
            <w:vAlign w:val="center"/>
          </w:tcPr>
          <w:p>
            <w:pPr>
              <w:widowControl/>
              <w:jc w:val="center"/>
              <w:textAlignment w:val="center"/>
              <w:rPr>
                <w:rFonts w:hint="eastAsia" w:ascii="宋体" w:hAnsi="宋体" w:eastAsia="宋体" w:cs="宋体"/>
                <w:b w:val="0"/>
                <w:bCs/>
                <w:color w:val="auto"/>
                <w:sz w:val="21"/>
                <w:szCs w:val="21"/>
              </w:rPr>
            </w:pPr>
            <w:r>
              <w:rPr>
                <w:rFonts w:hint="eastAsia" w:ascii="宋体" w:hAnsi="宋体" w:eastAsia="宋体" w:cs="宋体"/>
                <w:b w:val="0"/>
                <w:bCs/>
                <w:color w:val="auto"/>
                <w:kern w:val="0"/>
                <w:sz w:val="21"/>
                <w:szCs w:val="21"/>
                <w:lang w:bidi="ar"/>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9" w:type="dxa"/>
            <w:vAlign w:val="center"/>
          </w:tcPr>
          <w:p>
            <w:pPr>
              <w:spacing w:line="240" w:lineRule="auto"/>
              <w:jc w:val="center"/>
              <w:rPr>
                <w:rFonts w:hint="eastAsia" w:ascii="宋体" w:hAnsi="宋体" w:eastAsia="宋体" w:cs="宋体"/>
                <w:b w:val="0"/>
                <w:bCs/>
                <w:color w:val="auto"/>
                <w:sz w:val="21"/>
                <w:szCs w:val="21"/>
              </w:rPr>
            </w:pPr>
            <w:r>
              <w:rPr>
                <w:rStyle w:val="202"/>
                <w:rFonts w:hint="eastAsia" w:ascii="宋体" w:hAnsi="宋体" w:eastAsia="宋体" w:cs="宋体"/>
                <w:b w:val="0"/>
                <w:bCs/>
                <w:color w:val="auto"/>
                <w:sz w:val="21"/>
                <w:szCs w:val="21"/>
              </w:rPr>
              <w:t>14</w:t>
            </w:r>
          </w:p>
        </w:tc>
        <w:tc>
          <w:tcPr>
            <w:tcW w:w="1139" w:type="dxa"/>
            <w:shd w:val="clear" w:color="auto" w:fill="auto"/>
            <w:vAlign w:val="center"/>
          </w:tcPr>
          <w:p>
            <w:pPr>
              <w:spacing w:line="240" w:lineRule="auto"/>
              <w:jc w:val="left"/>
              <w:rPr>
                <w:rStyle w:val="202"/>
                <w:rFonts w:hint="eastAsia" w:ascii="宋体" w:hAnsi="宋体" w:eastAsia="宋体" w:cs="宋体"/>
                <w:b w:val="0"/>
                <w:bCs/>
                <w:color w:val="auto"/>
                <w:sz w:val="21"/>
                <w:szCs w:val="21"/>
              </w:rPr>
            </w:pPr>
            <w:r>
              <w:rPr>
                <w:rStyle w:val="202"/>
                <w:rFonts w:hint="eastAsia" w:ascii="宋体" w:hAnsi="宋体" w:eastAsia="宋体" w:cs="宋体"/>
                <w:b w:val="0"/>
                <w:bCs/>
                <w:color w:val="auto"/>
                <w:sz w:val="21"/>
                <w:szCs w:val="21"/>
              </w:rPr>
              <w:t>蜡烛</w:t>
            </w:r>
          </w:p>
        </w:tc>
        <w:tc>
          <w:tcPr>
            <w:tcW w:w="6237" w:type="dxa"/>
            <w:shd w:val="clear" w:color="auto" w:fill="auto"/>
            <w:vAlign w:val="center"/>
          </w:tcPr>
          <w:p>
            <w:pPr>
              <w:spacing w:line="240" w:lineRule="auto"/>
              <w:jc w:val="left"/>
              <w:rPr>
                <w:rStyle w:val="202"/>
                <w:rFonts w:hint="eastAsia" w:ascii="宋体" w:hAnsi="宋体" w:eastAsia="宋体" w:cs="宋体"/>
                <w:b w:val="0"/>
                <w:bCs/>
                <w:color w:val="auto"/>
                <w:sz w:val="21"/>
                <w:szCs w:val="21"/>
              </w:rPr>
            </w:pPr>
            <w:r>
              <w:rPr>
                <w:rStyle w:val="202"/>
                <w:rFonts w:hint="eastAsia" w:ascii="宋体" w:hAnsi="宋体" w:eastAsia="宋体" w:cs="宋体"/>
                <w:b w:val="0"/>
                <w:bCs/>
                <w:color w:val="auto"/>
                <w:sz w:val="21"/>
                <w:szCs w:val="21"/>
              </w:rPr>
              <w:t>尺寸：21.2*2.2</w:t>
            </w:r>
          </w:p>
          <w:p>
            <w:pPr>
              <w:pStyle w:val="2"/>
              <w:jc w:val="left"/>
              <w:rPr>
                <w:rStyle w:val="202"/>
                <w:rFonts w:hint="eastAsia" w:ascii="宋体" w:hAnsi="宋体" w:eastAsia="宋体" w:cs="宋体"/>
                <w:b w:val="0"/>
                <w:bCs/>
                <w:color w:val="auto"/>
                <w:spacing w:val="0"/>
                <w:kern w:val="2"/>
                <w:sz w:val="21"/>
                <w:szCs w:val="21"/>
              </w:rPr>
            </w:pPr>
            <w:r>
              <w:rPr>
                <w:rStyle w:val="202"/>
                <w:rFonts w:hint="eastAsia" w:ascii="宋体" w:hAnsi="宋体" w:eastAsia="宋体" w:cs="宋体"/>
                <w:b w:val="0"/>
                <w:bCs/>
                <w:color w:val="auto"/>
                <w:spacing w:val="0"/>
                <w:kern w:val="2"/>
                <w:sz w:val="21"/>
                <w:szCs w:val="21"/>
              </w:rPr>
              <w:t>底座尺寸：5.5*5.5cm</w:t>
            </w:r>
          </w:p>
          <w:p>
            <w:pPr>
              <w:pStyle w:val="26"/>
              <w:jc w:val="left"/>
              <w:rPr>
                <w:rStyle w:val="202"/>
                <w:rFonts w:hint="eastAsia" w:ascii="宋体" w:hAnsi="宋体" w:eastAsia="宋体" w:cs="宋体"/>
                <w:b w:val="0"/>
                <w:bCs/>
                <w:color w:val="auto"/>
                <w:kern w:val="2"/>
                <w:sz w:val="21"/>
                <w:szCs w:val="21"/>
              </w:rPr>
            </w:pPr>
            <w:r>
              <w:rPr>
                <w:rStyle w:val="202"/>
                <w:rFonts w:hint="eastAsia" w:ascii="宋体" w:hAnsi="宋体" w:eastAsia="宋体" w:cs="宋体"/>
                <w:b w:val="0"/>
                <w:bCs/>
                <w:color w:val="auto"/>
                <w:kern w:val="2"/>
                <w:sz w:val="21"/>
                <w:szCs w:val="21"/>
              </w:rPr>
              <w:t>材质：ABS</w:t>
            </w:r>
          </w:p>
          <w:p>
            <w:pPr>
              <w:rPr>
                <w:rStyle w:val="202"/>
                <w:rFonts w:hint="eastAsia" w:ascii="宋体" w:hAnsi="宋体" w:eastAsia="宋体" w:cs="宋体"/>
                <w:b w:val="0"/>
                <w:bCs/>
                <w:color w:val="auto"/>
                <w:sz w:val="21"/>
                <w:szCs w:val="21"/>
              </w:rPr>
            </w:pPr>
            <w:r>
              <w:rPr>
                <w:rStyle w:val="202"/>
                <w:rFonts w:hint="eastAsia" w:ascii="宋体" w:hAnsi="宋体" w:eastAsia="宋体" w:cs="宋体"/>
                <w:b w:val="0"/>
                <w:bCs/>
                <w:color w:val="auto"/>
                <w:sz w:val="21"/>
                <w:szCs w:val="21"/>
              </w:rPr>
              <w:t>颜色：红、米白、黄</w:t>
            </w:r>
          </w:p>
          <w:p>
            <w:pPr>
              <w:pStyle w:val="2"/>
              <w:rPr>
                <w:rStyle w:val="202"/>
                <w:rFonts w:hint="eastAsia" w:ascii="宋体" w:hAnsi="宋体" w:eastAsia="宋体" w:cs="宋体"/>
                <w:b w:val="0"/>
                <w:bCs/>
                <w:color w:val="auto"/>
                <w:spacing w:val="0"/>
                <w:kern w:val="2"/>
                <w:sz w:val="21"/>
                <w:szCs w:val="21"/>
              </w:rPr>
            </w:pPr>
            <w:r>
              <w:rPr>
                <w:rStyle w:val="202"/>
                <w:rFonts w:hint="eastAsia" w:ascii="宋体" w:hAnsi="宋体" w:eastAsia="宋体" w:cs="宋体"/>
                <w:b w:val="0"/>
                <w:bCs/>
                <w:color w:val="auto"/>
                <w:spacing w:val="0"/>
                <w:kern w:val="2"/>
                <w:sz w:val="21"/>
                <w:szCs w:val="21"/>
              </w:rPr>
              <w:t>电源：两节七号电池（电池自备）</w:t>
            </w:r>
          </w:p>
        </w:tc>
        <w:tc>
          <w:tcPr>
            <w:tcW w:w="709" w:type="dxa"/>
            <w:shd w:val="clear" w:color="auto" w:fill="auto"/>
            <w:vAlign w:val="center"/>
          </w:tcPr>
          <w:p>
            <w:pPr>
              <w:widowControl/>
              <w:jc w:val="center"/>
              <w:textAlignment w:val="center"/>
              <w:rPr>
                <w:rFonts w:hint="eastAsia" w:ascii="宋体" w:hAnsi="宋体" w:eastAsia="宋体" w:cs="宋体"/>
                <w:b w:val="0"/>
                <w:bCs/>
                <w:color w:val="auto"/>
                <w:sz w:val="21"/>
                <w:szCs w:val="21"/>
              </w:rPr>
            </w:pPr>
            <w:r>
              <w:rPr>
                <w:rFonts w:hint="eastAsia" w:ascii="宋体" w:hAnsi="宋体" w:eastAsia="宋体" w:cs="宋体"/>
                <w:b w:val="0"/>
                <w:bCs/>
                <w:color w:val="auto"/>
                <w:kern w:val="0"/>
                <w:sz w:val="21"/>
                <w:szCs w:val="21"/>
                <w:lang w:bidi="ar"/>
              </w:rPr>
              <w:t>支</w:t>
            </w:r>
          </w:p>
        </w:tc>
        <w:tc>
          <w:tcPr>
            <w:tcW w:w="844" w:type="dxa"/>
            <w:shd w:val="clear" w:color="auto" w:fill="auto"/>
            <w:vAlign w:val="center"/>
          </w:tcPr>
          <w:p>
            <w:pPr>
              <w:widowControl/>
              <w:jc w:val="center"/>
              <w:textAlignment w:val="center"/>
              <w:rPr>
                <w:rFonts w:hint="eastAsia" w:ascii="宋体" w:hAnsi="宋体" w:eastAsia="宋体" w:cs="宋体"/>
                <w:b w:val="0"/>
                <w:bCs/>
                <w:color w:val="auto"/>
                <w:sz w:val="21"/>
                <w:szCs w:val="21"/>
              </w:rPr>
            </w:pPr>
            <w:r>
              <w:rPr>
                <w:rFonts w:hint="eastAsia" w:ascii="宋体" w:hAnsi="宋体" w:eastAsia="宋体" w:cs="宋体"/>
                <w:b w:val="0"/>
                <w:bCs/>
                <w:color w:val="auto"/>
                <w:kern w:val="0"/>
                <w:sz w:val="21"/>
                <w:szCs w:val="21"/>
                <w:lang w:bidi="ar"/>
              </w:rPr>
              <w:t>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9" w:type="dxa"/>
            <w:vAlign w:val="center"/>
          </w:tcPr>
          <w:p>
            <w:pPr>
              <w:spacing w:line="240" w:lineRule="auto"/>
              <w:jc w:val="center"/>
              <w:rPr>
                <w:rFonts w:hint="eastAsia" w:ascii="宋体" w:hAnsi="宋体" w:eastAsia="宋体" w:cs="宋体"/>
                <w:b w:val="0"/>
                <w:bCs/>
                <w:color w:val="auto"/>
                <w:sz w:val="21"/>
                <w:szCs w:val="21"/>
              </w:rPr>
            </w:pPr>
            <w:r>
              <w:rPr>
                <w:rStyle w:val="202"/>
                <w:rFonts w:hint="eastAsia" w:ascii="宋体" w:hAnsi="宋体" w:eastAsia="宋体" w:cs="宋体"/>
                <w:b w:val="0"/>
                <w:bCs/>
                <w:color w:val="auto"/>
                <w:sz w:val="21"/>
                <w:szCs w:val="21"/>
              </w:rPr>
              <w:t>15</w:t>
            </w:r>
          </w:p>
        </w:tc>
        <w:tc>
          <w:tcPr>
            <w:tcW w:w="1139" w:type="dxa"/>
            <w:shd w:val="clear" w:color="auto" w:fill="auto"/>
            <w:vAlign w:val="center"/>
          </w:tcPr>
          <w:p>
            <w:pPr>
              <w:spacing w:line="240" w:lineRule="auto"/>
              <w:jc w:val="center"/>
              <w:rPr>
                <w:rFonts w:hint="eastAsia" w:ascii="宋体" w:hAnsi="宋体" w:eastAsia="宋体" w:cs="宋体"/>
                <w:b w:val="0"/>
                <w:bCs/>
                <w:color w:val="auto"/>
                <w:sz w:val="21"/>
                <w:szCs w:val="21"/>
              </w:rPr>
            </w:pPr>
            <w:r>
              <w:rPr>
                <w:rStyle w:val="202"/>
                <w:rFonts w:hint="eastAsia" w:ascii="宋体" w:hAnsi="宋体" w:eastAsia="宋体" w:cs="宋体"/>
                <w:b w:val="0"/>
                <w:bCs/>
                <w:color w:val="auto"/>
                <w:sz w:val="21"/>
                <w:szCs w:val="21"/>
              </w:rPr>
              <w:t>信号棒</w:t>
            </w:r>
          </w:p>
        </w:tc>
        <w:tc>
          <w:tcPr>
            <w:tcW w:w="6237" w:type="dxa"/>
            <w:shd w:val="clear" w:color="auto" w:fill="auto"/>
            <w:vAlign w:val="center"/>
          </w:tcPr>
          <w:p>
            <w:pPr>
              <w:spacing w:line="240" w:lineRule="auto"/>
              <w:jc w:val="left"/>
              <w:rPr>
                <w:rStyle w:val="202"/>
                <w:rFonts w:hint="eastAsia" w:ascii="宋体" w:hAnsi="宋体" w:eastAsia="宋体" w:cs="宋体"/>
                <w:b w:val="0"/>
                <w:bCs/>
                <w:color w:val="auto"/>
                <w:sz w:val="21"/>
                <w:szCs w:val="21"/>
              </w:rPr>
            </w:pPr>
            <w:r>
              <w:rPr>
                <w:rStyle w:val="202"/>
                <w:rFonts w:hint="eastAsia" w:ascii="宋体" w:hAnsi="宋体" w:eastAsia="宋体" w:cs="宋体"/>
                <w:b w:val="0"/>
                <w:bCs/>
                <w:color w:val="auto"/>
                <w:sz w:val="21"/>
                <w:szCs w:val="21"/>
              </w:rPr>
              <w:t>尺寸：30*530mm使用2个2号电池无挂钩</w:t>
            </w:r>
          </w:p>
          <w:p>
            <w:pPr>
              <w:spacing w:line="240" w:lineRule="auto"/>
              <w:jc w:val="left"/>
              <w:rPr>
                <w:rStyle w:val="202"/>
                <w:rFonts w:hint="eastAsia" w:ascii="宋体" w:hAnsi="宋体" w:eastAsia="宋体" w:cs="宋体"/>
                <w:b w:val="0"/>
                <w:bCs/>
                <w:color w:val="auto"/>
                <w:sz w:val="21"/>
                <w:szCs w:val="21"/>
              </w:rPr>
            </w:pPr>
            <w:r>
              <w:rPr>
                <w:rStyle w:val="202"/>
                <w:rFonts w:hint="eastAsia" w:ascii="宋体" w:hAnsi="宋体" w:eastAsia="宋体" w:cs="宋体"/>
                <w:b w:val="0"/>
                <w:bCs/>
                <w:color w:val="auto"/>
                <w:sz w:val="21"/>
                <w:szCs w:val="21"/>
              </w:rPr>
              <w:t>工作模式：一个开关控制6个超高亮LED红闪、红亮、关，具有低电耗、防水、抗击打、耐摔的特点。</w:t>
            </w:r>
          </w:p>
          <w:p>
            <w:pPr>
              <w:spacing w:line="240" w:lineRule="auto"/>
              <w:jc w:val="left"/>
              <w:rPr>
                <w:rStyle w:val="202"/>
                <w:rFonts w:hint="eastAsia" w:ascii="宋体" w:hAnsi="宋体" w:eastAsia="宋体" w:cs="宋体"/>
                <w:b w:val="0"/>
                <w:bCs/>
                <w:color w:val="auto"/>
                <w:sz w:val="21"/>
                <w:szCs w:val="21"/>
              </w:rPr>
            </w:pPr>
            <w:r>
              <w:rPr>
                <w:rStyle w:val="202"/>
                <w:rFonts w:hint="eastAsia" w:ascii="宋体" w:hAnsi="宋体" w:eastAsia="宋体" w:cs="宋体"/>
                <w:b w:val="0"/>
                <w:bCs/>
                <w:color w:val="auto"/>
                <w:sz w:val="21"/>
                <w:szCs w:val="21"/>
              </w:rPr>
              <w:t>重摔时不会熄灯</w:t>
            </w:r>
          </w:p>
          <w:p>
            <w:pPr>
              <w:spacing w:line="240" w:lineRule="auto"/>
              <w:jc w:val="left"/>
              <w:rPr>
                <w:rFonts w:hint="eastAsia" w:ascii="宋体" w:hAnsi="宋体" w:eastAsia="宋体" w:cs="宋体"/>
                <w:b w:val="0"/>
                <w:bCs/>
                <w:color w:val="auto"/>
                <w:sz w:val="21"/>
                <w:szCs w:val="21"/>
              </w:rPr>
            </w:pPr>
            <w:r>
              <w:rPr>
                <w:rStyle w:val="202"/>
                <w:rFonts w:hint="eastAsia" w:ascii="宋体" w:hAnsi="宋体" w:eastAsia="宋体" w:cs="宋体"/>
                <w:b w:val="0"/>
                <w:bCs/>
                <w:color w:val="auto"/>
                <w:sz w:val="21"/>
                <w:szCs w:val="21"/>
              </w:rPr>
              <w:t>质保期：3年</w:t>
            </w:r>
          </w:p>
        </w:tc>
        <w:tc>
          <w:tcPr>
            <w:tcW w:w="709" w:type="dxa"/>
            <w:shd w:val="clear" w:color="auto" w:fill="auto"/>
            <w:vAlign w:val="center"/>
          </w:tcPr>
          <w:p>
            <w:pPr>
              <w:widowControl/>
              <w:jc w:val="center"/>
              <w:textAlignment w:val="center"/>
              <w:rPr>
                <w:rFonts w:hint="eastAsia" w:ascii="宋体" w:hAnsi="宋体" w:eastAsia="宋体" w:cs="宋体"/>
                <w:b w:val="0"/>
                <w:bCs/>
                <w:color w:val="auto"/>
                <w:sz w:val="21"/>
                <w:szCs w:val="21"/>
              </w:rPr>
            </w:pPr>
            <w:r>
              <w:rPr>
                <w:rFonts w:hint="eastAsia" w:ascii="宋体" w:hAnsi="宋体" w:eastAsia="宋体" w:cs="宋体"/>
                <w:b w:val="0"/>
                <w:bCs/>
                <w:color w:val="auto"/>
                <w:kern w:val="0"/>
                <w:sz w:val="21"/>
                <w:szCs w:val="21"/>
                <w:lang w:bidi="ar"/>
              </w:rPr>
              <w:t>支</w:t>
            </w:r>
          </w:p>
        </w:tc>
        <w:tc>
          <w:tcPr>
            <w:tcW w:w="844" w:type="dxa"/>
            <w:shd w:val="clear" w:color="auto" w:fill="auto"/>
            <w:vAlign w:val="center"/>
          </w:tcPr>
          <w:p>
            <w:pPr>
              <w:widowControl/>
              <w:jc w:val="center"/>
              <w:textAlignment w:val="center"/>
              <w:rPr>
                <w:rFonts w:hint="eastAsia" w:ascii="宋体" w:hAnsi="宋体" w:eastAsia="宋体" w:cs="宋体"/>
                <w:b w:val="0"/>
                <w:bCs/>
                <w:color w:val="auto"/>
                <w:sz w:val="21"/>
                <w:szCs w:val="21"/>
              </w:rPr>
            </w:pPr>
            <w:r>
              <w:rPr>
                <w:rFonts w:hint="eastAsia" w:ascii="宋体" w:hAnsi="宋体" w:eastAsia="宋体" w:cs="宋体"/>
                <w:b w:val="0"/>
                <w:bCs/>
                <w:color w:val="auto"/>
                <w:kern w:val="0"/>
                <w:sz w:val="21"/>
                <w:szCs w:val="21"/>
                <w:lang w:bidi="ar"/>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9" w:type="dxa"/>
            <w:vAlign w:val="center"/>
          </w:tcPr>
          <w:p>
            <w:pPr>
              <w:spacing w:line="240" w:lineRule="auto"/>
              <w:jc w:val="center"/>
              <w:rPr>
                <w:rFonts w:hint="eastAsia" w:ascii="宋体" w:hAnsi="宋体" w:eastAsia="宋体" w:cs="宋体"/>
                <w:b w:val="0"/>
                <w:bCs/>
                <w:color w:val="auto"/>
                <w:sz w:val="21"/>
                <w:szCs w:val="21"/>
              </w:rPr>
            </w:pPr>
            <w:r>
              <w:rPr>
                <w:rStyle w:val="202"/>
                <w:rFonts w:hint="eastAsia" w:ascii="宋体" w:hAnsi="宋体" w:eastAsia="宋体" w:cs="宋体"/>
                <w:b w:val="0"/>
                <w:bCs/>
                <w:color w:val="auto"/>
                <w:sz w:val="21"/>
                <w:szCs w:val="21"/>
              </w:rPr>
              <w:t>16</w:t>
            </w:r>
          </w:p>
        </w:tc>
        <w:tc>
          <w:tcPr>
            <w:tcW w:w="1139" w:type="dxa"/>
            <w:shd w:val="clear" w:color="auto" w:fill="auto"/>
            <w:vAlign w:val="center"/>
          </w:tcPr>
          <w:p>
            <w:pPr>
              <w:spacing w:line="240" w:lineRule="auto"/>
              <w:jc w:val="center"/>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w:t>
            </w:r>
            <w:r>
              <w:rPr>
                <w:rStyle w:val="202"/>
                <w:rFonts w:hint="eastAsia" w:ascii="宋体" w:hAnsi="宋体" w:eastAsia="宋体" w:cs="宋体"/>
                <w:b w:val="0"/>
                <w:bCs/>
                <w:color w:val="auto"/>
                <w:sz w:val="21"/>
                <w:szCs w:val="21"/>
              </w:rPr>
              <w:t>棉大衣</w:t>
            </w:r>
          </w:p>
        </w:tc>
        <w:tc>
          <w:tcPr>
            <w:tcW w:w="6237" w:type="dxa"/>
            <w:shd w:val="clear" w:color="auto" w:fill="auto"/>
            <w:vAlign w:val="center"/>
          </w:tcPr>
          <w:p>
            <w:pPr>
              <w:spacing w:line="240" w:lineRule="auto"/>
              <w:jc w:val="left"/>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面料：185T单面涂覆PU防水锦纶塔丝绒，里料选用190T涤丝纺。</w:t>
            </w:r>
          </w:p>
          <w:p>
            <w:pPr>
              <w:spacing w:line="240" w:lineRule="auto"/>
              <w:jc w:val="left"/>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颜色：军绿色</w:t>
            </w:r>
          </w:p>
          <w:p>
            <w:pPr>
              <w:spacing w:line="240" w:lineRule="auto"/>
              <w:jc w:val="left"/>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★1.纤维含量（面料）：锦纶100%</w:t>
            </w:r>
          </w:p>
          <w:p>
            <w:pPr>
              <w:spacing w:line="240" w:lineRule="auto"/>
              <w:jc w:val="left"/>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 xml:space="preserve">★2.幅宽（面料）：150±2； </w:t>
            </w:r>
          </w:p>
          <w:p>
            <w:pPr>
              <w:spacing w:line="240" w:lineRule="auto"/>
              <w:jc w:val="left"/>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★3.织物密度（面料）：经向618±2根/10cm、纬向261±2根/10cm；</w:t>
            </w:r>
          </w:p>
          <w:p>
            <w:pPr>
              <w:spacing w:line="240" w:lineRule="auto"/>
              <w:jc w:val="left"/>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★4.耐皂洗色牢度（面料）（级）：变色4-5、沾色-棉4-5、沾色锦纶4-5；</w:t>
            </w:r>
          </w:p>
          <w:p>
            <w:pPr>
              <w:spacing w:line="240" w:lineRule="auto"/>
              <w:jc w:val="left"/>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★5.耐干摩擦色牢度（面料）（级）：经向4-5、纬向4-5；</w:t>
            </w:r>
          </w:p>
          <w:p>
            <w:pPr>
              <w:spacing w:line="240" w:lineRule="auto"/>
              <w:jc w:val="left"/>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★6.耐湿摩擦色牢度（面料）（级）：经向4-5、纬向4-5；</w:t>
            </w:r>
          </w:p>
          <w:p>
            <w:pPr>
              <w:spacing w:line="240" w:lineRule="auto"/>
              <w:jc w:val="left"/>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★7.耐光色牢度（面料）（级）：5级；</w:t>
            </w:r>
          </w:p>
          <w:p>
            <w:pPr>
              <w:spacing w:line="240" w:lineRule="auto"/>
              <w:jc w:val="left"/>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★8.断裂强力（面料）（N/5cm）：经向830±2、纬向470±2；</w:t>
            </w:r>
          </w:p>
          <w:p>
            <w:pPr>
              <w:spacing w:line="240" w:lineRule="auto"/>
              <w:jc w:val="left"/>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★9.耐静水压（面料）（kPa）：≥14.0；</w:t>
            </w:r>
          </w:p>
          <w:p>
            <w:pPr>
              <w:spacing w:line="240" w:lineRule="auto"/>
              <w:jc w:val="left"/>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★10.甲醛含量（面料）：不得含有；</w:t>
            </w:r>
          </w:p>
          <w:p>
            <w:pPr>
              <w:spacing w:line="240" w:lineRule="auto"/>
              <w:jc w:val="left"/>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★11.PH值（面料）：4.0-9.0；</w:t>
            </w:r>
          </w:p>
          <w:p>
            <w:pPr>
              <w:spacing w:line="240" w:lineRule="auto"/>
              <w:jc w:val="left"/>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★12.异味（面料）：无</w:t>
            </w:r>
          </w:p>
          <w:p>
            <w:pPr>
              <w:spacing w:line="240" w:lineRule="auto"/>
              <w:jc w:val="left"/>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★13.纤维含量（里料）：聚酯纤维100%</w:t>
            </w:r>
          </w:p>
          <w:p>
            <w:pPr>
              <w:spacing w:line="240" w:lineRule="auto"/>
              <w:jc w:val="left"/>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★14.耐皂洗色牢度（里料）（级）：变色4-5、沾色-棉4-5、沾色-聚酯纤维4-5；</w:t>
            </w:r>
          </w:p>
          <w:p>
            <w:pPr>
              <w:spacing w:line="240" w:lineRule="auto"/>
              <w:jc w:val="left"/>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★15.耐干摩擦色牢度（里料）（级）：经向4-5、纬向4-5；</w:t>
            </w:r>
          </w:p>
          <w:p>
            <w:pPr>
              <w:spacing w:line="240" w:lineRule="auto"/>
              <w:jc w:val="left"/>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★16.耐湿摩擦色牢度（里料）（级）：经向4-5、纬向4-5；</w:t>
            </w:r>
          </w:p>
          <w:p>
            <w:pPr>
              <w:spacing w:line="240" w:lineRule="auto"/>
              <w:jc w:val="left"/>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★17.断裂强力（里料）（N/5cm）：经向630±2、纬向450±2；</w:t>
            </w:r>
          </w:p>
          <w:p>
            <w:pPr>
              <w:spacing w:line="240" w:lineRule="auto"/>
              <w:jc w:val="left"/>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★18.甲醛含量（里料）：不得含有；</w:t>
            </w:r>
          </w:p>
          <w:p>
            <w:pPr>
              <w:spacing w:line="240" w:lineRule="auto"/>
              <w:jc w:val="left"/>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★19.PH值（里料）：4.0-8.5；</w:t>
            </w:r>
          </w:p>
          <w:p>
            <w:pPr>
              <w:spacing w:line="240" w:lineRule="auto"/>
              <w:jc w:val="left"/>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★20.异味（里料）：无</w:t>
            </w:r>
          </w:p>
          <w:p>
            <w:pPr>
              <w:spacing w:line="240" w:lineRule="auto"/>
              <w:jc w:val="left"/>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★21、可分解致癌芳香胺染料（面料/里料组合）：不得含有</w:t>
            </w:r>
          </w:p>
          <w:p>
            <w:pPr>
              <w:spacing w:line="240" w:lineRule="auto"/>
              <w:jc w:val="left"/>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★22.单孔中空涤纶短纤维含量（大身/衣袖絮片）：≥70%</w:t>
            </w:r>
          </w:p>
          <w:p>
            <w:pPr>
              <w:spacing w:line="240" w:lineRule="auto"/>
              <w:jc w:val="left"/>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★23.单位面积质量（大身絮片）:≥435%</w:t>
            </w:r>
          </w:p>
          <w:p>
            <w:pPr>
              <w:spacing w:line="240" w:lineRule="auto"/>
              <w:jc w:val="left"/>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★24.保温性能（大身絮片）：保温率85.90%、传热系数：1.628W/m2˙℃、克罗值：3.960；</w:t>
            </w:r>
          </w:p>
          <w:p>
            <w:pPr>
              <w:spacing w:line="240" w:lineRule="auto"/>
              <w:jc w:val="left"/>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★25.PH值（大身絮片）：6.4；</w:t>
            </w:r>
          </w:p>
          <w:p>
            <w:pPr>
              <w:spacing w:line="240" w:lineRule="auto"/>
              <w:jc w:val="left"/>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★26.单位面积质量（衣袖絮片）：257g/m2；</w:t>
            </w:r>
          </w:p>
          <w:p>
            <w:pPr>
              <w:spacing w:line="240" w:lineRule="auto"/>
              <w:jc w:val="left"/>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★27.保温性能（衣袖絮片）：保温率≥80%、传热系数：≥1.6W/m2˙℃、克罗值：≥3.0；</w:t>
            </w:r>
          </w:p>
          <w:p>
            <w:pPr>
              <w:spacing w:line="240" w:lineRule="auto"/>
              <w:jc w:val="left"/>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★28.可分解致癌芳香胺染料（絮片/毛领组合）：不得含有</w:t>
            </w:r>
          </w:p>
          <w:p>
            <w:pPr>
              <w:spacing w:line="240" w:lineRule="auto"/>
              <w:jc w:val="left"/>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★29.单位面积质量（毛领）：590±2g/m2；</w:t>
            </w:r>
          </w:p>
          <w:p>
            <w:pPr>
              <w:spacing w:line="240" w:lineRule="auto"/>
              <w:jc w:val="left"/>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★30.绒毛高度（毛领）：8±1mm；</w:t>
            </w:r>
          </w:p>
          <w:p>
            <w:pPr>
              <w:spacing w:line="240" w:lineRule="auto"/>
              <w:jc w:val="left"/>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★31.顶破强力（毛领）（N）：≥580；</w:t>
            </w:r>
          </w:p>
          <w:p>
            <w:pPr>
              <w:spacing w:line="240" w:lineRule="auto"/>
              <w:jc w:val="left"/>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★32.甲醛含量（毛领）：不得含有</w:t>
            </w:r>
          </w:p>
          <w:p>
            <w:pPr>
              <w:spacing w:line="240" w:lineRule="auto"/>
              <w:jc w:val="left"/>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★33.外观质量：符合MZ/T014.2—2010</w:t>
            </w:r>
          </w:p>
          <w:p>
            <w:pPr>
              <w:pStyle w:val="2"/>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lang w:eastAsia="zh-CN" w:bidi="zh-CN"/>
              </w:rPr>
              <w:t>带“</w:t>
            </w:r>
            <w:r>
              <w:rPr>
                <w:rFonts w:hint="eastAsia" w:ascii="宋体" w:hAnsi="宋体" w:eastAsia="宋体" w:cs="宋体"/>
                <w:b w:val="0"/>
                <w:bCs/>
                <w:color w:val="auto"/>
                <w:sz w:val="21"/>
                <w:szCs w:val="21"/>
              </w:rPr>
              <w:t>★</w:t>
            </w:r>
            <w:r>
              <w:rPr>
                <w:rFonts w:hint="eastAsia" w:ascii="宋体" w:hAnsi="宋体" w:eastAsia="宋体" w:cs="宋体"/>
                <w:b w:val="0"/>
                <w:bCs/>
                <w:color w:val="auto"/>
                <w:sz w:val="21"/>
                <w:szCs w:val="21"/>
                <w:lang w:eastAsia="zh-CN" w:bidi="zh-CN"/>
              </w:rPr>
              <w:t>”需</w:t>
            </w:r>
            <w:r>
              <w:rPr>
                <w:rFonts w:hint="eastAsia" w:ascii="宋体" w:hAnsi="宋体" w:eastAsia="宋体" w:cs="宋体"/>
                <w:b w:val="0"/>
                <w:bCs/>
                <w:color w:val="auto"/>
                <w:sz w:val="21"/>
                <w:szCs w:val="21"/>
                <w:lang w:bidi="zh-CN"/>
              </w:rPr>
              <w:t>提供具有检测资质的第三方的质检报告</w:t>
            </w:r>
          </w:p>
        </w:tc>
        <w:tc>
          <w:tcPr>
            <w:tcW w:w="709" w:type="dxa"/>
            <w:shd w:val="clear" w:color="auto" w:fill="auto"/>
            <w:vAlign w:val="center"/>
          </w:tcPr>
          <w:p>
            <w:pPr>
              <w:widowControl/>
              <w:jc w:val="center"/>
              <w:textAlignment w:val="center"/>
              <w:rPr>
                <w:rFonts w:hint="eastAsia" w:ascii="宋体" w:hAnsi="宋体" w:eastAsia="宋体" w:cs="宋体"/>
                <w:b w:val="0"/>
                <w:bCs/>
                <w:color w:val="auto"/>
                <w:sz w:val="21"/>
                <w:szCs w:val="21"/>
              </w:rPr>
            </w:pPr>
            <w:r>
              <w:rPr>
                <w:rFonts w:hint="eastAsia" w:ascii="宋体" w:hAnsi="宋体" w:eastAsia="宋体" w:cs="宋体"/>
                <w:b w:val="0"/>
                <w:bCs/>
                <w:color w:val="auto"/>
                <w:kern w:val="0"/>
                <w:sz w:val="21"/>
                <w:szCs w:val="21"/>
                <w:lang w:bidi="ar"/>
              </w:rPr>
              <w:t>件</w:t>
            </w:r>
          </w:p>
        </w:tc>
        <w:tc>
          <w:tcPr>
            <w:tcW w:w="844" w:type="dxa"/>
            <w:shd w:val="clear" w:color="auto" w:fill="auto"/>
            <w:vAlign w:val="center"/>
          </w:tcPr>
          <w:p>
            <w:pPr>
              <w:widowControl/>
              <w:jc w:val="center"/>
              <w:textAlignment w:val="center"/>
              <w:rPr>
                <w:rFonts w:hint="eastAsia" w:ascii="宋体" w:hAnsi="宋体" w:eastAsia="宋体" w:cs="宋体"/>
                <w:b w:val="0"/>
                <w:bCs/>
                <w:color w:val="auto"/>
                <w:sz w:val="21"/>
                <w:szCs w:val="21"/>
              </w:rPr>
            </w:pPr>
            <w:r>
              <w:rPr>
                <w:rFonts w:hint="eastAsia" w:ascii="宋体" w:hAnsi="宋体" w:eastAsia="宋体" w:cs="宋体"/>
                <w:b w:val="0"/>
                <w:bCs/>
                <w:color w:val="auto"/>
                <w:kern w:val="0"/>
                <w:sz w:val="21"/>
                <w:szCs w:val="21"/>
                <w:lang w:bidi="ar"/>
              </w:rPr>
              <w:t>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9" w:type="dxa"/>
            <w:vAlign w:val="center"/>
          </w:tcPr>
          <w:p>
            <w:pPr>
              <w:spacing w:line="240" w:lineRule="auto"/>
              <w:jc w:val="center"/>
              <w:rPr>
                <w:rFonts w:hint="eastAsia" w:ascii="宋体" w:hAnsi="宋体" w:eastAsia="宋体" w:cs="宋体"/>
                <w:b w:val="0"/>
                <w:bCs/>
                <w:color w:val="auto"/>
                <w:sz w:val="21"/>
                <w:szCs w:val="21"/>
              </w:rPr>
            </w:pPr>
            <w:r>
              <w:rPr>
                <w:rStyle w:val="202"/>
                <w:rFonts w:hint="eastAsia" w:ascii="宋体" w:hAnsi="宋体" w:eastAsia="宋体" w:cs="宋体"/>
                <w:b w:val="0"/>
                <w:bCs/>
                <w:color w:val="auto"/>
                <w:sz w:val="21"/>
                <w:szCs w:val="21"/>
              </w:rPr>
              <w:t>17</w:t>
            </w:r>
          </w:p>
        </w:tc>
        <w:tc>
          <w:tcPr>
            <w:tcW w:w="1139" w:type="dxa"/>
            <w:shd w:val="clear" w:color="auto" w:fill="auto"/>
            <w:vAlign w:val="center"/>
          </w:tcPr>
          <w:p>
            <w:pPr>
              <w:spacing w:line="240" w:lineRule="auto"/>
              <w:jc w:val="center"/>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w:t>
            </w:r>
            <w:r>
              <w:rPr>
                <w:rStyle w:val="202"/>
                <w:rFonts w:hint="eastAsia" w:ascii="宋体" w:hAnsi="宋体" w:eastAsia="宋体" w:cs="宋体"/>
                <w:b w:val="0"/>
                <w:bCs/>
                <w:color w:val="auto"/>
                <w:sz w:val="21"/>
                <w:szCs w:val="21"/>
              </w:rPr>
              <w:t>毛巾被</w:t>
            </w:r>
          </w:p>
        </w:tc>
        <w:tc>
          <w:tcPr>
            <w:tcW w:w="6237" w:type="dxa"/>
            <w:shd w:val="clear" w:color="auto" w:fill="auto"/>
            <w:vAlign w:val="center"/>
          </w:tcPr>
          <w:p>
            <w:pPr>
              <w:spacing w:line="240" w:lineRule="auto"/>
              <w:jc w:val="left"/>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成份：棉100%</w:t>
            </w:r>
          </w:p>
          <w:p>
            <w:pPr>
              <w:pStyle w:val="2"/>
              <w:spacing w:line="240" w:lineRule="auto"/>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颜色：绿色</w:t>
            </w:r>
          </w:p>
          <w:p>
            <w:pPr>
              <w:spacing w:line="240" w:lineRule="auto"/>
              <w:jc w:val="left"/>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线密度：   经纱卷纱：27.3tex╳2</w:t>
            </w:r>
          </w:p>
          <w:p>
            <w:pPr>
              <w:spacing w:line="240" w:lineRule="auto"/>
              <w:jc w:val="left"/>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纬纱普纱：24.0tex╳2</w:t>
            </w:r>
          </w:p>
          <w:p>
            <w:pPr>
              <w:spacing w:line="240" w:lineRule="auto"/>
              <w:jc w:val="left"/>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纬纱：26.0tex</w:t>
            </w:r>
          </w:p>
          <w:p>
            <w:pPr>
              <w:spacing w:line="240" w:lineRule="auto"/>
              <w:jc w:val="left"/>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织物密度：经向332根/10cm</w:t>
            </w:r>
          </w:p>
          <w:p>
            <w:pPr>
              <w:spacing w:line="240" w:lineRule="auto"/>
              <w:ind w:firstLine="1050" w:firstLineChars="500"/>
              <w:jc w:val="left"/>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纬向149根/10cm</w:t>
            </w:r>
          </w:p>
          <w:p>
            <w:pPr>
              <w:pStyle w:val="2"/>
              <w:spacing w:line="240" w:lineRule="auto"/>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★甲醛含量：0mg/KG</w:t>
            </w:r>
          </w:p>
          <w:p>
            <w:pPr>
              <w:pStyle w:val="2"/>
              <w:spacing w:line="240" w:lineRule="auto"/>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★PH值：6.7</w:t>
            </w:r>
          </w:p>
          <w:p>
            <w:pPr>
              <w:pStyle w:val="2"/>
              <w:spacing w:line="240" w:lineRule="auto"/>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★耐干摩擦色牢度：≥3级</w:t>
            </w:r>
          </w:p>
          <w:p>
            <w:pPr>
              <w:pStyle w:val="2"/>
              <w:spacing w:line="240" w:lineRule="auto"/>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★纤维含量：100%棉</w:t>
            </w:r>
          </w:p>
          <w:p>
            <w:pPr>
              <w:spacing w:line="240" w:lineRule="auto"/>
              <w:jc w:val="left"/>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单位面积质量：314g/m2</w:t>
            </w:r>
          </w:p>
          <w:p>
            <w:pPr>
              <w:pStyle w:val="2"/>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lang w:eastAsia="zh-CN" w:bidi="zh-CN"/>
              </w:rPr>
              <w:t>带“</w:t>
            </w:r>
            <w:r>
              <w:rPr>
                <w:rFonts w:hint="eastAsia" w:ascii="宋体" w:hAnsi="宋体" w:eastAsia="宋体" w:cs="宋体"/>
                <w:b w:val="0"/>
                <w:bCs/>
                <w:color w:val="auto"/>
                <w:sz w:val="21"/>
                <w:szCs w:val="21"/>
              </w:rPr>
              <w:t>★</w:t>
            </w:r>
            <w:r>
              <w:rPr>
                <w:rFonts w:hint="eastAsia" w:ascii="宋体" w:hAnsi="宋体" w:eastAsia="宋体" w:cs="宋体"/>
                <w:b w:val="0"/>
                <w:bCs/>
                <w:color w:val="auto"/>
                <w:sz w:val="21"/>
                <w:szCs w:val="21"/>
                <w:lang w:eastAsia="zh-CN" w:bidi="zh-CN"/>
              </w:rPr>
              <w:t>”需</w:t>
            </w:r>
            <w:r>
              <w:rPr>
                <w:rFonts w:hint="eastAsia" w:ascii="宋体" w:hAnsi="宋体" w:eastAsia="宋体" w:cs="宋体"/>
                <w:b w:val="0"/>
                <w:bCs/>
                <w:color w:val="auto"/>
                <w:sz w:val="21"/>
                <w:szCs w:val="21"/>
                <w:lang w:bidi="zh-CN"/>
              </w:rPr>
              <w:t>提供具有检测资质的第三方的质检报告</w:t>
            </w:r>
          </w:p>
        </w:tc>
        <w:tc>
          <w:tcPr>
            <w:tcW w:w="709" w:type="dxa"/>
            <w:shd w:val="clear" w:color="auto" w:fill="auto"/>
            <w:vAlign w:val="center"/>
          </w:tcPr>
          <w:p>
            <w:pPr>
              <w:widowControl/>
              <w:jc w:val="center"/>
              <w:textAlignment w:val="center"/>
              <w:rPr>
                <w:rFonts w:hint="eastAsia" w:ascii="宋体" w:hAnsi="宋体" w:eastAsia="宋体" w:cs="宋体"/>
                <w:b w:val="0"/>
                <w:bCs/>
                <w:color w:val="auto"/>
                <w:sz w:val="21"/>
                <w:szCs w:val="21"/>
              </w:rPr>
            </w:pPr>
            <w:r>
              <w:rPr>
                <w:rFonts w:hint="eastAsia" w:ascii="宋体" w:hAnsi="宋体" w:eastAsia="宋体" w:cs="宋体"/>
                <w:b w:val="0"/>
                <w:bCs/>
                <w:color w:val="auto"/>
                <w:kern w:val="0"/>
                <w:sz w:val="21"/>
                <w:szCs w:val="21"/>
                <w:lang w:bidi="ar"/>
              </w:rPr>
              <w:t>床</w:t>
            </w:r>
          </w:p>
        </w:tc>
        <w:tc>
          <w:tcPr>
            <w:tcW w:w="844" w:type="dxa"/>
            <w:shd w:val="clear" w:color="auto" w:fill="auto"/>
            <w:vAlign w:val="center"/>
          </w:tcPr>
          <w:p>
            <w:pPr>
              <w:widowControl/>
              <w:jc w:val="center"/>
              <w:textAlignment w:val="center"/>
              <w:rPr>
                <w:rFonts w:hint="eastAsia" w:ascii="宋体" w:hAnsi="宋体" w:eastAsia="宋体" w:cs="宋体"/>
                <w:b w:val="0"/>
                <w:bCs/>
                <w:color w:val="auto"/>
                <w:sz w:val="21"/>
                <w:szCs w:val="21"/>
              </w:rPr>
            </w:pPr>
            <w:r>
              <w:rPr>
                <w:rFonts w:hint="eastAsia" w:ascii="宋体" w:hAnsi="宋体" w:eastAsia="宋体" w:cs="宋体"/>
                <w:b w:val="0"/>
                <w:bCs/>
                <w:color w:val="auto"/>
                <w:kern w:val="0"/>
                <w:sz w:val="21"/>
                <w:szCs w:val="21"/>
                <w:lang w:bidi="ar"/>
              </w:rPr>
              <w:t>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9" w:type="dxa"/>
          </w:tcPr>
          <w:p>
            <w:pPr>
              <w:spacing w:line="240" w:lineRule="auto"/>
              <w:jc w:val="left"/>
              <w:rPr>
                <w:rStyle w:val="202"/>
                <w:rFonts w:hint="eastAsia" w:ascii="宋体" w:hAnsi="宋体" w:eastAsia="宋体" w:cs="宋体"/>
                <w:b w:val="0"/>
                <w:bCs/>
                <w:color w:val="auto"/>
                <w:sz w:val="21"/>
                <w:szCs w:val="21"/>
              </w:rPr>
            </w:pPr>
          </w:p>
          <w:p>
            <w:pPr>
              <w:spacing w:line="240" w:lineRule="auto"/>
              <w:jc w:val="left"/>
              <w:rPr>
                <w:rStyle w:val="202"/>
                <w:rFonts w:hint="eastAsia" w:ascii="宋体" w:hAnsi="宋体" w:eastAsia="宋体" w:cs="宋体"/>
                <w:b w:val="0"/>
                <w:bCs/>
                <w:color w:val="auto"/>
                <w:sz w:val="21"/>
                <w:szCs w:val="21"/>
              </w:rPr>
            </w:pPr>
          </w:p>
          <w:p>
            <w:pPr>
              <w:spacing w:line="240" w:lineRule="auto"/>
              <w:jc w:val="left"/>
              <w:rPr>
                <w:rStyle w:val="202"/>
                <w:rFonts w:hint="eastAsia" w:ascii="宋体" w:hAnsi="宋体" w:eastAsia="宋体" w:cs="宋体"/>
                <w:b w:val="0"/>
                <w:bCs/>
                <w:color w:val="auto"/>
                <w:sz w:val="21"/>
                <w:szCs w:val="21"/>
              </w:rPr>
            </w:pPr>
          </w:p>
          <w:p>
            <w:pPr>
              <w:spacing w:line="240" w:lineRule="auto"/>
              <w:jc w:val="left"/>
              <w:rPr>
                <w:rStyle w:val="202"/>
                <w:rFonts w:hint="eastAsia" w:ascii="宋体" w:hAnsi="宋体" w:eastAsia="宋体" w:cs="宋体"/>
                <w:b w:val="0"/>
                <w:bCs/>
                <w:color w:val="auto"/>
                <w:sz w:val="21"/>
                <w:szCs w:val="21"/>
              </w:rPr>
            </w:pPr>
          </w:p>
          <w:p>
            <w:pPr>
              <w:spacing w:line="240" w:lineRule="auto"/>
              <w:jc w:val="left"/>
              <w:rPr>
                <w:rStyle w:val="202"/>
                <w:rFonts w:hint="eastAsia" w:ascii="宋体" w:hAnsi="宋体" w:eastAsia="宋体" w:cs="宋体"/>
                <w:b w:val="0"/>
                <w:bCs/>
                <w:color w:val="auto"/>
                <w:sz w:val="21"/>
                <w:szCs w:val="21"/>
              </w:rPr>
            </w:pPr>
          </w:p>
          <w:p>
            <w:pPr>
              <w:spacing w:line="240" w:lineRule="auto"/>
              <w:jc w:val="left"/>
              <w:rPr>
                <w:rStyle w:val="202"/>
                <w:rFonts w:hint="eastAsia" w:ascii="宋体" w:hAnsi="宋体" w:eastAsia="宋体" w:cs="宋体"/>
                <w:b w:val="0"/>
                <w:bCs/>
                <w:color w:val="auto"/>
                <w:sz w:val="21"/>
                <w:szCs w:val="21"/>
              </w:rPr>
            </w:pPr>
          </w:p>
          <w:p>
            <w:pPr>
              <w:spacing w:line="240" w:lineRule="auto"/>
              <w:jc w:val="left"/>
              <w:rPr>
                <w:rStyle w:val="202"/>
                <w:rFonts w:hint="eastAsia" w:ascii="宋体" w:hAnsi="宋体" w:eastAsia="宋体" w:cs="宋体"/>
                <w:b w:val="0"/>
                <w:bCs/>
                <w:color w:val="auto"/>
                <w:sz w:val="21"/>
                <w:szCs w:val="21"/>
              </w:rPr>
            </w:pPr>
          </w:p>
          <w:p>
            <w:pPr>
              <w:spacing w:line="240" w:lineRule="auto"/>
              <w:jc w:val="left"/>
              <w:rPr>
                <w:rStyle w:val="202"/>
                <w:rFonts w:hint="eastAsia" w:ascii="宋体" w:hAnsi="宋体" w:eastAsia="宋体" w:cs="宋体"/>
                <w:b w:val="0"/>
                <w:bCs/>
                <w:color w:val="auto"/>
                <w:sz w:val="21"/>
                <w:szCs w:val="21"/>
              </w:rPr>
            </w:pPr>
          </w:p>
          <w:p>
            <w:pPr>
              <w:spacing w:line="240" w:lineRule="auto"/>
              <w:jc w:val="left"/>
              <w:rPr>
                <w:rStyle w:val="202"/>
                <w:rFonts w:hint="eastAsia" w:ascii="宋体" w:hAnsi="宋体" w:eastAsia="宋体" w:cs="宋体"/>
                <w:b w:val="0"/>
                <w:bCs/>
                <w:color w:val="auto"/>
                <w:sz w:val="21"/>
                <w:szCs w:val="21"/>
              </w:rPr>
            </w:pPr>
          </w:p>
          <w:p>
            <w:pPr>
              <w:spacing w:line="240" w:lineRule="auto"/>
              <w:jc w:val="left"/>
              <w:rPr>
                <w:rStyle w:val="202"/>
                <w:rFonts w:hint="eastAsia" w:ascii="宋体" w:hAnsi="宋体" w:eastAsia="宋体" w:cs="宋体"/>
                <w:b w:val="0"/>
                <w:bCs/>
                <w:color w:val="auto"/>
                <w:sz w:val="21"/>
                <w:szCs w:val="21"/>
              </w:rPr>
            </w:pPr>
          </w:p>
          <w:p>
            <w:pPr>
              <w:spacing w:line="240" w:lineRule="auto"/>
              <w:jc w:val="left"/>
              <w:rPr>
                <w:rStyle w:val="202"/>
                <w:rFonts w:hint="eastAsia" w:ascii="宋体" w:hAnsi="宋体" w:eastAsia="宋体" w:cs="宋体"/>
                <w:b w:val="0"/>
                <w:bCs/>
                <w:color w:val="auto"/>
                <w:sz w:val="21"/>
                <w:szCs w:val="21"/>
              </w:rPr>
            </w:pPr>
          </w:p>
          <w:p>
            <w:pPr>
              <w:spacing w:line="240" w:lineRule="auto"/>
              <w:jc w:val="left"/>
              <w:rPr>
                <w:rStyle w:val="202"/>
                <w:rFonts w:hint="eastAsia" w:ascii="宋体" w:hAnsi="宋体" w:eastAsia="宋体" w:cs="宋体"/>
                <w:b w:val="0"/>
                <w:bCs/>
                <w:color w:val="auto"/>
                <w:sz w:val="21"/>
                <w:szCs w:val="21"/>
              </w:rPr>
            </w:pPr>
          </w:p>
          <w:p>
            <w:pPr>
              <w:spacing w:line="240" w:lineRule="auto"/>
              <w:jc w:val="left"/>
              <w:rPr>
                <w:rFonts w:hint="eastAsia" w:ascii="宋体" w:hAnsi="宋体" w:eastAsia="宋体" w:cs="宋体"/>
                <w:b w:val="0"/>
                <w:bCs/>
                <w:color w:val="auto"/>
                <w:sz w:val="21"/>
                <w:szCs w:val="21"/>
              </w:rPr>
            </w:pPr>
            <w:r>
              <w:rPr>
                <w:rStyle w:val="202"/>
                <w:rFonts w:hint="eastAsia" w:ascii="宋体" w:hAnsi="宋体" w:eastAsia="宋体" w:cs="宋体"/>
                <w:b w:val="0"/>
                <w:bCs/>
                <w:color w:val="auto"/>
                <w:sz w:val="21"/>
                <w:szCs w:val="21"/>
              </w:rPr>
              <w:t>18</w:t>
            </w:r>
          </w:p>
        </w:tc>
        <w:tc>
          <w:tcPr>
            <w:tcW w:w="1139" w:type="dxa"/>
            <w:shd w:val="clear" w:color="auto" w:fill="auto"/>
          </w:tcPr>
          <w:p>
            <w:pPr>
              <w:spacing w:line="240" w:lineRule="auto"/>
              <w:jc w:val="left"/>
              <w:rPr>
                <w:rStyle w:val="202"/>
                <w:rFonts w:hint="eastAsia" w:ascii="宋体" w:hAnsi="宋体" w:eastAsia="宋体" w:cs="宋体"/>
                <w:b w:val="0"/>
                <w:bCs/>
                <w:color w:val="auto"/>
                <w:sz w:val="21"/>
                <w:szCs w:val="21"/>
              </w:rPr>
            </w:pPr>
          </w:p>
          <w:p>
            <w:pPr>
              <w:spacing w:line="240" w:lineRule="auto"/>
              <w:jc w:val="left"/>
              <w:rPr>
                <w:rStyle w:val="202"/>
                <w:rFonts w:hint="eastAsia" w:ascii="宋体" w:hAnsi="宋体" w:eastAsia="宋体" w:cs="宋体"/>
                <w:b w:val="0"/>
                <w:bCs/>
                <w:color w:val="auto"/>
                <w:sz w:val="21"/>
                <w:szCs w:val="21"/>
              </w:rPr>
            </w:pPr>
          </w:p>
          <w:p>
            <w:pPr>
              <w:spacing w:line="240" w:lineRule="auto"/>
              <w:jc w:val="left"/>
              <w:rPr>
                <w:rStyle w:val="202"/>
                <w:rFonts w:hint="eastAsia" w:ascii="宋体" w:hAnsi="宋体" w:eastAsia="宋体" w:cs="宋体"/>
                <w:b w:val="0"/>
                <w:bCs/>
                <w:color w:val="auto"/>
                <w:sz w:val="21"/>
                <w:szCs w:val="21"/>
              </w:rPr>
            </w:pPr>
          </w:p>
          <w:p>
            <w:pPr>
              <w:spacing w:line="240" w:lineRule="auto"/>
              <w:jc w:val="left"/>
              <w:rPr>
                <w:rStyle w:val="202"/>
                <w:rFonts w:hint="eastAsia" w:ascii="宋体" w:hAnsi="宋体" w:eastAsia="宋体" w:cs="宋体"/>
                <w:b w:val="0"/>
                <w:bCs/>
                <w:color w:val="auto"/>
                <w:sz w:val="21"/>
                <w:szCs w:val="21"/>
              </w:rPr>
            </w:pPr>
          </w:p>
          <w:p>
            <w:pPr>
              <w:spacing w:line="240" w:lineRule="auto"/>
              <w:jc w:val="left"/>
              <w:rPr>
                <w:rStyle w:val="202"/>
                <w:rFonts w:hint="eastAsia" w:ascii="宋体" w:hAnsi="宋体" w:eastAsia="宋体" w:cs="宋体"/>
                <w:b w:val="0"/>
                <w:bCs/>
                <w:color w:val="auto"/>
                <w:sz w:val="21"/>
                <w:szCs w:val="21"/>
              </w:rPr>
            </w:pPr>
          </w:p>
          <w:p>
            <w:pPr>
              <w:spacing w:line="240" w:lineRule="auto"/>
              <w:jc w:val="left"/>
              <w:rPr>
                <w:rStyle w:val="202"/>
                <w:rFonts w:hint="eastAsia" w:ascii="宋体" w:hAnsi="宋体" w:eastAsia="宋体" w:cs="宋体"/>
                <w:b w:val="0"/>
                <w:bCs/>
                <w:color w:val="auto"/>
                <w:sz w:val="21"/>
                <w:szCs w:val="21"/>
              </w:rPr>
            </w:pPr>
          </w:p>
          <w:p>
            <w:pPr>
              <w:spacing w:line="240" w:lineRule="auto"/>
              <w:jc w:val="left"/>
              <w:rPr>
                <w:rStyle w:val="202"/>
                <w:rFonts w:hint="eastAsia" w:ascii="宋体" w:hAnsi="宋体" w:eastAsia="宋体" w:cs="宋体"/>
                <w:b w:val="0"/>
                <w:bCs/>
                <w:color w:val="auto"/>
                <w:sz w:val="21"/>
                <w:szCs w:val="21"/>
              </w:rPr>
            </w:pPr>
          </w:p>
          <w:p>
            <w:pPr>
              <w:spacing w:line="240" w:lineRule="auto"/>
              <w:jc w:val="left"/>
              <w:rPr>
                <w:rStyle w:val="202"/>
                <w:rFonts w:hint="eastAsia" w:ascii="宋体" w:hAnsi="宋体" w:eastAsia="宋体" w:cs="宋体"/>
                <w:b w:val="0"/>
                <w:bCs/>
                <w:color w:val="auto"/>
                <w:sz w:val="21"/>
                <w:szCs w:val="21"/>
              </w:rPr>
            </w:pPr>
          </w:p>
          <w:p>
            <w:pPr>
              <w:spacing w:line="240" w:lineRule="auto"/>
              <w:jc w:val="left"/>
              <w:rPr>
                <w:rStyle w:val="202"/>
                <w:rFonts w:hint="eastAsia" w:ascii="宋体" w:hAnsi="宋体" w:eastAsia="宋体" w:cs="宋体"/>
                <w:b w:val="0"/>
                <w:bCs/>
                <w:color w:val="auto"/>
                <w:sz w:val="21"/>
                <w:szCs w:val="21"/>
              </w:rPr>
            </w:pPr>
          </w:p>
          <w:p>
            <w:pPr>
              <w:spacing w:line="240" w:lineRule="auto"/>
              <w:jc w:val="left"/>
              <w:rPr>
                <w:rStyle w:val="202"/>
                <w:rFonts w:hint="eastAsia" w:ascii="宋体" w:hAnsi="宋体" w:eastAsia="宋体" w:cs="宋体"/>
                <w:b w:val="0"/>
                <w:bCs/>
                <w:color w:val="auto"/>
                <w:sz w:val="21"/>
                <w:szCs w:val="21"/>
              </w:rPr>
            </w:pPr>
          </w:p>
          <w:p>
            <w:pPr>
              <w:spacing w:line="240" w:lineRule="auto"/>
              <w:jc w:val="left"/>
              <w:rPr>
                <w:rStyle w:val="202"/>
                <w:rFonts w:hint="eastAsia" w:ascii="宋体" w:hAnsi="宋体" w:eastAsia="宋体" w:cs="宋体"/>
                <w:b w:val="0"/>
                <w:bCs/>
                <w:color w:val="auto"/>
                <w:sz w:val="21"/>
                <w:szCs w:val="21"/>
              </w:rPr>
            </w:pPr>
          </w:p>
          <w:p>
            <w:pPr>
              <w:spacing w:line="240" w:lineRule="auto"/>
              <w:jc w:val="left"/>
              <w:rPr>
                <w:rStyle w:val="202"/>
                <w:rFonts w:hint="eastAsia" w:ascii="宋体" w:hAnsi="宋体" w:eastAsia="宋体" w:cs="宋体"/>
                <w:b w:val="0"/>
                <w:bCs/>
                <w:color w:val="auto"/>
                <w:sz w:val="21"/>
                <w:szCs w:val="21"/>
              </w:rPr>
            </w:pPr>
          </w:p>
          <w:p>
            <w:pPr>
              <w:spacing w:line="240" w:lineRule="auto"/>
              <w:jc w:val="left"/>
              <w:rPr>
                <w:rFonts w:hint="eastAsia" w:ascii="宋体" w:hAnsi="宋体" w:eastAsia="宋体" w:cs="宋体"/>
                <w:b w:val="0"/>
                <w:bCs/>
                <w:color w:val="auto"/>
                <w:sz w:val="21"/>
                <w:szCs w:val="21"/>
              </w:rPr>
            </w:pPr>
            <w:r>
              <w:rPr>
                <w:rStyle w:val="202"/>
                <w:rFonts w:hint="eastAsia" w:ascii="宋体" w:hAnsi="宋体" w:eastAsia="宋体" w:cs="宋体"/>
                <w:b w:val="0"/>
                <w:bCs/>
                <w:color w:val="auto"/>
                <w:sz w:val="21"/>
                <w:szCs w:val="21"/>
              </w:rPr>
              <w:t>篷布</w:t>
            </w:r>
          </w:p>
        </w:tc>
        <w:tc>
          <w:tcPr>
            <w:tcW w:w="6237" w:type="dxa"/>
            <w:shd w:val="clear" w:color="auto" w:fill="auto"/>
          </w:tcPr>
          <w:p>
            <w:pPr>
              <w:keepNext w:val="0"/>
              <w:keepLines w:val="0"/>
              <w:pageBreakBefore w:val="0"/>
              <w:widowControl w:val="0"/>
              <w:kinsoku/>
              <w:wordWrap/>
              <w:overflowPunct/>
              <w:topLinePunct w:val="0"/>
              <w:autoSpaceDE/>
              <w:autoSpaceDN/>
              <w:bidi w:val="0"/>
              <w:adjustRightInd w:val="0"/>
              <w:snapToGrid/>
              <w:spacing w:line="120" w:lineRule="auto"/>
              <w:jc w:val="left"/>
              <w:textAlignment w:val="baseline"/>
              <w:rPr>
                <w:rStyle w:val="202"/>
                <w:rFonts w:hint="eastAsia" w:ascii="宋体" w:hAnsi="宋体" w:eastAsia="宋体" w:cs="宋体"/>
                <w:b w:val="0"/>
                <w:bCs/>
                <w:color w:val="auto"/>
                <w:sz w:val="21"/>
                <w:szCs w:val="21"/>
              </w:rPr>
            </w:pPr>
            <w:r>
              <w:rPr>
                <w:rStyle w:val="202"/>
                <w:rFonts w:hint="eastAsia" w:ascii="宋体" w:hAnsi="宋体" w:eastAsia="宋体" w:cs="宋体"/>
                <w:b w:val="0"/>
                <w:bCs/>
                <w:color w:val="auto"/>
                <w:sz w:val="21"/>
                <w:szCs w:val="21"/>
              </w:rPr>
              <w:t>"1、规格指标：双面复膜编织布，宽8 m，长度8m，色泽：红、蓝、白三色。</w:t>
            </w:r>
          </w:p>
          <w:p>
            <w:pPr>
              <w:keepNext w:val="0"/>
              <w:keepLines w:val="0"/>
              <w:pageBreakBefore w:val="0"/>
              <w:widowControl w:val="0"/>
              <w:kinsoku/>
              <w:wordWrap/>
              <w:overflowPunct/>
              <w:topLinePunct w:val="0"/>
              <w:autoSpaceDE/>
              <w:autoSpaceDN/>
              <w:bidi w:val="0"/>
              <w:adjustRightInd w:val="0"/>
              <w:snapToGrid/>
              <w:spacing w:line="120" w:lineRule="auto"/>
              <w:jc w:val="left"/>
              <w:textAlignment w:val="baseline"/>
              <w:rPr>
                <w:rStyle w:val="202"/>
                <w:rFonts w:hint="eastAsia" w:ascii="宋体" w:hAnsi="宋体" w:eastAsia="宋体" w:cs="宋体"/>
                <w:b w:val="0"/>
                <w:bCs/>
                <w:color w:val="auto"/>
                <w:sz w:val="21"/>
                <w:szCs w:val="21"/>
              </w:rPr>
            </w:pPr>
            <w:r>
              <w:rPr>
                <w:rStyle w:val="202"/>
                <w:rFonts w:hint="eastAsia" w:ascii="宋体" w:hAnsi="宋体" w:eastAsia="宋体" w:cs="宋体"/>
                <w:b w:val="0"/>
                <w:bCs/>
                <w:color w:val="auto"/>
                <w:sz w:val="21"/>
                <w:szCs w:val="21"/>
              </w:rPr>
              <w:t>2、技术标准：经纬密度每10 cm径向40～60根，纬向40～56根；每平方米质量为120 g；不可剥离。物理力学性能指标符合表1要求，外观质量及允许偏差符合表2要求。</w:t>
            </w:r>
          </w:p>
          <w:p>
            <w:pPr>
              <w:keepNext w:val="0"/>
              <w:keepLines w:val="0"/>
              <w:pageBreakBefore w:val="0"/>
              <w:widowControl w:val="0"/>
              <w:kinsoku/>
              <w:wordWrap/>
              <w:overflowPunct/>
              <w:topLinePunct w:val="0"/>
              <w:autoSpaceDE/>
              <w:autoSpaceDN/>
              <w:bidi w:val="0"/>
              <w:adjustRightInd w:val="0"/>
              <w:snapToGrid/>
              <w:spacing w:line="120" w:lineRule="auto"/>
              <w:jc w:val="left"/>
              <w:textAlignment w:val="baseline"/>
              <w:rPr>
                <w:rStyle w:val="202"/>
                <w:rFonts w:hint="eastAsia" w:ascii="宋体" w:hAnsi="宋体" w:eastAsia="宋体" w:cs="宋体"/>
                <w:b w:val="0"/>
                <w:bCs/>
                <w:color w:val="auto"/>
                <w:sz w:val="21"/>
                <w:szCs w:val="21"/>
              </w:rPr>
            </w:pPr>
            <w:r>
              <w:rPr>
                <w:rStyle w:val="202"/>
                <w:rFonts w:hint="eastAsia" w:ascii="宋体" w:hAnsi="宋体" w:eastAsia="宋体" w:cs="宋体"/>
                <w:b w:val="0"/>
                <w:bCs/>
                <w:color w:val="auto"/>
                <w:sz w:val="21"/>
                <w:szCs w:val="21"/>
              </w:rPr>
              <w:t>表1  复膜编织布物理力学性能指标</w:t>
            </w:r>
          </w:p>
          <w:p>
            <w:pPr>
              <w:keepNext w:val="0"/>
              <w:keepLines w:val="0"/>
              <w:pageBreakBefore w:val="0"/>
              <w:widowControl w:val="0"/>
              <w:kinsoku/>
              <w:wordWrap/>
              <w:overflowPunct/>
              <w:topLinePunct w:val="0"/>
              <w:autoSpaceDE/>
              <w:autoSpaceDN/>
              <w:bidi w:val="0"/>
              <w:adjustRightInd w:val="0"/>
              <w:snapToGrid/>
              <w:spacing w:line="120" w:lineRule="auto"/>
              <w:jc w:val="left"/>
              <w:textAlignment w:val="baseline"/>
              <w:rPr>
                <w:rStyle w:val="202"/>
                <w:rFonts w:hint="eastAsia" w:ascii="宋体" w:hAnsi="宋体" w:eastAsia="宋体" w:cs="宋体"/>
                <w:b w:val="0"/>
                <w:bCs/>
                <w:color w:val="auto"/>
                <w:sz w:val="21"/>
                <w:szCs w:val="21"/>
              </w:rPr>
            </w:pPr>
            <w:r>
              <w:rPr>
                <w:rStyle w:val="202"/>
                <w:rFonts w:hint="eastAsia" w:ascii="宋体" w:hAnsi="宋体" w:eastAsia="宋体" w:cs="宋体"/>
                <w:b w:val="0"/>
                <w:bCs/>
                <w:color w:val="auto"/>
                <w:sz w:val="21"/>
                <w:szCs w:val="21"/>
              </w:rPr>
              <w:t xml:space="preserve">项目指标 </w:t>
            </w:r>
          </w:p>
          <w:p>
            <w:pPr>
              <w:keepNext w:val="0"/>
              <w:keepLines w:val="0"/>
              <w:pageBreakBefore w:val="0"/>
              <w:widowControl w:val="0"/>
              <w:kinsoku/>
              <w:wordWrap/>
              <w:overflowPunct/>
              <w:topLinePunct w:val="0"/>
              <w:autoSpaceDE/>
              <w:autoSpaceDN/>
              <w:bidi w:val="0"/>
              <w:adjustRightInd w:val="0"/>
              <w:snapToGrid/>
              <w:spacing w:line="120" w:lineRule="auto"/>
              <w:jc w:val="left"/>
              <w:textAlignment w:val="baseline"/>
              <w:rPr>
                <w:rStyle w:val="202"/>
                <w:rFonts w:hint="eastAsia" w:ascii="宋体" w:hAnsi="宋体" w:eastAsia="宋体" w:cs="宋体"/>
                <w:b w:val="0"/>
                <w:bCs/>
                <w:color w:val="auto"/>
                <w:sz w:val="21"/>
                <w:szCs w:val="21"/>
              </w:rPr>
            </w:pPr>
            <w:r>
              <w:rPr>
                <w:rStyle w:val="202"/>
                <w:rFonts w:hint="eastAsia" w:ascii="宋体" w:hAnsi="宋体" w:eastAsia="宋体" w:cs="宋体"/>
                <w:b w:val="0"/>
                <w:bCs/>
                <w:color w:val="auto"/>
                <w:sz w:val="21"/>
                <w:szCs w:val="21"/>
              </w:rPr>
              <w:t xml:space="preserve">（1）经向断裂强度（kN/m） ≥13 </w:t>
            </w:r>
          </w:p>
          <w:p>
            <w:pPr>
              <w:keepNext w:val="0"/>
              <w:keepLines w:val="0"/>
              <w:pageBreakBefore w:val="0"/>
              <w:widowControl w:val="0"/>
              <w:kinsoku/>
              <w:wordWrap/>
              <w:overflowPunct/>
              <w:topLinePunct w:val="0"/>
              <w:autoSpaceDE/>
              <w:autoSpaceDN/>
              <w:bidi w:val="0"/>
              <w:adjustRightInd w:val="0"/>
              <w:snapToGrid/>
              <w:spacing w:line="120" w:lineRule="auto"/>
              <w:jc w:val="left"/>
              <w:textAlignment w:val="baseline"/>
              <w:rPr>
                <w:rStyle w:val="202"/>
                <w:rFonts w:hint="eastAsia" w:ascii="宋体" w:hAnsi="宋体" w:eastAsia="宋体" w:cs="宋体"/>
                <w:b w:val="0"/>
                <w:bCs/>
                <w:color w:val="auto"/>
                <w:sz w:val="21"/>
                <w:szCs w:val="21"/>
              </w:rPr>
            </w:pPr>
            <w:r>
              <w:rPr>
                <w:rStyle w:val="202"/>
                <w:rFonts w:hint="eastAsia" w:ascii="宋体" w:hAnsi="宋体" w:eastAsia="宋体" w:cs="宋体"/>
                <w:b w:val="0"/>
                <w:bCs/>
                <w:color w:val="auto"/>
                <w:sz w:val="21"/>
                <w:szCs w:val="21"/>
              </w:rPr>
              <w:t xml:space="preserve">（2）纬向断裂强度（kN/m） ≥11.4 </w:t>
            </w:r>
          </w:p>
          <w:p>
            <w:pPr>
              <w:keepNext w:val="0"/>
              <w:keepLines w:val="0"/>
              <w:pageBreakBefore w:val="0"/>
              <w:widowControl w:val="0"/>
              <w:kinsoku/>
              <w:wordWrap/>
              <w:overflowPunct/>
              <w:topLinePunct w:val="0"/>
              <w:autoSpaceDE/>
              <w:autoSpaceDN/>
              <w:bidi w:val="0"/>
              <w:adjustRightInd w:val="0"/>
              <w:snapToGrid/>
              <w:spacing w:line="120" w:lineRule="auto"/>
              <w:jc w:val="left"/>
              <w:textAlignment w:val="baseline"/>
              <w:rPr>
                <w:rStyle w:val="202"/>
                <w:rFonts w:hint="eastAsia" w:ascii="宋体" w:hAnsi="宋体" w:eastAsia="宋体" w:cs="宋体"/>
                <w:b w:val="0"/>
                <w:bCs/>
                <w:color w:val="auto"/>
                <w:sz w:val="21"/>
                <w:szCs w:val="21"/>
              </w:rPr>
            </w:pPr>
            <w:r>
              <w:rPr>
                <w:rStyle w:val="202"/>
                <w:rFonts w:hint="eastAsia" w:ascii="宋体" w:hAnsi="宋体" w:eastAsia="宋体" w:cs="宋体"/>
                <w:b w:val="0"/>
                <w:bCs/>
                <w:color w:val="auto"/>
                <w:sz w:val="21"/>
                <w:szCs w:val="21"/>
              </w:rPr>
              <w:t xml:space="preserve">（3）经纬向断裂伸长率（%） 15～30 </w:t>
            </w:r>
          </w:p>
          <w:p>
            <w:pPr>
              <w:keepNext w:val="0"/>
              <w:keepLines w:val="0"/>
              <w:pageBreakBefore w:val="0"/>
              <w:widowControl w:val="0"/>
              <w:kinsoku/>
              <w:wordWrap/>
              <w:overflowPunct/>
              <w:topLinePunct w:val="0"/>
              <w:autoSpaceDE/>
              <w:autoSpaceDN/>
              <w:bidi w:val="0"/>
              <w:adjustRightInd w:val="0"/>
              <w:snapToGrid/>
              <w:spacing w:line="120" w:lineRule="auto"/>
              <w:jc w:val="left"/>
              <w:textAlignment w:val="baseline"/>
              <w:rPr>
                <w:rStyle w:val="202"/>
                <w:rFonts w:hint="eastAsia" w:ascii="宋体" w:hAnsi="宋体" w:eastAsia="宋体" w:cs="宋体"/>
                <w:b w:val="0"/>
                <w:bCs/>
                <w:color w:val="auto"/>
                <w:sz w:val="21"/>
                <w:szCs w:val="21"/>
              </w:rPr>
            </w:pPr>
            <w:r>
              <w:rPr>
                <w:rStyle w:val="202"/>
                <w:rFonts w:hint="eastAsia" w:ascii="宋体" w:hAnsi="宋体" w:eastAsia="宋体" w:cs="宋体"/>
                <w:b w:val="0"/>
                <w:bCs/>
                <w:color w:val="auto"/>
                <w:sz w:val="21"/>
                <w:szCs w:val="21"/>
              </w:rPr>
              <w:t xml:space="preserve">（4）剥离强度 （kN/m） ≥不可剥离 </w:t>
            </w:r>
          </w:p>
          <w:p>
            <w:pPr>
              <w:keepNext w:val="0"/>
              <w:keepLines w:val="0"/>
              <w:pageBreakBefore w:val="0"/>
              <w:widowControl w:val="0"/>
              <w:kinsoku/>
              <w:wordWrap/>
              <w:overflowPunct/>
              <w:topLinePunct w:val="0"/>
              <w:autoSpaceDE/>
              <w:autoSpaceDN/>
              <w:bidi w:val="0"/>
              <w:adjustRightInd w:val="0"/>
              <w:snapToGrid/>
              <w:spacing w:line="120" w:lineRule="auto"/>
              <w:jc w:val="left"/>
              <w:textAlignment w:val="baseline"/>
              <w:rPr>
                <w:rStyle w:val="202"/>
                <w:rFonts w:hint="eastAsia" w:ascii="宋体" w:hAnsi="宋体" w:eastAsia="宋体" w:cs="宋体"/>
                <w:b w:val="0"/>
                <w:bCs/>
                <w:color w:val="auto"/>
                <w:sz w:val="21"/>
                <w:szCs w:val="21"/>
              </w:rPr>
            </w:pPr>
            <w:r>
              <w:rPr>
                <w:rStyle w:val="202"/>
                <w:rFonts w:hint="eastAsia" w:ascii="宋体" w:hAnsi="宋体" w:eastAsia="宋体" w:cs="宋体"/>
                <w:b w:val="0"/>
                <w:bCs/>
                <w:color w:val="auto"/>
                <w:sz w:val="21"/>
                <w:szCs w:val="21"/>
              </w:rPr>
              <w:t xml:space="preserve">（5）纵向梯形撕裂强力（kN） ≥0.12 </w:t>
            </w:r>
          </w:p>
          <w:p>
            <w:pPr>
              <w:keepNext w:val="0"/>
              <w:keepLines w:val="0"/>
              <w:pageBreakBefore w:val="0"/>
              <w:widowControl w:val="0"/>
              <w:kinsoku/>
              <w:wordWrap/>
              <w:overflowPunct/>
              <w:topLinePunct w:val="0"/>
              <w:autoSpaceDE/>
              <w:autoSpaceDN/>
              <w:bidi w:val="0"/>
              <w:adjustRightInd w:val="0"/>
              <w:snapToGrid/>
              <w:spacing w:line="120" w:lineRule="auto"/>
              <w:jc w:val="left"/>
              <w:textAlignment w:val="baseline"/>
              <w:rPr>
                <w:rStyle w:val="202"/>
                <w:rFonts w:hint="eastAsia" w:ascii="宋体" w:hAnsi="宋体" w:eastAsia="宋体" w:cs="宋体"/>
                <w:b w:val="0"/>
                <w:bCs/>
                <w:color w:val="auto"/>
                <w:sz w:val="21"/>
                <w:szCs w:val="21"/>
              </w:rPr>
            </w:pPr>
            <w:r>
              <w:rPr>
                <w:rStyle w:val="202"/>
                <w:rFonts w:hint="eastAsia" w:ascii="宋体" w:hAnsi="宋体" w:eastAsia="宋体" w:cs="宋体"/>
                <w:b w:val="0"/>
                <w:bCs/>
                <w:color w:val="auto"/>
                <w:sz w:val="21"/>
                <w:szCs w:val="21"/>
              </w:rPr>
              <w:t xml:space="preserve">（6）顶破强力（kN） ≥1.2 </w:t>
            </w:r>
          </w:p>
          <w:p>
            <w:pPr>
              <w:keepNext w:val="0"/>
              <w:keepLines w:val="0"/>
              <w:pageBreakBefore w:val="0"/>
              <w:widowControl w:val="0"/>
              <w:kinsoku/>
              <w:wordWrap/>
              <w:overflowPunct/>
              <w:topLinePunct w:val="0"/>
              <w:autoSpaceDE/>
              <w:autoSpaceDN/>
              <w:bidi w:val="0"/>
              <w:adjustRightInd w:val="0"/>
              <w:snapToGrid/>
              <w:spacing w:line="120" w:lineRule="auto"/>
              <w:jc w:val="left"/>
              <w:textAlignment w:val="baseline"/>
              <w:rPr>
                <w:rStyle w:val="202"/>
                <w:rFonts w:hint="eastAsia" w:ascii="宋体" w:hAnsi="宋体" w:eastAsia="宋体" w:cs="宋体"/>
                <w:b w:val="0"/>
                <w:bCs/>
                <w:color w:val="auto"/>
                <w:sz w:val="21"/>
                <w:szCs w:val="21"/>
              </w:rPr>
            </w:pPr>
            <w:r>
              <w:rPr>
                <w:rStyle w:val="202"/>
                <w:rFonts w:hint="eastAsia" w:ascii="宋体" w:hAnsi="宋体" w:eastAsia="宋体" w:cs="宋体"/>
                <w:b w:val="0"/>
                <w:bCs/>
                <w:color w:val="auto"/>
                <w:sz w:val="21"/>
                <w:szCs w:val="21"/>
              </w:rPr>
              <w:t xml:space="preserve">（7）渗透系数（cm/s） ≤10－11 </w:t>
            </w:r>
          </w:p>
          <w:p>
            <w:pPr>
              <w:keepNext w:val="0"/>
              <w:keepLines w:val="0"/>
              <w:pageBreakBefore w:val="0"/>
              <w:widowControl w:val="0"/>
              <w:kinsoku/>
              <w:wordWrap/>
              <w:overflowPunct/>
              <w:topLinePunct w:val="0"/>
              <w:autoSpaceDE/>
              <w:autoSpaceDN/>
              <w:bidi w:val="0"/>
              <w:adjustRightInd w:val="0"/>
              <w:snapToGrid/>
              <w:spacing w:line="120" w:lineRule="auto"/>
              <w:jc w:val="left"/>
              <w:textAlignment w:val="baseline"/>
              <w:rPr>
                <w:rStyle w:val="202"/>
                <w:rFonts w:hint="eastAsia" w:ascii="宋体" w:hAnsi="宋体" w:eastAsia="宋体" w:cs="宋体"/>
                <w:b w:val="0"/>
                <w:bCs/>
                <w:color w:val="auto"/>
                <w:sz w:val="21"/>
                <w:szCs w:val="21"/>
              </w:rPr>
            </w:pPr>
            <w:r>
              <w:rPr>
                <w:rStyle w:val="202"/>
                <w:rFonts w:hint="eastAsia" w:ascii="宋体" w:hAnsi="宋体" w:eastAsia="宋体" w:cs="宋体"/>
                <w:b w:val="0"/>
                <w:bCs/>
                <w:color w:val="auto"/>
                <w:sz w:val="21"/>
                <w:szCs w:val="21"/>
              </w:rPr>
              <w:t xml:space="preserve">注：测定时如试样难以预剥离，未到规定剥离力，基材或膜材断裂，视为符合要求。 </w:t>
            </w:r>
          </w:p>
          <w:p>
            <w:pPr>
              <w:keepNext w:val="0"/>
              <w:keepLines w:val="0"/>
              <w:pageBreakBefore w:val="0"/>
              <w:widowControl w:val="0"/>
              <w:kinsoku/>
              <w:wordWrap/>
              <w:overflowPunct/>
              <w:topLinePunct w:val="0"/>
              <w:autoSpaceDE/>
              <w:autoSpaceDN/>
              <w:bidi w:val="0"/>
              <w:adjustRightInd w:val="0"/>
              <w:snapToGrid/>
              <w:spacing w:line="120" w:lineRule="auto"/>
              <w:jc w:val="left"/>
              <w:textAlignment w:val="baseline"/>
              <w:rPr>
                <w:rStyle w:val="202"/>
                <w:rFonts w:hint="eastAsia" w:ascii="宋体" w:hAnsi="宋体" w:eastAsia="宋体" w:cs="宋体"/>
                <w:b w:val="0"/>
                <w:bCs/>
                <w:color w:val="auto"/>
                <w:sz w:val="21"/>
                <w:szCs w:val="21"/>
              </w:rPr>
            </w:pPr>
            <w:r>
              <w:rPr>
                <w:rStyle w:val="202"/>
                <w:rFonts w:hint="eastAsia" w:ascii="宋体" w:hAnsi="宋体" w:eastAsia="宋体" w:cs="宋体"/>
                <w:b w:val="0"/>
                <w:bCs/>
                <w:color w:val="auto"/>
                <w:sz w:val="21"/>
                <w:szCs w:val="21"/>
              </w:rPr>
              <w:t>表2  复膜编织布外观质量及偏差</w:t>
            </w:r>
          </w:p>
          <w:p>
            <w:pPr>
              <w:keepNext w:val="0"/>
              <w:keepLines w:val="0"/>
              <w:pageBreakBefore w:val="0"/>
              <w:widowControl w:val="0"/>
              <w:kinsoku/>
              <w:wordWrap/>
              <w:overflowPunct/>
              <w:topLinePunct w:val="0"/>
              <w:autoSpaceDE/>
              <w:autoSpaceDN/>
              <w:bidi w:val="0"/>
              <w:adjustRightInd w:val="0"/>
              <w:snapToGrid/>
              <w:spacing w:line="120" w:lineRule="auto"/>
              <w:jc w:val="left"/>
              <w:textAlignment w:val="baseline"/>
              <w:rPr>
                <w:rStyle w:val="202"/>
                <w:rFonts w:hint="eastAsia" w:ascii="宋体" w:hAnsi="宋体" w:eastAsia="宋体" w:cs="宋体"/>
                <w:b w:val="0"/>
                <w:bCs/>
                <w:color w:val="auto"/>
                <w:sz w:val="21"/>
                <w:szCs w:val="21"/>
              </w:rPr>
            </w:pPr>
            <w:r>
              <w:rPr>
                <w:rStyle w:val="202"/>
                <w:rFonts w:hint="eastAsia" w:ascii="宋体" w:hAnsi="宋体" w:eastAsia="宋体" w:cs="宋体"/>
                <w:b w:val="0"/>
                <w:bCs/>
                <w:color w:val="auto"/>
                <w:sz w:val="21"/>
                <w:szCs w:val="21"/>
              </w:rPr>
              <w:t xml:space="preserve"> 项目要求 </w:t>
            </w:r>
          </w:p>
          <w:p>
            <w:pPr>
              <w:keepNext w:val="0"/>
              <w:keepLines w:val="0"/>
              <w:pageBreakBefore w:val="0"/>
              <w:widowControl w:val="0"/>
              <w:kinsoku/>
              <w:wordWrap/>
              <w:overflowPunct/>
              <w:topLinePunct w:val="0"/>
              <w:autoSpaceDE/>
              <w:autoSpaceDN/>
              <w:bidi w:val="0"/>
              <w:adjustRightInd w:val="0"/>
              <w:snapToGrid/>
              <w:spacing w:line="120" w:lineRule="auto"/>
              <w:jc w:val="left"/>
              <w:textAlignment w:val="baseline"/>
              <w:rPr>
                <w:rStyle w:val="202"/>
                <w:rFonts w:hint="eastAsia" w:ascii="宋体" w:hAnsi="宋体" w:eastAsia="宋体" w:cs="宋体"/>
                <w:b w:val="0"/>
                <w:bCs/>
                <w:color w:val="auto"/>
                <w:sz w:val="21"/>
                <w:szCs w:val="21"/>
              </w:rPr>
            </w:pPr>
            <w:r>
              <w:rPr>
                <w:rStyle w:val="202"/>
                <w:rFonts w:hint="eastAsia" w:ascii="宋体" w:hAnsi="宋体" w:eastAsia="宋体" w:cs="宋体"/>
                <w:b w:val="0"/>
                <w:bCs/>
                <w:color w:val="auto"/>
                <w:sz w:val="21"/>
                <w:szCs w:val="21"/>
              </w:rPr>
              <w:t xml:space="preserve">（1）外观质量：折皱宽度为5cm，长度15cm，1m内不多于3处 </w:t>
            </w:r>
          </w:p>
          <w:p>
            <w:pPr>
              <w:keepNext w:val="0"/>
              <w:keepLines w:val="0"/>
              <w:pageBreakBefore w:val="0"/>
              <w:widowControl w:val="0"/>
              <w:kinsoku/>
              <w:wordWrap/>
              <w:overflowPunct/>
              <w:topLinePunct w:val="0"/>
              <w:autoSpaceDE/>
              <w:autoSpaceDN/>
              <w:bidi w:val="0"/>
              <w:adjustRightInd w:val="0"/>
              <w:snapToGrid/>
              <w:spacing w:line="120" w:lineRule="auto"/>
              <w:jc w:val="left"/>
              <w:textAlignment w:val="baseline"/>
              <w:rPr>
                <w:rStyle w:val="202"/>
                <w:rFonts w:hint="eastAsia" w:ascii="宋体" w:hAnsi="宋体" w:eastAsia="宋体" w:cs="宋体"/>
                <w:b w:val="0"/>
                <w:bCs/>
                <w:color w:val="auto"/>
                <w:sz w:val="21"/>
                <w:szCs w:val="21"/>
              </w:rPr>
            </w:pPr>
            <w:r>
              <w:rPr>
                <w:rStyle w:val="202"/>
                <w:rFonts w:hint="eastAsia" w:ascii="宋体" w:hAnsi="宋体" w:eastAsia="宋体" w:cs="宋体"/>
                <w:b w:val="0"/>
                <w:bCs/>
                <w:color w:val="auto"/>
                <w:sz w:val="21"/>
                <w:szCs w:val="21"/>
              </w:rPr>
              <w:t xml:space="preserve">（2）复合：不允许复合宽度不足、明显脱膜、气泡或硬块 </w:t>
            </w:r>
          </w:p>
          <w:p>
            <w:pPr>
              <w:keepNext w:val="0"/>
              <w:keepLines w:val="0"/>
              <w:pageBreakBefore w:val="0"/>
              <w:widowControl w:val="0"/>
              <w:kinsoku/>
              <w:wordWrap/>
              <w:overflowPunct/>
              <w:topLinePunct w:val="0"/>
              <w:autoSpaceDE/>
              <w:autoSpaceDN/>
              <w:bidi w:val="0"/>
              <w:adjustRightInd w:val="0"/>
              <w:snapToGrid/>
              <w:spacing w:line="120" w:lineRule="auto"/>
              <w:jc w:val="left"/>
              <w:textAlignment w:val="baseline"/>
              <w:rPr>
                <w:rStyle w:val="202"/>
                <w:rFonts w:hint="eastAsia" w:ascii="宋体" w:hAnsi="宋体" w:eastAsia="宋体" w:cs="宋体"/>
                <w:b w:val="0"/>
                <w:bCs/>
                <w:color w:val="auto"/>
                <w:sz w:val="21"/>
                <w:szCs w:val="21"/>
              </w:rPr>
            </w:pPr>
            <w:r>
              <w:rPr>
                <w:rStyle w:val="202"/>
                <w:rFonts w:hint="eastAsia" w:ascii="宋体" w:hAnsi="宋体" w:eastAsia="宋体" w:cs="宋体"/>
                <w:b w:val="0"/>
                <w:bCs/>
                <w:color w:val="auto"/>
                <w:sz w:val="21"/>
                <w:szCs w:val="21"/>
              </w:rPr>
              <w:t xml:space="preserve">（3）稀档：1m 内经纬丝断丝之和小于3根 </w:t>
            </w:r>
          </w:p>
          <w:p>
            <w:pPr>
              <w:keepNext w:val="0"/>
              <w:keepLines w:val="0"/>
              <w:pageBreakBefore w:val="0"/>
              <w:widowControl w:val="0"/>
              <w:kinsoku/>
              <w:wordWrap/>
              <w:overflowPunct/>
              <w:topLinePunct w:val="0"/>
              <w:autoSpaceDE/>
              <w:autoSpaceDN/>
              <w:bidi w:val="0"/>
              <w:adjustRightInd w:val="0"/>
              <w:snapToGrid/>
              <w:spacing w:line="120" w:lineRule="auto"/>
              <w:jc w:val="left"/>
              <w:textAlignment w:val="baseline"/>
              <w:rPr>
                <w:rStyle w:val="202"/>
                <w:rFonts w:hint="eastAsia" w:ascii="宋体" w:hAnsi="宋体" w:eastAsia="宋体" w:cs="宋体"/>
                <w:b w:val="0"/>
                <w:bCs/>
                <w:color w:val="auto"/>
                <w:sz w:val="21"/>
                <w:szCs w:val="21"/>
              </w:rPr>
            </w:pPr>
            <w:r>
              <w:rPr>
                <w:rStyle w:val="202"/>
                <w:rFonts w:hint="eastAsia" w:ascii="宋体" w:hAnsi="宋体" w:eastAsia="宋体" w:cs="宋体"/>
                <w:b w:val="0"/>
                <w:bCs/>
                <w:color w:val="auto"/>
                <w:sz w:val="21"/>
                <w:szCs w:val="21"/>
              </w:rPr>
              <w:t xml:space="preserve">（4）边不良 ≤300cm，每50cm计一处，100m内不超过5处 </w:t>
            </w:r>
          </w:p>
          <w:p>
            <w:pPr>
              <w:keepNext w:val="0"/>
              <w:keepLines w:val="0"/>
              <w:pageBreakBefore w:val="0"/>
              <w:widowControl w:val="0"/>
              <w:kinsoku/>
              <w:wordWrap/>
              <w:overflowPunct/>
              <w:topLinePunct w:val="0"/>
              <w:autoSpaceDE/>
              <w:autoSpaceDN/>
              <w:bidi w:val="0"/>
              <w:adjustRightInd w:val="0"/>
              <w:snapToGrid/>
              <w:spacing w:line="120" w:lineRule="auto"/>
              <w:jc w:val="left"/>
              <w:textAlignment w:val="baseline"/>
              <w:rPr>
                <w:rStyle w:val="202"/>
                <w:rFonts w:hint="eastAsia" w:ascii="宋体" w:hAnsi="宋体" w:eastAsia="宋体" w:cs="宋体"/>
                <w:b w:val="0"/>
                <w:bCs/>
                <w:color w:val="auto"/>
                <w:sz w:val="21"/>
                <w:szCs w:val="21"/>
              </w:rPr>
            </w:pPr>
            <w:r>
              <w:rPr>
                <w:rStyle w:val="202"/>
                <w:rFonts w:hint="eastAsia" w:ascii="宋体" w:hAnsi="宋体" w:eastAsia="宋体" w:cs="宋体"/>
                <w:b w:val="0"/>
                <w:bCs/>
                <w:color w:val="auto"/>
                <w:sz w:val="21"/>
                <w:szCs w:val="21"/>
              </w:rPr>
              <w:t xml:space="preserve">（5）杂物：软质，直径≤5mm，100m内不超过10处 </w:t>
            </w:r>
          </w:p>
          <w:p>
            <w:pPr>
              <w:keepNext w:val="0"/>
              <w:keepLines w:val="0"/>
              <w:pageBreakBefore w:val="0"/>
              <w:widowControl w:val="0"/>
              <w:kinsoku/>
              <w:wordWrap/>
              <w:overflowPunct/>
              <w:topLinePunct w:val="0"/>
              <w:autoSpaceDE/>
              <w:autoSpaceDN/>
              <w:bidi w:val="0"/>
              <w:adjustRightInd w:val="0"/>
              <w:snapToGrid/>
              <w:spacing w:line="120" w:lineRule="auto"/>
              <w:jc w:val="left"/>
              <w:textAlignment w:val="baseline"/>
              <w:rPr>
                <w:rStyle w:val="202"/>
                <w:rFonts w:hint="eastAsia" w:ascii="宋体" w:hAnsi="宋体" w:eastAsia="宋体" w:cs="宋体"/>
                <w:b w:val="0"/>
                <w:bCs/>
                <w:color w:val="auto"/>
                <w:sz w:val="21"/>
                <w:szCs w:val="21"/>
              </w:rPr>
            </w:pPr>
            <w:r>
              <w:rPr>
                <w:rStyle w:val="202"/>
                <w:rFonts w:hint="eastAsia" w:ascii="宋体" w:hAnsi="宋体" w:eastAsia="宋体" w:cs="宋体"/>
                <w:b w:val="0"/>
                <w:bCs/>
                <w:color w:val="auto"/>
                <w:sz w:val="21"/>
                <w:szCs w:val="21"/>
              </w:rPr>
              <w:t xml:space="preserve">（6）允许偏差（％）：幅宽-0.5% ，长度-0.5% ，单位面积质量：-5% </w:t>
            </w:r>
          </w:p>
          <w:p>
            <w:pPr>
              <w:keepNext w:val="0"/>
              <w:keepLines w:val="0"/>
              <w:pageBreakBefore w:val="0"/>
              <w:widowControl w:val="0"/>
              <w:kinsoku/>
              <w:wordWrap/>
              <w:overflowPunct/>
              <w:topLinePunct w:val="0"/>
              <w:autoSpaceDE/>
              <w:autoSpaceDN/>
              <w:bidi w:val="0"/>
              <w:adjustRightInd w:val="0"/>
              <w:snapToGrid/>
              <w:spacing w:line="120" w:lineRule="auto"/>
              <w:jc w:val="left"/>
              <w:textAlignment w:val="baseline"/>
              <w:rPr>
                <w:rFonts w:hint="eastAsia" w:ascii="宋体" w:hAnsi="宋体" w:eastAsia="宋体" w:cs="宋体"/>
                <w:b w:val="0"/>
                <w:bCs/>
                <w:color w:val="auto"/>
                <w:sz w:val="21"/>
                <w:szCs w:val="21"/>
              </w:rPr>
            </w:pPr>
            <w:r>
              <w:rPr>
                <w:rStyle w:val="202"/>
                <w:rFonts w:hint="eastAsia" w:ascii="宋体" w:hAnsi="宋体" w:eastAsia="宋体" w:cs="宋体"/>
                <w:b w:val="0"/>
                <w:bCs/>
                <w:color w:val="auto"/>
                <w:sz w:val="21"/>
                <w:szCs w:val="21"/>
              </w:rPr>
              <w:t>3、包装：每8米为1件，内用白色塑料薄膜（厚度≥40μm），外用黑色编织布包装，4～6道打包带捆扎，包装应平整、牢固，每件包装内放置产品合格证。</w:t>
            </w:r>
          </w:p>
        </w:tc>
        <w:tc>
          <w:tcPr>
            <w:tcW w:w="709" w:type="dxa"/>
            <w:shd w:val="clear" w:color="auto" w:fill="auto"/>
            <w:vAlign w:val="center"/>
          </w:tcPr>
          <w:p>
            <w:pPr>
              <w:widowControl/>
              <w:jc w:val="center"/>
              <w:textAlignment w:val="center"/>
              <w:rPr>
                <w:rFonts w:hint="eastAsia" w:ascii="宋体" w:hAnsi="宋体" w:eastAsia="宋体" w:cs="宋体"/>
                <w:b w:val="0"/>
                <w:bCs/>
                <w:color w:val="auto"/>
                <w:sz w:val="21"/>
                <w:szCs w:val="21"/>
              </w:rPr>
            </w:pPr>
            <w:r>
              <w:rPr>
                <w:rFonts w:hint="eastAsia" w:ascii="宋体" w:hAnsi="宋体" w:eastAsia="宋体" w:cs="宋体"/>
                <w:b w:val="0"/>
                <w:bCs/>
                <w:color w:val="auto"/>
                <w:kern w:val="0"/>
                <w:sz w:val="21"/>
                <w:szCs w:val="21"/>
                <w:lang w:bidi="ar"/>
              </w:rPr>
              <w:t>㎡</w:t>
            </w:r>
          </w:p>
        </w:tc>
        <w:tc>
          <w:tcPr>
            <w:tcW w:w="844" w:type="dxa"/>
            <w:shd w:val="clear" w:color="auto" w:fill="auto"/>
            <w:vAlign w:val="center"/>
          </w:tcPr>
          <w:p>
            <w:pPr>
              <w:widowControl/>
              <w:jc w:val="center"/>
              <w:textAlignment w:val="center"/>
              <w:rPr>
                <w:rFonts w:hint="eastAsia" w:ascii="宋体" w:hAnsi="宋体" w:eastAsia="宋体" w:cs="宋体"/>
                <w:b w:val="0"/>
                <w:bCs/>
                <w:color w:val="auto"/>
                <w:sz w:val="21"/>
                <w:szCs w:val="21"/>
              </w:rPr>
            </w:pPr>
            <w:r>
              <w:rPr>
                <w:rFonts w:hint="eastAsia" w:ascii="宋体" w:hAnsi="宋体" w:eastAsia="宋体" w:cs="宋体"/>
                <w:b w:val="0"/>
                <w:bCs/>
                <w:color w:val="auto"/>
                <w:kern w:val="0"/>
                <w:sz w:val="21"/>
                <w:szCs w:val="21"/>
                <w:lang w:bidi="ar"/>
              </w:rPr>
              <w:t>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9" w:type="dxa"/>
            <w:vAlign w:val="center"/>
          </w:tcPr>
          <w:p>
            <w:pPr>
              <w:spacing w:line="240" w:lineRule="auto"/>
              <w:jc w:val="center"/>
              <w:rPr>
                <w:rFonts w:hint="eastAsia" w:ascii="宋体" w:hAnsi="宋体" w:eastAsia="宋体" w:cs="宋体"/>
                <w:b w:val="0"/>
                <w:bCs/>
                <w:color w:val="auto"/>
                <w:sz w:val="21"/>
                <w:szCs w:val="21"/>
              </w:rPr>
            </w:pPr>
            <w:r>
              <w:rPr>
                <w:rStyle w:val="202"/>
                <w:rFonts w:hint="eastAsia" w:ascii="宋体" w:hAnsi="宋体" w:eastAsia="宋体" w:cs="宋体"/>
                <w:b w:val="0"/>
                <w:bCs/>
                <w:color w:val="auto"/>
                <w:sz w:val="21"/>
                <w:szCs w:val="21"/>
              </w:rPr>
              <w:t>19</w:t>
            </w:r>
          </w:p>
        </w:tc>
        <w:tc>
          <w:tcPr>
            <w:tcW w:w="1139" w:type="dxa"/>
            <w:shd w:val="clear" w:color="auto" w:fill="auto"/>
            <w:vAlign w:val="center"/>
          </w:tcPr>
          <w:p>
            <w:pPr>
              <w:spacing w:line="240" w:lineRule="auto"/>
              <w:jc w:val="center"/>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w:t>
            </w:r>
            <w:r>
              <w:rPr>
                <w:rStyle w:val="202"/>
                <w:rFonts w:hint="eastAsia" w:ascii="宋体" w:hAnsi="宋体" w:eastAsia="宋体" w:cs="宋体"/>
                <w:b w:val="0"/>
                <w:bCs/>
                <w:color w:val="auto"/>
                <w:sz w:val="21"/>
                <w:szCs w:val="21"/>
              </w:rPr>
              <w:t>移动照明车</w:t>
            </w:r>
          </w:p>
        </w:tc>
        <w:tc>
          <w:tcPr>
            <w:tcW w:w="6237" w:type="dxa"/>
            <w:shd w:val="clear" w:color="auto" w:fill="auto"/>
            <w:vAlign w:val="center"/>
          </w:tcPr>
          <w:p>
            <w:pPr>
              <w:spacing w:line="240" w:lineRule="auto"/>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★产品符合GB26755-2011、GB16796-2009、GB/T15211-2013要求。</w:t>
            </w:r>
          </w:p>
          <w:p>
            <w:pPr>
              <w:spacing w:line="240" w:lineRule="auto"/>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★照明装置应由灯盘、发电机、控制面板、遥控器、升降杆、气泵、警示灯、及行走脚轮等组成。</w:t>
            </w:r>
          </w:p>
          <w:p>
            <w:pPr>
              <w:spacing w:line="240" w:lineRule="auto"/>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★交流电源供电照明装置在198V-253V电压波动范围内应能正常工作。</w:t>
            </w:r>
          </w:p>
          <w:p>
            <w:pPr>
              <w:spacing w:line="240" w:lineRule="auto"/>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★照明装置外部带电端子与机壳之间以及电源接线端子与地之间的绝缘电阻大于500MΩ。</w:t>
            </w:r>
          </w:p>
          <w:p>
            <w:pPr>
              <w:spacing w:line="240" w:lineRule="auto"/>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照明装置工作噪声应小于等于82dB。</w:t>
            </w:r>
          </w:p>
          <w:p>
            <w:pPr>
              <w:spacing w:line="240" w:lineRule="auto"/>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★灯具水平转角：具有回转功能的照明装置，水平回转角应≥360°。</w:t>
            </w:r>
          </w:p>
          <w:p>
            <w:pPr>
              <w:spacing w:line="240" w:lineRule="auto"/>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★俯仰角：具有俯仰功能的照明装置，俯仰角应90°。</w:t>
            </w:r>
          </w:p>
          <w:p>
            <w:pPr>
              <w:spacing w:line="240" w:lineRule="auto"/>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★发电机供电的照明装置，发电机应能在5s顺利启动。</w:t>
            </w:r>
          </w:p>
          <w:p>
            <w:pPr>
              <w:spacing w:line="240" w:lineRule="auto"/>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★照明装置的移动底盘应装有万向轮和定向轮，万向轮应有刹车装置。</w:t>
            </w:r>
          </w:p>
          <w:p>
            <w:pPr>
              <w:spacing w:line="240" w:lineRule="auto"/>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★照明装置应能通过遥控器或控制面板手动控制升降杆的升降及灯头的开关。</w:t>
            </w:r>
          </w:p>
          <w:p>
            <w:pPr>
              <w:spacing w:line="240" w:lineRule="auto"/>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★高温试验（工作状态）：灯头：55℃、2h，试验期间功能应正常。</w:t>
            </w:r>
          </w:p>
          <w:p>
            <w:pPr>
              <w:spacing w:line="240" w:lineRule="auto"/>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★低温试验（工作状态）：灯头：-25℃、2h，试验期间功能应正常。</w:t>
            </w:r>
          </w:p>
          <w:p>
            <w:pPr>
              <w:spacing w:line="240" w:lineRule="auto"/>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★环境温度﹣25℃至55℃、持续工作时间大于等于2h。在RH93%、温度40℃、持续工作时间大于等于48h。</w:t>
            </w:r>
          </w:p>
          <w:p>
            <w:pPr>
              <w:spacing w:line="240" w:lineRule="auto"/>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★升降杆底部应具有手动紧急气压泄放装置。</w:t>
            </w:r>
          </w:p>
          <w:p>
            <w:pPr>
              <w:spacing w:line="240" w:lineRule="auto"/>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灯头防护等级符合GB/T4208-2017中IP66的要求。</w:t>
            </w:r>
          </w:p>
          <w:p>
            <w:pPr>
              <w:spacing w:line="240" w:lineRule="auto"/>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技术参数：</w:t>
            </w:r>
          </w:p>
          <w:p>
            <w:pPr>
              <w:spacing w:line="240" w:lineRule="auto"/>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额定电压：220V</w:t>
            </w:r>
          </w:p>
          <w:p>
            <w:pPr>
              <w:spacing w:line="240" w:lineRule="auto"/>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发电机功率：2000W,升降高度：最大升旗4.5米±10%</w:t>
            </w:r>
          </w:p>
          <w:p>
            <w:pPr>
              <w:spacing w:line="240" w:lineRule="auto"/>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灯头功率：4*500W、4*100LED（选配）照明灯头。</w:t>
            </w:r>
          </w:p>
          <w:p>
            <w:pPr>
              <w:spacing w:line="240" w:lineRule="auto"/>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连续照明时间大于8小时，也可接通220V市电长时间照明。</w:t>
            </w:r>
          </w:p>
          <w:p>
            <w:pPr>
              <w:spacing w:line="240" w:lineRule="auto"/>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★无线遥控在65米左右范围控制升降杆的升降和灯具的开启和关闭。</w:t>
            </w:r>
          </w:p>
          <w:p>
            <w:pPr>
              <w:pStyle w:val="2"/>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lang w:eastAsia="zh-CN" w:bidi="zh-CN"/>
              </w:rPr>
              <w:t>带“</w:t>
            </w:r>
            <w:r>
              <w:rPr>
                <w:rFonts w:hint="eastAsia" w:ascii="宋体" w:hAnsi="宋体" w:eastAsia="宋体" w:cs="宋体"/>
                <w:b w:val="0"/>
                <w:bCs/>
                <w:color w:val="auto"/>
                <w:sz w:val="21"/>
                <w:szCs w:val="21"/>
              </w:rPr>
              <w:t>★</w:t>
            </w:r>
            <w:r>
              <w:rPr>
                <w:rFonts w:hint="eastAsia" w:ascii="宋体" w:hAnsi="宋体" w:eastAsia="宋体" w:cs="宋体"/>
                <w:b w:val="0"/>
                <w:bCs/>
                <w:color w:val="auto"/>
                <w:sz w:val="21"/>
                <w:szCs w:val="21"/>
                <w:lang w:eastAsia="zh-CN" w:bidi="zh-CN"/>
              </w:rPr>
              <w:t>”需</w:t>
            </w:r>
            <w:r>
              <w:rPr>
                <w:rFonts w:hint="eastAsia" w:ascii="宋体" w:hAnsi="宋体" w:eastAsia="宋体" w:cs="宋体"/>
                <w:b w:val="0"/>
                <w:bCs/>
                <w:color w:val="auto"/>
                <w:sz w:val="21"/>
                <w:szCs w:val="21"/>
                <w:lang w:bidi="zh-CN"/>
              </w:rPr>
              <w:t>提供具有检测资质的第三方的质检报告</w:t>
            </w:r>
          </w:p>
        </w:tc>
        <w:tc>
          <w:tcPr>
            <w:tcW w:w="709" w:type="dxa"/>
            <w:shd w:val="clear" w:color="auto" w:fill="auto"/>
            <w:vAlign w:val="center"/>
          </w:tcPr>
          <w:p>
            <w:pPr>
              <w:widowControl/>
              <w:jc w:val="center"/>
              <w:textAlignment w:val="center"/>
              <w:rPr>
                <w:rFonts w:hint="eastAsia" w:ascii="宋体" w:hAnsi="宋体" w:eastAsia="宋体" w:cs="宋体"/>
                <w:b w:val="0"/>
                <w:bCs/>
                <w:color w:val="auto"/>
                <w:sz w:val="21"/>
                <w:szCs w:val="21"/>
              </w:rPr>
            </w:pPr>
            <w:r>
              <w:rPr>
                <w:rFonts w:hint="eastAsia" w:ascii="宋体" w:hAnsi="宋体" w:eastAsia="宋体" w:cs="宋体"/>
                <w:b w:val="0"/>
                <w:bCs/>
                <w:color w:val="auto"/>
                <w:kern w:val="0"/>
                <w:sz w:val="21"/>
                <w:szCs w:val="21"/>
                <w:lang w:bidi="ar"/>
              </w:rPr>
              <w:t>辆</w:t>
            </w:r>
          </w:p>
        </w:tc>
        <w:tc>
          <w:tcPr>
            <w:tcW w:w="844" w:type="dxa"/>
            <w:shd w:val="clear" w:color="auto" w:fill="auto"/>
            <w:vAlign w:val="center"/>
          </w:tcPr>
          <w:p>
            <w:pPr>
              <w:widowControl/>
              <w:jc w:val="center"/>
              <w:textAlignment w:val="center"/>
              <w:rPr>
                <w:rFonts w:hint="eastAsia" w:ascii="宋体" w:hAnsi="宋体" w:eastAsia="宋体" w:cs="宋体"/>
                <w:b w:val="0"/>
                <w:bCs/>
                <w:color w:val="auto"/>
                <w:sz w:val="21"/>
                <w:szCs w:val="21"/>
              </w:rPr>
            </w:pPr>
            <w:r>
              <w:rPr>
                <w:rFonts w:hint="eastAsia" w:ascii="宋体" w:hAnsi="宋体" w:eastAsia="宋体" w:cs="宋体"/>
                <w:b w:val="0"/>
                <w:bCs/>
                <w:color w:val="auto"/>
                <w:kern w:val="0"/>
                <w:sz w:val="21"/>
                <w:szCs w:val="21"/>
                <w:lang w:bidi="ar"/>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9" w:type="dxa"/>
            <w:vAlign w:val="center"/>
          </w:tcPr>
          <w:p>
            <w:pPr>
              <w:spacing w:line="240" w:lineRule="auto"/>
              <w:jc w:val="center"/>
              <w:rPr>
                <w:rFonts w:hint="eastAsia" w:ascii="宋体" w:hAnsi="宋体" w:eastAsia="宋体" w:cs="宋体"/>
                <w:b w:val="0"/>
                <w:bCs/>
                <w:color w:val="auto"/>
                <w:sz w:val="21"/>
                <w:szCs w:val="21"/>
              </w:rPr>
            </w:pPr>
            <w:r>
              <w:rPr>
                <w:rStyle w:val="202"/>
                <w:rFonts w:hint="eastAsia" w:ascii="宋体" w:hAnsi="宋体" w:eastAsia="宋体" w:cs="宋体"/>
                <w:b w:val="0"/>
                <w:bCs/>
                <w:color w:val="auto"/>
                <w:sz w:val="21"/>
                <w:szCs w:val="21"/>
              </w:rPr>
              <w:t>20</w:t>
            </w:r>
          </w:p>
        </w:tc>
        <w:tc>
          <w:tcPr>
            <w:tcW w:w="1139" w:type="dxa"/>
            <w:shd w:val="clear" w:color="auto" w:fill="auto"/>
            <w:vAlign w:val="center"/>
          </w:tcPr>
          <w:p>
            <w:pPr>
              <w:spacing w:line="240" w:lineRule="auto"/>
              <w:jc w:val="center"/>
              <w:rPr>
                <w:rFonts w:hint="eastAsia" w:ascii="宋体" w:hAnsi="宋体" w:eastAsia="宋体" w:cs="宋体"/>
                <w:b w:val="0"/>
                <w:bCs/>
                <w:color w:val="auto"/>
                <w:sz w:val="21"/>
                <w:szCs w:val="21"/>
              </w:rPr>
            </w:pPr>
            <w:r>
              <w:rPr>
                <w:rStyle w:val="202"/>
                <w:rFonts w:hint="eastAsia" w:ascii="宋体" w:hAnsi="宋体" w:eastAsia="宋体" w:cs="宋体"/>
                <w:b w:val="0"/>
                <w:bCs/>
                <w:color w:val="auto"/>
                <w:sz w:val="21"/>
                <w:szCs w:val="21"/>
              </w:rPr>
              <w:t>强光手电</w:t>
            </w:r>
          </w:p>
        </w:tc>
        <w:tc>
          <w:tcPr>
            <w:tcW w:w="6237" w:type="dxa"/>
            <w:shd w:val="clear" w:color="auto" w:fill="auto"/>
            <w:vAlign w:val="center"/>
          </w:tcPr>
          <w:p>
            <w:pPr>
              <w:spacing w:line="240" w:lineRule="auto"/>
              <w:jc w:val="left"/>
              <w:rPr>
                <w:rFonts w:hint="eastAsia" w:ascii="宋体" w:hAnsi="宋体" w:eastAsia="宋体" w:cs="宋体"/>
                <w:b w:val="0"/>
                <w:bCs/>
                <w:color w:val="auto"/>
                <w:sz w:val="21"/>
                <w:szCs w:val="21"/>
              </w:rPr>
            </w:pPr>
            <w:r>
              <w:rPr>
                <w:rStyle w:val="202"/>
                <w:rFonts w:hint="eastAsia" w:ascii="宋体" w:hAnsi="宋体" w:eastAsia="宋体" w:cs="宋体"/>
                <w:b w:val="0"/>
                <w:bCs/>
                <w:color w:val="auto"/>
                <w:sz w:val="21"/>
                <w:szCs w:val="21"/>
              </w:rPr>
              <w:t>外壳主要材质∶加厚加硬ABS材料，耐摔耐用，防水设计。续航时间∶2h~8h以上。照射距离∶200米</w:t>
            </w:r>
          </w:p>
        </w:tc>
        <w:tc>
          <w:tcPr>
            <w:tcW w:w="709" w:type="dxa"/>
            <w:shd w:val="clear" w:color="auto" w:fill="auto"/>
            <w:vAlign w:val="center"/>
          </w:tcPr>
          <w:p>
            <w:pPr>
              <w:widowControl/>
              <w:jc w:val="center"/>
              <w:textAlignment w:val="center"/>
              <w:rPr>
                <w:rFonts w:hint="eastAsia" w:ascii="宋体" w:hAnsi="宋体" w:eastAsia="宋体" w:cs="宋体"/>
                <w:b w:val="0"/>
                <w:bCs/>
                <w:color w:val="auto"/>
                <w:sz w:val="21"/>
                <w:szCs w:val="21"/>
              </w:rPr>
            </w:pPr>
            <w:r>
              <w:rPr>
                <w:rFonts w:hint="eastAsia" w:ascii="宋体" w:hAnsi="宋体" w:eastAsia="宋体" w:cs="宋体"/>
                <w:b w:val="0"/>
                <w:bCs/>
                <w:color w:val="auto"/>
                <w:kern w:val="0"/>
                <w:sz w:val="21"/>
                <w:szCs w:val="21"/>
                <w:lang w:bidi="ar"/>
              </w:rPr>
              <w:t>个</w:t>
            </w:r>
          </w:p>
        </w:tc>
        <w:tc>
          <w:tcPr>
            <w:tcW w:w="844" w:type="dxa"/>
            <w:shd w:val="clear" w:color="auto" w:fill="auto"/>
            <w:vAlign w:val="center"/>
          </w:tcPr>
          <w:p>
            <w:pPr>
              <w:widowControl/>
              <w:jc w:val="center"/>
              <w:textAlignment w:val="center"/>
              <w:rPr>
                <w:rFonts w:hint="eastAsia" w:ascii="宋体" w:hAnsi="宋体" w:eastAsia="宋体" w:cs="宋体"/>
                <w:b w:val="0"/>
                <w:bCs/>
                <w:color w:val="auto"/>
                <w:sz w:val="21"/>
                <w:szCs w:val="21"/>
              </w:rPr>
            </w:pPr>
            <w:r>
              <w:rPr>
                <w:rFonts w:hint="eastAsia" w:ascii="宋体" w:hAnsi="宋体" w:eastAsia="宋体" w:cs="宋体"/>
                <w:b w:val="0"/>
                <w:bCs/>
                <w:color w:val="auto"/>
                <w:kern w:val="0"/>
                <w:sz w:val="21"/>
                <w:szCs w:val="21"/>
                <w:lang w:bidi="ar"/>
              </w:rPr>
              <w:t>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9" w:type="dxa"/>
            <w:vAlign w:val="center"/>
          </w:tcPr>
          <w:p>
            <w:pPr>
              <w:spacing w:line="240" w:lineRule="auto"/>
              <w:jc w:val="center"/>
              <w:rPr>
                <w:rStyle w:val="202"/>
                <w:rFonts w:hint="eastAsia" w:ascii="宋体" w:hAnsi="宋体" w:eastAsia="宋体" w:cs="宋体"/>
                <w:b w:val="0"/>
                <w:bCs/>
                <w:color w:val="auto"/>
                <w:sz w:val="21"/>
                <w:szCs w:val="21"/>
              </w:rPr>
            </w:pPr>
            <w:r>
              <w:rPr>
                <w:rStyle w:val="202"/>
                <w:rFonts w:hint="eastAsia" w:ascii="宋体" w:hAnsi="宋体" w:eastAsia="宋体" w:cs="宋体"/>
                <w:b w:val="0"/>
                <w:bCs/>
                <w:color w:val="auto"/>
                <w:sz w:val="21"/>
                <w:szCs w:val="21"/>
              </w:rPr>
              <w:t>21</w:t>
            </w:r>
          </w:p>
        </w:tc>
        <w:tc>
          <w:tcPr>
            <w:tcW w:w="1139" w:type="dxa"/>
            <w:vAlign w:val="center"/>
          </w:tcPr>
          <w:p>
            <w:pPr>
              <w:spacing w:line="240" w:lineRule="auto"/>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救灾折桌椅</w:t>
            </w:r>
          </w:p>
        </w:tc>
        <w:tc>
          <w:tcPr>
            <w:tcW w:w="6237" w:type="dxa"/>
          </w:tcPr>
          <w:p>
            <w:pPr>
              <w:spacing w:line="240" w:lineRule="auto"/>
              <w:textAlignment w:val="auto"/>
              <w:rPr>
                <w:rFonts w:hint="eastAsia" w:ascii="宋体" w:hAnsi="宋体" w:eastAsia="宋体" w:cs="宋体"/>
                <w:b w:val="0"/>
                <w:bCs/>
                <w:color w:val="auto"/>
                <w:sz w:val="21"/>
                <w:szCs w:val="21"/>
              </w:rPr>
            </w:pPr>
            <w:r>
              <w:rPr>
                <w:rFonts w:hint="eastAsia" w:ascii="宋体" w:hAnsi="宋体" w:eastAsia="宋体" w:cs="宋体"/>
                <w:b w:val="0"/>
                <w:bCs/>
                <w:color w:val="auto"/>
                <w:kern w:val="0"/>
                <w:sz w:val="21"/>
                <w:szCs w:val="21"/>
              </w:rPr>
              <w:t>1.折叠桌椅由一张桌子和四把凳子组成。折叠桌、凳均为折叠式，桌面材料为钢板。桌腿用铝合金方管与桌面结合，采用折页连接使桌腿可折叠。桌子折叠后，四把折叠凳子摆放在桌子内部，桌子扣合后形成一个整体的手提箱。</w:t>
            </w:r>
          </w:p>
          <w:p>
            <w:pPr>
              <w:spacing w:line="240" w:lineRule="auto"/>
              <w:textAlignment w:val="auto"/>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2.材料规格：桌面：钢板</w:t>
            </w:r>
          </w:p>
          <w:p>
            <w:pPr>
              <w:spacing w:line="240" w:lineRule="auto"/>
              <w:textAlignment w:val="auto"/>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 xml:space="preserve">桌架：铝合金方管   </w:t>
            </w:r>
          </w:p>
          <w:p>
            <w:pPr>
              <w:spacing w:line="240" w:lineRule="auto"/>
              <w:textAlignment w:val="auto"/>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 xml:space="preserve">凳布：牛津布 </w:t>
            </w:r>
          </w:p>
          <w:p>
            <w:pPr>
              <w:spacing w:line="240" w:lineRule="auto"/>
              <w:textAlignment w:val="auto"/>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凳架：铝合金圆管</w:t>
            </w:r>
          </w:p>
          <w:p>
            <w:pPr>
              <w:numPr>
                <w:ilvl w:val="0"/>
                <w:numId w:val="12"/>
              </w:numPr>
              <w:spacing w:line="240" w:lineRule="auto"/>
              <w:textAlignment w:val="auto"/>
              <w:rPr>
                <w:rFonts w:hint="eastAsia" w:ascii="宋体" w:hAnsi="宋体" w:eastAsia="宋体" w:cs="宋体"/>
                <w:b w:val="0"/>
                <w:bCs/>
                <w:color w:val="auto"/>
                <w:kern w:val="0"/>
                <w:sz w:val="21"/>
                <w:szCs w:val="21"/>
              </w:rPr>
            </w:pPr>
            <w:r>
              <w:rPr>
                <w:rFonts w:hint="eastAsia" w:ascii="宋体" w:hAnsi="宋体" w:eastAsia="宋体" w:cs="宋体"/>
                <w:b w:val="0"/>
                <w:bCs/>
                <w:color w:val="auto"/>
                <w:sz w:val="21"/>
                <w:szCs w:val="21"/>
              </w:rPr>
              <w:t>折叠桌外观质量要求：桌</w:t>
            </w:r>
            <w:r>
              <w:rPr>
                <w:rFonts w:hint="eastAsia" w:ascii="宋体" w:hAnsi="宋体" w:eastAsia="宋体" w:cs="宋体"/>
                <w:b w:val="0"/>
                <w:bCs/>
                <w:color w:val="auto"/>
                <w:kern w:val="0"/>
                <w:sz w:val="21"/>
                <w:szCs w:val="21"/>
              </w:rPr>
              <w:t>面颜色为天蓝色PANTONG 19—4049，桌面应平展、整洁，薄厚均匀，花纹规整。铆钉应端正圆滑。桌腿折页铆合及桌脚与桌面的固定销松紧应适度，开合自如。两块桌面连接用的两个圆柱销应分别用尼龙绳系在桌背面适当部位。塑料封堵与桌腿、凳腿压合应牢固，不得松动。折叠桌支起后，桌面折合部位不得高于或低于桌子平面4mm，两块桌面板错位不大于2mm。</w:t>
            </w:r>
          </w:p>
          <w:p>
            <w:pPr>
              <w:numPr>
                <w:ilvl w:val="0"/>
                <w:numId w:val="12"/>
              </w:numPr>
              <w:spacing w:line="240" w:lineRule="auto"/>
              <w:textAlignment w:val="auto"/>
              <w:rPr>
                <w:rFonts w:hint="eastAsia" w:ascii="宋体" w:hAnsi="宋体" w:eastAsia="宋体" w:cs="宋体"/>
                <w:b w:val="0"/>
                <w:bCs/>
                <w:color w:val="auto"/>
                <w:kern w:val="0"/>
                <w:sz w:val="21"/>
                <w:szCs w:val="21"/>
              </w:rPr>
            </w:pPr>
            <w:r>
              <w:rPr>
                <w:rFonts w:hint="eastAsia" w:ascii="宋体" w:hAnsi="宋体" w:eastAsia="宋体" w:cs="宋体"/>
                <w:b w:val="0"/>
                <w:bCs/>
                <w:color w:val="auto"/>
                <w:kern w:val="0"/>
                <w:sz w:val="21"/>
                <w:szCs w:val="21"/>
              </w:rPr>
              <w:t>金属配件要求：桌腿用铝合金方管表面应光滑、整洁。管材不得有裂纹折页、折页座冲压成型应规整、边缘不得有毛刺，折页、折页座及圆柱销经除油、除锈后镀铜及镀镍处理。镍镀层不得低于5μm。提手座、锁扣需镀铜后镀铬。铜镀层不得低于14μm，铬镀层不得低于0.3μm。镀层应细致、均匀，不得有镀层粗糙、烧焦、起泡、裂纹、脱落等缺陷。各螺钉、螺母、垫圈和空心铆钉均应镀镍处理。镀层不得低于5μm。金属桌面板经除油、除锈、磷化后喷塑环氧树脂处理。凳腿经除油、除锈、磷化后喷塑环氧树脂处理，颜色为乳白色。漆膜应饱满、光洁、均匀、牢固，不得有露底、积粉、流挂、皱皮等缺陷。其他外观质量应符合GB/T 3325—2008的规定。</w:t>
            </w:r>
          </w:p>
          <w:p>
            <w:pPr>
              <w:numPr>
                <w:ilvl w:val="0"/>
                <w:numId w:val="12"/>
              </w:numPr>
              <w:spacing w:line="240" w:lineRule="auto"/>
              <w:textAlignment w:val="auto"/>
              <w:rPr>
                <w:rFonts w:hint="eastAsia" w:ascii="宋体" w:hAnsi="宋体" w:eastAsia="宋体" w:cs="宋体"/>
                <w:b w:val="0"/>
                <w:bCs/>
                <w:color w:val="auto"/>
                <w:kern w:val="0"/>
                <w:sz w:val="21"/>
                <w:szCs w:val="21"/>
              </w:rPr>
            </w:pPr>
            <w:r>
              <w:rPr>
                <w:rFonts w:hint="eastAsia" w:ascii="宋体" w:hAnsi="宋体" w:eastAsia="宋体" w:cs="宋体"/>
                <w:b w:val="0"/>
                <w:bCs/>
                <w:color w:val="auto"/>
                <w:kern w:val="0"/>
                <w:sz w:val="21"/>
                <w:szCs w:val="21"/>
              </w:rPr>
              <w:t>凳子凳面缝制要求：面料颜色为天蓝色PANTONG 19—4049，色差按GB/T 250—2008比照检验时不得低于4级。缝纫线颜色应与面料相匹配。缝纫线路须规整、线迹直顺、针码均匀、缝制牢固，折边规整，不得有开线、断线、跳线、出套、毛漏及掉道等缺陷。起止针须回针3道～5道，长度为10mm～15mm，断线接头处须重缝20mm～30mm。针码密度，7针/30mm～10针/30mm ，上下线松紧应一致。明线距边宽1mm～2mm，缝后应平展。</w:t>
            </w:r>
          </w:p>
          <w:p>
            <w:pPr>
              <w:spacing w:line="240" w:lineRule="auto"/>
              <w:textAlignment w:val="auto"/>
              <w:rPr>
                <w:rFonts w:hint="eastAsia" w:ascii="宋体" w:hAnsi="宋体" w:eastAsia="宋体" w:cs="宋体"/>
                <w:b w:val="0"/>
                <w:bCs/>
                <w:color w:val="auto"/>
                <w:kern w:val="0"/>
                <w:sz w:val="21"/>
                <w:szCs w:val="21"/>
              </w:rPr>
            </w:pPr>
            <w:r>
              <w:rPr>
                <w:rFonts w:hint="eastAsia" w:ascii="宋体" w:hAnsi="宋体" w:eastAsia="宋体" w:cs="宋体"/>
                <w:b w:val="0"/>
                <w:bCs/>
                <w:color w:val="auto"/>
                <w:kern w:val="0"/>
                <w:sz w:val="21"/>
                <w:szCs w:val="21"/>
              </w:rPr>
              <w:t>6包装：每2套装1箱，每套装入单独塑料袋内。具体要求：（1）纸箱外两侧面均印刷黑色的产品名 称、数量、质量、体积、生产年月、型号、承制单位名 称。其中产品名 称、承制单位名 称为黑体字，其他为宋体字。产品名 称前加“救灾”二字且字体宽度为60mm，其他字体宽度为35mm，纸箱为双瓦楞纸，箱外需打井字型打包带，便于搬运。</w:t>
            </w:r>
          </w:p>
        </w:tc>
        <w:tc>
          <w:tcPr>
            <w:tcW w:w="709" w:type="dxa"/>
            <w:vAlign w:val="center"/>
          </w:tcPr>
          <w:p>
            <w:pPr>
              <w:widowControl/>
              <w:jc w:val="center"/>
              <w:textAlignment w:val="center"/>
              <w:rPr>
                <w:rFonts w:hint="eastAsia" w:ascii="宋体" w:hAnsi="宋体" w:eastAsia="宋体" w:cs="宋体"/>
                <w:b w:val="0"/>
                <w:bCs/>
                <w:color w:val="auto"/>
                <w:sz w:val="21"/>
                <w:szCs w:val="21"/>
              </w:rPr>
            </w:pPr>
            <w:r>
              <w:rPr>
                <w:rFonts w:hint="eastAsia" w:ascii="宋体" w:hAnsi="宋体" w:eastAsia="宋体" w:cs="宋体"/>
                <w:b w:val="0"/>
                <w:bCs/>
                <w:color w:val="auto"/>
                <w:kern w:val="0"/>
                <w:sz w:val="21"/>
                <w:szCs w:val="21"/>
                <w:lang w:bidi="ar"/>
              </w:rPr>
              <w:t>套</w:t>
            </w:r>
          </w:p>
        </w:tc>
        <w:tc>
          <w:tcPr>
            <w:tcW w:w="844" w:type="dxa"/>
            <w:shd w:val="clear" w:color="auto" w:fill="auto"/>
            <w:vAlign w:val="center"/>
          </w:tcPr>
          <w:p>
            <w:pPr>
              <w:widowControl/>
              <w:jc w:val="center"/>
              <w:textAlignment w:val="center"/>
              <w:rPr>
                <w:rFonts w:hint="eastAsia" w:ascii="宋体" w:hAnsi="宋体" w:eastAsia="宋体" w:cs="宋体"/>
                <w:b w:val="0"/>
                <w:bCs/>
                <w:color w:val="auto"/>
                <w:sz w:val="21"/>
                <w:szCs w:val="21"/>
              </w:rPr>
            </w:pPr>
            <w:r>
              <w:rPr>
                <w:rFonts w:hint="eastAsia" w:ascii="宋体" w:hAnsi="宋体" w:eastAsia="宋体" w:cs="宋体"/>
                <w:b w:val="0"/>
                <w:bCs/>
                <w:color w:val="auto"/>
                <w:kern w:val="0"/>
                <w:sz w:val="21"/>
                <w:szCs w:val="21"/>
                <w:lang w:bidi="ar"/>
              </w:rPr>
              <w:t>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9" w:type="dxa"/>
            <w:vAlign w:val="center"/>
          </w:tcPr>
          <w:p>
            <w:pPr>
              <w:spacing w:line="240" w:lineRule="auto"/>
              <w:jc w:val="center"/>
              <w:rPr>
                <w:rStyle w:val="202"/>
                <w:rFonts w:hint="eastAsia" w:ascii="宋体" w:hAnsi="宋体" w:eastAsia="宋体" w:cs="宋体"/>
                <w:b w:val="0"/>
                <w:bCs/>
                <w:color w:val="auto"/>
                <w:sz w:val="21"/>
                <w:szCs w:val="21"/>
              </w:rPr>
            </w:pPr>
            <w:r>
              <w:rPr>
                <w:rStyle w:val="202"/>
                <w:rFonts w:hint="eastAsia" w:ascii="宋体" w:hAnsi="宋体" w:eastAsia="宋体" w:cs="宋体"/>
                <w:b w:val="0"/>
                <w:bCs/>
                <w:color w:val="auto"/>
                <w:sz w:val="21"/>
                <w:szCs w:val="21"/>
              </w:rPr>
              <w:t>22</w:t>
            </w:r>
          </w:p>
        </w:tc>
        <w:tc>
          <w:tcPr>
            <w:tcW w:w="1139" w:type="dxa"/>
            <w:vAlign w:val="center"/>
          </w:tcPr>
          <w:p>
            <w:pPr>
              <w:spacing w:line="240" w:lineRule="auto"/>
              <w:jc w:val="center"/>
              <w:rPr>
                <w:rFonts w:hint="eastAsia" w:ascii="宋体" w:hAnsi="宋体" w:eastAsia="宋体" w:cs="宋体"/>
                <w:b w:val="0"/>
                <w:bCs/>
                <w:color w:val="auto"/>
                <w:sz w:val="21"/>
                <w:szCs w:val="21"/>
              </w:rPr>
            </w:pPr>
            <w:r>
              <w:rPr>
                <w:rStyle w:val="202"/>
                <w:rFonts w:hint="eastAsia" w:ascii="宋体" w:hAnsi="宋体" w:eastAsia="宋体" w:cs="宋体"/>
                <w:b w:val="0"/>
                <w:bCs/>
                <w:color w:val="auto"/>
                <w:sz w:val="21"/>
                <w:szCs w:val="21"/>
              </w:rPr>
              <w:t>应急工具箱</w:t>
            </w:r>
          </w:p>
        </w:tc>
        <w:tc>
          <w:tcPr>
            <w:tcW w:w="6237" w:type="dxa"/>
            <w:vAlign w:val="center"/>
          </w:tcPr>
          <w:p>
            <w:pPr>
              <w:spacing w:line="240" w:lineRule="auto"/>
              <w:jc w:val="left"/>
              <w:rPr>
                <w:rFonts w:hint="eastAsia" w:ascii="宋体" w:hAnsi="宋体" w:eastAsia="宋体" w:cs="宋体"/>
                <w:b w:val="0"/>
                <w:bCs/>
                <w:color w:val="auto"/>
                <w:sz w:val="21"/>
                <w:szCs w:val="21"/>
              </w:rPr>
            </w:pPr>
            <w:r>
              <w:rPr>
                <w:rStyle w:val="202"/>
                <w:rFonts w:hint="eastAsia" w:ascii="宋体" w:hAnsi="宋体" w:eastAsia="宋体" w:cs="宋体"/>
                <w:b w:val="0"/>
                <w:bCs/>
                <w:color w:val="auto"/>
                <w:kern w:val="0"/>
                <w:sz w:val="21"/>
                <w:szCs w:val="21"/>
              </w:rPr>
              <w:t>8件套应急工具箱（消防应急空包、600ml水基灭火器、口哨、充电式手电、自救呼吸器、钢丝绳20m、灭火毯1m*1m、防滑手套）</w:t>
            </w:r>
          </w:p>
        </w:tc>
        <w:tc>
          <w:tcPr>
            <w:tcW w:w="709" w:type="dxa"/>
            <w:vAlign w:val="center"/>
          </w:tcPr>
          <w:p>
            <w:pPr>
              <w:widowControl/>
              <w:jc w:val="center"/>
              <w:textAlignment w:val="center"/>
              <w:rPr>
                <w:rFonts w:hint="eastAsia" w:ascii="宋体" w:hAnsi="宋体" w:eastAsia="宋体" w:cs="宋体"/>
                <w:b w:val="0"/>
                <w:bCs/>
                <w:color w:val="auto"/>
                <w:sz w:val="21"/>
                <w:szCs w:val="21"/>
              </w:rPr>
            </w:pPr>
            <w:r>
              <w:rPr>
                <w:rFonts w:hint="eastAsia" w:ascii="宋体" w:hAnsi="宋体" w:eastAsia="宋体" w:cs="宋体"/>
                <w:b w:val="0"/>
                <w:bCs/>
                <w:color w:val="auto"/>
                <w:kern w:val="0"/>
                <w:sz w:val="21"/>
                <w:szCs w:val="21"/>
                <w:lang w:bidi="ar"/>
              </w:rPr>
              <w:t>个</w:t>
            </w:r>
          </w:p>
        </w:tc>
        <w:tc>
          <w:tcPr>
            <w:tcW w:w="844" w:type="dxa"/>
            <w:shd w:val="clear" w:color="auto" w:fill="auto"/>
            <w:vAlign w:val="center"/>
          </w:tcPr>
          <w:p>
            <w:pPr>
              <w:widowControl/>
              <w:jc w:val="center"/>
              <w:textAlignment w:val="center"/>
              <w:rPr>
                <w:rFonts w:hint="eastAsia" w:ascii="宋体" w:hAnsi="宋体" w:eastAsia="宋体" w:cs="宋体"/>
                <w:b w:val="0"/>
                <w:bCs/>
                <w:color w:val="auto"/>
                <w:sz w:val="21"/>
                <w:szCs w:val="21"/>
              </w:rPr>
            </w:pPr>
            <w:r>
              <w:rPr>
                <w:rFonts w:hint="eastAsia" w:ascii="宋体" w:hAnsi="宋体" w:eastAsia="宋体" w:cs="宋体"/>
                <w:b w:val="0"/>
                <w:bCs/>
                <w:color w:val="auto"/>
                <w:kern w:val="0"/>
                <w:sz w:val="21"/>
                <w:szCs w:val="21"/>
                <w:lang w:bidi="ar"/>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9" w:type="dxa"/>
            <w:vAlign w:val="center"/>
          </w:tcPr>
          <w:p>
            <w:pPr>
              <w:spacing w:line="240" w:lineRule="auto"/>
              <w:jc w:val="center"/>
              <w:rPr>
                <w:rStyle w:val="202"/>
                <w:rFonts w:hint="eastAsia" w:ascii="宋体" w:hAnsi="宋体" w:eastAsia="宋体" w:cs="宋体"/>
                <w:b w:val="0"/>
                <w:bCs/>
                <w:color w:val="auto"/>
                <w:sz w:val="21"/>
                <w:szCs w:val="21"/>
              </w:rPr>
            </w:pPr>
            <w:r>
              <w:rPr>
                <w:rStyle w:val="202"/>
                <w:rFonts w:hint="eastAsia" w:ascii="宋体" w:hAnsi="宋体" w:eastAsia="宋体" w:cs="宋体"/>
                <w:b w:val="0"/>
                <w:bCs/>
                <w:color w:val="auto"/>
                <w:sz w:val="21"/>
                <w:szCs w:val="21"/>
              </w:rPr>
              <w:t>23</w:t>
            </w:r>
          </w:p>
        </w:tc>
        <w:tc>
          <w:tcPr>
            <w:tcW w:w="1139" w:type="dxa"/>
            <w:vAlign w:val="center"/>
          </w:tcPr>
          <w:p>
            <w:pPr>
              <w:spacing w:line="240" w:lineRule="auto"/>
              <w:jc w:val="center"/>
              <w:rPr>
                <w:rFonts w:hint="eastAsia" w:ascii="宋体" w:hAnsi="宋体" w:eastAsia="宋体" w:cs="宋体"/>
                <w:b w:val="0"/>
                <w:bCs/>
                <w:color w:val="auto"/>
                <w:sz w:val="21"/>
                <w:szCs w:val="21"/>
              </w:rPr>
            </w:pPr>
            <w:r>
              <w:rPr>
                <w:rStyle w:val="202"/>
                <w:rFonts w:hint="eastAsia" w:ascii="宋体" w:hAnsi="宋体" w:eastAsia="宋体" w:cs="宋体"/>
                <w:b w:val="0"/>
                <w:bCs/>
                <w:color w:val="auto"/>
                <w:sz w:val="21"/>
                <w:szCs w:val="21"/>
              </w:rPr>
              <w:t>救生绳</w:t>
            </w:r>
          </w:p>
        </w:tc>
        <w:tc>
          <w:tcPr>
            <w:tcW w:w="6237" w:type="dxa"/>
            <w:vAlign w:val="center"/>
          </w:tcPr>
          <w:p>
            <w:pPr>
              <w:spacing w:line="240" w:lineRule="auto"/>
              <w:jc w:val="left"/>
              <w:rPr>
                <w:rFonts w:hint="eastAsia" w:ascii="宋体" w:hAnsi="宋体" w:eastAsia="宋体" w:cs="宋体"/>
                <w:b w:val="0"/>
                <w:bCs/>
                <w:color w:val="auto"/>
                <w:sz w:val="21"/>
                <w:szCs w:val="21"/>
              </w:rPr>
            </w:pPr>
            <w:r>
              <w:rPr>
                <w:rStyle w:val="202"/>
                <w:rFonts w:hint="eastAsia" w:ascii="宋体" w:hAnsi="宋体" w:eastAsia="宋体" w:cs="宋体"/>
                <w:b w:val="0"/>
                <w:bCs/>
                <w:color w:val="auto"/>
                <w:kern w:val="0"/>
                <w:sz w:val="21"/>
                <w:szCs w:val="21"/>
              </w:rPr>
              <w:t>6mm绳加扣20米</w:t>
            </w:r>
          </w:p>
        </w:tc>
        <w:tc>
          <w:tcPr>
            <w:tcW w:w="709" w:type="dxa"/>
            <w:vAlign w:val="center"/>
          </w:tcPr>
          <w:p>
            <w:pPr>
              <w:widowControl/>
              <w:jc w:val="center"/>
              <w:textAlignment w:val="center"/>
              <w:rPr>
                <w:rFonts w:hint="eastAsia" w:ascii="宋体" w:hAnsi="宋体" w:eastAsia="宋体" w:cs="宋体"/>
                <w:b w:val="0"/>
                <w:bCs/>
                <w:color w:val="auto"/>
                <w:sz w:val="21"/>
                <w:szCs w:val="21"/>
              </w:rPr>
            </w:pPr>
            <w:r>
              <w:rPr>
                <w:rFonts w:hint="eastAsia" w:ascii="宋体" w:hAnsi="宋体" w:eastAsia="宋体" w:cs="宋体"/>
                <w:b w:val="0"/>
                <w:bCs/>
                <w:color w:val="auto"/>
                <w:kern w:val="0"/>
                <w:sz w:val="21"/>
                <w:szCs w:val="21"/>
                <w:lang w:bidi="ar"/>
              </w:rPr>
              <w:t>条</w:t>
            </w:r>
          </w:p>
        </w:tc>
        <w:tc>
          <w:tcPr>
            <w:tcW w:w="844" w:type="dxa"/>
            <w:shd w:val="clear" w:color="auto" w:fill="auto"/>
            <w:vAlign w:val="center"/>
          </w:tcPr>
          <w:p>
            <w:pPr>
              <w:widowControl/>
              <w:jc w:val="center"/>
              <w:textAlignment w:val="center"/>
              <w:rPr>
                <w:rFonts w:hint="eastAsia" w:ascii="宋体" w:hAnsi="宋体" w:eastAsia="宋体" w:cs="宋体"/>
                <w:b w:val="0"/>
                <w:bCs/>
                <w:color w:val="auto"/>
                <w:sz w:val="21"/>
                <w:szCs w:val="21"/>
              </w:rPr>
            </w:pPr>
            <w:r>
              <w:rPr>
                <w:rFonts w:hint="eastAsia" w:ascii="宋体" w:hAnsi="宋体" w:eastAsia="宋体" w:cs="宋体"/>
                <w:b w:val="0"/>
                <w:bCs/>
                <w:color w:val="auto"/>
                <w:kern w:val="0"/>
                <w:sz w:val="21"/>
                <w:szCs w:val="21"/>
                <w:lang w:bidi="ar"/>
              </w:rPr>
              <w:t>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9" w:type="dxa"/>
            <w:vAlign w:val="center"/>
          </w:tcPr>
          <w:p>
            <w:pPr>
              <w:spacing w:line="240" w:lineRule="auto"/>
              <w:jc w:val="center"/>
              <w:rPr>
                <w:rStyle w:val="202"/>
                <w:rFonts w:hint="eastAsia" w:ascii="宋体" w:hAnsi="宋体" w:eastAsia="宋体" w:cs="宋体"/>
                <w:b w:val="0"/>
                <w:bCs/>
                <w:color w:val="auto"/>
                <w:sz w:val="21"/>
                <w:szCs w:val="21"/>
              </w:rPr>
            </w:pPr>
            <w:r>
              <w:rPr>
                <w:rStyle w:val="202"/>
                <w:rFonts w:hint="eastAsia" w:ascii="宋体" w:hAnsi="宋体" w:eastAsia="宋体" w:cs="宋体"/>
                <w:b w:val="0"/>
                <w:bCs/>
                <w:color w:val="auto"/>
                <w:sz w:val="21"/>
                <w:szCs w:val="21"/>
              </w:rPr>
              <w:t>24</w:t>
            </w:r>
          </w:p>
        </w:tc>
        <w:tc>
          <w:tcPr>
            <w:tcW w:w="1139" w:type="dxa"/>
            <w:vAlign w:val="center"/>
          </w:tcPr>
          <w:p>
            <w:pPr>
              <w:spacing w:line="240" w:lineRule="auto"/>
              <w:jc w:val="center"/>
              <w:rPr>
                <w:rFonts w:hint="eastAsia" w:ascii="宋体" w:hAnsi="宋体" w:eastAsia="宋体" w:cs="宋体"/>
                <w:b w:val="0"/>
                <w:bCs/>
                <w:color w:val="auto"/>
                <w:sz w:val="21"/>
                <w:szCs w:val="21"/>
              </w:rPr>
            </w:pPr>
            <w:r>
              <w:rPr>
                <w:rStyle w:val="202"/>
                <w:rFonts w:hint="eastAsia" w:ascii="宋体" w:hAnsi="宋体" w:eastAsia="宋体" w:cs="宋体"/>
                <w:b w:val="0"/>
                <w:bCs/>
                <w:color w:val="auto"/>
                <w:sz w:val="21"/>
                <w:szCs w:val="21"/>
              </w:rPr>
              <w:t>编织袋</w:t>
            </w:r>
          </w:p>
        </w:tc>
        <w:tc>
          <w:tcPr>
            <w:tcW w:w="6237" w:type="dxa"/>
            <w:vAlign w:val="center"/>
          </w:tcPr>
          <w:p>
            <w:pPr>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颜色：白色</w:t>
            </w:r>
          </w:p>
          <w:p>
            <w:pPr>
              <w:spacing w:line="240" w:lineRule="auto"/>
              <w:jc w:val="left"/>
              <w:rPr>
                <w:rStyle w:val="202"/>
                <w:rFonts w:hint="eastAsia" w:ascii="宋体" w:hAnsi="宋体" w:eastAsia="宋体" w:cs="宋体"/>
                <w:b w:val="0"/>
                <w:bCs/>
                <w:color w:val="auto"/>
                <w:kern w:val="0"/>
                <w:sz w:val="21"/>
                <w:szCs w:val="21"/>
              </w:rPr>
            </w:pPr>
            <w:r>
              <w:rPr>
                <w:rStyle w:val="202"/>
                <w:rFonts w:hint="eastAsia" w:ascii="宋体" w:hAnsi="宋体" w:eastAsia="宋体" w:cs="宋体"/>
                <w:b w:val="0"/>
                <w:bCs/>
                <w:color w:val="auto"/>
                <w:kern w:val="0"/>
                <w:sz w:val="21"/>
                <w:szCs w:val="21"/>
              </w:rPr>
              <w:t>材质：PE</w:t>
            </w:r>
          </w:p>
          <w:p>
            <w:pPr>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尺寸：50*80</w:t>
            </w:r>
          </w:p>
        </w:tc>
        <w:tc>
          <w:tcPr>
            <w:tcW w:w="709" w:type="dxa"/>
            <w:vAlign w:val="center"/>
          </w:tcPr>
          <w:p>
            <w:pPr>
              <w:widowControl/>
              <w:jc w:val="center"/>
              <w:textAlignment w:val="center"/>
              <w:rPr>
                <w:rFonts w:hint="eastAsia" w:ascii="宋体" w:hAnsi="宋体" w:eastAsia="宋体" w:cs="宋体"/>
                <w:b w:val="0"/>
                <w:bCs/>
                <w:color w:val="auto"/>
                <w:sz w:val="21"/>
                <w:szCs w:val="21"/>
              </w:rPr>
            </w:pPr>
            <w:r>
              <w:rPr>
                <w:rFonts w:hint="eastAsia" w:ascii="宋体" w:hAnsi="宋体" w:eastAsia="宋体" w:cs="宋体"/>
                <w:b w:val="0"/>
                <w:bCs/>
                <w:color w:val="auto"/>
                <w:kern w:val="0"/>
                <w:sz w:val="21"/>
                <w:szCs w:val="21"/>
                <w:lang w:bidi="ar"/>
              </w:rPr>
              <w:t>只</w:t>
            </w:r>
          </w:p>
        </w:tc>
        <w:tc>
          <w:tcPr>
            <w:tcW w:w="844" w:type="dxa"/>
            <w:shd w:val="clear" w:color="auto" w:fill="auto"/>
            <w:vAlign w:val="center"/>
          </w:tcPr>
          <w:p>
            <w:pPr>
              <w:widowControl/>
              <w:jc w:val="center"/>
              <w:textAlignment w:val="center"/>
              <w:rPr>
                <w:rFonts w:hint="eastAsia" w:ascii="宋体" w:hAnsi="宋体" w:eastAsia="宋体" w:cs="宋体"/>
                <w:b w:val="0"/>
                <w:bCs/>
                <w:color w:val="auto"/>
                <w:sz w:val="21"/>
                <w:szCs w:val="21"/>
              </w:rPr>
            </w:pPr>
            <w:r>
              <w:rPr>
                <w:rFonts w:hint="eastAsia" w:ascii="宋体" w:hAnsi="宋体" w:eastAsia="宋体" w:cs="宋体"/>
                <w:b w:val="0"/>
                <w:bCs/>
                <w:color w:val="auto"/>
                <w:kern w:val="0"/>
                <w:sz w:val="21"/>
                <w:szCs w:val="21"/>
                <w:lang w:bidi="ar"/>
              </w:rPr>
              <w:t>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9" w:type="dxa"/>
            <w:vAlign w:val="center"/>
          </w:tcPr>
          <w:p>
            <w:pPr>
              <w:spacing w:line="240" w:lineRule="auto"/>
              <w:jc w:val="center"/>
              <w:rPr>
                <w:rStyle w:val="202"/>
                <w:rFonts w:hint="eastAsia" w:ascii="宋体" w:hAnsi="宋体" w:eastAsia="宋体" w:cs="宋体"/>
                <w:b w:val="0"/>
                <w:bCs/>
                <w:color w:val="auto"/>
                <w:sz w:val="21"/>
                <w:szCs w:val="21"/>
              </w:rPr>
            </w:pPr>
            <w:r>
              <w:rPr>
                <w:rStyle w:val="202"/>
                <w:rFonts w:hint="eastAsia" w:ascii="宋体" w:hAnsi="宋体" w:eastAsia="宋体" w:cs="宋体"/>
                <w:b w:val="0"/>
                <w:bCs/>
                <w:color w:val="auto"/>
                <w:sz w:val="21"/>
                <w:szCs w:val="21"/>
              </w:rPr>
              <w:t>25</w:t>
            </w:r>
          </w:p>
        </w:tc>
        <w:tc>
          <w:tcPr>
            <w:tcW w:w="1139" w:type="dxa"/>
            <w:vAlign w:val="center"/>
          </w:tcPr>
          <w:p>
            <w:pPr>
              <w:spacing w:line="240" w:lineRule="auto"/>
              <w:jc w:val="center"/>
              <w:rPr>
                <w:rFonts w:hint="eastAsia" w:ascii="宋体" w:hAnsi="宋体" w:eastAsia="宋体" w:cs="宋体"/>
                <w:b w:val="0"/>
                <w:bCs/>
                <w:color w:val="auto"/>
                <w:sz w:val="21"/>
                <w:szCs w:val="21"/>
              </w:rPr>
            </w:pPr>
            <w:r>
              <w:rPr>
                <w:rStyle w:val="202"/>
                <w:rFonts w:hint="eastAsia" w:ascii="宋体" w:hAnsi="宋体" w:eastAsia="宋体" w:cs="宋体"/>
                <w:b w:val="0"/>
                <w:bCs/>
                <w:color w:val="auto"/>
                <w:sz w:val="21"/>
                <w:szCs w:val="21"/>
              </w:rPr>
              <w:t>家庭包</w:t>
            </w:r>
          </w:p>
        </w:tc>
        <w:tc>
          <w:tcPr>
            <w:tcW w:w="6237" w:type="dxa"/>
            <w:vAlign w:val="center"/>
          </w:tcPr>
          <w:p>
            <w:pPr>
              <w:spacing w:line="240" w:lineRule="auto"/>
              <w:jc w:val="center"/>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洗漱用品14件套被子，枕芯，凉席，折叠盆，毛巾，一次性，内裤，雨衣，拖鞋，纯棉T，纸巾，牙刷，洗漱袋，生活包，箱包尺寸：49*37*12CM</w:t>
            </w:r>
          </w:p>
        </w:tc>
        <w:tc>
          <w:tcPr>
            <w:tcW w:w="709" w:type="dxa"/>
            <w:vAlign w:val="center"/>
          </w:tcPr>
          <w:p>
            <w:pPr>
              <w:widowControl/>
              <w:jc w:val="center"/>
              <w:textAlignment w:val="center"/>
              <w:rPr>
                <w:rFonts w:hint="eastAsia" w:ascii="宋体" w:hAnsi="宋体" w:eastAsia="宋体" w:cs="宋体"/>
                <w:b w:val="0"/>
                <w:bCs/>
                <w:color w:val="auto"/>
                <w:sz w:val="21"/>
                <w:szCs w:val="21"/>
              </w:rPr>
            </w:pPr>
            <w:r>
              <w:rPr>
                <w:rFonts w:hint="eastAsia" w:ascii="宋体" w:hAnsi="宋体" w:eastAsia="宋体" w:cs="宋体"/>
                <w:b w:val="0"/>
                <w:bCs/>
                <w:color w:val="auto"/>
                <w:kern w:val="0"/>
                <w:sz w:val="21"/>
                <w:szCs w:val="21"/>
                <w:lang w:bidi="ar"/>
              </w:rPr>
              <w:t>个</w:t>
            </w:r>
          </w:p>
        </w:tc>
        <w:tc>
          <w:tcPr>
            <w:tcW w:w="844" w:type="dxa"/>
            <w:shd w:val="clear" w:color="auto" w:fill="auto"/>
            <w:vAlign w:val="center"/>
          </w:tcPr>
          <w:p>
            <w:pPr>
              <w:widowControl/>
              <w:jc w:val="center"/>
              <w:textAlignment w:val="center"/>
              <w:rPr>
                <w:rFonts w:hint="eastAsia" w:ascii="宋体" w:hAnsi="宋体" w:eastAsia="宋体" w:cs="宋体"/>
                <w:b w:val="0"/>
                <w:bCs/>
                <w:color w:val="auto"/>
                <w:sz w:val="21"/>
                <w:szCs w:val="21"/>
              </w:rPr>
            </w:pPr>
            <w:r>
              <w:rPr>
                <w:rFonts w:hint="eastAsia" w:ascii="宋体" w:hAnsi="宋体" w:eastAsia="宋体" w:cs="宋体"/>
                <w:b w:val="0"/>
                <w:bCs/>
                <w:color w:val="auto"/>
                <w:kern w:val="0"/>
                <w:sz w:val="21"/>
                <w:szCs w:val="21"/>
                <w:lang w:bidi="ar"/>
              </w:rPr>
              <w:t>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9" w:type="dxa"/>
            <w:vAlign w:val="center"/>
          </w:tcPr>
          <w:p>
            <w:pPr>
              <w:spacing w:line="240" w:lineRule="auto"/>
              <w:jc w:val="center"/>
              <w:rPr>
                <w:rStyle w:val="202"/>
                <w:rFonts w:hint="eastAsia" w:ascii="宋体" w:hAnsi="宋体" w:eastAsia="宋体" w:cs="宋体"/>
                <w:b w:val="0"/>
                <w:bCs/>
                <w:color w:val="auto"/>
                <w:sz w:val="21"/>
                <w:szCs w:val="21"/>
              </w:rPr>
            </w:pPr>
            <w:r>
              <w:rPr>
                <w:rStyle w:val="202"/>
                <w:rFonts w:hint="eastAsia" w:ascii="宋体" w:hAnsi="宋体" w:eastAsia="宋体" w:cs="宋体"/>
                <w:b w:val="0"/>
                <w:bCs/>
                <w:color w:val="auto"/>
                <w:sz w:val="21"/>
                <w:szCs w:val="21"/>
              </w:rPr>
              <w:t>26</w:t>
            </w:r>
          </w:p>
        </w:tc>
        <w:tc>
          <w:tcPr>
            <w:tcW w:w="1139" w:type="dxa"/>
            <w:vAlign w:val="center"/>
          </w:tcPr>
          <w:p>
            <w:pPr>
              <w:spacing w:line="240" w:lineRule="auto"/>
              <w:jc w:val="center"/>
              <w:rPr>
                <w:rFonts w:hint="eastAsia" w:ascii="宋体" w:hAnsi="宋体" w:eastAsia="宋体" w:cs="宋体"/>
                <w:b w:val="0"/>
                <w:bCs/>
                <w:color w:val="auto"/>
                <w:sz w:val="21"/>
                <w:szCs w:val="21"/>
              </w:rPr>
            </w:pPr>
            <w:r>
              <w:rPr>
                <w:rStyle w:val="202"/>
                <w:rFonts w:hint="eastAsia" w:ascii="宋体" w:hAnsi="宋体" w:eastAsia="宋体" w:cs="宋体"/>
                <w:b w:val="0"/>
                <w:bCs/>
                <w:color w:val="auto"/>
                <w:sz w:val="21"/>
                <w:szCs w:val="21"/>
              </w:rPr>
              <w:t>水壶</w:t>
            </w:r>
          </w:p>
        </w:tc>
        <w:tc>
          <w:tcPr>
            <w:tcW w:w="6237" w:type="dxa"/>
          </w:tcPr>
          <w:p>
            <w:pPr>
              <w:spacing w:line="240" w:lineRule="auto"/>
              <w:jc w:val="left"/>
              <w:textAlignment w:val="auto"/>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610ml,真空保温杯</w:t>
            </w:r>
          </w:p>
        </w:tc>
        <w:tc>
          <w:tcPr>
            <w:tcW w:w="709" w:type="dxa"/>
            <w:vAlign w:val="center"/>
          </w:tcPr>
          <w:p>
            <w:pPr>
              <w:widowControl/>
              <w:jc w:val="center"/>
              <w:textAlignment w:val="center"/>
              <w:rPr>
                <w:rFonts w:hint="eastAsia" w:ascii="宋体" w:hAnsi="宋体" w:eastAsia="宋体" w:cs="宋体"/>
                <w:b w:val="0"/>
                <w:bCs/>
                <w:color w:val="auto"/>
                <w:sz w:val="21"/>
                <w:szCs w:val="21"/>
              </w:rPr>
            </w:pPr>
            <w:r>
              <w:rPr>
                <w:rFonts w:hint="eastAsia" w:ascii="宋体" w:hAnsi="宋体" w:eastAsia="宋体" w:cs="宋体"/>
                <w:b w:val="0"/>
                <w:bCs/>
                <w:color w:val="auto"/>
                <w:kern w:val="0"/>
                <w:sz w:val="21"/>
                <w:szCs w:val="21"/>
                <w:lang w:bidi="ar"/>
              </w:rPr>
              <w:t>个</w:t>
            </w:r>
          </w:p>
        </w:tc>
        <w:tc>
          <w:tcPr>
            <w:tcW w:w="844" w:type="dxa"/>
            <w:shd w:val="clear" w:color="auto" w:fill="auto"/>
            <w:vAlign w:val="center"/>
          </w:tcPr>
          <w:p>
            <w:pPr>
              <w:widowControl/>
              <w:jc w:val="center"/>
              <w:textAlignment w:val="center"/>
              <w:rPr>
                <w:rFonts w:hint="eastAsia" w:ascii="宋体" w:hAnsi="宋体" w:eastAsia="宋体" w:cs="宋体"/>
                <w:b w:val="0"/>
                <w:bCs/>
                <w:color w:val="auto"/>
                <w:sz w:val="21"/>
                <w:szCs w:val="21"/>
              </w:rPr>
            </w:pPr>
            <w:r>
              <w:rPr>
                <w:rFonts w:hint="eastAsia" w:ascii="宋体" w:hAnsi="宋体" w:eastAsia="宋体" w:cs="宋体"/>
                <w:b w:val="0"/>
                <w:bCs/>
                <w:color w:val="auto"/>
                <w:kern w:val="0"/>
                <w:sz w:val="21"/>
                <w:szCs w:val="21"/>
                <w:lang w:bidi="ar"/>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9" w:type="dxa"/>
            <w:vAlign w:val="center"/>
          </w:tcPr>
          <w:p>
            <w:pPr>
              <w:spacing w:line="240" w:lineRule="auto"/>
              <w:jc w:val="center"/>
              <w:rPr>
                <w:rStyle w:val="202"/>
                <w:rFonts w:hint="eastAsia" w:ascii="宋体" w:hAnsi="宋体" w:eastAsia="宋体" w:cs="宋体"/>
                <w:b w:val="0"/>
                <w:bCs/>
                <w:color w:val="auto"/>
                <w:sz w:val="21"/>
                <w:szCs w:val="21"/>
              </w:rPr>
            </w:pPr>
            <w:r>
              <w:rPr>
                <w:rStyle w:val="202"/>
                <w:rFonts w:hint="eastAsia" w:ascii="宋体" w:hAnsi="宋体" w:eastAsia="宋体" w:cs="宋体"/>
                <w:b w:val="0"/>
                <w:bCs/>
                <w:color w:val="auto"/>
                <w:sz w:val="21"/>
                <w:szCs w:val="21"/>
              </w:rPr>
              <w:t>27</w:t>
            </w:r>
          </w:p>
        </w:tc>
        <w:tc>
          <w:tcPr>
            <w:tcW w:w="1139" w:type="dxa"/>
            <w:vAlign w:val="center"/>
          </w:tcPr>
          <w:p>
            <w:pPr>
              <w:spacing w:line="240" w:lineRule="auto"/>
              <w:jc w:val="center"/>
              <w:rPr>
                <w:rFonts w:hint="eastAsia" w:ascii="宋体" w:hAnsi="宋体" w:eastAsia="宋体" w:cs="宋体"/>
                <w:b w:val="0"/>
                <w:bCs/>
                <w:color w:val="auto"/>
                <w:sz w:val="21"/>
                <w:szCs w:val="21"/>
              </w:rPr>
            </w:pPr>
            <w:r>
              <w:rPr>
                <w:rStyle w:val="202"/>
                <w:rFonts w:hint="eastAsia" w:ascii="宋体" w:hAnsi="宋体" w:eastAsia="宋体" w:cs="宋体"/>
                <w:b w:val="0"/>
                <w:bCs/>
                <w:color w:val="auto"/>
                <w:sz w:val="21"/>
                <w:szCs w:val="21"/>
              </w:rPr>
              <w:t>雨伞</w:t>
            </w:r>
          </w:p>
        </w:tc>
        <w:tc>
          <w:tcPr>
            <w:tcW w:w="6237" w:type="dxa"/>
            <w:vAlign w:val="center"/>
          </w:tcPr>
          <w:p>
            <w:pPr>
              <w:spacing w:line="240" w:lineRule="auto"/>
              <w:jc w:val="left"/>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品名:长柄晴雨两用伞              布料:黑胶布                                                   骨架:全纤维</w:t>
            </w:r>
          </w:p>
        </w:tc>
        <w:tc>
          <w:tcPr>
            <w:tcW w:w="709" w:type="dxa"/>
            <w:vAlign w:val="center"/>
          </w:tcPr>
          <w:p>
            <w:pPr>
              <w:widowControl/>
              <w:jc w:val="center"/>
              <w:textAlignment w:val="center"/>
              <w:rPr>
                <w:rFonts w:hint="eastAsia" w:ascii="宋体" w:hAnsi="宋体" w:eastAsia="宋体" w:cs="宋体"/>
                <w:b w:val="0"/>
                <w:bCs/>
                <w:color w:val="auto"/>
                <w:sz w:val="21"/>
                <w:szCs w:val="21"/>
              </w:rPr>
            </w:pPr>
            <w:r>
              <w:rPr>
                <w:rFonts w:hint="eastAsia" w:ascii="宋体" w:hAnsi="宋体" w:eastAsia="宋体" w:cs="宋体"/>
                <w:b w:val="0"/>
                <w:bCs/>
                <w:color w:val="auto"/>
                <w:kern w:val="0"/>
                <w:sz w:val="21"/>
                <w:szCs w:val="21"/>
                <w:lang w:bidi="ar"/>
              </w:rPr>
              <w:t>把</w:t>
            </w:r>
          </w:p>
        </w:tc>
        <w:tc>
          <w:tcPr>
            <w:tcW w:w="844" w:type="dxa"/>
            <w:shd w:val="clear" w:color="auto" w:fill="auto"/>
            <w:vAlign w:val="center"/>
          </w:tcPr>
          <w:p>
            <w:pPr>
              <w:widowControl/>
              <w:jc w:val="center"/>
              <w:textAlignment w:val="center"/>
              <w:rPr>
                <w:rFonts w:hint="eastAsia" w:ascii="宋体" w:hAnsi="宋体" w:eastAsia="宋体" w:cs="宋体"/>
                <w:b w:val="0"/>
                <w:bCs/>
                <w:color w:val="auto"/>
                <w:sz w:val="21"/>
                <w:szCs w:val="21"/>
              </w:rPr>
            </w:pPr>
            <w:r>
              <w:rPr>
                <w:rFonts w:hint="eastAsia" w:ascii="宋体" w:hAnsi="宋体" w:eastAsia="宋体" w:cs="宋体"/>
                <w:b w:val="0"/>
                <w:bCs/>
                <w:color w:val="auto"/>
                <w:kern w:val="0"/>
                <w:sz w:val="21"/>
                <w:szCs w:val="21"/>
                <w:lang w:bidi="ar"/>
              </w:rPr>
              <w:t>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9" w:type="dxa"/>
            <w:vAlign w:val="center"/>
          </w:tcPr>
          <w:p>
            <w:pPr>
              <w:spacing w:line="240" w:lineRule="auto"/>
              <w:jc w:val="center"/>
              <w:rPr>
                <w:rStyle w:val="202"/>
                <w:rFonts w:hint="eastAsia" w:ascii="宋体" w:hAnsi="宋体" w:eastAsia="宋体" w:cs="宋体"/>
                <w:b w:val="0"/>
                <w:bCs/>
                <w:color w:val="auto"/>
                <w:sz w:val="21"/>
                <w:szCs w:val="21"/>
              </w:rPr>
            </w:pPr>
            <w:r>
              <w:rPr>
                <w:rStyle w:val="202"/>
                <w:rFonts w:hint="eastAsia" w:ascii="宋体" w:hAnsi="宋体" w:eastAsia="宋体" w:cs="宋体"/>
                <w:b w:val="0"/>
                <w:bCs/>
                <w:color w:val="auto"/>
                <w:sz w:val="21"/>
                <w:szCs w:val="21"/>
              </w:rPr>
              <w:t>28</w:t>
            </w:r>
          </w:p>
        </w:tc>
        <w:tc>
          <w:tcPr>
            <w:tcW w:w="1139" w:type="dxa"/>
            <w:vAlign w:val="center"/>
          </w:tcPr>
          <w:p>
            <w:pPr>
              <w:spacing w:line="240" w:lineRule="auto"/>
              <w:rPr>
                <w:rFonts w:hint="eastAsia" w:ascii="宋体" w:hAnsi="宋体" w:eastAsia="宋体" w:cs="宋体"/>
                <w:b w:val="0"/>
                <w:bCs/>
                <w:color w:val="auto"/>
                <w:sz w:val="21"/>
                <w:szCs w:val="21"/>
              </w:rPr>
            </w:pPr>
            <w:r>
              <w:rPr>
                <w:rStyle w:val="202"/>
                <w:rFonts w:hint="eastAsia" w:ascii="宋体" w:hAnsi="宋体" w:eastAsia="宋体" w:cs="宋体"/>
                <w:b w:val="0"/>
                <w:bCs/>
                <w:color w:val="auto"/>
                <w:sz w:val="21"/>
                <w:szCs w:val="21"/>
              </w:rPr>
              <w:t>储水罐</w:t>
            </w:r>
          </w:p>
        </w:tc>
        <w:tc>
          <w:tcPr>
            <w:tcW w:w="6237" w:type="dxa"/>
            <w:vAlign w:val="center"/>
          </w:tcPr>
          <w:p>
            <w:pPr>
              <w:spacing w:line="240" w:lineRule="auto"/>
              <w:jc w:val="left"/>
              <w:rPr>
                <w:rStyle w:val="202"/>
                <w:rFonts w:hint="eastAsia" w:ascii="宋体" w:hAnsi="宋体" w:eastAsia="宋体" w:cs="宋体"/>
                <w:b w:val="0"/>
                <w:bCs/>
                <w:color w:val="auto"/>
                <w:kern w:val="0"/>
                <w:sz w:val="21"/>
                <w:szCs w:val="21"/>
              </w:rPr>
            </w:pPr>
            <w:r>
              <w:rPr>
                <w:rStyle w:val="202"/>
                <w:rFonts w:hint="eastAsia" w:ascii="宋体" w:hAnsi="宋体" w:eastAsia="宋体" w:cs="宋体"/>
                <w:b w:val="0"/>
                <w:bCs/>
                <w:color w:val="auto"/>
                <w:kern w:val="0"/>
                <w:sz w:val="21"/>
                <w:szCs w:val="21"/>
              </w:rPr>
              <w:t>全新1000L白色塑料底座便拖款</w:t>
            </w:r>
          </w:p>
          <w:p>
            <w:pPr>
              <w:spacing w:line="240" w:lineRule="auto"/>
              <w:jc w:val="left"/>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吨桶外形尺寸：120cm*100cm*115cm(长*宽*高）</w:t>
            </w:r>
          </w:p>
          <w:p>
            <w:pPr>
              <w:pStyle w:val="17"/>
              <w:spacing w:after="0" w:line="240" w:lineRule="auto"/>
              <w:ind w:left="0" w:leftChars="0" w:right="1470"/>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吨桶特点：桶底座是塑料川字型，液压拖车使用更方便</w:t>
            </w:r>
          </w:p>
          <w:p>
            <w:pPr>
              <w:pStyle w:val="17"/>
              <w:spacing w:after="0" w:line="240" w:lineRule="auto"/>
              <w:ind w:left="0" w:leftChars="0" w:right="1470"/>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外框材质：镀金铁管   内胆材质：HDPE   进水口尺寸：15cm   出水口尺寸：5cm</w:t>
            </w:r>
          </w:p>
          <w:p>
            <w:pPr>
              <w:pStyle w:val="17"/>
              <w:spacing w:after="0" w:line="240" w:lineRule="auto"/>
              <w:ind w:left="0" w:leftChars="0" w:right="1470"/>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产品名称：PT-1000L</w:t>
            </w:r>
          </w:p>
          <w:p>
            <w:pPr>
              <w:pStyle w:val="17"/>
              <w:spacing w:after="0" w:line="240" w:lineRule="auto"/>
              <w:ind w:left="0" w:leftChars="0" w:right="1470"/>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容器材质：高密度聚乙烯</w:t>
            </w:r>
          </w:p>
          <w:p>
            <w:pPr>
              <w:pStyle w:val="17"/>
              <w:spacing w:after="0" w:line="240" w:lineRule="auto"/>
              <w:ind w:left="0" w:leftChars="0" w:right="1470"/>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产品尺寸:1200*1000*1150mm</w:t>
            </w:r>
          </w:p>
          <w:p>
            <w:pPr>
              <w:pStyle w:val="17"/>
              <w:spacing w:after="0" w:line="240" w:lineRule="auto"/>
              <w:ind w:left="0" w:leftChars="0" w:right="1470"/>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标称容积：1000L</w:t>
            </w:r>
          </w:p>
          <w:p>
            <w:pPr>
              <w:pStyle w:val="17"/>
              <w:spacing w:after="0" w:line="240" w:lineRule="auto"/>
              <w:ind w:left="0" w:leftChars="0" w:right="1470"/>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满口容积：1050L</w:t>
            </w:r>
          </w:p>
          <w:p>
            <w:pPr>
              <w:pStyle w:val="17"/>
              <w:spacing w:after="0" w:line="240" w:lineRule="auto"/>
              <w:ind w:left="0" w:leftChars="0" w:right="1470"/>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产品自重：58kg±1kg</w:t>
            </w:r>
          </w:p>
          <w:p>
            <w:pPr>
              <w:pStyle w:val="17"/>
              <w:spacing w:after="0" w:line="240" w:lineRule="auto"/>
              <w:ind w:left="0" w:leftChars="0" w:right="1470"/>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放料口径：50mm</w:t>
            </w:r>
          </w:p>
          <w:p>
            <w:pPr>
              <w:pStyle w:val="17"/>
              <w:spacing w:after="0" w:line="240" w:lineRule="auto"/>
              <w:ind w:left="0" w:leftChars="0" w:right="1470"/>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灌装口径：145mm</w:t>
            </w:r>
          </w:p>
          <w:p>
            <w:pPr>
              <w:pStyle w:val="17"/>
              <w:spacing w:after="0" w:line="240" w:lineRule="auto"/>
              <w:ind w:left="0" w:leftChars="0" w:right="1470"/>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颜色分类：白色</w:t>
            </w:r>
          </w:p>
        </w:tc>
        <w:tc>
          <w:tcPr>
            <w:tcW w:w="709" w:type="dxa"/>
            <w:vAlign w:val="center"/>
          </w:tcPr>
          <w:p>
            <w:pPr>
              <w:widowControl/>
              <w:jc w:val="center"/>
              <w:textAlignment w:val="center"/>
              <w:rPr>
                <w:rFonts w:hint="eastAsia" w:ascii="宋体" w:hAnsi="宋体" w:eastAsia="宋体" w:cs="宋体"/>
                <w:b w:val="0"/>
                <w:bCs/>
                <w:color w:val="auto"/>
                <w:sz w:val="21"/>
                <w:szCs w:val="21"/>
              </w:rPr>
            </w:pPr>
            <w:r>
              <w:rPr>
                <w:rFonts w:hint="eastAsia" w:ascii="宋体" w:hAnsi="宋体" w:eastAsia="宋体" w:cs="宋体"/>
                <w:b w:val="0"/>
                <w:bCs/>
                <w:color w:val="auto"/>
                <w:kern w:val="0"/>
                <w:sz w:val="21"/>
                <w:szCs w:val="21"/>
                <w:lang w:bidi="ar"/>
              </w:rPr>
              <w:t>个</w:t>
            </w:r>
          </w:p>
        </w:tc>
        <w:tc>
          <w:tcPr>
            <w:tcW w:w="844" w:type="dxa"/>
            <w:shd w:val="clear" w:color="auto" w:fill="auto"/>
            <w:vAlign w:val="center"/>
          </w:tcPr>
          <w:p>
            <w:pPr>
              <w:widowControl/>
              <w:jc w:val="center"/>
              <w:textAlignment w:val="center"/>
              <w:rPr>
                <w:rFonts w:hint="eastAsia" w:ascii="宋体" w:hAnsi="宋体" w:eastAsia="宋体" w:cs="宋体"/>
                <w:b w:val="0"/>
                <w:bCs/>
                <w:color w:val="auto"/>
                <w:sz w:val="21"/>
                <w:szCs w:val="21"/>
              </w:rPr>
            </w:pPr>
            <w:r>
              <w:rPr>
                <w:rFonts w:hint="eastAsia" w:ascii="宋体" w:hAnsi="宋体" w:eastAsia="宋体" w:cs="宋体"/>
                <w:b w:val="0"/>
                <w:bCs/>
                <w:color w:val="auto"/>
                <w:kern w:val="0"/>
                <w:sz w:val="21"/>
                <w:szCs w:val="21"/>
                <w:lang w:bidi="ar"/>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9" w:type="dxa"/>
            <w:vAlign w:val="center"/>
          </w:tcPr>
          <w:p>
            <w:pPr>
              <w:spacing w:line="240" w:lineRule="auto"/>
              <w:jc w:val="center"/>
              <w:rPr>
                <w:rStyle w:val="202"/>
                <w:rFonts w:hint="eastAsia" w:ascii="宋体" w:hAnsi="宋体" w:eastAsia="宋体" w:cs="宋体"/>
                <w:b w:val="0"/>
                <w:bCs/>
                <w:color w:val="auto"/>
                <w:sz w:val="21"/>
                <w:szCs w:val="21"/>
              </w:rPr>
            </w:pPr>
            <w:r>
              <w:rPr>
                <w:rStyle w:val="202"/>
                <w:rFonts w:hint="eastAsia" w:ascii="宋体" w:hAnsi="宋体" w:eastAsia="宋体" w:cs="宋体"/>
                <w:b w:val="0"/>
                <w:bCs/>
                <w:color w:val="auto"/>
                <w:sz w:val="21"/>
                <w:szCs w:val="21"/>
              </w:rPr>
              <w:t>29</w:t>
            </w:r>
          </w:p>
        </w:tc>
        <w:tc>
          <w:tcPr>
            <w:tcW w:w="1139" w:type="dxa"/>
            <w:vAlign w:val="center"/>
          </w:tcPr>
          <w:p>
            <w:pPr>
              <w:spacing w:line="240" w:lineRule="auto"/>
              <w:jc w:val="center"/>
              <w:rPr>
                <w:rFonts w:hint="eastAsia" w:ascii="宋体" w:hAnsi="宋体" w:eastAsia="宋体" w:cs="宋体"/>
                <w:b w:val="0"/>
                <w:bCs/>
                <w:color w:val="auto"/>
                <w:sz w:val="21"/>
                <w:szCs w:val="21"/>
              </w:rPr>
            </w:pPr>
            <w:r>
              <w:rPr>
                <w:rStyle w:val="202"/>
                <w:rFonts w:hint="eastAsia" w:ascii="宋体" w:hAnsi="宋体" w:eastAsia="宋体" w:cs="宋体"/>
                <w:b w:val="0"/>
                <w:bCs/>
                <w:color w:val="auto"/>
                <w:sz w:val="21"/>
                <w:szCs w:val="21"/>
              </w:rPr>
              <w:t>口哨</w:t>
            </w:r>
          </w:p>
        </w:tc>
        <w:tc>
          <w:tcPr>
            <w:tcW w:w="6237" w:type="dxa"/>
            <w:vAlign w:val="center"/>
          </w:tcPr>
          <w:p>
            <w:pPr>
              <w:spacing w:line="240" w:lineRule="auto"/>
              <w:jc w:val="left"/>
              <w:rPr>
                <w:rFonts w:hint="eastAsia" w:ascii="宋体" w:hAnsi="宋体" w:eastAsia="宋体" w:cs="宋体"/>
                <w:b w:val="0"/>
                <w:bCs/>
                <w:color w:val="auto"/>
                <w:sz w:val="21"/>
                <w:szCs w:val="21"/>
              </w:rPr>
            </w:pPr>
            <w:r>
              <w:rPr>
                <w:rStyle w:val="202"/>
                <w:rFonts w:hint="eastAsia" w:ascii="宋体" w:hAnsi="宋体" w:eastAsia="宋体" w:cs="宋体"/>
                <w:b w:val="0"/>
                <w:bCs/>
                <w:color w:val="auto"/>
                <w:kern w:val="0"/>
                <w:sz w:val="21"/>
                <w:szCs w:val="21"/>
              </w:rPr>
              <w:t>【材质】铝合金　　　　　　　　　　　　　　　　　　　                      　　　　　　　　　　　　　　　　　　                           【性能参数】用于呼叫求生,高频单音口哨，大号铝合金制作，坚固轻便、声音清脆响亮，用于紧急呼救或者应急指挥。</w:t>
            </w:r>
          </w:p>
        </w:tc>
        <w:tc>
          <w:tcPr>
            <w:tcW w:w="709" w:type="dxa"/>
            <w:vAlign w:val="center"/>
          </w:tcPr>
          <w:p>
            <w:pPr>
              <w:widowControl/>
              <w:jc w:val="center"/>
              <w:textAlignment w:val="center"/>
              <w:rPr>
                <w:rFonts w:hint="eastAsia" w:ascii="宋体" w:hAnsi="宋体" w:eastAsia="宋体" w:cs="宋体"/>
                <w:b w:val="0"/>
                <w:bCs/>
                <w:color w:val="auto"/>
                <w:sz w:val="21"/>
                <w:szCs w:val="21"/>
              </w:rPr>
            </w:pPr>
            <w:r>
              <w:rPr>
                <w:rFonts w:hint="eastAsia" w:ascii="宋体" w:hAnsi="宋体" w:eastAsia="宋体" w:cs="宋体"/>
                <w:b w:val="0"/>
                <w:bCs/>
                <w:color w:val="auto"/>
                <w:kern w:val="0"/>
                <w:sz w:val="21"/>
                <w:szCs w:val="21"/>
                <w:lang w:bidi="ar"/>
              </w:rPr>
              <w:t>个</w:t>
            </w:r>
          </w:p>
        </w:tc>
        <w:tc>
          <w:tcPr>
            <w:tcW w:w="844" w:type="dxa"/>
            <w:shd w:val="clear" w:color="auto" w:fill="auto"/>
            <w:vAlign w:val="center"/>
          </w:tcPr>
          <w:p>
            <w:pPr>
              <w:widowControl/>
              <w:jc w:val="center"/>
              <w:textAlignment w:val="center"/>
              <w:rPr>
                <w:rFonts w:hint="eastAsia" w:ascii="宋体" w:hAnsi="宋体" w:eastAsia="宋体" w:cs="宋体"/>
                <w:b w:val="0"/>
                <w:bCs/>
                <w:color w:val="auto"/>
                <w:sz w:val="21"/>
                <w:szCs w:val="21"/>
              </w:rPr>
            </w:pPr>
            <w:r>
              <w:rPr>
                <w:rFonts w:hint="eastAsia" w:ascii="宋体" w:hAnsi="宋体" w:eastAsia="宋体" w:cs="宋体"/>
                <w:b w:val="0"/>
                <w:bCs/>
                <w:color w:val="auto"/>
                <w:kern w:val="0"/>
                <w:sz w:val="21"/>
                <w:szCs w:val="21"/>
                <w:lang w:bidi="ar"/>
              </w:rPr>
              <w:t>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9" w:type="dxa"/>
            <w:vAlign w:val="center"/>
          </w:tcPr>
          <w:p>
            <w:pPr>
              <w:spacing w:line="240" w:lineRule="auto"/>
              <w:jc w:val="center"/>
              <w:rPr>
                <w:rStyle w:val="202"/>
                <w:rFonts w:hint="eastAsia" w:ascii="宋体" w:hAnsi="宋体" w:eastAsia="宋体" w:cs="宋体"/>
                <w:b w:val="0"/>
                <w:bCs/>
                <w:color w:val="auto"/>
                <w:sz w:val="21"/>
                <w:szCs w:val="21"/>
              </w:rPr>
            </w:pPr>
            <w:r>
              <w:rPr>
                <w:rStyle w:val="202"/>
                <w:rFonts w:hint="eastAsia" w:ascii="宋体" w:hAnsi="宋体" w:eastAsia="宋体" w:cs="宋体"/>
                <w:b w:val="0"/>
                <w:bCs/>
                <w:color w:val="auto"/>
                <w:sz w:val="21"/>
                <w:szCs w:val="21"/>
              </w:rPr>
              <w:t>30</w:t>
            </w:r>
          </w:p>
        </w:tc>
        <w:tc>
          <w:tcPr>
            <w:tcW w:w="1139" w:type="dxa"/>
            <w:vAlign w:val="center"/>
          </w:tcPr>
          <w:p>
            <w:pPr>
              <w:spacing w:line="240" w:lineRule="auto"/>
              <w:jc w:val="center"/>
              <w:rPr>
                <w:rFonts w:hint="eastAsia" w:ascii="宋体" w:hAnsi="宋体" w:eastAsia="宋体" w:cs="宋体"/>
                <w:b w:val="0"/>
                <w:bCs/>
                <w:color w:val="auto"/>
                <w:sz w:val="21"/>
                <w:szCs w:val="21"/>
              </w:rPr>
            </w:pPr>
            <w:r>
              <w:rPr>
                <w:rStyle w:val="202"/>
                <w:rFonts w:hint="eastAsia" w:ascii="宋体" w:hAnsi="宋体" w:eastAsia="宋体" w:cs="宋体"/>
                <w:b w:val="0"/>
                <w:bCs/>
                <w:color w:val="auto"/>
                <w:sz w:val="21"/>
                <w:szCs w:val="21"/>
              </w:rPr>
              <w:t>背囊</w:t>
            </w:r>
          </w:p>
        </w:tc>
        <w:tc>
          <w:tcPr>
            <w:tcW w:w="6237" w:type="dxa"/>
            <w:vAlign w:val="center"/>
          </w:tcPr>
          <w:p>
            <w:pPr>
              <w:spacing w:line="240" w:lineRule="auto"/>
              <w:jc w:val="left"/>
              <w:rPr>
                <w:rFonts w:hint="eastAsia" w:ascii="宋体" w:hAnsi="宋体" w:eastAsia="宋体" w:cs="宋体"/>
                <w:b w:val="0"/>
                <w:bCs/>
                <w:color w:val="auto"/>
                <w:sz w:val="21"/>
                <w:szCs w:val="21"/>
              </w:rPr>
            </w:pPr>
            <w:r>
              <w:rPr>
                <w:rStyle w:val="202"/>
                <w:rFonts w:hint="eastAsia" w:ascii="宋体" w:hAnsi="宋体" w:eastAsia="宋体" w:cs="宋体"/>
                <w:b w:val="0"/>
                <w:bCs/>
                <w:color w:val="auto"/>
                <w:kern w:val="0"/>
                <w:sz w:val="21"/>
                <w:szCs w:val="21"/>
              </w:rPr>
              <w:t>面料成分：涤纶，帆布，防泼水</w:t>
            </w:r>
          </w:p>
        </w:tc>
        <w:tc>
          <w:tcPr>
            <w:tcW w:w="709" w:type="dxa"/>
            <w:vAlign w:val="center"/>
          </w:tcPr>
          <w:p>
            <w:pPr>
              <w:widowControl/>
              <w:jc w:val="center"/>
              <w:textAlignment w:val="center"/>
              <w:rPr>
                <w:rFonts w:hint="eastAsia" w:ascii="宋体" w:hAnsi="宋体" w:eastAsia="宋体" w:cs="宋体"/>
                <w:b w:val="0"/>
                <w:bCs/>
                <w:color w:val="auto"/>
                <w:sz w:val="21"/>
                <w:szCs w:val="21"/>
              </w:rPr>
            </w:pPr>
            <w:r>
              <w:rPr>
                <w:rFonts w:hint="eastAsia" w:ascii="宋体" w:hAnsi="宋体" w:eastAsia="宋体" w:cs="宋体"/>
                <w:b w:val="0"/>
                <w:bCs/>
                <w:color w:val="auto"/>
                <w:kern w:val="0"/>
                <w:sz w:val="21"/>
                <w:szCs w:val="21"/>
                <w:lang w:bidi="ar"/>
              </w:rPr>
              <w:t>个</w:t>
            </w:r>
          </w:p>
        </w:tc>
        <w:tc>
          <w:tcPr>
            <w:tcW w:w="844" w:type="dxa"/>
            <w:shd w:val="clear" w:color="auto" w:fill="auto"/>
            <w:vAlign w:val="center"/>
          </w:tcPr>
          <w:p>
            <w:pPr>
              <w:widowControl/>
              <w:jc w:val="center"/>
              <w:textAlignment w:val="center"/>
              <w:rPr>
                <w:rFonts w:hint="eastAsia" w:ascii="宋体" w:hAnsi="宋体" w:eastAsia="宋体" w:cs="宋体"/>
                <w:b w:val="0"/>
                <w:bCs/>
                <w:color w:val="auto"/>
                <w:sz w:val="21"/>
                <w:szCs w:val="21"/>
              </w:rPr>
            </w:pPr>
            <w:r>
              <w:rPr>
                <w:rFonts w:hint="eastAsia" w:ascii="宋体" w:hAnsi="宋体" w:eastAsia="宋体" w:cs="宋体"/>
                <w:b w:val="0"/>
                <w:bCs/>
                <w:color w:val="auto"/>
                <w:kern w:val="0"/>
                <w:sz w:val="21"/>
                <w:szCs w:val="21"/>
                <w:lang w:bidi="ar"/>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9" w:type="dxa"/>
            <w:vAlign w:val="center"/>
          </w:tcPr>
          <w:p>
            <w:pPr>
              <w:spacing w:line="240" w:lineRule="auto"/>
              <w:jc w:val="center"/>
              <w:rPr>
                <w:rStyle w:val="202"/>
                <w:rFonts w:hint="eastAsia" w:ascii="宋体" w:hAnsi="宋体" w:eastAsia="宋体" w:cs="宋体"/>
                <w:b w:val="0"/>
                <w:bCs/>
                <w:color w:val="auto"/>
                <w:sz w:val="21"/>
                <w:szCs w:val="21"/>
              </w:rPr>
            </w:pPr>
            <w:r>
              <w:rPr>
                <w:rStyle w:val="202"/>
                <w:rFonts w:hint="eastAsia" w:ascii="宋体" w:hAnsi="宋体" w:eastAsia="宋体" w:cs="宋体"/>
                <w:b w:val="0"/>
                <w:bCs/>
                <w:color w:val="auto"/>
                <w:sz w:val="21"/>
                <w:szCs w:val="21"/>
              </w:rPr>
              <w:t>31</w:t>
            </w:r>
          </w:p>
        </w:tc>
        <w:tc>
          <w:tcPr>
            <w:tcW w:w="1139" w:type="dxa"/>
            <w:vAlign w:val="center"/>
          </w:tcPr>
          <w:p>
            <w:pPr>
              <w:spacing w:line="240" w:lineRule="auto"/>
              <w:jc w:val="center"/>
              <w:rPr>
                <w:rFonts w:hint="eastAsia" w:ascii="宋体" w:hAnsi="宋体" w:eastAsia="宋体" w:cs="宋体"/>
                <w:b w:val="0"/>
                <w:bCs/>
                <w:color w:val="auto"/>
                <w:sz w:val="21"/>
                <w:szCs w:val="21"/>
              </w:rPr>
            </w:pPr>
            <w:r>
              <w:rPr>
                <w:rStyle w:val="202"/>
                <w:rFonts w:hint="eastAsia" w:ascii="宋体" w:hAnsi="宋体" w:eastAsia="宋体" w:cs="宋体"/>
                <w:b w:val="0"/>
                <w:bCs/>
                <w:color w:val="auto"/>
                <w:sz w:val="21"/>
                <w:szCs w:val="21"/>
              </w:rPr>
              <w:t>铜锣</w:t>
            </w:r>
          </w:p>
        </w:tc>
        <w:tc>
          <w:tcPr>
            <w:tcW w:w="6237" w:type="dxa"/>
            <w:vAlign w:val="center"/>
          </w:tcPr>
          <w:p>
            <w:pPr>
              <w:spacing w:line="240" w:lineRule="auto"/>
              <w:jc w:val="left"/>
              <w:rPr>
                <w:rStyle w:val="202"/>
                <w:rFonts w:hint="eastAsia" w:ascii="宋体" w:hAnsi="宋体" w:eastAsia="宋体" w:cs="宋体"/>
                <w:b w:val="0"/>
                <w:bCs/>
                <w:color w:val="auto"/>
                <w:kern w:val="0"/>
                <w:sz w:val="21"/>
                <w:szCs w:val="21"/>
              </w:rPr>
            </w:pPr>
            <w:r>
              <w:rPr>
                <w:rStyle w:val="202"/>
                <w:rFonts w:hint="eastAsia" w:ascii="宋体" w:hAnsi="宋体" w:eastAsia="宋体" w:cs="宋体"/>
                <w:b w:val="0"/>
                <w:bCs/>
                <w:color w:val="auto"/>
                <w:kern w:val="0"/>
                <w:sz w:val="21"/>
                <w:szCs w:val="21"/>
              </w:rPr>
              <w:t>1、材质:钢铜合金;</w:t>
            </w:r>
          </w:p>
          <w:p>
            <w:pPr>
              <w:spacing w:line="240" w:lineRule="auto"/>
              <w:jc w:val="left"/>
              <w:rPr>
                <w:rStyle w:val="202"/>
                <w:rFonts w:hint="eastAsia" w:ascii="宋体" w:hAnsi="宋体" w:eastAsia="宋体" w:cs="宋体"/>
                <w:b w:val="0"/>
                <w:bCs/>
                <w:color w:val="auto"/>
                <w:kern w:val="0"/>
                <w:sz w:val="21"/>
                <w:szCs w:val="21"/>
              </w:rPr>
            </w:pPr>
            <w:r>
              <w:rPr>
                <w:rStyle w:val="202"/>
                <w:rFonts w:hint="eastAsia" w:ascii="宋体" w:hAnsi="宋体" w:eastAsia="宋体" w:cs="宋体"/>
                <w:b w:val="0"/>
                <w:bCs/>
                <w:color w:val="auto"/>
                <w:kern w:val="0"/>
                <w:sz w:val="21"/>
                <w:szCs w:val="21"/>
              </w:rPr>
              <w:t xml:space="preserve">2、直径: ≥30cm; </w:t>
            </w:r>
          </w:p>
          <w:p>
            <w:pPr>
              <w:spacing w:line="240" w:lineRule="auto"/>
              <w:jc w:val="left"/>
              <w:rPr>
                <w:rStyle w:val="202"/>
                <w:rFonts w:hint="eastAsia" w:ascii="宋体" w:hAnsi="宋体" w:eastAsia="宋体" w:cs="宋体"/>
                <w:b w:val="0"/>
                <w:bCs/>
                <w:color w:val="auto"/>
                <w:kern w:val="0"/>
                <w:sz w:val="21"/>
                <w:szCs w:val="21"/>
              </w:rPr>
            </w:pPr>
            <w:r>
              <w:rPr>
                <w:rStyle w:val="202"/>
                <w:rFonts w:hint="eastAsia" w:ascii="宋体" w:hAnsi="宋体" w:eastAsia="宋体" w:cs="宋体"/>
                <w:b w:val="0"/>
                <w:bCs/>
                <w:color w:val="auto"/>
                <w:kern w:val="0"/>
                <w:sz w:val="21"/>
                <w:szCs w:val="21"/>
              </w:rPr>
              <w:t xml:space="preserve">3、厚度; ≥1.5mm; </w:t>
            </w:r>
          </w:p>
          <w:p>
            <w:pPr>
              <w:spacing w:line="240" w:lineRule="auto"/>
              <w:jc w:val="left"/>
              <w:rPr>
                <w:rFonts w:hint="eastAsia" w:ascii="宋体" w:hAnsi="宋体" w:eastAsia="宋体" w:cs="宋体"/>
                <w:b w:val="0"/>
                <w:bCs/>
                <w:color w:val="auto"/>
                <w:sz w:val="21"/>
                <w:szCs w:val="21"/>
              </w:rPr>
            </w:pPr>
            <w:r>
              <w:rPr>
                <w:rStyle w:val="202"/>
                <w:rFonts w:hint="eastAsia" w:ascii="宋体" w:hAnsi="宋体" w:eastAsia="宋体" w:cs="宋体"/>
                <w:b w:val="0"/>
                <w:bCs/>
                <w:color w:val="auto"/>
                <w:kern w:val="0"/>
                <w:sz w:val="21"/>
                <w:szCs w:val="21"/>
              </w:rPr>
              <w:t>4、特点:声音洪亮，穿透力强，经久耐用。</w:t>
            </w:r>
          </w:p>
        </w:tc>
        <w:tc>
          <w:tcPr>
            <w:tcW w:w="709" w:type="dxa"/>
            <w:vAlign w:val="center"/>
          </w:tcPr>
          <w:p>
            <w:pPr>
              <w:widowControl/>
              <w:jc w:val="center"/>
              <w:textAlignment w:val="center"/>
              <w:rPr>
                <w:rFonts w:hint="eastAsia" w:ascii="宋体" w:hAnsi="宋体" w:eastAsia="宋体" w:cs="宋体"/>
                <w:b w:val="0"/>
                <w:bCs/>
                <w:color w:val="auto"/>
                <w:sz w:val="21"/>
                <w:szCs w:val="21"/>
              </w:rPr>
            </w:pPr>
            <w:r>
              <w:rPr>
                <w:rFonts w:hint="eastAsia" w:ascii="宋体" w:hAnsi="宋体" w:eastAsia="宋体" w:cs="宋体"/>
                <w:b w:val="0"/>
                <w:bCs/>
                <w:color w:val="auto"/>
                <w:kern w:val="0"/>
                <w:sz w:val="21"/>
                <w:szCs w:val="21"/>
                <w:lang w:bidi="ar"/>
              </w:rPr>
              <w:t>个</w:t>
            </w:r>
          </w:p>
        </w:tc>
        <w:tc>
          <w:tcPr>
            <w:tcW w:w="844" w:type="dxa"/>
            <w:shd w:val="clear" w:color="auto" w:fill="auto"/>
            <w:vAlign w:val="center"/>
          </w:tcPr>
          <w:p>
            <w:pPr>
              <w:widowControl/>
              <w:jc w:val="center"/>
              <w:textAlignment w:val="center"/>
              <w:rPr>
                <w:rFonts w:hint="eastAsia" w:ascii="宋体" w:hAnsi="宋体" w:eastAsia="宋体" w:cs="宋体"/>
                <w:b w:val="0"/>
                <w:bCs/>
                <w:color w:val="auto"/>
                <w:sz w:val="21"/>
                <w:szCs w:val="21"/>
              </w:rPr>
            </w:pPr>
            <w:r>
              <w:rPr>
                <w:rFonts w:hint="eastAsia" w:ascii="宋体" w:hAnsi="宋体" w:eastAsia="宋体" w:cs="宋体"/>
                <w:b w:val="0"/>
                <w:bCs/>
                <w:color w:val="auto"/>
                <w:kern w:val="0"/>
                <w:sz w:val="21"/>
                <w:szCs w:val="21"/>
                <w:lang w:bidi="ar"/>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9" w:type="dxa"/>
            <w:vAlign w:val="center"/>
          </w:tcPr>
          <w:p>
            <w:pPr>
              <w:spacing w:line="240" w:lineRule="auto"/>
              <w:jc w:val="center"/>
              <w:rPr>
                <w:rStyle w:val="202"/>
                <w:rFonts w:hint="eastAsia" w:ascii="宋体" w:hAnsi="宋体" w:eastAsia="宋体" w:cs="宋体"/>
                <w:b w:val="0"/>
                <w:bCs/>
                <w:color w:val="auto"/>
                <w:sz w:val="21"/>
                <w:szCs w:val="21"/>
              </w:rPr>
            </w:pPr>
            <w:r>
              <w:rPr>
                <w:rStyle w:val="202"/>
                <w:rFonts w:hint="eastAsia" w:ascii="宋体" w:hAnsi="宋体" w:eastAsia="宋体" w:cs="宋体"/>
                <w:b w:val="0"/>
                <w:bCs/>
                <w:color w:val="auto"/>
                <w:sz w:val="21"/>
                <w:szCs w:val="21"/>
              </w:rPr>
              <w:t>32</w:t>
            </w:r>
          </w:p>
        </w:tc>
        <w:tc>
          <w:tcPr>
            <w:tcW w:w="1139" w:type="dxa"/>
            <w:vAlign w:val="center"/>
          </w:tcPr>
          <w:p>
            <w:pPr>
              <w:spacing w:line="240" w:lineRule="auto"/>
              <w:jc w:val="center"/>
              <w:rPr>
                <w:rFonts w:hint="eastAsia" w:ascii="宋体" w:hAnsi="宋体" w:eastAsia="宋体" w:cs="宋体"/>
                <w:b w:val="0"/>
                <w:bCs/>
                <w:color w:val="auto"/>
                <w:sz w:val="21"/>
                <w:szCs w:val="21"/>
              </w:rPr>
            </w:pPr>
            <w:r>
              <w:rPr>
                <w:rStyle w:val="202"/>
                <w:rFonts w:hint="eastAsia" w:ascii="宋体" w:hAnsi="宋体" w:eastAsia="宋体" w:cs="宋体"/>
                <w:b w:val="0"/>
                <w:bCs/>
                <w:color w:val="auto"/>
                <w:sz w:val="21"/>
                <w:szCs w:val="21"/>
              </w:rPr>
              <w:t>铁铲</w:t>
            </w:r>
          </w:p>
        </w:tc>
        <w:tc>
          <w:tcPr>
            <w:tcW w:w="6237" w:type="dxa"/>
            <w:vAlign w:val="center"/>
          </w:tcPr>
          <w:p>
            <w:pPr>
              <w:widowControl/>
              <w:adjustRightInd/>
              <w:spacing w:line="240" w:lineRule="auto"/>
              <w:jc w:val="left"/>
              <w:textAlignment w:val="auto"/>
              <w:rPr>
                <w:rFonts w:hint="eastAsia" w:ascii="宋体" w:hAnsi="宋体" w:eastAsia="宋体" w:cs="宋体"/>
                <w:b w:val="0"/>
                <w:bCs/>
                <w:color w:val="auto"/>
                <w:kern w:val="0"/>
                <w:sz w:val="21"/>
                <w:szCs w:val="21"/>
              </w:rPr>
            </w:pPr>
            <w:r>
              <w:rPr>
                <w:rFonts w:hint="eastAsia" w:ascii="宋体" w:hAnsi="宋体" w:eastAsia="宋体" w:cs="宋体"/>
                <w:b w:val="0"/>
                <w:bCs/>
                <w:color w:val="auto"/>
                <w:kern w:val="0"/>
                <w:sz w:val="21"/>
                <w:szCs w:val="21"/>
              </w:rPr>
              <w:t>材质：50锰钢</w:t>
            </w:r>
          </w:p>
          <w:p>
            <w:pPr>
              <w:widowControl/>
              <w:adjustRightInd/>
              <w:spacing w:line="240" w:lineRule="auto"/>
              <w:jc w:val="left"/>
              <w:textAlignment w:val="auto"/>
              <w:rPr>
                <w:rFonts w:hint="eastAsia" w:ascii="宋体" w:hAnsi="宋体" w:eastAsia="宋体" w:cs="宋体"/>
                <w:b w:val="0"/>
                <w:bCs/>
                <w:color w:val="auto"/>
                <w:kern w:val="0"/>
                <w:sz w:val="21"/>
                <w:szCs w:val="21"/>
              </w:rPr>
            </w:pPr>
            <w:r>
              <w:rPr>
                <w:rFonts w:hint="eastAsia" w:ascii="宋体" w:hAnsi="宋体" w:eastAsia="宋体" w:cs="宋体"/>
                <w:b w:val="0"/>
                <w:bCs/>
                <w:color w:val="auto"/>
                <w:kern w:val="0"/>
                <w:sz w:val="21"/>
                <w:szCs w:val="21"/>
              </w:rPr>
              <w:t xml:space="preserve">硬度：HRC40-45  </w:t>
            </w:r>
          </w:p>
          <w:p>
            <w:pPr>
              <w:widowControl/>
              <w:adjustRightInd/>
              <w:spacing w:line="240" w:lineRule="auto"/>
              <w:jc w:val="left"/>
              <w:textAlignment w:val="auto"/>
              <w:rPr>
                <w:rFonts w:hint="eastAsia" w:ascii="宋体" w:hAnsi="宋体" w:eastAsia="宋体" w:cs="宋体"/>
                <w:b w:val="0"/>
                <w:bCs/>
                <w:color w:val="auto"/>
                <w:kern w:val="0"/>
                <w:sz w:val="21"/>
                <w:szCs w:val="21"/>
              </w:rPr>
            </w:pPr>
            <w:r>
              <w:rPr>
                <w:rFonts w:hint="eastAsia" w:ascii="宋体" w:hAnsi="宋体" w:eastAsia="宋体" w:cs="宋体"/>
                <w:b w:val="0"/>
                <w:bCs/>
                <w:color w:val="auto"/>
                <w:kern w:val="0"/>
                <w:sz w:val="21"/>
                <w:szCs w:val="21"/>
              </w:rPr>
              <w:t>长度：铁锹木制柄全长150cm</w:t>
            </w:r>
          </w:p>
        </w:tc>
        <w:tc>
          <w:tcPr>
            <w:tcW w:w="709" w:type="dxa"/>
            <w:vAlign w:val="center"/>
          </w:tcPr>
          <w:p>
            <w:pPr>
              <w:widowControl/>
              <w:jc w:val="center"/>
              <w:textAlignment w:val="center"/>
              <w:rPr>
                <w:rFonts w:hint="eastAsia" w:ascii="宋体" w:hAnsi="宋体" w:eastAsia="宋体" w:cs="宋体"/>
                <w:b w:val="0"/>
                <w:bCs/>
                <w:color w:val="auto"/>
                <w:sz w:val="21"/>
                <w:szCs w:val="21"/>
              </w:rPr>
            </w:pPr>
            <w:r>
              <w:rPr>
                <w:rFonts w:hint="eastAsia" w:ascii="宋体" w:hAnsi="宋体" w:eastAsia="宋体" w:cs="宋体"/>
                <w:b w:val="0"/>
                <w:bCs/>
                <w:color w:val="auto"/>
                <w:kern w:val="0"/>
                <w:sz w:val="21"/>
                <w:szCs w:val="21"/>
                <w:lang w:bidi="ar"/>
              </w:rPr>
              <w:t>把</w:t>
            </w:r>
          </w:p>
        </w:tc>
        <w:tc>
          <w:tcPr>
            <w:tcW w:w="844" w:type="dxa"/>
            <w:shd w:val="clear" w:color="auto" w:fill="auto"/>
            <w:vAlign w:val="center"/>
          </w:tcPr>
          <w:p>
            <w:pPr>
              <w:widowControl/>
              <w:jc w:val="center"/>
              <w:textAlignment w:val="center"/>
              <w:rPr>
                <w:rFonts w:hint="eastAsia" w:ascii="宋体" w:hAnsi="宋体" w:eastAsia="宋体" w:cs="宋体"/>
                <w:b w:val="0"/>
                <w:bCs/>
                <w:color w:val="auto"/>
                <w:sz w:val="21"/>
                <w:szCs w:val="21"/>
              </w:rPr>
            </w:pPr>
            <w:r>
              <w:rPr>
                <w:rFonts w:hint="eastAsia" w:ascii="宋体" w:hAnsi="宋体" w:eastAsia="宋体" w:cs="宋体"/>
                <w:b w:val="0"/>
                <w:bCs/>
                <w:color w:val="auto"/>
                <w:kern w:val="0"/>
                <w:sz w:val="21"/>
                <w:szCs w:val="21"/>
                <w:lang w:bidi="ar"/>
              </w:rPr>
              <w:t>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9" w:type="dxa"/>
            <w:vAlign w:val="center"/>
          </w:tcPr>
          <w:p>
            <w:pPr>
              <w:spacing w:line="240" w:lineRule="auto"/>
              <w:jc w:val="center"/>
              <w:rPr>
                <w:rStyle w:val="202"/>
                <w:rFonts w:hint="eastAsia" w:ascii="宋体" w:hAnsi="宋体" w:eastAsia="宋体" w:cs="宋体"/>
                <w:b w:val="0"/>
                <w:bCs/>
                <w:color w:val="auto"/>
                <w:sz w:val="21"/>
                <w:szCs w:val="21"/>
              </w:rPr>
            </w:pPr>
            <w:r>
              <w:rPr>
                <w:rStyle w:val="202"/>
                <w:rFonts w:hint="eastAsia" w:ascii="宋体" w:hAnsi="宋体" w:eastAsia="宋体" w:cs="宋体"/>
                <w:b w:val="0"/>
                <w:bCs/>
                <w:color w:val="auto"/>
                <w:sz w:val="21"/>
                <w:szCs w:val="21"/>
              </w:rPr>
              <w:t>33</w:t>
            </w:r>
          </w:p>
        </w:tc>
        <w:tc>
          <w:tcPr>
            <w:tcW w:w="1139" w:type="dxa"/>
            <w:vAlign w:val="center"/>
          </w:tcPr>
          <w:p>
            <w:pPr>
              <w:spacing w:line="240" w:lineRule="auto"/>
              <w:jc w:val="center"/>
              <w:rPr>
                <w:rFonts w:hint="eastAsia" w:ascii="宋体" w:hAnsi="宋体" w:eastAsia="宋体" w:cs="宋体"/>
                <w:b w:val="0"/>
                <w:bCs/>
                <w:color w:val="auto"/>
                <w:sz w:val="21"/>
                <w:szCs w:val="21"/>
              </w:rPr>
            </w:pPr>
            <w:r>
              <w:rPr>
                <w:rStyle w:val="202"/>
                <w:rFonts w:hint="eastAsia" w:ascii="宋体" w:hAnsi="宋体" w:eastAsia="宋体" w:cs="宋体"/>
                <w:b w:val="0"/>
                <w:bCs/>
                <w:color w:val="auto"/>
                <w:sz w:val="21"/>
                <w:szCs w:val="21"/>
              </w:rPr>
              <w:t>锄头</w:t>
            </w:r>
          </w:p>
        </w:tc>
        <w:tc>
          <w:tcPr>
            <w:tcW w:w="6237" w:type="dxa"/>
            <w:vAlign w:val="center"/>
          </w:tcPr>
          <w:p>
            <w:pPr>
              <w:spacing w:line="240" w:lineRule="auto"/>
              <w:jc w:val="left"/>
              <w:rPr>
                <w:rStyle w:val="202"/>
                <w:rFonts w:hint="eastAsia" w:ascii="宋体" w:hAnsi="宋体" w:eastAsia="宋体" w:cs="宋体"/>
                <w:b w:val="0"/>
                <w:bCs/>
                <w:color w:val="auto"/>
                <w:sz w:val="21"/>
                <w:szCs w:val="21"/>
              </w:rPr>
            </w:pPr>
            <w:r>
              <w:rPr>
                <w:rStyle w:val="202"/>
                <w:rFonts w:hint="eastAsia" w:ascii="宋体" w:hAnsi="宋体" w:eastAsia="宋体" w:cs="宋体"/>
                <w:b w:val="0"/>
                <w:bCs/>
                <w:color w:val="auto"/>
                <w:sz w:val="21"/>
                <w:szCs w:val="21"/>
              </w:rPr>
              <w:t>材质：50#钢</w:t>
            </w:r>
          </w:p>
          <w:p>
            <w:pPr>
              <w:spacing w:line="240" w:lineRule="auto"/>
              <w:jc w:val="left"/>
              <w:rPr>
                <w:rFonts w:hint="eastAsia" w:ascii="宋体" w:hAnsi="宋体" w:eastAsia="宋体" w:cs="宋体"/>
                <w:b w:val="0"/>
                <w:bCs/>
                <w:color w:val="auto"/>
                <w:sz w:val="21"/>
                <w:szCs w:val="21"/>
              </w:rPr>
            </w:pPr>
            <w:r>
              <w:rPr>
                <w:rStyle w:val="202"/>
                <w:rFonts w:hint="eastAsia" w:ascii="宋体" w:hAnsi="宋体" w:eastAsia="宋体" w:cs="宋体"/>
                <w:b w:val="0"/>
                <w:bCs/>
                <w:color w:val="auto"/>
                <w:kern w:val="0"/>
                <w:sz w:val="21"/>
                <w:szCs w:val="21"/>
              </w:rPr>
              <w:t>尺寸：15*19cm</w:t>
            </w:r>
          </w:p>
        </w:tc>
        <w:tc>
          <w:tcPr>
            <w:tcW w:w="709" w:type="dxa"/>
            <w:vAlign w:val="center"/>
          </w:tcPr>
          <w:p>
            <w:pPr>
              <w:widowControl/>
              <w:jc w:val="center"/>
              <w:textAlignment w:val="center"/>
              <w:rPr>
                <w:rFonts w:hint="eastAsia" w:ascii="宋体" w:hAnsi="宋体" w:eastAsia="宋体" w:cs="宋体"/>
                <w:b w:val="0"/>
                <w:bCs/>
                <w:color w:val="auto"/>
                <w:sz w:val="21"/>
                <w:szCs w:val="21"/>
              </w:rPr>
            </w:pPr>
            <w:r>
              <w:rPr>
                <w:rFonts w:hint="eastAsia" w:ascii="宋体" w:hAnsi="宋体" w:eastAsia="宋体" w:cs="宋体"/>
                <w:b w:val="0"/>
                <w:bCs/>
                <w:color w:val="auto"/>
                <w:kern w:val="0"/>
                <w:sz w:val="21"/>
                <w:szCs w:val="21"/>
                <w:lang w:bidi="ar"/>
              </w:rPr>
              <w:t>把</w:t>
            </w:r>
          </w:p>
        </w:tc>
        <w:tc>
          <w:tcPr>
            <w:tcW w:w="844" w:type="dxa"/>
            <w:shd w:val="clear" w:color="auto" w:fill="auto"/>
            <w:vAlign w:val="center"/>
          </w:tcPr>
          <w:p>
            <w:pPr>
              <w:widowControl/>
              <w:jc w:val="center"/>
              <w:textAlignment w:val="center"/>
              <w:rPr>
                <w:rFonts w:hint="eastAsia" w:ascii="宋体" w:hAnsi="宋体" w:eastAsia="宋体" w:cs="宋体"/>
                <w:b w:val="0"/>
                <w:bCs/>
                <w:color w:val="auto"/>
                <w:sz w:val="21"/>
                <w:szCs w:val="21"/>
              </w:rPr>
            </w:pPr>
            <w:r>
              <w:rPr>
                <w:rFonts w:hint="eastAsia" w:ascii="宋体" w:hAnsi="宋体" w:eastAsia="宋体" w:cs="宋体"/>
                <w:b w:val="0"/>
                <w:bCs/>
                <w:color w:val="auto"/>
                <w:kern w:val="0"/>
                <w:sz w:val="21"/>
                <w:szCs w:val="21"/>
                <w:lang w:bidi="ar"/>
              </w:rPr>
              <w:t>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9" w:type="dxa"/>
            <w:vAlign w:val="center"/>
          </w:tcPr>
          <w:p>
            <w:pPr>
              <w:spacing w:line="240" w:lineRule="auto"/>
              <w:jc w:val="center"/>
              <w:rPr>
                <w:rStyle w:val="202"/>
                <w:rFonts w:hint="eastAsia" w:ascii="宋体" w:hAnsi="宋体" w:eastAsia="宋体" w:cs="宋体"/>
                <w:b w:val="0"/>
                <w:bCs/>
                <w:color w:val="auto"/>
                <w:sz w:val="21"/>
                <w:szCs w:val="21"/>
              </w:rPr>
            </w:pPr>
            <w:r>
              <w:rPr>
                <w:rStyle w:val="202"/>
                <w:rFonts w:hint="eastAsia" w:ascii="宋体" w:hAnsi="宋体" w:eastAsia="宋体" w:cs="宋体"/>
                <w:b w:val="0"/>
                <w:bCs/>
                <w:color w:val="auto"/>
                <w:sz w:val="21"/>
                <w:szCs w:val="21"/>
              </w:rPr>
              <w:t>34</w:t>
            </w:r>
          </w:p>
        </w:tc>
        <w:tc>
          <w:tcPr>
            <w:tcW w:w="1139" w:type="dxa"/>
            <w:vAlign w:val="center"/>
          </w:tcPr>
          <w:p>
            <w:pPr>
              <w:spacing w:line="240" w:lineRule="auto"/>
              <w:jc w:val="center"/>
              <w:rPr>
                <w:rFonts w:hint="eastAsia" w:ascii="宋体" w:hAnsi="宋体" w:eastAsia="宋体" w:cs="宋体"/>
                <w:b w:val="0"/>
                <w:bCs/>
                <w:color w:val="auto"/>
                <w:sz w:val="21"/>
                <w:szCs w:val="21"/>
              </w:rPr>
            </w:pPr>
            <w:r>
              <w:rPr>
                <w:rStyle w:val="202"/>
                <w:rFonts w:hint="eastAsia" w:ascii="宋体" w:hAnsi="宋体" w:eastAsia="宋体" w:cs="宋体"/>
                <w:b w:val="0"/>
                <w:bCs/>
                <w:color w:val="auto"/>
                <w:sz w:val="21"/>
                <w:szCs w:val="21"/>
              </w:rPr>
              <w:t>救生圈</w:t>
            </w:r>
          </w:p>
        </w:tc>
        <w:tc>
          <w:tcPr>
            <w:tcW w:w="6237" w:type="dxa"/>
            <w:vAlign w:val="center"/>
          </w:tcPr>
          <w:p>
            <w:pPr>
              <w:spacing w:line="240" w:lineRule="auto"/>
              <w:jc w:val="left"/>
              <w:rPr>
                <w:rFonts w:hint="eastAsia" w:ascii="宋体" w:hAnsi="宋体" w:eastAsia="宋体" w:cs="宋体"/>
                <w:b w:val="0"/>
                <w:bCs/>
                <w:color w:val="auto"/>
                <w:sz w:val="21"/>
                <w:szCs w:val="21"/>
              </w:rPr>
            </w:pPr>
            <w:r>
              <w:rPr>
                <w:rStyle w:val="202"/>
                <w:rFonts w:hint="eastAsia" w:ascii="宋体" w:hAnsi="宋体" w:eastAsia="宋体" w:cs="宋体"/>
                <w:b w:val="0"/>
                <w:bCs/>
                <w:color w:val="auto"/>
                <w:kern w:val="0"/>
                <w:sz w:val="21"/>
                <w:szCs w:val="21"/>
              </w:rPr>
              <w:t>产品按IMO A.689(17)要求生产，其质量符合1974年国际海上人命安全公约1983年修正案以及MSC.81（70）《救生设备试验》的要求                                                                颜色：橙色                                                                             尺寸：外径710mm 内径440mm 厚度110mm                                                  材料：外壳采用新料聚乙烯 ，内填充聚氨酯泡沫                                                                                       浮力：≧18.5KG(适合体重450斤的人使用)                                                             特点：4片反光片，穿插结实尼龙绳，适合适用于船舶，游泳，游潜艇划船装备，洪水救援船舶桥梁建设等。</w:t>
            </w:r>
          </w:p>
        </w:tc>
        <w:tc>
          <w:tcPr>
            <w:tcW w:w="709" w:type="dxa"/>
            <w:vAlign w:val="center"/>
          </w:tcPr>
          <w:p>
            <w:pPr>
              <w:widowControl/>
              <w:jc w:val="center"/>
              <w:textAlignment w:val="center"/>
              <w:rPr>
                <w:rFonts w:hint="eastAsia" w:ascii="宋体" w:hAnsi="宋体" w:eastAsia="宋体" w:cs="宋体"/>
                <w:b w:val="0"/>
                <w:bCs/>
                <w:color w:val="auto"/>
                <w:sz w:val="21"/>
                <w:szCs w:val="21"/>
              </w:rPr>
            </w:pPr>
            <w:r>
              <w:rPr>
                <w:rFonts w:hint="eastAsia" w:ascii="宋体" w:hAnsi="宋体" w:eastAsia="宋体" w:cs="宋体"/>
                <w:b w:val="0"/>
                <w:bCs/>
                <w:color w:val="auto"/>
                <w:kern w:val="0"/>
                <w:sz w:val="21"/>
                <w:szCs w:val="21"/>
                <w:lang w:bidi="ar"/>
              </w:rPr>
              <w:t>只</w:t>
            </w:r>
          </w:p>
        </w:tc>
        <w:tc>
          <w:tcPr>
            <w:tcW w:w="844" w:type="dxa"/>
            <w:shd w:val="clear" w:color="auto" w:fill="auto"/>
            <w:vAlign w:val="center"/>
          </w:tcPr>
          <w:p>
            <w:pPr>
              <w:widowControl/>
              <w:jc w:val="center"/>
              <w:textAlignment w:val="center"/>
              <w:rPr>
                <w:rFonts w:hint="eastAsia" w:ascii="宋体" w:hAnsi="宋体" w:eastAsia="宋体" w:cs="宋体"/>
                <w:b w:val="0"/>
                <w:bCs/>
                <w:color w:val="auto"/>
                <w:sz w:val="21"/>
                <w:szCs w:val="21"/>
              </w:rPr>
            </w:pPr>
            <w:r>
              <w:rPr>
                <w:rFonts w:hint="eastAsia" w:ascii="宋体" w:hAnsi="宋体" w:eastAsia="宋体" w:cs="宋体"/>
                <w:b w:val="0"/>
                <w:bCs/>
                <w:color w:val="auto"/>
                <w:kern w:val="0"/>
                <w:sz w:val="21"/>
                <w:szCs w:val="21"/>
                <w:lang w:bidi="ar"/>
              </w:rPr>
              <w:t>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9" w:type="dxa"/>
            <w:vAlign w:val="center"/>
          </w:tcPr>
          <w:p>
            <w:pPr>
              <w:spacing w:line="240" w:lineRule="auto"/>
              <w:jc w:val="center"/>
              <w:rPr>
                <w:rStyle w:val="202"/>
                <w:rFonts w:hint="eastAsia" w:ascii="宋体" w:hAnsi="宋体" w:eastAsia="宋体" w:cs="宋体"/>
                <w:b w:val="0"/>
                <w:bCs/>
                <w:color w:val="auto"/>
                <w:sz w:val="21"/>
                <w:szCs w:val="21"/>
              </w:rPr>
            </w:pPr>
            <w:r>
              <w:rPr>
                <w:rStyle w:val="202"/>
                <w:rFonts w:hint="eastAsia" w:ascii="宋体" w:hAnsi="宋体" w:eastAsia="宋体" w:cs="宋体"/>
                <w:b w:val="0"/>
                <w:bCs/>
                <w:color w:val="auto"/>
                <w:sz w:val="21"/>
                <w:szCs w:val="21"/>
              </w:rPr>
              <w:t>35</w:t>
            </w:r>
          </w:p>
        </w:tc>
        <w:tc>
          <w:tcPr>
            <w:tcW w:w="1139" w:type="dxa"/>
            <w:vAlign w:val="center"/>
          </w:tcPr>
          <w:p>
            <w:pPr>
              <w:spacing w:line="240" w:lineRule="auto"/>
              <w:jc w:val="center"/>
              <w:rPr>
                <w:rFonts w:hint="eastAsia" w:ascii="宋体" w:hAnsi="宋体" w:eastAsia="宋体" w:cs="宋体"/>
                <w:b w:val="0"/>
                <w:bCs/>
                <w:color w:val="auto"/>
                <w:sz w:val="21"/>
                <w:szCs w:val="21"/>
              </w:rPr>
            </w:pPr>
            <w:r>
              <w:rPr>
                <w:rStyle w:val="202"/>
                <w:rFonts w:hint="eastAsia" w:ascii="宋体" w:hAnsi="宋体" w:eastAsia="宋体" w:cs="宋体"/>
                <w:b w:val="0"/>
                <w:bCs/>
                <w:color w:val="auto"/>
                <w:sz w:val="21"/>
                <w:szCs w:val="21"/>
              </w:rPr>
              <w:t>T恤衫</w:t>
            </w:r>
          </w:p>
        </w:tc>
        <w:tc>
          <w:tcPr>
            <w:tcW w:w="6237" w:type="dxa"/>
            <w:vAlign w:val="center"/>
          </w:tcPr>
          <w:p>
            <w:pPr>
              <w:spacing w:line="240" w:lineRule="auto"/>
              <w:jc w:val="left"/>
              <w:rPr>
                <w:rStyle w:val="202"/>
                <w:rFonts w:hint="eastAsia" w:ascii="宋体" w:hAnsi="宋体" w:eastAsia="宋体" w:cs="宋体"/>
                <w:b w:val="0"/>
                <w:bCs/>
                <w:color w:val="auto"/>
                <w:sz w:val="21"/>
                <w:szCs w:val="21"/>
              </w:rPr>
            </w:pPr>
            <w:r>
              <w:rPr>
                <w:rStyle w:val="202"/>
                <w:rFonts w:hint="eastAsia" w:ascii="宋体" w:hAnsi="宋体" w:eastAsia="宋体" w:cs="宋体"/>
                <w:b w:val="0"/>
                <w:bCs/>
                <w:color w:val="auto"/>
                <w:sz w:val="21"/>
                <w:szCs w:val="21"/>
              </w:rPr>
              <w:t>面料：采用针织面料</w:t>
            </w:r>
          </w:p>
          <w:p>
            <w:pPr>
              <w:spacing w:line="240" w:lineRule="auto"/>
              <w:jc w:val="left"/>
              <w:rPr>
                <w:rStyle w:val="202"/>
                <w:rFonts w:hint="eastAsia" w:ascii="宋体" w:hAnsi="宋体" w:eastAsia="宋体" w:cs="宋体"/>
                <w:b w:val="0"/>
                <w:bCs/>
                <w:color w:val="auto"/>
                <w:sz w:val="21"/>
                <w:szCs w:val="21"/>
              </w:rPr>
            </w:pPr>
            <w:r>
              <w:rPr>
                <w:rStyle w:val="202"/>
                <w:rFonts w:hint="eastAsia" w:ascii="宋体" w:hAnsi="宋体" w:eastAsia="宋体" w:cs="宋体"/>
                <w:b w:val="0"/>
                <w:bCs/>
                <w:color w:val="auto"/>
                <w:sz w:val="21"/>
                <w:szCs w:val="21"/>
              </w:rPr>
              <w:t>成份：100%棉。</w:t>
            </w:r>
          </w:p>
          <w:p>
            <w:pPr>
              <w:spacing w:line="240" w:lineRule="auto"/>
              <w:jc w:val="left"/>
              <w:rPr>
                <w:rStyle w:val="202"/>
                <w:rFonts w:hint="eastAsia" w:ascii="宋体" w:hAnsi="宋体" w:eastAsia="宋体" w:cs="宋体"/>
                <w:b w:val="0"/>
                <w:bCs/>
                <w:color w:val="auto"/>
                <w:sz w:val="21"/>
                <w:szCs w:val="21"/>
              </w:rPr>
            </w:pPr>
            <w:r>
              <w:rPr>
                <w:rStyle w:val="202"/>
                <w:rFonts w:hint="eastAsia" w:ascii="宋体" w:hAnsi="宋体" w:eastAsia="宋体" w:cs="宋体"/>
                <w:b w:val="0"/>
                <w:bCs/>
                <w:color w:val="auto"/>
                <w:sz w:val="21"/>
                <w:szCs w:val="21"/>
              </w:rPr>
              <w:t>克重: 168g/㎡。</w:t>
            </w:r>
          </w:p>
          <w:p>
            <w:pPr>
              <w:spacing w:line="240" w:lineRule="auto"/>
              <w:jc w:val="left"/>
              <w:rPr>
                <w:rStyle w:val="202"/>
                <w:rFonts w:hint="eastAsia" w:ascii="宋体" w:hAnsi="宋体" w:eastAsia="宋体" w:cs="宋体"/>
                <w:b w:val="0"/>
                <w:bCs/>
                <w:color w:val="auto"/>
                <w:sz w:val="21"/>
                <w:szCs w:val="21"/>
              </w:rPr>
            </w:pPr>
            <w:r>
              <w:rPr>
                <w:rStyle w:val="202"/>
                <w:rFonts w:hint="eastAsia" w:ascii="宋体" w:hAnsi="宋体" w:eastAsia="宋体" w:cs="宋体"/>
                <w:b w:val="0"/>
                <w:bCs/>
                <w:color w:val="auto"/>
                <w:sz w:val="21"/>
                <w:szCs w:val="21"/>
              </w:rPr>
              <w:t>起毛起球4级，</w:t>
            </w:r>
          </w:p>
          <w:p>
            <w:pPr>
              <w:spacing w:line="240" w:lineRule="auto"/>
              <w:jc w:val="left"/>
              <w:rPr>
                <w:rStyle w:val="202"/>
                <w:rFonts w:hint="eastAsia" w:ascii="宋体" w:hAnsi="宋体" w:eastAsia="宋体" w:cs="宋体"/>
                <w:b w:val="0"/>
                <w:bCs/>
                <w:color w:val="auto"/>
                <w:sz w:val="21"/>
                <w:szCs w:val="21"/>
              </w:rPr>
            </w:pPr>
            <w:r>
              <w:rPr>
                <w:rStyle w:val="202"/>
                <w:rFonts w:hint="eastAsia" w:ascii="宋体" w:hAnsi="宋体" w:eastAsia="宋体" w:cs="宋体"/>
                <w:b w:val="0"/>
                <w:bCs/>
                <w:color w:val="auto"/>
                <w:sz w:val="21"/>
                <w:szCs w:val="21"/>
              </w:rPr>
              <w:t>耐酸汗渍色牢度：变色4-5级、沾色4-5级、耐碱汗渍色牢度：变色4-5级、沾色4-5级、耐水色牢度：变色4-5级、沾色4-5级</w:t>
            </w:r>
          </w:p>
          <w:p>
            <w:pPr>
              <w:spacing w:line="240" w:lineRule="auto"/>
              <w:jc w:val="left"/>
              <w:rPr>
                <w:rStyle w:val="202"/>
                <w:rFonts w:hint="eastAsia" w:ascii="宋体" w:hAnsi="宋体" w:eastAsia="宋体" w:cs="宋体"/>
                <w:b w:val="0"/>
                <w:bCs/>
                <w:color w:val="auto"/>
                <w:sz w:val="21"/>
                <w:szCs w:val="21"/>
              </w:rPr>
            </w:pPr>
            <w:r>
              <w:rPr>
                <w:rStyle w:val="202"/>
                <w:rFonts w:hint="eastAsia" w:ascii="宋体" w:hAnsi="宋体" w:eastAsia="宋体" w:cs="宋体"/>
                <w:b w:val="0"/>
                <w:bCs/>
                <w:color w:val="auto"/>
                <w:sz w:val="21"/>
                <w:szCs w:val="21"/>
              </w:rPr>
              <w:t>耐干摩擦色牢度4-5级</w:t>
            </w:r>
          </w:p>
          <w:p>
            <w:pPr>
              <w:spacing w:line="240" w:lineRule="auto"/>
              <w:jc w:val="left"/>
              <w:rPr>
                <w:rStyle w:val="202"/>
                <w:rFonts w:hint="eastAsia" w:ascii="宋体" w:hAnsi="宋体" w:eastAsia="宋体" w:cs="宋体"/>
                <w:b w:val="0"/>
                <w:bCs/>
                <w:color w:val="auto"/>
                <w:sz w:val="21"/>
                <w:szCs w:val="21"/>
              </w:rPr>
            </w:pPr>
            <w:r>
              <w:rPr>
                <w:rStyle w:val="202"/>
                <w:rFonts w:hint="eastAsia" w:ascii="宋体" w:hAnsi="宋体" w:eastAsia="宋体" w:cs="宋体"/>
                <w:b w:val="0"/>
                <w:bCs/>
                <w:color w:val="auto"/>
                <w:sz w:val="21"/>
                <w:szCs w:val="21"/>
              </w:rPr>
              <w:t>耐皂洗色牢度：变色4-5级、沾色4-5级顶破强力：521N。</w:t>
            </w:r>
          </w:p>
          <w:p>
            <w:pPr>
              <w:spacing w:line="240" w:lineRule="auto"/>
              <w:jc w:val="left"/>
              <w:rPr>
                <w:rStyle w:val="202"/>
                <w:rFonts w:hint="eastAsia" w:ascii="宋体" w:hAnsi="宋体" w:eastAsia="宋体" w:cs="宋体"/>
                <w:b w:val="0"/>
                <w:bCs/>
                <w:color w:val="auto"/>
                <w:sz w:val="21"/>
                <w:szCs w:val="21"/>
              </w:rPr>
            </w:pPr>
            <w:r>
              <w:rPr>
                <w:rStyle w:val="202"/>
                <w:rFonts w:hint="eastAsia" w:ascii="宋体" w:hAnsi="宋体" w:eastAsia="宋体" w:cs="宋体"/>
                <w:b w:val="0"/>
                <w:bCs/>
                <w:color w:val="auto"/>
                <w:sz w:val="21"/>
                <w:szCs w:val="21"/>
              </w:rPr>
              <w:t>可分解致癌芳香胺染料：符合GB18401-2010B类标准。</w:t>
            </w:r>
          </w:p>
          <w:p>
            <w:pPr>
              <w:spacing w:line="240" w:lineRule="auto"/>
              <w:jc w:val="left"/>
              <w:rPr>
                <w:rStyle w:val="202"/>
                <w:rFonts w:hint="eastAsia" w:ascii="宋体" w:hAnsi="宋体" w:eastAsia="宋体" w:cs="宋体"/>
                <w:b w:val="0"/>
                <w:bCs/>
                <w:color w:val="auto"/>
                <w:sz w:val="21"/>
                <w:szCs w:val="21"/>
              </w:rPr>
            </w:pPr>
            <w:r>
              <w:rPr>
                <w:rStyle w:val="202"/>
                <w:rFonts w:hint="eastAsia" w:ascii="宋体" w:hAnsi="宋体" w:eastAsia="宋体" w:cs="宋体"/>
                <w:b w:val="0"/>
                <w:bCs/>
                <w:color w:val="auto"/>
                <w:sz w:val="21"/>
                <w:szCs w:val="21"/>
              </w:rPr>
              <w:t>甲醛含量：未检出（检出限20mg/kg）符合GB18401-2010B类标准。</w:t>
            </w:r>
          </w:p>
          <w:p>
            <w:pPr>
              <w:spacing w:line="240" w:lineRule="auto"/>
              <w:jc w:val="left"/>
              <w:rPr>
                <w:rFonts w:hint="eastAsia" w:ascii="宋体" w:hAnsi="宋体" w:eastAsia="宋体" w:cs="宋体"/>
                <w:b w:val="0"/>
                <w:bCs/>
                <w:color w:val="auto"/>
                <w:sz w:val="21"/>
                <w:szCs w:val="21"/>
              </w:rPr>
            </w:pPr>
            <w:r>
              <w:rPr>
                <w:rStyle w:val="202"/>
                <w:rFonts w:hint="eastAsia" w:ascii="宋体" w:hAnsi="宋体" w:eastAsia="宋体" w:cs="宋体"/>
                <w:b w:val="0"/>
                <w:bCs/>
                <w:color w:val="auto"/>
                <w:sz w:val="21"/>
                <w:szCs w:val="21"/>
              </w:rPr>
              <w:t>PH值4.0-8.5。符合GB18401-2010B类标。</w:t>
            </w:r>
          </w:p>
        </w:tc>
        <w:tc>
          <w:tcPr>
            <w:tcW w:w="709" w:type="dxa"/>
            <w:vAlign w:val="center"/>
          </w:tcPr>
          <w:p>
            <w:pPr>
              <w:widowControl/>
              <w:jc w:val="center"/>
              <w:textAlignment w:val="center"/>
              <w:rPr>
                <w:rFonts w:hint="eastAsia" w:ascii="宋体" w:hAnsi="宋体" w:eastAsia="宋体" w:cs="宋体"/>
                <w:b w:val="0"/>
                <w:bCs/>
                <w:color w:val="auto"/>
                <w:sz w:val="21"/>
                <w:szCs w:val="21"/>
              </w:rPr>
            </w:pPr>
            <w:r>
              <w:rPr>
                <w:rFonts w:hint="eastAsia" w:ascii="宋体" w:hAnsi="宋体" w:eastAsia="宋体" w:cs="宋体"/>
                <w:b w:val="0"/>
                <w:bCs/>
                <w:color w:val="auto"/>
                <w:kern w:val="0"/>
                <w:sz w:val="21"/>
                <w:szCs w:val="21"/>
                <w:lang w:bidi="ar"/>
              </w:rPr>
              <w:t>件</w:t>
            </w:r>
          </w:p>
        </w:tc>
        <w:tc>
          <w:tcPr>
            <w:tcW w:w="844" w:type="dxa"/>
            <w:shd w:val="clear" w:color="auto" w:fill="auto"/>
            <w:vAlign w:val="center"/>
          </w:tcPr>
          <w:p>
            <w:pPr>
              <w:widowControl/>
              <w:jc w:val="center"/>
              <w:textAlignment w:val="center"/>
              <w:rPr>
                <w:rFonts w:hint="eastAsia" w:ascii="宋体" w:hAnsi="宋体" w:eastAsia="宋体" w:cs="宋体"/>
                <w:b w:val="0"/>
                <w:bCs/>
                <w:color w:val="auto"/>
                <w:sz w:val="21"/>
                <w:szCs w:val="21"/>
              </w:rPr>
            </w:pPr>
            <w:r>
              <w:rPr>
                <w:rFonts w:hint="eastAsia" w:ascii="宋体" w:hAnsi="宋体" w:eastAsia="宋体" w:cs="宋体"/>
                <w:b w:val="0"/>
                <w:bCs/>
                <w:color w:val="auto"/>
                <w:kern w:val="0"/>
                <w:sz w:val="21"/>
                <w:szCs w:val="21"/>
                <w:lang w:bidi="ar"/>
              </w:rPr>
              <w:t>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9" w:type="dxa"/>
            <w:vAlign w:val="center"/>
          </w:tcPr>
          <w:p>
            <w:pPr>
              <w:spacing w:line="240" w:lineRule="auto"/>
              <w:jc w:val="center"/>
              <w:rPr>
                <w:rStyle w:val="202"/>
                <w:rFonts w:hint="eastAsia" w:ascii="宋体" w:hAnsi="宋体" w:eastAsia="宋体" w:cs="宋体"/>
                <w:b w:val="0"/>
                <w:bCs/>
                <w:color w:val="auto"/>
                <w:sz w:val="21"/>
                <w:szCs w:val="21"/>
              </w:rPr>
            </w:pPr>
            <w:r>
              <w:rPr>
                <w:rStyle w:val="202"/>
                <w:rFonts w:hint="eastAsia" w:ascii="宋体" w:hAnsi="宋体" w:eastAsia="宋体" w:cs="宋体"/>
                <w:b w:val="0"/>
                <w:bCs/>
                <w:color w:val="auto"/>
                <w:sz w:val="21"/>
                <w:szCs w:val="21"/>
              </w:rPr>
              <w:t xml:space="preserve"> 36</w:t>
            </w:r>
          </w:p>
        </w:tc>
        <w:tc>
          <w:tcPr>
            <w:tcW w:w="1139" w:type="dxa"/>
            <w:vAlign w:val="center"/>
          </w:tcPr>
          <w:p>
            <w:pPr>
              <w:spacing w:line="240" w:lineRule="auto"/>
              <w:jc w:val="center"/>
              <w:rPr>
                <w:rFonts w:hint="eastAsia" w:ascii="宋体" w:hAnsi="宋体" w:eastAsia="宋体" w:cs="宋体"/>
                <w:b w:val="0"/>
                <w:bCs/>
                <w:color w:val="auto"/>
                <w:sz w:val="21"/>
                <w:szCs w:val="21"/>
              </w:rPr>
            </w:pPr>
            <w:r>
              <w:rPr>
                <w:rStyle w:val="202"/>
                <w:rFonts w:hint="eastAsia" w:ascii="宋体" w:hAnsi="宋体" w:eastAsia="宋体" w:cs="宋体"/>
                <w:b w:val="0"/>
                <w:bCs/>
                <w:color w:val="auto"/>
                <w:sz w:val="21"/>
                <w:szCs w:val="21"/>
              </w:rPr>
              <w:t>冲锋衣</w:t>
            </w:r>
          </w:p>
        </w:tc>
        <w:tc>
          <w:tcPr>
            <w:tcW w:w="6237" w:type="dxa"/>
            <w:vAlign w:val="center"/>
          </w:tcPr>
          <w:p>
            <w:pPr>
              <w:spacing w:line="240" w:lineRule="auto"/>
              <w:jc w:val="left"/>
              <w:rPr>
                <w:rFonts w:hint="eastAsia" w:ascii="宋体" w:hAnsi="宋体" w:eastAsia="宋体" w:cs="宋体"/>
                <w:b w:val="0"/>
                <w:bCs/>
                <w:color w:val="auto"/>
                <w:sz w:val="21"/>
                <w:szCs w:val="21"/>
              </w:rPr>
            </w:pPr>
            <w:r>
              <w:rPr>
                <w:rStyle w:val="202"/>
                <w:rFonts w:hint="eastAsia" w:ascii="宋体" w:hAnsi="宋体" w:eastAsia="宋体" w:cs="宋体"/>
                <w:b w:val="0"/>
                <w:bCs/>
                <w:color w:val="auto"/>
                <w:kern w:val="0"/>
                <w:sz w:val="21"/>
                <w:szCs w:val="21"/>
              </w:rPr>
              <w:t>外皮：米字格100%涤纶压PVC防水内胆：260G摇粒绒（双刷双摇144F150D）防风防水及保暖一体，一衣3穿，带加厚可拆卸抓绒内胆，前襟口袋带防水拉链，帽子可拆卸</w:t>
            </w:r>
          </w:p>
        </w:tc>
        <w:tc>
          <w:tcPr>
            <w:tcW w:w="709" w:type="dxa"/>
            <w:vAlign w:val="center"/>
          </w:tcPr>
          <w:p>
            <w:pPr>
              <w:widowControl/>
              <w:jc w:val="center"/>
              <w:textAlignment w:val="center"/>
              <w:rPr>
                <w:rFonts w:hint="eastAsia" w:ascii="宋体" w:hAnsi="宋体" w:eastAsia="宋体" w:cs="宋体"/>
                <w:b w:val="0"/>
                <w:bCs/>
                <w:color w:val="auto"/>
                <w:sz w:val="21"/>
                <w:szCs w:val="21"/>
              </w:rPr>
            </w:pPr>
            <w:r>
              <w:rPr>
                <w:rFonts w:hint="eastAsia" w:ascii="宋体" w:hAnsi="宋体" w:eastAsia="宋体" w:cs="宋体"/>
                <w:b w:val="0"/>
                <w:bCs/>
                <w:color w:val="auto"/>
                <w:kern w:val="0"/>
                <w:sz w:val="21"/>
                <w:szCs w:val="21"/>
                <w:lang w:bidi="ar"/>
              </w:rPr>
              <w:t>件</w:t>
            </w:r>
          </w:p>
        </w:tc>
        <w:tc>
          <w:tcPr>
            <w:tcW w:w="844" w:type="dxa"/>
            <w:shd w:val="clear" w:color="auto" w:fill="auto"/>
            <w:vAlign w:val="center"/>
          </w:tcPr>
          <w:p>
            <w:pPr>
              <w:widowControl/>
              <w:jc w:val="center"/>
              <w:textAlignment w:val="center"/>
              <w:rPr>
                <w:rFonts w:hint="eastAsia" w:ascii="宋体" w:hAnsi="宋体" w:eastAsia="宋体" w:cs="宋体"/>
                <w:b w:val="0"/>
                <w:bCs/>
                <w:color w:val="auto"/>
                <w:sz w:val="21"/>
                <w:szCs w:val="21"/>
              </w:rPr>
            </w:pPr>
            <w:r>
              <w:rPr>
                <w:rFonts w:hint="eastAsia" w:ascii="宋体" w:hAnsi="宋体" w:eastAsia="宋体" w:cs="宋体"/>
                <w:b w:val="0"/>
                <w:bCs/>
                <w:color w:val="auto"/>
                <w:kern w:val="0"/>
                <w:sz w:val="21"/>
                <w:szCs w:val="21"/>
                <w:lang w:bidi="ar"/>
              </w:rPr>
              <w:t>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9" w:type="dxa"/>
            <w:vAlign w:val="center"/>
          </w:tcPr>
          <w:p>
            <w:pPr>
              <w:spacing w:line="240" w:lineRule="auto"/>
              <w:jc w:val="center"/>
              <w:rPr>
                <w:rStyle w:val="202"/>
                <w:rFonts w:hint="eastAsia" w:ascii="宋体" w:hAnsi="宋体" w:eastAsia="宋体" w:cs="宋体"/>
                <w:b w:val="0"/>
                <w:bCs/>
                <w:color w:val="auto"/>
                <w:sz w:val="21"/>
                <w:szCs w:val="21"/>
              </w:rPr>
            </w:pPr>
            <w:r>
              <w:rPr>
                <w:rStyle w:val="202"/>
                <w:rFonts w:hint="eastAsia" w:ascii="宋体" w:hAnsi="宋体" w:eastAsia="宋体" w:cs="宋体"/>
                <w:b w:val="0"/>
                <w:bCs/>
                <w:color w:val="auto"/>
                <w:sz w:val="21"/>
                <w:szCs w:val="21"/>
              </w:rPr>
              <w:t>37</w:t>
            </w:r>
          </w:p>
        </w:tc>
        <w:tc>
          <w:tcPr>
            <w:tcW w:w="1139" w:type="dxa"/>
            <w:vAlign w:val="center"/>
          </w:tcPr>
          <w:p>
            <w:pPr>
              <w:spacing w:line="240" w:lineRule="auto"/>
              <w:jc w:val="center"/>
              <w:rPr>
                <w:rFonts w:hint="eastAsia" w:ascii="宋体" w:hAnsi="宋体" w:eastAsia="宋体" w:cs="宋体"/>
                <w:b w:val="0"/>
                <w:bCs/>
                <w:color w:val="auto"/>
                <w:sz w:val="21"/>
                <w:szCs w:val="21"/>
              </w:rPr>
            </w:pPr>
            <w:r>
              <w:rPr>
                <w:rStyle w:val="202"/>
                <w:rFonts w:hint="eastAsia" w:ascii="宋体" w:hAnsi="宋体" w:eastAsia="宋体" w:cs="宋体"/>
                <w:b w:val="0"/>
                <w:bCs/>
                <w:color w:val="auto"/>
                <w:sz w:val="21"/>
                <w:szCs w:val="21"/>
              </w:rPr>
              <w:t>迷彩鞋</w:t>
            </w:r>
          </w:p>
        </w:tc>
        <w:tc>
          <w:tcPr>
            <w:tcW w:w="6237" w:type="dxa"/>
            <w:vAlign w:val="center"/>
          </w:tcPr>
          <w:p>
            <w:pPr>
              <w:spacing w:line="240" w:lineRule="auto"/>
              <w:jc w:val="left"/>
              <w:rPr>
                <w:rStyle w:val="202"/>
                <w:rFonts w:hint="eastAsia" w:ascii="宋体" w:hAnsi="宋体" w:eastAsia="宋体" w:cs="宋体"/>
                <w:b w:val="0"/>
                <w:bCs/>
                <w:color w:val="auto"/>
                <w:sz w:val="21"/>
                <w:szCs w:val="21"/>
              </w:rPr>
            </w:pPr>
            <w:r>
              <w:rPr>
                <w:rStyle w:val="202"/>
                <w:rFonts w:hint="eastAsia" w:ascii="宋体" w:hAnsi="宋体" w:eastAsia="宋体" w:cs="宋体"/>
                <w:b w:val="0"/>
                <w:bCs/>
                <w:color w:val="auto"/>
                <w:sz w:val="21"/>
                <w:szCs w:val="21"/>
              </w:rPr>
              <w:t>99式作训解放鞋</w:t>
            </w:r>
          </w:p>
          <w:p>
            <w:pPr>
              <w:spacing w:line="240" w:lineRule="auto"/>
              <w:jc w:val="left"/>
              <w:rPr>
                <w:rStyle w:val="202"/>
                <w:rFonts w:hint="eastAsia" w:ascii="宋体" w:hAnsi="宋体" w:eastAsia="宋体" w:cs="宋体"/>
                <w:b w:val="0"/>
                <w:bCs/>
                <w:color w:val="auto"/>
                <w:sz w:val="21"/>
                <w:szCs w:val="21"/>
              </w:rPr>
            </w:pPr>
            <w:r>
              <w:rPr>
                <w:rStyle w:val="202"/>
                <w:rFonts w:hint="eastAsia" w:ascii="宋体" w:hAnsi="宋体" w:eastAsia="宋体" w:cs="宋体"/>
                <w:b w:val="0"/>
                <w:bCs/>
                <w:color w:val="auto"/>
                <w:sz w:val="21"/>
                <w:szCs w:val="21"/>
              </w:rPr>
              <w:t>颜色：迷彩</w:t>
            </w:r>
          </w:p>
          <w:p>
            <w:pPr>
              <w:spacing w:line="240" w:lineRule="auto"/>
              <w:jc w:val="left"/>
              <w:rPr>
                <w:rFonts w:hint="eastAsia" w:ascii="宋体" w:hAnsi="宋体" w:eastAsia="宋体" w:cs="宋体"/>
                <w:b w:val="0"/>
                <w:bCs/>
                <w:color w:val="auto"/>
                <w:sz w:val="21"/>
                <w:szCs w:val="21"/>
              </w:rPr>
            </w:pPr>
            <w:r>
              <w:rPr>
                <w:rStyle w:val="202"/>
                <w:rFonts w:hint="eastAsia" w:ascii="宋体" w:hAnsi="宋体" w:eastAsia="宋体" w:cs="宋体"/>
                <w:b w:val="0"/>
                <w:bCs/>
                <w:color w:val="auto"/>
                <w:sz w:val="21"/>
                <w:szCs w:val="21"/>
              </w:rPr>
              <w:t>面料材质：1800D帆布，塑胶大底</w:t>
            </w:r>
          </w:p>
        </w:tc>
        <w:tc>
          <w:tcPr>
            <w:tcW w:w="709" w:type="dxa"/>
            <w:vAlign w:val="center"/>
          </w:tcPr>
          <w:p>
            <w:pPr>
              <w:widowControl/>
              <w:jc w:val="center"/>
              <w:textAlignment w:val="center"/>
              <w:rPr>
                <w:rFonts w:hint="eastAsia" w:ascii="宋体" w:hAnsi="宋体" w:eastAsia="宋体" w:cs="宋体"/>
                <w:b w:val="0"/>
                <w:bCs/>
                <w:color w:val="auto"/>
                <w:sz w:val="21"/>
                <w:szCs w:val="21"/>
              </w:rPr>
            </w:pPr>
            <w:r>
              <w:rPr>
                <w:rFonts w:hint="eastAsia" w:ascii="宋体" w:hAnsi="宋体" w:eastAsia="宋体" w:cs="宋体"/>
                <w:b w:val="0"/>
                <w:bCs/>
                <w:color w:val="auto"/>
                <w:kern w:val="0"/>
                <w:sz w:val="21"/>
                <w:szCs w:val="21"/>
                <w:lang w:bidi="ar"/>
              </w:rPr>
              <w:t>双</w:t>
            </w:r>
          </w:p>
        </w:tc>
        <w:tc>
          <w:tcPr>
            <w:tcW w:w="844" w:type="dxa"/>
            <w:shd w:val="clear" w:color="auto" w:fill="auto"/>
            <w:vAlign w:val="center"/>
          </w:tcPr>
          <w:p>
            <w:pPr>
              <w:widowControl/>
              <w:jc w:val="center"/>
              <w:textAlignment w:val="center"/>
              <w:rPr>
                <w:rFonts w:hint="eastAsia" w:ascii="宋体" w:hAnsi="宋体" w:eastAsia="宋体" w:cs="宋体"/>
                <w:b w:val="0"/>
                <w:bCs/>
                <w:color w:val="auto"/>
                <w:sz w:val="21"/>
                <w:szCs w:val="21"/>
              </w:rPr>
            </w:pPr>
            <w:r>
              <w:rPr>
                <w:rFonts w:hint="eastAsia" w:ascii="宋体" w:hAnsi="宋体" w:eastAsia="宋体" w:cs="宋体"/>
                <w:b w:val="0"/>
                <w:bCs/>
                <w:color w:val="auto"/>
                <w:kern w:val="0"/>
                <w:sz w:val="21"/>
                <w:szCs w:val="21"/>
                <w:lang w:bidi="ar"/>
              </w:rPr>
              <w:t>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9" w:type="dxa"/>
            <w:vAlign w:val="center"/>
          </w:tcPr>
          <w:p>
            <w:pPr>
              <w:spacing w:line="240" w:lineRule="auto"/>
              <w:jc w:val="center"/>
              <w:rPr>
                <w:rStyle w:val="202"/>
                <w:rFonts w:hint="eastAsia" w:ascii="宋体" w:hAnsi="宋体" w:eastAsia="宋体" w:cs="宋体"/>
                <w:b w:val="0"/>
                <w:bCs/>
                <w:color w:val="auto"/>
                <w:sz w:val="21"/>
                <w:szCs w:val="21"/>
              </w:rPr>
            </w:pPr>
            <w:r>
              <w:rPr>
                <w:rStyle w:val="202"/>
                <w:rFonts w:hint="eastAsia" w:ascii="宋体" w:hAnsi="宋体" w:eastAsia="宋体" w:cs="宋体"/>
                <w:b w:val="0"/>
                <w:bCs/>
                <w:color w:val="auto"/>
                <w:sz w:val="21"/>
                <w:szCs w:val="21"/>
              </w:rPr>
              <w:t>38</w:t>
            </w:r>
          </w:p>
        </w:tc>
        <w:tc>
          <w:tcPr>
            <w:tcW w:w="1139" w:type="dxa"/>
            <w:vAlign w:val="center"/>
          </w:tcPr>
          <w:p>
            <w:pPr>
              <w:spacing w:line="240" w:lineRule="auto"/>
              <w:jc w:val="center"/>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w:t>
            </w:r>
            <w:r>
              <w:rPr>
                <w:rStyle w:val="202"/>
                <w:rFonts w:hint="eastAsia" w:ascii="宋体" w:hAnsi="宋体" w:eastAsia="宋体" w:cs="宋体"/>
                <w:b w:val="0"/>
                <w:bCs/>
                <w:color w:val="auto"/>
                <w:sz w:val="21"/>
                <w:szCs w:val="21"/>
              </w:rPr>
              <w:t>毛毯</w:t>
            </w:r>
          </w:p>
        </w:tc>
        <w:tc>
          <w:tcPr>
            <w:tcW w:w="6237" w:type="dxa"/>
            <w:vAlign w:val="center"/>
          </w:tcPr>
          <w:p>
            <w:pPr>
              <w:spacing w:line="240" w:lineRule="auto"/>
              <w:jc w:val="left"/>
              <w:rPr>
                <w:rFonts w:hint="eastAsia" w:ascii="宋体" w:hAnsi="宋体" w:eastAsia="宋体" w:cs="宋体"/>
                <w:b w:val="0"/>
                <w:bCs/>
                <w:color w:val="auto"/>
                <w:sz w:val="21"/>
                <w:szCs w:val="21"/>
                <w:lang w:bidi="zh-CN"/>
              </w:rPr>
            </w:pPr>
            <w:r>
              <w:rPr>
                <w:rFonts w:hint="eastAsia" w:ascii="宋体" w:hAnsi="宋体" w:eastAsia="宋体" w:cs="宋体"/>
                <w:b w:val="0"/>
                <w:bCs/>
                <w:color w:val="auto"/>
                <w:sz w:val="21"/>
                <w:szCs w:val="21"/>
                <w:lang w:bidi="zh-CN"/>
              </w:rPr>
              <w:t>军工面料，毛圈饱满，舒适保暖，柔软富有弹性。一毯三用，可盖，可垫，可踩。四周绸布包边，走线整齐。规格:长2米，宽约1.5米。重量:足4斤。</w:t>
            </w:r>
            <w:r>
              <w:rPr>
                <w:rFonts w:hint="eastAsia" w:ascii="宋体" w:hAnsi="宋体" w:eastAsia="宋体" w:cs="宋体"/>
                <w:b w:val="0"/>
                <w:bCs/>
                <w:color w:val="auto"/>
                <w:sz w:val="21"/>
                <w:szCs w:val="21"/>
              </w:rPr>
              <w:t>★</w:t>
            </w:r>
            <w:r>
              <w:rPr>
                <w:rFonts w:hint="eastAsia" w:ascii="宋体" w:hAnsi="宋体" w:eastAsia="宋体" w:cs="宋体"/>
                <w:b w:val="0"/>
                <w:bCs/>
                <w:color w:val="auto"/>
                <w:sz w:val="21"/>
                <w:szCs w:val="21"/>
                <w:lang w:bidi="zh-CN"/>
              </w:rPr>
              <w:t>成分:32.2％细羊毛，67.8%聚酯纤维，测试方法：FZ/T01057-2007,GB/T2910-2009.</w:t>
            </w:r>
          </w:p>
          <w:p>
            <w:pPr>
              <w:spacing w:line="240" w:lineRule="auto"/>
              <w:jc w:val="left"/>
              <w:rPr>
                <w:rFonts w:hint="eastAsia" w:ascii="宋体" w:hAnsi="宋体" w:eastAsia="宋体" w:cs="宋体"/>
                <w:b w:val="0"/>
                <w:bCs/>
                <w:color w:val="auto"/>
                <w:sz w:val="21"/>
                <w:szCs w:val="21"/>
                <w:lang w:val="en-US"/>
              </w:rPr>
            </w:pPr>
            <w:r>
              <w:rPr>
                <w:rFonts w:hint="eastAsia" w:ascii="宋体" w:hAnsi="宋体" w:eastAsia="宋体" w:cs="宋体"/>
                <w:b w:val="0"/>
                <w:bCs/>
                <w:color w:val="auto"/>
                <w:sz w:val="21"/>
                <w:szCs w:val="21"/>
              </w:rPr>
              <w:t xml:space="preserve"> </w:t>
            </w:r>
            <w:r>
              <w:rPr>
                <w:rFonts w:hint="eastAsia" w:ascii="宋体" w:hAnsi="宋体" w:eastAsia="宋体" w:cs="宋体"/>
                <w:b w:val="0"/>
                <w:bCs/>
                <w:color w:val="auto"/>
                <w:sz w:val="21"/>
                <w:szCs w:val="21"/>
                <w:lang w:eastAsia="zh-CN" w:bidi="zh-CN"/>
              </w:rPr>
              <w:t>带“</w:t>
            </w:r>
            <w:r>
              <w:rPr>
                <w:rFonts w:hint="eastAsia" w:ascii="宋体" w:hAnsi="宋体" w:eastAsia="宋体" w:cs="宋体"/>
                <w:b w:val="0"/>
                <w:bCs/>
                <w:color w:val="auto"/>
                <w:sz w:val="21"/>
                <w:szCs w:val="21"/>
              </w:rPr>
              <w:t>★</w:t>
            </w:r>
            <w:r>
              <w:rPr>
                <w:rFonts w:hint="eastAsia" w:ascii="宋体" w:hAnsi="宋体" w:eastAsia="宋体" w:cs="宋体"/>
                <w:b w:val="0"/>
                <w:bCs/>
                <w:color w:val="auto"/>
                <w:sz w:val="21"/>
                <w:szCs w:val="21"/>
                <w:lang w:eastAsia="zh-CN" w:bidi="zh-CN"/>
              </w:rPr>
              <w:t>”需</w:t>
            </w:r>
            <w:r>
              <w:rPr>
                <w:rFonts w:hint="eastAsia" w:ascii="宋体" w:hAnsi="宋体" w:eastAsia="宋体" w:cs="宋体"/>
                <w:b w:val="0"/>
                <w:bCs/>
                <w:color w:val="auto"/>
                <w:sz w:val="21"/>
                <w:szCs w:val="21"/>
                <w:lang w:bidi="zh-CN"/>
              </w:rPr>
              <w:t>提供具有检测资质的第三方的质检报告</w:t>
            </w:r>
          </w:p>
        </w:tc>
        <w:tc>
          <w:tcPr>
            <w:tcW w:w="709" w:type="dxa"/>
            <w:vAlign w:val="center"/>
          </w:tcPr>
          <w:p>
            <w:pPr>
              <w:widowControl/>
              <w:jc w:val="center"/>
              <w:textAlignment w:val="center"/>
              <w:rPr>
                <w:rFonts w:hint="eastAsia" w:ascii="宋体" w:hAnsi="宋体" w:eastAsia="宋体" w:cs="宋体"/>
                <w:b w:val="0"/>
                <w:bCs/>
                <w:color w:val="auto"/>
                <w:sz w:val="21"/>
                <w:szCs w:val="21"/>
              </w:rPr>
            </w:pPr>
            <w:r>
              <w:rPr>
                <w:rFonts w:hint="eastAsia" w:ascii="宋体" w:hAnsi="宋体" w:eastAsia="宋体" w:cs="宋体"/>
                <w:b w:val="0"/>
                <w:bCs/>
                <w:color w:val="auto"/>
                <w:kern w:val="0"/>
                <w:sz w:val="21"/>
                <w:szCs w:val="21"/>
                <w:lang w:bidi="ar"/>
              </w:rPr>
              <w:t>床</w:t>
            </w:r>
          </w:p>
        </w:tc>
        <w:tc>
          <w:tcPr>
            <w:tcW w:w="844" w:type="dxa"/>
            <w:shd w:val="clear" w:color="auto" w:fill="auto"/>
            <w:vAlign w:val="center"/>
          </w:tcPr>
          <w:p>
            <w:pPr>
              <w:widowControl/>
              <w:jc w:val="center"/>
              <w:textAlignment w:val="center"/>
              <w:rPr>
                <w:rFonts w:hint="eastAsia" w:ascii="宋体" w:hAnsi="宋体" w:eastAsia="宋体" w:cs="宋体"/>
                <w:b w:val="0"/>
                <w:bCs/>
                <w:color w:val="auto"/>
                <w:sz w:val="21"/>
                <w:szCs w:val="21"/>
              </w:rPr>
            </w:pPr>
            <w:r>
              <w:rPr>
                <w:rFonts w:hint="eastAsia" w:ascii="宋体" w:hAnsi="宋体" w:eastAsia="宋体" w:cs="宋体"/>
                <w:b w:val="0"/>
                <w:bCs/>
                <w:color w:val="auto"/>
                <w:kern w:val="0"/>
                <w:sz w:val="21"/>
                <w:szCs w:val="21"/>
                <w:lang w:bidi="ar"/>
              </w:rPr>
              <w:t>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9" w:type="dxa"/>
            <w:vAlign w:val="center"/>
          </w:tcPr>
          <w:p>
            <w:pPr>
              <w:spacing w:line="240" w:lineRule="auto"/>
              <w:jc w:val="center"/>
              <w:rPr>
                <w:rStyle w:val="202"/>
                <w:rFonts w:hint="eastAsia" w:ascii="宋体" w:hAnsi="宋体" w:eastAsia="宋体" w:cs="宋体"/>
                <w:b w:val="0"/>
                <w:bCs/>
                <w:color w:val="auto"/>
                <w:sz w:val="21"/>
                <w:szCs w:val="21"/>
              </w:rPr>
            </w:pPr>
            <w:r>
              <w:rPr>
                <w:rStyle w:val="202"/>
                <w:rFonts w:hint="eastAsia" w:ascii="宋体" w:hAnsi="宋体" w:eastAsia="宋体" w:cs="宋体"/>
                <w:b w:val="0"/>
                <w:bCs/>
                <w:color w:val="auto"/>
                <w:sz w:val="21"/>
                <w:szCs w:val="21"/>
              </w:rPr>
              <w:t>39</w:t>
            </w:r>
          </w:p>
        </w:tc>
        <w:tc>
          <w:tcPr>
            <w:tcW w:w="1139" w:type="dxa"/>
            <w:vAlign w:val="center"/>
          </w:tcPr>
          <w:p>
            <w:pPr>
              <w:spacing w:line="240" w:lineRule="auto"/>
              <w:jc w:val="center"/>
              <w:rPr>
                <w:rFonts w:hint="eastAsia" w:ascii="宋体" w:hAnsi="宋体" w:eastAsia="宋体" w:cs="宋体"/>
                <w:b w:val="0"/>
                <w:bCs/>
                <w:color w:val="auto"/>
                <w:sz w:val="21"/>
                <w:szCs w:val="21"/>
              </w:rPr>
            </w:pPr>
            <w:r>
              <w:rPr>
                <w:rStyle w:val="202"/>
                <w:rFonts w:hint="eastAsia" w:ascii="宋体" w:hAnsi="宋体" w:eastAsia="宋体" w:cs="宋体"/>
                <w:b w:val="0"/>
                <w:bCs/>
                <w:color w:val="auto"/>
                <w:sz w:val="21"/>
                <w:szCs w:val="21"/>
              </w:rPr>
              <w:t>保暖内衣</w:t>
            </w:r>
          </w:p>
        </w:tc>
        <w:tc>
          <w:tcPr>
            <w:tcW w:w="6237" w:type="dxa"/>
            <w:vAlign w:val="center"/>
          </w:tcPr>
          <w:p>
            <w:pPr>
              <w:pStyle w:val="209"/>
              <w:spacing w:line="240" w:lineRule="auto"/>
              <w:ind w:right="11"/>
              <w:jc w:val="left"/>
              <w:rPr>
                <w:rFonts w:hint="eastAsia" w:ascii="宋体" w:hAnsi="宋体" w:eastAsia="宋体" w:cs="宋体"/>
                <w:b w:val="0"/>
                <w:bCs/>
                <w:color w:val="auto"/>
                <w:sz w:val="21"/>
                <w:szCs w:val="21"/>
                <w:lang w:val="en-US"/>
              </w:rPr>
            </w:pPr>
            <w:r>
              <w:rPr>
                <w:rFonts w:hint="eastAsia" w:ascii="宋体" w:hAnsi="宋体" w:eastAsia="宋体" w:cs="宋体"/>
                <w:b w:val="0"/>
                <w:bCs/>
                <w:color w:val="auto"/>
                <w:sz w:val="21"/>
                <w:szCs w:val="21"/>
                <w:lang w:val="en-US"/>
              </w:rPr>
              <w:t>1.含棉36％，含聚酯纤维61％，氨纶3％5耐摩擦色牢度:干摩4-5级，湿摩3级。</w:t>
            </w:r>
          </w:p>
          <w:p>
            <w:pPr>
              <w:spacing w:line="240" w:lineRule="auto"/>
              <w:jc w:val="left"/>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lang w:bidi="zh-CN"/>
              </w:rPr>
              <w:t>耐皂洗色牢度:4-5级。</w:t>
            </w:r>
          </w:p>
        </w:tc>
        <w:tc>
          <w:tcPr>
            <w:tcW w:w="709" w:type="dxa"/>
            <w:vAlign w:val="center"/>
          </w:tcPr>
          <w:p>
            <w:pPr>
              <w:widowControl/>
              <w:jc w:val="center"/>
              <w:textAlignment w:val="center"/>
              <w:rPr>
                <w:rFonts w:hint="eastAsia" w:ascii="宋体" w:hAnsi="宋体" w:eastAsia="宋体" w:cs="宋体"/>
                <w:b w:val="0"/>
                <w:bCs/>
                <w:color w:val="auto"/>
                <w:sz w:val="21"/>
                <w:szCs w:val="21"/>
              </w:rPr>
            </w:pPr>
            <w:r>
              <w:rPr>
                <w:rFonts w:hint="eastAsia" w:ascii="宋体" w:hAnsi="宋体" w:eastAsia="宋体" w:cs="宋体"/>
                <w:b w:val="0"/>
                <w:bCs/>
                <w:color w:val="auto"/>
                <w:kern w:val="0"/>
                <w:sz w:val="21"/>
                <w:szCs w:val="21"/>
                <w:lang w:bidi="ar"/>
              </w:rPr>
              <w:t>套</w:t>
            </w:r>
          </w:p>
        </w:tc>
        <w:tc>
          <w:tcPr>
            <w:tcW w:w="844" w:type="dxa"/>
            <w:shd w:val="clear" w:color="auto" w:fill="auto"/>
            <w:vAlign w:val="center"/>
          </w:tcPr>
          <w:p>
            <w:pPr>
              <w:widowControl/>
              <w:jc w:val="center"/>
              <w:textAlignment w:val="center"/>
              <w:rPr>
                <w:rFonts w:hint="eastAsia" w:ascii="宋体" w:hAnsi="宋体" w:eastAsia="宋体" w:cs="宋体"/>
                <w:b w:val="0"/>
                <w:bCs/>
                <w:color w:val="auto"/>
                <w:sz w:val="21"/>
                <w:szCs w:val="21"/>
              </w:rPr>
            </w:pPr>
            <w:r>
              <w:rPr>
                <w:rFonts w:hint="eastAsia" w:ascii="宋体" w:hAnsi="宋体" w:eastAsia="宋体" w:cs="宋体"/>
                <w:b w:val="0"/>
                <w:bCs/>
                <w:color w:val="auto"/>
                <w:kern w:val="0"/>
                <w:sz w:val="21"/>
                <w:szCs w:val="21"/>
                <w:lang w:bidi="ar"/>
              </w:rPr>
              <w:t>700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9" w:type="dxa"/>
            <w:vAlign w:val="center"/>
          </w:tcPr>
          <w:p>
            <w:pPr>
              <w:spacing w:line="240" w:lineRule="auto"/>
              <w:jc w:val="center"/>
              <w:rPr>
                <w:rStyle w:val="202"/>
                <w:rFonts w:hint="eastAsia" w:ascii="宋体" w:hAnsi="宋体" w:eastAsia="宋体" w:cs="宋体"/>
                <w:b w:val="0"/>
                <w:bCs/>
                <w:color w:val="auto"/>
                <w:sz w:val="21"/>
                <w:szCs w:val="21"/>
              </w:rPr>
            </w:pPr>
            <w:r>
              <w:rPr>
                <w:rStyle w:val="202"/>
                <w:rFonts w:hint="eastAsia" w:ascii="宋体" w:hAnsi="宋体" w:eastAsia="宋体" w:cs="宋体"/>
                <w:b w:val="0"/>
                <w:bCs/>
                <w:color w:val="auto"/>
                <w:sz w:val="21"/>
                <w:szCs w:val="21"/>
              </w:rPr>
              <w:t>40</w:t>
            </w:r>
          </w:p>
        </w:tc>
        <w:tc>
          <w:tcPr>
            <w:tcW w:w="1139" w:type="dxa"/>
            <w:vAlign w:val="center"/>
          </w:tcPr>
          <w:p>
            <w:pPr>
              <w:spacing w:line="240" w:lineRule="auto"/>
              <w:jc w:val="center"/>
              <w:rPr>
                <w:rFonts w:hint="eastAsia" w:ascii="宋体" w:hAnsi="宋体" w:eastAsia="宋体" w:cs="宋体"/>
                <w:b w:val="0"/>
                <w:bCs/>
                <w:color w:val="auto"/>
                <w:sz w:val="21"/>
                <w:szCs w:val="21"/>
              </w:rPr>
            </w:pPr>
            <w:r>
              <w:rPr>
                <w:rStyle w:val="202"/>
                <w:rFonts w:hint="eastAsia" w:ascii="宋体" w:hAnsi="宋体" w:eastAsia="宋体" w:cs="宋体"/>
                <w:b w:val="0"/>
                <w:bCs/>
                <w:color w:val="auto"/>
                <w:sz w:val="21"/>
                <w:szCs w:val="21"/>
              </w:rPr>
              <w:t>净水剂</w:t>
            </w:r>
          </w:p>
        </w:tc>
        <w:tc>
          <w:tcPr>
            <w:tcW w:w="6237" w:type="dxa"/>
            <w:vAlign w:val="center"/>
          </w:tcPr>
          <w:p>
            <w:pPr>
              <w:spacing w:line="240" w:lineRule="auto"/>
              <w:jc w:val="left"/>
              <w:rPr>
                <w:rFonts w:hint="eastAsia" w:ascii="宋体" w:hAnsi="宋体" w:eastAsia="宋体" w:cs="宋体"/>
                <w:b w:val="0"/>
                <w:bCs/>
                <w:color w:val="auto"/>
                <w:sz w:val="21"/>
                <w:szCs w:val="21"/>
              </w:rPr>
            </w:pPr>
            <w:r>
              <w:rPr>
                <w:rStyle w:val="202"/>
                <w:rFonts w:hint="eastAsia" w:ascii="宋体" w:hAnsi="宋体" w:eastAsia="宋体" w:cs="宋体"/>
                <w:b w:val="0"/>
                <w:bCs/>
                <w:color w:val="auto"/>
                <w:kern w:val="0"/>
                <w:sz w:val="21"/>
                <w:szCs w:val="21"/>
              </w:rPr>
              <w:t>十二水合硫酸铝钾，又称：明矾、白矾、钾矾、钾铝矾、钾明矾，是含有结晶水的硫酸钾和硫酸铝的复盐。无色立方晶体，外表常呈八面体，或与立方体、菱形十二面体形成聚形，有时以{111}面附于容器壁上而形似六方板状，属于α型明矾类复盐，有玻璃光泽。密度1.757g/cm3，熔点92.5℃。92.5℃时失去9个分子结晶水，200℃时失去12个分子结晶水，溶于水，不溶于乙醇。明矾性味酸涩，寒。明矾还可用于制备铝盐、发酵粉、油漆、鞣料、澄清剂、媒染剂、造纸、防水剂等，还可用于食品添加剂。在我们的生活中常用于净水，和做食用膨胀剂，像炸麻圆、油条里都可能含有。</w:t>
            </w:r>
          </w:p>
        </w:tc>
        <w:tc>
          <w:tcPr>
            <w:tcW w:w="709" w:type="dxa"/>
            <w:vAlign w:val="center"/>
          </w:tcPr>
          <w:p>
            <w:pPr>
              <w:widowControl/>
              <w:jc w:val="center"/>
              <w:textAlignment w:val="center"/>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公斤</w:t>
            </w:r>
          </w:p>
        </w:tc>
        <w:tc>
          <w:tcPr>
            <w:tcW w:w="844" w:type="dxa"/>
            <w:shd w:val="clear" w:color="auto" w:fill="auto"/>
            <w:vAlign w:val="center"/>
          </w:tcPr>
          <w:p>
            <w:pPr>
              <w:widowControl/>
              <w:jc w:val="center"/>
              <w:textAlignment w:val="center"/>
              <w:rPr>
                <w:rFonts w:hint="eastAsia" w:ascii="宋体" w:hAnsi="宋体" w:eastAsia="宋体" w:cs="宋体"/>
                <w:b w:val="0"/>
                <w:bCs/>
                <w:color w:val="auto"/>
                <w:sz w:val="21"/>
                <w:szCs w:val="21"/>
              </w:rPr>
            </w:pPr>
            <w:r>
              <w:rPr>
                <w:rFonts w:hint="eastAsia" w:ascii="宋体" w:hAnsi="宋体" w:eastAsia="宋体" w:cs="宋体"/>
                <w:b w:val="0"/>
                <w:bCs/>
                <w:color w:val="auto"/>
                <w:kern w:val="0"/>
                <w:sz w:val="21"/>
                <w:szCs w:val="21"/>
                <w:lang w:bidi="ar"/>
              </w:rPr>
              <w:t>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9" w:type="dxa"/>
            <w:vAlign w:val="center"/>
          </w:tcPr>
          <w:p>
            <w:pPr>
              <w:spacing w:line="240" w:lineRule="auto"/>
              <w:jc w:val="center"/>
              <w:rPr>
                <w:rStyle w:val="202"/>
                <w:rFonts w:hint="eastAsia" w:ascii="宋体" w:hAnsi="宋体" w:eastAsia="宋体" w:cs="宋体"/>
                <w:b w:val="0"/>
                <w:bCs/>
                <w:color w:val="auto"/>
                <w:sz w:val="21"/>
                <w:szCs w:val="21"/>
              </w:rPr>
            </w:pPr>
            <w:r>
              <w:rPr>
                <w:rStyle w:val="202"/>
                <w:rFonts w:hint="eastAsia" w:ascii="宋体" w:hAnsi="宋体" w:eastAsia="宋体" w:cs="宋体"/>
                <w:b w:val="0"/>
                <w:bCs/>
                <w:color w:val="auto"/>
                <w:sz w:val="21"/>
                <w:szCs w:val="21"/>
              </w:rPr>
              <w:t>41</w:t>
            </w:r>
          </w:p>
        </w:tc>
        <w:tc>
          <w:tcPr>
            <w:tcW w:w="1139" w:type="dxa"/>
            <w:vAlign w:val="center"/>
          </w:tcPr>
          <w:p>
            <w:pPr>
              <w:spacing w:line="240" w:lineRule="auto"/>
              <w:jc w:val="center"/>
              <w:rPr>
                <w:rFonts w:hint="eastAsia" w:ascii="宋体" w:hAnsi="宋体" w:eastAsia="宋体" w:cs="宋体"/>
                <w:b w:val="0"/>
                <w:bCs/>
                <w:color w:val="auto"/>
                <w:sz w:val="21"/>
                <w:szCs w:val="21"/>
              </w:rPr>
            </w:pPr>
            <w:r>
              <w:rPr>
                <w:rStyle w:val="202"/>
                <w:rFonts w:hint="eastAsia" w:ascii="宋体" w:hAnsi="宋体" w:eastAsia="宋体" w:cs="宋体"/>
                <w:b w:val="0"/>
                <w:bCs/>
                <w:color w:val="auto"/>
                <w:sz w:val="21"/>
                <w:szCs w:val="21"/>
              </w:rPr>
              <w:t>防寒服</w:t>
            </w:r>
          </w:p>
        </w:tc>
        <w:tc>
          <w:tcPr>
            <w:tcW w:w="6237" w:type="dxa"/>
          </w:tcPr>
          <w:p>
            <w:pPr>
              <w:pStyle w:val="209"/>
              <w:numPr>
                <w:ilvl w:val="0"/>
                <w:numId w:val="13"/>
              </w:numPr>
              <w:spacing w:line="240" w:lineRule="auto"/>
              <w:ind w:right="13"/>
              <w:jc w:val="left"/>
              <w:rPr>
                <w:rFonts w:hint="eastAsia" w:ascii="宋体" w:hAnsi="宋体" w:eastAsia="宋体" w:cs="宋体"/>
                <w:b w:val="0"/>
                <w:bCs/>
                <w:color w:val="auto"/>
                <w:sz w:val="21"/>
                <w:szCs w:val="21"/>
                <w:lang w:val="en-US"/>
              </w:rPr>
            </w:pPr>
            <w:r>
              <w:rPr>
                <w:rFonts w:hint="eastAsia" w:ascii="宋体" w:hAnsi="宋体" w:eastAsia="宋体" w:cs="宋体"/>
                <w:b w:val="0"/>
                <w:bCs/>
                <w:color w:val="auto"/>
                <w:sz w:val="21"/>
                <w:szCs w:val="21"/>
                <w:lang w:val="en-US"/>
              </w:rPr>
              <w:t>面料成份:100聚酯纤维;</w:t>
            </w:r>
          </w:p>
          <w:p>
            <w:pPr>
              <w:pStyle w:val="209"/>
              <w:numPr>
                <w:ilvl w:val="0"/>
                <w:numId w:val="13"/>
              </w:numPr>
              <w:spacing w:line="240" w:lineRule="auto"/>
              <w:ind w:right="13"/>
              <w:jc w:val="left"/>
              <w:rPr>
                <w:rFonts w:hint="eastAsia" w:ascii="宋体" w:hAnsi="宋体" w:eastAsia="宋体" w:cs="宋体"/>
                <w:b w:val="0"/>
                <w:bCs/>
                <w:color w:val="auto"/>
                <w:sz w:val="21"/>
                <w:szCs w:val="21"/>
                <w:lang w:val="en-US"/>
              </w:rPr>
            </w:pPr>
            <w:r>
              <w:rPr>
                <w:rFonts w:hint="eastAsia" w:ascii="宋体" w:hAnsi="宋体" w:eastAsia="宋体" w:cs="宋体"/>
                <w:b w:val="0"/>
                <w:bCs/>
                <w:color w:val="auto"/>
                <w:sz w:val="21"/>
                <w:szCs w:val="21"/>
                <w:lang w:val="en-US"/>
              </w:rPr>
              <w:t>棉衣颜色:藏青色或黑色。以样品为准</w:t>
            </w:r>
          </w:p>
          <w:p>
            <w:pPr>
              <w:pStyle w:val="209"/>
              <w:numPr>
                <w:ilvl w:val="0"/>
                <w:numId w:val="13"/>
              </w:numPr>
              <w:spacing w:line="240" w:lineRule="auto"/>
              <w:ind w:right="13"/>
              <w:jc w:val="left"/>
              <w:rPr>
                <w:rFonts w:hint="eastAsia" w:ascii="宋体" w:hAnsi="宋体" w:eastAsia="宋体" w:cs="宋体"/>
                <w:b w:val="0"/>
                <w:bCs/>
                <w:color w:val="auto"/>
                <w:sz w:val="21"/>
                <w:szCs w:val="21"/>
                <w:lang w:val="en-US"/>
              </w:rPr>
            </w:pPr>
            <w:r>
              <w:rPr>
                <w:rFonts w:hint="eastAsia" w:ascii="宋体" w:hAnsi="宋体" w:eastAsia="宋体" w:cs="宋体"/>
                <w:b w:val="0"/>
                <w:bCs/>
                <w:color w:val="auto"/>
                <w:sz w:val="21"/>
                <w:szCs w:val="21"/>
                <w:lang w:val="en-US"/>
              </w:rPr>
              <w:t>内胆</w:t>
            </w:r>
          </w:p>
          <w:p>
            <w:pPr>
              <w:pStyle w:val="209"/>
              <w:numPr>
                <w:ilvl w:val="0"/>
                <w:numId w:val="13"/>
              </w:numPr>
              <w:spacing w:line="240" w:lineRule="auto"/>
              <w:ind w:right="13"/>
              <w:jc w:val="left"/>
              <w:rPr>
                <w:rFonts w:hint="eastAsia" w:ascii="宋体" w:hAnsi="宋体" w:eastAsia="宋体" w:cs="宋体"/>
                <w:b w:val="0"/>
                <w:bCs/>
                <w:color w:val="auto"/>
                <w:sz w:val="21"/>
                <w:szCs w:val="21"/>
                <w:lang w:val="en-US"/>
              </w:rPr>
            </w:pPr>
            <w:r>
              <w:rPr>
                <w:rFonts w:hint="eastAsia" w:ascii="宋体" w:hAnsi="宋体" w:eastAsia="宋体" w:cs="宋体"/>
                <w:b w:val="0"/>
                <w:bCs/>
                <w:color w:val="auto"/>
                <w:sz w:val="21"/>
                <w:szCs w:val="21"/>
                <w:lang w:val="en-US"/>
              </w:rPr>
              <w:t>填充物防丝棉成份100%聚酯纤维;</w:t>
            </w:r>
          </w:p>
          <w:p>
            <w:pPr>
              <w:pStyle w:val="209"/>
              <w:numPr>
                <w:ilvl w:val="0"/>
                <w:numId w:val="13"/>
              </w:numPr>
              <w:spacing w:line="240" w:lineRule="auto"/>
              <w:ind w:right="13"/>
              <w:jc w:val="left"/>
              <w:rPr>
                <w:rFonts w:hint="eastAsia" w:ascii="宋体" w:hAnsi="宋体" w:eastAsia="宋体" w:cs="宋体"/>
                <w:b w:val="0"/>
                <w:bCs/>
                <w:color w:val="auto"/>
                <w:sz w:val="21"/>
                <w:szCs w:val="21"/>
                <w:lang w:val="en-US"/>
              </w:rPr>
            </w:pPr>
            <w:r>
              <w:rPr>
                <w:rFonts w:hint="eastAsia" w:ascii="宋体" w:hAnsi="宋体" w:eastAsia="宋体" w:cs="宋体"/>
                <w:b w:val="0"/>
                <w:bCs/>
                <w:color w:val="auto"/>
                <w:sz w:val="21"/>
                <w:szCs w:val="21"/>
                <w:lang w:val="en-US"/>
              </w:rPr>
              <w:t>里料成份:100%聚酯纤维;</w:t>
            </w:r>
          </w:p>
          <w:p>
            <w:pPr>
              <w:pStyle w:val="209"/>
              <w:numPr>
                <w:ilvl w:val="0"/>
                <w:numId w:val="13"/>
              </w:numPr>
              <w:spacing w:line="240" w:lineRule="auto"/>
              <w:ind w:right="13"/>
              <w:jc w:val="left"/>
              <w:rPr>
                <w:rFonts w:hint="eastAsia" w:ascii="宋体" w:hAnsi="宋体" w:eastAsia="宋体" w:cs="宋体"/>
                <w:b w:val="0"/>
                <w:bCs/>
                <w:color w:val="auto"/>
                <w:sz w:val="21"/>
                <w:szCs w:val="21"/>
                <w:lang w:val="en-US"/>
              </w:rPr>
            </w:pPr>
            <w:r>
              <w:rPr>
                <w:rFonts w:hint="eastAsia" w:ascii="宋体" w:hAnsi="宋体" w:eastAsia="宋体" w:cs="宋体"/>
                <w:b w:val="0"/>
                <w:bCs/>
                <w:color w:val="auto"/>
                <w:sz w:val="21"/>
                <w:szCs w:val="21"/>
                <w:lang w:val="en-US"/>
              </w:rPr>
              <w:t>耐摩攥色牢</w:t>
            </w:r>
            <w:r>
              <w:rPr>
                <w:rFonts w:hint="eastAsia" w:ascii="宋体" w:hAnsi="宋体" w:eastAsia="宋体" w:cs="宋体"/>
                <w:b w:val="0"/>
                <w:bCs/>
                <w:color w:val="auto"/>
                <w:sz w:val="21"/>
                <w:szCs w:val="21"/>
              </w:rPr>
              <w:t>度:干摩4-5级,湿摩3级。</w:t>
            </w:r>
          </w:p>
          <w:p>
            <w:pPr>
              <w:pStyle w:val="209"/>
              <w:numPr>
                <w:ilvl w:val="0"/>
                <w:numId w:val="13"/>
              </w:numPr>
              <w:spacing w:line="240" w:lineRule="auto"/>
              <w:ind w:right="13"/>
              <w:jc w:val="left"/>
              <w:rPr>
                <w:rFonts w:hint="eastAsia" w:ascii="宋体" w:hAnsi="宋体" w:eastAsia="宋体" w:cs="宋体"/>
                <w:b w:val="0"/>
                <w:bCs/>
                <w:color w:val="auto"/>
                <w:sz w:val="21"/>
                <w:szCs w:val="21"/>
                <w:lang w:val="en-US"/>
              </w:rPr>
            </w:pPr>
            <w:r>
              <w:rPr>
                <w:rFonts w:hint="eastAsia" w:ascii="宋体" w:hAnsi="宋体" w:eastAsia="宋体" w:cs="宋体"/>
                <w:b w:val="0"/>
                <w:bCs/>
                <w:color w:val="auto"/>
                <w:sz w:val="21"/>
                <w:szCs w:val="21"/>
              </w:rPr>
              <w:t>耐皂洗色牢度:4-5级</w:t>
            </w:r>
          </w:p>
        </w:tc>
        <w:tc>
          <w:tcPr>
            <w:tcW w:w="709" w:type="dxa"/>
            <w:vAlign w:val="center"/>
          </w:tcPr>
          <w:p>
            <w:pPr>
              <w:widowControl/>
              <w:jc w:val="center"/>
              <w:textAlignment w:val="center"/>
              <w:rPr>
                <w:rFonts w:hint="eastAsia" w:ascii="宋体" w:hAnsi="宋体" w:eastAsia="宋体" w:cs="宋体"/>
                <w:b w:val="0"/>
                <w:bCs/>
                <w:color w:val="auto"/>
                <w:sz w:val="21"/>
                <w:szCs w:val="21"/>
              </w:rPr>
            </w:pPr>
            <w:r>
              <w:rPr>
                <w:rFonts w:hint="eastAsia" w:ascii="宋体" w:hAnsi="宋体" w:eastAsia="宋体" w:cs="宋体"/>
                <w:b w:val="0"/>
                <w:bCs/>
                <w:color w:val="auto"/>
                <w:kern w:val="0"/>
                <w:sz w:val="21"/>
                <w:szCs w:val="21"/>
                <w:lang w:bidi="ar"/>
              </w:rPr>
              <w:t>件</w:t>
            </w:r>
          </w:p>
        </w:tc>
        <w:tc>
          <w:tcPr>
            <w:tcW w:w="844" w:type="dxa"/>
            <w:shd w:val="clear" w:color="auto" w:fill="auto"/>
            <w:vAlign w:val="center"/>
          </w:tcPr>
          <w:p>
            <w:pPr>
              <w:widowControl/>
              <w:jc w:val="center"/>
              <w:textAlignment w:val="center"/>
              <w:rPr>
                <w:rFonts w:hint="eastAsia" w:ascii="宋体" w:hAnsi="宋体" w:eastAsia="宋体" w:cs="宋体"/>
                <w:b w:val="0"/>
                <w:bCs/>
                <w:color w:val="auto"/>
                <w:sz w:val="21"/>
                <w:szCs w:val="21"/>
              </w:rPr>
            </w:pPr>
            <w:r>
              <w:rPr>
                <w:rFonts w:hint="eastAsia" w:ascii="宋体" w:hAnsi="宋体" w:eastAsia="宋体" w:cs="宋体"/>
                <w:b w:val="0"/>
                <w:bCs/>
                <w:color w:val="auto"/>
                <w:kern w:val="0"/>
                <w:sz w:val="21"/>
                <w:szCs w:val="21"/>
                <w:lang w:bidi="ar"/>
              </w:rPr>
              <w:t>700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28" w:type="dxa"/>
            <w:gridSpan w:val="5"/>
            <w:vAlign w:val="center"/>
          </w:tcPr>
          <w:p>
            <w:pPr>
              <w:adjustRightInd/>
              <w:spacing w:line="400" w:lineRule="exact"/>
              <w:jc w:val="center"/>
              <w:textAlignment w:val="auto"/>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商务条款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28" w:type="dxa"/>
            <w:gridSpan w:val="5"/>
            <w:vAlign w:val="center"/>
          </w:tcPr>
          <w:p>
            <w:pPr>
              <w:adjustRightInd/>
              <w:spacing w:line="276" w:lineRule="auto"/>
              <w:textAlignment w:val="auto"/>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一、合同签订期：自中标通知书发出之日起25日内</w:t>
            </w:r>
          </w:p>
          <w:p>
            <w:pPr>
              <w:adjustRightInd/>
              <w:spacing w:line="276" w:lineRule="auto"/>
              <w:textAlignment w:val="auto"/>
              <w:rPr>
                <w:rFonts w:hint="default" w:ascii="宋体" w:hAnsi="宋体" w:eastAsia="宋体" w:cs="宋体"/>
                <w:b w:val="0"/>
                <w:bCs/>
                <w:color w:val="auto"/>
                <w:sz w:val="21"/>
                <w:szCs w:val="21"/>
                <w:lang w:val="en-US" w:eastAsia="zh-CN"/>
              </w:rPr>
            </w:pPr>
            <w:r>
              <w:rPr>
                <w:rFonts w:hint="eastAsia" w:ascii="宋体" w:hAnsi="宋体" w:eastAsia="宋体" w:cs="宋体"/>
                <w:b w:val="0"/>
                <w:bCs/>
                <w:color w:val="auto"/>
                <w:sz w:val="21"/>
                <w:szCs w:val="21"/>
              </w:rPr>
              <w:t>★二、供货期：</w:t>
            </w:r>
            <w:r>
              <w:rPr>
                <w:rFonts w:hint="eastAsia" w:ascii="宋体" w:hAnsi="宋体" w:cs="宋体"/>
                <w:b w:val="0"/>
                <w:bCs/>
                <w:color w:val="auto"/>
                <w:sz w:val="21"/>
                <w:szCs w:val="21"/>
                <w:lang w:val="en-US" w:eastAsia="zh-CN"/>
              </w:rPr>
              <w:t>15个工作日</w:t>
            </w:r>
          </w:p>
          <w:p>
            <w:pPr>
              <w:adjustRightInd/>
              <w:spacing w:line="276" w:lineRule="auto"/>
              <w:textAlignment w:val="auto"/>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三、交货地点：采购人指定地点</w:t>
            </w:r>
          </w:p>
          <w:p>
            <w:pPr>
              <w:adjustRightInd/>
              <w:spacing w:line="276" w:lineRule="auto"/>
              <w:textAlignment w:val="auto"/>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四、交货方式：现场交货</w:t>
            </w:r>
          </w:p>
          <w:p>
            <w:pPr>
              <w:adjustRightInd/>
              <w:spacing w:line="276" w:lineRule="auto"/>
              <w:textAlignment w:val="auto"/>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五、售后服务要求：</w:t>
            </w:r>
          </w:p>
          <w:p>
            <w:pPr>
              <w:adjustRightInd/>
              <w:spacing w:line="276" w:lineRule="auto"/>
              <w:textAlignment w:val="auto"/>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★1、质量保证期1年（自交货并验收合格之日起计）</w:t>
            </w:r>
          </w:p>
          <w:p>
            <w:pPr>
              <w:jc w:val="left"/>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2、中标供应商和制造商在质量保证期内应当为采购人提供以下技术支持和服务：</w:t>
            </w:r>
          </w:p>
          <w:p>
            <w:pPr>
              <w:jc w:val="left"/>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2.1 电话咨询：</w:t>
            </w:r>
          </w:p>
          <w:p>
            <w:pPr>
              <w:jc w:val="left"/>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中标供应商应当为采购人提供 7×24 小时技术援助电话，解答采购人在使用中遇到的问题，及时为采购人提出解决问题的建议。</w:t>
            </w:r>
          </w:p>
          <w:p>
            <w:pPr>
              <w:jc w:val="left"/>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2.2 现场响应：</w:t>
            </w:r>
          </w:p>
          <w:p>
            <w:pPr>
              <w:jc w:val="left"/>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采购人遇到使用或技术问题，电话咨询不能解决的，中标供应商应在 1 小时内到达现场进行处理，到达现场后 1 小时内排除故障，恢复正常使用。</w:t>
            </w:r>
          </w:p>
          <w:p>
            <w:pPr>
              <w:jc w:val="left"/>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3、质保期外服务要求</w:t>
            </w:r>
          </w:p>
          <w:p>
            <w:pPr>
              <w:jc w:val="left"/>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3.1 质量保证期过后，中标供应商应同样提供 7×24 小时免费电话咨询服务，并应承诺提供产品上门维护。</w:t>
            </w:r>
          </w:p>
          <w:p>
            <w:pPr>
              <w:adjustRightInd/>
              <w:spacing w:line="276" w:lineRule="auto"/>
              <w:textAlignment w:val="auto"/>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3.2 质量保证期过后，采购人需要继续由原中标供应商提供售后服务的，该中标供应商应以优惠价格提供售后服务。</w:t>
            </w:r>
          </w:p>
          <w:p>
            <w:pPr>
              <w:adjustRightInd/>
              <w:spacing w:line="276" w:lineRule="auto"/>
              <w:textAlignment w:val="auto"/>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六、其他要求：</w:t>
            </w:r>
          </w:p>
          <w:p>
            <w:pPr>
              <w:adjustRightInd/>
              <w:spacing w:line="276" w:lineRule="auto"/>
              <w:textAlignment w:val="auto"/>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★1、投标报价为采购人指定地点的现场交货价，包括：</w:t>
            </w:r>
          </w:p>
          <w:p>
            <w:pPr>
              <w:adjustRightInd/>
              <w:spacing w:line="276" w:lineRule="auto"/>
              <w:textAlignment w:val="auto"/>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（1）货物及标准附件、备品备件、专用工具的价格；</w:t>
            </w:r>
          </w:p>
          <w:p>
            <w:pPr>
              <w:adjustRightInd/>
              <w:spacing w:line="276" w:lineRule="auto"/>
              <w:textAlignment w:val="auto"/>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（2）运输、装卸、调试、培训、技术支持、售后服务等费用；</w:t>
            </w:r>
          </w:p>
          <w:p>
            <w:pPr>
              <w:adjustRightInd/>
              <w:spacing w:line="276" w:lineRule="auto"/>
              <w:textAlignment w:val="auto"/>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（3）必要的保险费用和各项税费；</w:t>
            </w:r>
          </w:p>
          <w:p>
            <w:pPr>
              <w:adjustRightInd/>
              <w:spacing w:line="276" w:lineRule="auto"/>
              <w:textAlignment w:val="auto"/>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（4）安装等费用。</w:t>
            </w:r>
          </w:p>
          <w:p>
            <w:pPr>
              <w:spacing w:line="360" w:lineRule="auto"/>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★2、付款方式：本项目无预付款，供应商交货完毕并验收合格后，一次性支付合同款。</w:t>
            </w:r>
          </w:p>
          <w:p>
            <w:pPr>
              <w:spacing w:line="360" w:lineRule="auto"/>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3.投标人提供全部设备必须是具备厂家合法销售渠道的全新合格正品，所有设备必须完全满足采购文件所述性能配置要求，若产品在运输过程中损坏或擦伤须无偿调换相同产品。</w:t>
            </w:r>
          </w:p>
          <w:p>
            <w:pPr>
              <w:adjustRightInd/>
              <w:spacing w:line="400" w:lineRule="exact"/>
              <w:textAlignment w:val="auto"/>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4.保修期内非用户原因引起的质量事故中标供应商应负全部责任。</w:t>
            </w:r>
          </w:p>
        </w:tc>
      </w:tr>
    </w:tbl>
    <w:p>
      <w:pPr>
        <w:rPr>
          <w:rFonts w:ascii="宋体" w:hAnsi="宋体"/>
          <w:b w:val="0"/>
          <w:bCs/>
          <w:color w:val="auto"/>
        </w:rPr>
      </w:pPr>
    </w:p>
    <w:p>
      <w:pPr>
        <w:pStyle w:val="2"/>
        <w:rPr>
          <w:rFonts w:eastAsiaTheme="minorEastAsia"/>
          <w:b w:val="0"/>
          <w:bCs/>
          <w:color w:val="auto"/>
        </w:rPr>
      </w:pPr>
    </w:p>
    <w:p>
      <w:pPr>
        <w:pStyle w:val="26"/>
        <w:rPr>
          <w:b w:val="0"/>
          <w:bCs/>
          <w:color w:val="auto"/>
        </w:rPr>
      </w:pPr>
    </w:p>
    <w:p/>
    <w:p/>
    <w:p>
      <w:pPr>
        <w:pStyle w:val="2"/>
        <w:rPr>
          <w:rFonts w:eastAsiaTheme="minorEastAsia"/>
        </w:rPr>
        <w:sectPr>
          <w:footerReference r:id="rId9" w:type="default"/>
          <w:pgSz w:w="11906" w:h="16838"/>
          <w:pgMar w:top="1134" w:right="1134" w:bottom="851" w:left="1134" w:header="720" w:footer="720" w:gutter="0"/>
          <w:cols w:space="720" w:num="1"/>
          <w:docGrid w:type="lines" w:linePitch="331" w:charSpace="0"/>
        </w:sectPr>
      </w:pPr>
    </w:p>
    <w:p>
      <w:pPr>
        <w:widowControl/>
        <w:adjustRightInd/>
        <w:spacing w:line="240" w:lineRule="auto"/>
        <w:ind w:firstLine="4200" w:firstLineChars="1400"/>
        <w:jc w:val="left"/>
        <w:textAlignment w:val="auto"/>
        <w:rPr>
          <w:rFonts w:ascii="宋体" w:hAnsi="宋体"/>
          <w:sz w:val="30"/>
          <w:szCs w:val="30"/>
        </w:rPr>
      </w:pPr>
      <w:bookmarkStart w:id="32" w:name="_Toc57749777"/>
      <w:bookmarkStart w:id="33" w:name="_Toc139966432"/>
      <w:bookmarkStart w:id="34" w:name="_Toc213325922"/>
      <w:bookmarkStart w:id="35" w:name="_Toc139967216"/>
      <w:bookmarkStart w:id="36" w:name="_Toc213206173"/>
      <w:r>
        <w:rPr>
          <w:rFonts w:hint="eastAsia" w:ascii="宋体" w:hAnsi="宋体"/>
          <w:sz w:val="30"/>
          <w:szCs w:val="30"/>
        </w:rPr>
        <w:t>第三章评标办法</w:t>
      </w:r>
      <w:bookmarkEnd w:id="32"/>
    </w:p>
    <w:bookmarkEnd w:id="33"/>
    <w:bookmarkEnd w:id="34"/>
    <w:bookmarkEnd w:id="35"/>
    <w:bookmarkEnd w:id="36"/>
    <w:p>
      <w:pPr>
        <w:pStyle w:val="19"/>
        <w:spacing w:line="360" w:lineRule="auto"/>
        <w:ind w:firstLine="602" w:firstLineChars="200"/>
        <w:jc w:val="center"/>
        <w:rPr>
          <w:rFonts w:hAnsi="宋体"/>
          <w:b/>
          <w:sz w:val="30"/>
          <w:szCs w:val="30"/>
        </w:rPr>
      </w:pPr>
      <w:bookmarkStart w:id="37" w:name="_Toc213206174"/>
      <w:bookmarkStart w:id="38" w:name="_Toc213325923"/>
      <w:r>
        <w:rPr>
          <w:rFonts w:hint="eastAsia" w:hAnsi="宋体"/>
          <w:b/>
          <w:sz w:val="30"/>
          <w:szCs w:val="30"/>
        </w:rPr>
        <w:t>综合评分法</w:t>
      </w:r>
    </w:p>
    <w:p>
      <w:pPr>
        <w:widowControl/>
        <w:adjustRightInd/>
        <w:spacing w:line="440" w:lineRule="exact"/>
        <w:ind w:firstLine="422" w:firstLineChars="200"/>
        <w:jc w:val="left"/>
        <w:rPr>
          <w:rFonts w:ascii="宋体" w:hAnsi="宋体"/>
          <w:b/>
          <w:kern w:val="0"/>
          <w:szCs w:val="21"/>
        </w:rPr>
      </w:pPr>
      <w:r>
        <w:rPr>
          <w:rFonts w:ascii="宋体" w:hAnsi="宋体"/>
          <w:b/>
          <w:kern w:val="0"/>
          <w:szCs w:val="21"/>
        </w:rPr>
        <w:t>一、投标文件评审(初步评审)：</w:t>
      </w:r>
    </w:p>
    <w:p>
      <w:pPr>
        <w:widowControl/>
        <w:tabs>
          <w:tab w:val="left" w:pos="1140"/>
        </w:tabs>
        <w:adjustRightInd/>
        <w:spacing w:line="440" w:lineRule="exact"/>
        <w:ind w:firstLine="420" w:firstLineChars="200"/>
        <w:rPr>
          <w:rFonts w:ascii="宋体" w:hAnsi="宋体"/>
          <w:szCs w:val="21"/>
        </w:rPr>
      </w:pPr>
      <w:r>
        <w:rPr>
          <w:rFonts w:ascii="宋体" w:hAnsi="宋体"/>
          <w:szCs w:val="21"/>
        </w:rPr>
        <w:t>1、评标委员会依据法律法规和招标文件的规定，对投标文件中的资格证明进行资格性审查，以确定投标供应商是否具备投标资格。</w:t>
      </w:r>
    </w:p>
    <w:p>
      <w:pPr>
        <w:widowControl/>
        <w:tabs>
          <w:tab w:val="left" w:pos="1140"/>
        </w:tabs>
        <w:adjustRightInd/>
        <w:spacing w:line="440" w:lineRule="exact"/>
        <w:ind w:firstLine="420" w:firstLineChars="200"/>
        <w:rPr>
          <w:rFonts w:ascii="宋体" w:hAnsi="宋体"/>
          <w:szCs w:val="21"/>
        </w:rPr>
      </w:pPr>
      <w:r>
        <w:rPr>
          <w:rFonts w:ascii="宋体" w:hAnsi="宋体"/>
          <w:szCs w:val="21"/>
        </w:rPr>
        <w:t>2、评标委员会依据招标文件的规定，从投标文件的有效性、完整性和对招标文件的响应程度进行符合性审查，以确定是否对招标文件的实质性要求作出响应。</w:t>
      </w:r>
    </w:p>
    <w:p>
      <w:pPr>
        <w:widowControl/>
        <w:tabs>
          <w:tab w:val="left" w:pos="1140"/>
        </w:tabs>
        <w:adjustRightInd/>
        <w:spacing w:line="440" w:lineRule="exact"/>
        <w:ind w:firstLine="420" w:firstLineChars="200"/>
        <w:rPr>
          <w:rFonts w:ascii="宋体" w:hAnsi="宋体"/>
          <w:b/>
          <w:szCs w:val="21"/>
        </w:rPr>
      </w:pPr>
      <w:r>
        <w:rPr>
          <w:rFonts w:ascii="宋体" w:hAnsi="宋体"/>
          <w:szCs w:val="21"/>
        </w:rPr>
        <w:t>3、资格性及符合性审查内容：</w:t>
      </w:r>
      <w:r>
        <w:rPr>
          <w:rFonts w:ascii="宋体" w:hAnsi="宋体"/>
          <w:b/>
          <w:szCs w:val="21"/>
        </w:rPr>
        <w:t>如有一项不符合，初步评审不通过，不再进入下一轮详评。</w:t>
      </w:r>
    </w:p>
    <w:p>
      <w:pPr>
        <w:widowControl/>
        <w:adjustRightInd/>
        <w:spacing w:line="440" w:lineRule="exact"/>
        <w:ind w:firstLine="422" w:firstLineChars="200"/>
        <w:rPr>
          <w:rFonts w:ascii="宋体" w:hAnsi="宋体"/>
          <w:b/>
          <w:bCs/>
          <w:szCs w:val="21"/>
        </w:rPr>
      </w:pPr>
      <w:r>
        <w:rPr>
          <w:rFonts w:ascii="宋体" w:hAnsi="宋体"/>
          <w:b/>
          <w:szCs w:val="21"/>
        </w:rPr>
        <w:t>二、</w:t>
      </w:r>
      <w:r>
        <w:rPr>
          <w:rFonts w:ascii="宋体" w:hAnsi="宋体"/>
          <w:b/>
          <w:bCs/>
          <w:szCs w:val="21"/>
        </w:rPr>
        <w:t>投标文件评审（详细评审）</w:t>
      </w:r>
      <w:bookmarkStart w:id="81" w:name="_GoBack"/>
      <w:bookmarkEnd w:id="81"/>
    </w:p>
    <w:p>
      <w:pPr>
        <w:widowControl/>
        <w:adjustRightInd/>
        <w:spacing w:line="440" w:lineRule="exact"/>
        <w:ind w:firstLine="420" w:firstLineChars="200"/>
        <w:rPr>
          <w:rFonts w:ascii="宋体" w:hAnsi="宋体"/>
          <w:b/>
          <w:bCs/>
          <w:szCs w:val="21"/>
        </w:rPr>
      </w:pPr>
      <w:r>
        <w:rPr>
          <w:rFonts w:ascii="宋体" w:hAnsi="宋体"/>
          <w:szCs w:val="21"/>
        </w:rPr>
        <w:t>（一）评标依据：评标委员会以招标文件和投标文件为评标依据，对投标文件的投标报价、技术、项目实施方案、企业实力和信誉、业绩、售后服务等方面内容按百分制打分。</w:t>
      </w:r>
    </w:p>
    <w:p>
      <w:pPr>
        <w:widowControl/>
        <w:adjustRightInd/>
        <w:spacing w:line="440" w:lineRule="exact"/>
        <w:ind w:firstLine="420" w:firstLineChars="200"/>
        <w:rPr>
          <w:rFonts w:ascii="宋体" w:hAnsi="宋体"/>
          <w:b/>
          <w:bCs/>
          <w:szCs w:val="21"/>
        </w:rPr>
      </w:pPr>
      <w:r>
        <w:rPr>
          <w:rFonts w:ascii="宋体" w:hAnsi="宋体"/>
          <w:szCs w:val="21"/>
        </w:rPr>
        <w:t>（二）评标方式：以封闭方式进行评标。</w:t>
      </w:r>
    </w:p>
    <w:p>
      <w:pPr>
        <w:widowControl/>
        <w:adjustRightInd/>
        <w:spacing w:line="440" w:lineRule="exact"/>
        <w:ind w:firstLine="420" w:firstLineChars="200"/>
        <w:rPr>
          <w:rFonts w:ascii="宋体" w:hAnsi="宋体"/>
          <w:szCs w:val="21"/>
        </w:rPr>
      </w:pPr>
      <w:r>
        <w:rPr>
          <w:rFonts w:ascii="宋体" w:hAnsi="宋体"/>
          <w:szCs w:val="21"/>
        </w:rPr>
        <w:t>（三）采购人和采购代理机构、评标委员会成员要严格遵守政府采购相关法律制度，依法履行各自职责，公正、客观、审慎地组织和参与评审工作。</w:t>
      </w:r>
    </w:p>
    <w:p>
      <w:pPr>
        <w:widowControl/>
        <w:adjustRightInd/>
        <w:spacing w:line="440" w:lineRule="exact"/>
        <w:ind w:firstLine="420" w:firstLineChars="200"/>
        <w:rPr>
          <w:rFonts w:ascii="宋体" w:hAnsi="宋体"/>
          <w:bCs/>
          <w:szCs w:val="21"/>
        </w:rPr>
      </w:pPr>
      <w:r>
        <w:rPr>
          <w:rFonts w:ascii="宋体" w:hAnsi="宋体"/>
          <w:bCs/>
          <w:szCs w:val="21"/>
        </w:rPr>
        <w:t>（四）评标方法：</w:t>
      </w:r>
      <w:r>
        <w:rPr>
          <w:rFonts w:ascii="宋体" w:hAnsi="宋体"/>
          <w:szCs w:val="21"/>
        </w:rPr>
        <w:t>对进入详评的，采用百分制综合评分法。</w:t>
      </w:r>
    </w:p>
    <w:p>
      <w:pPr>
        <w:widowControl/>
        <w:adjustRightInd/>
        <w:spacing w:line="440" w:lineRule="exact"/>
        <w:ind w:firstLine="420" w:firstLineChars="200"/>
        <w:rPr>
          <w:rFonts w:ascii="宋体" w:hAnsi="宋体"/>
          <w:szCs w:val="21"/>
        </w:rPr>
      </w:pPr>
      <w:r>
        <w:rPr>
          <w:rFonts w:ascii="宋体" w:hAnsi="宋体"/>
          <w:szCs w:val="21"/>
        </w:rPr>
        <w:t>（五）计分办法（</w:t>
      </w:r>
      <w:r>
        <w:rPr>
          <w:rFonts w:ascii="宋体" w:hAnsi="宋体"/>
          <w:bCs/>
          <w:szCs w:val="21"/>
        </w:rPr>
        <w:t>按四舍五入取至小数点后二位</w:t>
      </w:r>
      <w:r>
        <w:rPr>
          <w:rFonts w:ascii="宋体" w:hAnsi="宋体"/>
          <w:szCs w:val="21"/>
        </w:rPr>
        <w:t>）：</w:t>
      </w:r>
    </w:p>
    <w:p>
      <w:pPr>
        <w:widowControl/>
        <w:adjustRightInd/>
        <w:spacing w:line="440" w:lineRule="exact"/>
        <w:ind w:firstLine="420"/>
        <w:rPr>
          <w:rFonts w:ascii="宋体" w:hAnsi="宋体"/>
          <w:b/>
          <w:bCs/>
          <w:szCs w:val="21"/>
        </w:rPr>
      </w:pPr>
      <w:r>
        <w:rPr>
          <w:rFonts w:ascii="宋体" w:hAnsi="宋体"/>
          <w:b/>
          <w:szCs w:val="21"/>
        </w:rPr>
        <w:t>1、</w:t>
      </w:r>
      <w:r>
        <w:rPr>
          <w:rFonts w:ascii="宋体" w:hAnsi="宋体"/>
          <w:b/>
          <w:bCs/>
          <w:szCs w:val="21"/>
        </w:rPr>
        <w:t>价格分………………………………………………………………………</w:t>
      </w:r>
      <w:r>
        <w:rPr>
          <w:rFonts w:ascii="宋体" w:hAnsi="宋体"/>
          <w:b/>
          <w:szCs w:val="21"/>
        </w:rPr>
        <w:t>满分</w:t>
      </w:r>
      <w:r>
        <w:rPr>
          <w:rFonts w:ascii="宋体" w:hAnsi="宋体"/>
          <w:b/>
          <w:bCs/>
          <w:szCs w:val="21"/>
        </w:rPr>
        <w:t>30分</w:t>
      </w:r>
    </w:p>
    <w:p>
      <w:pPr>
        <w:widowControl/>
        <w:adjustRightInd/>
        <w:spacing w:line="440" w:lineRule="exact"/>
        <w:ind w:firstLine="420" w:firstLineChars="200"/>
        <w:rPr>
          <w:rFonts w:ascii="宋体" w:hAnsi="宋体"/>
          <w:bCs/>
          <w:szCs w:val="21"/>
        </w:rPr>
      </w:pPr>
      <w:r>
        <w:rPr>
          <w:rFonts w:ascii="宋体" w:hAnsi="宋体"/>
          <w:bCs/>
          <w:szCs w:val="21"/>
        </w:rPr>
        <w:t>（1）</w:t>
      </w:r>
      <w:r>
        <w:rPr>
          <w:rFonts w:ascii="宋体" w:hAnsi="宋体"/>
          <w:szCs w:val="21"/>
        </w:rPr>
        <w:t>按照《政府采购促进中小企业发展暂行办法》（财库[2011]181号）规定：</w:t>
      </w:r>
    </w:p>
    <w:p>
      <w:pPr>
        <w:widowControl/>
        <w:adjustRightInd/>
        <w:spacing w:line="440" w:lineRule="exact"/>
        <w:ind w:firstLine="420" w:firstLineChars="200"/>
        <w:rPr>
          <w:rFonts w:ascii="宋体" w:hAnsi="宋体"/>
          <w:szCs w:val="21"/>
        </w:rPr>
      </w:pPr>
      <w:r>
        <w:rPr>
          <w:rFonts w:ascii="宋体" w:hAnsi="宋体"/>
          <w:szCs w:val="21"/>
        </w:rPr>
        <w:t>被认定为小型和微型企业且所投标产品被认定为小型和微型企业产品的</w:t>
      </w:r>
      <w:r>
        <w:rPr>
          <w:rFonts w:ascii="宋体" w:hAnsi="宋体"/>
          <w:kern w:val="0"/>
          <w:szCs w:val="21"/>
        </w:rPr>
        <w:t>（以投标文件提供的符合规定的有关证明材料为准），</w:t>
      </w:r>
      <w:r>
        <w:rPr>
          <w:rFonts w:ascii="宋体" w:hAnsi="宋体"/>
          <w:szCs w:val="21"/>
        </w:rPr>
        <w:t>对小型和微型企业产品的价格给予</w:t>
      </w:r>
      <w:r>
        <w:rPr>
          <w:rFonts w:ascii="宋体" w:hAnsi="宋体"/>
          <w:szCs w:val="21"/>
          <w:u w:val="single"/>
        </w:rPr>
        <w:t>10%</w:t>
      </w:r>
      <w:r>
        <w:rPr>
          <w:rFonts w:ascii="宋体" w:hAnsi="宋体"/>
          <w:szCs w:val="21"/>
        </w:rPr>
        <w:t>的扣除，扣除后的价格为评标报价，即评标报价=投标报价×（1-10%）；除上述情况外，评标报价=投标报价。</w:t>
      </w:r>
    </w:p>
    <w:p>
      <w:pPr>
        <w:widowControl/>
        <w:adjustRightInd/>
        <w:spacing w:line="440" w:lineRule="exact"/>
        <w:ind w:firstLine="420" w:firstLineChars="200"/>
        <w:rPr>
          <w:rFonts w:ascii="宋体" w:hAnsi="宋体"/>
          <w:szCs w:val="21"/>
        </w:rPr>
      </w:pPr>
      <w:r>
        <w:rPr>
          <w:rFonts w:ascii="宋体" w:hAnsi="宋体"/>
          <w:szCs w:val="21"/>
        </w:rPr>
        <w:t xml:space="preserve">(2) </w:t>
      </w:r>
      <w:r>
        <w:rPr>
          <w:rFonts w:ascii="宋体" w:hAnsi="宋体"/>
          <w:kern w:val="0"/>
          <w:szCs w:val="21"/>
        </w:rPr>
        <w:t>根据《关于政府采购支持监狱企业发展有关问题的通知》（财库[2014]68号）和</w:t>
      </w:r>
      <w:r>
        <w:rPr>
          <w:rFonts w:ascii="宋体" w:hAnsi="宋体"/>
          <w:szCs w:val="21"/>
        </w:rPr>
        <w:t>《关于促进残疾人就业政府采购政策的通知》（财库[2017]141号）</w:t>
      </w:r>
      <w:r>
        <w:rPr>
          <w:rFonts w:ascii="宋体" w:hAnsi="宋体"/>
          <w:kern w:val="0"/>
          <w:szCs w:val="21"/>
        </w:rPr>
        <w:t>，监狱企业和符合条件的残疾人企业视同小型、微型企业，享受小型、微型企业评审中价格扣除的政府采购政策。</w:t>
      </w:r>
    </w:p>
    <w:p>
      <w:pPr>
        <w:widowControl/>
        <w:adjustRightInd/>
        <w:spacing w:line="440" w:lineRule="exact"/>
        <w:ind w:firstLine="420" w:firstLineChars="200"/>
        <w:rPr>
          <w:rFonts w:ascii="宋体" w:hAnsi="宋体"/>
          <w:szCs w:val="21"/>
        </w:rPr>
      </w:pPr>
      <w:r>
        <w:rPr>
          <w:rFonts w:ascii="宋体" w:hAnsi="宋体"/>
          <w:szCs w:val="21"/>
        </w:rPr>
        <w:t>（3）价格分应当采用低价优先法计算，即满足招标文件要求且投标价格最低的投标报价为评标基准价，其价格分为满分。进入详评的价格分统一按照下列公式计算：</w:t>
      </w:r>
    </w:p>
    <w:p>
      <w:pPr>
        <w:widowControl/>
        <w:tabs>
          <w:tab w:val="left" w:pos="567"/>
        </w:tabs>
        <w:adjustRightInd/>
        <w:spacing w:line="440" w:lineRule="exact"/>
        <w:ind w:firstLine="420" w:firstLineChars="200"/>
        <w:rPr>
          <w:rFonts w:ascii="宋体" w:hAnsi="宋体"/>
          <w:szCs w:val="21"/>
        </w:rPr>
      </w:pPr>
      <w:r>
        <w:rPr>
          <w:rFonts w:ascii="宋体" w:hAnsi="宋体"/>
          <w:szCs w:val="21"/>
        </w:rPr>
        <w:t>以进入评标的最低的评标报价为30分。</w:t>
      </w:r>
    </w:p>
    <w:p>
      <w:pPr>
        <w:widowControl/>
        <w:adjustRightInd/>
        <w:spacing w:line="440" w:lineRule="exact"/>
        <w:ind w:firstLine="315" w:firstLineChars="150"/>
        <w:rPr>
          <w:rFonts w:ascii="宋体" w:hAnsi="宋体"/>
          <w:bCs/>
          <w:szCs w:val="21"/>
        </w:rPr>
      </w:pPr>
      <w:r>
        <w:rPr>
          <w:rFonts w:ascii="宋体" w:hAnsi="宋体"/>
        </w:rPr>
        <mc:AlternateContent>
          <mc:Choice Requires="wps">
            <w:drawing>
              <wp:anchor distT="0" distB="0" distL="114300" distR="114300" simplePos="0" relativeHeight="251660288" behindDoc="0" locked="0" layoutInCell="1" allowOverlap="1">
                <wp:simplePos x="0" y="0"/>
                <wp:positionH relativeFrom="column">
                  <wp:posOffset>1866900</wp:posOffset>
                </wp:positionH>
                <wp:positionV relativeFrom="paragraph">
                  <wp:posOffset>234950</wp:posOffset>
                </wp:positionV>
                <wp:extent cx="2200275" cy="0"/>
                <wp:effectExtent l="0" t="0" r="0" b="0"/>
                <wp:wrapNone/>
                <wp:docPr id="3" name="直线 5"/>
                <wp:cNvGraphicFramePr/>
                <a:graphic xmlns:a="http://schemas.openxmlformats.org/drawingml/2006/main">
                  <a:graphicData uri="http://schemas.microsoft.com/office/word/2010/wordprocessingShape">
                    <wps:wsp>
                      <wps:cNvCnPr/>
                      <wps:spPr>
                        <a:xfrm>
                          <a:off x="0" y="0"/>
                          <a:ext cx="2200275" cy="0"/>
                        </a:xfrm>
                        <a:prstGeom prst="line">
                          <a:avLst/>
                        </a:prstGeom>
                        <a:ln w="9525" cap="flat" cmpd="sng">
                          <a:solidFill>
                            <a:srgbClr val="000000"/>
                          </a:solidFill>
                          <a:prstDash val="solid"/>
                          <a:miter/>
                          <a:headEnd type="none" w="med" len="med"/>
                          <a:tailEnd type="none" w="med" len="med"/>
                        </a:ln>
                        <a:effectLst/>
                      </wps:spPr>
                      <wps:bodyPr/>
                    </wps:wsp>
                  </a:graphicData>
                </a:graphic>
              </wp:anchor>
            </w:drawing>
          </mc:Choice>
          <mc:Fallback>
            <w:pict>
              <v:line id="直线 5" o:spid="_x0000_s1026" o:spt="20" style="position:absolute;left:0pt;margin-left:147pt;margin-top:18.5pt;height:0pt;width:173.25pt;z-index:251660288;mso-width-relative:page;mso-height-relative:page;" filled="f" stroked="t" coordsize="21600,21600" o:gfxdata="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3O82&#10;fdkAAAAJAQAADwAAAAAAAAABACAAAAAiAAAAZHJzL2Rvd25yZXYueG1sUEsBAhQAFAAAAAgAh07i&#10;QLCeeR3oAQAA5wMAAA4AAAAAAAAAAQAgAAAAKAEAAGRycy9lMm9Eb2MueG1sUEsFBgAAAAAGAAYA&#10;WQEAAIIFAAAAAA==&#10;">
                <v:fill on="f" focussize="0,0"/>
                <v:stroke color="#000000" joinstyle="miter"/>
                <v:imagedata o:title=""/>
                <o:lock v:ext="edit" aspectratio="f"/>
              </v:line>
            </w:pict>
          </mc:Fallback>
        </mc:AlternateContent>
      </w:r>
      <w:r>
        <w:rPr>
          <w:rFonts w:ascii="宋体" w:hAnsi="宋体"/>
          <w:bCs/>
          <w:szCs w:val="21"/>
        </w:rPr>
        <w:t>（4）价格分 =                    投标人最低评标报价        　  *30分</w:t>
      </w:r>
    </w:p>
    <w:p>
      <w:pPr>
        <w:widowControl/>
        <w:adjustRightInd/>
        <w:spacing w:line="440" w:lineRule="exact"/>
        <w:ind w:firstLine="315" w:firstLineChars="150"/>
        <w:rPr>
          <w:rFonts w:ascii="宋体" w:hAnsi="宋体"/>
          <w:szCs w:val="21"/>
        </w:rPr>
      </w:pPr>
      <w:r>
        <w:rPr>
          <w:rFonts w:hint="eastAsia" w:ascii="宋体" w:hAnsi="宋体"/>
          <w:szCs w:val="21"/>
        </w:rPr>
        <w:t xml:space="preserve">                                       </w:t>
      </w:r>
      <w:r>
        <w:rPr>
          <w:rFonts w:ascii="宋体" w:hAnsi="宋体"/>
          <w:szCs w:val="21"/>
        </w:rPr>
        <w:t>评标报价</w:t>
      </w:r>
    </w:p>
    <w:p>
      <w:pPr>
        <w:widowControl/>
        <w:adjustRightInd/>
        <w:spacing w:line="440" w:lineRule="exact"/>
        <w:ind w:firstLine="315" w:firstLineChars="150"/>
        <w:rPr>
          <w:rFonts w:ascii="宋体" w:hAnsi="宋体"/>
          <w:szCs w:val="21"/>
        </w:rPr>
      </w:pPr>
      <w:r>
        <w:rPr>
          <w:rFonts w:ascii="宋体" w:hAnsi="宋体"/>
          <w:szCs w:val="21"/>
        </w:rPr>
        <w:t>注：投标报价有效报价范围：投标报价应低于或等于采购预算价。投标报价不能超过项目采购预算价，超过采购预算价作无效标处理；评标委员会认为报价明显低于其企业成本的，需提供有效证明文件证明其报价合理，如不能提供的，作无效标书处理。</w:t>
      </w:r>
    </w:p>
    <w:p>
      <w:pPr>
        <w:widowControl/>
        <w:adjustRightInd/>
        <w:spacing w:line="440" w:lineRule="exact"/>
        <w:rPr>
          <w:rFonts w:ascii="宋体" w:hAnsi="宋体"/>
          <w:b/>
          <w:bCs/>
          <w:szCs w:val="21"/>
        </w:rPr>
      </w:pPr>
      <w:r>
        <w:rPr>
          <w:rFonts w:hint="eastAsia" w:ascii="宋体" w:hAnsi="宋体"/>
          <w:b/>
          <w:bCs/>
          <w:szCs w:val="21"/>
        </w:rPr>
        <w:t>2、技术性能分…………………………………………………………………………………………………24分</w:t>
      </w:r>
    </w:p>
    <w:p>
      <w:pPr>
        <w:widowControl/>
        <w:tabs>
          <w:tab w:val="left" w:pos="4214"/>
        </w:tabs>
        <w:adjustRightInd/>
        <w:spacing w:line="440" w:lineRule="exact"/>
        <w:rPr>
          <w:rFonts w:ascii="?????" w:hAnsi="Courier New" w:eastAsiaTheme="minorEastAsia"/>
          <w:b w:val="0"/>
          <w:bCs/>
          <w:color w:val="auto"/>
          <w:spacing w:val="-8"/>
          <w:kern w:val="0"/>
          <w:sz w:val="21"/>
          <w:szCs w:val="21"/>
        </w:rPr>
      </w:pPr>
      <w:r>
        <w:rPr>
          <w:rFonts w:hint="eastAsia" w:ascii="?????" w:hAnsi="Courier New" w:eastAsiaTheme="minorEastAsia"/>
          <w:b w:val="0"/>
          <w:bCs/>
          <w:color w:val="auto"/>
          <w:spacing w:val="-8"/>
          <w:kern w:val="0"/>
          <w:sz w:val="21"/>
          <w:szCs w:val="21"/>
        </w:rPr>
        <w:t>2.</w:t>
      </w:r>
      <w:r>
        <w:rPr>
          <w:rFonts w:ascii="?????" w:hAnsi="Courier New" w:eastAsiaTheme="minorEastAsia"/>
          <w:b w:val="0"/>
          <w:bCs/>
          <w:color w:val="auto"/>
          <w:spacing w:val="-8"/>
          <w:kern w:val="0"/>
          <w:sz w:val="21"/>
          <w:szCs w:val="21"/>
        </w:rPr>
        <w:t>1</w:t>
      </w:r>
      <w:r>
        <w:rPr>
          <w:rFonts w:hint="eastAsia" w:ascii="?????" w:hAnsi="Courier New" w:eastAsiaTheme="minorEastAsia"/>
          <w:b w:val="0"/>
          <w:bCs/>
          <w:color w:val="auto"/>
          <w:spacing w:val="-8"/>
          <w:kern w:val="0"/>
          <w:sz w:val="21"/>
          <w:szCs w:val="21"/>
        </w:rPr>
        <w:t>、为</w:t>
      </w:r>
      <w:r>
        <w:rPr>
          <w:rFonts w:ascii="?????" w:hAnsi="Courier New" w:eastAsiaTheme="minorEastAsia"/>
          <w:b w:val="0"/>
          <w:bCs/>
          <w:color w:val="auto"/>
          <w:spacing w:val="-8"/>
          <w:kern w:val="0"/>
          <w:sz w:val="21"/>
          <w:szCs w:val="21"/>
        </w:rPr>
        <w:t>保证为民救灾物资质量</w:t>
      </w:r>
      <w:r>
        <w:rPr>
          <w:rFonts w:hint="eastAsia" w:ascii="?????" w:hAnsi="Courier New" w:eastAsiaTheme="minorEastAsia"/>
          <w:b w:val="0"/>
          <w:bCs/>
          <w:color w:val="auto"/>
          <w:spacing w:val="-8"/>
          <w:kern w:val="0"/>
          <w:sz w:val="21"/>
          <w:szCs w:val="21"/>
        </w:rPr>
        <w:t>符合</w:t>
      </w:r>
      <w:r>
        <w:rPr>
          <w:rFonts w:ascii="?????" w:hAnsi="Courier New" w:eastAsiaTheme="minorEastAsia"/>
          <w:b w:val="0"/>
          <w:bCs/>
          <w:color w:val="auto"/>
          <w:spacing w:val="-8"/>
          <w:kern w:val="0"/>
          <w:sz w:val="21"/>
          <w:szCs w:val="21"/>
        </w:rPr>
        <w:t>国家</w:t>
      </w:r>
      <w:r>
        <w:rPr>
          <w:rFonts w:hint="eastAsia" w:ascii="?????" w:hAnsi="Courier New" w:eastAsiaTheme="minorEastAsia"/>
          <w:b w:val="0"/>
          <w:bCs/>
          <w:color w:val="auto"/>
          <w:spacing w:val="-8"/>
          <w:kern w:val="0"/>
          <w:sz w:val="21"/>
          <w:szCs w:val="21"/>
        </w:rPr>
        <w:t>帐篷</w:t>
      </w:r>
      <w:r>
        <w:rPr>
          <w:rFonts w:ascii="?????" w:hAnsi="Courier New" w:eastAsiaTheme="minorEastAsia"/>
          <w:b w:val="0"/>
          <w:bCs/>
          <w:color w:val="auto"/>
          <w:spacing w:val="-8"/>
          <w:kern w:val="0"/>
          <w:sz w:val="21"/>
          <w:szCs w:val="21"/>
        </w:rPr>
        <w:t>执行标准，</w:t>
      </w:r>
      <w:r>
        <w:rPr>
          <w:rFonts w:hint="eastAsia" w:ascii="?????" w:hAnsi="Courier New" w:eastAsiaTheme="minorEastAsia"/>
          <w:b w:val="0"/>
          <w:bCs/>
          <w:color w:val="auto"/>
          <w:spacing w:val="-8"/>
          <w:kern w:val="0"/>
          <w:sz w:val="21"/>
          <w:szCs w:val="21"/>
        </w:rPr>
        <w:t>所投▲帐篷，提供具有检测资质的第三方检测机构出具的检测报告得3 分，不提供或带</w:t>
      </w:r>
      <w:r>
        <w:rPr>
          <w:rFonts w:hint="eastAsia" w:asciiTheme="minorEastAsia" w:hAnsiTheme="minorEastAsia" w:eastAsiaTheme="minorEastAsia"/>
          <w:b w:val="0"/>
          <w:bCs/>
          <w:color w:val="auto"/>
          <w:spacing w:val="-8"/>
          <w:kern w:val="0"/>
          <w:sz w:val="21"/>
          <w:szCs w:val="21"/>
        </w:rPr>
        <w:t>★</w:t>
      </w:r>
      <w:r>
        <w:rPr>
          <w:rFonts w:hint="eastAsia" w:ascii="?????" w:hAnsi="Courier New" w:eastAsiaTheme="minorEastAsia"/>
          <w:b w:val="0"/>
          <w:bCs/>
          <w:color w:val="auto"/>
          <w:spacing w:val="-8"/>
          <w:kern w:val="0"/>
          <w:sz w:val="21"/>
          <w:szCs w:val="21"/>
        </w:rPr>
        <w:t>号项漏项或不符不得分；</w:t>
      </w:r>
    </w:p>
    <w:p>
      <w:pPr>
        <w:widowControl/>
        <w:tabs>
          <w:tab w:val="left" w:pos="4214"/>
        </w:tabs>
        <w:adjustRightInd/>
        <w:spacing w:line="440" w:lineRule="exact"/>
        <w:rPr>
          <w:rFonts w:ascii="?????" w:hAnsi="Courier New" w:eastAsiaTheme="minorEastAsia"/>
          <w:b w:val="0"/>
          <w:bCs/>
          <w:color w:val="auto"/>
          <w:spacing w:val="-8"/>
          <w:kern w:val="0"/>
          <w:sz w:val="21"/>
          <w:szCs w:val="21"/>
        </w:rPr>
      </w:pPr>
      <w:r>
        <w:rPr>
          <w:rFonts w:hint="eastAsia" w:ascii="?????" w:hAnsi="Courier New" w:eastAsiaTheme="minorEastAsia"/>
          <w:b w:val="0"/>
          <w:bCs/>
          <w:color w:val="auto"/>
          <w:spacing w:val="-8"/>
          <w:kern w:val="0"/>
          <w:sz w:val="21"/>
          <w:szCs w:val="21"/>
        </w:rPr>
        <w:t>2.</w:t>
      </w:r>
      <w:r>
        <w:rPr>
          <w:rFonts w:ascii="?????" w:hAnsi="Courier New" w:eastAsiaTheme="minorEastAsia"/>
          <w:b w:val="0"/>
          <w:bCs/>
          <w:color w:val="auto"/>
          <w:spacing w:val="-8"/>
          <w:kern w:val="0"/>
          <w:sz w:val="21"/>
          <w:szCs w:val="21"/>
        </w:rPr>
        <w:t>2</w:t>
      </w:r>
      <w:r>
        <w:rPr>
          <w:rFonts w:hint="eastAsia" w:ascii="?????" w:hAnsi="Courier New" w:eastAsiaTheme="minorEastAsia"/>
          <w:b w:val="0"/>
          <w:bCs/>
          <w:color w:val="auto"/>
          <w:spacing w:val="-8"/>
          <w:kern w:val="0"/>
          <w:sz w:val="21"/>
          <w:szCs w:val="21"/>
        </w:rPr>
        <w:t>、为</w:t>
      </w:r>
      <w:r>
        <w:rPr>
          <w:rFonts w:ascii="?????" w:hAnsi="Courier New" w:eastAsiaTheme="minorEastAsia"/>
          <w:b w:val="0"/>
          <w:bCs/>
          <w:color w:val="auto"/>
          <w:spacing w:val="-8"/>
          <w:kern w:val="0"/>
          <w:sz w:val="21"/>
          <w:szCs w:val="21"/>
        </w:rPr>
        <w:t>保证为民救灾物资质量</w:t>
      </w:r>
      <w:r>
        <w:rPr>
          <w:rFonts w:hint="eastAsia" w:ascii="?????" w:hAnsi="Courier New" w:eastAsiaTheme="minorEastAsia"/>
          <w:b w:val="0"/>
          <w:bCs/>
          <w:color w:val="auto"/>
          <w:spacing w:val="-8"/>
          <w:kern w:val="0"/>
          <w:sz w:val="21"/>
          <w:szCs w:val="21"/>
        </w:rPr>
        <w:t>符合</w:t>
      </w:r>
      <w:r>
        <w:rPr>
          <w:rFonts w:ascii="?????" w:hAnsi="Courier New" w:eastAsiaTheme="minorEastAsia"/>
          <w:b w:val="0"/>
          <w:bCs/>
          <w:color w:val="auto"/>
          <w:spacing w:val="-8"/>
          <w:kern w:val="0"/>
          <w:sz w:val="21"/>
          <w:szCs w:val="21"/>
        </w:rPr>
        <w:t>国家</w:t>
      </w:r>
      <w:r>
        <w:rPr>
          <w:rFonts w:hint="eastAsia" w:ascii="?????" w:hAnsi="Courier New" w:eastAsiaTheme="minorEastAsia"/>
          <w:b w:val="0"/>
          <w:bCs/>
          <w:color w:val="auto"/>
          <w:spacing w:val="-8"/>
          <w:kern w:val="0"/>
          <w:sz w:val="21"/>
          <w:szCs w:val="21"/>
        </w:rPr>
        <w:t>棉胎、被套</w:t>
      </w:r>
      <w:r>
        <w:rPr>
          <w:rFonts w:ascii="?????" w:hAnsi="Courier New" w:eastAsiaTheme="minorEastAsia"/>
          <w:b w:val="0"/>
          <w:bCs/>
          <w:color w:val="auto"/>
          <w:spacing w:val="-8"/>
          <w:kern w:val="0"/>
          <w:sz w:val="21"/>
          <w:szCs w:val="21"/>
        </w:rPr>
        <w:t>执行标准</w:t>
      </w:r>
      <w:r>
        <w:rPr>
          <w:rFonts w:hint="eastAsia" w:ascii="?????" w:hAnsi="Courier New" w:eastAsiaTheme="minorEastAsia"/>
          <w:b w:val="0"/>
          <w:bCs/>
          <w:color w:val="auto"/>
          <w:spacing w:val="-8"/>
          <w:kern w:val="0"/>
          <w:sz w:val="21"/>
          <w:szCs w:val="21"/>
        </w:rPr>
        <w:t>，所投▲棉被，提供具有检测资质的第三方检测机构出具的检测报告得3 分，不提供或带</w:t>
      </w:r>
      <w:r>
        <w:rPr>
          <w:rFonts w:hint="eastAsia" w:asciiTheme="minorEastAsia" w:hAnsiTheme="minorEastAsia" w:eastAsiaTheme="minorEastAsia"/>
          <w:b w:val="0"/>
          <w:bCs/>
          <w:color w:val="auto"/>
          <w:spacing w:val="-8"/>
          <w:kern w:val="0"/>
          <w:sz w:val="21"/>
          <w:szCs w:val="21"/>
        </w:rPr>
        <w:t>★</w:t>
      </w:r>
      <w:r>
        <w:rPr>
          <w:rFonts w:hint="eastAsia" w:ascii="?????" w:hAnsi="Courier New" w:eastAsiaTheme="minorEastAsia"/>
          <w:b w:val="0"/>
          <w:bCs/>
          <w:color w:val="auto"/>
          <w:spacing w:val="-8"/>
          <w:kern w:val="0"/>
          <w:sz w:val="21"/>
          <w:szCs w:val="21"/>
        </w:rPr>
        <w:t>号项漏项或不符不得分；</w:t>
      </w:r>
    </w:p>
    <w:p>
      <w:pPr>
        <w:widowControl/>
        <w:tabs>
          <w:tab w:val="left" w:pos="4214"/>
        </w:tabs>
        <w:adjustRightInd/>
        <w:spacing w:line="440" w:lineRule="exact"/>
        <w:rPr>
          <w:rFonts w:ascii="?????" w:hAnsi="Courier New" w:eastAsiaTheme="minorEastAsia"/>
          <w:b w:val="0"/>
          <w:bCs/>
          <w:color w:val="auto"/>
          <w:spacing w:val="-8"/>
          <w:kern w:val="0"/>
          <w:sz w:val="21"/>
          <w:szCs w:val="21"/>
        </w:rPr>
      </w:pPr>
      <w:r>
        <w:rPr>
          <w:rFonts w:hint="eastAsia" w:ascii="?????" w:hAnsi="Courier New" w:eastAsiaTheme="minorEastAsia"/>
          <w:b w:val="0"/>
          <w:bCs/>
          <w:color w:val="auto"/>
          <w:spacing w:val="-8"/>
          <w:kern w:val="0"/>
          <w:sz w:val="21"/>
          <w:szCs w:val="21"/>
        </w:rPr>
        <w:t>2.</w:t>
      </w:r>
      <w:r>
        <w:rPr>
          <w:rFonts w:ascii="?????" w:hAnsi="Courier New" w:eastAsiaTheme="minorEastAsia"/>
          <w:b w:val="0"/>
          <w:bCs/>
          <w:color w:val="auto"/>
          <w:spacing w:val="-8"/>
          <w:kern w:val="0"/>
          <w:sz w:val="21"/>
          <w:szCs w:val="21"/>
        </w:rPr>
        <w:t>3</w:t>
      </w:r>
      <w:r>
        <w:rPr>
          <w:rFonts w:hint="eastAsia" w:ascii="?????" w:hAnsi="Courier New" w:eastAsiaTheme="minorEastAsia"/>
          <w:b w:val="0"/>
          <w:bCs/>
          <w:color w:val="auto"/>
          <w:spacing w:val="-8"/>
          <w:kern w:val="0"/>
          <w:sz w:val="21"/>
          <w:szCs w:val="21"/>
        </w:rPr>
        <w:t>、为</w:t>
      </w:r>
      <w:r>
        <w:rPr>
          <w:rFonts w:ascii="?????" w:hAnsi="Courier New" w:eastAsiaTheme="minorEastAsia"/>
          <w:b w:val="0"/>
          <w:bCs/>
          <w:color w:val="auto"/>
          <w:spacing w:val="-8"/>
          <w:kern w:val="0"/>
          <w:sz w:val="21"/>
          <w:szCs w:val="21"/>
        </w:rPr>
        <w:t>保证为民救灾物资质量</w:t>
      </w:r>
      <w:r>
        <w:rPr>
          <w:rFonts w:hint="eastAsia" w:ascii="?????" w:hAnsi="Courier New" w:eastAsiaTheme="minorEastAsia"/>
          <w:b w:val="0"/>
          <w:bCs/>
          <w:color w:val="auto"/>
          <w:spacing w:val="-8"/>
          <w:kern w:val="0"/>
          <w:sz w:val="21"/>
          <w:szCs w:val="21"/>
        </w:rPr>
        <w:t>符合</w:t>
      </w:r>
      <w:r>
        <w:rPr>
          <w:rFonts w:ascii="?????" w:hAnsi="Courier New" w:eastAsiaTheme="minorEastAsia"/>
          <w:b w:val="0"/>
          <w:bCs/>
          <w:color w:val="auto"/>
          <w:spacing w:val="-8"/>
          <w:kern w:val="0"/>
          <w:sz w:val="21"/>
          <w:szCs w:val="21"/>
        </w:rPr>
        <w:t>国家</w:t>
      </w:r>
      <w:r>
        <w:rPr>
          <w:rFonts w:hint="eastAsia" w:ascii="?????" w:hAnsi="Courier New" w:eastAsiaTheme="minorEastAsia"/>
          <w:b w:val="0"/>
          <w:bCs/>
          <w:color w:val="auto"/>
          <w:spacing w:val="-8"/>
          <w:kern w:val="0"/>
          <w:sz w:val="21"/>
          <w:szCs w:val="21"/>
        </w:rPr>
        <w:t>雨衣</w:t>
      </w:r>
      <w:r>
        <w:rPr>
          <w:rFonts w:ascii="?????" w:hAnsi="Courier New" w:eastAsiaTheme="minorEastAsia"/>
          <w:b w:val="0"/>
          <w:bCs/>
          <w:color w:val="auto"/>
          <w:spacing w:val="-8"/>
          <w:kern w:val="0"/>
          <w:sz w:val="21"/>
          <w:szCs w:val="21"/>
        </w:rPr>
        <w:t>执行标准</w:t>
      </w:r>
      <w:r>
        <w:rPr>
          <w:rFonts w:hint="eastAsia" w:ascii="?????" w:hAnsi="Courier New" w:eastAsiaTheme="minorEastAsia"/>
          <w:b w:val="0"/>
          <w:bCs/>
          <w:color w:val="auto"/>
          <w:spacing w:val="-8"/>
          <w:kern w:val="0"/>
          <w:sz w:val="21"/>
          <w:szCs w:val="21"/>
        </w:rPr>
        <w:t>，所投▲雨衣，提供具有检测资质的第三方检测机构出具的检测报告得3 分，不提供或带</w:t>
      </w:r>
      <w:r>
        <w:rPr>
          <w:rFonts w:hint="eastAsia" w:asciiTheme="minorEastAsia" w:hAnsiTheme="minorEastAsia" w:eastAsiaTheme="minorEastAsia"/>
          <w:b w:val="0"/>
          <w:bCs/>
          <w:color w:val="auto"/>
          <w:spacing w:val="-8"/>
          <w:kern w:val="0"/>
          <w:sz w:val="21"/>
          <w:szCs w:val="21"/>
        </w:rPr>
        <w:t>★</w:t>
      </w:r>
      <w:r>
        <w:rPr>
          <w:rFonts w:hint="eastAsia" w:ascii="?????" w:hAnsi="Courier New" w:eastAsiaTheme="minorEastAsia"/>
          <w:b w:val="0"/>
          <w:bCs/>
          <w:color w:val="auto"/>
          <w:spacing w:val="-8"/>
          <w:kern w:val="0"/>
          <w:sz w:val="21"/>
          <w:szCs w:val="21"/>
        </w:rPr>
        <w:t>号项漏项或不符不得分；</w:t>
      </w:r>
    </w:p>
    <w:p>
      <w:pPr>
        <w:widowControl/>
        <w:tabs>
          <w:tab w:val="left" w:pos="4214"/>
        </w:tabs>
        <w:adjustRightInd/>
        <w:spacing w:line="440" w:lineRule="exact"/>
        <w:rPr>
          <w:rFonts w:ascii="?????" w:hAnsi="Courier New" w:eastAsiaTheme="minorEastAsia"/>
          <w:b w:val="0"/>
          <w:bCs/>
          <w:color w:val="auto"/>
          <w:spacing w:val="-8"/>
          <w:kern w:val="0"/>
          <w:sz w:val="21"/>
          <w:szCs w:val="21"/>
        </w:rPr>
      </w:pPr>
      <w:r>
        <w:rPr>
          <w:rFonts w:hint="eastAsia" w:ascii="?????" w:hAnsi="Courier New" w:eastAsiaTheme="minorEastAsia"/>
          <w:b w:val="0"/>
          <w:bCs/>
          <w:color w:val="auto"/>
          <w:spacing w:val="-8"/>
          <w:kern w:val="0"/>
          <w:sz w:val="21"/>
          <w:szCs w:val="21"/>
        </w:rPr>
        <w:t>2.</w:t>
      </w:r>
      <w:r>
        <w:rPr>
          <w:rFonts w:ascii="?????" w:hAnsi="Courier New" w:eastAsiaTheme="minorEastAsia"/>
          <w:b w:val="0"/>
          <w:bCs/>
          <w:color w:val="auto"/>
          <w:spacing w:val="-8"/>
          <w:kern w:val="0"/>
          <w:sz w:val="21"/>
          <w:szCs w:val="21"/>
        </w:rPr>
        <w:t>4</w:t>
      </w:r>
      <w:r>
        <w:rPr>
          <w:rFonts w:hint="eastAsia" w:ascii="?????" w:hAnsi="Courier New" w:eastAsiaTheme="minorEastAsia"/>
          <w:b w:val="0"/>
          <w:bCs/>
          <w:color w:val="auto"/>
          <w:spacing w:val="-8"/>
          <w:kern w:val="0"/>
          <w:sz w:val="21"/>
          <w:szCs w:val="21"/>
        </w:rPr>
        <w:t>、</w:t>
      </w:r>
      <w:bookmarkStart w:id="39" w:name="_Hlk35503696"/>
      <w:r>
        <w:rPr>
          <w:rFonts w:hint="eastAsia" w:ascii="?????" w:hAnsi="Courier New" w:eastAsiaTheme="minorEastAsia"/>
          <w:b w:val="0"/>
          <w:bCs/>
          <w:color w:val="auto"/>
          <w:spacing w:val="-8"/>
          <w:kern w:val="0"/>
          <w:sz w:val="21"/>
          <w:szCs w:val="21"/>
        </w:rPr>
        <w:t>为</w:t>
      </w:r>
      <w:r>
        <w:rPr>
          <w:rFonts w:ascii="?????" w:hAnsi="Courier New" w:eastAsiaTheme="minorEastAsia"/>
          <w:b w:val="0"/>
          <w:bCs/>
          <w:color w:val="auto"/>
          <w:spacing w:val="-8"/>
          <w:kern w:val="0"/>
          <w:sz w:val="21"/>
          <w:szCs w:val="21"/>
        </w:rPr>
        <w:t>保证为民救灾物资质量</w:t>
      </w:r>
      <w:r>
        <w:rPr>
          <w:rFonts w:hint="eastAsia" w:ascii="?????" w:hAnsi="Courier New" w:eastAsiaTheme="minorEastAsia"/>
          <w:b w:val="0"/>
          <w:bCs/>
          <w:color w:val="auto"/>
          <w:spacing w:val="-8"/>
          <w:kern w:val="0"/>
          <w:sz w:val="21"/>
          <w:szCs w:val="21"/>
        </w:rPr>
        <w:t>符合</w:t>
      </w:r>
      <w:r>
        <w:rPr>
          <w:rFonts w:ascii="?????" w:hAnsi="Courier New" w:eastAsiaTheme="minorEastAsia"/>
          <w:b w:val="0"/>
          <w:bCs/>
          <w:color w:val="auto"/>
          <w:spacing w:val="-8"/>
          <w:kern w:val="0"/>
          <w:sz w:val="21"/>
          <w:szCs w:val="21"/>
        </w:rPr>
        <w:t>国家</w:t>
      </w:r>
      <w:r>
        <w:rPr>
          <w:rFonts w:hint="eastAsia" w:ascii="?????" w:hAnsi="Courier New" w:eastAsiaTheme="minorEastAsia"/>
          <w:b w:val="0"/>
          <w:bCs/>
          <w:color w:val="auto"/>
          <w:spacing w:val="-8"/>
          <w:kern w:val="0"/>
          <w:sz w:val="21"/>
          <w:szCs w:val="21"/>
        </w:rPr>
        <w:t>雨鞋</w:t>
      </w:r>
      <w:r>
        <w:rPr>
          <w:rFonts w:ascii="?????" w:hAnsi="Courier New" w:eastAsiaTheme="minorEastAsia"/>
          <w:b w:val="0"/>
          <w:bCs/>
          <w:color w:val="auto"/>
          <w:spacing w:val="-8"/>
          <w:kern w:val="0"/>
          <w:sz w:val="21"/>
          <w:szCs w:val="21"/>
        </w:rPr>
        <w:t>执行标准</w:t>
      </w:r>
      <w:r>
        <w:rPr>
          <w:rFonts w:hint="eastAsia" w:ascii="?????" w:hAnsi="Courier New" w:eastAsiaTheme="minorEastAsia"/>
          <w:b w:val="0"/>
          <w:bCs/>
          <w:color w:val="auto"/>
          <w:spacing w:val="-8"/>
          <w:kern w:val="0"/>
          <w:sz w:val="21"/>
          <w:szCs w:val="21"/>
        </w:rPr>
        <w:t>，所投</w:t>
      </w:r>
      <w:bookmarkEnd w:id="39"/>
      <w:r>
        <w:rPr>
          <w:rFonts w:hint="eastAsia" w:ascii="?????" w:hAnsi="Courier New" w:eastAsiaTheme="minorEastAsia"/>
          <w:b w:val="0"/>
          <w:bCs/>
          <w:color w:val="auto"/>
          <w:spacing w:val="-8"/>
          <w:kern w:val="0"/>
          <w:sz w:val="21"/>
          <w:szCs w:val="21"/>
        </w:rPr>
        <w:t>▲雨鞋提供具有检测资质的第三方检测机构出具的检测报告得3 分，不提供或带</w:t>
      </w:r>
      <w:r>
        <w:rPr>
          <w:rFonts w:hint="eastAsia" w:asciiTheme="minorEastAsia" w:hAnsiTheme="minorEastAsia" w:eastAsiaTheme="minorEastAsia"/>
          <w:b w:val="0"/>
          <w:bCs/>
          <w:color w:val="auto"/>
          <w:spacing w:val="-8"/>
          <w:kern w:val="0"/>
          <w:sz w:val="21"/>
          <w:szCs w:val="21"/>
        </w:rPr>
        <w:t>★</w:t>
      </w:r>
      <w:r>
        <w:rPr>
          <w:rFonts w:hint="eastAsia" w:ascii="?????" w:hAnsi="Courier New" w:eastAsiaTheme="minorEastAsia"/>
          <w:b w:val="0"/>
          <w:bCs/>
          <w:color w:val="auto"/>
          <w:spacing w:val="-8"/>
          <w:kern w:val="0"/>
          <w:sz w:val="21"/>
          <w:szCs w:val="21"/>
        </w:rPr>
        <w:t>号项漏项或不符不得分；</w:t>
      </w:r>
    </w:p>
    <w:p>
      <w:pPr>
        <w:widowControl/>
        <w:tabs>
          <w:tab w:val="left" w:pos="4214"/>
        </w:tabs>
        <w:adjustRightInd/>
        <w:spacing w:line="440" w:lineRule="exact"/>
        <w:rPr>
          <w:rFonts w:ascii="?????" w:hAnsi="Courier New" w:eastAsiaTheme="minorEastAsia"/>
          <w:b w:val="0"/>
          <w:bCs/>
          <w:color w:val="auto"/>
          <w:spacing w:val="-8"/>
          <w:kern w:val="0"/>
          <w:sz w:val="21"/>
          <w:szCs w:val="21"/>
        </w:rPr>
      </w:pPr>
      <w:r>
        <w:rPr>
          <w:rFonts w:hint="eastAsia" w:ascii="?????" w:hAnsi="Courier New" w:eastAsiaTheme="minorEastAsia"/>
          <w:b w:val="0"/>
          <w:bCs/>
          <w:color w:val="auto"/>
          <w:spacing w:val="-8"/>
          <w:kern w:val="0"/>
          <w:sz w:val="21"/>
          <w:szCs w:val="21"/>
        </w:rPr>
        <w:t>2.5、为</w:t>
      </w:r>
      <w:r>
        <w:rPr>
          <w:rFonts w:ascii="?????" w:hAnsi="Courier New" w:eastAsiaTheme="minorEastAsia"/>
          <w:b w:val="0"/>
          <w:bCs/>
          <w:color w:val="auto"/>
          <w:spacing w:val="-8"/>
          <w:kern w:val="0"/>
          <w:sz w:val="21"/>
          <w:szCs w:val="21"/>
        </w:rPr>
        <w:t>保证为民救灾物资质量</w:t>
      </w:r>
      <w:r>
        <w:rPr>
          <w:rFonts w:hint="eastAsia" w:ascii="?????" w:hAnsi="Courier New" w:eastAsiaTheme="minorEastAsia"/>
          <w:b w:val="0"/>
          <w:bCs/>
          <w:color w:val="auto"/>
          <w:spacing w:val="-8"/>
          <w:kern w:val="0"/>
          <w:sz w:val="21"/>
          <w:szCs w:val="21"/>
        </w:rPr>
        <w:t>符合</w:t>
      </w:r>
      <w:r>
        <w:rPr>
          <w:rFonts w:ascii="?????" w:hAnsi="Courier New" w:eastAsiaTheme="minorEastAsia"/>
          <w:b w:val="0"/>
          <w:bCs/>
          <w:color w:val="auto"/>
          <w:spacing w:val="-8"/>
          <w:kern w:val="0"/>
          <w:sz w:val="21"/>
          <w:szCs w:val="21"/>
        </w:rPr>
        <w:t>国家</w:t>
      </w:r>
      <w:r>
        <w:rPr>
          <w:rFonts w:hint="eastAsia" w:ascii="?????" w:hAnsi="Courier New" w:eastAsiaTheme="minorEastAsia"/>
          <w:b w:val="0"/>
          <w:bCs/>
          <w:color w:val="auto"/>
          <w:spacing w:val="-8"/>
          <w:kern w:val="0"/>
          <w:sz w:val="21"/>
          <w:szCs w:val="21"/>
        </w:rPr>
        <w:t>棉大衣</w:t>
      </w:r>
      <w:r>
        <w:rPr>
          <w:rFonts w:ascii="?????" w:hAnsi="Courier New" w:eastAsiaTheme="minorEastAsia"/>
          <w:b w:val="0"/>
          <w:bCs/>
          <w:color w:val="auto"/>
          <w:spacing w:val="-8"/>
          <w:kern w:val="0"/>
          <w:sz w:val="21"/>
          <w:szCs w:val="21"/>
        </w:rPr>
        <w:t>执行标准</w:t>
      </w:r>
      <w:r>
        <w:rPr>
          <w:rFonts w:hint="eastAsia" w:ascii="?????" w:hAnsi="Courier New" w:eastAsiaTheme="minorEastAsia"/>
          <w:b w:val="0"/>
          <w:bCs/>
          <w:color w:val="auto"/>
          <w:spacing w:val="-8"/>
          <w:kern w:val="0"/>
          <w:sz w:val="21"/>
          <w:szCs w:val="21"/>
        </w:rPr>
        <w:t>，所投▲棉大衣，提供具有检测资质的第三方检测机构出具的检测报告得3 分，不提供或带</w:t>
      </w:r>
      <w:r>
        <w:rPr>
          <w:rFonts w:hint="eastAsia" w:asciiTheme="minorEastAsia" w:hAnsiTheme="minorEastAsia" w:eastAsiaTheme="minorEastAsia"/>
          <w:b w:val="0"/>
          <w:bCs/>
          <w:color w:val="auto"/>
          <w:spacing w:val="-8"/>
          <w:kern w:val="0"/>
          <w:sz w:val="21"/>
          <w:szCs w:val="21"/>
        </w:rPr>
        <w:t>★</w:t>
      </w:r>
      <w:r>
        <w:rPr>
          <w:rFonts w:hint="eastAsia" w:ascii="?????" w:hAnsi="Courier New" w:eastAsiaTheme="minorEastAsia"/>
          <w:b w:val="0"/>
          <w:bCs/>
          <w:color w:val="auto"/>
          <w:spacing w:val="-8"/>
          <w:kern w:val="0"/>
          <w:sz w:val="21"/>
          <w:szCs w:val="21"/>
        </w:rPr>
        <w:t>号项漏项或不符不得分；</w:t>
      </w:r>
    </w:p>
    <w:p>
      <w:pPr>
        <w:widowControl/>
        <w:tabs>
          <w:tab w:val="left" w:pos="4214"/>
        </w:tabs>
        <w:adjustRightInd/>
        <w:spacing w:line="440" w:lineRule="exact"/>
        <w:rPr>
          <w:rFonts w:ascii="?????" w:hAnsi="Courier New" w:eastAsiaTheme="minorEastAsia"/>
          <w:b w:val="0"/>
          <w:bCs/>
          <w:color w:val="auto"/>
          <w:spacing w:val="-8"/>
          <w:kern w:val="0"/>
          <w:sz w:val="21"/>
          <w:szCs w:val="21"/>
        </w:rPr>
      </w:pPr>
      <w:r>
        <w:rPr>
          <w:rFonts w:hint="eastAsia" w:ascii="?????" w:hAnsi="Courier New" w:eastAsiaTheme="minorEastAsia"/>
          <w:b w:val="0"/>
          <w:bCs/>
          <w:color w:val="auto"/>
          <w:spacing w:val="-8"/>
          <w:kern w:val="0"/>
          <w:sz w:val="21"/>
          <w:szCs w:val="21"/>
        </w:rPr>
        <w:t>2.6、为</w:t>
      </w:r>
      <w:r>
        <w:rPr>
          <w:rFonts w:ascii="?????" w:hAnsi="Courier New" w:eastAsiaTheme="minorEastAsia"/>
          <w:b w:val="0"/>
          <w:bCs/>
          <w:color w:val="auto"/>
          <w:spacing w:val="-8"/>
          <w:kern w:val="0"/>
          <w:sz w:val="21"/>
          <w:szCs w:val="21"/>
        </w:rPr>
        <w:t>保证为民救灾物资质量</w:t>
      </w:r>
      <w:r>
        <w:rPr>
          <w:rFonts w:hint="eastAsia" w:ascii="?????" w:hAnsi="Courier New" w:eastAsiaTheme="minorEastAsia"/>
          <w:b w:val="0"/>
          <w:bCs/>
          <w:color w:val="auto"/>
          <w:spacing w:val="-8"/>
          <w:kern w:val="0"/>
          <w:sz w:val="21"/>
          <w:szCs w:val="21"/>
        </w:rPr>
        <w:t>符合</w:t>
      </w:r>
      <w:r>
        <w:rPr>
          <w:rFonts w:ascii="?????" w:hAnsi="Courier New" w:eastAsiaTheme="minorEastAsia"/>
          <w:b w:val="0"/>
          <w:bCs/>
          <w:color w:val="auto"/>
          <w:spacing w:val="-8"/>
          <w:kern w:val="0"/>
          <w:sz w:val="21"/>
          <w:szCs w:val="21"/>
        </w:rPr>
        <w:t>国家</w:t>
      </w:r>
      <w:r>
        <w:rPr>
          <w:rFonts w:hint="eastAsia" w:ascii="?????" w:hAnsi="Courier New" w:eastAsiaTheme="minorEastAsia"/>
          <w:b w:val="0"/>
          <w:bCs/>
          <w:color w:val="auto"/>
          <w:spacing w:val="-8"/>
          <w:kern w:val="0"/>
          <w:sz w:val="21"/>
          <w:szCs w:val="21"/>
        </w:rPr>
        <w:t>毛巾被</w:t>
      </w:r>
      <w:r>
        <w:rPr>
          <w:rFonts w:ascii="?????" w:hAnsi="Courier New" w:eastAsiaTheme="minorEastAsia"/>
          <w:b w:val="0"/>
          <w:bCs/>
          <w:color w:val="auto"/>
          <w:spacing w:val="-8"/>
          <w:kern w:val="0"/>
          <w:sz w:val="21"/>
          <w:szCs w:val="21"/>
        </w:rPr>
        <w:t>执行标准</w:t>
      </w:r>
      <w:r>
        <w:rPr>
          <w:rFonts w:hint="eastAsia" w:ascii="?????" w:hAnsi="Courier New" w:eastAsiaTheme="minorEastAsia"/>
          <w:b w:val="0"/>
          <w:bCs/>
          <w:color w:val="auto"/>
          <w:spacing w:val="-8"/>
          <w:kern w:val="0"/>
          <w:sz w:val="21"/>
          <w:szCs w:val="21"/>
        </w:rPr>
        <w:t>，所投▲毛巾被，提供具有检测资质的第三方检测机构出具的检测报告得3 分，不提供或带</w:t>
      </w:r>
      <w:r>
        <w:rPr>
          <w:rFonts w:hint="eastAsia" w:asciiTheme="minorEastAsia" w:hAnsiTheme="minorEastAsia" w:eastAsiaTheme="minorEastAsia"/>
          <w:b w:val="0"/>
          <w:bCs/>
          <w:color w:val="auto"/>
          <w:spacing w:val="-8"/>
          <w:kern w:val="0"/>
          <w:sz w:val="21"/>
          <w:szCs w:val="21"/>
        </w:rPr>
        <w:t>★</w:t>
      </w:r>
      <w:r>
        <w:rPr>
          <w:rFonts w:hint="eastAsia" w:ascii="?????" w:hAnsi="Courier New" w:eastAsiaTheme="minorEastAsia"/>
          <w:b w:val="0"/>
          <w:bCs/>
          <w:color w:val="auto"/>
          <w:spacing w:val="-8"/>
          <w:kern w:val="0"/>
          <w:sz w:val="21"/>
          <w:szCs w:val="21"/>
        </w:rPr>
        <w:t>号项漏项或不符不得分；</w:t>
      </w:r>
    </w:p>
    <w:p>
      <w:pPr>
        <w:widowControl/>
        <w:tabs>
          <w:tab w:val="left" w:pos="4214"/>
        </w:tabs>
        <w:adjustRightInd/>
        <w:spacing w:line="440" w:lineRule="exact"/>
        <w:rPr>
          <w:rFonts w:ascii="?????" w:hAnsi="Courier New" w:eastAsiaTheme="minorEastAsia"/>
          <w:b w:val="0"/>
          <w:bCs/>
          <w:color w:val="auto"/>
          <w:spacing w:val="-8"/>
          <w:kern w:val="0"/>
          <w:sz w:val="21"/>
          <w:szCs w:val="21"/>
        </w:rPr>
      </w:pPr>
      <w:r>
        <w:rPr>
          <w:rFonts w:hint="eastAsia" w:ascii="?????" w:hAnsi="Courier New" w:eastAsiaTheme="minorEastAsia"/>
          <w:b w:val="0"/>
          <w:bCs/>
          <w:color w:val="auto"/>
          <w:spacing w:val="-8"/>
          <w:kern w:val="0"/>
          <w:sz w:val="21"/>
          <w:szCs w:val="21"/>
        </w:rPr>
        <w:t>2.7、为</w:t>
      </w:r>
      <w:r>
        <w:rPr>
          <w:rFonts w:ascii="?????" w:hAnsi="Courier New" w:eastAsiaTheme="minorEastAsia"/>
          <w:b w:val="0"/>
          <w:bCs/>
          <w:color w:val="auto"/>
          <w:spacing w:val="-8"/>
          <w:kern w:val="0"/>
          <w:sz w:val="21"/>
          <w:szCs w:val="21"/>
        </w:rPr>
        <w:t>保证应急</w:t>
      </w:r>
      <w:r>
        <w:rPr>
          <w:rFonts w:hint="eastAsia" w:ascii="?????" w:hAnsi="Courier New" w:eastAsiaTheme="minorEastAsia"/>
          <w:b w:val="0"/>
          <w:bCs/>
          <w:color w:val="auto"/>
          <w:spacing w:val="-8"/>
          <w:kern w:val="0"/>
          <w:sz w:val="21"/>
          <w:szCs w:val="21"/>
        </w:rPr>
        <w:t>救灾</w:t>
      </w:r>
      <w:r>
        <w:rPr>
          <w:rFonts w:ascii="?????" w:hAnsi="Courier New" w:eastAsiaTheme="minorEastAsia"/>
          <w:b w:val="0"/>
          <w:bCs/>
          <w:color w:val="auto"/>
          <w:spacing w:val="-8"/>
          <w:kern w:val="0"/>
          <w:sz w:val="21"/>
          <w:szCs w:val="21"/>
        </w:rPr>
        <w:t>工作</w:t>
      </w:r>
      <w:r>
        <w:rPr>
          <w:rFonts w:hint="eastAsia" w:ascii="?????" w:hAnsi="Courier New" w:eastAsiaTheme="minorEastAsia"/>
          <w:b w:val="0"/>
          <w:bCs/>
          <w:color w:val="auto"/>
          <w:spacing w:val="-8"/>
          <w:kern w:val="0"/>
          <w:sz w:val="21"/>
          <w:szCs w:val="21"/>
        </w:rPr>
        <w:t>稳定</w:t>
      </w:r>
      <w:r>
        <w:rPr>
          <w:rFonts w:ascii="?????" w:hAnsi="Courier New" w:eastAsiaTheme="minorEastAsia"/>
          <w:b w:val="0"/>
          <w:bCs/>
          <w:color w:val="auto"/>
          <w:spacing w:val="-8"/>
          <w:kern w:val="0"/>
          <w:sz w:val="21"/>
          <w:szCs w:val="21"/>
        </w:rPr>
        <w:t>开展，所投</w:t>
      </w:r>
      <w:r>
        <w:rPr>
          <w:rFonts w:hint="eastAsia" w:ascii="?????" w:hAnsi="Courier New" w:eastAsiaTheme="minorEastAsia"/>
          <w:b w:val="0"/>
          <w:bCs/>
          <w:color w:val="auto"/>
          <w:spacing w:val="-8"/>
          <w:kern w:val="0"/>
          <w:sz w:val="21"/>
          <w:szCs w:val="21"/>
        </w:rPr>
        <w:t>多功能救灾</w:t>
      </w:r>
      <w:r>
        <w:rPr>
          <w:rFonts w:ascii="?????" w:hAnsi="Courier New" w:eastAsiaTheme="minorEastAsia"/>
          <w:b w:val="0"/>
          <w:bCs/>
          <w:color w:val="auto"/>
          <w:spacing w:val="-8"/>
          <w:kern w:val="0"/>
          <w:sz w:val="21"/>
          <w:szCs w:val="21"/>
        </w:rPr>
        <w:t>移动照明车</w:t>
      </w:r>
      <w:r>
        <w:rPr>
          <w:rFonts w:hint="eastAsia" w:ascii="?????" w:hAnsi="Courier New" w:eastAsiaTheme="minorEastAsia"/>
          <w:b w:val="0"/>
          <w:bCs/>
          <w:color w:val="auto"/>
          <w:spacing w:val="-8"/>
          <w:kern w:val="0"/>
          <w:sz w:val="21"/>
          <w:szCs w:val="21"/>
        </w:rPr>
        <w:t>中灯头防护等级应符合GB/4208-2017中IP65的要求。提供具有检测资质的第三方检测机构出具的检测报告得3 分，不提供或带</w:t>
      </w:r>
      <w:r>
        <w:rPr>
          <w:rFonts w:hint="eastAsia" w:asciiTheme="minorEastAsia" w:hAnsiTheme="minorEastAsia" w:eastAsiaTheme="minorEastAsia"/>
          <w:b w:val="0"/>
          <w:bCs/>
          <w:color w:val="auto"/>
          <w:spacing w:val="-8"/>
          <w:kern w:val="0"/>
          <w:sz w:val="21"/>
          <w:szCs w:val="21"/>
        </w:rPr>
        <w:t>★</w:t>
      </w:r>
      <w:r>
        <w:rPr>
          <w:rFonts w:hint="eastAsia" w:ascii="?????" w:hAnsi="Courier New" w:eastAsiaTheme="minorEastAsia"/>
          <w:b w:val="0"/>
          <w:bCs/>
          <w:color w:val="auto"/>
          <w:spacing w:val="-8"/>
          <w:kern w:val="0"/>
          <w:sz w:val="21"/>
          <w:szCs w:val="21"/>
        </w:rPr>
        <w:t>号项漏项或不符不得分；</w:t>
      </w:r>
    </w:p>
    <w:p>
      <w:pPr>
        <w:widowControl/>
        <w:tabs>
          <w:tab w:val="left" w:pos="4214"/>
        </w:tabs>
        <w:adjustRightInd/>
        <w:spacing w:line="440" w:lineRule="exact"/>
        <w:rPr>
          <w:rFonts w:ascii="?????" w:hAnsi="Courier New" w:eastAsiaTheme="minorEastAsia"/>
          <w:b w:val="0"/>
          <w:bCs/>
          <w:color w:val="auto"/>
          <w:spacing w:val="-8"/>
          <w:kern w:val="0"/>
          <w:sz w:val="21"/>
          <w:szCs w:val="21"/>
        </w:rPr>
      </w:pPr>
      <w:r>
        <w:rPr>
          <w:rFonts w:hint="eastAsia" w:ascii="?????" w:hAnsi="Courier New" w:eastAsiaTheme="minorEastAsia"/>
          <w:b w:val="0"/>
          <w:bCs/>
          <w:color w:val="auto"/>
          <w:spacing w:val="-8"/>
          <w:kern w:val="0"/>
          <w:sz w:val="21"/>
          <w:szCs w:val="21"/>
        </w:rPr>
        <w:t>2.8、为</w:t>
      </w:r>
      <w:r>
        <w:rPr>
          <w:rFonts w:ascii="?????" w:hAnsi="Courier New" w:eastAsiaTheme="minorEastAsia"/>
          <w:b w:val="0"/>
          <w:bCs/>
          <w:color w:val="auto"/>
          <w:spacing w:val="-8"/>
          <w:kern w:val="0"/>
          <w:sz w:val="21"/>
          <w:szCs w:val="21"/>
        </w:rPr>
        <w:t>保证为民救灾物资质量</w:t>
      </w:r>
      <w:r>
        <w:rPr>
          <w:rFonts w:hint="eastAsia" w:ascii="?????" w:hAnsi="Courier New" w:eastAsiaTheme="minorEastAsia"/>
          <w:b w:val="0"/>
          <w:bCs/>
          <w:color w:val="auto"/>
          <w:spacing w:val="-8"/>
          <w:kern w:val="0"/>
          <w:sz w:val="21"/>
          <w:szCs w:val="21"/>
        </w:rPr>
        <w:t>符合</w:t>
      </w:r>
      <w:r>
        <w:rPr>
          <w:rFonts w:ascii="?????" w:hAnsi="Courier New" w:eastAsiaTheme="minorEastAsia"/>
          <w:b w:val="0"/>
          <w:bCs/>
          <w:color w:val="auto"/>
          <w:spacing w:val="-8"/>
          <w:kern w:val="0"/>
          <w:sz w:val="21"/>
          <w:szCs w:val="21"/>
        </w:rPr>
        <w:t>国家</w:t>
      </w:r>
      <w:r>
        <w:rPr>
          <w:rFonts w:hint="eastAsia" w:ascii="?????" w:hAnsi="Courier New" w:eastAsiaTheme="minorEastAsia"/>
          <w:b w:val="0"/>
          <w:bCs/>
          <w:color w:val="auto"/>
          <w:spacing w:val="-8"/>
          <w:kern w:val="0"/>
          <w:sz w:val="21"/>
          <w:szCs w:val="21"/>
        </w:rPr>
        <w:t>毛毯</w:t>
      </w:r>
      <w:r>
        <w:rPr>
          <w:rFonts w:ascii="?????" w:hAnsi="Courier New" w:eastAsiaTheme="minorEastAsia"/>
          <w:b w:val="0"/>
          <w:bCs/>
          <w:color w:val="auto"/>
          <w:spacing w:val="-8"/>
          <w:kern w:val="0"/>
          <w:sz w:val="21"/>
          <w:szCs w:val="21"/>
        </w:rPr>
        <w:t>执行标准</w:t>
      </w:r>
      <w:r>
        <w:rPr>
          <w:rFonts w:hint="eastAsia" w:ascii="?????" w:hAnsi="Courier New" w:eastAsiaTheme="minorEastAsia"/>
          <w:b w:val="0"/>
          <w:bCs/>
          <w:color w:val="auto"/>
          <w:spacing w:val="-8"/>
          <w:kern w:val="0"/>
          <w:sz w:val="21"/>
          <w:szCs w:val="21"/>
        </w:rPr>
        <w:t>，所投▲毛毯，提供具有检测资质的第三方检测机构出具的检测报告得3 分，不提供或带</w:t>
      </w:r>
      <w:r>
        <w:rPr>
          <w:rFonts w:hint="eastAsia" w:asciiTheme="minorEastAsia" w:hAnsiTheme="minorEastAsia" w:eastAsiaTheme="minorEastAsia"/>
          <w:b w:val="0"/>
          <w:bCs/>
          <w:color w:val="auto"/>
          <w:spacing w:val="-8"/>
          <w:kern w:val="0"/>
          <w:sz w:val="21"/>
          <w:szCs w:val="21"/>
        </w:rPr>
        <w:t>★</w:t>
      </w:r>
      <w:r>
        <w:rPr>
          <w:rFonts w:hint="eastAsia" w:ascii="?????" w:hAnsi="Courier New" w:eastAsiaTheme="minorEastAsia"/>
          <w:b w:val="0"/>
          <w:bCs/>
          <w:color w:val="auto"/>
          <w:spacing w:val="-8"/>
          <w:kern w:val="0"/>
          <w:sz w:val="21"/>
          <w:szCs w:val="21"/>
        </w:rPr>
        <w:t>号项漏项或不符不得分；</w:t>
      </w:r>
    </w:p>
    <w:p>
      <w:pPr>
        <w:widowControl/>
        <w:tabs>
          <w:tab w:val="left" w:pos="4214"/>
        </w:tabs>
        <w:adjustRightInd/>
        <w:spacing w:line="440" w:lineRule="exact"/>
        <w:rPr>
          <w:rFonts w:ascii="宋体" w:hAnsi="宋体"/>
          <w:b/>
          <w:bCs/>
          <w:color w:val="auto"/>
          <w:szCs w:val="20"/>
        </w:rPr>
      </w:pPr>
      <w:r>
        <w:rPr>
          <w:rFonts w:ascii="宋体" w:hAnsi="宋体"/>
          <w:b/>
          <w:bCs/>
          <w:color w:val="auto"/>
          <w:szCs w:val="20"/>
        </w:rPr>
        <w:t>3、项目</w:t>
      </w:r>
      <w:r>
        <w:rPr>
          <w:rFonts w:hint="eastAsia" w:ascii="宋体" w:hAnsi="宋体"/>
          <w:b/>
          <w:bCs/>
          <w:color w:val="auto"/>
          <w:szCs w:val="20"/>
        </w:rPr>
        <w:t>实施</w:t>
      </w:r>
      <w:r>
        <w:rPr>
          <w:rFonts w:ascii="宋体" w:hAnsi="宋体"/>
          <w:b/>
          <w:bCs/>
          <w:color w:val="auto"/>
          <w:szCs w:val="20"/>
        </w:rPr>
        <w:t>方案</w:t>
      </w:r>
      <w:r>
        <w:rPr>
          <w:rFonts w:hint="eastAsia" w:ascii="宋体" w:hAnsi="宋体"/>
          <w:b/>
          <w:bCs/>
          <w:color w:val="auto"/>
          <w:szCs w:val="20"/>
        </w:rPr>
        <w:t>分</w:t>
      </w:r>
      <w:r>
        <w:rPr>
          <w:rFonts w:ascii="宋体" w:hAnsi="宋体"/>
          <w:b/>
          <w:bCs/>
          <w:color w:val="auto"/>
          <w:szCs w:val="20"/>
        </w:rPr>
        <w:t>…</w:t>
      </w:r>
      <w:r>
        <w:rPr>
          <w:rFonts w:hint="eastAsia" w:ascii="宋体" w:hAnsi="宋体"/>
          <w:b/>
          <w:bCs/>
          <w:color w:val="auto"/>
          <w:szCs w:val="21"/>
        </w:rPr>
        <w:t>……………………………………</w:t>
      </w:r>
      <w:r>
        <w:rPr>
          <w:rFonts w:ascii="宋体" w:hAnsi="宋体"/>
          <w:b/>
          <w:bCs/>
          <w:color w:val="auto"/>
          <w:szCs w:val="20"/>
        </w:rPr>
        <w:t>………………………………………………满分</w:t>
      </w:r>
      <w:r>
        <w:rPr>
          <w:rFonts w:hint="eastAsia" w:ascii="宋体" w:hAnsi="宋体"/>
          <w:b/>
          <w:bCs/>
          <w:color w:val="auto"/>
          <w:szCs w:val="20"/>
        </w:rPr>
        <w:t>22</w:t>
      </w:r>
      <w:r>
        <w:rPr>
          <w:rFonts w:ascii="宋体" w:hAnsi="宋体"/>
          <w:b/>
          <w:bCs/>
          <w:color w:val="auto"/>
          <w:szCs w:val="20"/>
        </w:rPr>
        <w:t>分</w:t>
      </w:r>
    </w:p>
    <w:p>
      <w:pPr>
        <w:widowControl/>
        <w:tabs>
          <w:tab w:val="left" w:pos="1170"/>
        </w:tabs>
        <w:adjustRightInd/>
        <w:spacing w:line="440" w:lineRule="exact"/>
        <w:ind w:firstLine="420" w:firstLineChars="200"/>
        <w:jc w:val="left"/>
        <w:rPr>
          <w:rFonts w:ascii="宋体" w:hAnsi="宋体"/>
          <w:color w:val="auto"/>
          <w:szCs w:val="21"/>
        </w:rPr>
      </w:pPr>
      <w:r>
        <w:rPr>
          <w:rFonts w:ascii="宋体" w:hAnsi="宋体"/>
          <w:color w:val="auto"/>
          <w:szCs w:val="21"/>
        </w:rPr>
        <w:t>由评标委员会根据各供应商提供《项目实施方案》（</w:t>
      </w:r>
      <w:r>
        <w:rPr>
          <w:rFonts w:hint="eastAsia" w:ascii="宋体" w:hAnsi="宋体"/>
          <w:color w:val="auto"/>
          <w:szCs w:val="21"/>
        </w:rPr>
        <w:t>如质量保障措施</w:t>
      </w:r>
      <w:r>
        <w:rPr>
          <w:rFonts w:ascii="宋体" w:hAnsi="宋体"/>
          <w:color w:val="auto"/>
          <w:szCs w:val="21"/>
        </w:rPr>
        <w:t>、保证工期等内容）进行比较，集中讨论各供应商所属档次，在相应档次内打分。</w:t>
      </w:r>
    </w:p>
    <w:p>
      <w:pPr>
        <w:widowControl/>
        <w:tabs>
          <w:tab w:val="left" w:pos="1170"/>
        </w:tabs>
        <w:adjustRightInd/>
        <w:spacing w:line="440" w:lineRule="exact"/>
        <w:ind w:firstLine="420" w:firstLineChars="200"/>
        <w:jc w:val="left"/>
        <w:rPr>
          <w:rFonts w:ascii="宋体" w:hAnsi="宋体"/>
          <w:color w:val="auto"/>
          <w:szCs w:val="21"/>
        </w:rPr>
      </w:pPr>
      <w:r>
        <w:rPr>
          <w:rFonts w:ascii="宋体" w:hAnsi="宋体"/>
          <w:color w:val="auto"/>
          <w:szCs w:val="21"/>
        </w:rPr>
        <w:t>一档（</w:t>
      </w:r>
      <w:r>
        <w:rPr>
          <w:rFonts w:hint="eastAsia" w:ascii="宋体" w:hAnsi="宋体"/>
          <w:color w:val="auto"/>
          <w:szCs w:val="21"/>
        </w:rPr>
        <w:t>9</w:t>
      </w:r>
      <w:r>
        <w:rPr>
          <w:rFonts w:ascii="宋体" w:hAnsi="宋体"/>
          <w:color w:val="auto"/>
          <w:szCs w:val="21"/>
        </w:rPr>
        <w:t>分）：</w:t>
      </w:r>
      <w:r>
        <w:rPr>
          <w:rFonts w:hint="eastAsia" w:ascii="宋体" w:hAnsi="宋体"/>
          <w:color w:val="auto"/>
          <w:szCs w:val="21"/>
        </w:rPr>
        <w:t>提供了简单的项目实施方案，方案基本满足采购文件要求；</w:t>
      </w:r>
    </w:p>
    <w:p>
      <w:pPr>
        <w:widowControl/>
        <w:tabs>
          <w:tab w:val="left" w:pos="1170"/>
        </w:tabs>
        <w:adjustRightInd/>
        <w:spacing w:line="440" w:lineRule="exact"/>
        <w:ind w:firstLine="420" w:firstLineChars="200"/>
        <w:jc w:val="left"/>
        <w:rPr>
          <w:rFonts w:ascii="宋体" w:hAnsi="宋体"/>
          <w:color w:val="auto"/>
          <w:szCs w:val="21"/>
        </w:rPr>
      </w:pPr>
      <w:r>
        <w:rPr>
          <w:rFonts w:ascii="宋体" w:hAnsi="宋体"/>
          <w:color w:val="auto"/>
          <w:szCs w:val="21"/>
        </w:rPr>
        <w:t>二档</w:t>
      </w:r>
      <w:r>
        <w:rPr>
          <w:rFonts w:hint="eastAsia" w:ascii="宋体" w:hAnsi="宋体"/>
          <w:color w:val="auto"/>
          <w:szCs w:val="21"/>
        </w:rPr>
        <w:t>（16</w:t>
      </w:r>
      <w:r>
        <w:rPr>
          <w:rFonts w:ascii="宋体" w:hAnsi="宋体"/>
          <w:color w:val="auto"/>
          <w:szCs w:val="21"/>
        </w:rPr>
        <w:t>分</w:t>
      </w:r>
      <w:r>
        <w:rPr>
          <w:rFonts w:hint="eastAsia" w:ascii="宋体" w:hAnsi="宋体"/>
          <w:color w:val="auto"/>
          <w:szCs w:val="21"/>
        </w:rPr>
        <w:t>）</w:t>
      </w:r>
      <w:r>
        <w:rPr>
          <w:rFonts w:ascii="宋体" w:hAnsi="宋体"/>
          <w:color w:val="auto"/>
          <w:szCs w:val="21"/>
        </w:rPr>
        <w:t>：</w:t>
      </w:r>
      <w:r>
        <w:rPr>
          <w:rFonts w:hint="eastAsia" w:ascii="宋体" w:hAnsi="宋体"/>
          <w:color w:val="auto"/>
          <w:szCs w:val="21"/>
        </w:rPr>
        <w:t>提供了较为具体的项目实施方案，对项目工作任务有简单的分析，简单描述了项目实施方式，具有可行性，方案满足采购文件要求。</w:t>
      </w:r>
    </w:p>
    <w:p>
      <w:pPr>
        <w:widowControl/>
        <w:tabs>
          <w:tab w:val="left" w:pos="1170"/>
        </w:tabs>
        <w:adjustRightInd/>
        <w:spacing w:line="440" w:lineRule="exact"/>
        <w:ind w:firstLine="420" w:firstLineChars="200"/>
        <w:jc w:val="left"/>
        <w:rPr>
          <w:rFonts w:ascii="宋体" w:hAnsi="宋体"/>
          <w:color w:val="auto"/>
          <w:szCs w:val="21"/>
        </w:rPr>
      </w:pPr>
      <w:r>
        <w:rPr>
          <w:rFonts w:hint="eastAsia" w:ascii="宋体" w:hAnsi="宋体"/>
          <w:color w:val="auto"/>
          <w:szCs w:val="21"/>
        </w:rPr>
        <w:t>三挡（22分）提供了项目具体项目实施方案，对项目工作任务有详细的分析，较详细描述了项目的实现方式，对项目工作任务有详细的分析，实施方案描述详细、质量保障措施切实可行，能详细列明项目组织实施计划、验收计划、质量保证，有完善、合理的安装日程表等，可操作性强的。</w:t>
      </w:r>
    </w:p>
    <w:p>
      <w:pPr>
        <w:widowControl/>
        <w:tabs>
          <w:tab w:val="left" w:pos="4214"/>
        </w:tabs>
        <w:adjustRightInd/>
        <w:spacing w:line="440" w:lineRule="exact"/>
        <w:rPr>
          <w:rFonts w:ascii="宋体" w:hAnsi="宋体" w:cs="宋体"/>
          <w:b/>
          <w:bCs/>
          <w:color w:val="auto"/>
          <w:szCs w:val="21"/>
          <w:lang w:val="zh-CN" w:bidi="zh-CN"/>
        </w:rPr>
      </w:pPr>
      <w:r>
        <w:rPr>
          <w:rFonts w:hint="eastAsia" w:ascii="宋体" w:hAnsi="宋体" w:cs="宋体"/>
          <w:b/>
          <w:bCs/>
          <w:color w:val="auto"/>
          <w:szCs w:val="21"/>
          <w:lang w:bidi="zh-CN"/>
        </w:rPr>
        <w:t>4</w:t>
      </w:r>
      <w:r>
        <w:rPr>
          <w:rFonts w:ascii="宋体" w:hAnsi="宋体" w:cs="宋体"/>
          <w:b/>
          <w:bCs/>
          <w:color w:val="auto"/>
          <w:szCs w:val="21"/>
          <w:lang w:val="zh-CN" w:bidi="zh-CN"/>
        </w:rPr>
        <w:t>、</w:t>
      </w:r>
      <w:r>
        <w:rPr>
          <w:rFonts w:ascii="宋体" w:hAnsi="宋体" w:cs="宋体"/>
          <w:b/>
          <w:bCs/>
          <w:color w:val="auto"/>
          <w:szCs w:val="21"/>
          <w:lang w:bidi="zh-CN"/>
        </w:rPr>
        <w:t>售后服务</w:t>
      </w:r>
      <w:r>
        <w:rPr>
          <w:rFonts w:hint="eastAsia" w:ascii="宋体" w:hAnsi="宋体" w:cs="宋体"/>
          <w:b/>
          <w:bCs/>
          <w:color w:val="auto"/>
          <w:szCs w:val="21"/>
          <w:lang w:bidi="zh-CN"/>
        </w:rPr>
        <w:t>方案</w:t>
      </w:r>
      <w:r>
        <w:rPr>
          <w:rFonts w:ascii="宋体" w:hAnsi="宋体" w:cs="宋体"/>
          <w:b/>
          <w:bCs/>
          <w:color w:val="auto"/>
          <w:szCs w:val="21"/>
          <w:lang w:val="zh-CN" w:bidi="zh-CN"/>
        </w:rPr>
        <w:t>分…………………………………</w:t>
      </w:r>
      <w:r>
        <w:rPr>
          <w:rFonts w:hint="eastAsia" w:ascii="宋体" w:hAnsi="宋体"/>
          <w:b/>
          <w:bCs/>
          <w:color w:val="auto"/>
          <w:szCs w:val="21"/>
        </w:rPr>
        <w:t>…………………………</w:t>
      </w:r>
      <w:r>
        <w:rPr>
          <w:rFonts w:ascii="宋体" w:hAnsi="宋体" w:cs="宋体"/>
          <w:b/>
          <w:bCs/>
          <w:color w:val="auto"/>
          <w:szCs w:val="21"/>
          <w:lang w:val="zh-CN" w:bidi="zh-CN"/>
        </w:rPr>
        <w:t>…………………满分</w:t>
      </w:r>
      <w:r>
        <w:rPr>
          <w:rFonts w:hint="eastAsia" w:ascii="宋体" w:hAnsi="宋体" w:cs="宋体"/>
          <w:b/>
          <w:bCs/>
          <w:color w:val="auto"/>
          <w:szCs w:val="21"/>
          <w:lang w:bidi="zh-CN"/>
        </w:rPr>
        <w:t>22</w:t>
      </w:r>
      <w:r>
        <w:rPr>
          <w:rFonts w:ascii="宋体" w:hAnsi="宋体" w:cs="宋体"/>
          <w:b/>
          <w:bCs/>
          <w:color w:val="auto"/>
          <w:szCs w:val="21"/>
          <w:lang w:val="zh-CN" w:bidi="zh-CN"/>
        </w:rPr>
        <w:t>分</w:t>
      </w:r>
    </w:p>
    <w:p>
      <w:pPr>
        <w:widowControl/>
        <w:adjustRightInd/>
        <w:spacing w:before="130" w:line="440" w:lineRule="exact"/>
        <w:ind w:left="221" w:right="595" w:firstLine="420" w:firstLineChars="200"/>
        <w:rPr>
          <w:rFonts w:ascii="宋体" w:hAnsi="宋体"/>
          <w:color w:val="auto"/>
          <w:szCs w:val="21"/>
          <w:lang w:bidi="zh-CN"/>
        </w:rPr>
      </w:pPr>
      <w:r>
        <w:rPr>
          <w:rFonts w:ascii="宋体" w:hAnsi="宋体"/>
          <w:color w:val="auto"/>
          <w:szCs w:val="21"/>
          <w:lang w:val="zh-CN" w:bidi="zh-CN"/>
        </w:rPr>
        <w:t>由评委在打分前根据投标供应商售后服务方案的（完整性、可行性，从到达故障现场时间、故障出现解决方案，定期维护、免费技术培训方案、免费保修期外维修方案、其它优惠方案）等方面情况，集体讨论形成书面材料并记录各投标人售后服务主要条款，确定“一档、二档、三档”各所属档次；评委依照各投标人售后服务等级评定情况在确定档次内独立打分</w:t>
      </w:r>
      <w:r>
        <w:rPr>
          <w:rFonts w:hint="eastAsia" w:ascii="宋体" w:hAnsi="宋体"/>
          <w:color w:val="auto"/>
          <w:szCs w:val="21"/>
          <w:lang w:bidi="zh-CN"/>
        </w:rPr>
        <w:t>.</w:t>
      </w:r>
    </w:p>
    <w:p>
      <w:pPr>
        <w:widowControl/>
        <w:adjustRightInd/>
        <w:spacing w:before="130" w:line="440" w:lineRule="exact"/>
        <w:ind w:left="221" w:right="595" w:firstLine="420" w:firstLineChars="200"/>
        <w:rPr>
          <w:rFonts w:ascii="宋体" w:hAnsi="宋体"/>
          <w:color w:val="auto"/>
          <w:szCs w:val="21"/>
          <w:lang w:val="zh-CN" w:bidi="zh-CN"/>
        </w:rPr>
      </w:pPr>
      <w:r>
        <w:rPr>
          <w:rFonts w:hint="eastAsia" w:ascii="宋体" w:hAnsi="宋体"/>
          <w:color w:val="auto"/>
          <w:szCs w:val="21"/>
          <w:lang w:val="zh-CN" w:bidi="zh-CN"/>
        </w:rPr>
        <w:t>一档（</w:t>
      </w:r>
      <w:r>
        <w:rPr>
          <w:rFonts w:hint="eastAsia" w:ascii="宋体" w:hAnsi="宋体"/>
          <w:color w:val="auto"/>
          <w:szCs w:val="21"/>
          <w:lang w:bidi="zh-CN"/>
        </w:rPr>
        <w:t>9</w:t>
      </w:r>
      <w:r>
        <w:rPr>
          <w:rFonts w:hint="eastAsia" w:ascii="宋体" w:hAnsi="宋体"/>
          <w:color w:val="auto"/>
          <w:szCs w:val="21"/>
          <w:lang w:val="zh-CN" w:bidi="zh-CN"/>
        </w:rPr>
        <w:t xml:space="preserve"> 分）：供应商提供了简单的售后服务方案，方案基本满足采购文件要求；</w:t>
      </w:r>
    </w:p>
    <w:p>
      <w:pPr>
        <w:widowControl/>
        <w:adjustRightInd/>
        <w:spacing w:before="130" w:line="440" w:lineRule="exact"/>
        <w:ind w:left="221" w:right="595" w:firstLine="420" w:firstLineChars="200"/>
        <w:rPr>
          <w:rFonts w:ascii="宋体" w:hAnsi="宋体"/>
          <w:color w:val="auto"/>
          <w:szCs w:val="21"/>
          <w:lang w:val="zh-CN" w:bidi="zh-CN"/>
        </w:rPr>
      </w:pPr>
      <w:r>
        <w:rPr>
          <w:rFonts w:hint="eastAsia" w:ascii="宋体" w:hAnsi="宋体"/>
          <w:color w:val="auto"/>
          <w:szCs w:val="21"/>
          <w:lang w:val="zh-CN" w:bidi="zh-CN"/>
        </w:rPr>
        <w:t>二档（</w:t>
      </w:r>
      <w:r>
        <w:rPr>
          <w:rFonts w:hint="eastAsia" w:ascii="宋体" w:hAnsi="宋体"/>
          <w:color w:val="auto"/>
          <w:szCs w:val="21"/>
          <w:lang w:bidi="zh-CN"/>
        </w:rPr>
        <w:t>16</w:t>
      </w:r>
      <w:r>
        <w:rPr>
          <w:rFonts w:hint="eastAsia" w:ascii="宋体" w:hAnsi="宋体"/>
          <w:color w:val="auto"/>
          <w:szCs w:val="21"/>
          <w:lang w:val="zh-CN" w:bidi="zh-CN"/>
        </w:rPr>
        <w:t xml:space="preserve"> 分）：供应商提供了项目较为具体的售后服务方案，对售后工作有简单的分析，具有可行性，方案满足采购文件要求。</w:t>
      </w:r>
    </w:p>
    <w:p>
      <w:pPr>
        <w:widowControl/>
        <w:adjustRightInd/>
        <w:spacing w:before="130" w:line="440" w:lineRule="exact"/>
        <w:ind w:left="221" w:right="595" w:firstLine="420" w:firstLineChars="200"/>
        <w:rPr>
          <w:rFonts w:ascii="宋体" w:hAnsi="宋体"/>
          <w:color w:val="auto"/>
          <w:szCs w:val="21"/>
          <w:lang w:val="zh-CN" w:bidi="zh-CN"/>
        </w:rPr>
      </w:pPr>
      <w:r>
        <w:rPr>
          <w:rFonts w:hint="eastAsia" w:ascii="宋体" w:hAnsi="宋体"/>
          <w:color w:val="auto"/>
          <w:szCs w:val="21"/>
          <w:lang w:val="zh-CN" w:bidi="zh-CN"/>
        </w:rPr>
        <w:t>三档（</w:t>
      </w:r>
      <w:r>
        <w:rPr>
          <w:rFonts w:hint="eastAsia" w:ascii="宋体" w:hAnsi="宋体"/>
          <w:color w:val="auto"/>
          <w:szCs w:val="21"/>
          <w:lang w:bidi="zh-CN"/>
        </w:rPr>
        <w:t>22</w:t>
      </w:r>
      <w:r>
        <w:rPr>
          <w:rFonts w:hint="eastAsia" w:ascii="宋体" w:hAnsi="宋体"/>
          <w:color w:val="auto"/>
          <w:szCs w:val="21"/>
          <w:lang w:val="zh-CN" w:bidi="zh-CN"/>
        </w:rPr>
        <w:t>分）：供应商提供了详细的售后服务方案，对售后工作有深入的分析，较详细描述了售后工作的具体实现方式，阐述清楚售后保障体系，方案表述清晰、完整、严谨、合理，可操作性强</w:t>
      </w:r>
      <w:r>
        <w:rPr>
          <w:rFonts w:ascii="宋体" w:hAnsi="宋体"/>
          <w:color w:val="auto"/>
          <w:szCs w:val="21"/>
          <w:lang w:val="zh-CN" w:bidi="zh-CN"/>
        </w:rPr>
        <w:t>于招标文件要求的。</w:t>
      </w:r>
    </w:p>
    <w:p>
      <w:pPr>
        <w:widowControl/>
        <w:tabs>
          <w:tab w:val="left" w:pos="4214"/>
        </w:tabs>
        <w:adjustRightInd/>
        <w:spacing w:line="440" w:lineRule="exact"/>
        <w:ind w:firstLine="422" w:firstLineChars="200"/>
        <w:rPr>
          <w:rFonts w:ascii="宋体" w:hAnsi="宋体" w:cs="宋体"/>
          <w:b/>
          <w:bCs/>
          <w:color w:val="auto"/>
          <w:szCs w:val="21"/>
          <w:lang w:val="zh-CN" w:bidi="zh-CN"/>
        </w:rPr>
      </w:pPr>
      <w:r>
        <w:rPr>
          <w:rFonts w:hint="eastAsia" w:ascii="宋体" w:hAnsi="宋体" w:cs="宋体"/>
          <w:b/>
          <w:bCs/>
          <w:color w:val="auto"/>
          <w:szCs w:val="21"/>
          <w:lang w:bidi="zh-CN"/>
        </w:rPr>
        <w:t>5</w:t>
      </w:r>
      <w:r>
        <w:rPr>
          <w:rFonts w:ascii="宋体" w:hAnsi="宋体" w:cs="宋体"/>
          <w:b/>
          <w:bCs/>
          <w:color w:val="auto"/>
          <w:szCs w:val="21"/>
          <w:lang w:val="zh-CN" w:bidi="zh-CN"/>
        </w:rPr>
        <w:t>、</w:t>
      </w:r>
      <w:r>
        <w:rPr>
          <w:rFonts w:ascii="宋体" w:hAnsi="宋体" w:cs="宋体"/>
          <w:b/>
          <w:bCs/>
          <w:color w:val="auto"/>
          <w:szCs w:val="21"/>
          <w:lang w:bidi="zh-CN"/>
        </w:rPr>
        <w:t>政策功能</w:t>
      </w:r>
      <w:r>
        <w:rPr>
          <w:rFonts w:ascii="宋体" w:hAnsi="宋体" w:cs="宋体"/>
          <w:b/>
          <w:bCs/>
          <w:color w:val="auto"/>
          <w:szCs w:val="21"/>
          <w:lang w:val="zh-CN" w:bidi="zh-CN"/>
        </w:rPr>
        <w:t>分……………………………………………………………………………满分</w:t>
      </w:r>
      <w:r>
        <w:rPr>
          <w:rFonts w:hint="eastAsia" w:ascii="宋体" w:hAnsi="宋体" w:cs="宋体"/>
          <w:b/>
          <w:bCs/>
          <w:color w:val="auto"/>
          <w:szCs w:val="21"/>
          <w:lang w:bidi="zh-CN"/>
        </w:rPr>
        <w:t>2</w:t>
      </w:r>
      <w:r>
        <w:rPr>
          <w:rFonts w:ascii="宋体" w:hAnsi="宋体" w:cs="宋体"/>
          <w:b/>
          <w:bCs/>
          <w:color w:val="auto"/>
          <w:szCs w:val="21"/>
          <w:lang w:val="zh-CN" w:bidi="zh-CN"/>
        </w:rPr>
        <w:t>分</w:t>
      </w:r>
    </w:p>
    <w:p>
      <w:pPr>
        <w:widowControl/>
        <w:numPr>
          <w:ilvl w:val="0"/>
          <w:numId w:val="14"/>
        </w:numPr>
        <w:tabs>
          <w:tab w:val="left" w:pos="1170"/>
        </w:tabs>
        <w:adjustRightInd/>
        <w:spacing w:before="115" w:line="440" w:lineRule="exact"/>
        <w:ind w:right="583" w:firstLine="420"/>
        <w:jc w:val="left"/>
        <w:rPr>
          <w:rFonts w:ascii="宋体" w:hAnsi="宋体"/>
          <w:color w:val="auto"/>
          <w:szCs w:val="21"/>
          <w:lang w:val="zh-CN" w:bidi="zh-CN"/>
        </w:rPr>
      </w:pPr>
      <w:r>
        <w:rPr>
          <w:rFonts w:ascii="宋体" w:hAnsi="宋体"/>
          <w:color w:val="auto"/>
          <w:spacing w:val="-3"/>
          <w:szCs w:val="21"/>
          <w:lang w:val="zh-CN" w:bidi="zh-CN"/>
        </w:rPr>
        <w:t>应优先采购财政部现行《节能产品政府采购品目清单》目录内</w:t>
      </w:r>
      <w:r>
        <w:rPr>
          <w:rFonts w:ascii="宋体" w:hAnsi="宋体"/>
          <w:color w:val="auto"/>
          <w:szCs w:val="21"/>
          <w:lang w:val="zh-CN" w:bidi="zh-CN"/>
        </w:rPr>
        <w:t>（</w:t>
      </w:r>
      <w:r>
        <w:rPr>
          <w:rFonts w:ascii="宋体" w:hAnsi="宋体"/>
          <w:color w:val="auto"/>
          <w:spacing w:val="-3"/>
          <w:szCs w:val="21"/>
          <w:lang w:val="zh-CN" w:bidi="zh-CN"/>
        </w:rPr>
        <w:t>政府强制采购节能产品除外</w:t>
      </w:r>
      <w:r>
        <w:rPr>
          <w:rFonts w:ascii="宋体" w:hAnsi="宋体"/>
          <w:color w:val="auto"/>
          <w:szCs w:val="21"/>
          <w:lang w:val="zh-CN" w:bidi="zh-CN"/>
        </w:rPr>
        <w:t xml:space="preserve">） </w:t>
      </w:r>
      <w:r>
        <w:rPr>
          <w:rFonts w:ascii="宋体" w:hAnsi="宋体"/>
          <w:color w:val="auto"/>
          <w:spacing w:val="-1"/>
          <w:szCs w:val="21"/>
          <w:lang w:val="zh-CN" w:bidi="zh-CN"/>
        </w:rPr>
        <w:t>的产品</w:t>
      </w:r>
      <w:r>
        <w:rPr>
          <w:rFonts w:ascii="宋体" w:hAnsi="宋体"/>
          <w:color w:val="auto"/>
          <w:szCs w:val="21"/>
          <w:lang w:val="zh-CN" w:bidi="zh-CN"/>
        </w:rPr>
        <w:t>（</w:t>
      </w:r>
      <w:r>
        <w:rPr>
          <w:rFonts w:ascii="宋体" w:hAnsi="宋体"/>
          <w:color w:val="auto"/>
          <w:spacing w:val="-3"/>
          <w:szCs w:val="21"/>
          <w:lang w:val="zh-CN" w:bidi="zh-CN"/>
        </w:rPr>
        <w:t>提供有效证明复印件</w:t>
      </w:r>
      <w:r>
        <w:rPr>
          <w:rFonts w:ascii="宋体" w:hAnsi="宋体"/>
          <w:color w:val="auto"/>
          <w:szCs w:val="21"/>
          <w:lang w:val="zh-CN" w:bidi="zh-CN"/>
        </w:rPr>
        <w:t>）</w:t>
      </w:r>
      <w:r>
        <w:rPr>
          <w:rFonts w:ascii="宋体" w:hAnsi="宋体"/>
          <w:color w:val="auto"/>
          <w:spacing w:val="-3"/>
          <w:szCs w:val="21"/>
          <w:lang w:val="zh-CN" w:bidi="zh-CN"/>
        </w:rPr>
        <w:t>，根据其所占项目</w:t>
      </w:r>
      <w:r>
        <w:rPr>
          <w:rFonts w:ascii="宋体" w:hAnsi="宋体"/>
          <w:color w:val="auto"/>
          <w:szCs w:val="21"/>
          <w:lang w:val="zh-CN" w:bidi="zh-CN"/>
        </w:rPr>
        <w:t>（</w:t>
      </w:r>
      <w:r>
        <w:rPr>
          <w:rFonts w:ascii="宋体" w:hAnsi="宋体"/>
          <w:color w:val="auto"/>
          <w:spacing w:val="-2"/>
          <w:szCs w:val="21"/>
          <w:lang w:val="zh-CN" w:bidi="zh-CN"/>
        </w:rPr>
        <w:t>或分标</w:t>
      </w:r>
      <w:r>
        <w:rPr>
          <w:rFonts w:ascii="宋体" w:hAnsi="宋体"/>
          <w:color w:val="auto"/>
          <w:spacing w:val="-3"/>
          <w:szCs w:val="21"/>
          <w:lang w:val="zh-CN" w:bidi="zh-CN"/>
        </w:rPr>
        <w:t>）</w:t>
      </w:r>
      <w:r>
        <w:rPr>
          <w:rFonts w:ascii="宋体" w:hAnsi="宋体"/>
          <w:color w:val="auto"/>
          <w:spacing w:val="-15"/>
          <w:szCs w:val="21"/>
          <w:lang w:val="zh-CN" w:bidi="zh-CN"/>
        </w:rPr>
        <w:t xml:space="preserve">比例得 </w:t>
      </w:r>
      <w:r>
        <w:rPr>
          <w:rFonts w:hint="eastAsia" w:ascii="宋体" w:hAnsi="宋体"/>
          <w:color w:val="auto"/>
          <w:szCs w:val="21"/>
          <w:lang w:val="zh-CN" w:bidi="zh-CN"/>
        </w:rPr>
        <w:t>0.5</w:t>
      </w:r>
      <w:r>
        <w:rPr>
          <w:rFonts w:ascii="宋体" w:hAnsi="宋体"/>
          <w:color w:val="auto"/>
          <w:szCs w:val="21"/>
          <w:lang w:val="zh-CN" w:bidi="zh-CN"/>
        </w:rPr>
        <w:t>分；</w:t>
      </w:r>
    </w:p>
    <w:p>
      <w:pPr>
        <w:widowControl/>
        <w:numPr>
          <w:ilvl w:val="0"/>
          <w:numId w:val="14"/>
        </w:numPr>
        <w:tabs>
          <w:tab w:val="left" w:pos="1170"/>
        </w:tabs>
        <w:adjustRightInd/>
        <w:spacing w:before="115" w:line="440" w:lineRule="exact"/>
        <w:ind w:right="583" w:firstLine="420"/>
        <w:jc w:val="left"/>
        <w:rPr>
          <w:rFonts w:ascii="宋体" w:hAnsi="宋体"/>
          <w:color w:val="auto"/>
          <w:spacing w:val="-3"/>
          <w:szCs w:val="21"/>
          <w:lang w:val="zh-CN" w:bidi="zh-CN"/>
        </w:rPr>
      </w:pPr>
      <w:r>
        <w:rPr>
          <w:rFonts w:ascii="宋体" w:hAnsi="宋体"/>
          <w:color w:val="auto"/>
          <w:spacing w:val="-3"/>
          <w:szCs w:val="21"/>
          <w:lang w:val="zh-CN" w:bidi="zh-CN"/>
        </w:rPr>
        <w:t>应优先采购财政部现行《环境标志产品政府采购品目清单》目录内的产品（提供有效证明复印件），根据其所占项目（或分标）比例得</w:t>
      </w:r>
      <w:r>
        <w:rPr>
          <w:rFonts w:hint="eastAsia" w:ascii="宋体" w:hAnsi="宋体"/>
          <w:color w:val="auto"/>
          <w:spacing w:val="-3"/>
          <w:szCs w:val="21"/>
          <w:lang w:val="zh-CN" w:bidi="zh-CN"/>
        </w:rPr>
        <w:t>0.5</w:t>
      </w:r>
      <w:r>
        <w:rPr>
          <w:rFonts w:ascii="宋体" w:hAnsi="宋体"/>
          <w:color w:val="auto"/>
          <w:spacing w:val="-3"/>
          <w:szCs w:val="21"/>
          <w:lang w:val="zh-CN" w:bidi="zh-CN"/>
        </w:rPr>
        <w:t xml:space="preserve"> 分； </w:t>
      </w:r>
    </w:p>
    <w:p>
      <w:pPr>
        <w:widowControl/>
        <w:numPr>
          <w:ilvl w:val="0"/>
          <w:numId w:val="14"/>
        </w:numPr>
        <w:tabs>
          <w:tab w:val="left" w:pos="1170"/>
        </w:tabs>
        <w:adjustRightInd/>
        <w:spacing w:before="115" w:line="440" w:lineRule="exact"/>
        <w:ind w:right="583" w:firstLine="420"/>
        <w:jc w:val="left"/>
        <w:rPr>
          <w:rFonts w:ascii="宋体" w:hAnsi="宋体"/>
          <w:color w:val="auto"/>
          <w:spacing w:val="-3"/>
          <w:szCs w:val="21"/>
          <w:lang w:val="zh-CN" w:bidi="zh-CN"/>
        </w:rPr>
      </w:pPr>
      <w:r>
        <w:rPr>
          <w:rFonts w:ascii="宋体" w:hAnsi="宋体"/>
          <w:color w:val="auto"/>
          <w:spacing w:val="-3"/>
          <w:szCs w:val="21"/>
          <w:lang w:val="zh-CN" w:bidi="zh-CN"/>
        </w:rPr>
        <w:t>投标产品 80%以上为广西工业产品的得</w:t>
      </w:r>
      <w:r>
        <w:rPr>
          <w:rFonts w:hint="eastAsia" w:ascii="宋体" w:hAnsi="宋体"/>
          <w:color w:val="auto"/>
          <w:spacing w:val="-3"/>
          <w:szCs w:val="21"/>
          <w:lang w:val="zh-CN" w:bidi="zh-CN"/>
        </w:rPr>
        <w:t>1</w:t>
      </w:r>
      <w:r>
        <w:rPr>
          <w:rFonts w:ascii="宋体" w:hAnsi="宋体"/>
          <w:color w:val="auto"/>
          <w:spacing w:val="-3"/>
          <w:szCs w:val="21"/>
          <w:lang w:val="zh-CN" w:bidi="zh-CN"/>
        </w:rPr>
        <w:t xml:space="preserve">分（以投标人按第六章“投标文件格式”要求提供的《广西工业产品声明函》为评分依据。根据《广西壮族自治区人民政府办公厅关于印发招标采购促进广西工业产品产销对接实施细则的通知》（桂政办发【2015】78 号）的规定，广西工业产品是指广西境内生产的工业产品，以生产企业的工商营业执照注册所在地为准。“投标产品 80%以上为广西工业产品”是指参加政府采购项目时供货范围中采用广西工业产品的金额占本次招标总金额的 80%以上） 满分 </w:t>
      </w:r>
      <w:r>
        <w:rPr>
          <w:rFonts w:hint="eastAsia" w:ascii="宋体" w:hAnsi="宋体"/>
          <w:color w:val="auto"/>
          <w:spacing w:val="-3"/>
          <w:szCs w:val="21"/>
          <w:lang w:val="zh-CN" w:bidi="zh-CN"/>
        </w:rPr>
        <w:t>1</w:t>
      </w:r>
      <w:r>
        <w:rPr>
          <w:rFonts w:ascii="宋体" w:hAnsi="宋体"/>
          <w:color w:val="auto"/>
          <w:spacing w:val="-3"/>
          <w:szCs w:val="21"/>
          <w:lang w:val="zh-CN" w:bidi="zh-CN"/>
        </w:rPr>
        <w:t>分</w:t>
      </w:r>
    </w:p>
    <w:p>
      <w:pPr>
        <w:widowControl/>
        <w:tabs>
          <w:tab w:val="left" w:pos="4214"/>
        </w:tabs>
        <w:adjustRightInd/>
        <w:spacing w:line="440" w:lineRule="exact"/>
        <w:rPr>
          <w:rFonts w:ascii="宋体" w:hAnsi="宋体"/>
          <w:b/>
          <w:bCs/>
          <w:color w:val="auto"/>
          <w:szCs w:val="21"/>
        </w:rPr>
      </w:pPr>
      <w:r>
        <w:rPr>
          <w:rFonts w:ascii="宋体" w:hAnsi="宋体"/>
          <w:b/>
          <w:color w:val="auto"/>
          <w:szCs w:val="21"/>
        </w:rPr>
        <w:t>7、综合得分＝1+2+3+4+5</w:t>
      </w:r>
    </w:p>
    <w:p>
      <w:pPr>
        <w:widowControl/>
        <w:adjustRightInd/>
        <w:spacing w:line="440" w:lineRule="exact"/>
        <w:ind w:firstLine="422" w:firstLineChars="200"/>
        <w:rPr>
          <w:rFonts w:ascii="宋体" w:hAnsi="宋体"/>
          <w:b/>
          <w:bCs/>
          <w:szCs w:val="21"/>
        </w:rPr>
      </w:pPr>
      <w:r>
        <w:rPr>
          <w:rFonts w:ascii="宋体" w:hAnsi="宋体"/>
          <w:b/>
          <w:bCs/>
          <w:szCs w:val="21"/>
        </w:rPr>
        <w:t>三、推荐中标候选人的原则</w:t>
      </w:r>
    </w:p>
    <w:p>
      <w:pPr>
        <w:widowControl/>
        <w:tabs>
          <w:tab w:val="left" w:pos="4214"/>
        </w:tabs>
        <w:adjustRightInd/>
        <w:spacing w:line="440" w:lineRule="exact"/>
        <w:ind w:firstLine="420" w:firstLineChars="200"/>
        <w:rPr>
          <w:rFonts w:ascii="宋体" w:hAnsi="宋体"/>
          <w:szCs w:val="21"/>
        </w:rPr>
      </w:pPr>
      <w:r>
        <w:rPr>
          <w:rFonts w:ascii="宋体" w:hAnsi="宋体"/>
          <w:szCs w:val="21"/>
        </w:rPr>
        <w:t>（1）评标委员会根据综合得分由高到低排列次序；若得分相同时，按评标价由低到高顺序排列；若得分相同且评标价相同时，按投标报价由低到高顺序排列；若相同的，则依次按技术、项目实施方案、履约能力、售后服务得分由高到低的顺序排列并推荐中标候选供应商。</w:t>
      </w:r>
    </w:p>
    <w:p>
      <w:pPr>
        <w:widowControl/>
        <w:tabs>
          <w:tab w:val="left" w:pos="4214"/>
        </w:tabs>
        <w:adjustRightInd/>
        <w:spacing w:line="440" w:lineRule="exact"/>
        <w:ind w:firstLine="420" w:firstLineChars="200"/>
        <w:rPr>
          <w:rFonts w:ascii="宋体" w:hAnsi="宋体"/>
          <w:szCs w:val="21"/>
        </w:rPr>
      </w:pPr>
      <w:r>
        <w:rPr>
          <w:rFonts w:ascii="宋体" w:hAnsi="宋体"/>
          <w:szCs w:val="21"/>
        </w:rPr>
        <w:t>（2）评标委员会可推荐前三名为中标候选人，采购人应当确定评标委员会推荐排名第一的中标候选人为中标人。</w:t>
      </w:r>
    </w:p>
    <w:p>
      <w:pPr>
        <w:widowControl/>
        <w:adjustRightInd/>
        <w:spacing w:line="440" w:lineRule="exact"/>
        <w:ind w:firstLine="420" w:firstLineChars="200"/>
        <w:rPr>
          <w:rFonts w:ascii="宋体" w:hAnsi="宋体"/>
          <w:b/>
          <w:bCs/>
          <w:szCs w:val="21"/>
        </w:rPr>
      </w:pPr>
      <w:r>
        <w:rPr>
          <w:rFonts w:ascii="宋体" w:hAnsi="宋体"/>
          <w:szCs w:val="21"/>
        </w:rPr>
        <w:t>（3）排名第一的中标候选人放弃中标、因不可抗力提出不能履行合同，或者招标文件规定应当提交履约保证金而在规定的期限内未能提交的，或因失信行为被取消中标候选人资格的，采购人可以确定排名第二的中标候选人为中标人或重新招标，并依此类推。</w:t>
      </w:r>
    </w:p>
    <w:p>
      <w:pPr>
        <w:pStyle w:val="19"/>
        <w:spacing w:line="440" w:lineRule="exact"/>
        <w:ind w:firstLine="420" w:firstLineChars="200"/>
        <w:rPr>
          <w:rFonts w:hAnsi="宋体"/>
          <w:bCs/>
        </w:rPr>
      </w:pPr>
      <w:r>
        <w:rPr>
          <w:rFonts w:hAnsi="宋体"/>
          <w:bCs/>
          <w:szCs w:val="21"/>
        </w:rPr>
        <w:t>（4）</w:t>
      </w:r>
      <w:r>
        <w:rPr>
          <w:rFonts w:hint="eastAsia" w:hAnsi="宋体"/>
          <w:bCs/>
        </w:rPr>
        <w:t>为了确保采购质量和维护公平的竞争，根据《中华人民共和国政府采购法》第七十七条和《中华人民共和国反不正当竞争法》第十一条，经营者不得以排挤对手为目的，以低于成本的价格销售商品（服务）。采购入不接受投标人的恶意低价竞争。如果在评标委员会认为投标人的报价明显低于其他人报价或采购预算的，投标人必须在评标专家约定的时间内提供本项目成本分析报告，同时提供（包括但不限于）以下支撑证明材料：①行政机构税务部门开具的拟派项目组人员的《依法缴纳个人所得税或依法免缴个人所得税的凭证（与本次投标所提供社保同月份）》；②2018年度~2019年度经第三方具备审计资质的机构出具的审计报告（包括其固定资产成本及折旧、管理成本、人工费成本（如人员工资、奖金、福利及差旅等费用，审计机构联系电话）、技术成本、税收等所有成本及利润）复印件（原件现场核查），③提供至少1个类似项目业绩的费用成本组成明细（同时需要附上中标通知书和合同复印件，原件现场核查），如未在规定时间内提供或评委认定其资料不能详尽合理说明其成本的，则视为低于投标人成本报价，评标委员会不推荐该投标人为中标候选人。</w:t>
      </w:r>
    </w:p>
    <w:p>
      <w:pPr>
        <w:widowControl/>
        <w:adjustRightInd/>
        <w:spacing w:line="360" w:lineRule="auto"/>
        <w:ind w:firstLine="422" w:firstLineChars="201"/>
        <w:rPr>
          <w:rFonts w:ascii="宋体" w:hAnsi="宋体"/>
          <w:szCs w:val="21"/>
        </w:rPr>
      </w:pPr>
    </w:p>
    <w:p>
      <w:pPr>
        <w:pStyle w:val="19"/>
        <w:spacing w:line="420" w:lineRule="exact"/>
        <w:ind w:firstLine="420"/>
        <w:rPr>
          <w:rFonts w:hAnsi="宋体"/>
          <w:b/>
          <w:sz w:val="36"/>
        </w:rPr>
      </w:pPr>
      <w:r>
        <w:rPr>
          <w:rFonts w:hint="eastAsia" w:hAnsi="宋体"/>
          <w:bCs/>
        </w:rPr>
        <w:br w:type="page"/>
      </w:r>
    </w:p>
    <w:p>
      <w:pPr>
        <w:pStyle w:val="3"/>
        <w:rPr>
          <w:rFonts w:ascii="宋体" w:hAnsi="宋体"/>
          <w:szCs w:val="36"/>
        </w:rPr>
      </w:pPr>
      <w:bookmarkStart w:id="40" w:name="_Toc57749778"/>
      <w:r>
        <w:rPr>
          <w:rFonts w:hint="eastAsia" w:ascii="宋体" w:hAnsi="宋体"/>
        </w:rPr>
        <w:t>第四章投标人须知</w:t>
      </w:r>
      <w:bookmarkEnd w:id="3"/>
      <w:bookmarkEnd w:id="4"/>
      <w:bookmarkEnd w:id="37"/>
      <w:bookmarkEnd w:id="38"/>
      <w:bookmarkEnd w:id="40"/>
      <w:bookmarkStart w:id="41" w:name="_Toc213326415"/>
    </w:p>
    <w:p>
      <w:pPr>
        <w:pStyle w:val="4"/>
        <w:rPr>
          <w:rFonts w:ascii="宋体" w:hAnsi="宋体"/>
        </w:rPr>
      </w:pPr>
      <w:bookmarkStart w:id="42" w:name="_Toc57749779"/>
      <w:r>
        <w:rPr>
          <w:rFonts w:hint="eastAsia" w:ascii="宋体" w:hAnsi="宋体"/>
        </w:rPr>
        <w:t>投标人须知前附表</w:t>
      </w:r>
      <w:bookmarkEnd w:id="41"/>
      <w:bookmarkEnd w:id="42"/>
    </w:p>
    <w:tbl>
      <w:tblPr>
        <w:tblStyle w:val="34"/>
        <w:tblW w:w="1000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3"/>
        <w:gridCol w:w="2977"/>
        <w:gridCol w:w="60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93" w:type="dxa"/>
            <w:vAlign w:val="center"/>
          </w:tcPr>
          <w:p>
            <w:pPr>
              <w:pStyle w:val="19"/>
              <w:spacing w:line="360" w:lineRule="auto"/>
              <w:jc w:val="center"/>
              <w:rPr>
                <w:rFonts w:hAnsi="宋体"/>
                <w:b/>
                <w:szCs w:val="21"/>
              </w:rPr>
            </w:pPr>
            <w:r>
              <w:rPr>
                <w:rFonts w:hint="eastAsia" w:hAnsi="宋体"/>
                <w:b/>
                <w:szCs w:val="21"/>
              </w:rPr>
              <w:t>条款号</w:t>
            </w:r>
          </w:p>
        </w:tc>
        <w:tc>
          <w:tcPr>
            <w:tcW w:w="2977" w:type="dxa"/>
            <w:vAlign w:val="center"/>
          </w:tcPr>
          <w:p>
            <w:pPr>
              <w:pStyle w:val="19"/>
              <w:spacing w:line="360" w:lineRule="auto"/>
              <w:jc w:val="center"/>
              <w:rPr>
                <w:rFonts w:hAnsi="宋体"/>
                <w:b/>
                <w:szCs w:val="21"/>
              </w:rPr>
            </w:pPr>
            <w:r>
              <w:rPr>
                <w:rFonts w:hint="eastAsia" w:hAnsi="宋体"/>
                <w:b/>
                <w:szCs w:val="21"/>
              </w:rPr>
              <w:t>条款名称</w:t>
            </w:r>
          </w:p>
        </w:tc>
        <w:tc>
          <w:tcPr>
            <w:tcW w:w="6031" w:type="dxa"/>
          </w:tcPr>
          <w:p>
            <w:pPr>
              <w:pStyle w:val="19"/>
              <w:spacing w:line="360" w:lineRule="auto"/>
              <w:jc w:val="center"/>
              <w:rPr>
                <w:rFonts w:hAnsi="宋体"/>
                <w:b/>
                <w:szCs w:val="21"/>
              </w:rPr>
            </w:pPr>
            <w:r>
              <w:rPr>
                <w:rFonts w:hint="eastAsia" w:hAnsi="宋体"/>
                <w:b/>
                <w:szCs w:val="21"/>
              </w:rPr>
              <w:t>详细内容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93" w:type="dxa"/>
            <w:vAlign w:val="center"/>
          </w:tcPr>
          <w:p>
            <w:pPr>
              <w:pStyle w:val="19"/>
              <w:spacing w:line="360" w:lineRule="auto"/>
              <w:jc w:val="center"/>
              <w:rPr>
                <w:rFonts w:hAnsi="宋体"/>
                <w:szCs w:val="21"/>
              </w:rPr>
            </w:pPr>
            <w:r>
              <w:rPr>
                <w:rFonts w:hAnsi="宋体"/>
                <w:szCs w:val="21"/>
              </w:rPr>
              <w:t>1.1</w:t>
            </w:r>
          </w:p>
        </w:tc>
        <w:tc>
          <w:tcPr>
            <w:tcW w:w="2977" w:type="dxa"/>
            <w:vAlign w:val="center"/>
          </w:tcPr>
          <w:p>
            <w:pPr>
              <w:pStyle w:val="19"/>
              <w:spacing w:line="360" w:lineRule="auto"/>
              <w:jc w:val="center"/>
              <w:rPr>
                <w:rFonts w:hAnsi="宋体"/>
                <w:szCs w:val="21"/>
              </w:rPr>
            </w:pPr>
            <w:r>
              <w:rPr>
                <w:rFonts w:hint="eastAsia" w:hAnsi="宋体"/>
                <w:szCs w:val="21"/>
              </w:rPr>
              <w:t>采购人</w:t>
            </w:r>
          </w:p>
        </w:tc>
        <w:tc>
          <w:tcPr>
            <w:tcW w:w="6031" w:type="dxa"/>
            <w:vAlign w:val="center"/>
          </w:tcPr>
          <w:p>
            <w:pPr>
              <w:pStyle w:val="19"/>
              <w:spacing w:line="360" w:lineRule="auto"/>
              <w:rPr>
                <w:rFonts w:hAnsi="宋体"/>
                <w:szCs w:val="21"/>
              </w:rPr>
            </w:pPr>
            <w:r>
              <w:rPr>
                <w:rFonts w:hint="eastAsia" w:hAnsi="宋体"/>
                <w:szCs w:val="21"/>
              </w:rPr>
              <w:t>名称：兴业县应急管理局</w:t>
            </w:r>
          </w:p>
          <w:p>
            <w:pPr>
              <w:snapToGrid w:val="0"/>
              <w:spacing w:line="360" w:lineRule="auto"/>
              <w:rPr>
                <w:rFonts w:hint="eastAsia" w:ascii="宋体" w:hAnsi="宋体" w:eastAsia="宋体"/>
                <w:szCs w:val="21"/>
                <w:lang w:eastAsia="zh-CN"/>
              </w:rPr>
            </w:pPr>
            <w:r>
              <w:rPr>
                <w:rFonts w:hint="eastAsia" w:ascii="宋体" w:hAnsi="宋体"/>
                <w:szCs w:val="21"/>
              </w:rPr>
              <w:t>地址：</w:t>
            </w:r>
            <w:r>
              <w:rPr>
                <w:rFonts w:hint="eastAsia" w:ascii="宋体" w:hAnsi="宋体" w:eastAsia="宋体" w:cs="宋体"/>
                <w:b w:val="0"/>
                <w:i w:val="0"/>
                <w:caps w:val="0"/>
                <w:color w:val="333333"/>
                <w:spacing w:val="0"/>
                <w:sz w:val="21"/>
                <w:szCs w:val="21"/>
                <w:shd w:val="clear" w:fill="FFFFFF"/>
              </w:rPr>
              <w:t>兴业县环城小区牛麻垌</w:t>
            </w:r>
            <w:r>
              <w:rPr>
                <w:rFonts w:hint="eastAsia" w:ascii="宋体" w:hAnsi="宋体" w:eastAsia="宋体" w:cs="宋体"/>
              </w:rPr>
              <w:t>　</w:t>
            </w:r>
          </w:p>
          <w:p>
            <w:pPr>
              <w:snapToGrid w:val="0"/>
              <w:spacing w:line="360" w:lineRule="auto"/>
              <w:rPr>
                <w:rFonts w:hint="eastAsia" w:ascii="宋体" w:hAnsi="宋体" w:eastAsia="宋体"/>
                <w:lang w:eastAsia="zh-CN"/>
              </w:rPr>
            </w:pPr>
            <w:r>
              <w:rPr>
                <w:rFonts w:hint="eastAsia" w:ascii="宋体" w:hAnsi="宋体"/>
                <w:szCs w:val="21"/>
              </w:rPr>
              <w:t>联系人：</w:t>
            </w:r>
            <w:r>
              <w:rPr>
                <w:rFonts w:hint="eastAsia" w:ascii="宋体" w:hAnsi="宋体"/>
                <w:szCs w:val="21"/>
                <w:lang w:eastAsia="zh-CN"/>
              </w:rPr>
              <w:t>梁广龙</w:t>
            </w:r>
          </w:p>
          <w:p>
            <w:pPr>
              <w:snapToGrid w:val="0"/>
              <w:spacing w:line="360" w:lineRule="auto"/>
              <w:rPr>
                <w:rFonts w:hint="default" w:ascii="宋体" w:hAnsi="宋体" w:eastAsia="宋体"/>
                <w:spacing w:val="6"/>
                <w:kern w:val="48"/>
                <w:szCs w:val="21"/>
                <w:lang w:val="en-US" w:eastAsia="zh-CN"/>
              </w:rPr>
            </w:pPr>
            <w:r>
              <w:rPr>
                <w:rFonts w:hint="eastAsia" w:hAnsi="宋体"/>
                <w:szCs w:val="21"/>
              </w:rPr>
              <w:t>电话：</w:t>
            </w:r>
            <w:r>
              <w:rPr>
                <w:rFonts w:hint="eastAsia" w:hAnsi="宋体"/>
                <w:szCs w:val="21"/>
                <w:lang w:val="en-US" w:eastAsia="zh-CN"/>
              </w:rPr>
              <w:t>15077580930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93" w:type="dxa"/>
            <w:vAlign w:val="center"/>
          </w:tcPr>
          <w:p>
            <w:pPr>
              <w:pStyle w:val="19"/>
              <w:spacing w:line="360" w:lineRule="auto"/>
              <w:jc w:val="center"/>
              <w:rPr>
                <w:rFonts w:hAnsi="宋体"/>
                <w:szCs w:val="21"/>
              </w:rPr>
            </w:pPr>
            <w:r>
              <w:rPr>
                <w:rFonts w:hAnsi="宋体"/>
                <w:szCs w:val="21"/>
              </w:rPr>
              <w:t>1.2</w:t>
            </w:r>
          </w:p>
        </w:tc>
        <w:tc>
          <w:tcPr>
            <w:tcW w:w="2977" w:type="dxa"/>
            <w:vAlign w:val="center"/>
          </w:tcPr>
          <w:p>
            <w:pPr>
              <w:pStyle w:val="19"/>
              <w:spacing w:line="360" w:lineRule="auto"/>
              <w:jc w:val="center"/>
              <w:rPr>
                <w:rFonts w:hAnsi="宋体"/>
                <w:szCs w:val="21"/>
              </w:rPr>
            </w:pPr>
            <w:r>
              <w:rPr>
                <w:rFonts w:hint="eastAsia" w:hAnsi="宋体"/>
                <w:szCs w:val="21"/>
              </w:rPr>
              <w:t>采购代理机构</w:t>
            </w:r>
          </w:p>
        </w:tc>
        <w:tc>
          <w:tcPr>
            <w:tcW w:w="6031" w:type="dxa"/>
            <w:vAlign w:val="center"/>
          </w:tcPr>
          <w:p>
            <w:pPr>
              <w:pStyle w:val="19"/>
              <w:spacing w:line="360" w:lineRule="auto"/>
              <w:rPr>
                <w:rFonts w:hAnsi="宋体"/>
              </w:rPr>
            </w:pPr>
            <w:r>
              <w:rPr>
                <w:rFonts w:hint="eastAsia" w:hAnsi="宋体"/>
              </w:rPr>
              <w:t>名称：广西恒晟水环境治理有限公司</w:t>
            </w:r>
          </w:p>
          <w:p>
            <w:pPr>
              <w:snapToGrid w:val="0"/>
              <w:rPr>
                <w:rFonts w:hAnsi="宋体"/>
              </w:rPr>
            </w:pPr>
            <w:r>
              <w:rPr>
                <w:rFonts w:hint="eastAsia" w:hAnsi="宋体"/>
              </w:rPr>
              <w:t>地址：</w:t>
            </w:r>
            <w:r>
              <w:rPr>
                <w:rFonts w:hint="eastAsia" w:hAnsi="宋体" w:cs="宋体"/>
                <w:szCs w:val="21"/>
              </w:rPr>
              <w:t>玉林市富林.金桂丽湾赏菊园W-16幢1302号</w:t>
            </w:r>
            <w:r>
              <w:rPr>
                <w:rFonts w:hint="eastAsia" w:hAnsi="宋体" w:cs="Arial"/>
                <w:kern w:val="1"/>
                <w:szCs w:val="21"/>
              </w:rPr>
              <w:t>。</w:t>
            </w:r>
          </w:p>
          <w:p>
            <w:pPr>
              <w:pStyle w:val="19"/>
              <w:spacing w:line="360" w:lineRule="auto"/>
              <w:rPr>
                <w:rFonts w:hAnsi="宋体"/>
              </w:rPr>
            </w:pPr>
            <w:r>
              <w:rPr>
                <w:rFonts w:hint="eastAsia" w:hAnsi="宋体"/>
              </w:rPr>
              <w:t>项目联系人：甘丽萍</w:t>
            </w:r>
          </w:p>
          <w:p>
            <w:pPr>
              <w:pStyle w:val="19"/>
              <w:spacing w:line="360" w:lineRule="auto"/>
              <w:rPr>
                <w:rFonts w:hAnsi="宋体"/>
                <w:szCs w:val="21"/>
              </w:rPr>
            </w:pPr>
            <w:r>
              <w:rPr>
                <w:rFonts w:hint="eastAsia" w:hAnsi="宋体"/>
              </w:rPr>
              <w:t>联系电话：</w:t>
            </w:r>
            <w:bookmarkStart w:id="43" w:name="CgwjmbEntity：TEL_0"/>
            <w:bookmarkEnd w:id="43"/>
            <w:r>
              <w:rPr>
                <w:rFonts w:hAnsi="宋体"/>
              </w:rPr>
              <w:t>077</w:t>
            </w:r>
            <w:r>
              <w:rPr>
                <w:rFonts w:hint="eastAsia" w:hAnsi="宋体"/>
              </w:rPr>
              <w:t>5</w:t>
            </w:r>
            <w:r>
              <w:rPr>
                <w:rFonts w:hAnsi="宋体"/>
              </w:rPr>
              <w:t>-</w:t>
            </w:r>
            <w:r>
              <w:rPr>
                <w:rFonts w:hint="eastAsia" w:hAnsi="宋体"/>
              </w:rPr>
              <w:t>2266880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93" w:type="dxa"/>
            <w:vAlign w:val="center"/>
          </w:tcPr>
          <w:p>
            <w:pPr>
              <w:pStyle w:val="19"/>
              <w:spacing w:line="360" w:lineRule="auto"/>
              <w:jc w:val="center"/>
              <w:rPr>
                <w:rFonts w:hAnsi="宋体"/>
                <w:szCs w:val="21"/>
              </w:rPr>
            </w:pPr>
            <w:r>
              <w:rPr>
                <w:rFonts w:hAnsi="宋体"/>
                <w:szCs w:val="21"/>
              </w:rPr>
              <w:t>1.3</w:t>
            </w:r>
          </w:p>
        </w:tc>
        <w:tc>
          <w:tcPr>
            <w:tcW w:w="2977" w:type="dxa"/>
            <w:vAlign w:val="center"/>
          </w:tcPr>
          <w:p>
            <w:pPr>
              <w:pStyle w:val="19"/>
              <w:spacing w:line="360" w:lineRule="auto"/>
              <w:jc w:val="center"/>
              <w:rPr>
                <w:rFonts w:hAnsi="宋体"/>
                <w:szCs w:val="21"/>
              </w:rPr>
            </w:pPr>
            <w:r>
              <w:rPr>
                <w:rFonts w:hint="eastAsia" w:hAnsi="宋体"/>
                <w:szCs w:val="21"/>
              </w:rPr>
              <w:t>项目名称</w:t>
            </w:r>
          </w:p>
        </w:tc>
        <w:tc>
          <w:tcPr>
            <w:tcW w:w="6031" w:type="dxa"/>
            <w:vAlign w:val="center"/>
          </w:tcPr>
          <w:p>
            <w:pPr>
              <w:pStyle w:val="19"/>
              <w:spacing w:line="360" w:lineRule="auto"/>
              <w:rPr>
                <w:rFonts w:hint="eastAsia" w:hAnsi="宋体" w:eastAsia="宋体"/>
                <w:szCs w:val="21"/>
                <w:lang w:eastAsia="zh-CN"/>
              </w:rPr>
            </w:pPr>
            <w:r>
              <w:rPr>
                <w:rFonts w:hint="eastAsia" w:hAnsi="宋体"/>
                <w:szCs w:val="21"/>
                <w:lang w:eastAsia="zh-CN"/>
              </w:rPr>
              <w:t>2020年备灾点救灾物资采购项目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93" w:type="dxa"/>
            <w:vAlign w:val="center"/>
          </w:tcPr>
          <w:p>
            <w:pPr>
              <w:pStyle w:val="19"/>
              <w:spacing w:line="360" w:lineRule="auto"/>
              <w:jc w:val="center"/>
              <w:rPr>
                <w:rFonts w:hAnsi="宋体"/>
                <w:szCs w:val="21"/>
              </w:rPr>
            </w:pPr>
            <w:r>
              <w:rPr>
                <w:rFonts w:hAnsi="宋体"/>
                <w:szCs w:val="21"/>
              </w:rPr>
              <w:t>1.4</w:t>
            </w:r>
          </w:p>
        </w:tc>
        <w:tc>
          <w:tcPr>
            <w:tcW w:w="2977" w:type="dxa"/>
            <w:vAlign w:val="center"/>
          </w:tcPr>
          <w:p>
            <w:pPr>
              <w:pStyle w:val="19"/>
              <w:spacing w:line="360" w:lineRule="auto"/>
              <w:jc w:val="center"/>
              <w:rPr>
                <w:rFonts w:hAnsi="宋体"/>
                <w:szCs w:val="21"/>
              </w:rPr>
            </w:pPr>
            <w:r>
              <w:rPr>
                <w:rFonts w:hint="eastAsia" w:hAnsi="宋体"/>
                <w:szCs w:val="21"/>
              </w:rPr>
              <w:t>项目编号</w:t>
            </w:r>
          </w:p>
        </w:tc>
        <w:tc>
          <w:tcPr>
            <w:tcW w:w="6031" w:type="dxa"/>
            <w:vAlign w:val="center"/>
          </w:tcPr>
          <w:p>
            <w:pPr>
              <w:snapToGrid w:val="0"/>
              <w:spacing w:line="440" w:lineRule="exact"/>
              <w:rPr>
                <w:rFonts w:hint="eastAsia" w:ascii="宋体" w:hAnsi="宋体" w:eastAsia="宋体" w:cs="Arial"/>
                <w:bCs/>
                <w:szCs w:val="21"/>
                <w:u w:val="single"/>
                <w:lang w:eastAsia="zh-CN"/>
              </w:rPr>
            </w:pPr>
            <w:r>
              <w:rPr>
                <w:rFonts w:hint="eastAsia" w:ascii="宋体" w:hAnsi="宋体" w:cs="Arial"/>
                <w:bCs/>
                <w:szCs w:val="21"/>
                <w:lang w:eastAsia="zh-CN"/>
              </w:rPr>
              <w:t>项目编号：YLZC2020-G1-240257-HSHJ</w:t>
            </w:r>
          </w:p>
          <w:p>
            <w:pPr>
              <w:spacing w:line="440" w:lineRule="exact"/>
              <w:jc w:val="left"/>
              <w:rPr>
                <w:rFonts w:hAnsi="宋体"/>
                <w:szCs w:val="21"/>
              </w:rPr>
            </w:pPr>
            <w:r>
              <w:rPr>
                <w:rFonts w:hint="eastAsia" w:ascii="宋体" w:hAnsi="宋体" w:cs="Arial"/>
                <w:bCs/>
                <w:szCs w:val="21"/>
                <w:lang w:eastAsia="zh-CN"/>
              </w:rPr>
              <w:t>采购计划文号：YLZC2020-G1-70854-001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93" w:type="dxa"/>
            <w:vAlign w:val="center"/>
          </w:tcPr>
          <w:p>
            <w:pPr>
              <w:pStyle w:val="19"/>
              <w:spacing w:line="360" w:lineRule="auto"/>
              <w:jc w:val="center"/>
              <w:rPr>
                <w:rFonts w:hAnsi="宋体"/>
                <w:szCs w:val="21"/>
              </w:rPr>
            </w:pPr>
            <w:r>
              <w:rPr>
                <w:rFonts w:hAnsi="宋体"/>
                <w:szCs w:val="21"/>
              </w:rPr>
              <w:t>1.5</w:t>
            </w:r>
          </w:p>
        </w:tc>
        <w:tc>
          <w:tcPr>
            <w:tcW w:w="2977" w:type="dxa"/>
            <w:vAlign w:val="center"/>
          </w:tcPr>
          <w:p>
            <w:pPr>
              <w:pStyle w:val="19"/>
              <w:spacing w:line="360" w:lineRule="auto"/>
              <w:jc w:val="center"/>
              <w:rPr>
                <w:rFonts w:hAnsi="宋体"/>
                <w:szCs w:val="21"/>
              </w:rPr>
            </w:pPr>
            <w:r>
              <w:rPr>
                <w:rFonts w:hint="eastAsia" w:hAnsi="宋体"/>
                <w:szCs w:val="21"/>
              </w:rPr>
              <w:t>采购总预算</w:t>
            </w:r>
          </w:p>
        </w:tc>
        <w:tc>
          <w:tcPr>
            <w:tcW w:w="6031" w:type="dxa"/>
            <w:vAlign w:val="center"/>
          </w:tcPr>
          <w:p>
            <w:pPr>
              <w:pStyle w:val="19"/>
              <w:spacing w:line="360" w:lineRule="auto"/>
              <w:rPr>
                <w:rFonts w:hAnsi="宋体"/>
                <w:szCs w:val="21"/>
              </w:rPr>
            </w:pPr>
            <w:r>
              <w:rPr>
                <w:rFonts w:hint="eastAsia" w:hAnsi="宋体"/>
                <w:szCs w:val="21"/>
              </w:rPr>
              <w:t>人民币贰佰肆拾陆万元整（￥2460000.00元）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93" w:type="dxa"/>
            <w:vAlign w:val="center"/>
          </w:tcPr>
          <w:p>
            <w:pPr>
              <w:pStyle w:val="19"/>
              <w:spacing w:line="360" w:lineRule="auto"/>
              <w:jc w:val="center"/>
              <w:rPr>
                <w:rFonts w:hAnsi="宋体"/>
                <w:szCs w:val="21"/>
              </w:rPr>
            </w:pPr>
            <w:r>
              <w:rPr>
                <w:rFonts w:hAnsi="宋体"/>
                <w:szCs w:val="21"/>
              </w:rPr>
              <w:t>1.7</w:t>
            </w:r>
          </w:p>
        </w:tc>
        <w:tc>
          <w:tcPr>
            <w:tcW w:w="2977" w:type="dxa"/>
            <w:vAlign w:val="center"/>
          </w:tcPr>
          <w:p>
            <w:pPr>
              <w:pStyle w:val="19"/>
              <w:spacing w:line="360" w:lineRule="auto"/>
              <w:jc w:val="center"/>
              <w:rPr>
                <w:rFonts w:hAnsi="宋体"/>
                <w:szCs w:val="21"/>
              </w:rPr>
            </w:pPr>
            <w:r>
              <w:rPr>
                <w:rFonts w:hint="eastAsia" w:hAnsi="宋体"/>
                <w:szCs w:val="21"/>
              </w:rPr>
              <w:t>获取招标文件的时间、地点、方式及招标文件售价</w:t>
            </w:r>
          </w:p>
        </w:tc>
        <w:tc>
          <w:tcPr>
            <w:tcW w:w="6031" w:type="dxa"/>
            <w:vAlign w:val="center"/>
          </w:tcPr>
          <w:p>
            <w:pPr>
              <w:pStyle w:val="19"/>
              <w:spacing w:line="360" w:lineRule="auto"/>
              <w:rPr>
                <w:rFonts w:hAnsi="宋体"/>
              </w:rPr>
            </w:pPr>
            <w:r>
              <w:rPr>
                <w:rFonts w:hint="eastAsia" w:hAnsi="宋体"/>
              </w:rPr>
              <w:t>获取招标文件方式：</w:t>
            </w:r>
          </w:p>
          <w:p>
            <w:pPr>
              <w:pStyle w:val="19"/>
              <w:spacing w:line="360" w:lineRule="auto"/>
              <w:rPr>
                <w:rFonts w:hAnsi="宋体" w:cs="Arial"/>
                <w:szCs w:val="21"/>
              </w:rPr>
            </w:pPr>
            <w:r>
              <w:rPr>
                <w:rFonts w:hint="eastAsia" w:hAnsi="宋体"/>
              </w:rPr>
              <w:t>由潜在投标人自行在</w:t>
            </w:r>
            <w:r>
              <w:rPr>
                <w:rFonts w:hint="eastAsia" w:hAnsi="宋体" w:cs="宋体"/>
                <w:bCs/>
                <w:spacing w:val="-4"/>
                <w:szCs w:val="21"/>
                <w:u w:val="single"/>
              </w:rPr>
              <w:t>政采云平台（https://www.zcygov.cn/）</w:t>
            </w:r>
            <w:r>
              <w:rPr>
                <w:rFonts w:hint="eastAsia" w:hAnsi="宋体" w:cs="宋体"/>
                <w:szCs w:val="21"/>
              </w:rPr>
              <w:t>获取招标文件</w:t>
            </w:r>
            <w:r>
              <w:rPr>
                <w:rFonts w:hint="eastAsia" w:hAnsi="宋体"/>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93" w:type="dxa"/>
            <w:vAlign w:val="center"/>
          </w:tcPr>
          <w:p>
            <w:pPr>
              <w:pStyle w:val="19"/>
              <w:spacing w:line="360" w:lineRule="auto"/>
              <w:jc w:val="center"/>
              <w:rPr>
                <w:rFonts w:hAnsi="宋体"/>
                <w:szCs w:val="21"/>
              </w:rPr>
            </w:pPr>
            <w:r>
              <w:rPr>
                <w:rFonts w:hAnsi="宋体"/>
                <w:szCs w:val="21"/>
              </w:rPr>
              <w:t>3.4</w:t>
            </w:r>
          </w:p>
        </w:tc>
        <w:tc>
          <w:tcPr>
            <w:tcW w:w="2977" w:type="dxa"/>
            <w:vAlign w:val="center"/>
          </w:tcPr>
          <w:p>
            <w:pPr>
              <w:pStyle w:val="19"/>
              <w:spacing w:line="360" w:lineRule="auto"/>
              <w:jc w:val="center"/>
              <w:rPr>
                <w:rFonts w:hAnsi="宋体"/>
                <w:szCs w:val="21"/>
              </w:rPr>
            </w:pPr>
            <w:r>
              <w:rPr>
                <w:rFonts w:hint="eastAsia" w:hAnsi="宋体"/>
                <w:bCs/>
                <w:szCs w:val="21"/>
              </w:rPr>
              <w:t>投标人应具备的特定资格条件</w:t>
            </w:r>
          </w:p>
        </w:tc>
        <w:tc>
          <w:tcPr>
            <w:tcW w:w="6031" w:type="dxa"/>
            <w:vAlign w:val="center"/>
          </w:tcPr>
          <w:p>
            <w:pPr>
              <w:snapToGrid w:val="0"/>
              <w:spacing w:line="360" w:lineRule="auto"/>
              <w:rPr>
                <w:rFonts w:ascii="宋体" w:hAnsi="宋体" w:cs="Arial"/>
                <w:b/>
                <w:bCs/>
                <w:szCs w:val="21"/>
              </w:rPr>
            </w:pPr>
            <w:r>
              <w:rPr>
                <w:rFonts w:hint="eastAsia" w:ascii="宋体" w:hAnsi="宋体" w:cs="Arial"/>
                <w:szCs w:val="21"/>
              </w:rPr>
              <w:t>详见招标公告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93" w:type="dxa"/>
            <w:vAlign w:val="center"/>
          </w:tcPr>
          <w:p>
            <w:pPr>
              <w:pStyle w:val="19"/>
              <w:spacing w:line="360" w:lineRule="auto"/>
              <w:jc w:val="center"/>
              <w:rPr>
                <w:rFonts w:hAnsi="宋体"/>
                <w:szCs w:val="21"/>
              </w:rPr>
            </w:pPr>
            <w:r>
              <w:rPr>
                <w:rFonts w:hAnsi="宋体"/>
                <w:szCs w:val="21"/>
              </w:rPr>
              <w:t>3.5</w:t>
            </w:r>
          </w:p>
        </w:tc>
        <w:tc>
          <w:tcPr>
            <w:tcW w:w="2977" w:type="dxa"/>
            <w:vAlign w:val="center"/>
          </w:tcPr>
          <w:p>
            <w:pPr>
              <w:pStyle w:val="19"/>
              <w:spacing w:line="360" w:lineRule="auto"/>
              <w:jc w:val="center"/>
              <w:rPr>
                <w:rFonts w:hAnsi="宋体"/>
                <w:szCs w:val="21"/>
              </w:rPr>
            </w:pPr>
            <w:r>
              <w:rPr>
                <w:rFonts w:hint="eastAsia" w:hAnsi="宋体"/>
                <w:szCs w:val="21"/>
              </w:rPr>
              <w:t>是否接受联合体投标</w:t>
            </w:r>
          </w:p>
        </w:tc>
        <w:tc>
          <w:tcPr>
            <w:tcW w:w="6031" w:type="dxa"/>
            <w:vAlign w:val="center"/>
          </w:tcPr>
          <w:p>
            <w:pPr>
              <w:pStyle w:val="19"/>
              <w:spacing w:line="360" w:lineRule="auto"/>
              <w:rPr>
                <w:rFonts w:hAnsi="宋体"/>
                <w:szCs w:val="21"/>
              </w:rPr>
            </w:pPr>
            <w:r>
              <w:rPr>
                <w:rFonts w:hint="eastAsia" w:hAnsi="宋体"/>
                <w:szCs w:val="21"/>
              </w:rPr>
              <w:t>不接受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93" w:type="dxa"/>
            <w:vMerge w:val="restart"/>
            <w:vAlign w:val="center"/>
          </w:tcPr>
          <w:p>
            <w:pPr>
              <w:pStyle w:val="19"/>
              <w:spacing w:line="360" w:lineRule="auto"/>
              <w:jc w:val="center"/>
              <w:rPr>
                <w:rFonts w:hAnsi="宋体"/>
                <w:szCs w:val="21"/>
              </w:rPr>
            </w:pPr>
            <w:r>
              <w:rPr>
                <w:rFonts w:hAnsi="宋体"/>
                <w:szCs w:val="21"/>
              </w:rPr>
              <w:t>4.1</w:t>
            </w:r>
          </w:p>
        </w:tc>
        <w:tc>
          <w:tcPr>
            <w:tcW w:w="2977" w:type="dxa"/>
            <w:vAlign w:val="center"/>
          </w:tcPr>
          <w:p>
            <w:pPr>
              <w:pStyle w:val="19"/>
              <w:spacing w:line="360" w:lineRule="auto"/>
              <w:jc w:val="center"/>
              <w:rPr>
                <w:rFonts w:hAnsi="宋体"/>
                <w:szCs w:val="21"/>
              </w:rPr>
            </w:pPr>
            <w:r>
              <w:rPr>
                <w:rFonts w:hint="eastAsia" w:hAnsi="宋体"/>
                <w:szCs w:val="21"/>
              </w:rPr>
              <w:t>招标文件质疑提交的截止时间</w:t>
            </w:r>
          </w:p>
        </w:tc>
        <w:tc>
          <w:tcPr>
            <w:tcW w:w="6031" w:type="dxa"/>
            <w:vAlign w:val="center"/>
          </w:tcPr>
          <w:p>
            <w:pPr>
              <w:pStyle w:val="19"/>
              <w:spacing w:line="360" w:lineRule="auto"/>
              <w:rPr>
                <w:rFonts w:hAnsi="宋体"/>
                <w:szCs w:val="21"/>
              </w:rPr>
            </w:pPr>
            <w:r>
              <w:rPr>
                <w:rFonts w:hint="eastAsia" w:hAnsi="宋体"/>
                <w:szCs w:val="21"/>
              </w:rPr>
              <w:t>采购文件公告期届满之日起7个工作日内提出。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93" w:type="dxa"/>
            <w:vMerge w:val="continue"/>
            <w:vAlign w:val="center"/>
          </w:tcPr>
          <w:p>
            <w:pPr>
              <w:pStyle w:val="19"/>
              <w:spacing w:line="360" w:lineRule="auto"/>
              <w:jc w:val="center"/>
              <w:rPr>
                <w:rFonts w:hAnsi="宋体"/>
                <w:szCs w:val="21"/>
              </w:rPr>
            </w:pPr>
          </w:p>
        </w:tc>
        <w:tc>
          <w:tcPr>
            <w:tcW w:w="2977" w:type="dxa"/>
            <w:vAlign w:val="center"/>
          </w:tcPr>
          <w:p>
            <w:pPr>
              <w:pStyle w:val="19"/>
              <w:spacing w:line="360" w:lineRule="auto"/>
              <w:jc w:val="center"/>
              <w:rPr>
                <w:rFonts w:hAnsi="宋体"/>
                <w:szCs w:val="21"/>
              </w:rPr>
            </w:pPr>
            <w:r>
              <w:rPr>
                <w:rFonts w:hint="eastAsia" w:hAnsi="宋体"/>
                <w:szCs w:val="21"/>
              </w:rPr>
              <w:t>质疑提交地点、电话</w:t>
            </w:r>
          </w:p>
        </w:tc>
        <w:tc>
          <w:tcPr>
            <w:tcW w:w="6031" w:type="dxa"/>
            <w:vAlign w:val="center"/>
          </w:tcPr>
          <w:p>
            <w:pPr>
              <w:pStyle w:val="19"/>
              <w:spacing w:line="360" w:lineRule="auto"/>
              <w:rPr>
                <w:rFonts w:hAnsi="宋体"/>
                <w:szCs w:val="21"/>
                <w:u w:val="single"/>
              </w:rPr>
            </w:pPr>
            <w:r>
              <w:rPr>
                <w:rFonts w:hint="eastAsia" w:hAnsi="宋体" w:cs="Arial"/>
                <w:szCs w:val="21"/>
              </w:rPr>
              <w:t>广西恒晟水环境治理有限公司，地址：玉林市富林.金桂丽湾赏菊园W-16幢1302号，质疑咨询电话：</w:t>
            </w:r>
            <w:r>
              <w:rPr>
                <w:rFonts w:hAnsi="宋体" w:cs="Arial"/>
                <w:szCs w:val="21"/>
              </w:rPr>
              <w:t>077</w:t>
            </w:r>
            <w:r>
              <w:rPr>
                <w:rFonts w:hint="eastAsia" w:hAnsi="宋体" w:cs="Arial"/>
                <w:szCs w:val="21"/>
              </w:rPr>
              <w:t>5</w:t>
            </w:r>
            <w:r>
              <w:rPr>
                <w:rFonts w:hAnsi="宋体" w:cs="Arial"/>
                <w:szCs w:val="21"/>
              </w:rPr>
              <w:t>-</w:t>
            </w:r>
            <w:r>
              <w:rPr>
                <w:rFonts w:hint="eastAsia" w:hAnsi="宋体" w:cs="Arial"/>
                <w:szCs w:val="21"/>
              </w:rPr>
              <w:t>2266880。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93" w:type="dxa"/>
            <w:vAlign w:val="center"/>
          </w:tcPr>
          <w:p>
            <w:pPr>
              <w:pStyle w:val="19"/>
              <w:spacing w:line="360" w:lineRule="auto"/>
              <w:jc w:val="center"/>
              <w:rPr>
                <w:rFonts w:hAnsi="宋体"/>
                <w:szCs w:val="21"/>
              </w:rPr>
            </w:pPr>
            <w:r>
              <w:rPr>
                <w:rFonts w:hAnsi="宋体"/>
                <w:szCs w:val="21"/>
              </w:rPr>
              <w:t>7.1</w:t>
            </w:r>
          </w:p>
        </w:tc>
        <w:tc>
          <w:tcPr>
            <w:tcW w:w="2977" w:type="dxa"/>
            <w:vAlign w:val="center"/>
          </w:tcPr>
          <w:p>
            <w:pPr>
              <w:pStyle w:val="19"/>
              <w:spacing w:line="360" w:lineRule="auto"/>
              <w:jc w:val="center"/>
              <w:rPr>
                <w:rFonts w:hAnsi="宋体" w:cs="宋体"/>
                <w:kern w:val="0"/>
                <w:szCs w:val="21"/>
              </w:rPr>
            </w:pPr>
            <w:r>
              <w:rPr>
                <w:rFonts w:hint="eastAsia" w:hAnsi="宋体" w:cs="宋体"/>
                <w:kern w:val="0"/>
                <w:szCs w:val="21"/>
              </w:rPr>
              <w:t>投标人要求澄清的截止时间</w:t>
            </w:r>
          </w:p>
        </w:tc>
        <w:tc>
          <w:tcPr>
            <w:tcW w:w="6031" w:type="dxa"/>
            <w:vAlign w:val="center"/>
          </w:tcPr>
          <w:p>
            <w:pPr>
              <w:pStyle w:val="19"/>
              <w:spacing w:line="360" w:lineRule="auto"/>
              <w:rPr>
                <w:rFonts w:hAnsi="宋体"/>
                <w:szCs w:val="21"/>
              </w:rPr>
            </w:pPr>
            <w:r>
              <w:rPr>
                <w:rFonts w:hint="eastAsia" w:hAnsi="宋体"/>
                <w:szCs w:val="21"/>
              </w:rPr>
              <w:t>投标人发现招标文件有误或有不合理要求的，必须在收到招标文件之日起七个工作日内以书面形式要求采购人、采购代理机构澄清。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93" w:type="dxa"/>
            <w:vAlign w:val="center"/>
          </w:tcPr>
          <w:p>
            <w:pPr>
              <w:pStyle w:val="19"/>
              <w:spacing w:line="360" w:lineRule="auto"/>
              <w:jc w:val="center"/>
              <w:rPr>
                <w:rFonts w:hAnsi="宋体"/>
                <w:szCs w:val="21"/>
              </w:rPr>
            </w:pPr>
            <w:r>
              <w:rPr>
                <w:rFonts w:hAnsi="宋体"/>
                <w:szCs w:val="21"/>
              </w:rPr>
              <w:t>8.7</w:t>
            </w:r>
          </w:p>
        </w:tc>
        <w:tc>
          <w:tcPr>
            <w:tcW w:w="2977" w:type="dxa"/>
            <w:vAlign w:val="center"/>
          </w:tcPr>
          <w:p>
            <w:pPr>
              <w:pStyle w:val="19"/>
              <w:spacing w:line="360" w:lineRule="auto"/>
              <w:jc w:val="center"/>
              <w:rPr>
                <w:rFonts w:hAnsi="宋体"/>
                <w:szCs w:val="21"/>
              </w:rPr>
            </w:pPr>
            <w:r>
              <w:rPr>
                <w:rFonts w:hint="eastAsia" w:hAnsi="宋体"/>
                <w:szCs w:val="21"/>
              </w:rPr>
              <w:t>投标文件副本份数</w:t>
            </w:r>
          </w:p>
        </w:tc>
        <w:tc>
          <w:tcPr>
            <w:tcW w:w="6031" w:type="dxa"/>
            <w:vAlign w:val="center"/>
          </w:tcPr>
          <w:p>
            <w:pPr>
              <w:pStyle w:val="19"/>
              <w:spacing w:line="360" w:lineRule="auto"/>
              <w:rPr>
                <w:rFonts w:hAnsi="宋体"/>
                <w:szCs w:val="21"/>
              </w:rPr>
            </w:pPr>
            <w:r>
              <w:rPr>
                <w:rFonts w:hint="eastAsia" w:hAnsi="宋体"/>
                <w:szCs w:val="21"/>
              </w:rPr>
              <w:t>报价文件：正本</w:t>
            </w:r>
            <w:r>
              <w:rPr>
                <w:rFonts w:hAnsi="宋体"/>
                <w:szCs w:val="21"/>
              </w:rPr>
              <w:t>1</w:t>
            </w:r>
            <w:r>
              <w:rPr>
                <w:rFonts w:hint="eastAsia" w:hAnsi="宋体"/>
                <w:szCs w:val="21"/>
              </w:rPr>
              <w:t>份，副本</w:t>
            </w:r>
            <w:r>
              <w:rPr>
                <w:rFonts w:hAnsi="宋体"/>
                <w:szCs w:val="21"/>
              </w:rPr>
              <w:t>4</w:t>
            </w:r>
            <w:r>
              <w:rPr>
                <w:rFonts w:hint="eastAsia" w:hAnsi="宋体"/>
                <w:szCs w:val="21"/>
              </w:rPr>
              <w:t>份</w:t>
            </w:r>
          </w:p>
          <w:p>
            <w:pPr>
              <w:pStyle w:val="19"/>
              <w:spacing w:line="360" w:lineRule="auto"/>
              <w:rPr>
                <w:rFonts w:hAnsi="宋体"/>
                <w:szCs w:val="21"/>
              </w:rPr>
            </w:pPr>
            <w:r>
              <w:rPr>
                <w:rFonts w:hint="eastAsia" w:hAnsi="宋体"/>
                <w:szCs w:val="21"/>
              </w:rPr>
              <w:t>资格文件：正本</w:t>
            </w:r>
            <w:r>
              <w:rPr>
                <w:rFonts w:hAnsi="宋体"/>
                <w:szCs w:val="21"/>
              </w:rPr>
              <w:t>1</w:t>
            </w:r>
            <w:r>
              <w:rPr>
                <w:rFonts w:hint="eastAsia" w:hAnsi="宋体"/>
                <w:szCs w:val="21"/>
              </w:rPr>
              <w:t>份，副本</w:t>
            </w:r>
            <w:r>
              <w:rPr>
                <w:rFonts w:hAnsi="宋体"/>
                <w:szCs w:val="21"/>
              </w:rPr>
              <w:t>4</w:t>
            </w:r>
            <w:r>
              <w:rPr>
                <w:rFonts w:hint="eastAsia" w:hAnsi="宋体"/>
                <w:szCs w:val="21"/>
              </w:rPr>
              <w:t>份</w:t>
            </w:r>
          </w:p>
          <w:p>
            <w:pPr>
              <w:pStyle w:val="19"/>
              <w:spacing w:line="360" w:lineRule="auto"/>
              <w:rPr>
                <w:rFonts w:hAnsi="宋体"/>
                <w:szCs w:val="21"/>
              </w:rPr>
            </w:pPr>
            <w:r>
              <w:rPr>
                <w:rFonts w:hint="eastAsia" w:hAnsi="宋体"/>
                <w:szCs w:val="21"/>
              </w:rPr>
              <w:t>商务文件：正本</w:t>
            </w:r>
            <w:r>
              <w:rPr>
                <w:rFonts w:hAnsi="宋体"/>
                <w:szCs w:val="21"/>
              </w:rPr>
              <w:t>1</w:t>
            </w:r>
            <w:r>
              <w:rPr>
                <w:rFonts w:hint="eastAsia" w:hAnsi="宋体"/>
                <w:szCs w:val="21"/>
              </w:rPr>
              <w:t>份，副本</w:t>
            </w:r>
            <w:r>
              <w:rPr>
                <w:rFonts w:hAnsi="宋体"/>
                <w:szCs w:val="21"/>
              </w:rPr>
              <w:t>4</w:t>
            </w:r>
            <w:r>
              <w:rPr>
                <w:rFonts w:hint="eastAsia" w:hAnsi="宋体"/>
                <w:szCs w:val="21"/>
              </w:rPr>
              <w:t>份</w:t>
            </w:r>
          </w:p>
          <w:p>
            <w:pPr>
              <w:pStyle w:val="19"/>
              <w:spacing w:line="360" w:lineRule="auto"/>
              <w:rPr>
                <w:rFonts w:hAnsi="宋体"/>
                <w:szCs w:val="21"/>
              </w:rPr>
            </w:pPr>
            <w:r>
              <w:rPr>
                <w:rFonts w:hint="eastAsia" w:hAnsi="宋体"/>
                <w:szCs w:val="21"/>
              </w:rPr>
              <w:t>技术文件：正本</w:t>
            </w:r>
            <w:r>
              <w:rPr>
                <w:rFonts w:hAnsi="宋体"/>
                <w:szCs w:val="21"/>
              </w:rPr>
              <w:t>1</w:t>
            </w:r>
            <w:r>
              <w:rPr>
                <w:rFonts w:hint="eastAsia" w:hAnsi="宋体"/>
                <w:szCs w:val="21"/>
              </w:rPr>
              <w:t>份，副本</w:t>
            </w:r>
            <w:r>
              <w:rPr>
                <w:rFonts w:hAnsi="宋体"/>
                <w:szCs w:val="21"/>
              </w:rPr>
              <w:t>4</w:t>
            </w:r>
            <w:r>
              <w:rPr>
                <w:rFonts w:hint="eastAsia" w:hAnsi="宋体"/>
                <w:szCs w:val="21"/>
              </w:rPr>
              <w:t>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93" w:type="dxa"/>
            <w:vAlign w:val="center"/>
          </w:tcPr>
          <w:p>
            <w:pPr>
              <w:pStyle w:val="19"/>
              <w:spacing w:line="360" w:lineRule="auto"/>
              <w:jc w:val="center"/>
              <w:rPr>
                <w:rFonts w:hAnsi="宋体"/>
                <w:szCs w:val="21"/>
              </w:rPr>
            </w:pPr>
          </w:p>
        </w:tc>
        <w:tc>
          <w:tcPr>
            <w:tcW w:w="2977" w:type="dxa"/>
            <w:vAlign w:val="center"/>
          </w:tcPr>
          <w:p>
            <w:pPr>
              <w:pStyle w:val="19"/>
              <w:spacing w:line="360" w:lineRule="auto"/>
              <w:jc w:val="center"/>
              <w:rPr>
                <w:rFonts w:hAnsi="宋体"/>
                <w:szCs w:val="21"/>
              </w:rPr>
            </w:pPr>
            <w:r>
              <w:rPr>
                <w:rFonts w:hint="eastAsia" w:hAnsi="宋体" w:cs="Courier New"/>
                <w:szCs w:val="21"/>
              </w:rPr>
              <w:t>投标文件电子版</w:t>
            </w:r>
          </w:p>
        </w:tc>
        <w:tc>
          <w:tcPr>
            <w:tcW w:w="6031" w:type="dxa"/>
            <w:vAlign w:val="center"/>
          </w:tcPr>
          <w:p>
            <w:pPr>
              <w:pStyle w:val="19"/>
              <w:spacing w:line="360" w:lineRule="auto"/>
              <w:rPr>
                <w:rFonts w:hAnsi="宋体"/>
                <w:szCs w:val="21"/>
              </w:rPr>
            </w:pPr>
            <w:r>
              <w:rPr>
                <w:rFonts w:hint="eastAsia" w:hAnsi="宋体" w:cs="Courier New"/>
                <w:szCs w:val="21"/>
              </w:rPr>
              <w:t>不需要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93" w:type="dxa"/>
            <w:vAlign w:val="center"/>
          </w:tcPr>
          <w:p>
            <w:pPr>
              <w:pStyle w:val="19"/>
              <w:spacing w:line="360" w:lineRule="auto"/>
              <w:jc w:val="center"/>
              <w:rPr>
                <w:rFonts w:hAnsi="宋体"/>
                <w:szCs w:val="21"/>
              </w:rPr>
            </w:pPr>
            <w:r>
              <w:rPr>
                <w:rFonts w:hAnsi="宋体"/>
                <w:szCs w:val="21"/>
              </w:rPr>
              <w:t>11.4</w:t>
            </w:r>
          </w:p>
        </w:tc>
        <w:tc>
          <w:tcPr>
            <w:tcW w:w="2977" w:type="dxa"/>
            <w:vAlign w:val="center"/>
          </w:tcPr>
          <w:p>
            <w:pPr>
              <w:autoSpaceDE w:val="0"/>
              <w:autoSpaceDN w:val="0"/>
              <w:spacing w:line="360" w:lineRule="auto"/>
              <w:jc w:val="center"/>
              <w:rPr>
                <w:rFonts w:ascii="宋体" w:hAnsi="宋体" w:cs="宋体"/>
                <w:kern w:val="0"/>
                <w:szCs w:val="21"/>
              </w:rPr>
            </w:pPr>
            <w:r>
              <w:rPr>
                <w:rFonts w:hint="eastAsia" w:ascii="宋体" w:hAnsi="宋体"/>
                <w:kern w:val="0"/>
                <w:szCs w:val="21"/>
              </w:rPr>
              <w:t>采购代理服务费</w:t>
            </w:r>
          </w:p>
        </w:tc>
        <w:tc>
          <w:tcPr>
            <w:tcW w:w="6031" w:type="dxa"/>
            <w:vAlign w:val="center"/>
          </w:tcPr>
          <w:p>
            <w:pPr>
              <w:pStyle w:val="19"/>
              <w:spacing w:line="360" w:lineRule="auto"/>
              <w:jc w:val="left"/>
              <w:rPr>
                <w:rFonts w:hAnsi="宋体" w:cs="宋体"/>
                <w:kern w:val="0"/>
                <w:szCs w:val="21"/>
              </w:rPr>
            </w:pPr>
            <w:r>
              <w:rPr>
                <w:rFonts w:hint="eastAsia" w:hAnsi="宋体"/>
                <w:szCs w:val="21"/>
              </w:rPr>
              <w:t>招标代理服务费各分标参照按【</w:t>
            </w:r>
            <w:r>
              <w:rPr>
                <w:rFonts w:hAnsi="宋体"/>
                <w:szCs w:val="21"/>
              </w:rPr>
              <w:t>2011</w:t>
            </w:r>
            <w:r>
              <w:rPr>
                <w:rFonts w:hint="eastAsia" w:hAnsi="宋体"/>
                <w:szCs w:val="21"/>
              </w:rPr>
              <w:t>】</w:t>
            </w:r>
            <w:r>
              <w:rPr>
                <w:rFonts w:hAnsi="宋体"/>
                <w:szCs w:val="21"/>
              </w:rPr>
              <w:t>534</w:t>
            </w:r>
            <w:r>
              <w:rPr>
                <w:rFonts w:hint="eastAsia" w:hAnsi="宋体"/>
                <w:szCs w:val="21"/>
              </w:rPr>
              <w:t>号文规定货物类标准（详见附件一）计取，在发出中标通知书时，中标人向采购代理机构一次性付清。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93" w:type="dxa"/>
            <w:vAlign w:val="center"/>
          </w:tcPr>
          <w:p>
            <w:pPr>
              <w:pStyle w:val="19"/>
              <w:spacing w:line="360" w:lineRule="auto"/>
              <w:jc w:val="center"/>
              <w:rPr>
                <w:rFonts w:hAnsi="宋体"/>
                <w:szCs w:val="21"/>
              </w:rPr>
            </w:pPr>
            <w:r>
              <w:rPr>
                <w:rFonts w:hAnsi="宋体"/>
                <w:szCs w:val="21"/>
              </w:rPr>
              <w:t>12.1</w:t>
            </w:r>
          </w:p>
        </w:tc>
        <w:tc>
          <w:tcPr>
            <w:tcW w:w="2977" w:type="dxa"/>
            <w:vAlign w:val="center"/>
          </w:tcPr>
          <w:p>
            <w:pPr>
              <w:pStyle w:val="19"/>
              <w:spacing w:line="360" w:lineRule="auto"/>
              <w:jc w:val="center"/>
              <w:rPr>
                <w:rFonts w:hAnsi="宋体"/>
                <w:szCs w:val="21"/>
              </w:rPr>
            </w:pPr>
            <w:r>
              <w:rPr>
                <w:rFonts w:hint="eastAsia" w:hAnsi="宋体"/>
                <w:szCs w:val="21"/>
              </w:rPr>
              <w:t>投标有效期</w:t>
            </w:r>
          </w:p>
        </w:tc>
        <w:tc>
          <w:tcPr>
            <w:tcW w:w="6031" w:type="dxa"/>
            <w:vAlign w:val="center"/>
          </w:tcPr>
          <w:p>
            <w:pPr>
              <w:pStyle w:val="19"/>
              <w:spacing w:line="360" w:lineRule="auto"/>
              <w:rPr>
                <w:rFonts w:hAnsi="宋体"/>
                <w:szCs w:val="21"/>
              </w:rPr>
            </w:pPr>
            <w:r>
              <w:rPr>
                <w:rFonts w:hint="eastAsia" w:hAnsi="宋体"/>
                <w:szCs w:val="21"/>
              </w:rPr>
              <w:t>自投标截止之日起</w:t>
            </w:r>
            <w:r>
              <w:rPr>
                <w:rFonts w:hAnsi="宋体"/>
                <w:szCs w:val="21"/>
              </w:rPr>
              <w:t>90</w:t>
            </w:r>
            <w:r>
              <w:rPr>
                <w:rFonts w:hint="eastAsia" w:hAnsi="宋体"/>
                <w:szCs w:val="21"/>
              </w:rPr>
              <w:t>日历天内保持有效，投标有效期不满足要求的投标将被视为非实质性响应投标而予以拒绝。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93" w:type="dxa"/>
            <w:vAlign w:val="center"/>
          </w:tcPr>
          <w:p>
            <w:pPr>
              <w:pStyle w:val="19"/>
              <w:spacing w:line="360" w:lineRule="auto"/>
              <w:jc w:val="center"/>
              <w:rPr>
                <w:rFonts w:hAnsi="宋体"/>
                <w:szCs w:val="21"/>
              </w:rPr>
            </w:pPr>
            <w:r>
              <w:rPr>
                <w:rFonts w:hAnsi="宋体"/>
                <w:szCs w:val="21"/>
              </w:rPr>
              <w:t>13.1</w:t>
            </w:r>
          </w:p>
        </w:tc>
        <w:tc>
          <w:tcPr>
            <w:tcW w:w="2977" w:type="dxa"/>
            <w:vAlign w:val="center"/>
          </w:tcPr>
          <w:p>
            <w:pPr>
              <w:pStyle w:val="19"/>
              <w:spacing w:line="360" w:lineRule="auto"/>
              <w:jc w:val="center"/>
              <w:rPr>
                <w:rFonts w:hAnsi="宋体"/>
                <w:szCs w:val="21"/>
              </w:rPr>
            </w:pPr>
            <w:r>
              <w:rPr>
                <w:rFonts w:hint="eastAsia" w:hAnsi="宋体"/>
                <w:szCs w:val="21"/>
              </w:rPr>
              <w:t>投标保证金金额</w:t>
            </w:r>
          </w:p>
        </w:tc>
        <w:tc>
          <w:tcPr>
            <w:tcW w:w="6031" w:type="dxa"/>
            <w:vAlign w:val="center"/>
          </w:tcPr>
          <w:p>
            <w:pPr>
              <w:snapToGrid w:val="0"/>
              <w:spacing w:line="360" w:lineRule="auto"/>
              <w:rPr>
                <w:rFonts w:ascii="宋体" w:hAnsi="宋体" w:cs="Arial"/>
                <w:szCs w:val="21"/>
              </w:rPr>
            </w:pPr>
            <w:r>
              <w:rPr>
                <w:rFonts w:hint="eastAsia" w:ascii="宋体" w:hAnsi="宋体"/>
                <w:szCs w:val="21"/>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93" w:type="dxa"/>
            <w:vAlign w:val="center"/>
          </w:tcPr>
          <w:p>
            <w:pPr>
              <w:pStyle w:val="19"/>
              <w:spacing w:line="360" w:lineRule="auto"/>
              <w:jc w:val="center"/>
              <w:rPr>
                <w:rFonts w:hAnsi="宋体"/>
                <w:szCs w:val="21"/>
              </w:rPr>
            </w:pPr>
            <w:r>
              <w:rPr>
                <w:rFonts w:hAnsi="宋体"/>
                <w:szCs w:val="21"/>
              </w:rPr>
              <w:t>15.1</w:t>
            </w:r>
          </w:p>
        </w:tc>
        <w:tc>
          <w:tcPr>
            <w:tcW w:w="2977" w:type="dxa"/>
            <w:vAlign w:val="center"/>
          </w:tcPr>
          <w:p>
            <w:pPr>
              <w:pStyle w:val="19"/>
              <w:spacing w:line="360" w:lineRule="auto"/>
              <w:jc w:val="center"/>
              <w:rPr>
                <w:rFonts w:hAnsi="宋体"/>
                <w:szCs w:val="21"/>
              </w:rPr>
            </w:pPr>
            <w:r>
              <w:rPr>
                <w:rFonts w:hint="eastAsia" w:hAnsi="宋体"/>
                <w:szCs w:val="21"/>
              </w:rPr>
              <w:t>投标截止时间（开标时间）</w:t>
            </w:r>
          </w:p>
        </w:tc>
        <w:tc>
          <w:tcPr>
            <w:tcW w:w="6031" w:type="dxa"/>
            <w:vAlign w:val="center"/>
          </w:tcPr>
          <w:p>
            <w:pPr>
              <w:pStyle w:val="19"/>
              <w:spacing w:line="360" w:lineRule="auto"/>
              <w:rPr>
                <w:rFonts w:hAnsi="宋体"/>
                <w:szCs w:val="21"/>
              </w:rPr>
            </w:pPr>
            <w:r>
              <w:rPr>
                <w:rStyle w:val="202"/>
                <w:rFonts w:hAnsi="宋体"/>
                <w:szCs w:val="21"/>
              </w:rPr>
              <w:t>202</w:t>
            </w:r>
            <w:r>
              <w:rPr>
                <w:rStyle w:val="202"/>
                <w:rFonts w:hint="eastAsia" w:hAnsi="宋体"/>
                <w:szCs w:val="21"/>
                <w:lang w:val="en-US" w:eastAsia="zh-CN"/>
              </w:rPr>
              <w:t>1</w:t>
            </w:r>
            <w:r>
              <w:rPr>
                <w:rStyle w:val="202"/>
                <w:rFonts w:hAnsi="宋体"/>
                <w:szCs w:val="21"/>
              </w:rPr>
              <w:t>年</w:t>
            </w:r>
            <w:r>
              <w:rPr>
                <w:rStyle w:val="202"/>
                <w:rFonts w:hint="eastAsia" w:hAnsi="宋体"/>
                <w:szCs w:val="21"/>
                <w:lang w:val="en-US" w:eastAsia="zh-CN"/>
              </w:rPr>
              <w:t>1</w:t>
            </w:r>
            <w:r>
              <w:rPr>
                <w:rStyle w:val="202"/>
                <w:rFonts w:hAnsi="宋体"/>
                <w:szCs w:val="21"/>
              </w:rPr>
              <w:t>月</w:t>
            </w:r>
            <w:r>
              <w:rPr>
                <w:rStyle w:val="202"/>
                <w:rFonts w:hint="eastAsia" w:hAnsi="宋体"/>
                <w:szCs w:val="21"/>
                <w:lang w:val="en-US" w:eastAsia="zh-CN"/>
              </w:rPr>
              <w:t>6</w:t>
            </w:r>
            <w:r>
              <w:rPr>
                <w:rStyle w:val="202"/>
                <w:rFonts w:hAnsi="宋体"/>
                <w:szCs w:val="21"/>
              </w:rPr>
              <w:t xml:space="preserve"> 日上午</w:t>
            </w:r>
            <w:r>
              <w:rPr>
                <w:rStyle w:val="202"/>
                <w:rFonts w:hint="eastAsia" w:hAnsi="宋体"/>
                <w:szCs w:val="21"/>
              </w:rPr>
              <w:t>10</w:t>
            </w:r>
            <w:r>
              <w:rPr>
                <w:rStyle w:val="202"/>
                <w:rFonts w:hAnsi="宋体"/>
                <w:szCs w:val="21"/>
              </w:rPr>
              <w:t xml:space="preserve"> 时</w:t>
            </w:r>
            <w:r>
              <w:rPr>
                <w:rStyle w:val="202"/>
                <w:rFonts w:hint="eastAsia" w:hAnsi="宋体"/>
                <w:szCs w:val="21"/>
              </w:rPr>
              <w:t>00</w:t>
            </w:r>
            <w:r>
              <w:rPr>
                <w:rStyle w:val="202"/>
                <w:rFonts w:hAnsi="宋体"/>
                <w:szCs w:val="21"/>
              </w:rPr>
              <w:t xml:space="preserve"> 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93" w:type="dxa"/>
            <w:vAlign w:val="center"/>
          </w:tcPr>
          <w:p>
            <w:pPr>
              <w:pStyle w:val="19"/>
              <w:spacing w:line="360" w:lineRule="auto"/>
              <w:jc w:val="center"/>
              <w:rPr>
                <w:rFonts w:hAnsi="宋体"/>
                <w:szCs w:val="21"/>
              </w:rPr>
            </w:pPr>
            <w:r>
              <w:rPr>
                <w:rFonts w:hAnsi="宋体"/>
                <w:szCs w:val="21"/>
              </w:rPr>
              <w:t>15.2</w:t>
            </w:r>
          </w:p>
        </w:tc>
        <w:tc>
          <w:tcPr>
            <w:tcW w:w="2977" w:type="dxa"/>
            <w:vAlign w:val="center"/>
          </w:tcPr>
          <w:p>
            <w:pPr>
              <w:pStyle w:val="19"/>
              <w:spacing w:line="360" w:lineRule="auto"/>
              <w:jc w:val="center"/>
              <w:rPr>
                <w:rFonts w:hAnsi="宋体"/>
                <w:szCs w:val="21"/>
              </w:rPr>
            </w:pPr>
            <w:r>
              <w:rPr>
                <w:rFonts w:hint="eastAsia" w:hAnsi="宋体"/>
                <w:szCs w:val="21"/>
              </w:rPr>
              <w:t>递交投标文件地点</w:t>
            </w:r>
          </w:p>
        </w:tc>
        <w:tc>
          <w:tcPr>
            <w:tcW w:w="6031" w:type="dxa"/>
            <w:vAlign w:val="center"/>
          </w:tcPr>
          <w:p>
            <w:pPr>
              <w:snapToGrid w:val="0"/>
              <w:spacing w:line="360" w:lineRule="auto"/>
              <w:jc w:val="left"/>
              <w:rPr>
                <w:rFonts w:ascii="宋体" w:hAnsi="宋体"/>
                <w:b/>
                <w:szCs w:val="21"/>
              </w:rPr>
            </w:pPr>
            <w:r>
              <w:rPr>
                <w:rFonts w:hint="eastAsia" w:ascii="宋体" w:hAnsi="宋体" w:cs="Arial"/>
                <w:szCs w:val="21"/>
              </w:rPr>
              <w:t>详见公告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93" w:type="dxa"/>
            <w:vAlign w:val="center"/>
          </w:tcPr>
          <w:p>
            <w:pPr>
              <w:pStyle w:val="19"/>
              <w:spacing w:line="360" w:lineRule="auto"/>
              <w:jc w:val="center"/>
              <w:rPr>
                <w:rFonts w:hAnsi="宋体"/>
                <w:szCs w:val="21"/>
              </w:rPr>
            </w:pPr>
            <w:r>
              <w:rPr>
                <w:rFonts w:hAnsi="宋体"/>
                <w:szCs w:val="21"/>
              </w:rPr>
              <w:t>15.3</w:t>
            </w:r>
          </w:p>
        </w:tc>
        <w:tc>
          <w:tcPr>
            <w:tcW w:w="2977" w:type="dxa"/>
            <w:vAlign w:val="center"/>
          </w:tcPr>
          <w:p>
            <w:pPr>
              <w:pStyle w:val="19"/>
              <w:spacing w:line="360" w:lineRule="auto"/>
              <w:jc w:val="center"/>
              <w:rPr>
                <w:rFonts w:hAnsi="宋体"/>
                <w:color w:val="auto"/>
                <w:szCs w:val="21"/>
              </w:rPr>
            </w:pPr>
            <w:r>
              <w:rPr>
                <w:rFonts w:hint="eastAsia" w:hAnsi="宋体"/>
                <w:color w:val="auto"/>
                <w:szCs w:val="21"/>
              </w:rPr>
              <w:t>递交投标样品截止时间</w:t>
            </w:r>
          </w:p>
        </w:tc>
        <w:tc>
          <w:tcPr>
            <w:tcW w:w="6031" w:type="dxa"/>
            <w:vAlign w:val="center"/>
          </w:tcPr>
          <w:p>
            <w:pPr>
              <w:pStyle w:val="19"/>
              <w:spacing w:line="360" w:lineRule="auto"/>
              <w:rPr>
                <w:rFonts w:hAnsi="宋体"/>
                <w:color w:val="auto"/>
                <w:szCs w:val="21"/>
              </w:rPr>
            </w:pPr>
            <w:r>
              <w:rPr>
                <w:rFonts w:hint="eastAsia" w:hAnsi="宋体" w:cs="宋体"/>
                <w:color w:val="auto"/>
                <w:szCs w:val="21"/>
              </w:rPr>
              <w:t>无样品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93" w:type="dxa"/>
            <w:vAlign w:val="center"/>
          </w:tcPr>
          <w:p>
            <w:pPr>
              <w:pStyle w:val="19"/>
              <w:spacing w:line="360" w:lineRule="auto"/>
              <w:jc w:val="center"/>
              <w:rPr>
                <w:rFonts w:hAnsi="宋体"/>
                <w:szCs w:val="21"/>
              </w:rPr>
            </w:pPr>
            <w:r>
              <w:rPr>
                <w:rFonts w:hAnsi="宋体"/>
                <w:szCs w:val="21"/>
              </w:rPr>
              <w:t>15.4</w:t>
            </w:r>
          </w:p>
        </w:tc>
        <w:tc>
          <w:tcPr>
            <w:tcW w:w="2977" w:type="dxa"/>
            <w:vAlign w:val="center"/>
          </w:tcPr>
          <w:p>
            <w:pPr>
              <w:pStyle w:val="19"/>
              <w:spacing w:line="360" w:lineRule="auto"/>
              <w:jc w:val="center"/>
              <w:rPr>
                <w:rFonts w:hAnsi="宋体"/>
                <w:color w:val="auto"/>
                <w:szCs w:val="21"/>
              </w:rPr>
            </w:pPr>
            <w:r>
              <w:rPr>
                <w:rFonts w:hint="eastAsia" w:hAnsi="宋体"/>
                <w:color w:val="auto"/>
                <w:szCs w:val="21"/>
              </w:rPr>
              <w:t>递交投标样品地点</w:t>
            </w:r>
          </w:p>
        </w:tc>
        <w:tc>
          <w:tcPr>
            <w:tcW w:w="6031" w:type="dxa"/>
            <w:vAlign w:val="center"/>
          </w:tcPr>
          <w:p>
            <w:pPr>
              <w:pStyle w:val="19"/>
              <w:spacing w:line="360" w:lineRule="auto"/>
              <w:rPr>
                <w:rFonts w:hAnsi="宋体" w:cs="宋体"/>
                <w:color w:val="auto"/>
                <w:szCs w:val="21"/>
              </w:rPr>
            </w:pPr>
            <w:r>
              <w:rPr>
                <w:rFonts w:hint="eastAsia" w:hAnsi="宋体" w:cs="宋体"/>
                <w:color w:val="auto"/>
                <w:szCs w:val="21"/>
              </w:rPr>
              <w:t>无样品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93" w:type="dxa"/>
            <w:vAlign w:val="center"/>
          </w:tcPr>
          <w:p>
            <w:pPr>
              <w:pStyle w:val="19"/>
              <w:spacing w:line="360" w:lineRule="auto"/>
              <w:jc w:val="center"/>
              <w:rPr>
                <w:rFonts w:hAnsi="宋体"/>
                <w:szCs w:val="21"/>
              </w:rPr>
            </w:pPr>
            <w:r>
              <w:rPr>
                <w:rFonts w:hAnsi="宋体"/>
                <w:szCs w:val="21"/>
              </w:rPr>
              <w:t>16.1</w:t>
            </w:r>
          </w:p>
        </w:tc>
        <w:tc>
          <w:tcPr>
            <w:tcW w:w="2977" w:type="dxa"/>
            <w:vAlign w:val="center"/>
          </w:tcPr>
          <w:p>
            <w:pPr>
              <w:pStyle w:val="19"/>
              <w:spacing w:line="360" w:lineRule="auto"/>
              <w:jc w:val="center"/>
              <w:rPr>
                <w:rFonts w:hAnsi="宋体"/>
                <w:szCs w:val="21"/>
              </w:rPr>
            </w:pPr>
            <w:r>
              <w:rPr>
                <w:rFonts w:hint="eastAsia" w:hAnsi="宋体"/>
                <w:szCs w:val="21"/>
              </w:rPr>
              <w:t>开标地点</w:t>
            </w:r>
          </w:p>
        </w:tc>
        <w:tc>
          <w:tcPr>
            <w:tcW w:w="6031" w:type="dxa"/>
            <w:vAlign w:val="center"/>
          </w:tcPr>
          <w:p>
            <w:pPr>
              <w:pStyle w:val="19"/>
              <w:spacing w:line="360" w:lineRule="auto"/>
              <w:rPr>
                <w:rFonts w:hAnsi="宋体"/>
                <w:szCs w:val="21"/>
              </w:rPr>
            </w:pPr>
            <w:r>
              <w:rPr>
                <w:rFonts w:hint="eastAsia" w:hAnsi="宋体"/>
                <w:szCs w:val="21"/>
              </w:rPr>
              <w:t>兴业县公共资源交易中心三楼（兴业县政务服务中心三楼）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93" w:type="dxa"/>
            <w:vAlign w:val="center"/>
          </w:tcPr>
          <w:p>
            <w:pPr>
              <w:pStyle w:val="19"/>
              <w:spacing w:line="360" w:lineRule="auto"/>
              <w:jc w:val="center"/>
              <w:rPr>
                <w:rFonts w:hAnsi="宋体"/>
                <w:szCs w:val="21"/>
              </w:rPr>
            </w:pPr>
            <w:r>
              <w:rPr>
                <w:rFonts w:hAnsi="宋体"/>
                <w:szCs w:val="21"/>
              </w:rPr>
              <w:t>17.3</w:t>
            </w:r>
          </w:p>
        </w:tc>
        <w:tc>
          <w:tcPr>
            <w:tcW w:w="2977" w:type="dxa"/>
            <w:vAlign w:val="center"/>
          </w:tcPr>
          <w:p>
            <w:pPr>
              <w:pStyle w:val="19"/>
              <w:spacing w:line="360" w:lineRule="auto"/>
              <w:jc w:val="center"/>
              <w:rPr>
                <w:rFonts w:hAnsi="宋体"/>
                <w:szCs w:val="21"/>
              </w:rPr>
            </w:pPr>
            <w:r>
              <w:rPr>
                <w:rFonts w:hint="eastAsia" w:hAnsi="宋体"/>
                <w:szCs w:val="21"/>
              </w:rPr>
              <w:t>评标方法</w:t>
            </w:r>
          </w:p>
        </w:tc>
        <w:tc>
          <w:tcPr>
            <w:tcW w:w="6031" w:type="dxa"/>
            <w:vAlign w:val="center"/>
          </w:tcPr>
          <w:p>
            <w:pPr>
              <w:pStyle w:val="19"/>
              <w:spacing w:line="360" w:lineRule="auto"/>
              <w:rPr>
                <w:rFonts w:hAnsi="宋体"/>
                <w:szCs w:val="21"/>
              </w:rPr>
            </w:pPr>
            <w:r>
              <w:rPr>
                <w:rFonts w:hint="eastAsia" w:hAnsi="宋体"/>
                <w:szCs w:val="21"/>
              </w:rPr>
              <w:t>综合评分法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93" w:type="dxa"/>
            <w:vAlign w:val="center"/>
          </w:tcPr>
          <w:p>
            <w:pPr>
              <w:pStyle w:val="19"/>
              <w:spacing w:line="360" w:lineRule="auto"/>
              <w:jc w:val="center"/>
              <w:rPr>
                <w:rFonts w:hAnsi="宋体"/>
                <w:szCs w:val="21"/>
              </w:rPr>
            </w:pPr>
          </w:p>
        </w:tc>
        <w:tc>
          <w:tcPr>
            <w:tcW w:w="2977" w:type="dxa"/>
            <w:vAlign w:val="center"/>
          </w:tcPr>
          <w:p>
            <w:pPr>
              <w:pStyle w:val="19"/>
              <w:spacing w:line="360" w:lineRule="auto"/>
              <w:jc w:val="center"/>
              <w:rPr>
                <w:rFonts w:hAnsi="宋体"/>
                <w:szCs w:val="21"/>
              </w:rPr>
            </w:pPr>
            <w:r>
              <w:rPr>
                <w:rFonts w:hint="eastAsia" w:hAnsi="宋体" w:cs="Courier New"/>
                <w:szCs w:val="21"/>
              </w:rPr>
              <w:t>中标结果公告内容</w:t>
            </w:r>
          </w:p>
        </w:tc>
        <w:tc>
          <w:tcPr>
            <w:tcW w:w="6031" w:type="dxa"/>
            <w:vAlign w:val="center"/>
          </w:tcPr>
          <w:p>
            <w:pPr>
              <w:pStyle w:val="19"/>
              <w:spacing w:line="360" w:lineRule="auto"/>
              <w:rPr>
                <w:rFonts w:hAnsi="宋体"/>
                <w:szCs w:val="21"/>
              </w:rPr>
            </w:pPr>
            <w:r>
              <w:rPr>
                <w:rFonts w:hint="eastAsia" w:hAnsi="宋体" w:cs="Courier New"/>
                <w:szCs w:val="21"/>
              </w:rPr>
              <w:t>根据《中华人民共和国政府采购法实施条例》第四十三条规定，中标结果公告内容中包括中标供应商名称、地址和中标金额，主要中标标的的名称、规格型号、数量、单价、服务要求。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93" w:type="dxa"/>
            <w:vAlign w:val="center"/>
          </w:tcPr>
          <w:p>
            <w:pPr>
              <w:pStyle w:val="19"/>
              <w:spacing w:line="360" w:lineRule="auto"/>
              <w:jc w:val="center"/>
              <w:rPr>
                <w:rFonts w:hAnsi="宋体"/>
                <w:szCs w:val="21"/>
              </w:rPr>
            </w:pPr>
            <w:r>
              <w:rPr>
                <w:rFonts w:hAnsi="宋体"/>
                <w:szCs w:val="21"/>
              </w:rPr>
              <w:t>23.1</w:t>
            </w:r>
          </w:p>
        </w:tc>
        <w:tc>
          <w:tcPr>
            <w:tcW w:w="2977" w:type="dxa"/>
            <w:vAlign w:val="center"/>
          </w:tcPr>
          <w:p>
            <w:pPr>
              <w:pStyle w:val="19"/>
              <w:spacing w:line="360" w:lineRule="auto"/>
              <w:jc w:val="center"/>
              <w:rPr>
                <w:rFonts w:hAnsi="宋体"/>
                <w:szCs w:val="21"/>
              </w:rPr>
            </w:pPr>
            <w:r>
              <w:rPr>
                <w:rFonts w:hint="eastAsia" w:hAnsi="宋体"/>
                <w:szCs w:val="21"/>
              </w:rPr>
              <w:t>中标通知书的发放</w:t>
            </w:r>
          </w:p>
        </w:tc>
        <w:tc>
          <w:tcPr>
            <w:tcW w:w="6031" w:type="dxa"/>
            <w:vAlign w:val="center"/>
          </w:tcPr>
          <w:p>
            <w:pPr>
              <w:pStyle w:val="19"/>
              <w:spacing w:line="360" w:lineRule="auto"/>
              <w:rPr>
                <w:rFonts w:hAnsi="宋体"/>
                <w:szCs w:val="21"/>
              </w:rPr>
            </w:pPr>
            <w:r>
              <w:rPr>
                <w:rFonts w:hint="eastAsia" w:hAnsi="宋体"/>
                <w:szCs w:val="21"/>
              </w:rPr>
              <w:t>按相关规定在</w:t>
            </w:r>
            <w:r>
              <w:rPr>
                <w:rFonts w:hint="eastAsia" w:hAnsi="宋体" w:cs="宋体"/>
                <w:kern w:val="0"/>
                <w:szCs w:val="21"/>
              </w:rPr>
              <w:t>本章第</w:t>
            </w:r>
            <w:r>
              <w:rPr>
                <w:rFonts w:hAnsi="宋体" w:cs="宋体"/>
                <w:kern w:val="0"/>
                <w:szCs w:val="21"/>
              </w:rPr>
              <w:t>2.1</w:t>
            </w:r>
            <w:r>
              <w:rPr>
                <w:rFonts w:hint="eastAsia" w:hAnsi="宋体" w:cs="宋体"/>
                <w:kern w:val="0"/>
                <w:szCs w:val="21"/>
              </w:rPr>
              <w:t>项规定的政府采购信息发布媒体上公示中标结果，同时向中标供应商发出中标通知书。公示期为</w:t>
            </w:r>
            <w:r>
              <w:rPr>
                <w:rFonts w:hAnsi="宋体" w:cs="宋体"/>
                <w:kern w:val="0"/>
                <w:szCs w:val="21"/>
              </w:rPr>
              <w:t>1</w:t>
            </w:r>
            <w:r>
              <w:rPr>
                <w:rFonts w:hint="eastAsia" w:hAnsi="宋体" w:cs="宋体"/>
                <w:kern w:val="0"/>
                <w:szCs w:val="21"/>
              </w:rPr>
              <w:t>个工作日，公告期满无异议的，由</w:t>
            </w:r>
            <w:r>
              <w:rPr>
                <w:rFonts w:hint="eastAsia" w:hAnsi="宋体"/>
                <w:szCs w:val="21"/>
              </w:rPr>
              <w:t>招标代理机构</w:t>
            </w:r>
            <w:r>
              <w:rPr>
                <w:rFonts w:hint="eastAsia" w:hAnsi="宋体" w:cs="宋体"/>
                <w:kern w:val="0"/>
                <w:szCs w:val="21"/>
              </w:rPr>
              <w:t>向中标供应商发出政府采购合同。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93" w:type="dxa"/>
            <w:vAlign w:val="center"/>
          </w:tcPr>
          <w:p>
            <w:pPr>
              <w:pStyle w:val="19"/>
              <w:spacing w:line="360" w:lineRule="auto"/>
              <w:jc w:val="center"/>
              <w:rPr>
                <w:rFonts w:hAnsi="宋体"/>
                <w:szCs w:val="21"/>
              </w:rPr>
            </w:pPr>
            <w:r>
              <w:rPr>
                <w:rFonts w:hAnsi="宋体"/>
                <w:szCs w:val="21"/>
              </w:rPr>
              <w:t>26.1</w:t>
            </w:r>
          </w:p>
        </w:tc>
        <w:tc>
          <w:tcPr>
            <w:tcW w:w="2977" w:type="dxa"/>
            <w:vAlign w:val="center"/>
          </w:tcPr>
          <w:p>
            <w:pPr>
              <w:autoSpaceDE w:val="0"/>
              <w:autoSpaceDN w:val="0"/>
              <w:spacing w:line="360" w:lineRule="auto"/>
              <w:jc w:val="center"/>
              <w:rPr>
                <w:rFonts w:ascii="宋体" w:hAnsi="宋体" w:cs="宋体"/>
                <w:kern w:val="0"/>
                <w:szCs w:val="21"/>
              </w:rPr>
            </w:pPr>
            <w:r>
              <w:rPr>
                <w:rFonts w:hint="eastAsia" w:ascii="宋体" w:hAnsi="宋体"/>
                <w:kern w:val="0"/>
                <w:szCs w:val="21"/>
              </w:rPr>
              <w:t>履约保证金</w:t>
            </w:r>
          </w:p>
        </w:tc>
        <w:tc>
          <w:tcPr>
            <w:tcW w:w="6031" w:type="dxa"/>
            <w:vAlign w:val="center"/>
          </w:tcPr>
          <w:p>
            <w:pPr>
              <w:pStyle w:val="19"/>
              <w:spacing w:line="360" w:lineRule="auto"/>
              <w:rPr>
                <w:rFonts w:hAnsi="宋体"/>
                <w:szCs w:val="21"/>
              </w:rPr>
            </w:pPr>
            <w:r>
              <w:rPr>
                <w:rFonts w:hint="eastAsia" w:hAnsi="宋体"/>
                <w:szCs w:val="21"/>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93" w:type="dxa"/>
            <w:vAlign w:val="center"/>
          </w:tcPr>
          <w:p>
            <w:pPr>
              <w:pStyle w:val="19"/>
              <w:spacing w:line="360" w:lineRule="auto"/>
              <w:jc w:val="center"/>
              <w:rPr>
                <w:rFonts w:hAnsi="宋体"/>
                <w:szCs w:val="21"/>
              </w:rPr>
            </w:pPr>
            <w:r>
              <w:rPr>
                <w:rFonts w:hAnsi="宋体"/>
                <w:szCs w:val="21"/>
              </w:rPr>
              <w:t>25.8</w:t>
            </w:r>
          </w:p>
        </w:tc>
        <w:tc>
          <w:tcPr>
            <w:tcW w:w="2977" w:type="dxa"/>
            <w:vAlign w:val="center"/>
          </w:tcPr>
          <w:p>
            <w:pPr>
              <w:autoSpaceDE w:val="0"/>
              <w:autoSpaceDN w:val="0"/>
              <w:spacing w:line="360" w:lineRule="auto"/>
              <w:jc w:val="center"/>
              <w:rPr>
                <w:rFonts w:ascii="宋体" w:hAnsi="宋体"/>
                <w:kern w:val="0"/>
                <w:szCs w:val="21"/>
              </w:rPr>
            </w:pPr>
            <w:r>
              <w:rPr>
                <w:rFonts w:hint="eastAsia" w:ascii="宋体" w:hAnsi="宋体"/>
                <w:szCs w:val="21"/>
              </w:rPr>
              <w:t>政府采购合同公告</w:t>
            </w:r>
          </w:p>
        </w:tc>
        <w:tc>
          <w:tcPr>
            <w:tcW w:w="6031" w:type="dxa"/>
            <w:vAlign w:val="center"/>
          </w:tcPr>
          <w:p>
            <w:pPr>
              <w:pStyle w:val="19"/>
              <w:spacing w:line="360" w:lineRule="auto"/>
              <w:rPr>
                <w:rFonts w:hAnsi="宋体"/>
                <w:szCs w:val="21"/>
              </w:rPr>
            </w:pPr>
            <w:r>
              <w:rPr>
                <w:rFonts w:hint="eastAsia" w:hAnsi="宋体"/>
                <w:szCs w:val="21"/>
              </w:rPr>
              <w:t>根据《中华人民共和国政府采购法实施条例》第五十条规定，采购人应当自政府采购合同签订之日起</w:t>
            </w:r>
            <w:r>
              <w:rPr>
                <w:rFonts w:hAnsi="宋体"/>
                <w:szCs w:val="21"/>
              </w:rPr>
              <w:t>2</w:t>
            </w:r>
            <w:r>
              <w:rPr>
                <w:rFonts w:hint="eastAsia" w:hAnsi="宋体"/>
                <w:szCs w:val="21"/>
              </w:rPr>
              <w:t>个工作日内，将政府采购合同在省级以上人民政府财政部门指定的媒体上公告，但政府采购合同中涉及国家秘密、商业秘密的内容除外。因此请各投标人应在投标文件中注明投标内容中涉及商业秘密的部分，未注明的视为投标文件中不涉及商业秘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93" w:type="dxa"/>
            <w:vAlign w:val="center"/>
          </w:tcPr>
          <w:p>
            <w:pPr>
              <w:pStyle w:val="19"/>
              <w:spacing w:line="360" w:lineRule="auto"/>
              <w:jc w:val="center"/>
              <w:rPr>
                <w:rFonts w:hAnsi="宋体"/>
                <w:szCs w:val="21"/>
              </w:rPr>
            </w:pPr>
            <w:r>
              <w:rPr>
                <w:rFonts w:hAnsi="宋体"/>
                <w:szCs w:val="21"/>
              </w:rPr>
              <w:t>28.1</w:t>
            </w:r>
          </w:p>
        </w:tc>
        <w:tc>
          <w:tcPr>
            <w:tcW w:w="2977" w:type="dxa"/>
            <w:vAlign w:val="center"/>
          </w:tcPr>
          <w:p>
            <w:pPr>
              <w:autoSpaceDE w:val="0"/>
              <w:autoSpaceDN w:val="0"/>
              <w:spacing w:line="360" w:lineRule="auto"/>
              <w:jc w:val="center"/>
              <w:rPr>
                <w:rFonts w:ascii="宋体" w:hAnsi="宋体"/>
                <w:kern w:val="0"/>
                <w:szCs w:val="21"/>
              </w:rPr>
            </w:pPr>
            <w:r>
              <w:rPr>
                <w:rFonts w:hint="eastAsia" w:ascii="宋体" w:hAnsi="宋体"/>
                <w:kern w:val="0"/>
                <w:szCs w:val="21"/>
              </w:rPr>
              <w:t>需要补充的其他内容</w:t>
            </w:r>
          </w:p>
        </w:tc>
        <w:tc>
          <w:tcPr>
            <w:tcW w:w="6031" w:type="dxa"/>
            <w:vAlign w:val="center"/>
          </w:tcPr>
          <w:p>
            <w:pPr>
              <w:widowControl/>
              <w:spacing w:line="360" w:lineRule="auto"/>
              <w:jc w:val="left"/>
              <w:rPr>
                <w:rFonts w:ascii="宋体" w:hAnsi="宋体"/>
              </w:rPr>
            </w:pPr>
            <w:r>
              <w:rPr>
                <w:rFonts w:ascii="宋体" w:hAnsi="宋体"/>
              </w:rPr>
              <w:t>1</w:t>
            </w:r>
            <w:r>
              <w:rPr>
                <w:rFonts w:hint="eastAsia" w:ascii="宋体" w:hAnsi="宋体"/>
              </w:rPr>
              <w:t>、本招标文件中描述投标人的“公章”是指根据我国对公章的管理规定，用投标人法定主体行为名称制作的印章，除本招标文件有特殊规定外，投标人的财务章、部门章、分公司章、工会章、合同章、投标专用章、业务专用章等其它形式印章均不能代替公章。</w:t>
            </w:r>
          </w:p>
          <w:p>
            <w:pPr>
              <w:widowControl/>
              <w:spacing w:line="360" w:lineRule="auto"/>
              <w:jc w:val="left"/>
              <w:rPr>
                <w:rFonts w:ascii="宋体" w:hAnsi="宋体"/>
              </w:rPr>
            </w:pPr>
            <w:r>
              <w:rPr>
                <w:rFonts w:ascii="宋体" w:hAnsi="宋体"/>
              </w:rPr>
              <w:t>2</w:t>
            </w:r>
            <w:r>
              <w:rPr>
                <w:rFonts w:hint="eastAsia" w:ascii="宋体" w:hAnsi="宋体"/>
              </w:rPr>
              <w:t>、本招标文件中描述投标人的“签字”是指投标人的法定代表人或被授权人亲自在招标文件规定签署处亲笔写上个人的名字的行为，私章、签字章、印鉴、影印等其它形式均不能代替亲笔签字。</w:t>
            </w:r>
          </w:p>
          <w:p>
            <w:pPr>
              <w:pStyle w:val="2"/>
              <w:spacing w:line="360" w:lineRule="auto"/>
              <w:rPr>
                <w:rFonts w:ascii="宋体" w:hAnsi="宋体" w:eastAsia="宋体"/>
              </w:rPr>
            </w:pPr>
            <w:r>
              <w:rPr>
                <w:rFonts w:hint="eastAsia" w:ascii="宋体" w:hAnsi="宋体" w:eastAsia="宋体"/>
                <w:b w:val="0"/>
                <w:spacing w:val="0"/>
                <w:kern w:val="2"/>
                <w:sz w:val="21"/>
                <w:szCs w:val="24"/>
              </w:rPr>
              <w:t>3、为帮助中小微企业解决资金周转或融资困难问题，南宁市政府采购试行政府采购信用融资制度，为中小企业参与政府采购活动提供金融服务。中标供应商可凭政府采购合同申请政府采购信用融资，具体办理要求与办理方式，详见南宁市公共资源交易中心网‘ 政府采购信用融资’专栏。</w:t>
            </w:r>
          </w:p>
        </w:tc>
      </w:tr>
    </w:tbl>
    <w:p>
      <w:pPr>
        <w:rPr>
          <w:rFonts w:ascii="宋体" w:hAnsi="宋体"/>
        </w:rPr>
      </w:pPr>
      <w:r>
        <w:rPr>
          <w:rFonts w:ascii="宋体" w:hAnsi="宋体"/>
        </w:rPr>
        <w:br w:type="page"/>
      </w:r>
      <w:bookmarkStart w:id="44" w:name="_Toc213326416"/>
      <w:bookmarkStart w:id="45" w:name="_Toc401396875"/>
      <w:bookmarkStart w:id="46" w:name="_Toc57749780"/>
    </w:p>
    <w:p>
      <w:pPr>
        <w:pStyle w:val="4"/>
        <w:rPr>
          <w:rFonts w:ascii="宋体" w:hAnsi="宋体"/>
          <w:sz w:val="28"/>
          <w:szCs w:val="28"/>
        </w:rPr>
      </w:pPr>
      <w:r>
        <w:rPr>
          <w:rFonts w:hint="eastAsia" w:ascii="宋体" w:hAnsi="宋体"/>
        </w:rPr>
        <w:t>一总则</w:t>
      </w:r>
      <w:bookmarkEnd w:id="44"/>
      <w:bookmarkEnd w:id="45"/>
      <w:bookmarkEnd w:id="46"/>
    </w:p>
    <w:p>
      <w:pPr>
        <w:pStyle w:val="19"/>
        <w:spacing w:line="440" w:lineRule="exact"/>
        <w:ind w:left="242" w:hanging="242" w:hangingChars="101"/>
        <w:jc w:val="left"/>
        <w:rPr>
          <w:rFonts w:hAnsi="宋体"/>
          <w:bCs/>
          <w:sz w:val="24"/>
        </w:rPr>
      </w:pPr>
      <w:r>
        <w:rPr>
          <w:rFonts w:hAnsi="宋体"/>
          <w:bCs/>
          <w:sz w:val="24"/>
        </w:rPr>
        <w:t xml:space="preserve">1. </w:t>
      </w:r>
      <w:r>
        <w:rPr>
          <w:rFonts w:hint="eastAsia" w:hAnsi="宋体"/>
          <w:bCs/>
          <w:sz w:val="24"/>
        </w:rPr>
        <w:t>项目概况</w:t>
      </w:r>
    </w:p>
    <w:p>
      <w:pPr>
        <w:pStyle w:val="19"/>
        <w:spacing w:line="440" w:lineRule="exact"/>
        <w:ind w:left="2" w:firstLine="358"/>
        <w:jc w:val="left"/>
        <w:rPr>
          <w:rFonts w:hAnsi="宋体"/>
          <w:bCs/>
        </w:rPr>
      </w:pPr>
      <w:r>
        <w:rPr>
          <w:rFonts w:hAnsi="宋体"/>
          <w:bCs/>
        </w:rPr>
        <w:t xml:space="preserve">1.1  </w:t>
      </w:r>
      <w:r>
        <w:rPr>
          <w:rFonts w:hint="eastAsia" w:hAnsi="宋体"/>
          <w:bCs/>
        </w:rPr>
        <w:t>采购人：见投标人须知前附表。</w:t>
      </w:r>
    </w:p>
    <w:p>
      <w:pPr>
        <w:pStyle w:val="19"/>
        <w:spacing w:line="440" w:lineRule="exact"/>
        <w:ind w:left="2" w:firstLine="358"/>
        <w:jc w:val="left"/>
        <w:rPr>
          <w:rFonts w:hAnsi="宋体"/>
        </w:rPr>
      </w:pPr>
      <w:r>
        <w:rPr>
          <w:rFonts w:hAnsi="宋体"/>
          <w:bCs/>
        </w:rPr>
        <w:t xml:space="preserve">1.2  </w:t>
      </w:r>
      <w:r>
        <w:rPr>
          <w:rFonts w:hint="eastAsia" w:hAnsi="宋体"/>
          <w:bCs/>
        </w:rPr>
        <w:t>采购代理机构：见投标人须知前附表。</w:t>
      </w:r>
    </w:p>
    <w:p>
      <w:pPr>
        <w:pStyle w:val="19"/>
        <w:spacing w:line="440" w:lineRule="exact"/>
        <w:ind w:left="2" w:firstLine="358"/>
        <w:jc w:val="left"/>
        <w:rPr>
          <w:rFonts w:hAnsi="宋体"/>
        </w:rPr>
      </w:pPr>
      <w:r>
        <w:rPr>
          <w:rFonts w:hAnsi="宋体"/>
        </w:rPr>
        <w:t>1.3  项目名称：</w:t>
      </w:r>
      <w:r>
        <w:rPr>
          <w:rFonts w:hint="eastAsia" w:hAnsi="宋体"/>
          <w:bCs/>
        </w:rPr>
        <w:t>见投标人须知前附表。</w:t>
      </w:r>
    </w:p>
    <w:p>
      <w:pPr>
        <w:pStyle w:val="19"/>
        <w:spacing w:line="440" w:lineRule="exact"/>
        <w:ind w:left="2" w:firstLine="358"/>
        <w:jc w:val="left"/>
        <w:rPr>
          <w:rFonts w:hAnsi="宋体"/>
          <w:bCs/>
        </w:rPr>
      </w:pPr>
      <w:r>
        <w:rPr>
          <w:rFonts w:hAnsi="宋体"/>
        </w:rPr>
        <w:t xml:space="preserve">1.4  </w:t>
      </w:r>
      <w:r>
        <w:rPr>
          <w:rFonts w:hint="eastAsia" w:hAnsi="宋体"/>
          <w:lang w:eastAsia="zh-CN"/>
        </w:rPr>
        <w:t>项目编号：</w:t>
      </w:r>
      <w:r>
        <w:rPr>
          <w:rFonts w:hint="eastAsia" w:hAnsi="宋体"/>
          <w:bCs/>
        </w:rPr>
        <w:t>见投标人须知前附表。</w:t>
      </w:r>
    </w:p>
    <w:p>
      <w:pPr>
        <w:pStyle w:val="19"/>
        <w:spacing w:line="440" w:lineRule="exact"/>
        <w:ind w:left="2" w:firstLine="358"/>
        <w:jc w:val="left"/>
        <w:rPr>
          <w:rFonts w:hAnsi="宋体"/>
          <w:bCs/>
        </w:rPr>
      </w:pPr>
      <w:r>
        <w:rPr>
          <w:rFonts w:hAnsi="宋体"/>
          <w:bCs/>
        </w:rPr>
        <w:t xml:space="preserve">1.5  </w:t>
      </w:r>
      <w:r>
        <w:rPr>
          <w:rFonts w:hint="eastAsia" w:hAnsi="宋体"/>
          <w:bCs/>
        </w:rPr>
        <w:t>采购预算：见投标人须知前附表。</w:t>
      </w:r>
    </w:p>
    <w:p>
      <w:pPr>
        <w:pStyle w:val="19"/>
        <w:spacing w:line="440" w:lineRule="exact"/>
        <w:ind w:left="2" w:firstLine="358"/>
        <w:jc w:val="left"/>
        <w:rPr>
          <w:rFonts w:hAnsi="宋体"/>
          <w:bCs/>
        </w:rPr>
      </w:pPr>
      <w:r>
        <w:rPr>
          <w:rFonts w:hAnsi="宋体"/>
          <w:bCs/>
        </w:rPr>
        <w:t xml:space="preserve">1.6  </w:t>
      </w:r>
      <w:r>
        <w:rPr>
          <w:rFonts w:hint="eastAsia" w:hAnsi="宋体"/>
          <w:bCs/>
        </w:rPr>
        <w:t>资金来源：政府资金</w:t>
      </w:r>
    </w:p>
    <w:p>
      <w:pPr>
        <w:pStyle w:val="19"/>
        <w:spacing w:line="440" w:lineRule="exact"/>
        <w:ind w:left="2" w:firstLine="358"/>
        <w:jc w:val="left"/>
        <w:rPr>
          <w:rFonts w:hAnsi="宋体"/>
          <w:bCs/>
        </w:rPr>
      </w:pPr>
      <w:r>
        <w:rPr>
          <w:rFonts w:hAnsi="宋体"/>
          <w:bCs/>
        </w:rPr>
        <w:t xml:space="preserve">1.7  </w:t>
      </w:r>
      <w:r>
        <w:rPr>
          <w:rFonts w:hint="eastAsia" w:hAnsi="宋体"/>
          <w:szCs w:val="21"/>
        </w:rPr>
        <w:t>获取招标文件的时间、地点、方式及招标文件售价：</w:t>
      </w:r>
      <w:r>
        <w:rPr>
          <w:rFonts w:hint="eastAsia" w:hAnsi="宋体"/>
          <w:bCs/>
        </w:rPr>
        <w:t>见投标人须知前附表。</w:t>
      </w:r>
    </w:p>
    <w:p>
      <w:pPr>
        <w:pStyle w:val="19"/>
        <w:spacing w:line="440" w:lineRule="exact"/>
        <w:jc w:val="left"/>
        <w:rPr>
          <w:rFonts w:hAnsi="宋体"/>
          <w:bCs/>
          <w:sz w:val="24"/>
        </w:rPr>
      </w:pPr>
      <w:r>
        <w:rPr>
          <w:rFonts w:hAnsi="宋体"/>
          <w:bCs/>
          <w:sz w:val="24"/>
        </w:rPr>
        <w:t xml:space="preserve">2. </w:t>
      </w:r>
      <w:r>
        <w:rPr>
          <w:rFonts w:hint="eastAsia" w:hAnsi="宋体"/>
          <w:bCs/>
          <w:sz w:val="24"/>
        </w:rPr>
        <w:t>政府采购信息发布媒体：</w:t>
      </w:r>
    </w:p>
    <w:p>
      <w:pPr>
        <w:snapToGrid w:val="0"/>
        <w:spacing w:line="440" w:lineRule="exact"/>
        <w:ind w:firstLine="420" w:firstLineChars="200"/>
        <w:rPr>
          <w:rFonts w:ascii="宋体" w:hAnsi="宋体"/>
        </w:rPr>
      </w:pPr>
      <w:r>
        <w:rPr>
          <w:rFonts w:ascii="宋体" w:hAnsi="宋体"/>
        </w:rPr>
        <w:t xml:space="preserve">2.1  </w:t>
      </w:r>
      <w:r>
        <w:rPr>
          <w:rFonts w:hint="eastAsia" w:ascii="宋体" w:hAnsi="宋体"/>
        </w:rPr>
        <w:t>与本项目相关的政府采购业务信息（包括公开招标公告、中标公告及其更正事项等）将在以下媒体上发布：</w:t>
      </w:r>
      <w:r>
        <w:rPr>
          <w:rFonts w:ascii="宋体" w:hAnsi="宋体"/>
        </w:rPr>
        <w:t>www.ccgp.gov.cn</w:t>
      </w:r>
      <w:r>
        <w:rPr>
          <w:rFonts w:hint="eastAsia" w:ascii="宋体" w:hAnsi="宋体"/>
        </w:rPr>
        <w:t>（中国政府采购网），</w:t>
      </w:r>
      <w:r>
        <w:rPr>
          <w:rFonts w:ascii="宋体" w:hAnsi="宋体"/>
        </w:rPr>
        <w:t>www.gxzfcg.gov.cn</w:t>
      </w:r>
      <w:r>
        <w:rPr>
          <w:rFonts w:hint="eastAsia" w:ascii="宋体" w:hAnsi="宋体"/>
        </w:rPr>
        <w:t>（广西壮族自治区政府采购网）。</w:t>
      </w:r>
    </w:p>
    <w:p>
      <w:pPr>
        <w:pStyle w:val="19"/>
        <w:spacing w:line="440" w:lineRule="exact"/>
        <w:ind w:left="242" w:hanging="242" w:hangingChars="101"/>
        <w:jc w:val="left"/>
        <w:rPr>
          <w:rFonts w:hAnsi="宋体"/>
          <w:bCs/>
          <w:sz w:val="24"/>
        </w:rPr>
      </w:pPr>
      <w:r>
        <w:rPr>
          <w:rFonts w:hAnsi="宋体"/>
          <w:bCs/>
          <w:sz w:val="24"/>
        </w:rPr>
        <w:t xml:space="preserve">3. </w:t>
      </w:r>
      <w:r>
        <w:rPr>
          <w:rFonts w:hint="eastAsia" w:hAnsi="宋体"/>
          <w:bCs/>
          <w:sz w:val="24"/>
        </w:rPr>
        <w:t>投标人资格要求：</w:t>
      </w:r>
    </w:p>
    <w:p>
      <w:pPr>
        <w:pStyle w:val="19"/>
        <w:spacing w:line="440" w:lineRule="exact"/>
        <w:ind w:firstLine="360"/>
        <w:rPr>
          <w:rFonts w:hAnsi="宋体"/>
          <w:bCs/>
        </w:rPr>
      </w:pPr>
      <w:r>
        <w:rPr>
          <w:rFonts w:hAnsi="宋体"/>
          <w:bCs/>
        </w:rPr>
        <w:t xml:space="preserve">3.1  </w:t>
      </w:r>
      <w:r>
        <w:rPr>
          <w:rFonts w:hint="eastAsia" w:hAnsi="宋体"/>
          <w:bCs/>
        </w:rPr>
        <w:t>投标人应</w:t>
      </w:r>
      <w:r>
        <w:rPr>
          <w:rFonts w:hint="eastAsia" w:hAnsi="宋体"/>
        </w:rPr>
        <w:t>符合《中华人民共和国政府采购法》第二十二条规定的</w:t>
      </w:r>
      <w:r>
        <w:rPr>
          <w:rFonts w:hint="eastAsia" w:hAnsi="宋体"/>
          <w:bCs/>
        </w:rPr>
        <w:t>下列</w:t>
      </w:r>
      <w:r>
        <w:rPr>
          <w:rFonts w:hint="eastAsia" w:hAnsi="宋体"/>
        </w:rPr>
        <w:t>投标人资格条件</w:t>
      </w:r>
      <w:r>
        <w:rPr>
          <w:rFonts w:hint="eastAsia" w:hAnsi="宋体"/>
          <w:bCs/>
        </w:rPr>
        <w:t>：</w:t>
      </w:r>
    </w:p>
    <w:p>
      <w:pPr>
        <w:pStyle w:val="19"/>
        <w:spacing w:line="440" w:lineRule="exact"/>
        <w:ind w:firstLine="720"/>
        <w:rPr>
          <w:rFonts w:hAnsi="宋体"/>
          <w:bCs/>
        </w:rPr>
      </w:pPr>
      <w:r>
        <w:rPr>
          <w:rFonts w:hint="eastAsia" w:hAnsi="宋体"/>
          <w:bCs/>
        </w:rPr>
        <w:t>（</w:t>
      </w:r>
      <w:r>
        <w:rPr>
          <w:rFonts w:hAnsi="宋体"/>
          <w:bCs/>
        </w:rPr>
        <w:t>1</w:t>
      </w:r>
      <w:r>
        <w:rPr>
          <w:rFonts w:hint="eastAsia" w:hAnsi="宋体"/>
          <w:bCs/>
        </w:rPr>
        <w:t>）具有独立承担民事责任的能力；</w:t>
      </w:r>
    </w:p>
    <w:p>
      <w:pPr>
        <w:pStyle w:val="19"/>
        <w:spacing w:line="440" w:lineRule="exact"/>
        <w:ind w:firstLine="720"/>
        <w:rPr>
          <w:rFonts w:hAnsi="宋体"/>
          <w:bCs/>
        </w:rPr>
      </w:pPr>
      <w:r>
        <w:rPr>
          <w:rFonts w:hint="eastAsia" w:hAnsi="宋体"/>
          <w:bCs/>
        </w:rPr>
        <w:t>（</w:t>
      </w:r>
      <w:r>
        <w:rPr>
          <w:rFonts w:hAnsi="宋体"/>
          <w:bCs/>
        </w:rPr>
        <w:t>2</w:t>
      </w:r>
      <w:r>
        <w:rPr>
          <w:rFonts w:hint="eastAsia" w:hAnsi="宋体"/>
          <w:bCs/>
        </w:rPr>
        <w:t>）具有良好的商业信誉和健全的财务会计制度；</w:t>
      </w:r>
    </w:p>
    <w:p>
      <w:pPr>
        <w:pStyle w:val="19"/>
        <w:spacing w:line="440" w:lineRule="exact"/>
        <w:ind w:firstLine="720"/>
        <w:rPr>
          <w:rFonts w:hAnsi="宋体"/>
          <w:bCs/>
        </w:rPr>
      </w:pPr>
      <w:r>
        <w:rPr>
          <w:rFonts w:hint="eastAsia" w:hAnsi="宋体"/>
          <w:bCs/>
        </w:rPr>
        <w:t>（</w:t>
      </w:r>
      <w:r>
        <w:rPr>
          <w:rFonts w:hAnsi="宋体"/>
          <w:bCs/>
        </w:rPr>
        <w:t>3</w:t>
      </w:r>
      <w:r>
        <w:rPr>
          <w:rFonts w:hint="eastAsia" w:hAnsi="宋体"/>
          <w:bCs/>
        </w:rPr>
        <w:t>）具有履行合同所必需的设备和专业技术能力；</w:t>
      </w:r>
    </w:p>
    <w:p>
      <w:pPr>
        <w:pStyle w:val="19"/>
        <w:spacing w:line="440" w:lineRule="exact"/>
        <w:ind w:firstLine="720"/>
        <w:rPr>
          <w:rFonts w:hAnsi="宋体"/>
          <w:bCs/>
        </w:rPr>
      </w:pPr>
      <w:r>
        <w:rPr>
          <w:rFonts w:hint="eastAsia" w:hAnsi="宋体"/>
          <w:bCs/>
        </w:rPr>
        <w:t>（</w:t>
      </w:r>
      <w:r>
        <w:rPr>
          <w:rFonts w:hAnsi="宋体"/>
          <w:bCs/>
        </w:rPr>
        <w:t>4</w:t>
      </w:r>
      <w:r>
        <w:rPr>
          <w:rFonts w:hint="eastAsia" w:hAnsi="宋体"/>
          <w:bCs/>
        </w:rPr>
        <w:t>）有依法缴纳税收和社会保障资金的良好记录；</w:t>
      </w:r>
    </w:p>
    <w:p>
      <w:pPr>
        <w:pStyle w:val="19"/>
        <w:spacing w:line="440" w:lineRule="exact"/>
        <w:ind w:firstLine="720"/>
        <w:rPr>
          <w:rFonts w:hAnsi="宋体"/>
          <w:bCs/>
        </w:rPr>
      </w:pPr>
      <w:r>
        <w:rPr>
          <w:rFonts w:hint="eastAsia" w:hAnsi="宋体"/>
          <w:bCs/>
        </w:rPr>
        <w:t>（</w:t>
      </w:r>
      <w:r>
        <w:rPr>
          <w:rFonts w:hAnsi="宋体"/>
          <w:bCs/>
        </w:rPr>
        <w:t>5</w:t>
      </w:r>
      <w:r>
        <w:rPr>
          <w:rFonts w:hint="eastAsia" w:hAnsi="宋体"/>
          <w:bCs/>
        </w:rPr>
        <w:t>）参加政府采购活动前三年内，在经营活动中没有重大违法记录；</w:t>
      </w:r>
    </w:p>
    <w:p>
      <w:pPr>
        <w:pStyle w:val="19"/>
        <w:spacing w:line="440" w:lineRule="exact"/>
        <w:ind w:firstLine="720"/>
        <w:rPr>
          <w:rFonts w:hAnsi="宋体"/>
          <w:bCs/>
        </w:rPr>
      </w:pPr>
      <w:r>
        <w:rPr>
          <w:rFonts w:hint="eastAsia" w:hAnsi="宋体"/>
          <w:bCs/>
        </w:rPr>
        <w:t>（</w:t>
      </w:r>
      <w:r>
        <w:rPr>
          <w:rFonts w:hAnsi="宋体"/>
          <w:bCs/>
        </w:rPr>
        <w:t>6</w:t>
      </w:r>
      <w:r>
        <w:rPr>
          <w:rFonts w:hint="eastAsia" w:hAnsi="宋体"/>
          <w:bCs/>
        </w:rPr>
        <w:t>）法律、行政法规规定的其他条件。</w:t>
      </w:r>
    </w:p>
    <w:p>
      <w:pPr>
        <w:pStyle w:val="19"/>
        <w:spacing w:line="440" w:lineRule="exact"/>
        <w:ind w:firstLine="360"/>
        <w:rPr>
          <w:rFonts w:hAnsi="宋体"/>
          <w:bCs/>
        </w:rPr>
      </w:pPr>
      <w:r>
        <w:rPr>
          <w:rFonts w:hAnsi="宋体"/>
          <w:bCs/>
        </w:rPr>
        <w:t xml:space="preserve">3.2  </w:t>
      </w:r>
      <w:r>
        <w:rPr>
          <w:rFonts w:hint="eastAsia" w:hAnsi="宋体"/>
          <w:bCs/>
        </w:rPr>
        <w:t>单位负责人为同一人或者存在直接控股、管理关系的不同供应商，不得参加同一合同项下的政府采购活动。除单一来源采购项目外，为采购项目提供整体设计、规范编制或者项目管理、监理、检测等服务的供应商，不得再参加该采购项目的其他采购活动。</w:t>
      </w:r>
    </w:p>
    <w:p>
      <w:pPr>
        <w:pStyle w:val="19"/>
        <w:spacing w:line="440" w:lineRule="exact"/>
        <w:ind w:firstLine="360"/>
        <w:rPr>
          <w:rFonts w:hAnsi="宋体"/>
          <w:bCs/>
        </w:rPr>
      </w:pPr>
      <w:r>
        <w:rPr>
          <w:rFonts w:hAnsi="宋体"/>
          <w:bCs/>
        </w:rPr>
        <w:t xml:space="preserve">3.3  </w:t>
      </w:r>
      <w:r>
        <w:rPr>
          <w:rFonts w:hint="eastAsia" w:hAnsi="宋体"/>
          <w:bCs/>
        </w:rPr>
        <w:t>对在“信用中国”网站</w:t>
      </w:r>
      <w:r>
        <w:rPr>
          <w:rFonts w:hAnsi="宋体"/>
          <w:bCs/>
        </w:rPr>
        <w:t>(www.creditchina.gov.cn)</w:t>
      </w:r>
      <w:r>
        <w:rPr>
          <w:rFonts w:hint="eastAsia" w:hAnsi="宋体"/>
          <w:bCs/>
        </w:rPr>
        <w:t>列入失信被执行人、重大税收违法案件当事人名单、政府采购严重违法失信行为记录名单及其他不符合《中华人民共和国政府采购法》第二十二条规定条件的供应商，不得参与政府采购活动。</w:t>
      </w:r>
    </w:p>
    <w:p>
      <w:pPr>
        <w:pStyle w:val="19"/>
        <w:spacing w:line="440" w:lineRule="exact"/>
        <w:ind w:firstLine="360"/>
        <w:rPr>
          <w:rFonts w:hAnsi="宋体"/>
          <w:bCs/>
        </w:rPr>
      </w:pPr>
      <w:r>
        <w:rPr>
          <w:rFonts w:hAnsi="宋体"/>
          <w:bCs/>
        </w:rPr>
        <w:t xml:space="preserve">3.4  </w:t>
      </w:r>
      <w:r>
        <w:rPr>
          <w:rFonts w:hint="eastAsia" w:hAnsi="宋体"/>
          <w:bCs/>
        </w:rPr>
        <w:t>针对本项目，投标人应具备的特定资格条件：</w:t>
      </w:r>
      <w:r>
        <w:rPr>
          <w:rFonts w:hint="eastAsia" w:hAnsi="宋体"/>
          <w:b/>
          <w:bCs/>
        </w:rPr>
        <w:t>见投标人须知前附表</w:t>
      </w:r>
      <w:r>
        <w:rPr>
          <w:rFonts w:hint="eastAsia" w:hAnsi="宋体"/>
          <w:bCs/>
        </w:rPr>
        <w:t>。</w:t>
      </w:r>
    </w:p>
    <w:p>
      <w:pPr>
        <w:pStyle w:val="19"/>
        <w:spacing w:line="440" w:lineRule="exact"/>
        <w:ind w:firstLine="360"/>
        <w:rPr>
          <w:rFonts w:hAnsi="宋体"/>
          <w:szCs w:val="21"/>
        </w:rPr>
      </w:pPr>
      <w:r>
        <w:rPr>
          <w:rFonts w:hAnsi="宋体"/>
        </w:rPr>
        <w:t xml:space="preserve">3.5  </w:t>
      </w:r>
      <w:r>
        <w:rPr>
          <w:rFonts w:hint="eastAsia" w:hAnsi="宋体"/>
        </w:rPr>
        <w:t>投标人须知前附表规定接受联合体投标的，两个以上供应商可以组成一个投标联合体，</w:t>
      </w:r>
      <w:r>
        <w:rPr>
          <w:rFonts w:hint="eastAsia" w:hAnsi="宋体"/>
          <w:szCs w:val="21"/>
        </w:rPr>
        <w:t>以一个投标人的身份共同参加投标</w:t>
      </w:r>
      <w:r>
        <w:rPr>
          <w:rFonts w:hint="eastAsia" w:hAnsi="宋体"/>
        </w:rPr>
        <w:t>。以联合体形式参加投标的，联合体各方均应当符合本章第</w:t>
      </w:r>
      <w:r>
        <w:rPr>
          <w:rFonts w:hAnsi="宋体"/>
        </w:rPr>
        <w:t>3.1</w:t>
      </w:r>
      <w:r>
        <w:rPr>
          <w:rFonts w:hint="eastAsia" w:hAnsi="宋体"/>
        </w:rPr>
        <w:t>项的要求，至少应当有一方符合本章第</w:t>
      </w:r>
      <w:r>
        <w:rPr>
          <w:rFonts w:hAnsi="宋体"/>
        </w:rPr>
        <w:t>3.4</w:t>
      </w:r>
      <w:r>
        <w:rPr>
          <w:rFonts w:hint="eastAsia" w:hAnsi="宋体"/>
        </w:rPr>
        <w:t>项的要求；联合体各方应签订共同投标协议，明确联合体各方承担的工作和相应的责任，并将共同投标协议连同投标文件一并提交评标委员会；由同一专业的单位组成的联合体，按照资质等级最低的单位确定资质等级；联合体各方不得再以自己名义单独或组成新的联合体参加同一项目同一分标投标，否则与之相关的投标文件作废；投标联合体的业绩和信誉按联合体主体方（或牵头方）计算。</w:t>
      </w:r>
      <w:r>
        <w:rPr>
          <w:rFonts w:hint="eastAsia" w:hAnsi="宋体"/>
          <w:szCs w:val="21"/>
        </w:rPr>
        <w:t>根据《政府采购促进中小企业发展暂行办法》第六条规定，“鼓励大中型企业和其他自然人、法人或者其他组织与小型、微型企业组成联合体共同参加非专门面向中小企业的政府采购活动。联合协议中约定，小型、微型企业的协议合同金额占到联合体协议合同总金额</w:t>
      </w:r>
      <w:r>
        <w:rPr>
          <w:rFonts w:hAnsi="宋体"/>
          <w:szCs w:val="21"/>
        </w:rPr>
        <w:t>30%</w:t>
      </w:r>
      <w:r>
        <w:rPr>
          <w:rFonts w:hint="eastAsia" w:hAnsi="宋体"/>
          <w:szCs w:val="21"/>
        </w:rPr>
        <w:t>以上的，可给予联合体</w:t>
      </w:r>
      <w:r>
        <w:rPr>
          <w:rFonts w:hAnsi="宋体"/>
          <w:szCs w:val="21"/>
        </w:rPr>
        <w:t>2%-3%</w:t>
      </w:r>
      <w:r>
        <w:rPr>
          <w:rFonts w:hint="eastAsia" w:hAnsi="宋体"/>
          <w:szCs w:val="21"/>
        </w:rPr>
        <w:t>的价格扣除。联合体各方均为小型、微型企业的，联合体视同为小型、微型企业享受本办法第四条、第五条规定的扶持政策。组成联合体的大中型企业和其他自然人、法人或者其他组织，与小型、微型企业之间不得存在投资关系。”</w:t>
      </w:r>
    </w:p>
    <w:p>
      <w:pPr>
        <w:pStyle w:val="19"/>
        <w:spacing w:line="440" w:lineRule="exact"/>
        <w:ind w:firstLine="360"/>
        <w:rPr>
          <w:rFonts w:hAnsi="宋体"/>
          <w:szCs w:val="21"/>
        </w:rPr>
      </w:pPr>
      <w:r>
        <w:rPr>
          <w:rFonts w:hAnsi="宋体"/>
          <w:szCs w:val="21"/>
        </w:rPr>
        <w:t xml:space="preserve">3.5.1  </w:t>
      </w:r>
      <w:r>
        <w:rPr>
          <w:rFonts w:hint="eastAsia" w:hAnsi="宋体"/>
          <w:b/>
          <w:szCs w:val="21"/>
          <w:u w:val="single"/>
        </w:rPr>
        <w:t>投标人须知前附表规定不接受联合体投标的，本须知所有相关联合体要求及格式文件均不适用。投标人以联合体形式参加投标的，投标无效</w:t>
      </w:r>
      <w:r>
        <w:rPr>
          <w:rFonts w:hint="eastAsia" w:hAnsi="宋体"/>
          <w:szCs w:val="21"/>
        </w:rPr>
        <w:t>。</w:t>
      </w:r>
    </w:p>
    <w:p>
      <w:pPr>
        <w:pStyle w:val="19"/>
        <w:spacing w:line="440" w:lineRule="exact"/>
        <w:ind w:firstLine="360"/>
        <w:rPr>
          <w:rFonts w:hAnsi="宋体"/>
        </w:rPr>
      </w:pPr>
      <w:r>
        <w:rPr>
          <w:rFonts w:hAnsi="宋体"/>
          <w:bCs/>
        </w:rPr>
        <w:t xml:space="preserve">3.6  </w:t>
      </w:r>
      <w:r>
        <w:rPr>
          <w:rFonts w:hint="eastAsia" w:hAnsi="宋体"/>
        </w:rPr>
        <w:t>投标人不得直接或间接地与为本次采购的项目内容进行设计、编制规范和其他文件的咨询公司、采购代理机构或其附属机构有任何关联。</w:t>
      </w:r>
    </w:p>
    <w:p>
      <w:pPr>
        <w:pStyle w:val="19"/>
        <w:spacing w:line="440" w:lineRule="exact"/>
        <w:ind w:left="242" w:hanging="242" w:hangingChars="101"/>
        <w:jc w:val="left"/>
        <w:rPr>
          <w:rFonts w:hAnsi="宋体"/>
          <w:bCs/>
          <w:sz w:val="24"/>
        </w:rPr>
      </w:pPr>
      <w:r>
        <w:rPr>
          <w:rFonts w:hint="eastAsia" w:hAnsi="宋体"/>
          <w:bCs/>
          <w:sz w:val="24"/>
        </w:rPr>
        <w:t>4. 询问</w:t>
      </w:r>
    </w:p>
    <w:p>
      <w:pPr>
        <w:pStyle w:val="19"/>
        <w:spacing w:line="440" w:lineRule="exact"/>
        <w:ind w:left="2" w:firstLine="360"/>
        <w:jc w:val="left"/>
        <w:rPr>
          <w:rFonts w:hAnsi="宋体"/>
          <w:bCs/>
        </w:rPr>
      </w:pPr>
      <w:r>
        <w:rPr>
          <w:rFonts w:hint="eastAsia" w:hAnsi="宋体"/>
          <w:bCs/>
        </w:rPr>
        <w:t>4.1  供应商对政府采购活动事项有疑问的，可以向采购人或采购代理机构项目负责人提出询问。</w:t>
      </w:r>
    </w:p>
    <w:p>
      <w:pPr>
        <w:pStyle w:val="19"/>
        <w:spacing w:line="440" w:lineRule="exact"/>
        <w:ind w:left="2" w:firstLine="360"/>
        <w:jc w:val="left"/>
        <w:rPr>
          <w:rFonts w:hAnsi="宋体"/>
          <w:bCs/>
          <w:szCs w:val="21"/>
        </w:rPr>
      </w:pPr>
      <w:r>
        <w:rPr>
          <w:rFonts w:hint="eastAsia" w:hAnsi="宋体"/>
          <w:bCs/>
          <w:szCs w:val="21"/>
        </w:rPr>
        <w:t>4.2  采购人或采购人委托的采购代理机构自受理询问之日起3个工作日内对供应商依法提出的询问作出答复。</w:t>
      </w:r>
    </w:p>
    <w:p>
      <w:pPr>
        <w:pStyle w:val="19"/>
        <w:spacing w:line="440" w:lineRule="exact"/>
        <w:ind w:left="2" w:firstLine="360"/>
        <w:jc w:val="left"/>
        <w:rPr>
          <w:rFonts w:hAnsi="宋体"/>
          <w:bCs/>
          <w:szCs w:val="21"/>
        </w:rPr>
      </w:pPr>
      <w:r>
        <w:rPr>
          <w:rFonts w:hAnsi="宋体"/>
          <w:bCs/>
          <w:szCs w:val="21"/>
        </w:rPr>
        <w:t xml:space="preserve">4.3 </w:t>
      </w:r>
      <w:r>
        <w:rPr>
          <w:rFonts w:hint="eastAsia" w:hAnsi="宋体"/>
          <w:bCs/>
          <w:szCs w:val="21"/>
        </w:rPr>
        <w:t xml:space="preserve"> 询问事项可能影响中标、成交结果的，采购人应当暂停签订合同，已经签订合同的，应当中止履行合同。</w:t>
      </w:r>
    </w:p>
    <w:p>
      <w:pPr>
        <w:pStyle w:val="19"/>
        <w:spacing w:line="440" w:lineRule="exact"/>
        <w:ind w:left="242" w:hanging="242" w:hangingChars="101"/>
        <w:jc w:val="left"/>
        <w:rPr>
          <w:rFonts w:hAnsi="宋体"/>
          <w:bCs/>
          <w:sz w:val="24"/>
        </w:rPr>
      </w:pPr>
      <w:r>
        <w:rPr>
          <w:rFonts w:hint="eastAsia" w:hAnsi="宋体"/>
          <w:bCs/>
          <w:sz w:val="24"/>
        </w:rPr>
        <w:t>5.1质疑</w:t>
      </w:r>
    </w:p>
    <w:p>
      <w:pPr>
        <w:pStyle w:val="19"/>
        <w:spacing w:line="440" w:lineRule="exact"/>
        <w:ind w:firstLine="420" w:firstLineChars="200"/>
        <w:rPr>
          <w:rFonts w:hAnsi="宋体"/>
          <w:bCs/>
        </w:rPr>
      </w:pPr>
      <w:r>
        <w:rPr>
          <w:rFonts w:hint="eastAsia" w:hAnsi="宋体"/>
          <w:bCs/>
        </w:rPr>
        <w:t>5.1.1  供应商认为采购文件、采购过程、中标或者成交结果使自己的权益受到损害的，可以在知道或者应知其权益受到损害之日起7个工作日内，以书面形式提出质疑。质疑有效期结束后，采购人或采购代理机构不再受理该项目质疑。质疑材料统一提交至采购代理机构，质疑提交地点</w:t>
      </w:r>
      <w:r>
        <w:rPr>
          <w:rFonts w:hint="eastAsia" w:hAnsi="宋体"/>
          <w:bCs/>
          <w:szCs w:val="21"/>
        </w:rPr>
        <w:t>和联系方式</w:t>
      </w:r>
      <w:r>
        <w:rPr>
          <w:rFonts w:hint="eastAsia" w:hAnsi="宋体"/>
          <w:bCs/>
        </w:rPr>
        <w:t>详见投标人须知前附表。采购代理机构应根据采购文件的规定将属于采购人受理和答复的质疑材料及时移交给采购人，采购人应将质疑处理情况及时函告采购代理机构。</w:t>
      </w:r>
    </w:p>
    <w:p>
      <w:pPr>
        <w:pStyle w:val="19"/>
        <w:spacing w:line="440" w:lineRule="exact"/>
        <w:ind w:firstLine="420" w:firstLineChars="200"/>
        <w:rPr>
          <w:rFonts w:hAnsi="宋体"/>
          <w:bCs/>
        </w:rPr>
      </w:pPr>
      <w:r>
        <w:rPr>
          <w:rFonts w:hint="eastAsia" w:hAnsi="宋体"/>
          <w:bCs/>
        </w:rPr>
        <w:t>5.1.1.1潜在供应商依法获取公开招标文件后，认为采购文件使自己的权益受到损害的，应当在公开招标文件公告期限届满之日起7个工作日内提出质疑。对公开招标文件中采购需求（含资格要求、采购预算和评分办法）的质疑由采购人受理并负责答复；对公开招标文件中的采购执行程序的质疑由采购代理机构受理并负责答复。</w:t>
      </w:r>
    </w:p>
    <w:p>
      <w:pPr>
        <w:pStyle w:val="19"/>
        <w:spacing w:line="440" w:lineRule="exact"/>
        <w:ind w:firstLine="420" w:firstLineChars="200"/>
        <w:rPr>
          <w:rFonts w:hAnsi="宋体"/>
          <w:bCs/>
        </w:rPr>
      </w:pPr>
      <w:r>
        <w:rPr>
          <w:rFonts w:hint="eastAsia" w:hAnsi="宋体"/>
          <w:bCs/>
        </w:rPr>
        <w:t>5.1.1.2供应商认为采购过程使自己的权益受到损害的，应当在各采购程序环节结束之日起7个工作日内提出质疑。对采购过程中资格审查</w:t>
      </w:r>
      <w:r>
        <w:rPr>
          <w:rFonts w:hint="eastAsia" w:hAnsi="宋体"/>
          <w:szCs w:val="21"/>
        </w:rPr>
        <w:t>、符合性审查等具体评审情况</w:t>
      </w:r>
      <w:r>
        <w:rPr>
          <w:rFonts w:hint="eastAsia" w:hAnsi="宋体"/>
          <w:bCs/>
        </w:rPr>
        <w:t>的质疑应向采购人提出，由采购人受理并负责答复；对采购过程中采购执行程序的质疑由采购代理机构受理并负责答复。</w:t>
      </w:r>
    </w:p>
    <w:p>
      <w:pPr>
        <w:pStyle w:val="19"/>
        <w:spacing w:line="440" w:lineRule="exact"/>
        <w:ind w:left="2" w:firstLine="360"/>
        <w:jc w:val="left"/>
        <w:rPr>
          <w:rFonts w:hAnsi="宋体"/>
          <w:bCs/>
          <w:szCs w:val="21"/>
        </w:rPr>
      </w:pPr>
      <w:r>
        <w:rPr>
          <w:rFonts w:hint="eastAsia" w:hAnsi="宋体"/>
          <w:bCs/>
        </w:rPr>
        <w:t>5.1.1.3供应商认为中标或者成交结果使自己的权益受到损害的，应当在中标或者成交结果公告期限届满之日起7个工作日内提出质疑，由采购人受理并负责答复。</w:t>
      </w:r>
    </w:p>
    <w:p>
      <w:pPr>
        <w:pStyle w:val="19"/>
        <w:spacing w:line="440" w:lineRule="exact"/>
        <w:ind w:left="2" w:firstLine="360"/>
        <w:jc w:val="left"/>
        <w:rPr>
          <w:rFonts w:hAnsi="宋体"/>
          <w:bCs/>
          <w:szCs w:val="21"/>
        </w:rPr>
      </w:pPr>
      <w:r>
        <w:rPr>
          <w:rFonts w:hint="eastAsia" w:hAnsi="宋体"/>
          <w:bCs/>
          <w:szCs w:val="21"/>
        </w:rPr>
        <w:t>5.1.2  供应商质疑实行实名制，其质疑应当有具体的质疑事项及事实根据，质疑应当坚持依法依规、诚实信用原则，不得进行虚假、恶意质疑。</w:t>
      </w:r>
    </w:p>
    <w:p>
      <w:pPr>
        <w:pStyle w:val="19"/>
        <w:spacing w:line="440" w:lineRule="exact"/>
        <w:ind w:left="2" w:firstLine="360"/>
        <w:jc w:val="left"/>
        <w:rPr>
          <w:rFonts w:hAnsi="宋体"/>
          <w:bCs/>
          <w:szCs w:val="21"/>
        </w:rPr>
      </w:pPr>
      <w:r>
        <w:rPr>
          <w:rFonts w:hint="eastAsia" w:hAnsi="宋体"/>
          <w:bCs/>
          <w:szCs w:val="21"/>
        </w:rPr>
        <w:t>5.1.3  供应商提交质疑应当提交质疑函和必要的证明材料</w:t>
      </w:r>
      <w:r>
        <w:rPr>
          <w:rFonts w:hAnsi="宋体"/>
          <w:bCs/>
          <w:szCs w:val="21"/>
        </w:rPr>
        <w:t>[</w:t>
      </w:r>
      <w:r>
        <w:rPr>
          <w:rFonts w:hint="eastAsia" w:hAnsi="宋体"/>
          <w:bCs/>
          <w:szCs w:val="21"/>
        </w:rPr>
        <w:t>按第七章“质疑材料格式”提供的“质疑函（格式）”和“质疑证明材料（格式）”的要求填写</w:t>
      </w:r>
      <w:r>
        <w:rPr>
          <w:rFonts w:hAnsi="宋体"/>
          <w:bCs/>
          <w:szCs w:val="21"/>
        </w:rPr>
        <w:t>]</w:t>
      </w:r>
      <w:r>
        <w:rPr>
          <w:rFonts w:hint="eastAsia" w:hAnsi="宋体"/>
          <w:bCs/>
          <w:szCs w:val="21"/>
        </w:rPr>
        <w:t>，质疑函应当包括下列内容：</w:t>
      </w:r>
    </w:p>
    <w:p>
      <w:pPr>
        <w:pStyle w:val="19"/>
        <w:spacing w:line="440" w:lineRule="exact"/>
        <w:ind w:left="2" w:firstLine="360"/>
        <w:jc w:val="left"/>
        <w:rPr>
          <w:rFonts w:hAnsi="宋体"/>
          <w:bCs/>
          <w:szCs w:val="21"/>
        </w:rPr>
      </w:pPr>
      <w:r>
        <w:rPr>
          <w:rFonts w:hint="eastAsia" w:hAnsi="宋体"/>
          <w:bCs/>
          <w:szCs w:val="21"/>
        </w:rPr>
        <w:t>（1）供应商的姓名或者名称、地址、邮编、联系人及联系电话；</w:t>
      </w:r>
    </w:p>
    <w:p>
      <w:pPr>
        <w:pStyle w:val="19"/>
        <w:spacing w:line="440" w:lineRule="exact"/>
        <w:ind w:left="2" w:firstLine="360"/>
        <w:jc w:val="left"/>
        <w:rPr>
          <w:rFonts w:hAnsi="宋体"/>
          <w:bCs/>
          <w:szCs w:val="21"/>
        </w:rPr>
      </w:pPr>
      <w:r>
        <w:rPr>
          <w:rFonts w:hint="eastAsia" w:hAnsi="宋体"/>
          <w:bCs/>
          <w:szCs w:val="21"/>
        </w:rPr>
        <w:t>（2）质疑项目的名称、编号；</w:t>
      </w:r>
    </w:p>
    <w:p>
      <w:pPr>
        <w:pStyle w:val="19"/>
        <w:spacing w:line="440" w:lineRule="exact"/>
        <w:ind w:left="2" w:firstLine="360"/>
        <w:jc w:val="left"/>
        <w:rPr>
          <w:rFonts w:hAnsi="宋体"/>
          <w:bCs/>
          <w:szCs w:val="21"/>
        </w:rPr>
      </w:pPr>
      <w:r>
        <w:rPr>
          <w:rFonts w:hint="eastAsia" w:hAnsi="宋体"/>
          <w:bCs/>
          <w:szCs w:val="21"/>
        </w:rPr>
        <w:t>（3）具体、明确的质疑事项和质疑事项相关的请求；</w:t>
      </w:r>
    </w:p>
    <w:p>
      <w:pPr>
        <w:pStyle w:val="19"/>
        <w:spacing w:line="440" w:lineRule="exact"/>
        <w:ind w:left="2" w:firstLine="360"/>
        <w:jc w:val="left"/>
        <w:rPr>
          <w:rFonts w:hAnsi="宋体"/>
          <w:bCs/>
          <w:szCs w:val="21"/>
        </w:rPr>
      </w:pPr>
      <w:r>
        <w:rPr>
          <w:rFonts w:hint="eastAsia" w:hAnsi="宋体"/>
          <w:bCs/>
          <w:szCs w:val="21"/>
        </w:rPr>
        <w:t>（4）事实依据（列明权益受到损害的事实和理由）；</w:t>
      </w:r>
    </w:p>
    <w:p>
      <w:pPr>
        <w:pStyle w:val="19"/>
        <w:spacing w:line="440" w:lineRule="exact"/>
        <w:ind w:left="2" w:firstLine="360"/>
        <w:jc w:val="left"/>
        <w:rPr>
          <w:rFonts w:hAnsi="宋体"/>
          <w:bCs/>
          <w:szCs w:val="21"/>
        </w:rPr>
      </w:pPr>
      <w:r>
        <w:rPr>
          <w:rFonts w:hint="eastAsia" w:hAnsi="宋体"/>
          <w:bCs/>
          <w:szCs w:val="21"/>
        </w:rPr>
        <w:t>（5）必要的法律依据；</w:t>
      </w:r>
    </w:p>
    <w:p>
      <w:pPr>
        <w:pStyle w:val="19"/>
        <w:spacing w:line="440" w:lineRule="exact"/>
        <w:ind w:left="2" w:firstLine="360"/>
        <w:jc w:val="left"/>
        <w:rPr>
          <w:rFonts w:hAnsi="宋体"/>
          <w:bCs/>
          <w:szCs w:val="21"/>
        </w:rPr>
      </w:pPr>
      <w:r>
        <w:rPr>
          <w:rFonts w:hint="eastAsia" w:hAnsi="宋体"/>
          <w:bCs/>
          <w:szCs w:val="21"/>
        </w:rPr>
        <w:t>（6）提起质疑的日期；</w:t>
      </w:r>
    </w:p>
    <w:p>
      <w:pPr>
        <w:pStyle w:val="19"/>
        <w:spacing w:line="440" w:lineRule="exact"/>
        <w:ind w:left="2" w:firstLine="360"/>
        <w:jc w:val="left"/>
        <w:rPr>
          <w:rFonts w:hAnsi="宋体"/>
        </w:rPr>
      </w:pPr>
      <w:r>
        <w:rPr>
          <w:rFonts w:hint="eastAsia" w:hAnsi="宋体"/>
          <w:bCs/>
          <w:szCs w:val="21"/>
        </w:rPr>
        <w:t>供应商为自然人的，应当由本人签字；质疑供应商为法人或者其他组织的，应当由法定代表人、主要负责人签字或其授权代表签字或盖章并加盖公章。</w:t>
      </w:r>
    </w:p>
    <w:p>
      <w:pPr>
        <w:pStyle w:val="19"/>
        <w:spacing w:line="440" w:lineRule="exact"/>
        <w:ind w:left="2" w:firstLine="360"/>
        <w:rPr>
          <w:rFonts w:hAnsi="宋体"/>
          <w:bCs/>
        </w:rPr>
      </w:pPr>
      <w:r>
        <w:rPr>
          <w:rFonts w:hint="eastAsia" w:hAnsi="宋体"/>
          <w:bCs/>
        </w:rPr>
        <w:t>5.1.4  质疑供应商可以委托代理人办理质疑事务。委托代理人应熟悉相关业务情况。代理人办理质疑事务时，除提交质疑书外，还应当提交质疑供应商的授权委托书，授权委托书应当载明委托代理的具体权限和事项</w:t>
      </w:r>
      <w:r>
        <w:rPr>
          <w:rFonts w:hint="eastAsia" w:hAnsi="宋体"/>
        </w:rPr>
        <w:t>。</w:t>
      </w:r>
    </w:p>
    <w:p>
      <w:pPr>
        <w:pStyle w:val="19"/>
        <w:spacing w:line="440" w:lineRule="exact"/>
        <w:ind w:left="2" w:firstLine="360"/>
        <w:rPr>
          <w:rFonts w:hAnsi="宋体"/>
          <w:bCs/>
        </w:rPr>
      </w:pPr>
      <w:r>
        <w:rPr>
          <w:rFonts w:hint="eastAsia" w:hAnsi="宋体"/>
          <w:bCs/>
        </w:rPr>
        <w:t>5.1.5  质疑供应商提起质疑应当符合下列条件：</w:t>
      </w:r>
    </w:p>
    <w:p>
      <w:pPr>
        <w:pStyle w:val="19"/>
        <w:spacing w:line="440" w:lineRule="exact"/>
        <w:ind w:left="2" w:firstLine="360"/>
        <w:rPr>
          <w:rFonts w:hAnsi="宋体"/>
          <w:bCs/>
        </w:rPr>
      </w:pPr>
      <w:r>
        <w:rPr>
          <w:rFonts w:hint="eastAsia" w:hAnsi="宋体"/>
          <w:bCs/>
        </w:rPr>
        <w:t>（1）质疑供应商是参与所质疑</w:t>
      </w:r>
      <w:r>
        <w:rPr>
          <w:rFonts w:hint="eastAsia" w:hAnsi="宋体"/>
          <w:bCs/>
          <w:szCs w:val="21"/>
        </w:rPr>
        <w:t>项目</w:t>
      </w:r>
      <w:r>
        <w:rPr>
          <w:rFonts w:hint="eastAsia" w:hAnsi="宋体"/>
          <w:bCs/>
        </w:rPr>
        <w:t>采购活动的供应商，以联合体形式参加政府采购活动的，其质疑应当由组成联合体的所有供应商共同提出；</w:t>
      </w:r>
    </w:p>
    <w:p>
      <w:pPr>
        <w:pStyle w:val="19"/>
        <w:spacing w:line="440" w:lineRule="exact"/>
        <w:ind w:left="2" w:firstLine="360"/>
        <w:rPr>
          <w:rFonts w:hAnsi="宋体"/>
          <w:bCs/>
        </w:rPr>
      </w:pPr>
      <w:r>
        <w:rPr>
          <w:rFonts w:hint="eastAsia" w:hAnsi="宋体"/>
          <w:bCs/>
        </w:rPr>
        <w:t>（2）质疑函内容符合本章第5.1.3项的规定；</w:t>
      </w:r>
    </w:p>
    <w:p>
      <w:pPr>
        <w:pStyle w:val="19"/>
        <w:spacing w:line="440" w:lineRule="exact"/>
        <w:ind w:left="2" w:firstLine="360"/>
        <w:rPr>
          <w:rFonts w:hAnsi="宋体"/>
          <w:bCs/>
        </w:rPr>
      </w:pPr>
      <w:r>
        <w:rPr>
          <w:rFonts w:hint="eastAsia" w:hAnsi="宋体"/>
          <w:bCs/>
        </w:rPr>
        <w:t>（3）在质疑有效期限内提起质疑；</w:t>
      </w:r>
    </w:p>
    <w:p>
      <w:pPr>
        <w:pStyle w:val="19"/>
        <w:spacing w:line="440" w:lineRule="exact"/>
        <w:ind w:left="2" w:firstLine="360"/>
        <w:rPr>
          <w:rFonts w:hAnsi="宋体"/>
          <w:bCs/>
        </w:rPr>
      </w:pPr>
      <w:r>
        <w:rPr>
          <w:rFonts w:hint="eastAsia" w:hAnsi="宋体"/>
          <w:bCs/>
        </w:rPr>
        <w:t>（4）属于所质疑的采购人或采购人委托的采购代理机构组织的采购活动；</w:t>
      </w:r>
    </w:p>
    <w:p>
      <w:pPr>
        <w:pStyle w:val="19"/>
        <w:spacing w:line="440" w:lineRule="exact"/>
        <w:ind w:left="2" w:firstLine="360"/>
        <w:rPr>
          <w:rFonts w:hAnsi="宋体"/>
          <w:bCs/>
        </w:rPr>
      </w:pPr>
      <w:r>
        <w:rPr>
          <w:rFonts w:hint="eastAsia" w:hAnsi="宋体"/>
          <w:bCs/>
        </w:rPr>
        <w:t xml:space="preserve">（5）同一质疑事项未经采购人或采购人委托的采购代理机构质疑处理； </w:t>
      </w:r>
    </w:p>
    <w:p>
      <w:pPr>
        <w:pStyle w:val="19"/>
        <w:spacing w:line="440" w:lineRule="exact"/>
        <w:ind w:left="2" w:firstLine="360"/>
        <w:rPr>
          <w:rFonts w:hAnsi="宋体"/>
          <w:bCs/>
        </w:rPr>
      </w:pPr>
      <w:r>
        <w:rPr>
          <w:rFonts w:hint="eastAsia" w:hAnsi="宋体"/>
          <w:bCs/>
        </w:rPr>
        <w:t>（6）供应商对同一采购程序环节的质疑应当在质疑有效期内一次性提出；</w:t>
      </w:r>
    </w:p>
    <w:p>
      <w:pPr>
        <w:pStyle w:val="19"/>
        <w:spacing w:line="440" w:lineRule="exact"/>
        <w:ind w:left="2" w:firstLine="360"/>
        <w:rPr>
          <w:rFonts w:hAnsi="宋体"/>
          <w:bCs/>
        </w:rPr>
      </w:pPr>
      <w:r>
        <w:rPr>
          <w:rFonts w:hint="eastAsia" w:hAnsi="宋体"/>
          <w:bCs/>
        </w:rPr>
        <w:t>（7）</w:t>
      </w:r>
      <w:r>
        <w:rPr>
          <w:rFonts w:hint="eastAsia" w:hAnsi="宋体"/>
          <w:bCs/>
          <w:szCs w:val="21"/>
        </w:rPr>
        <w:t>供应商提交质疑应当提交必要的证明材料，证明材料应以合法手段取得；</w:t>
      </w:r>
    </w:p>
    <w:p>
      <w:pPr>
        <w:pStyle w:val="19"/>
        <w:spacing w:line="440" w:lineRule="exact"/>
        <w:ind w:left="2" w:firstLine="360"/>
        <w:rPr>
          <w:rFonts w:hAnsi="宋体"/>
          <w:bCs/>
        </w:rPr>
      </w:pPr>
      <w:r>
        <w:rPr>
          <w:rFonts w:hint="eastAsia" w:hAnsi="宋体"/>
          <w:bCs/>
        </w:rPr>
        <w:t>（8）财政部门规定的其他条件。</w:t>
      </w:r>
    </w:p>
    <w:p>
      <w:pPr>
        <w:pStyle w:val="19"/>
        <w:spacing w:line="460" w:lineRule="exact"/>
        <w:ind w:firstLine="420" w:firstLineChars="200"/>
        <w:rPr>
          <w:rFonts w:hAnsi="宋体"/>
          <w:szCs w:val="21"/>
        </w:rPr>
      </w:pPr>
      <w:r>
        <w:rPr>
          <w:rFonts w:hint="eastAsia" w:hAnsi="宋体"/>
        </w:rPr>
        <w:t xml:space="preserve">5.1.6  </w:t>
      </w:r>
      <w:r>
        <w:rPr>
          <w:rFonts w:hint="eastAsia" w:hAnsi="宋体"/>
          <w:szCs w:val="21"/>
        </w:rPr>
        <w:t>采购人或采购人委托的采购代理机构在收到质疑函后7个工作日内作出答复，并以书面形式通知质疑供应商及其他有关供应商。对不符合质疑条件的质疑，答复质疑不成立，并说明理由；对符合质疑条件的质疑，对质疑事项作出答复</w:t>
      </w:r>
      <w:r>
        <w:rPr>
          <w:rFonts w:hint="eastAsia" w:hAnsi="宋体" w:cs="Helvetica"/>
        </w:rPr>
        <w:t>。</w:t>
      </w:r>
    </w:p>
    <w:p>
      <w:pPr>
        <w:pStyle w:val="19"/>
        <w:spacing w:line="440" w:lineRule="exact"/>
        <w:ind w:left="2" w:firstLine="360"/>
        <w:rPr>
          <w:rFonts w:hAnsi="宋体"/>
        </w:rPr>
      </w:pPr>
      <w:r>
        <w:rPr>
          <w:rFonts w:hAnsi="宋体"/>
          <w:bCs/>
          <w:szCs w:val="21"/>
        </w:rPr>
        <w:t>5.1.7</w:t>
      </w:r>
      <w:r>
        <w:rPr>
          <w:rFonts w:hint="eastAsia" w:hAnsi="宋体"/>
          <w:bCs/>
          <w:szCs w:val="21"/>
        </w:rPr>
        <w:t>质疑事项可能影响中标、成交结果的，采购人应当暂停签订合同，已经签订合同的，应当中止履行合同。</w:t>
      </w:r>
    </w:p>
    <w:p>
      <w:pPr>
        <w:pStyle w:val="19"/>
        <w:spacing w:line="440" w:lineRule="exact"/>
        <w:ind w:left="242" w:hanging="242" w:hangingChars="101"/>
        <w:jc w:val="left"/>
        <w:rPr>
          <w:rFonts w:hAnsi="宋体"/>
          <w:bCs/>
          <w:sz w:val="24"/>
        </w:rPr>
      </w:pPr>
      <w:r>
        <w:rPr>
          <w:rFonts w:hAnsi="宋体"/>
          <w:bCs/>
          <w:sz w:val="24"/>
        </w:rPr>
        <w:t>5.</w:t>
      </w:r>
      <w:r>
        <w:rPr>
          <w:rFonts w:hint="eastAsia" w:hAnsi="宋体"/>
          <w:bCs/>
          <w:sz w:val="24"/>
        </w:rPr>
        <w:t>2投诉</w:t>
      </w:r>
    </w:p>
    <w:p>
      <w:pPr>
        <w:pStyle w:val="19"/>
        <w:spacing w:line="440" w:lineRule="exact"/>
        <w:ind w:left="2" w:firstLine="357" w:firstLineChars="170"/>
        <w:jc w:val="left"/>
        <w:rPr>
          <w:rFonts w:hAnsi="宋体"/>
          <w:bCs/>
        </w:rPr>
      </w:pPr>
      <w:r>
        <w:rPr>
          <w:rFonts w:hAnsi="宋体"/>
          <w:bCs/>
        </w:rPr>
        <w:t>5.</w:t>
      </w:r>
      <w:r>
        <w:rPr>
          <w:rFonts w:hint="eastAsia" w:hAnsi="宋体"/>
          <w:bCs/>
        </w:rPr>
        <w:t>2.</w:t>
      </w:r>
      <w:r>
        <w:rPr>
          <w:rFonts w:hAnsi="宋体"/>
          <w:bCs/>
        </w:rPr>
        <w:t xml:space="preserve">1  </w:t>
      </w:r>
      <w:r>
        <w:rPr>
          <w:rFonts w:hint="eastAsia" w:hAnsi="宋体"/>
          <w:bCs/>
        </w:rPr>
        <w:t>供应商认为采购文件、采购过程、中标和成交结果使自己的合法权益受到损害的，应当首先依法向采购人或采购人委托的</w:t>
      </w:r>
      <w:r>
        <w:rPr>
          <w:rFonts w:hint="eastAsia" w:hAnsi="宋体"/>
        </w:rPr>
        <w:t>采购代理机构</w:t>
      </w:r>
      <w:r>
        <w:rPr>
          <w:rFonts w:hint="eastAsia" w:hAnsi="宋体"/>
          <w:bCs/>
        </w:rPr>
        <w:t>提出质疑。对采购人、</w:t>
      </w:r>
      <w:r>
        <w:rPr>
          <w:rFonts w:hint="eastAsia" w:hAnsi="宋体"/>
        </w:rPr>
        <w:t>采购代理机构</w:t>
      </w:r>
      <w:r>
        <w:rPr>
          <w:rFonts w:hint="eastAsia" w:hAnsi="宋体"/>
          <w:bCs/>
        </w:rPr>
        <w:t>的答复不满意，或者采购人、</w:t>
      </w:r>
      <w:r>
        <w:rPr>
          <w:rFonts w:hint="eastAsia" w:hAnsi="宋体"/>
        </w:rPr>
        <w:t>采购代理机构</w:t>
      </w:r>
      <w:r>
        <w:rPr>
          <w:rFonts w:hint="eastAsia" w:hAnsi="宋体"/>
          <w:bCs/>
        </w:rPr>
        <w:t>未在规定期限内做出答复的，供应商可以在答复期满后十五个工作日内向兴业县政府采购监督管理部门提起投诉。</w:t>
      </w:r>
    </w:p>
    <w:p>
      <w:pPr>
        <w:pStyle w:val="19"/>
        <w:spacing w:line="440" w:lineRule="exact"/>
        <w:ind w:left="2" w:firstLine="357" w:firstLineChars="170"/>
        <w:jc w:val="left"/>
        <w:rPr>
          <w:rFonts w:hAnsi="宋体"/>
        </w:rPr>
      </w:pPr>
      <w:r>
        <w:rPr>
          <w:rFonts w:hAnsi="宋体"/>
        </w:rPr>
        <w:t xml:space="preserve">5.2 </w:t>
      </w:r>
      <w:r>
        <w:rPr>
          <w:rFonts w:hint="eastAsia" w:hAnsi="宋体"/>
        </w:rPr>
        <w:t>.2投诉人投诉时，应当提交投诉书，并按照被投诉采购人、采购代理机构和与投诉事项有关的供应商数量提供投诉书的副本。投诉书</w:t>
      </w:r>
      <w:r>
        <w:rPr>
          <w:rFonts w:hint="eastAsia" w:hAnsi="宋体"/>
          <w:szCs w:val="21"/>
        </w:rPr>
        <w:t>应当包括下列主要内容</w:t>
      </w:r>
      <w:r>
        <w:rPr>
          <w:rFonts w:hint="eastAsia" w:hAnsi="宋体"/>
        </w:rPr>
        <w:t>（如材料中有外文资料应同时附上对应的中文译本）</w:t>
      </w:r>
      <w:r>
        <w:rPr>
          <w:rFonts w:hint="eastAsia" w:hAnsi="宋体"/>
          <w:szCs w:val="21"/>
        </w:rPr>
        <w:t>：</w:t>
      </w:r>
    </w:p>
    <w:p>
      <w:pPr>
        <w:pStyle w:val="19"/>
        <w:spacing w:line="440" w:lineRule="exact"/>
        <w:ind w:left="2" w:firstLine="716" w:firstLineChars="341"/>
        <w:jc w:val="left"/>
        <w:rPr>
          <w:rFonts w:hAnsi="宋体"/>
        </w:rPr>
      </w:pPr>
      <w:r>
        <w:rPr>
          <w:rFonts w:hint="eastAsia" w:hAnsi="宋体"/>
        </w:rPr>
        <w:t>（</w:t>
      </w:r>
      <w:r>
        <w:rPr>
          <w:rFonts w:hAnsi="宋体"/>
        </w:rPr>
        <w:t>1</w:t>
      </w:r>
      <w:r>
        <w:rPr>
          <w:rFonts w:hint="eastAsia" w:hAnsi="宋体"/>
        </w:rPr>
        <w:t>）投诉人和被投诉人的名称、地址、电话等；</w:t>
      </w:r>
    </w:p>
    <w:p>
      <w:pPr>
        <w:pStyle w:val="19"/>
        <w:spacing w:line="440" w:lineRule="exact"/>
        <w:ind w:left="2" w:firstLine="716" w:firstLineChars="341"/>
        <w:jc w:val="left"/>
        <w:rPr>
          <w:rFonts w:hAnsi="宋体"/>
        </w:rPr>
      </w:pPr>
      <w:r>
        <w:rPr>
          <w:rFonts w:hint="eastAsia" w:hAnsi="宋体"/>
        </w:rPr>
        <w:t>（</w:t>
      </w:r>
      <w:r>
        <w:rPr>
          <w:rFonts w:hAnsi="宋体"/>
        </w:rPr>
        <w:t>2</w:t>
      </w:r>
      <w:r>
        <w:rPr>
          <w:rFonts w:hint="eastAsia" w:hAnsi="宋体"/>
        </w:rPr>
        <w:t>）具体的投诉事项及事实依据；</w:t>
      </w:r>
    </w:p>
    <w:p>
      <w:pPr>
        <w:pStyle w:val="19"/>
        <w:spacing w:line="440" w:lineRule="exact"/>
        <w:ind w:left="2" w:firstLine="716" w:firstLineChars="341"/>
        <w:jc w:val="left"/>
        <w:rPr>
          <w:rFonts w:hAnsi="宋体"/>
        </w:rPr>
      </w:pPr>
      <w:r>
        <w:rPr>
          <w:rFonts w:hint="eastAsia" w:hAnsi="宋体"/>
        </w:rPr>
        <w:t>（</w:t>
      </w:r>
      <w:r>
        <w:rPr>
          <w:rFonts w:hAnsi="宋体"/>
        </w:rPr>
        <w:t>3</w:t>
      </w:r>
      <w:r>
        <w:rPr>
          <w:rFonts w:hint="eastAsia" w:hAnsi="宋体"/>
        </w:rPr>
        <w:t>）质疑和质疑答复情况及相关证明材料；</w:t>
      </w:r>
    </w:p>
    <w:p>
      <w:pPr>
        <w:pStyle w:val="19"/>
        <w:spacing w:line="440" w:lineRule="exact"/>
        <w:ind w:left="2" w:firstLine="716" w:firstLineChars="341"/>
        <w:jc w:val="left"/>
        <w:rPr>
          <w:rFonts w:hAnsi="宋体"/>
        </w:rPr>
      </w:pPr>
      <w:r>
        <w:rPr>
          <w:rFonts w:hint="eastAsia" w:hAnsi="宋体"/>
        </w:rPr>
        <w:t>（</w:t>
      </w:r>
      <w:r>
        <w:rPr>
          <w:rFonts w:hAnsi="宋体"/>
        </w:rPr>
        <w:t>4</w:t>
      </w:r>
      <w:r>
        <w:rPr>
          <w:rFonts w:hint="eastAsia" w:hAnsi="宋体"/>
        </w:rPr>
        <w:t>）提起投诉的日期。</w:t>
      </w:r>
    </w:p>
    <w:p>
      <w:pPr>
        <w:pStyle w:val="19"/>
        <w:spacing w:line="440" w:lineRule="exact"/>
        <w:rPr>
          <w:rFonts w:hAnsi="宋体"/>
        </w:rPr>
      </w:pPr>
      <w:r>
        <w:rPr>
          <w:rFonts w:hint="eastAsia" w:hAnsi="宋体"/>
        </w:rPr>
        <w:t>投诉书应当署名。投诉人为自然人的，应当由本人签字；投诉人为法人或者其他组织的，应当由法定代表人或者主要负责人签字盖章并加盖公章。</w:t>
      </w:r>
    </w:p>
    <w:p>
      <w:pPr>
        <w:pStyle w:val="19"/>
        <w:spacing w:line="440" w:lineRule="exact"/>
        <w:ind w:firstLine="359" w:firstLineChars="171"/>
        <w:rPr>
          <w:rFonts w:hAnsi="宋体"/>
        </w:rPr>
      </w:pPr>
      <w:r>
        <w:rPr>
          <w:rFonts w:hAnsi="宋体"/>
        </w:rPr>
        <w:t>5.</w:t>
      </w:r>
      <w:r>
        <w:rPr>
          <w:rFonts w:hint="eastAsia" w:hAnsi="宋体"/>
        </w:rPr>
        <w:t>2.</w:t>
      </w:r>
      <w:r>
        <w:rPr>
          <w:rFonts w:hAnsi="宋体"/>
        </w:rPr>
        <w:t xml:space="preserve">3  </w:t>
      </w:r>
      <w:r>
        <w:rPr>
          <w:rFonts w:hint="eastAsia" w:hAnsi="宋体"/>
        </w:rPr>
        <w:t>投诉人可以委托代理人办理投诉事务。代理人办理投诉事务时，除提交投诉书外，还应当提交投诉人的授权委托书，授权委托书应当载明委托代理的具体权限和事项。</w:t>
      </w:r>
    </w:p>
    <w:p>
      <w:pPr>
        <w:pStyle w:val="19"/>
        <w:spacing w:line="440" w:lineRule="exact"/>
        <w:ind w:firstLine="359" w:firstLineChars="171"/>
        <w:rPr>
          <w:rFonts w:hAnsi="宋体"/>
        </w:rPr>
      </w:pPr>
      <w:r>
        <w:rPr>
          <w:rFonts w:hAnsi="宋体"/>
        </w:rPr>
        <w:t>5.</w:t>
      </w:r>
      <w:r>
        <w:rPr>
          <w:rFonts w:hint="eastAsia" w:hAnsi="宋体"/>
        </w:rPr>
        <w:t>2.</w:t>
      </w:r>
      <w:r>
        <w:rPr>
          <w:rFonts w:hAnsi="宋体"/>
        </w:rPr>
        <w:t xml:space="preserve">4  </w:t>
      </w:r>
      <w:r>
        <w:rPr>
          <w:rFonts w:hint="eastAsia" w:hAnsi="宋体"/>
        </w:rPr>
        <w:t>投诉人提起投诉应当符合下列条件：</w:t>
      </w:r>
    </w:p>
    <w:p>
      <w:pPr>
        <w:spacing w:line="440" w:lineRule="exact"/>
        <w:ind w:firstLine="720"/>
        <w:rPr>
          <w:rFonts w:ascii="宋体" w:hAnsi="宋体"/>
        </w:rPr>
      </w:pPr>
      <w:r>
        <w:rPr>
          <w:rFonts w:hint="eastAsia" w:ascii="宋体" w:hAnsi="宋体"/>
        </w:rPr>
        <w:t>（</w:t>
      </w:r>
      <w:r>
        <w:rPr>
          <w:rFonts w:ascii="宋体" w:hAnsi="宋体"/>
        </w:rPr>
        <w:t>1</w:t>
      </w:r>
      <w:r>
        <w:rPr>
          <w:rFonts w:hint="eastAsia" w:ascii="宋体" w:hAnsi="宋体"/>
        </w:rPr>
        <w:t>）投诉人是参与所投诉政府采购活动的供应商；</w:t>
      </w:r>
    </w:p>
    <w:p>
      <w:pPr>
        <w:spacing w:line="440" w:lineRule="exact"/>
        <w:ind w:firstLine="720"/>
        <w:rPr>
          <w:rFonts w:ascii="宋体" w:hAnsi="宋体"/>
        </w:rPr>
      </w:pPr>
      <w:r>
        <w:rPr>
          <w:rFonts w:hint="eastAsia" w:ascii="宋体" w:hAnsi="宋体"/>
        </w:rPr>
        <w:t>（</w:t>
      </w:r>
      <w:r>
        <w:rPr>
          <w:rFonts w:ascii="宋体" w:hAnsi="宋体"/>
        </w:rPr>
        <w:t>2</w:t>
      </w:r>
      <w:r>
        <w:rPr>
          <w:rFonts w:hint="eastAsia" w:ascii="宋体" w:hAnsi="宋体"/>
        </w:rPr>
        <w:t>）提起投诉前已依法进行质疑；</w:t>
      </w:r>
    </w:p>
    <w:p>
      <w:pPr>
        <w:spacing w:line="440" w:lineRule="exact"/>
        <w:ind w:firstLine="720"/>
        <w:rPr>
          <w:rFonts w:ascii="宋体" w:hAnsi="宋体"/>
        </w:rPr>
      </w:pPr>
      <w:r>
        <w:rPr>
          <w:rFonts w:hint="eastAsia" w:ascii="宋体" w:hAnsi="宋体"/>
        </w:rPr>
        <w:t>（</w:t>
      </w:r>
      <w:r>
        <w:rPr>
          <w:rFonts w:ascii="宋体" w:hAnsi="宋体"/>
        </w:rPr>
        <w:t>3</w:t>
      </w:r>
      <w:r>
        <w:rPr>
          <w:rFonts w:hint="eastAsia" w:ascii="宋体" w:hAnsi="宋体"/>
        </w:rPr>
        <w:t>）投诉书内容符合本章第</w:t>
      </w:r>
      <w:r>
        <w:rPr>
          <w:rFonts w:ascii="宋体" w:hAnsi="宋体"/>
        </w:rPr>
        <w:t>5.2</w:t>
      </w:r>
      <w:r>
        <w:rPr>
          <w:rFonts w:hint="eastAsia" w:ascii="宋体" w:hAnsi="宋体"/>
        </w:rPr>
        <w:t>项的规定；</w:t>
      </w:r>
    </w:p>
    <w:p>
      <w:pPr>
        <w:spacing w:line="440" w:lineRule="exact"/>
        <w:ind w:firstLine="720"/>
        <w:rPr>
          <w:rFonts w:ascii="宋体" w:hAnsi="宋体"/>
        </w:rPr>
      </w:pPr>
      <w:r>
        <w:rPr>
          <w:rFonts w:hint="eastAsia" w:ascii="宋体" w:hAnsi="宋体"/>
        </w:rPr>
        <w:t>（</w:t>
      </w:r>
      <w:r>
        <w:rPr>
          <w:rFonts w:ascii="宋体" w:hAnsi="宋体"/>
        </w:rPr>
        <w:t>4</w:t>
      </w:r>
      <w:r>
        <w:rPr>
          <w:rFonts w:hint="eastAsia" w:ascii="宋体" w:hAnsi="宋体"/>
        </w:rPr>
        <w:t>）在投诉有效期限内提起投诉；</w:t>
      </w:r>
    </w:p>
    <w:p>
      <w:pPr>
        <w:spacing w:line="440" w:lineRule="exact"/>
        <w:ind w:firstLine="720"/>
        <w:rPr>
          <w:rFonts w:ascii="宋体" w:hAnsi="宋体"/>
        </w:rPr>
      </w:pPr>
      <w:r>
        <w:rPr>
          <w:rFonts w:hint="eastAsia" w:ascii="宋体" w:hAnsi="宋体"/>
        </w:rPr>
        <w:t>（</w:t>
      </w:r>
      <w:r>
        <w:rPr>
          <w:rFonts w:ascii="宋体" w:hAnsi="宋体"/>
        </w:rPr>
        <w:t>5</w:t>
      </w:r>
      <w:r>
        <w:rPr>
          <w:rFonts w:hint="eastAsia" w:ascii="宋体" w:hAnsi="宋体"/>
        </w:rPr>
        <w:t>）属于兴业县政府采购监督管理部门管辖；</w:t>
      </w:r>
    </w:p>
    <w:p>
      <w:pPr>
        <w:spacing w:line="440" w:lineRule="exact"/>
        <w:ind w:firstLine="720"/>
        <w:rPr>
          <w:rFonts w:ascii="宋体" w:hAnsi="宋体"/>
        </w:rPr>
      </w:pPr>
      <w:r>
        <w:rPr>
          <w:rFonts w:hint="eastAsia" w:ascii="宋体" w:hAnsi="宋体"/>
        </w:rPr>
        <w:t>（</w:t>
      </w:r>
      <w:r>
        <w:rPr>
          <w:rFonts w:ascii="宋体" w:hAnsi="宋体"/>
        </w:rPr>
        <w:t>6</w:t>
      </w:r>
      <w:r>
        <w:rPr>
          <w:rFonts w:hint="eastAsia" w:ascii="宋体" w:hAnsi="宋体"/>
        </w:rPr>
        <w:t>）同一投诉事项未经</w:t>
      </w:r>
      <w:r>
        <w:rPr>
          <w:rFonts w:hint="eastAsia" w:ascii="宋体" w:hAnsi="宋体"/>
          <w:bCs/>
        </w:rPr>
        <w:t>兴业县政府采购监督管理部门</w:t>
      </w:r>
      <w:r>
        <w:rPr>
          <w:rFonts w:hint="eastAsia" w:ascii="宋体" w:hAnsi="宋体"/>
        </w:rPr>
        <w:t>投诉处理；</w:t>
      </w:r>
    </w:p>
    <w:p>
      <w:pPr>
        <w:spacing w:line="440" w:lineRule="exact"/>
        <w:ind w:firstLine="720"/>
        <w:rPr>
          <w:rFonts w:ascii="宋体" w:hAnsi="宋体"/>
        </w:rPr>
      </w:pPr>
      <w:r>
        <w:rPr>
          <w:rFonts w:hint="eastAsia" w:ascii="宋体" w:hAnsi="宋体"/>
        </w:rPr>
        <w:t>（</w:t>
      </w:r>
      <w:r>
        <w:rPr>
          <w:rFonts w:ascii="宋体" w:hAnsi="宋体"/>
        </w:rPr>
        <w:t>7</w:t>
      </w:r>
      <w:r>
        <w:rPr>
          <w:rFonts w:hint="eastAsia" w:ascii="宋体" w:hAnsi="宋体"/>
        </w:rPr>
        <w:t>）国务院财政部门规定的其他条件。</w:t>
      </w:r>
    </w:p>
    <w:p>
      <w:pPr>
        <w:spacing w:line="440" w:lineRule="exact"/>
        <w:ind w:firstLine="360"/>
        <w:rPr>
          <w:rFonts w:ascii="宋体" w:hAnsi="宋体"/>
        </w:rPr>
      </w:pPr>
      <w:r>
        <w:rPr>
          <w:rFonts w:ascii="宋体" w:hAnsi="宋体"/>
        </w:rPr>
        <w:t>5.</w:t>
      </w:r>
      <w:r>
        <w:rPr>
          <w:rFonts w:hint="eastAsia" w:ascii="宋体" w:hAnsi="宋体"/>
        </w:rPr>
        <w:t>2.</w:t>
      </w:r>
      <w:r>
        <w:rPr>
          <w:rFonts w:ascii="宋体" w:hAnsi="宋体"/>
        </w:rPr>
        <w:t xml:space="preserve">5  </w:t>
      </w:r>
      <w:r>
        <w:rPr>
          <w:rFonts w:hint="eastAsia" w:ascii="宋体" w:hAnsi="宋体"/>
        </w:rPr>
        <w:t>兴业县政府采购监督管理部门自受理投诉之日起三十个工作日内，对投诉事项作出处理决定，并以书面形式通知投诉人、被投诉人及其他与投诉处理结果有利害关系的政府采购当事人。</w:t>
      </w:r>
    </w:p>
    <w:p>
      <w:pPr>
        <w:spacing w:line="440" w:lineRule="exact"/>
        <w:ind w:firstLine="360"/>
        <w:rPr>
          <w:rFonts w:ascii="宋体" w:hAnsi="宋体"/>
          <w:bCs/>
        </w:rPr>
      </w:pPr>
      <w:r>
        <w:rPr>
          <w:rFonts w:ascii="宋体" w:hAnsi="宋体"/>
        </w:rPr>
        <w:t>5.</w:t>
      </w:r>
      <w:r>
        <w:rPr>
          <w:rFonts w:hint="eastAsia" w:ascii="宋体" w:hAnsi="宋体"/>
        </w:rPr>
        <w:t>2.</w:t>
      </w:r>
      <w:r>
        <w:rPr>
          <w:rFonts w:ascii="宋体" w:hAnsi="宋体"/>
        </w:rPr>
        <w:t xml:space="preserve">6  </w:t>
      </w:r>
      <w:r>
        <w:rPr>
          <w:rFonts w:hint="eastAsia" w:ascii="宋体" w:hAnsi="宋体"/>
        </w:rPr>
        <w:t>兴业县政府采购监督管理部门在处理投诉事项期间，可以视具体情况暂停采购活动。</w:t>
      </w:r>
    </w:p>
    <w:p>
      <w:pPr>
        <w:pStyle w:val="19"/>
        <w:spacing w:line="440" w:lineRule="exact"/>
        <w:jc w:val="center"/>
        <w:outlineLvl w:val="1"/>
        <w:rPr>
          <w:rFonts w:hAnsi="宋体"/>
          <w:b/>
          <w:sz w:val="30"/>
          <w:szCs w:val="30"/>
        </w:rPr>
      </w:pPr>
      <w:bookmarkStart w:id="47" w:name="_Toc401396876"/>
      <w:bookmarkStart w:id="48" w:name="_Toc213326417"/>
    </w:p>
    <w:p>
      <w:pPr>
        <w:pStyle w:val="4"/>
        <w:rPr>
          <w:rFonts w:ascii="宋体" w:hAnsi="宋体"/>
        </w:rPr>
      </w:pPr>
      <w:bookmarkStart w:id="49" w:name="_Toc57749781"/>
      <w:r>
        <w:rPr>
          <w:rFonts w:hint="eastAsia" w:ascii="宋体" w:hAnsi="宋体"/>
        </w:rPr>
        <w:t>二公开招标文件</w:t>
      </w:r>
      <w:bookmarkEnd w:id="47"/>
      <w:bookmarkEnd w:id="48"/>
      <w:bookmarkEnd w:id="49"/>
    </w:p>
    <w:p>
      <w:pPr>
        <w:pStyle w:val="19"/>
        <w:spacing w:line="440" w:lineRule="exact"/>
        <w:rPr>
          <w:rFonts w:hAnsi="宋体"/>
          <w:bCs/>
        </w:rPr>
      </w:pPr>
      <w:r>
        <w:rPr>
          <w:rFonts w:hAnsi="宋体"/>
          <w:bCs/>
          <w:sz w:val="24"/>
        </w:rPr>
        <w:t xml:space="preserve">6.  </w:t>
      </w:r>
      <w:r>
        <w:rPr>
          <w:rFonts w:hint="eastAsia" w:hAnsi="宋体"/>
          <w:bCs/>
          <w:sz w:val="24"/>
        </w:rPr>
        <w:t>公开招标文件的组成</w:t>
      </w:r>
    </w:p>
    <w:p>
      <w:pPr>
        <w:pStyle w:val="19"/>
        <w:spacing w:line="440" w:lineRule="exact"/>
        <w:ind w:firstLine="359" w:firstLineChars="171"/>
        <w:rPr>
          <w:rFonts w:hAnsi="宋体"/>
        </w:rPr>
      </w:pPr>
      <w:r>
        <w:rPr>
          <w:rFonts w:hAnsi="宋体"/>
        </w:rPr>
        <w:t xml:space="preserve">6.1  </w:t>
      </w:r>
      <w:r>
        <w:rPr>
          <w:rFonts w:hint="eastAsia" w:hAnsi="宋体"/>
        </w:rPr>
        <w:t>本</w:t>
      </w:r>
      <w:r>
        <w:rPr>
          <w:rFonts w:hint="eastAsia" w:hAnsi="宋体"/>
          <w:bCs/>
        </w:rPr>
        <w:t>公开招标</w:t>
      </w:r>
      <w:r>
        <w:rPr>
          <w:rFonts w:hint="eastAsia" w:hAnsi="宋体"/>
        </w:rPr>
        <w:t>文件包括六个章节，各章的内容如下：</w:t>
      </w:r>
    </w:p>
    <w:p>
      <w:pPr>
        <w:pStyle w:val="19"/>
        <w:spacing w:line="440" w:lineRule="exact"/>
        <w:ind w:firstLine="718" w:firstLineChars="342"/>
        <w:rPr>
          <w:rFonts w:hAnsi="宋体"/>
        </w:rPr>
      </w:pPr>
      <w:r>
        <w:rPr>
          <w:rFonts w:hint="eastAsia" w:hAnsi="宋体"/>
        </w:rPr>
        <w:t>第一章公告</w:t>
      </w:r>
    </w:p>
    <w:p>
      <w:pPr>
        <w:pStyle w:val="19"/>
        <w:spacing w:line="440" w:lineRule="exact"/>
        <w:ind w:firstLine="718" w:firstLineChars="342"/>
        <w:rPr>
          <w:rFonts w:hAnsi="宋体"/>
        </w:rPr>
      </w:pPr>
      <w:r>
        <w:rPr>
          <w:rFonts w:hint="eastAsia" w:hAnsi="宋体"/>
        </w:rPr>
        <w:t>第二章</w:t>
      </w:r>
      <w:r>
        <w:rPr>
          <w:rFonts w:hAnsi="宋体"/>
        </w:rPr>
        <w:t>采购需求一览表</w:t>
      </w:r>
    </w:p>
    <w:p>
      <w:pPr>
        <w:pStyle w:val="19"/>
        <w:spacing w:line="440" w:lineRule="exact"/>
        <w:ind w:firstLine="718" w:firstLineChars="342"/>
        <w:rPr>
          <w:rFonts w:hAnsi="宋体"/>
        </w:rPr>
      </w:pPr>
      <w:r>
        <w:rPr>
          <w:rFonts w:hint="eastAsia" w:hAnsi="宋体"/>
        </w:rPr>
        <w:t>第三章评标方法</w:t>
      </w:r>
    </w:p>
    <w:p>
      <w:pPr>
        <w:pStyle w:val="19"/>
        <w:spacing w:line="440" w:lineRule="exact"/>
        <w:ind w:firstLine="718" w:firstLineChars="342"/>
        <w:rPr>
          <w:rFonts w:hAnsi="宋体"/>
        </w:rPr>
      </w:pPr>
      <w:r>
        <w:rPr>
          <w:rFonts w:hint="eastAsia" w:hAnsi="宋体"/>
        </w:rPr>
        <w:t>第四章投标人须知</w:t>
      </w:r>
    </w:p>
    <w:p>
      <w:pPr>
        <w:pStyle w:val="19"/>
        <w:spacing w:line="440" w:lineRule="exact"/>
        <w:ind w:firstLine="718" w:firstLineChars="342"/>
        <w:rPr>
          <w:rFonts w:hAnsi="宋体"/>
        </w:rPr>
      </w:pPr>
      <w:r>
        <w:rPr>
          <w:rFonts w:hint="eastAsia" w:hAnsi="宋体"/>
        </w:rPr>
        <w:t>第五章投标文件格式</w:t>
      </w:r>
    </w:p>
    <w:p>
      <w:pPr>
        <w:pStyle w:val="19"/>
        <w:spacing w:line="440" w:lineRule="exact"/>
        <w:ind w:firstLine="718" w:firstLineChars="342"/>
        <w:rPr>
          <w:rFonts w:hAnsi="宋体"/>
        </w:rPr>
      </w:pPr>
      <w:r>
        <w:rPr>
          <w:rFonts w:hint="eastAsia" w:hAnsi="宋体"/>
        </w:rPr>
        <w:t>第六章合同条款及格式</w:t>
      </w:r>
    </w:p>
    <w:p>
      <w:pPr>
        <w:pStyle w:val="19"/>
        <w:spacing w:line="440" w:lineRule="exact"/>
        <w:ind w:firstLine="359" w:firstLineChars="171"/>
        <w:rPr>
          <w:rFonts w:hAnsi="宋体"/>
        </w:rPr>
      </w:pPr>
      <w:r>
        <w:rPr>
          <w:rFonts w:hAnsi="宋体"/>
        </w:rPr>
        <w:t>6.2</w:t>
      </w:r>
      <w:r>
        <w:rPr>
          <w:rFonts w:hint="eastAsia" w:hAnsi="宋体"/>
        </w:rPr>
        <w:t>根据本章第</w:t>
      </w:r>
      <w:r>
        <w:rPr>
          <w:rFonts w:hAnsi="宋体"/>
        </w:rPr>
        <w:t>7.1</w:t>
      </w:r>
      <w:r>
        <w:rPr>
          <w:rFonts w:hint="eastAsia" w:hAnsi="宋体"/>
        </w:rPr>
        <w:t>项的规定对公开招标文件所做的澄清、修改，构成招标文件的组成部分。当公开招标文件与招标文件的澄清和修改就同一内容的表述不一致时，以最后发出的书面文件为准。</w:t>
      </w:r>
    </w:p>
    <w:p>
      <w:pPr>
        <w:pStyle w:val="19"/>
        <w:spacing w:line="440" w:lineRule="exact"/>
        <w:rPr>
          <w:rFonts w:hAnsi="宋体"/>
          <w:bCs/>
          <w:sz w:val="24"/>
        </w:rPr>
      </w:pPr>
      <w:r>
        <w:rPr>
          <w:rFonts w:hAnsi="宋体"/>
          <w:bCs/>
          <w:sz w:val="24"/>
        </w:rPr>
        <w:t xml:space="preserve">7.  </w:t>
      </w:r>
      <w:r>
        <w:rPr>
          <w:rFonts w:hint="eastAsia" w:hAnsi="宋体"/>
          <w:bCs/>
          <w:sz w:val="24"/>
        </w:rPr>
        <w:t>招标文件的澄清和修改</w:t>
      </w:r>
    </w:p>
    <w:p>
      <w:pPr>
        <w:pStyle w:val="19"/>
        <w:spacing w:after="165" w:line="440" w:lineRule="exact"/>
        <w:ind w:left="2" w:firstLine="480"/>
        <w:rPr>
          <w:rFonts w:hAnsi="宋体"/>
        </w:rPr>
      </w:pPr>
      <w:r>
        <w:rPr>
          <w:rFonts w:hAnsi="宋体"/>
        </w:rPr>
        <w:t xml:space="preserve">7.1  </w:t>
      </w:r>
      <w:r>
        <w:rPr>
          <w:rFonts w:hint="eastAsia" w:hAnsi="宋体"/>
        </w:rPr>
        <w:t>投标人应认真审阅本公开招标文件，如有疑问，或发现其中有误或有要求不合理的，应在投标人须知前附表规定的</w:t>
      </w:r>
      <w:r>
        <w:rPr>
          <w:rFonts w:hint="eastAsia" w:hAnsi="宋体" w:cs="宋体"/>
          <w:kern w:val="0"/>
          <w:szCs w:val="21"/>
        </w:rPr>
        <w:t>投标人要求澄清的截止时间</w:t>
      </w:r>
      <w:r>
        <w:rPr>
          <w:rFonts w:hint="eastAsia" w:hAnsi="宋体"/>
        </w:rPr>
        <w:t>前以书面形式要求采购人或采购代理机构对招标文件予以澄清；否则，由此产生的后果由投标人自行负责。</w:t>
      </w:r>
    </w:p>
    <w:p>
      <w:pPr>
        <w:pStyle w:val="19"/>
        <w:spacing w:line="440" w:lineRule="exact"/>
        <w:ind w:left="2" w:firstLine="360"/>
        <w:rPr>
          <w:rFonts w:hAnsi="宋体"/>
        </w:rPr>
      </w:pPr>
      <w:r>
        <w:rPr>
          <w:rFonts w:hAnsi="宋体"/>
        </w:rPr>
        <w:t xml:space="preserve">7.2  </w:t>
      </w:r>
      <w:r>
        <w:rPr>
          <w:rFonts w:hint="eastAsia" w:hAnsi="宋体"/>
        </w:rPr>
        <w:t>采购人或采购代理机构必须在投标截止时间十五日前，以书面形式答复投标人要求澄清的问题，并将不包含问题来源的澄清通知所有招标文件收受人，除书面澄清以外的其他澄清方式及澄清内容均无效；</w:t>
      </w:r>
      <w:r>
        <w:rPr>
          <w:rFonts w:hint="eastAsia" w:hAnsi="宋体" w:cs="宋体"/>
          <w:kern w:val="0"/>
          <w:szCs w:val="21"/>
        </w:rPr>
        <w:t>同时，采购代理机构</w:t>
      </w:r>
      <w:r>
        <w:rPr>
          <w:rFonts w:hint="eastAsia" w:hAnsi="宋体"/>
        </w:rPr>
        <w:t>在</w:t>
      </w:r>
      <w:r>
        <w:rPr>
          <w:rFonts w:hint="eastAsia" w:hAnsi="宋体" w:cs="宋体"/>
          <w:kern w:val="0"/>
          <w:szCs w:val="21"/>
        </w:rPr>
        <w:t>本章第</w:t>
      </w:r>
      <w:r>
        <w:rPr>
          <w:rFonts w:hAnsi="宋体" w:cs="宋体"/>
          <w:kern w:val="0"/>
          <w:szCs w:val="21"/>
        </w:rPr>
        <w:t>2.1</w:t>
      </w:r>
      <w:r>
        <w:rPr>
          <w:rFonts w:hint="eastAsia" w:hAnsi="宋体" w:cs="宋体"/>
          <w:kern w:val="0"/>
          <w:szCs w:val="21"/>
        </w:rPr>
        <w:t>项规定的政府采购信息发布媒体上</w:t>
      </w:r>
      <w:r>
        <w:rPr>
          <w:rFonts w:hint="eastAsia" w:hAnsi="宋体"/>
        </w:rPr>
        <w:t>发布更正公告。如果澄清发出的时间距投标截止时间不足十五日，则相应延长投标截止时间。</w:t>
      </w:r>
    </w:p>
    <w:p>
      <w:pPr>
        <w:pStyle w:val="19"/>
        <w:spacing w:after="165" w:line="440" w:lineRule="exact"/>
        <w:ind w:left="2" w:firstLine="480"/>
        <w:rPr>
          <w:rFonts w:hAnsi="宋体"/>
        </w:rPr>
      </w:pPr>
      <w:r>
        <w:rPr>
          <w:rFonts w:hAnsi="宋体"/>
        </w:rPr>
        <w:t xml:space="preserve">7.3  </w:t>
      </w:r>
      <w:r>
        <w:rPr>
          <w:rFonts w:hint="eastAsia" w:hAnsi="宋体"/>
        </w:rPr>
        <w:t>采购人或采购代理机构对已发出的招标文件进行必要修改的，应在投标截止时间十五日前，以书面形式通知所有招标文件收受人；同时，采购代理机构在</w:t>
      </w:r>
      <w:r>
        <w:rPr>
          <w:rFonts w:hint="eastAsia" w:hAnsi="宋体" w:cs="宋体"/>
          <w:kern w:val="0"/>
          <w:szCs w:val="21"/>
        </w:rPr>
        <w:t>本章第</w:t>
      </w:r>
      <w:r>
        <w:rPr>
          <w:rFonts w:hAnsi="宋体" w:cs="宋体"/>
          <w:kern w:val="0"/>
          <w:szCs w:val="21"/>
        </w:rPr>
        <w:t>2.1</w:t>
      </w:r>
      <w:r>
        <w:rPr>
          <w:rFonts w:hint="eastAsia" w:hAnsi="宋体" w:cs="宋体"/>
          <w:kern w:val="0"/>
          <w:szCs w:val="21"/>
        </w:rPr>
        <w:t>项规定的政府采购信息发布媒体上</w:t>
      </w:r>
      <w:r>
        <w:rPr>
          <w:rFonts w:hint="eastAsia" w:hAnsi="宋体"/>
        </w:rPr>
        <w:t>发布更正公告。如果修改招标文件的时间距投标截止时间不足十五日，则相应延长投标截止时间。</w:t>
      </w:r>
    </w:p>
    <w:p>
      <w:pPr>
        <w:pStyle w:val="19"/>
        <w:spacing w:line="440" w:lineRule="exact"/>
        <w:ind w:left="2" w:firstLine="360"/>
        <w:rPr>
          <w:rFonts w:hAnsi="宋体"/>
        </w:rPr>
      </w:pPr>
      <w:r>
        <w:rPr>
          <w:rFonts w:hAnsi="宋体"/>
        </w:rPr>
        <w:t xml:space="preserve">7.4  </w:t>
      </w:r>
      <w:r>
        <w:rPr>
          <w:rFonts w:hint="eastAsia" w:hAnsi="宋体"/>
        </w:rPr>
        <w:t>采购人和采购代理机构可以视采购具体情况，延长投标截止时间和开标时间，但至少应当在投标截止时间三日前，将变更时间书面通知所有招标文件收受人。</w:t>
      </w:r>
      <w:r>
        <w:rPr>
          <w:rFonts w:hint="eastAsia" w:hAnsi="宋体" w:cs="宋体"/>
          <w:kern w:val="0"/>
          <w:szCs w:val="21"/>
        </w:rPr>
        <w:t>同时，采购代理机构</w:t>
      </w:r>
      <w:r>
        <w:rPr>
          <w:rFonts w:hint="eastAsia" w:hAnsi="宋体"/>
        </w:rPr>
        <w:t>在</w:t>
      </w:r>
      <w:r>
        <w:rPr>
          <w:rFonts w:hint="eastAsia" w:hAnsi="宋体" w:cs="宋体"/>
          <w:kern w:val="0"/>
          <w:szCs w:val="21"/>
        </w:rPr>
        <w:t>本章第</w:t>
      </w:r>
      <w:r>
        <w:rPr>
          <w:rFonts w:hAnsi="宋体" w:cs="宋体"/>
          <w:kern w:val="0"/>
          <w:szCs w:val="21"/>
        </w:rPr>
        <w:t>2.1</w:t>
      </w:r>
      <w:r>
        <w:rPr>
          <w:rFonts w:hint="eastAsia" w:hAnsi="宋体" w:cs="宋体"/>
          <w:kern w:val="0"/>
          <w:szCs w:val="21"/>
        </w:rPr>
        <w:t>项规定的政府采购信息发布媒体上</w:t>
      </w:r>
      <w:r>
        <w:rPr>
          <w:rFonts w:hint="eastAsia" w:hAnsi="宋体"/>
        </w:rPr>
        <w:t>发布变更公告。</w:t>
      </w:r>
    </w:p>
    <w:p>
      <w:pPr>
        <w:pStyle w:val="19"/>
        <w:spacing w:line="440" w:lineRule="exact"/>
        <w:ind w:left="2" w:firstLine="360"/>
        <w:rPr>
          <w:rFonts w:hAnsi="宋体"/>
          <w:b/>
          <w:bCs/>
        </w:rPr>
      </w:pPr>
    </w:p>
    <w:p>
      <w:pPr>
        <w:pStyle w:val="4"/>
        <w:rPr>
          <w:rFonts w:ascii="宋体" w:hAnsi="宋体"/>
        </w:rPr>
      </w:pPr>
      <w:bookmarkStart w:id="50" w:name="_Toc213326418"/>
      <w:bookmarkStart w:id="51" w:name="_Toc57749782"/>
      <w:bookmarkStart w:id="52" w:name="_Toc401396877"/>
      <w:r>
        <w:rPr>
          <w:rFonts w:hint="eastAsia" w:ascii="宋体" w:hAnsi="宋体"/>
        </w:rPr>
        <w:t>三投标文件</w:t>
      </w:r>
      <w:bookmarkEnd w:id="50"/>
      <w:bookmarkEnd w:id="51"/>
      <w:bookmarkEnd w:id="52"/>
    </w:p>
    <w:p>
      <w:pPr>
        <w:pStyle w:val="19"/>
        <w:spacing w:line="440" w:lineRule="exact"/>
        <w:rPr>
          <w:rFonts w:hAnsi="宋体"/>
          <w:bCs/>
          <w:sz w:val="24"/>
        </w:rPr>
      </w:pPr>
      <w:r>
        <w:rPr>
          <w:rFonts w:hAnsi="宋体"/>
          <w:bCs/>
          <w:sz w:val="24"/>
        </w:rPr>
        <w:t xml:space="preserve">8.  </w:t>
      </w:r>
      <w:r>
        <w:rPr>
          <w:rFonts w:hint="eastAsia" w:hAnsi="宋体"/>
          <w:bCs/>
          <w:sz w:val="24"/>
        </w:rPr>
        <w:t>投标文件的编制</w:t>
      </w:r>
    </w:p>
    <w:p>
      <w:pPr>
        <w:pStyle w:val="19"/>
        <w:spacing w:line="440" w:lineRule="exact"/>
        <w:ind w:left="2" w:firstLine="360"/>
        <w:rPr>
          <w:rFonts w:hAnsi="宋体"/>
        </w:rPr>
      </w:pPr>
      <w:r>
        <w:rPr>
          <w:rFonts w:hAnsi="宋体"/>
        </w:rPr>
        <w:t xml:space="preserve">8.1  </w:t>
      </w:r>
      <w:r>
        <w:rPr>
          <w:rFonts w:hint="eastAsia" w:hAnsi="宋体"/>
        </w:rPr>
        <w:t>投标人应仔细阅读招标文件，在充分了解招标的内容、技术参数要求和商务条款以及实质性要求和条件后，编写投标文件。</w:t>
      </w:r>
    </w:p>
    <w:p>
      <w:pPr>
        <w:pStyle w:val="19"/>
        <w:spacing w:line="440" w:lineRule="exact"/>
        <w:ind w:left="2" w:firstLine="360"/>
        <w:rPr>
          <w:rFonts w:hAnsi="宋体"/>
        </w:rPr>
      </w:pPr>
      <w:r>
        <w:rPr>
          <w:rFonts w:hAnsi="宋体"/>
        </w:rPr>
        <w:t xml:space="preserve">8.2  </w:t>
      </w:r>
      <w:r>
        <w:rPr>
          <w:rFonts w:hint="eastAsia" w:hAnsi="宋体"/>
        </w:rPr>
        <w:t>对招标文件的实质性要求和条件作出响应是指投标人必须对招标文件中标注为实质性要求和条件的技术参数要求、商务条款及其它内容</w:t>
      </w:r>
      <w:r>
        <w:rPr>
          <w:rFonts w:hint="eastAsia" w:hAnsi="宋体"/>
          <w:b/>
        </w:rPr>
        <w:t>作出满足或者优于原要求和条件的承诺</w:t>
      </w:r>
      <w:r>
        <w:rPr>
          <w:rFonts w:hint="eastAsia" w:hAnsi="宋体"/>
        </w:rPr>
        <w:t>。</w:t>
      </w:r>
    </w:p>
    <w:p>
      <w:pPr>
        <w:pStyle w:val="19"/>
        <w:spacing w:line="440" w:lineRule="exact"/>
        <w:ind w:left="2" w:firstLine="360"/>
        <w:rPr>
          <w:rFonts w:hAnsi="宋体"/>
          <w:color w:val="auto"/>
        </w:rPr>
      </w:pPr>
      <w:r>
        <w:rPr>
          <w:rFonts w:hAnsi="宋体"/>
        </w:rPr>
        <w:t>8.3</w:t>
      </w:r>
      <w:r>
        <w:rPr>
          <w:rFonts w:hAnsi="宋体"/>
          <w:color w:val="auto"/>
        </w:rPr>
        <w:t xml:space="preserve">  </w:t>
      </w:r>
      <w:r>
        <w:rPr>
          <w:rFonts w:hint="eastAsia" w:hAnsi="宋体"/>
          <w:color w:val="auto"/>
        </w:rPr>
        <w:t>招标文件中标注★号的内容为实质性要求和条件。未标注★号的内容在评标时不得作为判定投标无效的依据。</w:t>
      </w:r>
    </w:p>
    <w:p>
      <w:pPr>
        <w:pStyle w:val="19"/>
        <w:spacing w:line="440" w:lineRule="exact"/>
        <w:ind w:left="2" w:firstLine="360"/>
        <w:rPr>
          <w:rFonts w:hAnsi="宋体"/>
        </w:rPr>
      </w:pPr>
      <w:r>
        <w:rPr>
          <w:rFonts w:hAnsi="宋体"/>
          <w:color w:val="auto"/>
        </w:rPr>
        <w:t xml:space="preserve">8.4  </w:t>
      </w:r>
      <w:r>
        <w:rPr>
          <w:rFonts w:hint="eastAsia" w:hAnsi="宋体"/>
          <w:color w:val="auto"/>
        </w:rPr>
        <w:t>投标文件应用不褪色的材料书写或打印，保证其清楚、工整，相关材</w:t>
      </w:r>
      <w:r>
        <w:rPr>
          <w:rFonts w:hint="eastAsia" w:hAnsi="宋体"/>
        </w:rPr>
        <w:t>料的复印件应清晰可辨认。投标文件字迹潦草、表达不清、模糊无法辨认而导致非唯一理解是投标人的风险，很可能导致该投标无效。</w:t>
      </w:r>
    </w:p>
    <w:p>
      <w:pPr>
        <w:pStyle w:val="19"/>
        <w:spacing w:line="440" w:lineRule="exact"/>
        <w:ind w:left="2" w:firstLine="360"/>
        <w:rPr>
          <w:rFonts w:hAnsi="宋体"/>
        </w:rPr>
      </w:pPr>
      <w:r>
        <w:rPr>
          <w:rFonts w:hAnsi="宋体"/>
        </w:rPr>
        <w:t xml:space="preserve">8.5  </w:t>
      </w:r>
      <w:r>
        <w:rPr>
          <w:rFonts w:hint="eastAsia" w:hAnsi="宋体"/>
        </w:rPr>
        <w:t>第五章“投标文件格式”中规定了投标文件格式的，应按相应格式要求编写。</w:t>
      </w:r>
    </w:p>
    <w:p>
      <w:pPr>
        <w:pStyle w:val="19"/>
        <w:spacing w:line="440" w:lineRule="exact"/>
        <w:ind w:left="2" w:firstLine="360"/>
        <w:rPr>
          <w:rFonts w:hAnsi="宋体"/>
        </w:rPr>
      </w:pPr>
      <w:r>
        <w:rPr>
          <w:rFonts w:hAnsi="宋体"/>
        </w:rPr>
        <w:t xml:space="preserve">8.6  </w:t>
      </w:r>
      <w:r>
        <w:rPr>
          <w:rFonts w:hint="eastAsia" w:hAnsi="宋体"/>
        </w:rPr>
        <w:t>投标文件应尽量避免涂改、行间插字或删除。如果出现上述情况，改动之处应加盖单位公章或由投标人的法定代表人或其委托代理人签字或盖章确认。</w:t>
      </w:r>
    </w:p>
    <w:p>
      <w:pPr>
        <w:pStyle w:val="19"/>
        <w:spacing w:line="440" w:lineRule="exact"/>
        <w:ind w:left="2" w:firstLine="360"/>
        <w:rPr>
          <w:rFonts w:hAnsi="宋体"/>
        </w:rPr>
      </w:pPr>
      <w:r>
        <w:rPr>
          <w:rFonts w:hAnsi="宋体"/>
        </w:rPr>
        <w:t xml:space="preserve">8.7  </w:t>
      </w:r>
      <w:r>
        <w:rPr>
          <w:rFonts w:hint="eastAsia" w:hAnsi="宋体"/>
        </w:rPr>
        <w:t>投标文件的正本和副本应分别装订成册，封面上应清楚地标记“正本”或“副本”字样，并标明项目名称、项目编号、投标人名称及地址等内容。副本可以采用正本的复印件，当副本和正本不一致时，以正本为准。投标人应准备报价文件正本、资格文件正本、技术文件正本、商务文件正本各一份，副本份数见投标人须知前附表。</w:t>
      </w:r>
    </w:p>
    <w:p>
      <w:pPr>
        <w:pStyle w:val="19"/>
        <w:spacing w:line="440" w:lineRule="exact"/>
        <w:rPr>
          <w:rFonts w:hAnsi="宋体"/>
          <w:bCs/>
          <w:sz w:val="24"/>
        </w:rPr>
      </w:pPr>
      <w:r>
        <w:rPr>
          <w:rFonts w:hAnsi="宋体"/>
          <w:bCs/>
          <w:sz w:val="24"/>
        </w:rPr>
        <w:t xml:space="preserve">9.  </w:t>
      </w:r>
      <w:r>
        <w:rPr>
          <w:rFonts w:hint="eastAsia" w:hAnsi="宋体"/>
          <w:bCs/>
          <w:sz w:val="24"/>
        </w:rPr>
        <w:t>投标语言文字及计量单位</w:t>
      </w:r>
    </w:p>
    <w:p>
      <w:pPr>
        <w:pStyle w:val="19"/>
        <w:spacing w:line="440" w:lineRule="exact"/>
        <w:ind w:firstLine="360"/>
        <w:rPr>
          <w:rFonts w:hAnsi="宋体"/>
        </w:rPr>
      </w:pPr>
      <w:r>
        <w:rPr>
          <w:rFonts w:hAnsi="宋体"/>
        </w:rPr>
        <w:t xml:space="preserve">9.1  </w:t>
      </w:r>
      <w:r>
        <w:rPr>
          <w:rFonts w:hint="eastAsia" w:hAnsi="宋体"/>
        </w:rPr>
        <w:t>投标人的投标文件以及投标人与采购人、采购代理机构就有关投标的所有往来函电统一使用中文（特别规定除外）。</w:t>
      </w:r>
    </w:p>
    <w:p>
      <w:pPr>
        <w:pStyle w:val="19"/>
        <w:spacing w:line="440" w:lineRule="exact"/>
        <w:ind w:firstLine="360"/>
        <w:rPr>
          <w:rFonts w:hAnsi="宋体"/>
        </w:rPr>
      </w:pPr>
      <w:r>
        <w:rPr>
          <w:rFonts w:hAnsi="宋体"/>
        </w:rPr>
        <w:t>9.2</w:t>
      </w:r>
      <w:r>
        <w:rPr>
          <w:rFonts w:hint="eastAsia" w:hAnsi="宋体"/>
        </w:rPr>
        <w:t>投标人的投标文件中提供的证明材料是中文以外的其他语言的，应附有中文翻译。</w:t>
      </w:r>
    </w:p>
    <w:p>
      <w:pPr>
        <w:pStyle w:val="19"/>
        <w:spacing w:line="440" w:lineRule="exact"/>
        <w:ind w:firstLine="360"/>
        <w:rPr>
          <w:rFonts w:hAnsi="宋体"/>
        </w:rPr>
      </w:pPr>
      <w:r>
        <w:rPr>
          <w:rFonts w:hAnsi="宋体"/>
        </w:rPr>
        <w:t>9.</w:t>
      </w:r>
      <w:r>
        <w:rPr>
          <w:rFonts w:hint="eastAsia" w:hAnsi="宋体"/>
        </w:rPr>
        <w:t>3对不同文字文本投标文件的解释发生异议的，以中文文本为准。</w:t>
      </w:r>
    </w:p>
    <w:p>
      <w:pPr>
        <w:pStyle w:val="19"/>
        <w:spacing w:line="440" w:lineRule="exact"/>
        <w:ind w:firstLine="360"/>
        <w:rPr>
          <w:rFonts w:hAnsi="宋体"/>
        </w:rPr>
      </w:pPr>
      <w:r>
        <w:rPr>
          <w:rFonts w:hAnsi="宋体"/>
        </w:rPr>
        <w:t>9.</w:t>
      </w:r>
      <w:r>
        <w:rPr>
          <w:rFonts w:hint="eastAsia" w:hAnsi="宋体"/>
        </w:rPr>
        <w:t>4投标文件使用的计量单位除招标文件中有特殊规定外，一律使用中华人民共和国法定计量单位。</w:t>
      </w:r>
    </w:p>
    <w:p>
      <w:pPr>
        <w:pStyle w:val="19"/>
        <w:spacing w:line="440" w:lineRule="exact"/>
        <w:rPr>
          <w:rFonts w:hAnsi="宋体"/>
          <w:bCs/>
          <w:sz w:val="24"/>
        </w:rPr>
      </w:pPr>
      <w:r>
        <w:rPr>
          <w:rFonts w:hAnsi="宋体"/>
          <w:bCs/>
          <w:sz w:val="24"/>
        </w:rPr>
        <w:t xml:space="preserve">10.  </w:t>
      </w:r>
      <w:r>
        <w:rPr>
          <w:rFonts w:hint="eastAsia" w:hAnsi="宋体"/>
          <w:bCs/>
          <w:sz w:val="24"/>
        </w:rPr>
        <w:t>投标文件的组成</w:t>
      </w:r>
    </w:p>
    <w:p>
      <w:pPr>
        <w:pStyle w:val="19"/>
        <w:spacing w:line="440" w:lineRule="exact"/>
        <w:ind w:firstLine="360"/>
        <w:rPr>
          <w:rFonts w:hAnsi="宋体"/>
        </w:rPr>
      </w:pPr>
      <w:r>
        <w:rPr>
          <w:rFonts w:hAnsi="宋体"/>
        </w:rPr>
        <w:t xml:space="preserve">10.1  </w:t>
      </w:r>
      <w:r>
        <w:rPr>
          <w:rFonts w:hint="eastAsia" w:hAnsi="宋体"/>
        </w:rPr>
        <w:t>投标人需编制的投标文件包括报价文件、资格文件正本、技术文件和商务文件四部分，投标人应按下列说明编写和提交。应递交的有关文件如未特别注明为原件的，可提交复印件。</w:t>
      </w:r>
    </w:p>
    <w:p>
      <w:pPr>
        <w:pStyle w:val="19"/>
        <w:spacing w:line="440" w:lineRule="exact"/>
        <w:ind w:firstLine="360"/>
        <w:rPr>
          <w:rFonts w:hAnsi="宋体"/>
        </w:rPr>
      </w:pPr>
      <w:r>
        <w:rPr>
          <w:rFonts w:hAnsi="宋体"/>
        </w:rPr>
        <w:t xml:space="preserve">10.1.1  </w:t>
      </w:r>
      <w:r>
        <w:rPr>
          <w:rFonts w:hint="eastAsia" w:hAnsi="宋体"/>
        </w:rPr>
        <w:t>报价文件组成要求，包括：</w:t>
      </w:r>
    </w:p>
    <w:p>
      <w:pPr>
        <w:pStyle w:val="19"/>
        <w:spacing w:line="440" w:lineRule="exact"/>
        <w:ind w:firstLine="720"/>
        <w:rPr>
          <w:rFonts w:hAnsi="宋体"/>
        </w:rPr>
      </w:pPr>
      <w:r>
        <w:rPr>
          <w:rFonts w:hint="eastAsia" w:hAnsi="宋体"/>
        </w:rPr>
        <w:t>（</w:t>
      </w:r>
      <w:r>
        <w:rPr>
          <w:rFonts w:hAnsi="宋体"/>
        </w:rPr>
        <w:t>1</w:t>
      </w:r>
      <w:r>
        <w:rPr>
          <w:rFonts w:hint="eastAsia" w:hAnsi="宋体"/>
        </w:rPr>
        <w:t>）投标函：按第五章“投标文件格式”提供的“投标函（格式）”的要求填写；</w:t>
      </w:r>
    </w:p>
    <w:p>
      <w:pPr>
        <w:pStyle w:val="19"/>
        <w:spacing w:line="440" w:lineRule="exact"/>
        <w:ind w:firstLine="720"/>
        <w:rPr>
          <w:rFonts w:hAnsi="宋体"/>
        </w:rPr>
      </w:pPr>
      <w:r>
        <w:rPr>
          <w:rFonts w:hint="eastAsia" w:hAnsi="宋体"/>
        </w:rPr>
        <w:t>（</w:t>
      </w:r>
      <w:r>
        <w:rPr>
          <w:rFonts w:hAnsi="宋体"/>
        </w:rPr>
        <w:t>2</w:t>
      </w:r>
      <w:r>
        <w:rPr>
          <w:rFonts w:hint="eastAsia" w:hAnsi="宋体"/>
        </w:rPr>
        <w:t>）投标报价表：按第五章“投标文件格式”提供的“投标报价表（格式）”的要求填写。</w:t>
      </w:r>
    </w:p>
    <w:p>
      <w:pPr>
        <w:pStyle w:val="19"/>
        <w:spacing w:line="440" w:lineRule="exact"/>
        <w:ind w:firstLine="720"/>
        <w:rPr>
          <w:rFonts w:hAnsi="宋体"/>
        </w:rPr>
      </w:pPr>
      <w:r>
        <w:rPr>
          <w:rFonts w:hint="eastAsia" w:hAnsi="宋体"/>
        </w:rPr>
        <w:t>（</w:t>
      </w:r>
      <w:r>
        <w:rPr>
          <w:rFonts w:hAnsi="宋体"/>
        </w:rPr>
        <w:t>3</w:t>
      </w:r>
      <w:r>
        <w:rPr>
          <w:rFonts w:hint="eastAsia" w:hAnsi="宋体"/>
        </w:rPr>
        <w:t>）投标人针对报价需要说明的其他文件和说明。</w:t>
      </w:r>
    </w:p>
    <w:p>
      <w:pPr>
        <w:pStyle w:val="19"/>
        <w:spacing w:line="440" w:lineRule="exact"/>
        <w:ind w:firstLine="413" w:firstLineChars="196"/>
        <w:rPr>
          <w:rFonts w:hAnsi="宋体"/>
          <w:b/>
        </w:rPr>
      </w:pPr>
      <w:r>
        <w:rPr>
          <w:rFonts w:hint="eastAsia" w:hAnsi="宋体"/>
          <w:b/>
        </w:rPr>
        <w:t>报价文件中的第（</w:t>
      </w:r>
      <w:r>
        <w:rPr>
          <w:rFonts w:hAnsi="宋体"/>
          <w:b/>
        </w:rPr>
        <w:t>1</w:t>
      </w:r>
      <w:r>
        <w:rPr>
          <w:rFonts w:hint="eastAsia" w:hAnsi="宋体"/>
          <w:b/>
        </w:rPr>
        <w:t>）（</w:t>
      </w:r>
      <w:r>
        <w:rPr>
          <w:rFonts w:hAnsi="宋体"/>
          <w:b/>
        </w:rPr>
        <w:t>2</w:t>
      </w:r>
      <w:r>
        <w:rPr>
          <w:rFonts w:hint="eastAsia" w:hAnsi="宋体"/>
          <w:b/>
        </w:rPr>
        <w:t>）项必须加盖投标单位公章提交，否则投标无效；第（</w:t>
      </w:r>
      <w:r>
        <w:rPr>
          <w:rFonts w:hAnsi="宋体"/>
          <w:b/>
        </w:rPr>
        <w:t>3</w:t>
      </w:r>
      <w:r>
        <w:rPr>
          <w:rFonts w:hint="eastAsia" w:hAnsi="宋体"/>
          <w:b/>
        </w:rPr>
        <w:t>）项如招标文件未作要求的如有请提交。</w:t>
      </w:r>
    </w:p>
    <w:p>
      <w:pPr>
        <w:pStyle w:val="19"/>
        <w:spacing w:line="440" w:lineRule="exact"/>
        <w:ind w:firstLine="411" w:firstLineChars="196"/>
        <w:jc w:val="left"/>
        <w:rPr>
          <w:rFonts w:hAnsi="宋体"/>
        </w:rPr>
      </w:pPr>
      <w:r>
        <w:rPr>
          <w:rFonts w:hAnsi="宋体"/>
        </w:rPr>
        <w:t xml:space="preserve">10.1.2  </w:t>
      </w:r>
      <w:r>
        <w:rPr>
          <w:rFonts w:hint="eastAsia" w:hAnsi="宋体"/>
        </w:rPr>
        <w:t>资格文件组成要求，包括：</w:t>
      </w:r>
    </w:p>
    <w:p>
      <w:pPr>
        <w:pStyle w:val="19"/>
        <w:spacing w:line="440" w:lineRule="exact"/>
        <w:ind w:firstLine="709"/>
        <w:jc w:val="left"/>
        <w:rPr>
          <w:rFonts w:hAnsi="宋体"/>
        </w:rPr>
      </w:pPr>
      <w:r>
        <w:rPr>
          <w:rFonts w:hint="eastAsia" w:hAnsi="宋体"/>
        </w:rPr>
        <w:t>（</w:t>
      </w:r>
      <w:r>
        <w:rPr>
          <w:rFonts w:hAnsi="宋体"/>
        </w:rPr>
        <w:t>1</w:t>
      </w:r>
      <w:r>
        <w:rPr>
          <w:rFonts w:hint="eastAsia" w:hAnsi="宋体"/>
        </w:rPr>
        <w:t>）</w:t>
      </w:r>
      <w:r>
        <w:rPr>
          <w:rFonts w:hint="eastAsia" w:hAnsi="宋体"/>
          <w:szCs w:val="21"/>
        </w:rPr>
        <w:t>投标人有效的“营业执照”副本复印件</w:t>
      </w:r>
      <w:r>
        <w:rPr>
          <w:rFonts w:hint="eastAsia" w:hAnsi="宋体"/>
        </w:rPr>
        <w:t>（加盖公章）；</w:t>
      </w:r>
    </w:p>
    <w:p>
      <w:pPr>
        <w:pStyle w:val="19"/>
        <w:spacing w:line="440" w:lineRule="exact"/>
        <w:ind w:firstLine="709"/>
        <w:jc w:val="left"/>
        <w:rPr>
          <w:rFonts w:hAnsi="宋体"/>
        </w:rPr>
      </w:pPr>
      <w:r>
        <w:rPr>
          <w:rFonts w:hint="eastAsia" w:hAnsi="宋体"/>
        </w:rPr>
        <w:t>（</w:t>
      </w:r>
      <w:r>
        <w:rPr>
          <w:rFonts w:hAnsi="宋体"/>
        </w:rPr>
        <w:t>2</w:t>
      </w:r>
      <w:r>
        <w:rPr>
          <w:rFonts w:hint="eastAsia" w:hAnsi="宋体"/>
        </w:rPr>
        <w:t>）投标截止之日前半年内投标人连任意续三个月的依法缴纳税费或依法免缴税费的证明（复印件，原件备查，格式自拟）；无纳税记录的，应提供由投标人所在地主管国税、地税部门出具的《依法纳税或依法免税证明》（格式自拟，复印件），从取得营业执照时间起到投标截止时间止不满足要求的新建企业，只需要提交企业取得营业执照时间后的可正常办理纳税之时起至投标截止最近月份的相关资料；</w:t>
      </w:r>
    </w:p>
    <w:p>
      <w:pPr>
        <w:pStyle w:val="19"/>
        <w:spacing w:line="440" w:lineRule="exact"/>
        <w:ind w:firstLine="709"/>
        <w:jc w:val="left"/>
        <w:rPr>
          <w:rFonts w:hAnsi="宋体"/>
        </w:rPr>
      </w:pPr>
      <w:r>
        <w:rPr>
          <w:rFonts w:hint="eastAsia" w:hAnsi="宋体"/>
        </w:rPr>
        <w:t>（</w:t>
      </w:r>
      <w:r>
        <w:rPr>
          <w:rFonts w:hAnsi="宋体"/>
        </w:rPr>
        <w:t>3</w:t>
      </w:r>
      <w:r>
        <w:rPr>
          <w:rFonts w:hint="eastAsia" w:hAnsi="宋体"/>
        </w:rPr>
        <w:t>）投标截止之日前半年内投标人任意连续三个月的依法缴纳社保费的缴费凭证（复印件，原件备查，格式自拟）；无缴费记录的，应提供由投标人所在地社保部门出具的《依法缴纳或依法免缴社保费证明》（格式自拟，复印件），从取得营业执照时间起到投标截止时间止不满足要求的新建企业，只需要提交企业取得营业执照时间后的可正常办理社保之时起至投标截止最近月份的相关资料；</w:t>
      </w:r>
    </w:p>
    <w:p>
      <w:pPr>
        <w:pStyle w:val="19"/>
        <w:spacing w:line="440" w:lineRule="exact"/>
        <w:ind w:firstLine="709"/>
        <w:jc w:val="left"/>
        <w:rPr>
          <w:rFonts w:hAnsi="宋体"/>
        </w:rPr>
      </w:pPr>
      <w:r>
        <w:rPr>
          <w:rFonts w:hint="eastAsia" w:hAnsi="宋体"/>
        </w:rPr>
        <w:t>（</w:t>
      </w:r>
      <w:r>
        <w:rPr>
          <w:rFonts w:hAnsi="宋体"/>
        </w:rPr>
        <w:t>4</w:t>
      </w:r>
      <w:r>
        <w:rPr>
          <w:rFonts w:hint="eastAsia" w:hAnsi="宋体"/>
        </w:rPr>
        <w:t>）具备有效的审计资质的第三方机构出具的2019年度审计报告复印件（新建企业按实际情况提供）；</w:t>
      </w:r>
    </w:p>
    <w:p>
      <w:pPr>
        <w:pStyle w:val="19"/>
        <w:spacing w:line="440" w:lineRule="exact"/>
        <w:ind w:firstLine="709"/>
        <w:jc w:val="left"/>
        <w:rPr>
          <w:rFonts w:hAnsi="宋体"/>
          <w:szCs w:val="21"/>
        </w:rPr>
      </w:pPr>
      <w:r>
        <w:rPr>
          <w:rFonts w:hint="eastAsia" w:hAnsi="宋体"/>
        </w:rPr>
        <w:t>（</w:t>
      </w:r>
      <w:r>
        <w:rPr>
          <w:rFonts w:hAnsi="宋体"/>
        </w:rPr>
        <w:t>5</w:t>
      </w:r>
      <w:r>
        <w:rPr>
          <w:rFonts w:hint="eastAsia" w:hAnsi="宋体"/>
        </w:rPr>
        <w:t>）</w:t>
      </w:r>
      <w:r>
        <w:rPr>
          <w:rFonts w:hint="eastAsia" w:hAnsi="宋体"/>
          <w:szCs w:val="21"/>
        </w:rPr>
        <w:t>投标人认为有必要提供的其他证明材料。</w:t>
      </w:r>
    </w:p>
    <w:p>
      <w:pPr>
        <w:pStyle w:val="19"/>
        <w:spacing w:line="440" w:lineRule="exact"/>
        <w:ind w:firstLine="709"/>
        <w:jc w:val="left"/>
        <w:rPr>
          <w:rFonts w:hAnsi="宋体"/>
        </w:rPr>
      </w:pPr>
      <w:r>
        <w:rPr>
          <w:rFonts w:hint="eastAsia" w:hAnsi="宋体"/>
          <w:b/>
        </w:rPr>
        <w:t>资格文件组成要求的第（</w:t>
      </w:r>
      <w:r>
        <w:rPr>
          <w:rFonts w:hAnsi="宋体"/>
          <w:b/>
        </w:rPr>
        <w:t>1</w:t>
      </w:r>
      <w:r>
        <w:rPr>
          <w:rFonts w:hint="eastAsia" w:hAnsi="宋体"/>
          <w:b/>
        </w:rPr>
        <w:t>）～（4）项必须加盖投标单位公章提交，否则投标无效。</w:t>
      </w:r>
    </w:p>
    <w:p>
      <w:pPr>
        <w:pStyle w:val="19"/>
        <w:spacing w:line="440" w:lineRule="exact"/>
        <w:ind w:firstLine="360"/>
        <w:rPr>
          <w:rFonts w:hAnsi="宋体"/>
          <w:b/>
          <w:bCs/>
        </w:rPr>
      </w:pPr>
      <w:r>
        <w:rPr>
          <w:rFonts w:hAnsi="宋体"/>
        </w:rPr>
        <w:t xml:space="preserve">10.1.3  </w:t>
      </w:r>
      <w:r>
        <w:rPr>
          <w:rFonts w:hint="eastAsia" w:hAnsi="宋体"/>
        </w:rPr>
        <w:t>技术文件组成要求，包括：</w:t>
      </w:r>
    </w:p>
    <w:p>
      <w:pPr>
        <w:pStyle w:val="19"/>
        <w:spacing w:line="440" w:lineRule="exact"/>
        <w:ind w:firstLine="720"/>
        <w:rPr>
          <w:rFonts w:hAnsi="宋体"/>
        </w:rPr>
      </w:pPr>
      <w:r>
        <w:rPr>
          <w:rFonts w:hint="eastAsia" w:hAnsi="宋体"/>
        </w:rPr>
        <w:t>（</w:t>
      </w:r>
      <w:r>
        <w:rPr>
          <w:rFonts w:hAnsi="宋体"/>
        </w:rPr>
        <w:t>1</w:t>
      </w:r>
      <w:r>
        <w:rPr>
          <w:rFonts w:hint="eastAsia" w:hAnsi="宋体"/>
        </w:rPr>
        <w:t>）投标服务技术资料表：按第五章“投标文件格式”提供的“投标服务技术资料表（格式）”的要求填写；</w:t>
      </w:r>
    </w:p>
    <w:p>
      <w:pPr>
        <w:pStyle w:val="19"/>
        <w:spacing w:line="440" w:lineRule="exact"/>
        <w:ind w:firstLine="720"/>
        <w:rPr>
          <w:rFonts w:hAnsi="宋体"/>
        </w:rPr>
      </w:pPr>
      <w:r>
        <w:rPr>
          <w:rFonts w:hint="eastAsia" w:hAnsi="宋体"/>
        </w:rPr>
        <w:t>（</w:t>
      </w:r>
      <w:r>
        <w:rPr>
          <w:rFonts w:hAnsi="宋体"/>
        </w:rPr>
        <w:t>2</w:t>
      </w:r>
      <w:r>
        <w:rPr>
          <w:rFonts w:hint="eastAsia" w:hAnsi="宋体"/>
        </w:rPr>
        <w:t>）技术、实施方案：格式自拟；</w:t>
      </w:r>
    </w:p>
    <w:p>
      <w:pPr>
        <w:pStyle w:val="19"/>
        <w:spacing w:line="440" w:lineRule="exact"/>
        <w:ind w:firstLine="720"/>
        <w:rPr>
          <w:rFonts w:hAnsi="宋体"/>
        </w:rPr>
      </w:pPr>
      <w:r>
        <w:rPr>
          <w:rFonts w:hint="eastAsia" w:hAnsi="宋体"/>
        </w:rPr>
        <w:t>（</w:t>
      </w:r>
      <w:r>
        <w:rPr>
          <w:rFonts w:hAnsi="宋体"/>
        </w:rPr>
        <w:t>3</w:t>
      </w:r>
      <w:r>
        <w:rPr>
          <w:rFonts w:hint="eastAsia" w:hAnsi="宋体"/>
        </w:rPr>
        <w:t>）第三章评标办法中要求的材料；</w:t>
      </w:r>
    </w:p>
    <w:p>
      <w:pPr>
        <w:pStyle w:val="19"/>
        <w:spacing w:line="440" w:lineRule="exact"/>
        <w:ind w:firstLine="720"/>
        <w:rPr>
          <w:rFonts w:hAnsi="宋体"/>
        </w:rPr>
      </w:pPr>
      <w:r>
        <w:rPr>
          <w:rFonts w:hint="eastAsia" w:hAnsi="宋体"/>
        </w:rPr>
        <w:t>（</w:t>
      </w:r>
      <w:r>
        <w:rPr>
          <w:rFonts w:hAnsi="宋体"/>
        </w:rPr>
        <w:t>4</w:t>
      </w:r>
      <w:r>
        <w:rPr>
          <w:rFonts w:hint="eastAsia" w:hAnsi="宋体"/>
        </w:rPr>
        <w:t>）投标人认为有必要提供的其他材料。</w:t>
      </w:r>
    </w:p>
    <w:p>
      <w:pPr>
        <w:pStyle w:val="19"/>
        <w:spacing w:line="440" w:lineRule="exact"/>
        <w:ind w:firstLine="420"/>
        <w:rPr>
          <w:rFonts w:hAnsi="宋体"/>
          <w:b/>
        </w:rPr>
      </w:pPr>
      <w:r>
        <w:rPr>
          <w:rFonts w:hint="eastAsia" w:hAnsi="宋体"/>
          <w:b/>
        </w:rPr>
        <w:t>其中，技术文件组成要求的第（</w:t>
      </w:r>
      <w:r>
        <w:rPr>
          <w:rFonts w:hAnsi="宋体"/>
          <w:b/>
        </w:rPr>
        <w:t>1</w:t>
      </w:r>
      <w:r>
        <w:rPr>
          <w:rFonts w:hint="eastAsia" w:hAnsi="宋体"/>
          <w:b/>
        </w:rPr>
        <w:t>）、（</w:t>
      </w:r>
      <w:r>
        <w:rPr>
          <w:rFonts w:hAnsi="宋体"/>
          <w:b/>
        </w:rPr>
        <w:t>2</w:t>
      </w:r>
      <w:r>
        <w:rPr>
          <w:rFonts w:hint="eastAsia" w:hAnsi="宋体"/>
          <w:b/>
        </w:rPr>
        <w:t>）项必须加盖投标单位公章提交，否则投标无效；技术文件要求的第（</w:t>
      </w:r>
      <w:r>
        <w:rPr>
          <w:rFonts w:hAnsi="宋体"/>
          <w:b/>
        </w:rPr>
        <w:t>3</w:t>
      </w:r>
      <w:r>
        <w:rPr>
          <w:rFonts w:hint="eastAsia" w:hAnsi="宋体"/>
          <w:b/>
        </w:rPr>
        <w:t>）、（</w:t>
      </w:r>
      <w:r>
        <w:rPr>
          <w:rFonts w:hAnsi="宋体"/>
          <w:b/>
        </w:rPr>
        <w:t>4</w:t>
      </w:r>
      <w:r>
        <w:rPr>
          <w:rFonts w:hint="eastAsia" w:hAnsi="宋体"/>
          <w:b/>
        </w:rPr>
        <w:t>）项如招标文件未作要求的如有请提交。</w:t>
      </w:r>
    </w:p>
    <w:p>
      <w:pPr>
        <w:pStyle w:val="19"/>
        <w:spacing w:line="440" w:lineRule="exact"/>
        <w:ind w:firstLine="360"/>
        <w:rPr>
          <w:rFonts w:hAnsi="宋体"/>
        </w:rPr>
      </w:pPr>
      <w:r>
        <w:rPr>
          <w:rFonts w:hAnsi="宋体"/>
        </w:rPr>
        <w:t xml:space="preserve">10.1.4  </w:t>
      </w:r>
      <w:r>
        <w:rPr>
          <w:rFonts w:hint="eastAsia" w:hAnsi="宋体"/>
        </w:rPr>
        <w:t>商务文件组成要求，包括：</w:t>
      </w:r>
    </w:p>
    <w:p>
      <w:pPr>
        <w:pStyle w:val="19"/>
        <w:spacing w:line="440" w:lineRule="exact"/>
        <w:ind w:firstLine="360"/>
        <w:rPr>
          <w:rFonts w:hAnsi="宋体"/>
        </w:rPr>
      </w:pPr>
      <w:r>
        <w:rPr>
          <w:rFonts w:hint="eastAsia" w:hAnsi="宋体"/>
        </w:rPr>
        <w:t>（</w:t>
      </w:r>
      <w:r>
        <w:rPr>
          <w:rFonts w:hAnsi="宋体"/>
        </w:rPr>
        <w:t>1</w:t>
      </w:r>
      <w:r>
        <w:rPr>
          <w:rFonts w:hint="eastAsia" w:hAnsi="宋体"/>
        </w:rPr>
        <w:t>）投标声明书：按第五章“投标文件格式”提供；</w:t>
      </w:r>
    </w:p>
    <w:p>
      <w:pPr>
        <w:pStyle w:val="19"/>
        <w:spacing w:line="440" w:lineRule="exact"/>
        <w:ind w:firstLine="360"/>
        <w:rPr>
          <w:rFonts w:hAnsi="宋体"/>
        </w:rPr>
      </w:pPr>
      <w:r>
        <w:rPr>
          <w:rFonts w:hint="eastAsia" w:hAnsi="宋体"/>
        </w:rPr>
        <w:t>（</w:t>
      </w:r>
      <w:r>
        <w:rPr>
          <w:rFonts w:hAnsi="宋体"/>
        </w:rPr>
        <w:t>2</w:t>
      </w:r>
      <w:r>
        <w:rPr>
          <w:rFonts w:hint="eastAsia" w:hAnsi="宋体"/>
        </w:rPr>
        <w:t>）商务条款偏离表：按第五章“投标文件格式”提供的“商务条款偏离表（格式）”的要求填写；</w:t>
      </w:r>
    </w:p>
    <w:p>
      <w:pPr>
        <w:pStyle w:val="19"/>
        <w:spacing w:line="440" w:lineRule="exact"/>
        <w:ind w:firstLine="360"/>
        <w:rPr>
          <w:rFonts w:hAnsi="宋体"/>
        </w:rPr>
      </w:pPr>
      <w:r>
        <w:rPr>
          <w:rFonts w:hint="eastAsia" w:hAnsi="宋体"/>
        </w:rPr>
        <w:t>（</w:t>
      </w:r>
      <w:r>
        <w:rPr>
          <w:rFonts w:hAnsi="宋体"/>
        </w:rPr>
        <w:t>3</w:t>
      </w:r>
      <w:r>
        <w:rPr>
          <w:rFonts w:hint="eastAsia" w:hAnsi="宋体"/>
        </w:rPr>
        <w:t>）参加政府采购活动前三年内在经营活动中没有重大违法记录的书面声明：按第五章“投标文件格式”提供；</w:t>
      </w:r>
    </w:p>
    <w:p>
      <w:pPr>
        <w:pStyle w:val="19"/>
        <w:spacing w:line="440" w:lineRule="exact"/>
        <w:ind w:firstLine="360"/>
        <w:rPr>
          <w:rFonts w:hAnsi="宋体"/>
        </w:rPr>
      </w:pPr>
      <w:r>
        <w:rPr>
          <w:rFonts w:hint="eastAsia" w:hAnsi="宋体"/>
        </w:rPr>
        <w:t>（</w:t>
      </w:r>
      <w:r>
        <w:rPr>
          <w:rFonts w:hAnsi="宋体"/>
        </w:rPr>
        <w:t>4</w:t>
      </w:r>
      <w:r>
        <w:rPr>
          <w:rFonts w:hint="eastAsia" w:hAnsi="宋体"/>
        </w:rPr>
        <w:t>）法定代表人身份证明书：按第五章“投标文件格式”提供的“法定代表人身份证明书（格式）”的要求填写；</w:t>
      </w:r>
    </w:p>
    <w:p>
      <w:pPr>
        <w:pStyle w:val="19"/>
        <w:spacing w:line="440" w:lineRule="exact"/>
        <w:ind w:firstLine="360"/>
        <w:rPr>
          <w:rFonts w:hAnsi="宋体"/>
        </w:rPr>
      </w:pPr>
      <w:r>
        <w:rPr>
          <w:rFonts w:hint="eastAsia" w:hAnsi="宋体"/>
        </w:rPr>
        <w:t>（</w:t>
      </w:r>
      <w:r>
        <w:rPr>
          <w:rFonts w:hAnsi="宋体"/>
        </w:rPr>
        <w:t>5</w:t>
      </w:r>
      <w:r>
        <w:rPr>
          <w:rFonts w:hint="eastAsia" w:hAnsi="宋体"/>
        </w:rPr>
        <w:t>）法定代表人授权委托书：按第五章“投标文件格式”提供的“法定代表人授权委托书（格式）”的要求填写；</w:t>
      </w:r>
    </w:p>
    <w:p>
      <w:pPr>
        <w:pStyle w:val="19"/>
        <w:spacing w:line="440" w:lineRule="exact"/>
        <w:ind w:firstLine="360"/>
        <w:rPr>
          <w:rFonts w:hAnsi="宋体"/>
        </w:rPr>
      </w:pPr>
      <w:r>
        <w:rPr>
          <w:rFonts w:hint="eastAsia" w:hAnsi="宋体"/>
        </w:rPr>
        <w:t>（6）售后服务承诺书：按第五章“投标文件格式”提供的“售后服务承诺书（格式）”的要求填写；</w:t>
      </w:r>
    </w:p>
    <w:p>
      <w:pPr>
        <w:pStyle w:val="19"/>
        <w:spacing w:line="440" w:lineRule="exact"/>
        <w:ind w:firstLine="360"/>
        <w:rPr>
          <w:rFonts w:hAnsi="宋体"/>
        </w:rPr>
      </w:pPr>
      <w:r>
        <w:rPr>
          <w:rFonts w:hint="eastAsia" w:hAnsi="宋体"/>
        </w:rPr>
        <w:t>（7）投标人认为有必要提供的其他证明材料；</w:t>
      </w:r>
    </w:p>
    <w:p>
      <w:pPr>
        <w:pStyle w:val="19"/>
        <w:spacing w:line="440" w:lineRule="exact"/>
        <w:ind w:firstLine="413" w:firstLineChars="196"/>
        <w:rPr>
          <w:rFonts w:hAnsi="宋体"/>
        </w:rPr>
      </w:pPr>
      <w:r>
        <w:rPr>
          <w:rFonts w:hint="eastAsia" w:hAnsi="宋体"/>
          <w:b/>
        </w:rPr>
        <w:t>商务文件中的第（</w:t>
      </w:r>
      <w:r>
        <w:rPr>
          <w:rFonts w:hAnsi="宋体"/>
          <w:b/>
        </w:rPr>
        <w:t>1</w:t>
      </w:r>
      <w:r>
        <w:rPr>
          <w:rFonts w:hint="eastAsia" w:hAnsi="宋体"/>
          <w:b/>
        </w:rPr>
        <w:t>）～（</w:t>
      </w:r>
      <w:r>
        <w:rPr>
          <w:rFonts w:hAnsi="宋体"/>
          <w:b/>
        </w:rPr>
        <w:t>4</w:t>
      </w:r>
      <w:r>
        <w:rPr>
          <w:rFonts w:hint="eastAsia" w:hAnsi="宋体"/>
          <w:b/>
        </w:rPr>
        <w:t>）（6）项必须加盖投标单位公章提交，否则投标无效；第（</w:t>
      </w:r>
      <w:r>
        <w:rPr>
          <w:rFonts w:hAnsi="宋体"/>
          <w:b/>
        </w:rPr>
        <w:t>5</w:t>
      </w:r>
      <w:r>
        <w:rPr>
          <w:rFonts w:hint="eastAsia" w:hAnsi="宋体"/>
          <w:b/>
        </w:rPr>
        <w:t>）项在委托代理时必须提交；第（7）项如招标文件未作要求的如有请提交。</w:t>
      </w:r>
    </w:p>
    <w:p>
      <w:pPr>
        <w:pStyle w:val="19"/>
        <w:spacing w:line="440" w:lineRule="exact"/>
        <w:ind w:firstLine="360"/>
        <w:rPr>
          <w:rFonts w:hAnsi="宋体"/>
          <w:b/>
        </w:rPr>
      </w:pPr>
      <w:r>
        <w:rPr>
          <w:rFonts w:hAnsi="宋体"/>
        </w:rPr>
        <w:t xml:space="preserve">10.2  </w:t>
      </w:r>
      <w:r>
        <w:rPr>
          <w:rFonts w:hint="eastAsia" w:hAnsi="宋体"/>
        </w:rPr>
        <w:t>投标人应编制目录，按上述顺序将报价文件、资格文件、技术文件和商务文件</w:t>
      </w:r>
      <w:r>
        <w:rPr>
          <w:rFonts w:hint="eastAsia" w:hAnsi="宋体"/>
          <w:b/>
        </w:rPr>
        <w:t>分别装订成册</w:t>
      </w:r>
      <w:r>
        <w:rPr>
          <w:rFonts w:hint="eastAsia" w:hAnsi="宋体"/>
        </w:rPr>
        <w:t>。</w:t>
      </w:r>
      <w:r>
        <w:rPr>
          <w:rFonts w:hint="eastAsia" w:hAnsi="宋体"/>
          <w:b/>
        </w:rPr>
        <w:t>特别注意投标报价不得出现在资格文件、技术文件和商务文件中。</w:t>
      </w:r>
    </w:p>
    <w:p>
      <w:pPr>
        <w:pStyle w:val="19"/>
        <w:spacing w:line="440" w:lineRule="exact"/>
        <w:ind w:firstLine="360"/>
        <w:rPr>
          <w:rFonts w:hAnsi="宋体"/>
          <w:b/>
        </w:rPr>
      </w:pPr>
      <w:r>
        <w:rPr>
          <w:rFonts w:hAnsi="宋体"/>
          <w:b/>
        </w:rPr>
        <w:t xml:space="preserve">10.2.1  </w:t>
      </w:r>
      <w:r>
        <w:rPr>
          <w:rFonts w:hint="eastAsia" w:hAnsi="宋体"/>
          <w:b/>
        </w:rPr>
        <w:t>上述文件应由投标人的法定代表人或其委托代理人在规定签章处签字并加盖单位公章。其中，法定代表人授权委托书必须有法定代表人签字及被授权人签字并加盖单位公章。未在规定签章处签字并加盖单位公章的，作投标无效处理。</w:t>
      </w:r>
    </w:p>
    <w:p>
      <w:pPr>
        <w:pStyle w:val="19"/>
        <w:spacing w:line="440" w:lineRule="exact"/>
        <w:rPr>
          <w:rFonts w:hAnsi="宋体"/>
          <w:bCs/>
          <w:sz w:val="24"/>
        </w:rPr>
      </w:pPr>
      <w:r>
        <w:rPr>
          <w:rFonts w:hAnsi="宋体"/>
          <w:bCs/>
          <w:sz w:val="24"/>
        </w:rPr>
        <w:t xml:space="preserve">11.  </w:t>
      </w:r>
      <w:r>
        <w:rPr>
          <w:rFonts w:hint="eastAsia" w:hAnsi="宋体"/>
          <w:bCs/>
          <w:sz w:val="24"/>
        </w:rPr>
        <w:t>投标报价</w:t>
      </w:r>
    </w:p>
    <w:p>
      <w:pPr>
        <w:pStyle w:val="19"/>
        <w:spacing w:line="440" w:lineRule="exact"/>
        <w:ind w:firstLine="360"/>
        <w:rPr>
          <w:rFonts w:hAnsi="宋体"/>
        </w:rPr>
      </w:pPr>
      <w:r>
        <w:rPr>
          <w:rFonts w:hAnsi="宋体"/>
        </w:rPr>
        <w:t xml:space="preserve">11.1  </w:t>
      </w:r>
      <w:r>
        <w:rPr>
          <w:rFonts w:hint="eastAsia" w:hAnsi="宋体"/>
        </w:rPr>
        <w:t>投标人应以人民币报价。</w:t>
      </w:r>
    </w:p>
    <w:p>
      <w:pPr>
        <w:pStyle w:val="19"/>
        <w:spacing w:line="440" w:lineRule="exact"/>
        <w:ind w:firstLine="360"/>
        <w:rPr>
          <w:rFonts w:hAnsi="宋体"/>
        </w:rPr>
      </w:pPr>
      <w:r>
        <w:rPr>
          <w:rFonts w:hAnsi="宋体"/>
        </w:rPr>
        <w:t xml:space="preserve">11.2  </w:t>
      </w:r>
      <w:r>
        <w:rPr>
          <w:rFonts w:hint="eastAsia" w:hAnsi="宋体"/>
        </w:rPr>
        <w:t>投标人可就第二章“</w:t>
      </w:r>
      <w:r>
        <w:rPr>
          <w:rFonts w:hAnsi="宋体"/>
        </w:rPr>
        <w:t>采购需求一览表</w:t>
      </w:r>
      <w:r>
        <w:rPr>
          <w:rFonts w:hint="eastAsia" w:hAnsi="宋体"/>
        </w:rPr>
        <w:t>”中的</w:t>
      </w:r>
      <w:r>
        <w:rPr>
          <w:rFonts w:hint="eastAsia" w:hAnsi="宋体"/>
          <w:b/>
        </w:rPr>
        <w:t>某一个分标内容报出完整且唯一报价，也可就某几个或所有分标内容分别报出完整且唯一报价，附带有条件的报价将不予接受。</w:t>
      </w:r>
    </w:p>
    <w:p>
      <w:pPr>
        <w:pStyle w:val="19"/>
        <w:spacing w:line="440" w:lineRule="exact"/>
        <w:ind w:firstLine="360"/>
        <w:rPr>
          <w:rFonts w:hAnsi="宋体"/>
        </w:rPr>
      </w:pPr>
      <w:r>
        <w:rPr>
          <w:rFonts w:hAnsi="宋体"/>
        </w:rPr>
        <w:t xml:space="preserve">11.3  </w:t>
      </w:r>
      <w:r>
        <w:rPr>
          <w:rFonts w:hint="eastAsia" w:hAnsi="宋体"/>
        </w:rPr>
        <w:t>投标报价为中标供应商履行合同的最终价格，合同实施过程中，采购人不再向中标供应商支付其投标报价之外的任何费用。</w:t>
      </w:r>
    </w:p>
    <w:p>
      <w:pPr>
        <w:pStyle w:val="19"/>
        <w:spacing w:line="440" w:lineRule="exact"/>
        <w:ind w:firstLine="360"/>
        <w:rPr>
          <w:rFonts w:hAnsi="宋体"/>
        </w:rPr>
      </w:pPr>
      <w:r>
        <w:rPr>
          <w:rFonts w:hAnsi="宋体"/>
        </w:rPr>
        <w:t xml:space="preserve">11.4  </w:t>
      </w:r>
      <w:r>
        <w:rPr>
          <w:rFonts w:hint="eastAsia" w:hAnsi="宋体"/>
        </w:rPr>
        <w:t>本项目中标服务费在签订合同前，中标人应向采购代理机构一次付清代理服务费。签订合同前，中标供应商须向采购代理机构一次付清代理服务费。</w:t>
      </w:r>
    </w:p>
    <w:p>
      <w:pPr>
        <w:pStyle w:val="19"/>
        <w:spacing w:line="440" w:lineRule="exact"/>
        <w:ind w:firstLine="360"/>
        <w:rPr>
          <w:rFonts w:hAnsi="宋体"/>
        </w:rPr>
      </w:pPr>
      <w:r>
        <w:rPr>
          <w:rFonts w:hAnsi="宋体"/>
        </w:rPr>
        <w:t xml:space="preserve">11.5  </w:t>
      </w:r>
      <w:r>
        <w:rPr>
          <w:rFonts w:hint="eastAsia" w:hAnsi="宋体"/>
        </w:rPr>
        <w:t>不论投标结果如何，投标人均应自行承担与编制和递交投标文件有关的全部费用。</w:t>
      </w:r>
    </w:p>
    <w:p>
      <w:pPr>
        <w:pStyle w:val="19"/>
        <w:spacing w:line="440" w:lineRule="exact"/>
        <w:rPr>
          <w:rFonts w:hAnsi="宋体"/>
          <w:bCs/>
          <w:sz w:val="24"/>
        </w:rPr>
      </w:pPr>
      <w:r>
        <w:rPr>
          <w:rFonts w:hAnsi="宋体"/>
          <w:bCs/>
          <w:sz w:val="24"/>
        </w:rPr>
        <w:t xml:space="preserve">12.  </w:t>
      </w:r>
      <w:r>
        <w:rPr>
          <w:rFonts w:hint="eastAsia" w:hAnsi="宋体"/>
          <w:bCs/>
          <w:sz w:val="24"/>
        </w:rPr>
        <w:t>投标有效期</w:t>
      </w:r>
    </w:p>
    <w:p>
      <w:pPr>
        <w:pStyle w:val="19"/>
        <w:spacing w:line="440" w:lineRule="exact"/>
        <w:ind w:firstLine="360"/>
        <w:rPr>
          <w:rFonts w:hAnsi="宋体"/>
        </w:rPr>
      </w:pPr>
      <w:r>
        <w:rPr>
          <w:rFonts w:hAnsi="宋体"/>
        </w:rPr>
        <w:t xml:space="preserve">12.1  </w:t>
      </w:r>
      <w:r>
        <w:rPr>
          <w:rFonts w:hint="eastAsia" w:hAnsi="宋体"/>
        </w:rPr>
        <w:t>在投标人须知前附表规定的投标有效期内，投标人不得要求撤销或修改其投标文件。投标有效期不满足要求的投标将被视为非实质性响应投标而予以拒绝。</w:t>
      </w:r>
    </w:p>
    <w:p>
      <w:pPr>
        <w:pStyle w:val="19"/>
        <w:spacing w:line="440" w:lineRule="exact"/>
        <w:ind w:firstLine="360"/>
        <w:rPr>
          <w:rFonts w:hAnsi="宋体"/>
        </w:rPr>
      </w:pPr>
      <w:r>
        <w:rPr>
          <w:rFonts w:hAnsi="宋体"/>
        </w:rPr>
        <w:t xml:space="preserve">12.2  </w:t>
      </w:r>
      <w:r>
        <w:rPr>
          <w:rFonts w:hint="eastAsia" w:hAnsi="宋体"/>
        </w:rPr>
        <w:t>在特殊情况下，采购人或采购代理机构可与投标人协商延长投标有效期，这种要求与答复均应使用书面形式。投标人同意延长的，应相应延长其投标保证金的有效期，但不得要求或被允许修改或撤销其投标文件；投标人拒绝延长的，其投标在超过原有效期后失效，其投标保证金不会被没收。</w:t>
      </w:r>
    </w:p>
    <w:p>
      <w:pPr>
        <w:pStyle w:val="19"/>
        <w:spacing w:line="440" w:lineRule="exact"/>
        <w:rPr>
          <w:rFonts w:hAnsi="宋体"/>
          <w:bCs/>
          <w:sz w:val="24"/>
        </w:rPr>
      </w:pPr>
      <w:r>
        <w:rPr>
          <w:rFonts w:hAnsi="宋体"/>
          <w:bCs/>
          <w:sz w:val="24"/>
        </w:rPr>
        <w:t xml:space="preserve">13.  </w:t>
      </w:r>
      <w:r>
        <w:rPr>
          <w:rFonts w:hint="eastAsia" w:hAnsi="宋体"/>
          <w:bCs/>
          <w:sz w:val="24"/>
        </w:rPr>
        <w:t>投标保证金</w:t>
      </w:r>
    </w:p>
    <w:p>
      <w:pPr>
        <w:pStyle w:val="19"/>
        <w:tabs>
          <w:tab w:val="left" w:pos="0"/>
        </w:tabs>
        <w:spacing w:line="440" w:lineRule="exact"/>
        <w:ind w:firstLine="359" w:firstLineChars="171"/>
        <w:rPr>
          <w:rFonts w:hAnsi="宋体"/>
          <w:b/>
          <w:bCs/>
        </w:rPr>
      </w:pPr>
      <w:r>
        <w:rPr>
          <w:rFonts w:hAnsi="宋体"/>
        </w:rPr>
        <w:t xml:space="preserve">13.1 </w:t>
      </w:r>
      <w:r>
        <w:rPr>
          <w:rFonts w:hint="eastAsia" w:hAnsi="宋体"/>
        </w:rPr>
        <w:t>本项目不用缴纳投标保证金。</w:t>
      </w:r>
    </w:p>
    <w:p>
      <w:pPr>
        <w:pStyle w:val="19"/>
        <w:spacing w:line="440" w:lineRule="exact"/>
        <w:jc w:val="center"/>
        <w:outlineLvl w:val="1"/>
        <w:rPr>
          <w:rFonts w:hAnsi="宋体"/>
          <w:b/>
          <w:sz w:val="30"/>
          <w:szCs w:val="30"/>
        </w:rPr>
      </w:pPr>
      <w:bookmarkStart w:id="53" w:name="_Toc213326419"/>
      <w:bookmarkStart w:id="54" w:name="_Toc401396878"/>
    </w:p>
    <w:p>
      <w:pPr>
        <w:pStyle w:val="4"/>
        <w:rPr>
          <w:rFonts w:ascii="宋体" w:hAnsi="宋体"/>
        </w:rPr>
      </w:pPr>
      <w:bookmarkStart w:id="55" w:name="_Toc57749783"/>
      <w:r>
        <w:rPr>
          <w:rFonts w:hint="eastAsia" w:ascii="宋体" w:hAnsi="宋体"/>
        </w:rPr>
        <w:t>四投标</w:t>
      </w:r>
      <w:bookmarkEnd w:id="53"/>
      <w:bookmarkEnd w:id="54"/>
      <w:bookmarkEnd w:id="55"/>
    </w:p>
    <w:p>
      <w:pPr>
        <w:pStyle w:val="19"/>
        <w:spacing w:line="440" w:lineRule="exact"/>
        <w:rPr>
          <w:rFonts w:hAnsi="宋体"/>
          <w:bCs/>
          <w:sz w:val="24"/>
        </w:rPr>
      </w:pPr>
      <w:r>
        <w:rPr>
          <w:rFonts w:hAnsi="宋体"/>
          <w:bCs/>
          <w:sz w:val="24"/>
        </w:rPr>
        <w:t xml:space="preserve">14.  </w:t>
      </w:r>
      <w:r>
        <w:rPr>
          <w:rFonts w:hint="eastAsia" w:hAnsi="宋体"/>
          <w:bCs/>
          <w:sz w:val="24"/>
        </w:rPr>
        <w:t>投标文件的密封</w:t>
      </w:r>
    </w:p>
    <w:p>
      <w:pPr>
        <w:pStyle w:val="19"/>
        <w:spacing w:line="440" w:lineRule="exact"/>
        <w:ind w:firstLine="359" w:firstLineChars="171"/>
        <w:rPr>
          <w:rFonts w:hAnsi="宋体"/>
        </w:rPr>
      </w:pPr>
      <w:r>
        <w:rPr>
          <w:rFonts w:hAnsi="宋体"/>
        </w:rPr>
        <w:t xml:space="preserve">14.1  </w:t>
      </w:r>
      <w:r>
        <w:rPr>
          <w:rFonts w:hint="eastAsia" w:hAnsi="宋体"/>
        </w:rPr>
        <w:t>投标人应将投标正、副本文件、统一装入一个文件包装袋中加以密封。封口处必须加盖投标人单位公章或被授权人签字，以示密封。密封袋上应标明项目名称、项目编号、投标人名称和地址、及“在（开标日期、时间）之前不得启封”的字样。</w:t>
      </w:r>
    </w:p>
    <w:p>
      <w:pPr>
        <w:pStyle w:val="19"/>
        <w:spacing w:line="440" w:lineRule="exact"/>
        <w:ind w:firstLine="359" w:firstLineChars="171"/>
        <w:rPr>
          <w:rFonts w:hAnsi="宋体"/>
        </w:rPr>
      </w:pPr>
      <w:r>
        <w:rPr>
          <w:rFonts w:hint="eastAsia" w:hAnsi="宋体"/>
        </w:rPr>
        <w:t>如投标人未按上述要求密封及加写标记，其投标文件不予接收，并且采购人或采购代理机构对其投标文件的误投或过早启封概不负责。</w:t>
      </w:r>
    </w:p>
    <w:p>
      <w:pPr>
        <w:pStyle w:val="19"/>
        <w:spacing w:line="440" w:lineRule="exact"/>
        <w:rPr>
          <w:rFonts w:hAnsi="宋体"/>
          <w:bCs/>
          <w:sz w:val="24"/>
        </w:rPr>
      </w:pPr>
      <w:r>
        <w:rPr>
          <w:rFonts w:hAnsi="宋体"/>
          <w:bCs/>
          <w:sz w:val="24"/>
        </w:rPr>
        <w:t xml:space="preserve">15.  </w:t>
      </w:r>
      <w:r>
        <w:rPr>
          <w:rFonts w:hint="eastAsia" w:hAnsi="宋体"/>
          <w:bCs/>
          <w:sz w:val="24"/>
        </w:rPr>
        <w:t>投标文件及投标样品的递交</w:t>
      </w:r>
    </w:p>
    <w:p>
      <w:pPr>
        <w:pStyle w:val="19"/>
        <w:spacing w:line="440" w:lineRule="exact"/>
        <w:ind w:firstLine="360"/>
        <w:rPr>
          <w:rFonts w:hAnsi="宋体"/>
        </w:rPr>
      </w:pPr>
      <w:r>
        <w:rPr>
          <w:rFonts w:hAnsi="宋体"/>
        </w:rPr>
        <w:t xml:space="preserve">15.1  </w:t>
      </w:r>
      <w:r>
        <w:rPr>
          <w:rFonts w:hint="eastAsia" w:hAnsi="宋体"/>
        </w:rPr>
        <w:t>投标人投标截止时间：见投标人须知前附表。</w:t>
      </w:r>
    </w:p>
    <w:p>
      <w:pPr>
        <w:pStyle w:val="19"/>
        <w:spacing w:line="440" w:lineRule="exact"/>
        <w:ind w:firstLine="360"/>
        <w:rPr>
          <w:rFonts w:hAnsi="宋体"/>
        </w:rPr>
      </w:pPr>
      <w:r>
        <w:rPr>
          <w:rFonts w:hAnsi="宋体"/>
        </w:rPr>
        <w:t xml:space="preserve">15.2  </w:t>
      </w:r>
      <w:r>
        <w:rPr>
          <w:rFonts w:hint="eastAsia" w:hAnsi="宋体"/>
        </w:rPr>
        <w:t>投标人递交投标文件地点：见投标人须知前附表。</w:t>
      </w:r>
    </w:p>
    <w:p>
      <w:pPr>
        <w:pStyle w:val="19"/>
        <w:spacing w:line="440" w:lineRule="exact"/>
        <w:ind w:firstLine="360"/>
        <w:rPr>
          <w:rFonts w:hAnsi="宋体"/>
        </w:rPr>
      </w:pPr>
      <w:r>
        <w:rPr>
          <w:rFonts w:hAnsi="宋体"/>
        </w:rPr>
        <w:t xml:space="preserve">15.3  </w:t>
      </w:r>
      <w:r>
        <w:rPr>
          <w:rFonts w:hint="eastAsia" w:hAnsi="宋体"/>
        </w:rPr>
        <w:t>投标人递交投标样品截止时间：见投标人须知前附表。</w:t>
      </w:r>
    </w:p>
    <w:p>
      <w:pPr>
        <w:pStyle w:val="19"/>
        <w:spacing w:line="440" w:lineRule="exact"/>
        <w:ind w:firstLine="360"/>
        <w:rPr>
          <w:rFonts w:hAnsi="宋体"/>
        </w:rPr>
      </w:pPr>
      <w:r>
        <w:rPr>
          <w:rFonts w:hAnsi="宋体"/>
        </w:rPr>
        <w:t xml:space="preserve">15.4  </w:t>
      </w:r>
      <w:r>
        <w:rPr>
          <w:rFonts w:hint="eastAsia" w:hAnsi="宋体"/>
        </w:rPr>
        <w:t>投标人递交投标样品地点：见投标人须知前附表。</w:t>
      </w:r>
    </w:p>
    <w:p>
      <w:pPr>
        <w:pStyle w:val="19"/>
        <w:spacing w:line="440" w:lineRule="exact"/>
        <w:jc w:val="center"/>
        <w:rPr>
          <w:rFonts w:hAnsi="宋体"/>
        </w:rPr>
      </w:pPr>
    </w:p>
    <w:p>
      <w:pPr>
        <w:pStyle w:val="4"/>
        <w:rPr>
          <w:rFonts w:ascii="宋体" w:hAnsi="宋体"/>
        </w:rPr>
      </w:pPr>
      <w:bookmarkStart w:id="56" w:name="_Toc401396879"/>
      <w:bookmarkStart w:id="57" w:name="_Toc213326420"/>
      <w:bookmarkStart w:id="58" w:name="_Toc57749784"/>
      <w:r>
        <w:rPr>
          <w:rFonts w:hint="eastAsia" w:ascii="宋体" w:hAnsi="宋体"/>
        </w:rPr>
        <w:t>五开标与评标</w:t>
      </w:r>
      <w:bookmarkEnd w:id="56"/>
      <w:bookmarkEnd w:id="57"/>
      <w:bookmarkEnd w:id="58"/>
    </w:p>
    <w:p>
      <w:pPr>
        <w:pStyle w:val="19"/>
        <w:spacing w:line="440" w:lineRule="exact"/>
        <w:rPr>
          <w:rFonts w:hAnsi="宋体"/>
          <w:bCs/>
          <w:sz w:val="24"/>
        </w:rPr>
      </w:pPr>
      <w:r>
        <w:rPr>
          <w:rFonts w:hAnsi="宋体"/>
          <w:bCs/>
          <w:sz w:val="24"/>
        </w:rPr>
        <w:t xml:space="preserve">16.  </w:t>
      </w:r>
      <w:r>
        <w:rPr>
          <w:rFonts w:hint="eastAsia" w:hAnsi="宋体"/>
          <w:bCs/>
          <w:sz w:val="24"/>
        </w:rPr>
        <w:t>开标</w:t>
      </w:r>
    </w:p>
    <w:p>
      <w:pPr>
        <w:pStyle w:val="19"/>
        <w:spacing w:line="440" w:lineRule="exact"/>
        <w:ind w:firstLine="359" w:firstLineChars="171"/>
        <w:rPr>
          <w:rFonts w:hAnsi="宋体"/>
          <w:color w:val="auto"/>
        </w:rPr>
      </w:pPr>
      <w:r>
        <w:rPr>
          <w:rFonts w:hAnsi="宋体"/>
        </w:rPr>
        <w:t xml:space="preserve">16.1  </w:t>
      </w:r>
      <w:r>
        <w:rPr>
          <w:rFonts w:hint="eastAsia" w:hAnsi="宋体"/>
        </w:rPr>
        <w:t>采购代理机构将在本章第</w:t>
      </w:r>
      <w:r>
        <w:rPr>
          <w:rFonts w:hAnsi="宋体"/>
        </w:rPr>
        <w:t>15.1</w:t>
      </w:r>
      <w:r>
        <w:rPr>
          <w:rFonts w:hint="eastAsia" w:hAnsi="宋体"/>
        </w:rPr>
        <w:t>项规定的投标截止时间（即开标时间）和投标人须知前附表规定的地点公开开标，</w:t>
      </w:r>
      <w:r>
        <w:rPr>
          <w:rFonts w:hint="eastAsia" w:hAnsi="宋体"/>
          <w:color w:val="auto"/>
          <w:szCs w:val="21"/>
        </w:rPr>
        <w:t>向</w:t>
      </w:r>
      <w:r>
        <w:rPr>
          <w:rFonts w:hint="eastAsia" w:hAnsi="宋体"/>
          <w:color w:val="auto"/>
        </w:rPr>
        <w:t>采购代理机构</w:t>
      </w:r>
      <w:r>
        <w:rPr>
          <w:rFonts w:hint="eastAsia" w:hAnsi="宋体"/>
          <w:color w:val="auto"/>
          <w:szCs w:val="21"/>
        </w:rPr>
        <w:t>提交本人身份证原件及营业执照复印件[包括法定代表人身份证明原件（企业法定代表人参加投标会时检查）或委托代理投标相关证明及营业执照复印件（附法定代表人身份证明的授权委托书原件、受委托的委托代理人身份证原件，委托代理人参加投标会时检查）（加盖单位公章）]</w:t>
      </w:r>
      <w:r>
        <w:rPr>
          <w:rFonts w:hint="eastAsia" w:hAnsi="宋体"/>
          <w:color w:val="auto"/>
        </w:rPr>
        <w:t>投标人的法定代表人或其委托代理人应准时参加并签到。如未按时签到，由此产生的后果由投标人自行负责。</w:t>
      </w:r>
    </w:p>
    <w:p>
      <w:pPr>
        <w:pStyle w:val="19"/>
        <w:spacing w:line="440" w:lineRule="exact"/>
        <w:ind w:firstLine="359" w:firstLineChars="171"/>
        <w:rPr>
          <w:rFonts w:hAnsi="宋体"/>
        </w:rPr>
      </w:pPr>
      <w:r>
        <w:rPr>
          <w:rFonts w:hAnsi="宋体"/>
        </w:rPr>
        <w:t xml:space="preserve">16.2  </w:t>
      </w:r>
      <w:r>
        <w:rPr>
          <w:rFonts w:hint="eastAsia" w:hAnsi="宋体"/>
        </w:rPr>
        <w:t>开标程序：</w:t>
      </w:r>
    </w:p>
    <w:p>
      <w:pPr>
        <w:pStyle w:val="19"/>
        <w:spacing w:line="440" w:lineRule="exact"/>
        <w:ind w:firstLine="720"/>
        <w:rPr>
          <w:rFonts w:hAnsi="宋体"/>
        </w:rPr>
      </w:pPr>
      <w:r>
        <w:rPr>
          <w:rFonts w:hint="eastAsia" w:hAnsi="宋体"/>
        </w:rPr>
        <w:t>（</w:t>
      </w:r>
      <w:r>
        <w:rPr>
          <w:rFonts w:hAnsi="宋体"/>
        </w:rPr>
        <w:t>1</w:t>
      </w:r>
      <w:r>
        <w:rPr>
          <w:rFonts w:hint="eastAsia" w:hAnsi="宋体"/>
        </w:rPr>
        <w:t>）开标会由采购代理机构主持，主持人宣布开标会议开始；</w:t>
      </w:r>
    </w:p>
    <w:p>
      <w:pPr>
        <w:pStyle w:val="19"/>
        <w:spacing w:line="440" w:lineRule="exact"/>
        <w:ind w:firstLine="720"/>
        <w:rPr>
          <w:rFonts w:hAnsi="宋体"/>
        </w:rPr>
      </w:pPr>
      <w:r>
        <w:rPr>
          <w:rFonts w:hint="eastAsia" w:hAnsi="宋体"/>
        </w:rPr>
        <w:t>（</w:t>
      </w:r>
      <w:r>
        <w:rPr>
          <w:rFonts w:hAnsi="宋体"/>
        </w:rPr>
        <w:t>2</w:t>
      </w:r>
      <w:r>
        <w:rPr>
          <w:rFonts w:hint="eastAsia" w:hAnsi="宋体"/>
        </w:rPr>
        <w:t>）公布在投标截止时间前递交投标文件的投标人家数、投标单位名称，并点名确认投标人是否到场；</w:t>
      </w:r>
    </w:p>
    <w:p>
      <w:pPr>
        <w:pStyle w:val="19"/>
        <w:spacing w:line="440" w:lineRule="exact"/>
        <w:ind w:firstLine="720"/>
        <w:rPr>
          <w:rFonts w:hAnsi="宋体"/>
        </w:rPr>
      </w:pPr>
      <w:r>
        <w:rPr>
          <w:rFonts w:hint="eastAsia" w:hAnsi="宋体"/>
        </w:rPr>
        <w:t>（</w:t>
      </w:r>
      <w:r>
        <w:rPr>
          <w:rFonts w:hAnsi="宋体"/>
        </w:rPr>
        <w:t>3</w:t>
      </w:r>
      <w:r>
        <w:rPr>
          <w:rFonts w:hint="eastAsia" w:hAnsi="宋体"/>
        </w:rPr>
        <w:t>）宣布开标人、唱标人、记录人、监标人等有关人员；</w:t>
      </w:r>
    </w:p>
    <w:p>
      <w:pPr>
        <w:pStyle w:val="19"/>
        <w:spacing w:line="440" w:lineRule="exact"/>
        <w:ind w:firstLine="720"/>
        <w:rPr>
          <w:rFonts w:hAnsi="宋体"/>
        </w:rPr>
      </w:pPr>
      <w:r>
        <w:rPr>
          <w:rFonts w:hint="eastAsia" w:hAnsi="宋体"/>
        </w:rPr>
        <w:t>（</w:t>
      </w:r>
      <w:r>
        <w:rPr>
          <w:rFonts w:hAnsi="宋体"/>
        </w:rPr>
        <w:t>4</w:t>
      </w:r>
      <w:r>
        <w:rPr>
          <w:rFonts w:hint="eastAsia" w:hAnsi="宋体"/>
        </w:rPr>
        <w:t>）投标人代表按本章第</w:t>
      </w:r>
      <w:r>
        <w:rPr>
          <w:rFonts w:hAnsi="宋体"/>
        </w:rPr>
        <w:t>14.1</w:t>
      </w:r>
      <w:r>
        <w:rPr>
          <w:rFonts w:hint="eastAsia" w:hAnsi="宋体"/>
        </w:rPr>
        <w:t>项的规定由各投标人检查各自的投标文件密封情况并签字确认；</w:t>
      </w:r>
    </w:p>
    <w:p>
      <w:pPr>
        <w:pStyle w:val="19"/>
        <w:spacing w:line="440" w:lineRule="exact"/>
        <w:ind w:firstLine="720"/>
        <w:rPr>
          <w:rFonts w:hAnsi="宋体"/>
        </w:rPr>
      </w:pPr>
      <w:r>
        <w:rPr>
          <w:rFonts w:hint="eastAsia" w:hAnsi="宋体"/>
        </w:rPr>
        <w:t>（</w:t>
      </w:r>
      <w:r>
        <w:rPr>
          <w:rFonts w:hAnsi="宋体"/>
        </w:rPr>
        <w:t>5</w:t>
      </w:r>
      <w:r>
        <w:rPr>
          <w:rFonts w:hint="eastAsia" w:hAnsi="宋体"/>
        </w:rPr>
        <w:t>）按各投标人递交投标文件时间的先后顺序当众拆封投标文件，由唱标人宣读投标人名称、分标名称、投标报价、服务期等以及采购代理机构认为有必要宣读的其他内容；</w:t>
      </w:r>
    </w:p>
    <w:p>
      <w:pPr>
        <w:pStyle w:val="19"/>
        <w:spacing w:line="440" w:lineRule="exact"/>
        <w:ind w:firstLine="720"/>
        <w:rPr>
          <w:rFonts w:hAnsi="宋体"/>
        </w:rPr>
      </w:pPr>
      <w:r>
        <w:rPr>
          <w:rFonts w:hint="eastAsia" w:hAnsi="宋体"/>
        </w:rPr>
        <w:t>（</w:t>
      </w:r>
      <w:r>
        <w:rPr>
          <w:rFonts w:hAnsi="宋体"/>
        </w:rPr>
        <w:t>6</w:t>
      </w:r>
      <w:r>
        <w:rPr>
          <w:rFonts w:hint="eastAsia" w:hAnsi="宋体"/>
        </w:rPr>
        <w:t>）相关人员在开标记录上签字确认；</w:t>
      </w:r>
    </w:p>
    <w:p>
      <w:pPr>
        <w:pStyle w:val="19"/>
        <w:spacing w:line="440" w:lineRule="exact"/>
        <w:ind w:firstLine="720"/>
        <w:rPr>
          <w:rFonts w:hAnsi="宋体"/>
        </w:rPr>
      </w:pPr>
      <w:r>
        <w:rPr>
          <w:rFonts w:hint="eastAsia" w:hAnsi="宋体"/>
        </w:rPr>
        <w:t>（</w:t>
      </w:r>
      <w:r>
        <w:rPr>
          <w:rFonts w:hAnsi="宋体"/>
        </w:rPr>
        <w:t>7</w:t>
      </w:r>
      <w:r>
        <w:rPr>
          <w:rFonts w:hint="eastAsia" w:hAnsi="宋体"/>
        </w:rPr>
        <w:t>）宣布评标期间的有关事项；</w:t>
      </w:r>
    </w:p>
    <w:p>
      <w:pPr>
        <w:pStyle w:val="19"/>
        <w:spacing w:line="440" w:lineRule="exact"/>
        <w:ind w:firstLine="720"/>
        <w:rPr>
          <w:rFonts w:hAnsi="宋体"/>
        </w:rPr>
      </w:pPr>
      <w:r>
        <w:rPr>
          <w:rFonts w:hint="eastAsia" w:hAnsi="宋体"/>
        </w:rPr>
        <w:t>（</w:t>
      </w:r>
      <w:r>
        <w:rPr>
          <w:rFonts w:hAnsi="宋体"/>
        </w:rPr>
        <w:t>8</w:t>
      </w:r>
      <w:r>
        <w:rPr>
          <w:rFonts w:hint="eastAsia" w:hAnsi="宋体"/>
        </w:rPr>
        <w:t>）开标结束。</w:t>
      </w:r>
    </w:p>
    <w:p>
      <w:pPr>
        <w:pStyle w:val="19"/>
        <w:spacing w:line="440" w:lineRule="exact"/>
        <w:ind w:firstLine="720"/>
        <w:rPr>
          <w:rFonts w:hAnsi="宋体"/>
        </w:rPr>
      </w:pPr>
      <w:r>
        <w:rPr>
          <w:rFonts w:hint="eastAsia" w:hAnsi="宋体"/>
        </w:rPr>
        <w:t>16.3资格审查</w:t>
      </w:r>
    </w:p>
    <w:p>
      <w:pPr>
        <w:pStyle w:val="19"/>
        <w:spacing w:line="440" w:lineRule="exact"/>
        <w:ind w:firstLine="420" w:firstLineChars="200"/>
        <w:rPr>
          <w:rFonts w:hAnsi="宋体"/>
          <w:szCs w:val="21"/>
        </w:rPr>
      </w:pPr>
      <w:r>
        <w:rPr>
          <w:rFonts w:hint="eastAsia" w:hAnsi="宋体"/>
          <w:szCs w:val="21"/>
        </w:rPr>
        <w:t>采购人依据法律法规和招标文件的规定，对投标文件中的资格文件进行审查，以确定投标供应商是否具备投标资格。合格投标人不足3家的，不得评标。</w:t>
      </w:r>
    </w:p>
    <w:p>
      <w:pPr>
        <w:pStyle w:val="19"/>
        <w:spacing w:line="440" w:lineRule="exact"/>
        <w:ind w:firstLine="720"/>
        <w:rPr>
          <w:rFonts w:hAnsi="宋体"/>
        </w:rPr>
      </w:pPr>
      <w:r>
        <w:rPr>
          <w:rFonts w:hint="eastAsia" w:hAnsi="宋体"/>
        </w:rPr>
        <w:t>资格检查：依据法律法规和招标文件的规定，对投标文件中的资格证明、投标保证金等进行审查，以确定投标供应商是否具备投标资格。其中：</w:t>
      </w:r>
    </w:p>
    <w:p>
      <w:pPr>
        <w:pStyle w:val="19"/>
        <w:spacing w:line="440" w:lineRule="exact"/>
        <w:ind w:firstLine="720"/>
        <w:rPr>
          <w:rFonts w:hAnsi="宋体"/>
        </w:rPr>
      </w:pPr>
      <w:r>
        <w:rPr>
          <w:rFonts w:hint="eastAsia" w:hAnsi="宋体"/>
        </w:rPr>
        <w:t>在对投标人资格审查时进行信用查询</w:t>
      </w:r>
    </w:p>
    <w:p>
      <w:pPr>
        <w:pStyle w:val="19"/>
        <w:spacing w:line="440" w:lineRule="exact"/>
        <w:ind w:firstLine="720"/>
        <w:rPr>
          <w:rFonts w:hAnsi="宋体"/>
        </w:rPr>
      </w:pPr>
      <w:r>
        <w:rPr>
          <w:rFonts w:hint="eastAsia" w:hAnsi="宋体"/>
        </w:rPr>
        <w:t>查询渠道：“信用中国”网站</w:t>
      </w:r>
      <w:r>
        <w:rPr>
          <w:rFonts w:hAnsi="宋体"/>
        </w:rPr>
        <w:t>(www.creditchina.gov.cn)</w:t>
      </w:r>
      <w:r>
        <w:rPr>
          <w:rFonts w:hint="eastAsia" w:hAnsi="宋体"/>
        </w:rPr>
        <w:t>、中国政府采购网</w:t>
      </w:r>
      <w:r>
        <w:rPr>
          <w:rFonts w:hAnsi="宋体"/>
        </w:rPr>
        <w:t>(www.ccgp.gov.cn)</w:t>
      </w:r>
      <w:r>
        <w:rPr>
          <w:rFonts w:hint="eastAsia" w:hAnsi="宋体"/>
        </w:rPr>
        <w:t>等</w:t>
      </w:r>
    </w:p>
    <w:p>
      <w:pPr>
        <w:pStyle w:val="19"/>
        <w:spacing w:line="440" w:lineRule="exact"/>
        <w:ind w:firstLine="720"/>
        <w:rPr>
          <w:rFonts w:hAnsi="宋体"/>
        </w:rPr>
      </w:pPr>
      <w:r>
        <w:rPr>
          <w:rFonts w:hint="eastAsia" w:hAnsi="宋体"/>
        </w:rPr>
        <w:t>查询记录和证据留存方式：在查询网站中直接打印查询记录，打印材料作为评审资料保存。</w:t>
      </w:r>
    </w:p>
    <w:p>
      <w:pPr>
        <w:pStyle w:val="19"/>
        <w:spacing w:line="440" w:lineRule="exact"/>
        <w:ind w:firstLine="720"/>
        <w:rPr>
          <w:rFonts w:hAnsi="宋体"/>
        </w:rPr>
      </w:pPr>
      <w:r>
        <w:rPr>
          <w:rFonts w:hint="eastAsia" w:hAnsi="宋体"/>
        </w:rPr>
        <w:t>信用信息使用规则：对在“信用中国”网站</w:t>
      </w:r>
      <w:r>
        <w:rPr>
          <w:rFonts w:hAnsi="宋体"/>
        </w:rPr>
        <w:t>(www.creditchina.gov.cn)</w:t>
      </w:r>
      <w:r>
        <w:rPr>
          <w:rFonts w:hint="eastAsia" w:hAnsi="宋体"/>
        </w:rPr>
        <w:t>、中国政府采购网</w:t>
      </w:r>
      <w:r>
        <w:rPr>
          <w:rFonts w:hAnsi="宋体"/>
        </w:rPr>
        <w:t>(www.ccgp.gov.cn)</w:t>
      </w:r>
      <w:r>
        <w:rPr>
          <w:rFonts w:hint="eastAsia" w:hAnsi="宋体"/>
        </w:rPr>
        <w:t>列入失信被执行人、重大税收违法案件当事人名单、政府采购严重违法失信行为记录名单及其他不符合《中华人民共和国政府采购法》第二十二条规定条件的供应商，资格审查不通过，不得参与政府采购活动。</w:t>
      </w:r>
    </w:p>
    <w:p>
      <w:pPr>
        <w:pStyle w:val="19"/>
        <w:spacing w:line="440" w:lineRule="exact"/>
        <w:rPr>
          <w:rFonts w:hAnsi="宋体"/>
          <w:bCs/>
          <w:sz w:val="24"/>
        </w:rPr>
      </w:pPr>
      <w:r>
        <w:rPr>
          <w:rFonts w:hAnsi="宋体"/>
          <w:bCs/>
          <w:sz w:val="24"/>
        </w:rPr>
        <w:t xml:space="preserve">17.  </w:t>
      </w:r>
      <w:r>
        <w:rPr>
          <w:rFonts w:hint="eastAsia" w:hAnsi="宋体"/>
          <w:bCs/>
          <w:sz w:val="24"/>
        </w:rPr>
        <w:t>评标</w:t>
      </w:r>
    </w:p>
    <w:p>
      <w:pPr>
        <w:pStyle w:val="19"/>
        <w:spacing w:line="440" w:lineRule="exact"/>
        <w:ind w:firstLine="360"/>
        <w:rPr>
          <w:rFonts w:hAnsi="宋体"/>
        </w:rPr>
      </w:pPr>
      <w:r>
        <w:rPr>
          <w:rFonts w:hAnsi="宋体"/>
        </w:rPr>
        <w:t xml:space="preserve">17.1  </w:t>
      </w:r>
      <w:r>
        <w:rPr>
          <w:rFonts w:hint="eastAsia" w:hAnsi="宋体"/>
        </w:rPr>
        <w:t>评标委员会：评标由依法组建的评标委员会负责。评标委员会由采购人代表和有关技术、经济等方面的专家组成。采购人或采购代理机构根据本项目的特点，从政采云评审专家库中，通过随机方式抽取专家。</w:t>
      </w:r>
    </w:p>
    <w:p>
      <w:pPr>
        <w:pStyle w:val="19"/>
        <w:spacing w:line="440" w:lineRule="exact"/>
        <w:ind w:firstLine="360"/>
        <w:rPr>
          <w:rFonts w:hAnsi="宋体"/>
        </w:rPr>
      </w:pPr>
      <w:r>
        <w:rPr>
          <w:rFonts w:hint="eastAsia" w:hAnsi="宋体"/>
        </w:rPr>
        <w:t>在政府采购活动中，评审专家与投标人有下列利害关系之一的，应当回避：</w:t>
      </w:r>
    </w:p>
    <w:p>
      <w:pPr>
        <w:pStyle w:val="19"/>
        <w:spacing w:line="440" w:lineRule="exact"/>
        <w:ind w:firstLine="360"/>
        <w:rPr>
          <w:rFonts w:hAnsi="宋体"/>
        </w:rPr>
      </w:pPr>
      <w:r>
        <w:rPr>
          <w:rFonts w:hint="eastAsia" w:hAnsi="宋体"/>
        </w:rPr>
        <w:t>（</w:t>
      </w:r>
      <w:r>
        <w:rPr>
          <w:rFonts w:hAnsi="宋体"/>
        </w:rPr>
        <w:t>1</w:t>
      </w:r>
      <w:r>
        <w:rPr>
          <w:rFonts w:hint="eastAsia" w:hAnsi="宋体"/>
        </w:rPr>
        <w:t>）参加采购活动前</w:t>
      </w:r>
      <w:r>
        <w:rPr>
          <w:rFonts w:hAnsi="宋体"/>
        </w:rPr>
        <w:t>3</w:t>
      </w:r>
      <w:r>
        <w:rPr>
          <w:rFonts w:hint="eastAsia" w:hAnsi="宋体"/>
        </w:rPr>
        <w:t>年内与投标人存在劳动关系；</w:t>
      </w:r>
    </w:p>
    <w:p>
      <w:pPr>
        <w:pStyle w:val="19"/>
        <w:spacing w:line="440" w:lineRule="exact"/>
        <w:ind w:firstLine="360"/>
        <w:rPr>
          <w:rFonts w:hAnsi="宋体"/>
        </w:rPr>
      </w:pPr>
      <w:r>
        <w:rPr>
          <w:rFonts w:hint="eastAsia" w:hAnsi="宋体"/>
        </w:rPr>
        <w:t>（</w:t>
      </w:r>
      <w:r>
        <w:rPr>
          <w:rFonts w:hAnsi="宋体"/>
        </w:rPr>
        <w:t>2</w:t>
      </w:r>
      <w:r>
        <w:rPr>
          <w:rFonts w:hint="eastAsia" w:hAnsi="宋体"/>
        </w:rPr>
        <w:t>）参加采购活动前</w:t>
      </w:r>
      <w:r>
        <w:rPr>
          <w:rFonts w:hAnsi="宋体"/>
        </w:rPr>
        <w:t>3</w:t>
      </w:r>
      <w:r>
        <w:rPr>
          <w:rFonts w:hint="eastAsia" w:hAnsi="宋体"/>
        </w:rPr>
        <w:t>年内担任投标人的董事、监事；</w:t>
      </w:r>
    </w:p>
    <w:p>
      <w:pPr>
        <w:pStyle w:val="19"/>
        <w:spacing w:line="440" w:lineRule="exact"/>
        <w:ind w:firstLine="360"/>
        <w:rPr>
          <w:rFonts w:hAnsi="宋体"/>
        </w:rPr>
      </w:pPr>
      <w:r>
        <w:rPr>
          <w:rFonts w:hint="eastAsia" w:hAnsi="宋体"/>
        </w:rPr>
        <w:t>（</w:t>
      </w:r>
      <w:r>
        <w:rPr>
          <w:rFonts w:hAnsi="宋体"/>
        </w:rPr>
        <w:t>3</w:t>
      </w:r>
      <w:r>
        <w:rPr>
          <w:rFonts w:hint="eastAsia" w:hAnsi="宋体"/>
        </w:rPr>
        <w:t>）参加采购活动前</w:t>
      </w:r>
      <w:r>
        <w:rPr>
          <w:rFonts w:hAnsi="宋体"/>
        </w:rPr>
        <w:t>3</w:t>
      </w:r>
      <w:r>
        <w:rPr>
          <w:rFonts w:hint="eastAsia" w:hAnsi="宋体"/>
        </w:rPr>
        <w:t>年内是投标人的控股股东或者实际控制人；</w:t>
      </w:r>
    </w:p>
    <w:p>
      <w:pPr>
        <w:pStyle w:val="19"/>
        <w:spacing w:line="440" w:lineRule="exact"/>
        <w:ind w:firstLine="360"/>
        <w:rPr>
          <w:rFonts w:hAnsi="宋体"/>
        </w:rPr>
      </w:pPr>
      <w:r>
        <w:rPr>
          <w:rFonts w:hint="eastAsia" w:hAnsi="宋体"/>
        </w:rPr>
        <w:t>（</w:t>
      </w:r>
      <w:r>
        <w:rPr>
          <w:rFonts w:hAnsi="宋体"/>
        </w:rPr>
        <w:t>4</w:t>
      </w:r>
      <w:r>
        <w:rPr>
          <w:rFonts w:hint="eastAsia" w:hAnsi="宋体"/>
        </w:rPr>
        <w:t>）与投标人的法定代表人或者负责人有夫妻、直系血亲、三代以内旁系血亲或者近姻亲关系；</w:t>
      </w:r>
    </w:p>
    <w:p>
      <w:pPr>
        <w:pStyle w:val="19"/>
        <w:spacing w:line="440" w:lineRule="exact"/>
        <w:ind w:firstLine="360"/>
        <w:rPr>
          <w:rFonts w:hAnsi="宋体"/>
        </w:rPr>
      </w:pPr>
      <w:r>
        <w:rPr>
          <w:rFonts w:hint="eastAsia" w:hAnsi="宋体"/>
        </w:rPr>
        <w:t>（</w:t>
      </w:r>
      <w:r>
        <w:rPr>
          <w:rFonts w:hAnsi="宋体"/>
        </w:rPr>
        <w:t>5</w:t>
      </w:r>
      <w:r>
        <w:rPr>
          <w:rFonts w:hint="eastAsia" w:hAnsi="宋体"/>
        </w:rPr>
        <w:t>）与投标人有其他可能影响政府采购活动公平、公正进行的关系。</w:t>
      </w:r>
    </w:p>
    <w:p>
      <w:pPr>
        <w:pStyle w:val="19"/>
        <w:spacing w:line="440" w:lineRule="exact"/>
        <w:ind w:firstLine="360"/>
        <w:rPr>
          <w:rFonts w:hAnsi="宋体"/>
        </w:rPr>
      </w:pPr>
      <w:r>
        <w:rPr>
          <w:rFonts w:hint="eastAsia" w:hAnsi="宋体"/>
        </w:rPr>
        <w:t>投标人认为采购人员及相关人员与其他投标人有利害关系的，可以向采购人或者采购代理机构书面提出回避申请，并说明理由。采购人或者采购代理机构应当及时询问被申请回避人员，有利害关系的被申请回避人员应当回避。</w:t>
      </w:r>
    </w:p>
    <w:p>
      <w:pPr>
        <w:pStyle w:val="19"/>
        <w:spacing w:line="440" w:lineRule="exact"/>
        <w:ind w:firstLine="360"/>
        <w:rPr>
          <w:rFonts w:hAnsi="宋体"/>
        </w:rPr>
      </w:pPr>
      <w:r>
        <w:rPr>
          <w:rFonts w:hAnsi="宋体"/>
        </w:rPr>
        <w:t xml:space="preserve">17.2  </w:t>
      </w:r>
      <w:r>
        <w:rPr>
          <w:rFonts w:hint="eastAsia" w:hAnsi="宋体"/>
        </w:rPr>
        <w:t>评标原则：评标活动遵循公平、公正、科学和择优的原则。</w:t>
      </w:r>
    </w:p>
    <w:p>
      <w:pPr>
        <w:pStyle w:val="19"/>
        <w:spacing w:line="440" w:lineRule="exact"/>
        <w:ind w:firstLine="360"/>
        <w:rPr>
          <w:rFonts w:hAnsi="宋体"/>
        </w:rPr>
      </w:pPr>
      <w:r>
        <w:rPr>
          <w:rFonts w:hAnsi="宋体"/>
        </w:rPr>
        <w:t xml:space="preserve">17.3  </w:t>
      </w:r>
      <w:r>
        <w:rPr>
          <w:rFonts w:hint="eastAsia" w:hAnsi="宋体"/>
        </w:rPr>
        <w:t>评标方法：评标委员会按照投标人须知前附表和第三章“评标方法”规定的方法、评审因素和标准对投标文件进行评审。在评标中，不得改变第三章“评标办法”规定的方法、评审因素和标准；第三章“评标办法”没有规定的方法、评审因素和标准，不作为评标依据。</w:t>
      </w:r>
    </w:p>
    <w:p>
      <w:pPr>
        <w:pStyle w:val="19"/>
        <w:spacing w:line="440" w:lineRule="exact"/>
        <w:ind w:firstLine="360"/>
        <w:rPr>
          <w:rFonts w:hAnsi="宋体"/>
          <w:bCs/>
        </w:rPr>
      </w:pPr>
      <w:r>
        <w:rPr>
          <w:rFonts w:hAnsi="宋体"/>
        </w:rPr>
        <w:t xml:space="preserve">17.4  </w:t>
      </w:r>
      <w:r>
        <w:rPr>
          <w:rFonts w:hint="eastAsia" w:hAnsi="宋体"/>
          <w:bCs/>
        </w:rPr>
        <w:t>评标程序：</w:t>
      </w:r>
    </w:p>
    <w:p>
      <w:pPr>
        <w:pStyle w:val="19"/>
        <w:spacing w:line="440" w:lineRule="exact"/>
        <w:ind w:firstLine="360"/>
        <w:rPr>
          <w:rFonts w:hAnsi="宋体"/>
          <w:bCs/>
        </w:rPr>
      </w:pPr>
      <w:r>
        <w:rPr>
          <w:rFonts w:hAnsi="宋体"/>
          <w:bCs/>
        </w:rPr>
        <w:t xml:space="preserve">17.4.1  </w:t>
      </w:r>
      <w:r>
        <w:rPr>
          <w:rFonts w:hint="eastAsia" w:hAnsi="宋体"/>
          <w:bCs/>
        </w:rPr>
        <w:t>采购代理机构项目负责人宣读评标现场纪律要求，集中管理通讯工具，询问在场人员是否申请回避；</w:t>
      </w:r>
    </w:p>
    <w:p>
      <w:pPr>
        <w:pStyle w:val="19"/>
        <w:spacing w:line="440" w:lineRule="exact"/>
        <w:ind w:firstLine="360"/>
        <w:rPr>
          <w:rFonts w:hAnsi="宋体"/>
          <w:bCs/>
        </w:rPr>
      </w:pPr>
      <w:r>
        <w:rPr>
          <w:rFonts w:hAnsi="宋体"/>
          <w:bCs/>
        </w:rPr>
        <w:t xml:space="preserve">17.4.2  </w:t>
      </w:r>
      <w:r>
        <w:rPr>
          <w:rFonts w:hint="eastAsia" w:hAnsi="宋体"/>
          <w:bCs/>
        </w:rPr>
        <w:t>采购代理机构项目负责人介绍项目概况及评标委员会组成情况（但不得发表影响评审的倾向性、歧视性言论），推选评标组长（原则上采购人不得担任评标组长）；</w:t>
      </w:r>
    </w:p>
    <w:p>
      <w:pPr>
        <w:pStyle w:val="19"/>
        <w:spacing w:line="440" w:lineRule="exact"/>
        <w:ind w:firstLine="360"/>
        <w:rPr>
          <w:rFonts w:hAnsi="宋体"/>
          <w:bCs/>
        </w:rPr>
      </w:pPr>
      <w:r>
        <w:rPr>
          <w:rFonts w:hAnsi="宋体"/>
          <w:bCs/>
        </w:rPr>
        <w:t xml:space="preserve">17.4.3  </w:t>
      </w:r>
      <w:r>
        <w:rPr>
          <w:rFonts w:hint="eastAsia" w:hAnsi="宋体"/>
          <w:bCs/>
        </w:rPr>
        <w:t>评标委员会按分工开展评标工作：</w:t>
      </w:r>
    </w:p>
    <w:p>
      <w:pPr>
        <w:pStyle w:val="19"/>
        <w:spacing w:line="440" w:lineRule="exact"/>
        <w:ind w:firstLine="720"/>
        <w:rPr>
          <w:rFonts w:hAnsi="宋体"/>
        </w:rPr>
      </w:pPr>
      <w:r>
        <w:rPr>
          <w:rFonts w:hint="eastAsia" w:hAnsi="宋体"/>
        </w:rPr>
        <w:t>（</w:t>
      </w:r>
      <w:r>
        <w:rPr>
          <w:rFonts w:hAnsi="宋体"/>
        </w:rPr>
        <w:t>1</w:t>
      </w:r>
      <w:r>
        <w:rPr>
          <w:rFonts w:hint="eastAsia" w:hAnsi="宋体"/>
        </w:rPr>
        <w:t>）投标文件初审符合性检查。</w:t>
      </w:r>
    </w:p>
    <w:p>
      <w:pPr>
        <w:pStyle w:val="19"/>
        <w:spacing w:line="440" w:lineRule="exact"/>
        <w:ind w:firstLine="720"/>
        <w:rPr>
          <w:rFonts w:hAnsi="宋体"/>
        </w:rPr>
      </w:pPr>
      <w:r>
        <w:rPr>
          <w:rFonts w:hint="eastAsia" w:hAnsi="宋体"/>
        </w:rPr>
        <w:t>符合性检查：依据招标文件的规定，从投标文件的有效性、完整性和对招标文件的响应程度进行审查，以确定是否对招标文件的实质性要求和条件作出响应。</w:t>
      </w:r>
    </w:p>
    <w:p>
      <w:pPr>
        <w:pStyle w:val="19"/>
        <w:spacing w:line="440" w:lineRule="exact"/>
        <w:ind w:firstLine="720"/>
        <w:rPr>
          <w:rFonts w:hAnsi="宋体"/>
        </w:rPr>
      </w:pPr>
      <w:r>
        <w:rPr>
          <w:rFonts w:hint="eastAsia" w:hAnsi="宋体"/>
        </w:rPr>
        <w:t>（</w:t>
      </w:r>
      <w:r>
        <w:rPr>
          <w:rFonts w:hAnsi="宋体"/>
        </w:rPr>
        <w:t>2</w:t>
      </w:r>
      <w:r>
        <w:rPr>
          <w:rFonts w:hint="eastAsia" w:hAnsi="宋体"/>
        </w:rPr>
        <w:t>）澄清有关问题。对投标文件中含义不明确、同类问题表述不一致或者有明显文字和计算错误的内容，评标委员会可以书面形式（应当由评标委员会专家签字）要求投标人作出必要的澄清、说明或者纠正。投标人的澄清、说明或者纠正应当采用书面形式，由法定代表人或其委托代理人签字或盖章确认，且不得超出投标文件的范围或者改变投标文件的实质性内容。该澄清、说明或者纠正是投标文件的组成部分。</w:t>
      </w:r>
    </w:p>
    <w:p>
      <w:pPr>
        <w:pStyle w:val="19"/>
        <w:spacing w:line="440" w:lineRule="exact"/>
        <w:ind w:firstLine="720"/>
        <w:rPr>
          <w:rFonts w:hAnsi="宋体"/>
        </w:rPr>
      </w:pPr>
      <w:r>
        <w:rPr>
          <w:rFonts w:hint="eastAsia" w:hAnsi="宋体"/>
        </w:rPr>
        <w:t>（</w:t>
      </w:r>
      <w:r>
        <w:rPr>
          <w:rFonts w:hAnsi="宋体"/>
        </w:rPr>
        <w:t>3</w:t>
      </w:r>
      <w:r>
        <w:rPr>
          <w:rFonts w:hint="eastAsia" w:hAnsi="宋体"/>
        </w:rPr>
        <w:t>）比较与评价。按招标文件中规定的评标方法和标准，对资格性检查和符合性检查合格的投标文件进行商务和技术评估，综合比较与评价。</w:t>
      </w:r>
    </w:p>
    <w:p>
      <w:pPr>
        <w:pStyle w:val="19"/>
        <w:spacing w:line="440" w:lineRule="exact"/>
        <w:ind w:firstLine="720"/>
        <w:rPr>
          <w:rFonts w:hAnsi="宋体"/>
        </w:rPr>
      </w:pPr>
      <w:r>
        <w:rPr>
          <w:rFonts w:hint="eastAsia" w:hAnsi="宋体"/>
        </w:rPr>
        <w:t>（</w:t>
      </w:r>
      <w:r>
        <w:rPr>
          <w:rFonts w:hAnsi="宋体"/>
        </w:rPr>
        <w:t>4</w:t>
      </w:r>
      <w:r>
        <w:rPr>
          <w:rFonts w:hint="eastAsia" w:hAnsi="宋体"/>
        </w:rPr>
        <w:t>）编写评标报告，并确定中标供应商名单。</w:t>
      </w:r>
    </w:p>
    <w:p>
      <w:pPr>
        <w:pStyle w:val="19"/>
        <w:spacing w:line="440" w:lineRule="exact"/>
        <w:ind w:firstLine="360"/>
        <w:rPr>
          <w:rFonts w:hAnsi="宋体"/>
          <w:bCs/>
        </w:rPr>
      </w:pPr>
      <w:r>
        <w:rPr>
          <w:rFonts w:hAnsi="宋体"/>
        </w:rPr>
        <w:t xml:space="preserve">17.4.4  </w:t>
      </w:r>
      <w:r>
        <w:rPr>
          <w:rFonts w:hint="eastAsia" w:hAnsi="宋体"/>
        </w:rPr>
        <w:t>整个现场评标过程中，采购代理机构应严格按照招标文件既定的程序组织评委评审，针对评委作出的评分、评标结论现场认真进行核对和复核，如有错漏，应及时请当事评委进行校正。</w:t>
      </w:r>
    </w:p>
    <w:p>
      <w:pPr>
        <w:pStyle w:val="19"/>
        <w:spacing w:line="440" w:lineRule="exact"/>
        <w:ind w:firstLine="359" w:firstLineChars="171"/>
        <w:rPr>
          <w:rFonts w:hAnsi="宋体"/>
        </w:rPr>
      </w:pPr>
      <w:r>
        <w:rPr>
          <w:rFonts w:hAnsi="宋体"/>
        </w:rPr>
        <w:t xml:space="preserve">17.5  </w:t>
      </w:r>
      <w:r>
        <w:rPr>
          <w:rFonts w:hint="eastAsia" w:hAnsi="宋体"/>
        </w:rPr>
        <w:t>在确定中标供应商前，采购人或采购代理机构不得与投标供应商就投标价格、投标方案等实质性内容进行谈判。</w:t>
      </w:r>
    </w:p>
    <w:p>
      <w:pPr>
        <w:pStyle w:val="19"/>
        <w:spacing w:line="440" w:lineRule="exact"/>
        <w:ind w:firstLine="359" w:firstLineChars="171"/>
        <w:rPr>
          <w:rFonts w:hAnsi="宋体"/>
        </w:rPr>
      </w:pPr>
      <w:r>
        <w:rPr>
          <w:rFonts w:hAnsi="宋体"/>
        </w:rPr>
        <w:t xml:space="preserve">17.6  </w:t>
      </w:r>
      <w:r>
        <w:rPr>
          <w:rFonts w:hint="eastAsia" w:hAnsi="宋体"/>
        </w:rPr>
        <w:t>评标过程的保密。评标在严格保密的情况下进行，任何单位和个人不得非法干预、影响评标办法的确定，以及评标过程和结果。评标委员会成员和参与评标的有关工作人员不得透露对投标文件的评审和比较、中标候选人的推荐情况以及与评标有关的其他情况。</w:t>
      </w:r>
    </w:p>
    <w:p>
      <w:pPr>
        <w:pStyle w:val="19"/>
        <w:spacing w:line="440" w:lineRule="exact"/>
        <w:rPr>
          <w:rFonts w:hAnsi="宋体"/>
          <w:bCs/>
          <w:sz w:val="24"/>
        </w:rPr>
      </w:pPr>
      <w:r>
        <w:rPr>
          <w:rFonts w:hAnsi="宋体"/>
          <w:bCs/>
          <w:sz w:val="24"/>
        </w:rPr>
        <w:t xml:space="preserve">18.  </w:t>
      </w:r>
      <w:r>
        <w:rPr>
          <w:rFonts w:hint="eastAsia" w:hAnsi="宋体"/>
          <w:bCs/>
          <w:sz w:val="24"/>
        </w:rPr>
        <w:t>投标文件的修正</w:t>
      </w:r>
    </w:p>
    <w:p>
      <w:pPr>
        <w:pStyle w:val="19"/>
        <w:spacing w:line="440" w:lineRule="exact"/>
        <w:ind w:firstLine="359" w:firstLineChars="171"/>
        <w:rPr>
          <w:rFonts w:hAnsi="宋体"/>
        </w:rPr>
      </w:pPr>
      <w:r>
        <w:rPr>
          <w:rFonts w:hAnsi="宋体"/>
        </w:rPr>
        <w:t xml:space="preserve">18.1  </w:t>
      </w:r>
      <w:r>
        <w:rPr>
          <w:rFonts w:hint="eastAsia" w:hAnsi="宋体"/>
        </w:rPr>
        <w:t>投标文件报价出现前后不一致的，执照下列规定修正：</w:t>
      </w:r>
    </w:p>
    <w:p>
      <w:pPr>
        <w:pStyle w:val="19"/>
        <w:spacing w:line="440" w:lineRule="exact"/>
        <w:ind w:firstLine="720"/>
        <w:rPr>
          <w:rFonts w:hAnsi="宋体"/>
        </w:rPr>
      </w:pPr>
      <w:r>
        <w:rPr>
          <w:rFonts w:hint="eastAsia" w:hAnsi="宋体"/>
        </w:rPr>
        <w:t>（</w:t>
      </w:r>
      <w:r>
        <w:rPr>
          <w:rFonts w:hAnsi="宋体"/>
        </w:rPr>
        <w:t>1</w:t>
      </w:r>
      <w:r>
        <w:rPr>
          <w:rFonts w:hint="eastAsia" w:hAnsi="宋体"/>
        </w:rPr>
        <w:t>）投标文件中报价文件内容与投标文件中相应内容不一致的，以报价文件为准；</w:t>
      </w:r>
    </w:p>
    <w:p>
      <w:pPr>
        <w:pStyle w:val="19"/>
        <w:spacing w:line="440" w:lineRule="exact"/>
        <w:ind w:firstLine="720"/>
        <w:rPr>
          <w:rFonts w:hAnsi="宋体"/>
        </w:rPr>
      </w:pPr>
      <w:r>
        <w:rPr>
          <w:rFonts w:hint="eastAsia" w:hAnsi="宋体"/>
        </w:rPr>
        <w:t>（</w:t>
      </w:r>
      <w:r>
        <w:rPr>
          <w:rFonts w:hAnsi="宋体"/>
        </w:rPr>
        <w:t>2</w:t>
      </w:r>
      <w:r>
        <w:rPr>
          <w:rFonts w:hint="eastAsia" w:hAnsi="宋体"/>
        </w:rPr>
        <w:t>）大写金额和小写金额不一致的，以大写金额为准；</w:t>
      </w:r>
    </w:p>
    <w:p>
      <w:pPr>
        <w:pStyle w:val="19"/>
        <w:spacing w:line="440" w:lineRule="exact"/>
        <w:ind w:firstLine="720"/>
        <w:rPr>
          <w:rFonts w:hAnsi="宋体"/>
        </w:rPr>
      </w:pPr>
      <w:r>
        <w:rPr>
          <w:rFonts w:hint="eastAsia" w:hAnsi="宋体"/>
        </w:rPr>
        <w:t>（</w:t>
      </w:r>
      <w:r>
        <w:rPr>
          <w:rFonts w:hAnsi="宋体"/>
        </w:rPr>
        <w:t>3</w:t>
      </w:r>
      <w:r>
        <w:rPr>
          <w:rFonts w:hint="eastAsia" w:hAnsi="宋体"/>
        </w:rPr>
        <w:t>）单价金额小数点或者百分比有明显错位的，以报价文件的总价为准，并修改单价；</w:t>
      </w:r>
    </w:p>
    <w:p>
      <w:pPr>
        <w:pStyle w:val="19"/>
        <w:spacing w:line="440" w:lineRule="exact"/>
        <w:ind w:firstLine="720"/>
        <w:rPr>
          <w:rFonts w:hAnsi="宋体"/>
        </w:rPr>
      </w:pPr>
      <w:r>
        <w:rPr>
          <w:rFonts w:hint="eastAsia" w:hAnsi="宋体"/>
        </w:rPr>
        <w:t>（</w:t>
      </w:r>
      <w:r>
        <w:rPr>
          <w:rFonts w:hAnsi="宋体"/>
        </w:rPr>
        <w:t>4</w:t>
      </w:r>
      <w:r>
        <w:rPr>
          <w:rFonts w:hint="eastAsia" w:hAnsi="宋体"/>
        </w:rPr>
        <w:t>）总价金额与按单价汇总金额不一致的，以单价金额计算结果为准。</w:t>
      </w:r>
    </w:p>
    <w:p>
      <w:pPr>
        <w:pStyle w:val="19"/>
        <w:spacing w:line="440" w:lineRule="exact"/>
        <w:ind w:firstLine="720"/>
        <w:rPr>
          <w:rFonts w:hAnsi="宋体"/>
        </w:rPr>
      </w:pPr>
      <w:r>
        <w:rPr>
          <w:rFonts w:hint="eastAsia" w:hAnsi="宋体"/>
        </w:rPr>
        <w:t>同时出现两种以上不一致的，按照前款规定的顺序修正。修正后的报价经投标人确认后产生约束力，投标人不确认的，其投标无效。</w:t>
      </w:r>
    </w:p>
    <w:p>
      <w:pPr>
        <w:pStyle w:val="19"/>
        <w:spacing w:line="440" w:lineRule="exact"/>
        <w:ind w:firstLine="359" w:firstLineChars="171"/>
        <w:rPr>
          <w:rFonts w:hAnsi="宋体"/>
        </w:rPr>
      </w:pPr>
      <w:r>
        <w:rPr>
          <w:rFonts w:hAnsi="宋体"/>
        </w:rPr>
        <w:t>18.2</w:t>
      </w:r>
      <w:r>
        <w:rPr>
          <w:rFonts w:hint="eastAsia" w:hAnsi="宋体"/>
        </w:rPr>
        <w:t>修正后的最终投标报价若超过采购预算金额，投标人的投标文件作无效投标处理。</w:t>
      </w:r>
    </w:p>
    <w:p>
      <w:pPr>
        <w:pStyle w:val="19"/>
        <w:spacing w:line="440" w:lineRule="exact"/>
        <w:ind w:firstLine="359" w:firstLineChars="171"/>
        <w:rPr>
          <w:rFonts w:hAnsi="宋体"/>
        </w:rPr>
      </w:pPr>
      <w:r>
        <w:rPr>
          <w:rFonts w:hAnsi="宋体"/>
        </w:rPr>
        <w:t>18.3</w:t>
      </w:r>
      <w:r>
        <w:rPr>
          <w:rFonts w:hint="eastAsia" w:hAnsi="宋体"/>
        </w:rPr>
        <w:t>修正后的最终投标报价仅作为签订合同的一个依据，不参与评标价得分的计算。</w:t>
      </w:r>
    </w:p>
    <w:p>
      <w:pPr>
        <w:pStyle w:val="19"/>
        <w:spacing w:line="440" w:lineRule="exact"/>
        <w:ind w:firstLine="720"/>
        <w:rPr>
          <w:rFonts w:hAnsi="宋体"/>
        </w:rPr>
      </w:pPr>
      <w:r>
        <w:rPr>
          <w:rFonts w:hint="eastAsia" w:hAnsi="宋体"/>
        </w:rPr>
        <w:t>（</w:t>
      </w:r>
      <w:r>
        <w:rPr>
          <w:rFonts w:hAnsi="宋体"/>
        </w:rPr>
        <w:t>1</w:t>
      </w:r>
      <w:r>
        <w:rPr>
          <w:rFonts w:hint="eastAsia" w:hAnsi="宋体"/>
        </w:rPr>
        <w:t>）若修正后的最终投标报价小于开标时的报价文件文字报价，签订合同时，则以修正后的最终投标报价为准；</w:t>
      </w:r>
    </w:p>
    <w:p>
      <w:pPr>
        <w:pStyle w:val="19"/>
        <w:spacing w:line="440" w:lineRule="exact"/>
        <w:ind w:firstLine="720"/>
        <w:rPr>
          <w:rFonts w:hAnsi="宋体"/>
        </w:rPr>
      </w:pPr>
      <w:r>
        <w:rPr>
          <w:rFonts w:hint="eastAsia" w:hAnsi="宋体"/>
        </w:rPr>
        <w:t>（</w:t>
      </w:r>
      <w:r>
        <w:rPr>
          <w:rFonts w:hAnsi="宋体"/>
        </w:rPr>
        <w:t>2</w:t>
      </w:r>
      <w:r>
        <w:rPr>
          <w:rFonts w:hint="eastAsia" w:hAnsi="宋体"/>
        </w:rPr>
        <w:t>）若修正后的最终投标报价大于开标时的报价文件文字报价，签订合同时，则以开标时的报价文件文字报价为准，同时按比例修正相应项目的单价或总价。</w:t>
      </w:r>
    </w:p>
    <w:p>
      <w:pPr>
        <w:pStyle w:val="19"/>
        <w:spacing w:line="440" w:lineRule="exact"/>
        <w:rPr>
          <w:rFonts w:hAnsi="宋体"/>
          <w:b/>
          <w:bCs/>
          <w:sz w:val="24"/>
        </w:rPr>
      </w:pPr>
      <w:r>
        <w:rPr>
          <w:rFonts w:hAnsi="宋体"/>
          <w:b/>
          <w:bCs/>
          <w:sz w:val="24"/>
        </w:rPr>
        <w:t xml:space="preserve">19.  </w:t>
      </w:r>
      <w:r>
        <w:rPr>
          <w:rFonts w:hint="eastAsia" w:hAnsi="宋体"/>
          <w:b/>
          <w:bCs/>
          <w:sz w:val="24"/>
        </w:rPr>
        <w:t>拒绝接收</w:t>
      </w:r>
    </w:p>
    <w:p>
      <w:pPr>
        <w:pStyle w:val="19"/>
        <w:spacing w:line="440" w:lineRule="exact"/>
        <w:ind w:firstLine="720"/>
        <w:rPr>
          <w:rFonts w:hAnsi="宋体"/>
        </w:rPr>
      </w:pPr>
      <w:r>
        <w:rPr>
          <w:rFonts w:hAnsi="宋体"/>
        </w:rPr>
        <w:t xml:space="preserve">19.1  </w:t>
      </w:r>
      <w:r>
        <w:rPr>
          <w:rFonts w:hint="eastAsia" w:hAnsi="宋体"/>
        </w:rPr>
        <w:t>投标人未在本章第</w:t>
      </w:r>
      <w:r>
        <w:rPr>
          <w:rFonts w:hAnsi="宋体"/>
        </w:rPr>
        <w:t>15.1</w:t>
      </w:r>
      <w:r>
        <w:rPr>
          <w:rFonts w:hint="eastAsia" w:hAnsi="宋体"/>
        </w:rPr>
        <w:t>项规定的时间之前将投标文件送达至本章第</w:t>
      </w:r>
      <w:r>
        <w:rPr>
          <w:rFonts w:hAnsi="宋体"/>
        </w:rPr>
        <w:t>15.2</w:t>
      </w:r>
      <w:r>
        <w:rPr>
          <w:rFonts w:hint="eastAsia" w:hAnsi="宋体"/>
        </w:rPr>
        <w:t>项指定地点的，采购代理机构应当拒绝接收该投标人的投标文件。</w:t>
      </w:r>
    </w:p>
    <w:p>
      <w:pPr>
        <w:pStyle w:val="19"/>
        <w:spacing w:line="440" w:lineRule="exact"/>
        <w:ind w:firstLine="720"/>
        <w:rPr>
          <w:rFonts w:hAnsi="宋体"/>
        </w:rPr>
      </w:pPr>
      <w:r>
        <w:rPr>
          <w:rFonts w:hAnsi="宋体"/>
        </w:rPr>
        <w:t xml:space="preserve">19.2  </w:t>
      </w:r>
      <w:r>
        <w:rPr>
          <w:rFonts w:hint="eastAsia" w:hAnsi="宋体"/>
        </w:rPr>
        <w:t>投标人未在本章第</w:t>
      </w:r>
      <w:r>
        <w:rPr>
          <w:rFonts w:hAnsi="宋体"/>
        </w:rPr>
        <w:t>15.3</w:t>
      </w:r>
      <w:r>
        <w:rPr>
          <w:rFonts w:hint="eastAsia" w:hAnsi="宋体"/>
        </w:rPr>
        <w:t>项规定的时间之前将投标样品送达至本章第</w:t>
      </w:r>
      <w:r>
        <w:rPr>
          <w:rFonts w:hAnsi="宋体"/>
        </w:rPr>
        <w:t>15.4</w:t>
      </w:r>
      <w:r>
        <w:rPr>
          <w:rFonts w:hint="eastAsia" w:hAnsi="宋体"/>
        </w:rPr>
        <w:t>项指定地点的，将拒绝接收该投标人的投标样品。</w:t>
      </w:r>
    </w:p>
    <w:p>
      <w:pPr>
        <w:pStyle w:val="19"/>
        <w:spacing w:line="440" w:lineRule="exact"/>
        <w:rPr>
          <w:rFonts w:hAnsi="宋体"/>
          <w:b/>
          <w:bCs/>
          <w:sz w:val="24"/>
        </w:rPr>
      </w:pPr>
      <w:r>
        <w:rPr>
          <w:rFonts w:hAnsi="宋体"/>
          <w:b/>
          <w:bCs/>
          <w:sz w:val="24"/>
        </w:rPr>
        <w:t xml:space="preserve">20.  </w:t>
      </w:r>
      <w:r>
        <w:rPr>
          <w:rFonts w:hint="eastAsia" w:hAnsi="宋体"/>
          <w:b/>
          <w:bCs/>
          <w:sz w:val="24"/>
        </w:rPr>
        <w:t>无效投标</w:t>
      </w:r>
    </w:p>
    <w:p>
      <w:pPr>
        <w:pStyle w:val="19"/>
        <w:spacing w:line="440" w:lineRule="exact"/>
        <w:ind w:firstLine="359" w:firstLineChars="171"/>
        <w:rPr>
          <w:rFonts w:hAnsi="宋体"/>
        </w:rPr>
      </w:pPr>
      <w:r>
        <w:rPr>
          <w:rFonts w:hAnsi="宋体"/>
        </w:rPr>
        <w:t xml:space="preserve">20.1  </w:t>
      </w:r>
      <w:r>
        <w:rPr>
          <w:rFonts w:hint="eastAsia" w:hAnsi="宋体"/>
        </w:rPr>
        <w:t>属下列情形之一的，投标人的投标无效：</w:t>
      </w:r>
    </w:p>
    <w:p>
      <w:pPr>
        <w:pStyle w:val="19"/>
        <w:spacing w:line="440" w:lineRule="exact"/>
        <w:ind w:firstLine="718" w:firstLineChars="342"/>
        <w:rPr>
          <w:rFonts w:hAnsi="宋体"/>
        </w:rPr>
      </w:pPr>
      <w:r>
        <w:rPr>
          <w:rFonts w:hint="eastAsia" w:hAnsi="宋体"/>
        </w:rPr>
        <w:t>实质上没有响应招标文件要求的投标将被视为无效投标。</w:t>
      </w:r>
    </w:p>
    <w:p>
      <w:pPr>
        <w:pStyle w:val="19"/>
        <w:spacing w:line="440" w:lineRule="exact"/>
        <w:ind w:firstLine="424" w:firstLineChars="202"/>
        <w:rPr>
          <w:rFonts w:hAnsi="宋体"/>
        </w:rPr>
      </w:pPr>
      <w:r>
        <w:rPr>
          <w:rFonts w:hAnsi="宋体"/>
        </w:rPr>
        <w:t>20.1.1</w:t>
      </w:r>
      <w:r>
        <w:rPr>
          <w:rFonts w:hint="eastAsia" w:hAnsi="宋体"/>
        </w:rPr>
        <w:t>在资格、符合性审查和商务评审时，如发现下列情形之一的，投标文件将被视为无效：</w:t>
      </w:r>
    </w:p>
    <w:p>
      <w:pPr>
        <w:pStyle w:val="19"/>
        <w:spacing w:line="440" w:lineRule="exact"/>
        <w:ind w:firstLine="718" w:firstLineChars="342"/>
        <w:rPr>
          <w:rFonts w:hAnsi="宋体"/>
        </w:rPr>
      </w:pPr>
      <w:r>
        <w:rPr>
          <w:rFonts w:hint="eastAsia" w:hAnsi="宋体"/>
        </w:rPr>
        <w:t>（</w:t>
      </w:r>
      <w:r>
        <w:rPr>
          <w:rFonts w:hAnsi="宋体"/>
        </w:rPr>
        <w:t>1</w:t>
      </w:r>
      <w:r>
        <w:rPr>
          <w:rFonts w:hint="eastAsia" w:hAnsi="宋体"/>
        </w:rPr>
        <w:t>）超越了按照法律法规规定必须获得行政许可证或者行政审批的经营范围的；</w:t>
      </w:r>
    </w:p>
    <w:p>
      <w:pPr>
        <w:pStyle w:val="19"/>
        <w:spacing w:line="440" w:lineRule="exact"/>
        <w:ind w:firstLine="718" w:firstLineChars="342"/>
        <w:rPr>
          <w:rFonts w:hAnsi="宋体"/>
        </w:rPr>
      </w:pPr>
      <w:r>
        <w:rPr>
          <w:rFonts w:hint="eastAsia" w:hAnsi="宋体"/>
        </w:rPr>
        <w:t>（</w:t>
      </w:r>
      <w:r>
        <w:rPr>
          <w:rFonts w:hAnsi="宋体"/>
        </w:rPr>
        <w:t>2</w:t>
      </w:r>
      <w:r>
        <w:rPr>
          <w:rFonts w:hint="eastAsia" w:hAnsi="宋体"/>
        </w:rPr>
        <w:t>）资格证明文件不全的，或者不具备招标文件中规定的资格要求的；</w:t>
      </w:r>
    </w:p>
    <w:p>
      <w:pPr>
        <w:pStyle w:val="19"/>
        <w:spacing w:line="440" w:lineRule="exact"/>
        <w:ind w:firstLine="718" w:firstLineChars="342"/>
        <w:rPr>
          <w:rFonts w:hAnsi="宋体"/>
        </w:rPr>
      </w:pPr>
      <w:r>
        <w:rPr>
          <w:rFonts w:hint="eastAsia" w:hAnsi="宋体"/>
        </w:rPr>
        <w:t>（</w:t>
      </w:r>
      <w:r>
        <w:rPr>
          <w:rFonts w:hAnsi="宋体"/>
        </w:rPr>
        <w:t>3</w:t>
      </w:r>
      <w:r>
        <w:rPr>
          <w:rFonts w:hint="eastAsia" w:hAnsi="宋体"/>
        </w:rPr>
        <w:t>）投标文件无法定代表人或其授权委托代理人签字</w:t>
      </w:r>
      <w:r>
        <w:rPr>
          <w:rFonts w:hAnsi="宋体"/>
        </w:rPr>
        <w:t>,</w:t>
      </w:r>
      <w:r>
        <w:rPr>
          <w:rFonts w:hint="eastAsia" w:hAnsi="宋体"/>
        </w:rPr>
        <w:t>或未提供法定代表人身份证明、法定代表人授权委托书；</w:t>
      </w:r>
    </w:p>
    <w:p>
      <w:pPr>
        <w:pStyle w:val="19"/>
        <w:spacing w:line="440" w:lineRule="exact"/>
        <w:ind w:firstLine="718" w:firstLineChars="342"/>
        <w:rPr>
          <w:rFonts w:hAnsi="宋体"/>
        </w:rPr>
      </w:pPr>
      <w:r>
        <w:rPr>
          <w:rFonts w:hint="eastAsia" w:hAnsi="宋体"/>
        </w:rPr>
        <w:t>（</w:t>
      </w:r>
      <w:r>
        <w:rPr>
          <w:rFonts w:hAnsi="宋体"/>
        </w:rPr>
        <w:t>4</w:t>
      </w:r>
      <w:r>
        <w:rPr>
          <w:rFonts w:hint="eastAsia" w:hAnsi="宋体"/>
        </w:rPr>
        <w:t>）投标代表人未能出具有效身份证明或与法定代表人授权委托人身份不符的；</w:t>
      </w:r>
    </w:p>
    <w:p>
      <w:pPr>
        <w:pStyle w:val="19"/>
        <w:spacing w:line="440" w:lineRule="exact"/>
        <w:ind w:firstLine="718" w:firstLineChars="342"/>
        <w:rPr>
          <w:rFonts w:hAnsi="宋体"/>
        </w:rPr>
      </w:pPr>
      <w:r>
        <w:rPr>
          <w:rFonts w:hint="eastAsia" w:hAnsi="宋体"/>
        </w:rPr>
        <w:t>（</w:t>
      </w:r>
      <w:r>
        <w:rPr>
          <w:rFonts w:hAnsi="宋体"/>
        </w:rPr>
        <w:t>5</w:t>
      </w:r>
      <w:r>
        <w:rPr>
          <w:rFonts w:hint="eastAsia" w:hAnsi="宋体"/>
        </w:rPr>
        <w:t>）项目填写不齐全或者内容虚假的；</w:t>
      </w:r>
    </w:p>
    <w:p>
      <w:pPr>
        <w:pStyle w:val="19"/>
        <w:spacing w:line="440" w:lineRule="exact"/>
        <w:ind w:firstLine="718" w:firstLineChars="342"/>
        <w:rPr>
          <w:rFonts w:hAnsi="宋体"/>
        </w:rPr>
      </w:pPr>
      <w:r>
        <w:rPr>
          <w:rFonts w:hint="eastAsia" w:hAnsi="宋体"/>
        </w:rPr>
        <w:t>（</w:t>
      </w:r>
      <w:r>
        <w:rPr>
          <w:rFonts w:hAnsi="宋体"/>
        </w:rPr>
        <w:t>6</w:t>
      </w:r>
      <w:r>
        <w:rPr>
          <w:rFonts w:hint="eastAsia" w:hAnsi="宋体"/>
        </w:rPr>
        <w:t>）投标文件的实质性内容未使用中文表述、意思表述不明确、前后矛盾或者使用计量单位不符合招标文件要求的（经评标委员会认定并允许其当场更正的笔误除外）</w:t>
      </w:r>
    </w:p>
    <w:p>
      <w:pPr>
        <w:pStyle w:val="19"/>
        <w:spacing w:line="440" w:lineRule="exact"/>
        <w:ind w:firstLine="718" w:firstLineChars="342"/>
        <w:rPr>
          <w:rFonts w:hAnsi="宋体"/>
        </w:rPr>
      </w:pPr>
      <w:r>
        <w:rPr>
          <w:rFonts w:hint="eastAsia" w:hAnsi="宋体"/>
        </w:rPr>
        <w:t>（</w:t>
      </w:r>
      <w:r>
        <w:rPr>
          <w:rFonts w:hAnsi="宋体"/>
        </w:rPr>
        <w:t>7</w:t>
      </w:r>
      <w:r>
        <w:rPr>
          <w:rFonts w:hint="eastAsia" w:hAnsi="宋体"/>
        </w:rPr>
        <w:t>）投标有效期、服务期限时间、质保期、服务等商务条款不能满足招标文件要求的；</w:t>
      </w:r>
    </w:p>
    <w:p>
      <w:pPr>
        <w:pStyle w:val="19"/>
        <w:spacing w:line="440" w:lineRule="exact"/>
        <w:ind w:firstLine="718" w:firstLineChars="342"/>
        <w:rPr>
          <w:rFonts w:hAnsi="宋体"/>
        </w:rPr>
      </w:pPr>
      <w:r>
        <w:rPr>
          <w:rFonts w:hint="eastAsia" w:hAnsi="宋体"/>
        </w:rPr>
        <w:t>（</w:t>
      </w:r>
      <w:r>
        <w:rPr>
          <w:rFonts w:hAnsi="宋体"/>
        </w:rPr>
        <w:t>8</w:t>
      </w:r>
      <w:r>
        <w:rPr>
          <w:rFonts w:hint="eastAsia" w:hAnsi="宋体"/>
        </w:rPr>
        <w:t>）未实质性响应招标文件要求或者投标文件含有采购人不能接受的附加条件的；</w:t>
      </w:r>
    </w:p>
    <w:p>
      <w:pPr>
        <w:pStyle w:val="19"/>
        <w:spacing w:line="440" w:lineRule="exact"/>
        <w:ind w:firstLine="718" w:firstLineChars="342"/>
        <w:rPr>
          <w:rFonts w:hAnsi="宋体"/>
        </w:rPr>
      </w:pPr>
      <w:r>
        <w:rPr>
          <w:rFonts w:hint="eastAsia" w:hAnsi="宋体"/>
        </w:rPr>
        <w:t>（</w:t>
      </w:r>
      <w:r>
        <w:rPr>
          <w:rFonts w:hAnsi="宋体"/>
        </w:rPr>
        <w:t>9</w:t>
      </w:r>
      <w:r>
        <w:rPr>
          <w:rFonts w:hint="eastAsia" w:hAnsi="宋体"/>
        </w:rPr>
        <w:t>）未按照招标文件的规定提交投标保证金的；</w:t>
      </w:r>
    </w:p>
    <w:p>
      <w:pPr>
        <w:pStyle w:val="19"/>
        <w:spacing w:line="440" w:lineRule="exact"/>
        <w:ind w:firstLine="718" w:firstLineChars="342"/>
        <w:rPr>
          <w:rFonts w:hAnsi="宋体"/>
        </w:rPr>
      </w:pPr>
      <w:r>
        <w:rPr>
          <w:rFonts w:hint="eastAsia" w:hAnsi="宋体"/>
        </w:rPr>
        <w:t>（</w:t>
      </w:r>
      <w:r>
        <w:rPr>
          <w:rFonts w:hAnsi="宋体"/>
        </w:rPr>
        <w:t>10</w:t>
      </w:r>
      <w:r>
        <w:rPr>
          <w:rFonts w:hint="eastAsia" w:hAnsi="宋体"/>
        </w:rPr>
        <w:t>）投标文件未按招标文件要求签署、盖章的；</w:t>
      </w:r>
    </w:p>
    <w:p>
      <w:pPr>
        <w:pStyle w:val="19"/>
        <w:spacing w:line="440" w:lineRule="exact"/>
        <w:ind w:firstLine="718" w:firstLineChars="342"/>
        <w:rPr>
          <w:rFonts w:hAnsi="宋体"/>
        </w:rPr>
      </w:pPr>
      <w:r>
        <w:rPr>
          <w:rFonts w:hint="eastAsia" w:hAnsi="宋体"/>
        </w:rPr>
        <w:t>（</w:t>
      </w:r>
      <w:r>
        <w:rPr>
          <w:rFonts w:hAnsi="宋体"/>
        </w:rPr>
        <w:t>11</w:t>
      </w:r>
      <w:r>
        <w:rPr>
          <w:rFonts w:hint="eastAsia" w:hAnsi="宋体"/>
        </w:rPr>
        <w:t>）法律、法规和招标文件规定的其他无效情形。</w:t>
      </w:r>
    </w:p>
    <w:p>
      <w:pPr>
        <w:pStyle w:val="19"/>
        <w:spacing w:line="440" w:lineRule="exact"/>
        <w:ind w:firstLine="424" w:firstLineChars="202"/>
        <w:rPr>
          <w:rFonts w:hAnsi="宋体"/>
        </w:rPr>
      </w:pPr>
      <w:r>
        <w:rPr>
          <w:rFonts w:hAnsi="宋体"/>
        </w:rPr>
        <w:t>20.1.2</w:t>
      </w:r>
      <w:r>
        <w:rPr>
          <w:rFonts w:hint="eastAsia" w:hAnsi="宋体"/>
        </w:rPr>
        <w:t>在技术评审时，如发现下列情形之一的，投标文件将被视为无效：</w:t>
      </w:r>
    </w:p>
    <w:p>
      <w:pPr>
        <w:pStyle w:val="19"/>
        <w:spacing w:line="440" w:lineRule="exact"/>
        <w:ind w:firstLine="718" w:firstLineChars="342"/>
        <w:rPr>
          <w:rFonts w:hAnsi="宋体"/>
        </w:rPr>
      </w:pPr>
      <w:r>
        <w:rPr>
          <w:rFonts w:hint="eastAsia" w:hAnsi="宋体"/>
        </w:rPr>
        <w:t>（</w:t>
      </w:r>
      <w:r>
        <w:rPr>
          <w:rFonts w:hAnsi="宋体"/>
        </w:rPr>
        <w:t>1</w:t>
      </w:r>
      <w:r>
        <w:rPr>
          <w:rFonts w:hint="eastAsia" w:hAnsi="宋体"/>
        </w:rPr>
        <w:t>）未提供或未如实提供投标货物的技术参数，或者投标文件标明的响应或偏离与事实不符或虚假投标的；</w:t>
      </w:r>
    </w:p>
    <w:p>
      <w:pPr>
        <w:pStyle w:val="19"/>
        <w:spacing w:line="440" w:lineRule="exact"/>
        <w:ind w:firstLine="718" w:firstLineChars="342"/>
        <w:rPr>
          <w:rFonts w:hAnsi="宋体"/>
        </w:rPr>
      </w:pPr>
      <w:r>
        <w:rPr>
          <w:rFonts w:hint="eastAsia" w:hAnsi="宋体"/>
        </w:rPr>
        <w:t>（</w:t>
      </w:r>
      <w:r>
        <w:rPr>
          <w:rFonts w:hAnsi="宋体"/>
        </w:rPr>
        <w:t>2</w:t>
      </w:r>
      <w:r>
        <w:rPr>
          <w:rFonts w:hint="eastAsia" w:hAnsi="宋体"/>
        </w:rPr>
        <w:t>）明显不符合招标文件要求的技术规格、安全、质量标准，或者与招标文件中标“</w:t>
      </w:r>
      <w:r>
        <w:rPr>
          <w:rFonts w:hint="eastAsia" w:hAnsi="宋体"/>
          <w:bCs/>
        </w:rPr>
        <w:t>★</w:t>
      </w:r>
      <w:r>
        <w:rPr>
          <w:rFonts w:hint="eastAsia" w:hAnsi="宋体"/>
        </w:rPr>
        <w:t>”的技术指标、主要功能项目发生实质性负偏离的；</w:t>
      </w:r>
    </w:p>
    <w:p>
      <w:pPr>
        <w:pStyle w:val="19"/>
        <w:spacing w:line="440" w:lineRule="exact"/>
        <w:ind w:firstLine="718" w:firstLineChars="342"/>
        <w:rPr>
          <w:rFonts w:hAnsi="宋体"/>
        </w:rPr>
      </w:pPr>
      <w:r>
        <w:rPr>
          <w:rFonts w:hint="eastAsia" w:hAnsi="宋体"/>
        </w:rPr>
        <w:t>（</w:t>
      </w:r>
      <w:r>
        <w:rPr>
          <w:rFonts w:hAnsi="宋体"/>
        </w:rPr>
        <w:t>3</w:t>
      </w:r>
      <w:r>
        <w:rPr>
          <w:rFonts w:hint="eastAsia" w:hAnsi="宋体"/>
        </w:rPr>
        <w:t>）允许偏离的技术、性能指标或者辅助功能项目发生负偏离超出允许负偏离的数量的。</w:t>
      </w:r>
    </w:p>
    <w:p>
      <w:pPr>
        <w:pStyle w:val="19"/>
        <w:spacing w:line="440" w:lineRule="exact"/>
        <w:ind w:firstLine="718" w:firstLineChars="342"/>
        <w:rPr>
          <w:rFonts w:hAnsi="宋体"/>
        </w:rPr>
      </w:pPr>
      <w:r>
        <w:rPr>
          <w:rFonts w:hint="eastAsia" w:hAnsi="宋体"/>
        </w:rPr>
        <w:t>（</w:t>
      </w:r>
      <w:r>
        <w:rPr>
          <w:rFonts w:hAnsi="宋体"/>
        </w:rPr>
        <w:t>4</w:t>
      </w:r>
      <w:r>
        <w:rPr>
          <w:rFonts w:hint="eastAsia" w:hAnsi="宋体"/>
        </w:rPr>
        <w:t>）投标技术方案不明确，存在一个或一个以上备选（替代）投标方案的；</w:t>
      </w:r>
    </w:p>
    <w:p>
      <w:pPr>
        <w:pStyle w:val="19"/>
        <w:spacing w:line="440" w:lineRule="exact"/>
        <w:ind w:firstLine="718" w:firstLineChars="342"/>
        <w:rPr>
          <w:rFonts w:hAnsi="宋体"/>
        </w:rPr>
      </w:pPr>
      <w:r>
        <w:rPr>
          <w:rFonts w:hint="eastAsia" w:hAnsi="宋体"/>
        </w:rPr>
        <w:t>（</w:t>
      </w:r>
      <w:r>
        <w:rPr>
          <w:rFonts w:hAnsi="宋体"/>
        </w:rPr>
        <w:t>5</w:t>
      </w:r>
      <w:r>
        <w:rPr>
          <w:rFonts w:hint="eastAsia" w:hAnsi="宋体"/>
        </w:rPr>
        <w:t>）与其他参加本次投标供应商的投标文件（技术文件）的文字表述内容差错相同二处以上的；</w:t>
      </w:r>
    </w:p>
    <w:p>
      <w:pPr>
        <w:pStyle w:val="19"/>
        <w:spacing w:line="440" w:lineRule="exact"/>
        <w:ind w:firstLine="424" w:firstLineChars="202"/>
        <w:rPr>
          <w:rFonts w:hAnsi="宋体"/>
        </w:rPr>
      </w:pPr>
      <w:r>
        <w:rPr>
          <w:rFonts w:hAnsi="宋体"/>
        </w:rPr>
        <w:t>20.1.3</w:t>
      </w:r>
      <w:r>
        <w:rPr>
          <w:rFonts w:hint="eastAsia" w:hAnsi="宋体"/>
        </w:rPr>
        <w:t>在报价评审时，如发现下列情形之一的，投标文件将被视为无效：</w:t>
      </w:r>
    </w:p>
    <w:p>
      <w:pPr>
        <w:pStyle w:val="19"/>
        <w:spacing w:line="440" w:lineRule="exact"/>
        <w:ind w:firstLine="718" w:firstLineChars="342"/>
        <w:rPr>
          <w:rFonts w:hAnsi="宋体"/>
        </w:rPr>
      </w:pPr>
      <w:r>
        <w:rPr>
          <w:rFonts w:hint="eastAsia" w:hAnsi="宋体"/>
        </w:rPr>
        <w:t>（</w:t>
      </w:r>
      <w:r>
        <w:rPr>
          <w:rFonts w:hAnsi="宋体"/>
        </w:rPr>
        <w:t>1</w:t>
      </w:r>
      <w:r>
        <w:rPr>
          <w:rFonts w:hint="eastAsia" w:hAnsi="宋体"/>
        </w:rPr>
        <w:t>）未采用人民币报价或者未按照招标文件标明的币种报价的；</w:t>
      </w:r>
    </w:p>
    <w:p>
      <w:pPr>
        <w:pStyle w:val="19"/>
        <w:spacing w:line="440" w:lineRule="exact"/>
        <w:ind w:firstLine="718" w:firstLineChars="342"/>
        <w:rPr>
          <w:rFonts w:hAnsi="宋体"/>
        </w:rPr>
      </w:pPr>
      <w:r>
        <w:rPr>
          <w:rFonts w:hint="eastAsia" w:hAnsi="宋体"/>
        </w:rPr>
        <w:t>（</w:t>
      </w:r>
      <w:r>
        <w:rPr>
          <w:rFonts w:hAnsi="宋体"/>
        </w:rPr>
        <w:t>2</w:t>
      </w:r>
      <w:r>
        <w:rPr>
          <w:rFonts w:hint="eastAsia" w:hAnsi="宋体"/>
        </w:rPr>
        <w:t>）报价超出招标文件规定最高限价，或者超出采购预算金额的；</w:t>
      </w:r>
    </w:p>
    <w:p>
      <w:pPr>
        <w:pStyle w:val="19"/>
        <w:spacing w:line="440" w:lineRule="exact"/>
        <w:ind w:firstLine="718" w:firstLineChars="342"/>
        <w:rPr>
          <w:rFonts w:hAnsi="宋体"/>
        </w:rPr>
      </w:pPr>
      <w:r>
        <w:rPr>
          <w:rFonts w:hint="eastAsia" w:hAnsi="宋体"/>
        </w:rPr>
        <w:t>（</w:t>
      </w:r>
      <w:r>
        <w:rPr>
          <w:rFonts w:hAnsi="宋体"/>
        </w:rPr>
        <w:t>3</w:t>
      </w:r>
      <w:r>
        <w:rPr>
          <w:rFonts w:hint="eastAsia" w:hAnsi="宋体"/>
        </w:rPr>
        <w:t>）具有选择性投标报价的；</w:t>
      </w:r>
    </w:p>
    <w:p>
      <w:pPr>
        <w:pStyle w:val="19"/>
        <w:spacing w:line="440" w:lineRule="exact"/>
        <w:ind w:firstLine="718" w:firstLineChars="342"/>
        <w:rPr>
          <w:rFonts w:hAnsi="宋体"/>
        </w:rPr>
      </w:pPr>
      <w:r>
        <w:rPr>
          <w:rFonts w:hint="eastAsia" w:hAnsi="宋体"/>
        </w:rPr>
        <w:t>（</w:t>
      </w:r>
      <w:r>
        <w:rPr>
          <w:rFonts w:hAnsi="宋体"/>
        </w:rPr>
        <w:t>4</w:t>
      </w:r>
      <w:r>
        <w:rPr>
          <w:rFonts w:hint="eastAsia" w:hAnsi="宋体"/>
        </w:rPr>
        <w:t>）投标人未就所投分标的全部内容作完整唯一报价的，或有漏项报价的或有选择的或有条件的报价的。</w:t>
      </w:r>
    </w:p>
    <w:p>
      <w:pPr>
        <w:pStyle w:val="19"/>
        <w:spacing w:line="440" w:lineRule="exact"/>
        <w:rPr>
          <w:rFonts w:hAnsi="宋体"/>
        </w:rPr>
      </w:pPr>
      <w:r>
        <w:rPr>
          <w:rFonts w:hAnsi="宋体"/>
        </w:rPr>
        <w:t xml:space="preserve">   20.2  </w:t>
      </w:r>
      <w:r>
        <w:rPr>
          <w:rFonts w:hint="eastAsia" w:hAnsi="宋体"/>
        </w:rPr>
        <w:t>有下列情形之一的视为投标人相互串通投标，投标文件将被视为无效：</w:t>
      </w:r>
    </w:p>
    <w:p>
      <w:pPr>
        <w:pStyle w:val="19"/>
        <w:spacing w:line="440" w:lineRule="exact"/>
        <w:ind w:firstLine="735" w:firstLineChars="350"/>
        <w:rPr>
          <w:rFonts w:hAnsi="宋体"/>
        </w:rPr>
      </w:pPr>
      <w:r>
        <w:rPr>
          <w:rFonts w:hint="eastAsia" w:hAnsi="宋体"/>
        </w:rPr>
        <w:t>（</w:t>
      </w:r>
      <w:r>
        <w:rPr>
          <w:rFonts w:hAnsi="宋体"/>
        </w:rPr>
        <w:t>1</w:t>
      </w:r>
      <w:r>
        <w:rPr>
          <w:rFonts w:hint="eastAsia" w:hAnsi="宋体"/>
        </w:rPr>
        <w:t>）不同投标人的投标文件由同一单位或者个人编制；或不同投标人报名的</w:t>
      </w:r>
      <w:r>
        <w:rPr>
          <w:rFonts w:hAnsi="宋体"/>
        </w:rPr>
        <w:t>IP</w:t>
      </w:r>
      <w:r>
        <w:rPr>
          <w:rFonts w:hint="eastAsia" w:hAnsi="宋体"/>
        </w:rPr>
        <w:t>地址一致的；</w:t>
      </w:r>
    </w:p>
    <w:p>
      <w:pPr>
        <w:pStyle w:val="19"/>
        <w:spacing w:line="440" w:lineRule="exact"/>
        <w:ind w:firstLine="735" w:firstLineChars="350"/>
        <w:rPr>
          <w:rFonts w:hAnsi="宋体"/>
        </w:rPr>
      </w:pPr>
      <w:r>
        <w:rPr>
          <w:rFonts w:hint="eastAsia" w:hAnsi="宋体"/>
        </w:rPr>
        <w:t>（</w:t>
      </w:r>
      <w:r>
        <w:rPr>
          <w:rFonts w:hAnsi="宋体"/>
        </w:rPr>
        <w:t>2</w:t>
      </w:r>
      <w:r>
        <w:rPr>
          <w:rFonts w:hint="eastAsia" w:hAnsi="宋体"/>
        </w:rPr>
        <w:t>）不同投标人委托同一单位或者个人办理投标事宜；</w:t>
      </w:r>
    </w:p>
    <w:p>
      <w:pPr>
        <w:pStyle w:val="19"/>
        <w:spacing w:line="440" w:lineRule="exact"/>
        <w:ind w:firstLine="735" w:firstLineChars="350"/>
        <w:rPr>
          <w:rFonts w:hAnsi="宋体"/>
        </w:rPr>
      </w:pPr>
      <w:r>
        <w:rPr>
          <w:rFonts w:hint="eastAsia" w:hAnsi="宋体"/>
        </w:rPr>
        <w:t>（</w:t>
      </w:r>
      <w:r>
        <w:rPr>
          <w:rFonts w:hAnsi="宋体"/>
        </w:rPr>
        <w:t>3</w:t>
      </w:r>
      <w:r>
        <w:rPr>
          <w:rFonts w:hint="eastAsia" w:hAnsi="宋体"/>
        </w:rPr>
        <w:t>）不同的投标人的投标文件载明的项目管理员为同一个人；</w:t>
      </w:r>
    </w:p>
    <w:p>
      <w:pPr>
        <w:pStyle w:val="19"/>
        <w:spacing w:line="440" w:lineRule="exact"/>
        <w:ind w:firstLine="735" w:firstLineChars="350"/>
        <w:rPr>
          <w:rFonts w:hAnsi="宋体"/>
        </w:rPr>
      </w:pPr>
      <w:r>
        <w:rPr>
          <w:rFonts w:hint="eastAsia" w:hAnsi="宋体"/>
        </w:rPr>
        <w:t>（</w:t>
      </w:r>
      <w:r>
        <w:rPr>
          <w:rFonts w:hAnsi="宋体"/>
        </w:rPr>
        <w:t>4</w:t>
      </w:r>
      <w:r>
        <w:rPr>
          <w:rFonts w:hint="eastAsia" w:hAnsi="宋体"/>
        </w:rPr>
        <w:t>）不同投标人的投标文件异常一致或投标报价呈规律性差异；</w:t>
      </w:r>
    </w:p>
    <w:p>
      <w:pPr>
        <w:pStyle w:val="19"/>
        <w:spacing w:line="440" w:lineRule="exact"/>
        <w:ind w:firstLine="735" w:firstLineChars="350"/>
        <w:rPr>
          <w:rFonts w:hAnsi="宋体"/>
        </w:rPr>
      </w:pPr>
      <w:r>
        <w:rPr>
          <w:rFonts w:hint="eastAsia" w:hAnsi="宋体"/>
        </w:rPr>
        <w:t>（</w:t>
      </w:r>
      <w:r>
        <w:rPr>
          <w:rFonts w:hAnsi="宋体"/>
        </w:rPr>
        <w:t>5</w:t>
      </w:r>
      <w:r>
        <w:rPr>
          <w:rFonts w:hint="eastAsia" w:hAnsi="宋体"/>
        </w:rPr>
        <w:t>）不同投标人的投标文件相互混装；</w:t>
      </w:r>
    </w:p>
    <w:p>
      <w:pPr>
        <w:pStyle w:val="19"/>
        <w:spacing w:line="440" w:lineRule="exact"/>
        <w:ind w:firstLine="735" w:firstLineChars="350"/>
        <w:rPr>
          <w:rFonts w:hAnsi="宋体"/>
        </w:rPr>
      </w:pPr>
      <w:r>
        <w:rPr>
          <w:rFonts w:hint="eastAsia" w:hAnsi="宋体"/>
        </w:rPr>
        <w:t>（</w:t>
      </w:r>
      <w:r>
        <w:rPr>
          <w:rFonts w:hAnsi="宋体"/>
        </w:rPr>
        <w:t>6</w:t>
      </w:r>
      <w:r>
        <w:rPr>
          <w:rFonts w:hint="eastAsia" w:hAnsi="宋体"/>
        </w:rPr>
        <w:t>）不同投标人的投标保证金从同一单位或者个人账户转出。</w:t>
      </w:r>
    </w:p>
    <w:p>
      <w:pPr>
        <w:pStyle w:val="19"/>
        <w:spacing w:line="440" w:lineRule="exact"/>
        <w:rPr>
          <w:rFonts w:hAnsi="宋体"/>
          <w:b/>
          <w:bCs/>
          <w:sz w:val="24"/>
        </w:rPr>
      </w:pPr>
      <w:r>
        <w:rPr>
          <w:rFonts w:hAnsi="宋体"/>
          <w:b/>
          <w:bCs/>
          <w:sz w:val="24"/>
        </w:rPr>
        <w:t xml:space="preserve">21.  </w:t>
      </w:r>
      <w:r>
        <w:rPr>
          <w:rFonts w:hint="eastAsia" w:hAnsi="宋体"/>
          <w:b/>
          <w:bCs/>
          <w:sz w:val="24"/>
        </w:rPr>
        <w:t>废标</w:t>
      </w:r>
    </w:p>
    <w:p>
      <w:pPr>
        <w:pStyle w:val="19"/>
        <w:spacing w:line="440" w:lineRule="exact"/>
        <w:ind w:firstLine="359" w:firstLineChars="171"/>
        <w:rPr>
          <w:rFonts w:hAnsi="宋体"/>
        </w:rPr>
      </w:pPr>
      <w:r>
        <w:rPr>
          <w:rFonts w:hAnsi="宋体"/>
        </w:rPr>
        <w:t xml:space="preserve">21.1  </w:t>
      </w:r>
      <w:r>
        <w:rPr>
          <w:rFonts w:hint="eastAsia" w:hAnsi="宋体"/>
        </w:rPr>
        <w:t>在招标过程中，出现下列情形之一的，予以废标：</w:t>
      </w:r>
    </w:p>
    <w:p>
      <w:pPr>
        <w:pStyle w:val="19"/>
        <w:spacing w:line="440" w:lineRule="exact"/>
        <w:ind w:firstLine="720"/>
        <w:rPr>
          <w:rFonts w:hAnsi="宋体"/>
        </w:rPr>
      </w:pPr>
      <w:r>
        <w:rPr>
          <w:rFonts w:hint="eastAsia" w:hAnsi="宋体"/>
        </w:rPr>
        <w:t>（</w:t>
      </w:r>
      <w:r>
        <w:rPr>
          <w:rFonts w:hAnsi="宋体"/>
        </w:rPr>
        <w:t>1</w:t>
      </w:r>
      <w:r>
        <w:rPr>
          <w:rFonts w:hint="eastAsia" w:hAnsi="宋体"/>
        </w:rPr>
        <w:t>）符合专业条件的供应商或者对招标文件作实质响应的供应商不足三家的；</w:t>
      </w:r>
    </w:p>
    <w:p>
      <w:pPr>
        <w:pStyle w:val="19"/>
        <w:spacing w:line="440" w:lineRule="exact"/>
        <w:ind w:firstLine="720"/>
        <w:rPr>
          <w:rFonts w:hAnsi="宋体"/>
        </w:rPr>
      </w:pPr>
      <w:r>
        <w:rPr>
          <w:rFonts w:hint="eastAsia" w:hAnsi="宋体"/>
          <w:b/>
        </w:rPr>
        <w:t>供应商家数计算规则：</w:t>
      </w:r>
      <w:r>
        <w:rPr>
          <w:rFonts w:hint="eastAsia" w:hAnsi="宋体"/>
        </w:rPr>
        <w:t>多家投标供应商参加投标，如其中两家或两家以上投标供应商的法定代表人为同一人或相互之间存在投资关系且达到控股的，应当按一个供应商认定。评审时，取其中通过资格审查后的报价最低一家为有效供应商；当报价相同时，则以技术标最优一家为有效供应商；均相同时，由评标委员会集体决定。</w:t>
      </w:r>
    </w:p>
    <w:p>
      <w:pPr>
        <w:pStyle w:val="19"/>
        <w:spacing w:line="440" w:lineRule="exact"/>
        <w:ind w:firstLine="720"/>
        <w:rPr>
          <w:rFonts w:hAnsi="宋体"/>
          <w:bCs/>
          <w:sz w:val="24"/>
        </w:rPr>
      </w:pPr>
      <w:r>
        <w:rPr>
          <w:rFonts w:hint="eastAsia" w:hAnsi="宋体"/>
        </w:rPr>
        <w:t>（</w:t>
      </w:r>
      <w:r>
        <w:rPr>
          <w:rFonts w:hAnsi="宋体"/>
        </w:rPr>
        <w:t>2</w:t>
      </w:r>
      <w:r>
        <w:rPr>
          <w:rFonts w:hint="eastAsia" w:hAnsi="宋体"/>
        </w:rPr>
        <w:t>）出现影响采购公正的违法、违规行为的；</w:t>
      </w:r>
    </w:p>
    <w:p>
      <w:pPr>
        <w:pStyle w:val="19"/>
        <w:spacing w:line="440" w:lineRule="exact"/>
        <w:ind w:firstLine="720"/>
        <w:rPr>
          <w:rFonts w:hAnsi="宋体"/>
        </w:rPr>
      </w:pPr>
      <w:r>
        <w:rPr>
          <w:rFonts w:hint="eastAsia" w:hAnsi="宋体"/>
        </w:rPr>
        <w:t>（</w:t>
      </w:r>
      <w:r>
        <w:rPr>
          <w:rFonts w:hAnsi="宋体"/>
        </w:rPr>
        <w:t>3</w:t>
      </w:r>
      <w:r>
        <w:rPr>
          <w:rFonts w:hint="eastAsia" w:hAnsi="宋体"/>
        </w:rPr>
        <w:t>）投标人的报价均超过了采购预算，采购人不能支付的；</w:t>
      </w:r>
    </w:p>
    <w:p>
      <w:pPr>
        <w:pStyle w:val="19"/>
        <w:spacing w:line="440" w:lineRule="exact"/>
        <w:ind w:firstLine="720"/>
        <w:rPr>
          <w:rFonts w:hAnsi="宋体"/>
        </w:rPr>
      </w:pPr>
      <w:r>
        <w:rPr>
          <w:rFonts w:hint="eastAsia" w:hAnsi="宋体"/>
        </w:rPr>
        <w:t>（</w:t>
      </w:r>
      <w:r>
        <w:rPr>
          <w:rFonts w:hAnsi="宋体"/>
        </w:rPr>
        <w:t>4</w:t>
      </w:r>
      <w:r>
        <w:rPr>
          <w:rFonts w:hint="eastAsia" w:hAnsi="宋体"/>
        </w:rPr>
        <w:t>）因重大变故，采购任务取消的。</w:t>
      </w:r>
    </w:p>
    <w:p>
      <w:pPr>
        <w:pStyle w:val="19"/>
        <w:spacing w:line="440" w:lineRule="exact"/>
        <w:ind w:firstLine="411" w:firstLineChars="196"/>
        <w:rPr>
          <w:rFonts w:hAnsi="宋体"/>
        </w:rPr>
      </w:pPr>
      <w:r>
        <w:rPr>
          <w:rFonts w:hAnsi="宋体"/>
        </w:rPr>
        <w:t xml:space="preserve">21.2  </w:t>
      </w:r>
      <w:r>
        <w:rPr>
          <w:rFonts w:hint="eastAsia" w:hAnsi="宋体"/>
        </w:rPr>
        <w:t>废标后，采购代理机构将在本章第</w:t>
      </w:r>
      <w:r>
        <w:rPr>
          <w:rFonts w:hAnsi="宋体"/>
        </w:rPr>
        <w:t>2.1</w:t>
      </w:r>
      <w:r>
        <w:rPr>
          <w:rFonts w:hint="eastAsia" w:hAnsi="宋体"/>
        </w:rPr>
        <w:t>项规定的政府采购信息发布媒体上公告废标理由，不再另行通知。</w:t>
      </w:r>
    </w:p>
    <w:p>
      <w:pPr>
        <w:pStyle w:val="4"/>
        <w:rPr>
          <w:rFonts w:ascii="宋体" w:hAnsi="宋体"/>
        </w:rPr>
      </w:pPr>
      <w:bookmarkStart w:id="59" w:name="_Toc213326421"/>
      <w:bookmarkStart w:id="60" w:name="_Toc57749785"/>
      <w:bookmarkStart w:id="61" w:name="_Toc401396880"/>
      <w:r>
        <w:rPr>
          <w:rFonts w:hint="eastAsia" w:ascii="宋体" w:hAnsi="宋体"/>
        </w:rPr>
        <w:t>六合同授予</w:t>
      </w:r>
      <w:bookmarkEnd w:id="59"/>
      <w:bookmarkEnd w:id="60"/>
      <w:bookmarkEnd w:id="61"/>
    </w:p>
    <w:p>
      <w:pPr>
        <w:pStyle w:val="19"/>
        <w:spacing w:line="440" w:lineRule="exact"/>
        <w:rPr>
          <w:rFonts w:hAnsi="宋体"/>
          <w:bCs/>
          <w:sz w:val="24"/>
        </w:rPr>
      </w:pPr>
      <w:r>
        <w:rPr>
          <w:rFonts w:hAnsi="宋体"/>
          <w:bCs/>
          <w:sz w:val="24"/>
        </w:rPr>
        <w:t xml:space="preserve">22.  </w:t>
      </w:r>
      <w:r>
        <w:rPr>
          <w:rFonts w:hint="eastAsia" w:hAnsi="宋体"/>
          <w:bCs/>
          <w:sz w:val="24"/>
        </w:rPr>
        <w:t>中标供应商的确定</w:t>
      </w:r>
    </w:p>
    <w:p>
      <w:pPr>
        <w:spacing w:line="440" w:lineRule="exact"/>
        <w:ind w:firstLine="420"/>
        <w:rPr>
          <w:rFonts w:ascii="宋体" w:hAnsi="宋体"/>
          <w:szCs w:val="20"/>
        </w:rPr>
      </w:pPr>
      <w:r>
        <w:rPr>
          <w:rFonts w:ascii="宋体" w:hAnsi="宋体"/>
          <w:szCs w:val="20"/>
        </w:rPr>
        <w:t xml:space="preserve">22.1  </w:t>
      </w:r>
      <w:r>
        <w:rPr>
          <w:rFonts w:hint="eastAsia" w:ascii="宋体" w:hAnsi="宋体"/>
          <w:szCs w:val="20"/>
        </w:rPr>
        <w:t>评标委员会按第三章“评标方法”的规定</w:t>
      </w:r>
      <w:r>
        <w:rPr>
          <w:rFonts w:hint="eastAsia" w:ascii="宋体" w:hAnsi="宋体"/>
        </w:rPr>
        <w:t>排列中标候选供应商顺序，并依照次序确定中标供应商。</w:t>
      </w:r>
    </w:p>
    <w:p>
      <w:pPr>
        <w:pStyle w:val="19"/>
        <w:spacing w:line="440" w:lineRule="exact"/>
        <w:rPr>
          <w:rFonts w:hAnsi="宋体"/>
          <w:bCs/>
          <w:sz w:val="24"/>
        </w:rPr>
      </w:pPr>
      <w:r>
        <w:rPr>
          <w:rFonts w:hAnsi="宋体"/>
          <w:bCs/>
          <w:sz w:val="24"/>
        </w:rPr>
        <w:t xml:space="preserve">23.  </w:t>
      </w:r>
      <w:r>
        <w:rPr>
          <w:rFonts w:hint="eastAsia" w:hAnsi="宋体"/>
          <w:bCs/>
          <w:sz w:val="24"/>
        </w:rPr>
        <w:t>中标通知书</w:t>
      </w:r>
    </w:p>
    <w:p>
      <w:pPr>
        <w:pStyle w:val="19"/>
        <w:spacing w:line="440" w:lineRule="exact"/>
        <w:ind w:firstLine="360"/>
        <w:rPr>
          <w:rFonts w:hAnsi="宋体" w:cs="宋体"/>
          <w:kern w:val="0"/>
          <w:szCs w:val="21"/>
        </w:rPr>
      </w:pPr>
      <w:r>
        <w:rPr>
          <w:rFonts w:hAnsi="宋体"/>
        </w:rPr>
        <w:t xml:space="preserve">23.1  </w:t>
      </w:r>
      <w:r>
        <w:rPr>
          <w:rFonts w:hint="eastAsia" w:hAnsi="宋体" w:cs="宋体"/>
          <w:kern w:val="0"/>
          <w:szCs w:val="21"/>
        </w:rPr>
        <w:t>评标结束后，评标结果由采购代理机构在本章第</w:t>
      </w:r>
      <w:r>
        <w:rPr>
          <w:rFonts w:hAnsi="宋体" w:cs="宋体"/>
          <w:kern w:val="0"/>
          <w:szCs w:val="21"/>
        </w:rPr>
        <w:t>2.1</w:t>
      </w:r>
      <w:r>
        <w:rPr>
          <w:rFonts w:hint="eastAsia" w:hAnsi="宋体" w:cs="宋体"/>
          <w:kern w:val="0"/>
          <w:szCs w:val="21"/>
        </w:rPr>
        <w:t>项规定的政府采购信息发布媒体上公示，公示期为一个工作日，公告期满无异议的，由采购代理机构向中标供应商发出政府采购合同。</w:t>
      </w:r>
    </w:p>
    <w:p>
      <w:pPr>
        <w:pStyle w:val="19"/>
        <w:spacing w:line="440" w:lineRule="exact"/>
        <w:ind w:firstLine="360"/>
        <w:rPr>
          <w:rFonts w:hAnsi="宋体" w:cs="宋体"/>
          <w:kern w:val="0"/>
          <w:szCs w:val="21"/>
        </w:rPr>
      </w:pPr>
      <w:r>
        <w:rPr>
          <w:rFonts w:hAnsi="宋体" w:cs="宋体"/>
          <w:kern w:val="0"/>
          <w:szCs w:val="21"/>
        </w:rPr>
        <w:t xml:space="preserve">23.1.1  </w:t>
      </w:r>
      <w:r>
        <w:rPr>
          <w:rFonts w:hint="eastAsia" w:hAnsi="宋体" w:cs="宋体"/>
          <w:kern w:val="0"/>
          <w:szCs w:val="21"/>
        </w:rPr>
        <w:t>在发布中标公告的同时，采购代理机构向中标供应商发出中标通知书。采购人或采购代理发出中标通知书前，应当对中标人信用进行查询，对列入失信被执行人、重大税收违法案件当事人名单、政府采购严重违法失信行为记录名单及其他不符合《中华人民共和国政府采购法》第二十二条规定条件的供应商，取消其中标资格，并确定排名第二的中标候选人为中标人。</w:t>
      </w:r>
    </w:p>
    <w:p>
      <w:pPr>
        <w:pStyle w:val="19"/>
        <w:spacing w:line="440" w:lineRule="exact"/>
        <w:ind w:firstLine="360"/>
        <w:rPr>
          <w:rFonts w:hAnsi="宋体" w:cs="宋体"/>
          <w:kern w:val="0"/>
          <w:szCs w:val="21"/>
        </w:rPr>
      </w:pPr>
      <w:r>
        <w:rPr>
          <w:rFonts w:hint="eastAsia" w:hAnsi="宋体" w:cs="宋体"/>
          <w:kern w:val="0"/>
          <w:szCs w:val="21"/>
        </w:rPr>
        <w:t>排名第二的中标候选人因前款规定的同样原因被取消中标资格的，采购人可以确定排名第三的中标候选人为中标人。</w:t>
      </w:r>
    </w:p>
    <w:p>
      <w:pPr>
        <w:pStyle w:val="19"/>
        <w:spacing w:line="440" w:lineRule="exact"/>
        <w:ind w:firstLine="360"/>
        <w:rPr>
          <w:rFonts w:hAnsi="宋体" w:cs="宋体"/>
          <w:kern w:val="0"/>
          <w:szCs w:val="21"/>
        </w:rPr>
      </w:pPr>
      <w:r>
        <w:rPr>
          <w:rFonts w:hint="eastAsia" w:hAnsi="宋体" w:cs="宋体"/>
          <w:kern w:val="0"/>
          <w:szCs w:val="21"/>
        </w:rPr>
        <w:t>以上信息查询记录及相关证据与采购文件一并保存。</w:t>
      </w:r>
    </w:p>
    <w:p>
      <w:pPr>
        <w:pStyle w:val="19"/>
        <w:spacing w:line="440" w:lineRule="exact"/>
        <w:ind w:firstLine="360"/>
        <w:rPr>
          <w:rFonts w:hAnsi="宋体" w:cs="宋体"/>
          <w:kern w:val="0"/>
          <w:szCs w:val="21"/>
        </w:rPr>
      </w:pPr>
      <w:r>
        <w:rPr>
          <w:rFonts w:hAnsi="宋体" w:cs="宋体"/>
          <w:kern w:val="0"/>
          <w:szCs w:val="21"/>
        </w:rPr>
        <w:t xml:space="preserve">23.2  </w:t>
      </w:r>
      <w:r>
        <w:rPr>
          <w:rFonts w:hint="eastAsia" w:hAnsi="宋体" w:cs="宋体"/>
          <w:kern w:val="0"/>
          <w:szCs w:val="21"/>
        </w:rPr>
        <w:t>中标通知书对采购人和中标供应商具有同等法律效力。中标通知书发出后，采购人改变中标结果，或者中标供应商放弃中标，应当承担相应的法律责任。</w:t>
      </w:r>
    </w:p>
    <w:p>
      <w:pPr>
        <w:pStyle w:val="19"/>
        <w:spacing w:line="440" w:lineRule="exact"/>
        <w:rPr>
          <w:rFonts w:hAnsi="宋体"/>
          <w:bCs/>
          <w:sz w:val="24"/>
        </w:rPr>
      </w:pPr>
      <w:r>
        <w:rPr>
          <w:rFonts w:hAnsi="宋体"/>
          <w:bCs/>
          <w:sz w:val="24"/>
        </w:rPr>
        <w:t xml:space="preserve">24.  </w:t>
      </w:r>
      <w:r>
        <w:rPr>
          <w:rFonts w:hint="eastAsia" w:hAnsi="宋体"/>
          <w:bCs/>
          <w:sz w:val="24"/>
        </w:rPr>
        <w:t>投标文件及投标样品的退回</w:t>
      </w:r>
    </w:p>
    <w:p>
      <w:pPr>
        <w:pStyle w:val="19"/>
        <w:spacing w:line="440" w:lineRule="exact"/>
        <w:ind w:firstLine="360"/>
        <w:rPr>
          <w:rFonts w:hAnsi="宋体"/>
        </w:rPr>
      </w:pPr>
      <w:r>
        <w:rPr>
          <w:rFonts w:hAnsi="宋体"/>
        </w:rPr>
        <w:t xml:space="preserve">24.1  </w:t>
      </w:r>
      <w:r>
        <w:rPr>
          <w:rFonts w:hint="eastAsia" w:hAnsi="宋体"/>
        </w:rPr>
        <w:t>采购人及采购代理机构无义务向未中标供应商解释其未中标原因和退回投标文件。</w:t>
      </w:r>
    </w:p>
    <w:p>
      <w:pPr>
        <w:pStyle w:val="19"/>
        <w:spacing w:line="440" w:lineRule="exact"/>
        <w:ind w:firstLine="360"/>
        <w:rPr>
          <w:rFonts w:hAnsi="宋体"/>
        </w:rPr>
      </w:pPr>
      <w:r>
        <w:rPr>
          <w:rFonts w:hAnsi="宋体"/>
        </w:rPr>
        <w:t xml:space="preserve">24.2  </w:t>
      </w:r>
      <w:r>
        <w:rPr>
          <w:rFonts w:hint="eastAsia" w:hAnsi="宋体"/>
        </w:rPr>
        <w:t>中标供应商的投标样品由采购人保管，做为验收的依据，验收后由采购人退回。未中标供应商的投标样品由供应商在中标结果公布后两个工作日内领回，否则按无主物品处理。</w:t>
      </w:r>
    </w:p>
    <w:p>
      <w:pPr>
        <w:pStyle w:val="19"/>
        <w:spacing w:line="440" w:lineRule="exact"/>
        <w:rPr>
          <w:rFonts w:hAnsi="宋体"/>
          <w:bCs/>
          <w:sz w:val="24"/>
        </w:rPr>
      </w:pPr>
      <w:r>
        <w:rPr>
          <w:rFonts w:hAnsi="宋体"/>
          <w:bCs/>
          <w:sz w:val="24"/>
        </w:rPr>
        <w:t xml:space="preserve">25.   </w:t>
      </w:r>
      <w:r>
        <w:rPr>
          <w:rFonts w:hint="eastAsia" w:hAnsi="宋体"/>
          <w:bCs/>
          <w:sz w:val="24"/>
        </w:rPr>
        <w:t>签订合同</w:t>
      </w:r>
    </w:p>
    <w:p>
      <w:pPr>
        <w:pStyle w:val="19"/>
        <w:spacing w:line="440" w:lineRule="exact"/>
        <w:ind w:firstLine="360"/>
        <w:rPr>
          <w:rFonts w:hAnsi="宋体"/>
        </w:rPr>
      </w:pPr>
      <w:r>
        <w:rPr>
          <w:rFonts w:hAnsi="宋体"/>
        </w:rPr>
        <w:t xml:space="preserve">25.1  </w:t>
      </w:r>
      <w:r>
        <w:rPr>
          <w:rFonts w:hint="eastAsia" w:hAnsi="宋体"/>
        </w:rPr>
        <w:t>采购人与中标供应商应当在中标通知书发出之日起二十五日内，按照采购文件确定的事项签订政府采购合同。</w:t>
      </w:r>
    </w:p>
    <w:p>
      <w:pPr>
        <w:pStyle w:val="19"/>
        <w:spacing w:line="440" w:lineRule="exact"/>
        <w:ind w:firstLine="360"/>
        <w:rPr>
          <w:rFonts w:hAnsi="宋体"/>
        </w:rPr>
      </w:pPr>
      <w:r>
        <w:rPr>
          <w:rFonts w:hAnsi="宋体"/>
        </w:rPr>
        <w:t xml:space="preserve">25.2  </w:t>
      </w:r>
      <w:r>
        <w:rPr>
          <w:rFonts w:hint="eastAsia" w:hAnsi="宋体"/>
        </w:rPr>
        <w:t>联合体投标的，联合体各方应当共同与采购人签订采购合同，就采购合同约定的事项对采购人承担连带责任。</w:t>
      </w:r>
    </w:p>
    <w:p>
      <w:pPr>
        <w:pStyle w:val="19"/>
        <w:spacing w:line="440" w:lineRule="exact"/>
        <w:ind w:firstLine="420"/>
        <w:rPr>
          <w:rFonts w:hAnsi="宋体" w:cs="宋体"/>
          <w:kern w:val="0"/>
          <w:szCs w:val="28"/>
        </w:rPr>
      </w:pPr>
      <w:r>
        <w:rPr>
          <w:rFonts w:hAnsi="宋体" w:cs="宋体"/>
          <w:kern w:val="0"/>
          <w:szCs w:val="28"/>
        </w:rPr>
        <w:t>25.3</w:t>
      </w:r>
      <w:r>
        <w:rPr>
          <w:rFonts w:hint="eastAsia" w:hAnsi="宋体" w:cs="宋体"/>
          <w:kern w:val="0"/>
          <w:szCs w:val="28"/>
        </w:rPr>
        <w:t>政府采购合同签订应当采用政府采购合同格式文本，合同应内容完整、盖章齐全；项目合同的各要素和内容应与招标文件、中标供应商的承诺、中标通知书等的内容一致；合同附件齐全；多页合同每页应顺序标出页码并盖骑缝章。</w:t>
      </w:r>
    </w:p>
    <w:p>
      <w:pPr>
        <w:pStyle w:val="19"/>
        <w:spacing w:line="440" w:lineRule="exact"/>
        <w:ind w:firstLine="360"/>
        <w:rPr>
          <w:rFonts w:hAnsi="宋体"/>
        </w:rPr>
      </w:pPr>
      <w:r>
        <w:rPr>
          <w:rFonts w:hAnsi="宋体"/>
        </w:rPr>
        <w:t>25.</w:t>
      </w:r>
      <w:r>
        <w:rPr>
          <w:rFonts w:hint="eastAsia" w:hAnsi="宋体"/>
        </w:rPr>
        <w:t>4</w:t>
      </w:r>
      <w:r>
        <w:rPr>
          <w:rFonts w:hAnsi="宋体"/>
        </w:rPr>
        <w:t xml:space="preserve">  </w:t>
      </w:r>
      <w:r>
        <w:rPr>
          <w:rFonts w:hint="eastAsia" w:hAnsi="宋体"/>
        </w:rPr>
        <w:t>中标通知书发出后，中标供应商有本章第</w:t>
      </w:r>
      <w:r>
        <w:rPr>
          <w:rFonts w:hAnsi="宋体"/>
        </w:rPr>
        <w:t>13.5</w:t>
      </w:r>
      <w:r>
        <w:rPr>
          <w:rFonts w:hint="eastAsia" w:hAnsi="宋体"/>
        </w:rPr>
        <w:t>项第（</w:t>
      </w:r>
      <w:r>
        <w:rPr>
          <w:rFonts w:hAnsi="宋体"/>
        </w:rPr>
        <w:t>3</w:t>
      </w:r>
      <w:r>
        <w:rPr>
          <w:rFonts w:hint="eastAsia" w:hAnsi="宋体"/>
        </w:rPr>
        <w:t>）至（</w:t>
      </w:r>
      <w:r>
        <w:rPr>
          <w:rFonts w:hAnsi="宋体"/>
        </w:rPr>
        <w:t>6</w:t>
      </w:r>
      <w:r>
        <w:rPr>
          <w:rFonts w:hint="eastAsia" w:hAnsi="宋体"/>
        </w:rPr>
        <w:t>）项情形之一的，中标无效，不予退还其交纳的投标保证金，采购人可追究中标供应商</w:t>
      </w:r>
      <w:r>
        <w:rPr>
          <w:rFonts w:hint="eastAsia" w:hAnsi="宋体" w:cs="宋体"/>
          <w:kern w:val="0"/>
          <w:szCs w:val="21"/>
        </w:rPr>
        <w:t>承担相应的法律责任</w:t>
      </w:r>
      <w:r>
        <w:rPr>
          <w:rFonts w:hint="eastAsia" w:hAnsi="宋体"/>
        </w:rPr>
        <w:t>。如采购人无正当理由拒签合同的，应退还中标供应商投标保证金；采购人给中标供应商造成损失的，中标供应商可追究采购人承担相应的法律责任。</w:t>
      </w:r>
    </w:p>
    <w:p>
      <w:pPr>
        <w:pStyle w:val="19"/>
        <w:spacing w:line="440" w:lineRule="exact"/>
        <w:ind w:firstLine="360"/>
        <w:rPr>
          <w:rFonts w:hAnsi="宋体"/>
        </w:rPr>
      </w:pPr>
      <w:r>
        <w:rPr>
          <w:rFonts w:hAnsi="宋体"/>
        </w:rPr>
        <w:t xml:space="preserve">25.6  </w:t>
      </w:r>
      <w:r>
        <w:rPr>
          <w:rFonts w:hint="eastAsia" w:hAnsi="宋体"/>
          <w:szCs w:val="28"/>
        </w:rPr>
        <w:t>采购人在签订合同之前有权要求中标供应商提供本项目招标文件要求的资料原件进行核查，中标供应商不得拒绝。如中标供应商拒绝提供，则自行承担由此产生的后果。</w:t>
      </w:r>
    </w:p>
    <w:p>
      <w:pPr>
        <w:pStyle w:val="19"/>
        <w:spacing w:line="440" w:lineRule="exact"/>
        <w:ind w:firstLine="360"/>
        <w:rPr>
          <w:rFonts w:hAnsi="宋体"/>
        </w:rPr>
      </w:pPr>
      <w:r>
        <w:rPr>
          <w:rFonts w:hAnsi="宋体"/>
        </w:rPr>
        <w:t xml:space="preserve">25.7  </w:t>
      </w:r>
      <w:r>
        <w:rPr>
          <w:rFonts w:hint="eastAsia" w:hAnsi="宋体"/>
        </w:rPr>
        <w:t>中标供应商因不可抗力或者自身原因不能履行政府采购合同的，采购人可以与排位在中标供应商之后第一位的中标候选供应商签订政府采购合同（以此类推），或重新开展政府采购活动。</w:t>
      </w:r>
    </w:p>
    <w:p>
      <w:pPr>
        <w:pStyle w:val="19"/>
        <w:spacing w:line="440" w:lineRule="exact"/>
        <w:ind w:firstLine="360"/>
        <w:rPr>
          <w:rFonts w:hAnsi="宋体"/>
        </w:rPr>
      </w:pPr>
      <w:r>
        <w:rPr>
          <w:rFonts w:hAnsi="宋体"/>
        </w:rPr>
        <w:t>25.8</w:t>
      </w:r>
      <w:r>
        <w:rPr>
          <w:rFonts w:hint="eastAsia" w:hAnsi="宋体"/>
        </w:rPr>
        <w:t>政府采购合同公告</w:t>
      </w:r>
    </w:p>
    <w:p>
      <w:pPr>
        <w:pStyle w:val="19"/>
        <w:spacing w:line="440" w:lineRule="exact"/>
        <w:ind w:firstLine="360"/>
        <w:rPr>
          <w:rFonts w:hAnsi="宋体" w:cs="宋体"/>
          <w:kern w:val="0"/>
          <w:sz w:val="28"/>
          <w:szCs w:val="28"/>
        </w:rPr>
      </w:pPr>
      <w:r>
        <w:rPr>
          <w:rFonts w:hint="eastAsia" w:hAnsi="宋体"/>
        </w:rPr>
        <w:t>根据《中华人民共和国政府采购法实施条例》第五十条规定，采购人应当自政府采购合同签订之日起</w:t>
      </w:r>
      <w:r>
        <w:rPr>
          <w:rFonts w:hAnsi="宋体"/>
        </w:rPr>
        <w:t>2</w:t>
      </w:r>
      <w:r>
        <w:rPr>
          <w:rFonts w:hint="eastAsia" w:hAnsi="宋体"/>
        </w:rPr>
        <w:t>个工作日内，将政府采购合同在省级以上人民政府财政部门指定的媒体上公告，但政府采购合同中涉及国家秘密、商业秘密的内容除外。</w:t>
      </w:r>
    </w:p>
    <w:p>
      <w:pPr>
        <w:pStyle w:val="19"/>
        <w:spacing w:line="440" w:lineRule="exact"/>
        <w:rPr>
          <w:rFonts w:hAnsi="宋体"/>
          <w:bCs/>
          <w:sz w:val="24"/>
        </w:rPr>
      </w:pPr>
      <w:r>
        <w:rPr>
          <w:rFonts w:hAnsi="宋体"/>
          <w:bCs/>
          <w:sz w:val="24"/>
        </w:rPr>
        <w:t xml:space="preserve">26.  </w:t>
      </w:r>
      <w:r>
        <w:rPr>
          <w:rFonts w:hint="eastAsia" w:hAnsi="宋体"/>
          <w:bCs/>
          <w:sz w:val="24"/>
        </w:rPr>
        <w:t>履约保证金</w:t>
      </w:r>
    </w:p>
    <w:p>
      <w:pPr>
        <w:pStyle w:val="19"/>
        <w:spacing w:line="440" w:lineRule="exact"/>
        <w:ind w:firstLine="359" w:firstLineChars="171"/>
        <w:rPr>
          <w:rFonts w:hAnsi="宋体"/>
        </w:rPr>
      </w:pPr>
      <w:r>
        <w:rPr>
          <w:rFonts w:hAnsi="宋体"/>
        </w:rPr>
        <w:t xml:space="preserve">26.1  </w:t>
      </w:r>
      <w:r>
        <w:rPr>
          <w:rFonts w:hint="eastAsia" w:hAnsi="宋体"/>
        </w:rPr>
        <w:t>履约保证金要求：</w:t>
      </w:r>
      <w:r>
        <w:rPr>
          <w:rFonts w:hint="eastAsia" w:hAnsi="宋体"/>
          <w:b/>
        </w:rPr>
        <w:t>见投标人须知前附表</w:t>
      </w:r>
      <w:r>
        <w:rPr>
          <w:rFonts w:hint="eastAsia" w:hAnsi="宋体"/>
        </w:rPr>
        <w:t>。若项目要求履约保证金的，中标人须于签订合同前按本须知前附表规定的金额将履约保证金直接缴入采购人指定账户。否则，不予签订合同。</w:t>
      </w:r>
    </w:p>
    <w:p>
      <w:pPr>
        <w:pStyle w:val="19"/>
        <w:spacing w:line="440" w:lineRule="exact"/>
        <w:ind w:firstLine="359" w:firstLineChars="171"/>
        <w:rPr>
          <w:rFonts w:hAnsi="宋体"/>
        </w:rPr>
      </w:pPr>
      <w:r>
        <w:rPr>
          <w:rFonts w:hAnsi="宋体"/>
        </w:rPr>
        <w:t xml:space="preserve">26.2  </w:t>
      </w:r>
      <w:r>
        <w:rPr>
          <w:rFonts w:hint="eastAsia" w:hAnsi="宋体"/>
        </w:rPr>
        <w:t>签订合同后，如中标人不按双方签订的合同规定履约，则没收其全部履约保证金并上缴财政部门，履约保证金不足以赔偿损失的，按实际损失赔偿。</w:t>
      </w:r>
    </w:p>
    <w:p>
      <w:pPr>
        <w:pStyle w:val="19"/>
        <w:spacing w:line="440" w:lineRule="exact"/>
        <w:ind w:firstLine="359" w:firstLineChars="171"/>
        <w:rPr>
          <w:rFonts w:hAnsi="宋体"/>
        </w:rPr>
      </w:pPr>
      <w:r>
        <w:rPr>
          <w:rFonts w:hAnsi="宋体"/>
        </w:rPr>
        <w:t xml:space="preserve">26.3  </w:t>
      </w:r>
      <w:r>
        <w:rPr>
          <w:rFonts w:hint="eastAsia" w:hAnsi="宋体"/>
        </w:rPr>
        <w:t>履约保证金自中标供应商按合同约定交货验收合格之日起转为质量保证金。在第二章“</w:t>
      </w:r>
      <w:r>
        <w:rPr>
          <w:rFonts w:hAnsi="宋体"/>
        </w:rPr>
        <w:t>采购需求一览表</w:t>
      </w:r>
      <w:r>
        <w:rPr>
          <w:rFonts w:hint="eastAsia" w:hAnsi="宋体"/>
        </w:rPr>
        <w:t>”要求的质量保证期内，中标供应商提供的货物和服务符合合同约定的，质量保证期满，由中标人向采购人提供《政府采购项目履约保证金退付意见书》及《政府采购项目合同验收报告》（详见附件二、三），采购人在收到合格材料后五个工作日内以银行转帐方式如数退还（不计利息）。</w:t>
      </w:r>
    </w:p>
    <w:p>
      <w:pPr>
        <w:pStyle w:val="19"/>
        <w:spacing w:line="440" w:lineRule="exact"/>
        <w:ind w:firstLine="359" w:firstLineChars="171"/>
        <w:rPr>
          <w:rFonts w:hAnsi="宋体"/>
        </w:rPr>
      </w:pPr>
      <w:r>
        <w:rPr>
          <w:rFonts w:hAnsi="宋体"/>
        </w:rPr>
        <w:t xml:space="preserve">26.4  </w:t>
      </w:r>
      <w:r>
        <w:rPr>
          <w:rFonts w:hint="eastAsia" w:hAnsi="宋体"/>
        </w:rPr>
        <w:t>在履约保证金退还日期前，若中标人的开户名称、开户银行、帐号有变动的，请以书面形式通知采购代理机构，否则由此产生的后果由中标人自负。</w:t>
      </w:r>
    </w:p>
    <w:p>
      <w:pPr>
        <w:pStyle w:val="19"/>
        <w:spacing w:line="440" w:lineRule="exact"/>
        <w:ind w:firstLine="359" w:firstLineChars="171"/>
        <w:rPr>
          <w:rFonts w:hAnsi="宋体"/>
        </w:rPr>
      </w:pPr>
      <w:r>
        <w:rPr>
          <w:rFonts w:hAnsi="宋体"/>
        </w:rPr>
        <w:t>27.5.1</w:t>
      </w:r>
      <w:r>
        <w:rPr>
          <w:rFonts w:hint="eastAsia" w:hAnsi="宋体"/>
        </w:rPr>
        <w:t>提供相同品牌产品且通过资格审查、符合性审查的不同投标人参加同一合同项下投标的，按一家投标人计算，评审后得分最高的同品牌投标人获得中标人推荐资格；评审得分相同的，由采购人或者采购人委托评标委员会采取随机抽取方式确定一个投标人获得中标人推荐资格。</w:t>
      </w:r>
    </w:p>
    <w:p>
      <w:pPr>
        <w:pStyle w:val="19"/>
        <w:spacing w:line="440" w:lineRule="exact"/>
        <w:ind w:firstLine="359" w:firstLineChars="171"/>
        <w:rPr>
          <w:rFonts w:hAnsi="宋体"/>
        </w:rPr>
      </w:pPr>
      <w:r>
        <w:rPr>
          <w:rFonts w:hint="eastAsia" w:hAnsi="宋体"/>
        </w:rPr>
        <w:t>非单一产品采购项目，多家投标人提供的核心产品品牌相同的，按前款规定处理。</w:t>
      </w:r>
    </w:p>
    <w:p>
      <w:pPr>
        <w:pStyle w:val="19"/>
        <w:spacing w:line="440" w:lineRule="exact"/>
        <w:ind w:firstLine="359" w:firstLineChars="171"/>
        <w:rPr>
          <w:rFonts w:hAnsi="宋体"/>
        </w:rPr>
      </w:pPr>
      <w:r>
        <w:rPr>
          <w:rFonts w:hAnsi="宋体"/>
        </w:rPr>
        <w:t>27.5.2</w:t>
      </w:r>
      <w:r>
        <w:rPr>
          <w:rFonts w:hint="eastAsia" w:hAnsi="宋体"/>
        </w:rPr>
        <w:t>投标人投标所使用的资格、信誉、荣誉、业绩与企业认证必须为本法人所拥有。投标人投标所使用的采购项目实施人员必须为本法人员工（或必须为本法人或控股公司正式员工）。</w:t>
      </w:r>
    </w:p>
    <w:p>
      <w:pPr>
        <w:pStyle w:val="19"/>
        <w:spacing w:line="440" w:lineRule="exact"/>
        <w:ind w:firstLine="359" w:firstLineChars="171"/>
        <w:rPr>
          <w:rFonts w:hAnsi="宋体"/>
        </w:rPr>
      </w:pPr>
      <w:r>
        <w:rPr>
          <w:rFonts w:hAnsi="宋体"/>
        </w:rPr>
        <w:t>27.5.3</w:t>
      </w:r>
      <w:r>
        <w:rPr>
          <w:rFonts w:hint="eastAsia" w:hAnsi="宋体"/>
        </w:rPr>
        <w:t>投标人应仔细阅读招标文件的所有内容，按照招标文件的要求提交投标文件，并对所提供的全部资料的真实性承担法律责任。</w:t>
      </w:r>
    </w:p>
    <w:p>
      <w:pPr>
        <w:pStyle w:val="19"/>
        <w:spacing w:line="440" w:lineRule="exact"/>
        <w:ind w:firstLine="359" w:firstLineChars="171"/>
        <w:rPr>
          <w:rFonts w:hAnsi="宋体"/>
        </w:rPr>
      </w:pPr>
      <w:r>
        <w:rPr>
          <w:rFonts w:hAnsi="宋体"/>
        </w:rPr>
        <w:t>27.5.4</w:t>
      </w:r>
      <w:r>
        <w:rPr>
          <w:rFonts w:hint="eastAsia" w:hAnsi="宋体"/>
        </w:rPr>
        <w:t>投标人在投标活动中提供任何虚假材料</w:t>
      </w:r>
      <w:r>
        <w:rPr>
          <w:rFonts w:hAnsi="宋体"/>
        </w:rPr>
        <w:t>,</w:t>
      </w:r>
      <w:r>
        <w:rPr>
          <w:rFonts w:hint="eastAsia" w:hAnsi="宋体"/>
        </w:rPr>
        <w:t>其投标无效，并报监管部门查处；中标后发现的</w:t>
      </w:r>
      <w:r>
        <w:rPr>
          <w:rFonts w:hAnsi="宋体"/>
        </w:rPr>
        <w:t>,</w:t>
      </w:r>
      <w:r>
        <w:rPr>
          <w:rFonts w:hint="eastAsia" w:hAnsi="宋体"/>
        </w:rPr>
        <w:t>中标人须依照《中华人民共和国消费者权益保护法》规定赔偿采购人，且民事赔偿并不免除违法投标人的行政与刑事责任。</w:t>
      </w:r>
    </w:p>
    <w:p>
      <w:pPr>
        <w:pStyle w:val="19"/>
        <w:spacing w:line="440" w:lineRule="exact"/>
        <w:ind w:firstLine="359" w:firstLineChars="171"/>
        <w:rPr>
          <w:rFonts w:hAnsi="宋体"/>
        </w:rPr>
      </w:pPr>
      <w:r>
        <w:rPr>
          <w:rFonts w:hAnsi="宋体"/>
        </w:rPr>
        <w:t>27.5.5</w:t>
      </w:r>
      <w:r>
        <w:rPr>
          <w:rFonts w:hint="eastAsia" w:hAnsi="宋体"/>
        </w:rPr>
        <w:t>在政府采购活动中，采购人员及相关人员与投标人有下列利害关系之一的，应当回避：</w:t>
      </w:r>
    </w:p>
    <w:p>
      <w:pPr>
        <w:pStyle w:val="19"/>
        <w:spacing w:line="440" w:lineRule="exact"/>
        <w:ind w:firstLine="359" w:firstLineChars="171"/>
        <w:rPr>
          <w:rFonts w:hAnsi="宋体"/>
        </w:rPr>
      </w:pPr>
      <w:r>
        <w:rPr>
          <w:rFonts w:hint="eastAsia" w:hAnsi="宋体"/>
        </w:rPr>
        <w:t>（</w:t>
      </w:r>
      <w:r>
        <w:rPr>
          <w:rFonts w:hAnsi="宋体"/>
        </w:rPr>
        <w:t>1</w:t>
      </w:r>
      <w:r>
        <w:rPr>
          <w:rFonts w:hint="eastAsia" w:hAnsi="宋体"/>
        </w:rPr>
        <w:t>）参加采购活动前</w:t>
      </w:r>
      <w:r>
        <w:rPr>
          <w:rFonts w:hAnsi="宋体"/>
        </w:rPr>
        <w:t>3</w:t>
      </w:r>
      <w:r>
        <w:rPr>
          <w:rFonts w:hint="eastAsia" w:hAnsi="宋体"/>
        </w:rPr>
        <w:t>年内与投标人存在劳动关系；</w:t>
      </w:r>
    </w:p>
    <w:p>
      <w:pPr>
        <w:pStyle w:val="19"/>
        <w:spacing w:line="440" w:lineRule="exact"/>
        <w:ind w:firstLine="359" w:firstLineChars="171"/>
        <w:rPr>
          <w:rFonts w:hAnsi="宋体"/>
        </w:rPr>
      </w:pPr>
      <w:r>
        <w:rPr>
          <w:rFonts w:hint="eastAsia" w:hAnsi="宋体"/>
        </w:rPr>
        <w:t>（</w:t>
      </w:r>
      <w:r>
        <w:rPr>
          <w:rFonts w:hAnsi="宋体"/>
        </w:rPr>
        <w:t>2</w:t>
      </w:r>
      <w:r>
        <w:rPr>
          <w:rFonts w:hint="eastAsia" w:hAnsi="宋体"/>
        </w:rPr>
        <w:t>）参加采购活动前</w:t>
      </w:r>
      <w:r>
        <w:rPr>
          <w:rFonts w:hAnsi="宋体"/>
        </w:rPr>
        <w:t>3</w:t>
      </w:r>
      <w:r>
        <w:rPr>
          <w:rFonts w:hint="eastAsia" w:hAnsi="宋体"/>
        </w:rPr>
        <w:t>年内担任投标人的董事、监事；</w:t>
      </w:r>
    </w:p>
    <w:p>
      <w:pPr>
        <w:pStyle w:val="19"/>
        <w:spacing w:line="440" w:lineRule="exact"/>
        <w:ind w:firstLine="359" w:firstLineChars="171"/>
        <w:rPr>
          <w:rFonts w:hAnsi="宋体"/>
        </w:rPr>
      </w:pPr>
      <w:r>
        <w:rPr>
          <w:rFonts w:hint="eastAsia" w:hAnsi="宋体"/>
        </w:rPr>
        <w:t>（</w:t>
      </w:r>
      <w:r>
        <w:rPr>
          <w:rFonts w:hAnsi="宋体"/>
        </w:rPr>
        <w:t>3</w:t>
      </w:r>
      <w:r>
        <w:rPr>
          <w:rFonts w:hint="eastAsia" w:hAnsi="宋体"/>
        </w:rPr>
        <w:t>）参加采购活动前</w:t>
      </w:r>
      <w:r>
        <w:rPr>
          <w:rFonts w:hAnsi="宋体"/>
        </w:rPr>
        <w:t>3</w:t>
      </w:r>
      <w:r>
        <w:rPr>
          <w:rFonts w:hint="eastAsia" w:hAnsi="宋体"/>
        </w:rPr>
        <w:t>年内是投标人的控股股东或者实际控制人；</w:t>
      </w:r>
    </w:p>
    <w:p>
      <w:pPr>
        <w:pStyle w:val="19"/>
        <w:spacing w:line="440" w:lineRule="exact"/>
        <w:ind w:firstLine="359" w:firstLineChars="171"/>
        <w:rPr>
          <w:rFonts w:hAnsi="宋体"/>
        </w:rPr>
      </w:pPr>
      <w:r>
        <w:rPr>
          <w:rFonts w:hint="eastAsia" w:hAnsi="宋体"/>
        </w:rPr>
        <w:t>（</w:t>
      </w:r>
      <w:r>
        <w:rPr>
          <w:rFonts w:hAnsi="宋体"/>
        </w:rPr>
        <w:t>4</w:t>
      </w:r>
      <w:r>
        <w:rPr>
          <w:rFonts w:hint="eastAsia" w:hAnsi="宋体"/>
        </w:rPr>
        <w:t>）与投标人的法定代表人或者负责人有夫妻、直系血亲、三代以内旁系血亲或者近姻亲关系；</w:t>
      </w:r>
    </w:p>
    <w:p>
      <w:pPr>
        <w:pStyle w:val="19"/>
        <w:spacing w:line="440" w:lineRule="exact"/>
        <w:ind w:firstLine="359" w:firstLineChars="171"/>
        <w:rPr>
          <w:rFonts w:hAnsi="宋体"/>
        </w:rPr>
      </w:pPr>
      <w:r>
        <w:rPr>
          <w:rFonts w:hint="eastAsia" w:hAnsi="宋体"/>
        </w:rPr>
        <w:t>（</w:t>
      </w:r>
      <w:r>
        <w:rPr>
          <w:rFonts w:hAnsi="宋体"/>
        </w:rPr>
        <w:t>5</w:t>
      </w:r>
      <w:r>
        <w:rPr>
          <w:rFonts w:hint="eastAsia" w:hAnsi="宋体"/>
        </w:rPr>
        <w:t>）与投标人有其他可能影响政府采购活动公平、公正进行的关系。</w:t>
      </w:r>
    </w:p>
    <w:p>
      <w:pPr>
        <w:pStyle w:val="19"/>
        <w:spacing w:line="440" w:lineRule="exact"/>
        <w:ind w:firstLine="359" w:firstLineChars="171"/>
        <w:rPr>
          <w:rFonts w:hAnsi="宋体"/>
        </w:rPr>
      </w:pPr>
      <w:r>
        <w:rPr>
          <w:rFonts w:hint="eastAsia" w:hAnsi="宋体"/>
        </w:rPr>
        <w:t>投标人认为采购人员及相关人员与其他投标人有利害关系的，可以向采购人或者采购代理机构书面提出回避申请，并说明理由。采购人或者采购代理机构应当及时询问被申请回避人员，有利害关系的被申请回避人员应当回避。</w:t>
      </w:r>
    </w:p>
    <w:p>
      <w:pPr>
        <w:pStyle w:val="19"/>
        <w:spacing w:line="440" w:lineRule="exact"/>
        <w:ind w:firstLine="359" w:firstLineChars="171"/>
        <w:rPr>
          <w:rFonts w:hAnsi="宋体"/>
        </w:rPr>
      </w:pPr>
      <w:r>
        <w:rPr>
          <w:rFonts w:hAnsi="宋体"/>
        </w:rPr>
        <w:t>27.5.6</w:t>
      </w:r>
      <w:r>
        <w:rPr>
          <w:rFonts w:hint="eastAsia" w:hAnsi="宋体"/>
        </w:rPr>
        <w:t>有下列情形之一的视为投标人相互串通投标，投标文件将被视为无效：</w:t>
      </w:r>
    </w:p>
    <w:p>
      <w:pPr>
        <w:pStyle w:val="19"/>
        <w:spacing w:line="440" w:lineRule="exact"/>
        <w:ind w:firstLine="359" w:firstLineChars="171"/>
        <w:rPr>
          <w:rFonts w:hAnsi="宋体"/>
        </w:rPr>
      </w:pPr>
      <w:r>
        <w:rPr>
          <w:rFonts w:hint="eastAsia" w:hAnsi="宋体"/>
        </w:rPr>
        <w:t>（</w:t>
      </w:r>
      <w:r>
        <w:rPr>
          <w:rFonts w:hAnsi="宋体"/>
        </w:rPr>
        <w:t>1</w:t>
      </w:r>
      <w:r>
        <w:rPr>
          <w:rFonts w:hint="eastAsia" w:hAnsi="宋体"/>
        </w:rPr>
        <w:t>）不同投标人的投标文件由同一单位或者个人编制；或不同投标人报名的</w:t>
      </w:r>
      <w:r>
        <w:rPr>
          <w:rFonts w:hAnsi="宋体"/>
        </w:rPr>
        <w:t>IP</w:t>
      </w:r>
      <w:r>
        <w:rPr>
          <w:rFonts w:hint="eastAsia" w:hAnsi="宋体"/>
        </w:rPr>
        <w:t>地址一致的；</w:t>
      </w:r>
    </w:p>
    <w:p>
      <w:pPr>
        <w:pStyle w:val="19"/>
        <w:spacing w:line="440" w:lineRule="exact"/>
        <w:ind w:firstLine="359" w:firstLineChars="171"/>
        <w:rPr>
          <w:rFonts w:hAnsi="宋体"/>
        </w:rPr>
      </w:pPr>
      <w:r>
        <w:rPr>
          <w:rFonts w:hint="eastAsia" w:hAnsi="宋体"/>
        </w:rPr>
        <w:t>（</w:t>
      </w:r>
      <w:r>
        <w:rPr>
          <w:rFonts w:hAnsi="宋体"/>
        </w:rPr>
        <w:t>2</w:t>
      </w:r>
      <w:r>
        <w:rPr>
          <w:rFonts w:hint="eastAsia" w:hAnsi="宋体"/>
        </w:rPr>
        <w:t>）不同投标人委托同一单位或者个人办理投标事宜；</w:t>
      </w:r>
    </w:p>
    <w:p>
      <w:pPr>
        <w:pStyle w:val="19"/>
        <w:spacing w:line="440" w:lineRule="exact"/>
        <w:ind w:firstLine="359" w:firstLineChars="171"/>
        <w:rPr>
          <w:rFonts w:hAnsi="宋体"/>
        </w:rPr>
      </w:pPr>
      <w:r>
        <w:rPr>
          <w:rFonts w:hint="eastAsia" w:hAnsi="宋体"/>
        </w:rPr>
        <w:t>（</w:t>
      </w:r>
      <w:r>
        <w:rPr>
          <w:rFonts w:hAnsi="宋体"/>
        </w:rPr>
        <w:t>3</w:t>
      </w:r>
      <w:r>
        <w:rPr>
          <w:rFonts w:hint="eastAsia" w:hAnsi="宋体"/>
        </w:rPr>
        <w:t>）不同的投标人的投标文件载明的项目管理员为同一个人；</w:t>
      </w:r>
    </w:p>
    <w:p>
      <w:pPr>
        <w:pStyle w:val="19"/>
        <w:spacing w:line="440" w:lineRule="exact"/>
        <w:ind w:firstLine="359" w:firstLineChars="171"/>
        <w:rPr>
          <w:rFonts w:hAnsi="宋体"/>
        </w:rPr>
      </w:pPr>
      <w:r>
        <w:rPr>
          <w:rFonts w:hint="eastAsia" w:hAnsi="宋体"/>
        </w:rPr>
        <w:t>（</w:t>
      </w:r>
      <w:r>
        <w:rPr>
          <w:rFonts w:hAnsi="宋体"/>
        </w:rPr>
        <w:t>4</w:t>
      </w:r>
      <w:r>
        <w:rPr>
          <w:rFonts w:hint="eastAsia" w:hAnsi="宋体"/>
        </w:rPr>
        <w:t>）不同投标人的投标文件异常一致或投标报价呈规律性差异；</w:t>
      </w:r>
    </w:p>
    <w:p>
      <w:pPr>
        <w:pStyle w:val="19"/>
        <w:spacing w:line="440" w:lineRule="exact"/>
        <w:ind w:firstLine="359" w:firstLineChars="171"/>
        <w:rPr>
          <w:rFonts w:hAnsi="宋体"/>
        </w:rPr>
      </w:pPr>
      <w:r>
        <w:rPr>
          <w:rFonts w:hint="eastAsia" w:hAnsi="宋体"/>
        </w:rPr>
        <w:t>（</w:t>
      </w:r>
      <w:r>
        <w:rPr>
          <w:rFonts w:hAnsi="宋体"/>
        </w:rPr>
        <w:t>5</w:t>
      </w:r>
      <w:r>
        <w:rPr>
          <w:rFonts w:hint="eastAsia" w:hAnsi="宋体"/>
        </w:rPr>
        <w:t>）不同投标人的投标文件相互混装；</w:t>
      </w:r>
    </w:p>
    <w:p>
      <w:pPr>
        <w:pStyle w:val="19"/>
        <w:spacing w:line="440" w:lineRule="exact"/>
        <w:ind w:firstLine="359" w:firstLineChars="171"/>
        <w:rPr>
          <w:rFonts w:hAnsi="宋体"/>
        </w:rPr>
      </w:pPr>
      <w:r>
        <w:rPr>
          <w:rFonts w:hint="eastAsia" w:hAnsi="宋体"/>
        </w:rPr>
        <w:t>（</w:t>
      </w:r>
      <w:r>
        <w:rPr>
          <w:rFonts w:hAnsi="宋体"/>
        </w:rPr>
        <w:t>6</w:t>
      </w:r>
      <w:r>
        <w:rPr>
          <w:rFonts w:hint="eastAsia" w:hAnsi="宋体"/>
        </w:rPr>
        <w:t>）不同投标人的投标保证金从同一单位或者个人账户转出。</w:t>
      </w:r>
    </w:p>
    <w:p>
      <w:pPr>
        <w:pStyle w:val="19"/>
        <w:spacing w:line="440" w:lineRule="exact"/>
        <w:ind w:firstLine="359" w:firstLineChars="171"/>
        <w:rPr>
          <w:rFonts w:hAnsi="宋体"/>
        </w:rPr>
      </w:pPr>
      <w:r>
        <w:rPr>
          <w:rFonts w:hAnsi="宋体"/>
        </w:rPr>
        <w:t>27.5.7</w:t>
      </w:r>
      <w:r>
        <w:rPr>
          <w:rFonts w:hint="eastAsia" w:hAnsi="宋体"/>
        </w:rPr>
        <w:t>供应商有下列情形之一的，属于恶意串通行为：</w:t>
      </w:r>
    </w:p>
    <w:p>
      <w:pPr>
        <w:pStyle w:val="19"/>
        <w:spacing w:line="440" w:lineRule="exact"/>
        <w:ind w:firstLine="359" w:firstLineChars="171"/>
        <w:rPr>
          <w:rFonts w:hAnsi="宋体"/>
        </w:rPr>
      </w:pPr>
      <w:r>
        <w:rPr>
          <w:rFonts w:hint="eastAsia" w:hAnsi="宋体"/>
        </w:rPr>
        <w:t>（</w:t>
      </w:r>
      <w:r>
        <w:rPr>
          <w:rFonts w:hAnsi="宋体"/>
        </w:rPr>
        <w:t>1</w:t>
      </w:r>
      <w:r>
        <w:rPr>
          <w:rFonts w:hint="eastAsia" w:hAnsi="宋体"/>
        </w:rPr>
        <w:t>）供应商直接或者间接从采购人或者采购代理机构处获得其他供应商的相关信息并修改其投标文件或者响应文件：</w:t>
      </w:r>
    </w:p>
    <w:p>
      <w:pPr>
        <w:pStyle w:val="19"/>
        <w:spacing w:line="440" w:lineRule="exact"/>
        <w:ind w:firstLine="359" w:firstLineChars="171"/>
        <w:rPr>
          <w:rFonts w:hAnsi="宋体"/>
        </w:rPr>
      </w:pPr>
      <w:r>
        <w:rPr>
          <w:rFonts w:hint="eastAsia" w:hAnsi="宋体"/>
        </w:rPr>
        <w:t>（</w:t>
      </w:r>
      <w:r>
        <w:rPr>
          <w:rFonts w:hAnsi="宋体"/>
        </w:rPr>
        <w:t>2</w:t>
      </w:r>
      <w:r>
        <w:rPr>
          <w:rFonts w:hint="eastAsia" w:hAnsi="宋体"/>
        </w:rPr>
        <w:t>）供应商按照采购人或者采购代理机构的授意撤换、修改投标文件或者响应文件；</w:t>
      </w:r>
    </w:p>
    <w:p>
      <w:pPr>
        <w:pStyle w:val="19"/>
        <w:spacing w:line="440" w:lineRule="exact"/>
        <w:ind w:firstLine="359" w:firstLineChars="171"/>
        <w:rPr>
          <w:rFonts w:hAnsi="宋体"/>
        </w:rPr>
      </w:pPr>
      <w:r>
        <w:rPr>
          <w:rFonts w:hint="eastAsia" w:hAnsi="宋体"/>
        </w:rPr>
        <w:t>（</w:t>
      </w:r>
      <w:r>
        <w:rPr>
          <w:rFonts w:hAnsi="宋体"/>
        </w:rPr>
        <w:t>3</w:t>
      </w:r>
      <w:r>
        <w:rPr>
          <w:rFonts w:hint="eastAsia" w:hAnsi="宋体"/>
        </w:rPr>
        <w:t>）供应商之间协商报价、技术方案等投标文件或者响应文件的实质性内容；</w:t>
      </w:r>
    </w:p>
    <w:p>
      <w:pPr>
        <w:pStyle w:val="19"/>
        <w:spacing w:line="440" w:lineRule="exact"/>
        <w:ind w:firstLine="359" w:firstLineChars="171"/>
        <w:rPr>
          <w:rFonts w:hAnsi="宋体"/>
        </w:rPr>
      </w:pPr>
      <w:r>
        <w:rPr>
          <w:rFonts w:hint="eastAsia" w:hAnsi="宋体"/>
        </w:rPr>
        <w:t>（</w:t>
      </w:r>
      <w:r>
        <w:rPr>
          <w:rFonts w:hAnsi="宋体"/>
        </w:rPr>
        <w:t>4</w:t>
      </w:r>
      <w:r>
        <w:rPr>
          <w:rFonts w:hint="eastAsia" w:hAnsi="宋体"/>
        </w:rPr>
        <w:t>）属于同一集团、协会、商会等组织成员的供应商按照该组织要求协同参加政府采购活动；</w:t>
      </w:r>
    </w:p>
    <w:p>
      <w:pPr>
        <w:pStyle w:val="19"/>
        <w:spacing w:line="440" w:lineRule="exact"/>
        <w:ind w:firstLine="359" w:firstLineChars="171"/>
        <w:rPr>
          <w:rFonts w:hAnsi="宋体"/>
        </w:rPr>
      </w:pPr>
      <w:r>
        <w:rPr>
          <w:rFonts w:hint="eastAsia" w:hAnsi="宋体"/>
        </w:rPr>
        <w:t>（</w:t>
      </w:r>
      <w:r>
        <w:rPr>
          <w:rFonts w:hAnsi="宋体"/>
        </w:rPr>
        <w:t>5</w:t>
      </w:r>
      <w:r>
        <w:rPr>
          <w:rFonts w:hint="eastAsia" w:hAnsi="宋体"/>
        </w:rPr>
        <w:t>）供应商之间事先约定一致抬高或者压低投标报价</w:t>
      </w:r>
      <w:r>
        <w:rPr>
          <w:rFonts w:hAnsi="宋体"/>
        </w:rPr>
        <w:t>,</w:t>
      </w:r>
      <w:r>
        <w:rPr>
          <w:rFonts w:hint="eastAsia" w:hAnsi="宋体"/>
        </w:rPr>
        <w:t>或者在招标项目中事先约定轮流以高价位或者低价位中标</w:t>
      </w:r>
      <w:r>
        <w:rPr>
          <w:rFonts w:hAnsi="宋体"/>
        </w:rPr>
        <w:t>,</w:t>
      </w:r>
      <w:r>
        <w:rPr>
          <w:rFonts w:hint="eastAsia" w:hAnsi="宋体"/>
        </w:rPr>
        <w:t>或者事先约定由某一特定供应商中标</w:t>
      </w:r>
      <w:r>
        <w:rPr>
          <w:rFonts w:hAnsi="宋体"/>
        </w:rPr>
        <w:t>,</w:t>
      </w:r>
      <w:r>
        <w:rPr>
          <w:rFonts w:hint="eastAsia" w:hAnsi="宋体"/>
        </w:rPr>
        <w:t>然后再参加投标；</w:t>
      </w:r>
    </w:p>
    <w:p>
      <w:pPr>
        <w:pStyle w:val="19"/>
        <w:spacing w:line="440" w:lineRule="exact"/>
        <w:ind w:firstLine="359" w:firstLineChars="171"/>
        <w:rPr>
          <w:rFonts w:hAnsi="宋体"/>
        </w:rPr>
      </w:pPr>
      <w:r>
        <w:rPr>
          <w:rFonts w:hint="eastAsia" w:hAnsi="宋体"/>
        </w:rPr>
        <w:t>（</w:t>
      </w:r>
      <w:r>
        <w:rPr>
          <w:rFonts w:hAnsi="宋体"/>
        </w:rPr>
        <w:t>6</w:t>
      </w:r>
      <w:r>
        <w:rPr>
          <w:rFonts w:hint="eastAsia" w:hAnsi="宋体"/>
        </w:rPr>
        <w:t>）供应商之间商定部分供应商放弃参加政府采购活动或者放弃中标；</w:t>
      </w:r>
    </w:p>
    <w:p>
      <w:pPr>
        <w:pStyle w:val="19"/>
        <w:spacing w:line="440" w:lineRule="exact"/>
        <w:ind w:firstLine="359" w:firstLineChars="171"/>
        <w:rPr>
          <w:rFonts w:hAnsi="宋体"/>
        </w:rPr>
      </w:pPr>
      <w:r>
        <w:rPr>
          <w:rFonts w:hint="eastAsia" w:hAnsi="宋体"/>
        </w:rPr>
        <w:t>（</w:t>
      </w:r>
      <w:r>
        <w:rPr>
          <w:rFonts w:hAnsi="宋体"/>
        </w:rPr>
        <w:t>7</w:t>
      </w:r>
      <w:r>
        <w:rPr>
          <w:rFonts w:hint="eastAsia" w:hAnsi="宋体"/>
        </w:rPr>
        <w:t>）供应商与采购人或者采购代理机构之间、供应商相互之间，为谋求特定供应商中标或者排斥其他供应商的其他串通行为。</w:t>
      </w:r>
    </w:p>
    <w:p>
      <w:pPr>
        <w:pStyle w:val="19"/>
        <w:spacing w:line="440" w:lineRule="exact"/>
        <w:ind w:firstLine="359" w:firstLineChars="171"/>
        <w:rPr>
          <w:rFonts w:hAnsi="宋体"/>
        </w:rPr>
      </w:pPr>
      <w:r>
        <w:rPr>
          <w:rFonts w:hAnsi="宋体"/>
        </w:rPr>
        <w:t>27.5.8</w:t>
      </w:r>
      <w:r>
        <w:rPr>
          <w:rFonts w:hint="eastAsia" w:hAnsi="宋体"/>
        </w:rPr>
        <w:t>关联供应商不得参加同一合同项下政府采购活动，否则投标文件将被视为无效：</w:t>
      </w:r>
    </w:p>
    <w:p>
      <w:pPr>
        <w:pStyle w:val="19"/>
        <w:spacing w:line="440" w:lineRule="exact"/>
        <w:ind w:firstLine="359" w:firstLineChars="171"/>
        <w:rPr>
          <w:rFonts w:hAnsi="宋体"/>
        </w:rPr>
      </w:pPr>
      <w:r>
        <w:rPr>
          <w:rFonts w:hint="eastAsia" w:hAnsi="宋体"/>
        </w:rPr>
        <w:t>（</w:t>
      </w:r>
      <w:r>
        <w:rPr>
          <w:rFonts w:hAnsi="宋体"/>
        </w:rPr>
        <w:t>1</w:t>
      </w:r>
      <w:r>
        <w:rPr>
          <w:rFonts w:hint="eastAsia" w:hAnsi="宋体"/>
        </w:rPr>
        <w:t>）单位负责人为同一人或者存在直接控股、管理关系的不同的供应商，不得参加同一合同项下的政府采购活动；</w:t>
      </w:r>
    </w:p>
    <w:p>
      <w:pPr>
        <w:pStyle w:val="19"/>
        <w:spacing w:line="440" w:lineRule="exact"/>
        <w:ind w:firstLine="359" w:firstLineChars="171"/>
        <w:rPr>
          <w:rFonts w:hAnsi="宋体"/>
        </w:rPr>
      </w:pPr>
      <w:r>
        <w:rPr>
          <w:rFonts w:hint="eastAsia" w:hAnsi="宋体"/>
        </w:rPr>
        <w:t>（</w:t>
      </w:r>
      <w:r>
        <w:rPr>
          <w:rFonts w:hAnsi="宋体"/>
        </w:rPr>
        <w:t>2</w:t>
      </w:r>
      <w:r>
        <w:rPr>
          <w:rFonts w:hint="eastAsia" w:hAnsi="宋体"/>
        </w:rPr>
        <w:t>）生产厂商授权给供应商后自己不得参加同一合同项下的政府采购活动；生产厂商对同一品牌同一型号的货物，仅能委托一个代理商参加投标。</w:t>
      </w:r>
    </w:p>
    <w:p>
      <w:pPr>
        <w:pStyle w:val="19"/>
        <w:spacing w:line="440" w:lineRule="exact"/>
        <w:ind w:firstLine="359" w:firstLineChars="171"/>
        <w:rPr>
          <w:rFonts w:hAnsi="宋体"/>
        </w:rPr>
      </w:pPr>
    </w:p>
    <w:p>
      <w:pPr>
        <w:pStyle w:val="4"/>
        <w:rPr>
          <w:rFonts w:ascii="宋体" w:hAnsi="宋体"/>
        </w:rPr>
      </w:pPr>
      <w:bookmarkStart w:id="62" w:name="_Toc401396881"/>
      <w:bookmarkStart w:id="63" w:name="_Toc57749786"/>
      <w:bookmarkStart w:id="64" w:name="_Toc213326422"/>
      <w:r>
        <w:rPr>
          <w:rFonts w:hint="eastAsia" w:ascii="宋体" w:hAnsi="宋体"/>
        </w:rPr>
        <w:t>七其他事项</w:t>
      </w:r>
      <w:bookmarkEnd w:id="62"/>
      <w:bookmarkEnd w:id="63"/>
      <w:bookmarkEnd w:id="64"/>
    </w:p>
    <w:p>
      <w:pPr>
        <w:pStyle w:val="19"/>
        <w:spacing w:line="440" w:lineRule="exact"/>
        <w:rPr>
          <w:rFonts w:hAnsi="宋体"/>
          <w:bCs/>
          <w:sz w:val="24"/>
        </w:rPr>
      </w:pPr>
      <w:r>
        <w:rPr>
          <w:rFonts w:hAnsi="宋体"/>
          <w:bCs/>
          <w:sz w:val="24"/>
        </w:rPr>
        <w:t xml:space="preserve">27.  </w:t>
      </w:r>
      <w:r>
        <w:rPr>
          <w:rFonts w:hint="eastAsia" w:hAnsi="宋体"/>
          <w:bCs/>
          <w:sz w:val="24"/>
        </w:rPr>
        <w:t>解释权</w:t>
      </w:r>
    </w:p>
    <w:p>
      <w:pPr>
        <w:pStyle w:val="19"/>
        <w:spacing w:line="440" w:lineRule="exact"/>
        <w:ind w:firstLine="360"/>
        <w:jc w:val="left"/>
        <w:rPr>
          <w:rFonts w:hAnsi="宋体"/>
        </w:rPr>
      </w:pPr>
      <w:r>
        <w:rPr>
          <w:rFonts w:hAnsi="宋体"/>
        </w:rPr>
        <w:t xml:space="preserve">27.1  </w:t>
      </w:r>
      <w:r>
        <w:rPr>
          <w:rFonts w:hint="eastAsia" w:hAnsi="宋体"/>
        </w:rPr>
        <w:t>本招标文件根据</w:t>
      </w:r>
      <w:r>
        <w:rPr>
          <w:rFonts w:hint="eastAsia" w:hAnsi="宋体"/>
          <w:szCs w:val="21"/>
          <w:u w:val="single"/>
        </w:rPr>
        <w:t>《中华人民共和国政府采购法》、《中华人民共和国政府采购法实施条例》、《政府采购货物和服务招标投标管理办法》</w:t>
      </w:r>
      <w:r>
        <w:rPr>
          <w:rFonts w:hint="eastAsia" w:hAnsi="宋体"/>
        </w:rPr>
        <w:t>及相关法律法规编制。</w:t>
      </w:r>
    </w:p>
    <w:p>
      <w:pPr>
        <w:pStyle w:val="19"/>
        <w:spacing w:line="440" w:lineRule="exact"/>
        <w:jc w:val="left"/>
        <w:rPr>
          <w:rFonts w:hAnsi="宋体"/>
          <w:sz w:val="24"/>
        </w:rPr>
      </w:pPr>
      <w:r>
        <w:rPr>
          <w:rFonts w:hAnsi="宋体"/>
          <w:sz w:val="24"/>
        </w:rPr>
        <w:t xml:space="preserve">28.  </w:t>
      </w:r>
      <w:r>
        <w:rPr>
          <w:rFonts w:hint="eastAsia" w:hAnsi="宋体"/>
          <w:sz w:val="24"/>
        </w:rPr>
        <w:t>需要补充的其他内容</w:t>
      </w:r>
    </w:p>
    <w:p>
      <w:pPr>
        <w:pStyle w:val="19"/>
        <w:spacing w:line="440" w:lineRule="exact"/>
        <w:ind w:firstLine="360"/>
        <w:jc w:val="left"/>
        <w:rPr>
          <w:rFonts w:hAnsi="宋体"/>
        </w:rPr>
      </w:pPr>
      <w:r>
        <w:rPr>
          <w:rFonts w:hAnsi="宋体"/>
        </w:rPr>
        <w:t xml:space="preserve">28.1  </w:t>
      </w:r>
      <w:r>
        <w:rPr>
          <w:rFonts w:hint="eastAsia" w:hAnsi="宋体"/>
        </w:rPr>
        <w:t>需要补充的其他内容：见投标人须知前附表。</w:t>
      </w:r>
    </w:p>
    <w:p>
      <w:pPr>
        <w:pStyle w:val="19"/>
        <w:snapToGrid w:val="0"/>
        <w:spacing w:line="360" w:lineRule="exact"/>
        <w:ind w:firstLine="420" w:firstLineChars="200"/>
        <w:rPr>
          <w:rFonts w:hAnsi="宋体"/>
          <w:szCs w:val="21"/>
        </w:rPr>
      </w:pPr>
    </w:p>
    <w:p>
      <w:pPr>
        <w:pStyle w:val="19"/>
        <w:snapToGrid w:val="0"/>
        <w:spacing w:line="360" w:lineRule="exact"/>
        <w:ind w:firstLine="420" w:firstLineChars="200"/>
        <w:rPr>
          <w:rFonts w:hAnsi="宋体"/>
          <w:szCs w:val="21"/>
        </w:rPr>
      </w:pPr>
      <w:r>
        <w:rPr>
          <w:rFonts w:hint="eastAsia" w:hAnsi="宋体"/>
          <w:szCs w:val="21"/>
        </w:rPr>
        <w:t>附件一：</w:t>
      </w:r>
    </w:p>
    <w:p>
      <w:pPr>
        <w:pStyle w:val="19"/>
        <w:snapToGrid w:val="0"/>
        <w:spacing w:line="360" w:lineRule="exact"/>
        <w:ind w:firstLine="420" w:firstLineChars="200"/>
        <w:rPr>
          <w:rFonts w:hAnsi="宋体"/>
          <w:szCs w:val="21"/>
        </w:rPr>
      </w:pPr>
      <w:r>
        <w:rPr>
          <w:rFonts w:hint="eastAsia" w:hAnsi="宋体"/>
          <w:szCs w:val="21"/>
        </w:rPr>
        <w:t>代理服务收费标准：</w:t>
      </w:r>
    </w:p>
    <w:tbl>
      <w:tblPr>
        <w:tblStyle w:val="34"/>
        <w:tblW w:w="985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73"/>
        <w:gridCol w:w="2087"/>
        <w:gridCol w:w="1898"/>
        <w:gridCol w:w="18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73" w:type="dxa"/>
            <w:tcBorders>
              <w:tl2br w:val="single" w:color="auto" w:sz="4" w:space="0"/>
            </w:tcBorders>
          </w:tcPr>
          <w:p>
            <w:pPr>
              <w:spacing w:line="360" w:lineRule="exact"/>
              <w:rPr>
                <w:rFonts w:ascii="宋体" w:hAnsi="宋体"/>
                <w:szCs w:val="21"/>
              </w:rPr>
            </w:pPr>
            <w:r>
              <w:rPr>
                <w:rFonts w:hint="eastAsia" w:ascii="宋体" w:hAnsi="宋体"/>
                <w:szCs w:val="21"/>
              </w:rPr>
              <w:t>费率</w:t>
            </w:r>
          </w:p>
          <w:p>
            <w:pPr>
              <w:spacing w:line="360" w:lineRule="exact"/>
              <w:rPr>
                <w:rFonts w:ascii="宋体" w:hAnsi="宋体"/>
                <w:szCs w:val="21"/>
              </w:rPr>
            </w:pPr>
            <w:r>
              <w:rPr>
                <w:rFonts w:hint="eastAsia" w:ascii="宋体" w:hAnsi="宋体"/>
                <w:szCs w:val="21"/>
              </w:rPr>
              <w:t>中标金额</w:t>
            </w:r>
          </w:p>
        </w:tc>
        <w:tc>
          <w:tcPr>
            <w:tcW w:w="2087" w:type="dxa"/>
            <w:vAlign w:val="center"/>
          </w:tcPr>
          <w:p>
            <w:pPr>
              <w:spacing w:line="360" w:lineRule="exact"/>
              <w:jc w:val="center"/>
              <w:rPr>
                <w:rFonts w:ascii="宋体" w:hAnsi="宋体"/>
                <w:szCs w:val="21"/>
              </w:rPr>
            </w:pPr>
            <w:r>
              <w:rPr>
                <w:rFonts w:hint="eastAsia" w:ascii="宋体" w:hAnsi="宋体"/>
                <w:szCs w:val="21"/>
              </w:rPr>
              <w:t>货物招标</w:t>
            </w:r>
          </w:p>
        </w:tc>
        <w:tc>
          <w:tcPr>
            <w:tcW w:w="1898" w:type="dxa"/>
            <w:vAlign w:val="center"/>
          </w:tcPr>
          <w:p>
            <w:pPr>
              <w:spacing w:line="360" w:lineRule="exact"/>
              <w:jc w:val="center"/>
              <w:rPr>
                <w:rFonts w:ascii="宋体" w:hAnsi="宋体"/>
                <w:szCs w:val="21"/>
              </w:rPr>
            </w:pPr>
            <w:r>
              <w:rPr>
                <w:rFonts w:hint="eastAsia" w:ascii="宋体" w:hAnsi="宋体"/>
                <w:szCs w:val="21"/>
              </w:rPr>
              <w:t>服务招标</w:t>
            </w:r>
          </w:p>
        </w:tc>
        <w:tc>
          <w:tcPr>
            <w:tcW w:w="1896" w:type="dxa"/>
            <w:vAlign w:val="center"/>
          </w:tcPr>
          <w:p>
            <w:pPr>
              <w:spacing w:line="360" w:lineRule="exact"/>
              <w:jc w:val="center"/>
              <w:rPr>
                <w:rFonts w:ascii="宋体" w:hAnsi="宋体"/>
                <w:szCs w:val="21"/>
              </w:rPr>
            </w:pPr>
            <w:r>
              <w:rPr>
                <w:rFonts w:hint="eastAsia" w:ascii="宋体" w:hAnsi="宋体"/>
                <w:szCs w:val="21"/>
              </w:rPr>
              <w:t>工程招标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73" w:type="dxa"/>
          </w:tcPr>
          <w:p>
            <w:pPr>
              <w:spacing w:line="360" w:lineRule="exact"/>
              <w:rPr>
                <w:rFonts w:ascii="宋体" w:hAnsi="宋体"/>
                <w:szCs w:val="21"/>
              </w:rPr>
            </w:pPr>
            <w:r>
              <w:rPr>
                <w:rFonts w:ascii="宋体" w:hAnsi="宋体"/>
                <w:szCs w:val="21"/>
              </w:rPr>
              <w:t>100</w:t>
            </w:r>
            <w:r>
              <w:rPr>
                <w:rFonts w:hint="eastAsia" w:ascii="宋体" w:hAnsi="宋体"/>
                <w:szCs w:val="21"/>
              </w:rPr>
              <w:t>万元以下</w:t>
            </w:r>
          </w:p>
        </w:tc>
        <w:tc>
          <w:tcPr>
            <w:tcW w:w="2087" w:type="dxa"/>
          </w:tcPr>
          <w:p>
            <w:pPr>
              <w:spacing w:line="360" w:lineRule="exact"/>
              <w:rPr>
                <w:rFonts w:ascii="宋体" w:hAnsi="宋体"/>
                <w:szCs w:val="21"/>
              </w:rPr>
            </w:pPr>
            <w:r>
              <w:rPr>
                <w:rFonts w:ascii="宋体" w:hAnsi="宋体" w:cs="宋体"/>
                <w:kern w:val="0"/>
                <w:szCs w:val="21"/>
              </w:rPr>
              <w:t>1.5%</w:t>
            </w:r>
          </w:p>
        </w:tc>
        <w:tc>
          <w:tcPr>
            <w:tcW w:w="1898" w:type="dxa"/>
          </w:tcPr>
          <w:p>
            <w:pPr>
              <w:spacing w:line="360" w:lineRule="exact"/>
              <w:rPr>
                <w:rFonts w:ascii="宋体" w:hAnsi="宋体"/>
                <w:szCs w:val="21"/>
              </w:rPr>
            </w:pPr>
            <w:r>
              <w:rPr>
                <w:rFonts w:ascii="宋体" w:hAnsi="宋体" w:cs="宋体"/>
                <w:kern w:val="0"/>
                <w:szCs w:val="21"/>
              </w:rPr>
              <w:t>1.5%</w:t>
            </w:r>
          </w:p>
        </w:tc>
        <w:tc>
          <w:tcPr>
            <w:tcW w:w="1896" w:type="dxa"/>
          </w:tcPr>
          <w:p>
            <w:pPr>
              <w:spacing w:line="360" w:lineRule="exact"/>
              <w:rPr>
                <w:rFonts w:ascii="宋体" w:hAnsi="宋体"/>
                <w:szCs w:val="21"/>
              </w:rPr>
            </w:pPr>
            <w:r>
              <w:rPr>
                <w:rFonts w:ascii="宋体" w:hAnsi="宋体" w:cs="宋体"/>
                <w:kern w:val="0"/>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73" w:type="dxa"/>
          </w:tcPr>
          <w:p>
            <w:pPr>
              <w:spacing w:line="360" w:lineRule="exact"/>
              <w:rPr>
                <w:rFonts w:ascii="宋体" w:hAnsi="宋体"/>
                <w:szCs w:val="21"/>
              </w:rPr>
            </w:pPr>
            <w:r>
              <w:rPr>
                <w:rFonts w:ascii="宋体" w:hAnsi="宋体"/>
                <w:szCs w:val="21"/>
              </w:rPr>
              <w:t>100</w:t>
            </w:r>
            <w:r>
              <w:rPr>
                <w:rFonts w:hint="eastAsia" w:ascii="宋体" w:hAnsi="宋体"/>
                <w:szCs w:val="21"/>
              </w:rPr>
              <w:t>～</w:t>
            </w:r>
            <w:r>
              <w:rPr>
                <w:rFonts w:ascii="宋体" w:hAnsi="宋体"/>
                <w:szCs w:val="21"/>
              </w:rPr>
              <w:t>500</w:t>
            </w:r>
            <w:r>
              <w:rPr>
                <w:rFonts w:hint="eastAsia" w:ascii="宋体" w:hAnsi="宋体"/>
                <w:szCs w:val="21"/>
              </w:rPr>
              <w:t>万元</w:t>
            </w:r>
          </w:p>
        </w:tc>
        <w:tc>
          <w:tcPr>
            <w:tcW w:w="2087" w:type="dxa"/>
          </w:tcPr>
          <w:p>
            <w:pPr>
              <w:spacing w:line="360" w:lineRule="exact"/>
              <w:rPr>
                <w:rFonts w:ascii="宋体" w:hAnsi="宋体"/>
                <w:szCs w:val="21"/>
              </w:rPr>
            </w:pPr>
            <w:r>
              <w:rPr>
                <w:rFonts w:ascii="宋体" w:hAnsi="宋体" w:cs="宋体"/>
                <w:kern w:val="0"/>
                <w:szCs w:val="21"/>
              </w:rPr>
              <w:t>1.1%</w:t>
            </w:r>
          </w:p>
        </w:tc>
        <w:tc>
          <w:tcPr>
            <w:tcW w:w="1898" w:type="dxa"/>
          </w:tcPr>
          <w:p>
            <w:pPr>
              <w:spacing w:line="360" w:lineRule="exact"/>
              <w:rPr>
                <w:rFonts w:ascii="宋体" w:hAnsi="宋体"/>
                <w:szCs w:val="21"/>
              </w:rPr>
            </w:pPr>
            <w:r>
              <w:rPr>
                <w:rFonts w:ascii="宋体" w:hAnsi="宋体" w:cs="宋体"/>
                <w:kern w:val="0"/>
                <w:szCs w:val="21"/>
              </w:rPr>
              <w:t>0.8%</w:t>
            </w:r>
          </w:p>
        </w:tc>
        <w:tc>
          <w:tcPr>
            <w:tcW w:w="1896" w:type="dxa"/>
          </w:tcPr>
          <w:p>
            <w:pPr>
              <w:spacing w:line="360" w:lineRule="exact"/>
              <w:rPr>
                <w:rFonts w:ascii="宋体" w:hAnsi="宋体"/>
                <w:szCs w:val="21"/>
              </w:rPr>
            </w:pPr>
            <w:r>
              <w:rPr>
                <w:rFonts w:ascii="宋体" w:hAnsi="宋体" w:cs="宋体"/>
                <w:kern w:val="0"/>
                <w:szCs w:val="21"/>
              </w:rPr>
              <w:t>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73" w:type="dxa"/>
          </w:tcPr>
          <w:p>
            <w:pPr>
              <w:spacing w:line="360" w:lineRule="exact"/>
              <w:rPr>
                <w:rFonts w:ascii="宋体" w:hAnsi="宋体"/>
                <w:szCs w:val="21"/>
              </w:rPr>
            </w:pPr>
            <w:r>
              <w:rPr>
                <w:rFonts w:ascii="宋体" w:hAnsi="宋体"/>
                <w:szCs w:val="21"/>
              </w:rPr>
              <w:t>500</w:t>
            </w:r>
            <w:r>
              <w:rPr>
                <w:rFonts w:hint="eastAsia" w:ascii="宋体" w:hAnsi="宋体"/>
                <w:szCs w:val="21"/>
              </w:rPr>
              <w:t>～</w:t>
            </w:r>
            <w:r>
              <w:rPr>
                <w:rFonts w:ascii="宋体" w:hAnsi="宋体"/>
                <w:szCs w:val="21"/>
              </w:rPr>
              <w:t>1000</w:t>
            </w:r>
            <w:r>
              <w:rPr>
                <w:rFonts w:hint="eastAsia" w:ascii="宋体" w:hAnsi="宋体"/>
                <w:szCs w:val="21"/>
              </w:rPr>
              <w:t>万元</w:t>
            </w:r>
          </w:p>
        </w:tc>
        <w:tc>
          <w:tcPr>
            <w:tcW w:w="2087" w:type="dxa"/>
          </w:tcPr>
          <w:p>
            <w:pPr>
              <w:spacing w:line="360" w:lineRule="exact"/>
              <w:rPr>
                <w:rFonts w:ascii="宋体" w:hAnsi="宋体"/>
                <w:szCs w:val="21"/>
              </w:rPr>
            </w:pPr>
            <w:r>
              <w:rPr>
                <w:rFonts w:ascii="宋体" w:hAnsi="宋体" w:cs="宋体"/>
                <w:kern w:val="0"/>
                <w:szCs w:val="21"/>
              </w:rPr>
              <w:t>0.8%</w:t>
            </w:r>
          </w:p>
        </w:tc>
        <w:tc>
          <w:tcPr>
            <w:tcW w:w="1898" w:type="dxa"/>
          </w:tcPr>
          <w:p>
            <w:pPr>
              <w:spacing w:line="360" w:lineRule="exact"/>
              <w:rPr>
                <w:rFonts w:ascii="宋体" w:hAnsi="宋体"/>
                <w:szCs w:val="21"/>
              </w:rPr>
            </w:pPr>
            <w:r>
              <w:rPr>
                <w:rFonts w:ascii="宋体" w:hAnsi="宋体" w:cs="宋体"/>
                <w:kern w:val="0"/>
                <w:szCs w:val="21"/>
              </w:rPr>
              <w:t>0.45%</w:t>
            </w:r>
          </w:p>
        </w:tc>
        <w:tc>
          <w:tcPr>
            <w:tcW w:w="1896" w:type="dxa"/>
          </w:tcPr>
          <w:p>
            <w:pPr>
              <w:spacing w:line="360" w:lineRule="exact"/>
              <w:rPr>
                <w:rFonts w:ascii="宋体" w:hAnsi="宋体"/>
                <w:szCs w:val="21"/>
              </w:rPr>
            </w:pPr>
            <w:r>
              <w:rPr>
                <w:rFonts w:ascii="宋体" w:hAnsi="宋体" w:cs="宋体"/>
                <w:kern w:val="0"/>
                <w:szCs w:val="21"/>
              </w:rPr>
              <w:t>0.55%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73" w:type="dxa"/>
          </w:tcPr>
          <w:p>
            <w:pPr>
              <w:spacing w:line="360" w:lineRule="exact"/>
              <w:rPr>
                <w:rFonts w:ascii="宋体" w:hAnsi="宋体"/>
                <w:szCs w:val="21"/>
              </w:rPr>
            </w:pPr>
            <w:r>
              <w:rPr>
                <w:rFonts w:ascii="宋体" w:hAnsi="宋体"/>
                <w:szCs w:val="21"/>
              </w:rPr>
              <w:t>1000</w:t>
            </w:r>
            <w:r>
              <w:rPr>
                <w:rFonts w:hint="eastAsia" w:ascii="宋体" w:hAnsi="宋体"/>
                <w:szCs w:val="21"/>
              </w:rPr>
              <w:t>～</w:t>
            </w:r>
            <w:r>
              <w:rPr>
                <w:rFonts w:ascii="宋体" w:hAnsi="宋体"/>
                <w:szCs w:val="21"/>
              </w:rPr>
              <w:t>5000</w:t>
            </w:r>
            <w:r>
              <w:rPr>
                <w:rFonts w:hint="eastAsia" w:ascii="宋体" w:hAnsi="宋体"/>
                <w:szCs w:val="21"/>
              </w:rPr>
              <w:t>万元</w:t>
            </w:r>
          </w:p>
        </w:tc>
        <w:tc>
          <w:tcPr>
            <w:tcW w:w="2087" w:type="dxa"/>
          </w:tcPr>
          <w:p>
            <w:pPr>
              <w:spacing w:line="360" w:lineRule="exact"/>
              <w:rPr>
                <w:rFonts w:ascii="宋体" w:hAnsi="宋体"/>
                <w:szCs w:val="21"/>
              </w:rPr>
            </w:pPr>
            <w:r>
              <w:rPr>
                <w:rFonts w:ascii="宋体" w:hAnsi="宋体" w:cs="宋体"/>
                <w:kern w:val="0"/>
                <w:szCs w:val="21"/>
              </w:rPr>
              <w:t>0.5%</w:t>
            </w:r>
          </w:p>
        </w:tc>
        <w:tc>
          <w:tcPr>
            <w:tcW w:w="1898" w:type="dxa"/>
          </w:tcPr>
          <w:p>
            <w:pPr>
              <w:spacing w:line="360" w:lineRule="exact"/>
              <w:rPr>
                <w:rFonts w:ascii="宋体" w:hAnsi="宋体"/>
                <w:szCs w:val="21"/>
              </w:rPr>
            </w:pPr>
            <w:r>
              <w:rPr>
                <w:rFonts w:ascii="宋体" w:hAnsi="宋体" w:cs="宋体"/>
                <w:kern w:val="0"/>
                <w:szCs w:val="21"/>
              </w:rPr>
              <w:t>0.25%</w:t>
            </w:r>
          </w:p>
        </w:tc>
        <w:tc>
          <w:tcPr>
            <w:tcW w:w="1896" w:type="dxa"/>
          </w:tcPr>
          <w:p>
            <w:pPr>
              <w:spacing w:line="360" w:lineRule="exact"/>
              <w:rPr>
                <w:rFonts w:ascii="宋体" w:hAnsi="宋体"/>
                <w:szCs w:val="21"/>
              </w:rPr>
            </w:pPr>
            <w:r>
              <w:rPr>
                <w:rFonts w:ascii="宋体" w:hAnsi="宋体" w:cs="宋体"/>
                <w:kern w:val="0"/>
                <w:szCs w:val="21"/>
              </w:rPr>
              <w:t xml:space="preserve">0.35%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73" w:type="dxa"/>
          </w:tcPr>
          <w:p>
            <w:pPr>
              <w:spacing w:line="360" w:lineRule="exact"/>
              <w:rPr>
                <w:rFonts w:ascii="宋体" w:hAnsi="宋体"/>
                <w:szCs w:val="21"/>
              </w:rPr>
            </w:pPr>
            <w:r>
              <w:rPr>
                <w:rFonts w:ascii="宋体" w:hAnsi="宋体"/>
                <w:szCs w:val="21"/>
              </w:rPr>
              <w:t>5000</w:t>
            </w:r>
            <w:r>
              <w:rPr>
                <w:rFonts w:hint="eastAsia" w:ascii="宋体" w:hAnsi="宋体"/>
                <w:szCs w:val="21"/>
              </w:rPr>
              <w:t>万元～</w:t>
            </w:r>
            <w:r>
              <w:rPr>
                <w:rFonts w:ascii="宋体" w:hAnsi="宋体"/>
                <w:szCs w:val="21"/>
              </w:rPr>
              <w:t>1</w:t>
            </w:r>
            <w:r>
              <w:rPr>
                <w:rFonts w:hint="eastAsia" w:ascii="宋体" w:hAnsi="宋体"/>
                <w:szCs w:val="21"/>
              </w:rPr>
              <w:t>亿元</w:t>
            </w:r>
          </w:p>
        </w:tc>
        <w:tc>
          <w:tcPr>
            <w:tcW w:w="2087" w:type="dxa"/>
          </w:tcPr>
          <w:p>
            <w:pPr>
              <w:spacing w:line="360" w:lineRule="exact"/>
              <w:rPr>
                <w:rFonts w:ascii="宋体" w:hAnsi="宋体"/>
                <w:szCs w:val="21"/>
              </w:rPr>
            </w:pPr>
            <w:r>
              <w:rPr>
                <w:rFonts w:ascii="宋体" w:hAnsi="宋体" w:cs="宋体"/>
                <w:kern w:val="0"/>
                <w:szCs w:val="21"/>
              </w:rPr>
              <w:t>0.25%</w:t>
            </w:r>
          </w:p>
        </w:tc>
        <w:tc>
          <w:tcPr>
            <w:tcW w:w="1898" w:type="dxa"/>
          </w:tcPr>
          <w:p>
            <w:pPr>
              <w:spacing w:line="360" w:lineRule="exact"/>
              <w:rPr>
                <w:rFonts w:ascii="宋体" w:hAnsi="宋体"/>
                <w:szCs w:val="21"/>
              </w:rPr>
            </w:pPr>
            <w:r>
              <w:rPr>
                <w:rFonts w:ascii="宋体" w:hAnsi="宋体" w:cs="宋体"/>
                <w:kern w:val="0"/>
                <w:szCs w:val="21"/>
              </w:rPr>
              <w:t>0.1%</w:t>
            </w:r>
          </w:p>
        </w:tc>
        <w:tc>
          <w:tcPr>
            <w:tcW w:w="1896" w:type="dxa"/>
          </w:tcPr>
          <w:p>
            <w:pPr>
              <w:spacing w:line="360" w:lineRule="exact"/>
              <w:rPr>
                <w:rFonts w:ascii="宋体" w:hAnsi="宋体"/>
                <w:szCs w:val="21"/>
              </w:rPr>
            </w:pPr>
            <w:r>
              <w:rPr>
                <w:rFonts w:ascii="宋体" w:hAnsi="宋体" w:cs="宋体"/>
                <w:kern w:val="0"/>
                <w:szCs w:val="21"/>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73" w:type="dxa"/>
          </w:tcPr>
          <w:p>
            <w:pPr>
              <w:spacing w:line="360" w:lineRule="exact"/>
              <w:rPr>
                <w:rFonts w:ascii="宋体" w:hAnsi="宋体"/>
                <w:szCs w:val="21"/>
              </w:rPr>
            </w:pPr>
            <w:r>
              <w:rPr>
                <w:rFonts w:ascii="宋体" w:hAnsi="宋体"/>
                <w:szCs w:val="21"/>
              </w:rPr>
              <w:t>1</w:t>
            </w:r>
            <w:r>
              <w:rPr>
                <w:rFonts w:hint="eastAsia" w:ascii="宋体" w:hAnsi="宋体"/>
                <w:szCs w:val="21"/>
              </w:rPr>
              <w:t>～</w:t>
            </w:r>
            <w:r>
              <w:rPr>
                <w:rFonts w:ascii="宋体" w:hAnsi="宋体"/>
                <w:szCs w:val="21"/>
              </w:rPr>
              <w:t>5</w:t>
            </w:r>
            <w:r>
              <w:rPr>
                <w:rFonts w:hint="eastAsia" w:ascii="宋体" w:hAnsi="宋体"/>
                <w:szCs w:val="21"/>
              </w:rPr>
              <w:t>亿元</w:t>
            </w:r>
          </w:p>
        </w:tc>
        <w:tc>
          <w:tcPr>
            <w:tcW w:w="2087" w:type="dxa"/>
          </w:tcPr>
          <w:p>
            <w:pPr>
              <w:spacing w:line="360" w:lineRule="exact"/>
              <w:rPr>
                <w:rFonts w:ascii="宋体" w:hAnsi="宋体"/>
                <w:szCs w:val="21"/>
              </w:rPr>
            </w:pPr>
            <w:r>
              <w:rPr>
                <w:rFonts w:ascii="宋体" w:hAnsi="宋体"/>
                <w:szCs w:val="21"/>
              </w:rPr>
              <w:t>0.05%</w:t>
            </w:r>
          </w:p>
        </w:tc>
        <w:tc>
          <w:tcPr>
            <w:tcW w:w="1898" w:type="dxa"/>
          </w:tcPr>
          <w:p>
            <w:pPr>
              <w:spacing w:line="360" w:lineRule="exact"/>
              <w:rPr>
                <w:rFonts w:ascii="宋体" w:hAnsi="宋体"/>
                <w:szCs w:val="21"/>
              </w:rPr>
            </w:pPr>
            <w:r>
              <w:rPr>
                <w:rFonts w:ascii="宋体" w:hAnsi="宋体"/>
                <w:szCs w:val="21"/>
              </w:rPr>
              <w:t>0.05%</w:t>
            </w:r>
          </w:p>
        </w:tc>
        <w:tc>
          <w:tcPr>
            <w:tcW w:w="1896" w:type="dxa"/>
          </w:tcPr>
          <w:p>
            <w:pPr>
              <w:spacing w:line="360" w:lineRule="exact"/>
              <w:rPr>
                <w:rFonts w:ascii="宋体" w:hAnsi="宋体"/>
                <w:szCs w:val="21"/>
              </w:rPr>
            </w:pPr>
            <w:r>
              <w:rPr>
                <w:rFonts w:ascii="宋体" w:hAnsi="宋体"/>
                <w:szCs w:val="21"/>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73" w:type="dxa"/>
          </w:tcPr>
          <w:p>
            <w:pPr>
              <w:spacing w:line="360" w:lineRule="exact"/>
              <w:rPr>
                <w:rFonts w:ascii="宋体" w:hAnsi="宋体"/>
                <w:szCs w:val="21"/>
              </w:rPr>
            </w:pPr>
            <w:r>
              <w:rPr>
                <w:rFonts w:ascii="宋体" w:hAnsi="宋体"/>
                <w:szCs w:val="21"/>
              </w:rPr>
              <w:t>5</w:t>
            </w:r>
            <w:r>
              <w:rPr>
                <w:rFonts w:hint="eastAsia" w:ascii="宋体" w:hAnsi="宋体"/>
                <w:szCs w:val="21"/>
              </w:rPr>
              <w:t>～</w:t>
            </w:r>
            <w:r>
              <w:rPr>
                <w:rFonts w:ascii="宋体" w:hAnsi="宋体"/>
                <w:szCs w:val="21"/>
              </w:rPr>
              <w:t>10</w:t>
            </w:r>
            <w:r>
              <w:rPr>
                <w:rFonts w:hint="eastAsia" w:ascii="宋体" w:hAnsi="宋体"/>
                <w:szCs w:val="21"/>
              </w:rPr>
              <w:t>亿元</w:t>
            </w:r>
          </w:p>
        </w:tc>
        <w:tc>
          <w:tcPr>
            <w:tcW w:w="2087" w:type="dxa"/>
          </w:tcPr>
          <w:p>
            <w:pPr>
              <w:spacing w:line="360" w:lineRule="exact"/>
              <w:rPr>
                <w:rFonts w:ascii="宋体" w:hAnsi="宋体"/>
                <w:szCs w:val="21"/>
              </w:rPr>
            </w:pPr>
            <w:r>
              <w:rPr>
                <w:rFonts w:ascii="宋体" w:hAnsi="宋体"/>
                <w:szCs w:val="21"/>
              </w:rPr>
              <w:t>0.035%</w:t>
            </w:r>
          </w:p>
        </w:tc>
        <w:tc>
          <w:tcPr>
            <w:tcW w:w="1898" w:type="dxa"/>
          </w:tcPr>
          <w:p>
            <w:pPr>
              <w:spacing w:line="360" w:lineRule="exact"/>
              <w:rPr>
                <w:rFonts w:ascii="宋体" w:hAnsi="宋体"/>
                <w:szCs w:val="21"/>
              </w:rPr>
            </w:pPr>
            <w:r>
              <w:rPr>
                <w:rFonts w:ascii="宋体" w:hAnsi="宋体"/>
                <w:szCs w:val="21"/>
              </w:rPr>
              <w:t>0.035%</w:t>
            </w:r>
          </w:p>
        </w:tc>
        <w:tc>
          <w:tcPr>
            <w:tcW w:w="1896" w:type="dxa"/>
          </w:tcPr>
          <w:p>
            <w:pPr>
              <w:spacing w:line="360" w:lineRule="exact"/>
              <w:rPr>
                <w:rFonts w:ascii="宋体" w:hAnsi="宋体"/>
                <w:szCs w:val="21"/>
              </w:rPr>
            </w:pPr>
            <w:r>
              <w:rPr>
                <w:rFonts w:ascii="宋体" w:hAnsi="宋体"/>
                <w:szCs w:val="21"/>
              </w:rPr>
              <w:t>0.035%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73" w:type="dxa"/>
          </w:tcPr>
          <w:p>
            <w:pPr>
              <w:spacing w:line="360" w:lineRule="exact"/>
              <w:rPr>
                <w:rFonts w:ascii="宋体" w:hAnsi="宋体"/>
                <w:szCs w:val="21"/>
              </w:rPr>
            </w:pPr>
            <w:r>
              <w:rPr>
                <w:rFonts w:ascii="宋体" w:hAnsi="宋体"/>
                <w:szCs w:val="21"/>
              </w:rPr>
              <w:t>10</w:t>
            </w:r>
            <w:r>
              <w:rPr>
                <w:rFonts w:hint="eastAsia" w:ascii="宋体" w:hAnsi="宋体"/>
                <w:szCs w:val="21"/>
              </w:rPr>
              <w:t>～</w:t>
            </w:r>
            <w:r>
              <w:rPr>
                <w:rFonts w:ascii="宋体" w:hAnsi="宋体"/>
                <w:szCs w:val="21"/>
              </w:rPr>
              <w:t>50</w:t>
            </w:r>
            <w:r>
              <w:rPr>
                <w:rFonts w:hint="eastAsia" w:ascii="宋体" w:hAnsi="宋体"/>
                <w:szCs w:val="21"/>
              </w:rPr>
              <w:t>亿元</w:t>
            </w:r>
          </w:p>
        </w:tc>
        <w:tc>
          <w:tcPr>
            <w:tcW w:w="2087" w:type="dxa"/>
          </w:tcPr>
          <w:p>
            <w:pPr>
              <w:spacing w:line="360" w:lineRule="exact"/>
              <w:rPr>
                <w:rFonts w:ascii="宋体" w:hAnsi="宋体"/>
                <w:szCs w:val="21"/>
              </w:rPr>
            </w:pPr>
            <w:r>
              <w:rPr>
                <w:rFonts w:ascii="宋体" w:hAnsi="宋体"/>
                <w:szCs w:val="21"/>
              </w:rPr>
              <w:t>0.008%</w:t>
            </w:r>
          </w:p>
        </w:tc>
        <w:tc>
          <w:tcPr>
            <w:tcW w:w="1898" w:type="dxa"/>
          </w:tcPr>
          <w:p>
            <w:pPr>
              <w:spacing w:line="360" w:lineRule="exact"/>
              <w:rPr>
                <w:rFonts w:ascii="宋体" w:hAnsi="宋体"/>
                <w:szCs w:val="21"/>
              </w:rPr>
            </w:pPr>
            <w:r>
              <w:rPr>
                <w:rFonts w:ascii="宋体" w:hAnsi="宋体"/>
                <w:szCs w:val="21"/>
              </w:rPr>
              <w:t>0.008%</w:t>
            </w:r>
          </w:p>
        </w:tc>
        <w:tc>
          <w:tcPr>
            <w:tcW w:w="1896" w:type="dxa"/>
          </w:tcPr>
          <w:p>
            <w:pPr>
              <w:spacing w:line="360" w:lineRule="exact"/>
              <w:rPr>
                <w:rFonts w:ascii="宋体" w:hAnsi="宋体"/>
                <w:szCs w:val="21"/>
              </w:rPr>
            </w:pPr>
            <w:r>
              <w:rPr>
                <w:rFonts w:ascii="宋体" w:hAnsi="宋体"/>
                <w:szCs w:val="21"/>
              </w:rPr>
              <w:t>0.008%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73" w:type="dxa"/>
          </w:tcPr>
          <w:p>
            <w:pPr>
              <w:spacing w:line="360" w:lineRule="exact"/>
              <w:rPr>
                <w:rFonts w:ascii="宋体" w:hAnsi="宋体"/>
                <w:szCs w:val="21"/>
              </w:rPr>
            </w:pPr>
            <w:r>
              <w:rPr>
                <w:rFonts w:ascii="宋体" w:hAnsi="宋体"/>
                <w:szCs w:val="21"/>
              </w:rPr>
              <w:t>50</w:t>
            </w:r>
            <w:r>
              <w:rPr>
                <w:rFonts w:hint="eastAsia" w:ascii="宋体" w:hAnsi="宋体"/>
                <w:szCs w:val="21"/>
              </w:rPr>
              <w:t>～</w:t>
            </w:r>
            <w:r>
              <w:rPr>
                <w:rFonts w:ascii="宋体" w:hAnsi="宋体"/>
                <w:szCs w:val="21"/>
              </w:rPr>
              <w:t>100</w:t>
            </w:r>
            <w:r>
              <w:rPr>
                <w:rFonts w:hint="eastAsia" w:ascii="宋体" w:hAnsi="宋体"/>
                <w:szCs w:val="21"/>
              </w:rPr>
              <w:t>亿元</w:t>
            </w:r>
          </w:p>
        </w:tc>
        <w:tc>
          <w:tcPr>
            <w:tcW w:w="2087" w:type="dxa"/>
          </w:tcPr>
          <w:p>
            <w:pPr>
              <w:spacing w:line="360" w:lineRule="exact"/>
              <w:rPr>
                <w:rFonts w:ascii="宋体" w:hAnsi="宋体"/>
                <w:szCs w:val="21"/>
              </w:rPr>
            </w:pPr>
            <w:r>
              <w:rPr>
                <w:rFonts w:ascii="宋体" w:hAnsi="宋体"/>
                <w:szCs w:val="21"/>
              </w:rPr>
              <w:t>0.006%</w:t>
            </w:r>
          </w:p>
        </w:tc>
        <w:tc>
          <w:tcPr>
            <w:tcW w:w="1898" w:type="dxa"/>
          </w:tcPr>
          <w:p>
            <w:pPr>
              <w:spacing w:line="360" w:lineRule="exact"/>
              <w:rPr>
                <w:rFonts w:ascii="宋体" w:hAnsi="宋体"/>
                <w:szCs w:val="21"/>
              </w:rPr>
            </w:pPr>
            <w:r>
              <w:rPr>
                <w:rFonts w:ascii="宋体" w:hAnsi="宋体"/>
                <w:szCs w:val="21"/>
              </w:rPr>
              <w:t>0.006%</w:t>
            </w:r>
          </w:p>
        </w:tc>
        <w:tc>
          <w:tcPr>
            <w:tcW w:w="1896" w:type="dxa"/>
          </w:tcPr>
          <w:p>
            <w:pPr>
              <w:spacing w:line="360" w:lineRule="exact"/>
              <w:rPr>
                <w:rFonts w:ascii="宋体" w:hAnsi="宋体"/>
                <w:szCs w:val="21"/>
              </w:rPr>
            </w:pPr>
            <w:r>
              <w:rPr>
                <w:rFonts w:ascii="宋体" w:hAnsi="宋体"/>
                <w:szCs w:val="21"/>
              </w:rPr>
              <w:t>0.006%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73" w:type="dxa"/>
          </w:tcPr>
          <w:p>
            <w:pPr>
              <w:spacing w:line="360" w:lineRule="exact"/>
              <w:rPr>
                <w:rFonts w:ascii="宋体" w:hAnsi="宋体"/>
                <w:szCs w:val="21"/>
              </w:rPr>
            </w:pPr>
            <w:r>
              <w:rPr>
                <w:rFonts w:ascii="宋体" w:hAnsi="宋体"/>
                <w:szCs w:val="21"/>
              </w:rPr>
              <w:t>100</w:t>
            </w:r>
            <w:r>
              <w:rPr>
                <w:rFonts w:hint="eastAsia" w:ascii="宋体" w:hAnsi="宋体"/>
                <w:szCs w:val="21"/>
              </w:rPr>
              <w:t>亿以上</w:t>
            </w:r>
          </w:p>
        </w:tc>
        <w:tc>
          <w:tcPr>
            <w:tcW w:w="2087" w:type="dxa"/>
          </w:tcPr>
          <w:p>
            <w:pPr>
              <w:spacing w:line="360" w:lineRule="exact"/>
              <w:rPr>
                <w:rFonts w:ascii="宋体" w:hAnsi="宋体"/>
                <w:szCs w:val="21"/>
              </w:rPr>
            </w:pPr>
            <w:r>
              <w:rPr>
                <w:rFonts w:ascii="宋体" w:hAnsi="宋体"/>
                <w:szCs w:val="21"/>
              </w:rPr>
              <w:t>0.004%</w:t>
            </w:r>
          </w:p>
        </w:tc>
        <w:tc>
          <w:tcPr>
            <w:tcW w:w="1898" w:type="dxa"/>
          </w:tcPr>
          <w:p>
            <w:pPr>
              <w:spacing w:line="360" w:lineRule="exact"/>
              <w:rPr>
                <w:rFonts w:ascii="宋体" w:hAnsi="宋体"/>
                <w:szCs w:val="21"/>
              </w:rPr>
            </w:pPr>
            <w:r>
              <w:rPr>
                <w:rFonts w:ascii="宋体" w:hAnsi="宋体"/>
                <w:szCs w:val="21"/>
              </w:rPr>
              <w:t>0.004%</w:t>
            </w:r>
          </w:p>
        </w:tc>
        <w:tc>
          <w:tcPr>
            <w:tcW w:w="1896" w:type="dxa"/>
          </w:tcPr>
          <w:p>
            <w:pPr>
              <w:spacing w:line="360" w:lineRule="exact"/>
              <w:rPr>
                <w:rFonts w:ascii="宋体" w:hAnsi="宋体"/>
                <w:szCs w:val="21"/>
              </w:rPr>
            </w:pPr>
            <w:r>
              <w:rPr>
                <w:rFonts w:ascii="宋体" w:hAnsi="宋体"/>
                <w:szCs w:val="21"/>
              </w:rPr>
              <w:t>0.004%</w:t>
            </w:r>
          </w:p>
        </w:tc>
      </w:tr>
    </w:tbl>
    <w:p>
      <w:pPr>
        <w:pStyle w:val="19"/>
        <w:spacing w:line="360" w:lineRule="auto"/>
        <w:rPr>
          <w:rFonts w:hAnsi="宋体"/>
        </w:rPr>
      </w:pPr>
    </w:p>
    <w:p>
      <w:pPr>
        <w:pStyle w:val="19"/>
        <w:spacing w:line="360" w:lineRule="auto"/>
        <w:rPr>
          <w:rFonts w:hAnsi="宋体"/>
        </w:rPr>
      </w:pPr>
    </w:p>
    <w:p>
      <w:pPr>
        <w:pStyle w:val="19"/>
        <w:spacing w:line="360" w:lineRule="auto"/>
        <w:rPr>
          <w:rFonts w:hAnsi="宋体"/>
        </w:rPr>
      </w:pPr>
    </w:p>
    <w:p>
      <w:pPr>
        <w:pStyle w:val="19"/>
        <w:spacing w:line="360" w:lineRule="auto"/>
        <w:rPr>
          <w:rFonts w:hAnsi="宋体"/>
        </w:rPr>
      </w:pPr>
      <w:r>
        <w:rPr>
          <w:rFonts w:hAnsi="宋体"/>
        </w:rPr>
        <w:br w:type="page"/>
      </w:r>
      <w:bookmarkStart w:id="65" w:name="_Toc213206175"/>
      <w:bookmarkStart w:id="66" w:name="_Toc213325924"/>
    </w:p>
    <w:p>
      <w:pPr>
        <w:pStyle w:val="19"/>
        <w:jc w:val="center"/>
        <w:outlineLvl w:val="0"/>
        <w:rPr>
          <w:rFonts w:hAnsi="宋体"/>
        </w:rPr>
      </w:pPr>
    </w:p>
    <w:p>
      <w:pPr>
        <w:pStyle w:val="3"/>
        <w:rPr>
          <w:rFonts w:ascii="宋体" w:hAnsi="宋体"/>
        </w:rPr>
      </w:pPr>
      <w:bookmarkStart w:id="67" w:name="_Toc57749787"/>
      <w:r>
        <w:rPr>
          <w:rFonts w:hint="eastAsia" w:ascii="宋体" w:hAnsi="宋体"/>
        </w:rPr>
        <w:t>第五章投标文件格式</w:t>
      </w:r>
      <w:bookmarkEnd w:id="65"/>
      <w:bookmarkEnd w:id="66"/>
      <w:bookmarkEnd w:id="67"/>
      <w:bookmarkStart w:id="68" w:name="_Toc139967211"/>
      <w:bookmarkStart w:id="69" w:name="_Toc139966427"/>
    </w:p>
    <w:bookmarkEnd w:id="68"/>
    <w:bookmarkEnd w:id="69"/>
    <w:p>
      <w:pPr>
        <w:adjustRightInd/>
        <w:snapToGrid w:val="0"/>
        <w:spacing w:before="165" w:beforeLines="50" w:after="50" w:line="240" w:lineRule="auto"/>
        <w:jc w:val="left"/>
        <w:textAlignment w:val="auto"/>
        <w:rPr>
          <w:rFonts w:ascii="宋体" w:hAnsi="宋体"/>
          <w:b/>
          <w:sz w:val="24"/>
        </w:rPr>
      </w:pPr>
      <w:bookmarkStart w:id="70" w:name="_Toc495996916"/>
      <w:bookmarkStart w:id="71" w:name="_Toc12688"/>
      <w:r>
        <w:rPr>
          <w:rFonts w:hint="eastAsia" w:ascii="宋体" w:hAnsi="宋体"/>
          <w:b/>
          <w:sz w:val="24"/>
        </w:rPr>
        <w:t>投标文件外层包装封面格式</w:t>
      </w:r>
      <w:bookmarkEnd w:id="70"/>
      <w:bookmarkEnd w:id="71"/>
    </w:p>
    <w:p>
      <w:pPr>
        <w:adjustRightInd/>
        <w:snapToGrid w:val="0"/>
        <w:spacing w:before="165" w:beforeLines="50" w:after="50" w:line="240" w:lineRule="auto"/>
        <w:jc w:val="left"/>
        <w:textAlignment w:val="auto"/>
        <w:rPr>
          <w:rFonts w:ascii="宋体" w:hAnsi="宋体"/>
          <w:b/>
          <w:sz w:val="24"/>
          <w:szCs w:val="20"/>
        </w:rPr>
      </w:pPr>
      <w:r>
        <w:rPr>
          <w:rFonts w:hint="eastAsia" w:ascii="宋体" w:hAnsi="宋体"/>
          <w:b/>
          <w:sz w:val="24"/>
        </w:rPr>
        <w:t>所有投标文件的外包装封面格式：</w:t>
      </w:r>
    </w:p>
    <w:p>
      <w:pPr>
        <w:snapToGrid w:val="0"/>
        <w:spacing w:before="165" w:beforeLines="50" w:after="50"/>
        <w:rPr>
          <w:rFonts w:ascii="宋体" w:hAnsi="宋体"/>
          <w:sz w:val="24"/>
          <w:szCs w:val="20"/>
        </w:rPr>
      </w:pPr>
    </w:p>
    <w:p>
      <w:pPr>
        <w:snapToGrid w:val="0"/>
        <w:spacing w:before="165" w:beforeLines="50" w:after="50"/>
        <w:jc w:val="center"/>
        <w:rPr>
          <w:rFonts w:ascii="宋体" w:hAnsi="宋体"/>
          <w:bCs/>
          <w:sz w:val="24"/>
          <w:szCs w:val="20"/>
        </w:rPr>
      </w:pPr>
    </w:p>
    <w:p>
      <w:pPr>
        <w:snapToGrid w:val="0"/>
        <w:spacing w:before="165" w:beforeLines="50" w:after="50"/>
        <w:jc w:val="center"/>
        <w:rPr>
          <w:rFonts w:ascii="宋体" w:hAnsi="宋体"/>
          <w:bCs/>
          <w:sz w:val="32"/>
          <w:szCs w:val="32"/>
        </w:rPr>
      </w:pPr>
      <w:r>
        <w:rPr>
          <w:rFonts w:hint="eastAsia" w:ascii="宋体" w:hAnsi="宋体"/>
          <w:bCs/>
          <w:sz w:val="32"/>
          <w:szCs w:val="32"/>
        </w:rPr>
        <w:t>投标文件</w:t>
      </w:r>
    </w:p>
    <w:p>
      <w:pPr>
        <w:snapToGrid w:val="0"/>
        <w:spacing w:before="165" w:beforeLines="50" w:after="50"/>
        <w:rPr>
          <w:rFonts w:ascii="宋体" w:hAnsi="宋体"/>
          <w:bCs/>
          <w:sz w:val="24"/>
          <w:szCs w:val="20"/>
        </w:rPr>
      </w:pPr>
    </w:p>
    <w:p>
      <w:pPr>
        <w:snapToGrid w:val="0"/>
        <w:spacing w:before="165" w:beforeLines="50" w:after="50"/>
        <w:rPr>
          <w:rFonts w:ascii="宋体" w:hAnsi="宋体"/>
          <w:bCs/>
          <w:sz w:val="24"/>
          <w:szCs w:val="20"/>
        </w:rPr>
      </w:pPr>
    </w:p>
    <w:p>
      <w:pPr>
        <w:snapToGrid w:val="0"/>
        <w:spacing w:before="165" w:beforeLines="50" w:after="50"/>
        <w:rPr>
          <w:rFonts w:ascii="宋体" w:hAnsi="宋体"/>
          <w:bCs/>
          <w:sz w:val="24"/>
          <w:szCs w:val="20"/>
        </w:rPr>
      </w:pPr>
    </w:p>
    <w:p>
      <w:pPr>
        <w:snapToGrid w:val="0"/>
        <w:spacing w:before="165" w:beforeLines="50" w:after="50"/>
        <w:rPr>
          <w:rFonts w:ascii="宋体" w:hAnsi="宋体"/>
          <w:bCs/>
          <w:sz w:val="24"/>
          <w:szCs w:val="20"/>
        </w:rPr>
      </w:pPr>
    </w:p>
    <w:p>
      <w:pPr>
        <w:snapToGrid w:val="0"/>
        <w:spacing w:before="165" w:beforeLines="50" w:after="50"/>
        <w:rPr>
          <w:rFonts w:ascii="宋体" w:hAnsi="宋体"/>
          <w:bCs/>
          <w:sz w:val="24"/>
          <w:szCs w:val="20"/>
        </w:rPr>
      </w:pPr>
    </w:p>
    <w:p>
      <w:pPr>
        <w:snapToGrid w:val="0"/>
        <w:spacing w:before="165" w:beforeLines="50" w:after="50"/>
        <w:rPr>
          <w:rFonts w:ascii="宋体" w:hAnsi="宋体"/>
          <w:bCs/>
          <w:sz w:val="24"/>
          <w:szCs w:val="20"/>
        </w:rPr>
      </w:pPr>
    </w:p>
    <w:p>
      <w:pPr>
        <w:snapToGrid w:val="0"/>
        <w:spacing w:before="165" w:beforeLines="50" w:after="50"/>
        <w:ind w:firstLine="360" w:firstLineChars="150"/>
        <w:rPr>
          <w:rFonts w:ascii="宋体" w:hAnsi="宋体"/>
          <w:bCs/>
          <w:sz w:val="24"/>
        </w:rPr>
      </w:pPr>
      <w:r>
        <w:rPr>
          <w:rFonts w:hint="eastAsia" w:ascii="宋体" w:hAnsi="宋体"/>
          <w:bCs/>
          <w:sz w:val="24"/>
        </w:rPr>
        <w:t>项目名称：</w:t>
      </w:r>
    </w:p>
    <w:p>
      <w:pPr>
        <w:snapToGrid w:val="0"/>
        <w:spacing w:before="165" w:beforeLines="50" w:after="50"/>
        <w:ind w:firstLine="360" w:firstLineChars="150"/>
        <w:rPr>
          <w:rFonts w:ascii="宋体" w:hAnsi="宋体"/>
          <w:bCs/>
          <w:sz w:val="24"/>
          <w:szCs w:val="20"/>
        </w:rPr>
      </w:pPr>
    </w:p>
    <w:p>
      <w:pPr>
        <w:snapToGrid w:val="0"/>
        <w:spacing w:before="165" w:beforeLines="50" w:after="50"/>
        <w:ind w:firstLine="360" w:firstLineChars="150"/>
        <w:rPr>
          <w:rFonts w:hint="eastAsia" w:ascii="宋体" w:hAnsi="宋体"/>
          <w:bCs/>
          <w:sz w:val="24"/>
          <w:lang w:eastAsia="zh-CN"/>
        </w:rPr>
      </w:pPr>
      <w:r>
        <w:rPr>
          <w:rFonts w:hint="eastAsia" w:ascii="宋体" w:hAnsi="宋体"/>
          <w:bCs/>
          <w:sz w:val="24"/>
          <w:lang w:eastAsia="zh-CN"/>
        </w:rPr>
        <w:t>项目编号：</w:t>
      </w:r>
    </w:p>
    <w:p>
      <w:pPr>
        <w:pStyle w:val="2"/>
      </w:pPr>
    </w:p>
    <w:p>
      <w:pPr>
        <w:snapToGrid w:val="0"/>
        <w:spacing w:before="50" w:after="50"/>
        <w:ind w:firstLine="360" w:firstLineChars="150"/>
        <w:rPr>
          <w:rFonts w:ascii="宋体" w:hAnsi="宋体"/>
          <w:bCs/>
          <w:sz w:val="24"/>
        </w:rPr>
      </w:pPr>
      <w:r>
        <w:rPr>
          <w:rFonts w:hint="eastAsia" w:ascii="宋体" w:hAnsi="宋体"/>
          <w:bCs/>
          <w:sz w:val="24"/>
        </w:rPr>
        <w:t>投标文件名称：报价文件、资格文件、商务文件、技术文件</w:t>
      </w:r>
    </w:p>
    <w:p>
      <w:pPr>
        <w:snapToGrid w:val="0"/>
        <w:spacing w:before="50" w:after="50"/>
        <w:ind w:firstLine="360" w:firstLineChars="150"/>
        <w:rPr>
          <w:rFonts w:ascii="宋体" w:hAnsi="宋体"/>
          <w:bCs/>
          <w:sz w:val="24"/>
        </w:rPr>
      </w:pPr>
    </w:p>
    <w:p>
      <w:pPr>
        <w:snapToGrid w:val="0"/>
        <w:spacing w:before="50" w:after="50"/>
        <w:ind w:firstLine="360" w:firstLineChars="150"/>
        <w:rPr>
          <w:rFonts w:ascii="宋体" w:hAnsi="宋体"/>
          <w:bCs/>
          <w:sz w:val="24"/>
        </w:rPr>
      </w:pPr>
      <w:r>
        <w:rPr>
          <w:rFonts w:hint="eastAsia" w:ascii="宋体" w:hAnsi="宋体"/>
          <w:bCs/>
          <w:sz w:val="24"/>
        </w:rPr>
        <w:t>投标人名称：</w:t>
      </w:r>
    </w:p>
    <w:p>
      <w:pPr>
        <w:snapToGrid w:val="0"/>
        <w:spacing w:before="50" w:after="50"/>
        <w:ind w:firstLine="360" w:firstLineChars="150"/>
        <w:rPr>
          <w:rFonts w:ascii="宋体" w:hAnsi="宋体"/>
          <w:bCs/>
          <w:sz w:val="24"/>
        </w:rPr>
      </w:pPr>
    </w:p>
    <w:p>
      <w:pPr>
        <w:snapToGrid w:val="0"/>
        <w:spacing w:before="50" w:after="50"/>
        <w:ind w:firstLine="360" w:firstLineChars="150"/>
        <w:rPr>
          <w:rFonts w:ascii="宋体" w:hAnsi="宋体"/>
          <w:bCs/>
          <w:sz w:val="24"/>
        </w:rPr>
      </w:pPr>
      <w:r>
        <w:rPr>
          <w:rFonts w:hint="eastAsia" w:ascii="宋体" w:hAnsi="宋体"/>
          <w:bCs/>
          <w:sz w:val="24"/>
        </w:rPr>
        <w:t>投标人地址：</w:t>
      </w:r>
    </w:p>
    <w:p>
      <w:pPr>
        <w:snapToGrid w:val="0"/>
        <w:spacing w:before="50" w:after="50"/>
        <w:ind w:firstLine="360" w:firstLineChars="150"/>
        <w:rPr>
          <w:rFonts w:ascii="宋体" w:hAnsi="宋体"/>
          <w:bCs/>
          <w:sz w:val="24"/>
        </w:rPr>
      </w:pPr>
    </w:p>
    <w:p>
      <w:pPr>
        <w:snapToGrid w:val="0"/>
        <w:spacing w:before="50" w:after="50"/>
        <w:ind w:firstLine="360" w:firstLineChars="150"/>
        <w:rPr>
          <w:rFonts w:ascii="宋体" w:hAnsi="宋体"/>
          <w:bCs/>
          <w:sz w:val="24"/>
        </w:rPr>
      </w:pPr>
      <w:r>
        <w:rPr>
          <w:rFonts w:hint="eastAsia" w:ascii="宋体" w:hAnsi="宋体"/>
          <w:bCs/>
          <w:sz w:val="24"/>
        </w:rPr>
        <w:t>在年月日时分之前不得启封</w:t>
      </w:r>
    </w:p>
    <w:p>
      <w:pPr>
        <w:snapToGrid w:val="0"/>
        <w:spacing w:before="165" w:beforeLines="50" w:after="50"/>
        <w:ind w:firstLine="4080" w:firstLineChars="1700"/>
        <w:rPr>
          <w:rFonts w:ascii="宋体" w:hAnsi="宋体"/>
          <w:bCs/>
          <w:sz w:val="24"/>
          <w:szCs w:val="20"/>
        </w:rPr>
      </w:pPr>
    </w:p>
    <w:p>
      <w:pPr>
        <w:snapToGrid w:val="0"/>
        <w:spacing w:before="165" w:beforeLines="50" w:after="50"/>
        <w:ind w:firstLine="645"/>
        <w:jc w:val="center"/>
        <w:rPr>
          <w:rFonts w:ascii="宋体" w:hAnsi="宋体"/>
        </w:rPr>
      </w:pPr>
      <w:r>
        <w:rPr>
          <w:rFonts w:hint="eastAsia" w:ascii="宋体" w:hAnsi="宋体"/>
          <w:bCs/>
          <w:sz w:val="24"/>
        </w:rPr>
        <w:t>年月日</w:t>
      </w:r>
    </w:p>
    <w:p>
      <w:pPr>
        <w:snapToGrid w:val="0"/>
        <w:spacing w:before="165" w:beforeLines="50" w:after="50"/>
        <w:jc w:val="center"/>
        <w:outlineLvl w:val="1"/>
        <w:rPr>
          <w:rFonts w:ascii="宋体" w:hAnsi="宋体"/>
        </w:rPr>
      </w:pPr>
    </w:p>
    <w:p>
      <w:pPr>
        <w:snapToGrid w:val="0"/>
        <w:spacing w:before="165" w:beforeLines="50" w:after="50"/>
        <w:jc w:val="center"/>
        <w:outlineLvl w:val="1"/>
        <w:rPr>
          <w:rFonts w:ascii="宋体" w:hAnsi="宋体"/>
        </w:rPr>
      </w:pPr>
    </w:p>
    <w:p>
      <w:pPr>
        <w:snapToGrid w:val="0"/>
        <w:spacing w:before="165" w:beforeLines="50" w:after="50"/>
        <w:jc w:val="center"/>
        <w:outlineLvl w:val="1"/>
        <w:rPr>
          <w:rFonts w:ascii="宋体" w:hAnsi="宋体"/>
        </w:rPr>
      </w:pPr>
    </w:p>
    <w:p>
      <w:pPr>
        <w:pStyle w:val="19"/>
        <w:spacing w:line="500" w:lineRule="exact"/>
        <w:jc w:val="center"/>
        <w:rPr>
          <w:rFonts w:hAnsi="宋体"/>
          <w:sz w:val="32"/>
        </w:rPr>
      </w:pPr>
      <w:r>
        <w:rPr>
          <w:rFonts w:hint="eastAsia" w:hAnsi="宋体"/>
          <w:b/>
          <w:sz w:val="30"/>
          <w:szCs w:val="30"/>
        </w:rPr>
        <w:t>投标函（格式）</w:t>
      </w:r>
    </w:p>
    <w:p>
      <w:pPr>
        <w:pStyle w:val="19"/>
        <w:spacing w:line="400" w:lineRule="exact"/>
        <w:ind w:firstLine="435"/>
        <w:rPr>
          <w:rFonts w:hAnsi="宋体"/>
          <w:sz w:val="22"/>
          <w:szCs w:val="22"/>
        </w:rPr>
      </w:pPr>
      <w:r>
        <w:rPr>
          <w:rFonts w:hint="eastAsia" w:hAnsi="宋体"/>
          <w:sz w:val="22"/>
          <w:szCs w:val="22"/>
        </w:rPr>
        <w:t>致：（采购代理机构名称）</w:t>
      </w:r>
    </w:p>
    <w:p>
      <w:pPr>
        <w:pStyle w:val="19"/>
        <w:spacing w:line="400" w:lineRule="exact"/>
        <w:ind w:firstLine="435"/>
        <w:rPr>
          <w:rFonts w:hAnsi="宋体"/>
          <w:sz w:val="22"/>
          <w:szCs w:val="22"/>
        </w:rPr>
      </w:pPr>
    </w:p>
    <w:p>
      <w:pPr>
        <w:pStyle w:val="19"/>
        <w:spacing w:line="400" w:lineRule="exact"/>
        <w:ind w:firstLine="482"/>
        <w:rPr>
          <w:rFonts w:hAnsi="宋体"/>
          <w:sz w:val="22"/>
          <w:szCs w:val="22"/>
        </w:rPr>
      </w:pPr>
      <w:r>
        <w:rPr>
          <w:rFonts w:hint="eastAsia" w:hAnsi="宋体"/>
          <w:sz w:val="22"/>
          <w:szCs w:val="22"/>
        </w:rPr>
        <w:t>我方已仔细阅读了贵方组织的</w:t>
      </w:r>
      <w:r>
        <w:rPr>
          <w:rFonts w:hint="eastAsia" w:hAnsi="宋体"/>
          <w:sz w:val="22"/>
          <w:szCs w:val="22"/>
          <w:u w:val="single"/>
        </w:rPr>
        <w:t>（项目名称）</w:t>
      </w:r>
      <w:r>
        <w:rPr>
          <w:rFonts w:hint="eastAsia" w:hAnsi="宋体"/>
          <w:sz w:val="22"/>
          <w:szCs w:val="22"/>
        </w:rPr>
        <w:t>项目（</w:t>
      </w:r>
      <w:r>
        <w:rPr>
          <w:rFonts w:hint="eastAsia" w:hAnsi="宋体"/>
          <w:sz w:val="22"/>
          <w:szCs w:val="22"/>
          <w:lang w:eastAsia="zh-CN"/>
        </w:rPr>
        <w:t>项目编号：YLZC2020-G1-240257-HSHJ</w:t>
      </w:r>
      <w:r>
        <w:rPr>
          <w:rFonts w:hint="eastAsia" w:hAnsi="宋体"/>
          <w:sz w:val="22"/>
          <w:szCs w:val="22"/>
        </w:rPr>
        <w:t>）的招标文件的全部内容，现正式递交下述文件参加贵方组织的本次政府采购活动：</w:t>
      </w:r>
    </w:p>
    <w:p>
      <w:pPr>
        <w:pStyle w:val="19"/>
        <w:spacing w:line="400" w:lineRule="exact"/>
        <w:ind w:firstLine="482"/>
        <w:rPr>
          <w:rFonts w:hAnsi="宋体"/>
          <w:sz w:val="22"/>
          <w:szCs w:val="22"/>
        </w:rPr>
      </w:pPr>
      <w:r>
        <w:rPr>
          <w:rFonts w:hint="eastAsia" w:hAnsi="宋体"/>
          <w:sz w:val="22"/>
          <w:szCs w:val="22"/>
        </w:rPr>
        <w:t>一、报价文件正本一份，副本份（包含按投标人须知第</w:t>
      </w:r>
      <w:r>
        <w:rPr>
          <w:rFonts w:hAnsi="宋体"/>
          <w:sz w:val="22"/>
          <w:szCs w:val="22"/>
        </w:rPr>
        <w:t>10.1.1</w:t>
      </w:r>
      <w:r>
        <w:rPr>
          <w:rFonts w:hint="eastAsia" w:hAnsi="宋体"/>
          <w:sz w:val="22"/>
          <w:szCs w:val="22"/>
        </w:rPr>
        <w:t>项要求提交的全部文件）；</w:t>
      </w:r>
    </w:p>
    <w:p>
      <w:pPr>
        <w:pStyle w:val="19"/>
        <w:spacing w:line="400" w:lineRule="exact"/>
        <w:ind w:firstLine="482"/>
        <w:rPr>
          <w:rFonts w:hAnsi="宋体"/>
          <w:sz w:val="22"/>
          <w:szCs w:val="22"/>
        </w:rPr>
      </w:pPr>
      <w:r>
        <w:rPr>
          <w:rFonts w:hint="eastAsia" w:hAnsi="宋体"/>
          <w:sz w:val="22"/>
          <w:szCs w:val="22"/>
        </w:rPr>
        <w:t>二、</w:t>
      </w:r>
      <w:r>
        <w:rPr>
          <w:rFonts w:hint="eastAsia" w:hAnsi="宋体" w:cs="宋体"/>
          <w:sz w:val="22"/>
          <w:szCs w:val="22"/>
        </w:rPr>
        <w:t>资格</w:t>
      </w:r>
      <w:r>
        <w:rPr>
          <w:rFonts w:hint="eastAsia" w:hAnsi="宋体"/>
          <w:sz w:val="22"/>
          <w:szCs w:val="22"/>
        </w:rPr>
        <w:t>文件正本一份，副本份（包含按投标人须知第</w:t>
      </w:r>
      <w:r>
        <w:rPr>
          <w:rFonts w:hAnsi="宋体"/>
          <w:sz w:val="22"/>
          <w:szCs w:val="22"/>
        </w:rPr>
        <w:t>10.1.2</w:t>
      </w:r>
      <w:r>
        <w:rPr>
          <w:rFonts w:hint="eastAsia" w:hAnsi="宋体"/>
          <w:sz w:val="22"/>
          <w:szCs w:val="22"/>
        </w:rPr>
        <w:t>项要求提交的全部文件）；</w:t>
      </w:r>
    </w:p>
    <w:p>
      <w:pPr>
        <w:pStyle w:val="19"/>
        <w:spacing w:line="400" w:lineRule="exact"/>
        <w:ind w:firstLine="482"/>
        <w:rPr>
          <w:rFonts w:hAnsi="宋体"/>
          <w:sz w:val="22"/>
          <w:szCs w:val="22"/>
        </w:rPr>
      </w:pPr>
      <w:r>
        <w:rPr>
          <w:rFonts w:hAnsi="宋体" w:cs="宋体"/>
          <w:sz w:val="22"/>
          <w:szCs w:val="22"/>
        </w:rPr>
        <w:t>三、</w:t>
      </w:r>
      <w:r>
        <w:rPr>
          <w:rFonts w:hint="eastAsia" w:hAnsi="宋体"/>
          <w:sz w:val="22"/>
          <w:szCs w:val="22"/>
        </w:rPr>
        <w:t>商务技</w:t>
      </w:r>
      <w:r>
        <w:rPr>
          <w:rFonts w:hAnsi="宋体" w:cs="宋体"/>
          <w:sz w:val="22"/>
          <w:szCs w:val="22"/>
        </w:rPr>
        <w:t>文件正本一份，副本份（包含按投标人须知第10.1.3项要求</w:t>
      </w:r>
      <w:r>
        <w:rPr>
          <w:rFonts w:hint="eastAsia" w:hAnsi="宋体"/>
          <w:sz w:val="22"/>
          <w:szCs w:val="22"/>
        </w:rPr>
        <w:t>提交的全部文件）。</w:t>
      </w:r>
    </w:p>
    <w:p>
      <w:pPr>
        <w:pStyle w:val="19"/>
        <w:spacing w:line="400" w:lineRule="exact"/>
        <w:ind w:firstLine="482"/>
        <w:rPr>
          <w:rFonts w:hAnsi="宋体"/>
          <w:sz w:val="22"/>
          <w:szCs w:val="22"/>
        </w:rPr>
      </w:pPr>
      <w:r>
        <w:rPr>
          <w:rFonts w:hint="eastAsia" w:hAnsi="宋体" w:cs="宋体"/>
          <w:sz w:val="22"/>
          <w:szCs w:val="22"/>
        </w:rPr>
        <w:t>四</w:t>
      </w:r>
      <w:r>
        <w:rPr>
          <w:rFonts w:hAnsi="宋体" w:cs="宋体"/>
          <w:sz w:val="22"/>
          <w:szCs w:val="22"/>
        </w:rPr>
        <w:t>、</w:t>
      </w:r>
      <w:r>
        <w:rPr>
          <w:rFonts w:hint="eastAsia" w:hAnsi="宋体"/>
          <w:sz w:val="22"/>
          <w:szCs w:val="22"/>
        </w:rPr>
        <w:t>技术</w:t>
      </w:r>
      <w:r>
        <w:rPr>
          <w:rFonts w:hAnsi="宋体" w:cs="宋体"/>
          <w:sz w:val="22"/>
          <w:szCs w:val="22"/>
        </w:rPr>
        <w:t>文件正本一份，副本份（包含按投标人须知第10.1.</w:t>
      </w:r>
      <w:r>
        <w:rPr>
          <w:rFonts w:hint="eastAsia" w:hAnsi="宋体" w:cs="宋体"/>
          <w:sz w:val="22"/>
          <w:szCs w:val="22"/>
        </w:rPr>
        <w:t>4</w:t>
      </w:r>
      <w:r>
        <w:rPr>
          <w:rFonts w:hAnsi="宋体" w:cs="宋体"/>
          <w:sz w:val="22"/>
          <w:szCs w:val="22"/>
        </w:rPr>
        <w:t>项要求</w:t>
      </w:r>
      <w:r>
        <w:rPr>
          <w:rFonts w:hint="eastAsia" w:hAnsi="宋体"/>
          <w:sz w:val="22"/>
          <w:szCs w:val="22"/>
        </w:rPr>
        <w:t>提交的全部文件）。</w:t>
      </w:r>
    </w:p>
    <w:p>
      <w:pPr>
        <w:pStyle w:val="19"/>
        <w:spacing w:line="400" w:lineRule="exact"/>
        <w:ind w:firstLine="482"/>
        <w:rPr>
          <w:rFonts w:hAnsi="宋体"/>
          <w:sz w:val="22"/>
          <w:szCs w:val="22"/>
        </w:rPr>
      </w:pPr>
      <w:r>
        <w:rPr>
          <w:rFonts w:hint="eastAsia" w:hAnsi="宋体"/>
          <w:sz w:val="22"/>
          <w:szCs w:val="22"/>
        </w:rPr>
        <w:t>据此函，签字人兹宣布：</w:t>
      </w:r>
    </w:p>
    <w:p>
      <w:pPr>
        <w:jc w:val="left"/>
        <w:rPr>
          <w:rFonts w:ascii="宋体" w:hAnsi="宋体"/>
          <w:sz w:val="22"/>
          <w:szCs w:val="22"/>
        </w:rPr>
      </w:pPr>
      <w:r>
        <w:rPr>
          <w:rFonts w:ascii="宋体" w:hAnsi="宋体"/>
          <w:sz w:val="22"/>
          <w:szCs w:val="22"/>
        </w:rPr>
        <w:t xml:space="preserve">    1</w:t>
      </w:r>
      <w:r>
        <w:rPr>
          <w:rFonts w:hint="eastAsia" w:ascii="宋体" w:hAnsi="宋体"/>
          <w:sz w:val="22"/>
          <w:szCs w:val="22"/>
        </w:rPr>
        <w:t>、我方愿意以（大写）人民币（￥元</w:t>
      </w:r>
      <w:r>
        <w:rPr>
          <w:rFonts w:ascii="宋体" w:hAnsi="宋体"/>
          <w:sz w:val="22"/>
          <w:szCs w:val="22"/>
        </w:rPr>
        <w:t>)</w:t>
      </w:r>
      <w:r>
        <w:rPr>
          <w:rFonts w:hint="eastAsia" w:ascii="宋体" w:hAnsi="宋体"/>
          <w:sz w:val="22"/>
          <w:szCs w:val="22"/>
        </w:rPr>
        <w:t>的投标总报价，交货时间（无分标时填写）：，提供本项目招标文件第二章“</w:t>
      </w:r>
      <w:r>
        <w:rPr>
          <w:rFonts w:ascii="宋体" w:hAnsi="宋体"/>
          <w:sz w:val="22"/>
          <w:szCs w:val="22"/>
        </w:rPr>
        <w:t>采购需求一览表</w:t>
      </w:r>
      <w:r>
        <w:rPr>
          <w:rFonts w:hint="eastAsia" w:ascii="宋体" w:hAnsi="宋体"/>
          <w:sz w:val="22"/>
          <w:szCs w:val="22"/>
        </w:rPr>
        <w:t>”中的采购内容。</w:t>
      </w:r>
    </w:p>
    <w:p>
      <w:pPr>
        <w:pStyle w:val="19"/>
        <w:spacing w:line="400" w:lineRule="exact"/>
        <w:ind w:firstLine="482"/>
        <w:rPr>
          <w:rFonts w:hAnsi="宋体"/>
          <w:sz w:val="22"/>
          <w:szCs w:val="22"/>
        </w:rPr>
      </w:pPr>
      <w:r>
        <w:rPr>
          <w:rFonts w:hint="eastAsia" w:hAnsi="宋体"/>
          <w:sz w:val="22"/>
          <w:szCs w:val="22"/>
        </w:rPr>
        <w:t>其中（有分标时填写）：</w:t>
      </w:r>
    </w:p>
    <w:p>
      <w:pPr>
        <w:pStyle w:val="19"/>
        <w:spacing w:line="400" w:lineRule="exact"/>
        <w:ind w:firstLine="440" w:firstLineChars="200"/>
        <w:rPr>
          <w:rFonts w:hAnsi="宋体"/>
          <w:sz w:val="22"/>
          <w:szCs w:val="22"/>
        </w:rPr>
      </w:pPr>
      <w:r>
        <w:rPr>
          <w:rFonts w:hint="eastAsia" w:hAnsi="宋体"/>
          <w:sz w:val="22"/>
          <w:szCs w:val="22"/>
        </w:rPr>
        <w:t>分标报价为（大写）人民币（￥元</w:t>
      </w:r>
      <w:r>
        <w:rPr>
          <w:rFonts w:hAnsi="宋体"/>
          <w:sz w:val="22"/>
          <w:szCs w:val="22"/>
        </w:rPr>
        <w:t>)</w:t>
      </w:r>
      <w:r>
        <w:rPr>
          <w:rFonts w:hint="eastAsia" w:hAnsi="宋体"/>
          <w:sz w:val="22"/>
          <w:szCs w:val="22"/>
        </w:rPr>
        <w:t>，交货时间：；</w:t>
      </w:r>
    </w:p>
    <w:p>
      <w:pPr>
        <w:pStyle w:val="19"/>
        <w:spacing w:line="400" w:lineRule="exact"/>
        <w:ind w:firstLine="482"/>
        <w:rPr>
          <w:rFonts w:hAnsi="宋体"/>
          <w:sz w:val="22"/>
          <w:szCs w:val="22"/>
        </w:rPr>
      </w:pPr>
      <w:r>
        <w:rPr>
          <w:rFonts w:hint="eastAsia" w:hAnsi="宋体"/>
          <w:sz w:val="22"/>
          <w:szCs w:val="22"/>
        </w:rPr>
        <w:t>分标报价为（大写）人民币（￥元</w:t>
      </w:r>
      <w:r>
        <w:rPr>
          <w:rFonts w:hAnsi="宋体"/>
          <w:sz w:val="22"/>
          <w:szCs w:val="22"/>
        </w:rPr>
        <w:t>)</w:t>
      </w:r>
      <w:r>
        <w:rPr>
          <w:rFonts w:hint="eastAsia" w:hAnsi="宋体"/>
          <w:sz w:val="22"/>
          <w:szCs w:val="22"/>
        </w:rPr>
        <w:t>，交货时间：；</w:t>
      </w:r>
    </w:p>
    <w:p>
      <w:pPr>
        <w:pStyle w:val="19"/>
        <w:spacing w:line="400" w:lineRule="exact"/>
        <w:ind w:firstLine="482"/>
        <w:rPr>
          <w:rFonts w:hAnsi="宋体"/>
          <w:sz w:val="22"/>
          <w:szCs w:val="22"/>
        </w:rPr>
      </w:pPr>
      <w:r>
        <w:rPr>
          <w:rFonts w:hAnsi="宋体"/>
          <w:sz w:val="22"/>
          <w:szCs w:val="22"/>
        </w:rPr>
        <w:t>......</w:t>
      </w:r>
    </w:p>
    <w:p>
      <w:pPr>
        <w:pStyle w:val="19"/>
        <w:spacing w:line="400" w:lineRule="exact"/>
        <w:ind w:firstLine="482"/>
        <w:rPr>
          <w:rFonts w:hAnsi="宋体"/>
          <w:sz w:val="22"/>
          <w:szCs w:val="22"/>
        </w:rPr>
      </w:pPr>
      <w:r>
        <w:rPr>
          <w:rFonts w:hAnsi="宋体"/>
          <w:sz w:val="22"/>
          <w:szCs w:val="22"/>
        </w:rPr>
        <w:t>2</w:t>
      </w:r>
      <w:r>
        <w:rPr>
          <w:rFonts w:hint="eastAsia" w:hAnsi="宋体"/>
          <w:sz w:val="22"/>
          <w:szCs w:val="22"/>
        </w:rPr>
        <w:t>、我方同意自本项目招标文件“投标人须知”第</w:t>
      </w:r>
      <w:r>
        <w:rPr>
          <w:rFonts w:hAnsi="宋体"/>
          <w:sz w:val="22"/>
          <w:szCs w:val="22"/>
        </w:rPr>
        <w:t>15.1</w:t>
      </w:r>
      <w:r>
        <w:rPr>
          <w:rFonts w:hint="eastAsia" w:hAnsi="宋体"/>
          <w:sz w:val="22"/>
          <w:szCs w:val="22"/>
        </w:rPr>
        <w:t>项规定的投标截止时间（开标时间）起遵循</w:t>
      </w:r>
      <w:r>
        <w:rPr>
          <w:rFonts w:hAnsi="宋体" w:cs="宋体"/>
          <w:sz w:val="22"/>
          <w:szCs w:val="22"/>
        </w:rPr>
        <w:t>本投标函</w:t>
      </w:r>
      <w:r>
        <w:rPr>
          <w:rFonts w:hint="eastAsia" w:hAnsi="宋体"/>
          <w:sz w:val="22"/>
          <w:szCs w:val="22"/>
        </w:rPr>
        <w:t>，并承诺在“投标人须知”第</w:t>
      </w:r>
      <w:r>
        <w:rPr>
          <w:rFonts w:hAnsi="宋体"/>
          <w:sz w:val="22"/>
          <w:szCs w:val="22"/>
        </w:rPr>
        <w:t>12.1</w:t>
      </w:r>
      <w:r>
        <w:rPr>
          <w:rFonts w:hint="eastAsia" w:hAnsi="宋体"/>
          <w:sz w:val="22"/>
          <w:szCs w:val="22"/>
        </w:rPr>
        <w:t>项规定的投标有效期内不修改、撤销投标文件。</w:t>
      </w:r>
    </w:p>
    <w:p>
      <w:pPr>
        <w:pStyle w:val="19"/>
        <w:spacing w:line="400" w:lineRule="exact"/>
        <w:ind w:firstLine="482"/>
        <w:rPr>
          <w:rFonts w:hAnsi="宋体"/>
          <w:sz w:val="22"/>
          <w:szCs w:val="22"/>
        </w:rPr>
      </w:pPr>
      <w:r>
        <w:rPr>
          <w:rFonts w:hAnsi="宋体"/>
          <w:sz w:val="22"/>
          <w:szCs w:val="22"/>
        </w:rPr>
        <w:t>3</w:t>
      </w:r>
      <w:r>
        <w:rPr>
          <w:rFonts w:hint="eastAsia" w:hAnsi="宋体"/>
          <w:sz w:val="22"/>
          <w:szCs w:val="22"/>
        </w:rPr>
        <w:t>、我方在此声明，所递交的投标文件及有关资料内容完整、真实和准确。</w:t>
      </w:r>
    </w:p>
    <w:p>
      <w:pPr>
        <w:pStyle w:val="19"/>
        <w:spacing w:line="400" w:lineRule="exact"/>
        <w:ind w:firstLine="482"/>
        <w:rPr>
          <w:rFonts w:hAnsi="宋体"/>
          <w:sz w:val="22"/>
          <w:szCs w:val="22"/>
        </w:rPr>
      </w:pPr>
      <w:r>
        <w:rPr>
          <w:rFonts w:hAnsi="宋体"/>
          <w:sz w:val="22"/>
          <w:szCs w:val="22"/>
        </w:rPr>
        <w:t>4</w:t>
      </w:r>
      <w:r>
        <w:rPr>
          <w:rFonts w:hint="eastAsia" w:hAnsi="宋体"/>
          <w:sz w:val="22"/>
          <w:szCs w:val="22"/>
        </w:rPr>
        <w:t>、我方承诺已经具备《中华人民共和国政府采购法》中规定的参加政府采购活动的供应商应当具备的条件：</w:t>
      </w:r>
    </w:p>
    <w:p>
      <w:pPr>
        <w:pStyle w:val="19"/>
        <w:numPr>
          <w:ilvl w:val="0"/>
          <w:numId w:val="15"/>
        </w:numPr>
        <w:tabs>
          <w:tab w:val="left" w:pos="1140"/>
        </w:tabs>
        <w:spacing w:line="400" w:lineRule="exact"/>
        <w:ind w:left="1140" w:hanging="720"/>
        <w:rPr>
          <w:rFonts w:hAnsi="宋体"/>
          <w:sz w:val="22"/>
          <w:szCs w:val="22"/>
        </w:rPr>
      </w:pPr>
      <w:r>
        <w:rPr>
          <w:rFonts w:hint="eastAsia" w:hAnsi="宋体"/>
          <w:sz w:val="22"/>
          <w:szCs w:val="22"/>
        </w:rPr>
        <w:t>具有独立承担民事责任的能力；</w:t>
      </w:r>
    </w:p>
    <w:p>
      <w:pPr>
        <w:pStyle w:val="19"/>
        <w:numPr>
          <w:ilvl w:val="0"/>
          <w:numId w:val="15"/>
        </w:numPr>
        <w:tabs>
          <w:tab w:val="left" w:pos="1140"/>
        </w:tabs>
        <w:spacing w:line="400" w:lineRule="exact"/>
        <w:ind w:left="1140" w:hanging="720"/>
        <w:rPr>
          <w:rFonts w:hAnsi="宋体"/>
          <w:sz w:val="22"/>
          <w:szCs w:val="22"/>
        </w:rPr>
      </w:pPr>
      <w:r>
        <w:rPr>
          <w:rFonts w:hint="eastAsia" w:hAnsi="宋体"/>
          <w:sz w:val="22"/>
          <w:szCs w:val="22"/>
        </w:rPr>
        <w:t>具有良好的商业信誉和健全的财务会计制度；</w:t>
      </w:r>
    </w:p>
    <w:p>
      <w:pPr>
        <w:pStyle w:val="19"/>
        <w:numPr>
          <w:ilvl w:val="0"/>
          <w:numId w:val="15"/>
        </w:numPr>
        <w:tabs>
          <w:tab w:val="left" w:pos="1140"/>
        </w:tabs>
        <w:spacing w:line="400" w:lineRule="exact"/>
        <w:ind w:left="1140" w:hanging="720"/>
        <w:rPr>
          <w:rFonts w:hAnsi="宋体"/>
          <w:sz w:val="22"/>
          <w:szCs w:val="22"/>
        </w:rPr>
      </w:pPr>
      <w:r>
        <w:rPr>
          <w:rFonts w:hint="eastAsia" w:hAnsi="宋体"/>
          <w:sz w:val="22"/>
          <w:szCs w:val="22"/>
        </w:rPr>
        <w:t>具有履行合同所必需的设备和专业技术能力；</w:t>
      </w:r>
    </w:p>
    <w:p>
      <w:pPr>
        <w:pStyle w:val="19"/>
        <w:numPr>
          <w:ilvl w:val="0"/>
          <w:numId w:val="15"/>
        </w:numPr>
        <w:tabs>
          <w:tab w:val="left" w:pos="1140"/>
        </w:tabs>
        <w:spacing w:line="400" w:lineRule="exact"/>
        <w:ind w:left="1140" w:hanging="720"/>
        <w:rPr>
          <w:rFonts w:hAnsi="宋体"/>
          <w:sz w:val="22"/>
          <w:szCs w:val="22"/>
        </w:rPr>
      </w:pPr>
      <w:r>
        <w:rPr>
          <w:rFonts w:hint="eastAsia" w:hAnsi="宋体"/>
          <w:sz w:val="22"/>
          <w:szCs w:val="22"/>
        </w:rPr>
        <w:t>有依法缴纳税收和社会保障资金的良好记录；</w:t>
      </w:r>
    </w:p>
    <w:p>
      <w:pPr>
        <w:pStyle w:val="19"/>
        <w:numPr>
          <w:ilvl w:val="0"/>
          <w:numId w:val="15"/>
        </w:numPr>
        <w:tabs>
          <w:tab w:val="left" w:pos="1140"/>
        </w:tabs>
        <w:spacing w:line="400" w:lineRule="exact"/>
        <w:ind w:left="1140" w:hanging="720"/>
        <w:rPr>
          <w:rFonts w:hAnsi="宋体"/>
          <w:sz w:val="22"/>
          <w:szCs w:val="22"/>
        </w:rPr>
      </w:pPr>
      <w:r>
        <w:rPr>
          <w:rFonts w:hint="eastAsia" w:hAnsi="宋体"/>
          <w:sz w:val="22"/>
          <w:szCs w:val="22"/>
        </w:rPr>
        <w:t>参加政府采购活动前三年内，在经营活动中没有重大违法记录；</w:t>
      </w:r>
    </w:p>
    <w:p>
      <w:pPr>
        <w:pStyle w:val="19"/>
        <w:numPr>
          <w:ilvl w:val="0"/>
          <w:numId w:val="15"/>
        </w:numPr>
        <w:tabs>
          <w:tab w:val="left" w:pos="1140"/>
        </w:tabs>
        <w:spacing w:line="400" w:lineRule="exact"/>
        <w:ind w:left="1140" w:hanging="720"/>
        <w:rPr>
          <w:rFonts w:hAnsi="宋体"/>
          <w:sz w:val="22"/>
          <w:szCs w:val="22"/>
        </w:rPr>
      </w:pPr>
      <w:r>
        <w:rPr>
          <w:rFonts w:hint="eastAsia" w:hAnsi="宋体"/>
          <w:sz w:val="22"/>
          <w:szCs w:val="22"/>
        </w:rPr>
        <w:t>法律、行政法规规定的其他条件。</w:t>
      </w:r>
    </w:p>
    <w:p>
      <w:pPr>
        <w:pStyle w:val="19"/>
        <w:spacing w:line="400" w:lineRule="exact"/>
        <w:ind w:firstLine="482"/>
        <w:rPr>
          <w:rFonts w:hAnsi="宋体"/>
          <w:sz w:val="22"/>
          <w:szCs w:val="22"/>
        </w:rPr>
      </w:pPr>
      <w:r>
        <w:rPr>
          <w:rFonts w:hAnsi="宋体"/>
          <w:sz w:val="22"/>
          <w:szCs w:val="22"/>
        </w:rPr>
        <w:t>5</w:t>
      </w:r>
      <w:r>
        <w:rPr>
          <w:rFonts w:hint="eastAsia" w:hAnsi="宋体"/>
          <w:sz w:val="22"/>
          <w:szCs w:val="22"/>
        </w:rPr>
        <w:t>、如本项目采购内容涉及须符合国家强制规定的，我方承诺我方本次投标（包括资格条件和所投产品）均符合国家有关强制规定。</w:t>
      </w:r>
    </w:p>
    <w:p>
      <w:pPr>
        <w:pStyle w:val="19"/>
        <w:spacing w:line="400" w:lineRule="exact"/>
        <w:ind w:firstLine="482"/>
        <w:rPr>
          <w:rFonts w:hAnsi="宋体"/>
          <w:sz w:val="22"/>
          <w:szCs w:val="22"/>
        </w:rPr>
      </w:pPr>
      <w:r>
        <w:rPr>
          <w:rFonts w:hAnsi="宋体"/>
          <w:sz w:val="22"/>
          <w:szCs w:val="22"/>
        </w:rPr>
        <w:t>6</w:t>
      </w:r>
      <w:r>
        <w:rPr>
          <w:rFonts w:hint="eastAsia" w:hAnsi="宋体"/>
          <w:sz w:val="22"/>
          <w:szCs w:val="22"/>
        </w:rPr>
        <w:t>、如我方中标，我方承诺在收到中标通知书后，在中标通知书规定的期限内，</w:t>
      </w:r>
      <w:r>
        <w:rPr>
          <w:rFonts w:hAnsi="宋体" w:cs="宋体"/>
          <w:sz w:val="22"/>
          <w:szCs w:val="22"/>
        </w:rPr>
        <w:t>根据招标文件、我方的投标文件及有关澄清承诺书的要求按第</w:t>
      </w:r>
      <w:r>
        <w:rPr>
          <w:rFonts w:hint="eastAsia" w:hAnsi="宋体" w:cs="宋体"/>
          <w:sz w:val="22"/>
          <w:szCs w:val="22"/>
        </w:rPr>
        <w:t>六</w:t>
      </w:r>
      <w:r>
        <w:rPr>
          <w:rFonts w:hAnsi="宋体" w:cs="宋体"/>
          <w:sz w:val="22"/>
          <w:szCs w:val="22"/>
        </w:rPr>
        <w:t>章“合同条款及格式”与采购人订立书面合同，并按照合同约定</w:t>
      </w:r>
      <w:r>
        <w:rPr>
          <w:rFonts w:hint="eastAsia" w:hAnsi="宋体"/>
          <w:sz w:val="22"/>
          <w:szCs w:val="22"/>
        </w:rPr>
        <w:t>承担完成合同的责任和义务。</w:t>
      </w:r>
    </w:p>
    <w:p>
      <w:pPr>
        <w:pStyle w:val="19"/>
        <w:spacing w:line="400" w:lineRule="exact"/>
        <w:ind w:firstLine="482"/>
        <w:rPr>
          <w:rFonts w:hAnsi="宋体"/>
          <w:sz w:val="22"/>
          <w:szCs w:val="22"/>
        </w:rPr>
      </w:pPr>
      <w:r>
        <w:rPr>
          <w:rFonts w:hAnsi="宋体"/>
          <w:sz w:val="22"/>
          <w:szCs w:val="22"/>
        </w:rPr>
        <w:t>7</w:t>
      </w:r>
      <w:r>
        <w:rPr>
          <w:rFonts w:hint="eastAsia" w:hAnsi="宋体"/>
          <w:sz w:val="22"/>
          <w:szCs w:val="22"/>
        </w:rPr>
        <w:t>、我方已详细审核招标文件，我方知道必须放弃提出含糊不清或误解问题的权利。</w:t>
      </w:r>
    </w:p>
    <w:p>
      <w:pPr>
        <w:pStyle w:val="19"/>
        <w:spacing w:line="400" w:lineRule="exact"/>
        <w:ind w:firstLine="482"/>
        <w:rPr>
          <w:rFonts w:hAnsi="宋体"/>
          <w:sz w:val="22"/>
          <w:szCs w:val="22"/>
        </w:rPr>
      </w:pPr>
      <w:r>
        <w:rPr>
          <w:rFonts w:hint="eastAsia" w:hAnsi="宋体"/>
          <w:sz w:val="22"/>
          <w:szCs w:val="22"/>
        </w:rPr>
        <w:t>8、我方同意应贵方要求提供与本投标有关的任何数据或资料。若贵方需要，我方愿意提供我方作出的一切承诺的证明材料。</w:t>
      </w:r>
    </w:p>
    <w:p>
      <w:pPr>
        <w:pStyle w:val="19"/>
        <w:spacing w:line="400" w:lineRule="exact"/>
        <w:ind w:firstLine="482"/>
        <w:rPr>
          <w:rFonts w:hAnsi="宋体"/>
          <w:sz w:val="22"/>
          <w:szCs w:val="22"/>
        </w:rPr>
      </w:pPr>
      <w:r>
        <w:rPr>
          <w:rFonts w:hint="eastAsia" w:hAnsi="宋体"/>
          <w:sz w:val="22"/>
          <w:szCs w:val="22"/>
        </w:rPr>
        <w:t>9、我方完全理解贵方不一定接受投标报价最低的投标人为中标供应商的行为。</w:t>
      </w:r>
    </w:p>
    <w:p>
      <w:pPr>
        <w:pStyle w:val="19"/>
        <w:spacing w:line="400" w:lineRule="exact"/>
        <w:ind w:firstLine="482"/>
        <w:rPr>
          <w:rFonts w:hAnsi="宋体"/>
          <w:sz w:val="22"/>
          <w:szCs w:val="22"/>
        </w:rPr>
      </w:pPr>
      <w:r>
        <w:rPr>
          <w:rFonts w:hAnsi="宋体"/>
          <w:sz w:val="22"/>
          <w:szCs w:val="22"/>
        </w:rPr>
        <w:t>1</w:t>
      </w:r>
      <w:r>
        <w:rPr>
          <w:rFonts w:hint="eastAsia" w:hAnsi="宋体"/>
          <w:sz w:val="22"/>
          <w:szCs w:val="22"/>
        </w:rPr>
        <w:t>0、我方将严格遵守《中华人民共和国政府采购法》第七十七条的规定，即供应商有下列情形之一的，处以采购金额千分之五以上千分之十</w:t>
      </w:r>
      <w:r>
        <w:rPr>
          <w:rFonts w:hAnsi="宋体" w:cs="宋体"/>
          <w:sz w:val="22"/>
          <w:szCs w:val="22"/>
        </w:rPr>
        <w:t>以下的罚款，列入不良行为记录名单，在一至三年内禁止参加政府采购活动，有违法所得的，并处没收违法所得，情节严重的，由工商行政管理机关吊销营业执照；构成犯罪的，依法追究刑事责任：</w:t>
      </w:r>
    </w:p>
    <w:p>
      <w:pPr>
        <w:pStyle w:val="19"/>
        <w:numPr>
          <w:ilvl w:val="0"/>
          <w:numId w:val="16"/>
        </w:numPr>
        <w:tabs>
          <w:tab w:val="left" w:pos="1140"/>
        </w:tabs>
        <w:spacing w:line="400" w:lineRule="exact"/>
        <w:ind w:left="1140" w:hanging="720"/>
        <w:rPr>
          <w:rFonts w:hAnsi="宋体" w:cs="宋体"/>
          <w:sz w:val="22"/>
          <w:szCs w:val="22"/>
        </w:rPr>
      </w:pPr>
      <w:r>
        <w:rPr>
          <w:rFonts w:hAnsi="宋体" w:cs="宋体"/>
          <w:sz w:val="22"/>
          <w:szCs w:val="22"/>
        </w:rPr>
        <w:t>提供虚假材料谋取中标、成交的；</w:t>
      </w:r>
    </w:p>
    <w:p>
      <w:pPr>
        <w:pStyle w:val="19"/>
        <w:numPr>
          <w:ilvl w:val="0"/>
          <w:numId w:val="16"/>
        </w:numPr>
        <w:tabs>
          <w:tab w:val="left" w:pos="1140"/>
        </w:tabs>
        <w:spacing w:line="400" w:lineRule="exact"/>
        <w:ind w:left="1140" w:hanging="720"/>
        <w:rPr>
          <w:rFonts w:hAnsi="宋体" w:cs="宋体"/>
          <w:sz w:val="22"/>
          <w:szCs w:val="22"/>
        </w:rPr>
      </w:pPr>
      <w:r>
        <w:rPr>
          <w:rFonts w:hAnsi="宋体" w:cs="宋体"/>
          <w:sz w:val="22"/>
          <w:szCs w:val="22"/>
        </w:rPr>
        <w:t>采取不正当手段诋毁、排挤其他供应商的；</w:t>
      </w:r>
    </w:p>
    <w:p>
      <w:pPr>
        <w:pStyle w:val="19"/>
        <w:numPr>
          <w:ilvl w:val="0"/>
          <w:numId w:val="16"/>
        </w:numPr>
        <w:tabs>
          <w:tab w:val="left" w:pos="1140"/>
        </w:tabs>
        <w:spacing w:line="400" w:lineRule="exact"/>
        <w:ind w:left="1140" w:hanging="720"/>
        <w:rPr>
          <w:rFonts w:hAnsi="宋体"/>
          <w:sz w:val="22"/>
          <w:szCs w:val="22"/>
        </w:rPr>
      </w:pPr>
      <w:r>
        <w:rPr>
          <w:rFonts w:hAnsi="宋体" w:cs="宋体"/>
          <w:sz w:val="22"/>
          <w:szCs w:val="22"/>
        </w:rPr>
        <w:t>与采购人、其他供应商或者采购代理机构恶意串通的；</w:t>
      </w:r>
    </w:p>
    <w:p>
      <w:pPr>
        <w:pStyle w:val="19"/>
        <w:numPr>
          <w:ilvl w:val="0"/>
          <w:numId w:val="16"/>
        </w:numPr>
        <w:tabs>
          <w:tab w:val="left" w:pos="1140"/>
        </w:tabs>
        <w:spacing w:line="400" w:lineRule="exact"/>
        <w:ind w:left="1140" w:hanging="720"/>
        <w:rPr>
          <w:rFonts w:hAnsi="宋体"/>
          <w:sz w:val="22"/>
          <w:szCs w:val="22"/>
        </w:rPr>
      </w:pPr>
      <w:r>
        <w:rPr>
          <w:rFonts w:hAnsi="宋体" w:cs="宋体"/>
          <w:sz w:val="22"/>
          <w:szCs w:val="22"/>
        </w:rPr>
        <w:t>向采购人、采购代理机构行贿或者提供其他不正当利益的；</w:t>
      </w:r>
    </w:p>
    <w:p>
      <w:pPr>
        <w:pStyle w:val="19"/>
        <w:numPr>
          <w:ilvl w:val="0"/>
          <w:numId w:val="16"/>
        </w:numPr>
        <w:tabs>
          <w:tab w:val="left" w:pos="1140"/>
        </w:tabs>
        <w:spacing w:line="400" w:lineRule="exact"/>
        <w:ind w:left="1140" w:hanging="720"/>
        <w:rPr>
          <w:rFonts w:hAnsi="宋体"/>
          <w:sz w:val="22"/>
          <w:szCs w:val="22"/>
        </w:rPr>
      </w:pPr>
      <w:r>
        <w:rPr>
          <w:rFonts w:hAnsi="宋体" w:cs="宋体"/>
          <w:sz w:val="22"/>
          <w:szCs w:val="22"/>
        </w:rPr>
        <w:t>在招标采购过程中与采购人进行协商谈判的；</w:t>
      </w:r>
    </w:p>
    <w:p>
      <w:pPr>
        <w:pStyle w:val="19"/>
        <w:spacing w:line="400" w:lineRule="exact"/>
        <w:ind w:firstLine="420"/>
        <w:rPr>
          <w:rFonts w:hAnsi="宋体" w:cs="宋体"/>
          <w:sz w:val="22"/>
          <w:szCs w:val="22"/>
        </w:rPr>
      </w:pPr>
      <w:r>
        <w:rPr>
          <w:rFonts w:hAnsi="宋体" w:cs="宋体"/>
          <w:sz w:val="22"/>
          <w:szCs w:val="22"/>
        </w:rPr>
        <w:t>（6）  拒绝有关部门监督检查或提供虚假情况的。</w:t>
      </w:r>
    </w:p>
    <w:p>
      <w:pPr>
        <w:pStyle w:val="19"/>
        <w:spacing w:line="400" w:lineRule="exact"/>
        <w:ind w:firstLine="482"/>
        <w:rPr>
          <w:rFonts w:hAnsi="宋体"/>
          <w:sz w:val="22"/>
          <w:szCs w:val="22"/>
        </w:rPr>
      </w:pPr>
      <w:r>
        <w:rPr>
          <w:rFonts w:hAnsi="宋体"/>
          <w:sz w:val="22"/>
          <w:szCs w:val="22"/>
        </w:rPr>
        <w:t>1</w:t>
      </w:r>
      <w:r>
        <w:rPr>
          <w:rFonts w:hint="eastAsia" w:hAnsi="宋体"/>
          <w:sz w:val="22"/>
          <w:szCs w:val="22"/>
        </w:rPr>
        <w:t>1、我方及由本人担任法定代表人的其他机构最近三年内被通报或者被处罚的违法行为有：</w:t>
      </w:r>
      <w:r>
        <w:rPr>
          <w:rFonts w:hAnsi="宋体"/>
          <w:sz w:val="22"/>
          <w:szCs w:val="22"/>
          <w:u w:val="single"/>
        </w:rPr>
        <w:t>__________________________________________________________________________</w:t>
      </w:r>
      <w:r>
        <w:rPr>
          <w:rFonts w:hint="eastAsia" w:hAnsi="宋体"/>
          <w:sz w:val="22"/>
          <w:szCs w:val="22"/>
        </w:rPr>
        <w:t>。</w:t>
      </w:r>
    </w:p>
    <w:p>
      <w:pPr>
        <w:pStyle w:val="19"/>
        <w:spacing w:line="400" w:lineRule="exact"/>
        <w:ind w:left="420"/>
        <w:rPr>
          <w:rFonts w:hAnsi="宋体"/>
          <w:sz w:val="22"/>
          <w:szCs w:val="22"/>
        </w:rPr>
      </w:pPr>
      <w:r>
        <w:rPr>
          <w:rFonts w:hAnsi="宋体"/>
          <w:sz w:val="22"/>
          <w:szCs w:val="22"/>
        </w:rPr>
        <w:t>1</w:t>
      </w:r>
      <w:r>
        <w:rPr>
          <w:rFonts w:hint="eastAsia" w:hAnsi="宋体"/>
          <w:sz w:val="22"/>
          <w:szCs w:val="22"/>
        </w:rPr>
        <w:t>2、以上事项如有虚假或隐瞒，我方愿意承担一切后果，并不再寻求任何旨在减轻或免除法律责任的辩解。</w:t>
      </w:r>
    </w:p>
    <w:p>
      <w:pPr>
        <w:pStyle w:val="19"/>
        <w:spacing w:line="400" w:lineRule="exact"/>
        <w:ind w:firstLine="420"/>
        <w:rPr>
          <w:rFonts w:hAnsi="宋体"/>
          <w:sz w:val="22"/>
          <w:szCs w:val="22"/>
          <w:u w:val="single"/>
        </w:rPr>
      </w:pPr>
      <w:r>
        <w:rPr>
          <w:rFonts w:hint="eastAsia" w:hAnsi="宋体"/>
          <w:sz w:val="22"/>
          <w:szCs w:val="22"/>
        </w:rPr>
        <w:t>投标人：</w:t>
      </w:r>
      <w:r>
        <w:rPr>
          <w:rFonts w:hint="eastAsia" w:hAnsi="宋体"/>
          <w:sz w:val="22"/>
          <w:szCs w:val="22"/>
          <w:u w:val="single"/>
        </w:rPr>
        <w:t>　　　　　　　　　</w:t>
      </w:r>
      <w:r>
        <w:rPr>
          <w:rFonts w:hint="eastAsia" w:hAnsi="宋体"/>
          <w:sz w:val="22"/>
          <w:szCs w:val="22"/>
        </w:rPr>
        <w:t>（盖单位公章）</w:t>
      </w:r>
    </w:p>
    <w:p>
      <w:pPr>
        <w:pStyle w:val="19"/>
        <w:spacing w:line="400" w:lineRule="exact"/>
        <w:ind w:firstLine="420"/>
        <w:rPr>
          <w:rFonts w:hAnsi="宋体"/>
          <w:sz w:val="22"/>
          <w:szCs w:val="22"/>
        </w:rPr>
      </w:pPr>
      <w:r>
        <w:rPr>
          <w:rFonts w:hint="eastAsia" w:hAnsi="宋体"/>
          <w:sz w:val="22"/>
          <w:szCs w:val="22"/>
        </w:rPr>
        <w:t>法定代表人或其委托代理人：</w:t>
      </w:r>
      <w:r>
        <w:rPr>
          <w:rFonts w:hint="eastAsia" w:hAnsi="宋体"/>
          <w:sz w:val="22"/>
          <w:szCs w:val="22"/>
          <w:u w:val="single"/>
        </w:rPr>
        <w:t>　　　　　　　　　</w:t>
      </w:r>
      <w:r>
        <w:rPr>
          <w:rFonts w:hint="eastAsia" w:hAnsi="宋体"/>
          <w:sz w:val="22"/>
          <w:szCs w:val="22"/>
        </w:rPr>
        <w:t>（签字或盖章）</w:t>
      </w:r>
    </w:p>
    <w:p>
      <w:pPr>
        <w:pStyle w:val="19"/>
        <w:spacing w:line="400" w:lineRule="exact"/>
        <w:ind w:firstLine="420"/>
        <w:rPr>
          <w:rFonts w:hAnsi="宋体"/>
          <w:sz w:val="22"/>
          <w:szCs w:val="22"/>
          <w:u w:val="single"/>
        </w:rPr>
      </w:pPr>
      <w:r>
        <w:rPr>
          <w:rFonts w:hint="eastAsia" w:hAnsi="宋体"/>
          <w:sz w:val="22"/>
          <w:szCs w:val="22"/>
        </w:rPr>
        <w:t>地址：</w:t>
      </w:r>
      <w:r>
        <w:rPr>
          <w:rFonts w:hint="eastAsia" w:hAnsi="宋体"/>
          <w:sz w:val="22"/>
          <w:szCs w:val="22"/>
          <w:u w:val="single"/>
        </w:rPr>
        <w:t>　　　　　　　　　</w:t>
      </w:r>
    </w:p>
    <w:p>
      <w:pPr>
        <w:pStyle w:val="19"/>
        <w:spacing w:line="400" w:lineRule="exact"/>
        <w:ind w:firstLine="420"/>
        <w:rPr>
          <w:rFonts w:hAnsi="宋体"/>
          <w:sz w:val="22"/>
          <w:szCs w:val="22"/>
          <w:u w:val="single"/>
        </w:rPr>
      </w:pPr>
      <w:r>
        <w:rPr>
          <w:rFonts w:hint="eastAsia" w:hAnsi="宋体"/>
          <w:sz w:val="22"/>
          <w:szCs w:val="22"/>
        </w:rPr>
        <w:t>电话：</w:t>
      </w:r>
      <w:r>
        <w:rPr>
          <w:rFonts w:hint="eastAsia" w:hAnsi="宋体"/>
          <w:sz w:val="22"/>
          <w:szCs w:val="22"/>
          <w:u w:val="single"/>
        </w:rPr>
        <w:t>　　　　　　　　　</w:t>
      </w:r>
    </w:p>
    <w:p>
      <w:pPr>
        <w:pStyle w:val="19"/>
        <w:spacing w:line="400" w:lineRule="exact"/>
        <w:ind w:firstLine="420"/>
        <w:rPr>
          <w:rFonts w:hAnsi="宋体"/>
          <w:sz w:val="22"/>
          <w:szCs w:val="22"/>
        </w:rPr>
      </w:pPr>
      <w:r>
        <w:rPr>
          <w:rFonts w:hint="eastAsia" w:hAnsi="宋体"/>
          <w:sz w:val="22"/>
          <w:szCs w:val="22"/>
        </w:rPr>
        <w:t>传真：</w:t>
      </w:r>
      <w:r>
        <w:rPr>
          <w:rFonts w:hint="eastAsia" w:hAnsi="宋体"/>
          <w:sz w:val="22"/>
          <w:szCs w:val="22"/>
          <w:u w:val="single"/>
        </w:rPr>
        <w:t>　　　　　　　　　　　　　　　　　　　　　　　　　　　　</w:t>
      </w:r>
    </w:p>
    <w:p>
      <w:pPr>
        <w:pStyle w:val="19"/>
        <w:spacing w:line="400" w:lineRule="exact"/>
        <w:ind w:firstLine="420"/>
        <w:rPr>
          <w:rFonts w:hAnsi="宋体"/>
          <w:sz w:val="22"/>
          <w:szCs w:val="22"/>
          <w:u w:val="single"/>
        </w:rPr>
      </w:pPr>
      <w:r>
        <w:rPr>
          <w:rFonts w:hint="eastAsia" w:hAnsi="宋体"/>
          <w:sz w:val="22"/>
          <w:szCs w:val="22"/>
        </w:rPr>
        <w:t>邮政编码：</w:t>
      </w:r>
      <w:r>
        <w:rPr>
          <w:rFonts w:hint="eastAsia" w:hAnsi="宋体"/>
          <w:sz w:val="22"/>
          <w:szCs w:val="22"/>
          <w:u w:val="single"/>
        </w:rPr>
        <w:t>　　　　　　　　　</w:t>
      </w:r>
    </w:p>
    <w:p>
      <w:pPr>
        <w:pStyle w:val="19"/>
        <w:spacing w:line="400" w:lineRule="exact"/>
        <w:ind w:firstLine="420"/>
        <w:rPr>
          <w:rFonts w:hAnsi="宋体"/>
          <w:sz w:val="22"/>
          <w:szCs w:val="22"/>
          <w:u w:val="single"/>
        </w:rPr>
      </w:pPr>
      <w:r>
        <w:rPr>
          <w:rFonts w:hint="eastAsia" w:hAnsi="宋体"/>
          <w:sz w:val="22"/>
          <w:szCs w:val="22"/>
        </w:rPr>
        <w:t xml:space="preserve">开户名称： </w:t>
      </w:r>
      <w:r>
        <w:rPr>
          <w:rFonts w:hint="eastAsia" w:hAnsi="宋体"/>
          <w:sz w:val="22"/>
          <w:szCs w:val="22"/>
          <w:u w:val="single"/>
        </w:rPr>
        <w:t>　　　　　　　　　</w:t>
      </w:r>
    </w:p>
    <w:p>
      <w:pPr>
        <w:pStyle w:val="19"/>
        <w:spacing w:line="400" w:lineRule="exact"/>
        <w:ind w:firstLine="420"/>
        <w:rPr>
          <w:rFonts w:hAnsi="宋体"/>
          <w:sz w:val="22"/>
          <w:szCs w:val="22"/>
          <w:u w:val="single"/>
        </w:rPr>
      </w:pPr>
      <w:r>
        <w:rPr>
          <w:rFonts w:hint="eastAsia" w:hAnsi="宋体"/>
          <w:sz w:val="22"/>
          <w:szCs w:val="22"/>
        </w:rPr>
        <w:t>开户银行：</w:t>
      </w:r>
      <w:r>
        <w:rPr>
          <w:rFonts w:hint="eastAsia" w:hAnsi="宋体"/>
          <w:sz w:val="22"/>
          <w:szCs w:val="22"/>
          <w:u w:val="single"/>
        </w:rPr>
        <w:t>　　　　　　　　　</w:t>
      </w:r>
    </w:p>
    <w:p>
      <w:pPr>
        <w:pStyle w:val="19"/>
        <w:spacing w:line="400" w:lineRule="exact"/>
        <w:ind w:firstLine="420"/>
        <w:rPr>
          <w:rFonts w:hAnsi="宋体"/>
          <w:sz w:val="22"/>
          <w:szCs w:val="22"/>
          <w:u w:val="single"/>
        </w:rPr>
      </w:pPr>
      <w:r>
        <w:rPr>
          <w:rFonts w:hint="eastAsia" w:hAnsi="宋体"/>
          <w:sz w:val="22"/>
          <w:szCs w:val="22"/>
        </w:rPr>
        <w:t>银行账号：</w:t>
      </w:r>
      <w:r>
        <w:rPr>
          <w:rFonts w:hint="eastAsia" w:hAnsi="宋体"/>
          <w:sz w:val="22"/>
          <w:szCs w:val="22"/>
          <w:u w:val="single"/>
        </w:rPr>
        <w:t>　　　　　　　　　</w:t>
      </w:r>
    </w:p>
    <w:p>
      <w:pPr>
        <w:pStyle w:val="19"/>
        <w:spacing w:line="400" w:lineRule="exact"/>
        <w:ind w:firstLine="424" w:firstLineChars="193"/>
        <w:rPr>
          <w:rFonts w:hAnsi="宋体"/>
          <w:szCs w:val="21"/>
        </w:rPr>
      </w:pPr>
      <w:r>
        <w:rPr>
          <w:rFonts w:hint="eastAsia" w:hAnsi="宋体"/>
          <w:sz w:val="22"/>
          <w:szCs w:val="22"/>
          <w:u w:val="single"/>
        </w:rPr>
        <w:t>　　</w:t>
      </w:r>
      <w:r>
        <w:rPr>
          <w:rFonts w:hint="eastAsia" w:hAnsi="宋体"/>
          <w:sz w:val="22"/>
          <w:szCs w:val="22"/>
        </w:rPr>
        <w:t xml:space="preserve">年 </w:t>
      </w:r>
      <w:r>
        <w:rPr>
          <w:rFonts w:hint="eastAsia" w:hAnsi="宋体"/>
          <w:sz w:val="22"/>
          <w:szCs w:val="22"/>
          <w:u w:val="single"/>
        </w:rPr>
        <w:t>　　</w:t>
      </w:r>
      <w:r>
        <w:rPr>
          <w:rFonts w:hint="eastAsia" w:hAnsi="宋体"/>
          <w:sz w:val="22"/>
          <w:szCs w:val="22"/>
        </w:rPr>
        <w:t xml:space="preserve">月 </w:t>
      </w:r>
      <w:r>
        <w:rPr>
          <w:rFonts w:hint="eastAsia" w:hAnsi="宋体"/>
          <w:sz w:val="22"/>
          <w:szCs w:val="22"/>
          <w:u w:val="single"/>
        </w:rPr>
        <w:t>　　</w:t>
      </w:r>
      <w:r>
        <w:rPr>
          <w:rFonts w:hint="eastAsia" w:hAnsi="宋体"/>
          <w:sz w:val="22"/>
          <w:szCs w:val="22"/>
        </w:rPr>
        <w:t>日</w:t>
      </w:r>
    </w:p>
    <w:p>
      <w:pPr>
        <w:pStyle w:val="19"/>
        <w:spacing w:line="360" w:lineRule="exact"/>
        <w:ind w:firstLine="420"/>
        <w:rPr>
          <w:rFonts w:hAnsi="宋体"/>
          <w:b/>
        </w:rPr>
      </w:pPr>
    </w:p>
    <w:p>
      <w:pPr>
        <w:pStyle w:val="19"/>
        <w:spacing w:line="360" w:lineRule="auto"/>
        <w:ind w:firstLine="420"/>
        <w:jc w:val="center"/>
        <w:rPr>
          <w:rFonts w:hAnsi="宋体"/>
          <w:b/>
          <w:bCs/>
          <w:sz w:val="30"/>
          <w:szCs w:val="30"/>
        </w:rPr>
      </w:pPr>
    </w:p>
    <w:p>
      <w:pPr>
        <w:pStyle w:val="19"/>
        <w:spacing w:line="360" w:lineRule="auto"/>
        <w:ind w:firstLine="420"/>
        <w:jc w:val="center"/>
        <w:rPr>
          <w:rFonts w:hAnsi="宋体"/>
          <w:b/>
          <w:bCs/>
          <w:sz w:val="30"/>
          <w:szCs w:val="30"/>
        </w:rPr>
      </w:pPr>
    </w:p>
    <w:p>
      <w:pPr>
        <w:pStyle w:val="19"/>
        <w:spacing w:line="360" w:lineRule="auto"/>
        <w:ind w:firstLine="420"/>
        <w:jc w:val="center"/>
        <w:rPr>
          <w:rFonts w:hAnsi="宋体"/>
          <w:b/>
          <w:bCs/>
          <w:sz w:val="30"/>
          <w:szCs w:val="30"/>
        </w:rPr>
      </w:pPr>
    </w:p>
    <w:p>
      <w:pPr>
        <w:pStyle w:val="19"/>
        <w:spacing w:line="360" w:lineRule="auto"/>
        <w:ind w:firstLine="420"/>
        <w:jc w:val="center"/>
        <w:rPr>
          <w:rFonts w:hAnsi="宋体"/>
          <w:b/>
          <w:bCs/>
          <w:sz w:val="30"/>
          <w:szCs w:val="30"/>
        </w:rPr>
      </w:pPr>
    </w:p>
    <w:p>
      <w:pPr>
        <w:pStyle w:val="19"/>
        <w:spacing w:line="360" w:lineRule="auto"/>
        <w:ind w:firstLine="420"/>
        <w:jc w:val="center"/>
        <w:rPr>
          <w:rFonts w:hAnsi="宋体"/>
          <w:b/>
          <w:bCs/>
          <w:sz w:val="30"/>
          <w:szCs w:val="30"/>
        </w:rPr>
      </w:pPr>
    </w:p>
    <w:p>
      <w:pPr>
        <w:pStyle w:val="19"/>
        <w:spacing w:line="360" w:lineRule="auto"/>
        <w:ind w:firstLine="420"/>
        <w:jc w:val="center"/>
        <w:rPr>
          <w:rFonts w:hAnsi="宋体"/>
          <w:b/>
          <w:bCs/>
          <w:sz w:val="30"/>
          <w:szCs w:val="30"/>
        </w:rPr>
      </w:pPr>
    </w:p>
    <w:p>
      <w:pPr>
        <w:pStyle w:val="19"/>
        <w:spacing w:line="360" w:lineRule="auto"/>
        <w:ind w:firstLine="420"/>
        <w:jc w:val="center"/>
        <w:rPr>
          <w:rFonts w:hAnsi="宋体"/>
          <w:b/>
          <w:bCs/>
          <w:sz w:val="30"/>
          <w:szCs w:val="30"/>
        </w:rPr>
      </w:pPr>
    </w:p>
    <w:p>
      <w:pPr>
        <w:pStyle w:val="19"/>
        <w:spacing w:line="360" w:lineRule="auto"/>
        <w:ind w:firstLine="420"/>
        <w:jc w:val="center"/>
        <w:rPr>
          <w:rFonts w:hAnsi="宋体"/>
          <w:b/>
          <w:bCs/>
          <w:sz w:val="30"/>
          <w:szCs w:val="30"/>
        </w:rPr>
      </w:pPr>
      <w:r>
        <w:rPr>
          <w:rFonts w:hint="eastAsia" w:hAnsi="宋体"/>
          <w:b/>
          <w:bCs/>
          <w:sz w:val="30"/>
          <w:szCs w:val="30"/>
        </w:rPr>
        <w:t>投标报价表（格式）</w:t>
      </w:r>
    </w:p>
    <w:p>
      <w:pPr>
        <w:pStyle w:val="19"/>
        <w:spacing w:line="360" w:lineRule="auto"/>
        <w:ind w:firstLine="420"/>
        <w:jc w:val="center"/>
        <w:rPr>
          <w:rFonts w:hAnsi="宋体"/>
          <w:b/>
          <w:sz w:val="24"/>
        </w:rPr>
      </w:pPr>
    </w:p>
    <w:tbl>
      <w:tblPr>
        <w:tblStyle w:val="34"/>
        <w:tblW w:w="964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0"/>
        <w:gridCol w:w="1081"/>
        <w:gridCol w:w="900"/>
        <w:gridCol w:w="1801"/>
        <w:gridCol w:w="1081"/>
        <w:gridCol w:w="1439"/>
        <w:gridCol w:w="1786"/>
        <w:gridCol w:w="8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33" w:hRule="atLeast"/>
          <w:jc w:val="center"/>
        </w:trPr>
        <w:tc>
          <w:tcPr>
            <w:tcW w:w="720" w:type="dxa"/>
            <w:tcBorders>
              <w:top w:val="single" w:color="auto" w:sz="4" w:space="0"/>
              <w:left w:val="single" w:color="auto" w:sz="4" w:space="0"/>
              <w:bottom w:val="single" w:color="auto" w:sz="4" w:space="0"/>
              <w:right w:val="single" w:color="auto" w:sz="4" w:space="0"/>
            </w:tcBorders>
            <w:noWrap/>
            <w:vAlign w:val="center"/>
          </w:tcPr>
          <w:p>
            <w:pPr>
              <w:rPr>
                <w:rFonts w:ascii="宋体" w:hAnsi="宋体"/>
                <w:szCs w:val="21"/>
              </w:rPr>
            </w:pPr>
            <w:r>
              <w:rPr>
                <w:rFonts w:hint="eastAsia" w:ascii="宋体" w:hAnsi="宋体"/>
                <w:szCs w:val="21"/>
              </w:rPr>
              <w:t>序号</w:t>
            </w:r>
          </w:p>
        </w:tc>
        <w:tc>
          <w:tcPr>
            <w:tcW w:w="1080" w:type="dxa"/>
            <w:tcBorders>
              <w:top w:val="single" w:color="auto" w:sz="4" w:space="0"/>
              <w:left w:val="single" w:color="auto" w:sz="4" w:space="0"/>
              <w:bottom w:val="single" w:color="auto" w:sz="4" w:space="0"/>
              <w:right w:val="single" w:color="auto" w:sz="4" w:space="0"/>
            </w:tcBorders>
            <w:noWrap/>
            <w:vAlign w:val="center"/>
          </w:tcPr>
          <w:p>
            <w:pPr>
              <w:rPr>
                <w:rFonts w:ascii="宋体" w:hAnsi="宋体"/>
                <w:szCs w:val="21"/>
              </w:rPr>
            </w:pPr>
            <w:r>
              <w:rPr>
                <w:rFonts w:hint="eastAsia" w:ascii="宋体" w:hAnsi="宋体"/>
                <w:szCs w:val="21"/>
              </w:rPr>
              <w:t>货物名称</w:t>
            </w:r>
          </w:p>
        </w:tc>
        <w:tc>
          <w:tcPr>
            <w:tcW w:w="900" w:type="dxa"/>
            <w:tcBorders>
              <w:top w:val="single" w:color="auto" w:sz="4" w:space="0"/>
              <w:left w:val="single" w:color="auto" w:sz="4" w:space="0"/>
              <w:bottom w:val="single" w:color="auto" w:sz="4" w:space="0"/>
              <w:right w:val="single" w:color="auto" w:sz="4" w:space="0"/>
            </w:tcBorders>
            <w:noWrap/>
            <w:vAlign w:val="center"/>
          </w:tcPr>
          <w:p>
            <w:pPr>
              <w:rPr>
                <w:rFonts w:ascii="宋体" w:hAnsi="宋体"/>
                <w:szCs w:val="21"/>
              </w:rPr>
            </w:pPr>
            <w:r>
              <w:rPr>
                <w:rFonts w:hint="eastAsia" w:ascii="宋体" w:hAnsi="宋体"/>
                <w:szCs w:val="21"/>
              </w:rPr>
              <w:t>数量①</w:t>
            </w:r>
          </w:p>
        </w:tc>
        <w:tc>
          <w:tcPr>
            <w:tcW w:w="1800" w:type="dxa"/>
            <w:tcBorders>
              <w:top w:val="single" w:color="auto" w:sz="4" w:space="0"/>
              <w:left w:val="single" w:color="auto" w:sz="4" w:space="0"/>
              <w:bottom w:val="single" w:color="auto" w:sz="4" w:space="0"/>
              <w:right w:val="single" w:color="auto" w:sz="4" w:space="0"/>
            </w:tcBorders>
            <w:noWrap/>
            <w:vAlign w:val="center"/>
          </w:tcPr>
          <w:p>
            <w:pPr>
              <w:rPr>
                <w:rFonts w:ascii="宋体" w:hAnsi="宋体"/>
                <w:szCs w:val="21"/>
              </w:rPr>
            </w:pPr>
            <w:r>
              <w:rPr>
                <w:rFonts w:hint="eastAsia" w:ascii="宋体" w:hAnsi="宋体"/>
                <w:szCs w:val="21"/>
              </w:rPr>
              <w:t>货物全称、品牌、生产厂家及国别</w:t>
            </w:r>
          </w:p>
        </w:tc>
        <w:tc>
          <w:tcPr>
            <w:tcW w:w="1080" w:type="dxa"/>
            <w:tcBorders>
              <w:top w:val="single" w:color="auto" w:sz="4" w:space="0"/>
              <w:left w:val="single" w:color="auto" w:sz="4" w:space="0"/>
              <w:bottom w:val="single" w:color="auto" w:sz="4" w:space="0"/>
              <w:right w:val="single" w:color="auto" w:sz="4" w:space="0"/>
            </w:tcBorders>
            <w:noWrap/>
            <w:vAlign w:val="center"/>
          </w:tcPr>
          <w:p>
            <w:pPr>
              <w:rPr>
                <w:rFonts w:ascii="宋体" w:hAnsi="宋体"/>
                <w:szCs w:val="21"/>
              </w:rPr>
            </w:pPr>
            <w:r>
              <w:rPr>
                <w:rFonts w:hint="eastAsia" w:ascii="宋体" w:hAnsi="宋体"/>
                <w:szCs w:val="21"/>
              </w:rPr>
              <w:t>规格型号</w:t>
            </w:r>
          </w:p>
        </w:tc>
        <w:tc>
          <w:tcPr>
            <w:tcW w:w="1438" w:type="dxa"/>
            <w:tcBorders>
              <w:top w:val="single" w:color="auto" w:sz="4" w:space="0"/>
              <w:left w:val="single" w:color="auto" w:sz="4" w:space="0"/>
              <w:bottom w:val="single" w:color="auto" w:sz="4" w:space="0"/>
              <w:right w:val="single" w:color="auto" w:sz="4" w:space="0"/>
            </w:tcBorders>
            <w:noWrap/>
            <w:vAlign w:val="center"/>
          </w:tcPr>
          <w:p>
            <w:pPr>
              <w:rPr>
                <w:rFonts w:ascii="宋体" w:hAnsi="宋体"/>
                <w:szCs w:val="21"/>
              </w:rPr>
            </w:pPr>
            <w:r>
              <w:rPr>
                <w:rFonts w:hint="eastAsia" w:ascii="宋体" w:hAnsi="宋体"/>
                <w:szCs w:val="21"/>
              </w:rPr>
              <w:t>单价(元)②</w:t>
            </w:r>
          </w:p>
        </w:tc>
        <w:tc>
          <w:tcPr>
            <w:tcW w:w="1785" w:type="dxa"/>
            <w:tcBorders>
              <w:top w:val="single" w:color="auto" w:sz="4" w:space="0"/>
              <w:left w:val="single" w:color="auto" w:sz="4" w:space="0"/>
              <w:bottom w:val="single" w:color="auto" w:sz="4" w:space="0"/>
              <w:right w:val="single" w:color="auto" w:sz="4" w:space="0"/>
            </w:tcBorders>
            <w:noWrap/>
            <w:vAlign w:val="center"/>
          </w:tcPr>
          <w:p>
            <w:pPr>
              <w:rPr>
                <w:rFonts w:ascii="宋体" w:hAnsi="宋体"/>
                <w:szCs w:val="21"/>
              </w:rPr>
            </w:pPr>
            <w:r>
              <w:rPr>
                <w:rFonts w:hint="eastAsia" w:ascii="宋体" w:hAnsi="宋体"/>
                <w:szCs w:val="21"/>
              </w:rPr>
              <w:t>单项合价（元）</w:t>
            </w:r>
          </w:p>
          <w:p>
            <w:pPr>
              <w:rPr>
                <w:rFonts w:ascii="宋体" w:hAnsi="宋体"/>
                <w:szCs w:val="21"/>
              </w:rPr>
            </w:pPr>
            <w:r>
              <w:rPr>
                <w:rFonts w:hint="eastAsia" w:ascii="宋体" w:hAnsi="宋体"/>
                <w:szCs w:val="21"/>
              </w:rPr>
              <w:t>③＝①×②</w:t>
            </w:r>
          </w:p>
        </w:tc>
        <w:tc>
          <w:tcPr>
            <w:tcW w:w="840" w:type="dxa"/>
            <w:tcBorders>
              <w:top w:val="single" w:color="auto" w:sz="4" w:space="0"/>
              <w:left w:val="single" w:color="auto" w:sz="4" w:space="0"/>
              <w:bottom w:val="single" w:color="auto" w:sz="4" w:space="0"/>
              <w:right w:val="single" w:color="auto" w:sz="4" w:space="0"/>
            </w:tcBorders>
            <w:noWrap/>
            <w:vAlign w:val="center"/>
          </w:tcPr>
          <w:p>
            <w:pPr>
              <w:rPr>
                <w:rFonts w:ascii="宋体" w:hAnsi="宋体"/>
                <w:szCs w:val="21"/>
              </w:rPr>
            </w:pPr>
            <w:r>
              <w:rPr>
                <w:rFonts w:hint="eastAsia" w:ascii="宋体" w:hAnsi="宋体"/>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720" w:type="dxa"/>
            <w:tcBorders>
              <w:top w:val="single" w:color="auto" w:sz="4" w:space="0"/>
              <w:left w:val="single" w:color="auto" w:sz="4" w:space="0"/>
              <w:bottom w:val="single" w:color="auto" w:sz="4" w:space="0"/>
              <w:right w:val="single" w:color="auto" w:sz="4" w:space="0"/>
            </w:tcBorders>
            <w:noWrap/>
            <w:vAlign w:val="center"/>
          </w:tcPr>
          <w:p>
            <w:pPr>
              <w:rPr>
                <w:rFonts w:ascii="宋体" w:hAnsi="宋体"/>
                <w:szCs w:val="21"/>
              </w:rPr>
            </w:pPr>
            <w:r>
              <w:rPr>
                <w:rFonts w:hint="eastAsia" w:ascii="宋体" w:hAnsi="宋体"/>
                <w:szCs w:val="21"/>
              </w:rPr>
              <w:t>1</w:t>
            </w:r>
          </w:p>
        </w:tc>
        <w:tc>
          <w:tcPr>
            <w:tcW w:w="1080" w:type="dxa"/>
            <w:tcBorders>
              <w:top w:val="single" w:color="auto" w:sz="4" w:space="0"/>
              <w:left w:val="single" w:color="auto" w:sz="4" w:space="0"/>
              <w:bottom w:val="single" w:color="auto" w:sz="4" w:space="0"/>
              <w:right w:val="single" w:color="auto" w:sz="4" w:space="0"/>
            </w:tcBorders>
            <w:noWrap/>
            <w:vAlign w:val="center"/>
          </w:tcPr>
          <w:p>
            <w:pPr>
              <w:rPr>
                <w:rFonts w:ascii="宋体" w:hAnsi="宋体"/>
                <w:szCs w:val="21"/>
              </w:rPr>
            </w:pPr>
          </w:p>
        </w:tc>
        <w:tc>
          <w:tcPr>
            <w:tcW w:w="900" w:type="dxa"/>
            <w:tcBorders>
              <w:top w:val="single" w:color="auto" w:sz="4" w:space="0"/>
              <w:left w:val="single" w:color="auto" w:sz="4" w:space="0"/>
              <w:bottom w:val="single" w:color="auto" w:sz="4" w:space="0"/>
              <w:right w:val="single" w:color="auto" w:sz="4" w:space="0"/>
            </w:tcBorders>
            <w:noWrap/>
            <w:vAlign w:val="center"/>
          </w:tcPr>
          <w:p>
            <w:pPr>
              <w:rPr>
                <w:rFonts w:ascii="宋体" w:hAnsi="宋体"/>
                <w:szCs w:val="21"/>
              </w:rPr>
            </w:pPr>
          </w:p>
        </w:tc>
        <w:tc>
          <w:tcPr>
            <w:tcW w:w="1800" w:type="dxa"/>
            <w:tcBorders>
              <w:top w:val="single" w:color="auto" w:sz="4" w:space="0"/>
              <w:left w:val="single" w:color="auto" w:sz="4" w:space="0"/>
              <w:bottom w:val="single" w:color="auto" w:sz="4" w:space="0"/>
              <w:right w:val="single" w:color="auto" w:sz="4" w:space="0"/>
            </w:tcBorders>
            <w:noWrap/>
            <w:vAlign w:val="center"/>
          </w:tcPr>
          <w:p>
            <w:pPr>
              <w:rPr>
                <w:rFonts w:ascii="宋体" w:hAnsi="宋体"/>
                <w:szCs w:val="21"/>
              </w:rPr>
            </w:pPr>
          </w:p>
        </w:tc>
        <w:tc>
          <w:tcPr>
            <w:tcW w:w="1080" w:type="dxa"/>
            <w:tcBorders>
              <w:top w:val="single" w:color="auto" w:sz="4" w:space="0"/>
              <w:left w:val="single" w:color="auto" w:sz="4" w:space="0"/>
              <w:bottom w:val="single" w:color="auto" w:sz="4" w:space="0"/>
              <w:right w:val="single" w:color="auto" w:sz="4" w:space="0"/>
            </w:tcBorders>
            <w:noWrap/>
            <w:vAlign w:val="center"/>
          </w:tcPr>
          <w:p>
            <w:pPr>
              <w:rPr>
                <w:rFonts w:ascii="宋体" w:hAnsi="宋体"/>
                <w:szCs w:val="21"/>
              </w:rPr>
            </w:pPr>
          </w:p>
        </w:tc>
        <w:tc>
          <w:tcPr>
            <w:tcW w:w="1438" w:type="dxa"/>
            <w:tcBorders>
              <w:top w:val="single" w:color="auto" w:sz="4" w:space="0"/>
              <w:left w:val="single" w:color="auto" w:sz="4" w:space="0"/>
              <w:bottom w:val="single" w:color="auto" w:sz="4" w:space="0"/>
              <w:right w:val="single" w:color="auto" w:sz="4" w:space="0"/>
            </w:tcBorders>
            <w:noWrap/>
            <w:vAlign w:val="center"/>
          </w:tcPr>
          <w:p>
            <w:pPr>
              <w:rPr>
                <w:rFonts w:ascii="宋体" w:hAnsi="宋体"/>
                <w:szCs w:val="21"/>
              </w:rPr>
            </w:pPr>
          </w:p>
        </w:tc>
        <w:tc>
          <w:tcPr>
            <w:tcW w:w="1785" w:type="dxa"/>
            <w:tcBorders>
              <w:top w:val="single" w:color="auto" w:sz="4" w:space="0"/>
              <w:left w:val="single" w:color="auto" w:sz="4" w:space="0"/>
              <w:bottom w:val="single" w:color="auto" w:sz="4" w:space="0"/>
              <w:right w:val="single" w:color="auto" w:sz="4" w:space="0"/>
            </w:tcBorders>
            <w:noWrap/>
            <w:vAlign w:val="center"/>
          </w:tcPr>
          <w:p>
            <w:pPr>
              <w:rPr>
                <w:rFonts w:ascii="宋体" w:hAnsi="宋体"/>
                <w:szCs w:val="21"/>
              </w:rPr>
            </w:pPr>
          </w:p>
        </w:tc>
        <w:tc>
          <w:tcPr>
            <w:tcW w:w="840" w:type="dxa"/>
            <w:tcBorders>
              <w:top w:val="single" w:color="auto" w:sz="4" w:space="0"/>
              <w:left w:val="single" w:color="auto" w:sz="4" w:space="0"/>
              <w:bottom w:val="single" w:color="auto" w:sz="4" w:space="0"/>
              <w:right w:val="single" w:color="auto" w:sz="4" w:space="0"/>
            </w:tcBorders>
            <w:noWrap/>
            <w:vAlign w:val="center"/>
          </w:tcPr>
          <w:p>
            <w:pP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720" w:type="dxa"/>
            <w:tcBorders>
              <w:top w:val="single" w:color="auto" w:sz="4" w:space="0"/>
              <w:left w:val="single" w:color="auto" w:sz="4" w:space="0"/>
              <w:bottom w:val="single" w:color="auto" w:sz="4" w:space="0"/>
              <w:right w:val="single" w:color="auto" w:sz="4" w:space="0"/>
            </w:tcBorders>
            <w:noWrap/>
            <w:vAlign w:val="center"/>
          </w:tcPr>
          <w:p>
            <w:pPr>
              <w:rPr>
                <w:rFonts w:ascii="宋体" w:hAnsi="宋体"/>
                <w:szCs w:val="21"/>
              </w:rPr>
            </w:pPr>
            <w:r>
              <w:rPr>
                <w:rFonts w:hint="eastAsia" w:ascii="宋体" w:hAnsi="宋体"/>
                <w:szCs w:val="21"/>
              </w:rPr>
              <w:t>2</w:t>
            </w:r>
          </w:p>
        </w:tc>
        <w:tc>
          <w:tcPr>
            <w:tcW w:w="1080" w:type="dxa"/>
            <w:tcBorders>
              <w:top w:val="single" w:color="auto" w:sz="4" w:space="0"/>
              <w:left w:val="single" w:color="auto" w:sz="4" w:space="0"/>
              <w:bottom w:val="single" w:color="auto" w:sz="4" w:space="0"/>
              <w:right w:val="single" w:color="auto" w:sz="4" w:space="0"/>
            </w:tcBorders>
            <w:noWrap/>
            <w:vAlign w:val="center"/>
          </w:tcPr>
          <w:p>
            <w:pPr>
              <w:rPr>
                <w:rFonts w:ascii="宋体" w:hAnsi="宋体"/>
                <w:szCs w:val="21"/>
              </w:rPr>
            </w:pPr>
          </w:p>
        </w:tc>
        <w:tc>
          <w:tcPr>
            <w:tcW w:w="900" w:type="dxa"/>
            <w:tcBorders>
              <w:top w:val="single" w:color="auto" w:sz="4" w:space="0"/>
              <w:left w:val="single" w:color="auto" w:sz="4" w:space="0"/>
              <w:bottom w:val="single" w:color="auto" w:sz="4" w:space="0"/>
              <w:right w:val="single" w:color="auto" w:sz="4" w:space="0"/>
            </w:tcBorders>
            <w:noWrap/>
            <w:vAlign w:val="center"/>
          </w:tcPr>
          <w:p>
            <w:pPr>
              <w:rPr>
                <w:rFonts w:ascii="宋体" w:hAnsi="宋体"/>
                <w:szCs w:val="21"/>
              </w:rPr>
            </w:pPr>
          </w:p>
        </w:tc>
        <w:tc>
          <w:tcPr>
            <w:tcW w:w="1800" w:type="dxa"/>
            <w:tcBorders>
              <w:top w:val="single" w:color="auto" w:sz="4" w:space="0"/>
              <w:left w:val="single" w:color="auto" w:sz="4" w:space="0"/>
              <w:bottom w:val="single" w:color="auto" w:sz="4" w:space="0"/>
              <w:right w:val="single" w:color="auto" w:sz="4" w:space="0"/>
            </w:tcBorders>
            <w:noWrap/>
            <w:vAlign w:val="center"/>
          </w:tcPr>
          <w:p>
            <w:pPr>
              <w:rPr>
                <w:rFonts w:ascii="宋体" w:hAnsi="宋体"/>
                <w:szCs w:val="21"/>
              </w:rPr>
            </w:pPr>
          </w:p>
        </w:tc>
        <w:tc>
          <w:tcPr>
            <w:tcW w:w="1080" w:type="dxa"/>
            <w:tcBorders>
              <w:top w:val="single" w:color="auto" w:sz="4" w:space="0"/>
              <w:left w:val="single" w:color="auto" w:sz="4" w:space="0"/>
              <w:bottom w:val="single" w:color="auto" w:sz="4" w:space="0"/>
              <w:right w:val="single" w:color="auto" w:sz="4" w:space="0"/>
            </w:tcBorders>
            <w:noWrap/>
            <w:vAlign w:val="center"/>
          </w:tcPr>
          <w:p>
            <w:pPr>
              <w:rPr>
                <w:rFonts w:ascii="宋体" w:hAnsi="宋体"/>
                <w:szCs w:val="21"/>
              </w:rPr>
            </w:pPr>
          </w:p>
        </w:tc>
        <w:tc>
          <w:tcPr>
            <w:tcW w:w="1438" w:type="dxa"/>
            <w:tcBorders>
              <w:top w:val="single" w:color="auto" w:sz="4" w:space="0"/>
              <w:left w:val="single" w:color="auto" w:sz="4" w:space="0"/>
              <w:bottom w:val="single" w:color="auto" w:sz="4" w:space="0"/>
              <w:right w:val="single" w:color="auto" w:sz="4" w:space="0"/>
            </w:tcBorders>
            <w:noWrap/>
            <w:vAlign w:val="center"/>
          </w:tcPr>
          <w:p>
            <w:pPr>
              <w:rPr>
                <w:rFonts w:ascii="宋体" w:hAnsi="宋体"/>
                <w:szCs w:val="21"/>
              </w:rPr>
            </w:pPr>
          </w:p>
        </w:tc>
        <w:tc>
          <w:tcPr>
            <w:tcW w:w="1785" w:type="dxa"/>
            <w:tcBorders>
              <w:top w:val="single" w:color="auto" w:sz="4" w:space="0"/>
              <w:left w:val="single" w:color="auto" w:sz="4" w:space="0"/>
              <w:bottom w:val="single" w:color="auto" w:sz="4" w:space="0"/>
              <w:right w:val="single" w:color="auto" w:sz="4" w:space="0"/>
            </w:tcBorders>
            <w:noWrap/>
            <w:vAlign w:val="center"/>
          </w:tcPr>
          <w:p>
            <w:pPr>
              <w:rPr>
                <w:rFonts w:ascii="宋体" w:hAnsi="宋体"/>
                <w:szCs w:val="21"/>
              </w:rPr>
            </w:pPr>
          </w:p>
        </w:tc>
        <w:tc>
          <w:tcPr>
            <w:tcW w:w="840" w:type="dxa"/>
            <w:tcBorders>
              <w:top w:val="single" w:color="auto" w:sz="4" w:space="0"/>
              <w:left w:val="single" w:color="auto" w:sz="4" w:space="0"/>
              <w:bottom w:val="single" w:color="auto" w:sz="4" w:space="0"/>
              <w:right w:val="single" w:color="auto" w:sz="4" w:space="0"/>
            </w:tcBorders>
            <w:noWrap/>
            <w:vAlign w:val="center"/>
          </w:tcPr>
          <w:p>
            <w:pP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720" w:type="dxa"/>
            <w:tcBorders>
              <w:top w:val="single" w:color="auto" w:sz="4" w:space="0"/>
              <w:left w:val="single" w:color="auto" w:sz="4" w:space="0"/>
              <w:bottom w:val="single" w:color="auto" w:sz="4" w:space="0"/>
              <w:right w:val="single" w:color="auto" w:sz="4" w:space="0"/>
            </w:tcBorders>
            <w:noWrap/>
            <w:vAlign w:val="center"/>
          </w:tcPr>
          <w:p>
            <w:pPr>
              <w:rPr>
                <w:rFonts w:ascii="宋体" w:hAnsi="宋体"/>
                <w:szCs w:val="21"/>
              </w:rPr>
            </w:pPr>
            <w:r>
              <w:rPr>
                <w:rFonts w:hint="eastAsia" w:ascii="宋体" w:hAnsi="宋体"/>
                <w:szCs w:val="21"/>
              </w:rPr>
              <w:t>...</w:t>
            </w:r>
          </w:p>
        </w:tc>
        <w:tc>
          <w:tcPr>
            <w:tcW w:w="1080" w:type="dxa"/>
            <w:tcBorders>
              <w:top w:val="single" w:color="auto" w:sz="4" w:space="0"/>
              <w:left w:val="single" w:color="auto" w:sz="4" w:space="0"/>
              <w:bottom w:val="single" w:color="auto" w:sz="4" w:space="0"/>
              <w:right w:val="single" w:color="auto" w:sz="4" w:space="0"/>
            </w:tcBorders>
            <w:noWrap/>
            <w:vAlign w:val="center"/>
          </w:tcPr>
          <w:p>
            <w:pPr>
              <w:rPr>
                <w:rFonts w:ascii="宋体" w:hAnsi="宋体"/>
                <w:szCs w:val="21"/>
              </w:rPr>
            </w:pPr>
          </w:p>
        </w:tc>
        <w:tc>
          <w:tcPr>
            <w:tcW w:w="900" w:type="dxa"/>
            <w:tcBorders>
              <w:top w:val="single" w:color="auto" w:sz="4" w:space="0"/>
              <w:left w:val="single" w:color="auto" w:sz="4" w:space="0"/>
              <w:bottom w:val="single" w:color="auto" w:sz="4" w:space="0"/>
              <w:right w:val="single" w:color="auto" w:sz="4" w:space="0"/>
            </w:tcBorders>
            <w:noWrap/>
            <w:vAlign w:val="center"/>
          </w:tcPr>
          <w:p>
            <w:pPr>
              <w:rPr>
                <w:rFonts w:ascii="宋体" w:hAnsi="宋体"/>
                <w:szCs w:val="21"/>
              </w:rPr>
            </w:pPr>
          </w:p>
        </w:tc>
        <w:tc>
          <w:tcPr>
            <w:tcW w:w="1800" w:type="dxa"/>
            <w:tcBorders>
              <w:top w:val="single" w:color="auto" w:sz="4" w:space="0"/>
              <w:left w:val="single" w:color="auto" w:sz="4" w:space="0"/>
              <w:bottom w:val="single" w:color="auto" w:sz="4" w:space="0"/>
              <w:right w:val="single" w:color="auto" w:sz="4" w:space="0"/>
            </w:tcBorders>
            <w:noWrap/>
            <w:vAlign w:val="center"/>
          </w:tcPr>
          <w:p>
            <w:pPr>
              <w:rPr>
                <w:rFonts w:ascii="宋体" w:hAnsi="宋体"/>
                <w:szCs w:val="21"/>
              </w:rPr>
            </w:pPr>
          </w:p>
        </w:tc>
        <w:tc>
          <w:tcPr>
            <w:tcW w:w="1080" w:type="dxa"/>
            <w:tcBorders>
              <w:top w:val="single" w:color="auto" w:sz="4" w:space="0"/>
              <w:left w:val="single" w:color="auto" w:sz="4" w:space="0"/>
              <w:bottom w:val="single" w:color="auto" w:sz="4" w:space="0"/>
              <w:right w:val="single" w:color="auto" w:sz="4" w:space="0"/>
            </w:tcBorders>
            <w:noWrap/>
            <w:vAlign w:val="center"/>
          </w:tcPr>
          <w:p>
            <w:pPr>
              <w:rPr>
                <w:rFonts w:ascii="宋体" w:hAnsi="宋体"/>
                <w:szCs w:val="21"/>
              </w:rPr>
            </w:pPr>
          </w:p>
        </w:tc>
        <w:tc>
          <w:tcPr>
            <w:tcW w:w="1438" w:type="dxa"/>
            <w:tcBorders>
              <w:top w:val="single" w:color="auto" w:sz="4" w:space="0"/>
              <w:left w:val="single" w:color="auto" w:sz="4" w:space="0"/>
              <w:bottom w:val="single" w:color="auto" w:sz="4" w:space="0"/>
              <w:right w:val="single" w:color="auto" w:sz="4" w:space="0"/>
            </w:tcBorders>
            <w:noWrap/>
            <w:vAlign w:val="center"/>
          </w:tcPr>
          <w:p>
            <w:pPr>
              <w:rPr>
                <w:rFonts w:ascii="宋体" w:hAnsi="宋体"/>
                <w:szCs w:val="21"/>
              </w:rPr>
            </w:pPr>
          </w:p>
        </w:tc>
        <w:tc>
          <w:tcPr>
            <w:tcW w:w="1785" w:type="dxa"/>
            <w:tcBorders>
              <w:top w:val="single" w:color="auto" w:sz="4" w:space="0"/>
              <w:left w:val="single" w:color="auto" w:sz="4" w:space="0"/>
              <w:bottom w:val="single" w:color="auto" w:sz="4" w:space="0"/>
              <w:right w:val="single" w:color="auto" w:sz="4" w:space="0"/>
            </w:tcBorders>
            <w:noWrap/>
            <w:vAlign w:val="center"/>
          </w:tcPr>
          <w:p>
            <w:pPr>
              <w:rPr>
                <w:rFonts w:ascii="宋体" w:hAnsi="宋体"/>
                <w:szCs w:val="21"/>
              </w:rPr>
            </w:pPr>
          </w:p>
        </w:tc>
        <w:tc>
          <w:tcPr>
            <w:tcW w:w="840" w:type="dxa"/>
            <w:tcBorders>
              <w:top w:val="single" w:color="auto" w:sz="4" w:space="0"/>
              <w:left w:val="single" w:color="auto" w:sz="4" w:space="0"/>
              <w:bottom w:val="single" w:color="auto" w:sz="4" w:space="0"/>
              <w:right w:val="single" w:color="auto" w:sz="4" w:space="0"/>
            </w:tcBorders>
            <w:noWrap/>
            <w:vAlign w:val="center"/>
          </w:tcPr>
          <w:p>
            <w:pP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9643" w:type="dxa"/>
            <w:gridSpan w:val="8"/>
            <w:tcBorders>
              <w:top w:val="single" w:color="auto" w:sz="4" w:space="0"/>
              <w:left w:val="single" w:color="auto" w:sz="4" w:space="0"/>
              <w:bottom w:val="single" w:color="auto" w:sz="4" w:space="0"/>
              <w:right w:val="single" w:color="auto" w:sz="4" w:space="0"/>
            </w:tcBorders>
            <w:noWrap/>
            <w:vAlign w:val="center"/>
          </w:tcPr>
          <w:p>
            <w:pPr>
              <w:jc w:val="left"/>
              <w:rPr>
                <w:rFonts w:ascii="宋体" w:hAnsi="宋体"/>
                <w:szCs w:val="21"/>
              </w:rPr>
            </w:pPr>
            <w:r>
              <w:rPr>
                <w:rFonts w:hint="eastAsia" w:ascii="宋体" w:hAnsi="宋体"/>
                <w:szCs w:val="21"/>
              </w:rPr>
              <w:t>报价合计（包含装卸、运输等所有费用）：（大写）人民币</w:t>
            </w:r>
            <w:r>
              <w:rPr>
                <w:rFonts w:hint="eastAsia" w:ascii="宋体" w:hAnsi="宋体"/>
                <w:sz w:val="22"/>
                <w:szCs w:val="22"/>
                <w:u w:val="single"/>
              </w:rPr>
              <w:t>　　</w:t>
            </w:r>
            <w:r>
              <w:rPr>
                <w:rFonts w:hint="eastAsia" w:ascii="宋体" w:hAnsi="宋体"/>
                <w:szCs w:val="21"/>
              </w:rPr>
              <w:t xml:space="preserve">（￥ </w:t>
            </w:r>
            <w:r>
              <w:rPr>
                <w:rFonts w:hint="eastAsia" w:ascii="宋体" w:hAnsi="宋体"/>
                <w:sz w:val="22"/>
                <w:szCs w:val="22"/>
                <w:u w:val="single"/>
              </w:rPr>
              <w:t>　　</w:t>
            </w:r>
            <w:r>
              <w:rPr>
                <w:rFonts w:hint="eastAsia" w:ascii="宋体" w:hAnsi="宋体"/>
                <w:szCs w:val="21"/>
              </w:rPr>
              <w:t>元）</w:t>
            </w:r>
          </w:p>
          <w:p>
            <w:pPr>
              <w:rPr>
                <w:rFonts w:ascii="宋体" w:hAnsi="宋体"/>
                <w:szCs w:val="21"/>
              </w:rPr>
            </w:pPr>
            <w:r>
              <w:rPr>
                <w:rFonts w:hint="eastAsia" w:ascii="宋体" w:hAnsi="宋体"/>
                <w:szCs w:val="21"/>
              </w:rPr>
              <w:t xml:space="preserve">投标货物中，属于小微企业生产的产品总值为￥ </w:t>
            </w:r>
            <w:r>
              <w:rPr>
                <w:rFonts w:hint="eastAsia" w:ascii="宋体" w:hAnsi="宋体"/>
                <w:sz w:val="22"/>
                <w:szCs w:val="22"/>
                <w:u w:val="single"/>
              </w:rPr>
              <w:t>　　</w:t>
            </w:r>
            <w:r>
              <w:rPr>
                <w:rFonts w:hint="eastAsia" w:ascii="宋体" w:hAnsi="宋体"/>
                <w:szCs w:val="21"/>
              </w:rPr>
              <w:t>元，占本投标报价的比例为</w:t>
            </w:r>
            <w:r>
              <w:rPr>
                <w:rFonts w:hint="eastAsia" w:ascii="宋体" w:hAnsi="宋体"/>
                <w:sz w:val="22"/>
                <w:szCs w:val="22"/>
                <w:u w:val="single"/>
              </w:rPr>
              <w:t>　　</w:t>
            </w:r>
            <w:r>
              <w:rPr>
                <w:rFonts w:hint="eastAsia" w:ascii="宋体" w:hAnsi="宋体"/>
                <w:szCs w:val="21"/>
              </w:rPr>
              <w:t xml:space="preserve"> %；属于优先采购节能产品总值为￥</w:t>
            </w:r>
            <w:r>
              <w:rPr>
                <w:rFonts w:hint="eastAsia" w:ascii="宋体" w:hAnsi="宋体"/>
                <w:sz w:val="22"/>
                <w:szCs w:val="22"/>
                <w:u w:val="single"/>
              </w:rPr>
              <w:t>　　</w:t>
            </w:r>
            <w:r>
              <w:rPr>
                <w:rFonts w:hint="eastAsia" w:ascii="宋体" w:hAnsi="宋体"/>
                <w:szCs w:val="21"/>
              </w:rPr>
              <w:t>元，占本投标报价的比例为</w:t>
            </w:r>
            <w:r>
              <w:rPr>
                <w:rFonts w:hint="eastAsia" w:ascii="宋体" w:hAnsi="宋体"/>
                <w:sz w:val="22"/>
                <w:szCs w:val="22"/>
                <w:u w:val="single"/>
              </w:rPr>
              <w:t>　　</w:t>
            </w:r>
            <w:r>
              <w:rPr>
                <w:rFonts w:hint="eastAsia" w:ascii="宋体" w:hAnsi="宋体"/>
                <w:szCs w:val="21"/>
              </w:rPr>
              <w:t>%；属于优先采购环境标志产品总值为￥</w:t>
            </w:r>
            <w:r>
              <w:rPr>
                <w:rFonts w:hint="eastAsia" w:ascii="宋体" w:hAnsi="宋体"/>
                <w:sz w:val="22"/>
                <w:szCs w:val="22"/>
                <w:u w:val="single"/>
              </w:rPr>
              <w:t>　　</w:t>
            </w:r>
            <w:r>
              <w:rPr>
                <w:rFonts w:hint="eastAsia" w:ascii="宋体" w:hAnsi="宋体"/>
                <w:szCs w:val="21"/>
              </w:rPr>
              <w:t xml:space="preserve">元，占本投标报价的比例为 </w:t>
            </w:r>
            <w:r>
              <w:rPr>
                <w:rFonts w:hint="eastAsia" w:ascii="宋体" w:hAnsi="宋体"/>
                <w:sz w:val="22"/>
                <w:szCs w:val="22"/>
                <w:u w:val="single"/>
              </w:rPr>
              <w:t>　　</w:t>
            </w:r>
            <w:r>
              <w:rPr>
                <w:rFonts w:hint="eastAsia" w:ascii="宋体" w:hAnsi="宋体"/>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9643" w:type="dxa"/>
            <w:gridSpan w:val="8"/>
            <w:tcBorders>
              <w:top w:val="single" w:color="auto" w:sz="4" w:space="0"/>
              <w:left w:val="single" w:color="auto" w:sz="4" w:space="0"/>
              <w:bottom w:val="single" w:color="auto" w:sz="4" w:space="0"/>
              <w:right w:val="single" w:color="auto" w:sz="4" w:space="0"/>
            </w:tcBorders>
            <w:noWrap/>
            <w:vAlign w:val="center"/>
          </w:tcPr>
          <w:p>
            <w:pPr>
              <w:rPr>
                <w:rFonts w:ascii="宋体" w:hAnsi="宋体"/>
                <w:szCs w:val="21"/>
              </w:rPr>
            </w:pPr>
            <w:r>
              <w:rPr>
                <w:rFonts w:hint="eastAsia" w:ascii="宋体" w:hAnsi="宋体"/>
                <w:szCs w:val="21"/>
                <w:u w:val="single"/>
              </w:rPr>
              <w:t>　　</w:t>
            </w:r>
            <w:r>
              <w:rPr>
                <w:rFonts w:hint="eastAsia" w:ascii="宋体" w:hAnsi="宋体"/>
                <w:szCs w:val="21"/>
              </w:rPr>
              <w:t>分标（此处有分标时填写具体分标号，无分标时填写“无”）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9643" w:type="dxa"/>
            <w:gridSpan w:val="8"/>
            <w:tcBorders>
              <w:top w:val="single" w:color="auto" w:sz="4" w:space="0"/>
              <w:left w:val="single" w:color="auto" w:sz="4" w:space="0"/>
              <w:bottom w:val="single" w:color="auto" w:sz="4" w:space="0"/>
              <w:right w:val="single" w:color="auto" w:sz="4" w:space="0"/>
            </w:tcBorders>
            <w:noWrap/>
            <w:vAlign w:val="center"/>
          </w:tcPr>
          <w:p>
            <w:pPr>
              <w:rPr>
                <w:rFonts w:ascii="宋体" w:hAnsi="宋体"/>
                <w:szCs w:val="21"/>
              </w:rPr>
            </w:pPr>
            <w:r>
              <w:rPr>
                <w:rFonts w:hint="eastAsia" w:ascii="宋体" w:hAnsi="宋体"/>
                <w:szCs w:val="21"/>
              </w:rPr>
              <w:t>投标人（盖单位公章）：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9643" w:type="dxa"/>
            <w:gridSpan w:val="8"/>
            <w:tcBorders>
              <w:top w:val="single" w:color="auto" w:sz="4" w:space="0"/>
              <w:left w:val="single" w:color="auto" w:sz="4" w:space="0"/>
              <w:bottom w:val="single" w:color="auto" w:sz="4" w:space="0"/>
              <w:right w:val="single" w:color="auto" w:sz="4" w:space="0"/>
            </w:tcBorders>
            <w:noWrap/>
            <w:vAlign w:val="center"/>
          </w:tcPr>
          <w:p>
            <w:pPr>
              <w:rPr>
                <w:rFonts w:ascii="宋体" w:hAnsi="宋体"/>
                <w:szCs w:val="21"/>
              </w:rPr>
            </w:pPr>
            <w:r>
              <w:rPr>
                <w:rFonts w:hint="eastAsia" w:ascii="宋体" w:hAnsi="宋体"/>
                <w:szCs w:val="21"/>
              </w:rPr>
              <w:t>法定代表人或其委托代理人（签字或盖章）：</w:t>
            </w:r>
          </w:p>
        </w:tc>
      </w:tr>
    </w:tbl>
    <w:p>
      <w:pPr>
        <w:pStyle w:val="19"/>
        <w:rPr>
          <w:rFonts w:hAnsi="宋体"/>
        </w:rPr>
      </w:pPr>
      <w:r>
        <w:rPr>
          <w:rFonts w:hint="eastAsia" w:hAnsi="宋体"/>
        </w:rPr>
        <w:t>注：表格内容均需按要求填写并盖章，不得留空, 否则按投标无效处理。</w:t>
      </w:r>
    </w:p>
    <w:p>
      <w:pPr>
        <w:pStyle w:val="19"/>
        <w:jc w:val="center"/>
        <w:rPr>
          <w:rFonts w:hAnsi="宋体"/>
        </w:rPr>
      </w:pPr>
    </w:p>
    <w:p>
      <w:pPr>
        <w:pStyle w:val="19"/>
        <w:rPr>
          <w:rFonts w:hAnsi="宋体"/>
        </w:rPr>
      </w:pPr>
    </w:p>
    <w:p>
      <w:pPr>
        <w:pStyle w:val="19"/>
        <w:jc w:val="center"/>
        <w:rPr>
          <w:rFonts w:hAnsi="宋体"/>
          <w:b/>
          <w:sz w:val="30"/>
          <w:szCs w:val="30"/>
        </w:rPr>
      </w:pPr>
    </w:p>
    <w:p>
      <w:pPr>
        <w:pStyle w:val="19"/>
        <w:jc w:val="center"/>
        <w:rPr>
          <w:rFonts w:hAnsi="宋体"/>
          <w:b/>
          <w:sz w:val="30"/>
          <w:szCs w:val="30"/>
        </w:rPr>
      </w:pPr>
    </w:p>
    <w:p>
      <w:pPr>
        <w:pStyle w:val="19"/>
        <w:jc w:val="center"/>
        <w:rPr>
          <w:rFonts w:hAnsi="宋体"/>
          <w:b/>
          <w:sz w:val="30"/>
          <w:szCs w:val="30"/>
        </w:rPr>
      </w:pPr>
    </w:p>
    <w:p>
      <w:pPr>
        <w:pStyle w:val="19"/>
        <w:jc w:val="center"/>
        <w:rPr>
          <w:rFonts w:hAnsi="宋体"/>
          <w:b/>
          <w:sz w:val="30"/>
          <w:szCs w:val="30"/>
        </w:rPr>
      </w:pPr>
    </w:p>
    <w:p>
      <w:pPr>
        <w:pStyle w:val="19"/>
        <w:jc w:val="center"/>
        <w:rPr>
          <w:rFonts w:hAnsi="宋体"/>
          <w:b/>
          <w:sz w:val="30"/>
          <w:szCs w:val="30"/>
        </w:rPr>
      </w:pPr>
    </w:p>
    <w:p>
      <w:pPr>
        <w:pStyle w:val="19"/>
        <w:jc w:val="center"/>
        <w:rPr>
          <w:rFonts w:hAnsi="宋体"/>
          <w:b/>
          <w:sz w:val="30"/>
          <w:szCs w:val="30"/>
        </w:rPr>
      </w:pPr>
    </w:p>
    <w:p>
      <w:pPr>
        <w:pStyle w:val="19"/>
        <w:jc w:val="center"/>
        <w:rPr>
          <w:rFonts w:hAnsi="宋体"/>
          <w:b/>
          <w:sz w:val="30"/>
          <w:szCs w:val="30"/>
        </w:rPr>
      </w:pPr>
    </w:p>
    <w:p>
      <w:pPr>
        <w:pStyle w:val="19"/>
        <w:jc w:val="center"/>
        <w:rPr>
          <w:rFonts w:hAnsi="宋体"/>
          <w:b/>
          <w:sz w:val="30"/>
          <w:szCs w:val="30"/>
        </w:rPr>
      </w:pPr>
    </w:p>
    <w:p>
      <w:pPr>
        <w:pStyle w:val="19"/>
        <w:jc w:val="center"/>
        <w:rPr>
          <w:rFonts w:hAnsi="宋体"/>
          <w:b/>
          <w:sz w:val="30"/>
          <w:szCs w:val="30"/>
        </w:rPr>
      </w:pPr>
    </w:p>
    <w:p>
      <w:pPr>
        <w:pStyle w:val="19"/>
        <w:jc w:val="center"/>
        <w:rPr>
          <w:rFonts w:hAnsi="宋体"/>
          <w:b/>
          <w:sz w:val="30"/>
          <w:szCs w:val="30"/>
        </w:rPr>
      </w:pPr>
      <w:r>
        <w:rPr>
          <w:rFonts w:hint="eastAsia" w:hAnsi="宋体"/>
          <w:b/>
          <w:sz w:val="30"/>
          <w:szCs w:val="30"/>
        </w:rPr>
        <w:t>中小企业声明函（格式）</w:t>
      </w:r>
    </w:p>
    <w:p>
      <w:pPr>
        <w:pStyle w:val="15"/>
        <w:spacing w:line="240" w:lineRule="auto"/>
        <w:ind w:firstLine="0"/>
        <w:rPr>
          <w:rFonts w:hAnsi="宋体"/>
          <w:sz w:val="21"/>
          <w:szCs w:val="21"/>
        </w:rPr>
      </w:pPr>
      <w:r>
        <w:rPr>
          <w:rFonts w:hint="eastAsia" w:hAnsi="宋体"/>
          <w:sz w:val="21"/>
          <w:szCs w:val="21"/>
        </w:rPr>
        <w:t>说明：</w:t>
      </w:r>
    </w:p>
    <w:p>
      <w:pPr>
        <w:pStyle w:val="15"/>
        <w:spacing w:line="240" w:lineRule="auto"/>
        <w:ind w:firstLine="404" w:firstLineChars="200"/>
        <w:rPr>
          <w:rFonts w:hAnsi="宋体"/>
          <w:sz w:val="21"/>
          <w:szCs w:val="21"/>
        </w:rPr>
      </w:pPr>
      <w:r>
        <w:rPr>
          <w:rFonts w:hAnsi="宋体"/>
          <w:sz w:val="21"/>
          <w:szCs w:val="21"/>
        </w:rPr>
        <w:t>1</w:t>
      </w:r>
      <w:r>
        <w:rPr>
          <w:rFonts w:hint="eastAsia" w:hAnsi="宋体"/>
          <w:sz w:val="21"/>
          <w:szCs w:val="21"/>
        </w:rPr>
        <w:t>、本声明函主要供参加政府采购活动的中小企业填写，非中小企业无需填写。</w:t>
      </w:r>
    </w:p>
    <w:p>
      <w:pPr>
        <w:pStyle w:val="15"/>
        <w:spacing w:line="240" w:lineRule="auto"/>
        <w:ind w:firstLine="404" w:firstLineChars="200"/>
        <w:rPr>
          <w:rFonts w:hAnsi="宋体"/>
          <w:sz w:val="21"/>
          <w:szCs w:val="21"/>
        </w:rPr>
      </w:pPr>
      <w:r>
        <w:rPr>
          <w:rFonts w:hAnsi="宋体"/>
          <w:sz w:val="21"/>
          <w:szCs w:val="21"/>
        </w:rPr>
        <w:t>2</w:t>
      </w:r>
      <w:r>
        <w:rPr>
          <w:rFonts w:hint="eastAsia" w:hAnsi="宋体"/>
          <w:sz w:val="21"/>
          <w:szCs w:val="21"/>
        </w:rPr>
        <w:t>、小型、微型企业提供中型企业制造的货物的，视同为中型企业。</w:t>
      </w:r>
    </w:p>
    <w:p>
      <w:pPr>
        <w:pStyle w:val="15"/>
        <w:spacing w:line="360" w:lineRule="auto"/>
        <w:ind w:firstLine="404" w:firstLineChars="200"/>
        <w:rPr>
          <w:rFonts w:hAnsi="宋体"/>
          <w:sz w:val="21"/>
          <w:szCs w:val="21"/>
        </w:rPr>
      </w:pPr>
    </w:p>
    <w:p>
      <w:pPr>
        <w:pStyle w:val="19"/>
        <w:spacing w:line="360" w:lineRule="auto"/>
        <w:ind w:firstLine="420" w:firstLineChars="200"/>
        <w:rPr>
          <w:rFonts w:hAnsi="宋体"/>
          <w:szCs w:val="21"/>
        </w:rPr>
      </w:pPr>
      <w:r>
        <w:rPr>
          <w:rFonts w:hint="eastAsia" w:hAnsi="宋体"/>
          <w:szCs w:val="21"/>
        </w:rPr>
        <w:t>本公司郑重声明，根据《政府采购促进中小企业发展暂行办法》（财库〔</w:t>
      </w:r>
      <w:r>
        <w:rPr>
          <w:rFonts w:hAnsi="宋体"/>
          <w:szCs w:val="21"/>
        </w:rPr>
        <w:t>2011</w:t>
      </w:r>
      <w:r>
        <w:rPr>
          <w:rFonts w:hint="eastAsia" w:hAnsi="宋体"/>
          <w:szCs w:val="21"/>
        </w:rPr>
        <w:t>〕</w:t>
      </w:r>
      <w:r>
        <w:rPr>
          <w:rFonts w:hAnsi="宋体"/>
          <w:szCs w:val="21"/>
        </w:rPr>
        <w:t>181</w:t>
      </w:r>
      <w:r>
        <w:rPr>
          <w:rFonts w:hint="eastAsia" w:hAnsi="宋体"/>
          <w:szCs w:val="21"/>
        </w:rPr>
        <w:t>号）的规定，本公司为</w:t>
      </w:r>
      <w:r>
        <w:rPr>
          <w:rFonts w:hAnsi="宋体"/>
          <w:szCs w:val="21"/>
        </w:rPr>
        <w:t>______</w:t>
      </w:r>
      <w:r>
        <w:rPr>
          <w:rFonts w:hint="eastAsia" w:hAnsi="宋体"/>
          <w:szCs w:val="21"/>
        </w:rPr>
        <w:t>（请填写：中型、小型、微型）企业。即，本公司同时满足以下条件：</w:t>
      </w:r>
    </w:p>
    <w:p>
      <w:pPr>
        <w:pStyle w:val="19"/>
        <w:spacing w:line="360" w:lineRule="auto"/>
        <w:ind w:firstLine="420" w:firstLineChars="200"/>
        <w:rPr>
          <w:rFonts w:hAnsi="宋体"/>
          <w:szCs w:val="21"/>
        </w:rPr>
      </w:pPr>
      <w:r>
        <w:rPr>
          <w:rFonts w:hAnsi="宋体"/>
          <w:szCs w:val="21"/>
        </w:rPr>
        <w:t>1</w:t>
      </w:r>
      <w:r>
        <w:rPr>
          <w:rFonts w:hint="eastAsia" w:hAnsi="宋体"/>
          <w:szCs w:val="21"/>
        </w:rPr>
        <w:t>．根据《工业和信息化部、国家统计局、国家发展和改革委员会、财政部关于印发中小企业划型标准规定的通知》（工信部联企业〔</w:t>
      </w:r>
      <w:r>
        <w:rPr>
          <w:rFonts w:hAnsi="宋体"/>
          <w:szCs w:val="21"/>
        </w:rPr>
        <w:t>2011</w:t>
      </w:r>
      <w:r>
        <w:rPr>
          <w:rFonts w:hint="eastAsia" w:hAnsi="宋体"/>
          <w:szCs w:val="21"/>
        </w:rPr>
        <w:t>〕</w:t>
      </w:r>
      <w:r>
        <w:rPr>
          <w:rFonts w:hAnsi="宋体"/>
          <w:szCs w:val="21"/>
        </w:rPr>
        <w:t>300</w:t>
      </w:r>
      <w:r>
        <w:rPr>
          <w:rFonts w:hint="eastAsia" w:hAnsi="宋体"/>
          <w:szCs w:val="21"/>
        </w:rPr>
        <w:t>号）规定的划分标准，本公司为</w:t>
      </w:r>
      <w:r>
        <w:rPr>
          <w:rFonts w:hAnsi="宋体"/>
          <w:szCs w:val="21"/>
        </w:rPr>
        <w:t>______</w:t>
      </w:r>
      <w:r>
        <w:rPr>
          <w:rFonts w:hint="eastAsia" w:hAnsi="宋体"/>
          <w:szCs w:val="21"/>
        </w:rPr>
        <w:t>（请填写：中型、小型、微型）企业。</w:t>
      </w:r>
    </w:p>
    <w:p>
      <w:pPr>
        <w:pStyle w:val="19"/>
        <w:spacing w:line="360" w:lineRule="auto"/>
        <w:ind w:firstLine="420" w:firstLineChars="200"/>
        <w:rPr>
          <w:rFonts w:hAnsi="宋体"/>
          <w:szCs w:val="21"/>
        </w:rPr>
      </w:pPr>
      <w:r>
        <w:rPr>
          <w:rFonts w:hAnsi="宋体"/>
          <w:szCs w:val="21"/>
        </w:rPr>
        <w:t>2</w:t>
      </w:r>
      <w:r>
        <w:rPr>
          <w:rFonts w:hint="eastAsia" w:hAnsi="宋体"/>
          <w:szCs w:val="21"/>
        </w:rPr>
        <w:t>．本公司参加</w:t>
      </w:r>
      <w:r>
        <w:rPr>
          <w:rFonts w:hAnsi="宋体"/>
          <w:szCs w:val="21"/>
        </w:rPr>
        <w:t>______</w:t>
      </w:r>
      <w:r>
        <w:rPr>
          <w:rFonts w:hint="eastAsia" w:hAnsi="宋体"/>
          <w:szCs w:val="21"/>
        </w:rPr>
        <w:t>单位的</w:t>
      </w:r>
      <w:r>
        <w:rPr>
          <w:rFonts w:hAnsi="宋体"/>
          <w:szCs w:val="21"/>
        </w:rPr>
        <w:t>______</w:t>
      </w:r>
      <w:r>
        <w:rPr>
          <w:rFonts w:hint="eastAsia" w:hAnsi="宋体"/>
          <w:szCs w:val="21"/>
        </w:rPr>
        <w:t>项目采购活动提供本企业制造的货物，由本企业承担工程、提供服务，或者提供其他</w:t>
      </w:r>
      <w:r>
        <w:rPr>
          <w:rFonts w:hAnsi="宋体"/>
          <w:szCs w:val="21"/>
        </w:rPr>
        <w:t>______</w:t>
      </w:r>
      <w:r>
        <w:rPr>
          <w:rFonts w:hint="eastAsia" w:hAnsi="宋体"/>
          <w:szCs w:val="21"/>
        </w:rPr>
        <w:t>（请填写：中型、小型、微型）企业制造的货物。本条所称货物不包括使用大型企业注册商标的货物。</w:t>
      </w:r>
    </w:p>
    <w:p>
      <w:pPr>
        <w:pStyle w:val="19"/>
        <w:spacing w:line="360" w:lineRule="auto"/>
        <w:ind w:firstLine="420" w:firstLineChars="200"/>
        <w:rPr>
          <w:rFonts w:hAnsi="宋体"/>
          <w:szCs w:val="21"/>
        </w:rPr>
      </w:pPr>
      <w:r>
        <w:rPr>
          <w:rFonts w:hint="eastAsia" w:hAnsi="宋体"/>
          <w:szCs w:val="21"/>
        </w:rPr>
        <w:t>本公司对上述声明的真实性负责。如有虚假，将依法承担相应责任。</w:t>
      </w:r>
    </w:p>
    <w:p>
      <w:pPr>
        <w:pStyle w:val="19"/>
        <w:spacing w:line="360" w:lineRule="auto"/>
        <w:ind w:firstLine="420" w:firstLineChars="200"/>
        <w:rPr>
          <w:rFonts w:hAnsi="宋体"/>
          <w:szCs w:val="21"/>
        </w:rPr>
      </w:pPr>
    </w:p>
    <w:p>
      <w:pPr>
        <w:pStyle w:val="19"/>
        <w:spacing w:line="360" w:lineRule="auto"/>
        <w:ind w:firstLine="420" w:firstLineChars="200"/>
        <w:rPr>
          <w:rFonts w:hAnsi="宋体"/>
          <w:szCs w:val="21"/>
        </w:rPr>
      </w:pPr>
    </w:p>
    <w:p>
      <w:pPr>
        <w:pStyle w:val="19"/>
        <w:spacing w:line="360" w:lineRule="auto"/>
        <w:ind w:firstLine="420" w:firstLineChars="200"/>
        <w:rPr>
          <w:rFonts w:hAnsi="宋体"/>
        </w:rPr>
      </w:pPr>
    </w:p>
    <w:p>
      <w:pPr>
        <w:pStyle w:val="19"/>
        <w:spacing w:line="600" w:lineRule="exact"/>
        <w:rPr>
          <w:rFonts w:hAnsi="宋体"/>
          <w:u w:val="single"/>
        </w:rPr>
      </w:pPr>
      <w:r>
        <w:rPr>
          <w:rFonts w:hint="eastAsia" w:hAnsi="宋体"/>
        </w:rPr>
        <w:t>投标人（盖单位公章）：</w:t>
      </w:r>
    </w:p>
    <w:p>
      <w:pPr>
        <w:pStyle w:val="19"/>
        <w:spacing w:line="600" w:lineRule="exact"/>
        <w:rPr>
          <w:rFonts w:hAnsi="宋体"/>
          <w:u w:val="single"/>
        </w:rPr>
      </w:pPr>
    </w:p>
    <w:p>
      <w:pPr>
        <w:pStyle w:val="19"/>
        <w:spacing w:line="500" w:lineRule="exact"/>
        <w:rPr>
          <w:rFonts w:hAnsi="宋体"/>
          <w:u w:val="single"/>
        </w:rPr>
      </w:pPr>
      <w:r>
        <w:rPr>
          <w:rFonts w:hint="eastAsia" w:hAnsi="宋体"/>
        </w:rPr>
        <w:t>法定代表人或其委托代理人（签字或盖章）：</w:t>
      </w:r>
    </w:p>
    <w:p>
      <w:pPr>
        <w:pStyle w:val="19"/>
        <w:spacing w:line="360" w:lineRule="auto"/>
        <w:jc w:val="center"/>
        <w:rPr>
          <w:rFonts w:hAnsi="宋体"/>
          <w:b/>
          <w:sz w:val="30"/>
          <w:szCs w:val="30"/>
        </w:rPr>
      </w:pPr>
      <w:r>
        <w:rPr>
          <w:rFonts w:hAnsi="宋体"/>
        </w:rPr>
        <w:br w:type="page"/>
      </w:r>
      <w:r>
        <w:rPr>
          <w:rFonts w:hint="eastAsia" w:hAnsi="宋体"/>
          <w:b/>
          <w:sz w:val="30"/>
          <w:szCs w:val="30"/>
        </w:rPr>
        <w:t>残疾人福利性单位声明函（格式）</w:t>
      </w:r>
    </w:p>
    <w:p>
      <w:pPr>
        <w:pStyle w:val="19"/>
        <w:spacing w:line="360" w:lineRule="auto"/>
        <w:jc w:val="center"/>
        <w:rPr>
          <w:rFonts w:hAnsi="宋体"/>
          <w:b/>
          <w:sz w:val="30"/>
          <w:szCs w:val="30"/>
        </w:rPr>
      </w:pPr>
    </w:p>
    <w:p>
      <w:pPr>
        <w:pStyle w:val="19"/>
        <w:spacing w:line="360" w:lineRule="auto"/>
        <w:jc w:val="left"/>
        <w:rPr>
          <w:rFonts w:hAnsi="宋体"/>
          <w:b/>
          <w:szCs w:val="21"/>
        </w:rPr>
      </w:pPr>
      <w:r>
        <w:rPr>
          <w:rFonts w:hint="eastAsia" w:hAnsi="宋体"/>
          <w:b/>
          <w:szCs w:val="21"/>
        </w:rPr>
        <w:t>本公司郑重声明，根据《财政部民政部中国残疾人联合会关于促进残疾人就业政府采购政策的通知》（财库〔</w:t>
      </w:r>
      <w:r>
        <w:rPr>
          <w:rFonts w:hAnsi="宋体"/>
          <w:b/>
          <w:szCs w:val="21"/>
        </w:rPr>
        <w:t>2017</w:t>
      </w:r>
      <w:r>
        <w:rPr>
          <w:rFonts w:hint="eastAsia" w:hAnsi="宋体"/>
          <w:b/>
          <w:szCs w:val="21"/>
        </w:rPr>
        <w:t>〕</w:t>
      </w:r>
      <w:r>
        <w:rPr>
          <w:rFonts w:hAnsi="宋体"/>
          <w:b/>
          <w:szCs w:val="21"/>
        </w:rPr>
        <w:t xml:space="preserve"> 141</w:t>
      </w:r>
      <w:r>
        <w:rPr>
          <w:rFonts w:hint="eastAsia" w:hAnsi="宋体"/>
          <w:b/>
          <w:szCs w:val="21"/>
        </w:rPr>
        <w:t>号）的规定，本公司为符合条件的残疾人福利性单位，且本公司参加</w:t>
      </w:r>
      <w:r>
        <w:rPr>
          <w:rFonts w:hAnsi="宋体"/>
          <w:b/>
          <w:szCs w:val="21"/>
        </w:rPr>
        <w:t>______</w:t>
      </w:r>
      <w:r>
        <w:rPr>
          <w:rFonts w:hint="eastAsia" w:hAnsi="宋体"/>
          <w:b/>
          <w:szCs w:val="21"/>
        </w:rPr>
        <w:t>单位的</w:t>
      </w:r>
      <w:r>
        <w:rPr>
          <w:rFonts w:hAnsi="宋体"/>
          <w:b/>
          <w:szCs w:val="21"/>
        </w:rPr>
        <w:t>______</w:t>
      </w:r>
      <w:r>
        <w:rPr>
          <w:rFonts w:hint="eastAsia" w:hAnsi="宋体"/>
          <w:b/>
          <w:szCs w:val="21"/>
        </w:rPr>
        <w:t>项目采购活动提供本公司制造的货物（由本公司承担工程</w:t>
      </w:r>
      <w:r>
        <w:rPr>
          <w:rFonts w:hAnsi="宋体"/>
          <w:b/>
          <w:szCs w:val="21"/>
        </w:rPr>
        <w:t>/</w:t>
      </w:r>
      <w:r>
        <w:rPr>
          <w:rFonts w:hint="eastAsia" w:hAnsi="宋体"/>
          <w:b/>
          <w:szCs w:val="21"/>
        </w:rPr>
        <w:t>提供服务），或者提供其他残疾人福利性单位制造的货物（不包括使用非残疾人福利性单位注册商标的货物）。</w:t>
      </w:r>
    </w:p>
    <w:p>
      <w:pPr>
        <w:pStyle w:val="19"/>
        <w:spacing w:line="360" w:lineRule="auto"/>
        <w:jc w:val="left"/>
        <w:rPr>
          <w:rFonts w:hAnsi="宋体"/>
          <w:b/>
          <w:szCs w:val="21"/>
        </w:rPr>
      </w:pPr>
      <w:r>
        <w:rPr>
          <w:rFonts w:hint="eastAsia" w:hAnsi="宋体"/>
          <w:b/>
          <w:szCs w:val="21"/>
        </w:rPr>
        <w:t>本公司对上述声明的真实性负责。如有虚假，将依法承担相应责任。</w:t>
      </w:r>
    </w:p>
    <w:p>
      <w:pPr>
        <w:pStyle w:val="19"/>
        <w:spacing w:line="360" w:lineRule="auto"/>
        <w:jc w:val="left"/>
        <w:rPr>
          <w:rFonts w:hAnsi="宋体"/>
          <w:b/>
          <w:szCs w:val="21"/>
        </w:rPr>
      </w:pPr>
    </w:p>
    <w:p>
      <w:pPr>
        <w:pStyle w:val="19"/>
        <w:spacing w:line="360" w:lineRule="auto"/>
        <w:jc w:val="left"/>
        <w:rPr>
          <w:rFonts w:hAnsi="宋体"/>
          <w:b/>
          <w:szCs w:val="21"/>
        </w:rPr>
      </w:pPr>
    </w:p>
    <w:p>
      <w:pPr>
        <w:pStyle w:val="19"/>
        <w:spacing w:line="360" w:lineRule="auto"/>
        <w:jc w:val="left"/>
        <w:rPr>
          <w:rFonts w:hAnsi="宋体"/>
          <w:b/>
          <w:szCs w:val="21"/>
        </w:rPr>
      </w:pPr>
      <w:r>
        <w:rPr>
          <w:rFonts w:hint="eastAsia" w:hAnsi="宋体"/>
          <w:b/>
          <w:szCs w:val="21"/>
        </w:rPr>
        <w:t>投标人（盖单位公章）：</w:t>
      </w:r>
    </w:p>
    <w:p>
      <w:pPr>
        <w:pStyle w:val="19"/>
        <w:spacing w:line="360" w:lineRule="auto"/>
        <w:jc w:val="left"/>
        <w:rPr>
          <w:rFonts w:hAnsi="宋体"/>
          <w:b/>
          <w:szCs w:val="21"/>
        </w:rPr>
      </w:pPr>
    </w:p>
    <w:p>
      <w:pPr>
        <w:pStyle w:val="19"/>
        <w:spacing w:line="360" w:lineRule="auto"/>
        <w:jc w:val="left"/>
        <w:rPr>
          <w:rFonts w:hAnsi="宋体"/>
          <w:szCs w:val="21"/>
        </w:rPr>
      </w:pPr>
      <w:r>
        <w:rPr>
          <w:rFonts w:hint="eastAsia" w:hAnsi="宋体"/>
          <w:b/>
          <w:szCs w:val="21"/>
        </w:rPr>
        <w:t>法定代表人或其委托代理人（签字或盖章）：</w:t>
      </w:r>
      <w:r>
        <w:rPr>
          <w:rFonts w:hAnsi="宋体"/>
        </w:rPr>
        <w:br w:type="page"/>
      </w:r>
    </w:p>
    <w:p>
      <w:pPr>
        <w:pStyle w:val="19"/>
        <w:spacing w:line="500" w:lineRule="exact"/>
        <w:jc w:val="center"/>
        <w:rPr>
          <w:rFonts w:hAnsi="宋体"/>
          <w:b/>
          <w:bCs/>
          <w:sz w:val="30"/>
          <w:szCs w:val="30"/>
        </w:rPr>
      </w:pPr>
      <w:r>
        <w:rPr>
          <w:rFonts w:hint="eastAsia" w:hAnsi="宋体"/>
          <w:b/>
          <w:sz w:val="30"/>
          <w:szCs w:val="30"/>
        </w:rPr>
        <w:t>广西工业产品声明函</w:t>
      </w:r>
      <w:r>
        <w:rPr>
          <w:rFonts w:hint="eastAsia" w:hAnsi="宋体"/>
          <w:b/>
          <w:bCs/>
          <w:sz w:val="30"/>
          <w:szCs w:val="30"/>
        </w:rPr>
        <w:t>（格式）</w:t>
      </w:r>
    </w:p>
    <w:p>
      <w:pPr>
        <w:pStyle w:val="19"/>
        <w:rPr>
          <w:rFonts w:hAnsi="宋体"/>
          <w:b/>
          <w:sz w:val="24"/>
        </w:rPr>
      </w:pPr>
    </w:p>
    <w:p>
      <w:pPr>
        <w:pStyle w:val="15"/>
        <w:spacing w:line="240" w:lineRule="auto"/>
        <w:ind w:firstLine="0"/>
        <w:rPr>
          <w:rFonts w:hAnsi="宋体"/>
          <w:sz w:val="21"/>
          <w:szCs w:val="21"/>
        </w:rPr>
      </w:pPr>
      <w:r>
        <w:rPr>
          <w:rFonts w:hint="eastAsia" w:hAnsi="宋体"/>
          <w:sz w:val="21"/>
          <w:szCs w:val="21"/>
        </w:rPr>
        <w:t>说明：</w:t>
      </w:r>
    </w:p>
    <w:p>
      <w:pPr>
        <w:pStyle w:val="15"/>
        <w:spacing w:line="240" w:lineRule="auto"/>
        <w:rPr>
          <w:rFonts w:hAnsi="宋体"/>
          <w:sz w:val="21"/>
          <w:szCs w:val="21"/>
        </w:rPr>
      </w:pPr>
      <w:r>
        <w:rPr>
          <w:rFonts w:hAnsi="宋体"/>
          <w:sz w:val="21"/>
          <w:szCs w:val="21"/>
        </w:rPr>
        <w:t>1</w:t>
      </w:r>
      <w:r>
        <w:rPr>
          <w:rFonts w:hint="eastAsia" w:hAnsi="宋体"/>
          <w:sz w:val="21"/>
          <w:szCs w:val="21"/>
        </w:rPr>
        <w:t>、本文件所指广西工业产品，是指广西境内生产的工业产品，具体以生产企业的工商营业执照注册所在地为准。</w:t>
      </w:r>
    </w:p>
    <w:p>
      <w:pPr>
        <w:pStyle w:val="15"/>
        <w:spacing w:line="240" w:lineRule="auto"/>
        <w:rPr>
          <w:rFonts w:hAnsi="宋体"/>
          <w:sz w:val="21"/>
          <w:szCs w:val="21"/>
        </w:rPr>
      </w:pPr>
      <w:r>
        <w:rPr>
          <w:rFonts w:hAnsi="宋体"/>
          <w:sz w:val="21"/>
          <w:szCs w:val="21"/>
        </w:rPr>
        <w:t>2</w:t>
      </w:r>
      <w:r>
        <w:rPr>
          <w:rFonts w:hint="eastAsia" w:hAnsi="宋体"/>
          <w:sz w:val="21"/>
          <w:szCs w:val="21"/>
        </w:rPr>
        <w:t>、本细则所指使用广西工业产品</w:t>
      </w:r>
      <w:r>
        <w:rPr>
          <w:rFonts w:hAnsi="宋体"/>
          <w:sz w:val="21"/>
          <w:szCs w:val="21"/>
        </w:rPr>
        <w:t xml:space="preserve"> 80%</w:t>
      </w:r>
      <w:r>
        <w:rPr>
          <w:rFonts w:hint="eastAsia" w:hAnsi="宋体"/>
          <w:sz w:val="21"/>
          <w:szCs w:val="21"/>
        </w:rPr>
        <w:t>以上，是指参加政府采购项目或招标项目时供货范围中采用广西工业产品的金额占本次投标或竞标总金额的</w:t>
      </w:r>
      <w:r>
        <w:rPr>
          <w:rFonts w:hAnsi="宋体"/>
          <w:sz w:val="21"/>
          <w:szCs w:val="21"/>
        </w:rPr>
        <w:t>80%</w:t>
      </w:r>
      <w:r>
        <w:rPr>
          <w:rFonts w:hint="eastAsia" w:hAnsi="宋体"/>
          <w:sz w:val="21"/>
          <w:szCs w:val="21"/>
        </w:rPr>
        <w:t>以上（含）；或者工程建设使用广西工业产品占工程建设所需产品总金额的</w:t>
      </w:r>
      <w:r>
        <w:rPr>
          <w:rFonts w:hAnsi="宋体"/>
          <w:sz w:val="21"/>
          <w:szCs w:val="21"/>
        </w:rPr>
        <w:t>80%</w:t>
      </w:r>
      <w:r>
        <w:rPr>
          <w:rFonts w:hint="eastAsia" w:hAnsi="宋体"/>
          <w:sz w:val="21"/>
          <w:szCs w:val="21"/>
        </w:rPr>
        <w:t>以上（含）。</w:t>
      </w:r>
    </w:p>
    <w:p>
      <w:pPr>
        <w:pStyle w:val="15"/>
        <w:spacing w:line="240" w:lineRule="auto"/>
        <w:rPr>
          <w:rFonts w:hAnsi="宋体"/>
          <w:sz w:val="21"/>
          <w:szCs w:val="21"/>
        </w:rPr>
      </w:pPr>
      <w:r>
        <w:rPr>
          <w:rFonts w:hAnsi="宋体"/>
          <w:sz w:val="21"/>
          <w:szCs w:val="21"/>
        </w:rPr>
        <w:t>3</w:t>
      </w:r>
      <w:r>
        <w:rPr>
          <w:rFonts w:hint="eastAsia" w:hAnsi="宋体"/>
          <w:sz w:val="21"/>
          <w:szCs w:val="21"/>
        </w:rPr>
        <w:t>、发现投标人提供虚假材料、采购单位履约过程中中标供应商未按投标文件《广西工业产品声明函》中使用广西工业产品或者使用广西工业产品未达</w:t>
      </w:r>
      <w:r>
        <w:rPr>
          <w:rFonts w:hAnsi="宋体"/>
          <w:sz w:val="21"/>
          <w:szCs w:val="21"/>
        </w:rPr>
        <w:t>80%</w:t>
      </w:r>
      <w:r>
        <w:rPr>
          <w:rFonts w:hint="eastAsia" w:hAnsi="宋体"/>
          <w:sz w:val="21"/>
          <w:szCs w:val="21"/>
        </w:rPr>
        <w:t>以上的，按照有关法律法规追究其相关责任。</w:t>
      </w:r>
    </w:p>
    <w:p>
      <w:pPr>
        <w:pStyle w:val="15"/>
        <w:spacing w:line="240" w:lineRule="auto"/>
        <w:rPr>
          <w:rFonts w:hAnsi="宋体"/>
          <w:sz w:val="21"/>
          <w:szCs w:val="21"/>
        </w:rPr>
      </w:pPr>
    </w:p>
    <w:p>
      <w:pPr>
        <w:pStyle w:val="15"/>
        <w:spacing w:line="240" w:lineRule="auto"/>
        <w:ind w:firstLine="404" w:firstLineChars="200"/>
        <w:rPr>
          <w:rFonts w:hAnsi="宋体"/>
          <w:sz w:val="21"/>
          <w:szCs w:val="21"/>
        </w:rPr>
      </w:pPr>
      <w:r>
        <w:rPr>
          <w:rFonts w:hint="eastAsia" w:hAnsi="宋体"/>
          <w:sz w:val="21"/>
          <w:szCs w:val="21"/>
        </w:rPr>
        <w:t>我方郑重声明，根据《招标采购促进广西工业产品产销对接实施细则》的规定，我方在本次投标∕竞标中或者工程项目中提供的下述产品为广西工业产品，详情如下：</w:t>
      </w:r>
    </w:p>
    <w:p>
      <w:pPr>
        <w:pStyle w:val="19"/>
        <w:rPr>
          <w:rFonts w:hAnsi="宋体"/>
          <w:u w:val="single"/>
        </w:rPr>
      </w:pPr>
      <w:r>
        <w:rPr>
          <w:rFonts w:hint="eastAsia" w:hAnsi="宋体"/>
          <w:u w:val="single"/>
        </w:rPr>
        <w:t>　　分标（此处有分标时填写具体分标号，无分标时填写“无”）</w:t>
      </w:r>
    </w:p>
    <w:tbl>
      <w:tblPr>
        <w:tblStyle w:val="34"/>
        <w:tblW w:w="95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4"/>
        <w:gridCol w:w="2164"/>
        <w:gridCol w:w="1417"/>
        <w:gridCol w:w="709"/>
        <w:gridCol w:w="2268"/>
        <w:gridCol w:w="1474"/>
        <w:gridCol w:w="8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jc w:val="center"/>
        </w:trPr>
        <w:tc>
          <w:tcPr>
            <w:tcW w:w="654" w:type="dxa"/>
            <w:vAlign w:val="center"/>
          </w:tcPr>
          <w:p>
            <w:pPr>
              <w:pStyle w:val="19"/>
              <w:jc w:val="center"/>
              <w:rPr>
                <w:rFonts w:hAnsi="宋体"/>
                <w:u w:val="single"/>
              </w:rPr>
            </w:pPr>
            <w:r>
              <w:rPr>
                <w:rFonts w:hint="eastAsia" w:hAnsi="宋体"/>
                <w:u w:val="single"/>
              </w:rPr>
              <w:t>序号</w:t>
            </w:r>
          </w:p>
        </w:tc>
        <w:tc>
          <w:tcPr>
            <w:tcW w:w="2164" w:type="dxa"/>
            <w:vAlign w:val="center"/>
          </w:tcPr>
          <w:p>
            <w:pPr>
              <w:pStyle w:val="19"/>
              <w:jc w:val="center"/>
              <w:rPr>
                <w:rFonts w:hAnsi="宋体"/>
                <w:u w:val="single"/>
              </w:rPr>
            </w:pPr>
            <w:r>
              <w:rPr>
                <w:rFonts w:hint="eastAsia" w:hAnsi="宋体"/>
                <w:u w:val="single"/>
              </w:rPr>
              <w:t>产品名称</w:t>
            </w:r>
          </w:p>
        </w:tc>
        <w:tc>
          <w:tcPr>
            <w:tcW w:w="1417" w:type="dxa"/>
            <w:vAlign w:val="center"/>
          </w:tcPr>
          <w:p>
            <w:pPr>
              <w:pStyle w:val="19"/>
              <w:jc w:val="center"/>
              <w:rPr>
                <w:rFonts w:hAnsi="宋体"/>
                <w:u w:val="single"/>
              </w:rPr>
            </w:pPr>
            <w:r>
              <w:rPr>
                <w:rFonts w:hint="eastAsia" w:hAnsi="宋体"/>
                <w:u w:val="single"/>
              </w:rPr>
              <w:t>型号和规格</w:t>
            </w:r>
          </w:p>
        </w:tc>
        <w:tc>
          <w:tcPr>
            <w:tcW w:w="709" w:type="dxa"/>
            <w:vAlign w:val="center"/>
          </w:tcPr>
          <w:p>
            <w:pPr>
              <w:pStyle w:val="19"/>
              <w:jc w:val="center"/>
              <w:rPr>
                <w:rFonts w:hAnsi="宋体"/>
                <w:u w:val="single"/>
              </w:rPr>
            </w:pPr>
            <w:r>
              <w:rPr>
                <w:rFonts w:hint="eastAsia" w:hAnsi="宋体"/>
                <w:u w:val="single"/>
              </w:rPr>
              <w:t>数量</w:t>
            </w:r>
          </w:p>
        </w:tc>
        <w:tc>
          <w:tcPr>
            <w:tcW w:w="2268" w:type="dxa"/>
            <w:vAlign w:val="center"/>
          </w:tcPr>
          <w:p>
            <w:pPr>
              <w:pStyle w:val="19"/>
              <w:jc w:val="center"/>
              <w:rPr>
                <w:rFonts w:hAnsi="宋体"/>
                <w:u w:val="single"/>
              </w:rPr>
            </w:pPr>
            <w:r>
              <w:rPr>
                <w:rFonts w:hint="eastAsia" w:hAnsi="宋体"/>
                <w:u w:val="single"/>
              </w:rPr>
              <w:t>制造厂商及原产地</w:t>
            </w:r>
          </w:p>
        </w:tc>
        <w:tc>
          <w:tcPr>
            <w:tcW w:w="1474" w:type="dxa"/>
            <w:vAlign w:val="center"/>
          </w:tcPr>
          <w:p>
            <w:pPr>
              <w:pStyle w:val="19"/>
              <w:jc w:val="center"/>
              <w:rPr>
                <w:rFonts w:hAnsi="宋体"/>
                <w:u w:val="single"/>
              </w:rPr>
            </w:pPr>
            <w:r>
              <w:rPr>
                <w:rFonts w:hint="eastAsia" w:hAnsi="宋体"/>
                <w:u w:val="single"/>
              </w:rPr>
              <w:t>投标价</w:t>
            </w:r>
          </w:p>
        </w:tc>
        <w:tc>
          <w:tcPr>
            <w:tcW w:w="893" w:type="dxa"/>
            <w:vAlign w:val="center"/>
          </w:tcPr>
          <w:p>
            <w:pPr>
              <w:pStyle w:val="19"/>
              <w:jc w:val="center"/>
              <w:rPr>
                <w:rFonts w:hAnsi="宋体"/>
                <w:u w:val="single"/>
              </w:rPr>
            </w:pPr>
            <w:r>
              <w:rPr>
                <w:rFonts w:hint="eastAsia" w:hAnsi="宋体"/>
                <w:u w:val="singl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jc w:val="center"/>
        </w:trPr>
        <w:tc>
          <w:tcPr>
            <w:tcW w:w="654" w:type="dxa"/>
            <w:vAlign w:val="center"/>
          </w:tcPr>
          <w:p>
            <w:pPr>
              <w:pStyle w:val="19"/>
              <w:jc w:val="center"/>
              <w:rPr>
                <w:rFonts w:hAnsi="宋体"/>
                <w:u w:val="single"/>
              </w:rPr>
            </w:pPr>
            <w:r>
              <w:rPr>
                <w:rFonts w:hAnsi="宋体"/>
                <w:u w:val="single"/>
              </w:rPr>
              <w:t>1</w:t>
            </w:r>
          </w:p>
        </w:tc>
        <w:tc>
          <w:tcPr>
            <w:tcW w:w="2164" w:type="dxa"/>
            <w:vAlign w:val="center"/>
          </w:tcPr>
          <w:p>
            <w:pPr>
              <w:pStyle w:val="19"/>
              <w:jc w:val="center"/>
              <w:rPr>
                <w:rFonts w:hAnsi="宋体"/>
                <w:u w:val="single"/>
              </w:rPr>
            </w:pPr>
          </w:p>
        </w:tc>
        <w:tc>
          <w:tcPr>
            <w:tcW w:w="1417" w:type="dxa"/>
            <w:vAlign w:val="center"/>
          </w:tcPr>
          <w:p>
            <w:pPr>
              <w:pStyle w:val="19"/>
              <w:jc w:val="center"/>
              <w:rPr>
                <w:rFonts w:hAnsi="宋体"/>
                <w:u w:val="single"/>
              </w:rPr>
            </w:pPr>
          </w:p>
        </w:tc>
        <w:tc>
          <w:tcPr>
            <w:tcW w:w="709" w:type="dxa"/>
            <w:vAlign w:val="center"/>
          </w:tcPr>
          <w:p>
            <w:pPr>
              <w:pStyle w:val="19"/>
              <w:jc w:val="center"/>
              <w:rPr>
                <w:rFonts w:hAnsi="宋体"/>
                <w:u w:val="single"/>
              </w:rPr>
            </w:pPr>
          </w:p>
        </w:tc>
        <w:tc>
          <w:tcPr>
            <w:tcW w:w="2268" w:type="dxa"/>
            <w:vAlign w:val="center"/>
          </w:tcPr>
          <w:p>
            <w:pPr>
              <w:pStyle w:val="19"/>
              <w:jc w:val="center"/>
              <w:rPr>
                <w:rFonts w:hAnsi="宋体"/>
                <w:u w:val="single"/>
              </w:rPr>
            </w:pPr>
          </w:p>
        </w:tc>
        <w:tc>
          <w:tcPr>
            <w:tcW w:w="1474" w:type="dxa"/>
            <w:vAlign w:val="center"/>
          </w:tcPr>
          <w:p>
            <w:pPr>
              <w:pStyle w:val="19"/>
              <w:jc w:val="center"/>
              <w:rPr>
                <w:rFonts w:hAnsi="宋体"/>
                <w:u w:val="single"/>
              </w:rPr>
            </w:pPr>
          </w:p>
        </w:tc>
        <w:tc>
          <w:tcPr>
            <w:tcW w:w="893" w:type="dxa"/>
            <w:vAlign w:val="center"/>
          </w:tcPr>
          <w:p>
            <w:pPr>
              <w:pStyle w:val="19"/>
              <w:jc w:val="center"/>
              <w:rPr>
                <w:rFonts w:hAnsi="宋体"/>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654" w:type="dxa"/>
            <w:vAlign w:val="center"/>
          </w:tcPr>
          <w:p>
            <w:pPr>
              <w:pStyle w:val="19"/>
              <w:jc w:val="center"/>
              <w:rPr>
                <w:rFonts w:hAnsi="宋体"/>
                <w:u w:val="single"/>
              </w:rPr>
            </w:pPr>
            <w:r>
              <w:rPr>
                <w:rFonts w:hAnsi="宋体"/>
                <w:u w:val="single"/>
              </w:rPr>
              <w:t>2</w:t>
            </w:r>
          </w:p>
        </w:tc>
        <w:tc>
          <w:tcPr>
            <w:tcW w:w="2164" w:type="dxa"/>
            <w:vAlign w:val="center"/>
          </w:tcPr>
          <w:p>
            <w:pPr>
              <w:pStyle w:val="19"/>
              <w:jc w:val="center"/>
              <w:rPr>
                <w:rFonts w:hAnsi="宋体"/>
                <w:u w:val="single"/>
              </w:rPr>
            </w:pPr>
          </w:p>
        </w:tc>
        <w:tc>
          <w:tcPr>
            <w:tcW w:w="1417" w:type="dxa"/>
            <w:vAlign w:val="center"/>
          </w:tcPr>
          <w:p>
            <w:pPr>
              <w:pStyle w:val="19"/>
              <w:jc w:val="center"/>
              <w:rPr>
                <w:rFonts w:hAnsi="宋体"/>
                <w:u w:val="single"/>
              </w:rPr>
            </w:pPr>
          </w:p>
        </w:tc>
        <w:tc>
          <w:tcPr>
            <w:tcW w:w="709" w:type="dxa"/>
            <w:vAlign w:val="center"/>
          </w:tcPr>
          <w:p>
            <w:pPr>
              <w:pStyle w:val="19"/>
              <w:jc w:val="center"/>
              <w:rPr>
                <w:rFonts w:hAnsi="宋体"/>
                <w:u w:val="single"/>
              </w:rPr>
            </w:pPr>
          </w:p>
        </w:tc>
        <w:tc>
          <w:tcPr>
            <w:tcW w:w="2268" w:type="dxa"/>
            <w:vAlign w:val="center"/>
          </w:tcPr>
          <w:p>
            <w:pPr>
              <w:pStyle w:val="19"/>
              <w:jc w:val="center"/>
              <w:rPr>
                <w:rFonts w:hAnsi="宋体"/>
                <w:u w:val="single"/>
              </w:rPr>
            </w:pPr>
          </w:p>
        </w:tc>
        <w:tc>
          <w:tcPr>
            <w:tcW w:w="1474" w:type="dxa"/>
            <w:vAlign w:val="center"/>
          </w:tcPr>
          <w:p>
            <w:pPr>
              <w:pStyle w:val="19"/>
              <w:jc w:val="center"/>
              <w:rPr>
                <w:rFonts w:hAnsi="宋体"/>
                <w:u w:val="single"/>
              </w:rPr>
            </w:pPr>
          </w:p>
        </w:tc>
        <w:tc>
          <w:tcPr>
            <w:tcW w:w="893" w:type="dxa"/>
            <w:vAlign w:val="center"/>
          </w:tcPr>
          <w:p>
            <w:pPr>
              <w:pStyle w:val="19"/>
              <w:jc w:val="center"/>
              <w:rPr>
                <w:rFonts w:hAnsi="宋体"/>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jc w:val="center"/>
        </w:trPr>
        <w:tc>
          <w:tcPr>
            <w:tcW w:w="654" w:type="dxa"/>
            <w:vAlign w:val="center"/>
          </w:tcPr>
          <w:p>
            <w:pPr>
              <w:pStyle w:val="19"/>
              <w:jc w:val="center"/>
              <w:rPr>
                <w:rFonts w:hAnsi="宋体"/>
                <w:u w:val="single"/>
              </w:rPr>
            </w:pPr>
            <w:r>
              <w:rPr>
                <w:rFonts w:hint="eastAsia" w:hAnsi="宋体"/>
                <w:u w:val="single"/>
              </w:rPr>
              <w:t>……</w:t>
            </w:r>
          </w:p>
        </w:tc>
        <w:tc>
          <w:tcPr>
            <w:tcW w:w="2164" w:type="dxa"/>
            <w:vAlign w:val="center"/>
          </w:tcPr>
          <w:p>
            <w:pPr>
              <w:pStyle w:val="19"/>
              <w:jc w:val="center"/>
              <w:rPr>
                <w:rFonts w:hAnsi="宋体"/>
                <w:u w:val="single"/>
              </w:rPr>
            </w:pPr>
          </w:p>
        </w:tc>
        <w:tc>
          <w:tcPr>
            <w:tcW w:w="1417" w:type="dxa"/>
            <w:vAlign w:val="center"/>
          </w:tcPr>
          <w:p>
            <w:pPr>
              <w:pStyle w:val="19"/>
              <w:jc w:val="center"/>
              <w:rPr>
                <w:rFonts w:hAnsi="宋体"/>
                <w:u w:val="single"/>
              </w:rPr>
            </w:pPr>
          </w:p>
        </w:tc>
        <w:tc>
          <w:tcPr>
            <w:tcW w:w="709" w:type="dxa"/>
            <w:vAlign w:val="center"/>
          </w:tcPr>
          <w:p>
            <w:pPr>
              <w:pStyle w:val="19"/>
              <w:jc w:val="center"/>
              <w:rPr>
                <w:rFonts w:hAnsi="宋体"/>
                <w:u w:val="single"/>
              </w:rPr>
            </w:pPr>
          </w:p>
        </w:tc>
        <w:tc>
          <w:tcPr>
            <w:tcW w:w="2268" w:type="dxa"/>
            <w:vAlign w:val="center"/>
          </w:tcPr>
          <w:p>
            <w:pPr>
              <w:pStyle w:val="19"/>
              <w:jc w:val="center"/>
              <w:rPr>
                <w:rFonts w:hAnsi="宋体"/>
                <w:u w:val="single"/>
              </w:rPr>
            </w:pPr>
          </w:p>
        </w:tc>
        <w:tc>
          <w:tcPr>
            <w:tcW w:w="1474" w:type="dxa"/>
            <w:vAlign w:val="center"/>
          </w:tcPr>
          <w:p>
            <w:pPr>
              <w:pStyle w:val="19"/>
              <w:jc w:val="center"/>
              <w:rPr>
                <w:rFonts w:hAnsi="宋体"/>
                <w:u w:val="single"/>
              </w:rPr>
            </w:pPr>
          </w:p>
        </w:tc>
        <w:tc>
          <w:tcPr>
            <w:tcW w:w="893" w:type="dxa"/>
            <w:vAlign w:val="center"/>
          </w:tcPr>
          <w:p>
            <w:pPr>
              <w:pStyle w:val="19"/>
              <w:jc w:val="center"/>
              <w:rPr>
                <w:rFonts w:hAnsi="宋体"/>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4" w:type="dxa"/>
            <w:vAlign w:val="center"/>
          </w:tcPr>
          <w:p>
            <w:pPr>
              <w:pStyle w:val="19"/>
              <w:jc w:val="center"/>
              <w:rPr>
                <w:rFonts w:hAnsi="宋体"/>
                <w:u w:val="single"/>
              </w:rPr>
            </w:pPr>
          </w:p>
        </w:tc>
        <w:tc>
          <w:tcPr>
            <w:tcW w:w="2164" w:type="dxa"/>
            <w:vAlign w:val="center"/>
          </w:tcPr>
          <w:p>
            <w:pPr>
              <w:pStyle w:val="19"/>
              <w:jc w:val="center"/>
              <w:rPr>
                <w:rFonts w:hAnsi="宋体"/>
                <w:u w:val="single"/>
              </w:rPr>
            </w:pPr>
            <w:r>
              <w:rPr>
                <w:rFonts w:hint="eastAsia" w:hAnsi="宋体"/>
                <w:u w:val="single"/>
              </w:rPr>
              <w:t>广西工业产品</w:t>
            </w:r>
          </w:p>
          <w:p>
            <w:pPr>
              <w:pStyle w:val="19"/>
              <w:jc w:val="center"/>
              <w:rPr>
                <w:rFonts w:hAnsi="宋体"/>
                <w:u w:val="single"/>
              </w:rPr>
            </w:pPr>
            <w:r>
              <w:rPr>
                <w:rFonts w:hint="eastAsia" w:hAnsi="宋体"/>
                <w:u w:val="single"/>
              </w:rPr>
              <w:t>合计价格：</w:t>
            </w:r>
          </w:p>
        </w:tc>
        <w:tc>
          <w:tcPr>
            <w:tcW w:w="2126" w:type="dxa"/>
            <w:gridSpan w:val="2"/>
            <w:vAlign w:val="center"/>
          </w:tcPr>
          <w:p>
            <w:pPr>
              <w:pStyle w:val="19"/>
              <w:jc w:val="center"/>
              <w:rPr>
                <w:rFonts w:hAnsi="宋体"/>
                <w:u w:val="single"/>
              </w:rPr>
            </w:pPr>
          </w:p>
        </w:tc>
        <w:tc>
          <w:tcPr>
            <w:tcW w:w="2268" w:type="dxa"/>
            <w:vAlign w:val="center"/>
          </w:tcPr>
          <w:p>
            <w:pPr>
              <w:pStyle w:val="19"/>
              <w:jc w:val="center"/>
              <w:rPr>
                <w:rFonts w:hAnsi="宋体"/>
                <w:u w:val="single"/>
              </w:rPr>
            </w:pPr>
            <w:r>
              <w:rPr>
                <w:rFonts w:hint="eastAsia" w:hAnsi="宋体"/>
                <w:u w:val="single"/>
              </w:rPr>
              <w:t>占投标总价比例：</w:t>
            </w:r>
          </w:p>
        </w:tc>
        <w:tc>
          <w:tcPr>
            <w:tcW w:w="2367" w:type="dxa"/>
            <w:gridSpan w:val="2"/>
            <w:vAlign w:val="center"/>
          </w:tcPr>
          <w:p>
            <w:pPr>
              <w:pStyle w:val="19"/>
              <w:jc w:val="center"/>
              <w:rPr>
                <w:rFonts w:hAnsi="宋体"/>
                <w:u w:val="single"/>
              </w:rPr>
            </w:pPr>
          </w:p>
        </w:tc>
      </w:tr>
    </w:tbl>
    <w:p>
      <w:pPr>
        <w:pStyle w:val="19"/>
        <w:rPr>
          <w:rFonts w:hAnsi="宋体"/>
          <w:u w:val="single"/>
        </w:rPr>
      </w:pPr>
      <w:r>
        <w:rPr>
          <w:rFonts w:hint="eastAsia" w:hAnsi="宋体"/>
          <w:u w:val="single"/>
        </w:rPr>
        <w:t>　　分标（此处有分标时填写具体分标号，无分标时填写“无”）</w:t>
      </w:r>
    </w:p>
    <w:p>
      <w:pPr>
        <w:pStyle w:val="19"/>
        <w:rPr>
          <w:rFonts w:hAnsi="宋体"/>
          <w:u w:val="single"/>
        </w:rPr>
      </w:pPr>
      <w:r>
        <w:rPr>
          <w:rFonts w:hAnsi="宋体"/>
          <w:u w:val="single"/>
        </w:rPr>
        <w:t>......</w:t>
      </w:r>
    </w:p>
    <w:p>
      <w:pPr>
        <w:pStyle w:val="19"/>
        <w:ind w:firstLine="420"/>
        <w:rPr>
          <w:rFonts w:hAnsi="宋体"/>
          <w:szCs w:val="24"/>
        </w:rPr>
      </w:pPr>
      <w:r>
        <w:rPr>
          <w:rFonts w:hint="eastAsia" w:hAnsi="宋体"/>
          <w:szCs w:val="24"/>
        </w:rPr>
        <w:t>我方对上述声明的真实性负责。如有虚假，将依法承担相应责任。</w:t>
      </w:r>
    </w:p>
    <w:p>
      <w:pPr>
        <w:pStyle w:val="19"/>
        <w:rPr>
          <w:rFonts w:hAnsi="宋体" w:cs="Courier New"/>
        </w:rPr>
      </w:pPr>
    </w:p>
    <w:p>
      <w:pPr>
        <w:pStyle w:val="19"/>
        <w:rPr>
          <w:rFonts w:hAnsi="宋体"/>
          <w:szCs w:val="24"/>
        </w:rPr>
      </w:pPr>
    </w:p>
    <w:p>
      <w:pPr>
        <w:pStyle w:val="19"/>
        <w:rPr>
          <w:rFonts w:hAnsi="宋体"/>
          <w:szCs w:val="24"/>
        </w:rPr>
      </w:pPr>
    </w:p>
    <w:p>
      <w:pPr>
        <w:pStyle w:val="19"/>
        <w:spacing w:line="600" w:lineRule="exact"/>
        <w:rPr>
          <w:rFonts w:hAnsi="宋体"/>
          <w:u w:val="single"/>
        </w:rPr>
      </w:pPr>
      <w:r>
        <w:rPr>
          <w:rFonts w:hint="eastAsia" w:hAnsi="宋体"/>
        </w:rPr>
        <w:t>投标人（盖单位公章）：</w:t>
      </w:r>
    </w:p>
    <w:p>
      <w:pPr>
        <w:pStyle w:val="19"/>
        <w:spacing w:line="600" w:lineRule="exact"/>
        <w:rPr>
          <w:rFonts w:hAnsi="宋体"/>
          <w:u w:val="single"/>
        </w:rPr>
      </w:pPr>
    </w:p>
    <w:p>
      <w:pPr>
        <w:pStyle w:val="19"/>
        <w:spacing w:line="500" w:lineRule="exact"/>
        <w:rPr>
          <w:rFonts w:hAnsi="宋体"/>
          <w:u w:val="single"/>
        </w:rPr>
      </w:pPr>
      <w:r>
        <w:rPr>
          <w:rFonts w:hint="eastAsia" w:hAnsi="宋体"/>
        </w:rPr>
        <w:t>法定代表人或其委托代理人（签字或盖章）：</w:t>
      </w:r>
    </w:p>
    <w:p>
      <w:pPr>
        <w:pStyle w:val="19"/>
        <w:spacing w:line="600" w:lineRule="exact"/>
        <w:jc w:val="left"/>
        <w:rPr>
          <w:rFonts w:hAnsi="宋体"/>
          <w:u w:val="single"/>
        </w:rPr>
      </w:pPr>
    </w:p>
    <w:p>
      <w:pPr>
        <w:pStyle w:val="19"/>
        <w:spacing w:line="500" w:lineRule="exact"/>
        <w:rPr>
          <w:rFonts w:hAnsi="宋体"/>
          <w:b/>
        </w:rPr>
      </w:pPr>
      <w:r>
        <w:rPr>
          <w:rFonts w:hAnsi="宋体"/>
        </w:rPr>
        <w:br w:type="page"/>
      </w:r>
    </w:p>
    <w:p>
      <w:pPr>
        <w:pStyle w:val="19"/>
        <w:spacing w:line="500" w:lineRule="exact"/>
        <w:jc w:val="center"/>
        <w:rPr>
          <w:rFonts w:hAnsi="宋体"/>
          <w:b/>
          <w:bCs/>
          <w:sz w:val="30"/>
          <w:szCs w:val="30"/>
        </w:rPr>
      </w:pPr>
      <w:r>
        <w:rPr>
          <w:rFonts w:hint="eastAsia" w:hAnsi="宋体"/>
          <w:b/>
          <w:bCs/>
          <w:sz w:val="30"/>
          <w:szCs w:val="30"/>
        </w:rPr>
        <w:t>投标产品技术资料表（格式）</w:t>
      </w:r>
    </w:p>
    <w:p>
      <w:pPr>
        <w:pStyle w:val="19"/>
        <w:ind w:firstLine="210" w:firstLineChars="100"/>
        <w:rPr>
          <w:rFonts w:hAnsi="宋体"/>
        </w:rPr>
      </w:pPr>
    </w:p>
    <w:p>
      <w:pPr>
        <w:pStyle w:val="19"/>
        <w:rPr>
          <w:rFonts w:hAnsi="宋体"/>
          <w:u w:val="thick"/>
        </w:rPr>
      </w:pPr>
      <w:r>
        <w:rPr>
          <w:rFonts w:hint="eastAsia" w:hAnsi="宋体"/>
        </w:rPr>
        <w:t>　　请根据所投产品的实际技术参数，逐条对应本项目招标文件第二章“</w:t>
      </w:r>
      <w:r>
        <w:rPr>
          <w:rFonts w:hAnsi="宋体"/>
        </w:rPr>
        <w:t>采购需求一览表</w:t>
      </w:r>
      <w:r>
        <w:rPr>
          <w:rFonts w:hint="eastAsia" w:hAnsi="宋体"/>
        </w:rPr>
        <w:t>”中的技术参数要求详细填写相应的具体内容。“偏离说明”一栏应当选择“正偏离”、“负偏离”或“无偏离”进行填写。</w:t>
      </w:r>
    </w:p>
    <w:p>
      <w:pPr>
        <w:pStyle w:val="19"/>
        <w:ind w:firstLine="420"/>
        <w:rPr>
          <w:rFonts w:hAnsi="宋体"/>
        </w:rPr>
      </w:pPr>
    </w:p>
    <w:tbl>
      <w:tblPr>
        <w:tblStyle w:val="34"/>
        <w:tblW w:w="963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93"/>
        <w:gridCol w:w="1140"/>
        <w:gridCol w:w="735"/>
        <w:gridCol w:w="1575"/>
        <w:gridCol w:w="1139"/>
        <w:gridCol w:w="735"/>
        <w:gridCol w:w="1470"/>
        <w:gridCol w:w="1155"/>
        <w:gridCol w:w="10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8" w:hRule="atLeast"/>
          <w:jc w:val="center"/>
        </w:trPr>
        <w:tc>
          <w:tcPr>
            <w:tcW w:w="594" w:type="dxa"/>
            <w:vMerge w:val="restart"/>
            <w:tcBorders>
              <w:top w:val="single" w:color="auto" w:sz="4" w:space="0"/>
              <w:left w:val="single" w:color="auto" w:sz="4" w:space="0"/>
              <w:bottom w:val="single" w:color="auto" w:sz="4" w:space="0"/>
              <w:right w:val="single" w:color="auto" w:sz="4" w:space="0"/>
            </w:tcBorders>
            <w:noWrap/>
            <w:vAlign w:val="center"/>
          </w:tcPr>
          <w:p>
            <w:pPr>
              <w:rPr>
                <w:rFonts w:ascii="宋体" w:hAnsi="宋体"/>
                <w:szCs w:val="21"/>
              </w:rPr>
            </w:pPr>
            <w:r>
              <w:rPr>
                <w:rFonts w:hint="eastAsia" w:ascii="宋体" w:hAnsi="宋体"/>
                <w:szCs w:val="21"/>
              </w:rPr>
              <w:t>项号</w:t>
            </w:r>
          </w:p>
        </w:tc>
        <w:tc>
          <w:tcPr>
            <w:tcW w:w="3451" w:type="dxa"/>
            <w:gridSpan w:val="3"/>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szCs w:val="21"/>
              </w:rPr>
            </w:pPr>
            <w:r>
              <w:rPr>
                <w:rFonts w:hint="eastAsia" w:ascii="宋体" w:hAnsi="宋体"/>
                <w:szCs w:val="21"/>
              </w:rPr>
              <w:t>招标文件需求</w:t>
            </w:r>
          </w:p>
        </w:tc>
        <w:tc>
          <w:tcPr>
            <w:tcW w:w="4499" w:type="dxa"/>
            <w:gridSpan w:val="4"/>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szCs w:val="21"/>
              </w:rPr>
            </w:pPr>
            <w:r>
              <w:rPr>
                <w:rFonts w:hint="eastAsia" w:ascii="宋体" w:hAnsi="宋体"/>
                <w:szCs w:val="21"/>
              </w:rPr>
              <w:t>投标文件承诺</w:t>
            </w:r>
          </w:p>
        </w:tc>
        <w:tc>
          <w:tcPr>
            <w:tcW w:w="1094" w:type="dxa"/>
            <w:vMerge w:val="restart"/>
            <w:tcBorders>
              <w:top w:val="single" w:color="auto" w:sz="4" w:space="0"/>
              <w:left w:val="single" w:color="auto" w:sz="4" w:space="0"/>
              <w:bottom w:val="single" w:color="auto" w:sz="4" w:space="0"/>
              <w:right w:val="single" w:color="auto" w:sz="4" w:space="0"/>
            </w:tcBorders>
            <w:noWrap/>
            <w:vAlign w:val="center"/>
          </w:tcPr>
          <w:p>
            <w:pPr>
              <w:rPr>
                <w:rFonts w:ascii="宋体" w:hAnsi="宋体"/>
                <w:szCs w:val="21"/>
              </w:rPr>
            </w:pPr>
            <w:r>
              <w:rPr>
                <w:rFonts w:hint="eastAsia" w:ascii="宋体" w:hAnsi="宋体"/>
                <w:szCs w:val="21"/>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1" w:hRule="atLeast"/>
          <w:jc w:val="center"/>
        </w:trPr>
        <w:tc>
          <w:tcPr>
            <w:tcW w:w="9638" w:type="dxa"/>
            <w:vMerge w:val="continue"/>
            <w:tcBorders>
              <w:top w:val="single" w:color="auto" w:sz="4" w:space="0"/>
              <w:left w:val="single" w:color="auto" w:sz="4" w:space="0"/>
              <w:bottom w:val="single" w:color="auto" w:sz="4" w:space="0"/>
              <w:right w:val="single" w:color="auto" w:sz="4" w:space="0"/>
            </w:tcBorders>
            <w:noWrap/>
            <w:vAlign w:val="center"/>
          </w:tcPr>
          <w:p>
            <w:pPr>
              <w:widowControl/>
              <w:jc w:val="left"/>
              <w:rPr>
                <w:rFonts w:ascii="宋体" w:hAnsi="宋体"/>
                <w:szCs w:val="21"/>
              </w:rPr>
            </w:pPr>
          </w:p>
        </w:tc>
        <w:tc>
          <w:tcPr>
            <w:tcW w:w="1141" w:type="dxa"/>
            <w:tcBorders>
              <w:top w:val="single" w:color="auto" w:sz="4" w:space="0"/>
              <w:left w:val="single" w:color="auto" w:sz="4" w:space="0"/>
              <w:bottom w:val="single" w:color="auto" w:sz="4" w:space="0"/>
              <w:right w:val="single" w:color="auto" w:sz="4" w:space="0"/>
            </w:tcBorders>
            <w:noWrap/>
            <w:vAlign w:val="center"/>
          </w:tcPr>
          <w:p>
            <w:pPr>
              <w:rPr>
                <w:rFonts w:ascii="宋体" w:hAnsi="宋体"/>
                <w:szCs w:val="21"/>
              </w:rPr>
            </w:pPr>
            <w:r>
              <w:rPr>
                <w:rFonts w:hint="eastAsia" w:ascii="宋体" w:hAnsi="宋体"/>
                <w:szCs w:val="21"/>
              </w:rPr>
              <w:t>货物名称</w:t>
            </w:r>
          </w:p>
        </w:tc>
        <w:tc>
          <w:tcPr>
            <w:tcW w:w="735" w:type="dxa"/>
            <w:tcBorders>
              <w:top w:val="single" w:color="auto" w:sz="4" w:space="0"/>
              <w:left w:val="single" w:color="auto" w:sz="4" w:space="0"/>
              <w:bottom w:val="single" w:color="auto" w:sz="4" w:space="0"/>
              <w:right w:val="single" w:color="auto" w:sz="4" w:space="0"/>
            </w:tcBorders>
            <w:noWrap/>
            <w:vAlign w:val="center"/>
          </w:tcPr>
          <w:p>
            <w:pPr>
              <w:rPr>
                <w:rFonts w:ascii="宋体" w:hAnsi="宋体"/>
                <w:szCs w:val="21"/>
              </w:rPr>
            </w:pPr>
            <w:r>
              <w:rPr>
                <w:rFonts w:hint="eastAsia" w:ascii="宋体" w:hAnsi="宋体"/>
                <w:szCs w:val="21"/>
              </w:rPr>
              <w:t>数量</w:t>
            </w:r>
          </w:p>
        </w:tc>
        <w:tc>
          <w:tcPr>
            <w:tcW w:w="1575" w:type="dxa"/>
            <w:tcBorders>
              <w:top w:val="single" w:color="auto" w:sz="4" w:space="0"/>
              <w:left w:val="single" w:color="auto" w:sz="4" w:space="0"/>
              <w:bottom w:val="single" w:color="auto" w:sz="4" w:space="0"/>
              <w:right w:val="single" w:color="auto" w:sz="4" w:space="0"/>
            </w:tcBorders>
            <w:noWrap/>
            <w:vAlign w:val="center"/>
          </w:tcPr>
          <w:p>
            <w:pPr>
              <w:rPr>
                <w:rFonts w:ascii="宋体" w:hAnsi="宋体"/>
                <w:szCs w:val="21"/>
              </w:rPr>
            </w:pPr>
            <w:r>
              <w:rPr>
                <w:rFonts w:hint="eastAsia" w:ascii="宋体" w:hAnsi="宋体"/>
                <w:szCs w:val="21"/>
              </w:rPr>
              <w:t>技术参数要求</w:t>
            </w:r>
          </w:p>
        </w:tc>
        <w:tc>
          <w:tcPr>
            <w:tcW w:w="1139" w:type="dxa"/>
            <w:tcBorders>
              <w:top w:val="single" w:color="auto" w:sz="4" w:space="0"/>
              <w:left w:val="single" w:color="auto" w:sz="4" w:space="0"/>
              <w:bottom w:val="single" w:color="auto" w:sz="4" w:space="0"/>
              <w:right w:val="single" w:color="auto" w:sz="4" w:space="0"/>
            </w:tcBorders>
            <w:noWrap/>
            <w:vAlign w:val="center"/>
          </w:tcPr>
          <w:p>
            <w:pPr>
              <w:rPr>
                <w:rFonts w:ascii="宋体" w:hAnsi="宋体"/>
                <w:szCs w:val="21"/>
              </w:rPr>
            </w:pPr>
            <w:r>
              <w:rPr>
                <w:rFonts w:hint="eastAsia" w:ascii="宋体" w:hAnsi="宋体"/>
                <w:szCs w:val="21"/>
              </w:rPr>
              <w:t>货物名称</w:t>
            </w:r>
          </w:p>
        </w:tc>
        <w:tc>
          <w:tcPr>
            <w:tcW w:w="735" w:type="dxa"/>
            <w:tcBorders>
              <w:top w:val="single" w:color="auto" w:sz="4" w:space="0"/>
              <w:left w:val="single" w:color="auto" w:sz="4" w:space="0"/>
              <w:bottom w:val="single" w:color="auto" w:sz="4" w:space="0"/>
              <w:right w:val="single" w:color="auto" w:sz="4" w:space="0"/>
            </w:tcBorders>
            <w:noWrap/>
            <w:vAlign w:val="center"/>
          </w:tcPr>
          <w:p>
            <w:pPr>
              <w:rPr>
                <w:rFonts w:ascii="宋体" w:hAnsi="宋体"/>
                <w:szCs w:val="21"/>
              </w:rPr>
            </w:pPr>
            <w:r>
              <w:rPr>
                <w:rFonts w:hint="eastAsia" w:ascii="宋体" w:hAnsi="宋体"/>
                <w:szCs w:val="21"/>
              </w:rPr>
              <w:t>数量</w:t>
            </w:r>
          </w:p>
        </w:tc>
        <w:tc>
          <w:tcPr>
            <w:tcW w:w="1470" w:type="dxa"/>
            <w:tcBorders>
              <w:top w:val="single" w:color="auto" w:sz="4" w:space="0"/>
              <w:left w:val="single" w:color="auto" w:sz="4" w:space="0"/>
              <w:bottom w:val="single" w:color="auto" w:sz="4" w:space="0"/>
              <w:right w:val="single" w:color="auto" w:sz="4" w:space="0"/>
            </w:tcBorders>
            <w:noWrap/>
            <w:vAlign w:val="center"/>
          </w:tcPr>
          <w:p>
            <w:pPr>
              <w:rPr>
                <w:rFonts w:ascii="宋体" w:hAnsi="宋体"/>
                <w:szCs w:val="21"/>
              </w:rPr>
            </w:pPr>
            <w:r>
              <w:rPr>
                <w:rFonts w:hint="eastAsia" w:ascii="宋体" w:hAnsi="宋体"/>
                <w:szCs w:val="21"/>
              </w:rPr>
              <w:t>品牌、厂家、型号、规格</w:t>
            </w:r>
          </w:p>
        </w:tc>
        <w:tc>
          <w:tcPr>
            <w:tcW w:w="1155" w:type="dxa"/>
            <w:tcBorders>
              <w:top w:val="single" w:color="auto" w:sz="4" w:space="0"/>
              <w:left w:val="single" w:color="auto" w:sz="4" w:space="0"/>
              <w:bottom w:val="single" w:color="auto" w:sz="4" w:space="0"/>
              <w:right w:val="single" w:color="auto" w:sz="4" w:space="0"/>
            </w:tcBorders>
            <w:noWrap/>
            <w:vAlign w:val="center"/>
          </w:tcPr>
          <w:p>
            <w:pPr>
              <w:rPr>
                <w:rFonts w:ascii="宋体" w:hAnsi="宋体"/>
                <w:szCs w:val="21"/>
              </w:rPr>
            </w:pPr>
            <w:r>
              <w:rPr>
                <w:rFonts w:hint="eastAsia" w:ascii="宋体" w:hAnsi="宋体"/>
                <w:szCs w:val="21"/>
              </w:rPr>
              <w:t>技术参数</w:t>
            </w:r>
          </w:p>
        </w:tc>
        <w:tc>
          <w:tcPr>
            <w:tcW w:w="1094" w:type="dxa"/>
            <w:vMerge w:val="continue"/>
            <w:tcBorders>
              <w:top w:val="single" w:color="auto" w:sz="4" w:space="0"/>
              <w:left w:val="single" w:color="auto" w:sz="4" w:space="0"/>
              <w:bottom w:val="single" w:color="auto" w:sz="4" w:space="0"/>
              <w:right w:val="single" w:color="auto" w:sz="4" w:space="0"/>
            </w:tcBorders>
            <w:noWrap/>
            <w:vAlign w:val="center"/>
          </w:tcPr>
          <w:p>
            <w:pPr>
              <w:widowControl/>
              <w:jc w:val="left"/>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3" w:hRule="atLeast"/>
          <w:jc w:val="center"/>
        </w:trPr>
        <w:tc>
          <w:tcPr>
            <w:tcW w:w="594" w:type="dxa"/>
            <w:tcBorders>
              <w:top w:val="single" w:color="auto" w:sz="4" w:space="0"/>
              <w:left w:val="single" w:color="auto" w:sz="4" w:space="0"/>
              <w:bottom w:val="single" w:color="auto" w:sz="4" w:space="0"/>
              <w:right w:val="single" w:color="auto" w:sz="4" w:space="0"/>
            </w:tcBorders>
            <w:noWrap/>
            <w:vAlign w:val="center"/>
          </w:tcPr>
          <w:p>
            <w:pPr>
              <w:rPr>
                <w:rFonts w:ascii="宋体" w:hAnsi="宋体"/>
                <w:szCs w:val="21"/>
              </w:rPr>
            </w:pPr>
            <w:r>
              <w:rPr>
                <w:rFonts w:hint="eastAsia" w:ascii="宋体" w:hAnsi="宋体"/>
                <w:szCs w:val="21"/>
              </w:rPr>
              <w:t>1</w:t>
            </w:r>
          </w:p>
        </w:tc>
        <w:tc>
          <w:tcPr>
            <w:tcW w:w="1141" w:type="dxa"/>
            <w:tcBorders>
              <w:top w:val="single" w:color="auto" w:sz="4" w:space="0"/>
              <w:left w:val="single" w:color="auto" w:sz="4" w:space="0"/>
              <w:bottom w:val="single" w:color="auto" w:sz="4" w:space="0"/>
              <w:right w:val="single" w:color="auto" w:sz="4" w:space="0"/>
            </w:tcBorders>
            <w:noWrap/>
            <w:vAlign w:val="center"/>
          </w:tcPr>
          <w:p>
            <w:pPr>
              <w:rPr>
                <w:rFonts w:ascii="宋体" w:hAnsi="宋体"/>
                <w:szCs w:val="21"/>
              </w:rPr>
            </w:pPr>
            <w:r>
              <w:rPr>
                <w:rFonts w:hint="eastAsia" w:ascii="宋体" w:hAnsi="宋体"/>
                <w:szCs w:val="21"/>
              </w:rPr>
              <w:t>……</w:t>
            </w:r>
          </w:p>
        </w:tc>
        <w:tc>
          <w:tcPr>
            <w:tcW w:w="735" w:type="dxa"/>
            <w:tcBorders>
              <w:top w:val="single" w:color="auto" w:sz="4" w:space="0"/>
              <w:left w:val="single" w:color="auto" w:sz="4" w:space="0"/>
              <w:bottom w:val="single" w:color="auto" w:sz="4" w:space="0"/>
              <w:right w:val="single" w:color="auto" w:sz="4" w:space="0"/>
            </w:tcBorders>
            <w:noWrap/>
            <w:vAlign w:val="center"/>
          </w:tcPr>
          <w:p>
            <w:pPr>
              <w:rPr>
                <w:rFonts w:ascii="宋体" w:hAnsi="宋体"/>
                <w:szCs w:val="21"/>
              </w:rPr>
            </w:pPr>
            <w:r>
              <w:rPr>
                <w:rFonts w:hint="eastAsia" w:ascii="宋体" w:hAnsi="宋体"/>
                <w:szCs w:val="21"/>
              </w:rPr>
              <w:t>…</w:t>
            </w:r>
          </w:p>
        </w:tc>
        <w:tc>
          <w:tcPr>
            <w:tcW w:w="1575" w:type="dxa"/>
            <w:tcBorders>
              <w:top w:val="single" w:color="auto" w:sz="4" w:space="0"/>
              <w:left w:val="single" w:color="auto" w:sz="4" w:space="0"/>
              <w:bottom w:val="single" w:color="auto" w:sz="4" w:space="0"/>
              <w:right w:val="single" w:color="auto" w:sz="4" w:space="0"/>
            </w:tcBorders>
            <w:noWrap/>
            <w:vAlign w:val="center"/>
          </w:tcPr>
          <w:p>
            <w:pPr>
              <w:rPr>
                <w:rFonts w:ascii="宋体" w:hAnsi="宋体"/>
                <w:szCs w:val="21"/>
              </w:rPr>
            </w:pPr>
            <w:r>
              <w:rPr>
                <w:rFonts w:hint="eastAsia" w:ascii="宋体" w:hAnsi="宋体"/>
                <w:szCs w:val="21"/>
              </w:rPr>
              <w:t>1  ……</w:t>
            </w:r>
          </w:p>
          <w:p>
            <w:pPr>
              <w:rPr>
                <w:rFonts w:ascii="宋体" w:hAnsi="宋体"/>
                <w:szCs w:val="21"/>
              </w:rPr>
            </w:pPr>
            <w:r>
              <w:rPr>
                <w:rFonts w:hint="eastAsia" w:ascii="宋体" w:hAnsi="宋体"/>
                <w:szCs w:val="21"/>
              </w:rPr>
              <w:t>2  ……</w:t>
            </w:r>
          </w:p>
          <w:p>
            <w:pPr>
              <w:rPr>
                <w:rFonts w:ascii="宋体" w:hAnsi="宋体"/>
                <w:szCs w:val="21"/>
              </w:rPr>
            </w:pPr>
            <w:r>
              <w:rPr>
                <w:rFonts w:hint="eastAsia" w:ascii="宋体" w:hAnsi="宋体"/>
                <w:szCs w:val="21"/>
              </w:rPr>
              <w:t>3  ……</w:t>
            </w:r>
          </w:p>
          <w:p>
            <w:pPr>
              <w:rPr>
                <w:rFonts w:ascii="宋体" w:hAnsi="宋体"/>
                <w:szCs w:val="21"/>
              </w:rPr>
            </w:pPr>
            <w:r>
              <w:rPr>
                <w:rFonts w:hint="eastAsia" w:ascii="宋体" w:hAnsi="宋体"/>
                <w:szCs w:val="21"/>
              </w:rPr>
              <w:t>……</w:t>
            </w:r>
          </w:p>
        </w:tc>
        <w:tc>
          <w:tcPr>
            <w:tcW w:w="1139" w:type="dxa"/>
            <w:tcBorders>
              <w:top w:val="single" w:color="auto" w:sz="4" w:space="0"/>
              <w:left w:val="single" w:color="auto" w:sz="4" w:space="0"/>
              <w:bottom w:val="single" w:color="auto" w:sz="4" w:space="0"/>
              <w:right w:val="single" w:color="auto" w:sz="4" w:space="0"/>
            </w:tcBorders>
            <w:noWrap/>
            <w:vAlign w:val="center"/>
          </w:tcPr>
          <w:p>
            <w:pPr>
              <w:rPr>
                <w:rFonts w:ascii="宋体" w:hAnsi="宋体"/>
                <w:szCs w:val="21"/>
              </w:rPr>
            </w:pPr>
            <w:r>
              <w:rPr>
                <w:rFonts w:hint="eastAsia" w:ascii="宋体" w:hAnsi="宋体"/>
                <w:szCs w:val="21"/>
              </w:rPr>
              <w:t>……</w:t>
            </w:r>
          </w:p>
        </w:tc>
        <w:tc>
          <w:tcPr>
            <w:tcW w:w="735" w:type="dxa"/>
            <w:tcBorders>
              <w:top w:val="single" w:color="auto" w:sz="4" w:space="0"/>
              <w:left w:val="single" w:color="auto" w:sz="4" w:space="0"/>
              <w:bottom w:val="single" w:color="auto" w:sz="4" w:space="0"/>
              <w:right w:val="single" w:color="auto" w:sz="4" w:space="0"/>
            </w:tcBorders>
            <w:noWrap/>
            <w:vAlign w:val="center"/>
          </w:tcPr>
          <w:p>
            <w:pPr>
              <w:rPr>
                <w:rFonts w:ascii="宋体" w:hAnsi="宋体"/>
                <w:szCs w:val="21"/>
              </w:rPr>
            </w:pPr>
            <w:r>
              <w:rPr>
                <w:rFonts w:hint="eastAsia" w:ascii="宋体" w:hAnsi="宋体"/>
                <w:szCs w:val="21"/>
              </w:rPr>
              <w:t>…</w:t>
            </w:r>
          </w:p>
        </w:tc>
        <w:tc>
          <w:tcPr>
            <w:tcW w:w="1470" w:type="dxa"/>
            <w:tcBorders>
              <w:top w:val="single" w:color="auto" w:sz="4" w:space="0"/>
              <w:left w:val="single" w:color="auto" w:sz="4" w:space="0"/>
              <w:bottom w:val="single" w:color="auto" w:sz="4" w:space="0"/>
              <w:right w:val="single" w:color="auto" w:sz="4" w:space="0"/>
            </w:tcBorders>
            <w:noWrap/>
            <w:vAlign w:val="center"/>
          </w:tcPr>
          <w:p>
            <w:pPr>
              <w:rPr>
                <w:rFonts w:ascii="宋体" w:hAnsi="宋体"/>
                <w:szCs w:val="21"/>
              </w:rPr>
            </w:pPr>
            <w:r>
              <w:rPr>
                <w:rFonts w:hint="eastAsia" w:ascii="宋体" w:hAnsi="宋体"/>
                <w:szCs w:val="21"/>
              </w:rPr>
              <w:t>……</w:t>
            </w:r>
          </w:p>
        </w:tc>
        <w:tc>
          <w:tcPr>
            <w:tcW w:w="1155" w:type="dxa"/>
            <w:tcBorders>
              <w:top w:val="single" w:color="auto" w:sz="4" w:space="0"/>
              <w:left w:val="single" w:color="auto" w:sz="4" w:space="0"/>
              <w:bottom w:val="single" w:color="auto" w:sz="4" w:space="0"/>
              <w:right w:val="single" w:color="auto" w:sz="4" w:space="0"/>
            </w:tcBorders>
            <w:noWrap/>
            <w:vAlign w:val="center"/>
          </w:tcPr>
          <w:p>
            <w:pPr>
              <w:rPr>
                <w:rFonts w:ascii="宋体" w:hAnsi="宋体"/>
                <w:szCs w:val="21"/>
              </w:rPr>
            </w:pPr>
            <w:r>
              <w:rPr>
                <w:rFonts w:hint="eastAsia" w:ascii="宋体" w:hAnsi="宋体"/>
                <w:szCs w:val="21"/>
              </w:rPr>
              <w:t>1  ……</w:t>
            </w:r>
          </w:p>
          <w:p>
            <w:pPr>
              <w:rPr>
                <w:rFonts w:ascii="宋体" w:hAnsi="宋体"/>
                <w:szCs w:val="21"/>
              </w:rPr>
            </w:pPr>
            <w:r>
              <w:rPr>
                <w:rFonts w:hint="eastAsia" w:ascii="宋体" w:hAnsi="宋体"/>
                <w:szCs w:val="21"/>
              </w:rPr>
              <w:t>2  ……</w:t>
            </w:r>
          </w:p>
          <w:p>
            <w:pPr>
              <w:rPr>
                <w:rFonts w:ascii="宋体" w:hAnsi="宋体"/>
                <w:szCs w:val="21"/>
              </w:rPr>
            </w:pPr>
            <w:r>
              <w:rPr>
                <w:rFonts w:hint="eastAsia" w:ascii="宋体" w:hAnsi="宋体"/>
                <w:szCs w:val="21"/>
              </w:rPr>
              <w:t>3  ……</w:t>
            </w:r>
          </w:p>
          <w:p>
            <w:pPr>
              <w:rPr>
                <w:rFonts w:ascii="宋体" w:hAnsi="宋体"/>
                <w:szCs w:val="21"/>
              </w:rPr>
            </w:pPr>
            <w:r>
              <w:rPr>
                <w:rFonts w:hint="eastAsia" w:ascii="宋体" w:hAnsi="宋体"/>
                <w:szCs w:val="21"/>
              </w:rPr>
              <w:t>……</w:t>
            </w:r>
          </w:p>
        </w:tc>
        <w:tc>
          <w:tcPr>
            <w:tcW w:w="1094" w:type="dxa"/>
            <w:tcBorders>
              <w:top w:val="single" w:color="auto" w:sz="4" w:space="0"/>
              <w:left w:val="single" w:color="auto" w:sz="4" w:space="0"/>
              <w:bottom w:val="single" w:color="auto" w:sz="4" w:space="0"/>
              <w:right w:val="single" w:color="auto" w:sz="4" w:space="0"/>
            </w:tcBorders>
            <w:noWrap/>
            <w:vAlign w:val="center"/>
          </w:tcPr>
          <w:p>
            <w:pPr>
              <w:rPr>
                <w:rFonts w:ascii="宋体" w:hAnsi="宋体"/>
                <w:szCs w:val="21"/>
              </w:rPr>
            </w:pPr>
            <w:r>
              <w:rPr>
                <w:rFonts w:hint="eastAsia" w:ascii="宋体" w:hAnsi="宋体"/>
                <w:szCs w:val="21"/>
              </w:rPr>
              <w:t>正偏离（负偏离或无偏离）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1" w:hRule="atLeast"/>
          <w:jc w:val="center"/>
        </w:trPr>
        <w:tc>
          <w:tcPr>
            <w:tcW w:w="594" w:type="dxa"/>
            <w:tcBorders>
              <w:top w:val="single" w:color="auto" w:sz="4" w:space="0"/>
              <w:left w:val="single" w:color="auto" w:sz="4" w:space="0"/>
              <w:bottom w:val="single" w:color="auto" w:sz="4" w:space="0"/>
              <w:right w:val="single" w:color="auto" w:sz="4" w:space="0"/>
            </w:tcBorders>
            <w:noWrap/>
            <w:vAlign w:val="center"/>
          </w:tcPr>
          <w:p>
            <w:pPr>
              <w:rPr>
                <w:rFonts w:ascii="宋体" w:hAnsi="宋体"/>
                <w:szCs w:val="21"/>
              </w:rPr>
            </w:pPr>
            <w:r>
              <w:rPr>
                <w:rFonts w:hint="eastAsia" w:ascii="宋体" w:hAnsi="宋体"/>
                <w:szCs w:val="21"/>
              </w:rPr>
              <w:t>2</w:t>
            </w:r>
          </w:p>
        </w:tc>
        <w:tc>
          <w:tcPr>
            <w:tcW w:w="1141" w:type="dxa"/>
            <w:tcBorders>
              <w:top w:val="single" w:color="auto" w:sz="4" w:space="0"/>
              <w:left w:val="single" w:color="auto" w:sz="4" w:space="0"/>
              <w:bottom w:val="single" w:color="auto" w:sz="4" w:space="0"/>
              <w:right w:val="single" w:color="auto" w:sz="4" w:space="0"/>
            </w:tcBorders>
            <w:noWrap/>
            <w:vAlign w:val="center"/>
          </w:tcPr>
          <w:p>
            <w:pPr>
              <w:rPr>
                <w:rFonts w:ascii="宋体" w:hAnsi="宋体"/>
                <w:szCs w:val="21"/>
              </w:rPr>
            </w:pPr>
            <w:r>
              <w:rPr>
                <w:rFonts w:hint="eastAsia" w:ascii="宋体" w:hAnsi="宋体"/>
                <w:szCs w:val="21"/>
              </w:rPr>
              <w:t>……</w:t>
            </w:r>
          </w:p>
        </w:tc>
        <w:tc>
          <w:tcPr>
            <w:tcW w:w="735" w:type="dxa"/>
            <w:tcBorders>
              <w:top w:val="single" w:color="auto" w:sz="4" w:space="0"/>
              <w:left w:val="single" w:color="auto" w:sz="4" w:space="0"/>
              <w:bottom w:val="single" w:color="auto" w:sz="4" w:space="0"/>
              <w:right w:val="single" w:color="auto" w:sz="4" w:space="0"/>
            </w:tcBorders>
            <w:noWrap/>
            <w:vAlign w:val="center"/>
          </w:tcPr>
          <w:p>
            <w:pPr>
              <w:rPr>
                <w:rFonts w:ascii="宋体" w:hAnsi="宋体"/>
                <w:szCs w:val="21"/>
              </w:rPr>
            </w:pPr>
            <w:r>
              <w:rPr>
                <w:rFonts w:hint="eastAsia" w:ascii="宋体" w:hAnsi="宋体"/>
                <w:szCs w:val="21"/>
              </w:rPr>
              <w:t>…</w:t>
            </w:r>
          </w:p>
        </w:tc>
        <w:tc>
          <w:tcPr>
            <w:tcW w:w="1575" w:type="dxa"/>
            <w:tcBorders>
              <w:top w:val="single" w:color="auto" w:sz="4" w:space="0"/>
              <w:left w:val="single" w:color="auto" w:sz="4" w:space="0"/>
              <w:bottom w:val="single" w:color="auto" w:sz="4" w:space="0"/>
              <w:right w:val="single" w:color="auto" w:sz="4" w:space="0"/>
            </w:tcBorders>
            <w:noWrap/>
            <w:vAlign w:val="center"/>
          </w:tcPr>
          <w:p>
            <w:pPr>
              <w:rPr>
                <w:rFonts w:ascii="宋体" w:hAnsi="宋体"/>
                <w:szCs w:val="21"/>
              </w:rPr>
            </w:pPr>
            <w:r>
              <w:rPr>
                <w:rFonts w:hint="eastAsia" w:ascii="宋体" w:hAnsi="宋体"/>
                <w:szCs w:val="21"/>
              </w:rPr>
              <w:t>1  ……</w:t>
            </w:r>
          </w:p>
          <w:p>
            <w:pPr>
              <w:rPr>
                <w:rFonts w:ascii="宋体" w:hAnsi="宋体"/>
                <w:szCs w:val="21"/>
              </w:rPr>
            </w:pPr>
            <w:r>
              <w:rPr>
                <w:rFonts w:hint="eastAsia" w:ascii="宋体" w:hAnsi="宋体"/>
                <w:szCs w:val="21"/>
              </w:rPr>
              <w:t>2  ……</w:t>
            </w:r>
          </w:p>
          <w:p>
            <w:pPr>
              <w:rPr>
                <w:rFonts w:ascii="宋体" w:hAnsi="宋体"/>
                <w:szCs w:val="21"/>
              </w:rPr>
            </w:pPr>
            <w:r>
              <w:rPr>
                <w:rFonts w:hint="eastAsia" w:ascii="宋体" w:hAnsi="宋体"/>
                <w:szCs w:val="21"/>
              </w:rPr>
              <w:t>3  ……</w:t>
            </w:r>
          </w:p>
          <w:p>
            <w:pPr>
              <w:rPr>
                <w:rFonts w:ascii="宋体" w:hAnsi="宋体"/>
                <w:szCs w:val="21"/>
              </w:rPr>
            </w:pPr>
            <w:r>
              <w:rPr>
                <w:rFonts w:hint="eastAsia" w:ascii="宋体" w:hAnsi="宋体"/>
                <w:szCs w:val="21"/>
              </w:rPr>
              <w:t>……</w:t>
            </w:r>
          </w:p>
        </w:tc>
        <w:tc>
          <w:tcPr>
            <w:tcW w:w="1139" w:type="dxa"/>
            <w:tcBorders>
              <w:top w:val="single" w:color="auto" w:sz="4" w:space="0"/>
              <w:left w:val="single" w:color="auto" w:sz="4" w:space="0"/>
              <w:bottom w:val="single" w:color="auto" w:sz="4" w:space="0"/>
              <w:right w:val="single" w:color="auto" w:sz="4" w:space="0"/>
            </w:tcBorders>
            <w:noWrap/>
            <w:vAlign w:val="center"/>
          </w:tcPr>
          <w:p>
            <w:pPr>
              <w:rPr>
                <w:rFonts w:ascii="宋体" w:hAnsi="宋体"/>
                <w:szCs w:val="21"/>
              </w:rPr>
            </w:pPr>
            <w:r>
              <w:rPr>
                <w:rFonts w:hint="eastAsia" w:ascii="宋体" w:hAnsi="宋体"/>
                <w:szCs w:val="21"/>
              </w:rPr>
              <w:t>……</w:t>
            </w:r>
          </w:p>
        </w:tc>
        <w:tc>
          <w:tcPr>
            <w:tcW w:w="735" w:type="dxa"/>
            <w:tcBorders>
              <w:top w:val="single" w:color="auto" w:sz="4" w:space="0"/>
              <w:left w:val="single" w:color="auto" w:sz="4" w:space="0"/>
              <w:bottom w:val="single" w:color="auto" w:sz="4" w:space="0"/>
              <w:right w:val="single" w:color="auto" w:sz="4" w:space="0"/>
            </w:tcBorders>
            <w:noWrap/>
            <w:vAlign w:val="center"/>
          </w:tcPr>
          <w:p>
            <w:pPr>
              <w:rPr>
                <w:rFonts w:ascii="宋体" w:hAnsi="宋体"/>
                <w:szCs w:val="21"/>
              </w:rPr>
            </w:pPr>
            <w:r>
              <w:rPr>
                <w:rFonts w:hint="eastAsia" w:ascii="宋体" w:hAnsi="宋体"/>
                <w:szCs w:val="21"/>
              </w:rPr>
              <w:t>…</w:t>
            </w:r>
          </w:p>
        </w:tc>
        <w:tc>
          <w:tcPr>
            <w:tcW w:w="1470" w:type="dxa"/>
            <w:tcBorders>
              <w:top w:val="single" w:color="auto" w:sz="4" w:space="0"/>
              <w:left w:val="single" w:color="auto" w:sz="4" w:space="0"/>
              <w:bottom w:val="single" w:color="auto" w:sz="4" w:space="0"/>
              <w:right w:val="single" w:color="auto" w:sz="4" w:space="0"/>
            </w:tcBorders>
            <w:noWrap/>
            <w:vAlign w:val="center"/>
          </w:tcPr>
          <w:p>
            <w:pPr>
              <w:rPr>
                <w:rFonts w:ascii="宋体" w:hAnsi="宋体"/>
                <w:szCs w:val="21"/>
              </w:rPr>
            </w:pPr>
            <w:r>
              <w:rPr>
                <w:rFonts w:hint="eastAsia" w:ascii="宋体" w:hAnsi="宋体"/>
                <w:szCs w:val="21"/>
              </w:rPr>
              <w:t>……</w:t>
            </w:r>
          </w:p>
        </w:tc>
        <w:tc>
          <w:tcPr>
            <w:tcW w:w="1155" w:type="dxa"/>
            <w:tcBorders>
              <w:top w:val="single" w:color="auto" w:sz="4" w:space="0"/>
              <w:left w:val="single" w:color="auto" w:sz="4" w:space="0"/>
              <w:bottom w:val="single" w:color="auto" w:sz="4" w:space="0"/>
              <w:right w:val="single" w:color="auto" w:sz="4" w:space="0"/>
            </w:tcBorders>
            <w:noWrap/>
            <w:vAlign w:val="center"/>
          </w:tcPr>
          <w:p>
            <w:pPr>
              <w:rPr>
                <w:rFonts w:ascii="宋体" w:hAnsi="宋体"/>
                <w:szCs w:val="21"/>
              </w:rPr>
            </w:pPr>
            <w:r>
              <w:rPr>
                <w:rFonts w:hint="eastAsia" w:ascii="宋体" w:hAnsi="宋体"/>
                <w:szCs w:val="21"/>
              </w:rPr>
              <w:t>1  ……</w:t>
            </w:r>
          </w:p>
          <w:p>
            <w:pPr>
              <w:rPr>
                <w:rFonts w:ascii="宋体" w:hAnsi="宋体"/>
                <w:szCs w:val="21"/>
              </w:rPr>
            </w:pPr>
            <w:r>
              <w:rPr>
                <w:rFonts w:hint="eastAsia" w:ascii="宋体" w:hAnsi="宋体"/>
                <w:szCs w:val="21"/>
              </w:rPr>
              <w:t>2  ……</w:t>
            </w:r>
          </w:p>
          <w:p>
            <w:pPr>
              <w:rPr>
                <w:rFonts w:ascii="宋体" w:hAnsi="宋体"/>
                <w:szCs w:val="21"/>
              </w:rPr>
            </w:pPr>
            <w:r>
              <w:rPr>
                <w:rFonts w:hint="eastAsia" w:ascii="宋体" w:hAnsi="宋体"/>
                <w:szCs w:val="21"/>
              </w:rPr>
              <w:t>3  ……</w:t>
            </w:r>
          </w:p>
          <w:p>
            <w:pPr>
              <w:rPr>
                <w:rFonts w:ascii="宋体" w:hAnsi="宋体"/>
                <w:szCs w:val="21"/>
              </w:rPr>
            </w:pPr>
            <w:r>
              <w:rPr>
                <w:rFonts w:hint="eastAsia" w:ascii="宋体" w:hAnsi="宋体"/>
                <w:szCs w:val="21"/>
              </w:rPr>
              <w:t>……</w:t>
            </w:r>
          </w:p>
        </w:tc>
        <w:tc>
          <w:tcPr>
            <w:tcW w:w="1094" w:type="dxa"/>
            <w:tcBorders>
              <w:top w:val="single" w:color="auto" w:sz="4" w:space="0"/>
              <w:left w:val="single" w:color="auto" w:sz="4" w:space="0"/>
              <w:bottom w:val="single" w:color="auto" w:sz="4" w:space="0"/>
              <w:right w:val="single" w:color="auto" w:sz="4" w:space="0"/>
            </w:tcBorders>
            <w:noWrap/>
            <w:vAlign w:val="center"/>
          </w:tcPr>
          <w:p>
            <w:pPr>
              <w:rPr>
                <w:rFonts w:ascii="宋体" w:hAnsi="宋体"/>
                <w:szCs w:val="21"/>
              </w:rPr>
            </w:pPr>
            <w:r>
              <w:rPr>
                <w:rFonts w:hint="eastAsia" w:ascii="宋体" w:hAnsi="宋体"/>
                <w:szCs w:val="21"/>
              </w:rPr>
              <w:t>正偏离（负偏离或无偏离）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594" w:type="dxa"/>
            <w:tcBorders>
              <w:top w:val="single" w:color="auto" w:sz="4" w:space="0"/>
              <w:left w:val="single" w:color="auto" w:sz="4" w:space="0"/>
              <w:bottom w:val="single" w:color="auto" w:sz="4" w:space="0"/>
              <w:right w:val="single" w:color="auto" w:sz="4" w:space="0"/>
            </w:tcBorders>
            <w:noWrap/>
            <w:vAlign w:val="center"/>
          </w:tcPr>
          <w:p>
            <w:pPr>
              <w:rPr>
                <w:rFonts w:ascii="宋体" w:hAnsi="宋体"/>
                <w:szCs w:val="21"/>
              </w:rPr>
            </w:pPr>
            <w:r>
              <w:rPr>
                <w:rFonts w:hint="eastAsia" w:ascii="宋体" w:hAnsi="宋体"/>
                <w:szCs w:val="21"/>
              </w:rPr>
              <w:t>...</w:t>
            </w:r>
          </w:p>
        </w:tc>
        <w:tc>
          <w:tcPr>
            <w:tcW w:w="1141" w:type="dxa"/>
            <w:tcBorders>
              <w:top w:val="single" w:color="auto" w:sz="4" w:space="0"/>
              <w:left w:val="single" w:color="auto" w:sz="4" w:space="0"/>
              <w:bottom w:val="single" w:color="auto" w:sz="4" w:space="0"/>
              <w:right w:val="single" w:color="auto" w:sz="4" w:space="0"/>
            </w:tcBorders>
            <w:noWrap/>
            <w:vAlign w:val="center"/>
          </w:tcPr>
          <w:p>
            <w:pPr>
              <w:rPr>
                <w:rFonts w:ascii="宋体" w:hAnsi="宋体"/>
                <w:szCs w:val="21"/>
              </w:rPr>
            </w:pPr>
          </w:p>
        </w:tc>
        <w:tc>
          <w:tcPr>
            <w:tcW w:w="735" w:type="dxa"/>
            <w:tcBorders>
              <w:top w:val="single" w:color="auto" w:sz="4" w:space="0"/>
              <w:left w:val="single" w:color="auto" w:sz="4" w:space="0"/>
              <w:bottom w:val="single" w:color="auto" w:sz="4" w:space="0"/>
              <w:right w:val="single" w:color="auto" w:sz="4" w:space="0"/>
            </w:tcBorders>
            <w:noWrap/>
            <w:vAlign w:val="center"/>
          </w:tcPr>
          <w:p>
            <w:pPr>
              <w:rPr>
                <w:rFonts w:ascii="宋体" w:hAnsi="宋体"/>
                <w:szCs w:val="21"/>
              </w:rPr>
            </w:pPr>
          </w:p>
        </w:tc>
        <w:tc>
          <w:tcPr>
            <w:tcW w:w="1575" w:type="dxa"/>
            <w:tcBorders>
              <w:top w:val="single" w:color="auto" w:sz="4" w:space="0"/>
              <w:left w:val="single" w:color="auto" w:sz="4" w:space="0"/>
              <w:bottom w:val="single" w:color="auto" w:sz="4" w:space="0"/>
              <w:right w:val="single" w:color="auto" w:sz="4" w:space="0"/>
            </w:tcBorders>
            <w:noWrap/>
            <w:vAlign w:val="center"/>
          </w:tcPr>
          <w:p>
            <w:pPr>
              <w:rPr>
                <w:rFonts w:ascii="宋体" w:hAnsi="宋体"/>
                <w:szCs w:val="21"/>
              </w:rPr>
            </w:pPr>
          </w:p>
        </w:tc>
        <w:tc>
          <w:tcPr>
            <w:tcW w:w="1139" w:type="dxa"/>
            <w:tcBorders>
              <w:top w:val="single" w:color="auto" w:sz="4" w:space="0"/>
              <w:left w:val="single" w:color="auto" w:sz="4" w:space="0"/>
              <w:bottom w:val="single" w:color="auto" w:sz="4" w:space="0"/>
              <w:right w:val="single" w:color="auto" w:sz="4" w:space="0"/>
            </w:tcBorders>
            <w:noWrap/>
            <w:vAlign w:val="center"/>
          </w:tcPr>
          <w:p>
            <w:pPr>
              <w:rPr>
                <w:rFonts w:ascii="宋体" w:hAnsi="宋体"/>
                <w:szCs w:val="21"/>
              </w:rPr>
            </w:pPr>
          </w:p>
        </w:tc>
        <w:tc>
          <w:tcPr>
            <w:tcW w:w="735" w:type="dxa"/>
            <w:tcBorders>
              <w:top w:val="single" w:color="auto" w:sz="4" w:space="0"/>
              <w:left w:val="single" w:color="auto" w:sz="4" w:space="0"/>
              <w:bottom w:val="single" w:color="auto" w:sz="4" w:space="0"/>
              <w:right w:val="single" w:color="auto" w:sz="4" w:space="0"/>
            </w:tcBorders>
            <w:noWrap/>
            <w:vAlign w:val="center"/>
          </w:tcPr>
          <w:p>
            <w:pPr>
              <w:rPr>
                <w:rFonts w:ascii="宋体" w:hAnsi="宋体"/>
                <w:szCs w:val="21"/>
              </w:rPr>
            </w:pPr>
          </w:p>
        </w:tc>
        <w:tc>
          <w:tcPr>
            <w:tcW w:w="1470" w:type="dxa"/>
            <w:tcBorders>
              <w:top w:val="single" w:color="auto" w:sz="4" w:space="0"/>
              <w:left w:val="single" w:color="auto" w:sz="4" w:space="0"/>
              <w:bottom w:val="single" w:color="auto" w:sz="4" w:space="0"/>
              <w:right w:val="single" w:color="auto" w:sz="4" w:space="0"/>
            </w:tcBorders>
            <w:noWrap/>
            <w:vAlign w:val="center"/>
          </w:tcPr>
          <w:p>
            <w:pPr>
              <w:rPr>
                <w:rFonts w:ascii="宋体" w:hAnsi="宋体"/>
                <w:szCs w:val="21"/>
              </w:rPr>
            </w:pPr>
          </w:p>
        </w:tc>
        <w:tc>
          <w:tcPr>
            <w:tcW w:w="1155" w:type="dxa"/>
            <w:tcBorders>
              <w:top w:val="single" w:color="auto" w:sz="4" w:space="0"/>
              <w:left w:val="single" w:color="auto" w:sz="4" w:space="0"/>
              <w:bottom w:val="single" w:color="auto" w:sz="4" w:space="0"/>
              <w:right w:val="single" w:color="auto" w:sz="4" w:space="0"/>
            </w:tcBorders>
            <w:noWrap/>
            <w:vAlign w:val="center"/>
          </w:tcPr>
          <w:p>
            <w:pPr>
              <w:rPr>
                <w:rFonts w:ascii="宋体" w:hAnsi="宋体"/>
                <w:szCs w:val="21"/>
              </w:rPr>
            </w:pPr>
          </w:p>
        </w:tc>
        <w:tc>
          <w:tcPr>
            <w:tcW w:w="1094" w:type="dxa"/>
            <w:tcBorders>
              <w:top w:val="single" w:color="auto" w:sz="4" w:space="0"/>
              <w:left w:val="single" w:color="auto" w:sz="4" w:space="0"/>
              <w:bottom w:val="single" w:color="auto" w:sz="4" w:space="0"/>
              <w:right w:val="single" w:color="auto" w:sz="4" w:space="0"/>
            </w:tcBorders>
            <w:noWrap/>
            <w:vAlign w:val="center"/>
          </w:tcPr>
          <w:p>
            <w:pP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9" w:hRule="atLeast"/>
          <w:jc w:val="center"/>
        </w:trPr>
        <w:tc>
          <w:tcPr>
            <w:tcW w:w="9638" w:type="dxa"/>
            <w:gridSpan w:val="9"/>
            <w:tcBorders>
              <w:top w:val="single" w:color="auto" w:sz="4" w:space="0"/>
              <w:left w:val="single" w:color="auto" w:sz="4" w:space="0"/>
              <w:bottom w:val="single" w:color="auto" w:sz="4" w:space="0"/>
              <w:right w:val="single" w:color="auto" w:sz="4" w:space="0"/>
            </w:tcBorders>
            <w:noWrap/>
            <w:vAlign w:val="center"/>
          </w:tcPr>
          <w:p>
            <w:pPr>
              <w:rPr>
                <w:rFonts w:ascii="宋体" w:hAnsi="宋体"/>
                <w:szCs w:val="21"/>
              </w:rPr>
            </w:pPr>
            <w:r>
              <w:rPr>
                <w:rFonts w:hint="eastAsia" w:ascii="宋体" w:hAnsi="宋体"/>
                <w:szCs w:val="21"/>
                <w:u w:val="single"/>
              </w:rPr>
              <w:t>　　</w:t>
            </w:r>
            <w:r>
              <w:rPr>
                <w:rFonts w:hint="eastAsia" w:ascii="宋体" w:hAnsi="宋体"/>
                <w:szCs w:val="21"/>
              </w:rPr>
              <w:t>分标（此处有分标时填写具体分标号，无分标时填写“无”）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atLeast"/>
          <w:jc w:val="center"/>
        </w:trPr>
        <w:tc>
          <w:tcPr>
            <w:tcW w:w="9638" w:type="dxa"/>
            <w:gridSpan w:val="9"/>
            <w:tcBorders>
              <w:top w:val="single" w:color="auto" w:sz="4" w:space="0"/>
              <w:left w:val="single" w:color="auto" w:sz="4" w:space="0"/>
              <w:bottom w:val="single" w:color="auto" w:sz="4" w:space="0"/>
              <w:right w:val="single" w:color="auto" w:sz="4" w:space="0"/>
            </w:tcBorders>
            <w:noWrap/>
            <w:vAlign w:val="center"/>
          </w:tcPr>
          <w:p>
            <w:pPr>
              <w:rPr>
                <w:rFonts w:ascii="宋体" w:hAnsi="宋体"/>
                <w:szCs w:val="21"/>
              </w:rPr>
            </w:pPr>
            <w:r>
              <w:rPr>
                <w:rFonts w:hint="eastAsia" w:ascii="宋体" w:hAnsi="宋体"/>
                <w:szCs w:val="21"/>
              </w:rPr>
              <w:t>投标人（盖单位公章）：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9" w:hRule="atLeast"/>
          <w:jc w:val="center"/>
        </w:trPr>
        <w:tc>
          <w:tcPr>
            <w:tcW w:w="9638" w:type="dxa"/>
            <w:gridSpan w:val="9"/>
            <w:tcBorders>
              <w:top w:val="single" w:color="auto" w:sz="4" w:space="0"/>
              <w:left w:val="single" w:color="auto" w:sz="4" w:space="0"/>
              <w:bottom w:val="single" w:color="auto" w:sz="4" w:space="0"/>
              <w:right w:val="single" w:color="auto" w:sz="4" w:space="0"/>
            </w:tcBorders>
            <w:noWrap/>
            <w:vAlign w:val="center"/>
          </w:tcPr>
          <w:p>
            <w:pPr>
              <w:rPr>
                <w:rFonts w:ascii="宋体" w:hAnsi="宋体"/>
                <w:szCs w:val="21"/>
              </w:rPr>
            </w:pPr>
            <w:r>
              <w:rPr>
                <w:rFonts w:hint="eastAsia" w:ascii="宋体" w:hAnsi="宋体"/>
                <w:szCs w:val="21"/>
              </w:rPr>
              <w:t>法定代表人或其委托代理人（签字或盖章）：</w:t>
            </w:r>
          </w:p>
        </w:tc>
      </w:tr>
    </w:tbl>
    <w:p>
      <w:pPr>
        <w:pStyle w:val="19"/>
        <w:ind w:firstLine="420"/>
        <w:rPr>
          <w:rFonts w:hAnsi="宋体"/>
        </w:rPr>
      </w:pPr>
    </w:p>
    <w:p>
      <w:pPr>
        <w:pStyle w:val="19"/>
        <w:rPr>
          <w:rFonts w:hAnsi="宋体"/>
        </w:rPr>
      </w:pPr>
      <w:r>
        <w:rPr>
          <w:rFonts w:hint="eastAsia" w:hAnsi="宋体"/>
        </w:rPr>
        <w:t>注：⑴表格内容均需按要求填写并盖章，不得留空，否则按投标无效处理。</w:t>
      </w:r>
    </w:p>
    <w:p>
      <w:pPr>
        <w:pStyle w:val="19"/>
        <w:rPr>
          <w:rFonts w:hAnsi="宋体"/>
          <w:bCs/>
          <w:szCs w:val="21"/>
        </w:rPr>
      </w:pPr>
      <w:r>
        <w:rPr>
          <w:rFonts w:hint="eastAsia" w:hAnsi="宋体"/>
        </w:rPr>
        <w:t>⑵</w:t>
      </w:r>
      <w:r>
        <w:rPr>
          <w:rFonts w:hint="eastAsia" w:hAnsi="宋体"/>
          <w:bCs/>
          <w:szCs w:val="21"/>
        </w:rPr>
        <w:t>如果采购需求为小于、小于等于、大于或大于等于某个数值标准时，投标文件承诺不得直接复制采购需求，投标文件承诺内容应当写明投标货物具体参数或商务响应承诺的具体数值，否则按投标无效处理。如该采购需求属于不能明确具体数值的，采购人应在此采购需求的数值后标注◆号，对标注◆号的采购需求不适用上述“投标无效”条款。</w:t>
      </w:r>
    </w:p>
    <w:p>
      <w:pPr>
        <w:pStyle w:val="19"/>
        <w:rPr>
          <w:rFonts w:hAnsi="宋体"/>
        </w:rPr>
      </w:pPr>
      <w:r>
        <w:rPr>
          <w:rFonts w:hint="eastAsia" w:hAnsi="宋体"/>
        </w:rPr>
        <w:t>⑶当投标文件的技术参数低于招标文件要求时，投标人应当如实写明“负偏离”，否则视为虚假应标。</w:t>
      </w:r>
    </w:p>
    <w:p>
      <w:pPr>
        <w:pStyle w:val="19"/>
        <w:spacing w:line="600" w:lineRule="exact"/>
        <w:jc w:val="center"/>
        <w:rPr>
          <w:rFonts w:hAnsi="宋体"/>
          <w:b/>
          <w:bCs/>
          <w:sz w:val="30"/>
          <w:szCs w:val="30"/>
        </w:rPr>
      </w:pPr>
      <w:r>
        <w:rPr>
          <w:rFonts w:hint="eastAsia" w:hAnsi="宋体"/>
        </w:rPr>
        <w:br w:type="page"/>
      </w:r>
      <w:r>
        <w:rPr>
          <w:rFonts w:hint="eastAsia" w:hAnsi="宋体"/>
          <w:b/>
          <w:bCs/>
          <w:sz w:val="30"/>
          <w:szCs w:val="30"/>
        </w:rPr>
        <w:t>售后服务承诺书（格式）</w:t>
      </w:r>
    </w:p>
    <w:p>
      <w:pPr>
        <w:pStyle w:val="19"/>
        <w:jc w:val="center"/>
        <w:rPr>
          <w:rFonts w:hAnsi="宋体"/>
        </w:rPr>
      </w:pPr>
    </w:p>
    <w:p>
      <w:pPr>
        <w:pStyle w:val="19"/>
        <w:jc w:val="center"/>
        <w:rPr>
          <w:rFonts w:hAnsi="宋体"/>
        </w:rPr>
      </w:pPr>
      <w:r>
        <w:rPr>
          <w:rFonts w:hint="eastAsia" w:hAnsi="宋体"/>
        </w:rPr>
        <w:t>(由投标人按本项目招标文件第二章“</w:t>
      </w:r>
      <w:r>
        <w:rPr>
          <w:rFonts w:hAnsi="宋体"/>
        </w:rPr>
        <w:t>采购需求一览表</w:t>
      </w:r>
      <w:r>
        <w:rPr>
          <w:rFonts w:hint="eastAsia" w:hAnsi="宋体"/>
        </w:rPr>
        <w:t>”中“二、商务要求表”的售后服务要求自行填写。)</w:t>
      </w:r>
    </w:p>
    <w:p>
      <w:pPr>
        <w:pStyle w:val="19"/>
        <w:rPr>
          <w:rFonts w:hAnsi="宋体"/>
        </w:rPr>
      </w:pPr>
    </w:p>
    <w:p>
      <w:pPr>
        <w:pStyle w:val="19"/>
        <w:rPr>
          <w:rFonts w:hAnsi="宋体"/>
        </w:rPr>
      </w:pPr>
    </w:p>
    <w:p>
      <w:pPr>
        <w:pStyle w:val="19"/>
        <w:rPr>
          <w:rFonts w:hAnsi="宋体"/>
        </w:rPr>
      </w:pPr>
    </w:p>
    <w:p>
      <w:pPr>
        <w:pStyle w:val="19"/>
        <w:rPr>
          <w:rFonts w:hAnsi="宋体"/>
        </w:rPr>
      </w:pPr>
    </w:p>
    <w:p>
      <w:pPr>
        <w:pStyle w:val="19"/>
        <w:rPr>
          <w:rFonts w:hAnsi="宋体"/>
        </w:rPr>
      </w:pPr>
    </w:p>
    <w:p>
      <w:pPr>
        <w:pStyle w:val="19"/>
        <w:rPr>
          <w:rFonts w:hAnsi="宋体"/>
        </w:rPr>
      </w:pPr>
    </w:p>
    <w:p>
      <w:pPr>
        <w:pStyle w:val="19"/>
        <w:rPr>
          <w:rFonts w:hAnsi="宋体"/>
        </w:rPr>
      </w:pPr>
    </w:p>
    <w:p>
      <w:pPr>
        <w:pStyle w:val="19"/>
        <w:rPr>
          <w:rFonts w:hAnsi="宋体"/>
        </w:rPr>
      </w:pPr>
    </w:p>
    <w:p>
      <w:pPr>
        <w:pStyle w:val="19"/>
        <w:rPr>
          <w:rFonts w:hAnsi="宋体"/>
        </w:rPr>
      </w:pPr>
    </w:p>
    <w:p>
      <w:pPr>
        <w:pStyle w:val="19"/>
        <w:rPr>
          <w:rFonts w:hAnsi="宋体"/>
        </w:rPr>
      </w:pPr>
    </w:p>
    <w:p>
      <w:pPr>
        <w:pStyle w:val="19"/>
        <w:rPr>
          <w:rFonts w:hAnsi="宋体"/>
        </w:rPr>
      </w:pPr>
    </w:p>
    <w:p>
      <w:pPr>
        <w:pStyle w:val="19"/>
        <w:rPr>
          <w:rFonts w:hAnsi="宋体"/>
        </w:rPr>
      </w:pPr>
    </w:p>
    <w:p>
      <w:pPr>
        <w:pStyle w:val="19"/>
        <w:rPr>
          <w:rFonts w:hAnsi="宋体"/>
        </w:rPr>
      </w:pPr>
    </w:p>
    <w:p>
      <w:pPr>
        <w:pStyle w:val="19"/>
        <w:rPr>
          <w:rFonts w:hAnsi="宋体"/>
        </w:rPr>
      </w:pPr>
    </w:p>
    <w:p>
      <w:pPr>
        <w:pStyle w:val="19"/>
        <w:rPr>
          <w:rFonts w:hAnsi="宋体"/>
        </w:rPr>
      </w:pPr>
    </w:p>
    <w:p>
      <w:pPr>
        <w:pStyle w:val="19"/>
        <w:rPr>
          <w:rFonts w:hAnsi="宋体"/>
        </w:rPr>
      </w:pPr>
    </w:p>
    <w:p>
      <w:pPr>
        <w:pStyle w:val="19"/>
        <w:rPr>
          <w:rFonts w:hAnsi="宋体"/>
        </w:rPr>
      </w:pPr>
    </w:p>
    <w:p>
      <w:pPr>
        <w:pStyle w:val="19"/>
        <w:rPr>
          <w:rFonts w:hAnsi="宋体"/>
        </w:rPr>
      </w:pPr>
    </w:p>
    <w:p>
      <w:pPr>
        <w:pStyle w:val="19"/>
        <w:rPr>
          <w:rFonts w:hAnsi="宋体"/>
        </w:rPr>
      </w:pPr>
    </w:p>
    <w:p>
      <w:pPr>
        <w:pStyle w:val="19"/>
        <w:rPr>
          <w:rFonts w:hAnsi="宋体"/>
        </w:rPr>
      </w:pPr>
    </w:p>
    <w:p>
      <w:pPr>
        <w:pStyle w:val="19"/>
        <w:rPr>
          <w:rFonts w:hAnsi="宋体"/>
        </w:rPr>
      </w:pPr>
    </w:p>
    <w:p>
      <w:pPr>
        <w:pStyle w:val="19"/>
        <w:rPr>
          <w:rFonts w:hAnsi="宋体"/>
        </w:rPr>
      </w:pPr>
    </w:p>
    <w:p>
      <w:pPr>
        <w:pStyle w:val="19"/>
        <w:rPr>
          <w:rFonts w:hAnsi="宋体"/>
        </w:rPr>
      </w:pPr>
    </w:p>
    <w:p>
      <w:pPr>
        <w:pStyle w:val="19"/>
        <w:rPr>
          <w:rFonts w:hAnsi="宋体"/>
        </w:rPr>
      </w:pPr>
    </w:p>
    <w:p>
      <w:pPr>
        <w:pStyle w:val="19"/>
        <w:rPr>
          <w:rFonts w:hAnsi="宋体"/>
        </w:rPr>
      </w:pPr>
    </w:p>
    <w:p>
      <w:pPr>
        <w:pStyle w:val="19"/>
        <w:rPr>
          <w:rFonts w:hAnsi="宋体"/>
        </w:rPr>
      </w:pPr>
    </w:p>
    <w:p>
      <w:pPr>
        <w:pStyle w:val="19"/>
        <w:rPr>
          <w:rFonts w:hAnsi="宋体"/>
        </w:rPr>
      </w:pPr>
    </w:p>
    <w:p>
      <w:pPr>
        <w:pStyle w:val="19"/>
        <w:rPr>
          <w:rFonts w:hAnsi="宋体"/>
        </w:rPr>
      </w:pPr>
    </w:p>
    <w:p>
      <w:pPr>
        <w:pStyle w:val="19"/>
        <w:rPr>
          <w:rFonts w:hAnsi="宋体"/>
        </w:rPr>
      </w:pPr>
    </w:p>
    <w:p>
      <w:pPr>
        <w:pStyle w:val="19"/>
        <w:spacing w:line="600" w:lineRule="exact"/>
        <w:rPr>
          <w:rFonts w:hAnsi="宋体"/>
          <w:u w:val="single"/>
        </w:rPr>
      </w:pPr>
      <w:r>
        <w:rPr>
          <w:rFonts w:hint="eastAsia" w:hAnsi="宋体"/>
        </w:rPr>
        <w:t>投标人（盖单位公章）：</w:t>
      </w:r>
    </w:p>
    <w:p>
      <w:pPr>
        <w:pStyle w:val="19"/>
        <w:spacing w:line="600" w:lineRule="exact"/>
        <w:rPr>
          <w:rFonts w:hAnsi="宋体"/>
          <w:u w:val="single"/>
        </w:rPr>
      </w:pPr>
    </w:p>
    <w:p>
      <w:pPr>
        <w:pStyle w:val="19"/>
        <w:spacing w:line="600" w:lineRule="exact"/>
        <w:rPr>
          <w:rFonts w:hAnsi="宋体"/>
          <w:u w:val="single"/>
        </w:rPr>
      </w:pPr>
      <w:r>
        <w:rPr>
          <w:rFonts w:hint="eastAsia" w:hAnsi="宋体"/>
        </w:rPr>
        <w:t>法定代表人或其委托代理人（签字或盖章）：</w:t>
      </w:r>
    </w:p>
    <w:p>
      <w:pPr>
        <w:pStyle w:val="19"/>
        <w:spacing w:line="600" w:lineRule="exact"/>
        <w:jc w:val="center"/>
        <w:rPr>
          <w:rFonts w:hAnsi="宋体"/>
          <w:b/>
          <w:bCs/>
          <w:sz w:val="30"/>
          <w:szCs w:val="30"/>
        </w:rPr>
      </w:pPr>
      <w:r>
        <w:rPr>
          <w:rFonts w:hint="eastAsia" w:hAnsi="宋体"/>
          <w:b/>
          <w:bCs/>
          <w:sz w:val="30"/>
        </w:rPr>
        <w:br w:type="page"/>
      </w:r>
      <w:r>
        <w:rPr>
          <w:rFonts w:hint="eastAsia" w:hAnsi="宋体"/>
          <w:b/>
          <w:bCs/>
          <w:sz w:val="30"/>
          <w:szCs w:val="30"/>
        </w:rPr>
        <w:t>商务条款偏离表（格式）</w:t>
      </w:r>
    </w:p>
    <w:p>
      <w:pPr>
        <w:pStyle w:val="19"/>
        <w:spacing w:line="400" w:lineRule="exact"/>
        <w:rPr>
          <w:rFonts w:hAnsi="宋体"/>
          <w:u w:val="thick"/>
        </w:rPr>
      </w:pPr>
    </w:p>
    <w:p>
      <w:pPr>
        <w:pStyle w:val="19"/>
        <w:rPr>
          <w:rFonts w:hAnsi="宋体"/>
        </w:rPr>
      </w:pPr>
      <w:r>
        <w:rPr>
          <w:rFonts w:hint="eastAsia" w:hAnsi="宋体"/>
        </w:rPr>
        <w:t>　　请逐条对应本项目招标文件第二章“</w:t>
      </w:r>
      <w:r>
        <w:rPr>
          <w:rFonts w:hAnsi="宋体"/>
        </w:rPr>
        <w:t>采购需求一览表</w:t>
      </w:r>
      <w:r>
        <w:rPr>
          <w:rFonts w:hint="eastAsia" w:hAnsi="宋体"/>
        </w:rPr>
        <w:t>”中“商务条款”的要求，详细填写相应的具体内容。“偏离说明”一栏应当选择“正偏离”、“负偏离”或“无偏离”进行填写。</w:t>
      </w:r>
    </w:p>
    <w:tbl>
      <w:tblPr>
        <w:tblStyle w:val="34"/>
        <w:tblpPr w:leftFromText="180" w:rightFromText="180" w:vertAnchor="text" w:horzAnchor="margin" w:tblpXSpec="center" w:tblpY="94"/>
        <w:tblW w:w="94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1"/>
        <w:gridCol w:w="3926"/>
        <w:gridCol w:w="3589"/>
        <w:gridCol w:w="12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trPr>
        <w:tc>
          <w:tcPr>
            <w:tcW w:w="691" w:type="dxa"/>
            <w:tcBorders>
              <w:top w:val="single" w:color="auto" w:sz="4" w:space="0"/>
              <w:left w:val="single" w:color="auto" w:sz="4" w:space="0"/>
              <w:bottom w:val="single" w:color="auto" w:sz="4" w:space="0"/>
              <w:right w:val="single" w:color="auto" w:sz="4" w:space="0"/>
            </w:tcBorders>
            <w:noWrap/>
            <w:vAlign w:val="center"/>
          </w:tcPr>
          <w:p>
            <w:pPr>
              <w:spacing w:line="340" w:lineRule="exact"/>
              <w:jc w:val="center"/>
              <w:rPr>
                <w:rFonts w:ascii="宋体" w:hAnsi="宋体"/>
                <w:szCs w:val="21"/>
              </w:rPr>
            </w:pPr>
            <w:r>
              <w:rPr>
                <w:rFonts w:hint="eastAsia" w:ascii="宋体" w:hAnsi="宋体"/>
                <w:szCs w:val="21"/>
              </w:rPr>
              <w:t>项号</w:t>
            </w:r>
          </w:p>
        </w:tc>
        <w:tc>
          <w:tcPr>
            <w:tcW w:w="3926" w:type="dxa"/>
            <w:tcBorders>
              <w:top w:val="single" w:color="auto" w:sz="4" w:space="0"/>
              <w:left w:val="single" w:color="auto" w:sz="4" w:space="0"/>
              <w:bottom w:val="single" w:color="auto" w:sz="4" w:space="0"/>
              <w:right w:val="single" w:color="auto" w:sz="4" w:space="0"/>
            </w:tcBorders>
            <w:noWrap/>
            <w:vAlign w:val="center"/>
          </w:tcPr>
          <w:p>
            <w:pPr>
              <w:spacing w:line="340" w:lineRule="exact"/>
              <w:jc w:val="center"/>
              <w:rPr>
                <w:rFonts w:ascii="宋体" w:hAnsi="宋体"/>
                <w:szCs w:val="21"/>
              </w:rPr>
            </w:pPr>
            <w:r>
              <w:rPr>
                <w:rFonts w:hint="eastAsia" w:ascii="宋体" w:hAnsi="宋体"/>
                <w:szCs w:val="21"/>
              </w:rPr>
              <w:t>招标文件的商务需求</w:t>
            </w:r>
          </w:p>
        </w:tc>
        <w:tc>
          <w:tcPr>
            <w:tcW w:w="3589" w:type="dxa"/>
            <w:tcBorders>
              <w:top w:val="single" w:color="auto" w:sz="4" w:space="0"/>
              <w:left w:val="single" w:color="auto" w:sz="4" w:space="0"/>
              <w:bottom w:val="single" w:color="auto" w:sz="4" w:space="0"/>
              <w:right w:val="single" w:color="auto" w:sz="4" w:space="0"/>
            </w:tcBorders>
            <w:noWrap/>
            <w:vAlign w:val="center"/>
          </w:tcPr>
          <w:p>
            <w:pPr>
              <w:spacing w:line="340" w:lineRule="exact"/>
              <w:jc w:val="center"/>
              <w:rPr>
                <w:rFonts w:ascii="宋体" w:hAnsi="宋体"/>
                <w:szCs w:val="21"/>
              </w:rPr>
            </w:pPr>
            <w:r>
              <w:rPr>
                <w:rFonts w:hint="eastAsia" w:ascii="宋体" w:hAnsi="宋体"/>
                <w:szCs w:val="21"/>
              </w:rPr>
              <w:t>投标文件承诺的商务条款</w:t>
            </w:r>
          </w:p>
        </w:tc>
        <w:tc>
          <w:tcPr>
            <w:tcW w:w="1274" w:type="dxa"/>
            <w:tcBorders>
              <w:top w:val="single" w:color="auto" w:sz="4" w:space="0"/>
              <w:left w:val="single" w:color="auto" w:sz="4" w:space="0"/>
              <w:bottom w:val="single" w:color="auto" w:sz="4" w:space="0"/>
              <w:right w:val="single" w:color="auto" w:sz="4" w:space="0"/>
            </w:tcBorders>
            <w:noWrap/>
            <w:vAlign w:val="center"/>
          </w:tcPr>
          <w:p>
            <w:pPr>
              <w:spacing w:line="340" w:lineRule="exact"/>
              <w:jc w:val="center"/>
              <w:rPr>
                <w:rFonts w:ascii="宋体" w:hAnsi="宋体"/>
                <w:szCs w:val="21"/>
              </w:rPr>
            </w:pPr>
            <w:r>
              <w:rPr>
                <w:rFonts w:hint="eastAsia" w:ascii="宋体" w:hAnsi="宋体"/>
                <w:szCs w:val="21"/>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0" w:hRule="atLeast"/>
        </w:trPr>
        <w:tc>
          <w:tcPr>
            <w:tcW w:w="691" w:type="dxa"/>
            <w:tcBorders>
              <w:top w:val="single" w:color="auto" w:sz="4" w:space="0"/>
              <w:left w:val="single" w:color="auto" w:sz="4" w:space="0"/>
              <w:bottom w:val="single" w:color="auto" w:sz="4" w:space="0"/>
              <w:right w:val="single" w:color="auto" w:sz="4" w:space="0"/>
            </w:tcBorders>
            <w:noWrap/>
          </w:tcPr>
          <w:p>
            <w:pPr>
              <w:spacing w:line="340" w:lineRule="exact"/>
              <w:rPr>
                <w:rFonts w:ascii="宋体" w:hAnsi="宋体"/>
                <w:szCs w:val="21"/>
              </w:rPr>
            </w:pPr>
            <w:r>
              <w:rPr>
                <w:rFonts w:hint="eastAsia" w:ascii="宋体" w:hAnsi="宋体"/>
                <w:szCs w:val="21"/>
              </w:rPr>
              <w:t>一</w:t>
            </w:r>
          </w:p>
        </w:tc>
        <w:tc>
          <w:tcPr>
            <w:tcW w:w="3926" w:type="dxa"/>
            <w:tcBorders>
              <w:top w:val="single" w:color="auto" w:sz="4" w:space="0"/>
              <w:left w:val="single" w:color="auto" w:sz="4" w:space="0"/>
              <w:bottom w:val="single" w:color="auto" w:sz="4" w:space="0"/>
              <w:right w:val="single" w:color="auto" w:sz="4" w:space="0"/>
            </w:tcBorders>
            <w:noWrap/>
          </w:tcPr>
          <w:p>
            <w:pPr>
              <w:spacing w:line="340" w:lineRule="exact"/>
              <w:rPr>
                <w:rFonts w:ascii="宋体" w:hAnsi="宋体"/>
                <w:szCs w:val="21"/>
              </w:rPr>
            </w:pPr>
            <w:r>
              <w:rPr>
                <w:rFonts w:hint="eastAsia" w:ascii="宋体" w:hAnsi="宋体"/>
                <w:szCs w:val="21"/>
              </w:rPr>
              <w:t>1  ……</w:t>
            </w:r>
          </w:p>
          <w:p>
            <w:pPr>
              <w:spacing w:line="340" w:lineRule="exact"/>
              <w:rPr>
                <w:rFonts w:ascii="宋体" w:hAnsi="宋体"/>
                <w:szCs w:val="21"/>
              </w:rPr>
            </w:pPr>
            <w:r>
              <w:rPr>
                <w:rFonts w:hint="eastAsia" w:ascii="宋体" w:hAnsi="宋体"/>
                <w:szCs w:val="21"/>
              </w:rPr>
              <w:t>2  ……</w:t>
            </w:r>
          </w:p>
          <w:p>
            <w:pPr>
              <w:spacing w:line="340" w:lineRule="exact"/>
              <w:rPr>
                <w:rFonts w:ascii="宋体" w:hAnsi="宋体"/>
                <w:szCs w:val="21"/>
              </w:rPr>
            </w:pPr>
            <w:r>
              <w:rPr>
                <w:rFonts w:hint="eastAsia" w:ascii="宋体" w:hAnsi="宋体"/>
                <w:szCs w:val="21"/>
              </w:rPr>
              <w:t>3  ……</w:t>
            </w:r>
          </w:p>
          <w:p>
            <w:pPr>
              <w:spacing w:line="340" w:lineRule="exact"/>
              <w:rPr>
                <w:rFonts w:ascii="宋体" w:hAnsi="宋体"/>
                <w:szCs w:val="21"/>
              </w:rPr>
            </w:pPr>
            <w:r>
              <w:rPr>
                <w:rFonts w:hint="eastAsia" w:ascii="宋体" w:hAnsi="宋体"/>
                <w:szCs w:val="21"/>
              </w:rPr>
              <w:t>……</w:t>
            </w:r>
          </w:p>
        </w:tc>
        <w:tc>
          <w:tcPr>
            <w:tcW w:w="3589" w:type="dxa"/>
            <w:tcBorders>
              <w:top w:val="single" w:color="auto" w:sz="4" w:space="0"/>
              <w:left w:val="single" w:color="auto" w:sz="4" w:space="0"/>
              <w:bottom w:val="single" w:color="auto" w:sz="4" w:space="0"/>
              <w:right w:val="single" w:color="auto" w:sz="4" w:space="0"/>
            </w:tcBorders>
            <w:noWrap/>
          </w:tcPr>
          <w:p>
            <w:pPr>
              <w:spacing w:line="340" w:lineRule="exact"/>
              <w:rPr>
                <w:rFonts w:ascii="宋体" w:hAnsi="宋体"/>
                <w:szCs w:val="21"/>
              </w:rPr>
            </w:pPr>
            <w:r>
              <w:rPr>
                <w:rFonts w:hint="eastAsia" w:ascii="宋体" w:hAnsi="宋体"/>
                <w:szCs w:val="21"/>
              </w:rPr>
              <w:t>1  ……</w:t>
            </w:r>
          </w:p>
          <w:p>
            <w:pPr>
              <w:spacing w:line="340" w:lineRule="exact"/>
              <w:rPr>
                <w:rFonts w:ascii="宋体" w:hAnsi="宋体"/>
                <w:szCs w:val="21"/>
              </w:rPr>
            </w:pPr>
            <w:r>
              <w:rPr>
                <w:rFonts w:hint="eastAsia" w:ascii="宋体" w:hAnsi="宋体"/>
                <w:szCs w:val="21"/>
              </w:rPr>
              <w:t>2  ……</w:t>
            </w:r>
          </w:p>
          <w:p>
            <w:pPr>
              <w:spacing w:line="340" w:lineRule="exact"/>
              <w:rPr>
                <w:rFonts w:ascii="宋体" w:hAnsi="宋体"/>
                <w:szCs w:val="21"/>
              </w:rPr>
            </w:pPr>
            <w:r>
              <w:rPr>
                <w:rFonts w:hint="eastAsia" w:ascii="宋体" w:hAnsi="宋体"/>
                <w:szCs w:val="21"/>
              </w:rPr>
              <w:t>3  ……</w:t>
            </w:r>
          </w:p>
          <w:p>
            <w:pPr>
              <w:spacing w:line="340" w:lineRule="exact"/>
              <w:rPr>
                <w:rFonts w:ascii="宋体" w:hAnsi="宋体"/>
                <w:szCs w:val="21"/>
              </w:rPr>
            </w:pPr>
            <w:r>
              <w:rPr>
                <w:rFonts w:hint="eastAsia" w:ascii="宋体" w:hAnsi="宋体"/>
                <w:szCs w:val="21"/>
              </w:rPr>
              <w:t>……</w:t>
            </w:r>
          </w:p>
        </w:tc>
        <w:tc>
          <w:tcPr>
            <w:tcW w:w="1274" w:type="dxa"/>
            <w:tcBorders>
              <w:top w:val="single" w:color="auto" w:sz="4" w:space="0"/>
              <w:left w:val="single" w:color="auto" w:sz="4" w:space="0"/>
              <w:bottom w:val="single" w:color="auto" w:sz="4" w:space="0"/>
              <w:right w:val="single" w:color="auto" w:sz="4" w:space="0"/>
            </w:tcBorders>
            <w:noWrap/>
          </w:tcPr>
          <w:p>
            <w:pPr>
              <w:spacing w:line="300" w:lineRule="exact"/>
              <w:rPr>
                <w:rFonts w:ascii="宋体" w:hAnsi="宋体"/>
                <w:szCs w:val="21"/>
              </w:rPr>
            </w:pPr>
            <w:r>
              <w:rPr>
                <w:rFonts w:hint="eastAsia" w:ascii="宋体" w:hAnsi="宋体"/>
                <w:szCs w:val="21"/>
              </w:rPr>
              <w:t>正偏离（负偏离或无偏离）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0" w:hRule="atLeast"/>
        </w:trPr>
        <w:tc>
          <w:tcPr>
            <w:tcW w:w="691" w:type="dxa"/>
            <w:tcBorders>
              <w:top w:val="single" w:color="auto" w:sz="4" w:space="0"/>
              <w:left w:val="single" w:color="auto" w:sz="4" w:space="0"/>
              <w:bottom w:val="single" w:color="auto" w:sz="4" w:space="0"/>
              <w:right w:val="single" w:color="auto" w:sz="4" w:space="0"/>
            </w:tcBorders>
            <w:noWrap/>
          </w:tcPr>
          <w:p>
            <w:pPr>
              <w:spacing w:line="340" w:lineRule="exact"/>
              <w:rPr>
                <w:rFonts w:ascii="宋体" w:hAnsi="宋体"/>
                <w:szCs w:val="21"/>
              </w:rPr>
            </w:pPr>
            <w:r>
              <w:rPr>
                <w:rFonts w:hint="eastAsia" w:ascii="宋体" w:hAnsi="宋体"/>
                <w:szCs w:val="21"/>
              </w:rPr>
              <w:t>二</w:t>
            </w:r>
          </w:p>
        </w:tc>
        <w:tc>
          <w:tcPr>
            <w:tcW w:w="3926" w:type="dxa"/>
            <w:tcBorders>
              <w:top w:val="single" w:color="auto" w:sz="4" w:space="0"/>
              <w:left w:val="single" w:color="auto" w:sz="4" w:space="0"/>
              <w:bottom w:val="single" w:color="auto" w:sz="4" w:space="0"/>
              <w:right w:val="single" w:color="auto" w:sz="4" w:space="0"/>
            </w:tcBorders>
            <w:noWrap/>
          </w:tcPr>
          <w:p>
            <w:pPr>
              <w:spacing w:line="340" w:lineRule="exact"/>
              <w:rPr>
                <w:rFonts w:ascii="宋体" w:hAnsi="宋体"/>
                <w:szCs w:val="21"/>
              </w:rPr>
            </w:pPr>
            <w:r>
              <w:rPr>
                <w:rFonts w:hint="eastAsia" w:ascii="宋体" w:hAnsi="宋体"/>
                <w:szCs w:val="21"/>
              </w:rPr>
              <w:t>1  ……</w:t>
            </w:r>
          </w:p>
          <w:p>
            <w:pPr>
              <w:spacing w:line="340" w:lineRule="exact"/>
              <w:rPr>
                <w:rFonts w:ascii="宋体" w:hAnsi="宋体"/>
                <w:szCs w:val="21"/>
              </w:rPr>
            </w:pPr>
            <w:r>
              <w:rPr>
                <w:rFonts w:hint="eastAsia" w:ascii="宋体" w:hAnsi="宋体"/>
                <w:szCs w:val="21"/>
              </w:rPr>
              <w:t>2  ……</w:t>
            </w:r>
          </w:p>
          <w:p>
            <w:pPr>
              <w:spacing w:line="340" w:lineRule="exact"/>
              <w:rPr>
                <w:rFonts w:ascii="宋体" w:hAnsi="宋体"/>
                <w:szCs w:val="21"/>
              </w:rPr>
            </w:pPr>
            <w:r>
              <w:rPr>
                <w:rFonts w:hint="eastAsia" w:ascii="宋体" w:hAnsi="宋体"/>
                <w:szCs w:val="21"/>
              </w:rPr>
              <w:t>3  ……</w:t>
            </w:r>
          </w:p>
          <w:p>
            <w:pPr>
              <w:spacing w:line="340" w:lineRule="exact"/>
              <w:rPr>
                <w:rFonts w:ascii="宋体" w:hAnsi="宋体"/>
                <w:szCs w:val="21"/>
              </w:rPr>
            </w:pPr>
            <w:r>
              <w:rPr>
                <w:rFonts w:hint="eastAsia" w:ascii="宋体" w:hAnsi="宋体"/>
                <w:szCs w:val="21"/>
              </w:rPr>
              <w:t>……</w:t>
            </w:r>
          </w:p>
        </w:tc>
        <w:tc>
          <w:tcPr>
            <w:tcW w:w="3589" w:type="dxa"/>
            <w:tcBorders>
              <w:top w:val="single" w:color="auto" w:sz="4" w:space="0"/>
              <w:left w:val="single" w:color="auto" w:sz="4" w:space="0"/>
              <w:bottom w:val="single" w:color="auto" w:sz="4" w:space="0"/>
              <w:right w:val="single" w:color="auto" w:sz="4" w:space="0"/>
            </w:tcBorders>
            <w:noWrap/>
          </w:tcPr>
          <w:p>
            <w:pPr>
              <w:spacing w:line="340" w:lineRule="exact"/>
              <w:rPr>
                <w:rFonts w:ascii="宋体" w:hAnsi="宋体"/>
                <w:szCs w:val="21"/>
              </w:rPr>
            </w:pPr>
            <w:r>
              <w:rPr>
                <w:rFonts w:hint="eastAsia" w:ascii="宋体" w:hAnsi="宋体"/>
                <w:szCs w:val="21"/>
              </w:rPr>
              <w:t>1  ……</w:t>
            </w:r>
          </w:p>
          <w:p>
            <w:pPr>
              <w:spacing w:line="340" w:lineRule="exact"/>
              <w:rPr>
                <w:rFonts w:ascii="宋体" w:hAnsi="宋体"/>
                <w:szCs w:val="21"/>
              </w:rPr>
            </w:pPr>
            <w:r>
              <w:rPr>
                <w:rFonts w:hint="eastAsia" w:ascii="宋体" w:hAnsi="宋体"/>
                <w:szCs w:val="21"/>
              </w:rPr>
              <w:t>2  ……</w:t>
            </w:r>
          </w:p>
          <w:p>
            <w:pPr>
              <w:spacing w:line="340" w:lineRule="exact"/>
              <w:rPr>
                <w:rFonts w:ascii="宋体" w:hAnsi="宋体"/>
                <w:szCs w:val="21"/>
              </w:rPr>
            </w:pPr>
            <w:r>
              <w:rPr>
                <w:rFonts w:hint="eastAsia" w:ascii="宋体" w:hAnsi="宋体"/>
                <w:szCs w:val="21"/>
              </w:rPr>
              <w:t>3  ……</w:t>
            </w:r>
          </w:p>
          <w:p>
            <w:pPr>
              <w:spacing w:line="340" w:lineRule="exact"/>
              <w:rPr>
                <w:rFonts w:ascii="宋体" w:hAnsi="宋体"/>
                <w:szCs w:val="21"/>
              </w:rPr>
            </w:pPr>
            <w:r>
              <w:rPr>
                <w:rFonts w:hint="eastAsia" w:ascii="宋体" w:hAnsi="宋体"/>
                <w:szCs w:val="21"/>
              </w:rPr>
              <w:t>……</w:t>
            </w:r>
          </w:p>
        </w:tc>
        <w:tc>
          <w:tcPr>
            <w:tcW w:w="1274" w:type="dxa"/>
            <w:tcBorders>
              <w:top w:val="single" w:color="auto" w:sz="4" w:space="0"/>
              <w:left w:val="single" w:color="auto" w:sz="4" w:space="0"/>
              <w:bottom w:val="single" w:color="auto" w:sz="4" w:space="0"/>
              <w:right w:val="single" w:color="auto" w:sz="4" w:space="0"/>
            </w:tcBorders>
            <w:noWrap/>
          </w:tcPr>
          <w:p>
            <w:pPr>
              <w:spacing w:line="300" w:lineRule="exact"/>
              <w:rPr>
                <w:rFonts w:ascii="宋体" w:hAnsi="宋体"/>
                <w:szCs w:val="21"/>
              </w:rPr>
            </w:pPr>
            <w:r>
              <w:rPr>
                <w:rFonts w:hint="eastAsia" w:ascii="宋体" w:hAnsi="宋体"/>
                <w:szCs w:val="21"/>
              </w:rPr>
              <w:t>正偏离（负偏离或无偏离）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9" w:hRule="atLeast"/>
        </w:trPr>
        <w:tc>
          <w:tcPr>
            <w:tcW w:w="691" w:type="dxa"/>
            <w:tcBorders>
              <w:top w:val="single" w:color="auto" w:sz="4" w:space="0"/>
              <w:left w:val="single" w:color="auto" w:sz="4" w:space="0"/>
              <w:bottom w:val="single" w:color="auto" w:sz="4" w:space="0"/>
              <w:right w:val="single" w:color="auto" w:sz="4" w:space="0"/>
            </w:tcBorders>
            <w:noWrap/>
          </w:tcPr>
          <w:p>
            <w:pPr>
              <w:spacing w:line="340" w:lineRule="exact"/>
              <w:rPr>
                <w:rFonts w:ascii="宋体" w:hAnsi="宋体"/>
                <w:szCs w:val="21"/>
              </w:rPr>
            </w:pPr>
            <w:r>
              <w:rPr>
                <w:rFonts w:hint="eastAsia" w:ascii="宋体" w:hAnsi="宋体"/>
                <w:szCs w:val="21"/>
              </w:rPr>
              <w:t>...</w:t>
            </w:r>
          </w:p>
        </w:tc>
        <w:tc>
          <w:tcPr>
            <w:tcW w:w="3926" w:type="dxa"/>
            <w:tcBorders>
              <w:top w:val="single" w:color="auto" w:sz="4" w:space="0"/>
              <w:left w:val="single" w:color="auto" w:sz="4" w:space="0"/>
              <w:bottom w:val="single" w:color="auto" w:sz="4" w:space="0"/>
              <w:right w:val="single" w:color="auto" w:sz="4" w:space="0"/>
            </w:tcBorders>
            <w:noWrap/>
          </w:tcPr>
          <w:p>
            <w:pPr>
              <w:spacing w:line="340" w:lineRule="exact"/>
              <w:rPr>
                <w:rFonts w:ascii="宋体" w:hAnsi="宋体"/>
                <w:szCs w:val="21"/>
              </w:rPr>
            </w:pPr>
            <w:r>
              <w:rPr>
                <w:rFonts w:hint="eastAsia" w:ascii="宋体" w:hAnsi="宋体"/>
                <w:szCs w:val="21"/>
              </w:rPr>
              <w:t>1  ……</w:t>
            </w:r>
          </w:p>
          <w:p>
            <w:pPr>
              <w:spacing w:line="340" w:lineRule="exact"/>
              <w:rPr>
                <w:rFonts w:ascii="宋体" w:hAnsi="宋体"/>
                <w:szCs w:val="21"/>
              </w:rPr>
            </w:pPr>
            <w:r>
              <w:rPr>
                <w:rFonts w:hint="eastAsia" w:ascii="宋体" w:hAnsi="宋体"/>
                <w:szCs w:val="21"/>
              </w:rPr>
              <w:t>2  ……</w:t>
            </w:r>
          </w:p>
          <w:p>
            <w:pPr>
              <w:spacing w:line="340" w:lineRule="exact"/>
              <w:rPr>
                <w:rFonts w:ascii="宋体" w:hAnsi="宋体"/>
                <w:szCs w:val="21"/>
              </w:rPr>
            </w:pPr>
            <w:r>
              <w:rPr>
                <w:rFonts w:hint="eastAsia" w:ascii="宋体" w:hAnsi="宋体"/>
                <w:szCs w:val="21"/>
              </w:rPr>
              <w:t>3  ……</w:t>
            </w:r>
          </w:p>
          <w:p>
            <w:pPr>
              <w:spacing w:line="340" w:lineRule="exact"/>
              <w:rPr>
                <w:rFonts w:ascii="宋体" w:hAnsi="宋体"/>
                <w:szCs w:val="21"/>
              </w:rPr>
            </w:pPr>
          </w:p>
          <w:p>
            <w:pPr>
              <w:spacing w:line="340" w:lineRule="exact"/>
              <w:rPr>
                <w:rFonts w:ascii="宋体" w:hAnsi="宋体"/>
                <w:szCs w:val="21"/>
              </w:rPr>
            </w:pPr>
            <w:r>
              <w:rPr>
                <w:rFonts w:hint="eastAsia" w:ascii="宋体" w:hAnsi="宋体"/>
                <w:szCs w:val="21"/>
              </w:rPr>
              <w:t xml:space="preserve"> ……</w:t>
            </w:r>
          </w:p>
        </w:tc>
        <w:tc>
          <w:tcPr>
            <w:tcW w:w="3589" w:type="dxa"/>
            <w:tcBorders>
              <w:top w:val="single" w:color="auto" w:sz="4" w:space="0"/>
              <w:left w:val="single" w:color="auto" w:sz="4" w:space="0"/>
              <w:bottom w:val="single" w:color="auto" w:sz="4" w:space="0"/>
              <w:right w:val="single" w:color="auto" w:sz="4" w:space="0"/>
            </w:tcBorders>
            <w:noWrap/>
          </w:tcPr>
          <w:p>
            <w:pPr>
              <w:spacing w:line="340" w:lineRule="exact"/>
              <w:rPr>
                <w:rFonts w:ascii="宋体" w:hAnsi="宋体"/>
                <w:szCs w:val="21"/>
              </w:rPr>
            </w:pPr>
            <w:r>
              <w:rPr>
                <w:rFonts w:hint="eastAsia" w:ascii="宋体" w:hAnsi="宋体"/>
                <w:szCs w:val="21"/>
              </w:rPr>
              <w:t>1  ……</w:t>
            </w:r>
          </w:p>
          <w:p>
            <w:pPr>
              <w:spacing w:line="340" w:lineRule="exact"/>
              <w:rPr>
                <w:rFonts w:ascii="宋体" w:hAnsi="宋体"/>
                <w:szCs w:val="21"/>
              </w:rPr>
            </w:pPr>
            <w:r>
              <w:rPr>
                <w:rFonts w:hint="eastAsia" w:ascii="宋体" w:hAnsi="宋体"/>
                <w:szCs w:val="21"/>
              </w:rPr>
              <w:t>2  ……</w:t>
            </w:r>
          </w:p>
          <w:p>
            <w:pPr>
              <w:spacing w:line="340" w:lineRule="exact"/>
              <w:rPr>
                <w:rFonts w:ascii="宋体" w:hAnsi="宋体"/>
                <w:szCs w:val="21"/>
              </w:rPr>
            </w:pPr>
            <w:r>
              <w:rPr>
                <w:rFonts w:hint="eastAsia" w:ascii="宋体" w:hAnsi="宋体"/>
                <w:szCs w:val="21"/>
              </w:rPr>
              <w:t>3  ……</w:t>
            </w:r>
          </w:p>
          <w:p>
            <w:pPr>
              <w:spacing w:line="340" w:lineRule="exact"/>
              <w:rPr>
                <w:rFonts w:ascii="宋体" w:hAnsi="宋体"/>
                <w:szCs w:val="21"/>
              </w:rPr>
            </w:pPr>
          </w:p>
          <w:p>
            <w:pPr>
              <w:spacing w:line="340" w:lineRule="exact"/>
              <w:rPr>
                <w:rFonts w:ascii="宋体" w:hAnsi="宋体"/>
                <w:szCs w:val="21"/>
              </w:rPr>
            </w:pPr>
            <w:r>
              <w:rPr>
                <w:rFonts w:hint="eastAsia" w:ascii="宋体" w:hAnsi="宋体"/>
                <w:szCs w:val="21"/>
              </w:rPr>
              <w:t xml:space="preserve"> ……</w:t>
            </w:r>
          </w:p>
        </w:tc>
        <w:tc>
          <w:tcPr>
            <w:tcW w:w="1274" w:type="dxa"/>
            <w:tcBorders>
              <w:top w:val="single" w:color="auto" w:sz="4" w:space="0"/>
              <w:left w:val="single" w:color="auto" w:sz="4" w:space="0"/>
              <w:bottom w:val="single" w:color="auto" w:sz="4" w:space="0"/>
              <w:right w:val="single" w:color="auto" w:sz="4" w:space="0"/>
            </w:tcBorders>
            <w:noWrap/>
          </w:tcPr>
          <w:p>
            <w:pPr>
              <w:spacing w:line="300" w:lineRule="exact"/>
              <w:rPr>
                <w:rFonts w:ascii="宋体" w:hAnsi="宋体"/>
                <w:szCs w:val="21"/>
              </w:rPr>
            </w:pPr>
            <w:r>
              <w:rPr>
                <w:rFonts w:hint="eastAsia" w:ascii="宋体" w:hAnsi="宋体"/>
                <w:szCs w:val="21"/>
              </w:rPr>
              <w:t>正偏离（负偏离或无偏离）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trPr>
        <w:tc>
          <w:tcPr>
            <w:tcW w:w="9480" w:type="dxa"/>
            <w:gridSpan w:val="4"/>
            <w:tcBorders>
              <w:top w:val="single" w:color="auto" w:sz="4" w:space="0"/>
              <w:left w:val="single" w:color="auto" w:sz="4" w:space="0"/>
              <w:bottom w:val="single" w:color="auto" w:sz="4" w:space="0"/>
              <w:right w:val="single" w:color="auto" w:sz="4" w:space="0"/>
            </w:tcBorders>
            <w:noWrap/>
          </w:tcPr>
          <w:p>
            <w:pPr>
              <w:spacing w:line="340" w:lineRule="exact"/>
              <w:rPr>
                <w:rFonts w:ascii="宋体" w:hAnsi="宋体"/>
                <w:szCs w:val="21"/>
              </w:rPr>
            </w:pPr>
            <w:r>
              <w:rPr>
                <w:rFonts w:hint="eastAsia" w:ascii="宋体" w:hAnsi="宋体"/>
                <w:szCs w:val="21"/>
                <w:u w:val="single"/>
              </w:rPr>
              <w:t>　　</w:t>
            </w:r>
            <w:r>
              <w:rPr>
                <w:rFonts w:hint="eastAsia" w:ascii="宋体" w:hAnsi="宋体"/>
                <w:szCs w:val="21"/>
              </w:rPr>
              <w:t>分标（此处有分标时填写具体分标号，无分标时填写“无”）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trPr>
        <w:tc>
          <w:tcPr>
            <w:tcW w:w="9480" w:type="dxa"/>
            <w:gridSpan w:val="4"/>
            <w:tcBorders>
              <w:top w:val="single" w:color="auto" w:sz="4" w:space="0"/>
              <w:left w:val="single" w:color="auto" w:sz="4" w:space="0"/>
              <w:bottom w:val="single" w:color="auto" w:sz="4" w:space="0"/>
              <w:right w:val="single" w:color="auto" w:sz="4" w:space="0"/>
            </w:tcBorders>
            <w:noWrap/>
          </w:tcPr>
          <w:p>
            <w:pPr>
              <w:spacing w:line="340" w:lineRule="exact"/>
              <w:rPr>
                <w:rFonts w:ascii="宋体" w:hAnsi="宋体"/>
                <w:szCs w:val="21"/>
              </w:rPr>
            </w:pPr>
            <w:r>
              <w:rPr>
                <w:rFonts w:hint="eastAsia" w:ascii="宋体" w:hAnsi="宋体"/>
                <w:szCs w:val="21"/>
              </w:rPr>
              <w:t>投标人（盖单位公章）：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9480" w:type="dxa"/>
            <w:gridSpan w:val="4"/>
            <w:tcBorders>
              <w:top w:val="single" w:color="auto" w:sz="4" w:space="0"/>
              <w:left w:val="single" w:color="auto" w:sz="4" w:space="0"/>
              <w:bottom w:val="single" w:color="auto" w:sz="4" w:space="0"/>
              <w:right w:val="single" w:color="auto" w:sz="4" w:space="0"/>
            </w:tcBorders>
            <w:noWrap/>
          </w:tcPr>
          <w:p>
            <w:pPr>
              <w:spacing w:line="360" w:lineRule="exact"/>
              <w:rPr>
                <w:rFonts w:ascii="宋体" w:hAnsi="宋体"/>
                <w:szCs w:val="21"/>
              </w:rPr>
            </w:pPr>
            <w:r>
              <w:rPr>
                <w:rFonts w:hint="eastAsia" w:ascii="宋体" w:hAnsi="宋体"/>
                <w:szCs w:val="21"/>
              </w:rPr>
              <w:t>法定代表人或其委托代理人（签字或盖章）：</w:t>
            </w:r>
          </w:p>
        </w:tc>
      </w:tr>
    </w:tbl>
    <w:p>
      <w:pPr>
        <w:pStyle w:val="19"/>
        <w:rPr>
          <w:rFonts w:hAnsi="宋体"/>
          <w:u w:val="single"/>
        </w:rPr>
      </w:pPr>
    </w:p>
    <w:p>
      <w:pPr>
        <w:pStyle w:val="19"/>
        <w:rPr>
          <w:rFonts w:hAnsi="宋体"/>
          <w:u w:val="single"/>
        </w:rPr>
      </w:pPr>
      <w:r>
        <w:rPr>
          <w:rFonts w:hint="eastAsia" w:hAnsi="宋体"/>
          <w:u w:val="single"/>
        </w:rPr>
        <w:t>注：⑴表格内容均需按要求填写并盖章，不得留空，否则按投标无效处理。</w:t>
      </w:r>
    </w:p>
    <w:p>
      <w:pPr>
        <w:pStyle w:val="19"/>
        <w:rPr>
          <w:rFonts w:hAnsi="宋体"/>
          <w:bCs/>
          <w:szCs w:val="21"/>
        </w:rPr>
      </w:pPr>
      <w:r>
        <w:rPr>
          <w:rFonts w:hint="eastAsia" w:hAnsi="宋体"/>
          <w:u w:val="single"/>
        </w:rPr>
        <w:t>⑵</w:t>
      </w:r>
      <w:r>
        <w:rPr>
          <w:rFonts w:hint="eastAsia" w:hAnsi="宋体"/>
          <w:bCs/>
          <w:szCs w:val="21"/>
        </w:rPr>
        <w:t>如果采购需求为小于、小于等于、大于或大于等于某个数值标准时，投标文件承诺不得直接复制采购需求，投标文件承诺内容应当写明投标货物具体参数或商务响应承诺的具体数值，否则按投标无效处理。如该采购需求属于不能明确具体数值的，采购人应在此采购需求的数值后标注◆号，对标注◆号的采购需求不适用上述“投标无效”条款。</w:t>
      </w:r>
    </w:p>
    <w:p>
      <w:pPr>
        <w:pStyle w:val="19"/>
        <w:rPr>
          <w:rFonts w:hAnsi="宋体"/>
        </w:rPr>
      </w:pPr>
      <w:r>
        <w:rPr>
          <w:rFonts w:hint="eastAsia" w:hAnsi="宋体"/>
          <w:u w:val="single"/>
        </w:rPr>
        <w:t>⑶当投标文件的商务内容低于招标文件要求时，投标人应当如实写明“负偏离”，否则视为虚假应标。</w:t>
      </w:r>
    </w:p>
    <w:p>
      <w:pPr>
        <w:pStyle w:val="19"/>
        <w:spacing w:line="600" w:lineRule="exact"/>
        <w:jc w:val="center"/>
        <w:rPr>
          <w:rFonts w:hAnsi="宋体"/>
          <w:sz w:val="28"/>
          <w:szCs w:val="28"/>
        </w:rPr>
      </w:pPr>
      <w:r>
        <w:rPr>
          <w:rFonts w:hint="eastAsia" w:hAnsi="宋体"/>
          <w:b/>
          <w:sz w:val="32"/>
        </w:rPr>
        <w:br w:type="page"/>
      </w:r>
      <w:r>
        <w:rPr>
          <w:rFonts w:hint="eastAsia" w:hAnsi="宋体"/>
          <w:b/>
          <w:sz w:val="32"/>
          <w:szCs w:val="32"/>
        </w:rPr>
        <w:t>法定代表人身份证明书</w:t>
      </w:r>
      <w:r>
        <w:rPr>
          <w:rFonts w:hint="eastAsia" w:hAnsi="宋体"/>
          <w:b/>
          <w:bCs/>
          <w:sz w:val="30"/>
          <w:szCs w:val="30"/>
        </w:rPr>
        <w:t>（格式）</w:t>
      </w:r>
    </w:p>
    <w:p>
      <w:pPr>
        <w:spacing w:line="500" w:lineRule="exact"/>
        <w:ind w:left="540"/>
        <w:rPr>
          <w:rFonts w:ascii="宋体" w:hAnsi="宋体"/>
          <w:sz w:val="24"/>
        </w:rPr>
      </w:pPr>
    </w:p>
    <w:p>
      <w:pPr>
        <w:spacing w:line="500" w:lineRule="exact"/>
        <w:ind w:left="540"/>
        <w:rPr>
          <w:rFonts w:ascii="宋体" w:hAnsi="宋体"/>
          <w:sz w:val="24"/>
        </w:rPr>
      </w:pPr>
      <w:r>
        <w:rPr>
          <w:rFonts w:hint="eastAsia" w:ascii="宋体" w:hAnsi="宋体"/>
          <w:sz w:val="24"/>
        </w:rPr>
        <w:t>投标人：</w:t>
      </w:r>
    </w:p>
    <w:p>
      <w:pPr>
        <w:spacing w:line="500" w:lineRule="exact"/>
        <w:ind w:left="540"/>
        <w:rPr>
          <w:rFonts w:ascii="宋体" w:hAnsi="宋体"/>
          <w:sz w:val="24"/>
        </w:rPr>
      </w:pPr>
      <w:r>
        <w:rPr>
          <w:rFonts w:hint="eastAsia" w:ascii="宋体" w:hAnsi="宋体"/>
          <w:sz w:val="24"/>
        </w:rPr>
        <w:t>单位性质：</w:t>
      </w:r>
    </w:p>
    <w:p>
      <w:pPr>
        <w:spacing w:line="500" w:lineRule="exact"/>
        <w:ind w:left="540"/>
        <w:rPr>
          <w:rFonts w:ascii="宋体" w:hAnsi="宋体"/>
          <w:sz w:val="24"/>
        </w:rPr>
      </w:pPr>
      <w:r>
        <w:rPr>
          <w:rFonts w:hint="eastAsia" w:ascii="宋体" w:hAnsi="宋体"/>
          <w:sz w:val="24"/>
        </w:rPr>
        <w:t>地址：</w:t>
      </w:r>
    </w:p>
    <w:p>
      <w:pPr>
        <w:spacing w:line="500" w:lineRule="exact"/>
        <w:ind w:left="540"/>
        <w:rPr>
          <w:rFonts w:ascii="宋体" w:hAnsi="宋体"/>
          <w:sz w:val="24"/>
        </w:rPr>
      </w:pPr>
      <w:r>
        <w:rPr>
          <w:rFonts w:hint="eastAsia" w:ascii="宋体" w:hAnsi="宋体"/>
          <w:sz w:val="24"/>
        </w:rPr>
        <w:t>成立时间：年月日</w:t>
      </w:r>
    </w:p>
    <w:p>
      <w:pPr>
        <w:spacing w:line="500" w:lineRule="exact"/>
        <w:ind w:left="540"/>
        <w:rPr>
          <w:rFonts w:ascii="宋体" w:hAnsi="宋体"/>
          <w:sz w:val="24"/>
        </w:rPr>
      </w:pPr>
      <w:r>
        <w:rPr>
          <w:rFonts w:hint="eastAsia" w:ascii="宋体" w:hAnsi="宋体"/>
          <w:sz w:val="24"/>
        </w:rPr>
        <w:t>经营期限：</w:t>
      </w:r>
    </w:p>
    <w:p>
      <w:pPr>
        <w:spacing w:line="500" w:lineRule="exact"/>
        <w:ind w:left="540"/>
        <w:rPr>
          <w:rFonts w:ascii="宋体" w:hAnsi="宋体"/>
          <w:sz w:val="24"/>
        </w:rPr>
      </w:pPr>
      <w:r>
        <w:rPr>
          <w:rFonts w:hint="eastAsia" w:ascii="宋体" w:hAnsi="宋体"/>
          <w:sz w:val="24"/>
        </w:rPr>
        <w:t>姓名：性别：</w:t>
      </w:r>
    </w:p>
    <w:p>
      <w:pPr>
        <w:spacing w:line="500" w:lineRule="exact"/>
        <w:ind w:left="540"/>
        <w:rPr>
          <w:rFonts w:ascii="宋体" w:hAnsi="宋体"/>
          <w:sz w:val="24"/>
          <w:u w:val="single"/>
        </w:rPr>
      </w:pPr>
      <w:r>
        <w:rPr>
          <w:rFonts w:hint="eastAsia" w:ascii="宋体" w:hAnsi="宋体"/>
          <w:sz w:val="24"/>
        </w:rPr>
        <w:t>年龄：职务：</w:t>
      </w:r>
    </w:p>
    <w:p>
      <w:pPr>
        <w:spacing w:line="500" w:lineRule="exact"/>
        <w:ind w:left="540"/>
        <w:rPr>
          <w:rFonts w:ascii="宋体" w:hAnsi="宋体"/>
          <w:sz w:val="24"/>
        </w:rPr>
      </w:pPr>
      <w:r>
        <w:rPr>
          <w:rFonts w:hint="eastAsia" w:ascii="宋体" w:hAnsi="宋体"/>
          <w:sz w:val="24"/>
        </w:rPr>
        <w:t>身份证号码：</w:t>
      </w:r>
    </w:p>
    <w:p>
      <w:pPr>
        <w:spacing w:line="500" w:lineRule="exact"/>
        <w:ind w:left="540"/>
        <w:rPr>
          <w:rFonts w:ascii="宋体" w:hAnsi="宋体"/>
          <w:sz w:val="24"/>
        </w:rPr>
      </w:pPr>
      <w:r>
        <w:rPr>
          <w:rFonts w:hint="eastAsia" w:ascii="宋体" w:hAnsi="宋体"/>
          <w:sz w:val="24"/>
        </w:rPr>
        <w:t>系（投标人名称）的法定代表人。</w:t>
      </w:r>
    </w:p>
    <w:p>
      <w:pPr>
        <w:spacing w:line="500" w:lineRule="exact"/>
        <w:ind w:left="540"/>
        <w:rPr>
          <w:rFonts w:ascii="宋体" w:hAnsi="宋体"/>
          <w:sz w:val="24"/>
        </w:rPr>
      </w:pPr>
      <w:r>
        <w:rPr>
          <w:rFonts w:hint="eastAsia" w:ascii="宋体" w:hAnsi="宋体"/>
          <w:sz w:val="24"/>
        </w:rPr>
        <w:t>特此证明。</w:t>
      </w:r>
    </w:p>
    <w:p>
      <w:pPr>
        <w:spacing w:line="500" w:lineRule="exact"/>
        <w:ind w:left="540"/>
        <w:rPr>
          <w:rFonts w:ascii="宋体" w:hAnsi="宋体"/>
          <w:sz w:val="24"/>
        </w:rPr>
      </w:pPr>
      <w:r>
        <w:rPr>
          <w:rFonts w:hint="eastAsia" w:ascii="宋体" w:hAnsi="宋体"/>
          <w:sz w:val="24"/>
        </w:rPr>
        <w:t>附件：法定代表人有效身份证正反面复印件</w:t>
      </w:r>
    </w:p>
    <w:p>
      <w:pPr>
        <w:spacing w:line="500" w:lineRule="exact"/>
        <w:ind w:left="540"/>
        <w:rPr>
          <w:rFonts w:ascii="宋体" w:hAnsi="宋体"/>
          <w:sz w:val="24"/>
        </w:rPr>
      </w:pPr>
    </w:p>
    <w:p>
      <w:pPr>
        <w:spacing w:line="500" w:lineRule="exact"/>
        <w:ind w:left="540"/>
        <w:rPr>
          <w:rFonts w:ascii="宋体" w:hAnsi="宋体"/>
          <w:sz w:val="24"/>
        </w:rPr>
      </w:pPr>
    </w:p>
    <w:p>
      <w:pPr>
        <w:spacing w:line="500" w:lineRule="exact"/>
        <w:ind w:left="540"/>
        <w:rPr>
          <w:rFonts w:ascii="宋体" w:hAnsi="宋体"/>
          <w:sz w:val="24"/>
        </w:rPr>
      </w:pPr>
    </w:p>
    <w:p>
      <w:pPr>
        <w:wordWrap w:val="0"/>
        <w:spacing w:line="500" w:lineRule="exact"/>
        <w:ind w:left="540"/>
        <w:jc w:val="right"/>
        <w:rPr>
          <w:rFonts w:ascii="宋体" w:hAnsi="宋体"/>
          <w:sz w:val="24"/>
        </w:rPr>
      </w:pPr>
      <w:r>
        <w:rPr>
          <w:rFonts w:hint="eastAsia" w:ascii="宋体" w:hAnsi="宋体"/>
          <w:sz w:val="24"/>
        </w:rPr>
        <w:t>投标人：（盖单位章）</w:t>
      </w:r>
    </w:p>
    <w:p>
      <w:pPr>
        <w:spacing w:line="500" w:lineRule="exact"/>
        <w:ind w:left="540"/>
        <w:jc w:val="right"/>
        <w:rPr>
          <w:rFonts w:ascii="宋体" w:hAnsi="宋体"/>
          <w:sz w:val="24"/>
        </w:rPr>
      </w:pPr>
    </w:p>
    <w:p>
      <w:pPr>
        <w:pStyle w:val="19"/>
        <w:spacing w:line="600" w:lineRule="exact"/>
        <w:jc w:val="right"/>
        <w:rPr>
          <w:rFonts w:hAnsi="宋体"/>
          <w:b/>
        </w:rPr>
      </w:pPr>
      <w:r>
        <w:rPr>
          <w:rFonts w:hint="eastAsia" w:hAnsi="宋体"/>
          <w:sz w:val="24"/>
        </w:rPr>
        <w:t>年月日</w:t>
      </w:r>
    </w:p>
    <w:p>
      <w:pPr>
        <w:pStyle w:val="19"/>
        <w:spacing w:line="500" w:lineRule="exact"/>
        <w:jc w:val="center"/>
        <w:rPr>
          <w:rFonts w:hAnsi="宋体"/>
          <w:b/>
          <w:bCs/>
          <w:sz w:val="30"/>
          <w:szCs w:val="30"/>
        </w:rPr>
      </w:pPr>
      <w:r>
        <w:rPr>
          <w:rFonts w:hAnsi="宋体"/>
          <w:b/>
          <w:bCs/>
          <w:sz w:val="30"/>
          <w:szCs w:val="30"/>
        </w:rPr>
        <w:br w:type="page"/>
      </w:r>
      <w:r>
        <w:rPr>
          <w:rFonts w:hint="eastAsia" w:hAnsi="宋体"/>
          <w:b/>
          <w:bCs/>
          <w:sz w:val="30"/>
          <w:szCs w:val="30"/>
        </w:rPr>
        <w:t>法定代表人授权委托书（格式）</w:t>
      </w:r>
    </w:p>
    <w:p>
      <w:pPr>
        <w:pStyle w:val="19"/>
        <w:spacing w:line="500" w:lineRule="exact"/>
        <w:ind w:firstLine="420" w:firstLineChars="200"/>
        <w:rPr>
          <w:rFonts w:hAnsi="宋体"/>
          <w:u w:val="single"/>
        </w:rPr>
      </w:pPr>
    </w:p>
    <w:p>
      <w:pPr>
        <w:pStyle w:val="19"/>
        <w:spacing w:line="360" w:lineRule="auto"/>
        <w:ind w:firstLine="435"/>
        <w:rPr>
          <w:rFonts w:hAnsi="宋体"/>
        </w:rPr>
      </w:pPr>
      <w:r>
        <w:rPr>
          <w:rFonts w:hint="eastAsia" w:hAnsi="宋体"/>
        </w:rPr>
        <w:t>致：（采购代理机构名称）</w:t>
      </w:r>
    </w:p>
    <w:p>
      <w:pPr>
        <w:pStyle w:val="19"/>
        <w:spacing w:line="360" w:lineRule="auto"/>
        <w:ind w:firstLine="435"/>
        <w:rPr>
          <w:rFonts w:hAnsi="宋体"/>
        </w:rPr>
      </w:pPr>
    </w:p>
    <w:p>
      <w:pPr>
        <w:pStyle w:val="19"/>
        <w:spacing w:line="360" w:lineRule="auto"/>
        <w:ind w:firstLine="435"/>
        <w:rPr>
          <w:rFonts w:hAnsi="宋体"/>
        </w:rPr>
      </w:pPr>
      <w:r>
        <w:rPr>
          <w:rFonts w:hint="eastAsia" w:hAnsi="宋体"/>
        </w:rPr>
        <w:t>本人</w:t>
      </w:r>
      <w:r>
        <w:rPr>
          <w:rFonts w:hint="eastAsia" w:hAnsi="宋体"/>
          <w:u w:val="single"/>
        </w:rPr>
        <w:t>（姓名）</w:t>
      </w:r>
      <w:r>
        <w:rPr>
          <w:rFonts w:hint="eastAsia" w:hAnsi="宋体"/>
        </w:rPr>
        <w:t>系</w:t>
      </w:r>
      <w:r>
        <w:rPr>
          <w:rFonts w:hint="eastAsia" w:hAnsi="宋体"/>
          <w:u w:val="single"/>
        </w:rPr>
        <w:t>（投标人名称）</w:t>
      </w:r>
      <w:r>
        <w:rPr>
          <w:rFonts w:hint="eastAsia" w:hAnsi="宋体"/>
        </w:rPr>
        <w:t>的法定代表人，现授权我单位在职正式员工</w:t>
      </w:r>
      <w:r>
        <w:rPr>
          <w:rFonts w:hint="eastAsia" w:hAnsi="宋体"/>
          <w:u w:val="single"/>
        </w:rPr>
        <w:t>（姓名和职务）</w:t>
      </w:r>
      <w:r>
        <w:rPr>
          <w:rFonts w:hint="eastAsia" w:hAnsi="宋体"/>
        </w:rPr>
        <w:t>为我方代理人。代理人根据授权，以我方名义签署、澄清、说明、补正、递交、撤回、修改贵方组织的</w:t>
      </w:r>
      <w:r>
        <w:rPr>
          <w:rFonts w:hint="eastAsia" w:hAnsi="宋体"/>
          <w:u w:val="single"/>
        </w:rPr>
        <w:t>（项目名称）</w:t>
      </w:r>
      <w:r>
        <w:rPr>
          <w:rFonts w:hint="eastAsia" w:hAnsi="宋体"/>
        </w:rPr>
        <w:t>（</w:t>
      </w:r>
      <w:r>
        <w:rPr>
          <w:rFonts w:hint="eastAsia" w:hAnsi="宋体"/>
          <w:lang w:eastAsia="zh-CN"/>
        </w:rPr>
        <w:t>项目编号：YLZC2020-G1-240257-HSHJ</w:t>
      </w:r>
      <w:r>
        <w:rPr>
          <w:rFonts w:hint="eastAsia" w:hAnsi="宋体"/>
        </w:rPr>
        <w:t>）项目的投标文件、签订合同和处理一切有关事宜，其法律后果由我方承担。</w:t>
      </w:r>
    </w:p>
    <w:p>
      <w:pPr>
        <w:pStyle w:val="19"/>
        <w:spacing w:line="360" w:lineRule="auto"/>
        <w:ind w:firstLine="435"/>
        <w:rPr>
          <w:rFonts w:hAnsi="宋体"/>
        </w:rPr>
      </w:pPr>
      <w:r>
        <w:rPr>
          <w:rFonts w:hint="eastAsia" w:hAnsi="宋体"/>
        </w:rPr>
        <w:t>本授权书于年月日签字生效，委托期限：。</w:t>
      </w:r>
    </w:p>
    <w:p>
      <w:pPr>
        <w:pStyle w:val="19"/>
        <w:spacing w:line="360" w:lineRule="auto"/>
        <w:ind w:firstLine="420"/>
        <w:rPr>
          <w:rFonts w:hAnsi="宋体"/>
        </w:rPr>
      </w:pPr>
      <w:r>
        <w:rPr>
          <w:rFonts w:hint="eastAsia" w:hAnsi="宋体"/>
        </w:rPr>
        <w:t>代理人无转委托权。</w:t>
      </w:r>
    </w:p>
    <w:p>
      <w:pPr>
        <w:pStyle w:val="19"/>
        <w:spacing w:line="360" w:lineRule="auto"/>
        <w:ind w:firstLine="420"/>
        <w:rPr>
          <w:rFonts w:hAnsi="宋体"/>
        </w:rPr>
      </w:pPr>
    </w:p>
    <w:p>
      <w:pPr>
        <w:pStyle w:val="19"/>
        <w:spacing w:line="360" w:lineRule="auto"/>
        <w:ind w:firstLine="420"/>
        <w:rPr>
          <w:rFonts w:hAnsi="宋体"/>
          <w:u w:val="single"/>
        </w:rPr>
      </w:pPr>
      <w:r>
        <w:rPr>
          <w:rFonts w:hint="eastAsia" w:hAnsi="宋体"/>
        </w:rPr>
        <w:t>投标人（盖单位公章）：</w:t>
      </w:r>
    </w:p>
    <w:p>
      <w:pPr>
        <w:pStyle w:val="19"/>
        <w:spacing w:line="360" w:lineRule="auto"/>
        <w:ind w:firstLine="420"/>
        <w:rPr>
          <w:rFonts w:hAnsi="宋体"/>
          <w:u w:val="single"/>
        </w:rPr>
      </w:pPr>
      <w:r>
        <w:rPr>
          <w:rFonts w:hint="eastAsia" w:hAnsi="宋体"/>
        </w:rPr>
        <w:t>法定代表人（签字）：</w:t>
      </w:r>
    </w:p>
    <w:p>
      <w:pPr>
        <w:pStyle w:val="19"/>
        <w:spacing w:line="360" w:lineRule="auto"/>
        <w:ind w:firstLine="420"/>
        <w:rPr>
          <w:rFonts w:hAnsi="宋体"/>
          <w:u w:val="single"/>
        </w:rPr>
      </w:pPr>
      <w:r>
        <w:rPr>
          <w:rFonts w:hint="eastAsia" w:hAnsi="宋体"/>
        </w:rPr>
        <w:t>法定代表人身份证号码：</w:t>
      </w:r>
    </w:p>
    <w:p>
      <w:pPr>
        <w:pStyle w:val="19"/>
        <w:spacing w:line="360" w:lineRule="auto"/>
        <w:ind w:firstLine="420" w:firstLineChars="200"/>
        <w:rPr>
          <w:rFonts w:hAnsi="宋体"/>
        </w:rPr>
      </w:pPr>
      <w:r>
        <w:rPr>
          <w:rFonts w:hint="eastAsia" w:hAnsi="宋体"/>
        </w:rPr>
        <w:t>委托代理人（签字）：</w:t>
      </w:r>
    </w:p>
    <w:p>
      <w:pPr>
        <w:pStyle w:val="19"/>
        <w:spacing w:line="360" w:lineRule="auto"/>
        <w:ind w:firstLine="420"/>
        <w:rPr>
          <w:rFonts w:hAnsi="宋体"/>
          <w:u w:val="single"/>
        </w:rPr>
      </w:pPr>
      <w:r>
        <w:rPr>
          <w:rFonts w:hint="eastAsia" w:hAnsi="宋体"/>
        </w:rPr>
        <w:t>委托代理人身份证号码：</w:t>
      </w:r>
    </w:p>
    <w:p>
      <w:pPr>
        <w:spacing w:before="165" w:after="50"/>
        <w:jc w:val="center"/>
        <w:rPr>
          <w:rFonts w:ascii="宋体" w:hAnsi="宋体"/>
          <w:b/>
          <w:bCs/>
          <w:kern w:val="1"/>
          <w:sz w:val="30"/>
          <w:szCs w:val="30"/>
        </w:rPr>
      </w:pPr>
      <w:r>
        <w:rPr>
          <w:rFonts w:ascii="宋体" w:hAnsi="宋体"/>
        </w:rPr>
        <w:br w:type="page"/>
      </w:r>
      <w:r>
        <w:rPr>
          <w:rFonts w:hint="eastAsia" w:ascii="宋体" w:hAnsi="宋体"/>
          <w:b/>
          <w:bCs/>
          <w:kern w:val="1"/>
          <w:sz w:val="30"/>
          <w:szCs w:val="30"/>
        </w:rPr>
        <w:t>投标声明书（格式）</w:t>
      </w:r>
    </w:p>
    <w:p>
      <w:pPr>
        <w:spacing w:before="165" w:after="50"/>
        <w:rPr>
          <w:rFonts w:ascii="宋体" w:hAnsi="宋体" w:cs="宋体"/>
          <w:kern w:val="1"/>
          <w:sz w:val="24"/>
        </w:rPr>
      </w:pPr>
    </w:p>
    <w:p>
      <w:pPr>
        <w:spacing w:before="165" w:after="50" w:line="340" w:lineRule="exact"/>
        <w:rPr>
          <w:rFonts w:ascii="宋体" w:hAnsi="宋体" w:cs="宋体"/>
          <w:kern w:val="1"/>
          <w:szCs w:val="21"/>
        </w:rPr>
      </w:pPr>
      <w:r>
        <w:rPr>
          <w:rFonts w:hint="eastAsia" w:ascii="宋体" w:hAnsi="宋体" w:cs="宋体"/>
          <w:kern w:val="1"/>
          <w:szCs w:val="21"/>
        </w:rPr>
        <w:t>致：</w:t>
      </w:r>
      <w:r>
        <w:rPr>
          <w:rFonts w:ascii="宋体" w:hAnsi="宋体" w:cs="宋体"/>
          <w:kern w:val="1"/>
          <w:szCs w:val="21"/>
          <w:u w:val="single"/>
        </w:rPr>
        <w:t>_______     __</w:t>
      </w:r>
      <w:r>
        <w:rPr>
          <w:rFonts w:hint="eastAsia" w:ascii="宋体" w:hAnsi="宋体" w:cs="宋体"/>
          <w:kern w:val="1"/>
          <w:szCs w:val="21"/>
        </w:rPr>
        <w:t>（招标采购单位名称）：</w:t>
      </w:r>
    </w:p>
    <w:p>
      <w:pPr>
        <w:spacing w:before="165" w:after="50" w:line="340" w:lineRule="exact"/>
        <w:ind w:firstLine="630"/>
        <w:rPr>
          <w:rFonts w:ascii="宋体" w:hAnsi="宋体" w:cs="宋体"/>
          <w:kern w:val="1"/>
          <w:szCs w:val="21"/>
        </w:rPr>
      </w:pPr>
      <w:r>
        <w:rPr>
          <w:rFonts w:ascii="宋体" w:hAnsi="宋体" w:cs="宋体"/>
          <w:kern w:val="1"/>
          <w:szCs w:val="21"/>
          <w:u w:val="single"/>
        </w:rPr>
        <w:t>_______     __</w:t>
      </w:r>
      <w:r>
        <w:rPr>
          <w:rFonts w:hint="eastAsia" w:ascii="宋体" w:hAnsi="宋体" w:cs="宋体"/>
          <w:kern w:val="1"/>
          <w:szCs w:val="21"/>
        </w:rPr>
        <w:t>（投标人名称）系中华人民共和国合法企业，经营地址。</w:t>
      </w:r>
    </w:p>
    <w:p>
      <w:pPr>
        <w:spacing w:before="165" w:line="340" w:lineRule="exact"/>
        <w:ind w:firstLine="420"/>
        <w:rPr>
          <w:rFonts w:ascii="宋体" w:hAnsi="宋体" w:cs="宋体"/>
          <w:kern w:val="1"/>
          <w:szCs w:val="21"/>
        </w:rPr>
      </w:pPr>
      <w:r>
        <w:rPr>
          <w:rFonts w:hint="eastAsia" w:ascii="宋体" w:hAnsi="宋体" w:cs="宋体"/>
          <w:kern w:val="1"/>
          <w:szCs w:val="21"/>
        </w:rPr>
        <w:t>我</w:t>
      </w:r>
      <w:r>
        <w:rPr>
          <w:rFonts w:ascii="宋体" w:hAnsi="宋体" w:cs="宋体"/>
          <w:kern w:val="1"/>
          <w:szCs w:val="21"/>
          <w:u w:val="single"/>
        </w:rPr>
        <w:t>___    __</w:t>
      </w:r>
      <w:r>
        <w:rPr>
          <w:rFonts w:hint="eastAsia" w:ascii="宋体" w:hAnsi="宋体" w:cs="宋体"/>
          <w:kern w:val="1"/>
          <w:szCs w:val="21"/>
        </w:rPr>
        <w:t>（姓名）系</w:t>
      </w:r>
      <w:r>
        <w:rPr>
          <w:rFonts w:ascii="宋体" w:hAnsi="宋体" w:cs="宋体"/>
          <w:kern w:val="1"/>
          <w:szCs w:val="21"/>
          <w:u w:val="single"/>
        </w:rPr>
        <w:t>_______     __</w:t>
      </w:r>
      <w:r>
        <w:rPr>
          <w:rFonts w:hint="eastAsia" w:ascii="宋体" w:hAnsi="宋体" w:cs="宋体"/>
          <w:kern w:val="1"/>
          <w:szCs w:val="21"/>
        </w:rPr>
        <w:t>（投标人名称）的法定代表人，我方愿意参加贵方组织的</w:t>
      </w:r>
      <w:r>
        <w:rPr>
          <w:rFonts w:ascii="宋体" w:hAnsi="宋体" w:cs="宋体"/>
          <w:kern w:val="1"/>
          <w:szCs w:val="21"/>
        </w:rPr>
        <w:t>_____</w:t>
      </w:r>
      <w:r>
        <w:rPr>
          <w:rFonts w:ascii="宋体" w:hAnsi="宋体" w:cs="宋体"/>
          <w:kern w:val="1"/>
          <w:szCs w:val="21"/>
          <w:u w:val="single"/>
        </w:rPr>
        <w:t>_              _     _</w:t>
      </w:r>
      <w:r>
        <w:rPr>
          <w:rFonts w:ascii="宋体" w:hAnsi="宋体" w:cs="宋体"/>
          <w:kern w:val="1"/>
          <w:szCs w:val="21"/>
        </w:rPr>
        <w:t>_</w:t>
      </w:r>
      <w:r>
        <w:rPr>
          <w:rFonts w:hint="eastAsia" w:ascii="宋体" w:hAnsi="宋体" w:cs="宋体"/>
          <w:kern w:val="1"/>
          <w:szCs w:val="21"/>
        </w:rPr>
        <w:t>项目的投标，为便于贵方公正、择优地确定中标人及其投标产品和服务，我方就本次投标有关事项郑重声明如下：</w:t>
      </w:r>
    </w:p>
    <w:p>
      <w:pPr>
        <w:spacing w:line="340" w:lineRule="exact"/>
        <w:ind w:firstLine="420"/>
        <w:rPr>
          <w:rFonts w:ascii="宋体" w:hAnsi="宋体" w:cs="宋体"/>
          <w:kern w:val="1"/>
          <w:szCs w:val="21"/>
        </w:rPr>
      </w:pPr>
      <w:r>
        <w:rPr>
          <w:rFonts w:ascii="宋体" w:hAnsi="宋体" w:cs="宋体"/>
          <w:kern w:val="1"/>
          <w:szCs w:val="21"/>
        </w:rPr>
        <w:t>1.</w:t>
      </w:r>
      <w:r>
        <w:rPr>
          <w:rFonts w:hint="eastAsia" w:ascii="宋体" w:hAnsi="宋体" w:cs="宋体"/>
          <w:kern w:val="1"/>
          <w:szCs w:val="21"/>
        </w:rPr>
        <w:t>我方向贵方提交的所有投标文件、资料都是准确的和真实的。</w:t>
      </w:r>
    </w:p>
    <w:p>
      <w:pPr>
        <w:spacing w:before="165" w:line="340" w:lineRule="exact"/>
        <w:ind w:firstLine="420"/>
        <w:rPr>
          <w:rFonts w:ascii="宋体" w:hAnsi="宋体" w:cs="宋体"/>
          <w:kern w:val="1"/>
          <w:szCs w:val="21"/>
        </w:rPr>
      </w:pPr>
      <w:r>
        <w:rPr>
          <w:rFonts w:ascii="宋体" w:hAnsi="宋体" w:cs="宋体"/>
          <w:kern w:val="1"/>
          <w:szCs w:val="21"/>
        </w:rPr>
        <w:t>2.</w:t>
      </w:r>
      <w:r>
        <w:rPr>
          <w:rFonts w:hint="eastAsia" w:ascii="宋体" w:hAnsi="宋体" w:cs="宋体"/>
          <w:kern w:val="1"/>
          <w:szCs w:val="21"/>
        </w:rPr>
        <w:t>我方不是采购人的附属机构；在获知本项目采购信息后，与采购人聘请的为此项目提供咨询服务的公司及其附属机构没有任何联系。</w:t>
      </w:r>
    </w:p>
    <w:p>
      <w:pPr>
        <w:spacing w:before="165" w:line="340" w:lineRule="exact"/>
        <w:ind w:firstLine="420"/>
        <w:rPr>
          <w:rFonts w:ascii="宋体" w:hAnsi="宋体" w:cs="宋体"/>
          <w:kern w:val="1"/>
          <w:szCs w:val="21"/>
        </w:rPr>
      </w:pPr>
      <w:r>
        <w:rPr>
          <w:rFonts w:ascii="宋体" w:hAnsi="宋体" w:cs="宋体"/>
          <w:kern w:val="1"/>
          <w:szCs w:val="21"/>
        </w:rPr>
        <w:t>3.</w:t>
      </w:r>
      <w:r>
        <w:rPr>
          <w:rFonts w:hint="eastAsia" w:ascii="宋体" w:hAnsi="宋体" w:cs="宋体"/>
          <w:kern w:val="1"/>
          <w:szCs w:val="21"/>
        </w:rPr>
        <w:t>我方此次向贵方提供的产品名称为：；规格型号：；该型号产品我方有现货可供，并已于年月生产完工或向</w:t>
      </w:r>
      <w:r>
        <w:rPr>
          <w:rFonts w:hint="eastAsia" w:ascii="宋体" w:hAnsi="宋体" w:cs="宋体"/>
          <w:kern w:val="1"/>
          <w:szCs w:val="21"/>
          <w:u w:val="single"/>
        </w:rPr>
        <w:t>　　</w:t>
      </w:r>
      <w:r>
        <w:rPr>
          <w:rFonts w:hint="eastAsia" w:ascii="宋体" w:hAnsi="宋体" w:cs="宋体"/>
          <w:kern w:val="1"/>
          <w:szCs w:val="21"/>
        </w:rPr>
        <w:t>（原厂商名称）购进［</w:t>
      </w:r>
      <w:r>
        <w:rPr>
          <w:rFonts w:hint="eastAsia" w:ascii="宋体" w:hAnsi="宋体" w:cs="宋体"/>
          <w:b/>
          <w:bCs/>
          <w:kern w:val="1"/>
          <w:szCs w:val="21"/>
        </w:rPr>
        <w:t>或</w:t>
      </w:r>
      <w:r>
        <w:rPr>
          <w:rFonts w:hint="eastAsia" w:ascii="宋体" w:hAnsi="宋体" w:cs="宋体"/>
          <w:kern w:val="1"/>
          <w:szCs w:val="21"/>
        </w:rPr>
        <w:t>需在中标后向订购］。</w:t>
      </w:r>
    </w:p>
    <w:p>
      <w:pPr>
        <w:spacing w:before="165" w:line="340" w:lineRule="exact"/>
        <w:ind w:firstLine="420"/>
        <w:rPr>
          <w:rFonts w:ascii="宋体" w:hAnsi="宋体" w:cs="宋体"/>
          <w:kern w:val="1"/>
          <w:szCs w:val="21"/>
        </w:rPr>
      </w:pPr>
      <w:r>
        <w:rPr>
          <w:rFonts w:ascii="宋体" w:hAnsi="宋体" w:cs="宋体"/>
          <w:kern w:val="1"/>
          <w:szCs w:val="21"/>
        </w:rPr>
        <w:t>4.</w:t>
      </w:r>
      <w:r>
        <w:rPr>
          <w:rFonts w:hint="eastAsia" w:ascii="宋体" w:hAnsi="宋体" w:cs="宋体"/>
          <w:kern w:val="1"/>
          <w:szCs w:val="21"/>
        </w:rPr>
        <w:t>我方诚意提请贵方关注：近期有关该型号产品的生产、供货、售后服务以及性能等方面的重大决策和事项有：</w:t>
      </w:r>
    </w:p>
    <w:p>
      <w:pPr>
        <w:spacing w:before="165" w:line="340" w:lineRule="exact"/>
        <w:ind w:firstLine="420"/>
        <w:rPr>
          <w:rFonts w:ascii="宋体" w:hAnsi="宋体" w:cs="宋体"/>
          <w:kern w:val="1"/>
          <w:szCs w:val="21"/>
          <w:u w:val="single"/>
        </w:rPr>
      </w:pPr>
      <w:r>
        <w:rPr>
          <w:rFonts w:hint="eastAsia" w:ascii="宋体" w:hAnsi="宋体" w:cs="宋体"/>
          <w:kern w:val="1"/>
          <w:szCs w:val="21"/>
          <w:u w:val="single"/>
        </w:rPr>
        <w:t>　　　　　　　　　　　　　　　　　　　　　　　　　　　</w:t>
      </w:r>
    </w:p>
    <w:p>
      <w:pPr>
        <w:spacing w:before="165" w:line="340" w:lineRule="exact"/>
        <w:ind w:firstLine="420"/>
        <w:rPr>
          <w:rFonts w:ascii="宋体" w:hAnsi="宋体" w:cs="宋体"/>
          <w:kern w:val="1"/>
          <w:szCs w:val="21"/>
        </w:rPr>
      </w:pPr>
      <w:r>
        <w:rPr>
          <w:rFonts w:hint="eastAsia" w:ascii="宋体" w:hAnsi="宋体" w:cs="宋体"/>
          <w:kern w:val="1"/>
          <w:szCs w:val="21"/>
          <w:u w:val="single"/>
        </w:rPr>
        <w:t>　　　　　　　　　　　　　　　　　　　　　　　　　　　</w:t>
      </w:r>
    </w:p>
    <w:p>
      <w:pPr>
        <w:pStyle w:val="15"/>
        <w:spacing w:line="340" w:lineRule="exact"/>
        <w:ind w:firstLine="404"/>
        <w:rPr>
          <w:rFonts w:hAnsi="宋体" w:cs="宋体"/>
          <w:szCs w:val="21"/>
          <w:u w:val="single"/>
        </w:rPr>
      </w:pPr>
      <w:r>
        <w:rPr>
          <w:rFonts w:hAnsi="宋体" w:cs="宋体"/>
          <w:szCs w:val="21"/>
        </w:rPr>
        <w:t xml:space="preserve">5. </w:t>
      </w:r>
      <w:r>
        <w:rPr>
          <w:rFonts w:hint="eastAsia" w:hAnsi="宋体" w:cs="宋体"/>
          <w:szCs w:val="21"/>
        </w:rPr>
        <w:t>上事项如有虚假或隐瞒，我方愿意承担一切后果，并不再寻求任何旨在减轻或免除法律责任的辩解。</w:t>
      </w:r>
    </w:p>
    <w:p>
      <w:pPr>
        <w:spacing w:line="340" w:lineRule="exact"/>
        <w:ind w:firstLine="420"/>
        <w:rPr>
          <w:rFonts w:ascii="宋体" w:hAnsi="宋体" w:cs="宋体"/>
          <w:kern w:val="1"/>
          <w:szCs w:val="21"/>
        </w:rPr>
      </w:pPr>
      <w:r>
        <w:rPr>
          <w:rFonts w:ascii="宋体" w:hAnsi="宋体" w:cs="宋体"/>
          <w:kern w:val="1"/>
          <w:szCs w:val="21"/>
        </w:rPr>
        <w:t xml:space="preserve">6. </w:t>
      </w:r>
      <w:r>
        <w:rPr>
          <w:rFonts w:hint="eastAsia" w:ascii="宋体" w:hAnsi="宋体" w:cs="宋体"/>
          <w:kern w:val="1"/>
          <w:szCs w:val="21"/>
        </w:rPr>
        <w:t>参照《中华人民共和国政府采购法实施条例》第五十条要求对采购合同进行公告，但采购合同中涉及国家秘密、商业秘密的内容除外。我方就对本次投标文件进行注明如下：（两项内容中必须选择一项）</w:t>
      </w:r>
    </w:p>
    <w:p>
      <w:pPr>
        <w:spacing w:line="340" w:lineRule="exact"/>
        <w:ind w:firstLine="420"/>
        <w:rPr>
          <w:rFonts w:ascii="宋体" w:hAnsi="宋体" w:cs="宋体"/>
          <w:kern w:val="1"/>
          <w:szCs w:val="21"/>
        </w:rPr>
      </w:pPr>
      <w:r>
        <w:rPr>
          <w:rFonts w:hint="eastAsia" w:ascii="宋体" w:hAnsi="宋体" w:cs="宋体"/>
          <w:kern w:val="1"/>
          <w:szCs w:val="21"/>
        </w:rPr>
        <w:t>□我方本次投标文件</w:t>
      </w:r>
      <w:r>
        <w:rPr>
          <w:rFonts w:hint="eastAsia" w:ascii="宋体" w:hAnsi="宋体" w:cs="宋体"/>
          <w:szCs w:val="21"/>
        </w:rPr>
        <w:t>内容中</w:t>
      </w:r>
      <w:r>
        <w:rPr>
          <w:rFonts w:hint="eastAsia" w:ascii="宋体" w:hAnsi="宋体" w:cs="宋体"/>
          <w:kern w:val="1"/>
          <w:szCs w:val="21"/>
        </w:rPr>
        <w:t>未</w:t>
      </w:r>
      <w:r>
        <w:rPr>
          <w:rFonts w:hint="eastAsia" w:ascii="宋体" w:hAnsi="宋体" w:cs="宋体"/>
          <w:szCs w:val="21"/>
        </w:rPr>
        <w:t>涉及商业秘密；</w:t>
      </w:r>
    </w:p>
    <w:p>
      <w:pPr>
        <w:spacing w:line="340" w:lineRule="exact"/>
        <w:ind w:firstLine="420"/>
        <w:rPr>
          <w:rFonts w:ascii="宋体" w:hAnsi="宋体" w:cs="宋体"/>
          <w:kern w:val="1"/>
          <w:szCs w:val="21"/>
          <w:u w:val="single"/>
        </w:rPr>
      </w:pPr>
      <w:r>
        <w:rPr>
          <w:rFonts w:hint="eastAsia" w:ascii="宋体" w:hAnsi="宋体" w:cs="宋体"/>
          <w:kern w:val="1"/>
          <w:szCs w:val="21"/>
        </w:rPr>
        <w:t>□我方本次投标文件</w:t>
      </w:r>
      <w:r>
        <w:rPr>
          <w:rFonts w:hint="eastAsia" w:ascii="宋体" w:hAnsi="宋体" w:cs="宋体"/>
          <w:szCs w:val="21"/>
        </w:rPr>
        <w:t>涉及商业秘密的内容有：；</w:t>
      </w:r>
    </w:p>
    <w:p>
      <w:pPr>
        <w:spacing w:line="340" w:lineRule="exact"/>
        <w:ind w:firstLine="420"/>
        <w:rPr>
          <w:rFonts w:ascii="宋体" w:hAnsi="宋体" w:cs="宋体"/>
          <w:kern w:val="1"/>
          <w:szCs w:val="21"/>
        </w:rPr>
      </w:pPr>
      <w:r>
        <w:rPr>
          <w:rFonts w:ascii="宋体" w:hAnsi="宋体" w:cs="宋体"/>
          <w:kern w:val="1"/>
          <w:szCs w:val="21"/>
        </w:rPr>
        <w:t xml:space="preserve">7. </w:t>
      </w:r>
      <w:r>
        <w:rPr>
          <w:rFonts w:hint="eastAsia" w:ascii="宋体" w:hAnsi="宋体" w:cs="宋体"/>
          <w:kern w:val="1"/>
          <w:szCs w:val="21"/>
        </w:rPr>
        <w:t>我方在此声明，我方及由本人担任法定代表人的其他机构在参加本项目的采购活动前三年内，在经营活动中没有重大违法记录，参照《中华人民共和国政府采购法》及《中华人民共和国政府采购实施条例》相关法律规定，符合供应商条件，我方对此声明负全部法律责任。</w:t>
      </w:r>
    </w:p>
    <w:p>
      <w:pPr>
        <w:spacing w:line="340" w:lineRule="exact"/>
        <w:ind w:firstLine="420"/>
        <w:rPr>
          <w:rFonts w:ascii="宋体" w:hAnsi="宋体" w:cs="宋体"/>
          <w:kern w:val="1"/>
          <w:szCs w:val="21"/>
        </w:rPr>
      </w:pPr>
    </w:p>
    <w:p>
      <w:pPr>
        <w:spacing w:line="340" w:lineRule="exact"/>
        <w:ind w:firstLine="420"/>
        <w:rPr>
          <w:rFonts w:ascii="宋体" w:hAnsi="宋体" w:cs="宋体"/>
          <w:kern w:val="1"/>
          <w:szCs w:val="21"/>
        </w:rPr>
      </w:pPr>
    </w:p>
    <w:p>
      <w:pPr>
        <w:pStyle w:val="16"/>
        <w:tabs>
          <w:tab w:val="left" w:pos="939"/>
        </w:tabs>
        <w:spacing w:line="340" w:lineRule="exact"/>
        <w:ind w:left="840" w:hanging="420"/>
        <w:rPr>
          <w:rFonts w:ascii="宋体" w:hAnsi="宋体" w:cs="宋体"/>
          <w:sz w:val="21"/>
          <w:szCs w:val="21"/>
        </w:rPr>
      </w:pPr>
    </w:p>
    <w:p>
      <w:pPr>
        <w:spacing w:before="165" w:line="340" w:lineRule="exact"/>
        <w:ind w:right="480" w:firstLine="4792"/>
        <w:rPr>
          <w:rFonts w:ascii="宋体" w:hAnsi="宋体" w:cs="宋体"/>
          <w:kern w:val="1"/>
          <w:szCs w:val="21"/>
          <w:u w:val="single"/>
        </w:rPr>
      </w:pPr>
      <w:r>
        <w:rPr>
          <w:rFonts w:hint="eastAsia" w:ascii="宋体" w:hAnsi="宋体" w:cs="宋体"/>
          <w:kern w:val="1"/>
          <w:szCs w:val="21"/>
        </w:rPr>
        <w:t>法定代表人签字：</w:t>
      </w:r>
    </w:p>
    <w:p>
      <w:pPr>
        <w:spacing w:before="165" w:after="50" w:line="340" w:lineRule="exact"/>
        <w:ind w:right="480" w:firstLine="4830"/>
        <w:rPr>
          <w:rFonts w:ascii="宋体" w:hAnsi="宋体" w:cs="宋体"/>
          <w:kern w:val="1"/>
          <w:szCs w:val="21"/>
        </w:rPr>
      </w:pPr>
      <w:r>
        <w:rPr>
          <w:rFonts w:hint="eastAsia" w:ascii="宋体" w:hAnsi="宋体" w:cs="宋体"/>
          <w:kern w:val="1"/>
          <w:szCs w:val="21"/>
        </w:rPr>
        <w:t>投标人公章：</w:t>
      </w:r>
    </w:p>
    <w:p>
      <w:pPr>
        <w:pStyle w:val="19"/>
        <w:spacing w:line="500" w:lineRule="exact"/>
        <w:ind w:firstLine="5040" w:firstLineChars="2400"/>
        <w:rPr>
          <w:rFonts w:hAnsi="宋体" w:cs="宋体"/>
          <w:szCs w:val="21"/>
        </w:rPr>
      </w:pPr>
      <w:r>
        <w:rPr>
          <w:rFonts w:hint="eastAsia" w:hAnsi="宋体" w:cs="宋体"/>
          <w:szCs w:val="21"/>
        </w:rPr>
        <w:t>年月日</w:t>
      </w:r>
    </w:p>
    <w:p>
      <w:pPr>
        <w:pStyle w:val="19"/>
        <w:spacing w:line="500" w:lineRule="exact"/>
        <w:rPr>
          <w:rFonts w:hAnsi="宋体" w:cs="宋体"/>
          <w:szCs w:val="21"/>
        </w:rPr>
      </w:pPr>
    </w:p>
    <w:p>
      <w:pPr>
        <w:pStyle w:val="19"/>
        <w:spacing w:line="500" w:lineRule="exact"/>
        <w:rPr>
          <w:rFonts w:hAnsi="宋体" w:cs="宋体"/>
          <w:szCs w:val="21"/>
        </w:rPr>
      </w:pPr>
    </w:p>
    <w:p>
      <w:pPr>
        <w:tabs>
          <w:tab w:val="left" w:pos="7200"/>
        </w:tabs>
        <w:spacing w:line="360" w:lineRule="auto"/>
        <w:ind w:firstLine="839" w:firstLineChars="398"/>
        <w:rPr>
          <w:rFonts w:ascii="宋体" w:hAnsi="宋体"/>
          <w:b/>
        </w:rPr>
      </w:pPr>
    </w:p>
    <w:p>
      <w:pPr>
        <w:snapToGrid w:val="0"/>
        <w:spacing w:before="50" w:after="165" w:afterLines="50"/>
        <w:jc w:val="left"/>
        <w:rPr>
          <w:rFonts w:ascii="宋体" w:hAnsi="宋体"/>
          <w:b/>
          <w:szCs w:val="21"/>
        </w:rPr>
      </w:pPr>
    </w:p>
    <w:p>
      <w:pPr>
        <w:snapToGrid w:val="0"/>
        <w:spacing w:before="50" w:after="165" w:afterLines="50"/>
        <w:jc w:val="left"/>
        <w:rPr>
          <w:rFonts w:ascii="宋体" w:hAnsi="宋体"/>
          <w:b/>
          <w:szCs w:val="21"/>
        </w:rPr>
      </w:pPr>
      <w:r>
        <w:rPr>
          <w:rFonts w:hint="eastAsia" w:ascii="宋体" w:hAnsi="宋体"/>
          <w:b/>
          <w:szCs w:val="21"/>
        </w:rPr>
        <w:t>参加政府采购活动前三年内在经营活动中没有重大违法记录的书面声明（格式）</w:t>
      </w:r>
    </w:p>
    <w:p>
      <w:pPr>
        <w:pStyle w:val="19"/>
        <w:spacing w:line="360" w:lineRule="auto"/>
        <w:rPr>
          <w:rFonts w:hAnsi="宋体"/>
          <w:b/>
        </w:rPr>
      </w:pPr>
    </w:p>
    <w:p>
      <w:pPr>
        <w:ind w:firstLine="360" w:firstLineChars="100"/>
        <w:jc w:val="center"/>
        <w:rPr>
          <w:rStyle w:val="195"/>
          <w:rFonts w:ascii="宋体" w:hAnsi="宋体"/>
          <w:sz w:val="36"/>
          <w:szCs w:val="36"/>
        </w:rPr>
      </w:pPr>
      <w:r>
        <w:rPr>
          <w:rFonts w:hint="eastAsia" w:ascii="宋体" w:hAnsi="宋体"/>
          <w:sz w:val="36"/>
          <w:szCs w:val="36"/>
        </w:rPr>
        <w:t>无重大违法记录声明书</w:t>
      </w:r>
    </w:p>
    <w:p>
      <w:pPr>
        <w:ind w:firstLine="210" w:firstLineChars="100"/>
        <w:rPr>
          <w:rStyle w:val="195"/>
          <w:rFonts w:ascii="宋体" w:hAnsi="宋体"/>
          <w:szCs w:val="21"/>
        </w:rPr>
      </w:pPr>
    </w:p>
    <w:p>
      <w:pPr>
        <w:spacing w:line="640" w:lineRule="exact"/>
        <w:rPr>
          <w:rFonts w:ascii="宋体" w:hAnsi="宋体"/>
          <w:sz w:val="30"/>
          <w:szCs w:val="30"/>
        </w:rPr>
      </w:pPr>
      <w:r>
        <w:rPr>
          <w:rStyle w:val="195"/>
          <w:rFonts w:hint="eastAsia" w:ascii="宋体" w:hAnsi="宋体"/>
          <w:sz w:val="30"/>
          <w:szCs w:val="30"/>
        </w:rPr>
        <w:t>（采购单位名称）：</w:t>
      </w:r>
    </w:p>
    <w:p>
      <w:pPr>
        <w:spacing w:line="640" w:lineRule="exact"/>
        <w:ind w:firstLine="600" w:firstLineChars="200"/>
        <w:rPr>
          <w:rFonts w:ascii="宋体" w:hAnsi="宋体"/>
          <w:sz w:val="30"/>
          <w:szCs w:val="30"/>
        </w:rPr>
      </w:pPr>
      <w:r>
        <w:rPr>
          <w:rStyle w:val="195"/>
          <w:rFonts w:hint="eastAsia" w:ascii="宋体" w:hAnsi="宋体"/>
          <w:sz w:val="30"/>
          <w:szCs w:val="30"/>
        </w:rPr>
        <w:t>我公司参加贵公司组织项目的政府采购活动。我公司在此郑重声明，我公司参加本项目的政府采购活动前三年内在经营活动中没有重大违法记录，符合《中华人民共和国政府采购法》及《中华人民共和国政府采购实施条例》规定的供应商条件，我公司对此声明负全部法律责任。</w:t>
      </w:r>
    </w:p>
    <w:p>
      <w:pPr>
        <w:spacing w:line="640" w:lineRule="exact"/>
        <w:ind w:firstLine="600" w:firstLineChars="200"/>
        <w:rPr>
          <w:rFonts w:ascii="宋体" w:hAnsi="宋体"/>
          <w:sz w:val="30"/>
          <w:szCs w:val="30"/>
        </w:rPr>
      </w:pPr>
      <w:r>
        <w:rPr>
          <w:rStyle w:val="195"/>
          <w:rFonts w:hint="eastAsia" w:ascii="宋体" w:hAnsi="宋体"/>
          <w:sz w:val="30"/>
          <w:szCs w:val="30"/>
        </w:rPr>
        <w:t>特此承诺。</w:t>
      </w:r>
    </w:p>
    <w:p>
      <w:pPr>
        <w:spacing w:line="640" w:lineRule="exact"/>
        <w:ind w:firstLine="600" w:firstLineChars="200"/>
        <w:rPr>
          <w:rFonts w:ascii="宋体" w:hAnsi="宋体"/>
          <w:sz w:val="30"/>
          <w:szCs w:val="30"/>
        </w:rPr>
      </w:pPr>
    </w:p>
    <w:p>
      <w:pPr>
        <w:spacing w:line="640" w:lineRule="exact"/>
        <w:ind w:firstLine="600" w:firstLineChars="200"/>
        <w:rPr>
          <w:rFonts w:ascii="宋体" w:hAnsi="宋体"/>
          <w:sz w:val="30"/>
          <w:szCs w:val="30"/>
        </w:rPr>
      </w:pPr>
    </w:p>
    <w:p>
      <w:pPr>
        <w:spacing w:line="640" w:lineRule="exact"/>
        <w:ind w:firstLine="600" w:firstLineChars="200"/>
        <w:rPr>
          <w:rStyle w:val="195"/>
          <w:rFonts w:ascii="宋体" w:hAnsi="宋体"/>
          <w:sz w:val="30"/>
          <w:szCs w:val="30"/>
        </w:rPr>
      </w:pPr>
      <w:r>
        <w:rPr>
          <w:rStyle w:val="195"/>
          <w:rFonts w:hint="eastAsia" w:ascii="宋体" w:hAnsi="宋体"/>
          <w:sz w:val="30"/>
          <w:szCs w:val="30"/>
        </w:rPr>
        <w:t>供应商公章：</w:t>
      </w:r>
    </w:p>
    <w:p>
      <w:pPr>
        <w:spacing w:line="640" w:lineRule="exact"/>
        <w:ind w:firstLine="600" w:firstLineChars="200"/>
        <w:rPr>
          <w:rStyle w:val="195"/>
          <w:rFonts w:ascii="宋体" w:hAnsi="宋体"/>
          <w:sz w:val="30"/>
          <w:szCs w:val="30"/>
        </w:rPr>
      </w:pPr>
      <w:r>
        <w:rPr>
          <w:rStyle w:val="195"/>
          <w:rFonts w:hint="eastAsia" w:ascii="宋体" w:hAnsi="宋体"/>
          <w:sz w:val="30"/>
          <w:szCs w:val="30"/>
        </w:rPr>
        <w:t>法定代表人或委托代理人签字：</w:t>
      </w:r>
      <w:r>
        <w:rPr>
          <w:rStyle w:val="195"/>
          <w:rFonts w:ascii="宋体" w:hAnsi="宋体"/>
          <w:sz w:val="30"/>
          <w:szCs w:val="30"/>
        </w:rPr>
        <w:t>   </w:t>
      </w:r>
    </w:p>
    <w:p>
      <w:pPr>
        <w:spacing w:line="640" w:lineRule="exact"/>
        <w:ind w:firstLine="600" w:firstLineChars="200"/>
        <w:rPr>
          <w:rFonts w:ascii="宋体" w:hAnsi="宋体"/>
          <w:sz w:val="30"/>
          <w:szCs w:val="30"/>
        </w:rPr>
      </w:pPr>
      <w:r>
        <w:rPr>
          <w:rStyle w:val="195"/>
          <w:rFonts w:hint="eastAsia" w:ascii="宋体" w:hAnsi="宋体"/>
          <w:sz w:val="30"/>
          <w:szCs w:val="30"/>
        </w:rPr>
        <w:t>日期：</w:t>
      </w:r>
      <w:r>
        <w:rPr>
          <w:rStyle w:val="195"/>
          <w:rFonts w:ascii="宋体" w:hAnsi="宋体"/>
          <w:sz w:val="30"/>
          <w:szCs w:val="30"/>
        </w:rPr>
        <w:t>     </w:t>
      </w:r>
      <w:r>
        <w:rPr>
          <w:rStyle w:val="195"/>
          <w:rFonts w:hint="eastAsia" w:ascii="宋体" w:hAnsi="宋体"/>
          <w:sz w:val="30"/>
          <w:szCs w:val="30"/>
        </w:rPr>
        <w:t>年</w:t>
      </w:r>
      <w:r>
        <w:rPr>
          <w:rStyle w:val="195"/>
          <w:rFonts w:ascii="宋体" w:hAnsi="宋体"/>
          <w:sz w:val="30"/>
          <w:szCs w:val="30"/>
        </w:rPr>
        <w:t>     </w:t>
      </w:r>
      <w:r>
        <w:rPr>
          <w:rStyle w:val="195"/>
          <w:rFonts w:hint="eastAsia" w:ascii="宋体" w:hAnsi="宋体"/>
          <w:sz w:val="30"/>
          <w:szCs w:val="30"/>
        </w:rPr>
        <w:t>月</w:t>
      </w:r>
      <w:r>
        <w:rPr>
          <w:rStyle w:val="195"/>
          <w:rFonts w:ascii="宋体" w:hAnsi="宋体"/>
          <w:sz w:val="30"/>
          <w:szCs w:val="30"/>
        </w:rPr>
        <w:t>     </w:t>
      </w:r>
      <w:r>
        <w:rPr>
          <w:rStyle w:val="195"/>
          <w:rFonts w:hint="eastAsia" w:ascii="宋体" w:hAnsi="宋体"/>
          <w:sz w:val="30"/>
          <w:szCs w:val="30"/>
        </w:rPr>
        <w:t>日</w:t>
      </w:r>
    </w:p>
    <w:p>
      <w:pPr>
        <w:rPr>
          <w:rFonts w:ascii="宋体" w:hAnsi="宋体"/>
        </w:rPr>
      </w:pPr>
      <w:r>
        <w:rPr>
          <w:rFonts w:ascii="宋体" w:hAnsi="宋体"/>
        </w:rPr>
        <w:br w:type="page"/>
      </w:r>
      <w:bookmarkStart w:id="72" w:name="_Toc57749788"/>
      <w:bookmarkStart w:id="73" w:name="_Toc213325925"/>
      <w:bookmarkStart w:id="74" w:name="_Toc213206176"/>
    </w:p>
    <w:p>
      <w:pPr>
        <w:pStyle w:val="3"/>
        <w:rPr>
          <w:rFonts w:ascii="宋体" w:hAnsi="宋体"/>
          <w:u w:val="single"/>
        </w:rPr>
      </w:pPr>
      <w:r>
        <w:rPr>
          <w:rFonts w:hint="eastAsia" w:ascii="宋体" w:hAnsi="宋体"/>
        </w:rPr>
        <w:t>第六章合同条款及格式</w:t>
      </w:r>
      <w:bookmarkEnd w:id="72"/>
      <w:bookmarkEnd w:id="73"/>
      <w:bookmarkEnd w:id="74"/>
    </w:p>
    <w:p>
      <w:pPr>
        <w:spacing w:line="360" w:lineRule="auto"/>
        <w:ind w:firstLine="880" w:firstLineChars="200"/>
        <w:rPr>
          <w:rFonts w:ascii="宋体" w:hAnsi="宋体"/>
          <w:sz w:val="44"/>
        </w:rPr>
      </w:pPr>
    </w:p>
    <w:p>
      <w:pPr>
        <w:pStyle w:val="19"/>
        <w:spacing w:line="340" w:lineRule="exact"/>
        <w:rPr>
          <w:rFonts w:hAnsi="宋体"/>
          <w:b/>
        </w:rPr>
      </w:pPr>
      <w:r>
        <w:rPr>
          <w:rFonts w:hint="eastAsia" w:hAnsi="宋体"/>
          <w:b/>
        </w:rPr>
        <w:t>说明：</w:t>
      </w:r>
    </w:p>
    <w:p>
      <w:pPr>
        <w:spacing w:line="360" w:lineRule="auto"/>
        <w:rPr>
          <w:rFonts w:ascii="宋体" w:hAnsi="宋体"/>
          <w:b/>
        </w:rPr>
      </w:pPr>
      <w:r>
        <w:rPr>
          <w:rFonts w:ascii="宋体" w:hAnsi="宋体"/>
          <w:b/>
        </w:rPr>
        <w:t>1</w:t>
      </w:r>
      <w:r>
        <w:rPr>
          <w:rFonts w:hint="eastAsia" w:ascii="宋体" w:hAnsi="宋体"/>
          <w:b/>
        </w:rPr>
        <w:t>、以下合同书仅供签订正式合同时参考用，正式合同书应包括此参考格式之内容。</w:t>
      </w:r>
    </w:p>
    <w:p>
      <w:pPr>
        <w:pStyle w:val="19"/>
        <w:spacing w:line="340" w:lineRule="exact"/>
        <w:rPr>
          <w:rFonts w:hAnsi="宋体"/>
          <w:b/>
        </w:rPr>
      </w:pPr>
      <w:r>
        <w:rPr>
          <w:rFonts w:hAnsi="宋体"/>
          <w:b/>
        </w:rPr>
        <w:t>2</w:t>
      </w:r>
      <w:r>
        <w:rPr>
          <w:rFonts w:hint="eastAsia" w:hAnsi="宋体"/>
          <w:b/>
        </w:rPr>
        <w:t>、合同签订双方可根据项目的具体要求进行修订，但合同条款不得与招标文件和中标供应商投标文件有实质性偏离。</w:t>
      </w:r>
    </w:p>
    <w:p>
      <w:pPr>
        <w:spacing w:line="360" w:lineRule="auto"/>
        <w:ind w:firstLine="880" w:firstLineChars="200"/>
        <w:rPr>
          <w:rFonts w:ascii="宋体" w:hAnsi="宋体"/>
          <w:sz w:val="44"/>
        </w:rPr>
      </w:pPr>
    </w:p>
    <w:p>
      <w:pPr>
        <w:pStyle w:val="25"/>
        <w:rPr>
          <w:rFonts w:ascii="宋体" w:hAnsi="宋体"/>
          <w:sz w:val="44"/>
        </w:rPr>
      </w:pPr>
    </w:p>
    <w:p>
      <w:pPr>
        <w:rPr>
          <w:rFonts w:ascii="宋体" w:hAnsi="宋体"/>
          <w:sz w:val="44"/>
        </w:rPr>
      </w:pPr>
    </w:p>
    <w:p>
      <w:pPr>
        <w:pStyle w:val="25"/>
        <w:rPr>
          <w:rFonts w:ascii="宋体" w:hAnsi="宋体"/>
          <w:sz w:val="44"/>
        </w:rPr>
      </w:pPr>
    </w:p>
    <w:p>
      <w:pPr>
        <w:rPr>
          <w:rFonts w:ascii="宋体" w:hAnsi="宋体"/>
          <w:sz w:val="44"/>
        </w:rPr>
      </w:pPr>
    </w:p>
    <w:p>
      <w:pPr>
        <w:pStyle w:val="25"/>
        <w:rPr>
          <w:rFonts w:ascii="宋体" w:hAnsi="宋体"/>
          <w:sz w:val="44"/>
        </w:rPr>
      </w:pPr>
    </w:p>
    <w:p>
      <w:pPr>
        <w:rPr>
          <w:rFonts w:ascii="宋体" w:hAnsi="宋体"/>
          <w:sz w:val="44"/>
        </w:rPr>
      </w:pPr>
    </w:p>
    <w:p>
      <w:pPr>
        <w:pStyle w:val="25"/>
        <w:rPr>
          <w:rFonts w:ascii="宋体" w:hAnsi="宋体"/>
          <w:sz w:val="44"/>
        </w:rPr>
      </w:pPr>
    </w:p>
    <w:p>
      <w:pPr>
        <w:rPr>
          <w:rFonts w:ascii="宋体" w:hAnsi="宋体"/>
        </w:rPr>
      </w:pPr>
    </w:p>
    <w:p>
      <w:pPr>
        <w:pStyle w:val="19"/>
        <w:spacing w:line="600" w:lineRule="exact"/>
        <w:jc w:val="center"/>
        <w:outlineLvl w:val="0"/>
        <w:rPr>
          <w:rFonts w:hAnsi="宋体"/>
          <w:b/>
          <w:sz w:val="36"/>
          <w:szCs w:val="36"/>
        </w:rPr>
      </w:pPr>
      <w:bookmarkStart w:id="75" w:name="_Toc2236704"/>
      <w:bookmarkStart w:id="76" w:name="_Toc2236875"/>
    </w:p>
    <w:p>
      <w:pPr>
        <w:pStyle w:val="19"/>
        <w:spacing w:line="600" w:lineRule="exact"/>
        <w:jc w:val="center"/>
        <w:outlineLvl w:val="0"/>
        <w:rPr>
          <w:rFonts w:hAnsi="宋体"/>
          <w:b/>
          <w:sz w:val="36"/>
          <w:szCs w:val="36"/>
        </w:rPr>
      </w:pPr>
    </w:p>
    <w:p>
      <w:pPr>
        <w:pStyle w:val="19"/>
        <w:spacing w:line="600" w:lineRule="exact"/>
        <w:jc w:val="center"/>
        <w:outlineLvl w:val="0"/>
        <w:rPr>
          <w:rFonts w:hAnsi="宋体"/>
          <w:b/>
          <w:sz w:val="36"/>
          <w:szCs w:val="36"/>
        </w:rPr>
      </w:pPr>
    </w:p>
    <w:p>
      <w:pPr>
        <w:pStyle w:val="19"/>
        <w:spacing w:line="600" w:lineRule="exact"/>
        <w:jc w:val="center"/>
        <w:outlineLvl w:val="0"/>
        <w:rPr>
          <w:rFonts w:hAnsi="宋体"/>
          <w:b/>
          <w:sz w:val="36"/>
          <w:szCs w:val="36"/>
        </w:rPr>
      </w:pPr>
    </w:p>
    <w:p>
      <w:pPr>
        <w:pStyle w:val="19"/>
        <w:spacing w:line="600" w:lineRule="exact"/>
        <w:jc w:val="center"/>
        <w:outlineLvl w:val="0"/>
        <w:rPr>
          <w:rFonts w:hAnsi="宋体"/>
          <w:b/>
          <w:sz w:val="36"/>
          <w:szCs w:val="36"/>
        </w:rPr>
      </w:pPr>
    </w:p>
    <w:p>
      <w:pPr>
        <w:pStyle w:val="19"/>
        <w:spacing w:line="600" w:lineRule="exact"/>
        <w:jc w:val="center"/>
        <w:outlineLvl w:val="0"/>
        <w:rPr>
          <w:rFonts w:hAnsi="宋体"/>
          <w:b/>
          <w:sz w:val="36"/>
          <w:szCs w:val="36"/>
        </w:rPr>
      </w:pPr>
    </w:p>
    <w:p>
      <w:pPr>
        <w:pStyle w:val="19"/>
        <w:spacing w:line="600" w:lineRule="exact"/>
        <w:jc w:val="center"/>
        <w:outlineLvl w:val="0"/>
        <w:rPr>
          <w:rFonts w:hAnsi="宋体"/>
          <w:b/>
          <w:sz w:val="36"/>
          <w:szCs w:val="36"/>
        </w:rPr>
      </w:pPr>
    </w:p>
    <w:p>
      <w:pPr>
        <w:pStyle w:val="19"/>
        <w:spacing w:line="600" w:lineRule="exact"/>
        <w:jc w:val="center"/>
        <w:outlineLvl w:val="0"/>
        <w:rPr>
          <w:rFonts w:hAnsi="宋体"/>
          <w:b/>
          <w:sz w:val="36"/>
          <w:szCs w:val="36"/>
        </w:rPr>
      </w:pPr>
    </w:p>
    <w:p>
      <w:pPr>
        <w:jc w:val="center"/>
        <w:rPr>
          <w:rFonts w:ascii="宋体" w:hAnsi="宋体"/>
          <w:b/>
          <w:sz w:val="36"/>
          <w:szCs w:val="30"/>
        </w:rPr>
      </w:pPr>
      <w:r>
        <w:rPr>
          <w:rFonts w:hint="eastAsia" w:ascii="宋体" w:hAnsi="宋体"/>
          <w:b/>
          <w:sz w:val="36"/>
          <w:szCs w:val="30"/>
        </w:rPr>
        <w:t>合同条款及格式</w:t>
      </w:r>
    </w:p>
    <w:p>
      <w:pPr>
        <w:spacing w:line="360" w:lineRule="auto"/>
        <w:ind w:firstLine="880" w:firstLineChars="200"/>
        <w:rPr>
          <w:rFonts w:ascii="宋体" w:hAnsi="宋体"/>
          <w:sz w:val="44"/>
        </w:rPr>
      </w:pPr>
    </w:p>
    <w:p>
      <w:pPr>
        <w:spacing w:line="360" w:lineRule="auto"/>
        <w:ind w:firstLine="880" w:firstLineChars="200"/>
        <w:rPr>
          <w:rFonts w:ascii="宋体" w:hAnsi="宋体"/>
          <w:sz w:val="44"/>
        </w:rPr>
      </w:pPr>
    </w:p>
    <w:p>
      <w:pPr>
        <w:spacing w:line="360" w:lineRule="auto"/>
        <w:ind w:firstLine="880" w:firstLineChars="200"/>
        <w:rPr>
          <w:rFonts w:ascii="宋体" w:hAnsi="宋体"/>
          <w:sz w:val="44"/>
        </w:rPr>
      </w:pPr>
    </w:p>
    <w:p>
      <w:pPr>
        <w:spacing w:line="360" w:lineRule="auto"/>
        <w:ind w:firstLine="880" w:firstLineChars="200"/>
        <w:rPr>
          <w:rFonts w:ascii="宋体" w:hAnsi="宋体"/>
          <w:sz w:val="44"/>
        </w:rPr>
      </w:pPr>
    </w:p>
    <w:p>
      <w:pPr>
        <w:spacing w:line="360" w:lineRule="auto"/>
        <w:ind w:firstLine="420" w:firstLineChars="200"/>
        <w:rPr>
          <w:rFonts w:ascii="宋体" w:hAnsi="宋体"/>
        </w:rPr>
      </w:pPr>
    </w:p>
    <w:p>
      <w:pPr>
        <w:spacing w:line="360" w:lineRule="auto"/>
        <w:ind w:firstLine="420" w:firstLineChars="200"/>
        <w:rPr>
          <w:rFonts w:ascii="宋体" w:hAnsi="宋体"/>
        </w:rPr>
      </w:pPr>
    </w:p>
    <w:p>
      <w:pPr>
        <w:spacing w:line="360" w:lineRule="auto"/>
        <w:jc w:val="center"/>
        <w:rPr>
          <w:rFonts w:ascii="宋体" w:hAnsi="宋体"/>
          <w:b/>
          <w:bCs/>
          <w:sz w:val="44"/>
        </w:rPr>
      </w:pPr>
      <w:r>
        <w:rPr>
          <w:rFonts w:hint="eastAsia" w:ascii="宋体" w:hAnsi="宋体"/>
          <w:b/>
          <w:bCs/>
          <w:sz w:val="44"/>
          <w:u w:val="single"/>
        </w:rPr>
        <w:t xml:space="preserve">         （项目名称）         </w:t>
      </w:r>
      <w:r>
        <w:rPr>
          <w:rFonts w:hint="eastAsia" w:ascii="宋体" w:hAnsi="宋体"/>
          <w:b/>
          <w:bCs/>
          <w:sz w:val="44"/>
        </w:rPr>
        <w:t>合同</w:t>
      </w:r>
    </w:p>
    <w:p>
      <w:pPr>
        <w:spacing w:line="360" w:lineRule="auto"/>
        <w:ind w:firstLine="420" w:firstLineChars="200"/>
        <w:rPr>
          <w:rFonts w:ascii="宋体" w:hAnsi="宋体"/>
        </w:rPr>
      </w:pPr>
    </w:p>
    <w:p>
      <w:pPr>
        <w:spacing w:line="360" w:lineRule="auto"/>
        <w:ind w:firstLine="3507" w:firstLineChars="794"/>
        <w:rPr>
          <w:rFonts w:ascii="宋体" w:hAnsi="宋体"/>
          <w:b/>
          <w:bCs/>
          <w:sz w:val="44"/>
        </w:rPr>
      </w:pPr>
    </w:p>
    <w:p>
      <w:pPr>
        <w:spacing w:line="360" w:lineRule="auto"/>
        <w:ind w:firstLine="3507" w:firstLineChars="794"/>
        <w:rPr>
          <w:rFonts w:ascii="宋体" w:hAnsi="宋体"/>
          <w:b/>
          <w:bCs/>
          <w:sz w:val="44"/>
        </w:rPr>
      </w:pPr>
    </w:p>
    <w:p>
      <w:pPr>
        <w:spacing w:line="360" w:lineRule="auto"/>
        <w:jc w:val="center"/>
        <w:rPr>
          <w:rFonts w:ascii="宋体" w:hAnsi="宋体"/>
          <w:b/>
          <w:bCs/>
          <w:sz w:val="44"/>
        </w:rPr>
      </w:pPr>
    </w:p>
    <w:p>
      <w:pPr>
        <w:rPr>
          <w:rFonts w:hint="eastAsia" w:ascii="宋体" w:hAnsi="宋体"/>
          <w:b/>
          <w:sz w:val="36"/>
          <w:szCs w:val="36"/>
        </w:rPr>
      </w:pPr>
      <w:r>
        <w:rPr>
          <w:rFonts w:hint="eastAsia" w:ascii="宋体" w:hAnsi="宋体"/>
          <w:b/>
          <w:sz w:val="36"/>
          <w:szCs w:val="36"/>
        </w:rPr>
        <w:t xml:space="preserve">             </w:t>
      </w:r>
      <w:r>
        <w:rPr>
          <w:rFonts w:hint="eastAsia" w:ascii="宋体" w:hAnsi="宋体"/>
          <w:b/>
          <w:sz w:val="36"/>
          <w:szCs w:val="36"/>
          <w:lang w:val="en-US" w:eastAsia="zh-CN"/>
        </w:rPr>
        <w:t xml:space="preserve"> </w:t>
      </w:r>
      <w:r>
        <w:rPr>
          <w:rFonts w:hint="eastAsia" w:ascii="宋体" w:hAnsi="宋体"/>
          <w:b/>
          <w:sz w:val="36"/>
          <w:szCs w:val="36"/>
          <w:lang w:eastAsia="zh-CN"/>
        </w:rPr>
        <w:t>项目编号：</w:t>
      </w:r>
      <w:r>
        <w:rPr>
          <w:rFonts w:hint="eastAsia" w:ascii="宋体" w:hAnsi="宋体"/>
          <w:b/>
          <w:sz w:val="36"/>
          <w:szCs w:val="36"/>
        </w:rPr>
        <w:t xml:space="preserve">             </w:t>
      </w:r>
    </w:p>
    <w:p>
      <w:pPr>
        <w:ind w:firstLine="2530" w:firstLineChars="700"/>
        <w:rPr>
          <w:rFonts w:hint="eastAsia" w:ascii="宋体" w:hAnsi="宋体" w:eastAsia="宋体"/>
          <w:b/>
          <w:sz w:val="36"/>
          <w:szCs w:val="36"/>
          <w:u w:val="single"/>
          <w:lang w:eastAsia="zh-CN"/>
        </w:rPr>
      </w:pPr>
      <w:r>
        <w:rPr>
          <w:rFonts w:hint="eastAsia" w:ascii="宋体" w:hAnsi="宋体"/>
          <w:b/>
          <w:sz w:val="36"/>
          <w:szCs w:val="36"/>
          <w:lang w:eastAsia="zh-CN"/>
        </w:rPr>
        <w:t>采购计划文号：</w:t>
      </w:r>
    </w:p>
    <w:p>
      <w:pPr>
        <w:spacing w:line="360" w:lineRule="auto"/>
        <w:ind w:firstLine="880" w:firstLineChars="200"/>
        <w:rPr>
          <w:rFonts w:ascii="宋体" w:hAnsi="宋体"/>
          <w:sz w:val="44"/>
        </w:rPr>
      </w:pPr>
    </w:p>
    <w:p>
      <w:pPr>
        <w:spacing w:line="360" w:lineRule="auto"/>
        <w:ind w:firstLine="880" w:firstLineChars="200"/>
        <w:rPr>
          <w:rFonts w:ascii="宋体" w:hAnsi="宋体"/>
          <w:sz w:val="44"/>
        </w:rPr>
      </w:pPr>
    </w:p>
    <w:p>
      <w:pPr>
        <w:spacing w:line="360" w:lineRule="auto"/>
        <w:ind w:firstLine="880" w:firstLineChars="200"/>
        <w:rPr>
          <w:rFonts w:ascii="宋体" w:hAnsi="宋体"/>
          <w:sz w:val="44"/>
        </w:rPr>
      </w:pPr>
    </w:p>
    <w:p>
      <w:pPr>
        <w:tabs>
          <w:tab w:val="left" w:pos="7200"/>
        </w:tabs>
        <w:spacing w:line="360" w:lineRule="auto"/>
        <w:ind w:firstLine="1438" w:firstLineChars="398"/>
        <w:rPr>
          <w:rFonts w:ascii="宋体" w:hAnsi="宋体"/>
          <w:b/>
          <w:sz w:val="36"/>
          <w:szCs w:val="36"/>
          <w:u w:val="single"/>
        </w:rPr>
      </w:pPr>
      <w:r>
        <w:rPr>
          <w:rFonts w:hint="eastAsia" w:ascii="宋体" w:hAnsi="宋体"/>
          <w:b/>
          <w:sz w:val="36"/>
          <w:szCs w:val="36"/>
        </w:rPr>
        <w:t xml:space="preserve">     采购人：</w:t>
      </w:r>
    </w:p>
    <w:p>
      <w:pPr>
        <w:tabs>
          <w:tab w:val="left" w:pos="7380"/>
        </w:tabs>
        <w:spacing w:line="360" w:lineRule="auto"/>
        <w:ind w:firstLine="1438" w:firstLineChars="398"/>
        <w:rPr>
          <w:rFonts w:ascii="宋体" w:hAnsi="宋体"/>
          <w:b/>
          <w:bCs/>
          <w:sz w:val="44"/>
        </w:rPr>
      </w:pPr>
      <w:r>
        <w:rPr>
          <w:rFonts w:hint="eastAsia" w:ascii="宋体" w:hAnsi="宋体"/>
          <w:b/>
          <w:sz w:val="36"/>
          <w:szCs w:val="36"/>
        </w:rPr>
        <w:t xml:space="preserve">     中标供应商：</w:t>
      </w:r>
    </w:p>
    <w:p>
      <w:pPr>
        <w:spacing w:line="360" w:lineRule="auto"/>
        <w:ind w:firstLine="420" w:firstLineChars="200"/>
        <w:rPr>
          <w:rFonts w:ascii="宋体" w:hAnsi="宋体"/>
        </w:rPr>
      </w:pPr>
    </w:p>
    <w:p>
      <w:pPr>
        <w:spacing w:line="360" w:lineRule="auto"/>
        <w:ind w:firstLine="420" w:firstLineChars="200"/>
        <w:rPr>
          <w:rFonts w:ascii="宋体" w:hAnsi="宋体"/>
        </w:rPr>
      </w:pPr>
    </w:p>
    <w:p>
      <w:pPr>
        <w:spacing w:line="360" w:lineRule="auto"/>
        <w:ind w:firstLine="420" w:firstLineChars="200"/>
        <w:rPr>
          <w:rFonts w:ascii="宋体" w:hAnsi="宋体"/>
        </w:rPr>
      </w:pPr>
    </w:p>
    <w:p>
      <w:pPr>
        <w:spacing w:line="360" w:lineRule="auto"/>
        <w:ind w:left="359" w:leftChars="171" w:firstLine="198" w:firstLineChars="71"/>
        <w:rPr>
          <w:rFonts w:ascii="宋体" w:hAnsi="宋体"/>
          <w:sz w:val="28"/>
        </w:rPr>
      </w:pPr>
    </w:p>
    <w:p>
      <w:pPr>
        <w:jc w:val="center"/>
        <w:rPr>
          <w:rFonts w:ascii="宋体" w:hAnsi="宋体"/>
          <w:b/>
          <w:sz w:val="36"/>
          <w:szCs w:val="36"/>
        </w:rPr>
      </w:pPr>
      <w:r>
        <w:rPr>
          <w:rFonts w:hint="eastAsia" w:ascii="宋体" w:hAnsi="宋体"/>
          <w:b/>
          <w:sz w:val="36"/>
          <w:szCs w:val="36"/>
        </w:rPr>
        <w:t>目录</w:t>
      </w:r>
    </w:p>
    <w:p>
      <w:pPr>
        <w:tabs>
          <w:tab w:val="left" w:pos="1170"/>
        </w:tabs>
        <w:spacing w:line="360" w:lineRule="auto"/>
        <w:ind w:left="359" w:leftChars="171" w:firstLine="198" w:firstLineChars="71"/>
        <w:rPr>
          <w:rFonts w:ascii="宋体" w:hAnsi="宋体"/>
          <w:sz w:val="28"/>
        </w:rPr>
      </w:pPr>
      <w:r>
        <w:rPr>
          <w:rFonts w:hint="eastAsia" w:ascii="宋体" w:hAnsi="宋体"/>
          <w:sz w:val="28"/>
        </w:rPr>
        <w:tab/>
      </w:r>
    </w:p>
    <w:p>
      <w:pPr>
        <w:rPr>
          <w:rFonts w:ascii="宋体" w:hAnsi="宋体"/>
          <w:b/>
          <w:sz w:val="30"/>
          <w:szCs w:val="30"/>
        </w:rPr>
      </w:pPr>
      <w:r>
        <w:rPr>
          <w:rFonts w:hint="eastAsia" w:ascii="宋体" w:hAnsi="宋体"/>
          <w:b/>
          <w:sz w:val="30"/>
          <w:szCs w:val="30"/>
        </w:rPr>
        <w:t>一、政府采购合同书</w:t>
      </w:r>
    </w:p>
    <w:p>
      <w:pPr>
        <w:rPr>
          <w:rFonts w:ascii="宋体" w:hAnsi="宋体"/>
          <w:b/>
          <w:sz w:val="30"/>
          <w:szCs w:val="30"/>
        </w:rPr>
      </w:pPr>
      <w:r>
        <w:rPr>
          <w:rFonts w:hint="eastAsia" w:ascii="宋体" w:hAnsi="宋体"/>
          <w:b/>
          <w:sz w:val="30"/>
          <w:szCs w:val="30"/>
        </w:rPr>
        <w:t>二、合同附件</w:t>
      </w:r>
    </w:p>
    <w:p>
      <w:pPr>
        <w:numPr>
          <w:ilvl w:val="0"/>
          <w:numId w:val="17"/>
        </w:numPr>
        <w:tabs>
          <w:tab w:val="left" w:pos="1140"/>
        </w:tabs>
        <w:rPr>
          <w:rFonts w:ascii="宋体" w:hAnsi="宋体"/>
          <w:sz w:val="28"/>
        </w:rPr>
      </w:pPr>
      <w:r>
        <w:rPr>
          <w:rFonts w:hint="eastAsia" w:ascii="宋体" w:hAnsi="宋体"/>
          <w:sz w:val="28"/>
        </w:rPr>
        <w:t>中标通知书</w:t>
      </w:r>
    </w:p>
    <w:p>
      <w:pPr>
        <w:numPr>
          <w:ilvl w:val="0"/>
          <w:numId w:val="17"/>
        </w:numPr>
        <w:tabs>
          <w:tab w:val="left" w:pos="1140"/>
        </w:tabs>
        <w:rPr>
          <w:rFonts w:ascii="宋体" w:hAnsi="宋体"/>
          <w:sz w:val="28"/>
        </w:rPr>
      </w:pPr>
      <w:r>
        <w:rPr>
          <w:rFonts w:hint="eastAsia" w:ascii="宋体" w:hAnsi="宋体"/>
          <w:sz w:val="28"/>
        </w:rPr>
        <w:t>招标文件采购需求一览表</w:t>
      </w:r>
    </w:p>
    <w:p>
      <w:pPr>
        <w:numPr>
          <w:ilvl w:val="0"/>
          <w:numId w:val="17"/>
        </w:numPr>
        <w:tabs>
          <w:tab w:val="left" w:pos="1140"/>
        </w:tabs>
        <w:rPr>
          <w:rFonts w:ascii="宋体" w:hAnsi="宋体"/>
          <w:sz w:val="28"/>
        </w:rPr>
      </w:pPr>
      <w:r>
        <w:rPr>
          <w:rFonts w:hint="eastAsia" w:ascii="宋体" w:hAnsi="宋体"/>
          <w:sz w:val="28"/>
        </w:rPr>
        <w:t>招标文件的更改通知（如有）</w:t>
      </w:r>
    </w:p>
    <w:p>
      <w:pPr>
        <w:numPr>
          <w:ilvl w:val="0"/>
          <w:numId w:val="17"/>
        </w:numPr>
        <w:tabs>
          <w:tab w:val="left" w:pos="1140"/>
        </w:tabs>
        <w:rPr>
          <w:rFonts w:ascii="宋体" w:hAnsi="宋体"/>
          <w:sz w:val="28"/>
        </w:rPr>
      </w:pPr>
      <w:r>
        <w:rPr>
          <w:rFonts w:hint="eastAsia" w:ascii="宋体" w:hAnsi="宋体"/>
          <w:sz w:val="28"/>
        </w:rPr>
        <w:t>投标函</w:t>
      </w:r>
    </w:p>
    <w:p>
      <w:pPr>
        <w:numPr>
          <w:ilvl w:val="0"/>
          <w:numId w:val="17"/>
        </w:numPr>
        <w:tabs>
          <w:tab w:val="left" w:pos="1140"/>
        </w:tabs>
        <w:rPr>
          <w:rFonts w:ascii="宋体" w:hAnsi="宋体"/>
          <w:sz w:val="28"/>
        </w:rPr>
      </w:pPr>
      <w:r>
        <w:rPr>
          <w:rFonts w:hint="eastAsia" w:ascii="宋体" w:hAnsi="宋体"/>
          <w:sz w:val="28"/>
        </w:rPr>
        <w:t>投标报价表</w:t>
      </w:r>
    </w:p>
    <w:p>
      <w:pPr>
        <w:numPr>
          <w:ilvl w:val="0"/>
          <w:numId w:val="17"/>
        </w:numPr>
        <w:tabs>
          <w:tab w:val="left" w:pos="1140"/>
        </w:tabs>
        <w:rPr>
          <w:rFonts w:ascii="宋体" w:hAnsi="宋体"/>
          <w:sz w:val="28"/>
        </w:rPr>
      </w:pPr>
      <w:r>
        <w:rPr>
          <w:rFonts w:hint="eastAsia" w:ascii="宋体" w:hAnsi="宋体"/>
          <w:sz w:val="28"/>
        </w:rPr>
        <w:t>投标产品技术资料表、商务条款偏离表</w:t>
      </w:r>
    </w:p>
    <w:p>
      <w:pPr>
        <w:numPr>
          <w:ilvl w:val="0"/>
          <w:numId w:val="17"/>
        </w:numPr>
        <w:tabs>
          <w:tab w:val="left" w:pos="1140"/>
        </w:tabs>
        <w:rPr>
          <w:rFonts w:ascii="宋体" w:hAnsi="宋体"/>
          <w:sz w:val="28"/>
        </w:rPr>
      </w:pPr>
      <w:r>
        <w:rPr>
          <w:rFonts w:hint="eastAsia" w:ascii="宋体" w:hAnsi="宋体"/>
          <w:sz w:val="28"/>
        </w:rPr>
        <w:t>中标供应商澄清函</w:t>
      </w:r>
    </w:p>
    <w:p>
      <w:pPr>
        <w:rPr>
          <w:rFonts w:ascii="宋体" w:hAnsi="宋体"/>
          <w:b/>
          <w:sz w:val="30"/>
          <w:szCs w:val="30"/>
        </w:rPr>
      </w:pPr>
    </w:p>
    <w:p>
      <w:pPr>
        <w:spacing w:line="360" w:lineRule="auto"/>
        <w:jc w:val="center"/>
        <w:rPr>
          <w:rFonts w:ascii="宋体" w:hAnsi="宋体"/>
          <w:b/>
          <w:bCs/>
          <w:sz w:val="28"/>
        </w:rPr>
      </w:pPr>
    </w:p>
    <w:p>
      <w:pPr>
        <w:spacing w:line="360" w:lineRule="auto"/>
        <w:jc w:val="center"/>
        <w:rPr>
          <w:rFonts w:ascii="宋体" w:hAnsi="宋体"/>
          <w:b/>
          <w:bCs/>
          <w:sz w:val="30"/>
          <w:szCs w:val="30"/>
        </w:rPr>
      </w:pPr>
      <w:r>
        <w:rPr>
          <w:rFonts w:hint="eastAsia" w:ascii="宋体" w:hAnsi="宋体"/>
          <w:bCs/>
          <w:sz w:val="28"/>
        </w:rPr>
        <w:br w:type="page"/>
      </w:r>
      <w:r>
        <w:rPr>
          <w:rFonts w:hint="eastAsia" w:ascii="宋体" w:hAnsi="宋体"/>
          <w:b/>
          <w:sz w:val="30"/>
          <w:szCs w:val="30"/>
        </w:rPr>
        <w:t>政府采购合同书</w:t>
      </w:r>
    </w:p>
    <w:p>
      <w:pPr>
        <w:pStyle w:val="19"/>
        <w:spacing w:line="360" w:lineRule="auto"/>
        <w:ind w:firstLine="4200" w:firstLineChars="2000"/>
        <w:rPr>
          <w:rFonts w:hint="eastAsia" w:hAnsi="宋体" w:eastAsia="宋体"/>
          <w:lang w:eastAsia="zh-CN"/>
        </w:rPr>
      </w:pPr>
      <w:r>
        <w:rPr>
          <w:rFonts w:hint="eastAsia" w:hAnsi="宋体"/>
        </w:rPr>
        <w:t>合同编号：</w:t>
      </w:r>
      <w:r>
        <w:rPr>
          <w:rFonts w:hint="eastAsia" w:hAnsi="宋体"/>
          <w:lang w:eastAsia="zh-CN"/>
        </w:rPr>
        <w:t>采购计划文号：</w:t>
      </w:r>
    </w:p>
    <w:p>
      <w:pPr>
        <w:pStyle w:val="19"/>
        <w:spacing w:line="360" w:lineRule="auto"/>
        <w:rPr>
          <w:rFonts w:hAnsi="宋体"/>
        </w:rPr>
      </w:pPr>
      <w:r>
        <w:rPr>
          <w:rFonts w:hint="eastAsia" w:hAnsi="宋体"/>
        </w:rPr>
        <w:t>项目名称：</w:t>
      </w:r>
    </w:p>
    <w:p>
      <w:pPr>
        <w:pStyle w:val="19"/>
        <w:spacing w:line="360" w:lineRule="auto"/>
        <w:rPr>
          <w:rFonts w:hint="eastAsia" w:hAnsi="宋体" w:eastAsia="宋体"/>
          <w:lang w:eastAsia="zh-CN"/>
        </w:rPr>
      </w:pPr>
      <w:r>
        <w:rPr>
          <w:rFonts w:hint="eastAsia" w:hAnsi="宋体"/>
          <w:lang w:eastAsia="zh-CN"/>
        </w:rPr>
        <w:t>项目编号：</w:t>
      </w:r>
    </w:p>
    <w:p>
      <w:pPr>
        <w:pStyle w:val="19"/>
        <w:spacing w:line="360" w:lineRule="auto"/>
        <w:rPr>
          <w:rFonts w:hAnsi="宋体"/>
        </w:rPr>
      </w:pPr>
      <w:r>
        <w:rPr>
          <w:rFonts w:hint="eastAsia" w:hAnsi="宋体"/>
        </w:rPr>
        <w:t>分标号（有分标时填写）：</w:t>
      </w:r>
    </w:p>
    <w:p>
      <w:pPr>
        <w:pStyle w:val="19"/>
        <w:spacing w:line="360" w:lineRule="auto"/>
        <w:rPr>
          <w:rFonts w:hAnsi="宋体"/>
        </w:rPr>
      </w:pPr>
    </w:p>
    <w:p>
      <w:pPr>
        <w:pStyle w:val="19"/>
        <w:spacing w:line="360" w:lineRule="auto"/>
        <w:rPr>
          <w:rFonts w:hAnsi="宋体"/>
        </w:rPr>
      </w:pPr>
      <w:r>
        <w:rPr>
          <w:rFonts w:hint="eastAsia" w:hAnsi="宋体"/>
        </w:rPr>
        <w:t>甲方（买方）：</w:t>
      </w:r>
    </w:p>
    <w:p>
      <w:pPr>
        <w:pStyle w:val="19"/>
        <w:spacing w:line="360" w:lineRule="auto"/>
        <w:rPr>
          <w:rFonts w:hAnsi="宋体"/>
        </w:rPr>
      </w:pPr>
      <w:r>
        <w:rPr>
          <w:rFonts w:hint="eastAsia" w:hAnsi="宋体"/>
        </w:rPr>
        <w:t>乙方（卖方）：</w:t>
      </w:r>
    </w:p>
    <w:p>
      <w:pPr>
        <w:pStyle w:val="19"/>
        <w:spacing w:line="360" w:lineRule="auto"/>
        <w:rPr>
          <w:rFonts w:hAnsi="宋体"/>
          <w:b/>
        </w:rPr>
      </w:pPr>
    </w:p>
    <w:p>
      <w:pPr>
        <w:pStyle w:val="19"/>
        <w:spacing w:line="360" w:lineRule="auto"/>
        <w:rPr>
          <w:rFonts w:hAnsi="宋体"/>
          <w:b/>
        </w:rPr>
      </w:pPr>
      <w:r>
        <w:rPr>
          <w:rFonts w:hint="eastAsia" w:hAnsi="宋体"/>
        </w:rPr>
        <w:t xml:space="preserve">    根据年月日政府采购项目的采购结果，甲方接受乙方对本项目的投标，甲、乙双方同意签署本合同（以下简称合同）。</w:t>
      </w:r>
    </w:p>
    <w:p>
      <w:pPr>
        <w:pStyle w:val="19"/>
        <w:spacing w:line="360" w:lineRule="auto"/>
        <w:rPr>
          <w:rFonts w:hAnsi="宋体"/>
          <w:b/>
        </w:rPr>
      </w:pPr>
    </w:p>
    <w:p>
      <w:pPr>
        <w:pStyle w:val="19"/>
        <w:spacing w:line="360" w:lineRule="auto"/>
        <w:rPr>
          <w:rFonts w:hAnsi="宋体"/>
          <w:b/>
          <w:bCs/>
          <w:sz w:val="24"/>
        </w:rPr>
      </w:pPr>
      <w:r>
        <w:rPr>
          <w:rFonts w:hint="eastAsia" w:hAnsi="宋体"/>
          <w:b/>
          <w:bCs/>
          <w:sz w:val="24"/>
        </w:rPr>
        <w:t>1.  采购内容</w:t>
      </w:r>
    </w:p>
    <w:p>
      <w:pPr>
        <w:pStyle w:val="19"/>
        <w:tabs>
          <w:tab w:val="left" w:pos="5220"/>
        </w:tabs>
        <w:spacing w:line="360" w:lineRule="auto"/>
        <w:ind w:firstLine="360"/>
        <w:rPr>
          <w:rFonts w:hAnsi="宋体"/>
        </w:rPr>
      </w:pPr>
      <w:r>
        <w:rPr>
          <w:rFonts w:hint="eastAsia" w:hAnsi="宋体"/>
        </w:rPr>
        <w:t>1.1 货物名称：</w:t>
      </w:r>
      <w:r>
        <w:rPr>
          <w:rFonts w:hint="eastAsia" w:hAnsi="宋体"/>
          <w:u w:val="single"/>
        </w:rPr>
        <w:t>详见合同附件中投标报价表</w:t>
      </w:r>
    </w:p>
    <w:p>
      <w:pPr>
        <w:pStyle w:val="85"/>
        <w:spacing w:line="360" w:lineRule="auto"/>
        <w:ind w:firstLine="315" w:firstLineChars="150"/>
        <w:rPr>
          <w:rFonts w:ascii="宋体" w:hAnsi="宋体"/>
        </w:rPr>
      </w:pPr>
      <w:r>
        <w:rPr>
          <w:rFonts w:ascii="宋体" w:hAnsi="宋体"/>
        </w:rPr>
        <w:t xml:space="preserve">1.2 </w:t>
      </w:r>
      <w:r>
        <w:rPr>
          <w:rFonts w:hint="eastAsia" w:ascii="宋体" w:hAnsi="宋体"/>
        </w:rPr>
        <w:t>数量（单位）：</w:t>
      </w:r>
      <w:r>
        <w:rPr>
          <w:rFonts w:hint="eastAsia" w:ascii="宋体" w:hAnsi="宋体" w:cs="宋体"/>
          <w:u w:val="single"/>
        </w:rPr>
        <w:t>详见合同附件中投标报价表</w:t>
      </w:r>
    </w:p>
    <w:p>
      <w:pPr>
        <w:pStyle w:val="85"/>
        <w:spacing w:line="360" w:lineRule="auto"/>
        <w:ind w:firstLine="315" w:firstLineChars="150"/>
        <w:rPr>
          <w:rFonts w:ascii="宋体" w:hAnsi="宋体"/>
        </w:rPr>
      </w:pPr>
      <w:r>
        <w:rPr>
          <w:rFonts w:ascii="宋体" w:hAnsi="宋体"/>
        </w:rPr>
        <w:t xml:space="preserve">1.3 </w:t>
      </w:r>
      <w:r>
        <w:rPr>
          <w:rFonts w:hint="eastAsia" w:ascii="宋体" w:hAnsi="宋体"/>
        </w:rPr>
        <w:t>品牌、厂家、型号、规格、配置：</w:t>
      </w:r>
      <w:r>
        <w:rPr>
          <w:rFonts w:hint="eastAsia" w:ascii="宋体" w:hAnsi="宋体"/>
          <w:u w:val="single"/>
        </w:rPr>
        <w:t>详见合同附件中投标产品技术资料表（投标产品技术资料表与澄清函不一致的以澄清函为准）</w:t>
      </w:r>
    </w:p>
    <w:p>
      <w:pPr>
        <w:pStyle w:val="85"/>
        <w:spacing w:line="360" w:lineRule="auto"/>
        <w:rPr>
          <w:rFonts w:ascii="宋体" w:hAnsi="宋体"/>
        </w:rPr>
      </w:pPr>
      <w:r>
        <w:rPr>
          <w:rFonts w:ascii="宋体" w:hAnsi="宋体"/>
        </w:rPr>
        <w:t xml:space="preserve">   1.4 </w:t>
      </w:r>
      <w:r>
        <w:rPr>
          <w:rFonts w:hint="eastAsia" w:ascii="宋体" w:hAnsi="宋体"/>
        </w:rPr>
        <w:t>技术参数：</w:t>
      </w:r>
      <w:r>
        <w:rPr>
          <w:rFonts w:hint="eastAsia" w:ascii="宋体" w:hAnsi="宋体"/>
          <w:u w:val="single"/>
        </w:rPr>
        <w:t>详见合同附件中投标产品技术资料表</w:t>
      </w:r>
    </w:p>
    <w:p>
      <w:pPr>
        <w:pStyle w:val="19"/>
        <w:spacing w:line="360" w:lineRule="auto"/>
        <w:ind w:firstLine="360"/>
        <w:rPr>
          <w:rFonts w:hAnsi="宋体"/>
          <w:b/>
          <w:bCs/>
          <w:sz w:val="24"/>
        </w:rPr>
      </w:pPr>
      <w:r>
        <w:rPr>
          <w:rFonts w:hint="eastAsia" w:hAnsi="宋体"/>
          <w:b/>
          <w:bCs/>
          <w:sz w:val="24"/>
        </w:rPr>
        <w:t>2.  合同金额</w:t>
      </w:r>
    </w:p>
    <w:p>
      <w:pPr>
        <w:pStyle w:val="19"/>
        <w:spacing w:line="360" w:lineRule="auto"/>
        <w:ind w:left="2" w:firstLine="359" w:firstLineChars="171"/>
        <w:rPr>
          <w:rFonts w:hAnsi="宋体"/>
        </w:rPr>
      </w:pPr>
      <w:r>
        <w:rPr>
          <w:rFonts w:hint="eastAsia" w:hAnsi="宋体"/>
        </w:rPr>
        <w:t>2.1 本合同金额为（大写）人民币</w:t>
      </w:r>
      <w:r>
        <w:rPr>
          <w:rFonts w:hint="eastAsia" w:hAnsi="宋体"/>
          <w:u w:val="single"/>
        </w:rPr>
        <w:t>　　　　　　</w:t>
      </w:r>
      <w:r>
        <w:rPr>
          <w:rFonts w:hint="eastAsia" w:hAnsi="宋体"/>
        </w:rPr>
        <w:t>（￥</w:t>
      </w:r>
      <w:r>
        <w:rPr>
          <w:rFonts w:hint="eastAsia" w:hAnsi="宋体"/>
          <w:u w:val="single"/>
        </w:rPr>
        <w:t>　　　　　　</w:t>
      </w:r>
      <w:r>
        <w:rPr>
          <w:rFonts w:hint="eastAsia" w:hAnsi="宋体"/>
        </w:rPr>
        <w:t>）。（详见合同附件中投标报价表）</w:t>
      </w:r>
    </w:p>
    <w:p>
      <w:pPr>
        <w:pStyle w:val="19"/>
        <w:tabs>
          <w:tab w:val="left" w:pos="5940"/>
        </w:tabs>
        <w:spacing w:line="360" w:lineRule="auto"/>
        <w:rPr>
          <w:rFonts w:hAnsi="宋体"/>
          <w:b/>
          <w:bCs/>
          <w:sz w:val="24"/>
        </w:rPr>
      </w:pPr>
      <w:r>
        <w:rPr>
          <w:rFonts w:hint="eastAsia" w:hAnsi="宋体"/>
          <w:b/>
          <w:bCs/>
          <w:sz w:val="24"/>
        </w:rPr>
        <w:t>3.  交货要求</w:t>
      </w:r>
    </w:p>
    <w:p>
      <w:pPr>
        <w:pStyle w:val="19"/>
        <w:tabs>
          <w:tab w:val="left" w:pos="5220"/>
        </w:tabs>
        <w:spacing w:line="360" w:lineRule="auto"/>
        <w:ind w:firstLine="360"/>
        <w:rPr>
          <w:rFonts w:hAnsi="宋体"/>
          <w:bCs/>
          <w:u w:val="single"/>
        </w:rPr>
      </w:pPr>
      <w:r>
        <w:rPr>
          <w:rFonts w:hint="eastAsia" w:hAnsi="宋体"/>
          <w:bCs/>
        </w:rPr>
        <w:t>3.1 交货期：</w:t>
      </w:r>
    </w:p>
    <w:p>
      <w:pPr>
        <w:pStyle w:val="19"/>
        <w:spacing w:line="360" w:lineRule="auto"/>
        <w:ind w:firstLine="360"/>
        <w:rPr>
          <w:rFonts w:hAnsi="宋体"/>
          <w:bCs/>
        </w:rPr>
      </w:pPr>
      <w:r>
        <w:rPr>
          <w:rFonts w:hint="eastAsia" w:hAnsi="宋体"/>
          <w:bCs/>
        </w:rPr>
        <w:t>3.2 交货地点：</w:t>
      </w:r>
    </w:p>
    <w:p>
      <w:pPr>
        <w:pStyle w:val="19"/>
        <w:tabs>
          <w:tab w:val="left" w:pos="5220"/>
          <w:tab w:val="left" w:pos="6120"/>
        </w:tabs>
        <w:spacing w:line="360" w:lineRule="auto"/>
        <w:ind w:firstLine="360"/>
        <w:rPr>
          <w:rFonts w:hAnsi="宋体"/>
          <w:bCs/>
        </w:rPr>
      </w:pPr>
      <w:r>
        <w:rPr>
          <w:rFonts w:hint="eastAsia" w:hAnsi="宋体"/>
          <w:bCs/>
        </w:rPr>
        <w:t>3.3 交货方式：</w:t>
      </w:r>
    </w:p>
    <w:p>
      <w:pPr>
        <w:pStyle w:val="19"/>
        <w:spacing w:line="360" w:lineRule="auto"/>
        <w:ind w:firstLine="360"/>
        <w:rPr>
          <w:rFonts w:hAnsi="宋体"/>
          <w:b/>
        </w:rPr>
      </w:pPr>
      <w:r>
        <w:rPr>
          <w:rFonts w:hint="eastAsia" w:hAnsi="宋体"/>
          <w:bCs/>
        </w:rPr>
        <w:t xml:space="preserve">3.4 </w:t>
      </w:r>
      <w:r>
        <w:rPr>
          <w:rFonts w:hint="eastAsia" w:hAnsi="宋体"/>
        </w:rPr>
        <w:t>乙方必须按投标文件承诺的技术参数、性能要求、质量标准等向甲方提供全新、完整、未经使用的货物。</w:t>
      </w:r>
    </w:p>
    <w:p>
      <w:pPr>
        <w:pStyle w:val="19"/>
        <w:spacing w:line="360" w:lineRule="auto"/>
        <w:ind w:left="410" w:hanging="410" w:hangingChars="170"/>
        <w:rPr>
          <w:rFonts w:hAnsi="宋体"/>
          <w:b/>
        </w:rPr>
      </w:pPr>
      <w:r>
        <w:rPr>
          <w:rFonts w:hint="eastAsia" w:hAnsi="宋体"/>
          <w:b/>
          <w:bCs/>
          <w:sz w:val="24"/>
        </w:rPr>
        <w:t>4.  履约保证金</w:t>
      </w:r>
    </w:p>
    <w:p>
      <w:pPr>
        <w:pStyle w:val="19"/>
        <w:spacing w:line="360" w:lineRule="auto"/>
        <w:ind w:firstLine="360"/>
        <w:rPr>
          <w:rFonts w:hAnsi="宋体"/>
        </w:rPr>
      </w:pPr>
      <w:r>
        <w:rPr>
          <w:rFonts w:hint="eastAsia" w:hAnsi="宋体"/>
        </w:rPr>
        <w:t>本项目无须交纳履约保证金。</w:t>
      </w:r>
    </w:p>
    <w:p>
      <w:pPr>
        <w:pStyle w:val="19"/>
        <w:spacing w:line="360" w:lineRule="auto"/>
        <w:rPr>
          <w:rFonts w:hAnsi="宋体"/>
          <w:b/>
          <w:bCs/>
          <w:sz w:val="24"/>
        </w:rPr>
      </w:pPr>
      <w:r>
        <w:rPr>
          <w:rFonts w:hint="eastAsia" w:hAnsi="宋体"/>
          <w:b/>
          <w:bCs/>
          <w:sz w:val="24"/>
        </w:rPr>
        <w:t>5.  质量保证及售后服务</w:t>
      </w:r>
    </w:p>
    <w:p>
      <w:pPr>
        <w:pStyle w:val="19"/>
        <w:spacing w:line="360" w:lineRule="auto"/>
        <w:ind w:left="2" w:firstLine="359" w:firstLineChars="171"/>
        <w:rPr>
          <w:rFonts w:hAnsi="宋体"/>
        </w:rPr>
      </w:pPr>
      <w:r>
        <w:rPr>
          <w:rFonts w:hint="eastAsia" w:hAnsi="宋体"/>
        </w:rPr>
        <w:t>5.1 质量保证期年（自交货验收合格之日起计）。</w:t>
      </w:r>
    </w:p>
    <w:p>
      <w:pPr>
        <w:pStyle w:val="19"/>
        <w:spacing w:line="360" w:lineRule="auto"/>
        <w:ind w:firstLine="359" w:firstLineChars="171"/>
        <w:rPr>
          <w:rFonts w:hAnsi="宋体"/>
        </w:rPr>
      </w:pPr>
      <w:r>
        <w:rPr>
          <w:rFonts w:hint="eastAsia" w:hAnsi="宋体"/>
        </w:rPr>
        <w:t>5.2 如乙方提供的货物在使用过程中发生质量问题，乙方接到甲方故障通知后应在小时内到达甲方指定现场，按国家及行业标准对故障进行及时处理。</w:t>
      </w:r>
    </w:p>
    <w:p>
      <w:pPr>
        <w:pStyle w:val="19"/>
        <w:spacing w:line="360" w:lineRule="auto"/>
        <w:ind w:firstLine="359" w:firstLineChars="171"/>
        <w:rPr>
          <w:rFonts w:hAnsi="宋体"/>
        </w:rPr>
      </w:pPr>
      <w:r>
        <w:rPr>
          <w:rFonts w:hint="eastAsia" w:hAnsi="宋体"/>
        </w:rPr>
        <w:t>5.3 乙方提供的货物在质量保证期内因货物本身的质量问题发生故障，乙方应负责免费更换。对达不到技术要求者，根据实际情况，经双方协商，可按以下办法处理：</w:t>
      </w:r>
    </w:p>
    <w:p>
      <w:pPr>
        <w:pStyle w:val="19"/>
        <w:spacing w:line="360" w:lineRule="auto"/>
        <w:ind w:firstLine="359" w:firstLineChars="171"/>
        <w:rPr>
          <w:rFonts w:hAnsi="宋体"/>
        </w:rPr>
      </w:pPr>
      <w:r>
        <w:rPr>
          <w:rFonts w:hint="eastAsia" w:hAnsi="宋体"/>
        </w:rPr>
        <w:t>（1）更换：由乙方承担所发生的全部费用；</w:t>
      </w:r>
    </w:p>
    <w:p>
      <w:pPr>
        <w:pStyle w:val="19"/>
        <w:spacing w:line="360" w:lineRule="auto"/>
        <w:ind w:firstLine="359" w:firstLineChars="171"/>
        <w:rPr>
          <w:rFonts w:hAnsi="宋体"/>
        </w:rPr>
      </w:pPr>
      <w:r>
        <w:rPr>
          <w:rFonts w:hint="eastAsia" w:hAnsi="宋体"/>
        </w:rPr>
        <w:t>（2）贬值处理：由甲乙双方合议定价；</w:t>
      </w:r>
    </w:p>
    <w:p>
      <w:pPr>
        <w:pStyle w:val="19"/>
        <w:spacing w:line="360" w:lineRule="auto"/>
        <w:ind w:firstLine="359" w:firstLineChars="171"/>
        <w:rPr>
          <w:rFonts w:hAnsi="宋体"/>
        </w:rPr>
      </w:pPr>
      <w:r>
        <w:rPr>
          <w:rFonts w:hint="eastAsia" w:hAnsi="宋体"/>
        </w:rPr>
        <w:t>（3）退货处理：乙方应退还甲方支付的合同款，同时应承担与该货物相关的直接费用（运输、保险、检验、合同款利息及银行手续费等）。</w:t>
      </w:r>
    </w:p>
    <w:p>
      <w:pPr>
        <w:pStyle w:val="19"/>
        <w:spacing w:line="360" w:lineRule="auto"/>
        <w:ind w:left="2" w:firstLine="360"/>
        <w:rPr>
          <w:rFonts w:hAnsi="宋体"/>
        </w:rPr>
      </w:pPr>
      <w:r>
        <w:rPr>
          <w:rFonts w:hint="eastAsia" w:hAnsi="宋体"/>
        </w:rPr>
        <w:t>5.4 在质量保证期内，乙方负责处理解决货物出现的质量及安全问题并承担一切费用，所有非故意性损坏以及正常使用范围内造成的损坏均要免费维修，因人为因素出现的故障不在免费保修范围内，但乙方也要积极帮助采购人修理，并提供优惠价格的配件和服务。</w:t>
      </w:r>
    </w:p>
    <w:p>
      <w:pPr>
        <w:pStyle w:val="19"/>
        <w:spacing w:line="360" w:lineRule="auto"/>
        <w:ind w:left="2" w:firstLine="360"/>
        <w:rPr>
          <w:rFonts w:hAnsi="宋体"/>
        </w:rPr>
      </w:pPr>
      <w:r>
        <w:rPr>
          <w:rFonts w:hint="eastAsia" w:hAnsi="宋体"/>
        </w:rPr>
        <w:t>5.5 超过质量保证期的货物，乙方提供终生维修、保养服务，维修时只收部件成本费。</w:t>
      </w:r>
    </w:p>
    <w:p>
      <w:pPr>
        <w:pStyle w:val="19"/>
        <w:spacing w:line="360" w:lineRule="auto"/>
        <w:ind w:left="2" w:firstLine="360"/>
        <w:rPr>
          <w:rFonts w:hAnsi="宋体"/>
        </w:rPr>
      </w:pPr>
      <w:r>
        <w:rPr>
          <w:rFonts w:hint="eastAsia" w:hAnsi="宋体"/>
        </w:rPr>
        <w:t>5.6 乙方随时优惠提供备品备件，优惠提供产品更新、改造服务。</w:t>
      </w:r>
    </w:p>
    <w:p>
      <w:pPr>
        <w:pStyle w:val="19"/>
        <w:spacing w:line="360" w:lineRule="auto"/>
        <w:ind w:left="2" w:firstLine="360"/>
        <w:rPr>
          <w:rFonts w:hAnsi="宋体"/>
        </w:rPr>
      </w:pPr>
      <w:r>
        <w:rPr>
          <w:rFonts w:hint="eastAsia" w:hAnsi="宋体"/>
        </w:rPr>
        <w:t xml:space="preserve">5.7 其他售后服务要求：   </w:t>
      </w:r>
      <w:r>
        <w:rPr>
          <w:rFonts w:hint="eastAsia" w:hAnsi="宋体"/>
          <w:u w:val="single"/>
        </w:rPr>
        <w:t>按投标文件商务条款偏离表及澄清函（商务条款偏离表与澄清函不一致的以澄清函为准）内容执行。</w:t>
      </w:r>
    </w:p>
    <w:p>
      <w:pPr>
        <w:pStyle w:val="19"/>
        <w:spacing w:line="360" w:lineRule="auto"/>
        <w:rPr>
          <w:rFonts w:hAnsi="宋体"/>
          <w:b/>
          <w:bCs/>
          <w:sz w:val="24"/>
        </w:rPr>
      </w:pPr>
      <w:r>
        <w:rPr>
          <w:rFonts w:hint="eastAsia" w:hAnsi="宋体"/>
          <w:b/>
          <w:bCs/>
          <w:sz w:val="24"/>
        </w:rPr>
        <w:t>6.  合同款支付</w:t>
      </w:r>
    </w:p>
    <w:p>
      <w:pPr>
        <w:pStyle w:val="19"/>
        <w:spacing w:line="360" w:lineRule="auto"/>
        <w:ind w:firstLine="360"/>
        <w:rPr>
          <w:rFonts w:hAnsi="宋体"/>
          <w:bCs/>
          <w:u w:val="single"/>
        </w:rPr>
      </w:pPr>
      <w:r>
        <w:rPr>
          <w:rFonts w:hint="eastAsia" w:hAnsi="宋体"/>
          <w:bCs/>
        </w:rPr>
        <w:t>6.1 付款方式：</w:t>
      </w:r>
    </w:p>
    <w:p>
      <w:pPr>
        <w:pStyle w:val="19"/>
        <w:spacing w:line="360" w:lineRule="auto"/>
        <w:ind w:firstLine="360"/>
        <w:rPr>
          <w:rFonts w:hAnsi="宋体"/>
        </w:rPr>
      </w:pPr>
      <w:r>
        <w:rPr>
          <w:rFonts w:hint="eastAsia" w:hAnsi="宋体"/>
        </w:rPr>
        <w:t>6.2 支付合同款时，由甲方按照合同约定向兴业县财政局提交完整且合格的支付申请材料；兴业县财政局按财政国库直接支付程序将款项直接支付给供应商。</w:t>
      </w:r>
    </w:p>
    <w:p>
      <w:pPr>
        <w:pStyle w:val="19"/>
        <w:spacing w:line="360" w:lineRule="auto"/>
        <w:ind w:firstLine="360"/>
        <w:rPr>
          <w:rFonts w:hAnsi="宋体"/>
          <w:bCs/>
          <w:u w:val="single"/>
        </w:rPr>
      </w:pPr>
      <w:r>
        <w:rPr>
          <w:rFonts w:hint="eastAsia" w:hAnsi="宋体"/>
        </w:rPr>
        <w:t>6.3 当采购数量与实际使用数量不一致时，甲方可以在报经兴业县财政局审核同意后，</w:t>
      </w:r>
      <w:r>
        <w:rPr>
          <w:rFonts w:hint="eastAsia" w:hAnsi="宋体"/>
          <w:szCs w:val="21"/>
        </w:rPr>
        <w:t>在不改变合同其他条款的前提下与供应商协商签订补充合同，但所有补充合同的采购金额不得超过原合同采购金额的百分之十。</w:t>
      </w:r>
      <w:r>
        <w:rPr>
          <w:rFonts w:hint="eastAsia" w:hAnsi="宋体"/>
        </w:rPr>
        <w:t>供应商应根据实际使用数量供货，合同的最终结算金额按实际使用数量乘以成交单价进行计算。</w:t>
      </w:r>
    </w:p>
    <w:p>
      <w:pPr>
        <w:pStyle w:val="19"/>
        <w:spacing w:line="360" w:lineRule="auto"/>
        <w:ind w:firstLine="360"/>
        <w:rPr>
          <w:rFonts w:hAnsi="宋体"/>
          <w:bCs/>
          <w:u w:val="single"/>
        </w:rPr>
      </w:pPr>
      <w:r>
        <w:rPr>
          <w:rFonts w:hint="eastAsia" w:hAnsi="宋体"/>
          <w:bCs/>
        </w:rPr>
        <w:t>6.4</w:t>
      </w:r>
      <w:r>
        <w:rPr>
          <w:rFonts w:hint="eastAsia" w:hAnsi="宋体"/>
          <w:szCs w:val="21"/>
        </w:rPr>
        <w:t>政府采购监督管理部门在处理投诉事项期间，可以视具体情况书面通知采购人暂停采购活动</w:t>
      </w:r>
      <w:r>
        <w:rPr>
          <w:rFonts w:hint="eastAsia" w:hAnsi="宋体"/>
          <w:bCs/>
        </w:rPr>
        <w:t>，并延期支付合同款。</w:t>
      </w:r>
    </w:p>
    <w:p>
      <w:pPr>
        <w:pStyle w:val="19"/>
        <w:spacing w:line="360" w:lineRule="auto"/>
        <w:ind w:left="412" w:hanging="412" w:hangingChars="171"/>
        <w:rPr>
          <w:rFonts w:hAnsi="宋体"/>
          <w:b/>
        </w:rPr>
      </w:pPr>
      <w:r>
        <w:rPr>
          <w:rFonts w:hint="eastAsia" w:hAnsi="宋体"/>
          <w:b/>
          <w:bCs/>
          <w:sz w:val="24"/>
        </w:rPr>
        <w:t>7.  产权</w:t>
      </w:r>
    </w:p>
    <w:p>
      <w:pPr>
        <w:pStyle w:val="19"/>
        <w:spacing w:line="360" w:lineRule="auto"/>
        <w:ind w:left="2" w:firstLine="359" w:firstLineChars="171"/>
        <w:rPr>
          <w:rFonts w:hAnsi="宋体"/>
          <w:bCs/>
        </w:rPr>
      </w:pPr>
      <w:r>
        <w:rPr>
          <w:rFonts w:hint="eastAsia" w:hAnsi="宋体"/>
        </w:rPr>
        <w:t>7.1 乙方保证所提供的货物或其任何一部分均不会侵犯任何第三方的专利权、商标权或著作权</w:t>
      </w:r>
      <w:r>
        <w:rPr>
          <w:rFonts w:hint="eastAsia" w:hAnsi="宋体"/>
          <w:bCs/>
        </w:rPr>
        <w:t>。</w:t>
      </w:r>
    </w:p>
    <w:p>
      <w:pPr>
        <w:pStyle w:val="19"/>
        <w:spacing w:line="360" w:lineRule="auto"/>
        <w:ind w:left="2" w:firstLine="359" w:firstLineChars="171"/>
        <w:rPr>
          <w:rFonts w:hAnsi="宋体"/>
          <w:b/>
          <w:bCs/>
        </w:rPr>
      </w:pPr>
      <w:r>
        <w:rPr>
          <w:rFonts w:hint="eastAsia" w:hAnsi="宋体"/>
        </w:rPr>
        <w:t>7.2 乙方保证所交付货物的所有权完全属于乙方且无任何抵押、查封等产权瑕疵。如乙方所交付货物有产权瑕疵的，视为乙方违约，按照本合同第11.3项的约定处理。但在已经全部支付完合同款后才发现有产权瑕疵的，乙方除了支付违约金还应负担甲方由此产生的一切损失。</w:t>
      </w:r>
    </w:p>
    <w:p>
      <w:pPr>
        <w:pStyle w:val="19"/>
        <w:spacing w:line="360" w:lineRule="auto"/>
        <w:rPr>
          <w:rFonts w:hAnsi="宋体"/>
          <w:b/>
        </w:rPr>
      </w:pPr>
      <w:r>
        <w:rPr>
          <w:rFonts w:hint="eastAsia" w:hAnsi="宋体"/>
          <w:b/>
          <w:bCs/>
          <w:sz w:val="24"/>
        </w:rPr>
        <w:t>8.  技术资料</w:t>
      </w:r>
    </w:p>
    <w:p>
      <w:pPr>
        <w:pStyle w:val="19"/>
        <w:spacing w:line="360" w:lineRule="auto"/>
        <w:ind w:firstLine="360"/>
        <w:rPr>
          <w:rFonts w:hAnsi="宋体"/>
        </w:rPr>
      </w:pPr>
      <w:r>
        <w:rPr>
          <w:rFonts w:hint="eastAsia" w:hAnsi="宋体"/>
        </w:rPr>
        <w:t>8.1 甲方向乙方提供采购货物的有关技术要求。</w:t>
      </w:r>
    </w:p>
    <w:p>
      <w:pPr>
        <w:pStyle w:val="19"/>
        <w:spacing w:line="360" w:lineRule="auto"/>
        <w:ind w:firstLine="360"/>
        <w:rPr>
          <w:rFonts w:hAnsi="宋体"/>
        </w:rPr>
      </w:pPr>
      <w:r>
        <w:rPr>
          <w:rFonts w:hint="eastAsia" w:hAnsi="宋体"/>
        </w:rPr>
        <w:t>8.2 乙方应在采购文件规定的时间向甲方提供使用货物的有关技术资料。</w:t>
      </w:r>
    </w:p>
    <w:p>
      <w:pPr>
        <w:pStyle w:val="19"/>
        <w:spacing w:line="360" w:lineRule="auto"/>
        <w:ind w:firstLine="360"/>
        <w:rPr>
          <w:rFonts w:hAnsi="宋体"/>
        </w:rPr>
      </w:pPr>
      <w:r>
        <w:rPr>
          <w:rFonts w:hint="eastAsia" w:hAnsi="宋体"/>
        </w:rPr>
        <w:t>8.3 没有甲方事先书面同意，乙方不得将甲方提供的有关合同或任何合同条文、规格、计划、图纸、样品或资料提供给与履行本合同无关的其他任何人。即使向与履行本合同有关的人员提供，也应注意保密并限于履行合同的必需范围。</w:t>
      </w:r>
    </w:p>
    <w:p>
      <w:pPr>
        <w:pStyle w:val="19"/>
        <w:spacing w:line="360" w:lineRule="auto"/>
        <w:rPr>
          <w:rFonts w:hAnsi="宋体"/>
          <w:b/>
          <w:bCs/>
          <w:sz w:val="24"/>
        </w:rPr>
      </w:pPr>
      <w:r>
        <w:rPr>
          <w:rFonts w:hint="eastAsia" w:hAnsi="宋体"/>
          <w:b/>
          <w:bCs/>
          <w:sz w:val="24"/>
        </w:rPr>
        <w:t>9.  货物包装、发运及运输</w:t>
      </w:r>
    </w:p>
    <w:p>
      <w:pPr>
        <w:pStyle w:val="19"/>
        <w:tabs>
          <w:tab w:val="left" w:pos="0"/>
        </w:tabs>
        <w:spacing w:line="360" w:lineRule="auto"/>
        <w:ind w:firstLine="360"/>
        <w:rPr>
          <w:rFonts w:hAnsi="宋体"/>
        </w:rPr>
      </w:pPr>
      <w:r>
        <w:rPr>
          <w:rFonts w:hint="eastAsia" w:hAnsi="宋体"/>
        </w:rPr>
        <w:t>9.1 乙方应在货物发运前对其进行满足运输距离、防潮、防震、防锈和防破损装卸等要求包装，以保证货物安全运达甲方指定地点。</w:t>
      </w:r>
    </w:p>
    <w:p>
      <w:pPr>
        <w:pStyle w:val="19"/>
        <w:tabs>
          <w:tab w:val="left" w:pos="0"/>
        </w:tabs>
        <w:spacing w:line="360" w:lineRule="auto"/>
        <w:ind w:firstLine="360"/>
        <w:rPr>
          <w:rFonts w:hAnsi="宋体"/>
        </w:rPr>
      </w:pPr>
      <w:r>
        <w:rPr>
          <w:rFonts w:hint="eastAsia" w:hAnsi="宋体"/>
        </w:rPr>
        <w:t>9.2 使用说明书、质量检验证明书、保修单据、随配附件和工具以及清单一并附于货物内。</w:t>
      </w:r>
    </w:p>
    <w:p>
      <w:pPr>
        <w:pStyle w:val="19"/>
        <w:tabs>
          <w:tab w:val="left" w:pos="0"/>
        </w:tabs>
        <w:spacing w:line="360" w:lineRule="auto"/>
        <w:ind w:firstLine="360"/>
        <w:rPr>
          <w:rFonts w:hAnsi="宋体"/>
        </w:rPr>
      </w:pPr>
      <w:r>
        <w:rPr>
          <w:rFonts w:hint="eastAsia" w:hAnsi="宋体"/>
        </w:rPr>
        <w:t>9.3 乙方在货物发运手续办理完毕后24小时内或货到甲方48小时前通知甲方，以准备接货。</w:t>
      </w:r>
    </w:p>
    <w:p>
      <w:pPr>
        <w:pStyle w:val="19"/>
        <w:tabs>
          <w:tab w:val="left" w:pos="0"/>
        </w:tabs>
        <w:spacing w:line="360" w:lineRule="auto"/>
        <w:ind w:firstLine="360"/>
        <w:rPr>
          <w:rFonts w:hAnsi="宋体"/>
        </w:rPr>
      </w:pPr>
      <w:r>
        <w:rPr>
          <w:rFonts w:hint="eastAsia" w:hAnsi="宋体"/>
        </w:rPr>
        <w:t>9.4 货物在交付甲方前发生的风险均由乙方负责。</w:t>
      </w:r>
    </w:p>
    <w:p>
      <w:pPr>
        <w:pStyle w:val="19"/>
        <w:tabs>
          <w:tab w:val="left" w:pos="0"/>
        </w:tabs>
        <w:spacing w:line="360" w:lineRule="auto"/>
        <w:ind w:firstLine="360"/>
        <w:rPr>
          <w:rFonts w:hAnsi="宋体"/>
        </w:rPr>
      </w:pPr>
      <w:r>
        <w:rPr>
          <w:rFonts w:hint="eastAsia" w:hAnsi="宋体"/>
        </w:rPr>
        <w:t>9.5 货物在规定的交付期限内由乙方送达甲方指定的地点视为交付，乙方同时需通知甲方货物已送达。</w:t>
      </w:r>
    </w:p>
    <w:p>
      <w:pPr>
        <w:pStyle w:val="19"/>
        <w:spacing w:line="360" w:lineRule="auto"/>
        <w:rPr>
          <w:rFonts w:hAnsi="宋体"/>
          <w:b/>
          <w:bCs/>
          <w:sz w:val="24"/>
        </w:rPr>
      </w:pPr>
      <w:r>
        <w:rPr>
          <w:rFonts w:hint="eastAsia" w:hAnsi="宋体"/>
          <w:b/>
          <w:bCs/>
          <w:sz w:val="24"/>
        </w:rPr>
        <w:t>10.  调试和验收</w:t>
      </w:r>
    </w:p>
    <w:p>
      <w:pPr>
        <w:pStyle w:val="19"/>
        <w:spacing w:line="360" w:lineRule="auto"/>
        <w:ind w:firstLine="359" w:firstLineChars="171"/>
        <w:rPr>
          <w:rFonts w:hAnsi="宋体"/>
        </w:rPr>
      </w:pPr>
      <w:r>
        <w:rPr>
          <w:rFonts w:hint="eastAsia" w:hAnsi="宋体"/>
        </w:rPr>
        <w:t>10.1 乙方将货物运达约定的交货地点后，甲方应在5个工作日内对乙方提交的货物依据招标文件的要求、投标文件的承诺和国家标准或行业标准进行现场初步验收。对外观、说明书符合要求的，给予签收；对不符合要求或有质量问题的货物不予签收，可立即要求退换，乙方不得拒绝和延误。</w:t>
      </w:r>
    </w:p>
    <w:p>
      <w:pPr>
        <w:pStyle w:val="19"/>
        <w:spacing w:line="360" w:lineRule="auto"/>
        <w:ind w:firstLine="359" w:firstLineChars="171"/>
        <w:rPr>
          <w:rFonts w:hAnsi="宋体"/>
        </w:rPr>
      </w:pPr>
      <w:r>
        <w:rPr>
          <w:rFonts w:hint="eastAsia" w:hAnsi="宋体"/>
        </w:rPr>
        <w:t>10.2 乙方交货前应对产品作出全面检查和对验收文件进行整理，并列出清单，作为甲方收货验收和使用的技术条件依据，检验的结果应随货物交甲方。</w:t>
      </w:r>
    </w:p>
    <w:p>
      <w:pPr>
        <w:pStyle w:val="19"/>
        <w:spacing w:line="360" w:lineRule="auto"/>
        <w:ind w:firstLine="359" w:firstLineChars="171"/>
        <w:rPr>
          <w:rFonts w:hAnsi="宋体"/>
        </w:rPr>
      </w:pPr>
      <w:r>
        <w:rPr>
          <w:rFonts w:hint="eastAsia" w:hAnsi="宋体"/>
        </w:rPr>
        <w:t>10.3 甲方对乙方提供的货物在使用前进行调试时，乙方需负责安装并培训甲方的使用操作人员，并协助甲方一起调试，直到符合技术要求，甲方才做最终验收。</w:t>
      </w:r>
    </w:p>
    <w:p>
      <w:pPr>
        <w:pStyle w:val="19"/>
        <w:spacing w:line="360" w:lineRule="auto"/>
        <w:ind w:firstLine="359" w:firstLineChars="171"/>
        <w:rPr>
          <w:rFonts w:hAnsi="宋体"/>
        </w:rPr>
      </w:pPr>
      <w:r>
        <w:rPr>
          <w:rFonts w:hint="eastAsia" w:hAnsi="宋体"/>
        </w:rPr>
        <w:t>10.4 验收时乙方必须在现场，验收完毕后作出验收结果报告。</w:t>
      </w:r>
    </w:p>
    <w:p>
      <w:pPr>
        <w:pStyle w:val="19"/>
        <w:spacing w:line="360" w:lineRule="auto"/>
        <w:ind w:firstLine="359" w:firstLineChars="171"/>
        <w:rPr>
          <w:rFonts w:hAnsi="宋体"/>
        </w:rPr>
      </w:pPr>
      <w:r>
        <w:rPr>
          <w:rFonts w:hint="eastAsia" w:hAnsi="宋体"/>
        </w:rPr>
        <w:t>10.5 对技术复杂的货物，甲方可请国家认可的专业检测机构参与验收，并由其出具质量检测报告，相关费用由甲方承担。</w:t>
      </w:r>
    </w:p>
    <w:p>
      <w:pPr>
        <w:pStyle w:val="19"/>
        <w:spacing w:line="360" w:lineRule="auto"/>
        <w:rPr>
          <w:rFonts w:hAnsi="宋体"/>
          <w:b/>
          <w:bCs/>
          <w:sz w:val="24"/>
        </w:rPr>
      </w:pPr>
      <w:r>
        <w:rPr>
          <w:rFonts w:hint="eastAsia" w:hAnsi="宋体"/>
          <w:b/>
          <w:bCs/>
          <w:sz w:val="24"/>
        </w:rPr>
        <w:t>11.  违约责任</w:t>
      </w:r>
    </w:p>
    <w:p>
      <w:pPr>
        <w:pStyle w:val="19"/>
        <w:spacing w:line="360" w:lineRule="auto"/>
        <w:ind w:left="2" w:firstLine="360"/>
        <w:rPr>
          <w:rFonts w:hAnsi="宋体"/>
        </w:rPr>
      </w:pPr>
      <w:r>
        <w:rPr>
          <w:rFonts w:hint="eastAsia" w:hAnsi="宋体"/>
        </w:rPr>
        <w:t>11.1 甲方无正当理由拒收货物的，甲方向乙方偿付拒收合同款总值的百分之五违约金。</w:t>
      </w:r>
    </w:p>
    <w:p>
      <w:pPr>
        <w:pStyle w:val="19"/>
        <w:spacing w:line="360" w:lineRule="auto"/>
        <w:ind w:left="2" w:firstLine="360"/>
        <w:rPr>
          <w:rFonts w:hAnsi="宋体"/>
        </w:rPr>
      </w:pPr>
      <w:r>
        <w:rPr>
          <w:rFonts w:hint="eastAsia" w:hAnsi="宋体"/>
        </w:rPr>
        <w:t>11.2 甲方无故逾期验收或办理合同款支付手续的，甲方应按逾期付款总额每日万分之五向乙方支付违约金。</w:t>
      </w:r>
    </w:p>
    <w:p>
      <w:pPr>
        <w:pStyle w:val="19"/>
        <w:spacing w:line="360" w:lineRule="auto"/>
        <w:ind w:left="2" w:firstLine="360"/>
        <w:rPr>
          <w:rFonts w:hAnsi="宋体"/>
        </w:rPr>
      </w:pPr>
      <w:r>
        <w:rPr>
          <w:rFonts w:hint="eastAsia" w:hAnsi="宋体"/>
        </w:rPr>
        <w:t>11.3 乙方逾期交付货物的，乙方应按逾期交货总额每日万分之五向甲方支付违约金，由甲方从待付合同款中扣除。乙方逾期超过本合同约定交货日期10个工作日不能交货的，甲方可解除本合同。乙方因逾期交货或因其他违约行为导致甲方解除合同的，乙方应向甲方支付合同总值百分之五的违约金，如造成甲方损失超过违约金的，超出部分由乙方继续承担赔偿责任。</w:t>
      </w:r>
    </w:p>
    <w:p>
      <w:pPr>
        <w:pStyle w:val="19"/>
        <w:spacing w:line="360" w:lineRule="auto"/>
        <w:ind w:left="2" w:firstLine="360"/>
        <w:rPr>
          <w:rFonts w:hAnsi="宋体"/>
        </w:rPr>
      </w:pPr>
      <w:r>
        <w:rPr>
          <w:rFonts w:hint="eastAsia" w:hAnsi="宋体"/>
        </w:rPr>
        <w:t>11.4 乙方所交的货物品种、型号、规格、技术参数、质量不符合合同规定及采购文件规定标准的，甲方有权拒收该货物，乙方愿意更换货物但逾期交货的，按乙方逾期交货处理。乙方拒绝更换货物的，甲方可单方面解除合同。</w:t>
      </w:r>
    </w:p>
    <w:p>
      <w:pPr>
        <w:pStyle w:val="19"/>
        <w:spacing w:line="360" w:lineRule="auto"/>
        <w:rPr>
          <w:rFonts w:hAnsi="宋体"/>
          <w:b/>
          <w:bCs/>
          <w:sz w:val="24"/>
        </w:rPr>
      </w:pPr>
      <w:r>
        <w:rPr>
          <w:rFonts w:hint="eastAsia" w:hAnsi="宋体"/>
          <w:b/>
          <w:bCs/>
          <w:sz w:val="24"/>
        </w:rPr>
        <w:t>12.  不可抗力事件处理</w:t>
      </w:r>
    </w:p>
    <w:p>
      <w:pPr>
        <w:pStyle w:val="19"/>
        <w:spacing w:line="360" w:lineRule="auto"/>
        <w:ind w:firstLine="359" w:firstLineChars="171"/>
        <w:rPr>
          <w:rFonts w:hAnsi="宋体"/>
        </w:rPr>
      </w:pPr>
      <w:r>
        <w:rPr>
          <w:rFonts w:hint="eastAsia" w:hAnsi="宋体"/>
        </w:rPr>
        <w:t>12.1 在合同有效期内，任何一方因不可抗力事件导致不能履行合同，则合同履行期可延长，其延长期与不可抗力影响期相同。</w:t>
      </w:r>
    </w:p>
    <w:p>
      <w:pPr>
        <w:pStyle w:val="19"/>
        <w:spacing w:line="360" w:lineRule="auto"/>
        <w:ind w:firstLine="359" w:firstLineChars="171"/>
        <w:rPr>
          <w:rFonts w:hAnsi="宋体"/>
        </w:rPr>
      </w:pPr>
      <w:r>
        <w:rPr>
          <w:rFonts w:hint="eastAsia" w:hAnsi="宋体"/>
        </w:rPr>
        <w:t>12.2 不可抗力事件发生后，应立即通知对方，并寄送有关权威机构出具的证明。</w:t>
      </w:r>
    </w:p>
    <w:p>
      <w:pPr>
        <w:pStyle w:val="19"/>
        <w:spacing w:line="360" w:lineRule="auto"/>
        <w:ind w:firstLine="359" w:firstLineChars="171"/>
        <w:rPr>
          <w:rFonts w:hAnsi="宋体"/>
        </w:rPr>
      </w:pPr>
      <w:r>
        <w:rPr>
          <w:rFonts w:hint="eastAsia" w:hAnsi="宋体"/>
        </w:rPr>
        <w:t>12.3 不可抗力事件延续120天以上，双方应通过友好协商，确定是否继续履行合同。</w:t>
      </w:r>
    </w:p>
    <w:p>
      <w:pPr>
        <w:pStyle w:val="19"/>
        <w:spacing w:line="360" w:lineRule="auto"/>
        <w:rPr>
          <w:rFonts w:hAnsi="宋体"/>
          <w:b/>
          <w:bCs/>
          <w:sz w:val="24"/>
        </w:rPr>
      </w:pPr>
      <w:r>
        <w:rPr>
          <w:rFonts w:hint="eastAsia" w:hAnsi="宋体"/>
          <w:b/>
          <w:bCs/>
          <w:sz w:val="24"/>
        </w:rPr>
        <w:t>13.  诉讼</w:t>
      </w:r>
    </w:p>
    <w:p>
      <w:pPr>
        <w:pStyle w:val="19"/>
        <w:tabs>
          <w:tab w:val="left" w:pos="0"/>
        </w:tabs>
        <w:spacing w:line="360" w:lineRule="auto"/>
        <w:ind w:firstLine="359" w:firstLineChars="171"/>
        <w:rPr>
          <w:rFonts w:hAnsi="宋体"/>
        </w:rPr>
      </w:pPr>
      <w:r>
        <w:rPr>
          <w:rFonts w:hint="eastAsia" w:hAnsi="宋体"/>
        </w:rPr>
        <w:t>13.1 双方在执行合同中所发生的一切争议，应通过协商解决。如协商不成，可向合同签订地法院起诉，合同签订地在此约定为广西兴业县。</w:t>
      </w:r>
    </w:p>
    <w:p>
      <w:pPr>
        <w:pStyle w:val="19"/>
        <w:spacing w:line="360" w:lineRule="auto"/>
        <w:rPr>
          <w:rFonts w:hAnsi="宋体"/>
          <w:b/>
          <w:bCs/>
          <w:sz w:val="24"/>
        </w:rPr>
      </w:pPr>
      <w:r>
        <w:rPr>
          <w:rFonts w:hint="eastAsia" w:hAnsi="宋体"/>
          <w:b/>
          <w:bCs/>
          <w:sz w:val="24"/>
        </w:rPr>
        <w:t>14.  合同生效及其它</w:t>
      </w:r>
    </w:p>
    <w:p>
      <w:pPr>
        <w:pStyle w:val="19"/>
        <w:spacing w:line="360" w:lineRule="auto"/>
        <w:ind w:firstLine="360"/>
        <w:rPr>
          <w:rFonts w:hAnsi="宋体"/>
        </w:rPr>
      </w:pPr>
      <w:r>
        <w:rPr>
          <w:rFonts w:hint="eastAsia" w:hAnsi="宋体"/>
        </w:rPr>
        <w:t>14.1 合同经双方法定代表人或授权委托代理人签字并加盖单位公章后生效。</w:t>
      </w:r>
    </w:p>
    <w:p>
      <w:pPr>
        <w:pStyle w:val="19"/>
        <w:spacing w:line="360" w:lineRule="auto"/>
        <w:ind w:firstLine="360"/>
        <w:rPr>
          <w:rFonts w:hAnsi="宋体"/>
        </w:rPr>
      </w:pPr>
      <w:r>
        <w:rPr>
          <w:rFonts w:hint="eastAsia" w:hAnsi="宋体"/>
        </w:rPr>
        <w:t xml:space="preserve">14.2 </w:t>
      </w:r>
      <w:r>
        <w:rPr>
          <w:rFonts w:hint="eastAsia" w:hAnsi="宋体"/>
          <w:szCs w:val="21"/>
        </w:rPr>
        <w:t>合同执行中涉及采购资金和采购内容修改或补充的，须经市财政部门审批，并签书面补充协议报兴业县政府采购监督管理部门备案，方可作为主合同不可分割的一部分。</w:t>
      </w:r>
    </w:p>
    <w:p>
      <w:pPr>
        <w:pStyle w:val="19"/>
        <w:spacing w:line="360" w:lineRule="auto"/>
        <w:ind w:firstLine="360"/>
        <w:rPr>
          <w:rFonts w:hAnsi="宋体"/>
        </w:rPr>
      </w:pPr>
      <w:r>
        <w:rPr>
          <w:rFonts w:hint="eastAsia" w:hAnsi="宋体"/>
        </w:rPr>
        <w:t>14.3 下述合同附件为本合同不可分割的部分并与本合同具有同等效力：</w:t>
      </w:r>
    </w:p>
    <w:p>
      <w:pPr>
        <w:pStyle w:val="19"/>
        <w:spacing w:line="360" w:lineRule="auto"/>
        <w:ind w:firstLine="360"/>
        <w:rPr>
          <w:rFonts w:hAnsi="宋体"/>
        </w:rPr>
      </w:pPr>
      <w:r>
        <w:rPr>
          <w:rFonts w:hint="eastAsia" w:hAnsi="宋体"/>
        </w:rPr>
        <w:t>（1）中标通知书；</w:t>
      </w:r>
    </w:p>
    <w:p>
      <w:pPr>
        <w:pStyle w:val="19"/>
        <w:spacing w:line="360" w:lineRule="auto"/>
        <w:ind w:firstLine="360"/>
        <w:rPr>
          <w:rFonts w:hAnsi="宋体"/>
        </w:rPr>
      </w:pPr>
      <w:r>
        <w:rPr>
          <w:rFonts w:hint="eastAsia" w:hAnsi="宋体"/>
        </w:rPr>
        <w:t>（2）招标文件</w:t>
      </w:r>
      <w:r>
        <w:rPr>
          <w:rFonts w:hAnsi="宋体"/>
        </w:rPr>
        <w:t>采购需求一览表</w:t>
      </w:r>
      <w:r>
        <w:rPr>
          <w:rFonts w:hint="eastAsia" w:hAnsi="宋体"/>
        </w:rPr>
        <w:t>；</w:t>
      </w:r>
    </w:p>
    <w:p>
      <w:pPr>
        <w:pStyle w:val="19"/>
        <w:spacing w:line="360" w:lineRule="auto"/>
        <w:ind w:firstLine="360"/>
        <w:rPr>
          <w:rFonts w:hAnsi="宋体"/>
        </w:rPr>
      </w:pPr>
      <w:r>
        <w:rPr>
          <w:rFonts w:hint="eastAsia" w:hAnsi="宋体"/>
        </w:rPr>
        <w:t>（3）招标文件的澄清和修改；</w:t>
      </w:r>
    </w:p>
    <w:p>
      <w:pPr>
        <w:pStyle w:val="19"/>
        <w:spacing w:line="360" w:lineRule="auto"/>
        <w:ind w:firstLine="360"/>
        <w:rPr>
          <w:rFonts w:hAnsi="宋体"/>
        </w:rPr>
      </w:pPr>
      <w:r>
        <w:rPr>
          <w:rFonts w:hint="eastAsia" w:hAnsi="宋体"/>
        </w:rPr>
        <w:t>（4）投标报价表；</w:t>
      </w:r>
    </w:p>
    <w:p>
      <w:pPr>
        <w:pStyle w:val="19"/>
        <w:spacing w:line="360" w:lineRule="auto"/>
        <w:ind w:firstLine="360"/>
        <w:rPr>
          <w:rFonts w:hAnsi="宋体"/>
        </w:rPr>
      </w:pPr>
      <w:r>
        <w:rPr>
          <w:rFonts w:hint="eastAsia" w:hAnsi="宋体"/>
        </w:rPr>
        <w:t>（5）投标产品技术资料表、商务条款偏离表；</w:t>
      </w:r>
    </w:p>
    <w:p>
      <w:pPr>
        <w:pStyle w:val="19"/>
        <w:spacing w:line="360" w:lineRule="auto"/>
        <w:ind w:firstLine="360"/>
        <w:rPr>
          <w:rFonts w:hAnsi="宋体"/>
        </w:rPr>
      </w:pPr>
      <w:r>
        <w:rPr>
          <w:rFonts w:hint="eastAsia" w:hAnsi="宋体"/>
        </w:rPr>
        <w:t>（6）中标供应商澄清函；</w:t>
      </w:r>
    </w:p>
    <w:p>
      <w:pPr>
        <w:pStyle w:val="19"/>
        <w:spacing w:line="360" w:lineRule="auto"/>
        <w:ind w:firstLine="360"/>
        <w:rPr>
          <w:rFonts w:hAnsi="宋体"/>
        </w:rPr>
      </w:pPr>
      <w:r>
        <w:rPr>
          <w:rFonts w:hint="eastAsia" w:hAnsi="宋体"/>
        </w:rPr>
        <w:t>（7）其他与本合同相关的资料。</w:t>
      </w:r>
    </w:p>
    <w:p>
      <w:pPr>
        <w:pStyle w:val="19"/>
        <w:spacing w:line="360" w:lineRule="auto"/>
        <w:ind w:firstLine="360"/>
        <w:rPr>
          <w:rFonts w:hAnsi="宋体"/>
        </w:rPr>
      </w:pPr>
      <w:r>
        <w:rPr>
          <w:rFonts w:hint="eastAsia" w:hAnsi="宋体"/>
        </w:rPr>
        <w:t>14.4 本合同未尽事宜，遵照《中华人民共和国合同法》有关条文执行。</w:t>
      </w:r>
    </w:p>
    <w:p>
      <w:pPr>
        <w:pStyle w:val="19"/>
        <w:spacing w:line="360" w:lineRule="auto"/>
        <w:ind w:firstLine="360"/>
        <w:rPr>
          <w:rFonts w:hAnsi="宋体"/>
        </w:rPr>
      </w:pPr>
      <w:r>
        <w:rPr>
          <w:rFonts w:hint="eastAsia" w:hAnsi="宋体"/>
        </w:rPr>
        <w:t>14.5 本合同正本一式两份，具有同等法律效力，甲乙双方各执一份；副本一份。</w:t>
      </w:r>
    </w:p>
    <w:p>
      <w:pPr>
        <w:pStyle w:val="19"/>
        <w:spacing w:line="360" w:lineRule="auto"/>
        <w:ind w:firstLine="360"/>
        <w:rPr>
          <w:rFonts w:hAnsi="宋体"/>
        </w:rPr>
      </w:pPr>
    </w:p>
    <w:p>
      <w:pPr>
        <w:pStyle w:val="19"/>
        <w:spacing w:line="360" w:lineRule="auto"/>
        <w:ind w:firstLine="360"/>
        <w:rPr>
          <w:rFonts w:hAnsi="宋体"/>
        </w:rPr>
      </w:pPr>
    </w:p>
    <w:p>
      <w:pPr>
        <w:pStyle w:val="19"/>
        <w:spacing w:line="360" w:lineRule="auto"/>
        <w:ind w:firstLine="360"/>
        <w:rPr>
          <w:rFonts w:hAnsi="宋体"/>
        </w:rPr>
      </w:pPr>
    </w:p>
    <w:p>
      <w:pPr>
        <w:pStyle w:val="19"/>
        <w:spacing w:line="360" w:lineRule="auto"/>
        <w:rPr>
          <w:rFonts w:hAnsi="宋体"/>
          <w:u w:val="single"/>
        </w:rPr>
      </w:pPr>
      <w:r>
        <w:rPr>
          <w:rFonts w:hint="eastAsia" w:hAnsi="宋体"/>
        </w:rPr>
        <w:t>甲方：    乙方：</w:t>
      </w:r>
    </w:p>
    <w:p>
      <w:pPr>
        <w:pStyle w:val="19"/>
        <w:spacing w:line="360" w:lineRule="auto"/>
        <w:rPr>
          <w:rFonts w:hAnsi="宋体"/>
        </w:rPr>
      </w:pPr>
      <w:r>
        <w:rPr>
          <w:rFonts w:hint="eastAsia" w:hAnsi="宋体"/>
        </w:rPr>
        <w:t>地址：    地址：</w:t>
      </w:r>
    </w:p>
    <w:p>
      <w:pPr>
        <w:pStyle w:val="19"/>
        <w:spacing w:line="360" w:lineRule="auto"/>
        <w:rPr>
          <w:rFonts w:hAnsi="宋体"/>
        </w:rPr>
      </w:pPr>
      <w:r>
        <w:rPr>
          <w:rFonts w:hint="eastAsia" w:hAnsi="宋体"/>
        </w:rPr>
        <w:t>法定代表人：    法定代表人：</w:t>
      </w:r>
    </w:p>
    <w:p>
      <w:pPr>
        <w:pStyle w:val="19"/>
        <w:spacing w:line="360" w:lineRule="auto"/>
        <w:rPr>
          <w:rFonts w:hAnsi="宋体"/>
        </w:rPr>
      </w:pPr>
      <w:r>
        <w:rPr>
          <w:rFonts w:hint="eastAsia" w:hAnsi="宋体"/>
        </w:rPr>
        <w:t>委托代理人：    委托代理人：</w:t>
      </w:r>
    </w:p>
    <w:p>
      <w:pPr>
        <w:pStyle w:val="19"/>
        <w:spacing w:line="360" w:lineRule="auto"/>
        <w:rPr>
          <w:rFonts w:hAnsi="宋体"/>
        </w:rPr>
      </w:pPr>
      <w:r>
        <w:rPr>
          <w:rFonts w:hint="eastAsia" w:hAnsi="宋体"/>
        </w:rPr>
        <w:t>电话：    电话：</w:t>
      </w:r>
    </w:p>
    <w:p>
      <w:pPr>
        <w:pStyle w:val="19"/>
        <w:spacing w:line="360" w:lineRule="auto"/>
        <w:rPr>
          <w:rFonts w:hAnsi="宋体"/>
        </w:rPr>
      </w:pPr>
      <w:r>
        <w:rPr>
          <w:rFonts w:hint="eastAsia" w:hAnsi="宋体"/>
        </w:rPr>
        <w:t>传真：    传真：</w:t>
      </w:r>
    </w:p>
    <w:p>
      <w:pPr>
        <w:pStyle w:val="19"/>
        <w:spacing w:line="360" w:lineRule="auto"/>
        <w:rPr>
          <w:rFonts w:hAnsi="宋体"/>
          <w:u w:val="single"/>
        </w:rPr>
      </w:pPr>
      <w:r>
        <w:rPr>
          <w:rFonts w:hint="eastAsia" w:hAnsi="宋体"/>
        </w:rPr>
        <w:t>邮政编码：    邮政编码：</w:t>
      </w:r>
    </w:p>
    <w:p>
      <w:pPr>
        <w:pStyle w:val="19"/>
        <w:spacing w:line="360" w:lineRule="auto"/>
        <w:rPr>
          <w:rFonts w:hAnsi="宋体"/>
        </w:rPr>
      </w:pPr>
      <w:r>
        <w:rPr>
          <w:rFonts w:hint="eastAsia" w:hAnsi="宋体"/>
        </w:rPr>
        <w:t>统一社会代码：</w:t>
      </w:r>
    </w:p>
    <w:p>
      <w:pPr>
        <w:pStyle w:val="19"/>
        <w:spacing w:line="360" w:lineRule="auto"/>
        <w:rPr>
          <w:rFonts w:hAnsi="宋体"/>
          <w:u w:val="single"/>
        </w:rPr>
      </w:pPr>
      <w:r>
        <w:rPr>
          <w:rFonts w:hint="eastAsia" w:hAnsi="宋体"/>
        </w:rPr>
        <w:t xml:space="preserve">                                              开户银行：</w:t>
      </w:r>
    </w:p>
    <w:p>
      <w:pPr>
        <w:pStyle w:val="19"/>
        <w:spacing w:line="360" w:lineRule="auto"/>
        <w:rPr>
          <w:rFonts w:hAnsi="宋体"/>
          <w:u w:val="single"/>
        </w:rPr>
      </w:pPr>
      <w:r>
        <w:rPr>
          <w:rFonts w:hint="eastAsia" w:hAnsi="宋体"/>
        </w:rPr>
        <w:t xml:space="preserve">                                              开户名称：</w:t>
      </w:r>
    </w:p>
    <w:p>
      <w:pPr>
        <w:pStyle w:val="19"/>
        <w:spacing w:line="360" w:lineRule="auto"/>
        <w:rPr>
          <w:rFonts w:hAnsi="宋体"/>
          <w:u w:val="single"/>
        </w:rPr>
      </w:pPr>
      <w:r>
        <w:rPr>
          <w:rFonts w:hint="eastAsia" w:hAnsi="宋体"/>
        </w:rPr>
        <w:t xml:space="preserve">                                              银行账号：</w:t>
      </w:r>
    </w:p>
    <w:p>
      <w:pPr>
        <w:pStyle w:val="19"/>
        <w:spacing w:line="360" w:lineRule="auto"/>
        <w:ind w:left="178" w:leftChars="85"/>
        <w:rPr>
          <w:rFonts w:hAnsi="宋体"/>
        </w:rPr>
      </w:pPr>
    </w:p>
    <w:p>
      <w:pPr>
        <w:pStyle w:val="19"/>
        <w:spacing w:line="360" w:lineRule="auto"/>
        <w:ind w:left="178" w:leftChars="85"/>
        <w:rPr>
          <w:rFonts w:hAnsi="宋体"/>
        </w:rPr>
      </w:pPr>
    </w:p>
    <w:p>
      <w:pPr>
        <w:pStyle w:val="19"/>
        <w:spacing w:line="360" w:lineRule="auto"/>
        <w:rPr>
          <w:rFonts w:hAnsi="宋体"/>
        </w:rPr>
      </w:pPr>
      <w:r>
        <w:rPr>
          <w:rFonts w:hint="eastAsia" w:hAnsi="宋体"/>
        </w:rPr>
        <w:t xml:space="preserve">合同签订地点：广西兴业县 </w:t>
      </w:r>
    </w:p>
    <w:p>
      <w:pPr>
        <w:pStyle w:val="19"/>
        <w:spacing w:line="360" w:lineRule="auto"/>
        <w:rPr>
          <w:rFonts w:hAnsi="宋体"/>
        </w:rPr>
      </w:pPr>
      <w:r>
        <w:rPr>
          <w:rFonts w:hint="eastAsia" w:hAnsi="宋体"/>
        </w:rPr>
        <w:t>合同签订日期：年月日</w:t>
      </w:r>
    </w:p>
    <w:p>
      <w:pPr>
        <w:pStyle w:val="19"/>
        <w:spacing w:line="360" w:lineRule="auto"/>
        <w:rPr>
          <w:rFonts w:hAnsi="宋体"/>
        </w:rPr>
      </w:pPr>
    </w:p>
    <w:p>
      <w:pPr>
        <w:pStyle w:val="19"/>
        <w:spacing w:line="360" w:lineRule="auto"/>
        <w:rPr>
          <w:rFonts w:hAnsi="宋体"/>
        </w:rPr>
      </w:pPr>
    </w:p>
    <w:p>
      <w:pPr>
        <w:pStyle w:val="19"/>
        <w:spacing w:line="360" w:lineRule="auto"/>
        <w:rPr>
          <w:rFonts w:hAnsi="宋体"/>
        </w:rPr>
      </w:pPr>
    </w:p>
    <w:p>
      <w:pPr>
        <w:pStyle w:val="19"/>
        <w:spacing w:line="360" w:lineRule="auto"/>
        <w:rPr>
          <w:rFonts w:hAnsi="宋体"/>
        </w:rPr>
      </w:pPr>
    </w:p>
    <w:p>
      <w:pPr>
        <w:pStyle w:val="19"/>
        <w:spacing w:line="360" w:lineRule="auto"/>
        <w:rPr>
          <w:rFonts w:hAnsi="宋体"/>
        </w:rPr>
      </w:pPr>
    </w:p>
    <w:p>
      <w:pPr>
        <w:pStyle w:val="19"/>
        <w:ind w:firstLine="400"/>
        <w:jc w:val="center"/>
        <w:outlineLvl w:val="0"/>
        <w:rPr>
          <w:rFonts w:hAnsi="宋体"/>
          <w:b/>
          <w:sz w:val="32"/>
          <w:szCs w:val="32"/>
        </w:rPr>
      </w:pPr>
    </w:p>
    <w:p>
      <w:pPr>
        <w:pStyle w:val="19"/>
        <w:ind w:firstLine="400"/>
        <w:jc w:val="center"/>
        <w:outlineLvl w:val="0"/>
        <w:rPr>
          <w:rFonts w:hAnsi="宋体"/>
          <w:b/>
          <w:sz w:val="32"/>
          <w:szCs w:val="32"/>
        </w:rPr>
      </w:pPr>
    </w:p>
    <w:p>
      <w:pPr>
        <w:pStyle w:val="19"/>
        <w:ind w:firstLine="400"/>
        <w:jc w:val="center"/>
        <w:outlineLvl w:val="0"/>
        <w:rPr>
          <w:rFonts w:hAnsi="宋体"/>
          <w:b/>
          <w:sz w:val="32"/>
          <w:szCs w:val="32"/>
        </w:rPr>
      </w:pPr>
    </w:p>
    <w:bookmarkEnd w:id="75"/>
    <w:bookmarkEnd w:id="76"/>
    <w:p>
      <w:pPr>
        <w:pStyle w:val="3"/>
        <w:rPr>
          <w:rFonts w:ascii="宋体" w:hAnsi="宋体"/>
        </w:rPr>
      </w:pPr>
      <w:bookmarkStart w:id="77" w:name="_Toc532542992"/>
      <w:bookmarkStart w:id="78" w:name="_Toc57749789"/>
      <w:r>
        <w:rPr>
          <w:rFonts w:hint="eastAsia" w:ascii="宋体" w:hAnsi="宋体"/>
        </w:rPr>
        <w:t>第七章  质疑材料格式</w:t>
      </w:r>
      <w:bookmarkEnd w:id="77"/>
      <w:bookmarkEnd w:id="78"/>
    </w:p>
    <w:p>
      <w:pPr>
        <w:jc w:val="center"/>
        <w:rPr>
          <w:rFonts w:ascii="宋体" w:hAnsi="宋体"/>
          <w:b/>
          <w:sz w:val="27"/>
        </w:rPr>
      </w:pPr>
      <w:bookmarkStart w:id="79" w:name="_Toc532542993"/>
      <w:r>
        <w:rPr>
          <w:rFonts w:hint="eastAsia" w:ascii="宋体" w:hAnsi="宋体"/>
          <w:b/>
          <w:sz w:val="36"/>
          <w:szCs w:val="30"/>
        </w:rPr>
        <w:t>一</w:t>
      </w:r>
      <w:r>
        <w:rPr>
          <w:rFonts w:ascii="宋体" w:hAnsi="宋体"/>
          <w:b/>
          <w:sz w:val="27"/>
        </w:rPr>
        <w:t>质疑函（格式）</w:t>
      </w:r>
      <w:bookmarkEnd w:id="79"/>
    </w:p>
    <w:p>
      <w:pPr>
        <w:widowControl/>
        <w:shd w:val="clear" w:color="auto" w:fill="FFFFFF"/>
        <w:spacing w:line="260" w:lineRule="exact"/>
        <w:jc w:val="left"/>
        <w:rPr>
          <w:rFonts w:ascii="宋体" w:hAnsi="宋体" w:cs="宋体"/>
          <w:kern w:val="0"/>
          <w:szCs w:val="21"/>
        </w:rPr>
      </w:pPr>
      <w:r>
        <w:rPr>
          <w:rFonts w:hint="eastAsia" w:ascii="宋体" w:hAnsi="宋体" w:cs="宋体"/>
          <w:kern w:val="0"/>
          <w:szCs w:val="21"/>
        </w:rPr>
        <w:t>一、被质疑人：                           （采购人、采购代理机构2选1）</w:t>
      </w:r>
    </w:p>
    <w:p>
      <w:pPr>
        <w:widowControl/>
        <w:shd w:val="clear" w:color="auto" w:fill="FFFFFF"/>
        <w:spacing w:line="260" w:lineRule="exact"/>
        <w:jc w:val="left"/>
        <w:rPr>
          <w:rFonts w:ascii="宋体" w:hAnsi="宋体" w:cs="宋体"/>
          <w:kern w:val="0"/>
          <w:szCs w:val="21"/>
        </w:rPr>
      </w:pPr>
      <w:r>
        <w:rPr>
          <w:rFonts w:hint="eastAsia" w:ascii="宋体" w:hAnsi="宋体" w:cs="宋体"/>
          <w:kern w:val="0"/>
          <w:szCs w:val="21"/>
        </w:rPr>
        <w:t>二、质疑环节：                  （采购需求、资格审查、中标或者成交结果、采购执行程序4选 1）</w:t>
      </w:r>
    </w:p>
    <w:p>
      <w:pPr>
        <w:widowControl/>
        <w:shd w:val="clear" w:color="auto" w:fill="FFFFFF"/>
        <w:spacing w:line="260" w:lineRule="exact"/>
        <w:jc w:val="left"/>
        <w:rPr>
          <w:rFonts w:ascii="宋体" w:hAnsi="宋体" w:cs="宋体"/>
          <w:kern w:val="0"/>
          <w:szCs w:val="21"/>
        </w:rPr>
      </w:pPr>
      <w:r>
        <w:rPr>
          <w:rFonts w:hint="eastAsia" w:ascii="宋体" w:hAnsi="宋体" w:cs="宋体"/>
          <w:kern w:val="0"/>
          <w:szCs w:val="21"/>
        </w:rPr>
        <w:t>三、</w:t>
      </w:r>
      <w:r>
        <w:rPr>
          <w:rFonts w:hint="eastAsia" w:ascii="宋体" w:hAnsi="宋体"/>
          <w:szCs w:val="21"/>
        </w:rPr>
        <w:t>质疑供应商基本信息</w:t>
      </w:r>
    </w:p>
    <w:p>
      <w:pPr>
        <w:widowControl/>
        <w:shd w:val="clear" w:color="auto" w:fill="FFFFFF"/>
        <w:spacing w:line="260" w:lineRule="exact"/>
        <w:jc w:val="left"/>
        <w:rPr>
          <w:rFonts w:ascii="宋体" w:hAnsi="宋体" w:cs="宋体"/>
          <w:kern w:val="0"/>
          <w:szCs w:val="21"/>
        </w:rPr>
      </w:pPr>
      <w:r>
        <w:rPr>
          <w:rFonts w:ascii="宋体" w:hAnsi="宋体" w:cs="宋体"/>
          <w:bCs/>
          <w:kern w:val="0"/>
          <w:szCs w:val="21"/>
        </w:rPr>
        <w:t>1.</w:t>
      </w:r>
      <w:r>
        <w:rPr>
          <w:rFonts w:hint="eastAsia" w:ascii="宋体" w:hAnsi="宋体" w:cs="宋体"/>
          <w:bCs/>
          <w:kern w:val="0"/>
          <w:szCs w:val="21"/>
        </w:rPr>
        <w:t>质疑供应商名称：</w:t>
      </w:r>
      <w:r>
        <w:rPr>
          <w:rFonts w:ascii="宋体" w:hAnsi="宋体" w:cs="宋体"/>
          <w:bCs/>
          <w:kern w:val="0"/>
          <w:szCs w:val="21"/>
          <w:u w:val="single"/>
        </w:rPr>
        <w:t>                                </w:t>
      </w:r>
    </w:p>
    <w:p>
      <w:pPr>
        <w:widowControl/>
        <w:shd w:val="clear" w:color="auto" w:fill="FFFFFF"/>
        <w:spacing w:line="260" w:lineRule="exact"/>
        <w:jc w:val="left"/>
        <w:rPr>
          <w:rFonts w:ascii="宋体" w:hAnsi="宋体" w:cs="宋体"/>
          <w:kern w:val="0"/>
          <w:szCs w:val="21"/>
          <w:u w:val="single"/>
        </w:rPr>
      </w:pPr>
      <w:r>
        <w:rPr>
          <w:rFonts w:hint="eastAsia" w:ascii="宋体" w:hAnsi="宋体" w:cs="宋体"/>
          <w:kern w:val="0"/>
          <w:szCs w:val="21"/>
        </w:rPr>
        <w:t>地址：</w:t>
      </w:r>
      <w:r>
        <w:rPr>
          <w:rFonts w:ascii="宋体" w:hAnsi="宋体" w:cs="宋体"/>
          <w:kern w:val="0"/>
          <w:szCs w:val="21"/>
          <w:u w:val="single"/>
        </w:rPr>
        <w:t>                                     </w:t>
      </w:r>
    </w:p>
    <w:p>
      <w:pPr>
        <w:widowControl/>
        <w:shd w:val="clear" w:color="auto" w:fill="FFFFFF"/>
        <w:spacing w:line="260" w:lineRule="exact"/>
        <w:jc w:val="left"/>
        <w:rPr>
          <w:rFonts w:ascii="宋体" w:hAnsi="宋体" w:cs="宋体"/>
          <w:kern w:val="0"/>
          <w:szCs w:val="21"/>
        </w:rPr>
      </w:pPr>
      <w:r>
        <w:rPr>
          <w:rFonts w:hint="eastAsia" w:ascii="宋体" w:hAnsi="宋体" w:cs="宋体"/>
          <w:kern w:val="0"/>
          <w:szCs w:val="21"/>
        </w:rPr>
        <w:t>邮政编码：</w:t>
      </w:r>
      <w:r>
        <w:rPr>
          <w:rFonts w:ascii="宋体" w:hAnsi="宋体" w:cs="宋体"/>
          <w:kern w:val="0"/>
          <w:szCs w:val="21"/>
          <w:u w:val="single"/>
        </w:rPr>
        <w:t>                 </w:t>
      </w:r>
      <w:r>
        <w:rPr>
          <w:rFonts w:ascii="宋体" w:hAnsi="宋体" w:cs="宋体"/>
          <w:kern w:val="0"/>
          <w:szCs w:val="21"/>
        </w:rPr>
        <w:t> </w:t>
      </w:r>
    </w:p>
    <w:p>
      <w:pPr>
        <w:widowControl/>
        <w:shd w:val="clear" w:color="auto" w:fill="FFFFFF"/>
        <w:spacing w:line="260" w:lineRule="exact"/>
        <w:jc w:val="left"/>
        <w:rPr>
          <w:rFonts w:ascii="宋体" w:hAnsi="宋体" w:cs="宋体"/>
          <w:bCs/>
          <w:kern w:val="0"/>
          <w:szCs w:val="21"/>
        </w:rPr>
      </w:pPr>
      <w:r>
        <w:rPr>
          <w:rFonts w:hint="eastAsia" w:ascii="宋体" w:hAnsi="宋体" w:cs="宋体"/>
          <w:bCs/>
          <w:kern w:val="0"/>
          <w:szCs w:val="21"/>
        </w:rPr>
        <w:t>联系人：</w:t>
      </w:r>
      <w:r>
        <w:rPr>
          <w:rFonts w:ascii="宋体" w:hAnsi="宋体" w:cs="宋体"/>
          <w:kern w:val="0"/>
          <w:szCs w:val="21"/>
          <w:u w:val="single"/>
        </w:rPr>
        <w:t>               </w:t>
      </w:r>
    </w:p>
    <w:p>
      <w:pPr>
        <w:widowControl/>
        <w:shd w:val="clear" w:color="auto" w:fill="FFFFFF"/>
        <w:spacing w:line="260" w:lineRule="exact"/>
        <w:jc w:val="left"/>
        <w:rPr>
          <w:rFonts w:ascii="宋体" w:hAnsi="宋体" w:cs="宋体"/>
          <w:kern w:val="0"/>
          <w:szCs w:val="21"/>
          <w:u w:val="single"/>
        </w:rPr>
      </w:pPr>
      <w:r>
        <w:rPr>
          <w:rFonts w:hint="eastAsia" w:ascii="宋体" w:hAnsi="宋体" w:cs="宋体"/>
          <w:kern w:val="0"/>
          <w:szCs w:val="21"/>
        </w:rPr>
        <w:t>联系电话：</w:t>
      </w:r>
      <w:r>
        <w:rPr>
          <w:rFonts w:ascii="宋体" w:hAnsi="宋体" w:cs="宋体"/>
          <w:kern w:val="0"/>
          <w:szCs w:val="21"/>
          <w:u w:val="single"/>
        </w:rPr>
        <w:t>                      </w:t>
      </w:r>
    </w:p>
    <w:p>
      <w:pPr>
        <w:widowControl/>
        <w:shd w:val="clear" w:color="auto" w:fill="FFFFFF"/>
        <w:spacing w:line="260" w:lineRule="exact"/>
        <w:jc w:val="left"/>
        <w:rPr>
          <w:rFonts w:ascii="宋体" w:hAnsi="宋体" w:cs="宋体"/>
          <w:kern w:val="0"/>
          <w:szCs w:val="21"/>
        </w:rPr>
      </w:pPr>
    </w:p>
    <w:p>
      <w:pPr>
        <w:widowControl/>
        <w:shd w:val="clear" w:color="auto" w:fill="FFFFFF"/>
        <w:spacing w:line="260" w:lineRule="exact"/>
        <w:jc w:val="left"/>
        <w:rPr>
          <w:rFonts w:ascii="宋体" w:hAnsi="宋体" w:cs="黑体"/>
          <w:sz w:val="32"/>
          <w:szCs w:val="32"/>
        </w:rPr>
      </w:pPr>
      <w:r>
        <w:rPr>
          <w:rFonts w:hint="eastAsia" w:ascii="宋体" w:hAnsi="宋体" w:cs="宋体"/>
          <w:kern w:val="0"/>
          <w:szCs w:val="21"/>
        </w:rPr>
        <w:t>四、质疑项目基本情况</w:t>
      </w:r>
    </w:p>
    <w:p>
      <w:pPr>
        <w:widowControl/>
        <w:shd w:val="clear" w:color="auto" w:fill="FFFFFF"/>
        <w:spacing w:line="260" w:lineRule="exact"/>
        <w:jc w:val="left"/>
        <w:rPr>
          <w:rFonts w:ascii="宋体" w:hAnsi="宋体" w:cs="宋体"/>
          <w:kern w:val="0"/>
          <w:szCs w:val="21"/>
        </w:rPr>
      </w:pPr>
      <w:r>
        <w:rPr>
          <w:rFonts w:ascii="宋体" w:hAnsi="宋体" w:cs="宋体"/>
          <w:kern w:val="0"/>
          <w:szCs w:val="21"/>
        </w:rPr>
        <w:t>1.</w:t>
      </w:r>
      <w:r>
        <w:rPr>
          <w:rFonts w:hint="eastAsia" w:ascii="宋体" w:hAnsi="宋体" w:cs="宋体"/>
          <w:kern w:val="0"/>
          <w:szCs w:val="21"/>
        </w:rPr>
        <w:t>质疑项目的名称</w:t>
      </w:r>
      <w:r>
        <w:rPr>
          <w:rFonts w:ascii="宋体" w:hAnsi="宋体" w:cs="宋体"/>
          <w:b/>
          <w:bCs/>
          <w:kern w:val="0"/>
          <w:szCs w:val="21"/>
          <w:u w:val="single"/>
        </w:rPr>
        <w:t> </w:t>
      </w:r>
      <w:r>
        <w:rPr>
          <w:rFonts w:hint="eastAsia" w:ascii="宋体" w:hAnsi="宋体" w:cs="宋体"/>
          <w:b/>
          <w:bCs/>
          <w:kern w:val="0"/>
          <w:szCs w:val="21"/>
          <w:u w:val="single"/>
        </w:rPr>
        <w:t>：</w:t>
      </w:r>
      <w:r>
        <w:rPr>
          <w:rFonts w:ascii="宋体" w:hAnsi="宋体" w:cs="宋体"/>
          <w:b/>
          <w:bCs/>
          <w:kern w:val="0"/>
          <w:szCs w:val="21"/>
          <w:u w:val="single"/>
        </w:rPr>
        <w:t>                               </w:t>
      </w:r>
    </w:p>
    <w:p>
      <w:pPr>
        <w:widowControl/>
        <w:shd w:val="clear" w:color="auto" w:fill="FFFFFF"/>
        <w:spacing w:line="260" w:lineRule="exact"/>
        <w:jc w:val="left"/>
        <w:rPr>
          <w:rFonts w:ascii="宋体" w:hAnsi="宋体" w:cs="宋体"/>
          <w:b/>
          <w:bCs/>
          <w:kern w:val="0"/>
          <w:szCs w:val="21"/>
          <w:u w:val="single"/>
        </w:rPr>
      </w:pPr>
      <w:r>
        <w:rPr>
          <w:rFonts w:ascii="宋体" w:hAnsi="宋体" w:cs="宋体"/>
          <w:kern w:val="0"/>
          <w:szCs w:val="21"/>
        </w:rPr>
        <w:t>2.</w:t>
      </w:r>
      <w:r>
        <w:rPr>
          <w:rFonts w:hint="eastAsia" w:ascii="宋体" w:hAnsi="宋体" w:cs="宋体"/>
          <w:kern w:val="0"/>
          <w:szCs w:val="21"/>
        </w:rPr>
        <w:t>质疑项目的编号：</w:t>
      </w:r>
      <w:r>
        <w:rPr>
          <w:rFonts w:ascii="宋体" w:hAnsi="宋体" w:cs="宋体"/>
          <w:b/>
          <w:bCs/>
          <w:kern w:val="0"/>
          <w:szCs w:val="21"/>
          <w:u w:val="single"/>
        </w:rPr>
        <w:t>                                </w:t>
      </w:r>
    </w:p>
    <w:p>
      <w:pPr>
        <w:widowControl/>
        <w:shd w:val="clear" w:color="auto" w:fill="FFFFFF"/>
        <w:spacing w:line="260" w:lineRule="exact"/>
        <w:jc w:val="left"/>
        <w:rPr>
          <w:rFonts w:ascii="宋体" w:hAnsi="宋体" w:cs="宋体"/>
          <w:kern w:val="0"/>
          <w:szCs w:val="21"/>
        </w:rPr>
      </w:pPr>
      <w:r>
        <w:rPr>
          <w:rFonts w:ascii="宋体" w:hAnsi="宋体" w:cs="宋体"/>
          <w:bCs/>
          <w:kern w:val="0"/>
          <w:szCs w:val="21"/>
        </w:rPr>
        <w:t>3.</w:t>
      </w:r>
      <w:r>
        <w:rPr>
          <w:rFonts w:hint="eastAsia" w:ascii="宋体" w:hAnsi="宋体" w:cs="宋体"/>
          <w:kern w:val="0"/>
          <w:szCs w:val="21"/>
        </w:rPr>
        <w:t>质疑项目的分标号：</w:t>
      </w:r>
      <w:r>
        <w:rPr>
          <w:rFonts w:ascii="宋体" w:hAnsi="宋体" w:cs="宋体"/>
          <w:b/>
          <w:bCs/>
          <w:kern w:val="0"/>
          <w:szCs w:val="21"/>
          <w:u w:val="single"/>
        </w:rPr>
        <w:t>                               </w:t>
      </w:r>
    </w:p>
    <w:p>
      <w:pPr>
        <w:snapToGrid w:val="0"/>
        <w:spacing w:line="260" w:lineRule="exact"/>
        <w:outlineLvl w:val="0"/>
        <w:rPr>
          <w:rFonts w:ascii="宋体" w:hAnsi="宋体" w:cs="宋体"/>
          <w:kern w:val="0"/>
          <w:szCs w:val="21"/>
        </w:rPr>
      </w:pPr>
    </w:p>
    <w:p>
      <w:pPr>
        <w:rPr>
          <w:rFonts w:ascii="宋体" w:hAnsi="宋体"/>
        </w:rPr>
      </w:pPr>
      <w:r>
        <w:rPr>
          <w:rFonts w:hint="eastAsia" w:ascii="宋体" w:hAnsi="宋体"/>
        </w:rPr>
        <w:t>五、质疑事项具体内容</w:t>
      </w:r>
    </w:p>
    <w:p>
      <w:pPr>
        <w:widowControl/>
        <w:shd w:val="clear" w:color="auto" w:fill="FFFFFF"/>
        <w:spacing w:line="260" w:lineRule="exact"/>
        <w:jc w:val="left"/>
        <w:rPr>
          <w:rFonts w:ascii="宋体" w:hAnsi="宋体" w:cs="宋体"/>
          <w:kern w:val="0"/>
          <w:szCs w:val="21"/>
        </w:rPr>
      </w:pPr>
      <w:r>
        <w:rPr>
          <w:rFonts w:hint="eastAsia" w:ascii="宋体" w:hAnsi="宋体" w:cs="宋体"/>
          <w:kern w:val="0"/>
          <w:szCs w:val="21"/>
        </w:rPr>
        <w:t>质疑事项</w:t>
      </w:r>
      <w:r>
        <w:rPr>
          <w:rFonts w:ascii="宋体" w:hAnsi="宋体" w:cs="宋体"/>
          <w:kern w:val="0"/>
          <w:szCs w:val="21"/>
        </w:rPr>
        <w:t>1</w:t>
      </w:r>
      <w:r>
        <w:rPr>
          <w:rFonts w:hint="eastAsia" w:ascii="宋体" w:hAnsi="宋体" w:cs="宋体"/>
          <w:kern w:val="0"/>
          <w:szCs w:val="21"/>
        </w:rPr>
        <w:t>：</w:t>
      </w:r>
      <w:r>
        <w:rPr>
          <w:rFonts w:ascii="宋体" w:hAnsi="宋体" w:cs="宋体"/>
          <w:bCs/>
          <w:kern w:val="0"/>
          <w:szCs w:val="21"/>
          <w:u w:val="single"/>
        </w:rPr>
        <w:t>                                                                                    </w:t>
      </w:r>
    </w:p>
    <w:p>
      <w:pPr>
        <w:widowControl/>
        <w:shd w:val="clear" w:color="auto" w:fill="FFFFFF"/>
        <w:spacing w:line="260" w:lineRule="exact"/>
        <w:jc w:val="left"/>
        <w:rPr>
          <w:rFonts w:ascii="宋体" w:hAnsi="宋体" w:cs="宋体"/>
          <w:kern w:val="0"/>
          <w:szCs w:val="21"/>
        </w:rPr>
      </w:pPr>
      <w:r>
        <w:rPr>
          <w:rFonts w:hint="eastAsia" w:ascii="宋体" w:hAnsi="宋体" w:cs="宋体"/>
          <w:kern w:val="0"/>
          <w:szCs w:val="21"/>
        </w:rPr>
        <w:t>质疑事项</w:t>
      </w:r>
      <w:r>
        <w:rPr>
          <w:rFonts w:ascii="宋体" w:hAnsi="宋体" w:cs="宋体"/>
          <w:kern w:val="0"/>
          <w:szCs w:val="21"/>
        </w:rPr>
        <w:t>1</w:t>
      </w:r>
      <w:r>
        <w:rPr>
          <w:rFonts w:hint="eastAsia" w:ascii="宋体" w:hAnsi="宋体" w:cs="宋体"/>
          <w:kern w:val="0"/>
          <w:szCs w:val="21"/>
        </w:rPr>
        <w:t>的事实依据：</w:t>
      </w:r>
      <w:r>
        <w:rPr>
          <w:rFonts w:ascii="宋体" w:hAnsi="宋体" w:cs="宋体"/>
          <w:bCs/>
          <w:kern w:val="0"/>
          <w:szCs w:val="21"/>
          <w:u w:val="single"/>
        </w:rPr>
        <w:t xml:space="preserve">                                                                  </w:t>
      </w:r>
    </w:p>
    <w:p>
      <w:pPr>
        <w:widowControl/>
        <w:shd w:val="clear" w:color="auto" w:fill="FFFFFF"/>
        <w:spacing w:line="260" w:lineRule="exact"/>
        <w:jc w:val="left"/>
        <w:rPr>
          <w:rFonts w:ascii="宋体" w:hAnsi="宋体" w:cs="宋体"/>
          <w:kern w:val="0"/>
          <w:szCs w:val="21"/>
        </w:rPr>
      </w:pPr>
      <w:r>
        <w:rPr>
          <w:rFonts w:hint="eastAsia" w:ascii="宋体" w:hAnsi="宋体" w:cs="宋体"/>
          <w:kern w:val="0"/>
          <w:szCs w:val="21"/>
        </w:rPr>
        <w:t>质疑事项</w:t>
      </w:r>
      <w:r>
        <w:rPr>
          <w:rFonts w:ascii="宋体" w:hAnsi="宋体" w:cs="宋体"/>
          <w:kern w:val="0"/>
          <w:szCs w:val="21"/>
        </w:rPr>
        <w:t>1</w:t>
      </w:r>
      <w:r>
        <w:rPr>
          <w:rFonts w:hint="eastAsia" w:ascii="宋体" w:hAnsi="宋体" w:cs="宋体"/>
          <w:kern w:val="0"/>
          <w:szCs w:val="21"/>
        </w:rPr>
        <w:t>的法律依据：</w:t>
      </w:r>
      <w:r>
        <w:rPr>
          <w:rFonts w:ascii="宋体" w:hAnsi="宋体" w:cs="宋体"/>
          <w:bCs/>
          <w:kern w:val="0"/>
          <w:szCs w:val="21"/>
          <w:u w:val="single"/>
        </w:rPr>
        <w:t xml:space="preserve">                                                               </w:t>
      </w:r>
    </w:p>
    <w:p>
      <w:pPr>
        <w:widowControl/>
        <w:shd w:val="clear" w:color="auto" w:fill="FFFFFF"/>
        <w:spacing w:line="260" w:lineRule="exact"/>
        <w:jc w:val="left"/>
        <w:rPr>
          <w:rFonts w:ascii="宋体" w:hAnsi="宋体" w:cs="宋体"/>
          <w:kern w:val="0"/>
          <w:szCs w:val="21"/>
        </w:rPr>
      </w:pPr>
      <w:r>
        <w:rPr>
          <w:rFonts w:hint="eastAsia" w:ascii="宋体" w:hAnsi="宋体" w:cs="宋体"/>
          <w:kern w:val="0"/>
          <w:szCs w:val="21"/>
        </w:rPr>
        <w:t>质疑事项</w:t>
      </w:r>
      <w:r>
        <w:rPr>
          <w:rFonts w:ascii="宋体" w:hAnsi="宋体" w:cs="宋体"/>
          <w:kern w:val="0"/>
          <w:szCs w:val="21"/>
        </w:rPr>
        <w:t>1</w:t>
      </w:r>
      <w:r>
        <w:rPr>
          <w:rFonts w:hint="eastAsia" w:ascii="宋体" w:hAnsi="宋体" w:cs="宋体"/>
          <w:kern w:val="0"/>
          <w:szCs w:val="21"/>
        </w:rPr>
        <w:t>的相关请求：</w:t>
      </w:r>
      <w:r>
        <w:rPr>
          <w:rFonts w:ascii="宋体" w:hAnsi="宋体" w:cs="宋体"/>
          <w:bCs/>
          <w:kern w:val="0"/>
          <w:szCs w:val="21"/>
          <w:u w:val="single"/>
        </w:rPr>
        <w:t xml:space="preserve">                                                                  </w:t>
      </w:r>
    </w:p>
    <w:p>
      <w:pPr>
        <w:widowControl/>
        <w:shd w:val="clear" w:color="auto" w:fill="FFFFFF"/>
        <w:spacing w:line="260" w:lineRule="exact"/>
        <w:jc w:val="left"/>
        <w:rPr>
          <w:rFonts w:ascii="宋体" w:hAnsi="宋体" w:cs="宋体"/>
          <w:kern w:val="0"/>
          <w:szCs w:val="21"/>
        </w:rPr>
      </w:pPr>
      <w:r>
        <w:rPr>
          <w:rFonts w:hint="eastAsia" w:ascii="宋体" w:hAnsi="宋体" w:cs="宋体"/>
          <w:kern w:val="0"/>
          <w:szCs w:val="21"/>
        </w:rPr>
        <w:t>质疑事项</w:t>
      </w:r>
      <w:r>
        <w:rPr>
          <w:rFonts w:ascii="宋体" w:hAnsi="宋体" w:cs="宋体"/>
          <w:kern w:val="0"/>
          <w:szCs w:val="21"/>
        </w:rPr>
        <w:t>2</w:t>
      </w:r>
      <w:r>
        <w:rPr>
          <w:rFonts w:hint="eastAsia" w:ascii="宋体" w:hAnsi="宋体" w:cs="宋体"/>
          <w:kern w:val="0"/>
          <w:szCs w:val="21"/>
        </w:rPr>
        <w:t>：</w:t>
      </w:r>
      <w:r>
        <w:rPr>
          <w:rFonts w:ascii="宋体" w:hAnsi="宋体" w:cs="宋体"/>
          <w:bCs/>
          <w:kern w:val="0"/>
          <w:szCs w:val="21"/>
          <w:u w:val="single"/>
        </w:rPr>
        <w:t>                                                                                    </w:t>
      </w:r>
    </w:p>
    <w:p>
      <w:pPr>
        <w:widowControl/>
        <w:shd w:val="clear" w:color="auto" w:fill="FFFFFF"/>
        <w:spacing w:line="260" w:lineRule="exact"/>
        <w:jc w:val="left"/>
        <w:rPr>
          <w:rFonts w:ascii="宋体" w:hAnsi="宋体" w:cs="宋体"/>
          <w:kern w:val="0"/>
          <w:szCs w:val="21"/>
        </w:rPr>
      </w:pPr>
      <w:r>
        <w:rPr>
          <w:rFonts w:hint="eastAsia" w:ascii="宋体" w:hAnsi="宋体" w:cs="宋体"/>
          <w:kern w:val="0"/>
          <w:szCs w:val="21"/>
        </w:rPr>
        <w:t>质疑事项</w:t>
      </w:r>
      <w:r>
        <w:rPr>
          <w:rFonts w:ascii="宋体" w:hAnsi="宋体" w:cs="宋体"/>
          <w:kern w:val="0"/>
          <w:szCs w:val="21"/>
        </w:rPr>
        <w:t>2</w:t>
      </w:r>
      <w:r>
        <w:rPr>
          <w:rFonts w:hint="eastAsia" w:ascii="宋体" w:hAnsi="宋体" w:cs="宋体"/>
          <w:kern w:val="0"/>
          <w:szCs w:val="21"/>
        </w:rPr>
        <w:t>的事实依据：</w:t>
      </w:r>
      <w:r>
        <w:rPr>
          <w:rFonts w:ascii="宋体" w:hAnsi="宋体" w:cs="宋体"/>
          <w:bCs/>
          <w:kern w:val="0"/>
          <w:szCs w:val="21"/>
          <w:u w:val="single"/>
        </w:rPr>
        <w:t xml:space="preserve">                                                                  </w:t>
      </w:r>
    </w:p>
    <w:p>
      <w:pPr>
        <w:widowControl/>
        <w:shd w:val="clear" w:color="auto" w:fill="FFFFFF"/>
        <w:spacing w:line="260" w:lineRule="exact"/>
        <w:jc w:val="left"/>
        <w:rPr>
          <w:rFonts w:ascii="宋体" w:hAnsi="宋体" w:cs="宋体"/>
          <w:kern w:val="0"/>
          <w:szCs w:val="21"/>
        </w:rPr>
      </w:pPr>
      <w:r>
        <w:rPr>
          <w:rFonts w:hint="eastAsia" w:ascii="宋体" w:hAnsi="宋体" w:cs="宋体"/>
          <w:kern w:val="0"/>
          <w:szCs w:val="21"/>
        </w:rPr>
        <w:t>质疑事项</w:t>
      </w:r>
      <w:r>
        <w:rPr>
          <w:rFonts w:ascii="宋体" w:hAnsi="宋体" w:cs="宋体"/>
          <w:kern w:val="0"/>
          <w:szCs w:val="21"/>
        </w:rPr>
        <w:t>2</w:t>
      </w:r>
      <w:r>
        <w:rPr>
          <w:rFonts w:hint="eastAsia" w:ascii="宋体" w:hAnsi="宋体" w:cs="宋体"/>
          <w:kern w:val="0"/>
          <w:szCs w:val="21"/>
        </w:rPr>
        <w:t>的法律依据：</w:t>
      </w:r>
      <w:r>
        <w:rPr>
          <w:rFonts w:ascii="宋体" w:hAnsi="宋体" w:cs="宋体"/>
          <w:bCs/>
          <w:kern w:val="0"/>
          <w:szCs w:val="21"/>
          <w:u w:val="single"/>
        </w:rPr>
        <w:t xml:space="preserve">                                                               </w:t>
      </w:r>
    </w:p>
    <w:p>
      <w:pPr>
        <w:widowControl/>
        <w:shd w:val="clear" w:color="auto" w:fill="FFFFFF"/>
        <w:spacing w:line="260" w:lineRule="exact"/>
        <w:jc w:val="left"/>
        <w:rPr>
          <w:rFonts w:ascii="宋体" w:hAnsi="宋体" w:cs="宋体"/>
          <w:kern w:val="0"/>
          <w:szCs w:val="21"/>
        </w:rPr>
      </w:pPr>
      <w:r>
        <w:rPr>
          <w:rFonts w:hint="eastAsia" w:ascii="宋体" w:hAnsi="宋体" w:cs="宋体"/>
          <w:kern w:val="0"/>
          <w:szCs w:val="21"/>
        </w:rPr>
        <w:t>质疑事项</w:t>
      </w:r>
      <w:r>
        <w:rPr>
          <w:rFonts w:ascii="宋体" w:hAnsi="宋体" w:cs="宋体"/>
          <w:kern w:val="0"/>
          <w:szCs w:val="21"/>
        </w:rPr>
        <w:t>2</w:t>
      </w:r>
      <w:r>
        <w:rPr>
          <w:rFonts w:hint="eastAsia" w:ascii="宋体" w:hAnsi="宋体" w:cs="宋体"/>
          <w:kern w:val="0"/>
          <w:szCs w:val="21"/>
        </w:rPr>
        <w:t>的相关请求：</w:t>
      </w:r>
      <w:r>
        <w:rPr>
          <w:rFonts w:ascii="宋体" w:hAnsi="宋体" w:cs="宋体"/>
          <w:bCs/>
          <w:kern w:val="0"/>
          <w:szCs w:val="21"/>
          <w:u w:val="single"/>
        </w:rPr>
        <w:t xml:space="preserve">                                                                  </w:t>
      </w:r>
    </w:p>
    <w:p>
      <w:pPr>
        <w:shd w:val="clear" w:color="auto" w:fill="FFFFFF"/>
        <w:spacing w:line="260" w:lineRule="exact"/>
        <w:rPr>
          <w:rFonts w:ascii="宋体" w:hAnsi="宋体" w:cs="宋体"/>
          <w:kern w:val="0"/>
          <w:szCs w:val="21"/>
        </w:rPr>
      </w:pPr>
      <w:r>
        <w:rPr>
          <w:rFonts w:hint="eastAsia" w:ascii="宋体" w:hAnsi="宋体" w:cs="宋体"/>
          <w:kern w:val="0"/>
          <w:szCs w:val="21"/>
        </w:rPr>
        <w:t>……</w:t>
      </w:r>
    </w:p>
    <w:p>
      <w:pPr>
        <w:widowControl/>
        <w:shd w:val="clear" w:color="auto" w:fill="FFFFFF"/>
        <w:spacing w:line="260" w:lineRule="exact"/>
        <w:jc w:val="left"/>
        <w:rPr>
          <w:rFonts w:ascii="宋体" w:hAnsi="宋体" w:cs="宋体"/>
          <w:kern w:val="0"/>
          <w:szCs w:val="21"/>
        </w:rPr>
      </w:pPr>
      <w:r>
        <w:rPr>
          <w:rFonts w:hint="eastAsia" w:ascii="宋体" w:hAnsi="宋体" w:cs="宋体"/>
          <w:kern w:val="0"/>
          <w:szCs w:val="21"/>
        </w:rPr>
        <w:t>六、附件材料目录（材料附后）</w:t>
      </w:r>
    </w:p>
    <w:p>
      <w:pPr>
        <w:widowControl/>
        <w:shd w:val="clear" w:color="auto" w:fill="FFFFFF"/>
        <w:spacing w:line="260" w:lineRule="exact"/>
        <w:jc w:val="left"/>
        <w:rPr>
          <w:rFonts w:ascii="宋体" w:hAnsi="宋体" w:cs="宋体"/>
          <w:kern w:val="0"/>
          <w:szCs w:val="21"/>
        </w:rPr>
      </w:pPr>
      <w:r>
        <w:rPr>
          <w:rFonts w:hint="eastAsia" w:ascii="宋体" w:hAnsi="宋体" w:cs="宋体"/>
          <w:kern w:val="0"/>
          <w:szCs w:val="21"/>
        </w:rPr>
        <w:t>1</w:t>
      </w:r>
      <w:r>
        <w:rPr>
          <w:rFonts w:ascii="宋体" w:hAnsi="宋体" w:cs="宋体"/>
          <w:kern w:val="0"/>
          <w:szCs w:val="21"/>
        </w:rPr>
        <w:t>.</w:t>
      </w:r>
      <w:r>
        <w:rPr>
          <w:rFonts w:hint="eastAsia" w:ascii="宋体" w:hAnsi="宋体" w:cs="宋体"/>
          <w:kern w:val="0"/>
          <w:szCs w:val="21"/>
        </w:rPr>
        <w:t>营业执照副本内页复印件（要求证件有效并清晰反映企业法人经营范围）</w:t>
      </w:r>
    </w:p>
    <w:p>
      <w:pPr>
        <w:widowControl/>
        <w:shd w:val="clear" w:color="auto" w:fill="FFFFFF"/>
        <w:spacing w:line="260" w:lineRule="exact"/>
        <w:jc w:val="left"/>
        <w:rPr>
          <w:rFonts w:ascii="宋体" w:hAnsi="宋体" w:cs="宋体"/>
          <w:kern w:val="0"/>
          <w:szCs w:val="21"/>
        </w:rPr>
      </w:pPr>
      <w:r>
        <w:rPr>
          <w:rFonts w:hint="eastAsia" w:ascii="宋体" w:hAnsi="宋体" w:cs="宋体"/>
          <w:kern w:val="0"/>
          <w:szCs w:val="21"/>
        </w:rPr>
        <w:t>2</w:t>
      </w:r>
      <w:r>
        <w:rPr>
          <w:rFonts w:ascii="宋体" w:hAnsi="宋体" w:cs="宋体"/>
          <w:kern w:val="0"/>
          <w:szCs w:val="21"/>
        </w:rPr>
        <w:t>.</w:t>
      </w:r>
      <w:r>
        <w:rPr>
          <w:rFonts w:hint="eastAsia" w:ascii="宋体" w:hAnsi="宋体" w:cs="宋体"/>
          <w:kern w:val="0"/>
          <w:szCs w:val="21"/>
        </w:rPr>
        <w:t>近期连续三个月依法缴纳税收证明材料（复印件）</w:t>
      </w:r>
    </w:p>
    <w:p>
      <w:pPr>
        <w:widowControl/>
        <w:shd w:val="clear" w:color="auto" w:fill="FFFFFF"/>
        <w:spacing w:line="260" w:lineRule="exact"/>
        <w:jc w:val="left"/>
        <w:rPr>
          <w:rFonts w:ascii="宋体" w:hAnsi="宋体" w:cs="宋体"/>
          <w:kern w:val="0"/>
          <w:szCs w:val="21"/>
        </w:rPr>
      </w:pPr>
      <w:r>
        <w:rPr>
          <w:rFonts w:hint="eastAsia" w:ascii="宋体" w:hAnsi="宋体" w:cs="宋体"/>
          <w:kern w:val="0"/>
          <w:szCs w:val="21"/>
        </w:rPr>
        <w:t>3</w:t>
      </w:r>
      <w:r>
        <w:rPr>
          <w:rFonts w:ascii="宋体" w:hAnsi="宋体" w:cs="宋体"/>
          <w:kern w:val="0"/>
          <w:szCs w:val="21"/>
        </w:rPr>
        <w:t>.</w:t>
      </w:r>
      <w:r>
        <w:rPr>
          <w:rFonts w:hint="eastAsia" w:ascii="宋体" w:hAnsi="宋体" w:cs="宋体"/>
          <w:kern w:val="0"/>
          <w:szCs w:val="21"/>
        </w:rPr>
        <w:t>近期连续三个月在职职工依法缴纳社会保障资金证明材料（复印件）</w:t>
      </w:r>
    </w:p>
    <w:p>
      <w:pPr>
        <w:widowControl/>
        <w:shd w:val="clear" w:color="auto" w:fill="FFFFFF"/>
        <w:spacing w:line="260" w:lineRule="exact"/>
        <w:jc w:val="left"/>
        <w:rPr>
          <w:rFonts w:ascii="宋体" w:hAnsi="宋体" w:cs="宋体"/>
          <w:kern w:val="0"/>
          <w:szCs w:val="21"/>
        </w:rPr>
      </w:pPr>
      <w:r>
        <w:rPr>
          <w:rFonts w:hint="eastAsia" w:ascii="宋体" w:hAnsi="宋体" w:cs="宋体"/>
          <w:kern w:val="0"/>
          <w:szCs w:val="21"/>
        </w:rPr>
        <w:t>七、委托代理时还应提交的材料目录（材料附后）</w:t>
      </w:r>
    </w:p>
    <w:p>
      <w:pPr>
        <w:widowControl/>
        <w:shd w:val="clear" w:color="auto" w:fill="FFFFFF"/>
        <w:spacing w:line="260" w:lineRule="exact"/>
        <w:jc w:val="left"/>
        <w:rPr>
          <w:rFonts w:ascii="宋体" w:hAnsi="宋体" w:cs="宋体"/>
          <w:kern w:val="0"/>
          <w:szCs w:val="21"/>
        </w:rPr>
      </w:pPr>
      <w:r>
        <w:rPr>
          <w:rFonts w:ascii="宋体" w:hAnsi="宋体" w:cs="宋体"/>
          <w:kern w:val="0"/>
          <w:szCs w:val="21"/>
        </w:rPr>
        <w:t>1.</w:t>
      </w:r>
      <w:r>
        <w:rPr>
          <w:rFonts w:hint="eastAsia" w:ascii="宋体" w:hAnsi="宋体" w:cs="宋体"/>
          <w:kern w:val="0"/>
          <w:szCs w:val="21"/>
        </w:rPr>
        <w:t>质疑供应商的授权委托书原件</w:t>
      </w:r>
      <w:r>
        <w:rPr>
          <w:rFonts w:ascii="宋体" w:hAnsi="宋体" w:cs="宋体"/>
          <w:kern w:val="0"/>
          <w:szCs w:val="21"/>
        </w:rPr>
        <w:t>1</w:t>
      </w:r>
      <w:r>
        <w:rPr>
          <w:rFonts w:hint="eastAsia" w:ascii="宋体" w:hAnsi="宋体" w:cs="宋体"/>
          <w:kern w:val="0"/>
          <w:szCs w:val="21"/>
        </w:rPr>
        <w:t>份</w:t>
      </w:r>
    </w:p>
    <w:p>
      <w:pPr>
        <w:widowControl/>
        <w:shd w:val="clear" w:color="auto" w:fill="FFFFFF"/>
        <w:spacing w:line="260" w:lineRule="exact"/>
        <w:jc w:val="left"/>
        <w:rPr>
          <w:rFonts w:ascii="宋体" w:hAnsi="宋体" w:cs="宋体"/>
          <w:kern w:val="0"/>
          <w:szCs w:val="21"/>
        </w:rPr>
      </w:pPr>
      <w:r>
        <w:rPr>
          <w:rFonts w:ascii="宋体" w:hAnsi="宋体" w:cs="宋体"/>
          <w:kern w:val="0"/>
          <w:szCs w:val="21"/>
        </w:rPr>
        <w:t>2.</w:t>
      </w:r>
      <w:r>
        <w:rPr>
          <w:rFonts w:hint="eastAsia" w:ascii="宋体" w:hAnsi="宋体" w:cs="宋体"/>
          <w:kern w:val="0"/>
          <w:szCs w:val="21"/>
        </w:rPr>
        <w:t>委托代理人身份证明复印件</w:t>
      </w:r>
      <w:r>
        <w:rPr>
          <w:rFonts w:ascii="宋体" w:hAnsi="宋体" w:cs="宋体"/>
          <w:kern w:val="0"/>
          <w:szCs w:val="21"/>
        </w:rPr>
        <w:t>1</w:t>
      </w:r>
      <w:r>
        <w:rPr>
          <w:rFonts w:hint="eastAsia" w:ascii="宋体" w:hAnsi="宋体" w:cs="宋体"/>
          <w:kern w:val="0"/>
          <w:szCs w:val="21"/>
        </w:rPr>
        <w:t>份</w:t>
      </w:r>
    </w:p>
    <w:p>
      <w:pPr>
        <w:widowControl/>
        <w:shd w:val="clear" w:color="auto" w:fill="FFFFFF"/>
        <w:spacing w:line="260" w:lineRule="exact"/>
        <w:jc w:val="left"/>
        <w:rPr>
          <w:rFonts w:ascii="宋体" w:hAnsi="宋体" w:cs="宋体"/>
          <w:kern w:val="0"/>
          <w:szCs w:val="21"/>
        </w:rPr>
      </w:pPr>
      <w:r>
        <w:rPr>
          <w:rFonts w:ascii="宋体" w:hAnsi="宋体" w:cs="宋体"/>
          <w:kern w:val="0"/>
          <w:szCs w:val="21"/>
        </w:rPr>
        <w:t>3.</w:t>
      </w:r>
      <w:r>
        <w:rPr>
          <w:rFonts w:hint="eastAsia" w:ascii="宋体" w:hAnsi="宋体" w:cs="宋体"/>
          <w:kern w:val="0"/>
          <w:szCs w:val="21"/>
        </w:rPr>
        <w:t>委托代理人近期三个月社保缴费证明复印件</w:t>
      </w:r>
      <w:r>
        <w:rPr>
          <w:rFonts w:ascii="宋体" w:hAnsi="宋体" w:cs="宋体"/>
          <w:kern w:val="0"/>
          <w:szCs w:val="21"/>
        </w:rPr>
        <w:t>1</w:t>
      </w:r>
      <w:r>
        <w:rPr>
          <w:rFonts w:hint="eastAsia" w:ascii="宋体" w:hAnsi="宋体" w:cs="宋体"/>
          <w:kern w:val="0"/>
          <w:szCs w:val="21"/>
        </w:rPr>
        <w:t>份</w:t>
      </w:r>
    </w:p>
    <w:p>
      <w:pPr>
        <w:widowControl/>
        <w:shd w:val="clear" w:color="auto" w:fill="FFFFFF"/>
        <w:spacing w:line="260" w:lineRule="exact"/>
        <w:jc w:val="center"/>
        <w:rPr>
          <w:rFonts w:ascii="宋体" w:hAnsi="宋体" w:cs="宋体"/>
          <w:kern w:val="0"/>
          <w:szCs w:val="21"/>
        </w:rPr>
      </w:pPr>
    </w:p>
    <w:p>
      <w:pPr>
        <w:widowControl/>
        <w:shd w:val="clear" w:color="auto" w:fill="FFFFFF"/>
        <w:spacing w:line="260" w:lineRule="exact"/>
        <w:jc w:val="center"/>
        <w:rPr>
          <w:rFonts w:ascii="宋体" w:hAnsi="宋体" w:cs="宋体"/>
          <w:kern w:val="0"/>
          <w:szCs w:val="21"/>
        </w:rPr>
      </w:pPr>
      <w:r>
        <w:rPr>
          <w:rFonts w:hint="eastAsia" w:ascii="宋体" w:hAnsi="宋体" w:cs="宋体"/>
          <w:kern w:val="0"/>
          <w:szCs w:val="21"/>
        </w:rPr>
        <w:t>质疑供应商（公章）：</w:t>
      </w:r>
      <w:r>
        <w:rPr>
          <w:rFonts w:ascii="宋体" w:hAnsi="宋体" w:cs="宋体"/>
          <w:kern w:val="0"/>
          <w:szCs w:val="21"/>
        </w:rPr>
        <w:t>          </w:t>
      </w:r>
    </w:p>
    <w:p>
      <w:pPr>
        <w:widowControl/>
        <w:shd w:val="clear" w:color="auto" w:fill="FFFFFF"/>
        <w:spacing w:line="260" w:lineRule="exact"/>
        <w:jc w:val="center"/>
        <w:rPr>
          <w:rFonts w:ascii="宋体" w:hAnsi="宋体" w:cs="宋体"/>
          <w:kern w:val="0"/>
          <w:szCs w:val="21"/>
        </w:rPr>
      </w:pPr>
      <w:r>
        <w:rPr>
          <w:rFonts w:ascii="宋体" w:hAnsi="宋体" w:cs="宋体"/>
          <w:kern w:val="0"/>
          <w:szCs w:val="21"/>
        </w:rPr>
        <w:t> </w:t>
      </w:r>
    </w:p>
    <w:p>
      <w:pPr>
        <w:widowControl/>
        <w:shd w:val="clear" w:color="auto" w:fill="FFFFFF"/>
        <w:spacing w:line="260" w:lineRule="exact"/>
        <w:jc w:val="center"/>
        <w:rPr>
          <w:rFonts w:ascii="宋体" w:hAnsi="宋体" w:cs="宋体"/>
          <w:kern w:val="0"/>
          <w:szCs w:val="21"/>
        </w:rPr>
      </w:pPr>
      <w:r>
        <w:rPr>
          <w:rFonts w:hint="eastAsia" w:ascii="宋体" w:hAnsi="宋体" w:cs="宋体"/>
          <w:kern w:val="0"/>
          <w:szCs w:val="21"/>
        </w:rPr>
        <w:t>法定代表人或其委托代理人签字：</w:t>
      </w:r>
    </w:p>
    <w:p>
      <w:pPr>
        <w:widowControl/>
        <w:shd w:val="clear" w:color="auto" w:fill="FFFFFF"/>
        <w:spacing w:line="260" w:lineRule="exact"/>
        <w:jc w:val="center"/>
        <w:rPr>
          <w:rFonts w:ascii="宋体" w:hAnsi="宋体" w:cs="宋体"/>
          <w:kern w:val="0"/>
          <w:szCs w:val="21"/>
        </w:rPr>
      </w:pPr>
    </w:p>
    <w:p>
      <w:pPr>
        <w:widowControl/>
        <w:shd w:val="clear" w:color="auto" w:fill="FFFFFF"/>
        <w:spacing w:line="260" w:lineRule="exact"/>
        <w:ind w:firstLine="3885" w:firstLineChars="1850"/>
        <w:jc w:val="left"/>
        <w:rPr>
          <w:rFonts w:ascii="宋体" w:hAnsi="宋体" w:cs="宋体"/>
          <w:kern w:val="0"/>
          <w:szCs w:val="21"/>
        </w:rPr>
      </w:pPr>
      <w:r>
        <w:rPr>
          <w:rFonts w:hint="eastAsia" w:ascii="宋体" w:hAnsi="宋体" w:cs="宋体"/>
          <w:kern w:val="0"/>
          <w:szCs w:val="21"/>
        </w:rPr>
        <w:t>提起质疑的日期：年月日</w:t>
      </w:r>
    </w:p>
    <w:p>
      <w:pPr>
        <w:widowControl/>
        <w:shd w:val="clear" w:color="auto" w:fill="FFFFFF"/>
        <w:spacing w:line="260" w:lineRule="exact"/>
        <w:rPr>
          <w:rFonts w:ascii="宋体" w:hAnsi="宋体" w:cs="宋体"/>
          <w:kern w:val="0"/>
          <w:szCs w:val="21"/>
        </w:rPr>
      </w:pPr>
    </w:p>
    <w:p>
      <w:pPr>
        <w:widowControl/>
        <w:shd w:val="clear" w:color="auto" w:fill="FFFFFF"/>
        <w:spacing w:line="260" w:lineRule="exact"/>
        <w:ind w:left="630" w:hanging="630" w:hangingChars="300"/>
        <w:rPr>
          <w:rFonts w:ascii="宋体" w:hAnsi="宋体" w:cs="宋体"/>
          <w:kern w:val="0"/>
          <w:szCs w:val="21"/>
        </w:rPr>
      </w:pPr>
      <w:r>
        <w:rPr>
          <w:rFonts w:hint="eastAsia" w:ascii="宋体" w:hAnsi="宋体" w:cs="宋体"/>
          <w:kern w:val="0"/>
          <w:szCs w:val="21"/>
        </w:rPr>
        <w:t>说明：1.根据质疑环节填写“被质疑人：”。对采购文件中的采购需求（含资格要求、采购预算和评分办法）、采购过程中的资格审查，以及中标或者成交结果的质疑，“被质疑人：”处填写采购人名称；对采购文件中的采购执行程序、采购过程中的采购执行程序的质疑，“被质疑人：”处填写采购代理机构名称。</w:t>
      </w:r>
    </w:p>
    <w:p>
      <w:pPr>
        <w:widowControl/>
        <w:shd w:val="clear" w:color="auto" w:fill="FFFFFF"/>
        <w:spacing w:line="260" w:lineRule="exact"/>
        <w:ind w:firstLine="630" w:firstLineChars="300"/>
        <w:rPr>
          <w:rFonts w:ascii="宋体" w:hAnsi="宋体"/>
          <w:szCs w:val="21"/>
        </w:rPr>
      </w:pPr>
      <w:r>
        <w:rPr>
          <w:rFonts w:hint="eastAsia" w:ascii="宋体" w:hAnsi="宋体" w:cs="宋体"/>
          <w:kern w:val="0"/>
          <w:szCs w:val="21"/>
        </w:rPr>
        <w:t>2</w:t>
      </w:r>
      <w:r>
        <w:rPr>
          <w:rFonts w:ascii="宋体" w:hAnsi="宋体" w:cs="宋体"/>
          <w:kern w:val="0"/>
          <w:szCs w:val="21"/>
        </w:rPr>
        <w:t>.</w:t>
      </w:r>
      <w:r>
        <w:rPr>
          <w:rFonts w:hint="eastAsia" w:ascii="宋体" w:hAnsi="宋体" w:cs="宋体"/>
          <w:kern w:val="0"/>
          <w:szCs w:val="21"/>
        </w:rPr>
        <w:t>质疑事项的事实依据应</w:t>
      </w:r>
      <w:r>
        <w:rPr>
          <w:rFonts w:hint="eastAsia" w:ascii="宋体" w:hAnsi="宋体"/>
          <w:szCs w:val="21"/>
        </w:rPr>
        <w:t>列明权益受到损害的事实和理由；</w:t>
      </w:r>
    </w:p>
    <w:p>
      <w:pPr>
        <w:widowControl/>
        <w:shd w:val="clear" w:color="auto" w:fill="FFFFFF"/>
        <w:spacing w:line="260" w:lineRule="exact"/>
        <w:ind w:firstLine="630" w:firstLineChars="300"/>
        <w:rPr>
          <w:rFonts w:ascii="宋体" w:hAnsi="宋体" w:cs="宋体"/>
          <w:kern w:val="0"/>
          <w:szCs w:val="21"/>
        </w:rPr>
      </w:pPr>
      <w:r>
        <w:rPr>
          <w:rFonts w:hint="eastAsia" w:ascii="宋体" w:hAnsi="宋体"/>
          <w:szCs w:val="21"/>
        </w:rPr>
        <w:t>3</w:t>
      </w:r>
      <w:r>
        <w:rPr>
          <w:rFonts w:ascii="宋体" w:hAnsi="宋体"/>
          <w:szCs w:val="21"/>
        </w:rPr>
        <w:t>.</w:t>
      </w:r>
      <w:r>
        <w:rPr>
          <w:rFonts w:hint="eastAsia" w:ascii="宋体" w:hAnsi="宋体" w:cs="宋体"/>
          <w:kern w:val="0"/>
          <w:szCs w:val="21"/>
        </w:rPr>
        <w:t>质疑事项的法律依据应列明质疑事项违反法律法规的具体条款及内容。</w:t>
      </w:r>
    </w:p>
    <w:p>
      <w:pPr>
        <w:widowControl/>
        <w:adjustRightInd/>
        <w:spacing w:line="240" w:lineRule="auto"/>
        <w:jc w:val="left"/>
        <w:textAlignment w:val="auto"/>
        <w:rPr>
          <w:rFonts w:ascii="宋体" w:hAnsi="宋体"/>
          <w:b/>
          <w:sz w:val="36"/>
          <w:szCs w:val="30"/>
        </w:rPr>
      </w:pPr>
      <w:bookmarkStart w:id="80" w:name="_Toc532542994"/>
      <w:r>
        <w:rPr>
          <w:rFonts w:ascii="宋体" w:hAnsi="宋体"/>
          <w:b/>
          <w:sz w:val="36"/>
          <w:szCs w:val="30"/>
        </w:rPr>
        <w:br w:type="page"/>
      </w:r>
    </w:p>
    <w:p>
      <w:pPr>
        <w:jc w:val="center"/>
        <w:rPr>
          <w:rFonts w:ascii="宋体" w:hAnsi="宋体"/>
          <w:b/>
          <w:sz w:val="36"/>
          <w:szCs w:val="30"/>
        </w:rPr>
      </w:pPr>
      <w:r>
        <w:rPr>
          <w:rFonts w:hint="eastAsia" w:ascii="宋体" w:hAnsi="宋体"/>
          <w:b/>
          <w:sz w:val="36"/>
          <w:szCs w:val="30"/>
        </w:rPr>
        <w:t xml:space="preserve">二  </w:t>
      </w:r>
      <w:r>
        <w:rPr>
          <w:rFonts w:ascii="宋体" w:hAnsi="宋体"/>
          <w:b/>
          <w:sz w:val="36"/>
          <w:szCs w:val="30"/>
        </w:rPr>
        <w:t>质疑证明材料（格式）</w:t>
      </w:r>
      <w:bookmarkEnd w:id="80"/>
    </w:p>
    <w:p>
      <w:pPr>
        <w:widowControl/>
        <w:shd w:val="clear" w:color="auto" w:fill="FFFFFF"/>
        <w:spacing w:line="260" w:lineRule="exact"/>
        <w:jc w:val="left"/>
        <w:rPr>
          <w:rFonts w:ascii="宋体" w:hAnsi="宋体" w:cs="宋体"/>
          <w:kern w:val="0"/>
          <w:szCs w:val="21"/>
        </w:rPr>
      </w:pPr>
    </w:p>
    <w:p>
      <w:pPr>
        <w:widowControl/>
        <w:shd w:val="clear" w:color="auto" w:fill="FFFFFF"/>
        <w:spacing w:line="260" w:lineRule="exact"/>
        <w:jc w:val="left"/>
        <w:rPr>
          <w:rFonts w:ascii="宋体" w:hAnsi="宋体" w:cs="宋体"/>
          <w:kern w:val="0"/>
          <w:szCs w:val="21"/>
        </w:rPr>
      </w:pPr>
      <w:r>
        <w:rPr>
          <w:rFonts w:hint="eastAsia" w:ascii="宋体" w:hAnsi="宋体" w:cs="宋体"/>
          <w:kern w:val="0"/>
          <w:szCs w:val="21"/>
        </w:rPr>
        <w:t>质疑项目的名称</w:t>
      </w:r>
      <w:r>
        <w:rPr>
          <w:rFonts w:hint="eastAsia" w:ascii="宋体" w:hAnsi="宋体" w:cs="宋体"/>
          <w:b/>
          <w:bCs/>
          <w:kern w:val="0"/>
          <w:szCs w:val="21"/>
          <w:u w:val="single"/>
        </w:rPr>
        <w:t>：</w:t>
      </w:r>
      <w:r>
        <w:rPr>
          <w:rFonts w:ascii="宋体" w:hAnsi="宋体" w:cs="宋体"/>
          <w:b/>
          <w:bCs/>
          <w:kern w:val="0"/>
          <w:szCs w:val="21"/>
          <w:u w:val="single"/>
        </w:rPr>
        <w:t>                               </w:t>
      </w:r>
    </w:p>
    <w:p>
      <w:pPr>
        <w:widowControl/>
        <w:shd w:val="clear" w:color="auto" w:fill="FFFFFF"/>
        <w:spacing w:line="260" w:lineRule="exact"/>
        <w:jc w:val="left"/>
        <w:rPr>
          <w:rFonts w:ascii="宋体" w:hAnsi="宋体" w:cs="宋体"/>
          <w:kern w:val="0"/>
          <w:szCs w:val="21"/>
        </w:rPr>
      </w:pPr>
      <w:r>
        <w:rPr>
          <w:rFonts w:hint="eastAsia" w:ascii="宋体" w:hAnsi="宋体" w:cs="宋体"/>
          <w:kern w:val="0"/>
          <w:szCs w:val="21"/>
          <w:lang w:eastAsia="zh-CN"/>
        </w:rPr>
        <w:t>项目编号：YLZC2020-G1-240257-HSHJ</w:t>
      </w:r>
      <w:r>
        <w:rPr>
          <w:rFonts w:ascii="宋体" w:hAnsi="宋体" w:cs="宋体"/>
          <w:b/>
          <w:bCs/>
          <w:kern w:val="0"/>
          <w:szCs w:val="21"/>
          <w:u w:val="single"/>
        </w:rPr>
        <w:t>                                </w:t>
      </w:r>
    </w:p>
    <w:p>
      <w:pPr>
        <w:widowControl/>
        <w:shd w:val="clear" w:color="auto" w:fill="FFFFFF"/>
        <w:spacing w:line="260" w:lineRule="exact"/>
        <w:jc w:val="left"/>
        <w:rPr>
          <w:rFonts w:ascii="宋体" w:hAnsi="宋体" w:cs="宋体"/>
          <w:kern w:val="0"/>
          <w:szCs w:val="21"/>
        </w:rPr>
      </w:pPr>
    </w:p>
    <w:p>
      <w:pPr>
        <w:widowControl/>
        <w:shd w:val="clear" w:color="auto" w:fill="FFFFFF"/>
        <w:spacing w:line="260" w:lineRule="exact"/>
        <w:jc w:val="left"/>
        <w:rPr>
          <w:rFonts w:ascii="宋体" w:hAnsi="宋体" w:cs="宋体"/>
          <w:kern w:val="0"/>
          <w:szCs w:val="21"/>
        </w:rPr>
      </w:pPr>
      <w:r>
        <w:rPr>
          <w:rFonts w:hint="eastAsia" w:ascii="宋体" w:hAnsi="宋体" w:cs="宋体"/>
          <w:kern w:val="0"/>
          <w:szCs w:val="21"/>
        </w:rPr>
        <w:t>一、质疑事项</w:t>
      </w:r>
      <w:r>
        <w:rPr>
          <w:rFonts w:ascii="宋体" w:hAnsi="宋体" w:cs="宋体"/>
          <w:kern w:val="0"/>
          <w:szCs w:val="21"/>
        </w:rPr>
        <w:t>1</w:t>
      </w:r>
      <w:r>
        <w:rPr>
          <w:rFonts w:hint="eastAsia" w:ascii="宋体" w:hAnsi="宋体" w:cs="宋体"/>
          <w:kern w:val="0"/>
          <w:szCs w:val="21"/>
        </w:rPr>
        <w:t>证明材料目录（证明材料附后，共</w:t>
      </w:r>
      <w:r>
        <w:rPr>
          <w:rFonts w:ascii="宋体" w:hAnsi="宋体" w:cs="宋体"/>
          <w:b/>
          <w:bCs/>
          <w:kern w:val="0"/>
          <w:szCs w:val="21"/>
          <w:u w:val="single"/>
        </w:rPr>
        <w:t>     </w:t>
      </w:r>
      <w:r>
        <w:rPr>
          <w:rFonts w:hint="eastAsia" w:ascii="宋体" w:hAnsi="宋体" w:cs="宋体"/>
          <w:kern w:val="0"/>
          <w:szCs w:val="21"/>
        </w:rPr>
        <w:t>页）</w:t>
      </w:r>
    </w:p>
    <w:p>
      <w:pPr>
        <w:widowControl/>
        <w:shd w:val="clear" w:color="auto" w:fill="FFFFFF"/>
        <w:spacing w:line="260" w:lineRule="exact"/>
        <w:jc w:val="left"/>
        <w:rPr>
          <w:rFonts w:ascii="宋体" w:hAnsi="宋体" w:cs="宋体"/>
          <w:kern w:val="0"/>
          <w:szCs w:val="21"/>
        </w:rPr>
      </w:pPr>
      <w:r>
        <w:rPr>
          <w:rFonts w:ascii="宋体" w:hAnsi="宋体" w:cs="宋体"/>
          <w:kern w:val="0"/>
          <w:szCs w:val="21"/>
        </w:rPr>
        <w:t>1.</w:t>
      </w:r>
      <w:r>
        <w:rPr>
          <w:rFonts w:ascii="宋体" w:hAnsi="宋体" w:cs="宋体"/>
          <w:b/>
          <w:bCs/>
          <w:kern w:val="0"/>
          <w:szCs w:val="21"/>
        </w:rPr>
        <w:t>……</w:t>
      </w:r>
    </w:p>
    <w:p>
      <w:pPr>
        <w:widowControl/>
        <w:shd w:val="clear" w:color="auto" w:fill="FFFFFF"/>
        <w:spacing w:line="260" w:lineRule="exact"/>
        <w:jc w:val="left"/>
        <w:rPr>
          <w:rFonts w:ascii="宋体" w:hAnsi="宋体" w:cs="宋体"/>
          <w:kern w:val="0"/>
          <w:szCs w:val="21"/>
        </w:rPr>
      </w:pPr>
      <w:r>
        <w:rPr>
          <w:rFonts w:ascii="宋体" w:hAnsi="宋体" w:cs="宋体"/>
          <w:kern w:val="0"/>
          <w:szCs w:val="21"/>
        </w:rPr>
        <w:t>2.</w:t>
      </w:r>
      <w:r>
        <w:rPr>
          <w:rFonts w:ascii="宋体" w:hAnsi="宋体" w:cs="宋体"/>
          <w:b/>
          <w:bCs/>
          <w:kern w:val="0"/>
          <w:szCs w:val="21"/>
        </w:rPr>
        <w:t>……</w:t>
      </w:r>
    </w:p>
    <w:p>
      <w:pPr>
        <w:widowControl/>
        <w:shd w:val="clear" w:color="auto" w:fill="FFFFFF"/>
        <w:spacing w:line="260" w:lineRule="exact"/>
        <w:jc w:val="left"/>
        <w:rPr>
          <w:rFonts w:ascii="宋体" w:hAnsi="宋体" w:cs="宋体"/>
          <w:b/>
          <w:bCs/>
          <w:kern w:val="0"/>
          <w:szCs w:val="21"/>
        </w:rPr>
      </w:pPr>
      <w:r>
        <w:rPr>
          <w:rFonts w:ascii="宋体" w:hAnsi="宋体" w:cs="宋体"/>
          <w:b/>
          <w:bCs/>
          <w:kern w:val="0"/>
          <w:szCs w:val="21"/>
        </w:rPr>
        <w:t>……</w:t>
      </w:r>
    </w:p>
    <w:p>
      <w:pPr>
        <w:widowControl/>
        <w:shd w:val="clear" w:color="auto" w:fill="FFFFFF"/>
        <w:spacing w:line="260" w:lineRule="exact"/>
        <w:jc w:val="left"/>
        <w:rPr>
          <w:rFonts w:ascii="宋体" w:hAnsi="宋体" w:cs="宋体"/>
          <w:kern w:val="0"/>
          <w:szCs w:val="21"/>
        </w:rPr>
      </w:pPr>
    </w:p>
    <w:p>
      <w:pPr>
        <w:widowControl/>
        <w:shd w:val="clear" w:color="auto" w:fill="FFFFFF"/>
        <w:spacing w:line="260" w:lineRule="exact"/>
        <w:jc w:val="left"/>
        <w:rPr>
          <w:rFonts w:ascii="宋体" w:hAnsi="宋体" w:cs="宋体"/>
          <w:kern w:val="0"/>
          <w:szCs w:val="21"/>
        </w:rPr>
      </w:pPr>
      <w:r>
        <w:rPr>
          <w:rFonts w:hint="eastAsia" w:ascii="宋体" w:hAnsi="宋体" w:cs="宋体"/>
          <w:kern w:val="0"/>
          <w:szCs w:val="21"/>
        </w:rPr>
        <w:t>二、质疑事项</w:t>
      </w:r>
      <w:r>
        <w:rPr>
          <w:rFonts w:ascii="宋体" w:hAnsi="宋体" w:cs="宋体"/>
          <w:kern w:val="0"/>
          <w:szCs w:val="21"/>
        </w:rPr>
        <w:t>2</w:t>
      </w:r>
      <w:r>
        <w:rPr>
          <w:rFonts w:hint="eastAsia" w:ascii="宋体" w:hAnsi="宋体" w:cs="宋体"/>
          <w:kern w:val="0"/>
          <w:szCs w:val="21"/>
        </w:rPr>
        <w:t>证明材料目录（证明材料附后，共</w:t>
      </w:r>
      <w:r>
        <w:rPr>
          <w:rFonts w:ascii="宋体" w:hAnsi="宋体" w:cs="宋体"/>
          <w:b/>
          <w:bCs/>
          <w:kern w:val="0"/>
          <w:szCs w:val="21"/>
          <w:u w:val="single"/>
        </w:rPr>
        <w:t>     </w:t>
      </w:r>
      <w:r>
        <w:rPr>
          <w:rFonts w:hint="eastAsia" w:ascii="宋体" w:hAnsi="宋体" w:cs="宋体"/>
          <w:kern w:val="0"/>
          <w:szCs w:val="21"/>
        </w:rPr>
        <w:t>页）</w:t>
      </w:r>
    </w:p>
    <w:p>
      <w:pPr>
        <w:widowControl/>
        <w:shd w:val="clear" w:color="auto" w:fill="FFFFFF"/>
        <w:spacing w:line="260" w:lineRule="exact"/>
        <w:jc w:val="left"/>
        <w:rPr>
          <w:rFonts w:ascii="宋体" w:hAnsi="宋体" w:cs="宋体"/>
          <w:kern w:val="0"/>
          <w:szCs w:val="21"/>
        </w:rPr>
      </w:pPr>
      <w:r>
        <w:rPr>
          <w:rFonts w:ascii="宋体" w:hAnsi="宋体" w:cs="宋体"/>
          <w:kern w:val="0"/>
          <w:szCs w:val="21"/>
        </w:rPr>
        <w:t>1.</w:t>
      </w:r>
      <w:r>
        <w:rPr>
          <w:rFonts w:ascii="宋体" w:hAnsi="宋体" w:cs="宋体"/>
          <w:b/>
          <w:bCs/>
          <w:kern w:val="0"/>
          <w:szCs w:val="21"/>
        </w:rPr>
        <w:t>……</w:t>
      </w:r>
    </w:p>
    <w:p>
      <w:pPr>
        <w:widowControl/>
        <w:shd w:val="clear" w:color="auto" w:fill="FFFFFF"/>
        <w:spacing w:line="260" w:lineRule="exact"/>
        <w:jc w:val="left"/>
        <w:rPr>
          <w:rFonts w:ascii="宋体" w:hAnsi="宋体" w:cs="宋体"/>
          <w:kern w:val="0"/>
          <w:szCs w:val="21"/>
        </w:rPr>
      </w:pPr>
      <w:r>
        <w:rPr>
          <w:rFonts w:ascii="宋体" w:hAnsi="宋体" w:cs="宋体"/>
          <w:kern w:val="0"/>
          <w:szCs w:val="21"/>
        </w:rPr>
        <w:t>2.</w:t>
      </w:r>
      <w:r>
        <w:rPr>
          <w:rFonts w:ascii="宋体" w:hAnsi="宋体" w:cs="宋体"/>
          <w:b/>
          <w:bCs/>
          <w:kern w:val="0"/>
          <w:szCs w:val="21"/>
        </w:rPr>
        <w:t>……</w:t>
      </w:r>
    </w:p>
    <w:p>
      <w:pPr>
        <w:shd w:val="clear" w:color="auto" w:fill="FFFFFF"/>
        <w:spacing w:line="260" w:lineRule="exact"/>
        <w:rPr>
          <w:rFonts w:ascii="宋体" w:hAnsi="宋体" w:cs="宋体"/>
          <w:kern w:val="0"/>
          <w:szCs w:val="21"/>
        </w:rPr>
      </w:pPr>
      <w:r>
        <w:rPr>
          <w:rFonts w:ascii="宋体" w:hAnsi="宋体" w:cs="宋体"/>
          <w:b/>
          <w:bCs/>
          <w:kern w:val="0"/>
          <w:szCs w:val="21"/>
        </w:rPr>
        <w:t>……</w:t>
      </w:r>
    </w:p>
    <w:p>
      <w:pPr>
        <w:widowControl/>
        <w:shd w:val="clear" w:color="auto" w:fill="FFFFFF"/>
        <w:spacing w:line="260" w:lineRule="exact"/>
        <w:jc w:val="left"/>
        <w:rPr>
          <w:rFonts w:ascii="宋体" w:hAnsi="宋体"/>
        </w:rPr>
      </w:pPr>
      <w:r>
        <w:rPr>
          <w:rFonts w:hint="eastAsia" w:ascii="宋体" w:hAnsi="宋体"/>
        </w:rPr>
        <w:t>三、……</w:t>
      </w:r>
    </w:p>
    <w:p>
      <w:pPr>
        <w:widowControl/>
        <w:shd w:val="clear" w:color="auto" w:fill="FFFFFF"/>
        <w:spacing w:line="260" w:lineRule="exact"/>
        <w:rPr>
          <w:rFonts w:ascii="宋体" w:hAnsi="宋体" w:cs="宋体"/>
          <w:kern w:val="0"/>
          <w:szCs w:val="21"/>
        </w:rPr>
      </w:pPr>
    </w:p>
    <w:p>
      <w:pPr>
        <w:widowControl/>
        <w:shd w:val="clear" w:color="auto" w:fill="FFFFFF"/>
        <w:spacing w:line="260" w:lineRule="exact"/>
        <w:ind w:firstLine="3418" w:firstLineChars="1628"/>
        <w:rPr>
          <w:rFonts w:ascii="宋体" w:hAnsi="宋体" w:cs="宋体"/>
          <w:kern w:val="0"/>
          <w:szCs w:val="21"/>
        </w:rPr>
      </w:pPr>
      <w:r>
        <w:rPr>
          <w:rFonts w:hint="eastAsia" w:ascii="宋体" w:hAnsi="宋体" w:cs="宋体"/>
          <w:kern w:val="0"/>
          <w:szCs w:val="21"/>
        </w:rPr>
        <w:t>质疑供应商（公章）：</w:t>
      </w:r>
      <w:r>
        <w:rPr>
          <w:rFonts w:ascii="宋体" w:hAnsi="宋体" w:cs="宋体"/>
          <w:kern w:val="0"/>
          <w:szCs w:val="21"/>
        </w:rPr>
        <w:t>           </w:t>
      </w:r>
    </w:p>
    <w:p>
      <w:pPr>
        <w:widowControl/>
        <w:shd w:val="clear" w:color="auto" w:fill="FFFFFF"/>
        <w:spacing w:line="260" w:lineRule="exact"/>
        <w:ind w:firstLine="3418" w:firstLineChars="1628"/>
        <w:rPr>
          <w:rFonts w:ascii="宋体" w:hAnsi="宋体" w:cs="宋体"/>
          <w:kern w:val="0"/>
          <w:szCs w:val="21"/>
        </w:rPr>
      </w:pPr>
    </w:p>
    <w:p>
      <w:pPr>
        <w:widowControl/>
        <w:shd w:val="clear" w:color="auto" w:fill="FFFFFF"/>
        <w:spacing w:line="260" w:lineRule="exact"/>
        <w:ind w:firstLine="3418" w:firstLineChars="1628"/>
        <w:rPr>
          <w:rFonts w:ascii="宋体" w:hAnsi="宋体" w:cs="宋体"/>
          <w:kern w:val="0"/>
          <w:szCs w:val="21"/>
        </w:rPr>
      </w:pPr>
      <w:r>
        <w:rPr>
          <w:rFonts w:hint="eastAsia" w:ascii="宋体" w:hAnsi="宋体" w:cs="宋体"/>
          <w:kern w:val="0"/>
          <w:szCs w:val="21"/>
        </w:rPr>
        <w:t>提起质疑的日期：年月日</w:t>
      </w:r>
    </w:p>
    <w:p>
      <w:pPr>
        <w:widowControl/>
        <w:shd w:val="clear" w:color="auto" w:fill="FFFFFF"/>
        <w:spacing w:line="260" w:lineRule="exact"/>
        <w:jc w:val="left"/>
        <w:rPr>
          <w:rFonts w:ascii="宋体" w:hAnsi="宋体"/>
        </w:rPr>
      </w:pPr>
    </w:p>
    <w:p>
      <w:pPr>
        <w:widowControl/>
        <w:shd w:val="clear" w:color="auto" w:fill="FFFFFF"/>
        <w:spacing w:line="260" w:lineRule="exact"/>
        <w:jc w:val="left"/>
        <w:rPr>
          <w:rFonts w:ascii="宋体" w:hAnsi="宋体"/>
        </w:rPr>
      </w:pPr>
      <w:r>
        <w:rPr>
          <w:rFonts w:hint="eastAsia" w:ascii="宋体" w:hAnsi="宋体"/>
        </w:rPr>
        <w:t>（后附</w:t>
      </w:r>
      <w:r>
        <w:rPr>
          <w:rFonts w:hint="eastAsia" w:ascii="宋体" w:hAnsi="宋体" w:cs="宋体"/>
          <w:kern w:val="0"/>
          <w:szCs w:val="21"/>
        </w:rPr>
        <w:t>质疑事项</w:t>
      </w:r>
      <w:r>
        <w:rPr>
          <w:rFonts w:hint="eastAsia" w:ascii="宋体" w:hAnsi="宋体"/>
        </w:rPr>
        <w:t>证明材料的具体文件）</w:t>
      </w:r>
    </w:p>
    <w:p>
      <w:pPr>
        <w:rPr>
          <w:rFonts w:ascii="宋体" w:hAnsi="宋体"/>
        </w:rPr>
      </w:pPr>
    </w:p>
    <w:p>
      <w:pPr>
        <w:pStyle w:val="19"/>
        <w:spacing w:line="360" w:lineRule="auto"/>
        <w:rPr>
          <w:rFonts w:hAnsi="宋体"/>
        </w:rPr>
      </w:pPr>
    </w:p>
    <w:p>
      <w:pPr>
        <w:snapToGrid w:val="0"/>
        <w:spacing w:line="400" w:lineRule="exact"/>
        <w:rPr>
          <w:rFonts w:ascii="宋体" w:hAnsi="宋体"/>
          <w:sz w:val="24"/>
        </w:rPr>
      </w:pPr>
    </w:p>
    <w:sectPr>
      <w:pgSz w:w="11906" w:h="16838"/>
      <w:pgMar w:top="1134" w:right="1134" w:bottom="851" w:left="1134" w:header="720" w:footer="720" w:gutter="0"/>
      <w:cols w:space="720" w:num="1"/>
      <w:docGrid w:type="lines" w:linePitch="331"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99A36159-D8BE-40AB-9A9F-AC4446179885}"/>
  </w:font>
  <w:font w:name="Arial">
    <w:panose1 w:val="020B0604020202020204"/>
    <w:charset w:val="01"/>
    <w:family w:val="swiss"/>
    <w:pitch w:val="default"/>
    <w:sig w:usb0="E0002AFF" w:usb1="C0007843" w:usb2="00000009" w:usb3="00000000" w:csb0="400001FF" w:csb1="FFFF0000"/>
    <w:embedRegular r:id="rId2" w:fontKey="{64CCCACC-C23A-46FC-A352-D06DBD0B2774}"/>
  </w:font>
  <w:font w:name="黑体">
    <w:panose1 w:val="02010609060101010101"/>
    <w:charset w:val="86"/>
    <w:family w:val="auto"/>
    <w:pitch w:val="default"/>
    <w:sig w:usb0="800002BF" w:usb1="38CF7CFA" w:usb2="00000016" w:usb3="00000000" w:csb0="00040001" w:csb1="00000000"/>
    <w:embedRegular r:id="rId3" w:fontKey="{6861F36D-F127-4971-ACF6-F1A71246316F}"/>
  </w:font>
  <w:font w:name="Courier New">
    <w:panose1 w:val="02070309020205020404"/>
    <w:charset w:val="01"/>
    <w:family w:val="modern"/>
    <w:pitch w:val="default"/>
    <w:sig w:usb0="E0002AFF" w:usb1="C0007843" w:usb2="00000009" w:usb3="00000000" w:csb0="400001FF" w:csb1="FFFF0000"/>
    <w:embedRegular r:id="rId4" w:fontKey="{7BD84504-AB8A-4E66-B6A0-0E69E5301EE6}"/>
  </w:font>
  <w:font w:name="Symbol">
    <w:panose1 w:val="05050102010706020507"/>
    <w:charset w:val="02"/>
    <w:family w:val="roman"/>
    <w:pitch w:val="default"/>
    <w:sig w:usb0="00000000" w:usb1="00000000" w:usb2="00000000" w:usb3="00000000" w:csb0="80000000" w:csb1="00000000"/>
    <w:embedRegular r:id="rId5" w:fontKey="{A213D577-B8FD-4470-9927-4106072456F2}"/>
  </w:font>
  <w:font w:name="Calibri">
    <w:panose1 w:val="020F0502020204030204"/>
    <w:charset w:val="00"/>
    <w:family w:val="swiss"/>
    <w:pitch w:val="default"/>
    <w:sig w:usb0="A00002EF" w:usb1="4000207B" w:usb2="00000000" w:usb3="00000000" w:csb0="2000009F" w:csb1="00000000"/>
    <w:embedRegular r:id="rId6" w:fontKey="{A928BA9F-2338-4105-B789-FA30F29D8B98}"/>
  </w:font>
  <w:font w:name="?????">
    <w:altName w:val="Courier New"/>
    <w:panose1 w:val="00000000000000000000"/>
    <w:charset w:val="00"/>
    <w:family w:val="modern"/>
    <w:pitch w:val="default"/>
    <w:sig w:usb0="00000000" w:usb1="00000000" w:usb2="00000000" w:usb3="00000000" w:csb0="00000001" w:csb1="00000000"/>
  </w:font>
  <w:font w:name="Cambria">
    <w:panose1 w:val="02040503050406030204"/>
    <w:charset w:val="00"/>
    <w:family w:val="roman"/>
    <w:pitch w:val="default"/>
    <w:sig w:usb0="A00002EF" w:usb1="4000004B" w:usb2="00000000" w:usb3="00000000" w:csb0="2000009F" w:csb1="00000000"/>
    <w:embedRegular r:id="rId7" w:fontKey="{553BDFD5-1251-4A3E-B5E0-B2942F31F28A}"/>
  </w:font>
  <w:font w:name="Tahoma">
    <w:panose1 w:val="020B0604030504040204"/>
    <w:charset w:val="00"/>
    <w:family w:val="swiss"/>
    <w:pitch w:val="default"/>
    <w:sig w:usb0="E1002EFF" w:usb1="C000605B" w:usb2="00000029" w:usb3="00000000" w:csb0="200101FF" w:csb1="20280000"/>
    <w:embedRegular r:id="rId8" w:fontKey="{FFEE0869-551C-49A8-B81F-FDBA6CB939D9}"/>
  </w:font>
  <w:font w:name="Arial Unicode MS">
    <w:panose1 w:val="020B0604020202020204"/>
    <w:charset w:val="86"/>
    <w:family w:val="swiss"/>
    <w:pitch w:val="default"/>
    <w:sig w:usb0="FFFFFFFF" w:usb1="E9FFFFFF" w:usb2="0000003F" w:usb3="00000000" w:csb0="603F01FF" w:csb1="FFFF0000"/>
  </w:font>
  <w:font w:name="等线">
    <w:altName w:val="微软雅黑"/>
    <w:panose1 w:val="00000000000000000000"/>
    <w:charset w:val="00"/>
    <w:family w:val="auto"/>
    <w:pitch w:val="default"/>
    <w:sig w:usb0="00000000" w:usb1="00000000" w:usb2="00000000" w:usb3="00000000" w:csb0="00000000" w:csb1="00000000"/>
    <w:embedRegular r:id="rId9" w:fontKey="{D8DEE946-F0D9-4D11-8C40-820FF888286B}"/>
  </w:font>
  <w:font w:name="Helvetica">
    <w:altName w:val="Arial"/>
    <w:panose1 w:val="020B0604020202020204"/>
    <w:charset w:val="00"/>
    <w:family w:val="swiss"/>
    <w:pitch w:val="default"/>
    <w:sig w:usb0="00000000" w:usb1="00000000" w:usb2="00000000" w:usb3="00000000" w:csb0="00000001" w:csb1="00000000"/>
    <w:embedRegular r:id="rId10" w:fontKey="{B7D58B4B-51FF-43B9-B973-DA23B2AF0675}"/>
  </w:font>
  <w:font w:name="微软雅黑">
    <w:panose1 w:val="020B0503020204020204"/>
    <w:charset w:val="86"/>
    <w:family w:val="auto"/>
    <w:pitch w:val="default"/>
    <w:sig w:usb0="80000287" w:usb1="280F3C52" w:usb2="00000016" w:usb3="00000000" w:csb0="0004001F" w:csb1="00000000"/>
  </w:font>
  <w:font w:name="Courier New">
    <w:panose1 w:val="02070309020205020404"/>
    <w:charset w:val="00"/>
    <w:family w:val="modern"/>
    <w:pitch w:val="default"/>
    <w:sig w:usb0="E0002AFF" w:usb1="C0007843" w:usb2="00000009" w:usb3="00000000" w:csb0="400001FF" w:csb1="FFFF0000"/>
    <w:embedRegular r:id="rId11" w:fontKey="{8FA8B87F-683D-480C-8B3B-29DB9F02287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jc w:val="center"/>
    </w:pPr>
    <w: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14935" cy="228600"/>
              <wp:effectExtent l="0" t="0" r="0" b="0"/>
              <wp:wrapNone/>
              <wp:docPr id="2" name="文本框 1029"/>
              <wp:cNvGraphicFramePr/>
              <a:graphic xmlns:a="http://schemas.openxmlformats.org/drawingml/2006/main">
                <a:graphicData uri="http://schemas.microsoft.com/office/word/2010/wordprocessingShape">
                  <wps:wsp>
                    <wps:cNvSpPr txBox="1"/>
                    <wps:spPr>
                      <a:xfrm>
                        <a:off x="0" y="0"/>
                        <a:ext cx="114935" cy="228600"/>
                      </a:xfrm>
                      <a:prstGeom prst="rect">
                        <a:avLst/>
                      </a:prstGeom>
                      <a:noFill/>
                      <a:ln w="15875">
                        <a:noFill/>
                      </a:ln>
                      <a:effectLst/>
                    </wps:spPr>
                    <wps:txbx>
                      <w:txbxContent>
                        <w:p>
                          <w:pPr>
                            <w:pStyle w:val="23"/>
                            <w:rPr>
                              <w:rStyle w:val="37"/>
                            </w:rPr>
                          </w:pPr>
                          <w:r>
                            <w:rPr>
                              <w:rStyle w:val="37"/>
                            </w:rPr>
                            <w:fldChar w:fldCharType="begin"/>
                          </w:r>
                          <w:r>
                            <w:rPr>
                              <w:rStyle w:val="37"/>
                            </w:rPr>
                            <w:instrText xml:space="preserve">PAGE  </w:instrText>
                          </w:r>
                          <w:r>
                            <w:rPr>
                              <w:rStyle w:val="37"/>
                            </w:rPr>
                            <w:fldChar w:fldCharType="separate"/>
                          </w:r>
                          <w:r>
                            <w:rPr>
                              <w:rStyle w:val="37"/>
                            </w:rPr>
                            <w:t>5</w:t>
                          </w:r>
                          <w:r>
                            <w:rPr>
                              <w:rStyle w:val="37"/>
                            </w:rPr>
                            <w:fldChar w:fldCharType="end"/>
                          </w:r>
                        </w:p>
                      </w:txbxContent>
                    </wps:txbx>
                    <wps:bodyPr wrap="none" lIns="0" tIns="0" rIns="0" bIns="0">
                      <a:spAutoFit/>
                    </wps:bodyPr>
                  </wps:wsp>
                </a:graphicData>
              </a:graphic>
            </wp:anchor>
          </w:drawing>
        </mc:Choice>
        <mc:Fallback>
          <w:pict>
            <v:shape id="文本框 1029" o:spid="_x0000_s1026" o:spt="202" type="#_x0000_t202" style="position:absolute;left:0pt;margin-top:0pt;height:18pt;width:9.05pt;mso-position-horizontal:center;mso-position-horizontal-relative:margin;mso-wrap-style:none;z-index:251658240;mso-width-relative:page;mso-height-relative:page;" filled="f" stroked="f" coordsize="21600,21600" o:gfxdata="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ECZANHUAAAAAwEAAA8AAAAAAAAAAQAg&#10;AAAAIgAAAGRycy9kb3ducmV2LnhtbFBLAQIUABQAAAAIAIdO4kCmLRkY2QEAAKYDAAAOAAAAAAAA&#10;AAEAIAAAACMBAABkcnMvZTJvRG9jLnhtbFBLBQYAAAAABgAGAFkBAABuBQAAAAA=&#10;">
              <v:fill on="f" focussize="0,0"/>
              <v:stroke on="f" weight="1.25pt"/>
              <v:imagedata o:title=""/>
              <o:lock v:ext="edit" aspectratio="f"/>
              <v:textbox inset="0mm,0mm,0mm,0mm" style="mso-fit-shape-to-text:t;">
                <w:txbxContent>
                  <w:p>
                    <w:pPr>
                      <w:pStyle w:val="23"/>
                      <w:rPr>
                        <w:rStyle w:val="37"/>
                      </w:rPr>
                    </w:pPr>
                    <w:r>
                      <w:rPr>
                        <w:rStyle w:val="37"/>
                      </w:rPr>
                      <w:fldChar w:fldCharType="begin"/>
                    </w:r>
                    <w:r>
                      <w:rPr>
                        <w:rStyle w:val="37"/>
                      </w:rPr>
                      <w:instrText xml:space="preserve">PAGE  </w:instrText>
                    </w:r>
                    <w:r>
                      <w:rPr>
                        <w:rStyle w:val="37"/>
                      </w:rPr>
                      <w:fldChar w:fldCharType="separate"/>
                    </w:r>
                    <w:r>
                      <w:rPr>
                        <w:rStyle w:val="37"/>
                      </w:rPr>
                      <w:t>5</w:t>
                    </w:r>
                    <w:r>
                      <w:rPr>
                        <w:rStyle w:val="37"/>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360" w:lineRule="auto"/>
      <w:jc w:val="left"/>
      <w:rPr>
        <w:sz w:val="15"/>
        <w:szCs w:val="15"/>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209B9A7"/>
    <w:multiLevelType w:val="singleLevel"/>
    <w:tmpl w:val="F209B9A7"/>
    <w:lvl w:ilvl="0" w:tentative="0">
      <w:start w:val="2"/>
      <w:numFmt w:val="decimal"/>
      <w:suff w:val="nothing"/>
      <w:lvlText w:val="（%1）"/>
      <w:lvlJc w:val="left"/>
      <w:pPr>
        <w:textAlignment w:val="baseline"/>
      </w:pPr>
    </w:lvl>
  </w:abstractNum>
  <w:abstractNum w:abstractNumId="1">
    <w:nsid w:val="FFFFFF89"/>
    <w:multiLevelType w:val="singleLevel"/>
    <w:tmpl w:val="FFFFFF89"/>
    <w:lvl w:ilvl="0" w:tentative="0">
      <w:start w:val="1"/>
      <w:numFmt w:val="bullet"/>
      <w:pStyle w:val="105"/>
      <w:lvlText w:val=""/>
      <w:lvlJc w:val="left"/>
      <w:pPr>
        <w:tabs>
          <w:tab w:val="left" w:pos="360"/>
        </w:tabs>
        <w:ind w:left="360" w:hanging="360"/>
      </w:pPr>
      <w:rPr>
        <w:rFonts w:hint="default" w:ascii="Wingdings" w:hAnsi="Wingdings"/>
      </w:rPr>
    </w:lvl>
  </w:abstractNum>
  <w:abstractNum w:abstractNumId="2">
    <w:nsid w:val="00000001"/>
    <w:multiLevelType w:val="multilevel"/>
    <w:tmpl w:val="00000001"/>
    <w:lvl w:ilvl="0" w:tentative="0">
      <w:start w:val="1"/>
      <w:numFmt w:val="decimal"/>
      <w:lvlText w:val="（%1）"/>
      <w:lvlJc w:val="left"/>
      <w:pPr>
        <w:ind w:firstLine="0"/>
      </w:pPr>
      <w:rPr>
        <w:rFonts w:ascii="宋体" w:hAnsi="宋体"/>
      </w:rPr>
    </w:lvl>
    <w:lvl w:ilvl="1" w:tentative="0">
      <w:start w:val="1"/>
      <w:numFmt w:val="lowerLetter"/>
      <w:lvlText w:val="%2)"/>
      <w:lvlJc w:val="left"/>
      <w:pPr>
        <w:ind w:firstLine="0"/>
      </w:pPr>
    </w:lvl>
    <w:lvl w:ilvl="2" w:tentative="0">
      <w:start w:val="1"/>
      <w:numFmt w:val="lowerRoman"/>
      <w:lvlText w:val="%3."/>
      <w:lvlJc w:val="left"/>
      <w:pPr>
        <w:ind w:firstLine="0"/>
      </w:pPr>
    </w:lvl>
    <w:lvl w:ilvl="3" w:tentative="0">
      <w:start w:val="1"/>
      <w:numFmt w:val="decimal"/>
      <w:lvlText w:val="%4."/>
      <w:lvlJc w:val="left"/>
      <w:pPr>
        <w:ind w:firstLine="0"/>
      </w:pPr>
    </w:lvl>
    <w:lvl w:ilvl="4" w:tentative="0">
      <w:start w:val="1"/>
      <w:numFmt w:val="lowerLetter"/>
      <w:lvlText w:val="%5)"/>
      <w:lvlJc w:val="left"/>
      <w:pPr>
        <w:ind w:firstLine="0"/>
      </w:pPr>
    </w:lvl>
    <w:lvl w:ilvl="5" w:tentative="0">
      <w:start w:val="1"/>
      <w:numFmt w:val="lowerRoman"/>
      <w:lvlText w:val="%6."/>
      <w:lvlJc w:val="left"/>
      <w:pPr>
        <w:ind w:firstLine="0"/>
      </w:pPr>
    </w:lvl>
    <w:lvl w:ilvl="6" w:tentative="0">
      <w:start w:val="1"/>
      <w:numFmt w:val="decimal"/>
      <w:lvlText w:val="%7."/>
      <w:lvlJc w:val="left"/>
      <w:pPr>
        <w:ind w:firstLine="0"/>
      </w:pPr>
    </w:lvl>
    <w:lvl w:ilvl="7" w:tentative="0">
      <w:start w:val="1"/>
      <w:numFmt w:val="lowerLetter"/>
      <w:lvlText w:val="%8)"/>
      <w:lvlJc w:val="left"/>
      <w:pPr>
        <w:ind w:firstLine="0"/>
      </w:pPr>
    </w:lvl>
    <w:lvl w:ilvl="8" w:tentative="0">
      <w:start w:val="1"/>
      <w:numFmt w:val="lowerRoman"/>
      <w:lvlText w:val="%9."/>
      <w:lvlJc w:val="left"/>
      <w:pPr>
        <w:ind w:firstLine="0"/>
      </w:pPr>
    </w:lvl>
  </w:abstractNum>
  <w:abstractNum w:abstractNumId="3">
    <w:nsid w:val="00000002"/>
    <w:multiLevelType w:val="multilevel"/>
    <w:tmpl w:val="00000002"/>
    <w:lvl w:ilvl="0" w:tentative="0">
      <w:start w:val="1"/>
      <w:numFmt w:val="decimal"/>
      <w:lvlText w:val="（%1）"/>
      <w:lvlJc w:val="left"/>
      <w:pPr>
        <w:ind w:firstLine="0"/>
      </w:pPr>
    </w:lvl>
    <w:lvl w:ilvl="1" w:tentative="0">
      <w:start w:val="1"/>
      <w:numFmt w:val="lowerLetter"/>
      <w:lvlText w:val="%2)"/>
      <w:lvlJc w:val="left"/>
      <w:pPr>
        <w:ind w:firstLine="0"/>
      </w:pPr>
    </w:lvl>
    <w:lvl w:ilvl="2" w:tentative="0">
      <w:start w:val="1"/>
      <w:numFmt w:val="lowerRoman"/>
      <w:lvlText w:val="%3."/>
      <w:lvlJc w:val="left"/>
      <w:pPr>
        <w:ind w:firstLine="0"/>
      </w:pPr>
    </w:lvl>
    <w:lvl w:ilvl="3" w:tentative="0">
      <w:start w:val="1"/>
      <w:numFmt w:val="decimal"/>
      <w:lvlText w:val="%4."/>
      <w:lvlJc w:val="left"/>
      <w:pPr>
        <w:ind w:firstLine="0"/>
      </w:pPr>
    </w:lvl>
    <w:lvl w:ilvl="4" w:tentative="0">
      <w:start w:val="1"/>
      <w:numFmt w:val="lowerLetter"/>
      <w:lvlText w:val="%5)"/>
      <w:lvlJc w:val="left"/>
      <w:pPr>
        <w:ind w:firstLine="0"/>
      </w:pPr>
    </w:lvl>
    <w:lvl w:ilvl="5" w:tentative="0">
      <w:start w:val="1"/>
      <w:numFmt w:val="lowerRoman"/>
      <w:lvlText w:val="%6."/>
      <w:lvlJc w:val="left"/>
      <w:pPr>
        <w:ind w:firstLine="0"/>
      </w:pPr>
    </w:lvl>
    <w:lvl w:ilvl="6" w:tentative="0">
      <w:start w:val="1"/>
      <w:numFmt w:val="decimal"/>
      <w:lvlText w:val="%7."/>
      <w:lvlJc w:val="left"/>
      <w:pPr>
        <w:ind w:firstLine="0"/>
      </w:pPr>
    </w:lvl>
    <w:lvl w:ilvl="7" w:tentative="0">
      <w:start w:val="1"/>
      <w:numFmt w:val="lowerLetter"/>
      <w:lvlText w:val="%8)"/>
      <w:lvlJc w:val="left"/>
      <w:pPr>
        <w:ind w:firstLine="0"/>
      </w:pPr>
    </w:lvl>
    <w:lvl w:ilvl="8" w:tentative="0">
      <w:start w:val="1"/>
      <w:numFmt w:val="lowerRoman"/>
      <w:lvlText w:val="%9."/>
      <w:lvlJc w:val="left"/>
      <w:pPr>
        <w:ind w:firstLine="0"/>
      </w:pPr>
    </w:lvl>
  </w:abstractNum>
  <w:abstractNum w:abstractNumId="4">
    <w:nsid w:val="0000000A"/>
    <w:multiLevelType w:val="multilevel"/>
    <w:tmpl w:val="0000000A"/>
    <w:lvl w:ilvl="0" w:tentative="0">
      <w:start w:val="1"/>
      <w:numFmt w:val="decimal"/>
      <w:pStyle w:val="118"/>
      <w:lvlText w:val="（%1）"/>
      <w:lvlJc w:val="left"/>
      <w:pPr>
        <w:tabs>
          <w:tab w:val="left" w:pos="1140"/>
        </w:tabs>
        <w:ind w:left="1140" w:hanging="720"/>
      </w:pPr>
      <w:rPr>
        <w:rFonts w:ascii="宋体" w:hAnsi="宋体" w:eastAsia="宋体" w:cs="Times New Roman"/>
      </w:rPr>
    </w:lvl>
    <w:lvl w:ilvl="1" w:tentative="0">
      <w:start w:val="1"/>
      <w:numFmt w:val="lowerLetter"/>
      <w:pStyle w:val="79"/>
      <w:lvlText w:val="%2)"/>
      <w:lvlJc w:val="left"/>
      <w:pPr>
        <w:tabs>
          <w:tab w:val="left" w:pos="1260"/>
        </w:tabs>
        <w:ind w:left="1260" w:hanging="420"/>
      </w:pPr>
      <w:rPr>
        <w:rFonts w:cs="Times New Roman"/>
      </w:rPr>
    </w:lvl>
    <w:lvl w:ilvl="2" w:tentative="0">
      <w:start w:val="1"/>
      <w:numFmt w:val="lowerRoman"/>
      <w:lvlText w:val="%3."/>
      <w:lvlJc w:val="right"/>
      <w:pPr>
        <w:tabs>
          <w:tab w:val="left" w:pos="1680"/>
        </w:tabs>
        <w:ind w:left="1680" w:hanging="420"/>
      </w:pPr>
      <w:rPr>
        <w:rFonts w:cs="Times New Roman"/>
      </w:rPr>
    </w:lvl>
    <w:lvl w:ilvl="3" w:tentative="0">
      <w:start w:val="1"/>
      <w:numFmt w:val="decimal"/>
      <w:pStyle w:val="77"/>
      <w:lvlText w:val="%4."/>
      <w:lvlJc w:val="left"/>
      <w:pPr>
        <w:tabs>
          <w:tab w:val="left" w:pos="2100"/>
        </w:tabs>
        <w:ind w:left="2100" w:hanging="420"/>
      </w:pPr>
      <w:rPr>
        <w:rFonts w:cs="Times New Roman"/>
      </w:rPr>
    </w:lvl>
    <w:lvl w:ilvl="4" w:tentative="0">
      <w:start w:val="1"/>
      <w:numFmt w:val="lowerLetter"/>
      <w:pStyle w:val="76"/>
      <w:lvlText w:val="%5)"/>
      <w:lvlJc w:val="left"/>
      <w:pPr>
        <w:tabs>
          <w:tab w:val="left" w:pos="2520"/>
        </w:tabs>
        <w:ind w:left="2520" w:hanging="420"/>
      </w:pPr>
      <w:rPr>
        <w:rFonts w:cs="Times New Roman"/>
      </w:rPr>
    </w:lvl>
    <w:lvl w:ilvl="5" w:tentative="0">
      <w:start w:val="1"/>
      <w:numFmt w:val="lowerRoman"/>
      <w:pStyle w:val="94"/>
      <w:lvlText w:val="%6."/>
      <w:lvlJc w:val="right"/>
      <w:pPr>
        <w:tabs>
          <w:tab w:val="left" w:pos="2940"/>
        </w:tabs>
        <w:ind w:left="2940" w:hanging="420"/>
      </w:pPr>
      <w:rPr>
        <w:rFonts w:cs="Times New Roman"/>
      </w:rPr>
    </w:lvl>
    <w:lvl w:ilvl="6" w:tentative="0">
      <w:start w:val="1"/>
      <w:numFmt w:val="decimal"/>
      <w:lvlText w:val="%7."/>
      <w:lvlJc w:val="left"/>
      <w:pPr>
        <w:tabs>
          <w:tab w:val="left" w:pos="3360"/>
        </w:tabs>
        <w:ind w:left="3360" w:hanging="420"/>
      </w:pPr>
      <w:rPr>
        <w:rFonts w:cs="Times New Roman"/>
      </w:rPr>
    </w:lvl>
    <w:lvl w:ilvl="7" w:tentative="0">
      <w:start w:val="1"/>
      <w:numFmt w:val="lowerLetter"/>
      <w:lvlText w:val="%8)"/>
      <w:lvlJc w:val="left"/>
      <w:pPr>
        <w:tabs>
          <w:tab w:val="left" w:pos="3780"/>
        </w:tabs>
        <w:ind w:left="3780" w:hanging="420"/>
      </w:pPr>
      <w:rPr>
        <w:rFonts w:cs="Times New Roman"/>
      </w:rPr>
    </w:lvl>
    <w:lvl w:ilvl="8" w:tentative="0">
      <w:start w:val="1"/>
      <w:numFmt w:val="lowerRoman"/>
      <w:lvlText w:val="%9."/>
      <w:lvlJc w:val="right"/>
      <w:pPr>
        <w:tabs>
          <w:tab w:val="left" w:pos="4200"/>
        </w:tabs>
        <w:ind w:left="4200" w:hanging="420"/>
      </w:pPr>
      <w:rPr>
        <w:rFonts w:cs="Times New Roman"/>
      </w:rPr>
    </w:lvl>
  </w:abstractNum>
  <w:abstractNum w:abstractNumId="5">
    <w:nsid w:val="0000000B"/>
    <w:multiLevelType w:val="multilevel"/>
    <w:tmpl w:val="0000000B"/>
    <w:lvl w:ilvl="0" w:tentative="0">
      <w:start w:val="1"/>
      <w:numFmt w:val="decimal"/>
      <w:pStyle w:val="113"/>
      <w:lvlText w:val="（%1）"/>
      <w:lvlJc w:val="left"/>
      <w:pPr>
        <w:tabs>
          <w:tab w:val="left" w:pos="1140"/>
        </w:tabs>
        <w:ind w:left="1140" w:hanging="720"/>
      </w:pPr>
      <w:rPr>
        <w:rFonts w:hint="eastAsia" w:cs="Times New Roman"/>
      </w:rPr>
    </w:lvl>
    <w:lvl w:ilvl="1" w:tentative="0">
      <w:start w:val="1"/>
      <w:numFmt w:val="lowerLetter"/>
      <w:lvlText w:val="%2)"/>
      <w:lvlJc w:val="left"/>
      <w:pPr>
        <w:tabs>
          <w:tab w:val="left" w:pos="1260"/>
        </w:tabs>
        <w:ind w:left="1260" w:hanging="420"/>
      </w:pPr>
      <w:rPr>
        <w:rFonts w:cs="Times New Roman"/>
      </w:rPr>
    </w:lvl>
    <w:lvl w:ilvl="2" w:tentative="0">
      <w:start w:val="1"/>
      <w:numFmt w:val="lowerRoman"/>
      <w:lvlText w:val="%3."/>
      <w:lvlJc w:val="right"/>
      <w:pPr>
        <w:tabs>
          <w:tab w:val="left" w:pos="1680"/>
        </w:tabs>
        <w:ind w:left="1680" w:hanging="420"/>
      </w:pPr>
      <w:rPr>
        <w:rFonts w:cs="Times New Roman"/>
      </w:rPr>
    </w:lvl>
    <w:lvl w:ilvl="3" w:tentative="0">
      <w:start w:val="1"/>
      <w:numFmt w:val="decimal"/>
      <w:lvlText w:val="%4."/>
      <w:lvlJc w:val="left"/>
      <w:pPr>
        <w:tabs>
          <w:tab w:val="left" w:pos="2100"/>
        </w:tabs>
        <w:ind w:left="2100" w:hanging="420"/>
      </w:pPr>
      <w:rPr>
        <w:rFonts w:cs="Times New Roman"/>
      </w:rPr>
    </w:lvl>
    <w:lvl w:ilvl="4" w:tentative="0">
      <w:start w:val="1"/>
      <w:numFmt w:val="lowerLetter"/>
      <w:lvlText w:val="%5)"/>
      <w:lvlJc w:val="left"/>
      <w:pPr>
        <w:tabs>
          <w:tab w:val="left" w:pos="2520"/>
        </w:tabs>
        <w:ind w:left="2520" w:hanging="420"/>
      </w:pPr>
      <w:rPr>
        <w:rFonts w:cs="Times New Roman"/>
      </w:rPr>
    </w:lvl>
    <w:lvl w:ilvl="5" w:tentative="0">
      <w:start w:val="1"/>
      <w:numFmt w:val="lowerRoman"/>
      <w:lvlText w:val="%6."/>
      <w:lvlJc w:val="right"/>
      <w:pPr>
        <w:tabs>
          <w:tab w:val="left" w:pos="2940"/>
        </w:tabs>
        <w:ind w:left="2940" w:hanging="420"/>
      </w:pPr>
      <w:rPr>
        <w:rFonts w:cs="Times New Roman"/>
      </w:rPr>
    </w:lvl>
    <w:lvl w:ilvl="6" w:tentative="0">
      <w:start w:val="1"/>
      <w:numFmt w:val="decimal"/>
      <w:lvlText w:val="%7."/>
      <w:lvlJc w:val="left"/>
      <w:pPr>
        <w:tabs>
          <w:tab w:val="left" w:pos="3360"/>
        </w:tabs>
        <w:ind w:left="3360" w:hanging="420"/>
      </w:pPr>
      <w:rPr>
        <w:rFonts w:cs="Times New Roman"/>
      </w:rPr>
    </w:lvl>
    <w:lvl w:ilvl="7" w:tentative="0">
      <w:start w:val="1"/>
      <w:numFmt w:val="lowerLetter"/>
      <w:lvlText w:val="%8)"/>
      <w:lvlJc w:val="left"/>
      <w:pPr>
        <w:tabs>
          <w:tab w:val="left" w:pos="3780"/>
        </w:tabs>
        <w:ind w:left="3780" w:hanging="420"/>
      </w:pPr>
      <w:rPr>
        <w:rFonts w:cs="Times New Roman"/>
      </w:rPr>
    </w:lvl>
    <w:lvl w:ilvl="8" w:tentative="0">
      <w:start w:val="1"/>
      <w:numFmt w:val="lowerRoman"/>
      <w:lvlText w:val="%9."/>
      <w:lvlJc w:val="right"/>
      <w:pPr>
        <w:tabs>
          <w:tab w:val="left" w:pos="4200"/>
        </w:tabs>
        <w:ind w:left="4200" w:hanging="420"/>
      </w:pPr>
      <w:rPr>
        <w:rFonts w:cs="Times New Roman"/>
      </w:rPr>
    </w:lvl>
  </w:abstractNum>
  <w:abstractNum w:abstractNumId="6">
    <w:nsid w:val="0000000C"/>
    <w:multiLevelType w:val="multilevel"/>
    <w:tmpl w:val="0000000C"/>
    <w:lvl w:ilvl="0" w:tentative="0">
      <w:start w:val="1"/>
      <w:numFmt w:val="decimal"/>
      <w:pStyle w:val="92"/>
      <w:lvlText w:val="%1、"/>
      <w:lvlJc w:val="left"/>
      <w:pPr>
        <w:tabs>
          <w:tab w:val="left" w:pos="972"/>
        </w:tabs>
        <w:ind w:left="1320" w:hanging="564"/>
      </w:pPr>
      <w:rPr>
        <w:rFonts w:hint="eastAsia" w:cs="Times New Roman"/>
      </w:rPr>
    </w:lvl>
    <w:lvl w:ilvl="1" w:tentative="0">
      <w:start w:val="1"/>
      <w:numFmt w:val="lowerLetter"/>
      <w:pStyle w:val="90"/>
      <w:lvlText w:val="%2."/>
      <w:lvlJc w:val="left"/>
      <w:pPr>
        <w:tabs>
          <w:tab w:val="left" w:pos="1980"/>
        </w:tabs>
        <w:ind w:left="1980" w:hanging="360"/>
      </w:pPr>
      <w:rPr>
        <w:rFonts w:cs="Times New Roman"/>
      </w:rPr>
    </w:lvl>
    <w:lvl w:ilvl="2" w:tentative="0">
      <w:start w:val="1"/>
      <w:numFmt w:val="lowerRoman"/>
      <w:pStyle w:val="89"/>
      <w:lvlText w:val="%3."/>
      <w:lvlJc w:val="right"/>
      <w:pPr>
        <w:tabs>
          <w:tab w:val="left" w:pos="2700"/>
        </w:tabs>
        <w:ind w:left="2700" w:hanging="180"/>
      </w:pPr>
      <w:rPr>
        <w:rFonts w:cs="Times New Roman"/>
      </w:rPr>
    </w:lvl>
    <w:lvl w:ilvl="3" w:tentative="0">
      <w:start w:val="1"/>
      <w:numFmt w:val="decimal"/>
      <w:pStyle w:val="88"/>
      <w:lvlText w:val="%4."/>
      <w:lvlJc w:val="left"/>
      <w:pPr>
        <w:tabs>
          <w:tab w:val="left" w:pos="3420"/>
        </w:tabs>
        <w:ind w:left="3420" w:hanging="360"/>
      </w:pPr>
      <w:rPr>
        <w:rFonts w:cs="Times New Roman"/>
      </w:rPr>
    </w:lvl>
    <w:lvl w:ilvl="4" w:tentative="0">
      <w:start w:val="1"/>
      <w:numFmt w:val="lowerLetter"/>
      <w:pStyle w:val="87"/>
      <w:lvlText w:val="%5."/>
      <w:lvlJc w:val="left"/>
      <w:pPr>
        <w:tabs>
          <w:tab w:val="left" w:pos="4140"/>
        </w:tabs>
        <w:ind w:left="4140" w:hanging="360"/>
      </w:pPr>
      <w:rPr>
        <w:rFonts w:cs="Times New Roman"/>
      </w:rPr>
    </w:lvl>
    <w:lvl w:ilvl="5" w:tentative="0">
      <w:start w:val="1"/>
      <w:numFmt w:val="lowerRoman"/>
      <w:pStyle w:val="86"/>
      <w:lvlText w:val="%6."/>
      <w:lvlJc w:val="right"/>
      <w:pPr>
        <w:tabs>
          <w:tab w:val="left" w:pos="4860"/>
        </w:tabs>
        <w:ind w:left="4860" w:hanging="180"/>
      </w:pPr>
      <w:rPr>
        <w:rFonts w:cs="Times New Roman"/>
      </w:rPr>
    </w:lvl>
    <w:lvl w:ilvl="6" w:tentative="0">
      <w:start w:val="1"/>
      <w:numFmt w:val="decimal"/>
      <w:pStyle w:val="130"/>
      <w:lvlText w:val="%7."/>
      <w:lvlJc w:val="left"/>
      <w:pPr>
        <w:tabs>
          <w:tab w:val="left" w:pos="5580"/>
        </w:tabs>
        <w:ind w:left="5580" w:hanging="360"/>
      </w:pPr>
      <w:rPr>
        <w:rFonts w:cs="Times New Roman"/>
      </w:rPr>
    </w:lvl>
    <w:lvl w:ilvl="7" w:tentative="0">
      <w:start w:val="1"/>
      <w:numFmt w:val="lowerLetter"/>
      <w:lvlText w:val="%8."/>
      <w:lvlJc w:val="left"/>
      <w:pPr>
        <w:tabs>
          <w:tab w:val="left" w:pos="6300"/>
        </w:tabs>
        <w:ind w:left="6300" w:hanging="360"/>
      </w:pPr>
      <w:rPr>
        <w:rFonts w:cs="Times New Roman"/>
      </w:rPr>
    </w:lvl>
    <w:lvl w:ilvl="8" w:tentative="0">
      <w:start w:val="1"/>
      <w:numFmt w:val="lowerRoman"/>
      <w:lvlText w:val="%9."/>
      <w:lvlJc w:val="right"/>
      <w:pPr>
        <w:tabs>
          <w:tab w:val="left" w:pos="7020"/>
        </w:tabs>
        <w:ind w:left="7020" w:hanging="180"/>
      </w:pPr>
      <w:rPr>
        <w:rFonts w:cs="Times New Roman"/>
      </w:rPr>
    </w:lvl>
  </w:abstractNum>
  <w:abstractNum w:abstractNumId="7">
    <w:nsid w:val="23813970"/>
    <w:multiLevelType w:val="multilevel"/>
    <w:tmpl w:val="23813970"/>
    <w:lvl w:ilvl="0" w:tentative="0">
      <w:start w:val="1"/>
      <w:numFmt w:val="decimal"/>
      <w:pStyle w:val="96"/>
      <w:lvlText w:val="%1)"/>
      <w:lvlJc w:val="left"/>
      <w:pPr>
        <w:ind w:left="360" w:hanging="360"/>
      </w:pPr>
      <w:rPr>
        <w:rFonts w:cs="Times New Roman"/>
      </w:rPr>
    </w:lvl>
    <w:lvl w:ilvl="1" w:tentative="0">
      <w:start w:val="1"/>
      <w:numFmt w:val="decimal"/>
      <w:lvlText w:val="%2."/>
      <w:lvlJc w:val="left"/>
      <w:pPr>
        <w:tabs>
          <w:tab w:val="left" w:pos="1440"/>
        </w:tabs>
        <w:ind w:left="1440" w:hanging="360"/>
      </w:pPr>
      <w:rPr>
        <w:rFonts w:cs="Times New Roman"/>
      </w:rPr>
    </w:lvl>
    <w:lvl w:ilvl="2" w:tentative="0">
      <w:start w:val="1"/>
      <w:numFmt w:val="decimal"/>
      <w:lvlText w:val="%3."/>
      <w:lvlJc w:val="left"/>
      <w:pPr>
        <w:tabs>
          <w:tab w:val="left" w:pos="2160"/>
        </w:tabs>
        <w:ind w:left="2160" w:hanging="360"/>
      </w:pPr>
      <w:rPr>
        <w:rFonts w:cs="Times New Roman"/>
      </w:rPr>
    </w:lvl>
    <w:lvl w:ilvl="3" w:tentative="0">
      <w:start w:val="1"/>
      <w:numFmt w:val="decimal"/>
      <w:lvlText w:val="%4."/>
      <w:lvlJc w:val="left"/>
      <w:pPr>
        <w:tabs>
          <w:tab w:val="left" w:pos="2880"/>
        </w:tabs>
        <w:ind w:left="2880" w:hanging="360"/>
      </w:pPr>
      <w:rPr>
        <w:rFonts w:cs="Times New Roman"/>
      </w:rPr>
    </w:lvl>
    <w:lvl w:ilvl="4" w:tentative="0">
      <w:start w:val="1"/>
      <w:numFmt w:val="decimal"/>
      <w:lvlText w:val="%5."/>
      <w:lvlJc w:val="left"/>
      <w:pPr>
        <w:tabs>
          <w:tab w:val="left" w:pos="3600"/>
        </w:tabs>
        <w:ind w:left="3600" w:hanging="360"/>
      </w:pPr>
      <w:rPr>
        <w:rFonts w:cs="Times New Roman"/>
      </w:rPr>
    </w:lvl>
    <w:lvl w:ilvl="5" w:tentative="0">
      <w:start w:val="1"/>
      <w:numFmt w:val="decimal"/>
      <w:lvlText w:val="%6."/>
      <w:lvlJc w:val="left"/>
      <w:pPr>
        <w:tabs>
          <w:tab w:val="left" w:pos="4320"/>
        </w:tabs>
        <w:ind w:left="4320" w:hanging="360"/>
      </w:pPr>
      <w:rPr>
        <w:rFonts w:cs="Times New Roman"/>
      </w:rPr>
    </w:lvl>
    <w:lvl w:ilvl="6" w:tentative="0">
      <w:start w:val="1"/>
      <w:numFmt w:val="decimal"/>
      <w:lvlText w:val="%7."/>
      <w:lvlJc w:val="left"/>
      <w:pPr>
        <w:tabs>
          <w:tab w:val="left" w:pos="5040"/>
        </w:tabs>
        <w:ind w:left="5040" w:hanging="360"/>
      </w:pPr>
      <w:rPr>
        <w:rFonts w:cs="Times New Roman"/>
      </w:rPr>
    </w:lvl>
    <w:lvl w:ilvl="7" w:tentative="0">
      <w:start w:val="1"/>
      <w:numFmt w:val="decimal"/>
      <w:lvlText w:val="%8."/>
      <w:lvlJc w:val="left"/>
      <w:pPr>
        <w:tabs>
          <w:tab w:val="left" w:pos="5760"/>
        </w:tabs>
        <w:ind w:left="5760" w:hanging="360"/>
      </w:pPr>
      <w:rPr>
        <w:rFonts w:cs="Times New Roman"/>
      </w:rPr>
    </w:lvl>
    <w:lvl w:ilvl="8" w:tentative="0">
      <w:start w:val="1"/>
      <w:numFmt w:val="decimal"/>
      <w:lvlText w:val="%9."/>
      <w:lvlJc w:val="left"/>
      <w:pPr>
        <w:tabs>
          <w:tab w:val="left" w:pos="6480"/>
        </w:tabs>
        <w:ind w:left="6480" w:hanging="360"/>
      </w:pPr>
      <w:rPr>
        <w:rFonts w:cs="Times New Roman"/>
      </w:rPr>
    </w:lvl>
  </w:abstractNum>
  <w:abstractNum w:abstractNumId="8">
    <w:nsid w:val="359B4684"/>
    <w:multiLevelType w:val="multilevel"/>
    <w:tmpl w:val="359B4684"/>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
    <w:nsid w:val="41551737"/>
    <w:multiLevelType w:val="multilevel"/>
    <w:tmpl w:val="41551737"/>
    <w:lvl w:ilvl="0" w:tentative="0">
      <w:start w:val="1"/>
      <w:numFmt w:val="japaneseCounting"/>
      <w:pStyle w:val="132"/>
      <w:lvlText w:val="%1、"/>
      <w:lvlJc w:val="left"/>
      <w:pPr>
        <w:ind w:left="420" w:hanging="420"/>
      </w:pPr>
      <w:rPr>
        <w:rFonts w:hint="default" w:cs="Times New Roman"/>
      </w:rPr>
    </w:lvl>
    <w:lvl w:ilvl="1" w:tentative="0">
      <w:start w:val="1"/>
      <w:numFmt w:val="lowerLetter"/>
      <w:lvlText w:val="%2)"/>
      <w:lvlJc w:val="left"/>
      <w:pPr>
        <w:ind w:left="840" w:hanging="420"/>
      </w:pPr>
      <w:rPr>
        <w:rFonts w:cs="Times New Roman"/>
      </w:rPr>
    </w:lvl>
    <w:lvl w:ilvl="2" w:tentative="0">
      <w:start w:val="1"/>
      <w:numFmt w:val="lowerRoman"/>
      <w:lvlText w:val="%3."/>
      <w:lvlJc w:val="right"/>
      <w:pPr>
        <w:ind w:left="1260" w:hanging="420"/>
      </w:pPr>
      <w:rPr>
        <w:rFonts w:cs="Times New Roman"/>
      </w:rPr>
    </w:lvl>
    <w:lvl w:ilvl="3" w:tentative="0">
      <w:start w:val="1"/>
      <w:numFmt w:val="decimal"/>
      <w:lvlText w:val="%4."/>
      <w:lvlJc w:val="left"/>
      <w:pPr>
        <w:ind w:left="1680" w:hanging="420"/>
      </w:pPr>
      <w:rPr>
        <w:rFonts w:cs="Times New Roman"/>
      </w:rPr>
    </w:lvl>
    <w:lvl w:ilvl="4" w:tentative="0">
      <w:start w:val="1"/>
      <w:numFmt w:val="lowerLetter"/>
      <w:lvlText w:val="%5)"/>
      <w:lvlJc w:val="left"/>
      <w:pPr>
        <w:ind w:left="2100" w:hanging="420"/>
      </w:pPr>
      <w:rPr>
        <w:rFonts w:cs="Times New Roman"/>
      </w:rPr>
    </w:lvl>
    <w:lvl w:ilvl="5" w:tentative="0">
      <w:start w:val="1"/>
      <w:numFmt w:val="lowerRoman"/>
      <w:lvlText w:val="%6."/>
      <w:lvlJc w:val="right"/>
      <w:pPr>
        <w:ind w:left="2520" w:hanging="420"/>
      </w:pPr>
      <w:rPr>
        <w:rFonts w:cs="Times New Roman"/>
      </w:rPr>
    </w:lvl>
    <w:lvl w:ilvl="6" w:tentative="0">
      <w:start w:val="1"/>
      <w:numFmt w:val="decimal"/>
      <w:lvlText w:val="%7."/>
      <w:lvlJc w:val="left"/>
      <w:pPr>
        <w:ind w:left="2940" w:hanging="420"/>
      </w:pPr>
      <w:rPr>
        <w:rFonts w:cs="Times New Roman"/>
      </w:rPr>
    </w:lvl>
    <w:lvl w:ilvl="7" w:tentative="0">
      <w:start w:val="1"/>
      <w:numFmt w:val="lowerLetter"/>
      <w:lvlText w:val="%8)"/>
      <w:lvlJc w:val="left"/>
      <w:pPr>
        <w:ind w:left="3360" w:hanging="420"/>
      </w:pPr>
      <w:rPr>
        <w:rFonts w:cs="Times New Roman"/>
      </w:rPr>
    </w:lvl>
    <w:lvl w:ilvl="8" w:tentative="0">
      <w:start w:val="1"/>
      <w:numFmt w:val="lowerRoman"/>
      <w:lvlText w:val="%9."/>
      <w:lvlJc w:val="right"/>
      <w:pPr>
        <w:ind w:left="3780" w:hanging="420"/>
      </w:pPr>
      <w:rPr>
        <w:rFonts w:cs="Times New Roman"/>
      </w:rPr>
    </w:lvl>
  </w:abstractNum>
  <w:abstractNum w:abstractNumId="10">
    <w:nsid w:val="4AD1D84F"/>
    <w:multiLevelType w:val="multilevel"/>
    <w:tmpl w:val="4AD1D84F"/>
    <w:lvl w:ilvl="0" w:tentative="0">
      <w:start w:val="1"/>
      <w:numFmt w:val="decimal"/>
      <w:lvlText w:val="（%1）"/>
      <w:lvlJc w:val="left"/>
      <w:pPr>
        <w:ind w:left="220" w:hanging="529"/>
        <w:textAlignment w:val="baseline"/>
      </w:pPr>
      <w:rPr>
        <w:rFonts w:ascii="宋体" w:hAnsi="宋体" w:eastAsia="宋体"/>
        <w:spacing w:val="-3"/>
        <w:sz w:val="19"/>
        <w:szCs w:val="19"/>
        <w:lang w:val="zh-CN" w:eastAsia="zh-CN" w:bidi="zh-CN"/>
      </w:rPr>
    </w:lvl>
    <w:lvl w:ilvl="1" w:tentative="0">
      <w:start w:val="0"/>
      <w:numFmt w:val="bullet"/>
      <w:lvlText w:val="•"/>
      <w:lvlJc w:val="left"/>
      <w:pPr>
        <w:ind w:left="1246" w:hanging="529"/>
        <w:textAlignment w:val="baseline"/>
      </w:pPr>
      <w:rPr>
        <w:lang w:val="zh-CN" w:eastAsia="zh-CN" w:bidi="zh-CN"/>
      </w:rPr>
    </w:lvl>
    <w:lvl w:ilvl="2" w:tentative="0">
      <w:start w:val="0"/>
      <w:numFmt w:val="bullet"/>
      <w:lvlText w:val="•"/>
      <w:lvlJc w:val="left"/>
      <w:pPr>
        <w:ind w:left="2273" w:hanging="529"/>
        <w:textAlignment w:val="baseline"/>
      </w:pPr>
      <w:rPr>
        <w:lang w:val="zh-CN" w:eastAsia="zh-CN" w:bidi="zh-CN"/>
      </w:rPr>
    </w:lvl>
    <w:lvl w:ilvl="3" w:tentative="0">
      <w:start w:val="0"/>
      <w:numFmt w:val="bullet"/>
      <w:lvlText w:val="•"/>
      <w:lvlJc w:val="left"/>
      <w:pPr>
        <w:ind w:left="3299" w:hanging="529"/>
        <w:textAlignment w:val="baseline"/>
      </w:pPr>
      <w:rPr>
        <w:lang w:val="zh-CN" w:eastAsia="zh-CN" w:bidi="zh-CN"/>
      </w:rPr>
    </w:lvl>
    <w:lvl w:ilvl="4" w:tentative="0">
      <w:start w:val="0"/>
      <w:numFmt w:val="bullet"/>
      <w:lvlText w:val="•"/>
      <w:lvlJc w:val="left"/>
      <w:pPr>
        <w:ind w:left="4326" w:hanging="529"/>
        <w:textAlignment w:val="baseline"/>
      </w:pPr>
      <w:rPr>
        <w:lang w:val="zh-CN" w:eastAsia="zh-CN" w:bidi="zh-CN"/>
      </w:rPr>
    </w:lvl>
    <w:lvl w:ilvl="5" w:tentative="0">
      <w:start w:val="0"/>
      <w:numFmt w:val="bullet"/>
      <w:lvlText w:val="•"/>
      <w:lvlJc w:val="left"/>
      <w:pPr>
        <w:ind w:left="5353" w:hanging="529"/>
        <w:textAlignment w:val="baseline"/>
      </w:pPr>
      <w:rPr>
        <w:lang w:val="zh-CN" w:eastAsia="zh-CN" w:bidi="zh-CN"/>
      </w:rPr>
    </w:lvl>
    <w:lvl w:ilvl="6" w:tentative="0">
      <w:start w:val="0"/>
      <w:numFmt w:val="bullet"/>
      <w:lvlText w:val="•"/>
      <w:lvlJc w:val="left"/>
      <w:pPr>
        <w:ind w:left="6379" w:hanging="529"/>
        <w:textAlignment w:val="baseline"/>
      </w:pPr>
      <w:rPr>
        <w:lang w:val="zh-CN" w:eastAsia="zh-CN" w:bidi="zh-CN"/>
      </w:rPr>
    </w:lvl>
    <w:lvl w:ilvl="7" w:tentative="0">
      <w:start w:val="0"/>
      <w:numFmt w:val="bullet"/>
      <w:lvlText w:val="•"/>
      <w:lvlJc w:val="left"/>
      <w:pPr>
        <w:ind w:left="7406" w:hanging="529"/>
        <w:textAlignment w:val="baseline"/>
      </w:pPr>
      <w:rPr>
        <w:lang w:val="zh-CN" w:eastAsia="zh-CN" w:bidi="zh-CN"/>
      </w:rPr>
    </w:lvl>
    <w:lvl w:ilvl="8" w:tentative="0">
      <w:start w:val="0"/>
      <w:numFmt w:val="bullet"/>
      <w:lvlText w:val="•"/>
      <w:lvlJc w:val="left"/>
      <w:pPr>
        <w:ind w:left="8433" w:hanging="529"/>
        <w:textAlignment w:val="baseline"/>
      </w:pPr>
      <w:rPr>
        <w:lang w:val="zh-CN" w:eastAsia="zh-CN" w:bidi="zh-CN"/>
      </w:rPr>
    </w:lvl>
  </w:abstractNum>
  <w:abstractNum w:abstractNumId="11">
    <w:nsid w:val="4CC26843"/>
    <w:multiLevelType w:val="multilevel"/>
    <w:tmpl w:val="4CC26843"/>
    <w:lvl w:ilvl="0" w:tentative="0">
      <w:start w:val="10"/>
      <w:numFmt w:val="decimal"/>
      <w:pStyle w:val="146"/>
      <w:lvlText w:val="%1、"/>
      <w:lvlJc w:val="left"/>
      <w:pPr>
        <w:tabs>
          <w:tab w:val="left" w:pos="420"/>
        </w:tabs>
        <w:ind w:left="420" w:hanging="420"/>
      </w:pPr>
      <w:rPr>
        <w:rFonts w:cs="Times New Roman"/>
      </w:rPr>
    </w:lvl>
    <w:lvl w:ilvl="1" w:tentative="0">
      <w:start w:val="1"/>
      <w:numFmt w:val="decimal"/>
      <w:lvlText w:val="%2."/>
      <w:lvlJc w:val="left"/>
      <w:pPr>
        <w:tabs>
          <w:tab w:val="left" w:pos="1440"/>
        </w:tabs>
        <w:ind w:left="1440" w:hanging="360"/>
      </w:pPr>
      <w:rPr>
        <w:rFonts w:cs="Times New Roman"/>
      </w:rPr>
    </w:lvl>
    <w:lvl w:ilvl="2" w:tentative="0">
      <w:start w:val="1"/>
      <w:numFmt w:val="decimal"/>
      <w:lvlText w:val="%3."/>
      <w:lvlJc w:val="left"/>
      <w:pPr>
        <w:tabs>
          <w:tab w:val="left" w:pos="2160"/>
        </w:tabs>
        <w:ind w:left="2160" w:hanging="360"/>
      </w:pPr>
      <w:rPr>
        <w:rFonts w:cs="Times New Roman"/>
      </w:rPr>
    </w:lvl>
    <w:lvl w:ilvl="3" w:tentative="0">
      <w:start w:val="1"/>
      <w:numFmt w:val="decimal"/>
      <w:lvlText w:val="%4."/>
      <w:lvlJc w:val="left"/>
      <w:pPr>
        <w:tabs>
          <w:tab w:val="left" w:pos="2880"/>
        </w:tabs>
        <w:ind w:left="2880" w:hanging="360"/>
      </w:pPr>
      <w:rPr>
        <w:rFonts w:cs="Times New Roman"/>
      </w:rPr>
    </w:lvl>
    <w:lvl w:ilvl="4" w:tentative="0">
      <w:start w:val="1"/>
      <w:numFmt w:val="decimal"/>
      <w:lvlText w:val="%5."/>
      <w:lvlJc w:val="left"/>
      <w:pPr>
        <w:tabs>
          <w:tab w:val="left" w:pos="3600"/>
        </w:tabs>
        <w:ind w:left="3600" w:hanging="360"/>
      </w:pPr>
      <w:rPr>
        <w:rFonts w:cs="Times New Roman"/>
      </w:rPr>
    </w:lvl>
    <w:lvl w:ilvl="5" w:tentative="0">
      <w:start w:val="1"/>
      <w:numFmt w:val="decimal"/>
      <w:lvlText w:val="%6."/>
      <w:lvlJc w:val="left"/>
      <w:pPr>
        <w:tabs>
          <w:tab w:val="left" w:pos="4320"/>
        </w:tabs>
        <w:ind w:left="4320" w:hanging="360"/>
      </w:pPr>
      <w:rPr>
        <w:rFonts w:cs="Times New Roman"/>
      </w:rPr>
    </w:lvl>
    <w:lvl w:ilvl="6" w:tentative="0">
      <w:start w:val="1"/>
      <w:numFmt w:val="decimal"/>
      <w:lvlText w:val="%7."/>
      <w:lvlJc w:val="left"/>
      <w:pPr>
        <w:tabs>
          <w:tab w:val="left" w:pos="5040"/>
        </w:tabs>
        <w:ind w:left="5040" w:hanging="360"/>
      </w:pPr>
      <w:rPr>
        <w:rFonts w:cs="Times New Roman"/>
      </w:rPr>
    </w:lvl>
    <w:lvl w:ilvl="7" w:tentative="0">
      <w:start w:val="1"/>
      <w:numFmt w:val="decimal"/>
      <w:lvlText w:val="%8."/>
      <w:lvlJc w:val="left"/>
      <w:pPr>
        <w:tabs>
          <w:tab w:val="left" w:pos="5760"/>
        </w:tabs>
        <w:ind w:left="5760" w:hanging="360"/>
      </w:pPr>
      <w:rPr>
        <w:rFonts w:cs="Times New Roman"/>
      </w:rPr>
    </w:lvl>
    <w:lvl w:ilvl="8" w:tentative="0">
      <w:start w:val="1"/>
      <w:numFmt w:val="decimal"/>
      <w:lvlText w:val="%9."/>
      <w:lvlJc w:val="left"/>
      <w:pPr>
        <w:tabs>
          <w:tab w:val="left" w:pos="6480"/>
        </w:tabs>
        <w:ind w:left="6480" w:hanging="360"/>
      </w:pPr>
      <w:rPr>
        <w:rFonts w:cs="Times New Roman"/>
      </w:rPr>
    </w:lvl>
  </w:abstractNum>
  <w:abstractNum w:abstractNumId="12">
    <w:nsid w:val="503A0AE7"/>
    <w:multiLevelType w:val="multilevel"/>
    <w:tmpl w:val="503A0AE7"/>
    <w:lvl w:ilvl="0" w:tentative="0">
      <w:start w:val="2"/>
      <w:numFmt w:val="decimal"/>
      <w:pStyle w:val="145"/>
      <w:lvlText w:val="%1、"/>
      <w:lvlJc w:val="left"/>
      <w:pPr>
        <w:tabs>
          <w:tab w:val="left" w:pos="360"/>
        </w:tabs>
        <w:ind w:left="360" w:hanging="360"/>
      </w:pPr>
      <w:rPr>
        <w:rFonts w:hint="default" w:cs="Times New Roman"/>
      </w:rPr>
    </w:lvl>
    <w:lvl w:ilvl="1" w:tentative="0">
      <w:start w:val="1"/>
      <w:numFmt w:val="lowerLetter"/>
      <w:lvlText w:val="%2)"/>
      <w:lvlJc w:val="left"/>
      <w:pPr>
        <w:tabs>
          <w:tab w:val="left" w:pos="840"/>
        </w:tabs>
        <w:ind w:left="840" w:hanging="420"/>
      </w:pPr>
      <w:rPr>
        <w:rFonts w:cs="Times New Roman"/>
      </w:rPr>
    </w:lvl>
    <w:lvl w:ilvl="2" w:tentative="0">
      <w:start w:val="1"/>
      <w:numFmt w:val="lowerRoman"/>
      <w:lvlText w:val="%3."/>
      <w:lvlJc w:val="right"/>
      <w:pPr>
        <w:tabs>
          <w:tab w:val="left" w:pos="1260"/>
        </w:tabs>
        <w:ind w:left="1260" w:hanging="420"/>
      </w:pPr>
      <w:rPr>
        <w:rFonts w:cs="Times New Roman"/>
      </w:rPr>
    </w:lvl>
    <w:lvl w:ilvl="3" w:tentative="0">
      <w:start w:val="1"/>
      <w:numFmt w:val="decimal"/>
      <w:lvlText w:val="%4."/>
      <w:lvlJc w:val="left"/>
      <w:pPr>
        <w:tabs>
          <w:tab w:val="left" w:pos="1680"/>
        </w:tabs>
        <w:ind w:left="1680" w:hanging="420"/>
      </w:pPr>
      <w:rPr>
        <w:rFonts w:cs="Times New Roman"/>
      </w:rPr>
    </w:lvl>
    <w:lvl w:ilvl="4" w:tentative="0">
      <w:start w:val="1"/>
      <w:numFmt w:val="lowerLetter"/>
      <w:lvlText w:val="%5)"/>
      <w:lvlJc w:val="left"/>
      <w:pPr>
        <w:tabs>
          <w:tab w:val="left" w:pos="2100"/>
        </w:tabs>
        <w:ind w:left="2100" w:hanging="420"/>
      </w:pPr>
      <w:rPr>
        <w:rFonts w:cs="Times New Roman"/>
      </w:rPr>
    </w:lvl>
    <w:lvl w:ilvl="5" w:tentative="0">
      <w:start w:val="1"/>
      <w:numFmt w:val="lowerRoman"/>
      <w:lvlText w:val="%6."/>
      <w:lvlJc w:val="right"/>
      <w:pPr>
        <w:tabs>
          <w:tab w:val="left" w:pos="2520"/>
        </w:tabs>
        <w:ind w:left="2520" w:hanging="420"/>
      </w:pPr>
      <w:rPr>
        <w:rFonts w:cs="Times New Roman"/>
      </w:rPr>
    </w:lvl>
    <w:lvl w:ilvl="6" w:tentative="0">
      <w:start w:val="1"/>
      <w:numFmt w:val="decimal"/>
      <w:lvlText w:val="%7."/>
      <w:lvlJc w:val="left"/>
      <w:pPr>
        <w:tabs>
          <w:tab w:val="left" w:pos="2940"/>
        </w:tabs>
        <w:ind w:left="2940" w:hanging="420"/>
      </w:pPr>
      <w:rPr>
        <w:rFonts w:cs="Times New Roman"/>
      </w:rPr>
    </w:lvl>
    <w:lvl w:ilvl="7" w:tentative="0">
      <w:start w:val="1"/>
      <w:numFmt w:val="lowerLetter"/>
      <w:lvlText w:val="%8)"/>
      <w:lvlJc w:val="left"/>
      <w:pPr>
        <w:tabs>
          <w:tab w:val="left" w:pos="3360"/>
        </w:tabs>
        <w:ind w:left="3360" w:hanging="420"/>
      </w:pPr>
      <w:rPr>
        <w:rFonts w:cs="Times New Roman"/>
      </w:rPr>
    </w:lvl>
    <w:lvl w:ilvl="8" w:tentative="0">
      <w:start w:val="1"/>
      <w:numFmt w:val="lowerRoman"/>
      <w:lvlText w:val="%9."/>
      <w:lvlJc w:val="right"/>
      <w:pPr>
        <w:tabs>
          <w:tab w:val="left" w:pos="3780"/>
        </w:tabs>
        <w:ind w:left="3780" w:hanging="420"/>
      </w:pPr>
      <w:rPr>
        <w:rFonts w:cs="Times New Roman"/>
      </w:rPr>
    </w:lvl>
  </w:abstractNum>
  <w:abstractNum w:abstractNumId="13">
    <w:nsid w:val="5767656C"/>
    <w:multiLevelType w:val="multilevel"/>
    <w:tmpl w:val="5767656C"/>
    <w:lvl w:ilvl="0" w:tentative="0">
      <w:start w:val="1"/>
      <w:numFmt w:val="decimal"/>
      <w:pStyle w:val="121"/>
      <w:lvlText w:val="%1、"/>
      <w:lvlJc w:val="left"/>
      <w:pPr>
        <w:tabs>
          <w:tab w:val="left" w:pos="360"/>
        </w:tabs>
        <w:ind w:left="360" w:hanging="360"/>
      </w:pPr>
      <w:rPr>
        <w:rFonts w:cs="Times New Roman"/>
      </w:rPr>
    </w:lvl>
    <w:lvl w:ilvl="1" w:tentative="0">
      <w:start w:val="1"/>
      <w:numFmt w:val="decimal"/>
      <w:lvlText w:val="%2."/>
      <w:lvlJc w:val="left"/>
      <w:pPr>
        <w:tabs>
          <w:tab w:val="left" w:pos="1440"/>
        </w:tabs>
        <w:ind w:left="1440" w:hanging="360"/>
      </w:pPr>
      <w:rPr>
        <w:rFonts w:cs="Times New Roman"/>
      </w:rPr>
    </w:lvl>
    <w:lvl w:ilvl="2" w:tentative="0">
      <w:start w:val="1"/>
      <w:numFmt w:val="decimal"/>
      <w:lvlText w:val="%3."/>
      <w:lvlJc w:val="left"/>
      <w:pPr>
        <w:tabs>
          <w:tab w:val="left" w:pos="2160"/>
        </w:tabs>
        <w:ind w:left="2160" w:hanging="360"/>
      </w:pPr>
      <w:rPr>
        <w:rFonts w:cs="Times New Roman"/>
      </w:rPr>
    </w:lvl>
    <w:lvl w:ilvl="3" w:tentative="0">
      <w:start w:val="1"/>
      <w:numFmt w:val="decimal"/>
      <w:lvlText w:val="%4."/>
      <w:lvlJc w:val="left"/>
      <w:pPr>
        <w:tabs>
          <w:tab w:val="left" w:pos="2880"/>
        </w:tabs>
        <w:ind w:left="2880" w:hanging="360"/>
      </w:pPr>
      <w:rPr>
        <w:rFonts w:cs="Times New Roman"/>
      </w:rPr>
    </w:lvl>
    <w:lvl w:ilvl="4" w:tentative="0">
      <w:start w:val="1"/>
      <w:numFmt w:val="decimal"/>
      <w:lvlText w:val="%5."/>
      <w:lvlJc w:val="left"/>
      <w:pPr>
        <w:tabs>
          <w:tab w:val="left" w:pos="3600"/>
        </w:tabs>
        <w:ind w:left="3600" w:hanging="360"/>
      </w:pPr>
      <w:rPr>
        <w:rFonts w:cs="Times New Roman"/>
      </w:rPr>
    </w:lvl>
    <w:lvl w:ilvl="5" w:tentative="0">
      <w:start w:val="1"/>
      <w:numFmt w:val="decimal"/>
      <w:lvlText w:val="%6."/>
      <w:lvlJc w:val="left"/>
      <w:pPr>
        <w:tabs>
          <w:tab w:val="left" w:pos="4320"/>
        </w:tabs>
        <w:ind w:left="4320" w:hanging="360"/>
      </w:pPr>
      <w:rPr>
        <w:rFonts w:cs="Times New Roman"/>
      </w:rPr>
    </w:lvl>
    <w:lvl w:ilvl="6" w:tentative="0">
      <w:start w:val="1"/>
      <w:numFmt w:val="decimal"/>
      <w:lvlText w:val="%7."/>
      <w:lvlJc w:val="left"/>
      <w:pPr>
        <w:tabs>
          <w:tab w:val="left" w:pos="5040"/>
        </w:tabs>
        <w:ind w:left="5040" w:hanging="360"/>
      </w:pPr>
      <w:rPr>
        <w:rFonts w:cs="Times New Roman"/>
      </w:rPr>
    </w:lvl>
    <w:lvl w:ilvl="7" w:tentative="0">
      <w:start w:val="1"/>
      <w:numFmt w:val="decimal"/>
      <w:lvlText w:val="%8."/>
      <w:lvlJc w:val="left"/>
      <w:pPr>
        <w:tabs>
          <w:tab w:val="left" w:pos="5760"/>
        </w:tabs>
        <w:ind w:left="5760" w:hanging="360"/>
      </w:pPr>
      <w:rPr>
        <w:rFonts w:cs="Times New Roman"/>
      </w:rPr>
    </w:lvl>
    <w:lvl w:ilvl="8" w:tentative="0">
      <w:start w:val="1"/>
      <w:numFmt w:val="decimal"/>
      <w:lvlText w:val="%9."/>
      <w:lvlJc w:val="left"/>
      <w:pPr>
        <w:tabs>
          <w:tab w:val="left" w:pos="6480"/>
        </w:tabs>
        <w:ind w:left="6480" w:hanging="360"/>
      </w:pPr>
      <w:rPr>
        <w:rFonts w:cs="Times New Roman"/>
      </w:rPr>
    </w:lvl>
  </w:abstractNum>
  <w:abstractNum w:abstractNumId="14">
    <w:nsid w:val="5F4A1A28"/>
    <w:multiLevelType w:val="singleLevel"/>
    <w:tmpl w:val="5F4A1A28"/>
    <w:lvl w:ilvl="0" w:tentative="0">
      <w:start w:val="3"/>
      <w:numFmt w:val="decimal"/>
      <w:lvlText w:val="%1."/>
      <w:lvlJc w:val="left"/>
      <w:pPr>
        <w:tabs>
          <w:tab w:val="left" w:pos="312"/>
        </w:tabs>
      </w:pPr>
    </w:lvl>
  </w:abstractNum>
  <w:abstractNum w:abstractNumId="15">
    <w:nsid w:val="732D5169"/>
    <w:multiLevelType w:val="multilevel"/>
    <w:tmpl w:val="732D5169"/>
    <w:lvl w:ilvl="0" w:tentative="0">
      <w:start w:val="1"/>
      <w:numFmt w:val="decimal"/>
      <w:pStyle w:val="102"/>
      <w:lvlText w:val="%1、"/>
      <w:lvlJc w:val="left"/>
      <w:pPr>
        <w:ind w:left="720" w:hanging="720"/>
      </w:pPr>
      <w:rPr>
        <w:rFonts w:cs="Times New Roman"/>
      </w:rPr>
    </w:lvl>
    <w:lvl w:ilvl="1" w:tentative="0">
      <w:start w:val="1"/>
      <w:numFmt w:val="decimal"/>
      <w:lvlText w:val="%2."/>
      <w:lvlJc w:val="left"/>
      <w:pPr>
        <w:tabs>
          <w:tab w:val="left" w:pos="1440"/>
        </w:tabs>
        <w:ind w:left="1440" w:hanging="360"/>
      </w:pPr>
      <w:rPr>
        <w:rFonts w:cs="Times New Roman"/>
      </w:rPr>
    </w:lvl>
    <w:lvl w:ilvl="2" w:tentative="0">
      <w:start w:val="1"/>
      <w:numFmt w:val="decimal"/>
      <w:lvlText w:val="%3."/>
      <w:lvlJc w:val="left"/>
      <w:pPr>
        <w:tabs>
          <w:tab w:val="left" w:pos="2160"/>
        </w:tabs>
        <w:ind w:left="2160" w:hanging="360"/>
      </w:pPr>
      <w:rPr>
        <w:rFonts w:cs="Times New Roman"/>
      </w:rPr>
    </w:lvl>
    <w:lvl w:ilvl="3" w:tentative="0">
      <w:start w:val="1"/>
      <w:numFmt w:val="decimal"/>
      <w:lvlText w:val="%4."/>
      <w:lvlJc w:val="left"/>
      <w:pPr>
        <w:tabs>
          <w:tab w:val="left" w:pos="2880"/>
        </w:tabs>
        <w:ind w:left="2880" w:hanging="360"/>
      </w:pPr>
      <w:rPr>
        <w:rFonts w:cs="Times New Roman"/>
      </w:rPr>
    </w:lvl>
    <w:lvl w:ilvl="4" w:tentative="0">
      <w:start w:val="1"/>
      <w:numFmt w:val="decimal"/>
      <w:lvlText w:val="%5."/>
      <w:lvlJc w:val="left"/>
      <w:pPr>
        <w:tabs>
          <w:tab w:val="left" w:pos="3600"/>
        </w:tabs>
        <w:ind w:left="3600" w:hanging="360"/>
      </w:pPr>
      <w:rPr>
        <w:rFonts w:cs="Times New Roman"/>
      </w:rPr>
    </w:lvl>
    <w:lvl w:ilvl="5" w:tentative="0">
      <w:start w:val="1"/>
      <w:numFmt w:val="decimal"/>
      <w:lvlText w:val="%6."/>
      <w:lvlJc w:val="left"/>
      <w:pPr>
        <w:tabs>
          <w:tab w:val="left" w:pos="4320"/>
        </w:tabs>
        <w:ind w:left="4320" w:hanging="360"/>
      </w:pPr>
      <w:rPr>
        <w:rFonts w:cs="Times New Roman"/>
      </w:rPr>
    </w:lvl>
    <w:lvl w:ilvl="6" w:tentative="0">
      <w:start w:val="1"/>
      <w:numFmt w:val="decimal"/>
      <w:lvlText w:val="%7."/>
      <w:lvlJc w:val="left"/>
      <w:pPr>
        <w:tabs>
          <w:tab w:val="left" w:pos="5040"/>
        </w:tabs>
        <w:ind w:left="5040" w:hanging="360"/>
      </w:pPr>
      <w:rPr>
        <w:rFonts w:cs="Times New Roman"/>
      </w:rPr>
    </w:lvl>
    <w:lvl w:ilvl="7" w:tentative="0">
      <w:start w:val="1"/>
      <w:numFmt w:val="decimal"/>
      <w:lvlText w:val="%8."/>
      <w:lvlJc w:val="left"/>
      <w:pPr>
        <w:tabs>
          <w:tab w:val="left" w:pos="5760"/>
        </w:tabs>
        <w:ind w:left="5760" w:hanging="360"/>
      </w:pPr>
      <w:rPr>
        <w:rFonts w:cs="Times New Roman"/>
      </w:rPr>
    </w:lvl>
    <w:lvl w:ilvl="8" w:tentative="0">
      <w:start w:val="1"/>
      <w:numFmt w:val="decimal"/>
      <w:lvlText w:val="%9."/>
      <w:lvlJc w:val="left"/>
      <w:pPr>
        <w:tabs>
          <w:tab w:val="left" w:pos="6480"/>
        </w:tabs>
        <w:ind w:left="6480" w:hanging="360"/>
      </w:pPr>
      <w:rPr>
        <w:rFonts w:cs="Times New Roman"/>
      </w:rPr>
    </w:lvl>
  </w:abstractNum>
  <w:num w:numId="1">
    <w:abstractNumId w:val="4"/>
  </w:num>
  <w:num w:numId="2">
    <w:abstractNumId w:val="6"/>
  </w:num>
  <w:num w:numId="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num>
  <w:num w:numId="6">
    <w:abstractNumId w:val="5"/>
  </w:num>
  <w:num w:numId="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9"/>
  </w:num>
  <w:num w:numId="9">
    <w:abstractNumId w:val="12"/>
  </w:num>
  <w:num w:numId="10">
    <w:abstractNumId w:val="11"/>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0"/>
  </w:num>
  <w:num w:numId="12">
    <w:abstractNumId w:val="14"/>
  </w:num>
  <w:num w:numId="13">
    <w:abstractNumId w:val="8"/>
  </w:num>
  <w:num w:numId="14">
    <w:abstractNumId w:val="10"/>
  </w:num>
  <w:num w:numId="15">
    <w:abstractNumId w:val="3"/>
  </w:num>
  <w:num w:numId="16">
    <w:abstractNumId w:val="2"/>
  </w:num>
  <w:num w:numId="1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bordersDoNotSurroundHeader w:val="0"/>
  <w:bordersDoNotSurroundFooter w:val="0"/>
  <w:documentProtection w:enforcement="0"/>
  <w:defaultTabStop w:val="0"/>
  <w:drawingGridHorizontalSpacing w:val="105"/>
  <w:drawingGridVerticalSpacing w:val="166"/>
  <w:displayHorizontalDrawingGridEvery w:val="1"/>
  <w:displayVerticalDrawingGridEvery w:val="1"/>
  <w:noPunctuationKerning w:val="1"/>
  <w:characterSpacingControl w:val="compressPunctuation"/>
  <w:noLineBreaksAfter w:lang="zh-CN" w:val="$([{£¥·‘“〈《「『【〔〖〝﹙﹛﹝＄（．［｛￡￥"/>
  <w:noLineBreaksBefore w:lang="zh-CN" w:val="!%),.:;&gt;?]}¢¨°·ˇˉ―‖’”…‰′″›℃∶、。〃〉》」』】〕〗〞︶︺︾﹀﹄﹚﹜﹞！＂％＇），．：；？］｀｜｝～￠"/>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04C6"/>
    <w:rsid w:val="00001337"/>
    <w:rsid w:val="000013B7"/>
    <w:rsid w:val="000018B6"/>
    <w:rsid w:val="00002DFE"/>
    <w:rsid w:val="00003EDF"/>
    <w:rsid w:val="000044CD"/>
    <w:rsid w:val="00004A95"/>
    <w:rsid w:val="00005B70"/>
    <w:rsid w:val="00007F46"/>
    <w:rsid w:val="000101DB"/>
    <w:rsid w:val="00010919"/>
    <w:rsid w:val="00010B94"/>
    <w:rsid w:val="00011A0B"/>
    <w:rsid w:val="00011DE5"/>
    <w:rsid w:val="000129F1"/>
    <w:rsid w:val="00012D92"/>
    <w:rsid w:val="00012F89"/>
    <w:rsid w:val="0001387D"/>
    <w:rsid w:val="0001441D"/>
    <w:rsid w:val="00014556"/>
    <w:rsid w:val="000159B2"/>
    <w:rsid w:val="00015DA0"/>
    <w:rsid w:val="00016269"/>
    <w:rsid w:val="0001672C"/>
    <w:rsid w:val="000168BB"/>
    <w:rsid w:val="00020DE9"/>
    <w:rsid w:val="000213CB"/>
    <w:rsid w:val="00021874"/>
    <w:rsid w:val="000223D4"/>
    <w:rsid w:val="00023890"/>
    <w:rsid w:val="00023F78"/>
    <w:rsid w:val="00025312"/>
    <w:rsid w:val="00025D36"/>
    <w:rsid w:val="000262D5"/>
    <w:rsid w:val="000263F7"/>
    <w:rsid w:val="0002689B"/>
    <w:rsid w:val="00026A1C"/>
    <w:rsid w:val="00026D67"/>
    <w:rsid w:val="00027219"/>
    <w:rsid w:val="0002780C"/>
    <w:rsid w:val="0002783E"/>
    <w:rsid w:val="00027DB0"/>
    <w:rsid w:val="00027F18"/>
    <w:rsid w:val="00031CC2"/>
    <w:rsid w:val="00032799"/>
    <w:rsid w:val="0003289C"/>
    <w:rsid w:val="00032B3C"/>
    <w:rsid w:val="00033223"/>
    <w:rsid w:val="00033326"/>
    <w:rsid w:val="000347EB"/>
    <w:rsid w:val="000348F6"/>
    <w:rsid w:val="000351EA"/>
    <w:rsid w:val="00035299"/>
    <w:rsid w:val="00035429"/>
    <w:rsid w:val="00035F4B"/>
    <w:rsid w:val="0003699E"/>
    <w:rsid w:val="00037635"/>
    <w:rsid w:val="00037BA4"/>
    <w:rsid w:val="0004011B"/>
    <w:rsid w:val="0004063A"/>
    <w:rsid w:val="00041153"/>
    <w:rsid w:val="00042879"/>
    <w:rsid w:val="00042EF1"/>
    <w:rsid w:val="000437E9"/>
    <w:rsid w:val="00044929"/>
    <w:rsid w:val="00044B38"/>
    <w:rsid w:val="00044CE5"/>
    <w:rsid w:val="000450D9"/>
    <w:rsid w:val="000453BE"/>
    <w:rsid w:val="00046197"/>
    <w:rsid w:val="00046AF6"/>
    <w:rsid w:val="00047469"/>
    <w:rsid w:val="000475E7"/>
    <w:rsid w:val="000477D8"/>
    <w:rsid w:val="000479CE"/>
    <w:rsid w:val="00050694"/>
    <w:rsid w:val="00051EEB"/>
    <w:rsid w:val="00052196"/>
    <w:rsid w:val="00052223"/>
    <w:rsid w:val="00052760"/>
    <w:rsid w:val="00053534"/>
    <w:rsid w:val="000537AD"/>
    <w:rsid w:val="0005392D"/>
    <w:rsid w:val="00054898"/>
    <w:rsid w:val="000548CF"/>
    <w:rsid w:val="00054B73"/>
    <w:rsid w:val="00054F3A"/>
    <w:rsid w:val="00055C4B"/>
    <w:rsid w:val="00055CC5"/>
    <w:rsid w:val="0005658A"/>
    <w:rsid w:val="000565EA"/>
    <w:rsid w:val="000566E1"/>
    <w:rsid w:val="00056E07"/>
    <w:rsid w:val="000576D6"/>
    <w:rsid w:val="0006007A"/>
    <w:rsid w:val="0006032D"/>
    <w:rsid w:val="00060C6D"/>
    <w:rsid w:val="00060E23"/>
    <w:rsid w:val="00060F20"/>
    <w:rsid w:val="0006125A"/>
    <w:rsid w:val="00061670"/>
    <w:rsid w:val="00061804"/>
    <w:rsid w:val="00062015"/>
    <w:rsid w:val="00062389"/>
    <w:rsid w:val="000624A6"/>
    <w:rsid w:val="0006567D"/>
    <w:rsid w:val="00066BD9"/>
    <w:rsid w:val="0006727F"/>
    <w:rsid w:val="000676ED"/>
    <w:rsid w:val="00067BAC"/>
    <w:rsid w:val="00067F20"/>
    <w:rsid w:val="00070924"/>
    <w:rsid w:val="00070B43"/>
    <w:rsid w:val="00070B9E"/>
    <w:rsid w:val="00071167"/>
    <w:rsid w:val="000718CC"/>
    <w:rsid w:val="00071C8B"/>
    <w:rsid w:val="000729CC"/>
    <w:rsid w:val="00072F77"/>
    <w:rsid w:val="00073761"/>
    <w:rsid w:val="00073D3F"/>
    <w:rsid w:val="00074225"/>
    <w:rsid w:val="0007428A"/>
    <w:rsid w:val="0007579D"/>
    <w:rsid w:val="00075BF0"/>
    <w:rsid w:val="00076CCB"/>
    <w:rsid w:val="0008063C"/>
    <w:rsid w:val="0008194C"/>
    <w:rsid w:val="00082875"/>
    <w:rsid w:val="00082D23"/>
    <w:rsid w:val="00082D8D"/>
    <w:rsid w:val="000833C7"/>
    <w:rsid w:val="00083515"/>
    <w:rsid w:val="0008405F"/>
    <w:rsid w:val="000846EF"/>
    <w:rsid w:val="0008517A"/>
    <w:rsid w:val="0008557B"/>
    <w:rsid w:val="000857B8"/>
    <w:rsid w:val="00085847"/>
    <w:rsid w:val="00085F22"/>
    <w:rsid w:val="00087225"/>
    <w:rsid w:val="000874E4"/>
    <w:rsid w:val="000875D3"/>
    <w:rsid w:val="00087C5C"/>
    <w:rsid w:val="00087F83"/>
    <w:rsid w:val="0009032F"/>
    <w:rsid w:val="00091A8C"/>
    <w:rsid w:val="00091ED5"/>
    <w:rsid w:val="00092A03"/>
    <w:rsid w:val="00093A4F"/>
    <w:rsid w:val="000948FA"/>
    <w:rsid w:val="00094E6F"/>
    <w:rsid w:val="0009514D"/>
    <w:rsid w:val="000954C3"/>
    <w:rsid w:val="000958B3"/>
    <w:rsid w:val="000963D1"/>
    <w:rsid w:val="0009656D"/>
    <w:rsid w:val="00097AE5"/>
    <w:rsid w:val="00097C86"/>
    <w:rsid w:val="000A11B3"/>
    <w:rsid w:val="000A1412"/>
    <w:rsid w:val="000A15B2"/>
    <w:rsid w:val="000A1CAE"/>
    <w:rsid w:val="000A2779"/>
    <w:rsid w:val="000A2FFC"/>
    <w:rsid w:val="000A3ADC"/>
    <w:rsid w:val="000A41F6"/>
    <w:rsid w:val="000A433E"/>
    <w:rsid w:val="000A46C1"/>
    <w:rsid w:val="000A5613"/>
    <w:rsid w:val="000A572F"/>
    <w:rsid w:val="000A5E58"/>
    <w:rsid w:val="000A75A9"/>
    <w:rsid w:val="000A7F90"/>
    <w:rsid w:val="000A7FE5"/>
    <w:rsid w:val="000B0ECF"/>
    <w:rsid w:val="000B1A5B"/>
    <w:rsid w:val="000B1C5D"/>
    <w:rsid w:val="000B2558"/>
    <w:rsid w:val="000B2D68"/>
    <w:rsid w:val="000B374E"/>
    <w:rsid w:val="000B413E"/>
    <w:rsid w:val="000B4529"/>
    <w:rsid w:val="000B47CC"/>
    <w:rsid w:val="000B4879"/>
    <w:rsid w:val="000B4F6D"/>
    <w:rsid w:val="000B507F"/>
    <w:rsid w:val="000B5537"/>
    <w:rsid w:val="000B5721"/>
    <w:rsid w:val="000B5CC8"/>
    <w:rsid w:val="000B696D"/>
    <w:rsid w:val="000B71F6"/>
    <w:rsid w:val="000B73A2"/>
    <w:rsid w:val="000C0540"/>
    <w:rsid w:val="000C0C34"/>
    <w:rsid w:val="000C1117"/>
    <w:rsid w:val="000C1F6B"/>
    <w:rsid w:val="000C2495"/>
    <w:rsid w:val="000C28E0"/>
    <w:rsid w:val="000C2C8A"/>
    <w:rsid w:val="000C2ECC"/>
    <w:rsid w:val="000C3E78"/>
    <w:rsid w:val="000C3EF8"/>
    <w:rsid w:val="000C420D"/>
    <w:rsid w:val="000C44A5"/>
    <w:rsid w:val="000C536C"/>
    <w:rsid w:val="000C57EC"/>
    <w:rsid w:val="000C5F19"/>
    <w:rsid w:val="000C6008"/>
    <w:rsid w:val="000C6653"/>
    <w:rsid w:val="000C66DB"/>
    <w:rsid w:val="000C6A0B"/>
    <w:rsid w:val="000C7066"/>
    <w:rsid w:val="000C7558"/>
    <w:rsid w:val="000D0C1B"/>
    <w:rsid w:val="000D0C43"/>
    <w:rsid w:val="000D0EE3"/>
    <w:rsid w:val="000D25FF"/>
    <w:rsid w:val="000D277E"/>
    <w:rsid w:val="000D2BFC"/>
    <w:rsid w:val="000D2E21"/>
    <w:rsid w:val="000D3976"/>
    <w:rsid w:val="000D4F6B"/>
    <w:rsid w:val="000D5121"/>
    <w:rsid w:val="000D62C6"/>
    <w:rsid w:val="000D75A9"/>
    <w:rsid w:val="000D7A0B"/>
    <w:rsid w:val="000D7C07"/>
    <w:rsid w:val="000E0B96"/>
    <w:rsid w:val="000E0D40"/>
    <w:rsid w:val="000E15E8"/>
    <w:rsid w:val="000E177D"/>
    <w:rsid w:val="000E2879"/>
    <w:rsid w:val="000E305D"/>
    <w:rsid w:val="000E3DD4"/>
    <w:rsid w:val="000E576C"/>
    <w:rsid w:val="000E6255"/>
    <w:rsid w:val="000E6DB6"/>
    <w:rsid w:val="000E6E47"/>
    <w:rsid w:val="000E7614"/>
    <w:rsid w:val="000E7968"/>
    <w:rsid w:val="000E7FEB"/>
    <w:rsid w:val="000F04CA"/>
    <w:rsid w:val="000F11F8"/>
    <w:rsid w:val="000F1B73"/>
    <w:rsid w:val="000F1C1A"/>
    <w:rsid w:val="000F23E5"/>
    <w:rsid w:val="000F29C5"/>
    <w:rsid w:val="000F2DA3"/>
    <w:rsid w:val="000F2E9B"/>
    <w:rsid w:val="000F2F07"/>
    <w:rsid w:val="000F2F7A"/>
    <w:rsid w:val="000F3ACE"/>
    <w:rsid w:val="000F43EB"/>
    <w:rsid w:val="000F4B46"/>
    <w:rsid w:val="000F61AE"/>
    <w:rsid w:val="000F61EC"/>
    <w:rsid w:val="000F73F9"/>
    <w:rsid w:val="000F788E"/>
    <w:rsid w:val="001005DB"/>
    <w:rsid w:val="00100DA8"/>
    <w:rsid w:val="0010113D"/>
    <w:rsid w:val="001014B3"/>
    <w:rsid w:val="00102B28"/>
    <w:rsid w:val="001032A8"/>
    <w:rsid w:val="001038BF"/>
    <w:rsid w:val="0010431C"/>
    <w:rsid w:val="00105815"/>
    <w:rsid w:val="00107BEA"/>
    <w:rsid w:val="00110003"/>
    <w:rsid w:val="00110205"/>
    <w:rsid w:val="001107BB"/>
    <w:rsid w:val="00110A48"/>
    <w:rsid w:val="00110D20"/>
    <w:rsid w:val="00110D65"/>
    <w:rsid w:val="00111E6E"/>
    <w:rsid w:val="00113592"/>
    <w:rsid w:val="00113AB4"/>
    <w:rsid w:val="00113B89"/>
    <w:rsid w:val="001144B5"/>
    <w:rsid w:val="00116D9A"/>
    <w:rsid w:val="00116F77"/>
    <w:rsid w:val="0011762B"/>
    <w:rsid w:val="00117941"/>
    <w:rsid w:val="00120585"/>
    <w:rsid w:val="00120F2C"/>
    <w:rsid w:val="0012153E"/>
    <w:rsid w:val="00121F93"/>
    <w:rsid w:val="0012277F"/>
    <w:rsid w:val="00122D79"/>
    <w:rsid w:val="001235FB"/>
    <w:rsid w:val="00123765"/>
    <w:rsid w:val="00124C95"/>
    <w:rsid w:val="001263BA"/>
    <w:rsid w:val="001266EB"/>
    <w:rsid w:val="00126FE5"/>
    <w:rsid w:val="00127370"/>
    <w:rsid w:val="00130558"/>
    <w:rsid w:val="00130CF3"/>
    <w:rsid w:val="00130ED4"/>
    <w:rsid w:val="001311B3"/>
    <w:rsid w:val="001314F6"/>
    <w:rsid w:val="001322F0"/>
    <w:rsid w:val="00132834"/>
    <w:rsid w:val="00132DB9"/>
    <w:rsid w:val="0013310F"/>
    <w:rsid w:val="00134470"/>
    <w:rsid w:val="00135D45"/>
    <w:rsid w:val="001362C4"/>
    <w:rsid w:val="00136313"/>
    <w:rsid w:val="00137E7E"/>
    <w:rsid w:val="00140143"/>
    <w:rsid w:val="00140ACA"/>
    <w:rsid w:val="00141335"/>
    <w:rsid w:val="001416E8"/>
    <w:rsid w:val="00141E6D"/>
    <w:rsid w:val="00142438"/>
    <w:rsid w:val="001425A1"/>
    <w:rsid w:val="001435AC"/>
    <w:rsid w:val="00143D59"/>
    <w:rsid w:val="00145FB0"/>
    <w:rsid w:val="001469CA"/>
    <w:rsid w:val="00146B82"/>
    <w:rsid w:val="001471F2"/>
    <w:rsid w:val="00147B8A"/>
    <w:rsid w:val="00147BE5"/>
    <w:rsid w:val="00150525"/>
    <w:rsid w:val="0015094A"/>
    <w:rsid w:val="00150DF7"/>
    <w:rsid w:val="001510D1"/>
    <w:rsid w:val="001516C3"/>
    <w:rsid w:val="00151D2D"/>
    <w:rsid w:val="00152D96"/>
    <w:rsid w:val="001542F8"/>
    <w:rsid w:val="0015455A"/>
    <w:rsid w:val="00155066"/>
    <w:rsid w:val="00155D38"/>
    <w:rsid w:val="00156396"/>
    <w:rsid w:val="0015671F"/>
    <w:rsid w:val="0015681B"/>
    <w:rsid w:val="001570D0"/>
    <w:rsid w:val="00157924"/>
    <w:rsid w:val="00157B76"/>
    <w:rsid w:val="00157E18"/>
    <w:rsid w:val="001602B0"/>
    <w:rsid w:val="00160C6A"/>
    <w:rsid w:val="00161707"/>
    <w:rsid w:val="0016248D"/>
    <w:rsid w:val="00162566"/>
    <w:rsid w:val="00162B46"/>
    <w:rsid w:val="00163DC1"/>
    <w:rsid w:val="001645D1"/>
    <w:rsid w:val="001646BE"/>
    <w:rsid w:val="00164773"/>
    <w:rsid w:val="00165766"/>
    <w:rsid w:val="00165878"/>
    <w:rsid w:val="00166002"/>
    <w:rsid w:val="00166373"/>
    <w:rsid w:val="00166F4E"/>
    <w:rsid w:val="0016726A"/>
    <w:rsid w:val="001674CC"/>
    <w:rsid w:val="00167668"/>
    <w:rsid w:val="00167E54"/>
    <w:rsid w:val="00171117"/>
    <w:rsid w:val="00171480"/>
    <w:rsid w:val="0017165F"/>
    <w:rsid w:val="00171C74"/>
    <w:rsid w:val="00172A27"/>
    <w:rsid w:val="00172A6B"/>
    <w:rsid w:val="00173107"/>
    <w:rsid w:val="00173A8C"/>
    <w:rsid w:val="001744D1"/>
    <w:rsid w:val="001744E5"/>
    <w:rsid w:val="001749DC"/>
    <w:rsid w:val="00175F34"/>
    <w:rsid w:val="001769D7"/>
    <w:rsid w:val="00176D4F"/>
    <w:rsid w:val="001778D0"/>
    <w:rsid w:val="001802D3"/>
    <w:rsid w:val="00182485"/>
    <w:rsid w:val="00183173"/>
    <w:rsid w:val="001835A1"/>
    <w:rsid w:val="00183711"/>
    <w:rsid w:val="00183E10"/>
    <w:rsid w:val="00184E96"/>
    <w:rsid w:val="00185DC2"/>
    <w:rsid w:val="0018691E"/>
    <w:rsid w:val="00187C2D"/>
    <w:rsid w:val="00187DDD"/>
    <w:rsid w:val="00190852"/>
    <w:rsid w:val="001915EF"/>
    <w:rsid w:val="0019191E"/>
    <w:rsid w:val="001919A2"/>
    <w:rsid w:val="00192145"/>
    <w:rsid w:val="00192A99"/>
    <w:rsid w:val="00192CAD"/>
    <w:rsid w:val="00193759"/>
    <w:rsid w:val="001940C1"/>
    <w:rsid w:val="0019499B"/>
    <w:rsid w:val="00195599"/>
    <w:rsid w:val="0019638D"/>
    <w:rsid w:val="00197536"/>
    <w:rsid w:val="00197DBA"/>
    <w:rsid w:val="001A0305"/>
    <w:rsid w:val="001A0655"/>
    <w:rsid w:val="001A0C7C"/>
    <w:rsid w:val="001A2AF4"/>
    <w:rsid w:val="001A2B0E"/>
    <w:rsid w:val="001A4DFB"/>
    <w:rsid w:val="001A54BF"/>
    <w:rsid w:val="001A618D"/>
    <w:rsid w:val="001A6194"/>
    <w:rsid w:val="001A730C"/>
    <w:rsid w:val="001A753D"/>
    <w:rsid w:val="001A7793"/>
    <w:rsid w:val="001A7AFA"/>
    <w:rsid w:val="001B05FD"/>
    <w:rsid w:val="001B075E"/>
    <w:rsid w:val="001B0BFB"/>
    <w:rsid w:val="001B0E17"/>
    <w:rsid w:val="001B2088"/>
    <w:rsid w:val="001B2486"/>
    <w:rsid w:val="001B27AA"/>
    <w:rsid w:val="001B31A8"/>
    <w:rsid w:val="001B3929"/>
    <w:rsid w:val="001B3D9D"/>
    <w:rsid w:val="001B4228"/>
    <w:rsid w:val="001B430D"/>
    <w:rsid w:val="001B491B"/>
    <w:rsid w:val="001B4B63"/>
    <w:rsid w:val="001B4E72"/>
    <w:rsid w:val="001B50ED"/>
    <w:rsid w:val="001B58DA"/>
    <w:rsid w:val="001C00E9"/>
    <w:rsid w:val="001C08F0"/>
    <w:rsid w:val="001C155B"/>
    <w:rsid w:val="001C15EA"/>
    <w:rsid w:val="001C1789"/>
    <w:rsid w:val="001C1DFF"/>
    <w:rsid w:val="001C2376"/>
    <w:rsid w:val="001C2DE2"/>
    <w:rsid w:val="001C36AD"/>
    <w:rsid w:val="001C3A5B"/>
    <w:rsid w:val="001C3F2D"/>
    <w:rsid w:val="001C445D"/>
    <w:rsid w:val="001C4E38"/>
    <w:rsid w:val="001C5864"/>
    <w:rsid w:val="001C5B56"/>
    <w:rsid w:val="001C5DA3"/>
    <w:rsid w:val="001C60E8"/>
    <w:rsid w:val="001C6E61"/>
    <w:rsid w:val="001C7716"/>
    <w:rsid w:val="001D0A40"/>
    <w:rsid w:val="001D10F9"/>
    <w:rsid w:val="001D197C"/>
    <w:rsid w:val="001D1A98"/>
    <w:rsid w:val="001D1ED0"/>
    <w:rsid w:val="001D1ED4"/>
    <w:rsid w:val="001D1EDB"/>
    <w:rsid w:val="001D2873"/>
    <w:rsid w:val="001D34F8"/>
    <w:rsid w:val="001D36DD"/>
    <w:rsid w:val="001D4CC4"/>
    <w:rsid w:val="001D4D59"/>
    <w:rsid w:val="001D4F38"/>
    <w:rsid w:val="001D53A1"/>
    <w:rsid w:val="001D5991"/>
    <w:rsid w:val="001D5B5B"/>
    <w:rsid w:val="001D685B"/>
    <w:rsid w:val="001D69FF"/>
    <w:rsid w:val="001D7AD4"/>
    <w:rsid w:val="001E063D"/>
    <w:rsid w:val="001E0AF7"/>
    <w:rsid w:val="001E0E8A"/>
    <w:rsid w:val="001E12DF"/>
    <w:rsid w:val="001E1667"/>
    <w:rsid w:val="001E17B0"/>
    <w:rsid w:val="001E1912"/>
    <w:rsid w:val="001E23C5"/>
    <w:rsid w:val="001E2BFA"/>
    <w:rsid w:val="001E2C7D"/>
    <w:rsid w:val="001E2E48"/>
    <w:rsid w:val="001E39CE"/>
    <w:rsid w:val="001E4437"/>
    <w:rsid w:val="001E4CB8"/>
    <w:rsid w:val="001E5AEF"/>
    <w:rsid w:val="001E5F56"/>
    <w:rsid w:val="001E658D"/>
    <w:rsid w:val="001E68BD"/>
    <w:rsid w:val="001F0697"/>
    <w:rsid w:val="001F0885"/>
    <w:rsid w:val="001F09C1"/>
    <w:rsid w:val="001F0ECA"/>
    <w:rsid w:val="001F1F51"/>
    <w:rsid w:val="001F212E"/>
    <w:rsid w:val="001F225A"/>
    <w:rsid w:val="001F227A"/>
    <w:rsid w:val="001F2FD9"/>
    <w:rsid w:val="001F32B8"/>
    <w:rsid w:val="001F3672"/>
    <w:rsid w:val="001F488F"/>
    <w:rsid w:val="001F549B"/>
    <w:rsid w:val="001F561F"/>
    <w:rsid w:val="001F5AAC"/>
    <w:rsid w:val="001F6A66"/>
    <w:rsid w:val="001F7361"/>
    <w:rsid w:val="001F753B"/>
    <w:rsid w:val="00200261"/>
    <w:rsid w:val="00200714"/>
    <w:rsid w:val="00201F27"/>
    <w:rsid w:val="00201F3E"/>
    <w:rsid w:val="00201F42"/>
    <w:rsid w:val="0020368C"/>
    <w:rsid w:val="00204AE2"/>
    <w:rsid w:val="00204C17"/>
    <w:rsid w:val="00204F22"/>
    <w:rsid w:val="0020523F"/>
    <w:rsid w:val="00205296"/>
    <w:rsid w:val="00205869"/>
    <w:rsid w:val="00206F16"/>
    <w:rsid w:val="00207832"/>
    <w:rsid w:val="00207E05"/>
    <w:rsid w:val="002104D4"/>
    <w:rsid w:val="0021053B"/>
    <w:rsid w:val="002119EA"/>
    <w:rsid w:val="002120CB"/>
    <w:rsid w:val="002123D9"/>
    <w:rsid w:val="00214A1E"/>
    <w:rsid w:val="00214F53"/>
    <w:rsid w:val="00214F55"/>
    <w:rsid w:val="00214F5D"/>
    <w:rsid w:val="00215415"/>
    <w:rsid w:val="002157B0"/>
    <w:rsid w:val="00215924"/>
    <w:rsid w:val="00216BAD"/>
    <w:rsid w:val="00220644"/>
    <w:rsid w:val="00220760"/>
    <w:rsid w:val="002208D5"/>
    <w:rsid w:val="00221957"/>
    <w:rsid w:val="0022251B"/>
    <w:rsid w:val="002232F0"/>
    <w:rsid w:val="00223EFA"/>
    <w:rsid w:val="002242D1"/>
    <w:rsid w:val="00224ADC"/>
    <w:rsid w:val="00224D1C"/>
    <w:rsid w:val="00225003"/>
    <w:rsid w:val="00225A75"/>
    <w:rsid w:val="00225F3D"/>
    <w:rsid w:val="002260F6"/>
    <w:rsid w:val="0022623E"/>
    <w:rsid w:val="00226C52"/>
    <w:rsid w:val="00226D59"/>
    <w:rsid w:val="00227130"/>
    <w:rsid w:val="00227253"/>
    <w:rsid w:val="0022747E"/>
    <w:rsid w:val="00230A93"/>
    <w:rsid w:val="002319A7"/>
    <w:rsid w:val="00231C28"/>
    <w:rsid w:val="0023222B"/>
    <w:rsid w:val="00232580"/>
    <w:rsid w:val="002328D0"/>
    <w:rsid w:val="00233005"/>
    <w:rsid w:val="0023399F"/>
    <w:rsid w:val="00233DDE"/>
    <w:rsid w:val="00233EBD"/>
    <w:rsid w:val="00235600"/>
    <w:rsid w:val="002357CC"/>
    <w:rsid w:val="00235D04"/>
    <w:rsid w:val="00235E96"/>
    <w:rsid w:val="00236046"/>
    <w:rsid w:val="002367BD"/>
    <w:rsid w:val="00236842"/>
    <w:rsid w:val="0023698E"/>
    <w:rsid w:val="002375CA"/>
    <w:rsid w:val="0023796E"/>
    <w:rsid w:val="00237FCB"/>
    <w:rsid w:val="0024035D"/>
    <w:rsid w:val="00240D3C"/>
    <w:rsid w:val="00241081"/>
    <w:rsid w:val="002412FE"/>
    <w:rsid w:val="00241589"/>
    <w:rsid w:val="00241F1B"/>
    <w:rsid w:val="002431C1"/>
    <w:rsid w:val="00243B00"/>
    <w:rsid w:val="00243C55"/>
    <w:rsid w:val="00243FF3"/>
    <w:rsid w:val="00244362"/>
    <w:rsid w:val="00244DCF"/>
    <w:rsid w:val="00245966"/>
    <w:rsid w:val="00247462"/>
    <w:rsid w:val="00247BB2"/>
    <w:rsid w:val="00247BBB"/>
    <w:rsid w:val="002505BF"/>
    <w:rsid w:val="00250A84"/>
    <w:rsid w:val="00250E32"/>
    <w:rsid w:val="0025153B"/>
    <w:rsid w:val="00251CEE"/>
    <w:rsid w:val="00251F00"/>
    <w:rsid w:val="00252568"/>
    <w:rsid w:val="002526A7"/>
    <w:rsid w:val="00252CDE"/>
    <w:rsid w:val="00252F54"/>
    <w:rsid w:val="00253F18"/>
    <w:rsid w:val="002541B3"/>
    <w:rsid w:val="00254A0B"/>
    <w:rsid w:val="00254EAE"/>
    <w:rsid w:val="00255867"/>
    <w:rsid w:val="00256919"/>
    <w:rsid w:val="00256BC0"/>
    <w:rsid w:val="00256D99"/>
    <w:rsid w:val="00257249"/>
    <w:rsid w:val="00257D12"/>
    <w:rsid w:val="00260D72"/>
    <w:rsid w:val="00261571"/>
    <w:rsid w:val="002622FF"/>
    <w:rsid w:val="0026235F"/>
    <w:rsid w:val="0026252E"/>
    <w:rsid w:val="00262D17"/>
    <w:rsid w:val="00262D8E"/>
    <w:rsid w:val="00263EBA"/>
    <w:rsid w:val="0026435E"/>
    <w:rsid w:val="002645C6"/>
    <w:rsid w:val="002646C8"/>
    <w:rsid w:val="00264AC3"/>
    <w:rsid w:val="00264D0E"/>
    <w:rsid w:val="0026593A"/>
    <w:rsid w:val="002667F5"/>
    <w:rsid w:val="002670BA"/>
    <w:rsid w:val="00270A3B"/>
    <w:rsid w:val="00270E2C"/>
    <w:rsid w:val="00271214"/>
    <w:rsid w:val="002712B8"/>
    <w:rsid w:val="00271811"/>
    <w:rsid w:val="00271E79"/>
    <w:rsid w:val="00271FE8"/>
    <w:rsid w:val="00272BD6"/>
    <w:rsid w:val="00274915"/>
    <w:rsid w:val="00274931"/>
    <w:rsid w:val="00275040"/>
    <w:rsid w:val="002752BF"/>
    <w:rsid w:val="002753DE"/>
    <w:rsid w:val="002756E5"/>
    <w:rsid w:val="00276026"/>
    <w:rsid w:val="0027678A"/>
    <w:rsid w:val="00276E00"/>
    <w:rsid w:val="00276FA7"/>
    <w:rsid w:val="00277A10"/>
    <w:rsid w:val="002804E0"/>
    <w:rsid w:val="0028080B"/>
    <w:rsid w:val="00280C3A"/>
    <w:rsid w:val="00280C83"/>
    <w:rsid w:val="00282328"/>
    <w:rsid w:val="00282C09"/>
    <w:rsid w:val="00282F8A"/>
    <w:rsid w:val="00283148"/>
    <w:rsid w:val="002838FC"/>
    <w:rsid w:val="00284129"/>
    <w:rsid w:val="00284B97"/>
    <w:rsid w:val="00285335"/>
    <w:rsid w:val="002867C3"/>
    <w:rsid w:val="0028690A"/>
    <w:rsid w:val="002876C2"/>
    <w:rsid w:val="002877A9"/>
    <w:rsid w:val="002877D8"/>
    <w:rsid w:val="00287C40"/>
    <w:rsid w:val="00290D88"/>
    <w:rsid w:val="00291055"/>
    <w:rsid w:val="0029107F"/>
    <w:rsid w:val="002925E9"/>
    <w:rsid w:val="0029273C"/>
    <w:rsid w:val="00293049"/>
    <w:rsid w:val="0029344E"/>
    <w:rsid w:val="00293CF0"/>
    <w:rsid w:val="00294E2B"/>
    <w:rsid w:val="00295FD3"/>
    <w:rsid w:val="00296D24"/>
    <w:rsid w:val="0029723E"/>
    <w:rsid w:val="0029750A"/>
    <w:rsid w:val="002975D9"/>
    <w:rsid w:val="0029775F"/>
    <w:rsid w:val="0029782B"/>
    <w:rsid w:val="00297DFB"/>
    <w:rsid w:val="002A02C3"/>
    <w:rsid w:val="002A03C3"/>
    <w:rsid w:val="002A0E23"/>
    <w:rsid w:val="002A1884"/>
    <w:rsid w:val="002A2818"/>
    <w:rsid w:val="002A354A"/>
    <w:rsid w:val="002A386E"/>
    <w:rsid w:val="002A39C0"/>
    <w:rsid w:val="002A4859"/>
    <w:rsid w:val="002A51BC"/>
    <w:rsid w:val="002A56EE"/>
    <w:rsid w:val="002A594B"/>
    <w:rsid w:val="002A5D3D"/>
    <w:rsid w:val="002A63AF"/>
    <w:rsid w:val="002A76D5"/>
    <w:rsid w:val="002B006B"/>
    <w:rsid w:val="002B06E4"/>
    <w:rsid w:val="002B0DC9"/>
    <w:rsid w:val="002B0FA1"/>
    <w:rsid w:val="002B23DA"/>
    <w:rsid w:val="002B24ED"/>
    <w:rsid w:val="002B2508"/>
    <w:rsid w:val="002B33CB"/>
    <w:rsid w:val="002B37B2"/>
    <w:rsid w:val="002B384D"/>
    <w:rsid w:val="002B414D"/>
    <w:rsid w:val="002B5325"/>
    <w:rsid w:val="002B6522"/>
    <w:rsid w:val="002B6B8E"/>
    <w:rsid w:val="002B786C"/>
    <w:rsid w:val="002C0072"/>
    <w:rsid w:val="002C0DB1"/>
    <w:rsid w:val="002C17B1"/>
    <w:rsid w:val="002C1F1A"/>
    <w:rsid w:val="002C24D3"/>
    <w:rsid w:val="002C2C8C"/>
    <w:rsid w:val="002C33CF"/>
    <w:rsid w:val="002C3CF8"/>
    <w:rsid w:val="002C4464"/>
    <w:rsid w:val="002C469D"/>
    <w:rsid w:val="002C48C1"/>
    <w:rsid w:val="002C5442"/>
    <w:rsid w:val="002C6385"/>
    <w:rsid w:val="002C6C63"/>
    <w:rsid w:val="002D0BB7"/>
    <w:rsid w:val="002D0FD8"/>
    <w:rsid w:val="002D2775"/>
    <w:rsid w:val="002D3364"/>
    <w:rsid w:val="002D3446"/>
    <w:rsid w:val="002D363F"/>
    <w:rsid w:val="002D3B24"/>
    <w:rsid w:val="002D409E"/>
    <w:rsid w:val="002D494E"/>
    <w:rsid w:val="002D4A59"/>
    <w:rsid w:val="002D4B89"/>
    <w:rsid w:val="002D53A6"/>
    <w:rsid w:val="002D54AD"/>
    <w:rsid w:val="002D55C0"/>
    <w:rsid w:val="002D634B"/>
    <w:rsid w:val="002D6EA7"/>
    <w:rsid w:val="002E0157"/>
    <w:rsid w:val="002E02CC"/>
    <w:rsid w:val="002E0E5C"/>
    <w:rsid w:val="002E0F20"/>
    <w:rsid w:val="002E0F78"/>
    <w:rsid w:val="002E140B"/>
    <w:rsid w:val="002E24DF"/>
    <w:rsid w:val="002E25CC"/>
    <w:rsid w:val="002E2695"/>
    <w:rsid w:val="002E30FC"/>
    <w:rsid w:val="002E341F"/>
    <w:rsid w:val="002E3506"/>
    <w:rsid w:val="002E37D8"/>
    <w:rsid w:val="002E3D47"/>
    <w:rsid w:val="002E4593"/>
    <w:rsid w:val="002E464A"/>
    <w:rsid w:val="002E4AB6"/>
    <w:rsid w:val="002E5526"/>
    <w:rsid w:val="002E633E"/>
    <w:rsid w:val="002E64C5"/>
    <w:rsid w:val="002E66FF"/>
    <w:rsid w:val="002E7160"/>
    <w:rsid w:val="002E7200"/>
    <w:rsid w:val="002F0763"/>
    <w:rsid w:val="002F131E"/>
    <w:rsid w:val="002F22DF"/>
    <w:rsid w:val="002F31F7"/>
    <w:rsid w:val="002F3850"/>
    <w:rsid w:val="002F3F27"/>
    <w:rsid w:val="002F425E"/>
    <w:rsid w:val="002F5B55"/>
    <w:rsid w:val="002F5D9E"/>
    <w:rsid w:val="002F5FCC"/>
    <w:rsid w:val="002F642B"/>
    <w:rsid w:val="002F65D8"/>
    <w:rsid w:val="002F6B58"/>
    <w:rsid w:val="002F6CFA"/>
    <w:rsid w:val="002F7585"/>
    <w:rsid w:val="002F7811"/>
    <w:rsid w:val="002F79A9"/>
    <w:rsid w:val="002F7C2D"/>
    <w:rsid w:val="002F7E7A"/>
    <w:rsid w:val="00300AA6"/>
    <w:rsid w:val="00300EAC"/>
    <w:rsid w:val="00301313"/>
    <w:rsid w:val="00301E6D"/>
    <w:rsid w:val="00302CA2"/>
    <w:rsid w:val="00303505"/>
    <w:rsid w:val="0030368F"/>
    <w:rsid w:val="0030426C"/>
    <w:rsid w:val="00305D6F"/>
    <w:rsid w:val="00305E4F"/>
    <w:rsid w:val="0030677B"/>
    <w:rsid w:val="00306850"/>
    <w:rsid w:val="003069F3"/>
    <w:rsid w:val="003075AB"/>
    <w:rsid w:val="00307EC5"/>
    <w:rsid w:val="0031071F"/>
    <w:rsid w:val="00311747"/>
    <w:rsid w:val="0031186C"/>
    <w:rsid w:val="00312481"/>
    <w:rsid w:val="00312600"/>
    <w:rsid w:val="003135E7"/>
    <w:rsid w:val="003139AD"/>
    <w:rsid w:val="00314524"/>
    <w:rsid w:val="00315260"/>
    <w:rsid w:val="003159D2"/>
    <w:rsid w:val="00316D17"/>
    <w:rsid w:val="00317200"/>
    <w:rsid w:val="00317284"/>
    <w:rsid w:val="003224B8"/>
    <w:rsid w:val="00322829"/>
    <w:rsid w:val="00322973"/>
    <w:rsid w:val="00322AFB"/>
    <w:rsid w:val="0032519A"/>
    <w:rsid w:val="003257DD"/>
    <w:rsid w:val="00325888"/>
    <w:rsid w:val="00325A26"/>
    <w:rsid w:val="00326D5D"/>
    <w:rsid w:val="00326FAC"/>
    <w:rsid w:val="00330B1C"/>
    <w:rsid w:val="0033149C"/>
    <w:rsid w:val="003318B6"/>
    <w:rsid w:val="00331C1D"/>
    <w:rsid w:val="0033279C"/>
    <w:rsid w:val="00332956"/>
    <w:rsid w:val="00333B85"/>
    <w:rsid w:val="003349C9"/>
    <w:rsid w:val="0033500D"/>
    <w:rsid w:val="003355F5"/>
    <w:rsid w:val="00336A25"/>
    <w:rsid w:val="00337218"/>
    <w:rsid w:val="0033753E"/>
    <w:rsid w:val="003376DE"/>
    <w:rsid w:val="0034067E"/>
    <w:rsid w:val="00340D00"/>
    <w:rsid w:val="00340D9C"/>
    <w:rsid w:val="003415C5"/>
    <w:rsid w:val="00341AC4"/>
    <w:rsid w:val="00342B21"/>
    <w:rsid w:val="00343472"/>
    <w:rsid w:val="003443B3"/>
    <w:rsid w:val="00344471"/>
    <w:rsid w:val="00344592"/>
    <w:rsid w:val="00344B2A"/>
    <w:rsid w:val="003452AE"/>
    <w:rsid w:val="00345549"/>
    <w:rsid w:val="003463F2"/>
    <w:rsid w:val="00346460"/>
    <w:rsid w:val="00346821"/>
    <w:rsid w:val="00346F61"/>
    <w:rsid w:val="0034753D"/>
    <w:rsid w:val="003521FC"/>
    <w:rsid w:val="00352217"/>
    <w:rsid w:val="003531D2"/>
    <w:rsid w:val="003538F1"/>
    <w:rsid w:val="00353CE1"/>
    <w:rsid w:val="00353D7D"/>
    <w:rsid w:val="00353DCF"/>
    <w:rsid w:val="00354149"/>
    <w:rsid w:val="003542AA"/>
    <w:rsid w:val="00354F0F"/>
    <w:rsid w:val="003551A6"/>
    <w:rsid w:val="00355277"/>
    <w:rsid w:val="003552AB"/>
    <w:rsid w:val="003553F2"/>
    <w:rsid w:val="00355596"/>
    <w:rsid w:val="00355677"/>
    <w:rsid w:val="0035569F"/>
    <w:rsid w:val="00355AA8"/>
    <w:rsid w:val="00355F5B"/>
    <w:rsid w:val="00356832"/>
    <w:rsid w:val="00356DF3"/>
    <w:rsid w:val="00357417"/>
    <w:rsid w:val="00360858"/>
    <w:rsid w:val="003608FB"/>
    <w:rsid w:val="003609AF"/>
    <w:rsid w:val="00361138"/>
    <w:rsid w:val="003623AE"/>
    <w:rsid w:val="00364466"/>
    <w:rsid w:val="00365501"/>
    <w:rsid w:val="00365E4E"/>
    <w:rsid w:val="00365ED8"/>
    <w:rsid w:val="00366486"/>
    <w:rsid w:val="00366B47"/>
    <w:rsid w:val="003670F7"/>
    <w:rsid w:val="00367890"/>
    <w:rsid w:val="00367DFB"/>
    <w:rsid w:val="0037000D"/>
    <w:rsid w:val="00370D7D"/>
    <w:rsid w:val="00373DDB"/>
    <w:rsid w:val="0037414F"/>
    <w:rsid w:val="00375CA0"/>
    <w:rsid w:val="00376755"/>
    <w:rsid w:val="0037754E"/>
    <w:rsid w:val="00377A8D"/>
    <w:rsid w:val="00377ED8"/>
    <w:rsid w:val="003802B3"/>
    <w:rsid w:val="003806E5"/>
    <w:rsid w:val="0038228C"/>
    <w:rsid w:val="00382A8A"/>
    <w:rsid w:val="003830DA"/>
    <w:rsid w:val="003855A5"/>
    <w:rsid w:val="00385DBE"/>
    <w:rsid w:val="0038603B"/>
    <w:rsid w:val="003862AA"/>
    <w:rsid w:val="003875CA"/>
    <w:rsid w:val="00387761"/>
    <w:rsid w:val="003878F7"/>
    <w:rsid w:val="00387F5A"/>
    <w:rsid w:val="00390130"/>
    <w:rsid w:val="00391016"/>
    <w:rsid w:val="00391368"/>
    <w:rsid w:val="0039142E"/>
    <w:rsid w:val="00391BBF"/>
    <w:rsid w:val="003921C5"/>
    <w:rsid w:val="00393FE0"/>
    <w:rsid w:val="003943E0"/>
    <w:rsid w:val="0039446C"/>
    <w:rsid w:val="00394F8B"/>
    <w:rsid w:val="00395998"/>
    <w:rsid w:val="00395EC7"/>
    <w:rsid w:val="0039660D"/>
    <w:rsid w:val="00396995"/>
    <w:rsid w:val="00396C01"/>
    <w:rsid w:val="00396FD8"/>
    <w:rsid w:val="0039794D"/>
    <w:rsid w:val="00397A67"/>
    <w:rsid w:val="00397BAD"/>
    <w:rsid w:val="00397D00"/>
    <w:rsid w:val="003A10A8"/>
    <w:rsid w:val="003A1DF5"/>
    <w:rsid w:val="003A2027"/>
    <w:rsid w:val="003A385A"/>
    <w:rsid w:val="003A3AAC"/>
    <w:rsid w:val="003A4681"/>
    <w:rsid w:val="003A46F7"/>
    <w:rsid w:val="003A4C9B"/>
    <w:rsid w:val="003A55C4"/>
    <w:rsid w:val="003A57B4"/>
    <w:rsid w:val="003A5874"/>
    <w:rsid w:val="003A61BA"/>
    <w:rsid w:val="003A62E2"/>
    <w:rsid w:val="003A641E"/>
    <w:rsid w:val="003A682A"/>
    <w:rsid w:val="003A6BE5"/>
    <w:rsid w:val="003A6E33"/>
    <w:rsid w:val="003A7D94"/>
    <w:rsid w:val="003B0372"/>
    <w:rsid w:val="003B077C"/>
    <w:rsid w:val="003B084C"/>
    <w:rsid w:val="003B0C88"/>
    <w:rsid w:val="003B0E73"/>
    <w:rsid w:val="003B2A22"/>
    <w:rsid w:val="003B2C5F"/>
    <w:rsid w:val="003B2EA4"/>
    <w:rsid w:val="003B3E15"/>
    <w:rsid w:val="003B421B"/>
    <w:rsid w:val="003B46D9"/>
    <w:rsid w:val="003B4E76"/>
    <w:rsid w:val="003B50DF"/>
    <w:rsid w:val="003B5B6C"/>
    <w:rsid w:val="003B5CE7"/>
    <w:rsid w:val="003B5CFB"/>
    <w:rsid w:val="003B6177"/>
    <w:rsid w:val="003B63E1"/>
    <w:rsid w:val="003B670B"/>
    <w:rsid w:val="003C0F17"/>
    <w:rsid w:val="003C114A"/>
    <w:rsid w:val="003C13E1"/>
    <w:rsid w:val="003C2235"/>
    <w:rsid w:val="003C2FB0"/>
    <w:rsid w:val="003C48AB"/>
    <w:rsid w:val="003C54CB"/>
    <w:rsid w:val="003C65A9"/>
    <w:rsid w:val="003C7666"/>
    <w:rsid w:val="003D009C"/>
    <w:rsid w:val="003D00CA"/>
    <w:rsid w:val="003D0655"/>
    <w:rsid w:val="003D0D38"/>
    <w:rsid w:val="003D13C7"/>
    <w:rsid w:val="003D25F8"/>
    <w:rsid w:val="003D2A67"/>
    <w:rsid w:val="003D2C97"/>
    <w:rsid w:val="003D2DEA"/>
    <w:rsid w:val="003D31BA"/>
    <w:rsid w:val="003D4F0B"/>
    <w:rsid w:val="003D52BF"/>
    <w:rsid w:val="003D74FF"/>
    <w:rsid w:val="003D7B1E"/>
    <w:rsid w:val="003D7CDD"/>
    <w:rsid w:val="003D7E5B"/>
    <w:rsid w:val="003E02A5"/>
    <w:rsid w:val="003E0BE7"/>
    <w:rsid w:val="003E0C4B"/>
    <w:rsid w:val="003E1568"/>
    <w:rsid w:val="003E18DA"/>
    <w:rsid w:val="003E1C40"/>
    <w:rsid w:val="003E2125"/>
    <w:rsid w:val="003E21D9"/>
    <w:rsid w:val="003E2307"/>
    <w:rsid w:val="003E2D43"/>
    <w:rsid w:val="003E32C7"/>
    <w:rsid w:val="003E3314"/>
    <w:rsid w:val="003E3C54"/>
    <w:rsid w:val="003E4DAC"/>
    <w:rsid w:val="003E51FA"/>
    <w:rsid w:val="003E7662"/>
    <w:rsid w:val="003E7883"/>
    <w:rsid w:val="003F017D"/>
    <w:rsid w:val="003F01FA"/>
    <w:rsid w:val="003F0E48"/>
    <w:rsid w:val="003F11FF"/>
    <w:rsid w:val="003F2063"/>
    <w:rsid w:val="003F215E"/>
    <w:rsid w:val="003F237B"/>
    <w:rsid w:val="003F2D71"/>
    <w:rsid w:val="003F51A0"/>
    <w:rsid w:val="003F51CC"/>
    <w:rsid w:val="003F60BA"/>
    <w:rsid w:val="003F683C"/>
    <w:rsid w:val="003F6F84"/>
    <w:rsid w:val="003F723A"/>
    <w:rsid w:val="003F7460"/>
    <w:rsid w:val="003F7792"/>
    <w:rsid w:val="003F7927"/>
    <w:rsid w:val="003F7F9D"/>
    <w:rsid w:val="004001A1"/>
    <w:rsid w:val="00401638"/>
    <w:rsid w:val="00402738"/>
    <w:rsid w:val="00402A9A"/>
    <w:rsid w:val="00402C3C"/>
    <w:rsid w:val="004032B9"/>
    <w:rsid w:val="00403728"/>
    <w:rsid w:val="00403925"/>
    <w:rsid w:val="00403B4A"/>
    <w:rsid w:val="00404F1A"/>
    <w:rsid w:val="00405414"/>
    <w:rsid w:val="004057D6"/>
    <w:rsid w:val="00405D1E"/>
    <w:rsid w:val="00406442"/>
    <w:rsid w:val="004065FC"/>
    <w:rsid w:val="00406728"/>
    <w:rsid w:val="00406DDE"/>
    <w:rsid w:val="00406F4F"/>
    <w:rsid w:val="00407253"/>
    <w:rsid w:val="00410650"/>
    <w:rsid w:val="00410EAB"/>
    <w:rsid w:val="0041154F"/>
    <w:rsid w:val="0041158E"/>
    <w:rsid w:val="00411DC2"/>
    <w:rsid w:val="00411DCE"/>
    <w:rsid w:val="00412BFF"/>
    <w:rsid w:val="004132CC"/>
    <w:rsid w:val="00413600"/>
    <w:rsid w:val="00413D9F"/>
    <w:rsid w:val="004146E9"/>
    <w:rsid w:val="00414D0D"/>
    <w:rsid w:val="00414DE8"/>
    <w:rsid w:val="0041577C"/>
    <w:rsid w:val="00415990"/>
    <w:rsid w:val="004159FF"/>
    <w:rsid w:val="00416203"/>
    <w:rsid w:val="004200A1"/>
    <w:rsid w:val="0042031A"/>
    <w:rsid w:val="00420588"/>
    <w:rsid w:val="0042058D"/>
    <w:rsid w:val="00420B80"/>
    <w:rsid w:val="004214E1"/>
    <w:rsid w:val="00421BC0"/>
    <w:rsid w:val="00422126"/>
    <w:rsid w:val="00422528"/>
    <w:rsid w:val="00423C0C"/>
    <w:rsid w:val="00424326"/>
    <w:rsid w:val="004243B9"/>
    <w:rsid w:val="00425319"/>
    <w:rsid w:val="0042539B"/>
    <w:rsid w:val="004254F0"/>
    <w:rsid w:val="00426A46"/>
    <w:rsid w:val="00426D73"/>
    <w:rsid w:val="00426EB3"/>
    <w:rsid w:val="00426F1F"/>
    <w:rsid w:val="004278D2"/>
    <w:rsid w:val="004306E4"/>
    <w:rsid w:val="00430733"/>
    <w:rsid w:val="00430916"/>
    <w:rsid w:val="004321C1"/>
    <w:rsid w:val="00432726"/>
    <w:rsid w:val="004332AF"/>
    <w:rsid w:val="00433FBA"/>
    <w:rsid w:val="0043432A"/>
    <w:rsid w:val="004356C0"/>
    <w:rsid w:val="00435C5B"/>
    <w:rsid w:val="0043621C"/>
    <w:rsid w:val="00436516"/>
    <w:rsid w:val="00437335"/>
    <w:rsid w:val="0043753A"/>
    <w:rsid w:val="00437CD0"/>
    <w:rsid w:val="0044050E"/>
    <w:rsid w:val="00440A59"/>
    <w:rsid w:val="004413FC"/>
    <w:rsid w:val="00441A84"/>
    <w:rsid w:val="00442AFB"/>
    <w:rsid w:val="00442B1F"/>
    <w:rsid w:val="00442EE8"/>
    <w:rsid w:val="004433A0"/>
    <w:rsid w:val="00443A71"/>
    <w:rsid w:val="00443D43"/>
    <w:rsid w:val="00443EB1"/>
    <w:rsid w:val="00444FB2"/>
    <w:rsid w:val="0044508E"/>
    <w:rsid w:val="004451CB"/>
    <w:rsid w:val="00445C11"/>
    <w:rsid w:val="004462AA"/>
    <w:rsid w:val="004462ED"/>
    <w:rsid w:val="00446B08"/>
    <w:rsid w:val="004479B4"/>
    <w:rsid w:val="00450563"/>
    <w:rsid w:val="004505C5"/>
    <w:rsid w:val="00450EAE"/>
    <w:rsid w:val="0045112B"/>
    <w:rsid w:val="0045202C"/>
    <w:rsid w:val="004521C7"/>
    <w:rsid w:val="0045236B"/>
    <w:rsid w:val="00452EA3"/>
    <w:rsid w:val="00454748"/>
    <w:rsid w:val="004550D3"/>
    <w:rsid w:val="0045579F"/>
    <w:rsid w:val="00455830"/>
    <w:rsid w:val="00456A93"/>
    <w:rsid w:val="00456CB1"/>
    <w:rsid w:val="004571F0"/>
    <w:rsid w:val="004578B8"/>
    <w:rsid w:val="00457F4C"/>
    <w:rsid w:val="004600C3"/>
    <w:rsid w:val="004603F8"/>
    <w:rsid w:val="0046099B"/>
    <w:rsid w:val="004619F8"/>
    <w:rsid w:val="00462822"/>
    <w:rsid w:val="00462972"/>
    <w:rsid w:val="00462E0A"/>
    <w:rsid w:val="00462E40"/>
    <w:rsid w:val="00462F33"/>
    <w:rsid w:val="0046305F"/>
    <w:rsid w:val="004637C8"/>
    <w:rsid w:val="00464087"/>
    <w:rsid w:val="0046431A"/>
    <w:rsid w:val="004657FB"/>
    <w:rsid w:val="004667F4"/>
    <w:rsid w:val="004670CF"/>
    <w:rsid w:val="00467129"/>
    <w:rsid w:val="00467DCB"/>
    <w:rsid w:val="00467F1F"/>
    <w:rsid w:val="00471B20"/>
    <w:rsid w:val="004727D6"/>
    <w:rsid w:val="00472867"/>
    <w:rsid w:val="004731F1"/>
    <w:rsid w:val="00473AC5"/>
    <w:rsid w:val="00473C26"/>
    <w:rsid w:val="004744D5"/>
    <w:rsid w:val="004745EC"/>
    <w:rsid w:val="004759C2"/>
    <w:rsid w:val="00475D2A"/>
    <w:rsid w:val="00475EC4"/>
    <w:rsid w:val="00476321"/>
    <w:rsid w:val="00476547"/>
    <w:rsid w:val="004772B4"/>
    <w:rsid w:val="00480EEA"/>
    <w:rsid w:val="00481AC9"/>
    <w:rsid w:val="004820AA"/>
    <w:rsid w:val="0048394B"/>
    <w:rsid w:val="00483CE6"/>
    <w:rsid w:val="00484CB5"/>
    <w:rsid w:val="00484FA1"/>
    <w:rsid w:val="00485352"/>
    <w:rsid w:val="00485C19"/>
    <w:rsid w:val="00486183"/>
    <w:rsid w:val="004903EB"/>
    <w:rsid w:val="0049202E"/>
    <w:rsid w:val="00492DF2"/>
    <w:rsid w:val="00492E60"/>
    <w:rsid w:val="00493224"/>
    <w:rsid w:val="004932A7"/>
    <w:rsid w:val="0049384A"/>
    <w:rsid w:val="00493948"/>
    <w:rsid w:val="00494013"/>
    <w:rsid w:val="0049469B"/>
    <w:rsid w:val="004946D9"/>
    <w:rsid w:val="00494990"/>
    <w:rsid w:val="0049537D"/>
    <w:rsid w:val="0049625F"/>
    <w:rsid w:val="00496AFA"/>
    <w:rsid w:val="004A1290"/>
    <w:rsid w:val="004A19BE"/>
    <w:rsid w:val="004A27C1"/>
    <w:rsid w:val="004A2BC1"/>
    <w:rsid w:val="004A33EE"/>
    <w:rsid w:val="004A3580"/>
    <w:rsid w:val="004A3FD6"/>
    <w:rsid w:val="004A4208"/>
    <w:rsid w:val="004A4597"/>
    <w:rsid w:val="004A5911"/>
    <w:rsid w:val="004A59D3"/>
    <w:rsid w:val="004A62EC"/>
    <w:rsid w:val="004A671F"/>
    <w:rsid w:val="004B0760"/>
    <w:rsid w:val="004B1061"/>
    <w:rsid w:val="004B1516"/>
    <w:rsid w:val="004B22D7"/>
    <w:rsid w:val="004B2755"/>
    <w:rsid w:val="004B286A"/>
    <w:rsid w:val="004B2EA9"/>
    <w:rsid w:val="004B3F00"/>
    <w:rsid w:val="004B42D9"/>
    <w:rsid w:val="004B53C1"/>
    <w:rsid w:val="004B62AA"/>
    <w:rsid w:val="004B633F"/>
    <w:rsid w:val="004B6383"/>
    <w:rsid w:val="004B67E4"/>
    <w:rsid w:val="004B727A"/>
    <w:rsid w:val="004B76B1"/>
    <w:rsid w:val="004B7760"/>
    <w:rsid w:val="004B790B"/>
    <w:rsid w:val="004B7C65"/>
    <w:rsid w:val="004B7F71"/>
    <w:rsid w:val="004C0B43"/>
    <w:rsid w:val="004C1B0B"/>
    <w:rsid w:val="004C2A53"/>
    <w:rsid w:val="004C2F6E"/>
    <w:rsid w:val="004C38A0"/>
    <w:rsid w:val="004C4A5F"/>
    <w:rsid w:val="004C5395"/>
    <w:rsid w:val="004C6C13"/>
    <w:rsid w:val="004C7C0A"/>
    <w:rsid w:val="004C7C1A"/>
    <w:rsid w:val="004C7C3F"/>
    <w:rsid w:val="004D0501"/>
    <w:rsid w:val="004D1B10"/>
    <w:rsid w:val="004D1B33"/>
    <w:rsid w:val="004D1DBF"/>
    <w:rsid w:val="004D1E85"/>
    <w:rsid w:val="004D1FB7"/>
    <w:rsid w:val="004D2190"/>
    <w:rsid w:val="004D2673"/>
    <w:rsid w:val="004D2F43"/>
    <w:rsid w:val="004D3FC3"/>
    <w:rsid w:val="004D6A0C"/>
    <w:rsid w:val="004D72D3"/>
    <w:rsid w:val="004D74AF"/>
    <w:rsid w:val="004D7636"/>
    <w:rsid w:val="004E00C5"/>
    <w:rsid w:val="004E08E9"/>
    <w:rsid w:val="004E0DD3"/>
    <w:rsid w:val="004E0E34"/>
    <w:rsid w:val="004E10B5"/>
    <w:rsid w:val="004E1207"/>
    <w:rsid w:val="004E180D"/>
    <w:rsid w:val="004E1CF7"/>
    <w:rsid w:val="004E38B2"/>
    <w:rsid w:val="004E397D"/>
    <w:rsid w:val="004E39DF"/>
    <w:rsid w:val="004E3A51"/>
    <w:rsid w:val="004E5334"/>
    <w:rsid w:val="004E65BF"/>
    <w:rsid w:val="004E674F"/>
    <w:rsid w:val="004E680E"/>
    <w:rsid w:val="004E7559"/>
    <w:rsid w:val="004E7F67"/>
    <w:rsid w:val="004F03B0"/>
    <w:rsid w:val="004F0740"/>
    <w:rsid w:val="004F0881"/>
    <w:rsid w:val="004F1010"/>
    <w:rsid w:val="004F18E0"/>
    <w:rsid w:val="004F3776"/>
    <w:rsid w:val="004F48F5"/>
    <w:rsid w:val="004F50C1"/>
    <w:rsid w:val="004F54ED"/>
    <w:rsid w:val="004F56C9"/>
    <w:rsid w:val="004F6EC5"/>
    <w:rsid w:val="004F700A"/>
    <w:rsid w:val="004F743C"/>
    <w:rsid w:val="004F7D9C"/>
    <w:rsid w:val="005007EB"/>
    <w:rsid w:val="00501530"/>
    <w:rsid w:val="00501553"/>
    <w:rsid w:val="00501569"/>
    <w:rsid w:val="00502CCE"/>
    <w:rsid w:val="0050451A"/>
    <w:rsid w:val="00505491"/>
    <w:rsid w:val="00505502"/>
    <w:rsid w:val="00505985"/>
    <w:rsid w:val="00505FC6"/>
    <w:rsid w:val="00506402"/>
    <w:rsid w:val="00506721"/>
    <w:rsid w:val="005072C2"/>
    <w:rsid w:val="005077C0"/>
    <w:rsid w:val="005102DE"/>
    <w:rsid w:val="0051046F"/>
    <w:rsid w:val="00510CF8"/>
    <w:rsid w:val="00510DEF"/>
    <w:rsid w:val="005110D0"/>
    <w:rsid w:val="00511529"/>
    <w:rsid w:val="0051162F"/>
    <w:rsid w:val="00511C27"/>
    <w:rsid w:val="005125BF"/>
    <w:rsid w:val="00512ABC"/>
    <w:rsid w:val="00512C7A"/>
    <w:rsid w:val="005140C1"/>
    <w:rsid w:val="0051437D"/>
    <w:rsid w:val="00514759"/>
    <w:rsid w:val="00515911"/>
    <w:rsid w:val="00516517"/>
    <w:rsid w:val="005166B9"/>
    <w:rsid w:val="00517F73"/>
    <w:rsid w:val="00521AD4"/>
    <w:rsid w:val="00521DD5"/>
    <w:rsid w:val="005221FA"/>
    <w:rsid w:val="00522773"/>
    <w:rsid w:val="00522B29"/>
    <w:rsid w:val="00522C1F"/>
    <w:rsid w:val="00523564"/>
    <w:rsid w:val="00524332"/>
    <w:rsid w:val="00524FB0"/>
    <w:rsid w:val="00525094"/>
    <w:rsid w:val="00525CAA"/>
    <w:rsid w:val="005263C1"/>
    <w:rsid w:val="005266D2"/>
    <w:rsid w:val="00526815"/>
    <w:rsid w:val="00526859"/>
    <w:rsid w:val="00526EA9"/>
    <w:rsid w:val="005275AD"/>
    <w:rsid w:val="005279B2"/>
    <w:rsid w:val="00527D45"/>
    <w:rsid w:val="00527F4E"/>
    <w:rsid w:val="00530652"/>
    <w:rsid w:val="00530939"/>
    <w:rsid w:val="00530C49"/>
    <w:rsid w:val="00531B68"/>
    <w:rsid w:val="005332B5"/>
    <w:rsid w:val="00533721"/>
    <w:rsid w:val="00534279"/>
    <w:rsid w:val="00535FDF"/>
    <w:rsid w:val="0053659A"/>
    <w:rsid w:val="00537686"/>
    <w:rsid w:val="00537D11"/>
    <w:rsid w:val="0054138B"/>
    <w:rsid w:val="00541726"/>
    <w:rsid w:val="005417B4"/>
    <w:rsid w:val="00542130"/>
    <w:rsid w:val="00543506"/>
    <w:rsid w:val="005435CF"/>
    <w:rsid w:val="00543E74"/>
    <w:rsid w:val="00543F55"/>
    <w:rsid w:val="00544B47"/>
    <w:rsid w:val="005450E5"/>
    <w:rsid w:val="00545883"/>
    <w:rsid w:val="00545EE1"/>
    <w:rsid w:val="0054644C"/>
    <w:rsid w:val="0054785F"/>
    <w:rsid w:val="00547B08"/>
    <w:rsid w:val="00550FB6"/>
    <w:rsid w:val="00551027"/>
    <w:rsid w:val="00551605"/>
    <w:rsid w:val="005526AE"/>
    <w:rsid w:val="00553E6B"/>
    <w:rsid w:val="005544C4"/>
    <w:rsid w:val="00554B0D"/>
    <w:rsid w:val="005555FA"/>
    <w:rsid w:val="00555BF0"/>
    <w:rsid w:val="00557468"/>
    <w:rsid w:val="0055758C"/>
    <w:rsid w:val="00561589"/>
    <w:rsid w:val="005616D4"/>
    <w:rsid w:val="00562194"/>
    <w:rsid w:val="00562B22"/>
    <w:rsid w:val="005631B7"/>
    <w:rsid w:val="0056324E"/>
    <w:rsid w:val="005635DA"/>
    <w:rsid w:val="00563783"/>
    <w:rsid w:val="005638E1"/>
    <w:rsid w:val="00563B5F"/>
    <w:rsid w:val="005651B3"/>
    <w:rsid w:val="005657B9"/>
    <w:rsid w:val="005662AB"/>
    <w:rsid w:val="005672CF"/>
    <w:rsid w:val="00567FA9"/>
    <w:rsid w:val="00570532"/>
    <w:rsid w:val="00570F5C"/>
    <w:rsid w:val="005718E9"/>
    <w:rsid w:val="00571CE3"/>
    <w:rsid w:val="00571EDE"/>
    <w:rsid w:val="00573248"/>
    <w:rsid w:val="005733F0"/>
    <w:rsid w:val="00573CD8"/>
    <w:rsid w:val="00573E9B"/>
    <w:rsid w:val="00574806"/>
    <w:rsid w:val="005748A2"/>
    <w:rsid w:val="0057509A"/>
    <w:rsid w:val="00575D43"/>
    <w:rsid w:val="00576A60"/>
    <w:rsid w:val="0057726F"/>
    <w:rsid w:val="00577D31"/>
    <w:rsid w:val="0058085F"/>
    <w:rsid w:val="005809F9"/>
    <w:rsid w:val="00580D67"/>
    <w:rsid w:val="00581048"/>
    <w:rsid w:val="0058135D"/>
    <w:rsid w:val="00581882"/>
    <w:rsid w:val="0058276F"/>
    <w:rsid w:val="00584977"/>
    <w:rsid w:val="00584E20"/>
    <w:rsid w:val="0058502B"/>
    <w:rsid w:val="005855A0"/>
    <w:rsid w:val="005858AD"/>
    <w:rsid w:val="005865A2"/>
    <w:rsid w:val="005866D3"/>
    <w:rsid w:val="00586AAD"/>
    <w:rsid w:val="0058732F"/>
    <w:rsid w:val="005875D4"/>
    <w:rsid w:val="00587748"/>
    <w:rsid w:val="00587B7D"/>
    <w:rsid w:val="00590362"/>
    <w:rsid w:val="0059082D"/>
    <w:rsid w:val="00590A1C"/>
    <w:rsid w:val="00590F29"/>
    <w:rsid w:val="00591B53"/>
    <w:rsid w:val="00591FD9"/>
    <w:rsid w:val="0059218C"/>
    <w:rsid w:val="0059232E"/>
    <w:rsid w:val="005923E2"/>
    <w:rsid w:val="00592DCA"/>
    <w:rsid w:val="00593E5E"/>
    <w:rsid w:val="0059506C"/>
    <w:rsid w:val="00596057"/>
    <w:rsid w:val="00596BC7"/>
    <w:rsid w:val="00596D69"/>
    <w:rsid w:val="00597198"/>
    <w:rsid w:val="0059730A"/>
    <w:rsid w:val="005976BC"/>
    <w:rsid w:val="005A0AFB"/>
    <w:rsid w:val="005A0FDF"/>
    <w:rsid w:val="005A1155"/>
    <w:rsid w:val="005A158F"/>
    <w:rsid w:val="005A2697"/>
    <w:rsid w:val="005A26B4"/>
    <w:rsid w:val="005A36A7"/>
    <w:rsid w:val="005A40D2"/>
    <w:rsid w:val="005A48FF"/>
    <w:rsid w:val="005A499C"/>
    <w:rsid w:val="005A4EEF"/>
    <w:rsid w:val="005A6AF7"/>
    <w:rsid w:val="005A6D16"/>
    <w:rsid w:val="005A7207"/>
    <w:rsid w:val="005A7506"/>
    <w:rsid w:val="005B04D7"/>
    <w:rsid w:val="005B1172"/>
    <w:rsid w:val="005B3024"/>
    <w:rsid w:val="005B46BC"/>
    <w:rsid w:val="005B4B4C"/>
    <w:rsid w:val="005B4B4D"/>
    <w:rsid w:val="005B5198"/>
    <w:rsid w:val="005B65E3"/>
    <w:rsid w:val="005B6966"/>
    <w:rsid w:val="005B69DB"/>
    <w:rsid w:val="005C2019"/>
    <w:rsid w:val="005C2117"/>
    <w:rsid w:val="005C24B5"/>
    <w:rsid w:val="005C27CC"/>
    <w:rsid w:val="005C280A"/>
    <w:rsid w:val="005C41E1"/>
    <w:rsid w:val="005C4F5C"/>
    <w:rsid w:val="005C635C"/>
    <w:rsid w:val="005C727D"/>
    <w:rsid w:val="005C7641"/>
    <w:rsid w:val="005C7AD2"/>
    <w:rsid w:val="005C7B74"/>
    <w:rsid w:val="005D0051"/>
    <w:rsid w:val="005D03AB"/>
    <w:rsid w:val="005D0A37"/>
    <w:rsid w:val="005D0C6B"/>
    <w:rsid w:val="005D1DB1"/>
    <w:rsid w:val="005D3010"/>
    <w:rsid w:val="005D348E"/>
    <w:rsid w:val="005D3E91"/>
    <w:rsid w:val="005D4311"/>
    <w:rsid w:val="005D479C"/>
    <w:rsid w:val="005D4BF5"/>
    <w:rsid w:val="005D4F64"/>
    <w:rsid w:val="005D5CA5"/>
    <w:rsid w:val="005D63B3"/>
    <w:rsid w:val="005D652F"/>
    <w:rsid w:val="005D695D"/>
    <w:rsid w:val="005D7080"/>
    <w:rsid w:val="005D7A2F"/>
    <w:rsid w:val="005E0774"/>
    <w:rsid w:val="005E0D57"/>
    <w:rsid w:val="005E1931"/>
    <w:rsid w:val="005E237E"/>
    <w:rsid w:val="005E299E"/>
    <w:rsid w:val="005E3589"/>
    <w:rsid w:val="005E37AB"/>
    <w:rsid w:val="005E3A99"/>
    <w:rsid w:val="005E400A"/>
    <w:rsid w:val="005E455D"/>
    <w:rsid w:val="005E4853"/>
    <w:rsid w:val="005E49D3"/>
    <w:rsid w:val="005E4C25"/>
    <w:rsid w:val="005E4CA8"/>
    <w:rsid w:val="005E5990"/>
    <w:rsid w:val="005E7279"/>
    <w:rsid w:val="005E7410"/>
    <w:rsid w:val="005E7655"/>
    <w:rsid w:val="005E76BE"/>
    <w:rsid w:val="005F0F7D"/>
    <w:rsid w:val="005F189A"/>
    <w:rsid w:val="005F1974"/>
    <w:rsid w:val="005F21F3"/>
    <w:rsid w:val="005F3278"/>
    <w:rsid w:val="005F3281"/>
    <w:rsid w:val="005F38EF"/>
    <w:rsid w:val="005F3A45"/>
    <w:rsid w:val="005F4432"/>
    <w:rsid w:val="005F6ACC"/>
    <w:rsid w:val="005F7A33"/>
    <w:rsid w:val="005F7A4B"/>
    <w:rsid w:val="006002E4"/>
    <w:rsid w:val="0060056C"/>
    <w:rsid w:val="006009D0"/>
    <w:rsid w:val="006010F9"/>
    <w:rsid w:val="00601AF6"/>
    <w:rsid w:val="00601CC8"/>
    <w:rsid w:val="00602349"/>
    <w:rsid w:val="00602485"/>
    <w:rsid w:val="006031CD"/>
    <w:rsid w:val="006037A4"/>
    <w:rsid w:val="006039AF"/>
    <w:rsid w:val="00603FCB"/>
    <w:rsid w:val="0060440C"/>
    <w:rsid w:val="00604E93"/>
    <w:rsid w:val="006055ED"/>
    <w:rsid w:val="0060670F"/>
    <w:rsid w:val="00606788"/>
    <w:rsid w:val="00606867"/>
    <w:rsid w:val="00606CCA"/>
    <w:rsid w:val="0060743E"/>
    <w:rsid w:val="0060748E"/>
    <w:rsid w:val="006077B7"/>
    <w:rsid w:val="00607B89"/>
    <w:rsid w:val="0061105C"/>
    <w:rsid w:val="00611B70"/>
    <w:rsid w:val="00612872"/>
    <w:rsid w:val="006129D3"/>
    <w:rsid w:val="006132BA"/>
    <w:rsid w:val="00613A0B"/>
    <w:rsid w:val="00613C2B"/>
    <w:rsid w:val="00614117"/>
    <w:rsid w:val="0061594B"/>
    <w:rsid w:val="00615E5D"/>
    <w:rsid w:val="00616400"/>
    <w:rsid w:val="0061669B"/>
    <w:rsid w:val="006166D0"/>
    <w:rsid w:val="006168E8"/>
    <w:rsid w:val="0061733A"/>
    <w:rsid w:val="00617BDF"/>
    <w:rsid w:val="00620404"/>
    <w:rsid w:val="00620E29"/>
    <w:rsid w:val="0062123A"/>
    <w:rsid w:val="0062178D"/>
    <w:rsid w:val="00621D4F"/>
    <w:rsid w:val="006220F4"/>
    <w:rsid w:val="00622219"/>
    <w:rsid w:val="006223D0"/>
    <w:rsid w:val="006226BD"/>
    <w:rsid w:val="00622C1F"/>
    <w:rsid w:val="006231F6"/>
    <w:rsid w:val="0062333E"/>
    <w:rsid w:val="0062374C"/>
    <w:rsid w:val="006242F5"/>
    <w:rsid w:val="006245AF"/>
    <w:rsid w:val="00627072"/>
    <w:rsid w:val="006302D2"/>
    <w:rsid w:val="006306E2"/>
    <w:rsid w:val="00630E4A"/>
    <w:rsid w:val="00631469"/>
    <w:rsid w:val="006319FB"/>
    <w:rsid w:val="00632534"/>
    <w:rsid w:val="006333D4"/>
    <w:rsid w:val="00633827"/>
    <w:rsid w:val="00634302"/>
    <w:rsid w:val="00634EC5"/>
    <w:rsid w:val="006355AF"/>
    <w:rsid w:val="006363AF"/>
    <w:rsid w:val="006365DD"/>
    <w:rsid w:val="00636BA1"/>
    <w:rsid w:val="00636D9A"/>
    <w:rsid w:val="0063745B"/>
    <w:rsid w:val="00640D52"/>
    <w:rsid w:val="006411A0"/>
    <w:rsid w:val="006412D7"/>
    <w:rsid w:val="006415A6"/>
    <w:rsid w:val="0064185F"/>
    <w:rsid w:val="00642A5A"/>
    <w:rsid w:val="006439A6"/>
    <w:rsid w:val="00644F5C"/>
    <w:rsid w:val="00645287"/>
    <w:rsid w:val="00645EE1"/>
    <w:rsid w:val="00646823"/>
    <w:rsid w:val="006473D9"/>
    <w:rsid w:val="00650340"/>
    <w:rsid w:val="0065157D"/>
    <w:rsid w:val="00651645"/>
    <w:rsid w:val="00651EB2"/>
    <w:rsid w:val="0065215A"/>
    <w:rsid w:val="006524B7"/>
    <w:rsid w:val="006525DE"/>
    <w:rsid w:val="006526FC"/>
    <w:rsid w:val="0065275C"/>
    <w:rsid w:val="00652CB9"/>
    <w:rsid w:val="006533C2"/>
    <w:rsid w:val="00653DFD"/>
    <w:rsid w:val="006543A1"/>
    <w:rsid w:val="00654502"/>
    <w:rsid w:val="00655F9C"/>
    <w:rsid w:val="00655FF1"/>
    <w:rsid w:val="00656126"/>
    <w:rsid w:val="00656416"/>
    <w:rsid w:val="00656FC5"/>
    <w:rsid w:val="00657217"/>
    <w:rsid w:val="0066006D"/>
    <w:rsid w:val="00660E47"/>
    <w:rsid w:val="006615AF"/>
    <w:rsid w:val="00661FC7"/>
    <w:rsid w:val="006620F8"/>
    <w:rsid w:val="0066218A"/>
    <w:rsid w:val="00662659"/>
    <w:rsid w:val="00663064"/>
    <w:rsid w:val="0066349C"/>
    <w:rsid w:val="00663B29"/>
    <w:rsid w:val="00664D3B"/>
    <w:rsid w:val="00665D81"/>
    <w:rsid w:val="00667339"/>
    <w:rsid w:val="00667586"/>
    <w:rsid w:val="006676C3"/>
    <w:rsid w:val="00667D90"/>
    <w:rsid w:val="00670D22"/>
    <w:rsid w:val="00670FA0"/>
    <w:rsid w:val="0067163F"/>
    <w:rsid w:val="006738A7"/>
    <w:rsid w:val="00673E60"/>
    <w:rsid w:val="00674430"/>
    <w:rsid w:val="0067495E"/>
    <w:rsid w:val="006754D8"/>
    <w:rsid w:val="006758E0"/>
    <w:rsid w:val="0067592D"/>
    <w:rsid w:val="00676901"/>
    <w:rsid w:val="006769B3"/>
    <w:rsid w:val="00677D65"/>
    <w:rsid w:val="006802A7"/>
    <w:rsid w:val="006803E6"/>
    <w:rsid w:val="00680AAE"/>
    <w:rsid w:val="00680C42"/>
    <w:rsid w:val="0068122A"/>
    <w:rsid w:val="00682BA7"/>
    <w:rsid w:val="006837B8"/>
    <w:rsid w:val="0068403F"/>
    <w:rsid w:val="006840E2"/>
    <w:rsid w:val="006845C2"/>
    <w:rsid w:val="00684790"/>
    <w:rsid w:val="00684E6B"/>
    <w:rsid w:val="00685114"/>
    <w:rsid w:val="00686BEC"/>
    <w:rsid w:val="006902E5"/>
    <w:rsid w:val="006913DE"/>
    <w:rsid w:val="00692021"/>
    <w:rsid w:val="00692DBF"/>
    <w:rsid w:val="00693A9C"/>
    <w:rsid w:val="00694B4A"/>
    <w:rsid w:val="006953E3"/>
    <w:rsid w:val="00695552"/>
    <w:rsid w:val="006958B0"/>
    <w:rsid w:val="00695BEA"/>
    <w:rsid w:val="006967F3"/>
    <w:rsid w:val="00697519"/>
    <w:rsid w:val="0069773D"/>
    <w:rsid w:val="0069788E"/>
    <w:rsid w:val="006A0E95"/>
    <w:rsid w:val="006A183F"/>
    <w:rsid w:val="006A19A8"/>
    <w:rsid w:val="006A1DC1"/>
    <w:rsid w:val="006A2AF8"/>
    <w:rsid w:val="006A2B4F"/>
    <w:rsid w:val="006A3365"/>
    <w:rsid w:val="006A37B6"/>
    <w:rsid w:val="006A3DA5"/>
    <w:rsid w:val="006A3DB6"/>
    <w:rsid w:val="006A536C"/>
    <w:rsid w:val="006A5ECC"/>
    <w:rsid w:val="006A60D2"/>
    <w:rsid w:val="006A634C"/>
    <w:rsid w:val="006A640F"/>
    <w:rsid w:val="006A643C"/>
    <w:rsid w:val="006A6862"/>
    <w:rsid w:val="006A6F84"/>
    <w:rsid w:val="006A73DF"/>
    <w:rsid w:val="006A7811"/>
    <w:rsid w:val="006A7924"/>
    <w:rsid w:val="006A7EFE"/>
    <w:rsid w:val="006B2B98"/>
    <w:rsid w:val="006B3BD6"/>
    <w:rsid w:val="006B3BDA"/>
    <w:rsid w:val="006B48D0"/>
    <w:rsid w:val="006B6A2B"/>
    <w:rsid w:val="006B6C49"/>
    <w:rsid w:val="006B6E00"/>
    <w:rsid w:val="006B70B9"/>
    <w:rsid w:val="006C0B5C"/>
    <w:rsid w:val="006C157C"/>
    <w:rsid w:val="006C1CD5"/>
    <w:rsid w:val="006C2BBD"/>
    <w:rsid w:val="006C2EEB"/>
    <w:rsid w:val="006C3E47"/>
    <w:rsid w:val="006C434D"/>
    <w:rsid w:val="006C586B"/>
    <w:rsid w:val="006C6682"/>
    <w:rsid w:val="006C6A9E"/>
    <w:rsid w:val="006C6E87"/>
    <w:rsid w:val="006C7716"/>
    <w:rsid w:val="006D01FA"/>
    <w:rsid w:val="006D032D"/>
    <w:rsid w:val="006D0BE9"/>
    <w:rsid w:val="006D12FC"/>
    <w:rsid w:val="006D163D"/>
    <w:rsid w:val="006D17E6"/>
    <w:rsid w:val="006D1DFB"/>
    <w:rsid w:val="006D26B8"/>
    <w:rsid w:val="006D26BC"/>
    <w:rsid w:val="006D2D06"/>
    <w:rsid w:val="006D2F56"/>
    <w:rsid w:val="006D316E"/>
    <w:rsid w:val="006D336D"/>
    <w:rsid w:val="006D3C20"/>
    <w:rsid w:val="006D48CD"/>
    <w:rsid w:val="006D5C6B"/>
    <w:rsid w:val="006D5D64"/>
    <w:rsid w:val="006D72FF"/>
    <w:rsid w:val="006D75EF"/>
    <w:rsid w:val="006D7BBA"/>
    <w:rsid w:val="006D7E0F"/>
    <w:rsid w:val="006E0305"/>
    <w:rsid w:val="006E0416"/>
    <w:rsid w:val="006E1234"/>
    <w:rsid w:val="006E1380"/>
    <w:rsid w:val="006E1CCD"/>
    <w:rsid w:val="006E2B28"/>
    <w:rsid w:val="006E2F73"/>
    <w:rsid w:val="006E3312"/>
    <w:rsid w:val="006E33E4"/>
    <w:rsid w:val="006E535A"/>
    <w:rsid w:val="006E57D5"/>
    <w:rsid w:val="006E5B39"/>
    <w:rsid w:val="006E5C20"/>
    <w:rsid w:val="006E738E"/>
    <w:rsid w:val="006E76CA"/>
    <w:rsid w:val="006E77ED"/>
    <w:rsid w:val="006F127C"/>
    <w:rsid w:val="006F13DA"/>
    <w:rsid w:val="006F199D"/>
    <w:rsid w:val="006F20D8"/>
    <w:rsid w:val="006F3078"/>
    <w:rsid w:val="006F3D86"/>
    <w:rsid w:val="006F3EBE"/>
    <w:rsid w:val="006F4314"/>
    <w:rsid w:val="006F43BD"/>
    <w:rsid w:val="006F54F7"/>
    <w:rsid w:val="006F642C"/>
    <w:rsid w:val="006F73C5"/>
    <w:rsid w:val="0070000B"/>
    <w:rsid w:val="00700F61"/>
    <w:rsid w:val="00701215"/>
    <w:rsid w:val="00701631"/>
    <w:rsid w:val="00702193"/>
    <w:rsid w:val="007022E4"/>
    <w:rsid w:val="00702579"/>
    <w:rsid w:val="007025F7"/>
    <w:rsid w:val="00702D0C"/>
    <w:rsid w:val="0070353D"/>
    <w:rsid w:val="00704302"/>
    <w:rsid w:val="0070456D"/>
    <w:rsid w:val="00705C7E"/>
    <w:rsid w:val="00706BF7"/>
    <w:rsid w:val="0070715A"/>
    <w:rsid w:val="00707D76"/>
    <w:rsid w:val="00710A76"/>
    <w:rsid w:val="007115EE"/>
    <w:rsid w:val="0071162D"/>
    <w:rsid w:val="007118FC"/>
    <w:rsid w:val="00711DB8"/>
    <w:rsid w:val="007123AB"/>
    <w:rsid w:val="00712F02"/>
    <w:rsid w:val="0071587D"/>
    <w:rsid w:val="00715CDE"/>
    <w:rsid w:val="007164CD"/>
    <w:rsid w:val="00716713"/>
    <w:rsid w:val="00716869"/>
    <w:rsid w:val="00717443"/>
    <w:rsid w:val="00717547"/>
    <w:rsid w:val="00717CB2"/>
    <w:rsid w:val="00721BEF"/>
    <w:rsid w:val="00723231"/>
    <w:rsid w:val="007235C5"/>
    <w:rsid w:val="0072367F"/>
    <w:rsid w:val="007236CC"/>
    <w:rsid w:val="0072380E"/>
    <w:rsid w:val="00723BB8"/>
    <w:rsid w:val="00724595"/>
    <w:rsid w:val="00724873"/>
    <w:rsid w:val="00726224"/>
    <w:rsid w:val="0072666A"/>
    <w:rsid w:val="00727516"/>
    <w:rsid w:val="00727922"/>
    <w:rsid w:val="007301FE"/>
    <w:rsid w:val="007305EB"/>
    <w:rsid w:val="00730AD0"/>
    <w:rsid w:val="00730BDF"/>
    <w:rsid w:val="00731140"/>
    <w:rsid w:val="007311D5"/>
    <w:rsid w:val="007313D9"/>
    <w:rsid w:val="00731BA6"/>
    <w:rsid w:val="00731EAC"/>
    <w:rsid w:val="00732A60"/>
    <w:rsid w:val="00732D07"/>
    <w:rsid w:val="007332AE"/>
    <w:rsid w:val="0073340B"/>
    <w:rsid w:val="00733873"/>
    <w:rsid w:val="00733958"/>
    <w:rsid w:val="00733F41"/>
    <w:rsid w:val="00733FFA"/>
    <w:rsid w:val="0073514F"/>
    <w:rsid w:val="007351BC"/>
    <w:rsid w:val="00735DC0"/>
    <w:rsid w:val="0073657C"/>
    <w:rsid w:val="007369E0"/>
    <w:rsid w:val="00736C06"/>
    <w:rsid w:val="00736D0B"/>
    <w:rsid w:val="007370DF"/>
    <w:rsid w:val="00737CCB"/>
    <w:rsid w:val="007403BF"/>
    <w:rsid w:val="007421C2"/>
    <w:rsid w:val="00742355"/>
    <w:rsid w:val="00743A4C"/>
    <w:rsid w:val="007442B7"/>
    <w:rsid w:val="00744C5A"/>
    <w:rsid w:val="007453B1"/>
    <w:rsid w:val="007464A6"/>
    <w:rsid w:val="007464BB"/>
    <w:rsid w:val="00746ACC"/>
    <w:rsid w:val="007501F0"/>
    <w:rsid w:val="00750945"/>
    <w:rsid w:val="007513CD"/>
    <w:rsid w:val="00751570"/>
    <w:rsid w:val="00751B75"/>
    <w:rsid w:val="00751B99"/>
    <w:rsid w:val="007523E1"/>
    <w:rsid w:val="007531FD"/>
    <w:rsid w:val="0075341A"/>
    <w:rsid w:val="00753674"/>
    <w:rsid w:val="0075372E"/>
    <w:rsid w:val="00754577"/>
    <w:rsid w:val="007547C7"/>
    <w:rsid w:val="00755080"/>
    <w:rsid w:val="00756098"/>
    <w:rsid w:val="007569E1"/>
    <w:rsid w:val="00756E6B"/>
    <w:rsid w:val="0076061B"/>
    <w:rsid w:val="00760B4D"/>
    <w:rsid w:val="00760D3F"/>
    <w:rsid w:val="007620FC"/>
    <w:rsid w:val="0076235F"/>
    <w:rsid w:val="00763AA0"/>
    <w:rsid w:val="00763B19"/>
    <w:rsid w:val="00763B57"/>
    <w:rsid w:val="00763D6C"/>
    <w:rsid w:val="00764C5D"/>
    <w:rsid w:val="007652C0"/>
    <w:rsid w:val="007655A0"/>
    <w:rsid w:val="00765CB9"/>
    <w:rsid w:val="00766625"/>
    <w:rsid w:val="0076689F"/>
    <w:rsid w:val="00766E26"/>
    <w:rsid w:val="00767465"/>
    <w:rsid w:val="00770FBA"/>
    <w:rsid w:val="007736A9"/>
    <w:rsid w:val="00775C27"/>
    <w:rsid w:val="00775ED4"/>
    <w:rsid w:val="00776EB4"/>
    <w:rsid w:val="00777694"/>
    <w:rsid w:val="0077776B"/>
    <w:rsid w:val="007807CC"/>
    <w:rsid w:val="00780E57"/>
    <w:rsid w:val="00780F7A"/>
    <w:rsid w:val="007816A3"/>
    <w:rsid w:val="00781BB6"/>
    <w:rsid w:val="00783789"/>
    <w:rsid w:val="00784526"/>
    <w:rsid w:val="007849E8"/>
    <w:rsid w:val="00784D41"/>
    <w:rsid w:val="007853C8"/>
    <w:rsid w:val="007854E2"/>
    <w:rsid w:val="00785999"/>
    <w:rsid w:val="00786D79"/>
    <w:rsid w:val="00786EE9"/>
    <w:rsid w:val="007875FF"/>
    <w:rsid w:val="00787B8C"/>
    <w:rsid w:val="00787EC7"/>
    <w:rsid w:val="00791836"/>
    <w:rsid w:val="00792786"/>
    <w:rsid w:val="00792A3A"/>
    <w:rsid w:val="007931F1"/>
    <w:rsid w:val="007932A7"/>
    <w:rsid w:val="007932F2"/>
    <w:rsid w:val="0079340B"/>
    <w:rsid w:val="00793E30"/>
    <w:rsid w:val="00794165"/>
    <w:rsid w:val="00794333"/>
    <w:rsid w:val="00794EC6"/>
    <w:rsid w:val="00795582"/>
    <w:rsid w:val="00795BAC"/>
    <w:rsid w:val="00795FC3"/>
    <w:rsid w:val="007961D1"/>
    <w:rsid w:val="00796CE0"/>
    <w:rsid w:val="00797035"/>
    <w:rsid w:val="00797076"/>
    <w:rsid w:val="00797A6F"/>
    <w:rsid w:val="007A0382"/>
    <w:rsid w:val="007A13A7"/>
    <w:rsid w:val="007A1AF8"/>
    <w:rsid w:val="007A2102"/>
    <w:rsid w:val="007A391F"/>
    <w:rsid w:val="007A4342"/>
    <w:rsid w:val="007A4510"/>
    <w:rsid w:val="007A4B97"/>
    <w:rsid w:val="007A4F3A"/>
    <w:rsid w:val="007A7621"/>
    <w:rsid w:val="007A7898"/>
    <w:rsid w:val="007A7F64"/>
    <w:rsid w:val="007B011E"/>
    <w:rsid w:val="007B0991"/>
    <w:rsid w:val="007B0A17"/>
    <w:rsid w:val="007B1752"/>
    <w:rsid w:val="007B1D3E"/>
    <w:rsid w:val="007B1ED6"/>
    <w:rsid w:val="007B2240"/>
    <w:rsid w:val="007B2815"/>
    <w:rsid w:val="007B2EEA"/>
    <w:rsid w:val="007B3720"/>
    <w:rsid w:val="007B44B7"/>
    <w:rsid w:val="007B54F1"/>
    <w:rsid w:val="007B586A"/>
    <w:rsid w:val="007B7B69"/>
    <w:rsid w:val="007B7BFE"/>
    <w:rsid w:val="007C0252"/>
    <w:rsid w:val="007C062A"/>
    <w:rsid w:val="007C0EF3"/>
    <w:rsid w:val="007C25F6"/>
    <w:rsid w:val="007C2B4F"/>
    <w:rsid w:val="007C2FB4"/>
    <w:rsid w:val="007C35AA"/>
    <w:rsid w:val="007C360F"/>
    <w:rsid w:val="007C391C"/>
    <w:rsid w:val="007C3A15"/>
    <w:rsid w:val="007C4F85"/>
    <w:rsid w:val="007C4FB2"/>
    <w:rsid w:val="007C50FA"/>
    <w:rsid w:val="007C5400"/>
    <w:rsid w:val="007C5E93"/>
    <w:rsid w:val="007C5FDB"/>
    <w:rsid w:val="007C60B6"/>
    <w:rsid w:val="007C60CF"/>
    <w:rsid w:val="007C612E"/>
    <w:rsid w:val="007C61A9"/>
    <w:rsid w:val="007C69D4"/>
    <w:rsid w:val="007C7658"/>
    <w:rsid w:val="007C7796"/>
    <w:rsid w:val="007D0157"/>
    <w:rsid w:val="007D01D2"/>
    <w:rsid w:val="007D04F6"/>
    <w:rsid w:val="007D09B7"/>
    <w:rsid w:val="007D0C3B"/>
    <w:rsid w:val="007D0DA4"/>
    <w:rsid w:val="007D1240"/>
    <w:rsid w:val="007D19E5"/>
    <w:rsid w:val="007D238D"/>
    <w:rsid w:val="007D2F2D"/>
    <w:rsid w:val="007D32BE"/>
    <w:rsid w:val="007D37F8"/>
    <w:rsid w:val="007D394D"/>
    <w:rsid w:val="007D499E"/>
    <w:rsid w:val="007D4EA8"/>
    <w:rsid w:val="007D505C"/>
    <w:rsid w:val="007D569F"/>
    <w:rsid w:val="007D57F6"/>
    <w:rsid w:val="007D682E"/>
    <w:rsid w:val="007D68E7"/>
    <w:rsid w:val="007D74BD"/>
    <w:rsid w:val="007E0017"/>
    <w:rsid w:val="007E02C5"/>
    <w:rsid w:val="007E0583"/>
    <w:rsid w:val="007E0C6B"/>
    <w:rsid w:val="007E0D7D"/>
    <w:rsid w:val="007E4057"/>
    <w:rsid w:val="007E4B8C"/>
    <w:rsid w:val="007E4E7A"/>
    <w:rsid w:val="007E54E3"/>
    <w:rsid w:val="007E5640"/>
    <w:rsid w:val="007E6605"/>
    <w:rsid w:val="007E6E64"/>
    <w:rsid w:val="007E7C32"/>
    <w:rsid w:val="007E7FBF"/>
    <w:rsid w:val="007E7FC3"/>
    <w:rsid w:val="007F03F8"/>
    <w:rsid w:val="007F12A1"/>
    <w:rsid w:val="007F1B66"/>
    <w:rsid w:val="007F29CB"/>
    <w:rsid w:val="007F3B8B"/>
    <w:rsid w:val="007F4C8C"/>
    <w:rsid w:val="007F521F"/>
    <w:rsid w:val="007F5AE5"/>
    <w:rsid w:val="007F614B"/>
    <w:rsid w:val="007F65AD"/>
    <w:rsid w:val="008016E7"/>
    <w:rsid w:val="008033A6"/>
    <w:rsid w:val="00803469"/>
    <w:rsid w:val="0080365E"/>
    <w:rsid w:val="00803A31"/>
    <w:rsid w:val="008040C7"/>
    <w:rsid w:val="008041A5"/>
    <w:rsid w:val="00804DF2"/>
    <w:rsid w:val="00805377"/>
    <w:rsid w:val="008055B1"/>
    <w:rsid w:val="008057F4"/>
    <w:rsid w:val="00805A50"/>
    <w:rsid w:val="00805F8F"/>
    <w:rsid w:val="008060C7"/>
    <w:rsid w:val="0080655B"/>
    <w:rsid w:val="00807EF5"/>
    <w:rsid w:val="00810A81"/>
    <w:rsid w:val="00810D59"/>
    <w:rsid w:val="0081115D"/>
    <w:rsid w:val="008111A0"/>
    <w:rsid w:val="0081164D"/>
    <w:rsid w:val="00811CB7"/>
    <w:rsid w:val="00811DA0"/>
    <w:rsid w:val="008125C1"/>
    <w:rsid w:val="008145C2"/>
    <w:rsid w:val="0081488A"/>
    <w:rsid w:val="00814AA8"/>
    <w:rsid w:val="008156AF"/>
    <w:rsid w:val="008161AD"/>
    <w:rsid w:val="00816C77"/>
    <w:rsid w:val="00816E09"/>
    <w:rsid w:val="008178BD"/>
    <w:rsid w:val="008178CC"/>
    <w:rsid w:val="00820099"/>
    <w:rsid w:val="00820DE6"/>
    <w:rsid w:val="00821198"/>
    <w:rsid w:val="00821A93"/>
    <w:rsid w:val="00821E9F"/>
    <w:rsid w:val="008222D2"/>
    <w:rsid w:val="008223A8"/>
    <w:rsid w:val="008237C6"/>
    <w:rsid w:val="00825FA7"/>
    <w:rsid w:val="008260E0"/>
    <w:rsid w:val="00826482"/>
    <w:rsid w:val="00826BC4"/>
    <w:rsid w:val="0082718B"/>
    <w:rsid w:val="00827443"/>
    <w:rsid w:val="00827752"/>
    <w:rsid w:val="008305A1"/>
    <w:rsid w:val="00831493"/>
    <w:rsid w:val="00831642"/>
    <w:rsid w:val="00831749"/>
    <w:rsid w:val="008322BF"/>
    <w:rsid w:val="008323E5"/>
    <w:rsid w:val="008326B2"/>
    <w:rsid w:val="008331AD"/>
    <w:rsid w:val="00833313"/>
    <w:rsid w:val="00834718"/>
    <w:rsid w:val="00834E60"/>
    <w:rsid w:val="00835A07"/>
    <w:rsid w:val="00836353"/>
    <w:rsid w:val="008364B6"/>
    <w:rsid w:val="00837879"/>
    <w:rsid w:val="008434EE"/>
    <w:rsid w:val="0084357A"/>
    <w:rsid w:val="00845033"/>
    <w:rsid w:val="008450C5"/>
    <w:rsid w:val="0084519A"/>
    <w:rsid w:val="00845CFE"/>
    <w:rsid w:val="00845F86"/>
    <w:rsid w:val="008462EB"/>
    <w:rsid w:val="00846C20"/>
    <w:rsid w:val="00846FD3"/>
    <w:rsid w:val="00847B14"/>
    <w:rsid w:val="00850DC3"/>
    <w:rsid w:val="00851189"/>
    <w:rsid w:val="0085157D"/>
    <w:rsid w:val="0085208D"/>
    <w:rsid w:val="008521D2"/>
    <w:rsid w:val="00852B7C"/>
    <w:rsid w:val="00852C97"/>
    <w:rsid w:val="00853614"/>
    <w:rsid w:val="0085372E"/>
    <w:rsid w:val="008543BE"/>
    <w:rsid w:val="00854748"/>
    <w:rsid w:val="0085521C"/>
    <w:rsid w:val="00855B37"/>
    <w:rsid w:val="00856372"/>
    <w:rsid w:val="00856AE8"/>
    <w:rsid w:val="0085703E"/>
    <w:rsid w:val="0085790F"/>
    <w:rsid w:val="00857C31"/>
    <w:rsid w:val="00857F9E"/>
    <w:rsid w:val="008600D1"/>
    <w:rsid w:val="008601B1"/>
    <w:rsid w:val="0086123E"/>
    <w:rsid w:val="00861593"/>
    <w:rsid w:val="00861CEA"/>
    <w:rsid w:val="00861F43"/>
    <w:rsid w:val="00862419"/>
    <w:rsid w:val="0086262F"/>
    <w:rsid w:val="00862CCB"/>
    <w:rsid w:val="00863215"/>
    <w:rsid w:val="00863377"/>
    <w:rsid w:val="008645A6"/>
    <w:rsid w:val="008647B0"/>
    <w:rsid w:val="00865D87"/>
    <w:rsid w:val="008663B5"/>
    <w:rsid w:val="008665EA"/>
    <w:rsid w:val="0086666B"/>
    <w:rsid w:val="00866E70"/>
    <w:rsid w:val="00870484"/>
    <w:rsid w:val="00872696"/>
    <w:rsid w:val="00872902"/>
    <w:rsid w:val="0087291A"/>
    <w:rsid w:val="00873613"/>
    <w:rsid w:val="00873CE2"/>
    <w:rsid w:val="00873EC8"/>
    <w:rsid w:val="008757C4"/>
    <w:rsid w:val="00875831"/>
    <w:rsid w:val="00875CE2"/>
    <w:rsid w:val="00875E2A"/>
    <w:rsid w:val="00875F29"/>
    <w:rsid w:val="00875FCE"/>
    <w:rsid w:val="00876302"/>
    <w:rsid w:val="00876A5B"/>
    <w:rsid w:val="00877B3B"/>
    <w:rsid w:val="00877E7D"/>
    <w:rsid w:val="00877ED4"/>
    <w:rsid w:val="008811DC"/>
    <w:rsid w:val="00881619"/>
    <w:rsid w:val="008816E6"/>
    <w:rsid w:val="00881D4A"/>
    <w:rsid w:val="00882341"/>
    <w:rsid w:val="008824F5"/>
    <w:rsid w:val="00882678"/>
    <w:rsid w:val="0088328F"/>
    <w:rsid w:val="0088446B"/>
    <w:rsid w:val="00884783"/>
    <w:rsid w:val="00884AF3"/>
    <w:rsid w:val="00884EC1"/>
    <w:rsid w:val="008865DF"/>
    <w:rsid w:val="00886681"/>
    <w:rsid w:val="00887544"/>
    <w:rsid w:val="008875AE"/>
    <w:rsid w:val="00887924"/>
    <w:rsid w:val="00887C10"/>
    <w:rsid w:val="0089048C"/>
    <w:rsid w:val="00891628"/>
    <w:rsid w:val="00891C29"/>
    <w:rsid w:val="00892625"/>
    <w:rsid w:val="00892E8B"/>
    <w:rsid w:val="00893D18"/>
    <w:rsid w:val="00894696"/>
    <w:rsid w:val="008946D6"/>
    <w:rsid w:val="00894CC0"/>
    <w:rsid w:val="00895048"/>
    <w:rsid w:val="008954E6"/>
    <w:rsid w:val="00895984"/>
    <w:rsid w:val="00895DC2"/>
    <w:rsid w:val="00896112"/>
    <w:rsid w:val="008961E3"/>
    <w:rsid w:val="00896772"/>
    <w:rsid w:val="00896EFA"/>
    <w:rsid w:val="0089728E"/>
    <w:rsid w:val="0089763F"/>
    <w:rsid w:val="008976AC"/>
    <w:rsid w:val="00897A7D"/>
    <w:rsid w:val="008A009A"/>
    <w:rsid w:val="008A027C"/>
    <w:rsid w:val="008A0356"/>
    <w:rsid w:val="008A156D"/>
    <w:rsid w:val="008A1B30"/>
    <w:rsid w:val="008A1FD3"/>
    <w:rsid w:val="008A2268"/>
    <w:rsid w:val="008A2437"/>
    <w:rsid w:val="008A2649"/>
    <w:rsid w:val="008A3BF6"/>
    <w:rsid w:val="008A3E3F"/>
    <w:rsid w:val="008A4427"/>
    <w:rsid w:val="008A5CA5"/>
    <w:rsid w:val="008A5DF7"/>
    <w:rsid w:val="008A66C1"/>
    <w:rsid w:val="008A6732"/>
    <w:rsid w:val="008A6CF2"/>
    <w:rsid w:val="008A7446"/>
    <w:rsid w:val="008A79FF"/>
    <w:rsid w:val="008B00A8"/>
    <w:rsid w:val="008B0398"/>
    <w:rsid w:val="008B03BB"/>
    <w:rsid w:val="008B0798"/>
    <w:rsid w:val="008B09EC"/>
    <w:rsid w:val="008B0BAD"/>
    <w:rsid w:val="008B2D9D"/>
    <w:rsid w:val="008B324E"/>
    <w:rsid w:val="008B421D"/>
    <w:rsid w:val="008B4B09"/>
    <w:rsid w:val="008B50F9"/>
    <w:rsid w:val="008B51C4"/>
    <w:rsid w:val="008B5342"/>
    <w:rsid w:val="008B5A6C"/>
    <w:rsid w:val="008B5CCD"/>
    <w:rsid w:val="008B5EDD"/>
    <w:rsid w:val="008B6286"/>
    <w:rsid w:val="008B6CB7"/>
    <w:rsid w:val="008B713D"/>
    <w:rsid w:val="008B7B01"/>
    <w:rsid w:val="008B7FA2"/>
    <w:rsid w:val="008C010E"/>
    <w:rsid w:val="008C0E2F"/>
    <w:rsid w:val="008C287D"/>
    <w:rsid w:val="008C38C2"/>
    <w:rsid w:val="008C3DA8"/>
    <w:rsid w:val="008C50CE"/>
    <w:rsid w:val="008C560F"/>
    <w:rsid w:val="008C5EF3"/>
    <w:rsid w:val="008C6226"/>
    <w:rsid w:val="008C6645"/>
    <w:rsid w:val="008C683A"/>
    <w:rsid w:val="008D078C"/>
    <w:rsid w:val="008D2E0E"/>
    <w:rsid w:val="008D2FA5"/>
    <w:rsid w:val="008D3497"/>
    <w:rsid w:val="008D4B36"/>
    <w:rsid w:val="008D4C28"/>
    <w:rsid w:val="008D5A43"/>
    <w:rsid w:val="008D5C60"/>
    <w:rsid w:val="008D5C6C"/>
    <w:rsid w:val="008D6BAD"/>
    <w:rsid w:val="008D6FB1"/>
    <w:rsid w:val="008E0707"/>
    <w:rsid w:val="008E0F5C"/>
    <w:rsid w:val="008E14F5"/>
    <w:rsid w:val="008E16E9"/>
    <w:rsid w:val="008E20E5"/>
    <w:rsid w:val="008E2FA6"/>
    <w:rsid w:val="008E381A"/>
    <w:rsid w:val="008E5688"/>
    <w:rsid w:val="008E63EF"/>
    <w:rsid w:val="008E6902"/>
    <w:rsid w:val="008E75E4"/>
    <w:rsid w:val="008E7745"/>
    <w:rsid w:val="008E798A"/>
    <w:rsid w:val="008E7F0F"/>
    <w:rsid w:val="008F0D5B"/>
    <w:rsid w:val="008F1785"/>
    <w:rsid w:val="008F186E"/>
    <w:rsid w:val="008F234C"/>
    <w:rsid w:val="008F26A2"/>
    <w:rsid w:val="008F2B3E"/>
    <w:rsid w:val="008F2EDC"/>
    <w:rsid w:val="008F330F"/>
    <w:rsid w:val="008F39BC"/>
    <w:rsid w:val="008F3A5F"/>
    <w:rsid w:val="008F3EE5"/>
    <w:rsid w:val="008F4309"/>
    <w:rsid w:val="008F58A9"/>
    <w:rsid w:val="008F5C15"/>
    <w:rsid w:val="008F5EB4"/>
    <w:rsid w:val="008F630E"/>
    <w:rsid w:val="008F657D"/>
    <w:rsid w:val="008F6BF7"/>
    <w:rsid w:val="008F7259"/>
    <w:rsid w:val="008F74EA"/>
    <w:rsid w:val="008F7D4E"/>
    <w:rsid w:val="009013AB"/>
    <w:rsid w:val="00901FA0"/>
    <w:rsid w:val="00902506"/>
    <w:rsid w:val="00902571"/>
    <w:rsid w:val="00904552"/>
    <w:rsid w:val="00905BF7"/>
    <w:rsid w:val="00905E64"/>
    <w:rsid w:val="00906342"/>
    <w:rsid w:val="00906823"/>
    <w:rsid w:val="00906A6F"/>
    <w:rsid w:val="00907422"/>
    <w:rsid w:val="009075A4"/>
    <w:rsid w:val="0091036A"/>
    <w:rsid w:val="009105E2"/>
    <w:rsid w:val="00911206"/>
    <w:rsid w:val="009116B8"/>
    <w:rsid w:val="00911AB1"/>
    <w:rsid w:val="00912F6B"/>
    <w:rsid w:val="00913436"/>
    <w:rsid w:val="0091361C"/>
    <w:rsid w:val="009142C7"/>
    <w:rsid w:val="0091505F"/>
    <w:rsid w:val="00915354"/>
    <w:rsid w:val="009159D9"/>
    <w:rsid w:val="00915B49"/>
    <w:rsid w:val="009163A7"/>
    <w:rsid w:val="0091682D"/>
    <w:rsid w:val="009168F4"/>
    <w:rsid w:val="00916CD8"/>
    <w:rsid w:val="00916F7B"/>
    <w:rsid w:val="0091723C"/>
    <w:rsid w:val="00917829"/>
    <w:rsid w:val="00917B6E"/>
    <w:rsid w:val="009205AA"/>
    <w:rsid w:val="00920869"/>
    <w:rsid w:val="00920D6B"/>
    <w:rsid w:val="00922AF8"/>
    <w:rsid w:val="00922B60"/>
    <w:rsid w:val="00922E07"/>
    <w:rsid w:val="00922EBB"/>
    <w:rsid w:val="00923473"/>
    <w:rsid w:val="00923FF6"/>
    <w:rsid w:val="009258ED"/>
    <w:rsid w:val="00926250"/>
    <w:rsid w:val="0092695E"/>
    <w:rsid w:val="00926BC6"/>
    <w:rsid w:val="009307FC"/>
    <w:rsid w:val="009308C2"/>
    <w:rsid w:val="0093206E"/>
    <w:rsid w:val="00932F28"/>
    <w:rsid w:val="00933F2B"/>
    <w:rsid w:val="00933FB5"/>
    <w:rsid w:val="0093491D"/>
    <w:rsid w:val="00934ED1"/>
    <w:rsid w:val="00934F77"/>
    <w:rsid w:val="00935A59"/>
    <w:rsid w:val="0093614C"/>
    <w:rsid w:val="009374DB"/>
    <w:rsid w:val="00937DA0"/>
    <w:rsid w:val="00940B75"/>
    <w:rsid w:val="00941684"/>
    <w:rsid w:val="00943016"/>
    <w:rsid w:val="0094396E"/>
    <w:rsid w:val="00943FC9"/>
    <w:rsid w:val="00945746"/>
    <w:rsid w:val="009463C2"/>
    <w:rsid w:val="0094645B"/>
    <w:rsid w:val="0094653C"/>
    <w:rsid w:val="009467C6"/>
    <w:rsid w:val="00946B7C"/>
    <w:rsid w:val="00947EC9"/>
    <w:rsid w:val="00950066"/>
    <w:rsid w:val="00950620"/>
    <w:rsid w:val="00950FD9"/>
    <w:rsid w:val="009512A8"/>
    <w:rsid w:val="00951C95"/>
    <w:rsid w:val="009526CC"/>
    <w:rsid w:val="00952C4C"/>
    <w:rsid w:val="00953316"/>
    <w:rsid w:val="00953750"/>
    <w:rsid w:val="00953CB2"/>
    <w:rsid w:val="00953CFA"/>
    <w:rsid w:val="0095452F"/>
    <w:rsid w:val="0095472E"/>
    <w:rsid w:val="00954894"/>
    <w:rsid w:val="00955214"/>
    <w:rsid w:val="00955B1D"/>
    <w:rsid w:val="009561D2"/>
    <w:rsid w:val="009565D9"/>
    <w:rsid w:val="00956A8F"/>
    <w:rsid w:val="00957712"/>
    <w:rsid w:val="009577A0"/>
    <w:rsid w:val="00957F7B"/>
    <w:rsid w:val="009603DA"/>
    <w:rsid w:val="009604FF"/>
    <w:rsid w:val="00961392"/>
    <w:rsid w:val="00961C7F"/>
    <w:rsid w:val="00961D40"/>
    <w:rsid w:val="009620A5"/>
    <w:rsid w:val="0096446D"/>
    <w:rsid w:val="00964516"/>
    <w:rsid w:val="009647B1"/>
    <w:rsid w:val="00964BBB"/>
    <w:rsid w:val="00965544"/>
    <w:rsid w:val="00965826"/>
    <w:rsid w:val="00965B72"/>
    <w:rsid w:val="00965CA2"/>
    <w:rsid w:val="00965CBB"/>
    <w:rsid w:val="0096766A"/>
    <w:rsid w:val="009705E8"/>
    <w:rsid w:val="009729D0"/>
    <w:rsid w:val="0097388C"/>
    <w:rsid w:val="00974115"/>
    <w:rsid w:val="009745B8"/>
    <w:rsid w:val="00974810"/>
    <w:rsid w:val="009753A5"/>
    <w:rsid w:val="009760AD"/>
    <w:rsid w:val="009760B3"/>
    <w:rsid w:val="00977106"/>
    <w:rsid w:val="009777D6"/>
    <w:rsid w:val="0097783E"/>
    <w:rsid w:val="00977EA1"/>
    <w:rsid w:val="00980252"/>
    <w:rsid w:val="0098161A"/>
    <w:rsid w:val="0098179E"/>
    <w:rsid w:val="00981B11"/>
    <w:rsid w:val="00982C35"/>
    <w:rsid w:val="00982F08"/>
    <w:rsid w:val="0098307E"/>
    <w:rsid w:val="0098407A"/>
    <w:rsid w:val="00984E14"/>
    <w:rsid w:val="00985B8D"/>
    <w:rsid w:val="00987DAE"/>
    <w:rsid w:val="0099037D"/>
    <w:rsid w:val="00990C73"/>
    <w:rsid w:val="009924E2"/>
    <w:rsid w:val="009929CD"/>
    <w:rsid w:val="00992F13"/>
    <w:rsid w:val="00994C28"/>
    <w:rsid w:val="00994DFD"/>
    <w:rsid w:val="009953B1"/>
    <w:rsid w:val="009953CC"/>
    <w:rsid w:val="00995BE9"/>
    <w:rsid w:val="009963C5"/>
    <w:rsid w:val="0099695D"/>
    <w:rsid w:val="00996BA5"/>
    <w:rsid w:val="009975E9"/>
    <w:rsid w:val="009A1801"/>
    <w:rsid w:val="009A3323"/>
    <w:rsid w:val="009A39E5"/>
    <w:rsid w:val="009A39F0"/>
    <w:rsid w:val="009A3D70"/>
    <w:rsid w:val="009A4FB8"/>
    <w:rsid w:val="009A54EF"/>
    <w:rsid w:val="009A6247"/>
    <w:rsid w:val="009A6409"/>
    <w:rsid w:val="009A7299"/>
    <w:rsid w:val="009B04FE"/>
    <w:rsid w:val="009B12AB"/>
    <w:rsid w:val="009B22D2"/>
    <w:rsid w:val="009B2B14"/>
    <w:rsid w:val="009B2FE4"/>
    <w:rsid w:val="009B32D1"/>
    <w:rsid w:val="009B33EB"/>
    <w:rsid w:val="009B3AB0"/>
    <w:rsid w:val="009B3C9A"/>
    <w:rsid w:val="009B4C27"/>
    <w:rsid w:val="009B583D"/>
    <w:rsid w:val="009B60C9"/>
    <w:rsid w:val="009B6CEF"/>
    <w:rsid w:val="009B7C74"/>
    <w:rsid w:val="009C15E0"/>
    <w:rsid w:val="009C2004"/>
    <w:rsid w:val="009C22EF"/>
    <w:rsid w:val="009C2B50"/>
    <w:rsid w:val="009C2C4A"/>
    <w:rsid w:val="009C2FEF"/>
    <w:rsid w:val="009C3558"/>
    <w:rsid w:val="009C4585"/>
    <w:rsid w:val="009C5348"/>
    <w:rsid w:val="009C56F8"/>
    <w:rsid w:val="009C57C9"/>
    <w:rsid w:val="009C62C1"/>
    <w:rsid w:val="009C693D"/>
    <w:rsid w:val="009C6D55"/>
    <w:rsid w:val="009C7914"/>
    <w:rsid w:val="009C7A8E"/>
    <w:rsid w:val="009C7FD2"/>
    <w:rsid w:val="009D0E35"/>
    <w:rsid w:val="009D1089"/>
    <w:rsid w:val="009D134F"/>
    <w:rsid w:val="009D1530"/>
    <w:rsid w:val="009D320F"/>
    <w:rsid w:val="009D5AD4"/>
    <w:rsid w:val="009D6EC4"/>
    <w:rsid w:val="009D7334"/>
    <w:rsid w:val="009D73CE"/>
    <w:rsid w:val="009D7B46"/>
    <w:rsid w:val="009E0D7B"/>
    <w:rsid w:val="009E29AE"/>
    <w:rsid w:val="009E29C7"/>
    <w:rsid w:val="009E2BA0"/>
    <w:rsid w:val="009E306F"/>
    <w:rsid w:val="009E3231"/>
    <w:rsid w:val="009E334C"/>
    <w:rsid w:val="009E3615"/>
    <w:rsid w:val="009E38B1"/>
    <w:rsid w:val="009E4CFF"/>
    <w:rsid w:val="009E4D84"/>
    <w:rsid w:val="009E5562"/>
    <w:rsid w:val="009E5766"/>
    <w:rsid w:val="009E5C0D"/>
    <w:rsid w:val="009E5EF2"/>
    <w:rsid w:val="009E614C"/>
    <w:rsid w:val="009E6893"/>
    <w:rsid w:val="009E784D"/>
    <w:rsid w:val="009F0353"/>
    <w:rsid w:val="009F1113"/>
    <w:rsid w:val="009F1A91"/>
    <w:rsid w:val="009F1CEC"/>
    <w:rsid w:val="009F3156"/>
    <w:rsid w:val="009F36CD"/>
    <w:rsid w:val="009F3A3A"/>
    <w:rsid w:val="009F3B91"/>
    <w:rsid w:val="009F4D13"/>
    <w:rsid w:val="009F4D8A"/>
    <w:rsid w:val="009F4F56"/>
    <w:rsid w:val="009F50A7"/>
    <w:rsid w:val="009F5713"/>
    <w:rsid w:val="009F6144"/>
    <w:rsid w:val="009F6CF2"/>
    <w:rsid w:val="009F70F1"/>
    <w:rsid w:val="009F7390"/>
    <w:rsid w:val="009F77F2"/>
    <w:rsid w:val="009F7945"/>
    <w:rsid w:val="009F7DF4"/>
    <w:rsid w:val="00A0033C"/>
    <w:rsid w:val="00A00666"/>
    <w:rsid w:val="00A00AE9"/>
    <w:rsid w:val="00A00CFC"/>
    <w:rsid w:val="00A00D14"/>
    <w:rsid w:val="00A00DAE"/>
    <w:rsid w:val="00A03CD7"/>
    <w:rsid w:val="00A03EFA"/>
    <w:rsid w:val="00A04835"/>
    <w:rsid w:val="00A04AAF"/>
    <w:rsid w:val="00A04B39"/>
    <w:rsid w:val="00A06ADD"/>
    <w:rsid w:val="00A07087"/>
    <w:rsid w:val="00A07863"/>
    <w:rsid w:val="00A11022"/>
    <w:rsid w:val="00A1199B"/>
    <w:rsid w:val="00A123D8"/>
    <w:rsid w:val="00A12B1D"/>
    <w:rsid w:val="00A12D9A"/>
    <w:rsid w:val="00A12F5C"/>
    <w:rsid w:val="00A1315A"/>
    <w:rsid w:val="00A1345C"/>
    <w:rsid w:val="00A13F1B"/>
    <w:rsid w:val="00A149E7"/>
    <w:rsid w:val="00A1615E"/>
    <w:rsid w:val="00A17385"/>
    <w:rsid w:val="00A213C6"/>
    <w:rsid w:val="00A21B91"/>
    <w:rsid w:val="00A22175"/>
    <w:rsid w:val="00A225C0"/>
    <w:rsid w:val="00A2263D"/>
    <w:rsid w:val="00A22C52"/>
    <w:rsid w:val="00A23022"/>
    <w:rsid w:val="00A237AC"/>
    <w:rsid w:val="00A23A8D"/>
    <w:rsid w:val="00A23EBE"/>
    <w:rsid w:val="00A24689"/>
    <w:rsid w:val="00A24825"/>
    <w:rsid w:val="00A25103"/>
    <w:rsid w:val="00A257C2"/>
    <w:rsid w:val="00A26016"/>
    <w:rsid w:val="00A2654E"/>
    <w:rsid w:val="00A276D4"/>
    <w:rsid w:val="00A277E3"/>
    <w:rsid w:val="00A27A44"/>
    <w:rsid w:val="00A31337"/>
    <w:rsid w:val="00A314A2"/>
    <w:rsid w:val="00A326C9"/>
    <w:rsid w:val="00A32C91"/>
    <w:rsid w:val="00A366F4"/>
    <w:rsid w:val="00A36967"/>
    <w:rsid w:val="00A372CC"/>
    <w:rsid w:val="00A3761A"/>
    <w:rsid w:val="00A40762"/>
    <w:rsid w:val="00A41A26"/>
    <w:rsid w:val="00A41CF0"/>
    <w:rsid w:val="00A41E9B"/>
    <w:rsid w:val="00A42356"/>
    <w:rsid w:val="00A431E9"/>
    <w:rsid w:val="00A43774"/>
    <w:rsid w:val="00A43E25"/>
    <w:rsid w:val="00A44B44"/>
    <w:rsid w:val="00A44C61"/>
    <w:rsid w:val="00A45266"/>
    <w:rsid w:val="00A467A7"/>
    <w:rsid w:val="00A467D1"/>
    <w:rsid w:val="00A46830"/>
    <w:rsid w:val="00A468FA"/>
    <w:rsid w:val="00A47269"/>
    <w:rsid w:val="00A47776"/>
    <w:rsid w:val="00A47832"/>
    <w:rsid w:val="00A5003A"/>
    <w:rsid w:val="00A50F7A"/>
    <w:rsid w:val="00A518A3"/>
    <w:rsid w:val="00A52045"/>
    <w:rsid w:val="00A5225F"/>
    <w:rsid w:val="00A52D2F"/>
    <w:rsid w:val="00A54149"/>
    <w:rsid w:val="00A544F1"/>
    <w:rsid w:val="00A54E46"/>
    <w:rsid w:val="00A553FE"/>
    <w:rsid w:val="00A5572F"/>
    <w:rsid w:val="00A55877"/>
    <w:rsid w:val="00A55E7A"/>
    <w:rsid w:val="00A567AB"/>
    <w:rsid w:val="00A56C2A"/>
    <w:rsid w:val="00A6021C"/>
    <w:rsid w:val="00A60272"/>
    <w:rsid w:val="00A60688"/>
    <w:rsid w:val="00A6076E"/>
    <w:rsid w:val="00A60C94"/>
    <w:rsid w:val="00A60D9F"/>
    <w:rsid w:val="00A6125C"/>
    <w:rsid w:val="00A61912"/>
    <w:rsid w:val="00A62229"/>
    <w:rsid w:val="00A62304"/>
    <w:rsid w:val="00A62A68"/>
    <w:rsid w:val="00A62E0C"/>
    <w:rsid w:val="00A6305A"/>
    <w:rsid w:val="00A635F8"/>
    <w:rsid w:val="00A63848"/>
    <w:rsid w:val="00A63CD9"/>
    <w:rsid w:val="00A640D9"/>
    <w:rsid w:val="00A6440C"/>
    <w:rsid w:val="00A64F64"/>
    <w:rsid w:val="00A652DE"/>
    <w:rsid w:val="00A65567"/>
    <w:rsid w:val="00A656CF"/>
    <w:rsid w:val="00A6615A"/>
    <w:rsid w:val="00A70997"/>
    <w:rsid w:val="00A709A8"/>
    <w:rsid w:val="00A70A8B"/>
    <w:rsid w:val="00A70E3F"/>
    <w:rsid w:val="00A714A8"/>
    <w:rsid w:val="00A71F4E"/>
    <w:rsid w:val="00A72C45"/>
    <w:rsid w:val="00A733B5"/>
    <w:rsid w:val="00A733F1"/>
    <w:rsid w:val="00A736AC"/>
    <w:rsid w:val="00A74BB9"/>
    <w:rsid w:val="00A74D31"/>
    <w:rsid w:val="00A755B6"/>
    <w:rsid w:val="00A75C8F"/>
    <w:rsid w:val="00A75F57"/>
    <w:rsid w:val="00A7699B"/>
    <w:rsid w:val="00A801AD"/>
    <w:rsid w:val="00A808B7"/>
    <w:rsid w:val="00A80B2E"/>
    <w:rsid w:val="00A80B54"/>
    <w:rsid w:val="00A810C9"/>
    <w:rsid w:val="00A8153A"/>
    <w:rsid w:val="00A8177B"/>
    <w:rsid w:val="00A82AF5"/>
    <w:rsid w:val="00A83B7C"/>
    <w:rsid w:val="00A84353"/>
    <w:rsid w:val="00A84453"/>
    <w:rsid w:val="00A844CF"/>
    <w:rsid w:val="00A853D5"/>
    <w:rsid w:val="00A864C5"/>
    <w:rsid w:val="00A86735"/>
    <w:rsid w:val="00A86771"/>
    <w:rsid w:val="00A870D7"/>
    <w:rsid w:val="00A87994"/>
    <w:rsid w:val="00A87CCB"/>
    <w:rsid w:val="00A90497"/>
    <w:rsid w:val="00A90A23"/>
    <w:rsid w:val="00A91722"/>
    <w:rsid w:val="00A9198A"/>
    <w:rsid w:val="00A923FE"/>
    <w:rsid w:val="00A92722"/>
    <w:rsid w:val="00A92746"/>
    <w:rsid w:val="00A9284F"/>
    <w:rsid w:val="00A929BC"/>
    <w:rsid w:val="00A93933"/>
    <w:rsid w:val="00A939FC"/>
    <w:rsid w:val="00A953D5"/>
    <w:rsid w:val="00A95AC3"/>
    <w:rsid w:val="00A960E8"/>
    <w:rsid w:val="00A966E6"/>
    <w:rsid w:val="00A96741"/>
    <w:rsid w:val="00A968F4"/>
    <w:rsid w:val="00A96C19"/>
    <w:rsid w:val="00AA04CD"/>
    <w:rsid w:val="00AA0A30"/>
    <w:rsid w:val="00AA1C40"/>
    <w:rsid w:val="00AA1DDE"/>
    <w:rsid w:val="00AA20DC"/>
    <w:rsid w:val="00AA2258"/>
    <w:rsid w:val="00AA2B5C"/>
    <w:rsid w:val="00AA3D9B"/>
    <w:rsid w:val="00AA4CCE"/>
    <w:rsid w:val="00AA4F57"/>
    <w:rsid w:val="00AA56E6"/>
    <w:rsid w:val="00AA5B75"/>
    <w:rsid w:val="00AA71CF"/>
    <w:rsid w:val="00AA7AF0"/>
    <w:rsid w:val="00AA7CCE"/>
    <w:rsid w:val="00AB005B"/>
    <w:rsid w:val="00AB0359"/>
    <w:rsid w:val="00AB0553"/>
    <w:rsid w:val="00AB06C7"/>
    <w:rsid w:val="00AB098D"/>
    <w:rsid w:val="00AB0FE8"/>
    <w:rsid w:val="00AB171E"/>
    <w:rsid w:val="00AB2495"/>
    <w:rsid w:val="00AB249D"/>
    <w:rsid w:val="00AB2A56"/>
    <w:rsid w:val="00AB2B6A"/>
    <w:rsid w:val="00AB2BCF"/>
    <w:rsid w:val="00AB303C"/>
    <w:rsid w:val="00AB3341"/>
    <w:rsid w:val="00AB3C60"/>
    <w:rsid w:val="00AB54B8"/>
    <w:rsid w:val="00AB5878"/>
    <w:rsid w:val="00AB59CC"/>
    <w:rsid w:val="00AB69A9"/>
    <w:rsid w:val="00AB6B9D"/>
    <w:rsid w:val="00AB70A8"/>
    <w:rsid w:val="00AB7895"/>
    <w:rsid w:val="00AB7BA3"/>
    <w:rsid w:val="00AB7FF3"/>
    <w:rsid w:val="00AC023D"/>
    <w:rsid w:val="00AC046D"/>
    <w:rsid w:val="00AC0953"/>
    <w:rsid w:val="00AC1066"/>
    <w:rsid w:val="00AC1D3E"/>
    <w:rsid w:val="00AC2E52"/>
    <w:rsid w:val="00AC577B"/>
    <w:rsid w:val="00AC6DE9"/>
    <w:rsid w:val="00AC73B9"/>
    <w:rsid w:val="00AC7507"/>
    <w:rsid w:val="00AC7D2B"/>
    <w:rsid w:val="00AD17C0"/>
    <w:rsid w:val="00AD1BBB"/>
    <w:rsid w:val="00AD1E11"/>
    <w:rsid w:val="00AD2D0E"/>
    <w:rsid w:val="00AD37BA"/>
    <w:rsid w:val="00AD4454"/>
    <w:rsid w:val="00AD51AA"/>
    <w:rsid w:val="00AD5940"/>
    <w:rsid w:val="00AD5ADD"/>
    <w:rsid w:val="00AD5AE2"/>
    <w:rsid w:val="00AD5CBE"/>
    <w:rsid w:val="00AD5DFB"/>
    <w:rsid w:val="00AD6451"/>
    <w:rsid w:val="00AD6651"/>
    <w:rsid w:val="00AD677E"/>
    <w:rsid w:val="00AD6E55"/>
    <w:rsid w:val="00AD78A7"/>
    <w:rsid w:val="00AE0003"/>
    <w:rsid w:val="00AE051E"/>
    <w:rsid w:val="00AE07B5"/>
    <w:rsid w:val="00AE1514"/>
    <w:rsid w:val="00AE2CF5"/>
    <w:rsid w:val="00AE2DC4"/>
    <w:rsid w:val="00AE3419"/>
    <w:rsid w:val="00AE3CF7"/>
    <w:rsid w:val="00AE4640"/>
    <w:rsid w:val="00AE46E1"/>
    <w:rsid w:val="00AE5300"/>
    <w:rsid w:val="00AE5EAC"/>
    <w:rsid w:val="00AE7624"/>
    <w:rsid w:val="00AE7E11"/>
    <w:rsid w:val="00AF028E"/>
    <w:rsid w:val="00AF113B"/>
    <w:rsid w:val="00AF1313"/>
    <w:rsid w:val="00AF2630"/>
    <w:rsid w:val="00AF271A"/>
    <w:rsid w:val="00AF29B0"/>
    <w:rsid w:val="00AF327C"/>
    <w:rsid w:val="00AF3F76"/>
    <w:rsid w:val="00AF49A3"/>
    <w:rsid w:val="00AF4CC4"/>
    <w:rsid w:val="00AF4DB2"/>
    <w:rsid w:val="00AF4E04"/>
    <w:rsid w:val="00AF5219"/>
    <w:rsid w:val="00AF543F"/>
    <w:rsid w:val="00AF5FDD"/>
    <w:rsid w:val="00AF6E06"/>
    <w:rsid w:val="00B001A7"/>
    <w:rsid w:val="00B007C7"/>
    <w:rsid w:val="00B01879"/>
    <w:rsid w:val="00B01B1A"/>
    <w:rsid w:val="00B03430"/>
    <w:rsid w:val="00B04788"/>
    <w:rsid w:val="00B04D91"/>
    <w:rsid w:val="00B06276"/>
    <w:rsid w:val="00B06D81"/>
    <w:rsid w:val="00B0764E"/>
    <w:rsid w:val="00B07C47"/>
    <w:rsid w:val="00B10932"/>
    <w:rsid w:val="00B10ED5"/>
    <w:rsid w:val="00B10F55"/>
    <w:rsid w:val="00B11B2B"/>
    <w:rsid w:val="00B11C8D"/>
    <w:rsid w:val="00B11DDB"/>
    <w:rsid w:val="00B127EF"/>
    <w:rsid w:val="00B1288A"/>
    <w:rsid w:val="00B12B40"/>
    <w:rsid w:val="00B14DAF"/>
    <w:rsid w:val="00B14F1B"/>
    <w:rsid w:val="00B152EA"/>
    <w:rsid w:val="00B15AC4"/>
    <w:rsid w:val="00B16179"/>
    <w:rsid w:val="00B16F60"/>
    <w:rsid w:val="00B1728C"/>
    <w:rsid w:val="00B172ED"/>
    <w:rsid w:val="00B17398"/>
    <w:rsid w:val="00B200E6"/>
    <w:rsid w:val="00B20467"/>
    <w:rsid w:val="00B20688"/>
    <w:rsid w:val="00B20A44"/>
    <w:rsid w:val="00B221BD"/>
    <w:rsid w:val="00B2297F"/>
    <w:rsid w:val="00B23652"/>
    <w:rsid w:val="00B23B09"/>
    <w:rsid w:val="00B23BB8"/>
    <w:rsid w:val="00B24728"/>
    <w:rsid w:val="00B24F5A"/>
    <w:rsid w:val="00B259B5"/>
    <w:rsid w:val="00B26002"/>
    <w:rsid w:val="00B266D1"/>
    <w:rsid w:val="00B269B6"/>
    <w:rsid w:val="00B26F5D"/>
    <w:rsid w:val="00B27124"/>
    <w:rsid w:val="00B27293"/>
    <w:rsid w:val="00B30C33"/>
    <w:rsid w:val="00B31BB3"/>
    <w:rsid w:val="00B3365F"/>
    <w:rsid w:val="00B33FD1"/>
    <w:rsid w:val="00B34119"/>
    <w:rsid w:val="00B350EA"/>
    <w:rsid w:val="00B35D0D"/>
    <w:rsid w:val="00B35F58"/>
    <w:rsid w:val="00B36B5E"/>
    <w:rsid w:val="00B3795E"/>
    <w:rsid w:val="00B40145"/>
    <w:rsid w:val="00B40A86"/>
    <w:rsid w:val="00B40F1E"/>
    <w:rsid w:val="00B40F49"/>
    <w:rsid w:val="00B418E2"/>
    <w:rsid w:val="00B41BC8"/>
    <w:rsid w:val="00B42AEF"/>
    <w:rsid w:val="00B43CD6"/>
    <w:rsid w:val="00B44A92"/>
    <w:rsid w:val="00B44C60"/>
    <w:rsid w:val="00B45DD9"/>
    <w:rsid w:val="00B465F2"/>
    <w:rsid w:val="00B46DA8"/>
    <w:rsid w:val="00B46F53"/>
    <w:rsid w:val="00B47AAA"/>
    <w:rsid w:val="00B47BE8"/>
    <w:rsid w:val="00B50235"/>
    <w:rsid w:val="00B50440"/>
    <w:rsid w:val="00B504BD"/>
    <w:rsid w:val="00B50B2C"/>
    <w:rsid w:val="00B50E58"/>
    <w:rsid w:val="00B52809"/>
    <w:rsid w:val="00B5380B"/>
    <w:rsid w:val="00B53856"/>
    <w:rsid w:val="00B53B0F"/>
    <w:rsid w:val="00B549CF"/>
    <w:rsid w:val="00B54EFB"/>
    <w:rsid w:val="00B56BB1"/>
    <w:rsid w:val="00B572C9"/>
    <w:rsid w:val="00B57BA9"/>
    <w:rsid w:val="00B57E7F"/>
    <w:rsid w:val="00B600AA"/>
    <w:rsid w:val="00B602C4"/>
    <w:rsid w:val="00B606C9"/>
    <w:rsid w:val="00B61A37"/>
    <w:rsid w:val="00B61DA9"/>
    <w:rsid w:val="00B623F3"/>
    <w:rsid w:val="00B6307F"/>
    <w:rsid w:val="00B639C1"/>
    <w:rsid w:val="00B64BE4"/>
    <w:rsid w:val="00B64F7A"/>
    <w:rsid w:val="00B65DBC"/>
    <w:rsid w:val="00B66E83"/>
    <w:rsid w:val="00B6710E"/>
    <w:rsid w:val="00B67B23"/>
    <w:rsid w:val="00B67BED"/>
    <w:rsid w:val="00B67F02"/>
    <w:rsid w:val="00B7073E"/>
    <w:rsid w:val="00B709C1"/>
    <w:rsid w:val="00B732A9"/>
    <w:rsid w:val="00B74240"/>
    <w:rsid w:val="00B7433A"/>
    <w:rsid w:val="00B7588F"/>
    <w:rsid w:val="00B76BA0"/>
    <w:rsid w:val="00B778F8"/>
    <w:rsid w:val="00B77F4E"/>
    <w:rsid w:val="00B80CE8"/>
    <w:rsid w:val="00B81B73"/>
    <w:rsid w:val="00B82797"/>
    <w:rsid w:val="00B8304E"/>
    <w:rsid w:val="00B8342B"/>
    <w:rsid w:val="00B83AF5"/>
    <w:rsid w:val="00B83ED6"/>
    <w:rsid w:val="00B84835"/>
    <w:rsid w:val="00B849F0"/>
    <w:rsid w:val="00B85D6E"/>
    <w:rsid w:val="00B85F0A"/>
    <w:rsid w:val="00B862DF"/>
    <w:rsid w:val="00B867A3"/>
    <w:rsid w:val="00B87E3B"/>
    <w:rsid w:val="00B902FB"/>
    <w:rsid w:val="00B90B28"/>
    <w:rsid w:val="00B91E5B"/>
    <w:rsid w:val="00B92FAD"/>
    <w:rsid w:val="00B9325D"/>
    <w:rsid w:val="00B93297"/>
    <w:rsid w:val="00B9373D"/>
    <w:rsid w:val="00B93FC6"/>
    <w:rsid w:val="00B9418E"/>
    <w:rsid w:val="00B94543"/>
    <w:rsid w:val="00B9459E"/>
    <w:rsid w:val="00B94D94"/>
    <w:rsid w:val="00B95DD5"/>
    <w:rsid w:val="00B9684B"/>
    <w:rsid w:val="00B96F09"/>
    <w:rsid w:val="00B96FDD"/>
    <w:rsid w:val="00B97265"/>
    <w:rsid w:val="00B97537"/>
    <w:rsid w:val="00B97890"/>
    <w:rsid w:val="00B9791D"/>
    <w:rsid w:val="00B97B5B"/>
    <w:rsid w:val="00BA1409"/>
    <w:rsid w:val="00BA1562"/>
    <w:rsid w:val="00BA1760"/>
    <w:rsid w:val="00BA176B"/>
    <w:rsid w:val="00BA247C"/>
    <w:rsid w:val="00BA2B1E"/>
    <w:rsid w:val="00BA33A7"/>
    <w:rsid w:val="00BA3C96"/>
    <w:rsid w:val="00BA3F8D"/>
    <w:rsid w:val="00BA4751"/>
    <w:rsid w:val="00BA48B7"/>
    <w:rsid w:val="00BA52EC"/>
    <w:rsid w:val="00BA6527"/>
    <w:rsid w:val="00BA67B9"/>
    <w:rsid w:val="00BA6F03"/>
    <w:rsid w:val="00BA7096"/>
    <w:rsid w:val="00BA7152"/>
    <w:rsid w:val="00BA7788"/>
    <w:rsid w:val="00BB0039"/>
    <w:rsid w:val="00BB0578"/>
    <w:rsid w:val="00BB0B92"/>
    <w:rsid w:val="00BB133E"/>
    <w:rsid w:val="00BB1569"/>
    <w:rsid w:val="00BB1B6A"/>
    <w:rsid w:val="00BB1D7D"/>
    <w:rsid w:val="00BB35D3"/>
    <w:rsid w:val="00BB36A2"/>
    <w:rsid w:val="00BB3C9C"/>
    <w:rsid w:val="00BB472B"/>
    <w:rsid w:val="00BB49A9"/>
    <w:rsid w:val="00BB4B8D"/>
    <w:rsid w:val="00BB5306"/>
    <w:rsid w:val="00BB62C5"/>
    <w:rsid w:val="00BB68B7"/>
    <w:rsid w:val="00BB6EFE"/>
    <w:rsid w:val="00BB6F5E"/>
    <w:rsid w:val="00BC0D4B"/>
    <w:rsid w:val="00BC0D84"/>
    <w:rsid w:val="00BC26C4"/>
    <w:rsid w:val="00BC2C18"/>
    <w:rsid w:val="00BC2C3D"/>
    <w:rsid w:val="00BC3095"/>
    <w:rsid w:val="00BC446F"/>
    <w:rsid w:val="00BC4847"/>
    <w:rsid w:val="00BC4C47"/>
    <w:rsid w:val="00BC57DB"/>
    <w:rsid w:val="00BC5A0C"/>
    <w:rsid w:val="00BC5E3B"/>
    <w:rsid w:val="00BC6258"/>
    <w:rsid w:val="00BC65D6"/>
    <w:rsid w:val="00BC6788"/>
    <w:rsid w:val="00BC6CD2"/>
    <w:rsid w:val="00BC782A"/>
    <w:rsid w:val="00BD0157"/>
    <w:rsid w:val="00BD09BC"/>
    <w:rsid w:val="00BD0ECD"/>
    <w:rsid w:val="00BD0F6D"/>
    <w:rsid w:val="00BD0F8C"/>
    <w:rsid w:val="00BD1450"/>
    <w:rsid w:val="00BD1641"/>
    <w:rsid w:val="00BD1D2B"/>
    <w:rsid w:val="00BD24F1"/>
    <w:rsid w:val="00BD2C1B"/>
    <w:rsid w:val="00BD2C9D"/>
    <w:rsid w:val="00BD3790"/>
    <w:rsid w:val="00BD39D8"/>
    <w:rsid w:val="00BD4DF1"/>
    <w:rsid w:val="00BD717B"/>
    <w:rsid w:val="00BE041C"/>
    <w:rsid w:val="00BE061C"/>
    <w:rsid w:val="00BE08A8"/>
    <w:rsid w:val="00BE1870"/>
    <w:rsid w:val="00BE1AC4"/>
    <w:rsid w:val="00BE26D8"/>
    <w:rsid w:val="00BE3126"/>
    <w:rsid w:val="00BE3D71"/>
    <w:rsid w:val="00BE4899"/>
    <w:rsid w:val="00BE503A"/>
    <w:rsid w:val="00BE5430"/>
    <w:rsid w:val="00BE5A24"/>
    <w:rsid w:val="00BE5B5A"/>
    <w:rsid w:val="00BE600D"/>
    <w:rsid w:val="00BE612D"/>
    <w:rsid w:val="00BE6446"/>
    <w:rsid w:val="00BE684B"/>
    <w:rsid w:val="00BF0C2F"/>
    <w:rsid w:val="00BF12D0"/>
    <w:rsid w:val="00BF1E6C"/>
    <w:rsid w:val="00BF227F"/>
    <w:rsid w:val="00BF2331"/>
    <w:rsid w:val="00BF2697"/>
    <w:rsid w:val="00BF333E"/>
    <w:rsid w:val="00BF3465"/>
    <w:rsid w:val="00BF359D"/>
    <w:rsid w:val="00BF3664"/>
    <w:rsid w:val="00BF4AC1"/>
    <w:rsid w:val="00BF5025"/>
    <w:rsid w:val="00BF6555"/>
    <w:rsid w:val="00BF681B"/>
    <w:rsid w:val="00BF6870"/>
    <w:rsid w:val="00BF6C3C"/>
    <w:rsid w:val="00BF705E"/>
    <w:rsid w:val="00BF7796"/>
    <w:rsid w:val="00BF77CE"/>
    <w:rsid w:val="00C000D5"/>
    <w:rsid w:val="00C0084C"/>
    <w:rsid w:val="00C00A0F"/>
    <w:rsid w:val="00C01419"/>
    <w:rsid w:val="00C0149C"/>
    <w:rsid w:val="00C0154D"/>
    <w:rsid w:val="00C015B9"/>
    <w:rsid w:val="00C02809"/>
    <w:rsid w:val="00C02A7D"/>
    <w:rsid w:val="00C02F2A"/>
    <w:rsid w:val="00C0345D"/>
    <w:rsid w:val="00C035B7"/>
    <w:rsid w:val="00C035F1"/>
    <w:rsid w:val="00C0362E"/>
    <w:rsid w:val="00C03D8C"/>
    <w:rsid w:val="00C04011"/>
    <w:rsid w:val="00C040F0"/>
    <w:rsid w:val="00C0443B"/>
    <w:rsid w:val="00C04463"/>
    <w:rsid w:val="00C0543D"/>
    <w:rsid w:val="00C05C9F"/>
    <w:rsid w:val="00C05E37"/>
    <w:rsid w:val="00C060E5"/>
    <w:rsid w:val="00C06AC6"/>
    <w:rsid w:val="00C07F72"/>
    <w:rsid w:val="00C10438"/>
    <w:rsid w:val="00C10AA5"/>
    <w:rsid w:val="00C11146"/>
    <w:rsid w:val="00C11369"/>
    <w:rsid w:val="00C118DB"/>
    <w:rsid w:val="00C11F30"/>
    <w:rsid w:val="00C12EDC"/>
    <w:rsid w:val="00C12F33"/>
    <w:rsid w:val="00C140FE"/>
    <w:rsid w:val="00C14E07"/>
    <w:rsid w:val="00C14E9C"/>
    <w:rsid w:val="00C15284"/>
    <w:rsid w:val="00C1603B"/>
    <w:rsid w:val="00C16BD1"/>
    <w:rsid w:val="00C16D9A"/>
    <w:rsid w:val="00C173FC"/>
    <w:rsid w:val="00C17454"/>
    <w:rsid w:val="00C21105"/>
    <w:rsid w:val="00C2130B"/>
    <w:rsid w:val="00C218B1"/>
    <w:rsid w:val="00C21DFB"/>
    <w:rsid w:val="00C224FB"/>
    <w:rsid w:val="00C22640"/>
    <w:rsid w:val="00C227B4"/>
    <w:rsid w:val="00C22B6A"/>
    <w:rsid w:val="00C23083"/>
    <w:rsid w:val="00C23260"/>
    <w:rsid w:val="00C23F8E"/>
    <w:rsid w:val="00C24029"/>
    <w:rsid w:val="00C241A8"/>
    <w:rsid w:val="00C24396"/>
    <w:rsid w:val="00C24742"/>
    <w:rsid w:val="00C25096"/>
    <w:rsid w:val="00C250AA"/>
    <w:rsid w:val="00C257F5"/>
    <w:rsid w:val="00C260E3"/>
    <w:rsid w:val="00C2637D"/>
    <w:rsid w:val="00C302F6"/>
    <w:rsid w:val="00C3084E"/>
    <w:rsid w:val="00C314C5"/>
    <w:rsid w:val="00C31B4D"/>
    <w:rsid w:val="00C31FEB"/>
    <w:rsid w:val="00C32DCF"/>
    <w:rsid w:val="00C33098"/>
    <w:rsid w:val="00C334E1"/>
    <w:rsid w:val="00C33B2D"/>
    <w:rsid w:val="00C341D9"/>
    <w:rsid w:val="00C342B5"/>
    <w:rsid w:val="00C34447"/>
    <w:rsid w:val="00C34547"/>
    <w:rsid w:val="00C3532B"/>
    <w:rsid w:val="00C354AC"/>
    <w:rsid w:val="00C36ACD"/>
    <w:rsid w:val="00C36CC0"/>
    <w:rsid w:val="00C37083"/>
    <w:rsid w:val="00C372FE"/>
    <w:rsid w:val="00C407EA"/>
    <w:rsid w:val="00C408F6"/>
    <w:rsid w:val="00C40F2A"/>
    <w:rsid w:val="00C41480"/>
    <w:rsid w:val="00C4182A"/>
    <w:rsid w:val="00C41D9E"/>
    <w:rsid w:val="00C41FE2"/>
    <w:rsid w:val="00C42B8A"/>
    <w:rsid w:val="00C42E96"/>
    <w:rsid w:val="00C4345D"/>
    <w:rsid w:val="00C43ACA"/>
    <w:rsid w:val="00C44134"/>
    <w:rsid w:val="00C444D3"/>
    <w:rsid w:val="00C445E4"/>
    <w:rsid w:val="00C448D1"/>
    <w:rsid w:val="00C452EF"/>
    <w:rsid w:val="00C46912"/>
    <w:rsid w:val="00C46E55"/>
    <w:rsid w:val="00C471B5"/>
    <w:rsid w:val="00C47A79"/>
    <w:rsid w:val="00C50833"/>
    <w:rsid w:val="00C51E41"/>
    <w:rsid w:val="00C523E0"/>
    <w:rsid w:val="00C53AF7"/>
    <w:rsid w:val="00C53CCE"/>
    <w:rsid w:val="00C54353"/>
    <w:rsid w:val="00C54A7A"/>
    <w:rsid w:val="00C54D2F"/>
    <w:rsid w:val="00C55212"/>
    <w:rsid w:val="00C5546E"/>
    <w:rsid w:val="00C55E9D"/>
    <w:rsid w:val="00C56CE3"/>
    <w:rsid w:val="00C5782D"/>
    <w:rsid w:val="00C604DF"/>
    <w:rsid w:val="00C6057E"/>
    <w:rsid w:val="00C60626"/>
    <w:rsid w:val="00C6063F"/>
    <w:rsid w:val="00C60B7D"/>
    <w:rsid w:val="00C6180B"/>
    <w:rsid w:val="00C61BA4"/>
    <w:rsid w:val="00C62583"/>
    <w:rsid w:val="00C64566"/>
    <w:rsid w:val="00C64E8B"/>
    <w:rsid w:val="00C655B9"/>
    <w:rsid w:val="00C661AD"/>
    <w:rsid w:val="00C66828"/>
    <w:rsid w:val="00C66871"/>
    <w:rsid w:val="00C66DB1"/>
    <w:rsid w:val="00C671A3"/>
    <w:rsid w:val="00C6765C"/>
    <w:rsid w:val="00C67FD4"/>
    <w:rsid w:val="00C7015D"/>
    <w:rsid w:val="00C701F0"/>
    <w:rsid w:val="00C7063B"/>
    <w:rsid w:val="00C72F45"/>
    <w:rsid w:val="00C75C1A"/>
    <w:rsid w:val="00C7665A"/>
    <w:rsid w:val="00C76B5A"/>
    <w:rsid w:val="00C76F43"/>
    <w:rsid w:val="00C77BE2"/>
    <w:rsid w:val="00C80BFF"/>
    <w:rsid w:val="00C81849"/>
    <w:rsid w:val="00C81BD5"/>
    <w:rsid w:val="00C82BCF"/>
    <w:rsid w:val="00C84042"/>
    <w:rsid w:val="00C841FE"/>
    <w:rsid w:val="00C842F0"/>
    <w:rsid w:val="00C8494D"/>
    <w:rsid w:val="00C84A04"/>
    <w:rsid w:val="00C855A9"/>
    <w:rsid w:val="00C85E3A"/>
    <w:rsid w:val="00C8621E"/>
    <w:rsid w:val="00C878B7"/>
    <w:rsid w:val="00C90E34"/>
    <w:rsid w:val="00C9114E"/>
    <w:rsid w:val="00C91DEF"/>
    <w:rsid w:val="00C91FAC"/>
    <w:rsid w:val="00C91FFE"/>
    <w:rsid w:val="00C92AB1"/>
    <w:rsid w:val="00C92B9A"/>
    <w:rsid w:val="00C92BC1"/>
    <w:rsid w:val="00C93D5C"/>
    <w:rsid w:val="00C93FC4"/>
    <w:rsid w:val="00C940A9"/>
    <w:rsid w:val="00C9418A"/>
    <w:rsid w:val="00C951F2"/>
    <w:rsid w:val="00C95272"/>
    <w:rsid w:val="00C95341"/>
    <w:rsid w:val="00C9623F"/>
    <w:rsid w:val="00C96717"/>
    <w:rsid w:val="00C96DAD"/>
    <w:rsid w:val="00C9762C"/>
    <w:rsid w:val="00C97BB4"/>
    <w:rsid w:val="00C97CB1"/>
    <w:rsid w:val="00C97FDD"/>
    <w:rsid w:val="00CA05E7"/>
    <w:rsid w:val="00CA1776"/>
    <w:rsid w:val="00CA29F6"/>
    <w:rsid w:val="00CA329A"/>
    <w:rsid w:val="00CA32B3"/>
    <w:rsid w:val="00CA3B7D"/>
    <w:rsid w:val="00CA4165"/>
    <w:rsid w:val="00CA485F"/>
    <w:rsid w:val="00CA494C"/>
    <w:rsid w:val="00CA4B58"/>
    <w:rsid w:val="00CA4F7C"/>
    <w:rsid w:val="00CA57BB"/>
    <w:rsid w:val="00CA5E3F"/>
    <w:rsid w:val="00CA5EBD"/>
    <w:rsid w:val="00CA5EBF"/>
    <w:rsid w:val="00CA693C"/>
    <w:rsid w:val="00CA7274"/>
    <w:rsid w:val="00CB099A"/>
    <w:rsid w:val="00CB0B4A"/>
    <w:rsid w:val="00CB151A"/>
    <w:rsid w:val="00CB1DCB"/>
    <w:rsid w:val="00CB2814"/>
    <w:rsid w:val="00CB2F2F"/>
    <w:rsid w:val="00CB35D1"/>
    <w:rsid w:val="00CB3FA8"/>
    <w:rsid w:val="00CB4609"/>
    <w:rsid w:val="00CB4D69"/>
    <w:rsid w:val="00CB661B"/>
    <w:rsid w:val="00CB68D8"/>
    <w:rsid w:val="00CB6A6C"/>
    <w:rsid w:val="00CB6E0A"/>
    <w:rsid w:val="00CB7D13"/>
    <w:rsid w:val="00CC05C3"/>
    <w:rsid w:val="00CC1C08"/>
    <w:rsid w:val="00CC1D87"/>
    <w:rsid w:val="00CC22B7"/>
    <w:rsid w:val="00CC26A2"/>
    <w:rsid w:val="00CC2C14"/>
    <w:rsid w:val="00CC3010"/>
    <w:rsid w:val="00CC41AC"/>
    <w:rsid w:val="00CC49A4"/>
    <w:rsid w:val="00CC72EB"/>
    <w:rsid w:val="00CC783F"/>
    <w:rsid w:val="00CC7D27"/>
    <w:rsid w:val="00CD09B7"/>
    <w:rsid w:val="00CD0E19"/>
    <w:rsid w:val="00CD1BE0"/>
    <w:rsid w:val="00CD28F4"/>
    <w:rsid w:val="00CD2B27"/>
    <w:rsid w:val="00CD666B"/>
    <w:rsid w:val="00CD7695"/>
    <w:rsid w:val="00CE0D79"/>
    <w:rsid w:val="00CE0DCA"/>
    <w:rsid w:val="00CE169A"/>
    <w:rsid w:val="00CE16F6"/>
    <w:rsid w:val="00CE1D93"/>
    <w:rsid w:val="00CE2655"/>
    <w:rsid w:val="00CE2EDE"/>
    <w:rsid w:val="00CE368E"/>
    <w:rsid w:val="00CE3722"/>
    <w:rsid w:val="00CE3946"/>
    <w:rsid w:val="00CE4794"/>
    <w:rsid w:val="00CE4D58"/>
    <w:rsid w:val="00CE604D"/>
    <w:rsid w:val="00CE64D7"/>
    <w:rsid w:val="00CE69AD"/>
    <w:rsid w:val="00CE73D0"/>
    <w:rsid w:val="00CE7CCD"/>
    <w:rsid w:val="00CF008A"/>
    <w:rsid w:val="00CF1254"/>
    <w:rsid w:val="00CF2CBF"/>
    <w:rsid w:val="00CF342B"/>
    <w:rsid w:val="00CF4184"/>
    <w:rsid w:val="00CF4656"/>
    <w:rsid w:val="00CF4A0D"/>
    <w:rsid w:val="00CF5109"/>
    <w:rsid w:val="00CF577D"/>
    <w:rsid w:val="00CF633D"/>
    <w:rsid w:val="00CF6937"/>
    <w:rsid w:val="00CF7304"/>
    <w:rsid w:val="00CF74BA"/>
    <w:rsid w:val="00CF7C86"/>
    <w:rsid w:val="00D005D9"/>
    <w:rsid w:val="00D00CBB"/>
    <w:rsid w:val="00D00E29"/>
    <w:rsid w:val="00D011F5"/>
    <w:rsid w:val="00D015EF"/>
    <w:rsid w:val="00D0181E"/>
    <w:rsid w:val="00D0192E"/>
    <w:rsid w:val="00D019E3"/>
    <w:rsid w:val="00D01AB7"/>
    <w:rsid w:val="00D02B47"/>
    <w:rsid w:val="00D02B8D"/>
    <w:rsid w:val="00D02E21"/>
    <w:rsid w:val="00D039E8"/>
    <w:rsid w:val="00D03BFD"/>
    <w:rsid w:val="00D03F72"/>
    <w:rsid w:val="00D0431B"/>
    <w:rsid w:val="00D04AB6"/>
    <w:rsid w:val="00D06534"/>
    <w:rsid w:val="00D07C1F"/>
    <w:rsid w:val="00D07E9B"/>
    <w:rsid w:val="00D10401"/>
    <w:rsid w:val="00D1095C"/>
    <w:rsid w:val="00D11A09"/>
    <w:rsid w:val="00D12974"/>
    <w:rsid w:val="00D12D67"/>
    <w:rsid w:val="00D1313E"/>
    <w:rsid w:val="00D1355E"/>
    <w:rsid w:val="00D1361E"/>
    <w:rsid w:val="00D138D3"/>
    <w:rsid w:val="00D1396F"/>
    <w:rsid w:val="00D14AE5"/>
    <w:rsid w:val="00D1520B"/>
    <w:rsid w:val="00D165FD"/>
    <w:rsid w:val="00D16DBC"/>
    <w:rsid w:val="00D16E12"/>
    <w:rsid w:val="00D175B3"/>
    <w:rsid w:val="00D17847"/>
    <w:rsid w:val="00D2023C"/>
    <w:rsid w:val="00D20E5F"/>
    <w:rsid w:val="00D210FF"/>
    <w:rsid w:val="00D215BA"/>
    <w:rsid w:val="00D228DC"/>
    <w:rsid w:val="00D24C01"/>
    <w:rsid w:val="00D2570E"/>
    <w:rsid w:val="00D2598B"/>
    <w:rsid w:val="00D25C87"/>
    <w:rsid w:val="00D26106"/>
    <w:rsid w:val="00D2610A"/>
    <w:rsid w:val="00D26399"/>
    <w:rsid w:val="00D26417"/>
    <w:rsid w:val="00D269A2"/>
    <w:rsid w:val="00D26DAD"/>
    <w:rsid w:val="00D26EEE"/>
    <w:rsid w:val="00D27594"/>
    <w:rsid w:val="00D27CFB"/>
    <w:rsid w:val="00D27D66"/>
    <w:rsid w:val="00D30A8B"/>
    <w:rsid w:val="00D30F74"/>
    <w:rsid w:val="00D30F81"/>
    <w:rsid w:val="00D3138F"/>
    <w:rsid w:val="00D31B2A"/>
    <w:rsid w:val="00D3203A"/>
    <w:rsid w:val="00D32846"/>
    <w:rsid w:val="00D3423A"/>
    <w:rsid w:val="00D3423E"/>
    <w:rsid w:val="00D34771"/>
    <w:rsid w:val="00D365D5"/>
    <w:rsid w:val="00D36B27"/>
    <w:rsid w:val="00D36C8F"/>
    <w:rsid w:val="00D37321"/>
    <w:rsid w:val="00D37497"/>
    <w:rsid w:val="00D40663"/>
    <w:rsid w:val="00D41914"/>
    <w:rsid w:val="00D43464"/>
    <w:rsid w:val="00D440EA"/>
    <w:rsid w:val="00D44DDA"/>
    <w:rsid w:val="00D44FCD"/>
    <w:rsid w:val="00D4500F"/>
    <w:rsid w:val="00D458A7"/>
    <w:rsid w:val="00D46A64"/>
    <w:rsid w:val="00D46DDE"/>
    <w:rsid w:val="00D50C24"/>
    <w:rsid w:val="00D52D4D"/>
    <w:rsid w:val="00D52E6D"/>
    <w:rsid w:val="00D534DD"/>
    <w:rsid w:val="00D54D1C"/>
    <w:rsid w:val="00D54E64"/>
    <w:rsid w:val="00D55545"/>
    <w:rsid w:val="00D56059"/>
    <w:rsid w:val="00D5654C"/>
    <w:rsid w:val="00D56E07"/>
    <w:rsid w:val="00D60188"/>
    <w:rsid w:val="00D606D5"/>
    <w:rsid w:val="00D61F07"/>
    <w:rsid w:val="00D61F43"/>
    <w:rsid w:val="00D623C9"/>
    <w:rsid w:val="00D625C0"/>
    <w:rsid w:val="00D63C64"/>
    <w:rsid w:val="00D646D1"/>
    <w:rsid w:val="00D65DD1"/>
    <w:rsid w:val="00D662C6"/>
    <w:rsid w:val="00D6633E"/>
    <w:rsid w:val="00D67A10"/>
    <w:rsid w:val="00D67A59"/>
    <w:rsid w:val="00D70658"/>
    <w:rsid w:val="00D707E8"/>
    <w:rsid w:val="00D71965"/>
    <w:rsid w:val="00D71A7C"/>
    <w:rsid w:val="00D71D25"/>
    <w:rsid w:val="00D72960"/>
    <w:rsid w:val="00D72E84"/>
    <w:rsid w:val="00D73301"/>
    <w:rsid w:val="00D734A0"/>
    <w:rsid w:val="00D73D4A"/>
    <w:rsid w:val="00D73F68"/>
    <w:rsid w:val="00D741A7"/>
    <w:rsid w:val="00D75456"/>
    <w:rsid w:val="00D75467"/>
    <w:rsid w:val="00D765FA"/>
    <w:rsid w:val="00D7696A"/>
    <w:rsid w:val="00D777DB"/>
    <w:rsid w:val="00D77E23"/>
    <w:rsid w:val="00D80A5E"/>
    <w:rsid w:val="00D8172D"/>
    <w:rsid w:val="00D81BC0"/>
    <w:rsid w:val="00D81C50"/>
    <w:rsid w:val="00D82117"/>
    <w:rsid w:val="00D82316"/>
    <w:rsid w:val="00D82A05"/>
    <w:rsid w:val="00D830F2"/>
    <w:rsid w:val="00D836C9"/>
    <w:rsid w:val="00D83906"/>
    <w:rsid w:val="00D8393C"/>
    <w:rsid w:val="00D83DB6"/>
    <w:rsid w:val="00D851B8"/>
    <w:rsid w:val="00D86369"/>
    <w:rsid w:val="00D86AE6"/>
    <w:rsid w:val="00D872FB"/>
    <w:rsid w:val="00D8780D"/>
    <w:rsid w:val="00D9054F"/>
    <w:rsid w:val="00D91E0C"/>
    <w:rsid w:val="00D922AF"/>
    <w:rsid w:val="00D92471"/>
    <w:rsid w:val="00D92A44"/>
    <w:rsid w:val="00D93121"/>
    <w:rsid w:val="00D93401"/>
    <w:rsid w:val="00D93974"/>
    <w:rsid w:val="00D941DC"/>
    <w:rsid w:val="00D9442F"/>
    <w:rsid w:val="00D944E6"/>
    <w:rsid w:val="00D94BAE"/>
    <w:rsid w:val="00D958A7"/>
    <w:rsid w:val="00D968B1"/>
    <w:rsid w:val="00D977F5"/>
    <w:rsid w:val="00D97885"/>
    <w:rsid w:val="00D9788B"/>
    <w:rsid w:val="00DA1A81"/>
    <w:rsid w:val="00DA2250"/>
    <w:rsid w:val="00DA46CA"/>
    <w:rsid w:val="00DA54FA"/>
    <w:rsid w:val="00DA6548"/>
    <w:rsid w:val="00DA65CB"/>
    <w:rsid w:val="00DA6C37"/>
    <w:rsid w:val="00DA6CBD"/>
    <w:rsid w:val="00DA6F3F"/>
    <w:rsid w:val="00DA715F"/>
    <w:rsid w:val="00DA75D8"/>
    <w:rsid w:val="00DB0AD1"/>
    <w:rsid w:val="00DB10A7"/>
    <w:rsid w:val="00DB17FA"/>
    <w:rsid w:val="00DB189B"/>
    <w:rsid w:val="00DB2AD6"/>
    <w:rsid w:val="00DB2E09"/>
    <w:rsid w:val="00DB4683"/>
    <w:rsid w:val="00DB4DAB"/>
    <w:rsid w:val="00DB5F09"/>
    <w:rsid w:val="00DC008D"/>
    <w:rsid w:val="00DC031E"/>
    <w:rsid w:val="00DC0581"/>
    <w:rsid w:val="00DC0C7B"/>
    <w:rsid w:val="00DC1655"/>
    <w:rsid w:val="00DC1B5C"/>
    <w:rsid w:val="00DC1CC0"/>
    <w:rsid w:val="00DC1E99"/>
    <w:rsid w:val="00DC2191"/>
    <w:rsid w:val="00DC2270"/>
    <w:rsid w:val="00DC2353"/>
    <w:rsid w:val="00DC28AC"/>
    <w:rsid w:val="00DC2CAD"/>
    <w:rsid w:val="00DC2D6D"/>
    <w:rsid w:val="00DC3423"/>
    <w:rsid w:val="00DC3A5B"/>
    <w:rsid w:val="00DC413C"/>
    <w:rsid w:val="00DC475C"/>
    <w:rsid w:val="00DC497D"/>
    <w:rsid w:val="00DC4CBF"/>
    <w:rsid w:val="00DC5239"/>
    <w:rsid w:val="00DC58A3"/>
    <w:rsid w:val="00DC5C3B"/>
    <w:rsid w:val="00DC601C"/>
    <w:rsid w:val="00DC7287"/>
    <w:rsid w:val="00DC7566"/>
    <w:rsid w:val="00DC78AA"/>
    <w:rsid w:val="00DC78AD"/>
    <w:rsid w:val="00DD00CE"/>
    <w:rsid w:val="00DD1ACB"/>
    <w:rsid w:val="00DD1C8F"/>
    <w:rsid w:val="00DD1CE5"/>
    <w:rsid w:val="00DD2760"/>
    <w:rsid w:val="00DD3453"/>
    <w:rsid w:val="00DD5006"/>
    <w:rsid w:val="00DD5D28"/>
    <w:rsid w:val="00DD6A32"/>
    <w:rsid w:val="00DE0393"/>
    <w:rsid w:val="00DE08B6"/>
    <w:rsid w:val="00DE1999"/>
    <w:rsid w:val="00DE270A"/>
    <w:rsid w:val="00DE2A2C"/>
    <w:rsid w:val="00DE3626"/>
    <w:rsid w:val="00DE3F8C"/>
    <w:rsid w:val="00DE4E2D"/>
    <w:rsid w:val="00DE5660"/>
    <w:rsid w:val="00DE5CA3"/>
    <w:rsid w:val="00DE6571"/>
    <w:rsid w:val="00DE6821"/>
    <w:rsid w:val="00DE6F84"/>
    <w:rsid w:val="00DE7049"/>
    <w:rsid w:val="00DE7553"/>
    <w:rsid w:val="00DE78BB"/>
    <w:rsid w:val="00DF03C6"/>
    <w:rsid w:val="00DF04E9"/>
    <w:rsid w:val="00DF0976"/>
    <w:rsid w:val="00DF09D5"/>
    <w:rsid w:val="00DF0CEE"/>
    <w:rsid w:val="00DF1177"/>
    <w:rsid w:val="00DF12A5"/>
    <w:rsid w:val="00DF1BDA"/>
    <w:rsid w:val="00DF2A4B"/>
    <w:rsid w:val="00DF2E57"/>
    <w:rsid w:val="00DF4270"/>
    <w:rsid w:val="00DF45D3"/>
    <w:rsid w:val="00DF463A"/>
    <w:rsid w:val="00DF52CE"/>
    <w:rsid w:val="00DF543E"/>
    <w:rsid w:val="00DF566D"/>
    <w:rsid w:val="00DF5EE7"/>
    <w:rsid w:val="00E00358"/>
    <w:rsid w:val="00E005F0"/>
    <w:rsid w:val="00E0064E"/>
    <w:rsid w:val="00E00BBF"/>
    <w:rsid w:val="00E0117D"/>
    <w:rsid w:val="00E01EB3"/>
    <w:rsid w:val="00E02788"/>
    <w:rsid w:val="00E028D6"/>
    <w:rsid w:val="00E0318A"/>
    <w:rsid w:val="00E03422"/>
    <w:rsid w:val="00E0461E"/>
    <w:rsid w:val="00E04EFB"/>
    <w:rsid w:val="00E06A34"/>
    <w:rsid w:val="00E079F4"/>
    <w:rsid w:val="00E1059B"/>
    <w:rsid w:val="00E1066C"/>
    <w:rsid w:val="00E10DF9"/>
    <w:rsid w:val="00E11AF0"/>
    <w:rsid w:val="00E12362"/>
    <w:rsid w:val="00E13134"/>
    <w:rsid w:val="00E1372C"/>
    <w:rsid w:val="00E13AFD"/>
    <w:rsid w:val="00E13D3D"/>
    <w:rsid w:val="00E148ED"/>
    <w:rsid w:val="00E155A4"/>
    <w:rsid w:val="00E164F6"/>
    <w:rsid w:val="00E16F63"/>
    <w:rsid w:val="00E17271"/>
    <w:rsid w:val="00E211C1"/>
    <w:rsid w:val="00E21BFC"/>
    <w:rsid w:val="00E22FD1"/>
    <w:rsid w:val="00E2359B"/>
    <w:rsid w:val="00E2359E"/>
    <w:rsid w:val="00E23607"/>
    <w:rsid w:val="00E252E5"/>
    <w:rsid w:val="00E25A55"/>
    <w:rsid w:val="00E25B46"/>
    <w:rsid w:val="00E25D92"/>
    <w:rsid w:val="00E271D8"/>
    <w:rsid w:val="00E2747B"/>
    <w:rsid w:val="00E27617"/>
    <w:rsid w:val="00E2768D"/>
    <w:rsid w:val="00E30994"/>
    <w:rsid w:val="00E30E8A"/>
    <w:rsid w:val="00E3118A"/>
    <w:rsid w:val="00E32532"/>
    <w:rsid w:val="00E33525"/>
    <w:rsid w:val="00E33855"/>
    <w:rsid w:val="00E33978"/>
    <w:rsid w:val="00E33A50"/>
    <w:rsid w:val="00E34638"/>
    <w:rsid w:val="00E34EDD"/>
    <w:rsid w:val="00E3576A"/>
    <w:rsid w:val="00E373D4"/>
    <w:rsid w:val="00E3777E"/>
    <w:rsid w:val="00E379CD"/>
    <w:rsid w:val="00E37B38"/>
    <w:rsid w:val="00E41541"/>
    <w:rsid w:val="00E41A56"/>
    <w:rsid w:val="00E4371B"/>
    <w:rsid w:val="00E4401B"/>
    <w:rsid w:val="00E447F7"/>
    <w:rsid w:val="00E46BF4"/>
    <w:rsid w:val="00E47202"/>
    <w:rsid w:val="00E50CDF"/>
    <w:rsid w:val="00E510E6"/>
    <w:rsid w:val="00E51636"/>
    <w:rsid w:val="00E527F2"/>
    <w:rsid w:val="00E53126"/>
    <w:rsid w:val="00E5359A"/>
    <w:rsid w:val="00E5385C"/>
    <w:rsid w:val="00E53D83"/>
    <w:rsid w:val="00E545AE"/>
    <w:rsid w:val="00E54ACC"/>
    <w:rsid w:val="00E54EF6"/>
    <w:rsid w:val="00E5618A"/>
    <w:rsid w:val="00E561CF"/>
    <w:rsid w:val="00E56851"/>
    <w:rsid w:val="00E56A52"/>
    <w:rsid w:val="00E57128"/>
    <w:rsid w:val="00E57163"/>
    <w:rsid w:val="00E57186"/>
    <w:rsid w:val="00E573FD"/>
    <w:rsid w:val="00E57479"/>
    <w:rsid w:val="00E57495"/>
    <w:rsid w:val="00E57C67"/>
    <w:rsid w:val="00E606A6"/>
    <w:rsid w:val="00E60848"/>
    <w:rsid w:val="00E60A4B"/>
    <w:rsid w:val="00E615FB"/>
    <w:rsid w:val="00E62302"/>
    <w:rsid w:val="00E630D9"/>
    <w:rsid w:val="00E639B0"/>
    <w:rsid w:val="00E63B37"/>
    <w:rsid w:val="00E63BE4"/>
    <w:rsid w:val="00E63DBA"/>
    <w:rsid w:val="00E64119"/>
    <w:rsid w:val="00E64C5B"/>
    <w:rsid w:val="00E65045"/>
    <w:rsid w:val="00E664AC"/>
    <w:rsid w:val="00E669DA"/>
    <w:rsid w:val="00E66BF2"/>
    <w:rsid w:val="00E670ED"/>
    <w:rsid w:val="00E677E0"/>
    <w:rsid w:val="00E67A2B"/>
    <w:rsid w:val="00E67B19"/>
    <w:rsid w:val="00E67DD5"/>
    <w:rsid w:val="00E7000C"/>
    <w:rsid w:val="00E700EB"/>
    <w:rsid w:val="00E70B00"/>
    <w:rsid w:val="00E70B2F"/>
    <w:rsid w:val="00E70B3B"/>
    <w:rsid w:val="00E70DE1"/>
    <w:rsid w:val="00E71925"/>
    <w:rsid w:val="00E71E27"/>
    <w:rsid w:val="00E72AE4"/>
    <w:rsid w:val="00E73C98"/>
    <w:rsid w:val="00E74030"/>
    <w:rsid w:val="00E757D9"/>
    <w:rsid w:val="00E75DFA"/>
    <w:rsid w:val="00E7655D"/>
    <w:rsid w:val="00E769CB"/>
    <w:rsid w:val="00E76DE0"/>
    <w:rsid w:val="00E774E4"/>
    <w:rsid w:val="00E77D66"/>
    <w:rsid w:val="00E77F96"/>
    <w:rsid w:val="00E77FE6"/>
    <w:rsid w:val="00E80EBA"/>
    <w:rsid w:val="00E81527"/>
    <w:rsid w:val="00E81ADA"/>
    <w:rsid w:val="00E82E34"/>
    <w:rsid w:val="00E841C7"/>
    <w:rsid w:val="00E84D2D"/>
    <w:rsid w:val="00E85BEA"/>
    <w:rsid w:val="00E85F7C"/>
    <w:rsid w:val="00E864CC"/>
    <w:rsid w:val="00E8729C"/>
    <w:rsid w:val="00E873A5"/>
    <w:rsid w:val="00E90F01"/>
    <w:rsid w:val="00E92404"/>
    <w:rsid w:val="00E92929"/>
    <w:rsid w:val="00E929AA"/>
    <w:rsid w:val="00E92C24"/>
    <w:rsid w:val="00E932E5"/>
    <w:rsid w:val="00E950B5"/>
    <w:rsid w:val="00E95CA4"/>
    <w:rsid w:val="00E96514"/>
    <w:rsid w:val="00E96634"/>
    <w:rsid w:val="00E96B57"/>
    <w:rsid w:val="00E96B5A"/>
    <w:rsid w:val="00E97346"/>
    <w:rsid w:val="00E975D6"/>
    <w:rsid w:val="00E97B10"/>
    <w:rsid w:val="00E97B8D"/>
    <w:rsid w:val="00E97DD0"/>
    <w:rsid w:val="00EA07EC"/>
    <w:rsid w:val="00EA0F34"/>
    <w:rsid w:val="00EA145A"/>
    <w:rsid w:val="00EA17D5"/>
    <w:rsid w:val="00EA1A64"/>
    <w:rsid w:val="00EA2558"/>
    <w:rsid w:val="00EA2891"/>
    <w:rsid w:val="00EA2A89"/>
    <w:rsid w:val="00EA2C63"/>
    <w:rsid w:val="00EA3789"/>
    <w:rsid w:val="00EA4B07"/>
    <w:rsid w:val="00EA6621"/>
    <w:rsid w:val="00EA7151"/>
    <w:rsid w:val="00EA7389"/>
    <w:rsid w:val="00EB3E29"/>
    <w:rsid w:val="00EB548A"/>
    <w:rsid w:val="00EB5EB4"/>
    <w:rsid w:val="00EB6752"/>
    <w:rsid w:val="00EB67E5"/>
    <w:rsid w:val="00EB791A"/>
    <w:rsid w:val="00EB7F35"/>
    <w:rsid w:val="00EC07CE"/>
    <w:rsid w:val="00EC251F"/>
    <w:rsid w:val="00EC304D"/>
    <w:rsid w:val="00EC470D"/>
    <w:rsid w:val="00EC4F83"/>
    <w:rsid w:val="00EC5C6B"/>
    <w:rsid w:val="00EC5D5D"/>
    <w:rsid w:val="00EC712B"/>
    <w:rsid w:val="00ED01B3"/>
    <w:rsid w:val="00ED0BE4"/>
    <w:rsid w:val="00ED230E"/>
    <w:rsid w:val="00ED23D7"/>
    <w:rsid w:val="00ED2567"/>
    <w:rsid w:val="00ED2E0C"/>
    <w:rsid w:val="00ED2E44"/>
    <w:rsid w:val="00ED3195"/>
    <w:rsid w:val="00ED582D"/>
    <w:rsid w:val="00ED5834"/>
    <w:rsid w:val="00ED5AD5"/>
    <w:rsid w:val="00ED60D4"/>
    <w:rsid w:val="00ED6BD7"/>
    <w:rsid w:val="00ED7347"/>
    <w:rsid w:val="00ED7B2B"/>
    <w:rsid w:val="00EE19E9"/>
    <w:rsid w:val="00EE1DAA"/>
    <w:rsid w:val="00EE1F35"/>
    <w:rsid w:val="00EE2CFD"/>
    <w:rsid w:val="00EE3241"/>
    <w:rsid w:val="00EE404D"/>
    <w:rsid w:val="00EE4756"/>
    <w:rsid w:val="00EE5455"/>
    <w:rsid w:val="00EE58B7"/>
    <w:rsid w:val="00EE5F04"/>
    <w:rsid w:val="00EE6912"/>
    <w:rsid w:val="00EE6B49"/>
    <w:rsid w:val="00EE6ECA"/>
    <w:rsid w:val="00EE7433"/>
    <w:rsid w:val="00EE7EE2"/>
    <w:rsid w:val="00EF017B"/>
    <w:rsid w:val="00EF01C7"/>
    <w:rsid w:val="00EF07A0"/>
    <w:rsid w:val="00EF07B8"/>
    <w:rsid w:val="00EF0D05"/>
    <w:rsid w:val="00EF1C1F"/>
    <w:rsid w:val="00EF1FF5"/>
    <w:rsid w:val="00EF2714"/>
    <w:rsid w:val="00EF4423"/>
    <w:rsid w:val="00EF483B"/>
    <w:rsid w:val="00EF5738"/>
    <w:rsid w:val="00EF5EA7"/>
    <w:rsid w:val="00EF5EDC"/>
    <w:rsid w:val="00EF644C"/>
    <w:rsid w:val="00EF6461"/>
    <w:rsid w:val="00EF73EB"/>
    <w:rsid w:val="00F006FF"/>
    <w:rsid w:val="00F01DFF"/>
    <w:rsid w:val="00F02044"/>
    <w:rsid w:val="00F023E9"/>
    <w:rsid w:val="00F02407"/>
    <w:rsid w:val="00F02B0A"/>
    <w:rsid w:val="00F0346B"/>
    <w:rsid w:val="00F03C0B"/>
    <w:rsid w:val="00F04088"/>
    <w:rsid w:val="00F04CA1"/>
    <w:rsid w:val="00F059FF"/>
    <w:rsid w:val="00F060C5"/>
    <w:rsid w:val="00F069E0"/>
    <w:rsid w:val="00F06B3F"/>
    <w:rsid w:val="00F07240"/>
    <w:rsid w:val="00F073CB"/>
    <w:rsid w:val="00F07488"/>
    <w:rsid w:val="00F07645"/>
    <w:rsid w:val="00F077BD"/>
    <w:rsid w:val="00F11062"/>
    <w:rsid w:val="00F122AA"/>
    <w:rsid w:val="00F1313B"/>
    <w:rsid w:val="00F13277"/>
    <w:rsid w:val="00F139C4"/>
    <w:rsid w:val="00F14080"/>
    <w:rsid w:val="00F144AC"/>
    <w:rsid w:val="00F15068"/>
    <w:rsid w:val="00F155C1"/>
    <w:rsid w:val="00F16525"/>
    <w:rsid w:val="00F17995"/>
    <w:rsid w:val="00F20073"/>
    <w:rsid w:val="00F20976"/>
    <w:rsid w:val="00F20B98"/>
    <w:rsid w:val="00F20D4C"/>
    <w:rsid w:val="00F232D3"/>
    <w:rsid w:val="00F232FE"/>
    <w:rsid w:val="00F237FC"/>
    <w:rsid w:val="00F247D7"/>
    <w:rsid w:val="00F24884"/>
    <w:rsid w:val="00F255F6"/>
    <w:rsid w:val="00F3074F"/>
    <w:rsid w:val="00F30782"/>
    <w:rsid w:val="00F30967"/>
    <w:rsid w:val="00F3165C"/>
    <w:rsid w:val="00F31E8B"/>
    <w:rsid w:val="00F323ED"/>
    <w:rsid w:val="00F3247B"/>
    <w:rsid w:val="00F32507"/>
    <w:rsid w:val="00F3254D"/>
    <w:rsid w:val="00F32D13"/>
    <w:rsid w:val="00F32DA9"/>
    <w:rsid w:val="00F32EC4"/>
    <w:rsid w:val="00F341E9"/>
    <w:rsid w:val="00F3426D"/>
    <w:rsid w:val="00F347D6"/>
    <w:rsid w:val="00F34849"/>
    <w:rsid w:val="00F34BB2"/>
    <w:rsid w:val="00F34FFE"/>
    <w:rsid w:val="00F35499"/>
    <w:rsid w:val="00F35C73"/>
    <w:rsid w:val="00F36184"/>
    <w:rsid w:val="00F36261"/>
    <w:rsid w:val="00F36F1E"/>
    <w:rsid w:val="00F36FEC"/>
    <w:rsid w:val="00F37648"/>
    <w:rsid w:val="00F37A05"/>
    <w:rsid w:val="00F40130"/>
    <w:rsid w:val="00F4051F"/>
    <w:rsid w:val="00F40DAA"/>
    <w:rsid w:val="00F40DF7"/>
    <w:rsid w:val="00F412AB"/>
    <w:rsid w:val="00F41C50"/>
    <w:rsid w:val="00F41CDF"/>
    <w:rsid w:val="00F4338C"/>
    <w:rsid w:val="00F44125"/>
    <w:rsid w:val="00F4459C"/>
    <w:rsid w:val="00F44B35"/>
    <w:rsid w:val="00F44CBC"/>
    <w:rsid w:val="00F44D72"/>
    <w:rsid w:val="00F44D82"/>
    <w:rsid w:val="00F45A58"/>
    <w:rsid w:val="00F4761B"/>
    <w:rsid w:val="00F47BD3"/>
    <w:rsid w:val="00F5058E"/>
    <w:rsid w:val="00F5165A"/>
    <w:rsid w:val="00F5213F"/>
    <w:rsid w:val="00F52943"/>
    <w:rsid w:val="00F53981"/>
    <w:rsid w:val="00F54A64"/>
    <w:rsid w:val="00F557EF"/>
    <w:rsid w:val="00F55D58"/>
    <w:rsid w:val="00F56B83"/>
    <w:rsid w:val="00F577AC"/>
    <w:rsid w:val="00F6021D"/>
    <w:rsid w:val="00F60438"/>
    <w:rsid w:val="00F60B97"/>
    <w:rsid w:val="00F60C7F"/>
    <w:rsid w:val="00F6181C"/>
    <w:rsid w:val="00F61CB2"/>
    <w:rsid w:val="00F61D43"/>
    <w:rsid w:val="00F624E9"/>
    <w:rsid w:val="00F6296C"/>
    <w:rsid w:val="00F62BB4"/>
    <w:rsid w:val="00F64159"/>
    <w:rsid w:val="00F64F77"/>
    <w:rsid w:val="00F6552D"/>
    <w:rsid w:val="00F6555D"/>
    <w:rsid w:val="00F65D49"/>
    <w:rsid w:val="00F669C0"/>
    <w:rsid w:val="00F70C51"/>
    <w:rsid w:val="00F70C5C"/>
    <w:rsid w:val="00F70DE5"/>
    <w:rsid w:val="00F733F1"/>
    <w:rsid w:val="00F73CBE"/>
    <w:rsid w:val="00F7566E"/>
    <w:rsid w:val="00F756F3"/>
    <w:rsid w:val="00F75D25"/>
    <w:rsid w:val="00F75F2C"/>
    <w:rsid w:val="00F75FAA"/>
    <w:rsid w:val="00F765D4"/>
    <w:rsid w:val="00F769C1"/>
    <w:rsid w:val="00F76D0C"/>
    <w:rsid w:val="00F76E18"/>
    <w:rsid w:val="00F8052F"/>
    <w:rsid w:val="00F80B3C"/>
    <w:rsid w:val="00F80B6B"/>
    <w:rsid w:val="00F80BD2"/>
    <w:rsid w:val="00F80E1E"/>
    <w:rsid w:val="00F81438"/>
    <w:rsid w:val="00F81661"/>
    <w:rsid w:val="00F81C66"/>
    <w:rsid w:val="00F81D0B"/>
    <w:rsid w:val="00F82104"/>
    <w:rsid w:val="00F82CFA"/>
    <w:rsid w:val="00F83259"/>
    <w:rsid w:val="00F84200"/>
    <w:rsid w:val="00F84CEE"/>
    <w:rsid w:val="00F85A5E"/>
    <w:rsid w:val="00F860C8"/>
    <w:rsid w:val="00F8644B"/>
    <w:rsid w:val="00F86B7F"/>
    <w:rsid w:val="00F86C5F"/>
    <w:rsid w:val="00F90773"/>
    <w:rsid w:val="00F914CE"/>
    <w:rsid w:val="00F91AF1"/>
    <w:rsid w:val="00F91D05"/>
    <w:rsid w:val="00F91F61"/>
    <w:rsid w:val="00F921CE"/>
    <w:rsid w:val="00F930B9"/>
    <w:rsid w:val="00F93329"/>
    <w:rsid w:val="00F93B58"/>
    <w:rsid w:val="00F93E45"/>
    <w:rsid w:val="00F9457C"/>
    <w:rsid w:val="00F946D1"/>
    <w:rsid w:val="00F94D32"/>
    <w:rsid w:val="00F95023"/>
    <w:rsid w:val="00F9522A"/>
    <w:rsid w:val="00F955C1"/>
    <w:rsid w:val="00F95A31"/>
    <w:rsid w:val="00F95A7B"/>
    <w:rsid w:val="00F95DCE"/>
    <w:rsid w:val="00F962BF"/>
    <w:rsid w:val="00F96740"/>
    <w:rsid w:val="00F96D81"/>
    <w:rsid w:val="00F96E7E"/>
    <w:rsid w:val="00F97725"/>
    <w:rsid w:val="00F97842"/>
    <w:rsid w:val="00FA006E"/>
    <w:rsid w:val="00FA0B17"/>
    <w:rsid w:val="00FA1717"/>
    <w:rsid w:val="00FA1BE3"/>
    <w:rsid w:val="00FA1E26"/>
    <w:rsid w:val="00FA2D6E"/>
    <w:rsid w:val="00FA2E69"/>
    <w:rsid w:val="00FA3189"/>
    <w:rsid w:val="00FA34BD"/>
    <w:rsid w:val="00FA386D"/>
    <w:rsid w:val="00FA4D0B"/>
    <w:rsid w:val="00FA4FD0"/>
    <w:rsid w:val="00FA57C1"/>
    <w:rsid w:val="00FA68AA"/>
    <w:rsid w:val="00FA6F5C"/>
    <w:rsid w:val="00FA7AA4"/>
    <w:rsid w:val="00FB00D5"/>
    <w:rsid w:val="00FB03CB"/>
    <w:rsid w:val="00FB149D"/>
    <w:rsid w:val="00FB206D"/>
    <w:rsid w:val="00FB22F9"/>
    <w:rsid w:val="00FB26FC"/>
    <w:rsid w:val="00FB36CC"/>
    <w:rsid w:val="00FB4F3F"/>
    <w:rsid w:val="00FB53F8"/>
    <w:rsid w:val="00FB5A88"/>
    <w:rsid w:val="00FB5F40"/>
    <w:rsid w:val="00FB6B78"/>
    <w:rsid w:val="00FB78EF"/>
    <w:rsid w:val="00FB79E6"/>
    <w:rsid w:val="00FB7C8A"/>
    <w:rsid w:val="00FC00B5"/>
    <w:rsid w:val="00FC0B28"/>
    <w:rsid w:val="00FC0BE3"/>
    <w:rsid w:val="00FC0C5C"/>
    <w:rsid w:val="00FC1365"/>
    <w:rsid w:val="00FC1944"/>
    <w:rsid w:val="00FC1C68"/>
    <w:rsid w:val="00FC2E21"/>
    <w:rsid w:val="00FC4941"/>
    <w:rsid w:val="00FC639D"/>
    <w:rsid w:val="00FC713E"/>
    <w:rsid w:val="00FC760C"/>
    <w:rsid w:val="00FC79C9"/>
    <w:rsid w:val="00FD00B2"/>
    <w:rsid w:val="00FD087D"/>
    <w:rsid w:val="00FD0F42"/>
    <w:rsid w:val="00FD1A3F"/>
    <w:rsid w:val="00FD1B6F"/>
    <w:rsid w:val="00FD1B8A"/>
    <w:rsid w:val="00FD2716"/>
    <w:rsid w:val="00FD2A10"/>
    <w:rsid w:val="00FD3AFB"/>
    <w:rsid w:val="00FD4462"/>
    <w:rsid w:val="00FD4551"/>
    <w:rsid w:val="00FD4C92"/>
    <w:rsid w:val="00FD5860"/>
    <w:rsid w:val="00FD6173"/>
    <w:rsid w:val="00FD65D6"/>
    <w:rsid w:val="00FD6DC3"/>
    <w:rsid w:val="00FD7C4A"/>
    <w:rsid w:val="00FE0B39"/>
    <w:rsid w:val="00FE0DE0"/>
    <w:rsid w:val="00FE0F55"/>
    <w:rsid w:val="00FE1027"/>
    <w:rsid w:val="00FE197F"/>
    <w:rsid w:val="00FE1F3B"/>
    <w:rsid w:val="00FE2185"/>
    <w:rsid w:val="00FE2DF4"/>
    <w:rsid w:val="00FE36E3"/>
    <w:rsid w:val="00FE3AE1"/>
    <w:rsid w:val="00FE4C54"/>
    <w:rsid w:val="00FE4DF1"/>
    <w:rsid w:val="00FE57E0"/>
    <w:rsid w:val="00FE6286"/>
    <w:rsid w:val="00FE7356"/>
    <w:rsid w:val="00FE7D56"/>
    <w:rsid w:val="00FF0198"/>
    <w:rsid w:val="00FF0FFC"/>
    <w:rsid w:val="00FF14E7"/>
    <w:rsid w:val="00FF1811"/>
    <w:rsid w:val="00FF18B0"/>
    <w:rsid w:val="00FF2BB6"/>
    <w:rsid w:val="00FF2EED"/>
    <w:rsid w:val="00FF3C19"/>
    <w:rsid w:val="00FF46AE"/>
    <w:rsid w:val="00FF5A4D"/>
    <w:rsid w:val="00FF5B9E"/>
    <w:rsid w:val="00FF5FD7"/>
    <w:rsid w:val="00FF6B02"/>
    <w:rsid w:val="00FF704E"/>
    <w:rsid w:val="00FF7D9E"/>
    <w:rsid w:val="01A01CE8"/>
    <w:rsid w:val="020675DE"/>
    <w:rsid w:val="030D36B5"/>
    <w:rsid w:val="040F7D06"/>
    <w:rsid w:val="052C409D"/>
    <w:rsid w:val="05584712"/>
    <w:rsid w:val="05971D90"/>
    <w:rsid w:val="05BC6962"/>
    <w:rsid w:val="05C315E7"/>
    <w:rsid w:val="05EC37A1"/>
    <w:rsid w:val="066A75F6"/>
    <w:rsid w:val="069E7DCE"/>
    <w:rsid w:val="06B31EC9"/>
    <w:rsid w:val="07F46A83"/>
    <w:rsid w:val="080E1430"/>
    <w:rsid w:val="08661C68"/>
    <w:rsid w:val="0868336B"/>
    <w:rsid w:val="087153AF"/>
    <w:rsid w:val="0887746B"/>
    <w:rsid w:val="09E52067"/>
    <w:rsid w:val="0A3D4238"/>
    <w:rsid w:val="0AA61273"/>
    <w:rsid w:val="0B1411E1"/>
    <w:rsid w:val="0B766B97"/>
    <w:rsid w:val="0CAA3EE0"/>
    <w:rsid w:val="0CE64125"/>
    <w:rsid w:val="0D0D1F2C"/>
    <w:rsid w:val="0D145C26"/>
    <w:rsid w:val="0D2F4441"/>
    <w:rsid w:val="0D7B3CC8"/>
    <w:rsid w:val="0DE251C7"/>
    <w:rsid w:val="0E133D79"/>
    <w:rsid w:val="0ED362D5"/>
    <w:rsid w:val="0EEA4C92"/>
    <w:rsid w:val="0F0B70F3"/>
    <w:rsid w:val="0FB71D20"/>
    <w:rsid w:val="0FC93710"/>
    <w:rsid w:val="0FDE04D0"/>
    <w:rsid w:val="0FE44761"/>
    <w:rsid w:val="100722A4"/>
    <w:rsid w:val="103C7916"/>
    <w:rsid w:val="10F851DA"/>
    <w:rsid w:val="113D5F31"/>
    <w:rsid w:val="117250F5"/>
    <w:rsid w:val="12256FFB"/>
    <w:rsid w:val="122E6BA3"/>
    <w:rsid w:val="124E4C8F"/>
    <w:rsid w:val="127D7D91"/>
    <w:rsid w:val="130229B8"/>
    <w:rsid w:val="130C739F"/>
    <w:rsid w:val="13B52F80"/>
    <w:rsid w:val="13BE3D50"/>
    <w:rsid w:val="149E4804"/>
    <w:rsid w:val="15995C59"/>
    <w:rsid w:val="16D46AEB"/>
    <w:rsid w:val="1741003C"/>
    <w:rsid w:val="18337DE2"/>
    <w:rsid w:val="18C34B9C"/>
    <w:rsid w:val="190637E4"/>
    <w:rsid w:val="19476DAA"/>
    <w:rsid w:val="199953AD"/>
    <w:rsid w:val="1A0A2F06"/>
    <w:rsid w:val="1A526F2A"/>
    <w:rsid w:val="1B095194"/>
    <w:rsid w:val="1B2C04A0"/>
    <w:rsid w:val="1B770253"/>
    <w:rsid w:val="1BA5471A"/>
    <w:rsid w:val="1CEC4F21"/>
    <w:rsid w:val="1D1161AB"/>
    <w:rsid w:val="1DFB31D0"/>
    <w:rsid w:val="1F005A03"/>
    <w:rsid w:val="1F171669"/>
    <w:rsid w:val="20020175"/>
    <w:rsid w:val="200461EA"/>
    <w:rsid w:val="20381DB9"/>
    <w:rsid w:val="208B3EBB"/>
    <w:rsid w:val="209A73B5"/>
    <w:rsid w:val="209F7D83"/>
    <w:rsid w:val="20CC75F8"/>
    <w:rsid w:val="210500BF"/>
    <w:rsid w:val="218F58A4"/>
    <w:rsid w:val="21962D28"/>
    <w:rsid w:val="21C42C58"/>
    <w:rsid w:val="21CB3F31"/>
    <w:rsid w:val="21E33B04"/>
    <w:rsid w:val="223D45EE"/>
    <w:rsid w:val="229211C8"/>
    <w:rsid w:val="22FF3DB9"/>
    <w:rsid w:val="23127B8A"/>
    <w:rsid w:val="233175AD"/>
    <w:rsid w:val="23E347D8"/>
    <w:rsid w:val="24C2595E"/>
    <w:rsid w:val="24D714EC"/>
    <w:rsid w:val="25221C68"/>
    <w:rsid w:val="256477DC"/>
    <w:rsid w:val="25CA0DE4"/>
    <w:rsid w:val="27974CD5"/>
    <w:rsid w:val="27ED7AC8"/>
    <w:rsid w:val="28123E8D"/>
    <w:rsid w:val="283E36F6"/>
    <w:rsid w:val="28582F41"/>
    <w:rsid w:val="29665CCE"/>
    <w:rsid w:val="2A2D312B"/>
    <w:rsid w:val="2A6766EF"/>
    <w:rsid w:val="2B051658"/>
    <w:rsid w:val="2B265CB7"/>
    <w:rsid w:val="2C1F7C90"/>
    <w:rsid w:val="2C2A720D"/>
    <w:rsid w:val="2C41779E"/>
    <w:rsid w:val="2C834DD4"/>
    <w:rsid w:val="2D141FF8"/>
    <w:rsid w:val="2D676279"/>
    <w:rsid w:val="2DC470DD"/>
    <w:rsid w:val="2E19094C"/>
    <w:rsid w:val="2E414696"/>
    <w:rsid w:val="2E4F63A5"/>
    <w:rsid w:val="2E591FDB"/>
    <w:rsid w:val="2E5F24EA"/>
    <w:rsid w:val="30C2254E"/>
    <w:rsid w:val="30D046EB"/>
    <w:rsid w:val="313734F8"/>
    <w:rsid w:val="31832E75"/>
    <w:rsid w:val="3195140C"/>
    <w:rsid w:val="31F908B4"/>
    <w:rsid w:val="327A26FE"/>
    <w:rsid w:val="32F8638C"/>
    <w:rsid w:val="343C2722"/>
    <w:rsid w:val="348D76B3"/>
    <w:rsid w:val="35994580"/>
    <w:rsid w:val="35E17350"/>
    <w:rsid w:val="35FF2156"/>
    <w:rsid w:val="360405FC"/>
    <w:rsid w:val="3643670E"/>
    <w:rsid w:val="366E4751"/>
    <w:rsid w:val="36A54F92"/>
    <w:rsid w:val="37025D58"/>
    <w:rsid w:val="370774AD"/>
    <w:rsid w:val="371D7D53"/>
    <w:rsid w:val="375440B4"/>
    <w:rsid w:val="376B7F8B"/>
    <w:rsid w:val="381B1946"/>
    <w:rsid w:val="38396703"/>
    <w:rsid w:val="38C215E0"/>
    <w:rsid w:val="38CC622C"/>
    <w:rsid w:val="38D83976"/>
    <w:rsid w:val="391D6734"/>
    <w:rsid w:val="395B1785"/>
    <w:rsid w:val="398462E7"/>
    <w:rsid w:val="3A7845FC"/>
    <w:rsid w:val="3A8118D2"/>
    <w:rsid w:val="3B3F1BED"/>
    <w:rsid w:val="3B6D671B"/>
    <w:rsid w:val="3B9057F0"/>
    <w:rsid w:val="3BB03DD9"/>
    <w:rsid w:val="3C0108F5"/>
    <w:rsid w:val="3C0B6004"/>
    <w:rsid w:val="3C3E75D6"/>
    <w:rsid w:val="3CC937FA"/>
    <w:rsid w:val="3CF0293C"/>
    <w:rsid w:val="3D165BDF"/>
    <w:rsid w:val="3D3D711F"/>
    <w:rsid w:val="3DA833E2"/>
    <w:rsid w:val="3DE541D5"/>
    <w:rsid w:val="3E074F1F"/>
    <w:rsid w:val="3E282555"/>
    <w:rsid w:val="3E5166F3"/>
    <w:rsid w:val="3E740F54"/>
    <w:rsid w:val="3E851C92"/>
    <w:rsid w:val="3ED75244"/>
    <w:rsid w:val="40403C64"/>
    <w:rsid w:val="4121061C"/>
    <w:rsid w:val="42F42FA2"/>
    <w:rsid w:val="43740B1C"/>
    <w:rsid w:val="46F36DA0"/>
    <w:rsid w:val="470F1A40"/>
    <w:rsid w:val="473B3601"/>
    <w:rsid w:val="48D94DD8"/>
    <w:rsid w:val="49051CC4"/>
    <w:rsid w:val="49610290"/>
    <w:rsid w:val="4A415D2F"/>
    <w:rsid w:val="4A4F2044"/>
    <w:rsid w:val="4A7E1BD3"/>
    <w:rsid w:val="4AAF27BD"/>
    <w:rsid w:val="4B4705A8"/>
    <w:rsid w:val="4BE01751"/>
    <w:rsid w:val="4BFB2DD7"/>
    <w:rsid w:val="4C2740F6"/>
    <w:rsid w:val="4C946B2A"/>
    <w:rsid w:val="4C97250C"/>
    <w:rsid w:val="4CD834C3"/>
    <w:rsid w:val="4CDE2AD2"/>
    <w:rsid w:val="4DC0067A"/>
    <w:rsid w:val="4E320EB8"/>
    <w:rsid w:val="4E812CDB"/>
    <w:rsid w:val="4F1231F5"/>
    <w:rsid w:val="506E5B35"/>
    <w:rsid w:val="50A17192"/>
    <w:rsid w:val="50C432FA"/>
    <w:rsid w:val="50EF373E"/>
    <w:rsid w:val="511C36B9"/>
    <w:rsid w:val="51E73935"/>
    <w:rsid w:val="521B46CE"/>
    <w:rsid w:val="528746C5"/>
    <w:rsid w:val="52BB0E80"/>
    <w:rsid w:val="534F7755"/>
    <w:rsid w:val="53A846D4"/>
    <w:rsid w:val="53C25748"/>
    <w:rsid w:val="53EA0CAA"/>
    <w:rsid w:val="542268B5"/>
    <w:rsid w:val="54434881"/>
    <w:rsid w:val="54AB3C58"/>
    <w:rsid w:val="54C32FB5"/>
    <w:rsid w:val="54D57811"/>
    <w:rsid w:val="5534695D"/>
    <w:rsid w:val="559176BF"/>
    <w:rsid w:val="563A0C44"/>
    <w:rsid w:val="5745395F"/>
    <w:rsid w:val="57976D25"/>
    <w:rsid w:val="57A40682"/>
    <w:rsid w:val="5858105A"/>
    <w:rsid w:val="58615B91"/>
    <w:rsid w:val="587535CA"/>
    <w:rsid w:val="587C5656"/>
    <w:rsid w:val="588C5F2F"/>
    <w:rsid w:val="58E84452"/>
    <w:rsid w:val="5A5C1E19"/>
    <w:rsid w:val="5A8460C5"/>
    <w:rsid w:val="5AAD2CE0"/>
    <w:rsid w:val="5B2175E4"/>
    <w:rsid w:val="5C376650"/>
    <w:rsid w:val="5D9E5BBA"/>
    <w:rsid w:val="5DA730E4"/>
    <w:rsid w:val="5DD63763"/>
    <w:rsid w:val="5DEF0460"/>
    <w:rsid w:val="5DFF1BEB"/>
    <w:rsid w:val="5E43509C"/>
    <w:rsid w:val="5EEB2157"/>
    <w:rsid w:val="5F02430B"/>
    <w:rsid w:val="5F0F7504"/>
    <w:rsid w:val="5F6B5B0B"/>
    <w:rsid w:val="5F87057A"/>
    <w:rsid w:val="5FAF440D"/>
    <w:rsid w:val="5FC17F16"/>
    <w:rsid w:val="5FC6267F"/>
    <w:rsid w:val="603322D9"/>
    <w:rsid w:val="61597DFD"/>
    <w:rsid w:val="618B1E00"/>
    <w:rsid w:val="62205885"/>
    <w:rsid w:val="623D13EA"/>
    <w:rsid w:val="63111A3E"/>
    <w:rsid w:val="64573C86"/>
    <w:rsid w:val="646C0022"/>
    <w:rsid w:val="64A913E6"/>
    <w:rsid w:val="65303A44"/>
    <w:rsid w:val="65535135"/>
    <w:rsid w:val="65C7133C"/>
    <w:rsid w:val="66514C6C"/>
    <w:rsid w:val="66C06D6D"/>
    <w:rsid w:val="6769673B"/>
    <w:rsid w:val="67CC6215"/>
    <w:rsid w:val="67F56373"/>
    <w:rsid w:val="67FD1AB8"/>
    <w:rsid w:val="68CF25BE"/>
    <w:rsid w:val="69642A5F"/>
    <w:rsid w:val="698A1918"/>
    <w:rsid w:val="6A7D1B74"/>
    <w:rsid w:val="6B013A6A"/>
    <w:rsid w:val="6B4F0661"/>
    <w:rsid w:val="6C5A17EE"/>
    <w:rsid w:val="6CE02708"/>
    <w:rsid w:val="6D1628C5"/>
    <w:rsid w:val="6DA45032"/>
    <w:rsid w:val="6DC56614"/>
    <w:rsid w:val="6E2B34C4"/>
    <w:rsid w:val="6E34225B"/>
    <w:rsid w:val="6E877FAE"/>
    <w:rsid w:val="6EE25D3A"/>
    <w:rsid w:val="6EE86220"/>
    <w:rsid w:val="6F396939"/>
    <w:rsid w:val="6FC37BAE"/>
    <w:rsid w:val="701C1DC5"/>
    <w:rsid w:val="70CA4A75"/>
    <w:rsid w:val="71954437"/>
    <w:rsid w:val="719B56EF"/>
    <w:rsid w:val="722C5153"/>
    <w:rsid w:val="72A96D3F"/>
    <w:rsid w:val="72AB3117"/>
    <w:rsid w:val="72B6170D"/>
    <w:rsid w:val="731A26C7"/>
    <w:rsid w:val="73361474"/>
    <w:rsid w:val="73616AEF"/>
    <w:rsid w:val="73C05431"/>
    <w:rsid w:val="75F53B5C"/>
    <w:rsid w:val="7815002C"/>
    <w:rsid w:val="7833678A"/>
    <w:rsid w:val="78A41B79"/>
    <w:rsid w:val="78C96A89"/>
    <w:rsid w:val="78D36762"/>
    <w:rsid w:val="791512D9"/>
    <w:rsid w:val="797C574D"/>
    <w:rsid w:val="7A366F71"/>
    <w:rsid w:val="7AA314D5"/>
    <w:rsid w:val="7AC86EEC"/>
    <w:rsid w:val="7B5A14C4"/>
    <w:rsid w:val="7BAE263C"/>
    <w:rsid w:val="7BEA6F4F"/>
    <w:rsid w:val="7BFF013D"/>
    <w:rsid w:val="7CBC20B9"/>
    <w:rsid w:val="7CD74C0B"/>
    <w:rsid w:val="7E0E2CDC"/>
    <w:rsid w:val="7E760EB0"/>
    <w:rsid w:val="7E8248EF"/>
    <w:rsid w:val="7ED82917"/>
    <w:rsid w:val="7EF77135"/>
    <w:rsid w:val="7F5409EE"/>
    <w:rsid w:val="7F8F4FA6"/>
    <w:rsid w:val="7FE75842"/>
    <w:rsid w:val="DCF71516"/>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99" w:semiHidden="0" w:name="heading 3"/>
    <w:lsdException w:qFormat="1" w:unhideWhenUsed="0" w:uiPriority="99" w:semiHidden="0" w:name="heading 4"/>
    <w:lsdException w:qFormat="1" w:unhideWhenUsed="0" w:uiPriority="99" w:semiHidden="0" w:name="heading 5"/>
    <w:lsdException w:qFormat="1" w:unhideWhenUsed="0" w:uiPriority="99" w:semiHidden="0" w:name="heading 6"/>
    <w:lsdException w:qFormat="1" w:unhideWhenUsed="0" w:uiPriority="99" w:semiHidden="0" w:name="heading 7"/>
    <w:lsdException w:qFormat="1" w:unhideWhenUsed="0" w:uiPriority="99" w:semiHidden="0" w:name="heading 8"/>
    <w:lsdException w:qFormat="1" w:unhideWhenUsed="0" w:uiPriority="99" w:semiHidden="0" w:name="heading 9"/>
    <w:lsdException w:uiPriority="99" w:name="index 1" w:locked="1"/>
    <w:lsdException w:uiPriority="99" w:name="index 2" w:locked="1"/>
    <w:lsdException w:uiPriority="99" w:name="index 3" w:locked="1"/>
    <w:lsdException w:uiPriority="99" w:name="index 4" w:locked="1"/>
    <w:lsdException w:uiPriority="99" w:name="index 5" w:locked="1"/>
    <w:lsdException w:uiPriority="99" w:name="index 6" w:locked="1"/>
    <w:lsdException w:uiPriority="99" w:name="index 7" w:locked="1"/>
    <w:lsdException w:uiPriority="99" w:name="index 8" w:locked="1"/>
    <w:lsdException w:uiPriority="99" w:name="index 9" w:locked="1"/>
    <w:lsdException w:qFormat="1" w:unhideWhenUsed="0" w:uiPriority="39" w:semiHidden="0" w:name="toc 1"/>
    <w:lsdException w:qFormat="1" w:unhideWhenUsed="0" w:uiPriority="39" w:semiHidden="0" w:name="toc 2"/>
    <w:lsdException w:uiPriority="39" w:name="toc 3" w:locked="1"/>
    <w:lsdException w:uiPriority="39" w:name="toc 4" w:locked="1"/>
    <w:lsdException w:uiPriority="39" w:name="toc 5" w:locked="1"/>
    <w:lsdException w:uiPriority="39" w:name="toc 6" w:locked="1"/>
    <w:lsdException w:uiPriority="39" w:name="toc 7" w:locked="1"/>
    <w:lsdException w:uiPriority="39" w:name="toc 8" w:locked="1"/>
    <w:lsdException w:uiPriority="39" w:name="toc 9" w:locked="1"/>
    <w:lsdException w:uiPriority="99" w:name="Normal Indent" w:locked="1"/>
    <w:lsdException w:qFormat="1" w:unhideWhenUsed="0" w:uiPriority="99"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uiPriority="99" w:name="index heading" w:locked="1"/>
    <w:lsdException w:qFormat="1" w:uiPriority="35" w:name="caption" w:locked="1"/>
    <w:lsdException w:uiPriority="99" w:name="table of figures" w:locked="1"/>
    <w:lsdException w:uiPriority="99" w:name="envelope address" w:locked="1"/>
    <w:lsdException w:uiPriority="99" w:name="envelope return" w:locked="1"/>
    <w:lsdException w:uiPriority="99" w:name="footnote reference" w:locked="1"/>
    <w:lsdException w:qFormat="1" w:unhideWhenUsed="0" w:uiPriority="99" w:semiHidden="0" w:name="annotation reference"/>
    <w:lsdException w:uiPriority="99" w:name="line number" w:locked="1"/>
    <w:lsdException w:qFormat="1" w:unhideWhenUsed="0" w:uiPriority="99" w:semiHidden="0" w:name="page number"/>
    <w:lsdException w:uiPriority="99" w:name="endnote reference" w:locked="1"/>
    <w:lsdException w:uiPriority="99" w:name="endnote text" w:locked="1"/>
    <w:lsdException w:uiPriority="99" w:name="table of authorities" w:locked="1"/>
    <w:lsdException w:uiPriority="99" w:name="macro" w:locked="1"/>
    <w:lsdException w:uiPriority="99" w:name="toa heading" w:locked="1"/>
    <w:lsdException w:uiPriority="99" w:name="List" w:locked="1"/>
    <w:lsdException w:uiPriority="99" w:name="List Bullet" w:locked="1"/>
    <w:lsdException w:uiPriority="99" w:name="List Number" w:locked="1"/>
    <w:lsdException w:qFormat="1" w:unhideWhenUsed="0" w:uiPriority="99" w:semiHidden="0" w:name="List 2"/>
    <w:lsdException w:uiPriority="99" w:name="List 3" w:locked="1"/>
    <w:lsdException w:uiPriority="99" w:name="List 4" w:locked="1"/>
    <w:lsdException w:uiPriority="99" w:name="List 5" w:locked="1"/>
    <w:lsdException w:uiPriority="99" w:name="List Bullet 2" w:locked="1"/>
    <w:lsdException w:uiPriority="99" w:name="List Bullet 3" w:locked="1"/>
    <w:lsdException w:uiPriority="99" w:name="List Bullet 4" w:locked="1"/>
    <w:lsdException w:uiPriority="99" w:name="List Bullet 5" w:locked="1"/>
    <w:lsdException w:uiPriority="99" w:name="List Number 2" w:locked="1"/>
    <w:lsdException w:uiPriority="99" w:name="List Number 3" w:locked="1"/>
    <w:lsdException w:uiPriority="99" w:name="List Number 4" w:locked="1"/>
    <w:lsdException w:uiPriority="99" w:name="List Number 5" w:locked="1"/>
    <w:lsdException w:qFormat="1" w:unhideWhenUsed="0" w:uiPriority="99" w:semiHidden="0" w:name="Title"/>
    <w:lsdException w:uiPriority="99" w:name="Closing" w:locked="1"/>
    <w:lsdException w:uiPriority="99" w:name="Signature" w:locked="1"/>
    <w:lsdException w:qFormat="1" w:uiPriority="1" w:name="Default Paragraph Font"/>
    <w:lsdException w:qFormat="1" w:unhideWhenUsed="0" w:uiPriority="99" w:semiHidden="0" w:name="Body Text"/>
    <w:lsdException w:qFormat="1" w:unhideWhenUsed="0" w:uiPriority="99" w:semiHidden="0" w:name="Body Text Indent"/>
    <w:lsdException w:uiPriority="99" w:name="List Continue" w:locked="1"/>
    <w:lsdException w:uiPriority="99" w:name="List Continue 2" w:locked="1"/>
    <w:lsdException w:uiPriority="99" w:name="List Continue 3" w:locked="1"/>
    <w:lsdException w:uiPriority="99" w:name="List Continue 4" w:locked="1"/>
    <w:lsdException w:uiPriority="99" w:name="List Continue 5" w:locked="1"/>
    <w:lsdException w:uiPriority="99" w:name="Message Header" w:locked="1"/>
    <w:lsdException w:qFormat="1" w:unhideWhenUsed="0" w:uiPriority="11" w:semiHidden="0" w:name="Subtitle"/>
    <w:lsdException w:uiPriority="99" w:name="Salutation" w:locked="1"/>
    <w:lsdException w:qFormat="1" w:unhideWhenUsed="0" w:uiPriority="99" w:semiHidden="0" w:name="Date"/>
    <w:lsdException w:uiPriority="99" w:name="Body Text First Indent" w:locked="1"/>
    <w:lsdException w:uiPriority="99" w:name="Body Text First Indent 2" w:locked="1"/>
    <w:lsdException w:uiPriority="99" w:name="Note Heading" w:locked="1"/>
    <w:lsdException w:qFormat="1" w:unhideWhenUsed="0" w:uiPriority="99" w:semiHidden="0" w:name="Body Text 2"/>
    <w:lsdException w:qFormat="1" w:unhideWhenUsed="0" w:uiPriority="99" w:semiHidden="0" w:name="Body Text 3"/>
    <w:lsdException w:qFormat="1" w:unhideWhenUsed="0" w:uiPriority="99" w:semiHidden="0" w:name="Body Text Indent 2"/>
    <w:lsdException w:uiPriority="99" w:name="Body Text Indent 3" w:locked="1"/>
    <w:lsdException w:qFormat="1" w:unhideWhenUsed="0" w:uiPriority="0" w:semiHidden="0" w:name="Block Text" w:locked="1"/>
    <w:lsdException w:qFormat="1" w:unhideWhenUsed="0" w:uiPriority="99" w:semiHidden="0" w:name="Hyperlink"/>
    <w:lsdException w:qFormat="1" w:unhideWhenUsed="0" w:uiPriority="99" w:semiHidden="0" w:name="FollowedHyperlink"/>
    <w:lsdException w:qFormat="1" w:unhideWhenUsed="0" w:uiPriority="22" w:semiHidden="0" w:name="Strong" w:locked="1"/>
    <w:lsdException w:qFormat="1" w:unhideWhenUsed="0" w:uiPriority="20" w:semiHidden="0" w:name="Emphasis" w:locked="1"/>
    <w:lsdException w:qFormat="1" w:unhideWhenUsed="0" w:uiPriority="99" w:name="Document Map"/>
    <w:lsdException w:qFormat="1" w:unhideWhenUsed="0" w:uiPriority="99" w:semiHidden="0" w:name="Plain Text"/>
    <w:lsdException w:uiPriority="99" w:name="E-mail Signature" w:locked="1"/>
    <w:lsdException w:qFormat="1" w:unhideWhenUsed="0" w:uiPriority="99" w:semiHidden="0" w:name="Normal (Web)"/>
    <w:lsdException w:uiPriority="99" w:name="HTML Acronym" w:locked="1"/>
    <w:lsdException w:qFormat="1" w:unhideWhenUsed="0" w:uiPriority="99" w:semiHidden="0" w:name="HTML Address"/>
    <w:lsdException w:uiPriority="99" w:name="HTML Cite" w:locked="1"/>
    <w:lsdException w:qFormat="1" w:unhideWhenUsed="0" w:uiPriority="99" w:semiHidden="0" w:name="HTML Code"/>
    <w:lsdException w:uiPriority="99" w:name="HTML Definition" w:locked="1"/>
    <w:lsdException w:qFormat="1" w:unhideWhenUsed="0" w:uiPriority="99" w:semiHidden="0" w:name="HTML Keyboard"/>
    <w:lsdException w:qFormat="1" w:unhideWhenUsed="0" w:uiPriority="99" w:semiHidden="0" w:name="HTML Preformatted"/>
    <w:lsdException w:qFormat="1" w:unhideWhenUsed="0" w:uiPriority="99" w:semiHidden="0" w:name="HTML Sample"/>
    <w:lsdException w:qFormat="1" w:unhideWhenUsed="0" w:uiPriority="99" w:semiHidden="0" w:name="HTML Typewriter"/>
    <w:lsdException w:uiPriority="99" w:name="HTML Variable" w:locked="1"/>
    <w:lsdException w:qFormat="1" w:uiPriority="99" w:name="Normal Table"/>
    <w:lsdException w:qFormat="1" w:unhideWhenUsed="0" w:uiPriority="99" w:semiHidden="0" w:name="annotation subject"/>
    <w:lsdException w:uiPriority="99" w:name="Table Simple 1" w:locked="1"/>
    <w:lsdException w:uiPriority="99" w:name="Table Simple 2" w:locked="1"/>
    <w:lsdException w:uiPriority="99" w:name="Table Simple 3" w:locked="1"/>
    <w:lsdException w:uiPriority="99" w:name="Table Classic 1" w:locked="1"/>
    <w:lsdException w:uiPriority="99" w:name="Table Classic 2" w:locked="1"/>
    <w:lsdException w:uiPriority="99" w:name="Table Classic 3" w:locked="1"/>
    <w:lsdException w:uiPriority="99" w:name="Table Classic 4" w:locked="1"/>
    <w:lsdException w:uiPriority="99" w:name="Table Colorful 1" w:locked="1"/>
    <w:lsdException w:uiPriority="99" w:name="Table Colorful 2" w:locked="1"/>
    <w:lsdException w:uiPriority="99" w:name="Table Colorful 3" w:locked="1"/>
    <w:lsdException w:uiPriority="99" w:name="Table Columns 1" w:locked="1"/>
    <w:lsdException w:uiPriority="99" w:name="Table Columns 2" w:locked="1"/>
    <w:lsdException w:uiPriority="99" w:name="Table Columns 3" w:locked="1"/>
    <w:lsdException w:uiPriority="99" w:name="Table Columns 4" w:locked="1"/>
    <w:lsdException w:uiPriority="99" w:name="Table Columns 5" w:locked="1"/>
    <w:lsdException w:uiPriority="99" w:name="Table Grid 1" w:locked="1"/>
    <w:lsdException w:uiPriority="99" w:name="Table Grid 2" w:locked="1"/>
    <w:lsdException w:uiPriority="99" w:name="Table Grid 3" w:locked="1"/>
    <w:lsdException w:uiPriority="99" w:name="Table Grid 4" w:locked="1"/>
    <w:lsdException w:uiPriority="99" w:name="Table Grid 5" w:locked="1"/>
    <w:lsdException w:uiPriority="99" w:name="Table Grid 6" w:locked="1"/>
    <w:lsdException w:uiPriority="99" w:name="Table Grid 7" w:locked="1"/>
    <w:lsdException w:uiPriority="99" w:name="Table Grid 8" w:locked="1"/>
    <w:lsdException w:uiPriority="99" w:name="Table List 1" w:locked="1"/>
    <w:lsdException w:uiPriority="99" w:name="Table List 2" w:locked="1"/>
    <w:lsdException w:uiPriority="99" w:name="Table List 3" w:locked="1"/>
    <w:lsdException w:uiPriority="99" w:name="Table List 4" w:locked="1"/>
    <w:lsdException w:uiPriority="99" w:name="Table List 5" w:locked="1"/>
    <w:lsdException w:uiPriority="99" w:name="Table List 6" w:locked="1"/>
    <w:lsdException w:uiPriority="99" w:name="Table List 7" w:locked="1"/>
    <w:lsdException w:uiPriority="99" w:name="Table List 8" w:locked="1"/>
    <w:lsdException w:uiPriority="99" w:name="Table 3D effects 1" w:locked="1"/>
    <w:lsdException w:uiPriority="99" w:name="Table 3D effects 2" w:locked="1"/>
    <w:lsdException w:uiPriority="99" w:name="Table 3D effects 3" w:locked="1"/>
    <w:lsdException w:uiPriority="99" w:name="Table Contemporary" w:locked="1"/>
    <w:lsdException w:uiPriority="99" w:name="Table Elegant" w:locked="1"/>
    <w:lsdException w:uiPriority="99" w:name="Table Professional" w:locked="1"/>
    <w:lsdException w:uiPriority="99" w:name="Table Subtle 1" w:locked="1"/>
    <w:lsdException w:uiPriority="99" w:name="Table Subtle 2" w:locked="1"/>
    <w:lsdException w:uiPriority="99" w:name="Table Web 1" w:locked="1"/>
    <w:lsdException w:uiPriority="99" w:name="Table Web 2" w:locked="1"/>
    <w:lsdException w:uiPriority="99" w:name="Table Web 3" w:locked="1"/>
    <w:lsdException w:qFormat="1" w:unhideWhenUsed="0" w:uiPriority="99" w:semiHidden="0" w:name="Balloon Text"/>
    <w:lsdException w:qFormat="1" w:unhideWhenUsed="0" w:uiPriority="39" w:semiHidden="0" w:name="Table Grid"/>
    <w:lsdException w:uiPriority="99"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spacing w:line="360" w:lineRule="atLeast"/>
      <w:jc w:val="both"/>
      <w:textAlignment w:val="baseline"/>
    </w:pPr>
    <w:rPr>
      <w:rFonts w:ascii="Times New Roman" w:hAnsi="Times New Roman" w:eastAsia="宋体" w:cs="Times New Roman"/>
      <w:kern w:val="2"/>
      <w:sz w:val="21"/>
      <w:szCs w:val="24"/>
      <w:lang w:val="en-US" w:eastAsia="zh-CN" w:bidi="ar-SA"/>
    </w:rPr>
  </w:style>
  <w:style w:type="paragraph" w:styleId="3">
    <w:name w:val="heading 1"/>
    <w:basedOn w:val="1"/>
    <w:next w:val="1"/>
    <w:link w:val="46"/>
    <w:qFormat/>
    <w:uiPriority w:val="99"/>
    <w:pPr>
      <w:keepNext/>
      <w:keepLines/>
      <w:spacing w:line="360" w:lineRule="auto"/>
      <w:jc w:val="center"/>
      <w:outlineLvl w:val="0"/>
    </w:pPr>
    <w:rPr>
      <w:b/>
      <w:bCs/>
      <w:kern w:val="44"/>
      <w:sz w:val="32"/>
      <w:szCs w:val="44"/>
    </w:rPr>
  </w:style>
  <w:style w:type="paragraph" w:styleId="4">
    <w:name w:val="heading 2"/>
    <w:basedOn w:val="1"/>
    <w:next w:val="1"/>
    <w:link w:val="47"/>
    <w:qFormat/>
    <w:uiPriority w:val="99"/>
    <w:pPr>
      <w:keepNext/>
      <w:keepLines/>
      <w:spacing w:line="360" w:lineRule="auto"/>
      <w:jc w:val="center"/>
      <w:outlineLvl w:val="1"/>
    </w:pPr>
    <w:rPr>
      <w:rFonts w:ascii="Arial" w:hAnsi="Arial"/>
      <w:b/>
      <w:bCs/>
      <w:sz w:val="30"/>
      <w:szCs w:val="32"/>
    </w:rPr>
  </w:style>
  <w:style w:type="paragraph" w:styleId="5">
    <w:name w:val="heading 3"/>
    <w:basedOn w:val="1"/>
    <w:next w:val="1"/>
    <w:link w:val="48"/>
    <w:qFormat/>
    <w:uiPriority w:val="99"/>
    <w:pPr>
      <w:keepNext/>
      <w:keepLines/>
      <w:spacing w:line="600" w:lineRule="exact"/>
      <w:ind w:firstLine="643" w:firstLineChars="200"/>
      <w:outlineLvl w:val="2"/>
    </w:pPr>
    <w:rPr>
      <w:b/>
      <w:bCs/>
      <w:sz w:val="32"/>
      <w:szCs w:val="32"/>
    </w:rPr>
  </w:style>
  <w:style w:type="paragraph" w:styleId="6">
    <w:name w:val="heading 4"/>
    <w:basedOn w:val="1"/>
    <w:next w:val="1"/>
    <w:link w:val="49"/>
    <w:qFormat/>
    <w:uiPriority w:val="99"/>
    <w:pPr>
      <w:tabs>
        <w:tab w:val="left" w:pos="2155"/>
      </w:tabs>
      <w:spacing w:before="120" w:line="360" w:lineRule="auto"/>
      <w:ind w:left="2155" w:hanging="1078"/>
      <w:outlineLvl w:val="3"/>
    </w:pPr>
    <w:rPr>
      <w:rFonts w:ascii="Arial" w:eastAsia="黑体"/>
      <w:kern w:val="0"/>
      <w:sz w:val="28"/>
      <w:szCs w:val="20"/>
    </w:rPr>
  </w:style>
  <w:style w:type="paragraph" w:styleId="7">
    <w:name w:val="heading 5"/>
    <w:basedOn w:val="1"/>
    <w:next w:val="1"/>
    <w:link w:val="50"/>
    <w:qFormat/>
    <w:uiPriority w:val="99"/>
    <w:pPr>
      <w:keepNext/>
      <w:keepLines/>
      <w:spacing w:before="280" w:after="290" w:line="372" w:lineRule="auto"/>
      <w:outlineLvl w:val="4"/>
    </w:pPr>
    <w:rPr>
      <w:b/>
      <w:bCs/>
      <w:sz w:val="28"/>
      <w:szCs w:val="28"/>
    </w:rPr>
  </w:style>
  <w:style w:type="paragraph" w:styleId="8">
    <w:name w:val="heading 6"/>
    <w:basedOn w:val="1"/>
    <w:next w:val="1"/>
    <w:link w:val="51"/>
    <w:qFormat/>
    <w:uiPriority w:val="99"/>
    <w:pPr>
      <w:keepNext/>
      <w:keepLines/>
      <w:adjustRightInd/>
      <w:spacing w:before="240" w:after="64" w:line="316" w:lineRule="auto"/>
      <w:textAlignment w:val="auto"/>
      <w:outlineLvl w:val="5"/>
    </w:pPr>
    <w:rPr>
      <w:rFonts w:ascii="Arial" w:hAnsi="Arial" w:eastAsia="黑体"/>
      <w:b/>
      <w:bCs/>
      <w:sz w:val="24"/>
    </w:rPr>
  </w:style>
  <w:style w:type="paragraph" w:styleId="9">
    <w:name w:val="heading 7"/>
    <w:basedOn w:val="1"/>
    <w:next w:val="1"/>
    <w:link w:val="52"/>
    <w:qFormat/>
    <w:uiPriority w:val="99"/>
    <w:pPr>
      <w:keepNext/>
      <w:keepLines/>
      <w:adjustRightInd/>
      <w:spacing w:before="240" w:after="64" w:line="316" w:lineRule="auto"/>
      <w:textAlignment w:val="auto"/>
      <w:outlineLvl w:val="6"/>
    </w:pPr>
    <w:rPr>
      <w:b/>
      <w:bCs/>
      <w:sz w:val="24"/>
    </w:rPr>
  </w:style>
  <w:style w:type="paragraph" w:styleId="10">
    <w:name w:val="heading 8"/>
    <w:basedOn w:val="1"/>
    <w:next w:val="1"/>
    <w:link w:val="53"/>
    <w:qFormat/>
    <w:uiPriority w:val="99"/>
    <w:pPr>
      <w:keepNext/>
      <w:keepLines/>
      <w:adjustRightInd/>
      <w:spacing w:before="240" w:after="64" w:line="316" w:lineRule="auto"/>
      <w:textAlignment w:val="auto"/>
      <w:outlineLvl w:val="7"/>
    </w:pPr>
    <w:rPr>
      <w:rFonts w:ascii="Arial" w:hAnsi="Arial" w:eastAsia="黑体"/>
      <w:sz w:val="24"/>
    </w:rPr>
  </w:style>
  <w:style w:type="paragraph" w:styleId="11">
    <w:name w:val="heading 9"/>
    <w:basedOn w:val="1"/>
    <w:next w:val="1"/>
    <w:link w:val="54"/>
    <w:qFormat/>
    <w:uiPriority w:val="99"/>
    <w:pPr>
      <w:keepNext/>
      <w:keepLines/>
      <w:adjustRightInd/>
      <w:spacing w:before="240" w:after="64" w:line="316" w:lineRule="auto"/>
      <w:textAlignment w:val="auto"/>
      <w:outlineLvl w:val="8"/>
    </w:pPr>
    <w:rPr>
      <w:rFonts w:ascii="Arial" w:hAnsi="Arial" w:eastAsia="黑体"/>
      <w:szCs w:val="21"/>
    </w:rPr>
  </w:style>
  <w:style w:type="character" w:default="1" w:styleId="36">
    <w:name w:val="Default Paragraph Font"/>
    <w:semiHidden/>
    <w:unhideWhenUsed/>
    <w:qFormat/>
    <w:uiPriority w:val="1"/>
  </w:style>
  <w:style w:type="table" w:default="1" w:styleId="34">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1"/>
    <w:link w:val="55"/>
    <w:qFormat/>
    <w:uiPriority w:val="99"/>
    <w:rPr>
      <w:rFonts w:ascii="?????" w:hAnsi="Courier New" w:eastAsia="Times New Roman"/>
      <w:b/>
      <w:spacing w:val="-8"/>
      <w:kern w:val="0"/>
      <w:sz w:val="44"/>
      <w:szCs w:val="20"/>
    </w:rPr>
  </w:style>
  <w:style w:type="paragraph" w:styleId="12">
    <w:name w:val="Document Map"/>
    <w:basedOn w:val="1"/>
    <w:link w:val="56"/>
    <w:semiHidden/>
    <w:qFormat/>
    <w:uiPriority w:val="99"/>
    <w:pPr>
      <w:shd w:val="clear" w:color="auto" w:fill="000080"/>
    </w:pPr>
  </w:style>
  <w:style w:type="paragraph" w:styleId="13">
    <w:name w:val="annotation text"/>
    <w:basedOn w:val="1"/>
    <w:link w:val="57"/>
    <w:qFormat/>
    <w:uiPriority w:val="99"/>
    <w:pPr>
      <w:jc w:val="left"/>
    </w:pPr>
  </w:style>
  <w:style w:type="paragraph" w:styleId="14">
    <w:name w:val="Body Text 3"/>
    <w:basedOn w:val="1"/>
    <w:link w:val="58"/>
    <w:qFormat/>
    <w:uiPriority w:val="99"/>
    <w:pPr>
      <w:spacing w:line="500" w:lineRule="exact"/>
    </w:pPr>
    <w:rPr>
      <w:kern w:val="0"/>
      <w:sz w:val="28"/>
      <w:szCs w:val="20"/>
    </w:rPr>
  </w:style>
  <w:style w:type="paragraph" w:styleId="15">
    <w:name w:val="Body Text Indent"/>
    <w:basedOn w:val="1"/>
    <w:link w:val="59"/>
    <w:qFormat/>
    <w:uiPriority w:val="99"/>
    <w:pPr>
      <w:spacing w:line="200" w:lineRule="exact"/>
      <w:ind w:firstLine="301"/>
    </w:pPr>
    <w:rPr>
      <w:rFonts w:ascii="宋体" w:hAnsi="Courier New"/>
      <w:spacing w:val="-4"/>
      <w:sz w:val="18"/>
      <w:szCs w:val="20"/>
    </w:rPr>
  </w:style>
  <w:style w:type="paragraph" w:styleId="16">
    <w:name w:val="List 2"/>
    <w:basedOn w:val="1"/>
    <w:qFormat/>
    <w:uiPriority w:val="99"/>
    <w:pPr>
      <w:ind w:left="100" w:leftChars="200" w:hanging="200" w:hangingChars="200"/>
    </w:pPr>
    <w:rPr>
      <w:sz w:val="28"/>
    </w:rPr>
  </w:style>
  <w:style w:type="paragraph" w:styleId="17">
    <w:name w:val="Block Text"/>
    <w:basedOn w:val="1"/>
    <w:qFormat/>
    <w:locked/>
    <w:uiPriority w:val="0"/>
    <w:pPr>
      <w:spacing w:after="120"/>
      <w:ind w:left="1440" w:leftChars="700" w:right="1440" w:rightChars="700"/>
    </w:pPr>
  </w:style>
  <w:style w:type="paragraph" w:styleId="18">
    <w:name w:val="HTML Address"/>
    <w:basedOn w:val="1"/>
    <w:link w:val="164"/>
    <w:qFormat/>
    <w:uiPriority w:val="99"/>
    <w:pPr>
      <w:adjustRightInd/>
      <w:spacing w:line="240" w:lineRule="auto"/>
      <w:textAlignment w:val="auto"/>
    </w:pPr>
    <w:rPr>
      <w:rFonts w:ascii="宋体" w:hAnsi="宋体"/>
      <w:i/>
      <w:iCs/>
    </w:rPr>
  </w:style>
  <w:style w:type="paragraph" w:styleId="19">
    <w:name w:val="Plain Text"/>
    <w:basedOn w:val="1"/>
    <w:link w:val="61"/>
    <w:qFormat/>
    <w:uiPriority w:val="99"/>
    <w:rPr>
      <w:rFonts w:ascii="宋体" w:hAnsi="Courier New"/>
      <w:szCs w:val="20"/>
    </w:rPr>
  </w:style>
  <w:style w:type="paragraph" w:styleId="20">
    <w:name w:val="Date"/>
    <w:basedOn w:val="1"/>
    <w:next w:val="1"/>
    <w:link w:val="62"/>
    <w:qFormat/>
    <w:uiPriority w:val="99"/>
    <w:pPr>
      <w:ind w:left="100" w:leftChars="2500"/>
    </w:pPr>
  </w:style>
  <w:style w:type="paragraph" w:styleId="21">
    <w:name w:val="Body Text Indent 2"/>
    <w:basedOn w:val="1"/>
    <w:link w:val="63"/>
    <w:qFormat/>
    <w:uiPriority w:val="99"/>
    <w:pPr>
      <w:spacing w:after="120" w:line="480" w:lineRule="auto"/>
      <w:ind w:left="420" w:leftChars="200"/>
    </w:pPr>
  </w:style>
  <w:style w:type="paragraph" w:styleId="22">
    <w:name w:val="Balloon Text"/>
    <w:basedOn w:val="1"/>
    <w:link w:val="64"/>
    <w:qFormat/>
    <w:uiPriority w:val="99"/>
    <w:rPr>
      <w:sz w:val="18"/>
      <w:szCs w:val="18"/>
    </w:rPr>
  </w:style>
  <w:style w:type="paragraph" w:styleId="23">
    <w:name w:val="footer"/>
    <w:basedOn w:val="1"/>
    <w:link w:val="65"/>
    <w:qFormat/>
    <w:uiPriority w:val="99"/>
    <w:pPr>
      <w:tabs>
        <w:tab w:val="center" w:pos="4153"/>
        <w:tab w:val="right" w:pos="8306"/>
      </w:tabs>
      <w:snapToGrid w:val="0"/>
      <w:jc w:val="left"/>
    </w:pPr>
    <w:rPr>
      <w:sz w:val="18"/>
      <w:szCs w:val="18"/>
    </w:rPr>
  </w:style>
  <w:style w:type="paragraph" w:styleId="24">
    <w:name w:val="header"/>
    <w:basedOn w:val="1"/>
    <w:link w:val="66"/>
    <w:qFormat/>
    <w:uiPriority w:val="99"/>
    <w:pPr>
      <w:pBdr>
        <w:bottom w:val="single" w:color="auto" w:sz="6" w:space="1"/>
      </w:pBdr>
      <w:tabs>
        <w:tab w:val="center" w:pos="4153"/>
        <w:tab w:val="right" w:pos="8306"/>
      </w:tabs>
      <w:snapToGrid w:val="0"/>
      <w:jc w:val="center"/>
    </w:pPr>
    <w:rPr>
      <w:sz w:val="18"/>
      <w:szCs w:val="18"/>
    </w:rPr>
  </w:style>
  <w:style w:type="paragraph" w:styleId="25">
    <w:name w:val="toc 1"/>
    <w:basedOn w:val="1"/>
    <w:next w:val="1"/>
    <w:qFormat/>
    <w:uiPriority w:val="39"/>
    <w:pPr>
      <w:spacing w:before="120" w:after="120"/>
      <w:jc w:val="left"/>
    </w:pPr>
    <w:rPr>
      <w:b/>
      <w:bCs/>
      <w:caps/>
      <w:sz w:val="20"/>
      <w:szCs w:val="20"/>
    </w:rPr>
  </w:style>
  <w:style w:type="paragraph" w:styleId="26">
    <w:name w:val="Subtitle"/>
    <w:basedOn w:val="1"/>
    <w:next w:val="1"/>
    <w:link w:val="67"/>
    <w:qFormat/>
    <w:uiPriority w:val="11"/>
    <w:pPr>
      <w:spacing w:before="240" w:after="60" w:line="312" w:lineRule="auto"/>
      <w:jc w:val="center"/>
      <w:outlineLvl w:val="1"/>
    </w:pPr>
    <w:rPr>
      <w:rFonts w:ascii="Cambria" w:hAnsi="Cambria"/>
      <w:b/>
      <w:bCs/>
      <w:kern w:val="28"/>
      <w:sz w:val="32"/>
      <w:szCs w:val="32"/>
    </w:rPr>
  </w:style>
  <w:style w:type="paragraph" w:styleId="27">
    <w:name w:val="footnote text"/>
    <w:basedOn w:val="1"/>
    <w:link w:val="68"/>
    <w:semiHidden/>
    <w:qFormat/>
    <w:uiPriority w:val="99"/>
    <w:pPr>
      <w:snapToGrid w:val="0"/>
      <w:jc w:val="left"/>
    </w:pPr>
    <w:rPr>
      <w:sz w:val="18"/>
      <w:szCs w:val="18"/>
    </w:rPr>
  </w:style>
  <w:style w:type="paragraph" w:styleId="28">
    <w:name w:val="toc 2"/>
    <w:basedOn w:val="1"/>
    <w:next w:val="1"/>
    <w:qFormat/>
    <w:uiPriority w:val="39"/>
    <w:pPr>
      <w:tabs>
        <w:tab w:val="right" w:leader="dot" w:pos="9628"/>
      </w:tabs>
      <w:ind w:left="420" w:firstLine="120"/>
      <w:jc w:val="left"/>
    </w:pPr>
    <w:rPr>
      <w:smallCaps/>
      <w:sz w:val="20"/>
      <w:szCs w:val="20"/>
    </w:rPr>
  </w:style>
  <w:style w:type="paragraph" w:styleId="29">
    <w:name w:val="Body Text 2"/>
    <w:basedOn w:val="1"/>
    <w:link w:val="69"/>
    <w:qFormat/>
    <w:uiPriority w:val="99"/>
    <w:pPr>
      <w:jc w:val="center"/>
    </w:pPr>
    <w:rPr>
      <w:rFonts w:hAnsi="宋体"/>
      <w:kern w:val="0"/>
      <w:sz w:val="20"/>
    </w:rPr>
  </w:style>
  <w:style w:type="paragraph" w:styleId="30">
    <w:name w:val="HTML Preformatted"/>
    <w:basedOn w:val="1"/>
    <w:link w:val="70"/>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kern w:val="0"/>
      <w:sz w:val="24"/>
    </w:rPr>
  </w:style>
  <w:style w:type="paragraph" w:styleId="31">
    <w:name w:val="Normal (Web)"/>
    <w:basedOn w:val="1"/>
    <w:qFormat/>
    <w:uiPriority w:val="99"/>
    <w:pPr>
      <w:widowControl/>
      <w:spacing w:before="100" w:beforeAutospacing="1" w:after="100" w:afterAutospacing="1"/>
      <w:jc w:val="left"/>
    </w:pPr>
    <w:rPr>
      <w:rFonts w:ascii="宋体" w:hAnsi="宋体" w:cs="宋体"/>
      <w:kern w:val="0"/>
      <w:sz w:val="24"/>
    </w:rPr>
  </w:style>
  <w:style w:type="paragraph" w:styleId="32">
    <w:name w:val="Title"/>
    <w:basedOn w:val="1"/>
    <w:link w:val="187"/>
    <w:qFormat/>
    <w:uiPriority w:val="99"/>
    <w:pPr>
      <w:adjustRightInd/>
      <w:spacing w:before="240" w:after="60" w:line="240" w:lineRule="auto"/>
      <w:jc w:val="center"/>
      <w:textAlignment w:val="auto"/>
      <w:outlineLvl w:val="0"/>
    </w:pPr>
    <w:rPr>
      <w:rFonts w:ascii="Arial" w:hAnsi="Arial" w:cs="Arial"/>
      <w:b/>
      <w:bCs/>
      <w:sz w:val="32"/>
      <w:szCs w:val="32"/>
    </w:rPr>
  </w:style>
  <w:style w:type="paragraph" w:styleId="33">
    <w:name w:val="annotation subject"/>
    <w:basedOn w:val="13"/>
    <w:next w:val="13"/>
    <w:link w:val="72"/>
    <w:qFormat/>
    <w:uiPriority w:val="99"/>
  </w:style>
  <w:style w:type="table" w:styleId="35">
    <w:name w:val="Table Grid"/>
    <w:basedOn w:val="34"/>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7">
    <w:name w:val="page number"/>
    <w:basedOn w:val="36"/>
    <w:qFormat/>
    <w:uiPriority w:val="99"/>
    <w:rPr>
      <w:rFonts w:cs="Times New Roman"/>
    </w:rPr>
  </w:style>
  <w:style w:type="character" w:styleId="38">
    <w:name w:val="FollowedHyperlink"/>
    <w:basedOn w:val="36"/>
    <w:qFormat/>
    <w:uiPriority w:val="99"/>
    <w:rPr>
      <w:rFonts w:cs="Times New Roman"/>
      <w:color w:val="800080"/>
      <w:u w:val="single"/>
    </w:rPr>
  </w:style>
  <w:style w:type="character" w:styleId="39">
    <w:name w:val="HTML Typewriter"/>
    <w:basedOn w:val="36"/>
    <w:qFormat/>
    <w:uiPriority w:val="99"/>
    <w:rPr>
      <w:rFonts w:ascii="Courier New" w:hAnsi="Courier New" w:cs="Times New Roman"/>
      <w:sz w:val="24"/>
      <w:szCs w:val="24"/>
    </w:rPr>
  </w:style>
  <w:style w:type="character" w:styleId="40">
    <w:name w:val="Hyperlink"/>
    <w:basedOn w:val="36"/>
    <w:qFormat/>
    <w:uiPriority w:val="99"/>
    <w:rPr>
      <w:rFonts w:cs="Times New Roman"/>
      <w:color w:val="0000FF"/>
      <w:u w:val="single"/>
    </w:rPr>
  </w:style>
  <w:style w:type="character" w:styleId="41">
    <w:name w:val="HTML Code"/>
    <w:basedOn w:val="36"/>
    <w:qFormat/>
    <w:uiPriority w:val="99"/>
    <w:rPr>
      <w:rFonts w:ascii="Courier New" w:hAnsi="Courier New" w:cs="Times New Roman"/>
      <w:sz w:val="24"/>
      <w:szCs w:val="24"/>
    </w:rPr>
  </w:style>
  <w:style w:type="character" w:styleId="42">
    <w:name w:val="annotation reference"/>
    <w:basedOn w:val="36"/>
    <w:qFormat/>
    <w:uiPriority w:val="99"/>
    <w:rPr>
      <w:rFonts w:cs="Times New Roman"/>
      <w:sz w:val="21"/>
    </w:rPr>
  </w:style>
  <w:style w:type="character" w:styleId="43">
    <w:name w:val="HTML Keyboard"/>
    <w:basedOn w:val="36"/>
    <w:qFormat/>
    <w:uiPriority w:val="99"/>
    <w:rPr>
      <w:rFonts w:ascii="Courier New" w:hAnsi="Courier New" w:cs="Times New Roman"/>
      <w:sz w:val="24"/>
      <w:szCs w:val="24"/>
    </w:rPr>
  </w:style>
  <w:style w:type="character" w:styleId="44">
    <w:name w:val="HTML Sample"/>
    <w:basedOn w:val="36"/>
    <w:qFormat/>
    <w:uiPriority w:val="99"/>
    <w:rPr>
      <w:rFonts w:ascii="Courier New" w:hAnsi="Courier New" w:cs="Times New Roman"/>
    </w:rPr>
  </w:style>
  <w:style w:type="paragraph" w:customStyle="1" w:styleId="45">
    <w:name w:val="Default"/>
    <w:qFormat/>
    <w:uiPriority w:val="99"/>
    <w:pPr>
      <w:widowControl w:val="0"/>
      <w:autoSpaceDE w:val="0"/>
      <w:autoSpaceDN w:val="0"/>
      <w:adjustRightInd w:val="0"/>
      <w:spacing w:line="360" w:lineRule="exact"/>
      <w:jc w:val="center"/>
    </w:pPr>
    <w:rPr>
      <w:rFonts w:ascii="宋体" w:hAnsi="宋体" w:eastAsia="宋体" w:cs="宋体"/>
      <w:color w:val="000000"/>
      <w:sz w:val="24"/>
      <w:szCs w:val="24"/>
      <w:lang w:val="en-US" w:eastAsia="zh-CN" w:bidi="ar-SA"/>
    </w:rPr>
  </w:style>
  <w:style w:type="character" w:customStyle="1" w:styleId="46">
    <w:name w:val="标题 1 Char"/>
    <w:basedOn w:val="36"/>
    <w:link w:val="3"/>
    <w:qFormat/>
    <w:locked/>
    <w:uiPriority w:val="99"/>
    <w:rPr>
      <w:b/>
      <w:bCs/>
      <w:kern w:val="44"/>
      <w:sz w:val="32"/>
      <w:szCs w:val="44"/>
    </w:rPr>
  </w:style>
  <w:style w:type="character" w:customStyle="1" w:styleId="47">
    <w:name w:val="标题 2 Char"/>
    <w:basedOn w:val="36"/>
    <w:link w:val="4"/>
    <w:qFormat/>
    <w:locked/>
    <w:uiPriority w:val="99"/>
    <w:rPr>
      <w:rFonts w:ascii="Arial" w:hAnsi="Arial"/>
      <w:b/>
      <w:bCs/>
      <w:kern w:val="2"/>
      <w:sz w:val="30"/>
      <w:szCs w:val="32"/>
    </w:rPr>
  </w:style>
  <w:style w:type="character" w:customStyle="1" w:styleId="48">
    <w:name w:val="标题 3 Char"/>
    <w:basedOn w:val="36"/>
    <w:link w:val="5"/>
    <w:qFormat/>
    <w:locked/>
    <w:uiPriority w:val="99"/>
    <w:rPr>
      <w:rFonts w:eastAsia="宋体"/>
      <w:b/>
      <w:kern w:val="2"/>
      <w:sz w:val="32"/>
      <w:lang w:val="en-US" w:eastAsia="zh-CN"/>
    </w:rPr>
  </w:style>
  <w:style w:type="character" w:customStyle="1" w:styleId="49">
    <w:name w:val="标题 4 Char"/>
    <w:basedOn w:val="36"/>
    <w:link w:val="6"/>
    <w:qFormat/>
    <w:locked/>
    <w:uiPriority w:val="99"/>
    <w:rPr>
      <w:rFonts w:ascii="Arial" w:eastAsia="黑体"/>
      <w:sz w:val="28"/>
      <w:lang w:val="en-US" w:eastAsia="zh-CN"/>
    </w:rPr>
  </w:style>
  <w:style w:type="character" w:customStyle="1" w:styleId="50">
    <w:name w:val="标题 5 Char"/>
    <w:basedOn w:val="36"/>
    <w:link w:val="7"/>
    <w:qFormat/>
    <w:locked/>
    <w:uiPriority w:val="99"/>
    <w:rPr>
      <w:rFonts w:eastAsia="宋体"/>
      <w:b/>
      <w:kern w:val="2"/>
      <w:sz w:val="28"/>
      <w:lang w:val="en-US" w:eastAsia="zh-CN"/>
    </w:rPr>
  </w:style>
  <w:style w:type="character" w:customStyle="1" w:styleId="51">
    <w:name w:val="标题 6 Char"/>
    <w:basedOn w:val="36"/>
    <w:link w:val="8"/>
    <w:qFormat/>
    <w:locked/>
    <w:uiPriority w:val="99"/>
    <w:rPr>
      <w:rFonts w:ascii="Arial" w:hAnsi="Arial" w:eastAsia="黑体" w:cs="Times New Roman"/>
      <w:b/>
      <w:bCs/>
      <w:kern w:val="2"/>
      <w:sz w:val="24"/>
      <w:szCs w:val="24"/>
    </w:rPr>
  </w:style>
  <w:style w:type="character" w:customStyle="1" w:styleId="52">
    <w:name w:val="标题 7 Char"/>
    <w:basedOn w:val="36"/>
    <w:link w:val="9"/>
    <w:qFormat/>
    <w:locked/>
    <w:uiPriority w:val="99"/>
    <w:rPr>
      <w:rFonts w:cs="Times New Roman"/>
      <w:b/>
      <w:bCs/>
      <w:kern w:val="2"/>
      <w:sz w:val="24"/>
      <w:szCs w:val="24"/>
    </w:rPr>
  </w:style>
  <w:style w:type="character" w:customStyle="1" w:styleId="53">
    <w:name w:val="标题 8 Char"/>
    <w:basedOn w:val="36"/>
    <w:link w:val="10"/>
    <w:qFormat/>
    <w:locked/>
    <w:uiPriority w:val="99"/>
    <w:rPr>
      <w:rFonts w:ascii="Arial" w:hAnsi="Arial" w:eastAsia="黑体" w:cs="Times New Roman"/>
      <w:kern w:val="2"/>
      <w:sz w:val="24"/>
      <w:szCs w:val="24"/>
    </w:rPr>
  </w:style>
  <w:style w:type="character" w:customStyle="1" w:styleId="54">
    <w:name w:val="标题 9 Char"/>
    <w:basedOn w:val="36"/>
    <w:link w:val="11"/>
    <w:qFormat/>
    <w:locked/>
    <w:uiPriority w:val="99"/>
    <w:rPr>
      <w:rFonts w:ascii="Arial" w:hAnsi="Arial" w:eastAsia="黑体" w:cs="Times New Roman"/>
      <w:kern w:val="2"/>
      <w:sz w:val="21"/>
      <w:szCs w:val="21"/>
    </w:rPr>
  </w:style>
  <w:style w:type="character" w:customStyle="1" w:styleId="55">
    <w:name w:val="正文文本 Char"/>
    <w:basedOn w:val="36"/>
    <w:link w:val="2"/>
    <w:qFormat/>
    <w:locked/>
    <w:uiPriority w:val="99"/>
    <w:rPr>
      <w:rFonts w:ascii="?????" w:hAnsi="Courier New" w:eastAsia="Times New Roman"/>
      <w:b/>
      <w:spacing w:val="-8"/>
      <w:sz w:val="44"/>
    </w:rPr>
  </w:style>
  <w:style w:type="character" w:customStyle="1" w:styleId="56">
    <w:name w:val="文档结构图 Char"/>
    <w:basedOn w:val="36"/>
    <w:link w:val="12"/>
    <w:semiHidden/>
    <w:qFormat/>
    <w:locked/>
    <w:uiPriority w:val="99"/>
    <w:rPr>
      <w:rFonts w:cs="Times New Roman"/>
      <w:kern w:val="2"/>
      <w:sz w:val="24"/>
      <w:szCs w:val="24"/>
      <w:shd w:val="clear" w:color="auto" w:fill="000080"/>
    </w:rPr>
  </w:style>
  <w:style w:type="character" w:customStyle="1" w:styleId="57">
    <w:name w:val="批注文字 Char"/>
    <w:basedOn w:val="36"/>
    <w:link w:val="13"/>
    <w:qFormat/>
    <w:locked/>
    <w:uiPriority w:val="99"/>
    <w:rPr>
      <w:kern w:val="2"/>
      <w:sz w:val="24"/>
    </w:rPr>
  </w:style>
  <w:style w:type="character" w:customStyle="1" w:styleId="58">
    <w:name w:val="正文文本 3 Char"/>
    <w:basedOn w:val="36"/>
    <w:link w:val="14"/>
    <w:qFormat/>
    <w:locked/>
    <w:uiPriority w:val="99"/>
    <w:rPr>
      <w:rFonts w:eastAsia="Times New Roman"/>
      <w:sz w:val="28"/>
    </w:rPr>
  </w:style>
  <w:style w:type="character" w:customStyle="1" w:styleId="59">
    <w:name w:val="正文文本缩进 Char"/>
    <w:basedOn w:val="36"/>
    <w:link w:val="15"/>
    <w:qFormat/>
    <w:locked/>
    <w:uiPriority w:val="99"/>
    <w:rPr>
      <w:rFonts w:ascii="宋体" w:hAnsi="Courier New"/>
      <w:spacing w:val="-4"/>
      <w:kern w:val="2"/>
      <w:sz w:val="18"/>
    </w:rPr>
  </w:style>
  <w:style w:type="character" w:customStyle="1" w:styleId="60">
    <w:name w:val="HTML Address Char"/>
    <w:basedOn w:val="36"/>
    <w:qFormat/>
    <w:locked/>
    <w:uiPriority w:val="99"/>
    <w:rPr>
      <w:rFonts w:ascii="宋体" w:eastAsia="宋体" w:cs="Times New Roman"/>
      <w:i/>
      <w:iCs/>
      <w:kern w:val="2"/>
      <w:sz w:val="24"/>
      <w:szCs w:val="24"/>
    </w:rPr>
  </w:style>
  <w:style w:type="character" w:customStyle="1" w:styleId="61">
    <w:name w:val="纯文本 Char"/>
    <w:basedOn w:val="36"/>
    <w:link w:val="19"/>
    <w:qFormat/>
    <w:locked/>
    <w:uiPriority w:val="99"/>
    <w:rPr>
      <w:rFonts w:ascii="宋体" w:hAnsi="Courier New" w:eastAsia="宋体"/>
      <w:kern w:val="2"/>
      <w:sz w:val="21"/>
      <w:lang w:val="en-US" w:eastAsia="zh-CN"/>
    </w:rPr>
  </w:style>
  <w:style w:type="character" w:customStyle="1" w:styleId="62">
    <w:name w:val="日期 Char"/>
    <w:basedOn w:val="36"/>
    <w:link w:val="20"/>
    <w:qFormat/>
    <w:locked/>
    <w:uiPriority w:val="99"/>
    <w:rPr>
      <w:rFonts w:eastAsia="宋体"/>
      <w:kern w:val="2"/>
      <w:sz w:val="24"/>
      <w:lang w:val="en-US" w:eastAsia="zh-CN"/>
    </w:rPr>
  </w:style>
  <w:style w:type="character" w:customStyle="1" w:styleId="63">
    <w:name w:val="正文文本缩进 2 Char"/>
    <w:basedOn w:val="36"/>
    <w:link w:val="21"/>
    <w:qFormat/>
    <w:locked/>
    <w:uiPriority w:val="99"/>
    <w:rPr>
      <w:rFonts w:eastAsia="宋体"/>
      <w:kern w:val="2"/>
      <w:sz w:val="24"/>
      <w:lang w:val="en-US" w:eastAsia="zh-CN"/>
    </w:rPr>
  </w:style>
  <w:style w:type="character" w:customStyle="1" w:styleId="64">
    <w:name w:val="批注框文本 Char"/>
    <w:basedOn w:val="36"/>
    <w:link w:val="22"/>
    <w:qFormat/>
    <w:locked/>
    <w:uiPriority w:val="99"/>
    <w:rPr>
      <w:rFonts w:cs="Times New Roman"/>
      <w:kern w:val="2"/>
      <w:sz w:val="18"/>
      <w:szCs w:val="18"/>
    </w:rPr>
  </w:style>
  <w:style w:type="character" w:customStyle="1" w:styleId="65">
    <w:name w:val="页脚 Char"/>
    <w:basedOn w:val="36"/>
    <w:link w:val="23"/>
    <w:qFormat/>
    <w:locked/>
    <w:uiPriority w:val="99"/>
    <w:rPr>
      <w:rFonts w:eastAsia="宋体"/>
      <w:kern w:val="2"/>
      <w:sz w:val="18"/>
      <w:lang w:val="en-US" w:eastAsia="zh-CN"/>
    </w:rPr>
  </w:style>
  <w:style w:type="character" w:customStyle="1" w:styleId="66">
    <w:name w:val="页眉 Char"/>
    <w:basedOn w:val="36"/>
    <w:link w:val="24"/>
    <w:qFormat/>
    <w:locked/>
    <w:uiPriority w:val="99"/>
    <w:rPr>
      <w:rFonts w:eastAsia="宋体"/>
      <w:kern w:val="2"/>
      <w:sz w:val="18"/>
      <w:lang w:val="en-US" w:eastAsia="zh-CN"/>
    </w:rPr>
  </w:style>
  <w:style w:type="character" w:customStyle="1" w:styleId="67">
    <w:name w:val="副标题 Char"/>
    <w:basedOn w:val="36"/>
    <w:link w:val="26"/>
    <w:qFormat/>
    <w:locked/>
    <w:uiPriority w:val="11"/>
    <w:rPr>
      <w:rFonts w:ascii="Cambria" w:hAnsi="Cambria" w:eastAsia="宋体"/>
      <w:b/>
      <w:kern w:val="28"/>
      <w:sz w:val="32"/>
      <w:lang w:val="en-US" w:eastAsia="zh-CN"/>
    </w:rPr>
  </w:style>
  <w:style w:type="character" w:customStyle="1" w:styleId="68">
    <w:name w:val="脚注文本 Char"/>
    <w:basedOn w:val="36"/>
    <w:link w:val="27"/>
    <w:semiHidden/>
    <w:qFormat/>
    <w:locked/>
    <w:uiPriority w:val="99"/>
    <w:rPr>
      <w:rFonts w:cs="Times New Roman"/>
      <w:kern w:val="2"/>
      <w:sz w:val="18"/>
      <w:szCs w:val="18"/>
    </w:rPr>
  </w:style>
  <w:style w:type="character" w:customStyle="1" w:styleId="69">
    <w:name w:val="正文文本 2 Char"/>
    <w:basedOn w:val="36"/>
    <w:link w:val="29"/>
    <w:qFormat/>
    <w:locked/>
    <w:uiPriority w:val="99"/>
    <w:rPr>
      <w:rFonts w:hAnsi="宋体" w:eastAsia="宋体"/>
      <w:sz w:val="24"/>
    </w:rPr>
  </w:style>
  <w:style w:type="character" w:customStyle="1" w:styleId="70">
    <w:name w:val="HTML 预设格式 Char"/>
    <w:basedOn w:val="36"/>
    <w:link w:val="30"/>
    <w:qFormat/>
    <w:locked/>
    <w:uiPriority w:val="99"/>
    <w:rPr>
      <w:rFonts w:ascii="宋体" w:hAnsi="宋体" w:eastAsia="宋体"/>
      <w:sz w:val="24"/>
    </w:rPr>
  </w:style>
  <w:style w:type="character" w:customStyle="1" w:styleId="71">
    <w:name w:val="Title Char"/>
    <w:basedOn w:val="36"/>
    <w:qFormat/>
    <w:locked/>
    <w:uiPriority w:val="99"/>
    <w:rPr>
      <w:rFonts w:ascii="Arial" w:hAnsi="Arial" w:cs="Arial"/>
      <w:b/>
      <w:bCs/>
      <w:kern w:val="2"/>
      <w:sz w:val="32"/>
      <w:szCs w:val="32"/>
    </w:rPr>
  </w:style>
  <w:style w:type="character" w:customStyle="1" w:styleId="72">
    <w:name w:val="批注主题 Char"/>
    <w:basedOn w:val="57"/>
    <w:link w:val="33"/>
    <w:qFormat/>
    <w:locked/>
    <w:uiPriority w:val="99"/>
    <w:rPr>
      <w:rFonts w:cs="Times New Roman"/>
      <w:kern w:val="2"/>
      <w:sz w:val="24"/>
      <w:szCs w:val="24"/>
    </w:rPr>
  </w:style>
  <w:style w:type="paragraph" w:customStyle="1" w:styleId="73">
    <w:name w:val="封面标准代替信息"/>
    <w:basedOn w:val="74"/>
    <w:qFormat/>
    <w:uiPriority w:val="99"/>
    <w:pPr>
      <w:spacing w:before="57"/>
    </w:pPr>
    <w:rPr>
      <w:rFonts w:ascii="宋体"/>
      <w:sz w:val="21"/>
    </w:rPr>
  </w:style>
  <w:style w:type="paragraph" w:customStyle="1" w:styleId="74">
    <w:name w:val="封面标准号2"/>
    <w:basedOn w:val="75"/>
    <w:qFormat/>
    <w:uiPriority w:val="99"/>
    <w:pPr>
      <w:framePr w:w="9138" w:h="1244" w:wrap="around" w:vAnchor="page" w:hAnchor="margin" w:y="2908" w:anchorLock="1"/>
      <w:adjustRightInd w:val="0"/>
      <w:spacing w:before="357" w:line="280" w:lineRule="exact"/>
    </w:pPr>
  </w:style>
  <w:style w:type="paragraph" w:customStyle="1" w:styleId="75">
    <w:name w:val="封面标准号1"/>
    <w:qFormat/>
    <w:uiPriority w:val="99"/>
    <w:pPr>
      <w:widowControl w:val="0"/>
      <w:kinsoku w:val="0"/>
      <w:overflowPunct w:val="0"/>
      <w:autoSpaceDE w:val="0"/>
      <w:autoSpaceDN w:val="0"/>
      <w:spacing w:before="308"/>
      <w:jc w:val="right"/>
    </w:pPr>
    <w:rPr>
      <w:rFonts w:ascii="Times New Roman" w:hAnsi="Times New Roman" w:eastAsia="宋体" w:cs="Times New Roman"/>
      <w:sz w:val="28"/>
      <w:lang w:val="en-US" w:eastAsia="zh-CN" w:bidi="ar-SA"/>
    </w:rPr>
  </w:style>
  <w:style w:type="paragraph" w:customStyle="1" w:styleId="76">
    <w:name w:val="附录三级条标题"/>
    <w:basedOn w:val="77"/>
    <w:next w:val="80"/>
    <w:qFormat/>
    <w:uiPriority w:val="99"/>
    <w:pPr>
      <w:numPr>
        <w:ilvl w:val="4"/>
      </w:numPr>
      <w:tabs>
        <w:tab w:val="left" w:pos="1260"/>
      </w:tabs>
      <w:outlineLvl w:val="4"/>
    </w:pPr>
  </w:style>
  <w:style w:type="paragraph" w:customStyle="1" w:styleId="77">
    <w:name w:val="附录二级条标题"/>
    <w:basedOn w:val="78"/>
    <w:next w:val="80"/>
    <w:qFormat/>
    <w:uiPriority w:val="99"/>
    <w:pPr>
      <w:numPr>
        <w:ilvl w:val="3"/>
      </w:numPr>
      <w:tabs>
        <w:tab w:val="left" w:pos="1260"/>
      </w:tabs>
      <w:autoSpaceDN w:val="0"/>
      <w:spacing w:beforeLines="0"/>
      <w:outlineLvl w:val="3"/>
    </w:pPr>
  </w:style>
  <w:style w:type="paragraph" w:customStyle="1" w:styleId="78">
    <w:name w:val="附录一级条标题"/>
    <w:basedOn w:val="79"/>
    <w:next w:val="80"/>
    <w:qFormat/>
    <w:uiPriority w:val="99"/>
    <w:pPr>
      <w:tabs>
        <w:tab w:val="left" w:pos="1260"/>
      </w:tabs>
    </w:pPr>
  </w:style>
  <w:style w:type="paragraph" w:customStyle="1" w:styleId="79">
    <w:name w:val="附录章标题"/>
    <w:next w:val="80"/>
    <w:qFormat/>
    <w:uiPriority w:val="99"/>
    <w:pPr>
      <w:numPr>
        <w:ilvl w:val="1"/>
        <w:numId w:val="1"/>
      </w:numPr>
      <w:wordWrap w:val="0"/>
      <w:overflowPunct w:val="0"/>
      <w:autoSpaceDE w:val="0"/>
      <w:spacing w:beforeLines="50"/>
      <w:jc w:val="both"/>
      <w:outlineLvl w:val="1"/>
    </w:pPr>
    <w:rPr>
      <w:rFonts w:ascii="黑体" w:hAnsi="Times New Roman" w:eastAsia="黑体" w:cs="Times New Roman"/>
      <w:kern w:val="21"/>
      <w:sz w:val="21"/>
      <w:lang w:val="en-US" w:eastAsia="zh-CN" w:bidi="ar-SA"/>
    </w:rPr>
  </w:style>
  <w:style w:type="paragraph" w:customStyle="1" w:styleId="80">
    <w:name w:val="段"/>
    <w:qFormat/>
    <w:uiPriority w:val="99"/>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81">
    <w:name w:val="封面标准文稿类别"/>
    <w:qFormat/>
    <w:uiPriority w:val="99"/>
    <w:pPr>
      <w:spacing w:before="440" w:line="400" w:lineRule="exact"/>
      <w:jc w:val="center"/>
    </w:pPr>
    <w:rPr>
      <w:rFonts w:ascii="宋体" w:hAnsi="Times New Roman" w:eastAsia="宋体" w:cs="Times New Roman"/>
      <w:sz w:val="24"/>
      <w:lang w:val="en-US" w:eastAsia="zh-CN" w:bidi="ar-SA"/>
    </w:rPr>
  </w:style>
  <w:style w:type="paragraph" w:customStyle="1" w:styleId="82">
    <w:name w:val="Formatvorlage layout_standard + 10 pt Zentriert"/>
    <w:basedOn w:val="83"/>
    <w:qFormat/>
    <w:uiPriority w:val="99"/>
    <w:pPr>
      <w:jc w:val="center"/>
    </w:pPr>
    <w:rPr>
      <w:bCs/>
      <w:sz w:val="22"/>
    </w:rPr>
  </w:style>
  <w:style w:type="paragraph" w:customStyle="1" w:styleId="83">
    <w:name w:val="layout_standard"/>
    <w:basedOn w:val="27"/>
    <w:qFormat/>
    <w:uiPriority w:val="99"/>
    <w:pPr>
      <w:widowControl/>
      <w:snapToGrid/>
    </w:pPr>
    <w:rPr>
      <w:rFonts w:ascii="Arial" w:hAnsi="Arial"/>
      <w:b/>
      <w:kern w:val="0"/>
      <w:sz w:val="36"/>
      <w:szCs w:val="20"/>
      <w:lang w:val="en-GB" w:eastAsia="de-DE"/>
    </w:rPr>
  </w:style>
  <w:style w:type="paragraph" w:customStyle="1" w:styleId="84">
    <w:name w:val="封面标准名称"/>
    <w:qFormat/>
    <w:uiPriority w:val="99"/>
    <w:pPr>
      <w:framePr w:w="9638" w:h="6917" w:wrap="around" w:vAnchor="margin" w:hAnchor="margin" w:xAlign="center" w:y="5955" w:anchorLock="1"/>
      <w:widowControl w:val="0"/>
      <w:spacing w:line="680" w:lineRule="exact"/>
      <w:jc w:val="center"/>
    </w:pPr>
    <w:rPr>
      <w:rFonts w:ascii="黑体" w:hAnsi="Times New Roman" w:eastAsia="黑体" w:cs="Times New Roman"/>
      <w:sz w:val="52"/>
      <w:lang w:val="en-US" w:eastAsia="zh-CN" w:bidi="ar-SA"/>
    </w:rPr>
  </w:style>
  <w:style w:type="paragraph" w:customStyle="1" w:styleId="85">
    <w:name w:val="p0"/>
    <w:basedOn w:val="1"/>
    <w:qFormat/>
    <w:uiPriority w:val="99"/>
    <w:pPr>
      <w:widowControl/>
    </w:pPr>
    <w:rPr>
      <w:kern w:val="0"/>
      <w:szCs w:val="21"/>
    </w:rPr>
  </w:style>
  <w:style w:type="paragraph" w:customStyle="1" w:styleId="86">
    <w:name w:val="四级条标题"/>
    <w:basedOn w:val="87"/>
    <w:next w:val="80"/>
    <w:qFormat/>
    <w:uiPriority w:val="99"/>
    <w:pPr>
      <w:numPr>
        <w:ilvl w:val="5"/>
      </w:numPr>
      <w:tabs>
        <w:tab w:val="left" w:pos="1980"/>
      </w:tabs>
      <w:outlineLvl w:val="5"/>
    </w:pPr>
  </w:style>
  <w:style w:type="paragraph" w:customStyle="1" w:styleId="87">
    <w:name w:val="三级条标题"/>
    <w:basedOn w:val="88"/>
    <w:next w:val="80"/>
    <w:qFormat/>
    <w:uiPriority w:val="99"/>
    <w:pPr>
      <w:numPr>
        <w:ilvl w:val="4"/>
      </w:numPr>
      <w:tabs>
        <w:tab w:val="left" w:pos="1980"/>
      </w:tabs>
      <w:outlineLvl w:val="4"/>
    </w:pPr>
  </w:style>
  <w:style w:type="paragraph" w:customStyle="1" w:styleId="88">
    <w:name w:val="二级条标题"/>
    <w:basedOn w:val="89"/>
    <w:next w:val="80"/>
    <w:qFormat/>
    <w:uiPriority w:val="99"/>
    <w:pPr>
      <w:numPr>
        <w:ilvl w:val="3"/>
      </w:numPr>
      <w:tabs>
        <w:tab w:val="left" w:pos="1980"/>
      </w:tabs>
      <w:outlineLvl w:val="3"/>
    </w:pPr>
  </w:style>
  <w:style w:type="paragraph" w:customStyle="1" w:styleId="89">
    <w:name w:val="一级条标题"/>
    <w:basedOn w:val="90"/>
    <w:next w:val="80"/>
    <w:qFormat/>
    <w:uiPriority w:val="99"/>
    <w:pPr>
      <w:numPr>
        <w:ilvl w:val="2"/>
      </w:numPr>
      <w:tabs>
        <w:tab w:val="left" w:pos="1980"/>
      </w:tabs>
      <w:spacing w:beforeLines="0"/>
      <w:outlineLvl w:val="2"/>
    </w:pPr>
  </w:style>
  <w:style w:type="paragraph" w:customStyle="1" w:styleId="90">
    <w:name w:val="章标题"/>
    <w:next w:val="80"/>
    <w:qFormat/>
    <w:uiPriority w:val="99"/>
    <w:pPr>
      <w:numPr>
        <w:ilvl w:val="1"/>
        <w:numId w:val="2"/>
      </w:numPr>
      <w:spacing w:beforeLines="50"/>
      <w:jc w:val="both"/>
      <w:outlineLvl w:val="1"/>
    </w:pPr>
    <w:rPr>
      <w:rFonts w:ascii="黑体" w:hAnsi="Times New Roman" w:eastAsia="黑体" w:cs="Times New Roman"/>
      <w:sz w:val="21"/>
      <w:lang w:val="en-US" w:eastAsia="zh-CN" w:bidi="ar-SA"/>
    </w:rPr>
  </w:style>
  <w:style w:type="paragraph" w:customStyle="1" w:styleId="91">
    <w:name w:val="Char Char Char1 Char Char Char Char Char Char Char"/>
    <w:basedOn w:val="1"/>
    <w:qFormat/>
    <w:uiPriority w:val="99"/>
    <w:pPr>
      <w:adjustRightInd/>
      <w:spacing w:line="240" w:lineRule="auto"/>
      <w:textAlignment w:val="auto"/>
    </w:pPr>
  </w:style>
  <w:style w:type="paragraph" w:customStyle="1" w:styleId="92">
    <w:name w:val="前言、引言标题"/>
    <w:next w:val="1"/>
    <w:qFormat/>
    <w:uiPriority w:val="99"/>
    <w:pPr>
      <w:numPr>
        <w:ilvl w:val="0"/>
        <w:numId w:val="2"/>
      </w:numPr>
      <w:shd w:val="clear" w:color="auto" w:fill="FFFFFF"/>
      <w:spacing w:before="640" w:after="560"/>
      <w:jc w:val="center"/>
      <w:outlineLvl w:val="0"/>
    </w:pPr>
    <w:rPr>
      <w:rFonts w:ascii="黑体" w:hAnsi="Times New Roman" w:eastAsia="黑体" w:cs="Times New Roman"/>
      <w:sz w:val="32"/>
      <w:lang w:val="en-US" w:eastAsia="zh-CN" w:bidi="ar-SA"/>
    </w:rPr>
  </w:style>
  <w:style w:type="paragraph" w:customStyle="1" w:styleId="93">
    <w:name w:val="无标题条"/>
    <w:next w:val="80"/>
    <w:qFormat/>
    <w:uiPriority w:val="99"/>
    <w:pPr>
      <w:jc w:val="both"/>
    </w:pPr>
    <w:rPr>
      <w:rFonts w:ascii="Times New Roman" w:hAnsi="Times New Roman" w:eastAsia="宋体" w:cs="Times New Roman"/>
      <w:sz w:val="21"/>
      <w:lang w:val="en-US" w:eastAsia="zh-CN" w:bidi="ar-SA"/>
    </w:rPr>
  </w:style>
  <w:style w:type="paragraph" w:customStyle="1" w:styleId="94">
    <w:name w:val="附录四级条标题"/>
    <w:basedOn w:val="76"/>
    <w:next w:val="80"/>
    <w:qFormat/>
    <w:uiPriority w:val="99"/>
    <w:pPr>
      <w:numPr>
        <w:ilvl w:val="5"/>
      </w:numPr>
      <w:outlineLvl w:val="5"/>
    </w:pPr>
  </w:style>
  <w:style w:type="paragraph" w:customStyle="1" w:styleId="95">
    <w:name w:val="Char"/>
    <w:basedOn w:val="1"/>
    <w:qFormat/>
    <w:uiPriority w:val="99"/>
    <w:pPr>
      <w:adjustRightInd/>
      <w:spacing w:line="240" w:lineRule="auto"/>
      <w:textAlignment w:val="auto"/>
    </w:pPr>
    <w:rPr>
      <w:rFonts w:ascii="Tahoma" w:hAnsi="Tahoma"/>
      <w:sz w:val="24"/>
      <w:szCs w:val="20"/>
    </w:rPr>
  </w:style>
  <w:style w:type="paragraph" w:customStyle="1" w:styleId="96">
    <w:name w:val="列项——"/>
    <w:qFormat/>
    <w:uiPriority w:val="99"/>
    <w:pPr>
      <w:widowControl w:val="0"/>
      <w:numPr>
        <w:ilvl w:val="0"/>
        <w:numId w:val="3"/>
      </w:numPr>
      <w:tabs>
        <w:tab w:val="left" w:pos="854"/>
        <w:tab w:val="left" w:pos="1140"/>
      </w:tabs>
      <w:ind w:left="200" w:leftChars="200" w:hanging="200" w:hangingChars="200"/>
      <w:jc w:val="both"/>
    </w:pPr>
    <w:rPr>
      <w:rFonts w:ascii="宋体" w:hAnsi="Times New Roman" w:eastAsia="宋体" w:cs="Times New Roman"/>
      <w:sz w:val="21"/>
      <w:lang w:val="en-US" w:eastAsia="zh-CN" w:bidi="ar-SA"/>
    </w:rPr>
  </w:style>
  <w:style w:type="paragraph" w:customStyle="1" w:styleId="97">
    <w:name w:val="标准书脚_偶数页"/>
    <w:qFormat/>
    <w:uiPriority w:val="99"/>
    <w:pPr>
      <w:spacing w:before="120"/>
    </w:pPr>
    <w:rPr>
      <w:rFonts w:ascii="Times New Roman" w:hAnsi="Times New Roman" w:eastAsia="宋体" w:cs="Times New Roman"/>
      <w:sz w:val="18"/>
      <w:lang w:val="en-US" w:eastAsia="zh-CN" w:bidi="ar-SA"/>
    </w:rPr>
  </w:style>
  <w:style w:type="paragraph" w:customStyle="1" w:styleId="98">
    <w:name w:val="五级无标题条"/>
    <w:basedOn w:val="1"/>
    <w:qFormat/>
    <w:uiPriority w:val="99"/>
    <w:pPr>
      <w:tabs>
        <w:tab w:val="left" w:pos="360"/>
      </w:tabs>
      <w:adjustRightInd/>
      <w:spacing w:line="240" w:lineRule="auto"/>
      <w:ind w:left="360" w:hanging="360"/>
      <w:textAlignment w:val="auto"/>
    </w:pPr>
  </w:style>
  <w:style w:type="paragraph" w:customStyle="1" w:styleId="99">
    <w:name w:val="样式 标题 1 + 居中 段前: 0 磅 段后: 0 磅 行距: 固定值 30 磅"/>
    <w:basedOn w:val="3"/>
    <w:qFormat/>
    <w:uiPriority w:val="99"/>
    <w:pPr>
      <w:spacing w:line="600" w:lineRule="exact"/>
    </w:pPr>
    <w:rPr>
      <w:rFonts w:cs="宋体"/>
      <w:szCs w:val="20"/>
    </w:rPr>
  </w:style>
  <w:style w:type="paragraph" w:customStyle="1" w:styleId="100">
    <w:name w:val="四级无标题条"/>
    <w:basedOn w:val="1"/>
    <w:qFormat/>
    <w:uiPriority w:val="99"/>
    <w:pPr>
      <w:tabs>
        <w:tab w:val="left" w:pos="360"/>
      </w:tabs>
      <w:adjustRightInd/>
      <w:spacing w:line="240" w:lineRule="auto"/>
      <w:ind w:left="360" w:hanging="360"/>
      <w:textAlignment w:val="auto"/>
    </w:pPr>
  </w:style>
  <w:style w:type="paragraph" w:customStyle="1" w:styleId="101">
    <w:name w:val="标准书眉一"/>
    <w:qFormat/>
    <w:uiPriority w:val="99"/>
    <w:pPr>
      <w:jc w:val="both"/>
    </w:pPr>
    <w:rPr>
      <w:rFonts w:ascii="Times New Roman" w:hAnsi="Times New Roman" w:eastAsia="宋体" w:cs="Times New Roman"/>
      <w:lang w:val="en-US" w:eastAsia="zh-CN" w:bidi="ar-SA"/>
    </w:rPr>
  </w:style>
  <w:style w:type="paragraph" w:customStyle="1" w:styleId="102">
    <w:name w:val="正文表标题"/>
    <w:next w:val="80"/>
    <w:qFormat/>
    <w:uiPriority w:val="99"/>
    <w:pPr>
      <w:numPr>
        <w:ilvl w:val="0"/>
        <w:numId w:val="4"/>
      </w:numPr>
      <w:jc w:val="center"/>
    </w:pPr>
    <w:rPr>
      <w:rFonts w:ascii="黑体" w:hAnsi="Times New Roman" w:eastAsia="黑体" w:cs="Times New Roman"/>
      <w:sz w:val="21"/>
      <w:lang w:val="en-US" w:eastAsia="zh-CN" w:bidi="ar-SA"/>
    </w:rPr>
  </w:style>
  <w:style w:type="paragraph" w:customStyle="1" w:styleId="103">
    <w:name w:val="标准书眉_偶数页"/>
    <w:basedOn w:val="104"/>
    <w:next w:val="1"/>
    <w:qFormat/>
    <w:uiPriority w:val="99"/>
    <w:pPr>
      <w:tabs>
        <w:tab w:val="center" w:pos="4154"/>
        <w:tab w:val="right" w:pos="8306"/>
      </w:tabs>
      <w:jc w:val="left"/>
    </w:pPr>
  </w:style>
  <w:style w:type="paragraph" w:customStyle="1" w:styleId="104">
    <w:name w:val="标准书眉_奇数页"/>
    <w:next w:val="1"/>
    <w:qFormat/>
    <w:uiPriority w:val="99"/>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105">
    <w:name w:val="font5"/>
    <w:basedOn w:val="1"/>
    <w:qFormat/>
    <w:uiPriority w:val="99"/>
    <w:pPr>
      <w:widowControl/>
      <w:numPr>
        <w:ilvl w:val="0"/>
        <w:numId w:val="5"/>
      </w:numPr>
      <w:spacing w:before="100" w:beforeAutospacing="1" w:after="100" w:afterAutospacing="1"/>
      <w:jc w:val="left"/>
    </w:pPr>
    <w:rPr>
      <w:rFonts w:ascii="宋体" w:hAnsi="宋体" w:cs="Arial Unicode MS"/>
      <w:kern w:val="0"/>
      <w:sz w:val="20"/>
      <w:szCs w:val="20"/>
    </w:rPr>
  </w:style>
  <w:style w:type="paragraph" w:customStyle="1" w:styleId="106">
    <w:name w:val="发布部门"/>
    <w:next w:val="80"/>
    <w:qFormat/>
    <w:uiPriority w:val="99"/>
    <w:pPr>
      <w:framePr w:w="7433" w:h="585" w:hSpace="180" w:vSpace="180" w:wrap="around" w:vAnchor="margin" w:hAnchor="margin" w:xAlign="center" w:y="14401" w:anchorLock="1"/>
      <w:jc w:val="center"/>
    </w:pPr>
    <w:rPr>
      <w:rFonts w:ascii="宋体" w:hAnsi="Times New Roman" w:eastAsia="宋体" w:cs="Times New Roman"/>
      <w:b/>
      <w:spacing w:val="20"/>
      <w:w w:val="135"/>
      <w:sz w:val="36"/>
      <w:lang w:val="en-US" w:eastAsia="zh-CN" w:bidi="ar-SA"/>
    </w:rPr>
  </w:style>
  <w:style w:type="paragraph" w:customStyle="1" w:styleId="107">
    <w:name w:val="附录五级条标题"/>
    <w:basedOn w:val="94"/>
    <w:next w:val="80"/>
    <w:qFormat/>
    <w:uiPriority w:val="99"/>
  </w:style>
  <w:style w:type="paragraph" w:customStyle="1" w:styleId="108">
    <w:name w:val="正文段"/>
    <w:basedOn w:val="1"/>
    <w:qFormat/>
    <w:uiPriority w:val="99"/>
    <w:pPr>
      <w:widowControl/>
      <w:snapToGrid w:val="0"/>
      <w:spacing w:afterLines="50"/>
      <w:ind w:firstLine="200" w:firstLineChars="200"/>
    </w:pPr>
    <w:rPr>
      <w:kern w:val="0"/>
      <w:sz w:val="24"/>
      <w:szCs w:val="20"/>
    </w:rPr>
  </w:style>
  <w:style w:type="paragraph" w:customStyle="1" w:styleId="109">
    <w:name w:val="其他标准称谓"/>
    <w:qFormat/>
    <w:uiPriority w:val="99"/>
    <w:pPr>
      <w:spacing w:line="240" w:lineRule="atLeast"/>
      <w:jc w:val="distribute"/>
    </w:pPr>
    <w:rPr>
      <w:rFonts w:ascii="黑体" w:hAnsi="宋体" w:eastAsia="黑体" w:cs="Times New Roman"/>
      <w:sz w:val="52"/>
      <w:lang w:val="en-US" w:eastAsia="zh-CN" w:bidi="ar-SA"/>
    </w:rPr>
  </w:style>
  <w:style w:type="paragraph" w:customStyle="1" w:styleId="110">
    <w:name w:val="bb"/>
    <w:basedOn w:val="1"/>
    <w:qFormat/>
    <w:uiPriority w:val="99"/>
    <w:pPr>
      <w:widowControl/>
      <w:spacing w:before="100" w:beforeAutospacing="1" w:after="100" w:afterAutospacing="1"/>
      <w:jc w:val="left"/>
    </w:pPr>
    <w:rPr>
      <w:rFonts w:ascii="宋体" w:hAnsi="宋体"/>
      <w:kern w:val="0"/>
      <w:sz w:val="24"/>
    </w:rPr>
  </w:style>
  <w:style w:type="paragraph" w:customStyle="1" w:styleId="111">
    <w:name w:val="样式 标题 2 + 非加粗 首行缩进:  2 字符"/>
    <w:basedOn w:val="4"/>
    <w:qFormat/>
    <w:uiPriority w:val="99"/>
    <w:pPr>
      <w:spacing w:line="600" w:lineRule="exact"/>
      <w:ind w:firstLine="640" w:firstLineChars="200"/>
      <w:jc w:val="left"/>
    </w:pPr>
    <w:rPr>
      <w:rFonts w:cs="宋体"/>
      <w:b w:val="0"/>
      <w:bCs w:val="0"/>
      <w:szCs w:val="20"/>
    </w:rPr>
  </w:style>
  <w:style w:type="paragraph" w:customStyle="1" w:styleId="112">
    <w:name w:val="附录表标题"/>
    <w:next w:val="80"/>
    <w:qFormat/>
    <w:uiPriority w:val="99"/>
    <w:pPr>
      <w:jc w:val="center"/>
    </w:pPr>
    <w:rPr>
      <w:rFonts w:ascii="黑体" w:hAnsi="Times New Roman" w:eastAsia="黑体" w:cs="Times New Roman"/>
      <w:kern w:val="21"/>
      <w:sz w:val="21"/>
      <w:lang w:val="en-US" w:eastAsia="zh-CN" w:bidi="ar-SA"/>
    </w:rPr>
  </w:style>
  <w:style w:type="paragraph" w:customStyle="1" w:styleId="113">
    <w:name w:val="注："/>
    <w:next w:val="80"/>
    <w:qFormat/>
    <w:uiPriority w:val="99"/>
    <w:pPr>
      <w:widowControl w:val="0"/>
      <w:numPr>
        <w:ilvl w:val="0"/>
        <w:numId w:val="6"/>
      </w:numPr>
      <w:autoSpaceDE w:val="0"/>
      <w:autoSpaceDN w:val="0"/>
      <w:jc w:val="both"/>
    </w:pPr>
    <w:rPr>
      <w:rFonts w:ascii="宋体" w:hAnsi="Times New Roman" w:eastAsia="宋体" w:cs="Times New Roman"/>
      <w:sz w:val="18"/>
      <w:lang w:val="en-US" w:eastAsia="zh-CN" w:bidi="ar-SA"/>
    </w:rPr>
  </w:style>
  <w:style w:type="paragraph" w:customStyle="1" w:styleId="114">
    <w:name w:val="实施日期"/>
    <w:basedOn w:val="115"/>
    <w:qFormat/>
    <w:uiPriority w:val="99"/>
    <w:pPr>
      <w:framePr w:hSpace="0" w:xAlign="right"/>
      <w:jc w:val="right"/>
    </w:pPr>
  </w:style>
  <w:style w:type="paragraph" w:customStyle="1" w:styleId="115">
    <w:name w:val="发布日期"/>
    <w:qFormat/>
    <w:uiPriority w:val="99"/>
    <w:pPr>
      <w:framePr w:w="4000" w:h="473" w:hSpace="180" w:vSpace="180" w:wrap="around" w:vAnchor="margin" w:hAnchor="margin" w:y="13511" w:anchorLock="1"/>
    </w:pPr>
    <w:rPr>
      <w:rFonts w:ascii="Times New Roman" w:hAnsi="Times New Roman" w:eastAsia="黑体" w:cs="Times New Roman"/>
      <w:sz w:val="28"/>
      <w:lang w:val="en-US" w:eastAsia="zh-CN" w:bidi="ar-SA"/>
    </w:rPr>
  </w:style>
  <w:style w:type="paragraph" w:customStyle="1" w:styleId="116">
    <w:name w:val="_Style 86"/>
    <w:semiHidden/>
    <w:qFormat/>
    <w:uiPriority w:val="99"/>
    <w:rPr>
      <w:rFonts w:ascii="Times New Roman" w:hAnsi="Times New Roman" w:eastAsia="宋体" w:cs="Times New Roman"/>
      <w:kern w:val="2"/>
      <w:sz w:val="21"/>
      <w:szCs w:val="24"/>
      <w:lang w:val="en-US" w:eastAsia="zh-CN" w:bidi="ar-SA"/>
    </w:rPr>
  </w:style>
  <w:style w:type="paragraph" w:customStyle="1" w:styleId="117">
    <w:name w:val="Char Char Char Char Char Char Char Char Char Char Char Char"/>
    <w:basedOn w:val="1"/>
    <w:qFormat/>
    <w:uiPriority w:val="99"/>
    <w:pPr>
      <w:widowControl/>
      <w:spacing w:after="160" w:line="240" w:lineRule="exact"/>
      <w:jc w:val="left"/>
    </w:pPr>
  </w:style>
  <w:style w:type="paragraph" w:customStyle="1" w:styleId="118">
    <w:name w:val="附录标识"/>
    <w:basedOn w:val="92"/>
    <w:qFormat/>
    <w:uiPriority w:val="99"/>
    <w:pPr>
      <w:numPr>
        <w:ilvl w:val="0"/>
        <w:numId w:val="1"/>
      </w:numPr>
      <w:tabs>
        <w:tab w:val="left" w:pos="6405"/>
      </w:tabs>
      <w:spacing w:after="200"/>
    </w:pPr>
    <w:rPr>
      <w:sz w:val="21"/>
    </w:rPr>
  </w:style>
  <w:style w:type="paragraph" w:customStyle="1" w:styleId="119">
    <w:name w:val="标准书脚_奇数页"/>
    <w:qFormat/>
    <w:uiPriority w:val="99"/>
    <w:pPr>
      <w:spacing w:before="120"/>
      <w:jc w:val="right"/>
    </w:pPr>
    <w:rPr>
      <w:rFonts w:ascii="Times New Roman" w:hAnsi="Times New Roman" w:eastAsia="宋体" w:cs="Times New Roman"/>
      <w:sz w:val="18"/>
      <w:lang w:val="en-US" w:eastAsia="zh-CN" w:bidi="ar-SA"/>
    </w:rPr>
  </w:style>
  <w:style w:type="paragraph" w:customStyle="1" w:styleId="120">
    <w:name w:val="封面正文"/>
    <w:qFormat/>
    <w:uiPriority w:val="99"/>
    <w:pPr>
      <w:jc w:val="both"/>
    </w:pPr>
    <w:rPr>
      <w:rFonts w:ascii="Times New Roman" w:hAnsi="Times New Roman" w:eastAsia="宋体" w:cs="Times New Roman"/>
      <w:lang w:val="en-US" w:eastAsia="zh-CN" w:bidi="ar-SA"/>
    </w:rPr>
  </w:style>
  <w:style w:type="paragraph" w:customStyle="1" w:styleId="121">
    <w:name w:val="正文图标题"/>
    <w:next w:val="80"/>
    <w:qFormat/>
    <w:uiPriority w:val="99"/>
    <w:pPr>
      <w:numPr>
        <w:ilvl w:val="0"/>
        <w:numId w:val="7"/>
      </w:numPr>
      <w:jc w:val="center"/>
    </w:pPr>
    <w:rPr>
      <w:rFonts w:ascii="黑体" w:hAnsi="Times New Roman" w:eastAsia="黑体" w:cs="Times New Roman"/>
      <w:sz w:val="21"/>
      <w:lang w:val="en-US" w:eastAsia="zh-CN" w:bidi="ar-SA"/>
    </w:rPr>
  </w:style>
  <w:style w:type="paragraph" w:customStyle="1" w:styleId="122">
    <w:name w:val="Formatvorlage layout_standard + 10 pt"/>
    <w:basedOn w:val="83"/>
    <w:qFormat/>
    <w:uiPriority w:val="99"/>
    <w:rPr>
      <w:bCs/>
      <w:sz w:val="22"/>
    </w:rPr>
  </w:style>
  <w:style w:type="paragraph" w:customStyle="1" w:styleId="123">
    <w:name w:val="二级无标题条"/>
    <w:basedOn w:val="1"/>
    <w:qFormat/>
    <w:uiPriority w:val="99"/>
    <w:pPr>
      <w:tabs>
        <w:tab w:val="left" w:pos="360"/>
      </w:tabs>
      <w:adjustRightInd/>
      <w:spacing w:line="240" w:lineRule="auto"/>
      <w:ind w:left="360" w:hanging="360"/>
      <w:textAlignment w:val="auto"/>
    </w:pPr>
  </w:style>
  <w:style w:type="paragraph" w:customStyle="1" w:styleId="124">
    <w:name w:val="参考文献、索引标题"/>
    <w:basedOn w:val="92"/>
    <w:next w:val="1"/>
    <w:qFormat/>
    <w:uiPriority w:val="99"/>
    <w:pPr>
      <w:numPr>
        <w:numId w:val="0"/>
      </w:numPr>
      <w:spacing w:after="200"/>
    </w:pPr>
    <w:rPr>
      <w:sz w:val="21"/>
    </w:rPr>
  </w:style>
  <w:style w:type="paragraph" w:customStyle="1" w:styleId="125">
    <w:name w:val="Style16"/>
    <w:basedOn w:val="1"/>
    <w:qFormat/>
    <w:uiPriority w:val="99"/>
    <w:pPr>
      <w:spacing w:line="630" w:lineRule="exact"/>
      <w:ind w:firstLine="643"/>
      <w:textAlignment w:val="auto"/>
    </w:pPr>
    <w:rPr>
      <w:rFonts w:ascii="宋体"/>
      <w:kern w:val="0"/>
      <w:sz w:val="24"/>
    </w:rPr>
  </w:style>
  <w:style w:type="paragraph" w:customStyle="1" w:styleId="126">
    <w:name w:val="图表脚注"/>
    <w:next w:val="80"/>
    <w:qFormat/>
    <w:uiPriority w:val="99"/>
    <w:pPr>
      <w:ind w:left="200" w:leftChars="200" w:hanging="100" w:hangingChars="100"/>
      <w:jc w:val="both"/>
    </w:pPr>
    <w:rPr>
      <w:rFonts w:ascii="宋体" w:hAnsi="Times New Roman" w:eastAsia="宋体" w:cs="Times New Roman"/>
      <w:sz w:val="18"/>
      <w:lang w:val="en-US" w:eastAsia="zh-CN" w:bidi="ar-SA"/>
    </w:rPr>
  </w:style>
  <w:style w:type="paragraph" w:customStyle="1" w:styleId="127">
    <w:name w:val="文献分类号"/>
    <w:qFormat/>
    <w:uiPriority w:val="99"/>
    <w:pPr>
      <w:framePr w:hSpace="180" w:vSpace="180" w:wrap="around" w:vAnchor="margin" w:hAnchor="margin" w:y="1" w:anchorLock="1"/>
      <w:widowControl w:val="0"/>
    </w:pPr>
    <w:rPr>
      <w:rFonts w:ascii="Times New Roman" w:hAnsi="Times New Roman" w:eastAsia="黑体" w:cs="Times New Roman"/>
      <w:sz w:val="21"/>
      <w:lang w:val="en-US" w:eastAsia="zh-CN" w:bidi="ar-SA"/>
    </w:rPr>
  </w:style>
  <w:style w:type="paragraph" w:customStyle="1" w:styleId="128">
    <w:name w:val="附录图标题"/>
    <w:next w:val="80"/>
    <w:qFormat/>
    <w:uiPriority w:val="99"/>
    <w:pPr>
      <w:jc w:val="center"/>
    </w:pPr>
    <w:rPr>
      <w:rFonts w:ascii="黑体" w:hAnsi="Times New Roman" w:eastAsia="黑体" w:cs="Times New Roman"/>
      <w:sz w:val="21"/>
      <w:lang w:val="en-US" w:eastAsia="zh-CN" w:bidi="ar-SA"/>
    </w:rPr>
  </w:style>
  <w:style w:type="paragraph" w:customStyle="1" w:styleId="129">
    <w:name w:val="目次、标准名称标题"/>
    <w:basedOn w:val="92"/>
    <w:next w:val="80"/>
    <w:qFormat/>
    <w:uiPriority w:val="99"/>
    <w:pPr>
      <w:numPr>
        <w:numId w:val="0"/>
      </w:numPr>
      <w:spacing w:line="460" w:lineRule="exact"/>
    </w:pPr>
  </w:style>
  <w:style w:type="paragraph" w:customStyle="1" w:styleId="130">
    <w:name w:val="五级条标题"/>
    <w:basedOn w:val="86"/>
    <w:next w:val="80"/>
    <w:qFormat/>
    <w:uiPriority w:val="99"/>
    <w:pPr>
      <w:numPr>
        <w:ilvl w:val="6"/>
      </w:numPr>
      <w:outlineLvl w:val="6"/>
    </w:pPr>
  </w:style>
  <w:style w:type="paragraph" w:customStyle="1" w:styleId="131">
    <w:name w:val="_Style 101"/>
    <w:basedOn w:val="1"/>
    <w:qFormat/>
    <w:uiPriority w:val="99"/>
    <w:pPr>
      <w:ind w:firstLine="420" w:firstLineChars="200"/>
    </w:pPr>
    <w:rPr>
      <w:rFonts w:ascii="Calibri" w:hAnsi="Calibri"/>
      <w:szCs w:val="22"/>
    </w:rPr>
  </w:style>
  <w:style w:type="paragraph" w:customStyle="1" w:styleId="132">
    <w:name w:val="示例"/>
    <w:next w:val="80"/>
    <w:qFormat/>
    <w:uiPriority w:val="99"/>
    <w:pPr>
      <w:numPr>
        <w:ilvl w:val="0"/>
        <w:numId w:val="8"/>
      </w:numPr>
      <w:tabs>
        <w:tab w:val="left" w:pos="816"/>
        <w:tab w:val="left" w:pos="1120"/>
      </w:tabs>
      <w:ind w:firstLine="419" w:firstLineChars="233"/>
      <w:jc w:val="both"/>
    </w:pPr>
    <w:rPr>
      <w:rFonts w:ascii="宋体" w:hAnsi="Times New Roman" w:eastAsia="宋体" w:cs="Times New Roman"/>
      <w:sz w:val="18"/>
      <w:lang w:val="en-US" w:eastAsia="zh-CN" w:bidi="ar-SA"/>
    </w:rPr>
  </w:style>
  <w:style w:type="paragraph" w:customStyle="1" w:styleId="133">
    <w:name w:val="表右齐"/>
    <w:basedOn w:val="1"/>
    <w:qFormat/>
    <w:uiPriority w:val="99"/>
    <w:pPr>
      <w:autoSpaceDE w:val="0"/>
      <w:autoSpaceDN w:val="0"/>
      <w:ind w:left="720" w:right="332"/>
      <w:jc w:val="right"/>
    </w:pPr>
    <w:rPr>
      <w:rFonts w:hAnsi="Arial"/>
      <w:kern w:val="0"/>
      <w:szCs w:val="20"/>
    </w:rPr>
  </w:style>
  <w:style w:type="paragraph" w:customStyle="1" w:styleId="134">
    <w:name w:val="layout_Position"/>
    <w:basedOn w:val="1"/>
    <w:qFormat/>
    <w:uiPriority w:val="99"/>
    <w:pPr>
      <w:widowControl/>
      <w:jc w:val="left"/>
    </w:pPr>
    <w:rPr>
      <w:rFonts w:ascii="Arial" w:hAnsi="Arial"/>
      <w:kern w:val="0"/>
      <w:sz w:val="22"/>
      <w:szCs w:val="20"/>
      <w:lang w:val="en-GB" w:eastAsia="de-DE"/>
    </w:rPr>
  </w:style>
  <w:style w:type="paragraph" w:customStyle="1" w:styleId="135">
    <w:name w:val="目次、索引正文"/>
    <w:qFormat/>
    <w:uiPriority w:val="99"/>
    <w:pPr>
      <w:spacing w:line="320" w:lineRule="exact"/>
      <w:jc w:val="both"/>
    </w:pPr>
    <w:rPr>
      <w:rFonts w:ascii="宋体" w:hAnsi="Times New Roman" w:eastAsia="宋体" w:cs="Times New Roman"/>
      <w:sz w:val="21"/>
      <w:lang w:val="en-US" w:eastAsia="zh-CN" w:bidi="ar-SA"/>
    </w:rPr>
  </w:style>
  <w:style w:type="paragraph" w:customStyle="1" w:styleId="136">
    <w:name w:val="封面一致性程度标识"/>
    <w:qFormat/>
    <w:uiPriority w:val="99"/>
    <w:pPr>
      <w:spacing w:before="440" w:line="400" w:lineRule="exact"/>
      <w:jc w:val="center"/>
    </w:pPr>
    <w:rPr>
      <w:rFonts w:ascii="宋体" w:hAnsi="Times New Roman" w:eastAsia="宋体" w:cs="Times New Roman"/>
      <w:sz w:val="28"/>
      <w:lang w:val="en-US" w:eastAsia="zh-CN" w:bidi="ar-SA"/>
    </w:rPr>
  </w:style>
  <w:style w:type="paragraph" w:customStyle="1" w:styleId="137">
    <w:name w:val="Char1"/>
    <w:basedOn w:val="1"/>
    <w:qFormat/>
    <w:uiPriority w:val="99"/>
    <w:pPr>
      <w:adjustRightInd/>
      <w:spacing w:line="240" w:lineRule="auto"/>
      <w:textAlignment w:val="auto"/>
    </w:pPr>
    <w:rPr>
      <w:szCs w:val="21"/>
    </w:rPr>
  </w:style>
  <w:style w:type="paragraph" w:customStyle="1" w:styleId="138">
    <w:name w:val="Char Char Char Char Char Char Char"/>
    <w:basedOn w:val="1"/>
    <w:qFormat/>
    <w:uiPriority w:val="99"/>
    <w:pPr>
      <w:adjustRightInd/>
      <w:spacing w:line="240" w:lineRule="auto"/>
      <w:textAlignment w:val="auto"/>
    </w:pPr>
  </w:style>
  <w:style w:type="paragraph" w:customStyle="1" w:styleId="139">
    <w:name w:val="表格文字"/>
    <w:qFormat/>
    <w:uiPriority w:val="99"/>
    <w:pPr>
      <w:jc w:val="center"/>
    </w:pPr>
    <w:rPr>
      <w:rFonts w:ascii="Times New Roman" w:hAnsi="Times New Roman" w:eastAsia="宋体" w:cs="Times New Roman"/>
      <w:kern w:val="2"/>
      <w:sz w:val="21"/>
      <w:szCs w:val="21"/>
      <w:lang w:val="en-US" w:eastAsia="zh-CN" w:bidi="ar-SA"/>
    </w:rPr>
  </w:style>
  <w:style w:type="paragraph" w:customStyle="1" w:styleId="140">
    <w:name w:val="字母编号列项（一级）"/>
    <w:qFormat/>
    <w:uiPriority w:val="99"/>
    <w:pPr>
      <w:ind w:left="200" w:leftChars="200" w:hanging="420" w:hangingChars="200"/>
      <w:jc w:val="both"/>
    </w:pPr>
    <w:rPr>
      <w:rFonts w:ascii="宋体" w:hAnsi="Times New Roman" w:eastAsia="宋体" w:cs="Times New Roman"/>
      <w:sz w:val="21"/>
      <w:lang w:val="en-US" w:eastAsia="zh-CN" w:bidi="ar-SA"/>
    </w:rPr>
  </w:style>
  <w:style w:type="paragraph" w:customStyle="1" w:styleId="141">
    <w:name w:val="条文脚注"/>
    <w:basedOn w:val="27"/>
    <w:qFormat/>
    <w:uiPriority w:val="99"/>
    <w:pPr>
      <w:adjustRightInd/>
      <w:spacing w:line="240" w:lineRule="auto"/>
      <w:ind w:left="200" w:leftChars="200" w:hanging="360" w:hangingChars="200"/>
      <w:jc w:val="both"/>
      <w:textAlignment w:val="auto"/>
    </w:pPr>
    <w:rPr>
      <w:rFonts w:ascii="宋体" w:hAnsi="宋体"/>
    </w:rPr>
  </w:style>
  <w:style w:type="paragraph" w:customStyle="1" w:styleId="142">
    <w:name w:val="Char Char Char"/>
    <w:basedOn w:val="1"/>
    <w:qFormat/>
    <w:uiPriority w:val="99"/>
    <w:pPr>
      <w:adjustRightInd/>
      <w:spacing w:line="240" w:lineRule="auto"/>
      <w:textAlignment w:val="auto"/>
    </w:pPr>
    <w:rPr>
      <w:szCs w:val="20"/>
    </w:rPr>
  </w:style>
  <w:style w:type="paragraph" w:customStyle="1" w:styleId="143">
    <w:name w:val="Char Char Char Char Char Char Char1"/>
    <w:basedOn w:val="1"/>
    <w:qFormat/>
    <w:uiPriority w:val="99"/>
  </w:style>
  <w:style w:type="paragraph" w:customStyle="1" w:styleId="144">
    <w:name w:val="封面标准文稿编辑信息"/>
    <w:qFormat/>
    <w:uiPriority w:val="99"/>
    <w:pPr>
      <w:spacing w:before="180" w:line="180" w:lineRule="exact"/>
      <w:jc w:val="center"/>
    </w:pPr>
    <w:rPr>
      <w:rFonts w:ascii="宋体" w:hAnsi="Times New Roman" w:eastAsia="宋体" w:cs="Times New Roman"/>
      <w:sz w:val="21"/>
      <w:lang w:val="en-US" w:eastAsia="zh-CN" w:bidi="ar-SA"/>
    </w:rPr>
  </w:style>
  <w:style w:type="paragraph" w:customStyle="1" w:styleId="145">
    <w:name w:val="列项·"/>
    <w:qFormat/>
    <w:uiPriority w:val="99"/>
    <w:pPr>
      <w:numPr>
        <w:ilvl w:val="0"/>
        <w:numId w:val="9"/>
      </w:numPr>
      <w:tabs>
        <w:tab w:val="left" w:pos="840"/>
        <w:tab w:val="left" w:pos="1140"/>
      </w:tabs>
      <w:ind w:left="200" w:leftChars="200" w:hanging="420" w:hangingChars="200"/>
      <w:jc w:val="both"/>
    </w:pPr>
    <w:rPr>
      <w:rFonts w:ascii="宋体" w:hAnsi="Times New Roman" w:eastAsia="宋体" w:cs="Times New Roman"/>
      <w:sz w:val="21"/>
      <w:lang w:val="en-US" w:eastAsia="zh-CN" w:bidi="ar-SA"/>
    </w:rPr>
  </w:style>
  <w:style w:type="paragraph" w:customStyle="1" w:styleId="146">
    <w:name w:val="注×："/>
    <w:qFormat/>
    <w:uiPriority w:val="99"/>
    <w:pPr>
      <w:widowControl w:val="0"/>
      <w:numPr>
        <w:ilvl w:val="0"/>
        <w:numId w:val="10"/>
      </w:numPr>
      <w:tabs>
        <w:tab w:val="left" w:pos="630"/>
        <w:tab w:val="left" w:pos="900"/>
      </w:tabs>
      <w:autoSpaceDE w:val="0"/>
      <w:autoSpaceDN w:val="0"/>
      <w:jc w:val="both"/>
    </w:pPr>
    <w:rPr>
      <w:rFonts w:ascii="宋体" w:hAnsi="Times New Roman" w:eastAsia="宋体" w:cs="Times New Roman"/>
      <w:sz w:val="18"/>
      <w:lang w:val="en-US" w:eastAsia="zh-CN" w:bidi="ar-SA"/>
    </w:rPr>
  </w:style>
  <w:style w:type="paragraph" w:customStyle="1" w:styleId="147">
    <w:name w:val="其他发布部门"/>
    <w:basedOn w:val="106"/>
    <w:qFormat/>
    <w:uiPriority w:val="99"/>
    <w:pPr>
      <w:spacing w:line="240" w:lineRule="atLeast"/>
    </w:pPr>
    <w:rPr>
      <w:rFonts w:ascii="黑体" w:eastAsia="黑体"/>
      <w:b w:val="0"/>
    </w:rPr>
  </w:style>
  <w:style w:type="paragraph" w:customStyle="1" w:styleId="148">
    <w:name w:val="标准称谓"/>
    <w:next w:val="1"/>
    <w:qFormat/>
    <w:uiPriority w:val="99"/>
    <w:pPr>
      <w:framePr w:w="9638" w:h="754" w:hSpace="180" w:vSpace="180" w:wrap="around" w:vAnchor="page" w:hAnchor="margin" w:xAlign="center" w:y="2128" w:anchorLock="1"/>
      <w:widowControl w:val="0"/>
      <w:kinsoku w:val="0"/>
      <w:overflowPunct w:val="0"/>
      <w:autoSpaceDE w:val="0"/>
      <w:autoSpaceDN w:val="0"/>
      <w:spacing w:line="240" w:lineRule="atLeast"/>
      <w:jc w:val="distribute"/>
    </w:pPr>
    <w:rPr>
      <w:rFonts w:ascii="宋体" w:hAnsi="Times New Roman" w:eastAsia="宋体" w:cs="Times New Roman"/>
      <w:b/>
      <w:bCs/>
      <w:spacing w:val="20"/>
      <w:w w:val="148"/>
      <w:sz w:val="52"/>
      <w:lang w:val="en-US" w:eastAsia="zh-CN" w:bidi="ar-SA"/>
    </w:rPr>
  </w:style>
  <w:style w:type="paragraph" w:customStyle="1" w:styleId="149">
    <w:name w:val="一级无标题条"/>
    <w:basedOn w:val="1"/>
    <w:qFormat/>
    <w:uiPriority w:val="99"/>
    <w:pPr>
      <w:tabs>
        <w:tab w:val="left" w:pos="360"/>
      </w:tabs>
      <w:adjustRightInd/>
      <w:spacing w:line="240" w:lineRule="auto"/>
      <w:ind w:left="360" w:hanging="360"/>
      <w:textAlignment w:val="auto"/>
    </w:pPr>
  </w:style>
  <w:style w:type="paragraph" w:customStyle="1" w:styleId="150">
    <w:name w:val="数字编号列项（二级）"/>
    <w:qFormat/>
    <w:uiPriority w:val="99"/>
    <w:pPr>
      <w:ind w:left="400" w:leftChars="400" w:hanging="420" w:hangingChars="200"/>
      <w:jc w:val="both"/>
    </w:pPr>
    <w:rPr>
      <w:rFonts w:ascii="宋体" w:hAnsi="Times New Roman" w:eastAsia="宋体" w:cs="Times New Roman"/>
      <w:sz w:val="21"/>
      <w:lang w:val="en-US" w:eastAsia="zh-CN" w:bidi="ar-SA"/>
    </w:rPr>
  </w:style>
  <w:style w:type="paragraph" w:customStyle="1" w:styleId="151">
    <w:name w:val="图表 标题"/>
    <w:basedOn w:val="1"/>
    <w:link w:val="201"/>
    <w:qFormat/>
    <w:uiPriority w:val="99"/>
    <w:pPr>
      <w:autoSpaceDN w:val="0"/>
      <w:adjustRightInd/>
      <w:spacing w:line="360" w:lineRule="auto"/>
      <w:jc w:val="center"/>
      <w:textAlignment w:val="auto"/>
    </w:pPr>
    <w:rPr>
      <w:sz w:val="24"/>
      <w:szCs w:val="20"/>
    </w:rPr>
  </w:style>
  <w:style w:type="paragraph" w:customStyle="1" w:styleId="152">
    <w:name w:val="默认段落字体 Para Char Char Char Char Char Char Char Char Char1 Char Char Char Char"/>
    <w:basedOn w:val="1"/>
    <w:qFormat/>
    <w:uiPriority w:val="99"/>
    <w:rPr>
      <w:rFonts w:ascii="Tahoma" w:hAnsi="Tahoma"/>
      <w:sz w:val="24"/>
      <w:szCs w:val="20"/>
    </w:rPr>
  </w:style>
  <w:style w:type="paragraph" w:customStyle="1" w:styleId="153">
    <w:name w:val="封面标准英文名称"/>
    <w:qFormat/>
    <w:uiPriority w:val="99"/>
    <w:pPr>
      <w:widowControl w:val="0"/>
      <w:spacing w:before="370" w:line="400" w:lineRule="exact"/>
      <w:jc w:val="center"/>
    </w:pPr>
    <w:rPr>
      <w:rFonts w:ascii="Times New Roman" w:hAnsi="Times New Roman" w:eastAsia="宋体" w:cs="Times New Roman"/>
      <w:sz w:val="28"/>
      <w:lang w:val="en-US" w:eastAsia="zh-CN" w:bidi="ar-SA"/>
    </w:rPr>
  </w:style>
  <w:style w:type="paragraph" w:customStyle="1" w:styleId="154">
    <w:name w:val="三级无标题条"/>
    <w:basedOn w:val="1"/>
    <w:qFormat/>
    <w:uiPriority w:val="99"/>
    <w:pPr>
      <w:tabs>
        <w:tab w:val="left" w:pos="360"/>
      </w:tabs>
      <w:adjustRightInd/>
      <w:spacing w:line="240" w:lineRule="auto"/>
      <w:ind w:left="360" w:hanging="360"/>
      <w:textAlignment w:val="auto"/>
    </w:pPr>
  </w:style>
  <w:style w:type="paragraph" w:customStyle="1" w:styleId="155">
    <w:name w:val="Char Char Char Char"/>
    <w:basedOn w:val="1"/>
    <w:qFormat/>
    <w:uiPriority w:val="99"/>
    <w:pPr>
      <w:widowControl/>
      <w:adjustRightInd/>
      <w:spacing w:after="160" w:line="240" w:lineRule="exact"/>
      <w:jc w:val="left"/>
      <w:textAlignment w:val="auto"/>
    </w:pPr>
  </w:style>
  <w:style w:type="paragraph" w:customStyle="1" w:styleId="156">
    <w:name w:val="标准标志"/>
    <w:next w:val="1"/>
    <w:qFormat/>
    <w:uiPriority w:val="99"/>
    <w:pPr>
      <w:framePr w:w="2268" w:h="1392" w:wrap="around" w:vAnchor="margin" w:hAnchor="margin" w:x="6748" w:y="171" w:anchorLock="1"/>
      <w:shd w:val="solid" w:color="FFFFFF" w:fill="FFFFFF"/>
      <w:spacing w:line="240" w:lineRule="atLeast"/>
      <w:jc w:val="right"/>
    </w:pPr>
    <w:rPr>
      <w:rFonts w:ascii="Times New Roman" w:hAnsi="Times New Roman" w:eastAsia="宋体" w:cs="Times New Roman"/>
      <w:b/>
      <w:w w:val="130"/>
      <w:sz w:val="96"/>
      <w:lang w:val="en-US" w:eastAsia="zh-CN" w:bidi="ar-SA"/>
    </w:rPr>
  </w:style>
  <w:style w:type="paragraph" w:customStyle="1" w:styleId="157">
    <w:name w:val="Char Char Char Char Char Char Char Char Char Char Char Char1"/>
    <w:basedOn w:val="1"/>
    <w:qFormat/>
    <w:uiPriority w:val="99"/>
    <w:pPr>
      <w:widowControl/>
      <w:adjustRightInd/>
      <w:spacing w:after="160" w:line="240" w:lineRule="exact"/>
      <w:jc w:val="left"/>
      <w:textAlignment w:val="auto"/>
    </w:pPr>
  </w:style>
  <w:style w:type="paragraph" w:customStyle="1" w:styleId="158">
    <w:name w:val="列出段落1"/>
    <w:basedOn w:val="1"/>
    <w:qFormat/>
    <w:uiPriority w:val="99"/>
    <w:pPr>
      <w:ind w:firstLine="420" w:firstLineChars="200"/>
    </w:pPr>
    <w:rPr>
      <w:rFonts w:ascii="Calibri" w:hAnsi="Calibri"/>
      <w:szCs w:val="22"/>
    </w:rPr>
  </w:style>
  <w:style w:type="character" w:customStyle="1" w:styleId="159">
    <w:name w:val="Font Style71"/>
    <w:qFormat/>
    <w:uiPriority w:val="99"/>
    <w:rPr>
      <w:rFonts w:ascii="宋体" w:eastAsia="宋体"/>
      <w:b/>
      <w:spacing w:val="20"/>
      <w:sz w:val="28"/>
    </w:rPr>
  </w:style>
  <w:style w:type="character" w:customStyle="1" w:styleId="160">
    <w:name w:val="批注文字 Char2"/>
    <w:basedOn w:val="36"/>
    <w:semiHidden/>
    <w:qFormat/>
    <w:uiPriority w:val="99"/>
    <w:rPr>
      <w:rFonts w:cs="Times New Roman"/>
      <w:kern w:val="2"/>
      <w:sz w:val="24"/>
      <w:szCs w:val="24"/>
    </w:rPr>
  </w:style>
  <w:style w:type="character" w:customStyle="1" w:styleId="161">
    <w:name w:val="纯文本 Char2"/>
    <w:basedOn w:val="36"/>
    <w:semiHidden/>
    <w:qFormat/>
    <w:uiPriority w:val="99"/>
    <w:rPr>
      <w:rFonts w:ascii="宋体" w:hAnsi="Courier New" w:cs="Courier New"/>
      <w:kern w:val="2"/>
      <w:sz w:val="21"/>
      <w:szCs w:val="21"/>
    </w:rPr>
  </w:style>
  <w:style w:type="character" w:customStyle="1" w:styleId="162">
    <w:name w:val="发布"/>
    <w:basedOn w:val="36"/>
    <w:qFormat/>
    <w:uiPriority w:val="99"/>
    <w:rPr>
      <w:rFonts w:ascii="黑体" w:hAnsi="黑体" w:eastAsia="黑体" w:cs="Times New Roman"/>
      <w:spacing w:val="22"/>
      <w:w w:val="100"/>
      <w:position w:val="3"/>
      <w:sz w:val="28"/>
    </w:rPr>
  </w:style>
  <w:style w:type="character" w:customStyle="1" w:styleId="163">
    <w:name w:val="纯文本 Char1"/>
    <w:qFormat/>
    <w:uiPriority w:val="99"/>
    <w:rPr>
      <w:rFonts w:ascii="宋体" w:hAnsi="Courier New" w:eastAsia="宋体"/>
      <w:kern w:val="2"/>
      <w:sz w:val="21"/>
      <w:lang w:val="en-US" w:eastAsia="zh-CN"/>
    </w:rPr>
  </w:style>
  <w:style w:type="character" w:customStyle="1" w:styleId="164">
    <w:name w:val="HTML 地址 Char"/>
    <w:basedOn w:val="36"/>
    <w:link w:val="18"/>
    <w:semiHidden/>
    <w:qFormat/>
    <w:locked/>
    <w:uiPriority w:val="99"/>
    <w:rPr>
      <w:rFonts w:cs="Times New Roman"/>
      <w:i/>
      <w:iCs/>
      <w:kern w:val="2"/>
      <w:sz w:val="24"/>
      <w:szCs w:val="24"/>
    </w:rPr>
  </w:style>
  <w:style w:type="character" w:customStyle="1" w:styleId="165">
    <w:name w:val="Char Char2"/>
    <w:basedOn w:val="36"/>
    <w:qFormat/>
    <w:locked/>
    <w:uiPriority w:val="99"/>
    <w:rPr>
      <w:rFonts w:ascii="Courier New" w:hAnsi="Courier New" w:eastAsia="宋体" w:cs="Courier New"/>
      <w:kern w:val="2"/>
      <w:lang w:val="en-US" w:eastAsia="zh-CN" w:bidi="ar-SA"/>
    </w:rPr>
  </w:style>
  <w:style w:type="character" w:customStyle="1" w:styleId="166">
    <w:name w:val="批注主题 Char1"/>
    <w:basedOn w:val="160"/>
    <w:semiHidden/>
    <w:qFormat/>
    <w:uiPriority w:val="99"/>
    <w:rPr>
      <w:rFonts w:cs="Times New Roman"/>
      <w:b/>
      <w:bCs/>
      <w:kern w:val="2"/>
      <w:sz w:val="24"/>
      <w:szCs w:val="24"/>
    </w:rPr>
  </w:style>
  <w:style w:type="character" w:customStyle="1" w:styleId="167">
    <w:name w:val="Char Char11"/>
    <w:basedOn w:val="36"/>
    <w:qFormat/>
    <w:locked/>
    <w:uiPriority w:val="99"/>
    <w:rPr>
      <w:rFonts w:ascii="宋体" w:hAnsi="宋体" w:eastAsia="宋体" w:cs="Times New Roman"/>
      <w:kern w:val="2"/>
      <w:sz w:val="24"/>
      <w:szCs w:val="24"/>
      <w:lang w:val="en-US" w:eastAsia="zh-CN" w:bidi="ar-SA"/>
    </w:rPr>
  </w:style>
  <w:style w:type="character" w:customStyle="1" w:styleId="168">
    <w:name w:val="页脚 Char1"/>
    <w:basedOn w:val="36"/>
    <w:semiHidden/>
    <w:qFormat/>
    <w:uiPriority w:val="99"/>
    <w:rPr>
      <w:rFonts w:cs="Times New Roman"/>
      <w:kern w:val="2"/>
      <w:sz w:val="18"/>
      <w:szCs w:val="18"/>
    </w:rPr>
  </w:style>
  <w:style w:type="character" w:customStyle="1" w:styleId="169">
    <w:name w:val="正文文本 Char1"/>
    <w:basedOn w:val="36"/>
    <w:semiHidden/>
    <w:qFormat/>
    <w:uiPriority w:val="99"/>
    <w:rPr>
      <w:rFonts w:cs="Times New Roman"/>
      <w:kern w:val="2"/>
      <w:sz w:val="24"/>
      <w:szCs w:val="24"/>
    </w:rPr>
  </w:style>
  <w:style w:type="character" w:customStyle="1" w:styleId="170">
    <w:name w:val="Char Char20"/>
    <w:basedOn w:val="36"/>
    <w:qFormat/>
    <w:locked/>
    <w:uiPriority w:val="99"/>
    <w:rPr>
      <w:rFonts w:ascii="Arial" w:hAnsi="Arial" w:eastAsia="黑体" w:cs="Times New Roman"/>
      <w:b/>
      <w:bCs/>
      <w:kern w:val="2"/>
      <w:sz w:val="32"/>
      <w:szCs w:val="32"/>
      <w:lang w:val="en-US" w:eastAsia="zh-CN" w:bidi="ar-SA"/>
    </w:rPr>
  </w:style>
  <w:style w:type="character" w:customStyle="1" w:styleId="171">
    <w:name w:val="Char Char8"/>
    <w:qFormat/>
    <w:locked/>
    <w:uiPriority w:val="99"/>
    <w:rPr>
      <w:rFonts w:ascii="宋体" w:hAnsi="Courier New" w:eastAsia="宋体"/>
      <w:spacing w:val="-4"/>
      <w:kern w:val="2"/>
      <w:sz w:val="18"/>
      <w:lang w:val="en-US" w:eastAsia="zh-CN"/>
    </w:rPr>
  </w:style>
  <w:style w:type="character" w:customStyle="1" w:styleId="172">
    <w:name w:val="fo Char"/>
    <w:qFormat/>
    <w:uiPriority w:val="99"/>
    <w:rPr>
      <w:sz w:val="18"/>
    </w:rPr>
  </w:style>
  <w:style w:type="character" w:customStyle="1" w:styleId="173">
    <w:name w:val="Char Char19"/>
    <w:basedOn w:val="36"/>
    <w:qFormat/>
    <w:locked/>
    <w:uiPriority w:val="99"/>
    <w:rPr>
      <w:rFonts w:eastAsia="宋体" w:cs="Times New Roman"/>
      <w:b/>
      <w:bCs/>
      <w:kern w:val="2"/>
      <w:sz w:val="32"/>
      <w:szCs w:val="32"/>
      <w:lang w:val="en-US" w:eastAsia="zh-CN" w:bidi="ar-SA"/>
    </w:rPr>
  </w:style>
  <w:style w:type="character" w:customStyle="1" w:styleId="174">
    <w:name w:val="HTML 预设格式 Char1"/>
    <w:basedOn w:val="36"/>
    <w:semiHidden/>
    <w:qFormat/>
    <w:uiPriority w:val="99"/>
    <w:rPr>
      <w:rFonts w:ascii="Courier New" w:hAnsi="Courier New" w:cs="Courier New"/>
      <w:kern w:val="2"/>
    </w:rPr>
  </w:style>
  <w:style w:type="character" w:customStyle="1" w:styleId="175">
    <w:name w:val="页眉 Char1"/>
    <w:basedOn w:val="36"/>
    <w:semiHidden/>
    <w:qFormat/>
    <w:uiPriority w:val="99"/>
    <w:rPr>
      <w:rFonts w:cs="Times New Roman"/>
      <w:kern w:val="2"/>
      <w:sz w:val="18"/>
      <w:szCs w:val="18"/>
    </w:rPr>
  </w:style>
  <w:style w:type="character" w:customStyle="1" w:styleId="176">
    <w:name w:val="标题1"/>
    <w:basedOn w:val="36"/>
    <w:qFormat/>
    <w:uiPriority w:val="99"/>
    <w:rPr>
      <w:rFonts w:cs="Times New Roman"/>
    </w:rPr>
  </w:style>
  <w:style w:type="character" w:customStyle="1" w:styleId="177">
    <w:name w:val="Font Style73"/>
    <w:qFormat/>
    <w:uiPriority w:val="99"/>
    <w:rPr>
      <w:rFonts w:ascii="宋体" w:eastAsia="宋体"/>
      <w:b/>
      <w:spacing w:val="10"/>
      <w:sz w:val="28"/>
    </w:rPr>
  </w:style>
  <w:style w:type="character" w:customStyle="1" w:styleId="178">
    <w:name w:val="批注框文本 Char1"/>
    <w:basedOn w:val="36"/>
    <w:semiHidden/>
    <w:qFormat/>
    <w:uiPriority w:val="99"/>
    <w:rPr>
      <w:rFonts w:cs="Times New Roman"/>
      <w:kern w:val="2"/>
      <w:sz w:val="18"/>
      <w:szCs w:val="18"/>
    </w:rPr>
  </w:style>
  <w:style w:type="character" w:customStyle="1" w:styleId="179">
    <w:name w:val="日期 Char1"/>
    <w:basedOn w:val="36"/>
    <w:semiHidden/>
    <w:qFormat/>
    <w:uiPriority w:val="99"/>
    <w:rPr>
      <w:rFonts w:cs="Times New Roman"/>
      <w:kern w:val="2"/>
      <w:sz w:val="24"/>
      <w:szCs w:val="24"/>
    </w:rPr>
  </w:style>
  <w:style w:type="character" w:customStyle="1" w:styleId="180">
    <w:name w:val="Char Char17"/>
    <w:basedOn w:val="36"/>
    <w:qFormat/>
    <w:locked/>
    <w:uiPriority w:val="99"/>
    <w:rPr>
      <w:rFonts w:eastAsia="宋体" w:cs="Times New Roman"/>
      <w:b/>
      <w:bCs/>
      <w:kern w:val="2"/>
      <w:sz w:val="28"/>
      <w:szCs w:val="28"/>
      <w:lang w:val="en-US" w:eastAsia="zh-CN" w:bidi="ar-SA"/>
    </w:rPr>
  </w:style>
  <w:style w:type="character" w:customStyle="1" w:styleId="181">
    <w:name w:val="正文文本 2 Char1"/>
    <w:basedOn w:val="36"/>
    <w:semiHidden/>
    <w:qFormat/>
    <w:uiPriority w:val="99"/>
    <w:rPr>
      <w:rFonts w:cs="Times New Roman"/>
      <w:kern w:val="2"/>
      <w:sz w:val="24"/>
      <w:szCs w:val="24"/>
    </w:rPr>
  </w:style>
  <w:style w:type="character" w:customStyle="1" w:styleId="182">
    <w:name w:val="正文文本 3 Char1"/>
    <w:basedOn w:val="36"/>
    <w:semiHidden/>
    <w:qFormat/>
    <w:uiPriority w:val="99"/>
    <w:rPr>
      <w:rFonts w:cs="Times New Roman"/>
      <w:kern w:val="2"/>
      <w:sz w:val="16"/>
      <w:szCs w:val="16"/>
    </w:rPr>
  </w:style>
  <w:style w:type="character" w:customStyle="1" w:styleId="183">
    <w:name w:val="apple-style-span"/>
    <w:basedOn w:val="36"/>
    <w:qFormat/>
    <w:uiPriority w:val="99"/>
    <w:rPr>
      <w:rFonts w:cs="Times New Roman"/>
    </w:rPr>
  </w:style>
  <w:style w:type="character" w:customStyle="1" w:styleId="184">
    <w:name w:val="正文文本缩进 Char1"/>
    <w:basedOn w:val="36"/>
    <w:semiHidden/>
    <w:qFormat/>
    <w:uiPriority w:val="99"/>
    <w:rPr>
      <w:rFonts w:cs="Times New Roman"/>
      <w:kern w:val="2"/>
      <w:sz w:val="24"/>
      <w:szCs w:val="24"/>
    </w:rPr>
  </w:style>
  <w:style w:type="character" w:customStyle="1" w:styleId="185">
    <w:name w:val="普通文字 Char Char1"/>
    <w:qFormat/>
    <w:uiPriority w:val="99"/>
    <w:rPr>
      <w:rFonts w:ascii="宋体" w:hAnsi="Courier New" w:eastAsia="宋体"/>
      <w:kern w:val="2"/>
      <w:sz w:val="21"/>
      <w:lang w:val="en-US" w:eastAsia="zh-CN"/>
    </w:rPr>
  </w:style>
  <w:style w:type="character" w:customStyle="1" w:styleId="186">
    <w:name w:val="Char Char18"/>
    <w:basedOn w:val="36"/>
    <w:qFormat/>
    <w:locked/>
    <w:uiPriority w:val="99"/>
    <w:rPr>
      <w:rFonts w:ascii="Arial" w:eastAsia="黑体" w:cs="Times New Roman"/>
      <w:sz w:val="28"/>
      <w:lang w:val="en-US" w:eastAsia="zh-CN" w:bidi="ar-SA"/>
    </w:rPr>
  </w:style>
  <w:style w:type="character" w:customStyle="1" w:styleId="187">
    <w:name w:val="标题 Char"/>
    <w:basedOn w:val="36"/>
    <w:link w:val="32"/>
    <w:qFormat/>
    <w:locked/>
    <w:uiPriority w:val="99"/>
    <w:rPr>
      <w:rFonts w:ascii="Cambria" w:hAnsi="Cambria" w:cs="Times New Roman"/>
      <w:b/>
      <w:bCs/>
      <w:kern w:val="2"/>
      <w:sz w:val="32"/>
      <w:szCs w:val="32"/>
    </w:rPr>
  </w:style>
  <w:style w:type="character" w:customStyle="1" w:styleId="188">
    <w:name w:val="Char Char12"/>
    <w:basedOn w:val="36"/>
    <w:qFormat/>
    <w:locked/>
    <w:uiPriority w:val="99"/>
    <w:rPr>
      <w:rFonts w:ascii="宋体" w:hAnsi="宋体" w:eastAsia="宋体" w:cs="Times New Roman"/>
      <w:kern w:val="2"/>
      <w:sz w:val="18"/>
      <w:szCs w:val="18"/>
      <w:lang w:val="en-US" w:eastAsia="zh-CN" w:bidi="ar-SA"/>
    </w:rPr>
  </w:style>
  <w:style w:type="character" w:customStyle="1" w:styleId="189">
    <w:name w:val="正文文本缩进 2 Char1"/>
    <w:basedOn w:val="36"/>
    <w:semiHidden/>
    <w:qFormat/>
    <w:uiPriority w:val="99"/>
    <w:rPr>
      <w:rFonts w:cs="Times New Roman"/>
      <w:kern w:val="2"/>
      <w:sz w:val="24"/>
      <w:szCs w:val="24"/>
    </w:rPr>
  </w:style>
  <w:style w:type="character" w:customStyle="1" w:styleId="190">
    <w:name w:val="Char Char6"/>
    <w:basedOn w:val="36"/>
    <w:qFormat/>
    <w:locked/>
    <w:uiPriority w:val="99"/>
    <w:rPr>
      <w:rFonts w:ascii="宋体" w:hAnsi="宋体" w:eastAsia="宋体" w:cs="Times New Roman"/>
      <w:kern w:val="2"/>
      <w:sz w:val="18"/>
      <w:szCs w:val="18"/>
      <w:lang w:val="en-US" w:eastAsia="zh-CN" w:bidi="ar-SA"/>
    </w:rPr>
  </w:style>
  <w:style w:type="character" w:customStyle="1" w:styleId="191">
    <w:name w:val="h Char"/>
    <w:qFormat/>
    <w:uiPriority w:val="99"/>
    <w:rPr>
      <w:rFonts w:ascii="Times New Roman" w:hAnsi="Times New Roman"/>
      <w:kern w:val="2"/>
      <w:sz w:val="18"/>
    </w:rPr>
  </w:style>
  <w:style w:type="character" w:customStyle="1" w:styleId="192">
    <w:name w:val="Char Char21"/>
    <w:basedOn w:val="36"/>
    <w:qFormat/>
    <w:locked/>
    <w:uiPriority w:val="99"/>
    <w:rPr>
      <w:rFonts w:eastAsia="宋体" w:cs="Times New Roman"/>
      <w:b/>
      <w:bCs/>
      <w:kern w:val="44"/>
      <w:sz w:val="44"/>
      <w:szCs w:val="44"/>
      <w:lang w:val="en-US" w:eastAsia="zh-CN" w:bidi="ar-SA"/>
    </w:rPr>
  </w:style>
  <w:style w:type="character" w:customStyle="1" w:styleId="193">
    <w:name w:val="脚注文本 Char1"/>
    <w:basedOn w:val="36"/>
    <w:semiHidden/>
    <w:qFormat/>
    <w:uiPriority w:val="99"/>
    <w:rPr>
      <w:rFonts w:cs="Times New Roman"/>
      <w:kern w:val="2"/>
      <w:sz w:val="18"/>
      <w:szCs w:val="18"/>
    </w:rPr>
  </w:style>
  <w:style w:type="character" w:customStyle="1" w:styleId="194">
    <w:name w:val="Char Char7"/>
    <w:basedOn w:val="36"/>
    <w:qFormat/>
    <w:locked/>
    <w:uiPriority w:val="99"/>
    <w:rPr>
      <w:rFonts w:ascii="宋体" w:hAnsi="宋体" w:eastAsia="宋体" w:cs="Times New Roman"/>
      <w:kern w:val="2"/>
      <w:sz w:val="24"/>
      <w:szCs w:val="24"/>
      <w:lang w:val="en-US" w:eastAsia="zh-CN" w:bidi="ar-SA"/>
    </w:rPr>
  </w:style>
  <w:style w:type="character" w:customStyle="1" w:styleId="195">
    <w:name w:val="textcontents"/>
    <w:basedOn w:val="36"/>
    <w:qFormat/>
    <w:uiPriority w:val="99"/>
    <w:rPr>
      <w:rFonts w:cs="Times New Roman"/>
    </w:rPr>
  </w:style>
  <w:style w:type="character" w:customStyle="1" w:styleId="196">
    <w:name w:val="Char Char10"/>
    <w:basedOn w:val="36"/>
    <w:qFormat/>
    <w:locked/>
    <w:uiPriority w:val="99"/>
    <w:rPr>
      <w:rFonts w:ascii="宋体" w:hAnsi="宋体" w:eastAsia="宋体" w:cs="Times New Roman"/>
      <w:kern w:val="2"/>
      <w:sz w:val="24"/>
      <w:szCs w:val="24"/>
      <w:lang w:val="en-US" w:eastAsia="zh-CN" w:bidi="ar-SA"/>
    </w:rPr>
  </w:style>
  <w:style w:type="character" w:customStyle="1" w:styleId="197">
    <w:name w:val="文档结构图 Char1"/>
    <w:basedOn w:val="36"/>
    <w:semiHidden/>
    <w:qFormat/>
    <w:uiPriority w:val="99"/>
    <w:rPr>
      <w:rFonts w:ascii="宋体" w:cs="Times New Roman"/>
      <w:kern w:val="2"/>
      <w:sz w:val="18"/>
      <w:szCs w:val="18"/>
    </w:rPr>
  </w:style>
  <w:style w:type="character" w:customStyle="1" w:styleId="198">
    <w:name w:val="副标题 Char1"/>
    <w:basedOn w:val="36"/>
    <w:qFormat/>
    <w:uiPriority w:val="99"/>
    <w:rPr>
      <w:rFonts w:ascii="Cambria" w:hAnsi="Cambria" w:cs="Times New Roman"/>
      <w:b/>
      <w:bCs/>
      <w:kern w:val="28"/>
      <w:sz w:val="32"/>
      <w:szCs w:val="32"/>
    </w:rPr>
  </w:style>
  <w:style w:type="character" w:customStyle="1" w:styleId="199">
    <w:name w:val="op-map-singlepoint-info-right"/>
    <w:basedOn w:val="36"/>
    <w:qFormat/>
    <w:uiPriority w:val="99"/>
    <w:rPr>
      <w:rFonts w:cs="Times New Roman"/>
    </w:rPr>
  </w:style>
  <w:style w:type="character" w:customStyle="1" w:styleId="200">
    <w:name w:val="批注文字 Char1"/>
    <w:semiHidden/>
    <w:qFormat/>
    <w:locked/>
    <w:uiPriority w:val="99"/>
    <w:rPr>
      <w:kern w:val="2"/>
      <w:sz w:val="24"/>
    </w:rPr>
  </w:style>
  <w:style w:type="character" w:customStyle="1" w:styleId="201">
    <w:name w:val="图表 标题 Char"/>
    <w:link w:val="151"/>
    <w:qFormat/>
    <w:locked/>
    <w:uiPriority w:val="99"/>
    <w:rPr>
      <w:rFonts w:eastAsia="宋体"/>
      <w:kern w:val="2"/>
      <w:sz w:val="24"/>
      <w:lang w:val="en-US" w:eastAsia="zh-CN"/>
    </w:rPr>
  </w:style>
  <w:style w:type="character" w:customStyle="1" w:styleId="202">
    <w:name w:val="NormalCharacter"/>
    <w:qFormat/>
    <w:uiPriority w:val="0"/>
  </w:style>
  <w:style w:type="character" w:customStyle="1" w:styleId="203">
    <w:name w:val="font11"/>
    <w:basedOn w:val="36"/>
    <w:qFormat/>
    <w:uiPriority w:val="0"/>
    <w:rPr>
      <w:rFonts w:hint="eastAsia" w:ascii="宋体" w:hAnsi="宋体" w:eastAsia="宋体" w:cs="宋体"/>
      <w:color w:val="000000"/>
      <w:sz w:val="21"/>
      <w:szCs w:val="21"/>
      <w:u w:val="none"/>
    </w:rPr>
  </w:style>
  <w:style w:type="paragraph" w:customStyle="1" w:styleId="204">
    <w:name w:val="_Style 2"/>
    <w:basedOn w:val="1"/>
    <w:qFormat/>
    <w:uiPriority w:val="0"/>
    <w:pPr>
      <w:ind w:firstLine="420" w:firstLineChars="200"/>
    </w:pPr>
    <w:rPr>
      <w:sz w:val="28"/>
      <w:szCs w:val="28"/>
    </w:rPr>
  </w:style>
  <w:style w:type="paragraph" w:styleId="205">
    <w:name w:val="List Paragraph"/>
    <w:basedOn w:val="1"/>
    <w:qFormat/>
    <w:uiPriority w:val="99"/>
    <w:pPr>
      <w:ind w:firstLine="420" w:firstLineChars="200"/>
    </w:pPr>
  </w:style>
  <w:style w:type="paragraph" w:customStyle="1" w:styleId="206">
    <w:name w:val="Null"/>
    <w:qFormat/>
    <w:uiPriority w:val="0"/>
    <w:pPr>
      <w:jc w:val="both"/>
      <w:textAlignment w:val="baseline"/>
    </w:pPr>
    <w:rPr>
      <w:rFonts w:ascii="Calibri" w:hAnsi="Calibri" w:eastAsia="宋体" w:cs="Times New Roman"/>
      <w:kern w:val="2"/>
      <w:sz w:val="21"/>
      <w:szCs w:val="22"/>
      <w:lang w:val="en-US" w:eastAsia="zh-CN" w:bidi="ar-SA"/>
    </w:rPr>
  </w:style>
  <w:style w:type="paragraph" w:customStyle="1" w:styleId="207">
    <w:name w:val="NormalIndent"/>
    <w:basedOn w:val="1"/>
    <w:qFormat/>
    <w:uiPriority w:val="0"/>
    <w:pPr>
      <w:widowControl/>
      <w:adjustRightInd/>
      <w:spacing w:line="240" w:lineRule="auto"/>
      <w:ind w:firstLine="420"/>
    </w:pPr>
    <w:rPr>
      <w:szCs w:val="20"/>
    </w:rPr>
  </w:style>
  <w:style w:type="table" w:customStyle="1" w:styleId="208">
    <w:name w:val="网格型1"/>
    <w:basedOn w:val="34"/>
    <w:qFormat/>
    <w:uiPriority w:val="39"/>
    <w:rPr>
      <w:rFonts w:ascii="等线" w:hAnsi="等线" w:eastAsia="等线"/>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209">
    <w:name w:val="Table Paragraph"/>
    <w:basedOn w:val="1"/>
    <w:qFormat/>
    <w:uiPriority w:val="1"/>
    <w:pPr>
      <w:textAlignment w:val="auto"/>
    </w:pPr>
    <w:rPr>
      <w:rFonts w:ascii="宋体" w:hAnsi="宋体" w:cs="宋体"/>
      <w:lang w:val="zh-CN" w:bidi="zh-CN"/>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theme" Target="theme/theme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64</Pages>
  <Words>6954</Words>
  <Characters>39643</Characters>
  <Lines>330</Lines>
  <Paragraphs>93</Paragraphs>
  <TotalTime>9</TotalTime>
  <ScaleCrop>false</ScaleCrop>
  <LinksUpToDate>false</LinksUpToDate>
  <CharactersWithSpaces>46504</CharactersWithSpaces>
  <Application>WPS Office_11.1.0.10132_F1E327BC-269C-435d-A152-05C5408002CA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2020-12-03T00:49:00Z</dcterms:created>
  <dc:creator>丁琳</dc:creator>
  <cp:lastModifiedBy>小旦</cp:lastModifiedBy>
  <cp:lastPrinted>2020-12-17T02:41:00Z</cp:lastPrinted>
  <dcterms:modified xsi:type="dcterms:W3CDTF">2020-12-17T03:28:48Z</dcterms:modified>
  <dc:title>南财采管〔2012〕3号</dc:title>
  <cp:revision>17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2052-11.1.0.10132</vt:lpwstr>
  </property>
</Properties>
</file>