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5" w:lineRule="exact"/>
        <w:outlineLvl w:val="2"/>
        <w:rPr>
          <w:rFonts w:hint="eastAsia" w:ascii="宋体" w:hAnsi="宋体" w:eastAsia="宋体" w:cs="宋体"/>
          <w:b/>
          <w:bCs/>
          <w:kern w:val="0"/>
          <w:sz w:val="44"/>
          <w:szCs w:val="44"/>
          <w:highlight w:val="none"/>
          <w:lang w:val="zh-CN" w:bidi="zh-CN"/>
        </w:rPr>
      </w:pPr>
    </w:p>
    <w:p>
      <w:pPr>
        <w:jc w:val="center"/>
        <w:rPr>
          <w:rFonts w:hint="eastAsia" w:ascii="宋体" w:hAnsi="宋体" w:eastAsia="宋体" w:cs="宋体"/>
          <w:b/>
          <w:color w:val="auto"/>
          <w:spacing w:val="26"/>
          <w:sz w:val="52"/>
          <w:szCs w:val="24"/>
          <w:highlight w:val="none"/>
          <w:lang w:eastAsia="zh-CN"/>
        </w:rPr>
      </w:pPr>
      <w:r>
        <w:rPr>
          <w:rFonts w:hint="eastAsia" w:ascii="宋体" w:hAnsi="宋体" w:eastAsia="宋体" w:cs="宋体"/>
          <w:b/>
          <w:color w:val="auto"/>
          <w:spacing w:val="26"/>
          <w:sz w:val="52"/>
          <w:szCs w:val="24"/>
          <w:highlight w:val="none"/>
          <w:lang w:eastAsia="zh-CN"/>
        </w:rPr>
        <w:drawing>
          <wp:inline distT="0" distB="0" distL="114300" distR="114300">
            <wp:extent cx="720090" cy="760730"/>
            <wp:effectExtent l="0" t="0" r="3810" b="1270"/>
            <wp:docPr id="7" name="图片 2" descr="LOGO图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LOGO图案"/>
                    <pic:cNvPicPr>
                      <a:picLocks noChangeAspect="1"/>
                    </pic:cNvPicPr>
                  </pic:nvPicPr>
                  <pic:blipFill>
                    <a:blip r:embed="rId25"/>
                    <a:stretch>
                      <a:fillRect/>
                    </a:stretch>
                  </pic:blipFill>
                  <pic:spPr>
                    <a:xfrm>
                      <a:off x="0" y="0"/>
                      <a:ext cx="720090" cy="760730"/>
                    </a:xfrm>
                    <a:prstGeom prst="rect">
                      <a:avLst/>
                    </a:prstGeom>
                    <a:noFill/>
                    <a:ln>
                      <a:noFill/>
                    </a:ln>
                  </pic:spPr>
                </pic:pic>
              </a:graphicData>
            </a:graphic>
          </wp:inline>
        </w:drawing>
      </w:r>
    </w:p>
    <w:p>
      <w:pPr>
        <w:jc w:val="center"/>
        <w:rPr>
          <w:rFonts w:hint="eastAsia" w:ascii="宋体" w:hAnsi="宋体" w:eastAsia="宋体" w:cs="宋体"/>
          <w:b/>
          <w:bCs/>
          <w:color w:val="auto"/>
          <w:kern w:val="0"/>
          <w:sz w:val="52"/>
          <w:szCs w:val="52"/>
          <w:highlight w:val="none"/>
          <w:lang w:eastAsia="zh-CN"/>
        </w:rPr>
      </w:pPr>
      <w:r>
        <w:rPr>
          <w:rFonts w:hint="eastAsia" w:ascii="宋体" w:hAnsi="宋体" w:eastAsia="宋体" w:cs="宋体"/>
          <w:b/>
          <w:bCs/>
          <w:color w:val="auto"/>
          <w:kern w:val="0"/>
          <w:sz w:val="52"/>
          <w:szCs w:val="52"/>
          <w:highlight w:val="none"/>
          <w:lang w:eastAsia="zh-CN"/>
        </w:rPr>
        <w:t>广西煜昌工程咨询有限公司</w:t>
      </w:r>
    </w:p>
    <w:p>
      <w:pPr>
        <w:pStyle w:val="2"/>
        <w:rPr>
          <w:rFonts w:hint="eastAsia" w:ascii="宋体" w:hAnsi="宋体" w:eastAsia="宋体" w:cs="宋体"/>
          <w:highlight w:val="none"/>
          <w:lang w:eastAsia="zh-CN"/>
        </w:rPr>
      </w:pPr>
    </w:p>
    <w:p>
      <w:pPr>
        <w:autoSpaceDE w:val="0"/>
        <w:autoSpaceDN w:val="0"/>
        <w:spacing w:line="545" w:lineRule="exact"/>
        <w:jc w:val="center"/>
        <w:outlineLvl w:val="2"/>
        <w:rPr>
          <w:rFonts w:hint="eastAsia" w:ascii="宋体" w:hAnsi="宋体" w:eastAsia="宋体" w:cs="宋体"/>
          <w:b/>
          <w:bCs/>
          <w:kern w:val="0"/>
          <w:sz w:val="44"/>
          <w:szCs w:val="44"/>
          <w:highlight w:val="none"/>
          <w:lang w:val="zh-CN" w:bidi="zh-CN"/>
        </w:rPr>
      </w:pPr>
      <w:r>
        <w:rPr>
          <w:rFonts w:hint="eastAsia" w:ascii="宋体" w:hAnsi="宋体" w:eastAsia="宋体" w:cs="宋体"/>
          <w:b/>
          <w:bCs/>
          <w:kern w:val="0"/>
          <w:sz w:val="44"/>
          <w:szCs w:val="44"/>
          <w:highlight w:val="none"/>
          <w:lang w:val="zh-CN" w:bidi="zh-CN"/>
        </w:rPr>
        <w:t xml:space="preserve">2023年永福县高标准农田改造提升项目 （广福乡、罗锦镇、三皇镇、苏桥镇）                          </w:t>
      </w:r>
    </w:p>
    <w:p>
      <w:pPr>
        <w:autoSpaceDE w:val="0"/>
        <w:autoSpaceDN w:val="0"/>
        <w:jc w:val="left"/>
        <w:rPr>
          <w:rFonts w:hint="eastAsia" w:ascii="宋体" w:hAnsi="宋体" w:eastAsia="宋体" w:cs="宋体"/>
          <w:b/>
          <w:kern w:val="0"/>
          <w:sz w:val="36"/>
          <w:szCs w:val="24"/>
          <w:highlight w:val="none"/>
          <w:lang w:val="zh-CN" w:bidi="zh-CN"/>
        </w:rPr>
      </w:pPr>
    </w:p>
    <w:p>
      <w:pPr>
        <w:autoSpaceDE w:val="0"/>
        <w:autoSpaceDN w:val="0"/>
        <w:spacing w:before="5"/>
        <w:jc w:val="left"/>
        <w:rPr>
          <w:rFonts w:hint="eastAsia" w:ascii="宋体" w:hAnsi="宋体" w:eastAsia="宋体" w:cs="宋体"/>
          <w:b/>
          <w:kern w:val="0"/>
          <w:sz w:val="53"/>
          <w:szCs w:val="24"/>
          <w:highlight w:val="none"/>
          <w:lang w:val="zh-CN" w:bidi="zh-CN"/>
        </w:rPr>
      </w:pPr>
    </w:p>
    <w:p>
      <w:pPr>
        <w:autoSpaceDE w:val="0"/>
        <w:autoSpaceDN w:val="0"/>
        <w:jc w:val="center"/>
        <w:rPr>
          <w:rFonts w:hint="eastAsia" w:ascii="宋体" w:hAnsi="宋体" w:eastAsia="宋体" w:cs="宋体"/>
          <w:b/>
          <w:kern w:val="0"/>
          <w:sz w:val="84"/>
          <w:szCs w:val="84"/>
          <w:highlight w:val="none"/>
          <w:lang w:val="zh-CN" w:bidi="zh-CN"/>
        </w:rPr>
      </w:pPr>
      <w:r>
        <w:rPr>
          <w:rFonts w:hint="eastAsia" w:ascii="宋体" w:hAnsi="宋体" w:eastAsia="宋体" w:cs="宋体"/>
          <w:b/>
          <w:kern w:val="0"/>
          <w:sz w:val="84"/>
          <w:szCs w:val="84"/>
          <w:highlight w:val="none"/>
          <w:lang w:val="zh-CN" w:bidi="zh-CN"/>
        </w:rPr>
        <w:t>施工招标文件</w:t>
      </w:r>
    </w:p>
    <w:p>
      <w:pPr>
        <w:autoSpaceDE w:val="0"/>
        <w:autoSpaceDN w:val="0"/>
        <w:spacing w:before="337"/>
        <w:jc w:val="center"/>
        <w:rPr>
          <w:rFonts w:hint="eastAsia" w:ascii="宋体" w:hAnsi="宋体" w:eastAsia="宋体" w:cs="宋体"/>
          <w:kern w:val="0"/>
          <w:szCs w:val="22"/>
          <w:highlight w:val="none"/>
          <w:lang w:val="zh-CN" w:bidi="zh-CN"/>
        </w:rPr>
      </w:pPr>
      <w:r>
        <w:rPr>
          <w:rFonts w:hint="eastAsia" w:ascii="宋体" w:hAnsi="宋体" w:eastAsia="宋体" w:cs="宋体"/>
          <w:kern w:val="0"/>
          <w:szCs w:val="22"/>
          <w:highlight w:val="none"/>
          <w:lang w:val="zh-CN" w:bidi="zh-CN"/>
        </w:rPr>
        <w:t xml:space="preserve">项目编号：                                    </w:t>
      </w: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jc w:val="left"/>
        <w:rPr>
          <w:rFonts w:hint="eastAsia" w:ascii="宋体" w:hAnsi="宋体" w:eastAsia="宋体" w:cs="宋体"/>
          <w:kern w:val="0"/>
          <w:szCs w:val="24"/>
          <w:highlight w:val="none"/>
          <w:lang w:val="zh-CN" w:bidi="zh-CN"/>
        </w:rPr>
      </w:pPr>
    </w:p>
    <w:p>
      <w:pPr>
        <w:autoSpaceDE w:val="0"/>
        <w:autoSpaceDN w:val="0"/>
        <w:spacing w:before="11"/>
        <w:jc w:val="left"/>
        <w:rPr>
          <w:rFonts w:hint="eastAsia" w:ascii="宋体" w:hAnsi="宋体" w:eastAsia="宋体" w:cs="宋体"/>
          <w:kern w:val="0"/>
          <w:sz w:val="25"/>
          <w:szCs w:val="24"/>
          <w:highlight w:val="none"/>
          <w:lang w:val="zh-CN" w:bidi="zh-CN"/>
        </w:rPr>
      </w:pPr>
    </w:p>
    <w:p>
      <w:pPr>
        <w:autoSpaceDE w:val="0"/>
        <w:autoSpaceDN w:val="0"/>
        <w:spacing w:before="16"/>
        <w:jc w:val="left"/>
        <w:rPr>
          <w:rFonts w:hint="eastAsia" w:ascii="宋体" w:hAnsi="宋体" w:eastAsia="宋体" w:cs="宋体"/>
          <w:b/>
          <w:kern w:val="0"/>
          <w:sz w:val="35"/>
          <w:szCs w:val="24"/>
          <w:highlight w:val="none"/>
          <w:lang w:val="zh-CN" w:bidi="zh-CN"/>
        </w:rPr>
      </w:pPr>
    </w:p>
    <w:p>
      <w:pPr>
        <w:autoSpaceDE w:val="0"/>
        <w:autoSpaceDN w:val="0"/>
        <w:spacing w:line="545" w:lineRule="exact"/>
        <w:jc w:val="center"/>
        <w:outlineLvl w:val="2"/>
        <w:rPr>
          <w:rFonts w:hint="eastAsia" w:ascii="宋体" w:hAnsi="宋体" w:eastAsia="宋体" w:cs="宋体"/>
          <w:b/>
          <w:bCs/>
          <w:kern w:val="0"/>
          <w:sz w:val="32"/>
          <w:szCs w:val="32"/>
          <w:highlight w:val="none"/>
          <w:lang w:val="zh-CN" w:bidi="zh-CN"/>
        </w:rPr>
      </w:pPr>
      <w:bookmarkStart w:id="0" w:name="_Toc115372958"/>
      <w:r>
        <w:rPr>
          <w:rFonts w:hint="eastAsia" w:ascii="宋体" w:hAnsi="宋体" w:eastAsia="宋体" w:cs="宋体"/>
          <w:b/>
          <w:bCs/>
          <w:kern w:val="0"/>
          <w:sz w:val="32"/>
          <w:szCs w:val="32"/>
          <w:highlight w:val="none"/>
          <w:lang w:val="zh-CN" w:bidi="zh-CN"/>
        </w:rPr>
        <w:t>招标代理机构：</w:t>
      </w:r>
      <w:bookmarkEnd w:id="0"/>
      <w:r>
        <w:rPr>
          <w:rFonts w:hint="eastAsia" w:ascii="宋体" w:hAnsi="宋体" w:eastAsia="宋体" w:cs="宋体"/>
          <w:b/>
          <w:bCs/>
          <w:kern w:val="0"/>
          <w:sz w:val="32"/>
          <w:szCs w:val="32"/>
          <w:highlight w:val="none"/>
          <w:lang w:val="zh-CN" w:bidi="zh-CN"/>
        </w:rPr>
        <w:t xml:space="preserve">广西煜昌工程咨询有限公司          </w:t>
      </w:r>
    </w:p>
    <w:p>
      <w:pPr>
        <w:autoSpaceDE w:val="0"/>
        <w:autoSpaceDN w:val="0"/>
        <w:spacing w:line="545" w:lineRule="exact"/>
        <w:jc w:val="center"/>
        <w:outlineLvl w:val="2"/>
        <w:rPr>
          <w:rFonts w:hint="eastAsia" w:ascii="宋体" w:hAnsi="宋体" w:eastAsia="宋体" w:cs="宋体"/>
          <w:b/>
          <w:bCs/>
          <w:kern w:val="0"/>
          <w:sz w:val="32"/>
          <w:szCs w:val="32"/>
          <w:highlight w:val="none"/>
          <w:lang w:val="zh-CN" w:bidi="zh-CN"/>
        </w:rPr>
      </w:pPr>
      <w:r>
        <w:rPr>
          <w:rFonts w:hint="eastAsia" w:ascii="宋体" w:hAnsi="宋体" w:eastAsia="宋体" w:cs="宋体"/>
          <w:b/>
          <w:bCs/>
          <w:kern w:val="0"/>
          <w:sz w:val="32"/>
          <w:szCs w:val="32"/>
          <w:highlight w:val="none"/>
          <w:lang w:val="zh-CN" w:bidi="zh-CN"/>
        </w:rPr>
        <w:t>202</w:t>
      </w:r>
      <w:r>
        <w:rPr>
          <w:rFonts w:hint="eastAsia" w:ascii="宋体" w:hAnsi="宋体" w:eastAsia="宋体" w:cs="宋体"/>
          <w:b/>
          <w:bCs/>
          <w:kern w:val="0"/>
          <w:sz w:val="32"/>
          <w:szCs w:val="32"/>
          <w:highlight w:val="none"/>
          <w:lang w:val="en-US" w:bidi="zh-CN"/>
        </w:rPr>
        <w:t>3</w:t>
      </w:r>
      <w:r>
        <w:rPr>
          <w:rFonts w:hint="eastAsia" w:ascii="宋体" w:hAnsi="宋体" w:eastAsia="宋体" w:cs="宋体"/>
          <w:b/>
          <w:bCs/>
          <w:kern w:val="0"/>
          <w:sz w:val="32"/>
          <w:szCs w:val="32"/>
          <w:highlight w:val="none"/>
          <w:lang w:val="zh-CN" w:bidi="zh-CN"/>
        </w:rPr>
        <w:t>年</w:t>
      </w:r>
      <w:r>
        <w:rPr>
          <w:rFonts w:hint="eastAsia" w:ascii="宋体" w:hAnsi="宋体" w:cs="宋体"/>
          <w:b/>
          <w:bCs/>
          <w:kern w:val="0"/>
          <w:sz w:val="32"/>
          <w:szCs w:val="32"/>
          <w:highlight w:val="none"/>
          <w:lang w:val="en-US" w:bidi="zh-CN"/>
        </w:rPr>
        <w:t>08</w:t>
      </w:r>
      <w:r>
        <w:rPr>
          <w:rFonts w:hint="eastAsia" w:ascii="宋体" w:hAnsi="宋体" w:eastAsia="宋体" w:cs="宋体"/>
          <w:b/>
          <w:bCs/>
          <w:kern w:val="0"/>
          <w:sz w:val="32"/>
          <w:szCs w:val="32"/>
          <w:highlight w:val="none"/>
          <w:lang w:val="zh-CN" w:bidi="zh-CN"/>
        </w:rPr>
        <w:t>月</w:t>
      </w:r>
      <w:r>
        <w:rPr>
          <w:rFonts w:hint="eastAsia" w:ascii="宋体" w:hAnsi="宋体" w:cs="宋体"/>
          <w:b/>
          <w:bCs/>
          <w:kern w:val="0"/>
          <w:sz w:val="32"/>
          <w:szCs w:val="32"/>
          <w:highlight w:val="none"/>
          <w:lang w:val="en-US" w:bidi="zh-CN"/>
        </w:rPr>
        <w:t>11</w:t>
      </w:r>
      <w:r>
        <w:rPr>
          <w:rFonts w:hint="eastAsia" w:ascii="宋体" w:hAnsi="宋体" w:eastAsia="宋体" w:cs="宋体"/>
          <w:b/>
          <w:bCs/>
          <w:kern w:val="0"/>
          <w:sz w:val="32"/>
          <w:szCs w:val="32"/>
          <w:highlight w:val="none"/>
          <w:lang w:val="zh-CN" w:bidi="zh-CN"/>
        </w:rPr>
        <w:t>日</w:t>
      </w:r>
    </w:p>
    <w:p>
      <w:pPr>
        <w:spacing w:line="360" w:lineRule="auto"/>
        <w:jc w:val="center"/>
        <w:rPr>
          <w:rFonts w:hint="eastAsia" w:ascii="宋体" w:hAnsi="宋体" w:eastAsia="宋体" w:cs="宋体"/>
          <w:b/>
          <w:bCs/>
          <w:kern w:val="0"/>
          <w:sz w:val="36"/>
          <w:szCs w:val="36"/>
          <w:highlight w:val="none"/>
        </w:rPr>
        <w:sectPr>
          <w:headerReference r:id="rId3" w:type="default"/>
          <w:footerReference r:id="rId4" w:type="default"/>
          <w:footerReference r:id="rId5" w:type="even"/>
          <w:pgSz w:w="11906" w:h="16838"/>
          <w:pgMar w:top="850" w:right="972" w:bottom="850" w:left="854" w:header="851" w:footer="992" w:gutter="0"/>
          <w:cols w:space="720" w:num="1"/>
          <w:titlePg/>
          <w:docGrid w:type="lines" w:linePitch="388" w:charSpace="0"/>
        </w:sectPr>
      </w:pPr>
    </w:p>
    <w:p>
      <w:pPr>
        <w:pStyle w:val="2"/>
        <w:rPr>
          <w:rFonts w:hint="eastAsia"/>
        </w:rPr>
      </w:pPr>
    </w:p>
    <w:p>
      <w:pPr>
        <w:spacing w:line="360" w:lineRule="auto"/>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目    录</w:t>
      </w:r>
    </w:p>
    <w:p>
      <w:pPr>
        <w:pStyle w:val="22"/>
        <w:tabs>
          <w:tab w:val="right" w:leader="dot" w:pos="10070"/>
        </w:tabs>
        <w:ind w:left="1120" w:firstLine="562"/>
        <w:rPr>
          <w:rFonts w:hint="eastAsia" w:ascii="宋体" w:hAnsi="宋体" w:eastAsia="宋体" w:cs="宋体"/>
          <w:sz w:val="21"/>
          <w:szCs w:val="22"/>
          <w:highlight w:val="none"/>
        </w:rPr>
      </w:pPr>
      <w:r>
        <w:rPr>
          <w:rFonts w:hint="eastAsia" w:ascii="宋体" w:hAnsi="宋体" w:eastAsia="宋体" w:cs="宋体"/>
          <w:b/>
          <w:kern w:val="0"/>
          <w:szCs w:val="28"/>
          <w:highlight w:val="none"/>
        </w:rPr>
        <w:fldChar w:fldCharType="begin"/>
      </w:r>
      <w:r>
        <w:rPr>
          <w:rFonts w:hint="eastAsia" w:ascii="宋体" w:hAnsi="宋体" w:eastAsia="宋体" w:cs="宋体"/>
          <w:b/>
          <w:kern w:val="0"/>
          <w:szCs w:val="28"/>
          <w:highlight w:val="none"/>
        </w:rPr>
        <w:instrText xml:space="preserve"> TOC \o "1-3" \h \z \u </w:instrText>
      </w:r>
      <w:r>
        <w:rPr>
          <w:rFonts w:hint="eastAsia" w:ascii="宋体" w:hAnsi="宋体" w:eastAsia="宋体" w:cs="宋体"/>
          <w:b/>
          <w:kern w:val="0"/>
          <w:szCs w:val="28"/>
          <w:highlight w:val="none"/>
        </w:rPr>
        <w:fldChar w:fldCharType="separate"/>
      </w:r>
    </w:p>
    <w:p>
      <w:pPr>
        <w:pStyle w:val="30"/>
        <w:tabs>
          <w:tab w:val="right" w:leader="dot" w:pos="10070"/>
        </w:tabs>
        <w:spacing w:line="360" w:lineRule="auto"/>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"_Toc115372960"</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 一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_Toc115372960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"_Toc115372961"</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第一章 招标公告</w:t>
      </w:r>
      <w:bookmarkStart w:id="1" w:name="_Hlt116914778"/>
      <w:bookmarkStart w:id="2" w:name="_Hlt116374177"/>
      <w:r>
        <w:rPr>
          <w:rFonts w:hint="eastAsia" w:ascii="宋体" w:hAnsi="宋体" w:eastAsia="宋体" w:cs="宋体"/>
          <w:highlight w:val="none"/>
        </w:rPr>
        <w:tab/>
      </w:r>
      <w:bookmarkEnd w:id="1"/>
      <w:bookmarkEnd w:id="2"/>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_Toc115372961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"_Toc115372962"</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第二章 投标人须知</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_Toc115372962 \h </w:instrText>
      </w:r>
      <w:r>
        <w:rPr>
          <w:rFonts w:hint="eastAsia" w:ascii="宋体" w:hAnsi="宋体" w:eastAsia="宋体" w:cs="宋体"/>
          <w:highlight w:val="none"/>
        </w:rPr>
        <w:fldChar w:fldCharType="separate"/>
      </w:r>
      <w:r>
        <w:rPr>
          <w:rFonts w:hint="eastAsia" w:ascii="宋体" w:hAnsi="宋体" w:eastAsia="宋体" w:cs="宋体"/>
          <w:highlight w:val="none"/>
        </w:rPr>
        <w:t>5</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"_Toc115372966"</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第三章 评标办法（综合评分法）</w:t>
      </w:r>
      <w:bookmarkStart w:id="3" w:name="_Hlt116571526"/>
      <w:r>
        <w:rPr>
          <w:rFonts w:hint="eastAsia" w:ascii="宋体" w:hAnsi="宋体" w:eastAsia="宋体" w:cs="宋体"/>
          <w:highlight w:val="none"/>
        </w:rPr>
        <w:tab/>
      </w:r>
      <w:bookmarkEnd w:id="3"/>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_Toc115372966 \h </w:instrText>
      </w:r>
      <w:r>
        <w:rPr>
          <w:rFonts w:hint="eastAsia" w:ascii="宋体" w:hAnsi="宋体" w:eastAsia="宋体" w:cs="宋体"/>
          <w:highlight w:val="none"/>
        </w:rPr>
        <w:fldChar w:fldCharType="separate"/>
      </w:r>
      <w:r>
        <w:rPr>
          <w:rFonts w:hint="eastAsia" w:ascii="宋体" w:hAnsi="宋体" w:eastAsia="宋体" w:cs="宋体"/>
          <w:highlight w:val="none"/>
        </w:rPr>
        <w:t>24</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"_Toc115373010"</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第四章 合同条款及格式</w:t>
      </w:r>
      <w:r>
        <w:rPr>
          <w:rFonts w:hint="eastAsia" w:ascii="宋体" w:hAnsi="宋体" w:eastAsia="宋体" w:cs="宋体"/>
          <w:highlight w:val="none"/>
        </w:rPr>
        <w:tab/>
      </w:r>
      <w:bookmarkStart w:id="4" w:name="_Hlt116915389"/>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_Toc115373010 \h </w:instrText>
      </w:r>
      <w:r>
        <w:rPr>
          <w:rFonts w:hint="eastAsia" w:ascii="宋体" w:hAnsi="宋体" w:eastAsia="宋体" w:cs="宋体"/>
          <w:highlight w:val="none"/>
        </w:rPr>
        <w:fldChar w:fldCharType="separate"/>
      </w:r>
      <w:r>
        <w:rPr>
          <w:rFonts w:hint="eastAsia" w:ascii="宋体" w:hAnsi="宋体" w:eastAsia="宋体" w:cs="宋体"/>
          <w:highlight w:val="none"/>
        </w:rPr>
        <w:t>37</w:t>
      </w:r>
      <w:r>
        <w:rPr>
          <w:rFonts w:hint="eastAsia" w:ascii="宋体" w:hAnsi="宋体" w:eastAsia="宋体" w:cs="宋体"/>
          <w:highlight w:val="none"/>
        </w:rPr>
        <w:fldChar w:fldCharType="end"/>
      </w:r>
      <w:bookmarkEnd w:id="4"/>
      <w:r>
        <w:rPr>
          <w:rStyle w:val="58"/>
          <w:rFonts w:hint="eastAsia" w:ascii="宋体" w:hAnsi="宋体" w:eastAsia="宋体" w:cs="宋体"/>
          <w:highlight w:val="none"/>
        </w:rPr>
        <w:fldChar w:fldCharType="end"/>
      </w:r>
    </w:p>
    <w:p>
      <w:pPr>
        <w:pStyle w:val="30"/>
        <w:tabs>
          <w:tab w:val="right" w:leader="dot" w:pos="10070"/>
        </w:tabs>
        <w:spacing w:line="360" w:lineRule="auto"/>
        <w:rPr>
          <w:rFonts w:hint="eastAsia" w:ascii="宋体" w:hAnsi="宋体" w:eastAsia="宋体" w:cs="宋体"/>
          <w:sz w:val="21"/>
          <w:szCs w:val="22"/>
          <w:highlight w:val="none"/>
        </w:rPr>
      </w:pPr>
      <w:r>
        <w:rPr>
          <w:rStyle w:val="58"/>
          <w:rFonts w:hint="eastAsia" w:ascii="宋体" w:hAnsi="宋体" w:eastAsia="宋体" w:cs="宋体"/>
          <w:highlight w:val="none"/>
        </w:rPr>
        <w:t xml:space="preserve">    </w:t>
      </w: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"_Toc115373059"</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第五章 工程量清单</w:t>
      </w:r>
      <w:r>
        <w:rPr>
          <w:rFonts w:hint="eastAsia" w:ascii="宋体" w:hAnsi="宋体" w:eastAsia="宋体" w:cs="宋体"/>
          <w:highlight w:val="none"/>
        </w:rPr>
        <w:tab/>
      </w:r>
      <w:bookmarkStart w:id="5" w:name="_Hlt116915375"/>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_Toc115373059 \h </w:instrText>
      </w:r>
      <w:r>
        <w:rPr>
          <w:rFonts w:hint="eastAsia" w:ascii="宋体" w:hAnsi="宋体" w:eastAsia="宋体" w:cs="宋体"/>
          <w:highlight w:val="none"/>
        </w:rPr>
        <w:fldChar w:fldCharType="separate"/>
      </w:r>
      <w:r>
        <w:rPr>
          <w:rFonts w:hint="eastAsia" w:ascii="宋体" w:hAnsi="宋体" w:eastAsia="宋体" w:cs="宋体"/>
          <w:highlight w:val="none"/>
        </w:rPr>
        <w:t>100</w:t>
      </w:r>
      <w:r>
        <w:rPr>
          <w:rFonts w:hint="eastAsia" w:ascii="宋体" w:hAnsi="宋体" w:eastAsia="宋体" w:cs="宋体"/>
          <w:highlight w:val="none"/>
        </w:rPr>
        <w:fldChar w:fldCharType="end"/>
      </w:r>
      <w:bookmarkEnd w:id="5"/>
      <w:r>
        <w:rPr>
          <w:rStyle w:val="58"/>
          <w:rFonts w:hint="eastAsia" w:ascii="宋体" w:hAnsi="宋体" w:eastAsia="宋体" w:cs="宋体"/>
          <w:highlight w:val="none"/>
        </w:rPr>
        <w:fldChar w:fldCharType="end"/>
      </w:r>
    </w:p>
    <w:p>
      <w:pPr>
        <w:pStyle w:val="30"/>
        <w:tabs>
          <w:tab w:val="right" w:leader="dot" w:pos="10070"/>
        </w:tabs>
        <w:spacing w:line="360" w:lineRule="auto"/>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"_Toc115373060"</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 二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_Toc115373060 \h </w:instrText>
      </w:r>
      <w:r>
        <w:rPr>
          <w:rFonts w:hint="eastAsia" w:ascii="宋体" w:hAnsi="宋体" w:eastAsia="宋体" w:cs="宋体"/>
          <w:highlight w:val="none"/>
        </w:rPr>
        <w:fldChar w:fldCharType="separate"/>
      </w:r>
      <w:r>
        <w:rPr>
          <w:rFonts w:hint="eastAsia" w:ascii="宋体" w:hAnsi="宋体" w:eastAsia="宋体" w:cs="宋体"/>
          <w:highlight w:val="none"/>
        </w:rPr>
        <w:t>102</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"_Toc115373061"</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第六章  图纸（另册）</w:t>
      </w:r>
      <w:bookmarkStart w:id="6" w:name="_Hlt116915294"/>
      <w:r>
        <w:rPr>
          <w:rFonts w:hint="eastAsia" w:ascii="宋体" w:hAnsi="宋体" w:eastAsia="宋体" w:cs="宋体"/>
          <w:highlight w:val="none"/>
        </w:rPr>
        <w:tab/>
      </w:r>
      <w:bookmarkEnd w:id="6"/>
      <w:bookmarkStart w:id="7" w:name="_Hlt116915356"/>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_Toc115373061 \h </w:instrText>
      </w:r>
      <w:r>
        <w:rPr>
          <w:rFonts w:hint="eastAsia" w:ascii="宋体" w:hAnsi="宋体" w:eastAsia="宋体" w:cs="宋体"/>
          <w:highlight w:val="none"/>
        </w:rPr>
        <w:fldChar w:fldCharType="separate"/>
      </w:r>
      <w:r>
        <w:rPr>
          <w:rFonts w:hint="eastAsia" w:ascii="宋体" w:hAnsi="宋体" w:eastAsia="宋体" w:cs="宋体"/>
          <w:highlight w:val="none"/>
        </w:rPr>
        <w:t>102</w:t>
      </w:r>
      <w:r>
        <w:rPr>
          <w:rFonts w:hint="eastAsia" w:ascii="宋体" w:hAnsi="宋体" w:eastAsia="宋体" w:cs="宋体"/>
          <w:highlight w:val="none"/>
        </w:rPr>
        <w:fldChar w:fldCharType="end"/>
      </w:r>
      <w:bookmarkEnd w:id="7"/>
      <w:r>
        <w:rPr>
          <w:rStyle w:val="58"/>
          <w:rFonts w:hint="eastAsia" w:ascii="宋体" w:hAnsi="宋体" w:eastAsia="宋体" w:cs="宋体"/>
          <w:highlight w:val="none"/>
        </w:rPr>
        <w:fldChar w:fldCharType="end"/>
      </w:r>
    </w:p>
    <w:p>
      <w:pPr>
        <w:pStyle w:val="30"/>
        <w:tabs>
          <w:tab w:val="right" w:leader="dot" w:pos="10070"/>
        </w:tabs>
        <w:spacing w:line="360" w:lineRule="auto"/>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"_Toc115373062"</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 三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_Toc115373062 \h </w:instrText>
      </w:r>
      <w:r>
        <w:rPr>
          <w:rFonts w:hint="eastAsia" w:ascii="宋体" w:hAnsi="宋体" w:eastAsia="宋体" w:cs="宋体"/>
          <w:highlight w:val="none"/>
        </w:rPr>
        <w:fldChar w:fldCharType="separate"/>
      </w:r>
      <w:r>
        <w:rPr>
          <w:rFonts w:hint="eastAsia" w:ascii="宋体" w:hAnsi="宋体" w:eastAsia="宋体" w:cs="宋体"/>
          <w:highlight w:val="none"/>
        </w:rPr>
        <w:t>103</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"_Toc115373063"</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第七章 技术标准和要求</w:t>
      </w:r>
      <w:r>
        <w:rPr>
          <w:rFonts w:hint="eastAsia" w:ascii="宋体" w:hAnsi="宋体" w:eastAsia="宋体" w:cs="宋体"/>
          <w:highlight w:val="none"/>
        </w:rPr>
        <w:tab/>
      </w:r>
      <w:bookmarkStart w:id="8" w:name="_Hlt116915342"/>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_Toc115373063 \h </w:instrText>
      </w:r>
      <w:r>
        <w:rPr>
          <w:rFonts w:hint="eastAsia" w:ascii="宋体" w:hAnsi="宋体" w:eastAsia="宋体" w:cs="宋体"/>
          <w:highlight w:val="none"/>
        </w:rPr>
        <w:fldChar w:fldCharType="separate"/>
      </w:r>
      <w:r>
        <w:rPr>
          <w:rFonts w:hint="eastAsia" w:ascii="宋体" w:hAnsi="宋体" w:eastAsia="宋体" w:cs="宋体"/>
          <w:highlight w:val="none"/>
        </w:rPr>
        <w:t>103</w:t>
      </w:r>
      <w:r>
        <w:rPr>
          <w:rFonts w:hint="eastAsia" w:ascii="宋体" w:hAnsi="宋体" w:eastAsia="宋体" w:cs="宋体"/>
          <w:highlight w:val="none"/>
        </w:rPr>
        <w:fldChar w:fldCharType="end"/>
      </w:r>
      <w:bookmarkEnd w:id="8"/>
      <w:r>
        <w:rPr>
          <w:rStyle w:val="58"/>
          <w:rFonts w:hint="eastAsia" w:ascii="宋体" w:hAnsi="宋体" w:eastAsia="宋体" w:cs="宋体"/>
          <w:highlight w:val="none"/>
        </w:rPr>
        <w:fldChar w:fldCharType="end"/>
      </w:r>
    </w:p>
    <w:p>
      <w:pPr>
        <w:pStyle w:val="30"/>
        <w:tabs>
          <w:tab w:val="right" w:leader="dot" w:pos="10070"/>
        </w:tabs>
        <w:spacing w:line="360" w:lineRule="auto"/>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"_Toc115373064"</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 四 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_Toc115373064 \h </w:instrText>
      </w:r>
      <w:r>
        <w:rPr>
          <w:rFonts w:hint="eastAsia" w:ascii="宋体" w:hAnsi="宋体" w:eastAsia="宋体" w:cs="宋体"/>
          <w:highlight w:val="none"/>
        </w:rPr>
        <w:fldChar w:fldCharType="separate"/>
      </w:r>
      <w:r>
        <w:rPr>
          <w:rFonts w:hint="eastAsia" w:ascii="宋体" w:hAnsi="宋体" w:eastAsia="宋体" w:cs="宋体"/>
          <w:highlight w:val="none"/>
        </w:rPr>
        <w:t>104</w:t>
      </w:r>
      <w:r>
        <w:rPr>
          <w:rFonts w:hint="eastAsia" w:ascii="宋体" w:hAnsi="宋体" w:eastAsia="宋体" w:cs="宋体"/>
          <w:highlight w:val="none"/>
        </w:rPr>
        <w:fldChar w:fldCharType="end"/>
      </w:r>
      <w:r>
        <w:rPr>
          <w:rStyle w:val="58"/>
          <w:rFonts w:hint="eastAsia" w:ascii="宋体" w:hAnsi="宋体" w:eastAsia="宋体" w:cs="宋体"/>
          <w:highlight w:val="none"/>
        </w:rPr>
        <w:fldChar w:fldCharType="end"/>
      </w:r>
    </w:p>
    <w:p>
      <w:pPr>
        <w:pStyle w:val="37"/>
        <w:tabs>
          <w:tab w:val="right" w:leader="dot" w:pos="10070"/>
        </w:tabs>
        <w:spacing w:line="360" w:lineRule="auto"/>
        <w:ind w:left="560"/>
        <w:rPr>
          <w:rFonts w:hint="eastAsia" w:ascii="宋体" w:hAnsi="宋体" w:eastAsia="宋体" w:cs="宋体"/>
          <w:sz w:val="21"/>
          <w:szCs w:val="22"/>
          <w:highlight w:val="none"/>
        </w:rPr>
      </w:pPr>
      <w:r>
        <w:rPr>
          <w:rStyle w:val="58"/>
          <w:rFonts w:hint="eastAsia" w:ascii="宋体" w:hAnsi="宋体" w:eastAsia="宋体" w:cs="宋体"/>
          <w:highlight w:val="none"/>
        </w:rPr>
        <w:fldChar w:fldCharType="begin"/>
      </w:r>
      <w:r>
        <w:rPr>
          <w:rStyle w:val="58"/>
          <w:rFonts w:hint="eastAsia" w:ascii="宋体" w:hAnsi="宋体" w:eastAsia="宋体" w:cs="宋体"/>
          <w:highlight w:val="none"/>
        </w:rPr>
        <w:instrText xml:space="preserve"> </w:instrText>
      </w:r>
      <w:r>
        <w:rPr>
          <w:rFonts w:hint="eastAsia" w:ascii="宋体" w:hAnsi="宋体" w:eastAsia="宋体" w:cs="宋体"/>
          <w:highlight w:val="none"/>
        </w:rPr>
        <w:instrText xml:space="preserve">HYPERLINK \l "_Toc115373065"</w:instrText>
      </w:r>
      <w:r>
        <w:rPr>
          <w:rStyle w:val="58"/>
          <w:rFonts w:hint="eastAsia" w:ascii="宋体" w:hAnsi="宋体" w:eastAsia="宋体" w:cs="宋体"/>
          <w:highlight w:val="none"/>
        </w:rPr>
        <w:instrText xml:space="preserve"> </w:instrText>
      </w:r>
      <w:r>
        <w:rPr>
          <w:rStyle w:val="58"/>
          <w:rFonts w:hint="eastAsia" w:ascii="宋体" w:hAnsi="宋体" w:eastAsia="宋体" w:cs="宋体"/>
          <w:highlight w:val="none"/>
        </w:rPr>
        <w:fldChar w:fldCharType="separate"/>
      </w:r>
      <w:r>
        <w:rPr>
          <w:rStyle w:val="58"/>
          <w:rFonts w:hint="eastAsia" w:ascii="宋体" w:hAnsi="宋体" w:eastAsia="宋体" w:cs="宋体"/>
          <w:highlight w:val="none"/>
        </w:rPr>
        <w:t>第八章 投标文件格式</w:t>
      </w:r>
      <w:r>
        <w:rPr>
          <w:rFonts w:hint="eastAsia" w:ascii="宋体" w:hAnsi="宋体" w:eastAsia="宋体" w:cs="宋体"/>
          <w:highlight w:val="none"/>
        </w:rPr>
        <w:tab/>
      </w:r>
      <w:bookmarkStart w:id="9" w:name="_Hlt116915335"/>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_Toc115373065 \h </w:instrText>
      </w:r>
      <w:r>
        <w:rPr>
          <w:rFonts w:hint="eastAsia" w:ascii="宋体" w:hAnsi="宋体" w:eastAsia="宋体" w:cs="宋体"/>
          <w:highlight w:val="none"/>
        </w:rPr>
        <w:fldChar w:fldCharType="separate"/>
      </w:r>
      <w:r>
        <w:rPr>
          <w:rFonts w:hint="eastAsia" w:ascii="宋体" w:hAnsi="宋体" w:eastAsia="宋体" w:cs="宋体"/>
          <w:highlight w:val="none"/>
        </w:rPr>
        <w:t>104</w:t>
      </w:r>
      <w:r>
        <w:rPr>
          <w:rFonts w:hint="eastAsia" w:ascii="宋体" w:hAnsi="宋体" w:eastAsia="宋体" w:cs="宋体"/>
          <w:highlight w:val="none"/>
        </w:rPr>
        <w:fldChar w:fldCharType="end"/>
      </w:r>
      <w:bookmarkEnd w:id="9"/>
      <w:r>
        <w:rPr>
          <w:rStyle w:val="58"/>
          <w:rFonts w:hint="eastAsia" w:ascii="宋体" w:hAnsi="宋体" w:eastAsia="宋体" w:cs="宋体"/>
          <w:highlight w:val="none"/>
        </w:rPr>
        <w:fldChar w:fldCharType="end"/>
      </w:r>
    </w:p>
    <w:p>
      <w:pPr>
        <w:pStyle w:val="3"/>
        <w:spacing w:before="0" w:after="0" w:line="0" w:lineRule="atLeast"/>
        <w:jc w:val="center"/>
        <w:rPr>
          <w:rFonts w:hint="eastAsia" w:ascii="宋体" w:hAnsi="宋体" w:eastAsia="宋体" w:cs="宋体"/>
          <w:b w:val="0"/>
          <w:kern w:val="0"/>
          <w:sz w:val="32"/>
          <w:szCs w:val="32"/>
          <w:highlight w:val="none"/>
        </w:rPr>
      </w:pPr>
      <w:r>
        <w:rPr>
          <w:rFonts w:hint="eastAsia" w:ascii="宋体" w:hAnsi="宋体" w:eastAsia="宋体" w:cs="宋体"/>
          <w:kern w:val="0"/>
          <w:sz w:val="28"/>
          <w:szCs w:val="28"/>
          <w:highlight w:val="none"/>
        </w:rPr>
        <w:fldChar w:fldCharType="end"/>
      </w: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jc w:val="center"/>
        <w:outlineLvl w:val="0"/>
        <w:rPr>
          <w:rFonts w:hint="eastAsia" w:ascii="宋体" w:hAnsi="宋体" w:eastAsia="宋体" w:cs="宋体"/>
          <w:b/>
          <w:sz w:val="36"/>
          <w:highlight w:val="none"/>
        </w:rPr>
      </w:pPr>
      <w:r>
        <w:rPr>
          <w:rFonts w:hint="eastAsia" w:ascii="宋体" w:hAnsi="宋体" w:eastAsia="宋体" w:cs="宋体"/>
          <w:highlight w:val="none"/>
        </w:rPr>
        <w:br w:type="page"/>
      </w:r>
      <w:bookmarkStart w:id="10" w:name="_Toc115372960"/>
      <w:r>
        <w:rPr>
          <w:rFonts w:hint="eastAsia" w:ascii="宋体" w:hAnsi="宋体" w:eastAsia="宋体" w:cs="宋体"/>
          <w:b/>
          <w:sz w:val="36"/>
          <w:highlight w:val="none"/>
        </w:rPr>
        <w:t>第 一 卷</w:t>
      </w:r>
      <w:bookmarkEnd w:id="10"/>
    </w:p>
    <w:p>
      <w:pPr>
        <w:pStyle w:val="4"/>
        <w:spacing w:before="0" w:after="0" w:line="240" w:lineRule="auto"/>
        <w:jc w:val="center"/>
        <w:rPr>
          <w:rFonts w:hint="eastAsia" w:ascii="宋体" w:hAnsi="宋体" w:eastAsia="宋体" w:cs="宋体"/>
          <w:highlight w:val="none"/>
        </w:rPr>
      </w:pPr>
      <w:bookmarkStart w:id="11" w:name="_Toc115372961"/>
      <w:r>
        <w:rPr>
          <w:rFonts w:hint="eastAsia" w:ascii="宋体" w:hAnsi="宋体" w:eastAsia="宋体" w:cs="宋体"/>
          <w:highlight w:val="none"/>
        </w:rPr>
        <w:t>第一章</w:t>
      </w:r>
      <w:r>
        <w:rPr>
          <w:rFonts w:hint="eastAsia" w:ascii="宋体" w:hAnsi="宋体" w:eastAsia="宋体" w:cs="宋体"/>
          <w:highlight w:val="none"/>
          <w:lang w:eastAsia="zh-CN"/>
        </w:rPr>
        <w:t xml:space="preserve"> </w:t>
      </w:r>
      <w:r>
        <w:rPr>
          <w:rFonts w:hint="eastAsia" w:ascii="宋体" w:hAnsi="宋体" w:eastAsia="宋体" w:cs="宋体"/>
          <w:highlight w:val="none"/>
        </w:rPr>
        <w:t>招标公告</w:t>
      </w:r>
      <w:bookmarkEnd w:id="11"/>
    </w:p>
    <w:p>
      <w:pPr>
        <w:jc w:val="center"/>
        <w:rPr>
          <w:rFonts w:hint="eastAsia" w:ascii="宋体" w:hAnsi="宋体" w:eastAsia="宋体" w:cs="宋体"/>
          <w:szCs w:val="28"/>
          <w:highlight w:val="none"/>
        </w:rPr>
      </w:pPr>
      <w:r>
        <w:rPr>
          <w:rFonts w:hint="eastAsia" w:ascii="宋体" w:hAnsi="宋体" w:eastAsia="宋体" w:cs="宋体"/>
          <w:b/>
          <w:bCs/>
          <w:szCs w:val="28"/>
          <w:highlight w:val="none"/>
          <w:lang w:eastAsia="zh-CN"/>
        </w:rPr>
        <w:t>2023年永福县高标准农田改造提升项目 （广福乡、罗锦镇、三皇镇、苏桥镇）</w:t>
      </w:r>
      <w:r>
        <w:rPr>
          <w:rFonts w:hint="eastAsia" w:ascii="宋体" w:hAnsi="宋体" w:eastAsia="宋体" w:cs="宋体"/>
          <w:b/>
          <w:bCs/>
          <w:szCs w:val="28"/>
          <w:highlight w:val="none"/>
        </w:rPr>
        <w:t>（项目编号：</w:t>
      </w:r>
      <w:r>
        <w:rPr>
          <w:rFonts w:hint="eastAsia" w:ascii="宋体" w:hAnsi="宋体" w:eastAsia="宋体" w:cs="宋体"/>
          <w:b/>
          <w:bCs/>
          <w:szCs w:val="28"/>
          <w:highlight w:val="none"/>
          <w:lang w:eastAsia="zh-CN"/>
        </w:rPr>
        <w:t xml:space="preserve">                    </w:t>
      </w:r>
      <w:r>
        <w:rPr>
          <w:rFonts w:hint="eastAsia" w:ascii="宋体" w:hAnsi="宋体" w:eastAsia="宋体" w:cs="宋体"/>
          <w:b/>
          <w:bCs/>
          <w:szCs w:val="28"/>
          <w:highlight w:val="none"/>
        </w:rPr>
        <w:t>）招标公告</w:t>
      </w:r>
    </w:p>
    <w:p>
      <w:pPr>
        <w:pBdr>
          <w:top w:val="single" w:color="auto" w:sz="4" w:space="1"/>
          <w:left w:val="single" w:color="auto" w:sz="4" w:space="4"/>
          <w:bottom w:val="single" w:color="auto" w:sz="4" w:space="1"/>
          <w:right w:val="single" w:color="auto" w:sz="4" w:space="4"/>
        </w:pBdr>
        <w:wordWrap w:val="0"/>
        <w:topLinePunct/>
        <w:ind w:firstLine="420" w:firstLineChars="200"/>
        <w:rPr>
          <w:rFonts w:hint="eastAsia" w:ascii="宋体" w:hAnsi="宋体" w:eastAsia="宋体" w:cs="宋体"/>
          <w:sz w:val="21"/>
          <w:szCs w:val="21"/>
          <w:highlight w:val="none"/>
        </w:rPr>
      </w:pPr>
      <w:bookmarkStart w:id="12" w:name="OLE_LINK1"/>
      <w:r>
        <w:rPr>
          <w:rFonts w:hint="eastAsia" w:ascii="宋体" w:hAnsi="宋体" w:eastAsia="宋体" w:cs="宋体"/>
          <w:sz w:val="21"/>
          <w:szCs w:val="21"/>
          <w:highlight w:val="none"/>
        </w:rPr>
        <w:t>项目概况</w:t>
      </w:r>
    </w:p>
    <w:p>
      <w:pPr>
        <w:pBdr>
          <w:top w:val="single" w:color="auto" w:sz="4" w:space="1"/>
          <w:left w:val="single" w:color="auto" w:sz="4" w:space="4"/>
          <w:bottom w:val="single" w:color="auto" w:sz="4" w:space="1"/>
          <w:right w:val="single" w:color="auto" w:sz="4" w:space="4"/>
        </w:pBdr>
        <w:wordWrap w:val="0"/>
        <w:topLinePun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eastAsia="zh-CN"/>
        </w:rPr>
        <w:t>2023年永福县高标准农田改造提升项目 （广福乡、罗锦镇、三皇镇、苏桥镇）</w:t>
      </w:r>
      <w:r>
        <w:rPr>
          <w:rFonts w:hint="eastAsia" w:ascii="宋体" w:hAnsi="宋体" w:eastAsia="宋体" w:cs="宋体"/>
          <w:color w:val="000000"/>
          <w:sz w:val="21"/>
          <w:szCs w:val="21"/>
          <w:highlight w:val="none"/>
          <w:u w:val="single"/>
          <w:lang w:val="en-US" w:eastAsia="zh-CN"/>
        </w:rPr>
        <w:t>项目</w:t>
      </w:r>
      <w:r>
        <w:rPr>
          <w:rFonts w:hint="eastAsia" w:ascii="宋体" w:hAnsi="宋体" w:eastAsia="宋体" w:cs="宋体"/>
          <w:color w:val="000000"/>
          <w:sz w:val="21"/>
          <w:szCs w:val="21"/>
          <w:highlight w:val="none"/>
          <w:u w:val="single"/>
          <w:lang w:eastAsia="zh-CN"/>
        </w:rPr>
        <w:t xml:space="preserve"> </w:t>
      </w:r>
      <w:r>
        <w:rPr>
          <w:rFonts w:hint="eastAsia" w:ascii="宋体" w:hAnsi="宋体" w:eastAsia="宋体" w:cs="宋体"/>
          <w:color w:val="000000"/>
          <w:sz w:val="21"/>
          <w:szCs w:val="21"/>
          <w:highlight w:val="none"/>
        </w:rPr>
        <w:t>招标项目的潜在投标人应在</w:t>
      </w:r>
      <w:r>
        <w:rPr>
          <w:rFonts w:hint="eastAsia" w:ascii="宋体" w:hAnsi="宋体" w:eastAsia="宋体" w:cs="宋体"/>
          <w:bCs/>
          <w:color w:val="000000"/>
          <w:sz w:val="21"/>
          <w:szCs w:val="21"/>
          <w:highlight w:val="none"/>
          <w:u w:val="single"/>
        </w:rPr>
        <w:t>“政采云”平台（</w:t>
      </w:r>
      <w:r>
        <w:rPr>
          <w:rFonts w:hint="eastAsia" w:ascii="宋体" w:hAnsi="宋体" w:eastAsia="宋体" w:cs="宋体"/>
          <w:bCs/>
          <w:color w:val="000000"/>
          <w:sz w:val="21"/>
          <w:szCs w:val="21"/>
          <w:highlight w:val="none"/>
          <w:u w:val="single"/>
        </w:rPr>
        <w:fldChar w:fldCharType="begin"/>
      </w:r>
      <w:r>
        <w:rPr>
          <w:rFonts w:hint="eastAsia" w:ascii="宋体" w:hAnsi="宋体" w:eastAsia="宋体" w:cs="宋体"/>
          <w:bCs/>
          <w:color w:val="000000"/>
          <w:sz w:val="21"/>
          <w:szCs w:val="21"/>
          <w:highlight w:val="none"/>
          <w:u w:val="single"/>
        </w:rPr>
        <w:instrText xml:space="preserve">HYPERLINK "http://www.zcygov.cn）获取采购文件，并于2022年2月"</w:instrText>
      </w:r>
      <w:r>
        <w:rPr>
          <w:rFonts w:hint="eastAsia" w:ascii="宋体" w:hAnsi="宋体" w:eastAsia="宋体" w:cs="宋体"/>
          <w:bCs/>
          <w:color w:val="000000"/>
          <w:sz w:val="21"/>
          <w:szCs w:val="21"/>
          <w:highlight w:val="none"/>
          <w:u w:val="single"/>
        </w:rPr>
        <w:fldChar w:fldCharType="separate"/>
      </w:r>
      <w:r>
        <w:rPr>
          <w:rStyle w:val="58"/>
          <w:rFonts w:hint="eastAsia" w:ascii="宋体" w:hAnsi="宋体" w:eastAsia="宋体" w:cs="宋体"/>
          <w:bCs/>
          <w:sz w:val="21"/>
          <w:szCs w:val="21"/>
          <w:highlight w:val="none"/>
          <w:u w:val="single"/>
        </w:rPr>
        <w:t>http://www.zcygov.cn）</w:t>
      </w:r>
      <w:r>
        <w:rPr>
          <w:rFonts w:hint="eastAsia" w:ascii="宋体" w:hAnsi="宋体" w:eastAsia="宋体" w:cs="宋体"/>
          <w:bCs/>
          <w:color w:val="000000"/>
          <w:sz w:val="21"/>
          <w:szCs w:val="21"/>
          <w:highlight w:val="none"/>
          <w:u w:val="single"/>
        </w:rPr>
        <w:fldChar w:fldCharType="end"/>
      </w:r>
      <w:r>
        <w:rPr>
          <w:rFonts w:hint="eastAsia" w:ascii="宋体" w:hAnsi="宋体" w:eastAsia="宋体" w:cs="宋体"/>
          <w:color w:val="000000"/>
          <w:sz w:val="21"/>
          <w:szCs w:val="21"/>
          <w:highlight w:val="none"/>
        </w:rPr>
        <w:t>获取招标文件，并于</w:t>
      </w:r>
      <w:r>
        <w:rPr>
          <w:rFonts w:hint="eastAsia" w:ascii="宋体" w:hAnsi="宋体" w:eastAsia="宋体" w:cs="宋体"/>
          <w:color w:val="000000"/>
          <w:sz w:val="21"/>
          <w:szCs w:val="21"/>
          <w:highlight w:val="none"/>
          <w:u w:val="single"/>
        </w:rPr>
        <w:t>202</w:t>
      </w:r>
      <w:r>
        <w:rPr>
          <w:rFonts w:hint="eastAsia" w:ascii="宋体" w:hAnsi="宋体" w:eastAsia="宋体" w:cs="宋体"/>
          <w:color w:val="000000"/>
          <w:sz w:val="21"/>
          <w:szCs w:val="21"/>
          <w:highlight w:val="none"/>
          <w:u w:val="single"/>
          <w:lang w:val="en-US" w:eastAsia="zh-CN"/>
        </w:rPr>
        <w:t>3</w:t>
      </w:r>
      <w:r>
        <w:rPr>
          <w:rFonts w:hint="eastAsia" w:ascii="宋体" w:hAnsi="宋体" w:eastAsia="宋体" w:cs="宋体"/>
          <w:color w:val="000000"/>
          <w:sz w:val="21"/>
          <w:szCs w:val="21"/>
          <w:highlight w:val="none"/>
          <w:u w:val="single"/>
        </w:rPr>
        <w:t>年</w:t>
      </w:r>
      <w:r>
        <w:rPr>
          <w:rFonts w:hint="eastAsia" w:ascii="宋体" w:hAnsi="宋体" w:cs="宋体"/>
          <w:color w:val="000000"/>
          <w:sz w:val="21"/>
          <w:szCs w:val="21"/>
          <w:highlight w:val="none"/>
          <w:u w:val="single"/>
          <w:lang w:val="en-US" w:eastAsia="zh-CN"/>
        </w:rPr>
        <w:t>09</w:t>
      </w:r>
      <w:r>
        <w:rPr>
          <w:rFonts w:hint="eastAsia" w:ascii="宋体" w:hAnsi="宋体" w:eastAsia="宋体" w:cs="宋体"/>
          <w:color w:val="000000"/>
          <w:sz w:val="21"/>
          <w:szCs w:val="21"/>
          <w:highlight w:val="none"/>
          <w:u w:val="single"/>
        </w:rPr>
        <w:t>月</w:t>
      </w:r>
      <w:r>
        <w:rPr>
          <w:rFonts w:hint="eastAsia" w:ascii="宋体" w:hAnsi="宋体" w:cs="宋体"/>
          <w:color w:val="000000"/>
          <w:sz w:val="21"/>
          <w:szCs w:val="21"/>
          <w:highlight w:val="none"/>
          <w:u w:val="single"/>
          <w:lang w:val="en-US" w:eastAsia="zh-CN"/>
        </w:rPr>
        <w:t>01</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日</w:t>
      </w:r>
      <w:r>
        <w:rPr>
          <w:rFonts w:hint="eastAsia" w:ascii="宋体" w:hAnsi="宋体" w:eastAsia="宋体" w:cs="宋体"/>
          <w:bCs/>
          <w:color w:val="000000"/>
          <w:sz w:val="21"/>
          <w:szCs w:val="21"/>
          <w:highlight w:val="none"/>
          <w:u w:val="single"/>
        </w:rPr>
        <w:t>9时30分</w:t>
      </w:r>
      <w:r>
        <w:rPr>
          <w:rFonts w:hint="eastAsia" w:ascii="宋体" w:hAnsi="宋体" w:eastAsia="宋体" w:cs="宋体"/>
          <w:bCs/>
          <w:color w:val="000000"/>
          <w:sz w:val="21"/>
          <w:szCs w:val="21"/>
          <w:highlight w:val="none"/>
        </w:rPr>
        <w:t>（北京时间）前递交投标文件</w:t>
      </w:r>
      <w:r>
        <w:rPr>
          <w:rFonts w:hint="eastAsia" w:ascii="宋体" w:hAnsi="宋体" w:eastAsia="宋体" w:cs="宋体"/>
          <w:color w:val="000000"/>
          <w:sz w:val="21"/>
          <w:szCs w:val="21"/>
          <w:highlight w:val="none"/>
        </w:rPr>
        <w:t>。</w:t>
      </w:r>
    </w:p>
    <w:p>
      <w:pPr>
        <w:pStyle w:val="41"/>
        <w:wordWrap w:val="0"/>
        <w:topLinePunct/>
        <w:spacing w:before="0" w:beforeAutospacing="0" w:after="0" w:afterAutospacing="0" w:line="320" w:lineRule="exact"/>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一、项目基本情况</w:t>
      </w:r>
    </w:p>
    <w:p>
      <w:pPr>
        <w:pStyle w:val="41"/>
        <w:wordWrap w:val="0"/>
        <w:topLinePunct/>
        <w:spacing w:before="0" w:beforeAutospacing="0" w:after="0" w:afterAutospacing="0" w:line="320" w:lineRule="exact"/>
        <w:ind w:firstLine="420" w:firstLineChars="20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项目编号：</w:t>
      </w:r>
      <w:r>
        <w:rPr>
          <w:rFonts w:hint="eastAsia" w:ascii="宋体" w:hAnsi="宋体" w:eastAsia="宋体" w:cs="宋体"/>
          <w:kern w:val="2"/>
          <w:sz w:val="21"/>
          <w:szCs w:val="21"/>
          <w:highlight w:val="none"/>
          <w:lang w:eastAsia="zh-CN"/>
        </w:rPr>
        <w:t xml:space="preserve">                                    </w:t>
      </w:r>
    </w:p>
    <w:p>
      <w:pPr>
        <w:pStyle w:val="41"/>
        <w:wordWrap w:val="0"/>
        <w:topLinePunct/>
        <w:spacing w:before="0" w:beforeAutospacing="0" w:after="0" w:afterAutospacing="0" w:line="3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rPr>
        <w:t>项目名称：</w:t>
      </w:r>
      <w:r>
        <w:rPr>
          <w:rFonts w:hint="eastAsia" w:ascii="宋体" w:hAnsi="宋体" w:eastAsia="宋体" w:cs="宋体"/>
          <w:sz w:val="21"/>
          <w:szCs w:val="21"/>
          <w:highlight w:val="none"/>
          <w:lang w:eastAsia="zh-CN"/>
        </w:rPr>
        <w:t xml:space="preserve">2023年永福县高标准农田改造提升项目 （广福乡、罗锦镇、三皇镇、苏桥镇）             </w:t>
      </w:r>
    </w:p>
    <w:p>
      <w:pPr>
        <w:pStyle w:val="41"/>
        <w:wordWrap w:val="0"/>
        <w:topLinePunct/>
        <w:spacing w:before="0" w:beforeAutospacing="0" w:after="0" w:afterAutospacing="0" w:line="320" w:lineRule="exact"/>
        <w:ind w:firstLine="420" w:firstLineChars="200"/>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预算总金额（元）：</w:t>
      </w:r>
      <w:r>
        <w:rPr>
          <w:rFonts w:hint="eastAsia" w:ascii="宋体" w:hAnsi="宋体" w:eastAsia="宋体" w:cs="宋体"/>
          <w:sz w:val="21"/>
          <w:szCs w:val="21"/>
          <w:highlight w:val="none"/>
          <w:lang w:val="en-US" w:eastAsia="zh-CN"/>
        </w:rPr>
        <w:t>9792972.74元</w:t>
      </w:r>
    </w:p>
    <w:p>
      <w:pPr>
        <w:pStyle w:val="41"/>
        <w:wordWrap w:val="0"/>
        <w:topLinePunct/>
        <w:spacing w:before="0" w:beforeAutospacing="0" w:after="0" w:afterAutospacing="0"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采购需求：</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标项一（</w:t>
      </w:r>
      <w:r>
        <w:rPr>
          <w:rFonts w:hint="eastAsia" w:ascii="宋体" w:hAnsi="宋体" w:eastAsia="宋体" w:cs="宋体"/>
          <w:sz w:val="21"/>
          <w:szCs w:val="21"/>
          <w:highlight w:val="none"/>
          <w:lang w:val="en-US" w:eastAsia="zh-CN"/>
        </w:rPr>
        <w:t>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标项名称：</w:t>
      </w:r>
      <w:r>
        <w:rPr>
          <w:rFonts w:hint="eastAsia" w:ascii="宋体" w:hAnsi="宋体" w:eastAsia="宋体" w:cs="宋体"/>
          <w:sz w:val="21"/>
          <w:szCs w:val="21"/>
          <w:highlight w:val="none"/>
          <w:lang w:eastAsia="zh-CN"/>
        </w:rPr>
        <w:t>2023年永福县高标准农田改造提升项目（广福乡、罗锦镇、三皇镇、苏桥镇）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数量：1</w:t>
      </w:r>
    </w:p>
    <w:p>
      <w:pPr>
        <w:widowControl/>
        <w:wordWrap w:val="0"/>
        <w:topLinePunct/>
        <w:spacing w:line="320" w:lineRule="exact"/>
        <w:rPr>
          <w:rFonts w:hint="eastAsia" w:ascii="宋体" w:hAnsi="宋体" w:eastAsia="宋体" w:cs="宋体"/>
          <w:snapToGrid w:val="0"/>
          <w:spacing w:val="7"/>
          <w:kern w:val="0"/>
          <w:sz w:val="21"/>
          <w:szCs w:val="21"/>
          <w:highlight w:val="none"/>
          <w:lang w:val="en-US" w:eastAsia="zh-CN"/>
        </w:rPr>
      </w:pPr>
      <w:r>
        <w:rPr>
          <w:rFonts w:hint="eastAsia" w:ascii="宋体" w:hAnsi="宋体" w:eastAsia="宋体" w:cs="宋体"/>
          <w:sz w:val="21"/>
          <w:szCs w:val="21"/>
          <w:highlight w:val="none"/>
        </w:rPr>
        <w:t>预算金额（元）：</w:t>
      </w:r>
      <w:r>
        <w:rPr>
          <w:rFonts w:hint="eastAsia" w:ascii="宋体" w:hAnsi="宋体" w:eastAsia="宋体" w:cs="宋体"/>
          <w:b w:val="0"/>
          <w:bCs w:val="0"/>
          <w:sz w:val="21"/>
          <w:szCs w:val="21"/>
          <w:highlight w:val="none"/>
          <w:lang w:val="en-US" w:eastAsia="zh-CN"/>
        </w:rPr>
        <w:t>3489238.86元</w:t>
      </w:r>
    </w:p>
    <w:p>
      <w:pPr>
        <w:pStyle w:val="41"/>
        <w:wordWrap w:val="0"/>
        <w:topLinePunct/>
        <w:spacing w:before="0" w:beforeAutospacing="0" w:after="0" w:afterAutospacing="0"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简要规格描述或项目基本概况介绍、用途：</w:t>
      </w:r>
      <w:r>
        <w:rPr>
          <w:rFonts w:hint="eastAsia" w:ascii="宋体" w:hAnsi="宋体" w:eastAsia="宋体" w:cs="宋体"/>
          <w:sz w:val="21"/>
          <w:szCs w:val="21"/>
          <w:highlight w:val="none"/>
          <w:lang w:eastAsia="zh-CN"/>
        </w:rPr>
        <w:t>2023年永福县高标准农田改造提升项目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w:t>
      </w:r>
      <w:r>
        <w:rPr>
          <w:rFonts w:hint="eastAsia" w:ascii="宋体" w:hAnsi="宋体" w:eastAsia="宋体" w:cs="宋体"/>
          <w:sz w:val="21"/>
          <w:szCs w:val="21"/>
          <w:highlight w:val="none"/>
        </w:rPr>
        <w:t>标</w:t>
      </w:r>
      <w:r>
        <w:rPr>
          <w:rFonts w:hint="eastAsia" w:ascii="宋体" w:hAnsi="宋体" w:eastAsia="宋体" w:cs="宋体"/>
          <w:sz w:val="21"/>
          <w:szCs w:val="21"/>
          <w:highlight w:val="none"/>
          <w:lang w:val="en-US" w:eastAsia="zh-CN"/>
        </w:rPr>
        <w:t>,</w:t>
      </w:r>
      <w:r>
        <w:rPr>
          <w:rFonts w:hint="eastAsia" w:ascii="宋体" w:hAnsi="宋体" w:eastAsia="宋体" w:cs="宋体"/>
          <w:color w:val="auto"/>
          <w:sz w:val="21"/>
          <w:szCs w:val="21"/>
          <w:highlight w:val="none"/>
          <w:lang w:val="en-US" w:eastAsia="zh-CN"/>
        </w:rPr>
        <w:t>1项，项目建设地点：罗锦镇岭桥村委、广福乡马陂村委桃庄、大石村委、苏桥镇苏桥社区片区，建设规模5212亩。完成施工图纸范围内的施工内容，详见施工图纸及工程量清单。</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最高限价（如有）：</w:t>
      </w:r>
      <w:r>
        <w:rPr>
          <w:rFonts w:hint="eastAsia" w:ascii="宋体" w:hAnsi="宋体" w:eastAsia="宋体" w:cs="宋体"/>
          <w:sz w:val="21"/>
          <w:szCs w:val="21"/>
          <w:highlight w:val="none"/>
          <w:lang w:val="en-US" w:eastAsia="zh-CN"/>
        </w:rPr>
        <w:t>3489238.86元</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合同履约期限：</w:t>
      </w:r>
      <w:r>
        <w:rPr>
          <w:rFonts w:hint="eastAsia" w:ascii="宋体" w:hAnsi="宋体" w:eastAsia="宋体" w:cs="宋体"/>
          <w:sz w:val="21"/>
          <w:szCs w:val="21"/>
          <w:highlight w:val="none"/>
          <w:lang w:val="en-US" w:eastAsia="zh-CN"/>
        </w:rPr>
        <w:t>100</w:t>
      </w:r>
      <w:r>
        <w:rPr>
          <w:rFonts w:hint="eastAsia" w:ascii="宋体" w:hAnsi="宋体" w:eastAsia="宋体" w:cs="宋体"/>
          <w:sz w:val="21"/>
          <w:szCs w:val="21"/>
          <w:highlight w:val="none"/>
        </w:rPr>
        <w:t>日历天</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本标项（否）接受联合体投标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标项二（</w:t>
      </w:r>
      <w:r>
        <w:rPr>
          <w:rFonts w:hint="eastAsia" w:ascii="宋体" w:hAnsi="宋体" w:eastAsia="宋体" w:cs="宋体"/>
          <w:sz w:val="21"/>
          <w:szCs w:val="21"/>
          <w:highlight w:val="none"/>
          <w:lang w:val="en-US" w:eastAsia="zh-CN"/>
        </w:rPr>
        <w:t>II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标项名称：</w:t>
      </w:r>
      <w:r>
        <w:rPr>
          <w:rFonts w:hint="eastAsia" w:ascii="宋体" w:hAnsi="宋体" w:eastAsia="宋体" w:cs="宋体"/>
          <w:sz w:val="21"/>
          <w:szCs w:val="21"/>
          <w:highlight w:val="none"/>
          <w:lang w:eastAsia="zh-CN"/>
        </w:rPr>
        <w:t>2023年永福县高标准农田改造提升项目（广福乡、罗锦镇、三皇镇、苏桥镇）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数量：1</w:t>
      </w:r>
    </w:p>
    <w:p>
      <w:pPr>
        <w:widowControl/>
        <w:wordWrap w:val="0"/>
        <w:topLinePunct/>
        <w:spacing w:line="320" w:lineRule="exact"/>
        <w:rPr>
          <w:rFonts w:hint="eastAsia" w:ascii="宋体" w:hAnsi="宋体" w:eastAsia="宋体" w:cs="宋体"/>
          <w:snapToGrid w:val="0"/>
          <w:spacing w:val="7"/>
          <w:kern w:val="0"/>
          <w:sz w:val="21"/>
          <w:szCs w:val="21"/>
          <w:highlight w:val="none"/>
          <w:lang w:val="en-US" w:eastAsia="zh-CN"/>
        </w:rPr>
      </w:pPr>
      <w:r>
        <w:rPr>
          <w:rFonts w:hint="eastAsia" w:ascii="宋体" w:hAnsi="宋体" w:eastAsia="宋体" w:cs="宋体"/>
          <w:sz w:val="21"/>
          <w:szCs w:val="21"/>
          <w:highlight w:val="none"/>
        </w:rPr>
        <w:t>预算金额（元）：</w:t>
      </w:r>
      <w:r>
        <w:rPr>
          <w:rFonts w:hint="eastAsia" w:ascii="宋体" w:hAnsi="宋体" w:eastAsia="宋体" w:cs="宋体"/>
          <w:sz w:val="21"/>
          <w:szCs w:val="21"/>
          <w:highlight w:val="none"/>
          <w:lang w:val="en-US" w:eastAsia="zh-CN"/>
        </w:rPr>
        <w:t>3082444.58元</w:t>
      </w:r>
    </w:p>
    <w:p>
      <w:pPr>
        <w:pStyle w:val="41"/>
        <w:wordWrap w:val="0"/>
        <w:topLinePunct/>
        <w:spacing w:before="0" w:beforeAutospacing="0" w:after="0" w:afterAutospacing="0"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简要规格描述或项目基本概况介绍、用途：</w:t>
      </w:r>
      <w:r>
        <w:rPr>
          <w:rFonts w:hint="eastAsia" w:ascii="宋体" w:hAnsi="宋体" w:eastAsia="宋体" w:cs="宋体"/>
          <w:sz w:val="21"/>
          <w:szCs w:val="21"/>
          <w:highlight w:val="none"/>
          <w:lang w:eastAsia="zh-CN"/>
        </w:rPr>
        <w:t>2023年永福县高标准农田改造提升项目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w:t>
      </w:r>
      <w:r>
        <w:rPr>
          <w:rFonts w:hint="eastAsia" w:ascii="宋体" w:hAnsi="宋体" w:eastAsia="宋体" w:cs="宋体"/>
          <w:sz w:val="21"/>
          <w:szCs w:val="21"/>
          <w:highlight w:val="none"/>
        </w:rPr>
        <w:t>标</w:t>
      </w:r>
      <w:r>
        <w:rPr>
          <w:rFonts w:hint="eastAsia" w:ascii="宋体" w:hAnsi="宋体" w:eastAsia="宋体" w:cs="宋体"/>
          <w:sz w:val="21"/>
          <w:szCs w:val="21"/>
          <w:highlight w:val="none"/>
          <w:lang w:eastAsia="zh-CN"/>
        </w:rPr>
        <w:t>，</w:t>
      </w:r>
      <w:r>
        <w:rPr>
          <w:rFonts w:hint="eastAsia" w:ascii="宋体" w:hAnsi="宋体" w:eastAsia="宋体" w:cs="宋体"/>
          <w:color w:val="auto"/>
          <w:sz w:val="21"/>
          <w:szCs w:val="21"/>
          <w:highlight w:val="none"/>
          <w:lang w:val="en-US" w:eastAsia="zh-CN"/>
        </w:rPr>
        <w:t>1项，项目建设地点：广福乡的龙桥村委下辖葡萄屯、山口屯、小溪屯、古立屯，建设规模627亩。完成施工图纸范围内的施工内容，详见施工图纸及工程量清单。</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最高限价（如有）：</w:t>
      </w:r>
      <w:r>
        <w:rPr>
          <w:rFonts w:hint="eastAsia" w:ascii="宋体" w:hAnsi="宋体" w:eastAsia="宋体" w:cs="宋体"/>
          <w:sz w:val="21"/>
          <w:szCs w:val="21"/>
          <w:highlight w:val="none"/>
          <w:lang w:val="en-US" w:eastAsia="zh-CN"/>
        </w:rPr>
        <w:t>3082444.58</w:t>
      </w:r>
      <w:r>
        <w:rPr>
          <w:rFonts w:hint="eastAsia" w:ascii="宋体" w:hAnsi="宋体" w:eastAsia="宋体" w:cs="宋体"/>
          <w:sz w:val="21"/>
          <w:szCs w:val="21"/>
          <w:highlight w:val="none"/>
        </w:rPr>
        <w:t>元</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合同履约期限：</w:t>
      </w:r>
      <w:r>
        <w:rPr>
          <w:rFonts w:hint="eastAsia" w:ascii="宋体" w:hAnsi="宋体" w:eastAsia="宋体" w:cs="宋体"/>
          <w:sz w:val="21"/>
          <w:szCs w:val="21"/>
          <w:highlight w:val="none"/>
          <w:lang w:val="en-US" w:eastAsia="zh-CN"/>
        </w:rPr>
        <w:t xml:space="preserve">  100</w:t>
      </w:r>
      <w:r>
        <w:rPr>
          <w:rFonts w:hint="eastAsia" w:ascii="宋体" w:hAnsi="宋体" w:eastAsia="宋体" w:cs="宋体"/>
          <w:sz w:val="21"/>
          <w:szCs w:val="21"/>
          <w:highlight w:val="none"/>
        </w:rPr>
        <w:t>日历天</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u w:val="none"/>
        </w:rPr>
        <w:t>本标项（否）接受联合体投标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标项名称：</w:t>
      </w:r>
      <w:r>
        <w:rPr>
          <w:rFonts w:hint="eastAsia" w:ascii="宋体" w:hAnsi="宋体" w:eastAsia="宋体" w:cs="宋体"/>
          <w:sz w:val="21"/>
          <w:szCs w:val="21"/>
          <w:highlight w:val="none"/>
          <w:lang w:eastAsia="zh-CN"/>
        </w:rPr>
        <w:t>2023年永福县高标准农田改造提升项目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III</w:t>
      </w:r>
      <w:r>
        <w:rPr>
          <w:rFonts w:hint="eastAsia" w:ascii="宋体" w:hAnsi="宋体" w:eastAsia="宋体" w:cs="宋体"/>
          <w:sz w:val="21"/>
          <w:szCs w:val="21"/>
          <w:highlight w:val="none"/>
        </w:rPr>
        <w:t>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数量：1</w:t>
      </w:r>
    </w:p>
    <w:p>
      <w:pPr>
        <w:widowControl/>
        <w:wordWrap w:val="0"/>
        <w:topLinePunct/>
        <w:spacing w:line="320" w:lineRule="exact"/>
        <w:rPr>
          <w:rFonts w:hint="eastAsia" w:ascii="宋体" w:hAnsi="宋体" w:eastAsia="宋体" w:cs="宋体"/>
          <w:snapToGrid w:val="0"/>
          <w:spacing w:val="7"/>
          <w:kern w:val="0"/>
          <w:sz w:val="21"/>
          <w:szCs w:val="21"/>
          <w:highlight w:val="none"/>
          <w:lang w:val="en-US" w:eastAsia="zh-CN"/>
        </w:rPr>
      </w:pPr>
      <w:r>
        <w:rPr>
          <w:rFonts w:hint="eastAsia" w:ascii="宋体" w:hAnsi="宋体" w:eastAsia="宋体" w:cs="宋体"/>
          <w:sz w:val="21"/>
          <w:szCs w:val="21"/>
          <w:highlight w:val="none"/>
        </w:rPr>
        <w:t>预算金额（元）：</w:t>
      </w:r>
      <w:r>
        <w:rPr>
          <w:rFonts w:hint="eastAsia" w:ascii="宋体" w:hAnsi="宋体" w:eastAsia="宋体" w:cs="宋体"/>
          <w:sz w:val="21"/>
          <w:szCs w:val="21"/>
          <w:highlight w:val="none"/>
          <w:lang w:val="en-US" w:eastAsia="zh-CN"/>
        </w:rPr>
        <w:t>3221289.30元</w:t>
      </w:r>
    </w:p>
    <w:p>
      <w:pPr>
        <w:pStyle w:val="41"/>
        <w:wordWrap w:val="0"/>
        <w:topLinePunct/>
        <w:spacing w:before="0" w:beforeAutospacing="0" w:after="0" w:afterAutospacing="0"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简要规格描述或项目基本概况介绍、用途：</w:t>
      </w:r>
      <w:r>
        <w:rPr>
          <w:rFonts w:hint="eastAsia" w:ascii="宋体" w:hAnsi="宋体" w:eastAsia="宋体" w:cs="宋体"/>
          <w:sz w:val="21"/>
          <w:szCs w:val="21"/>
          <w:highlight w:val="none"/>
          <w:lang w:eastAsia="zh-CN"/>
        </w:rPr>
        <w:t>2023年永福县高标准农田改造提升项目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III</w:t>
      </w:r>
      <w:r>
        <w:rPr>
          <w:rFonts w:hint="eastAsia" w:ascii="宋体" w:hAnsi="宋体" w:eastAsia="宋体" w:cs="宋体"/>
          <w:sz w:val="21"/>
          <w:szCs w:val="21"/>
          <w:highlight w:val="none"/>
        </w:rPr>
        <w:t>标</w:t>
      </w:r>
      <w:r>
        <w:rPr>
          <w:rFonts w:hint="eastAsia" w:ascii="宋体" w:hAnsi="宋体" w:eastAsia="宋体" w:cs="宋体"/>
          <w:sz w:val="21"/>
          <w:szCs w:val="21"/>
          <w:highlight w:val="none"/>
          <w:lang w:val="en-US" w:eastAsia="zh-CN"/>
        </w:rPr>
        <w:t>,1</w:t>
      </w:r>
      <w:r>
        <w:rPr>
          <w:rFonts w:hint="eastAsia" w:ascii="宋体" w:hAnsi="宋体" w:eastAsia="宋体" w:cs="宋体"/>
          <w:color w:val="auto"/>
          <w:sz w:val="21"/>
          <w:szCs w:val="21"/>
          <w:highlight w:val="none"/>
          <w:lang w:val="en-US" w:eastAsia="zh-CN"/>
        </w:rPr>
        <w:t>项，项目建设地点：广福乡马陂村委、三皇镇清水村委、马安村委,建设规模4161亩。完成施工图纸范围内的施工内容，详见施工图纸及工程量清单。</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最高限价（如有）：</w:t>
      </w:r>
      <w:r>
        <w:rPr>
          <w:rFonts w:hint="eastAsia" w:ascii="宋体" w:hAnsi="宋体" w:eastAsia="宋体" w:cs="宋体"/>
          <w:sz w:val="21"/>
          <w:szCs w:val="21"/>
          <w:highlight w:val="none"/>
          <w:lang w:val="en-US" w:eastAsia="zh-CN"/>
        </w:rPr>
        <w:t>3221289.30</w:t>
      </w:r>
      <w:r>
        <w:rPr>
          <w:rFonts w:hint="eastAsia" w:ascii="宋体" w:hAnsi="宋体" w:eastAsia="宋体" w:cs="宋体"/>
          <w:sz w:val="21"/>
          <w:szCs w:val="21"/>
          <w:highlight w:val="none"/>
        </w:rPr>
        <w:t>元</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合同履约期限：</w:t>
      </w:r>
      <w:r>
        <w:rPr>
          <w:rFonts w:hint="eastAsia" w:ascii="宋体" w:hAnsi="宋体" w:eastAsia="宋体" w:cs="宋体"/>
          <w:sz w:val="21"/>
          <w:szCs w:val="21"/>
          <w:highlight w:val="none"/>
          <w:lang w:val="en-US" w:eastAsia="zh-CN"/>
        </w:rPr>
        <w:t xml:space="preserve">  100</w:t>
      </w:r>
      <w:r>
        <w:rPr>
          <w:rFonts w:hint="eastAsia" w:ascii="宋体" w:hAnsi="宋体" w:eastAsia="宋体" w:cs="宋体"/>
          <w:sz w:val="21"/>
          <w:szCs w:val="21"/>
          <w:highlight w:val="none"/>
        </w:rPr>
        <w:t>日历天</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本标项（否）接受联合体投标</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p>
      <w:pPr>
        <w:pStyle w:val="41"/>
        <w:wordWrap w:val="0"/>
        <w:topLinePunct/>
        <w:spacing w:before="0" w:beforeAutospacing="0" w:after="0" w:afterAutospacing="0" w:line="320" w:lineRule="exact"/>
        <w:rPr>
          <w:rFonts w:hint="eastAsia" w:ascii="宋体" w:hAnsi="宋体" w:eastAsia="宋体" w:cs="宋体"/>
          <w:sz w:val="21"/>
          <w:szCs w:val="21"/>
          <w:highlight w:val="none"/>
        </w:rPr>
      </w:pPr>
    </w:p>
    <w:p>
      <w:pPr>
        <w:pStyle w:val="41"/>
        <w:wordWrap w:val="0"/>
        <w:topLinePunct/>
        <w:spacing w:before="0" w:beforeAutospacing="0" w:after="0" w:afterAutospacing="0" w:line="320" w:lineRule="exact"/>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二、申请人的资格要求：</w:t>
      </w:r>
    </w:p>
    <w:p>
      <w:pPr>
        <w:pStyle w:val="41"/>
        <w:wordWrap w:val="0"/>
        <w:topLinePunct/>
        <w:spacing w:before="0" w:beforeAutospacing="0" w:after="0" w:afterAutospacing="0" w:line="320" w:lineRule="exact"/>
        <w:ind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1.满足《中华人民共和国政府采购法》第二十二条规定；</w:t>
      </w:r>
    </w:p>
    <w:p>
      <w:pPr>
        <w:pStyle w:val="41"/>
        <w:wordWrap w:val="0"/>
        <w:topLinePunct/>
        <w:spacing w:before="0" w:beforeAutospacing="0" w:after="0" w:afterAutospacing="0" w:line="320" w:lineRule="exact"/>
        <w:ind w:firstLine="420" w:firstLineChars="20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2.</w:t>
      </w:r>
      <w:r>
        <w:rPr>
          <w:rFonts w:hint="eastAsia" w:cs="宋体"/>
          <w:kern w:val="2"/>
          <w:sz w:val="21"/>
          <w:szCs w:val="21"/>
          <w:highlight w:val="none"/>
          <w:lang w:val="en-US" w:eastAsia="zh-CN"/>
        </w:rPr>
        <w:t>本项目属于政府采购工程项目：本项目为预留份额专门面向中小企业采购的项目，落实政府采购政策需满足的资格要求：投标人必须为中小微企业、监狱企业或者残疾人福利性单位，大型企业不得参加。</w:t>
      </w:r>
    </w:p>
    <w:p>
      <w:pPr>
        <w:pStyle w:val="41"/>
        <w:wordWrap w:val="0"/>
        <w:topLinePunct/>
        <w:spacing w:before="0" w:beforeAutospacing="0" w:after="0" w:afterAutospacing="0" w:line="320" w:lineRule="exact"/>
        <w:ind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3.本项目的特定资格要求：投标人须具有水利水电工程施工总承包叁级以上</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含叁级</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资质</w:t>
      </w:r>
      <w:r>
        <w:rPr>
          <w:rFonts w:hint="eastAsia" w:cs="宋体"/>
          <w:kern w:val="2"/>
          <w:sz w:val="21"/>
          <w:szCs w:val="21"/>
          <w:highlight w:val="none"/>
          <w:lang w:val="en-US" w:eastAsia="zh-CN"/>
        </w:rPr>
        <w:t>或市政公用工程施工总承包叁级以上(合叁级)资质</w:t>
      </w:r>
      <w:r>
        <w:rPr>
          <w:rFonts w:hint="eastAsia" w:ascii="宋体" w:hAnsi="宋体" w:eastAsia="宋体" w:cs="宋体"/>
          <w:kern w:val="2"/>
          <w:sz w:val="21"/>
          <w:szCs w:val="21"/>
          <w:highlight w:val="none"/>
        </w:rPr>
        <w:t>，并在人员、设备、资金等方面具备相应的施工能力。拟派项目经理须具备水利水电工程专业</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w:t>
      </w:r>
      <w:r>
        <w:rPr>
          <w:rFonts w:hint="eastAsia" w:ascii="宋体" w:hAnsi="宋体" w:eastAsia="宋体" w:cs="宋体"/>
          <w:kern w:val="2"/>
          <w:sz w:val="21"/>
          <w:szCs w:val="21"/>
          <w:highlight w:val="none"/>
          <w:lang w:val="en-US" w:eastAsia="zh-CN"/>
        </w:rPr>
        <w:t>以上</w:t>
      </w:r>
      <w:r>
        <w:rPr>
          <w:rFonts w:hint="eastAsia" w:ascii="宋体" w:hAnsi="宋体" w:eastAsia="宋体" w:cs="宋体"/>
          <w:kern w:val="2"/>
          <w:sz w:val="21"/>
          <w:szCs w:val="21"/>
          <w:highlight w:val="none"/>
        </w:rPr>
        <w:t>(含</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级)注册建造师执业资格</w:t>
      </w:r>
      <w:r>
        <w:rPr>
          <w:rFonts w:hint="eastAsia" w:cs="宋体"/>
          <w:kern w:val="2"/>
          <w:sz w:val="21"/>
          <w:szCs w:val="21"/>
          <w:highlight w:val="none"/>
          <w:lang w:val="en-US" w:eastAsia="zh-CN"/>
        </w:rPr>
        <w:t>或市政公用工程专业</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w:t>
      </w:r>
      <w:r>
        <w:rPr>
          <w:rFonts w:hint="eastAsia" w:ascii="宋体" w:hAnsi="宋体" w:eastAsia="宋体" w:cs="宋体"/>
          <w:kern w:val="2"/>
          <w:sz w:val="21"/>
          <w:szCs w:val="21"/>
          <w:highlight w:val="none"/>
          <w:lang w:val="en-US" w:eastAsia="zh-CN"/>
        </w:rPr>
        <w:t>以上</w:t>
      </w:r>
      <w:r>
        <w:rPr>
          <w:rFonts w:hint="eastAsia" w:ascii="宋体" w:hAnsi="宋体" w:eastAsia="宋体" w:cs="宋体"/>
          <w:kern w:val="2"/>
          <w:sz w:val="21"/>
          <w:szCs w:val="21"/>
          <w:highlight w:val="none"/>
        </w:rPr>
        <w:t>(含</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级)注册建造师执业资格，具备有效的安全生产考核合格证书（B类），且未担任其他在施建设工程项目的项目经理。</w:t>
      </w:r>
    </w:p>
    <w:p>
      <w:pPr>
        <w:pStyle w:val="41"/>
        <w:wordWrap w:val="0"/>
        <w:topLinePunct/>
        <w:spacing w:before="0" w:beforeAutospacing="0" w:after="0" w:afterAutospacing="0" w:line="320" w:lineRule="exact"/>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三、获取招标文件</w:t>
      </w:r>
    </w:p>
    <w:p>
      <w:pPr>
        <w:wordWrap w:val="0"/>
        <w:topLinePunct/>
        <w:spacing w:line="320" w:lineRule="exact"/>
        <w:ind w:firstLine="424" w:firstLineChars="200"/>
        <w:rPr>
          <w:rFonts w:hint="eastAsia" w:ascii="宋体" w:hAnsi="宋体" w:eastAsia="宋体" w:cs="宋体"/>
          <w:spacing w:val="1"/>
          <w:sz w:val="21"/>
          <w:szCs w:val="21"/>
          <w:highlight w:val="none"/>
        </w:rPr>
      </w:pPr>
      <w:r>
        <w:rPr>
          <w:rFonts w:hint="eastAsia" w:ascii="宋体" w:hAnsi="宋体" w:eastAsia="宋体" w:cs="宋体"/>
          <w:spacing w:val="1"/>
          <w:sz w:val="21"/>
          <w:szCs w:val="21"/>
          <w:highlight w:val="none"/>
        </w:rPr>
        <w:t>时间：202</w:t>
      </w:r>
      <w:r>
        <w:rPr>
          <w:rFonts w:hint="eastAsia" w:ascii="宋体" w:hAnsi="宋体" w:eastAsia="宋体" w:cs="宋体"/>
          <w:spacing w:val="1"/>
          <w:sz w:val="21"/>
          <w:szCs w:val="21"/>
          <w:highlight w:val="none"/>
          <w:lang w:val="en-US" w:eastAsia="zh-CN"/>
        </w:rPr>
        <w:t>3</w:t>
      </w:r>
      <w:r>
        <w:rPr>
          <w:rFonts w:hint="eastAsia" w:ascii="宋体" w:hAnsi="宋体" w:eastAsia="宋体" w:cs="宋体"/>
          <w:spacing w:val="1"/>
          <w:sz w:val="21"/>
          <w:szCs w:val="21"/>
          <w:highlight w:val="none"/>
        </w:rPr>
        <w:t>年</w:t>
      </w:r>
      <w:r>
        <w:rPr>
          <w:rFonts w:hint="eastAsia" w:ascii="宋体" w:hAnsi="宋体" w:cs="宋体"/>
          <w:spacing w:val="1"/>
          <w:sz w:val="21"/>
          <w:szCs w:val="21"/>
          <w:highlight w:val="none"/>
          <w:lang w:val="en-US" w:eastAsia="zh-CN"/>
        </w:rPr>
        <w:t>0</w:t>
      </w:r>
      <w:r>
        <w:rPr>
          <w:rFonts w:hint="eastAsia" w:ascii="宋体" w:hAnsi="宋体" w:eastAsia="宋体" w:cs="宋体"/>
          <w:spacing w:val="1"/>
          <w:sz w:val="21"/>
          <w:szCs w:val="21"/>
          <w:highlight w:val="none"/>
          <w:lang w:val="en-US" w:eastAsia="zh-CN"/>
        </w:rPr>
        <w:t xml:space="preserve">8 </w:t>
      </w:r>
      <w:r>
        <w:rPr>
          <w:rFonts w:hint="eastAsia" w:ascii="宋体" w:hAnsi="宋体" w:eastAsia="宋体" w:cs="宋体"/>
          <w:spacing w:val="1"/>
          <w:sz w:val="21"/>
          <w:szCs w:val="21"/>
          <w:highlight w:val="none"/>
        </w:rPr>
        <w:t>月</w:t>
      </w:r>
      <w:r>
        <w:rPr>
          <w:rFonts w:hint="eastAsia" w:ascii="宋体" w:hAnsi="宋体" w:cs="宋体"/>
          <w:spacing w:val="1"/>
          <w:sz w:val="21"/>
          <w:szCs w:val="21"/>
          <w:highlight w:val="none"/>
          <w:lang w:val="en-US" w:eastAsia="zh-CN"/>
        </w:rPr>
        <w:t>11</w:t>
      </w:r>
      <w:r>
        <w:rPr>
          <w:rFonts w:hint="eastAsia" w:ascii="宋体" w:hAnsi="宋体" w:eastAsia="宋体" w:cs="宋体"/>
          <w:spacing w:val="1"/>
          <w:sz w:val="21"/>
          <w:szCs w:val="21"/>
          <w:highlight w:val="none"/>
        </w:rPr>
        <w:t>日至202</w:t>
      </w:r>
      <w:r>
        <w:rPr>
          <w:rFonts w:hint="eastAsia" w:ascii="宋体" w:hAnsi="宋体" w:eastAsia="宋体" w:cs="宋体"/>
          <w:spacing w:val="1"/>
          <w:sz w:val="21"/>
          <w:szCs w:val="21"/>
          <w:highlight w:val="none"/>
          <w:lang w:val="en-US" w:eastAsia="zh-CN"/>
        </w:rPr>
        <w:t>3</w:t>
      </w:r>
      <w:r>
        <w:rPr>
          <w:rFonts w:hint="eastAsia" w:ascii="宋体" w:hAnsi="宋体" w:eastAsia="宋体" w:cs="宋体"/>
          <w:spacing w:val="1"/>
          <w:sz w:val="21"/>
          <w:szCs w:val="21"/>
          <w:highlight w:val="none"/>
        </w:rPr>
        <w:t>年</w:t>
      </w:r>
      <w:r>
        <w:rPr>
          <w:rFonts w:hint="eastAsia" w:ascii="宋体" w:hAnsi="宋体" w:cs="宋体"/>
          <w:spacing w:val="1"/>
          <w:sz w:val="21"/>
          <w:szCs w:val="21"/>
          <w:highlight w:val="none"/>
          <w:lang w:val="en-US" w:eastAsia="zh-CN"/>
        </w:rPr>
        <w:t>09</w:t>
      </w:r>
      <w:r>
        <w:rPr>
          <w:rFonts w:hint="eastAsia" w:ascii="宋体" w:hAnsi="宋体" w:eastAsia="宋体" w:cs="宋体"/>
          <w:spacing w:val="1"/>
          <w:sz w:val="21"/>
          <w:szCs w:val="21"/>
          <w:highlight w:val="none"/>
        </w:rPr>
        <w:t>月</w:t>
      </w:r>
      <w:r>
        <w:rPr>
          <w:rFonts w:hint="eastAsia" w:ascii="宋体" w:hAnsi="宋体" w:cs="宋体"/>
          <w:spacing w:val="1"/>
          <w:sz w:val="21"/>
          <w:szCs w:val="21"/>
          <w:highlight w:val="none"/>
          <w:lang w:val="en-US" w:eastAsia="zh-CN"/>
        </w:rPr>
        <w:t>01</w:t>
      </w:r>
      <w:r>
        <w:rPr>
          <w:rFonts w:hint="eastAsia" w:ascii="宋体" w:hAnsi="宋体" w:eastAsia="宋体" w:cs="宋体"/>
          <w:spacing w:val="1"/>
          <w:sz w:val="21"/>
          <w:szCs w:val="21"/>
          <w:highlight w:val="none"/>
        </w:rPr>
        <w:t>日，每天上午00:00至12:00，下午12:00至23:59（北京时间，法定节假日除外）</w:t>
      </w:r>
    </w:p>
    <w:p>
      <w:pPr>
        <w:wordWrap w:val="0"/>
        <w:topLinePunct/>
        <w:spacing w:line="320" w:lineRule="exact"/>
        <w:ind w:firstLine="424" w:firstLineChars="200"/>
        <w:rPr>
          <w:rFonts w:hint="eastAsia" w:ascii="宋体" w:hAnsi="宋体" w:eastAsia="宋体" w:cs="宋体"/>
          <w:spacing w:val="1"/>
          <w:sz w:val="21"/>
          <w:szCs w:val="21"/>
          <w:highlight w:val="none"/>
        </w:rPr>
      </w:pPr>
      <w:r>
        <w:rPr>
          <w:rFonts w:hint="eastAsia" w:ascii="宋体" w:hAnsi="宋体" w:eastAsia="宋体" w:cs="宋体"/>
          <w:spacing w:val="1"/>
          <w:sz w:val="21"/>
          <w:szCs w:val="21"/>
          <w:highlight w:val="none"/>
        </w:rPr>
        <w:t>地点（网址）：</w:t>
      </w:r>
      <w:bookmarkStart w:id="13" w:name="_Hlk95554325"/>
      <w:r>
        <w:rPr>
          <w:rFonts w:hint="eastAsia" w:ascii="宋体" w:hAnsi="宋体" w:eastAsia="宋体" w:cs="宋体"/>
          <w:bCs/>
          <w:spacing w:val="1"/>
          <w:sz w:val="21"/>
          <w:szCs w:val="21"/>
          <w:highlight w:val="none"/>
        </w:rPr>
        <w:t>“政采云”平台（http://www.zcygov.cn）</w:t>
      </w:r>
      <w:bookmarkEnd w:id="13"/>
    </w:p>
    <w:p>
      <w:pPr>
        <w:wordWrap w:val="0"/>
        <w:topLinePunct/>
        <w:spacing w:line="320" w:lineRule="exact"/>
        <w:ind w:firstLine="424" w:firstLineChars="200"/>
        <w:rPr>
          <w:rFonts w:hint="eastAsia" w:ascii="宋体" w:hAnsi="宋体" w:eastAsia="宋体" w:cs="宋体"/>
          <w:spacing w:val="1"/>
          <w:sz w:val="21"/>
          <w:szCs w:val="21"/>
          <w:highlight w:val="none"/>
        </w:rPr>
      </w:pPr>
      <w:r>
        <w:rPr>
          <w:rFonts w:hint="eastAsia" w:ascii="宋体" w:hAnsi="宋体" w:eastAsia="宋体" w:cs="宋体"/>
          <w:spacing w:val="1"/>
          <w:sz w:val="21"/>
          <w:szCs w:val="21"/>
          <w:highlight w:val="none"/>
        </w:rPr>
        <w:t>方式：免费下载招标文件电子版、工程量清单及图纸。</w:t>
      </w:r>
    </w:p>
    <w:p>
      <w:pPr>
        <w:wordWrap w:val="0"/>
        <w:topLinePunct/>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售价（元）：0</w:t>
      </w:r>
    </w:p>
    <w:p>
      <w:pPr>
        <w:wordWrap w:val="0"/>
        <w:topLinePunct/>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四、提交投标文件截止时间、开标时间和地点</w:t>
      </w:r>
    </w:p>
    <w:p>
      <w:pPr>
        <w:wordWrap w:val="0"/>
        <w:topLinePunct/>
        <w:spacing w:line="320" w:lineRule="exact"/>
        <w:ind w:firstLine="424" w:firstLineChars="200"/>
        <w:rPr>
          <w:rFonts w:hint="eastAsia" w:ascii="宋体" w:hAnsi="宋体" w:eastAsia="宋体" w:cs="宋体"/>
          <w:bCs/>
          <w:spacing w:val="1"/>
          <w:sz w:val="21"/>
          <w:szCs w:val="21"/>
          <w:highlight w:val="none"/>
          <w:u w:val="single"/>
        </w:rPr>
      </w:pPr>
      <w:r>
        <w:rPr>
          <w:rFonts w:hint="eastAsia" w:ascii="宋体" w:hAnsi="宋体" w:eastAsia="宋体" w:cs="宋体"/>
          <w:bCs/>
          <w:spacing w:val="1"/>
          <w:sz w:val="21"/>
          <w:szCs w:val="21"/>
          <w:highlight w:val="none"/>
        </w:rPr>
        <w:t>提交投标文件截止时间：</w:t>
      </w:r>
      <w:r>
        <w:rPr>
          <w:rFonts w:hint="eastAsia" w:ascii="宋体" w:hAnsi="宋体" w:eastAsia="宋体" w:cs="宋体"/>
          <w:spacing w:val="1"/>
          <w:sz w:val="21"/>
          <w:szCs w:val="21"/>
          <w:highlight w:val="none"/>
        </w:rPr>
        <w:t>202</w:t>
      </w:r>
      <w:r>
        <w:rPr>
          <w:rFonts w:hint="eastAsia" w:ascii="宋体" w:hAnsi="宋体" w:eastAsia="宋体" w:cs="宋体"/>
          <w:spacing w:val="1"/>
          <w:sz w:val="21"/>
          <w:szCs w:val="21"/>
          <w:highlight w:val="none"/>
          <w:lang w:val="en-US" w:eastAsia="zh-CN"/>
        </w:rPr>
        <w:t>3</w:t>
      </w:r>
      <w:r>
        <w:rPr>
          <w:rFonts w:hint="eastAsia" w:ascii="宋体" w:hAnsi="宋体" w:eastAsia="宋体" w:cs="宋体"/>
          <w:spacing w:val="1"/>
          <w:sz w:val="21"/>
          <w:szCs w:val="21"/>
          <w:highlight w:val="none"/>
        </w:rPr>
        <w:t>年</w:t>
      </w:r>
      <w:r>
        <w:rPr>
          <w:rFonts w:hint="eastAsia" w:ascii="宋体" w:hAnsi="宋体" w:cs="宋体"/>
          <w:spacing w:val="1"/>
          <w:sz w:val="21"/>
          <w:szCs w:val="21"/>
          <w:highlight w:val="none"/>
          <w:lang w:val="en-US" w:eastAsia="zh-CN"/>
        </w:rPr>
        <w:t>09</w:t>
      </w:r>
      <w:r>
        <w:rPr>
          <w:rFonts w:hint="eastAsia" w:ascii="宋体" w:hAnsi="宋体" w:eastAsia="宋体" w:cs="宋体"/>
          <w:spacing w:val="1"/>
          <w:sz w:val="21"/>
          <w:szCs w:val="21"/>
          <w:highlight w:val="none"/>
        </w:rPr>
        <w:t>月</w:t>
      </w:r>
      <w:r>
        <w:rPr>
          <w:rFonts w:hint="eastAsia" w:ascii="宋体" w:hAnsi="宋体" w:cs="宋体"/>
          <w:spacing w:val="1"/>
          <w:sz w:val="21"/>
          <w:szCs w:val="21"/>
          <w:highlight w:val="none"/>
          <w:lang w:val="en-US" w:eastAsia="zh-CN"/>
        </w:rPr>
        <w:t>01</w:t>
      </w:r>
      <w:r>
        <w:rPr>
          <w:rFonts w:hint="eastAsia" w:ascii="宋体" w:hAnsi="宋体" w:eastAsia="宋体" w:cs="宋体"/>
          <w:spacing w:val="1"/>
          <w:sz w:val="21"/>
          <w:szCs w:val="21"/>
          <w:highlight w:val="none"/>
          <w:lang w:val="en-US" w:eastAsia="zh-CN"/>
        </w:rPr>
        <w:t xml:space="preserve"> </w:t>
      </w:r>
      <w:r>
        <w:rPr>
          <w:rFonts w:hint="eastAsia" w:ascii="宋体" w:hAnsi="宋体" w:eastAsia="宋体" w:cs="宋体"/>
          <w:spacing w:val="1"/>
          <w:sz w:val="21"/>
          <w:szCs w:val="21"/>
          <w:highlight w:val="none"/>
        </w:rPr>
        <w:t>日</w:t>
      </w:r>
      <w:r>
        <w:rPr>
          <w:rFonts w:hint="eastAsia" w:ascii="宋体" w:hAnsi="宋体" w:eastAsia="宋体" w:cs="宋体"/>
          <w:bCs/>
          <w:spacing w:val="1"/>
          <w:sz w:val="21"/>
          <w:szCs w:val="21"/>
          <w:highlight w:val="none"/>
        </w:rPr>
        <w:t>09:30（北京时间）</w:t>
      </w:r>
    </w:p>
    <w:p>
      <w:pPr>
        <w:wordWrap w:val="0"/>
        <w:topLinePunct/>
        <w:spacing w:line="320" w:lineRule="exact"/>
        <w:ind w:firstLine="424" w:firstLineChars="200"/>
        <w:rPr>
          <w:rFonts w:hint="eastAsia" w:ascii="宋体" w:hAnsi="宋体" w:eastAsia="宋体" w:cs="宋体"/>
          <w:bCs/>
          <w:spacing w:val="1"/>
          <w:sz w:val="21"/>
          <w:szCs w:val="21"/>
          <w:highlight w:val="none"/>
        </w:rPr>
      </w:pPr>
      <w:r>
        <w:rPr>
          <w:rFonts w:hint="eastAsia" w:ascii="宋体" w:hAnsi="宋体" w:eastAsia="宋体" w:cs="宋体"/>
          <w:bCs/>
          <w:spacing w:val="1"/>
          <w:sz w:val="21"/>
          <w:szCs w:val="21"/>
          <w:highlight w:val="none"/>
        </w:rPr>
        <w:t>投标地点（网址）：通过政采云平台实行在线投标。</w:t>
      </w:r>
    </w:p>
    <w:p>
      <w:pPr>
        <w:wordWrap w:val="0"/>
        <w:topLinePunct/>
        <w:spacing w:line="320" w:lineRule="exact"/>
        <w:ind w:firstLine="424" w:firstLineChars="200"/>
        <w:rPr>
          <w:rFonts w:hint="eastAsia" w:ascii="宋体" w:hAnsi="宋体" w:eastAsia="宋体" w:cs="宋体"/>
          <w:bCs/>
          <w:spacing w:val="1"/>
          <w:sz w:val="21"/>
          <w:szCs w:val="21"/>
          <w:highlight w:val="none"/>
        </w:rPr>
      </w:pPr>
      <w:r>
        <w:rPr>
          <w:rFonts w:hint="eastAsia" w:ascii="宋体" w:hAnsi="宋体" w:eastAsia="宋体" w:cs="宋体"/>
          <w:bCs/>
          <w:spacing w:val="1"/>
          <w:sz w:val="21"/>
          <w:szCs w:val="21"/>
          <w:highlight w:val="none"/>
        </w:rPr>
        <w:t>开标时间：</w:t>
      </w:r>
      <w:r>
        <w:rPr>
          <w:rFonts w:hint="eastAsia" w:ascii="宋体" w:hAnsi="宋体" w:eastAsia="宋体" w:cs="宋体"/>
          <w:spacing w:val="1"/>
          <w:sz w:val="21"/>
          <w:szCs w:val="21"/>
          <w:highlight w:val="none"/>
          <w:u w:val="none"/>
        </w:rPr>
        <w:t>202</w:t>
      </w:r>
      <w:r>
        <w:rPr>
          <w:rFonts w:hint="eastAsia" w:ascii="宋体" w:hAnsi="宋体" w:eastAsia="宋体" w:cs="宋体"/>
          <w:spacing w:val="1"/>
          <w:sz w:val="21"/>
          <w:szCs w:val="21"/>
          <w:highlight w:val="none"/>
          <w:u w:val="none"/>
          <w:lang w:val="en-US" w:eastAsia="zh-CN"/>
        </w:rPr>
        <w:t>3</w:t>
      </w:r>
      <w:r>
        <w:rPr>
          <w:rFonts w:hint="eastAsia" w:ascii="宋体" w:hAnsi="宋体" w:eastAsia="宋体" w:cs="宋体"/>
          <w:spacing w:val="1"/>
          <w:sz w:val="21"/>
          <w:szCs w:val="21"/>
          <w:highlight w:val="none"/>
          <w:u w:val="none"/>
        </w:rPr>
        <w:t>年</w:t>
      </w:r>
      <w:r>
        <w:rPr>
          <w:rFonts w:hint="eastAsia" w:ascii="宋体" w:hAnsi="宋体" w:cs="宋体"/>
          <w:spacing w:val="1"/>
          <w:sz w:val="21"/>
          <w:szCs w:val="21"/>
          <w:highlight w:val="none"/>
          <w:u w:val="none"/>
          <w:lang w:val="en-US" w:eastAsia="zh-CN"/>
        </w:rPr>
        <w:t>09</w:t>
      </w:r>
      <w:r>
        <w:rPr>
          <w:rFonts w:hint="eastAsia" w:ascii="宋体" w:hAnsi="宋体" w:eastAsia="宋体" w:cs="宋体"/>
          <w:spacing w:val="1"/>
          <w:sz w:val="21"/>
          <w:szCs w:val="21"/>
          <w:highlight w:val="none"/>
          <w:u w:val="none"/>
        </w:rPr>
        <w:t>月</w:t>
      </w:r>
      <w:r>
        <w:rPr>
          <w:rFonts w:hint="eastAsia" w:ascii="宋体" w:hAnsi="宋体" w:cs="宋体"/>
          <w:spacing w:val="1"/>
          <w:sz w:val="21"/>
          <w:szCs w:val="21"/>
          <w:highlight w:val="none"/>
          <w:u w:val="none"/>
          <w:lang w:val="en-US" w:eastAsia="zh-CN"/>
        </w:rPr>
        <w:t>01</w:t>
      </w:r>
      <w:r>
        <w:rPr>
          <w:rFonts w:hint="eastAsia" w:ascii="宋体" w:hAnsi="宋体" w:eastAsia="宋体" w:cs="宋体"/>
          <w:spacing w:val="1"/>
          <w:sz w:val="21"/>
          <w:szCs w:val="21"/>
          <w:highlight w:val="none"/>
          <w:u w:val="none"/>
        </w:rPr>
        <w:t>日</w:t>
      </w:r>
      <w:r>
        <w:rPr>
          <w:rFonts w:hint="eastAsia" w:ascii="宋体" w:hAnsi="宋体" w:eastAsia="宋体" w:cs="宋体"/>
          <w:bCs/>
          <w:spacing w:val="1"/>
          <w:sz w:val="21"/>
          <w:szCs w:val="21"/>
          <w:highlight w:val="none"/>
          <w:u w:val="none"/>
        </w:rPr>
        <w:t>09:30</w:t>
      </w:r>
    </w:p>
    <w:p>
      <w:pPr>
        <w:wordWrap w:val="0"/>
        <w:topLinePunct/>
        <w:spacing w:line="320" w:lineRule="exact"/>
        <w:ind w:firstLine="424" w:firstLineChars="200"/>
        <w:rPr>
          <w:rFonts w:hint="eastAsia" w:ascii="宋体" w:hAnsi="宋体" w:eastAsia="宋体" w:cs="宋体"/>
          <w:spacing w:val="1"/>
          <w:sz w:val="21"/>
          <w:szCs w:val="21"/>
          <w:highlight w:val="none"/>
        </w:rPr>
      </w:pPr>
      <w:r>
        <w:rPr>
          <w:rFonts w:hint="eastAsia" w:ascii="宋体" w:hAnsi="宋体" w:eastAsia="宋体" w:cs="宋体"/>
          <w:bCs/>
          <w:spacing w:val="1"/>
          <w:sz w:val="21"/>
          <w:szCs w:val="21"/>
          <w:highlight w:val="none"/>
        </w:rPr>
        <w:t>开标地点：通过政采云平台实行在线解密开启。</w:t>
      </w:r>
    </w:p>
    <w:p>
      <w:pPr>
        <w:wordWrap w:val="0"/>
        <w:topLinePunct/>
        <w:spacing w:line="320" w:lineRule="exact"/>
        <w:rPr>
          <w:rFonts w:hint="eastAsia" w:ascii="宋体" w:hAnsi="宋体" w:eastAsia="宋体" w:cs="宋体"/>
          <w:b/>
          <w:bCs/>
          <w:spacing w:val="1"/>
          <w:sz w:val="21"/>
          <w:szCs w:val="21"/>
          <w:highlight w:val="none"/>
        </w:rPr>
      </w:pPr>
      <w:r>
        <w:rPr>
          <w:rFonts w:hint="eastAsia" w:ascii="宋体" w:hAnsi="宋体" w:eastAsia="宋体" w:cs="宋体"/>
          <w:b/>
          <w:bCs/>
          <w:spacing w:val="1"/>
          <w:sz w:val="21"/>
          <w:szCs w:val="21"/>
          <w:highlight w:val="none"/>
        </w:rPr>
        <w:t>五、公告期限</w:t>
      </w:r>
    </w:p>
    <w:p>
      <w:pPr>
        <w:wordWrap w:val="0"/>
        <w:topLinePunct/>
        <w:spacing w:line="320" w:lineRule="exact"/>
        <w:ind w:firstLine="420" w:firstLineChars="200"/>
        <w:rPr>
          <w:rFonts w:hint="eastAsia" w:ascii="宋体" w:hAnsi="宋体" w:eastAsia="宋体" w:cs="宋体"/>
          <w:spacing w:val="1"/>
          <w:sz w:val="21"/>
          <w:szCs w:val="21"/>
          <w:highlight w:val="none"/>
        </w:rPr>
      </w:pPr>
      <w:r>
        <w:rPr>
          <w:rFonts w:hint="eastAsia" w:ascii="宋体" w:hAnsi="宋体" w:eastAsia="宋体" w:cs="宋体"/>
          <w:kern w:val="0"/>
          <w:sz w:val="21"/>
          <w:szCs w:val="21"/>
          <w:highlight w:val="none"/>
        </w:rPr>
        <w:t>自本公告发布之日起5个工作日</w:t>
      </w:r>
      <w:r>
        <w:rPr>
          <w:rFonts w:hint="eastAsia" w:ascii="宋体" w:hAnsi="宋体" w:eastAsia="宋体" w:cs="宋体"/>
          <w:spacing w:val="1"/>
          <w:sz w:val="21"/>
          <w:szCs w:val="21"/>
          <w:highlight w:val="none"/>
        </w:rPr>
        <w:t>。</w:t>
      </w:r>
    </w:p>
    <w:p>
      <w:pPr>
        <w:wordWrap w:val="0"/>
        <w:topLinePunct/>
        <w:spacing w:line="320" w:lineRule="exact"/>
        <w:rPr>
          <w:rFonts w:hint="eastAsia" w:ascii="宋体" w:hAnsi="宋体" w:eastAsia="宋体" w:cs="宋体"/>
          <w:sz w:val="21"/>
          <w:szCs w:val="21"/>
          <w:highlight w:val="none"/>
        </w:rPr>
      </w:pPr>
      <w:r>
        <w:rPr>
          <w:rFonts w:hint="eastAsia" w:ascii="宋体" w:hAnsi="宋体" w:eastAsia="宋体" w:cs="宋体"/>
          <w:b/>
          <w:bCs/>
          <w:sz w:val="21"/>
          <w:szCs w:val="21"/>
          <w:highlight w:val="none"/>
        </w:rPr>
        <w:t>六、其他补充事宜</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3.各投标人可就本招标项目的所有标段进行投标，并允许中标所有标段。</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4.本项目需要落实的政府采购政策</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（1）《政府采购促进中小企业发展管理办法》（财库〔2020〕46号）。</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（2）《关于进一步加大政府采购支持中小企业力度的通知》（财库〔2022〕19号）。</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（3）《关于政府采购支持监狱企业发展有关问题的通知》（财库〔2014〕68号）。</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（4）《关于促进残疾人就业政府采购政策的通知》（财库〔2017〕141号）。</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（5）本项目专门面向中小微企业采购。</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（6）中小企业划分标准所属行业：“建筑业”。</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5.信息公告发布媒体：http://www.ccgp.gov.cn（中国政府采购网）、http://zfcg.gxzf.gov.cn（广西壮族自治区政府采购网）、</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HYPERLINK "http://zfcg.guilin.gov.cn"</w:instrText>
      </w:r>
      <w:r>
        <w:rPr>
          <w:rFonts w:hint="eastAsia" w:ascii="宋体" w:hAnsi="宋体" w:eastAsia="宋体" w:cs="宋体"/>
          <w:sz w:val="21"/>
          <w:szCs w:val="21"/>
          <w:highlight w:val="none"/>
        </w:rPr>
        <w:fldChar w:fldCharType="separate"/>
      </w:r>
      <w:r>
        <w:rPr>
          <w:rStyle w:val="58"/>
          <w:rFonts w:hint="eastAsia" w:ascii="宋体" w:hAnsi="宋体" w:eastAsia="宋体" w:cs="宋体"/>
          <w:bCs/>
          <w:sz w:val="21"/>
          <w:szCs w:val="21"/>
          <w:highlight w:val="none"/>
        </w:rPr>
        <w:t>http://zfcg.czj.guilin.gov.cn</w:t>
      </w:r>
      <w:r>
        <w:rPr>
          <w:rFonts w:hint="eastAsia" w:ascii="宋体" w:hAnsi="宋体" w:eastAsia="宋体" w:cs="宋体"/>
          <w:sz w:val="21"/>
          <w:szCs w:val="21"/>
          <w:highlight w:val="none"/>
        </w:rPr>
        <w:fldChar w:fldCharType="end"/>
      </w:r>
      <w:r>
        <w:rPr>
          <w:rFonts w:hint="eastAsia" w:ascii="宋体" w:hAnsi="宋体" w:eastAsia="宋体" w:cs="宋体"/>
          <w:bCs/>
          <w:sz w:val="21"/>
          <w:szCs w:val="21"/>
          <w:highlight w:val="none"/>
        </w:rPr>
        <w:t>（桂林市政府采购网）。</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6.政府采购监督管理部门：</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名    称：</w:t>
      </w:r>
      <w:r>
        <w:rPr>
          <w:rFonts w:hint="eastAsia" w:ascii="宋体" w:hAnsi="宋体" w:eastAsia="宋体" w:cs="宋体"/>
          <w:color w:val="auto"/>
          <w:w w:val="100"/>
          <w:sz w:val="21"/>
          <w:szCs w:val="21"/>
          <w:highlight w:val="none"/>
          <w:lang w:val="en-US" w:eastAsia="zh-CN"/>
        </w:rPr>
        <w:t>永福县人民政府采购管理办公室</w:t>
      </w:r>
    </w:p>
    <w:p>
      <w:pPr>
        <w:wordWrap w:val="0"/>
        <w:topLinePunct/>
        <w:spacing w:line="320" w:lineRule="exact"/>
        <w:ind w:firstLine="420" w:firstLineChars="200"/>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电　　话：</w:t>
      </w:r>
      <w:r>
        <w:rPr>
          <w:rFonts w:hint="eastAsia" w:ascii="宋体" w:hAnsi="宋体" w:eastAsia="宋体" w:cs="宋体"/>
          <w:bCs/>
          <w:sz w:val="21"/>
          <w:szCs w:val="21"/>
          <w:highlight w:val="none"/>
          <w:lang w:val="en-US" w:eastAsia="zh-CN"/>
        </w:rPr>
        <w:t>0773-8518392</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7.政采云平台客服电话：95763</w:t>
      </w:r>
    </w:p>
    <w:p>
      <w:pPr>
        <w:wordWrap w:val="0"/>
        <w:topLinePunct/>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8.在线投标响应（电子投标）说明</w:t>
      </w:r>
    </w:p>
    <w:p>
      <w:pPr>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本项目通过政采云平台实行在线投标响应（电子投标），投标人需要先安装“政采云电子交易客户端”，并按照本招标文件和政采云平台的要求，通过“政采云电子交易客户端”编制并加密电子投标文件。投标人未按规定编制并加密的电子投标文件，政采云平台将予以拒收。</w:t>
      </w:r>
    </w:p>
    <w:p>
      <w:pPr>
        <w:wordWrap w:val="0"/>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95763。</w:t>
      </w:r>
    </w:p>
    <w:p>
      <w:pPr>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为确保网上操作合法、有效和安全，投标人应当在投标截止时间前完成在“政采云”平台的身份认证，确保在电子投标过程中能够对相关数据电文进行加密和使用电子签章。使用“政采云电子交易客户端”需要提前申领CA数字证书，申领流程请自行前往相关网站进行查阅。（各投标人在截标前应确保成为政采云平台正式注册入库供应商，并完成CA数字证书申领。如因未注册入库、未办理CA数字证书等原因造成无法投标或投标失败等后果由投标人自行承担。）</w:t>
      </w:r>
    </w:p>
    <w:p>
      <w:pPr>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3）投标人应当在投标文件递交截止时间前，将生成的“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spacing w:line="32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（4）投标文件解密时间：截标时间后30分钟内（202</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年</w:t>
      </w:r>
      <w:r>
        <w:rPr>
          <w:rFonts w:hint="eastAsia" w:ascii="宋体" w:hAnsi="宋体" w:cs="宋体"/>
          <w:bCs/>
          <w:sz w:val="21"/>
          <w:szCs w:val="21"/>
          <w:highlight w:val="none"/>
          <w:lang w:val="en-US" w:eastAsia="zh-CN"/>
        </w:rPr>
        <w:t>09</w:t>
      </w: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月</w:t>
      </w:r>
      <w:r>
        <w:rPr>
          <w:rFonts w:hint="eastAsia" w:ascii="宋体" w:hAnsi="宋体" w:cs="宋体"/>
          <w:bCs/>
          <w:sz w:val="21"/>
          <w:szCs w:val="21"/>
          <w:highlight w:val="none"/>
          <w:lang w:val="en-US" w:eastAsia="zh-CN"/>
        </w:rPr>
        <w:t>01</w:t>
      </w:r>
      <w:r>
        <w:rPr>
          <w:rFonts w:hint="eastAsia" w:ascii="宋体" w:hAnsi="宋体" w:eastAsia="宋体" w:cs="宋体"/>
          <w:bCs/>
          <w:sz w:val="21"/>
          <w:szCs w:val="21"/>
          <w:highlight w:val="none"/>
        </w:rPr>
        <w:t>日上午9时30分至10时00分)投标人可以登录政采云平台，用“项目采购-开标评标”功能进行解密电子投标文件。若投标人在规定时间内无法解密或解密失败，可向采购代理机构提供电子备份投标文件【在接到无法解密或解密失败的通知后，投标人可根据自身实际情况按通知时要求的时间到桂林市公共资源交易中心现场提交或以电子邮件的形式（以通知时告知的电子邮箱地址为准）提交电子备份投标文件】。若投标人在规定时间内无法解密或解密失败且未提供电子备份投标文件的(包含提供的电子备份投标文件无效或无法解密的情况)，视为无效投标。</w:t>
      </w:r>
    </w:p>
    <w:p>
      <w:pPr>
        <w:wordWrap w:val="0"/>
        <w:topLinePunct/>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bCs/>
          <w:sz w:val="21"/>
          <w:szCs w:val="21"/>
          <w:highlight w:val="none"/>
        </w:rPr>
        <w:t>（5）本项目为政采云全流程电子化操作，参与投标的投标人需自备计算机和网络设备（设备需可视频通话和读取政采云CA数字证书），确保投标过程顺利进行；因投标人自身设备或网络原因造成的一切后果，由投标人自行承担。</w:t>
      </w:r>
    </w:p>
    <w:p>
      <w:pPr>
        <w:spacing w:line="320" w:lineRule="exact"/>
        <w:rPr>
          <w:rFonts w:hint="eastAsia" w:ascii="宋体" w:hAnsi="宋体" w:eastAsia="宋体" w:cs="宋体"/>
          <w:sz w:val="21"/>
          <w:szCs w:val="21"/>
          <w:highlight w:val="none"/>
        </w:rPr>
      </w:pPr>
      <w:r>
        <w:rPr>
          <w:rFonts w:hint="eastAsia" w:ascii="宋体" w:hAnsi="宋体" w:eastAsia="宋体" w:cs="宋体"/>
          <w:b/>
          <w:bCs/>
          <w:sz w:val="21"/>
          <w:szCs w:val="21"/>
          <w:highlight w:val="none"/>
        </w:rPr>
        <w:t>七、对本次采购提出询问，请按以下方式联系</w:t>
      </w:r>
    </w:p>
    <w:p>
      <w:pPr>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1.采购人信息</w:t>
      </w:r>
    </w:p>
    <w:p>
      <w:pPr>
        <w:spacing w:line="3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lang w:eastAsia="zh-CN"/>
        </w:rPr>
        <w:t xml:space="preserve">永福县农业农村局                </w:t>
      </w:r>
    </w:p>
    <w:p>
      <w:pPr>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地    址：永福县</w:t>
      </w:r>
      <w:r>
        <w:rPr>
          <w:rFonts w:hint="eastAsia" w:ascii="宋体" w:hAnsi="宋体" w:eastAsia="宋体" w:cs="宋体"/>
          <w:sz w:val="21"/>
          <w:szCs w:val="21"/>
          <w:highlight w:val="none"/>
          <w:lang w:val="en-US" w:eastAsia="zh-CN"/>
        </w:rPr>
        <w:t>永福镇</w:t>
      </w:r>
      <w:r>
        <w:rPr>
          <w:rFonts w:hint="eastAsia" w:ascii="宋体" w:hAnsi="宋体" w:eastAsia="宋体" w:cs="宋体"/>
          <w:sz w:val="21"/>
          <w:szCs w:val="21"/>
          <w:highlight w:val="none"/>
        </w:rPr>
        <w:t>迎宾路167号</w:t>
      </w:r>
    </w:p>
    <w:p>
      <w:pPr>
        <w:spacing w:line="320" w:lineRule="exact"/>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项目联系人：</w:t>
      </w:r>
      <w:r>
        <w:rPr>
          <w:rFonts w:hint="eastAsia" w:ascii="宋体" w:hAnsi="宋体" w:eastAsia="宋体" w:cs="宋体"/>
          <w:sz w:val="21"/>
          <w:szCs w:val="21"/>
          <w:highlight w:val="none"/>
          <w:lang w:val="en-US" w:eastAsia="zh-CN"/>
        </w:rPr>
        <w:t>李建鑫</w:t>
      </w:r>
    </w:p>
    <w:p>
      <w:pPr>
        <w:spacing w:line="320" w:lineRule="exact"/>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项目联系方式：0773-</w:t>
      </w:r>
      <w:r>
        <w:rPr>
          <w:rFonts w:hint="eastAsia" w:ascii="宋体" w:hAnsi="宋体" w:eastAsia="宋体" w:cs="宋体"/>
          <w:sz w:val="21"/>
          <w:szCs w:val="21"/>
          <w:highlight w:val="none"/>
          <w:lang w:val="en-US" w:eastAsia="zh-CN"/>
        </w:rPr>
        <w:t>8558686</w:t>
      </w:r>
    </w:p>
    <w:p>
      <w:pPr>
        <w:spacing w:line="3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2.采购</w:t>
      </w:r>
      <w:r>
        <w:rPr>
          <w:rFonts w:hint="eastAsia" w:ascii="宋体" w:hAnsi="宋体" w:eastAsia="宋体" w:cs="宋体"/>
          <w:kern w:val="0"/>
          <w:sz w:val="21"/>
          <w:highlight w:val="none"/>
        </w:rPr>
        <w:t>代理机构</w:t>
      </w:r>
      <w:r>
        <w:rPr>
          <w:rFonts w:hint="eastAsia" w:ascii="宋体" w:hAnsi="宋体" w:eastAsia="宋体" w:cs="宋体"/>
          <w:sz w:val="21"/>
          <w:szCs w:val="21"/>
          <w:highlight w:val="none"/>
        </w:rPr>
        <w:t>信息</w:t>
      </w:r>
    </w:p>
    <w:p>
      <w:pPr>
        <w:spacing w:line="3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lang w:eastAsia="zh-CN"/>
        </w:rPr>
        <w:t xml:space="preserve">广西煜昌工程咨询有限公司          </w:t>
      </w:r>
    </w:p>
    <w:p>
      <w:pPr>
        <w:spacing w:line="3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 xml:space="preserve">桂林市七星区环城南一路9号棠棣之华32栋1-24至1-31号公寓式办公房        </w:t>
      </w:r>
    </w:p>
    <w:p>
      <w:pPr>
        <w:spacing w:line="3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项目联系人：</w:t>
      </w:r>
      <w:r>
        <w:rPr>
          <w:rFonts w:hint="eastAsia" w:ascii="宋体" w:hAnsi="宋体" w:eastAsia="宋体" w:cs="宋体"/>
          <w:sz w:val="21"/>
          <w:szCs w:val="21"/>
          <w:highlight w:val="none"/>
          <w:lang w:eastAsia="zh-CN"/>
        </w:rPr>
        <w:t>戴大凤、廖分地、</w:t>
      </w:r>
      <w:r>
        <w:rPr>
          <w:rFonts w:hint="eastAsia" w:ascii="宋体" w:hAnsi="宋体" w:eastAsia="宋体" w:cs="宋体"/>
          <w:sz w:val="21"/>
          <w:szCs w:val="21"/>
          <w:highlight w:val="none"/>
          <w:lang w:val="en-US" w:eastAsia="zh-CN"/>
        </w:rPr>
        <w:t>刘沈艳</w:t>
      </w:r>
      <w:r>
        <w:rPr>
          <w:rFonts w:hint="eastAsia" w:ascii="宋体" w:hAnsi="宋体" w:eastAsia="宋体" w:cs="宋体"/>
          <w:sz w:val="21"/>
          <w:szCs w:val="21"/>
          <w:highlight w:val="none"/>
          <w:lang w:eastAsia="zh-CN"/>
        </w:rPr>
        <w:t xml:space="preserve">      </w:t>
      </w:r>
    </w:p>
    <w:p>
      <w:pPr>
        <w:widowControl/>
        <w:wordWrap/>
        <w:spacing w:line="320" w:lineRule="exact"/>
        <w:ind w:firstLine="445" w:firstLineChars="212"/>
        <w:jc w:val="left"/>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项目联系方式：</w:t>
      </w:r>
      <w:r>
        <w:rPr>
          <w:rFonts w:hint="eastAsia" w:ascii="宋体" w:hAnsi="宋体" w:eastAsia="宋体" w:cs="宋体"/>
          <w:sz w:val="21"/>
          <w:szCs w:val="21"/>
          <w:highlight w:val="none"/>
          <w:lang w:eastAsia="zh-CN"/>
        </w:rPr>
        <w:t>0773-5669088</w:t>
      </w:r>
      <w:r>
        <w:rPr>
          <w:rFonts w:hint="eastAsia" w:ascii="宋体" w:hAnsi="宋体" w:eastAsia="宋体" w:cs="宋体"/>
          <w:sz w:val="21"/>
          <w:szCs w:val="21"/>
          <w:highlight w:val="none"/>
        </w:rPr>
        <w:t xml:space="preserve">                                         </w:t>
      </w:r>
    </w:p>
    <w:p>
      <w:pPr>
        <w:widowControl/>
        <w:wordWrap/>
        <w:spacing w:line="320" w:lineRule="exact"/>
        <w:ind w:firstLine="315"/>
        <w:jc w:val="right"/>
        <w:rPr>
          <w:rFonts w:hint="eastAsia" w:ascii="宋体" w:hAnsi="宋体" w:eastAsia="宋体" w:cs="宋体"/>
          <w:kern w:val="0"/>
          <w:sz w:val="21"/>
          <w:szCs w:val="21"/>
          <w:highlight w:val="none"/>
        </w:rPr>
      </w:pPr>
      <w:r>
        <w:rPr>
          <w:rFonts w:hint="eastAsia" w:ascii="宋体" w:hAnsi="宋体" w:eastAsia="宋体" w:cs="宋体"/>
          <w:sz w:val="21"/>
          <w:szCs w:val="21"/>
          <w:highlight w:val="none"/>
          <w:lang w:eastAsia="zh-CN"/>
        </w:rPr>
        <w:t xml:space="preserve">广西煜昌工程咨询有限公司          </w:t>
      </w:r>
      <w:r>
        <w:rPr>
          <w:rFonts w:hint="eastAsia" w:ascii="宋体" w:hAnsi="宋体" w:eastAsia="宋体" w:cs="宋体"/>
          <w:kern w:val="0"/>
          <w:sz w:val="21"/>
          <w:szCs w:val="21"/>
          <w:highlight w:val="none"/>
        </w:rPr>
        <w:t xml:space="preserve">                         </w:t>
      </w:r>
    </w:p>
    <w:p>
      <w:pPr>
        <w:widowControl/>
        <w:wordWrap/>
        <w:spacing w:line="320" w:lineRule="exact"/>
        <w:ind w:firstLine="315"/>
        <w:jc w:val="right"/>
        <w:rPr>
          <w:rFonts w:hint="eastAsia" w:ascii="宋体" w:hAnsi="宋体" w:eastAsia="宋体" w:cs="宋体"/>
          <w:highlight w:val="none"/>
        </w:rPr>
      </w:pPr>
      <w:r>
        <w:rPr>
          <w:rFonts w:hint="eastAsia" w:ascii="宋体" w:hAnsi="宋体" w:eastAsia="宋体" w:cs="宋体"/>
          <w:kern w:val="0"/>
          <w:sz w:val="21"/>
          <w:szCs w:val="21"/>
          <w:highlight w:val="none"/>
        </w:rPr>
        <w:t xml:space="preserve"> 202</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年</w:t>
      </w:r>
      <w:r>
        <w:rPr>
          <w:rFonts w:hint="eastAsia" w:ascii="宋体" w:hAnsi="宋体" w:cs="宋体"/>
          <w:kern w:val="0"/>
          <w:sz w:val="21"/>
          <w:szCs w:val="21"/>
          <w:highlight w:val="none"/>
          <w:lang w:val="en-US" w:eastAsia="zh-CN"/>
        </w:rPr>
        <w:t>0</w:t>
      </w:r>
      <w:r>
        <w:rPr>
          <w:rFonts w:hint="eastAsia" w:ascii="宋体" w:hAnsi="宋体" w:eastAsia="宋体" w:cs="宋体"/>
          <w:kern w:val="0"/>
          <w:sz w:val="21"/>
          <w:szCs w:val="21"/>
          <w:highlight w:val="none"/>
          <w:lang w:val="en-US" w:eastAsia="zh-CN"/>
        </w:rPr>
        <w:t>8</w:t>
      </w:r>
      <w:r>
        <w:rPr>
          <w:rFonts w:hint="eastAsia" w:ascii="宋体" w:hAnsi="宋体" w:eastAsia="宋体" w:cs="宋体"/>
          <w:kern w:val="0"/>
          <w:sz w:val="21"/>
          <w:szCs w:val="21"/>
          <w:highlight w:val="none"/>
        </w:rPr>
        <w:t>月</w:t>
      </w:r>
      <w:r>
        <w:rPr>
          <w:rFonts w:hint="eastAsia" w:ascii="宋体" w:hAnsi="宋体" w:cs="宋体"/>
          <w:kern w:val="0"/>
          <w:sz w:val="21"/>
          <w:szCs w:val="21"/>
          <w:highlight w:val="none"/>
          <w:lang w:val="en-US" w:eastAsia="zh-CN"/>
        </w:rPr>
        <w:t>11</w:t>
      </w:r>
      <w:r>
        <w:rPr>
          <w:rFonts w:hint="eastAsia" w:ascii="宋体" w:hAnsi="宋体" w:eastAsia="宋体" w:cs="宋体"/>
          <w:kern w:val="0"/>
          <w:sz w:val="21"/>
          <w:szCs w:val="21"/>
          <w:highlight w:val="none"/>
        </w:rPr>
        <w:t>日</w:t>
      </w:r>
      <w:bookmarkEnd w:id="12"/>
    </w:p>
    <w:p>
      <w:pPr>
        <w:pStyle w:val="46"/>
        <w:ind w:firstLine="560"/>
        <w:rPr>
          <w:rFonts w:hint="eastAsia" w:ascii="宋体" w:hAnsi="宋体" w:eastAsia="宋体" w:cs="宋体"/>
          <w:highlight w:val="none"/>
        </w:rPr>
      </w:pPr>
    </w:p>
    <w:p>
      <w:pPr>
        <w:pStyle w:val="4"/>
        <w:spacing w:before="0" w:after="0" w:line="400" w:lineRule="exact"/>
        <w:jc w:val="center"/>
        <w:rPr>
          <w:rFonts w:hint="eastAsia" w:ascii="宋体" w:hAnsi="宋体" w:eastAsia="宋体" w:cs="宋体"/>
          <w:highlight w:val="none"/>
        </w:rPr>
      </w:pPr>
      <w:bookmarkStart w:id="14" w:name="_Toc115372962"/>
      <w:r>
        <w:rPr>
          <w:rFonts w:hint="eastAsia" w:ascii="宋体" w:hAnsi="宋体" w:eastAsia="宋体" w:cs="宋体"/>
          <w:highlight w:val="none"/>
        </w:rPr>
        <w:t>第二章 投标人须知</w:t>
      </w:r>
      <w:bookmarkEnd w:id="14"/>
    </w:p>
    <w:p>
      <w:pPr>
        <w:pStyle w:val="5"/>
        <w:spacing w:line="0" w:lineRule="atLeast"/>
        <w:jc w:val="center"/>
        <w:rPr>
          <w:rFonts w:hint="eastAsia" w:ascii="宋体" w:hAnsi="宋体" w:eastAsia="宋体" w:cs="宋体"/>
          <w:highlight w:val="none"/>
        </w:rPr>
      </w:pPr>
      <w:bookmarkStart w:id="15" w:name="_Toc354818240"/>
      <w:bookmarkStart w:id="16" w:name="_Toc25602"/>
      <w:bookmarkStart w:id="17" w:name="_Toc1300"/>
      <w:bookmarkStart w:id="18" w:name="_Toc115372963"/>
      <w:bookmarkStart w:id="19" w:name="_Toc354381545"/>
      <w:bookmarkStart w:id="20" w:name="_Toc209648112"/>
      <w:r>
        <w:rPr>
          <w:rFonts w:hint="eastAsia" w:ascii="宋体" w:hAnsi="宋体" w:eastAsia="宋体" w:cs="宋体"/>
          <w:highlight w:val="none"/>
        </w:rPr>
        <w:t>投标人须知前附表</w:t>
      </w:r>
      <w:bookmarkEnd w:id="15"/>
      <w:bookmarkEnd w:id="16"/>
      <w:bookmarkEnd w:id="17"/>
      <w:bookmarkEnd w:id="18"/>
      <w:bookmarkEnd w:id="19"/>
      <w:bookmarkEnd w:id="20"/>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592"/>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jc w:val="center"/>
        </w:trPr>
        <w:tc>
          <w:tcPr>
            <w:tcW w:w="946" w:type="dxa"/>
            <w:shd w:val="clear" w:color="auto" w:fill="8DB3E2"/>
            <w:noWrap w:val="0"/>
            <w:vAlign w:val="center"/>
          </w:tcPr>
          <w:p>
            <w:pPr>
              <w:pStyle w:val="13"/>
              <w:spacing w:line="360" w:lineRule="exact"/>
              <w:ind w:firstLine="0" w:firstLineChars="0"/>
              <w:jc w:val="cente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条款号</w:t>
            </w:r>
          </w:p>
        </w:tc>
        <w:tc>
          <w:tcPr>
            <w:tcW w:w="2592" w:type="dxa"/>
            <w:shd w:val="clear" w:color="auto" w:fill="8DB3E2"/>
            <w:noWrap w:val="0"/>
            <w:vAlign w:val="center"/>
          </w:tcPr>
          <w:p>
            <w:pPr>
              <w:pStyle w:val="13"/>
              <w:spacing w:line="360" w:lineRule="exact"/>
              <w:ind w:firstLine="0" w:firstLineChars="0"/>
              <w:jc w:val="cente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条  款  名  称</w:t>
            </w:r>
          </w:p>
        </w:tc>
        <w:tc>
          <w:tcPr>
            <w:tcW w:w="6463" w:type="dxa"/>
            <w:shd w:val="clear" w:color="auto" w:fill="8DB3E2"/>
            <w:noWrap w:val="0"/>
            <w:vAlign w:val="center"/>
          </w:tcPr>
          <w:p>
            <w:pPr>
              <w:pStyle w:val="13"/>
              <w:spacing w:line="360" w:lineRule="exact"/>
              <w:ind w:firstLine="0" w:firstLineChars="0"/>
              <w:jc w:val="cente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招标人</w:t>
            </w:r>
          </w:p>
        </w:tc>
        <w:tc>
          <w:tcPr>
            <w:tcW w:w="6463" w:type="dxa"/>
            <w:noWrap w:val="0"/>
            <w:vAlign w:val="top"/>
          </w:tcPr>
          <w:p>
            <w:pPr>
              <w:snapToGrid w:val="0"/>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名称：</w:t>
            </w:r>
            <w:r>
              <w:rPr>
                <w:rFonts w:hint="eastAsia" w:ascii="宋体" w:hAnsi="宋体" w:eastAsia="宋体" w:cs="宋体"/>
                <w:sz w:val="21"/>
                <w:szCs w:val="21"/>
                <w:highlight w:val="none"/>
                <w:lang w:eastAsia="zh-CN"/>
              </w:rPr>
              <w:t xml:space="preserve">永福县农业农村局                </w:t>
            </w:r>
          </w:p>
          <w:p>
            <w:pPr>
              <w:snapToGrid w:val="0"/>
              <w:spacing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地址：永福县</w:t>
            </w:r>
            <w:r>
              <w:rPr>
                <w:rFonts w:hint="eastAsia" w:ascii="宋体" w:hAnsi="宋体" w:eastAsia="宋体" w:cs="宋体"/>
                <w:sz w:val="21"/>
                <w:szCs w:val="21"/>
                <w:highlight w:val="none"/>
                <w:lang w:val="en-US" w:eastAsia="zh-CN"/>
              </w:rPr>
              <w:t>永福镇</w:t>
            </w:r>
            <w:r>
              <w:rPr>
                <w:rFonts w:hint="eastAsia" w:ascii="宋体" w:hAnsi="宋体" w:eastAsia="宋体" w:cs="宋体"/>
                <w:sz w:val="21"/>
                <w:szCs w:val="21"/>
                <w:highlight w:val="none"/>
              </w:rPr>
              <w:t>迎宾路167号</w:t>
            </w:r>
          </w:p>
          <w:p>
            <w:pPr>
              <w:snapToGrid w:val="0"/>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项目联系人：</w:t>
            </w:r>
            <w:r>
              <w:rPr>
                <w:rFonts w:hint="eastAsia" w:ascii="宋体" w:hAnsi="宋体" w:eastAsia="宋体" w:cs="宋体"/>
                <w:sz w:val="21"/>
                <w:szCs w:val="21"/>
                <w:highlight w:val="none"/>
                <w:lang w:val="en-US" w:eastAsia="zh-CN"/>
              </w:rPr>
              <w:t>李建鑫</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szCs w:val="21"/>
                <w:highlight w:val="none"/>
                <w:lang w:val="en-US" w:eastAsia="zh-CN"/>
              </w:rPr>
              <w:t>项目联系方式：0773-8558686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招标代理机构</w:t>
            </w:r>
          </w:p>
        </w:tc>
        <w:tc>
          <w:tcPr>
            <w:tcW w:w="6463" w:type="dxa"/>
            <w:noWrap w:val="0"/>
            <w:vAlign w:val="top"/>
          </w:tcPr>
          <w:p>
            <w:pPr>
              <w:snapToGrid w:val="0"/>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名称：</w:t>
            </w:r>
            <w:r>
              <w:rPr>
                <w:rFonts w:hint="eastAsia" w:ascii="宋体" w:hAnsi="宋体" w:eastAsia="宋体" w:cs="宋体"/>
                <w:sz w:val="21"/>
                <w:szCs w:val="21"/>
                <w:highlight w:val="none"/>
                <w:lang w:eastAsia="zh-CN"/>
              </w:rPr>
              <w:t xml:space="preserve">广西煜昌工程咨询有限公司          </w:t>
            </w:r>
          </w:p>
          <w:p>
            <w:pPr>
              <w:snapToGrid w:val="0"/>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地址：</w:t>
            </w:r>
            <w:r>
              <w:rPr>
                <w:rFonts w:hint="eastAsia" w:ascii="宋体" w:hAnsi="宋体" w:eastAsia="宋体" w:cs="宋体"/>
                <w:bCs/>
                <w:kern w:val="44"/>
                <w:sz w:val="21"/>
                <w:szCs w:val="21"/>
                <w:highlight w:val="none"/>
                <w:lang w:eastAsia="zh-CN"/>
              </w:rPr>
              <w:t xml:space="preserve">桂林市七星区环城南一路9号棠棣之华32栋1-24至1-31号公寓式办公房        </w:t>
            </w:r>
          </w:p>
          <w:p>
            <w:pPr>
              <w:snapToGrid w:val="0"/>
              <w:spacing w:line="36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项目联系人：</w:t>
            </w:r>
            <w:r>
              <w:rPr>
                <w:rFonts w:hint="eastAsia" w:ascii="宋体" w:hAnsi="宋体" w:eastAsia="宋体" w:cs="宋体"/>
                <w:bCs/>
                <w:kern w:val="44"/>
                <w:sz w:val="21"/>
                <w:szCs w:val="21"/>
                <w:highlight w:val="none"/>
                <w:lang w:eastAsia="zh-CN"/>
              </w:rPr>
              <w:t>戴大凤、廖分地、</w:t>
            </w:r>
            <w:r>
              <w:rPr>
                <w:rFonts w:hint="eastAsia" w:ascii="宋体" w:hAnsi="宋体" w:eastAsia="宋体" w:cs="宋体"/>
                <w:bCs/>
                <w:kern w:val="44"/>
                <w:sz w:val="21"/>
                <w:szCs w:val="21"/>
                <w:highlight w:val="none"/>
                <w:lang w:val="en-US" w:eastAsia="zh-CN"/>
              </w:rPr>
              <w:t>刘沈艳</w:t>
            </w:r>
            <w:r>
              <w:rPr>
                <w:rFonts w:hint="eastAsia" w:ascii="宋体" w:hAnsi="宋体" w:eastAsia="宋体" w:cs="宋体"/>
                <w:bCs/>
                <w:kern w:val="44"/>
                <w:sz w:val="21"/>
                <w:szCs w:val="21"/>
                <w:highlight w:val="none"/>
                <w:lang w:eastAsia="zh-CN"/>
              </w:rPr>
              <w:t xml:space="preserve">      </w:t>
            </w:r>
          </w:p>
          <w:p>
            <w:pPr>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项目联系方式：</w:t>
            </w:r>
            <w:r>
              <w:rPr>
                <w:rFonts w:hint="eastAsia" w:ascii="宋体" w:hAnsi="宋体" w:eastAsia="宋体" w:cs="宋体"/>
                <w:bCs/>
                <w:kern w:val="44"/>
                <w:sz w:val="21"/>
                <w:szCs w:val="21"/>
                <w:highlight w:val="none"/>
              </w:rPr>
              <w:t>0773-</w:t>
            </w:r>
            <w:r>
              <w:rPr>
                <w:rFonts w:hint="eastAsia" w:ascii="宋体" w:hAnsi="宋体" w:eastAsia="宋体" w:cs="宋体"/>
                <w:bCs/>
                <w:kern w:val="44"/>
                <w:sz w:val="21"/>
                <w:szCs w:val="21"/>
                <w:highlight w:val="none"/>
                <w:lang w:val="en-US" w:eastAsia="zh-CN"/>
              </w:rPr>
              <w:t>5669088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1.1.4</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项目名称</w:t>
            </w:r>
          </w:p>
        </w:tc>
        <w:tc>
          <w:tcPr>
            <w:tcW w:w="6463" w:type="dxa"/>
            <w:noWrap w:val="0"/>
            <w:vAlign w:val="top"/>
          </w:tcPr>
          <w:p>
            <w:pPr>
              <w:spacing w:line="360" w:lineRule="exact"/>
              <w:rPr>
                <w:rFonts w:hint="eastAsia" w:ascii="宋体" w:hAnsi="宋体" w:eastAsia="宋体" w:cs="宋体"/>
                <w:kern w:val="0"/>
                <w:sz w:val="21"/>
                <w:szCs w:val="21"/>
                <w:highlight w:val="none"/>
                <w:lang w:eastAsia="zh-CN"/>
              </w:rPr>
            </w:pPr>
            <w:r>
              <w:rPr>
                <w:rFonts w:hint="eastAsia" w:ascii="宋体" w:hAnsi="宋体" w:eastAsia="宋体" w:cs="宋体"/>
                <w:sz w:val="21"/>
                <w:szCs w:val="21"/>
                <w:highlight w:val="none"/>
                <w:lang w:eastAsia="zh-CN"/>
              </w:rPr>
              <w:t xml:space="preserve">2023年永福县高标准农田改造提升项目 （广福乡、罗锦镇、三皇镇、苏桥镇）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1.1.5</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建设地点</w:t>
            </w:r>
          </w:p>
        </w:tc>
        <w:tc>
          <w:tcPr>
            <w:tcW w:w="6463" w:type="dxa"/>
            <w:noWrap w:val="0"/>
            <w:vAlign w:val="top"/>
          </w:tcPr>
          <w:p>
            <w:pPr>
              <w:pStyle w:val="13"/>
              <w:tabs>
                <w:tab w:val="left" w:pos="1935"/>
              </w:tabs>
              <w:spacing w:line="360" w:lineRule="exact"/>
              <w:ind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kern w:val="0"/>
                <w:sz w:val="21"/>
                <w:szCs w:val="21"/>
                <w:highlight w:val="none"/>
                <w:lang w:val="en-US" w:eastAsia="zh-CN"/>
              </w:rPr>
              <w:t>I标：</w:t>
            </w:r>
            <w:r>
              <w:rPr>
                <w:rFonts w:hint="eastAsia" w:ascii="宋体" w:hAnsi="宋体" w:eastAsia="宋体" w:cs="宋体"/>
                <w:color w:val="auto"/>
                <w:kern w:val="0"/>
                <w:sz w:val="21"/>
                <w:szCs w:val="21"/>
                <w:highlight w:val="none"/>
                <w:lang w:val="en-US" w:eastAsia="zh-CN"/>
              </w:rPr>
              <w:t>罗锦镇岭桥村委、广福乡马陂村委桃庄、大石村委、苏桥镇苏桥社区片区</w:t>
            </w:r>
            <w:r>
              <w:rPr>
                <w:rFonts w:hint="eastAsia" w:ascii="宋体" w:hAnsi="宋体" w:cs="宋体"/>
                <w:color w:val="auto"/>
                <w:kern w:val="0"/>
                <w:sz w:val="21"/>
                <w:szCs w:val="21"/>
                <w:highlight w:val="none"/>
                <w:lang w:val="en-US" w:eastAsia="zh-CN"/>
              </w:rPr>
              <w:t>。</w:t>
            </w:r>
          </w:p>
          <w:p>
            <w:pPr>
              <w:pStyle w:val="13"/>
              <w:tabs>
                <w:tab w:val="left" w:pos="1935"/>
              </w:tabs>
              <w:spacing w:line="360" w:lineRule="exact"/>
              <w:ind w:firstLine="0" w:firstLineChars="0"/>
              <w:rPr>
                <w:rFonts w:hint="eastAsia" w:ascii="宋体" w:hAnsi="宋体" w:cs="宋体"/>
                <w:color w:val="auto"/>
                <w:kern w:val="0"/>
                <w:sz w:val="21"/>
                <w:szCs w:val="21"/>
                <w:highlight w:val="none"/>
                <w:lang w:val="en-US" w:eastAsia="zh-CN"/>
              </w:rPr>
            </w:pPr>
            <w:r>
              <w:rPr>
                <w:rFonts w:hint="eastAsia" w:ascii="宋体" w:hAnsi="宋体" w:eastAsia="宋体" w:cs="宋体"/>
                <w:kern w:val="0"/>
                <w:sz w:val="21"/>
                <w:szCs w:val="21"/>
                <w:highlight w:val="none"/>
                <w:lang w:val="en-US" w:eastAsia="zh-CN"/>
              </w:rPr>
              <w:t>II标：</w:t>
            </w:r>
            <w:r>
              <w:rPr>
                <w:rFonts w:hint="eastAsia" w:ascii="宋体" w:hAnsi="宋体" w:eastAsia="宋体" w:cs="宋体"/>
                <w:color w:val="auto"/>
                <w:kern w:val="0"/>
                <w:sz w:val="21"/>
                <w:szCs w:val="21"/>
                <w:highlight w:val="none"/>
                <w:lang w:val="en-US" w:eastAsia="zh-CN"/>
              </w:rPr>
              <w:t>广福乡的龙桥村委下辖葡萄屯、山口屯、小溪屯、古立屯</w:t>
            </w:r>
            <w:r>
              <w:rPr>
                <w:rFonts w:hint="eastAsia" w:ascii="宋体" w:hAnsi="宋体" w:cs="宋体"/>
                <w:color w:val="auto"/>
                <w:kern w:val="0"/>
                <w:sz w:val="21"/>
                <w:szCs w:val="21"/>
                <w:highlight w:val="none"/>
                <w:lang w:val="en-US" w:eastAsia="zh-CN"/>
              </w:rPr>
              <w:t>。</w:t>
            </w:r>
          </w:p>
          <w:p>
            <w:pPr>
              <w:pStyle w:val="13"/>
              <w:tabs>
                <w:tab w:val="left" w:pos="1935"/>
              </w:tabs>
              <w:spacing w:line="360" w:lineRule="exact"/>
              <w:ind w:firstLine="0" w:firstLineChars="0"/>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lang w:val="en-US" w:eastAsia="zh-CN"/>
              </w:rPr>
              <w:t>III标：</w:t>
            </w:r>
            <w:r>
              <w:rPr>
                <w:rFonts w:hint="eastAsia" w:ascii="宋体" w:hAnsi="宋体" w:eastAsia="宋体" w:cs="宋体"/>
                <w:color w:val="auto"/>
                <w:kern w:val="0"/>
                <w:sz w:val="21"/>
                <w:szCs w:val="21"/>
                <w:highlight w:val="none"/>
                <w:lang w:val="en-US" w:eastAsia="zh-CN"/>
              </w:rPr>
              <w:t>广福乡马陂村委、三皇镇清水村委、马安村委。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1.2.1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资金来源</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1.2.2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出资比例</w:t>
            </w:r>
          </w:p>
        </w:tc>
        <w:tc>
          <w:tcPr>
            <w:tcW w:w="6463" w:type="dxa"/>
            <w:noWrap w:val="0"/>
            <w:vAlign w:val="center"/>
          </w:tcPr>
          <w:p>
            <w:pPr>
              <w:pStyle w:val="13"/>
              <w:spacing w:line="360" w:lineRule="exact"/>
              <w:ind w:firstLine="0" w:firstLineChars="0"/>
              <w:jc w:val="left"/>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1.2.3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资金落实情况</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1.3.1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招标范围</w:t>
            </w:r>
          </w:p>
        </w:tc>
        <w:tc>
          <w:tcPr>
            <w:tcW w:w="6463" w:type="dxa"/>
            <w:noWrap w:val="0"/>
            <w:vAlign w:val="top"/>
          </w:tcPr>
          <w:p>
            <w:pPr>
              <w:pStyle w:val="13"/>
              <w:tabs>
                <w:tab w:val="left" w:pos="1935"/>
              </w:tabs>
              <w:spacing w:line="360" w:lineRule="exact"/>
              <w:ind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I标：2023年永福县高标准农田改造提升项目 （广福乡、罗锦镇、三皇镇、苏桥镇）-I标，</w:t>
            </w:r>
            <w:r>
              <w:rPr>
                <w:rFonts w:hint="eastAsia" w:ascii="宋体" w:hAnsi="宋体" w:eastAsia="宋体" w:cs="宋体"/>
                <w:color w:val="auto"/>
                <w:sz w:val="21"/>
                <w:szCs w:val="21"/>
                <w:highlight w:val="none"/>
                <w:lang w:val="en-US" w:eastAsia="zh-CN"/>
              </w:rPr>
              <w:t>1项，项目建设地点：罗锦镇岭桥村委、广福乡马陂村委桃庄、大石村委、苏桥镇苏桥社区片区；建设规模5212亩。完成施工图纸范围内的施工内容，详见施工图纸及工程量清单。</w:t>
            </w:r>
          </w:p>
          <w:p>
            <w:pPr>
              <w:pStyle w:val="13"/>
              <w:tabs>
                <w:tab w:val="left" w:pos="1935"/>
              </w:tabs>
              <w:spacing w:line="360" w:lineRule="exact"/>
              <w:ind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II标：</w:t>
            </w:r>
            <w:r>
              <w:rPr>
                <w:rFonts w:hint="eastAsia" w:ascii="宋体" w:hAnsi="宋体" w:eastAsia="宋体" w:cs="宋体"/>
                <w:sz w:val="21"/>
                <w:szCs w:val="21"/>
                <w:highlight w:val="none"/>
                <w:lang w:eastAsia="zh-CN"/>
              </w:rPr>
              <w:t>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w:t>
            </w:r>
            <w:r>
              <w:rPr>
                <w:rFonts w:hint="eastAsia" w:ascii="宋体" w:hAnsi="宋体" w:eastAsia="宋体" w:cs="宋体"/>
                <w:sz w:val="21"/>
                <w:szCs w:val="21"/>
                <w:highlight w:val="none"/>
              </w:rPr>
              <w:t>标</w:t>
            </w:r>
            <w:r>
              <w:rPr>
                <w:rFonts w:hint="eastAsia" w:ascii="宋体" w:hAnsi="宋体" w:eastAsia="宋体" w:cs="宋体"/>
                <w:sz w:val="21"/>
                <w:szCs w:val="21"/>
                <w:highlight w:val="none"/>
                <w:lang w:eastAsia="zh-CN"/>
              </w:rPr>
              <w:t>，</w:t>
            </w:r>
            <w:r>
              <w:rPr>
                <w:rFonts w:hint="eastAsia" w:ascii="宋体" w:hAnsi="宋体" w:eastAsia="宋体" w:cs="宋体"/>
                <w:color w:val="auto"/>
                <w:sz w:val="21"/>
                <w:szCs w:val="21"/>
                <w:highlight w:val="none"/>
                <w:lang w:val="en-US" w:eastAsia="zh-CN"/>
              </w:rPr>
              <w:t>1项，项目建设地点：广福乡的龙桥村委下辖葡萄屯、山口屯、小溪屯、古立屯，建设规模627亩。完成施工图纸范围内的施工内容，详见施工图纸及工程量清单。</w:t>
            </w:r>
          </w:p>
          <w:p>
            <w:pPr>
              <w:pStyle w:val="13"/>
              <w:tabs>
                <w:tab w:val="left" w:pos="1935"/>
              </w:tabs>
              <w:spacing w:line="360" w:lineRule="exact"/>
              <w:ind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III标：</w:t>
            </w:r>
            <w:r>
              <w:rPr>
                <w:rFonts w:hint="eastAsia" w:ascii="宋体" w:hAnsi="宋体" w:eastAsia="宋体" w:cs="宋体"/>
                <w:sz w:val="21"/>
                <w:szCs w:val="21"/>
                <w:highlight w:val="none"/>
                <w:lang w:eastAsia="zh-CN"/>
              </w:rPr>
              <w:t>2023年永福县高标准农田改造提升项目 （广福乡、罗锦镇、三皇镇、苏桥镇）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III</w:t>
            </w:r>
            <w:r>
              <w:rPr>
                <w:rFonts w:hint="eastAsia" w:ascii="宋体" w:hAnsi="宋体" w:eastAsia="宋体" w:cs="宋体"/>
                <w:sz w:val="21"/>
                <w:szCs w:val="21"/>
                <w:highlight w:val="none"/>
              </w:rPr>
              <w:t>标</w:t>
            </w:r>
            <w:r>
              <w:rPr>
                <w:rFonts w:hint="eastAsia" w:ascii="宋体" w:hAnsi="宋体" w:eastAsia="宋体" w:cs="宋体"/>
                <w:sz w:val="21"/>
                <w:szCs w:val="21"/>
                <w:highlight w:val="none"/>
                <w:lang w:val="en-US" w:eastAsia="zh-CN"/>
              </w:rPr>
              <w:t>,1</w:t>
            </w:r>
            <w:r>
              <w:rPr>
                <w:rFonts w:hint="eastAsia" w:ascii="宋体" w:hAnsi="宋体" w:eastAsia="宋体" w:cs="宋体"/>
                <w:color w:val="auto"/>
                <w:sz w:val="21"/>
                <w:szCs w:val="21"/>
                <w:highlight w:val="none"/>
                <w:lang w:val="en-US" w:eastAsia="zh-CN"/>
              </w:rPr>
              <w:t>项，项目建设地点：广福乡马陂村委、三皇镇清水村委、马安村委,建设规模4161亩。完成施工图纸范围内的施工内容，详见施工图纸及工程量清单。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1.3.2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要求工期</w:t>
            </w:r>
          </w:p>
        </w:tc>
        <w:tc>
          <w:tcPr>
            <w:tcW w:w="6463" w:type="dxa"/>
            <w:noWrap w:val="0"/>
            <w:vAlign w:val="top"/>
          </w:tcPr>
          <w:p>
            <w:pPr>
              <w:spacing w:line="36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100</w:t>
            </w:r>
            <w:r>
              <w:rPr>
                <w:rFonts w:hint="eastAsia" w:ascii="宋体" w:hAnsi="宋体" w:eastAsia="宋体" w:cs="宋体"/>
                <w:kern w:val="0"/>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1.3.3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质量要求</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1.3.4</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kern w:val="0"/>
                <w:sz w:val="21"/>
                <w:highlight w:val="none"/>
                <w:lang w:val="en-US" w:eastAsia="zh-CN"/>
              </w:rPr>
              <w:t>标段划分</w:t>
            </w:r>
          </w:p>
        </w:tc>
        <w:tc>
          <w:tcPr>
            <w:tcW w:w="6463" w:type="dxa"/>
            <w:noWrap w:val="0"/>
            <w:vAlign w:val="top"/>
          </w:tcPr>
          <w:p>
            <w:pPr>
              <w:spacing w:line="360" w:lineRule="exac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本项目标段为：</w:t>
            </w:r>
            <w:r>
              <w:rPr>
                <w:rFonts w:hint="eastAsia" w:ascii="宋体" w:hAnsi="宋体" w:eastAsia="宋体" w:cs="宋体"/>
                <w:kern w:val="0"/>
                <w:sz w:val="21"/>
                <w:szCs w:val="21"/>
                <w:highlight w:val="none"/>
                <w:lang w:val="en-US" w:eastAsia="zh-CN"/>
              </w:rPr>
              <w:t>I</w:t>
            </w:r>
            <w:r>
              <w:rPr>
                <w:rFonts w:hint="eastAsia" w:ascii="宋体" w:hAnsi="宋体" w:eastAsia="宋体" w:cs="宋体"/>
                <w:kern w:val="0"/>
                <w:sz w:val="21"/>
                <w:szCs w:val="21"/>
                <w:highlight w:val="none"/>
              </w:rPr>
              <w:t>标</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II</w:t>
            </w:r>
            <w:r>
              <w:rPr>
                <w:rFonts w:hint="eastAsia" w:ascii="宋体" w:hAnsi="宋体" w:eastAsia="宋体" w:cs="宋体"/>
                <w:kern w:val="0"/>
                <w:sz w:val="21"/>
                <w:szCs w:val="21"/>
                <w:highlight w:val="none"/>
              </w:rPr>
              <w:t>标</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III</w:t>
            </w:r>
            <w:r>
              <w:rPr>
                <w:rFonts w:hint="eastAsia" w:ascii="宋体" w:hAnsi="宋体" w:eastAsia="宋体" w:cs="宋体"/>
                <w:kern w:val="0"/>
                <w:sz w:val="21"/>
                <w:szCs w:val="21"/>
                <w:highlight w:val="none"/>
              </w:rPr>
              <w:t>标</w:t>
            </w:r>
          </w:p>
          <w:p>
            <w:pPr>
              <w:pStyle w:val="2"/>
              <w:jc w:val="left"/>
              <w:rPr>
                <w:rFonts w:hint="eastAsia" w:ascii="宋体" w:hAnsi="宋体" w:eastAsia="宋体" w:cs="宋体"/>
                <w:kern w:val="0"/>
                <w:sz w:val="21"/>
                <w:szCs w:val="21"/>
                <w:highlight w:val="none"/>
              </w:rPr>
            </w:pPr>
            <w:bookmarkStart w:id="21" w:name="_Toc115372964"/>
            <w:r>
              <w:rPr>
                <w:rFonts w:hint="eastAsia" w:ascii="宋体" w:hAnsi="宋体" w:eastAsia="宋体" w:cs="宋体"/>
                <w:kern w:val="0"/>
                <w:sz w:val="21"/>
                <w:szCs w:val="21"/>
                <w:highlight w:val="none"/>
              </w:rPr>
              <w:t>评标顺序：</w:t>
            </w:r>
            <w:r>
              <w:rPr>
                <w:rFonts w:hint="eastAsia" w:ascii="宋体" w:hAnsi="宋体" w:eastAsia="宋体" w:cs="宋体"/>
                <w:kern w:val="0"/>
                <w:sz w:val="21"/>
                <w:szCs w:val="21"/>
                <w:highlight w:val="none"/>
                <w:lang w:val="en-US" w:eastAsia="zh-CN"/>
              </w:rPr>
              <w:t>I</w:t>
            </w:r>
            <w:r>
              <w:rPr>
                <w:rFonts w:hint="eastAsia" w:ascii="宋体" w:hAnsi="宋体" w:eastAsia="宋体" w:cs="宋体"/>
                <w:kern w:val="0"/>
                <w:sz w:val="21"/>
                <w:szCs w:val="21"/>
                <w:highlight w:val="none"/>
              </w:rPr>
              <w:t>标→</w:t>
            </w:r>
            <w:r>
              <w:rPr>
                <w:rFonts w:hint="eastAsia" w:ascii="宋体" w:hAnsi="宋体" w:eastAsia="宋体" w:cs="宋体"/>
                <w:kern w:val="0"/>
                <w:sz w:val="21"/>
                <w:szCs w:val="21"/>
                <w:highlight w:val="none"/>
                <w:lang w:val="en-US" w:eastAsia="zh-CN"/>
              </w:rPr>
              <w:t>II</w:t>
            </w:r>
            <w:r>
              <w:rPr>
                <w:rFonts w:hint="eastAsia" w:ascii="宋体" w:hAnsi="宋体" w:eastAsia="宋体" w:cs="宋体"/>
                <w:kern w:val="0"/>
                <w:sz w:val="21"/>
                <w:szCs w:val="21"/>
                <w:highlight w:val="none"/>
              </w:rPr>
              <w:t>标</w:t>
            </w:r>
            <w:bookmarkEnd w:id="21"/>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III</w:t>
            </w:r>
            <w:r>
              <w:rPr>
                <w:rFonts w:hint="eastAsia" w:ascii="宋体" w:hAnsi="宋体" w:eastAsia="宋体" w:cs="宋体"/>
                <w:kern w:val="0"/>
                <w:sz w:val="21"/>
                <w:szCs w:val="21"/>
                <w:highlight w:val="none"/>
              </w:rPr>
              <w:t>标</w:t>
            </w:r>
          </w:p>
          <w:p>
            <w:pPr>
              <w:pStyle w:val="2"/>
              <w:ind w:right="-132" w:rightChars="-47"/>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各投标人可就本招标项目的所有标段进行投标，并允许中标所有标段。投标人应就不同标段派出不同的项目经理和专职安全生产管理人员，否则同一项目经理或专职安全生产管理人员所投其它标段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1.4.1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投标人资质条件、能力、信誉</w:t>
            </w:r>
          </w:p>
        </w:tc>
        <w:tc>
          <w:tcPr>
            <w:tcW w:w="6463" w:type="dxa"/>
            <w:noWrap w:val="0"/>
            <w:vAlign w:val="top"/>
          </w:tcPr>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1、资质条件：</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（1）满足《中华人民共和国政府采购法》第二十二条规定；</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cs="宋体"/>
                <w:kern w:val="2"/>
                <w:sz w:val="21"/>
                <w:szCs w:val="21"/>
                <w:highlight w:val="none"/>
                <w:lang w:val="en-US" w:eastAsia="zh-CN"/>
              </w:rPr>
              <w:t>本项目属于政府采购工程项目：本项目为预留份额专门面向中小企业采购的项目，落实政府采购政策需满足的资格要求：投标人必须为中小微企业、监狱企业或者残疾人福利性单位，大型企业不得参加。</w:t>
            </w:r>
          </w:p>
          <w:p>
            <w:pPr>
              <w:pStyle w:val="41"/>
              <w:spacing w:before="0" w:beforeAutospacing="0" w:after="0" w:afterAutospacing="0" w:line="320" w:lineRule="exac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（3）本项目的特定资格要求：投标人须具有水利水电工程施工总承包叁级以上</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含叁级</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资质</w:t>
            </w:r>
            <w:r>
              <w:rPr>
                <w:rFonts w:hint="eastAsia" w:cs="宋体"/>
                <w:kern w:val="2"/>
                <w:sz w:val="21"/>
                <w:szCs w:val="21"/>
                <w:highlight w:val="none"/>
                <w:lang w:val="en-US" w:eastAsia="zh-CN"/>
              </w:rPr>
              <w:t>或市政公用工程施工总承包叁级以上(合叁级)资质</w:t>
            </w:r>
            <w:r>
              <w:rPr>
                <w:rFonts w:hint="eastAsia" w:ascii="宋体" w:hAnsi="宋体" w:eastAsia="宋体" w:cs="宋体"/>
                <w:kern w:val="2"/>
                <w:sz w:val="21"/>
                <w:szCs w:val="21"/>
                <w:highlight w:val="none"/>
              </w:rPr>
              <w:t>，并在人员、设备、资金等方面具备相应的施工能力。拟派项目经理须具备水利水电工程专业</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w:t>
            </w:r>
            <w:r>
              <w:rPr>
                <w:rFonts w:hint="eastAsia" w:ascii="宋体" w:hAnsi="宋体" w:eastAsia="宋体" w:cs="宋体"/>
                <w:kern w:val="2"/>
                <w:sz w:val="21"/>
                <w:szCs w:val="21"/>
                <w:highlight w:val="none"/>
                <w:lang w:val="en-US" w:eastAsia="zh-CN"/>
              </w:rPr>
              <w:t>以上</w:t>
            </w:r>
            <w:r>
              <w:rPr>
                <w:rFonts w:hint="eastAsia" w:ascii="宋体" w:hAnsi="宋体" w:eastAsia="宋体" w:cs="宋体"/>
                <w:kern w:val="2"/>
                <w:sz w:val="21"/>
                <w:szCs w:val="21"/>
                <w:highlight w:val="none"/>
              </w:rPr>
              <w:t>(含</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级)注册建造师执业资格</w:t>
            </w:r>
            <w:r>
              <w:rPr>
                <w:rFonts w:hint="eastAsia" w:cs="宋体"/>
                <w:kern w:val="2"/>
                <w:sz w:val="21"/>
                <w:szCs w:val="21"/>
                <w:highlight w:val="none"/>
                <w:lang w:val="en-US" w:eastAsia="zh-CN"/>
              </w:rPr>
              <w:t>或市政公用工程专业</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w:t>
            </w:r>
            <w:r>
              <w:rPr>
                <w:rFonts w:hint="eastAsia" w:ascii="宋体" w:hAnsi="宋体" w:eastAsia="宋体" w:cs="宋体"/>
                <w:kern w:val="2"/>
                <w:sz w:val="21"/>
                <w:szCs w:val="21"/>
                <w:highlight w:val="none"/>
                <w:lang w:val="en-US" w:eastAsia="zh-CN"/>
              </w:rPr>
              <w:t>以上</w:t>
            </w:r>
            <w:r>
              <w:rPr>
                <w:rFonts w:hint="eastAsia" w:ascii="宋体" w:hAnsi="宋体" w:eastAsia="宋体" w:cs="宋体"/>
                <w:kern w:val="2"/>
                <w:sz w:val="21"/>
                <w:szCs w:val="21"/>
                <w:highlight w:val="none"/>
              </w:rPr>
              <w:t>(含</w:t>
            </w:r>
            <w:r>
              <w:rPr>
                <w:rFonts w:hint="eastAsia" w:ascii="宋体" w:hAnsi="宋体" w:eastAsia="宋体" w:cs="宋体"/>
                <w:kern w:val="2"/>
                <w:sz w:val="21"/>
                <w:szCs w:val="21"/>
                <w:highlight w:val="none"/>
                <w:lang w:val="en-US" w:eastAsia="zh-CN"/>
              </w:rPr>
              <w:t>贰</w:t>
            </w:r>
            <w:r>
              <w:rPr>
                <w:rFonts w:hint="eastAsia" w:ascii="宋体" w:hAnsi="宋体" w:eastAsia="宋体" w:cs="宋体"/>
                <w:kern w:val="2"/>
                <w:sz w:val="21"/>
                <w:szCs w:val="21"/>
                <w:highlight w:val="none"/>
              </w:rPr>
              <w:t>级)注册建造师执业资格，具备有效的安全生产考核合格证书（B类），且未担任其他在施建设工程项目的项目经理。</w:t>
            </w:r>
          </w:p>
          <w:p>
            <w:pPr>
              <w:pStyle w:val="41"/>
              <w:spacing w:before="0" w:beforeAutospacing="0" w:after="0" w:afterAutospacing="0"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bCs/>
                <w:sz w:val="21"/>
                <w:szCs w:val="21"/>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2、财务要求：</w:t>
            </w:r>
            <w:r>
              <w:rPr>
                <w:rFonts w:hint="eastAsia" w:ascii="宋体" w:hAnsi="宋体" w:eastAsia="宋体" w:cs="宋体"/>
                <w:sz w:val="21"/>
                <w:szCs w:val="21"/>
                <w:highlight w:val="none"/>
                <w:u w:val="single"/>
              </w:rPr>
              <w:t>202</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年经审计的财务报表【备注：对于从取得营业执照时间起到投标截止时间为止不足要求年数的企业，只需提交企业取得营业执照年份至所要求最近年份经审计的财务报表】。</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3、业绩要求：无要求。</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4、信誉要求：</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（1）投标人在最近三年(开标之日前三年)内不得有骗取中标或重大安全事故、重大工程质量问题。</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在最近三年(开标之日前三年)内不得有下列行为：①被《信用中国》(http://www.creditchina.gov.cn)、或《信用中国（广西）（http://www.creditgx.gov.cn）列为受惩名单，包括失信被执行人、重大税收违法案件当事人、政府采购严重违法失信、行政处罚；②被全国企业信用信息公示系统（http://www.gsxt.gov.cn/index.html）中列入严重违法失信企业名单；</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（3）处于被责令停业，投标资格被取消，财产被接管、冻结，破产状态。</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（4）投标人参加政府采购活动前3年内在经营活动中没有重大违法记录及有关信用信息的书面声明。</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5、人员要求：拟投入本工程的项目经理、技术负责人、质量管理员、安全管理员必须是本单位的在岗人员，并持有相应的执业资格证书，对相关人员的具体条件要求如下：</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（1）项目经理：持有贰级或贰级以上建造师注册证书，</w:t>
            </w:r>
            <w:r>
              <w:rPr>
                <w:rFonts w:hint="eastAsia" w:cs="宋体"/>
                <w:sz w:val="21"/>
                <w:szCs w:val="21"/>
                <w:highlight w:val="none"/>
                <w:lang w:val="en-US" w:eastAsia="zh-CN"/>
              </w:rPr>
              <w:t>专业为</w:t>
            </w:r>
            <w:r>
              <w:rPr>
                <w:rFonts w:hint="eastAsia" w:ascii="宋体" w:hAnsi="宋体" w:eastAsia="宋体" w:cs="宋体"/>
                <w:sz w:val="21"/>
                <w:szCs w:val="21"/>
                <w:highlight w:val="none"/>
              </w:rPr>
              <w:t>水利水电</w:t>
            </w:r>
            <w:r>
              <w:rPr>
                <w:rFonts w:hint="eastAsia" w:ascii="宋体" w:hAnsi="宋体" w:eastAsia="宋体" w:cs="宋体"/>
                <w:color w:val="auto"/>
                <w:sz w:val="21"/>
                <w:szCs w:val="21"/>
                <w:highlight w:val="none"/>
                <w:lang w:eastAsia="zh-CN"/>
              </w:rPr>
              <w:t>或市政工程</w:t>
            </w:r>
            <w:r>
              <w:rPr>
                <w:rFonts w:hint="eastAsia" w:ascii="宋体" w:hAnsi="宋体" w:eastAsia="宋体" w:cs="宋体"/>
                <w:color w:val="auto"/>
                <w:sz w:val="21"/>
                <w:szCs w:val="21"/>
                <w:highlight w:val="none"/>
                <w:lang w:val="en-US" w:eastAsia="zh-CN"/>
              </w:rPr>
              <w:t>类专业</w:t>
            </w:r>
            <w:r>
              <w:rPr>
                <w:rFonts w:hint="eastAsia" w:ascii="宋体" w:hAnsi="宋体" w:eastAsia="宋体" w:cs="宋体"/>
                <w:sz w:val="21"/>
                <w:szCs w:val="21"/>
                <w:highlight w:val="none"/>
              </w:rPr>
              <w:t>（以建造师注册证书中“专业类别” 栏所填写的专业为准）；具备有效安全生产考核合格证（B 证），且项目经理未在其他在建工程项目任职。项目经理不得在任何在建工程中担任任何管理职务。符合以下条件之一的，界定为无在建工程：①在建项目施工合同（包括签订的补充协议）工期已结束。②项目通过合同完工验收或竣工验收。③发包人原因造成停工的，工程项目已按建设管理程序办理停工手续。</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（2）技术负责人：持有中级或中级以上技术职称。</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（3）质量员：持有省级或省级以上行政主管部门或其授权的部门（机构）颁发的质量员证。</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（4）安全管理员：持有省级或省级以上行政主管部门或其授权的部门（机构）颁发的 C 类安全生产考核合格证书。</w:t>
            </w:r>
          </w:p>
          <w:p>
            <w:pPr>
              <w:pStyle w:val="41"/>
              <w:spacing w:before="0" w:beforeAutospacing="0" w:after="0" w:afterAutospacing="0"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6、其他要求：拟投入本工程的项目经理、技术负责人、质量管理人员和安全管理人员必须提供本年度的职工养老保险个人账户对账单或</w:t>
            </w:r>
            <w:r>
              <w:rPr>
                <w:rFonts w:hint="eastAsia" w:ascii="宋体" w:hAnsi="宋体" w:eastAsia="宋体" w:cs="宋体"/>
                <w:color w:val="auto"/>
                <w:spacing w:val="-12"/>
                <w:kern w:val="2"/>
                <w:sz w:val="21"/>
                <w:highlight w:val="none"/>
                <w:lang w:eastAsia="zh-CN"/>
              </w:rPr>
              <w:t xml:space="preserve">近 </w:t>
            </w:r>
            <w:r>
              <w:rPr>
                <w:rFonts w:hint="eastAsia" w:hAnsi="宋体" w:cs="宋体"/>
                <w:color w:val="auto"/>
                <w:spacing w:val="-12"/>
                <w:kern w:val="2"/>
                <w:sz w:val="21"/>
                <w:highlight w:val="none"/>
                <w:lang w:val="en-US" w:eastAsia="zh-CN"/>
              </w:rPr>
              <w:t>1</w:t>
            </w:r>
            <w:r>
              <w:rPr>
                <w:rFonts w:hint="eastAsia" w:ascii="宋体" w:hAnsi="宋体" w:eastAsia="宋体" w:cs="宋体"/>
                <w:color w:val="auto"/>
                <w:kern w:val="2"/>
                <w:sz w:val="21"/>
                <w:highlight w:val="none"/>
                <w:lang w:eastAsia="zh-CN"/>
              </w:rPr>
              <w:t xml:space="preserve"> </w:t>
            </w:r>
            <w:r>
              <w:rPr>
                <w:rFonts w:hint="eastAsia" w:ascii="宋体" w:hAnsi="宋体" w:eastAsia="宋体" w:cs="宋体"/>
                <w:color w:val="auto"/>
                <w:spacing w:val="-33"/>
                <w:kern w:val="2"/>
                <w:sz w:val="21"/>
                <w:highlight w:val="none"/>
                <w:lang w:eastAsia="zh-CN"/>
              </w:rPr>
              <w:t>个月</w:t>
            </w:r>
            <w:r>
              <w:rPr>
                <w:rFonts w:hint="eastAsia" w:ascii="宋体" w:hAnsi="宋体" w:eastAsia="宋体" w:cs="宋体"/>
                <w:color w:val="auto"/>
                <w:kern w:val="2"/>
                <w:sz w:val="21"/>
                <w:highlight w:val="none"/>
                <w:lang w:eastAsia="zh-CN"/>
              </w:rPr>
              <w:t>（ 2023 年</w:t>
            </w:r>
            <w:r>
              <w:rPr>
                <w:rFonts w:hint="eastAsia" w:hAnsi="宋体" w:cs="宋体"/>
                <w:color w:val="auto"/>
                <w:kern w:val="2"/>
                <w:sz w:val="21"/>
                <w:highlight w:val="none"/>
                <w:lang w:val="en-US" w:eastAsia="zh-CN"/>
              </w:rPr>
              <w:t>7</w:t>
            </w:r>
            <w:r>
              <w:rPr>
                <w:rFonts w:hint="eastAsia" w:ascii="宋体" w:hAnsi="宋体" w:eastAsia="宋体" w:cs="宋体"/>
                <w:color w:val="auto"/>
                <w:kern w:val="2"/>
                <w:sz w:val="21"/>
                <w:highlight w:val="none"/>
                <w:lang w:eastAsia="zh-CN"/>
              </w:rPr>
              <w:t>月</w:t>
            </w:r>
            <w:r>
              <w:rPr>
                <w:rFonts w:hint="eastAsia" w:cs="宋体"/>
                <w:color w:val="auto"/>
                <w:kern w:val="2"/>
                <w:sz w:val="21"/>
                <w:highlight w:val="none"/>
                <w:lang w:eastAsia="zh-CN"/>
              </w:rPr>
              <w:t>，</w:t>
            </w:r>
            <w:r>
              <w:rPr>
                <w:rFonts w:hint="eastAsia" w:cs="宋体"/>
                <w:color w:val="auto"/>
                <w:kern w:val="2"/>
                <w:sz w:val="21"/>
                <w:highlight w:val="none"/>
                <w:lang w:val="en-US" w:eastAsia="zh-CN"/>
              </w:rPr>
              <w:t>2023年7月新聘请员工提供劳动合同即可</w:t>
            </w:r>
            <w:r>
              <w:rPr>
                <w:rFonts w:hint="eastAsia" w:ascii="宋体" w:hAnsi="宋体" w:eastAsia="宋体" w:cs="宋体"/>
                <w:color w:val="auto"/>
                <w:kern w:val="2"/>
                <w:sz w:val="21"/>
                <w:highlight w:val="none"/>
                <w:lang w:eastAsia="zh-CN"/>
              </w:rPr>
              <w:t>）</w:t>
            </w:r>
            <w:r>
              <w:rPr>
                <w:rFonts w:hint="eastAsia" w:ascii="宋体" w:hAnsi="宋体" w:eastAsia="宋体" w:cs="宋体"/>
                <w:sz w:val="21"/>
                <w:szCs w:val="21"/>
                <w:highlight w:val="none"/>
              </w:rPr>
              <w:t>参保缴费凭证。投标人资格审查内容以本款规定的内容为准。投标人资质条件、能力和信誉不符合上述要求的视为不合格。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1.4.2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是否接受联合体投标</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1.9.1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踏勘现场</w:t>
            </w:r>
          </w:p>
        </w:tc>
        <w:tc>
          <w:tcPr>
            <w:tcW w:w="6463" w:type="dxa"/>
            <w:noWrap w:val="0"/>
            <w:vAlign w:val="center"/>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1.10</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投标预备会</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分包</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1.12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偏离</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2.1.1</w:t>
            </w:r>
          </w:p>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（9）</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构成招标文件的其他材料</w:t>
            </w:r>
          </w:p>
        </w:tc>
        <w:tc>
          <w:tcPr>
            <w:tcW w:w="6463" w:type="dxa"/>
            <w:noWrap w:val="0"/>
            <w:vAlign w:val="center"/>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2.2.1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投标人要求澄清招标文件的截止时间</w:t>
            </w:r>
          </w:p>
        </w:tc>
        <w:tc>
          <w:tcPr>
            <w:tcW w:w="6463" w:type="dxa"/>
            <w:noWrap w:val="0"/>
            <w:vAlign w:val="center"/>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投标截止时间10日前。投标人不在规定期限内提出，招标人有权不予答复，或答复后投标截止时间由招标人确定是否顺延。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2.2.2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投标截止时间</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2023年</w:t>
            </w:r>
            <w:r>
              <w:rPr>
                <w:rFonts w:hint="eastAsia" w:ascii="宋体" w:hAnsi="宋体" w:cs="宋体"/>
                <w:sz w:val="21"/>
                <w:highlight w:val="none"/>
                <w:lang w:val="en-US" w:eastAsia="zh-CN"/>
              </w:rPr>
              <w:t>09</w:t>
            </w:r>
            <w:r>
              <w:rPr>
                <w:rFonts w:hint="eastAsia" w:ascii="宋体" w:hAnsi="宋体" w:eastAsia="宋体" w:cs="宋体"/>
                <w:sz w:val="21"/>
                <w:highlight w:val="none"/>
                <w:lang w:val="en-US" w:eastAsia="zh-CN"/>
              </w:rPr>
              <w:t>月</w:t>
            </w:r>
            <w:r>
              <w:rPr>
                <w:rFonts w:hint="eastAsia" w:ascii="宋体" w:hAnsi="宋体" w:cs="宋体"/>
                <w:sz w:val="21"/>
                <w:highlight w:val="none"/>
                <w:lang w:val="en-US" w:eastAsia="zh-CN"/>
              </w:rPr>
              <w:t>01</w:t>
            </w:r>
            <w:r>
              <w:rPr>
                <w:rFonts w:hint="eastAsia" w:ascii="宋体" w:hAnsi="宋体" w:eastAsia="宋体" w:cs="宋体"/>
                <w:sz w:val="21"/>
                <w:highlight w:val="none"/>
                <w:lang w:val="en-US" w:eastAsia="zh-CN"/>
              </w:rPr>
              <w:t>日</w:t>
            </w:r>
            <w:r>
              <w:rPr>
                <w:rFonts w:hint="eastAsia" w:ascii="宋体" w:hAnsi="宋体" w:cs="宋体"/>
                <w:sz w:val="21"/>
                <w:highlight w:val="none"/>
                <w:lang w:val="en-US" w:eastAsia="zh-CN"/>
              </w:rPr>
              <w:t>09</w:t>
            </w:r>
            <w:r>
              <w:rPr>
                <w:rFonts w:hint="eastAsia" w:ascii="宋体" w:hAnsi="宋体" w:eastAsia="宋体" w:cs="宋体"/>
                <w:sz w:val="21"/>
                <w:highlight w:val="none"/>
                <w:lang w:val="en-US" w:eastAsia="zh-CN"/>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2.2.3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投标人确认收到招标文件澄清的时间</w:t>
            </w:r>
          </w:p>
        </w:tc>
        <w:tc>
          <w:tcPr>
            <w:tcW w:w="6463" w:type="dxa"/>
            <w:noWrap w:val="0"/>
            <w:vAlign w:val="center"/>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不需要确认。澄清文件在网站上发布之日起，视为投标人已收到该澄清。投标人未及时关注招标人在网站上发布的澄清文件造成的损失，由投标人自行负责。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3.1.1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构成投标文件的材料</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一、资格审查部分</w:t>
            </w:r>
          </w:p>
          <w:p>
            <w:pPr>
              <w:pStyle w:val="279"/>
              <w:spacing w:before="27" w:line="320" w:lineRule="exact"/>
              <w:ind w:left="105" w:right="97"/>
              <w:jc w:val="both"/>
              <w:rPr>
                <w:rFonts w:hint="eastAsia" w:ascii="宋体" w:hAnsi="宋体" w:eastAsia="宋体" w:cs="宋体"/>
                <w:bCs/>
                <w:color w:val="auto"/>
                <w:sz w:val="21"/>
                <w:highlight w:val="none"/>
                <w:lang w:eastAsia="zh-CN"/>
              </w:rPr>
            </w:pPr>
            <w:r>
              <w:rPr>
                <w:rFonts w:hint="eastAsia" w:ascii="宋体" w:hAnsi="宋体" w:eastAsia="宋体" w:cs="宋体"/>
                <w:bCs/>
                <w:color w:val="auto"/>
                <w:sz w:val="21"/>
                <w:highlight w:val="none"/>
                <w:lang w:eastAsia="zh-CN"/>
              </w:rPr>
              <w:t>（1）法定代表人身份证明原件及身份证复印件</w:t>
            </w:r>
          </w:p>
          <w:p>
            <w:pPr>
              <w:pStyle w:val="279"/>
              <w:spacing w:before="27" w:line="320" w:lineRule="exact"/>
              <w:ind w:left="105" w:right="97"/>
              <w:jc w:val="both"/>
              <w:rPr>
                <w:rFonts w:hint="eastAsia" w:ascii="宋体" w:hAnsi="宋体" w:eastAsia="宋体" w:cs="宋体"/>
                <w:bCs/>
                <w:color w:val="auto"/>
                <w:sz w:val="21"/>
                <w:highlight w:val="none"/>
                <w:lang w:eastAsia="zh-CN"/>
              </w:rPr>
            </w:pPr>
            <w:r>
              <w:rPr>
                <w:rFonts w:hint="eastAsia" w:ascii="宋体" w:hAnsi="宋体" w:eastAsia="宋体" w:cs="宋体"/>
                <w:bCs/>
                <w:color w:val="auto"/>
                <w:sz w:val="21"/>
                <w:highlight w:val="none"/>
                <w:lang w:eastAsia="zh-CN"/>
              </w:rPr>
              <w:t>（法定代表人签署投标文件时提供）或者投标文件签署授权委托书（原件），附：法定代表人身份证明及身份证、授权代理人身份证等材料的复印件（委托代理人签署投标文件时提供） ；</w:t>
            </w:r>
          </w:p>
          <w:p>
            <w:pPr>
              <w:pStyle w:val="279"/>
              <w:numPr>
                <w:ilvl w:val="0"/>
                <w:numId w:val="1"/>
              </w:numPr>
              <w:spacing w:before="26" w:line="320" w:lineRule="exact"/>
              <w:ind w:left="105" w:right="94"/>
              <w:jc w:val="both"/>
              <w:rPr>
                <w:rFonts w:hint="eastAsia" w:ascii="宋体" w:hAnsi="宋体" w:eastAsia="宋体" w:cs="宋体"/>
                <w:color w:val="auto"/>
                <w:kern w:val="2"/>
                <w:sz w:val="21"/>
                <w:highlight w:val="none"/>
                <w:lang w:eastAsia="zh-CN"/>
              </w:rPr>
            </w:pPr>
            <w:r>
              <w:rPr>
                <w:rFonts w:hint="eastAsia" w:ascii="宋体" w:hAnsi="宋体" w:eastAsia="宋体" w:cs="宋体"/>
                <w:color w:val="auto"/>
                <w:spacing w:val="-3"/>
                <w:kern w:val="2"/>
                <w:sz w:val="21"/>
                <w:highlight w:val="none"/>
                <w:lang w:eastAsia="zh-CN"/>
              </w:rPr>
              <w:t>企业基本情况表；（附：企业营业执照复印件、资质证书复印件、安全生产许可证复印件、中小企业声明函（</w:t>
            </w:r>
            <w:r>
              <w:rPr>
                <w:rFonts w:hint="eastAsia" w:ascii="宋体" w:hAnsi="宋体" w:eastAsia="宋体" w:cs="宋体"/>
                <w:color w:val="auto"/>
                <w:spacing w:val="-3"/>
                <w:kern w:val="2"/>
                <w:sz w:val="21"/>
                <w:highlight w:val="none"/>
                <w:lang w:val="en-US" w:eastAsia="zh-CN"/>
              </w:rPr>
              <w:t>如有</w:t>
            </w:r>
            <w:r>
              <w:rPr>
                <w:rFonts w:hint="eastAsia" w:ascii="宋体" w:hAnsi="宋体" w:eastAsia="宋体" w:cs="宋体"/>
                <w:color w:val="auto"/>
                <w:spacing w:val="-3"/>
                <w:kern w:val="2"/>
                <w:sz w:val="21"/>
                <w:highlight w:val="none"/>
                <w:lang w:eastAsia="zh-CN"/>
              </w:rPr>
              <w:t>）</w:t>
            </w:r>
            <w:r>
              <w:rPr>
                <w:rFonts w:hint="eastAsia" w:ascii="宋体" w:hAnsi="宋体" w:eastAsia="宋体" w:cs="宋体"/>
                <w:color w:val="auto"/>
                <w:kern w:val="2"/>
                <w:sz w:val="21"/>
                <w:highlight w:val="none"/>
                <w:lang w:eastAsia="zh-CN"/>
              </w:rPr>
              <w:t>）</w:t>
            </w:r>
          </w:p>
          <w:p>
            <w:pPr>
              <w:pStyle w:val="279"/>
              <w:spacing w:before="41" w:line="320" w:lineRule="exact"/>
              <w:ind w:left="105"/>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lang w:eastAsia="zh-CN"/>
              </w:rPr>
              <w:t>（</w:t>
            </w:r>
            <w:r>
              <w:rPr>
                <w:rFonts w:hint="eastAsia" w:ascii="宋体" w:hAnsi="宋体" w:eastAsia="宋体" w:cs="宋体"/>
                <w:color w:val="auto"/>
                <w:kern w:val="2"/>
                <w:sz w:val="21"/>
                <w:highlight w:val="none"/>
                <w:lang w:val="en-US" w:eastAsia="zh-CN"/>
              </w:rPr>
              <w:t>3</w:t>
            </w:r>
            <w:r>
              <w:rPr>
                <w:rFonts w:hint="eastAsia" w:ascii="宋体" w:hAnsi="宋体" w:eastAsia="宋体" w:cs="宋体"/>
                <w:color w:val="auto"/>
                <w:kern w:val="2"/>
                <w:sz w:val="21"/>
                <w:highlight w:val="none"/>
                <w:lang w:eastAsia="zh-CN"/>
              </w:rPr>
              <w:t>）建设工程项目管理承诺书；</w:t>
            </w:r>
          </w:p>
          <w:p>
            <w:pPr>
              <w:pStyle w:val="279"/>
              <w:spacing w:before="53" w:line="320" w:lineRule="exact"/>
              <w:ind w:left="105" w:right="96"/>
              <w:jc w:val="both"/>
              <w:rPr>
                <w:rFonts w:hint="eastAsia" w:ascii="宋体" w:hAnsi="宋体" w:eastAsia="宋体" w:cs="宋体"/>
                <w:color w:val="auto"/>
                <w:kern w:val="2"/>
                <w:sz w:val="21"/>
                <w:highlight w:val="none"/>
                <w:lang w:eastAsia="zh-CN"/>
              </w:rPr>
            </w:pPr>
            <w:r>
              <w:rPr>
                <w:rFonts w:hint="eastAsia" w:ascii="宋体" w:hAnsi="宋体" w:eastAsia="宋体" w:cs="宋体"/>
                <w:color w:val="auto"/>
                <w:spacing w:val="-8"/>
                <w:kern w:val="2"/>
                <w:sz w:val="21"/>
                <w:highlight w:val="none"/>
                <w:lang w:eastAsia="zh-CN"/>
              </w:rPr>
              <w:t>（</w:t>
            </w:r>
            <w:r>
              <w:rPr>
                <w:rFonts w:hint="eastAsia" w:ascii="宋体" w:hAnsi="宋体" w:eastAsia="宋体" w:cs="宋体"/>
                <w:color w:val="auto"/>
                <w:spacing w:val="-8"/>
                <w:kern w:val="2"/>
                <w:sz w:val="21"/>
                <w:highlight w:val="none"/>
                <w:lang w:val="en-US" w:eastAsia="zh-CN"/>
              </w:rPr>
              <w:t>4</w:t>
            </w:r>
            <w:r>
              <w:rPr>
                <w:rFonts w:hint="eastAsia" w:ascii="宋体" w:hAnsi="宋体" w:eastAsia="宋体" w:cs="宋体"/>
                <w:color w:val="auto"/>
                <w:spacing w:val="-8"/>
                <w:kern w:val="2"/>
                <w:sz w:val="21"/>
                <w:highlight w:val="none"/>
                <w:lang w:eastAsia="zh-CN"/>
              </w:rPr>
              <w:t>）</w:t>
            </w:r>
            <w:r>
              <w:rPr>
                <w:rFonts w:hint="eastAsia" w:ascii="宋体" w:hAnsi="宋体" w:eastAsia="宋体" w:cs="宋体"/>
                <w:color w:val="auto"/>
                <w:spacing w:val="-6"/>
                <w:kern w:val="2"/>
                <w:sz w:val="21"/>
                <w:highlight w:val="none"/>
                <w:lang w:eastAsia="zh-CN"/>
              </w:rPr>
              <w:t>项目管理机构配备情况表；（附：</w:t>
            </w:r>
            <w:r>
              <w:rPr>
                <w:rFonts w:hint="eastAsia" w:ascii="宋体" w:hAnsi="宋体" w:eastAsia="宋体" w:cs="宋体"/>
                <w:color w:val="auto"/>
                <w:spacing w:val="-8"/>
                <w:kern w:val="2"/>
                <w:sz w:val="21"/>
                <w:highlight w:val="none"/>
                <w:lang w:eastAsia="zh-CN"/>
              </w:rPr>
              <w:t>项目经理</w:t>
            </w:r>
            <w:r>
              <w:rPr>
                <w:rFonts w:hint="eastAsia" w:ascii="宋体" w:hAnsi="宋体" w:eastAsia="宋体" w:cs="宋体"/>
                <w:color w:val="auto"/>
                <w:kern w:val="2"/>
                <w:sz w:val="21"/>
                <w:highlight w:val="none"/>
                <w:lang w:eastAsia="zh-CN"/>
              </w:rPr>
              <w:t>注册建造师注册证书和安全生产考核合格证书（B  类）的复印件</w:t>
            </w:r>
            <w:r>
              <w:rPr>
                <w:rFonts w:hint="eastAsia" w:ascii="宋体" w:hAnsi="宋体" w:eastAsia="宋体" w:cs="宋体"/>
                <w:color w:val="auto"/>
                <w:spacing w:val="-8"/>
                <w:kern w:val="2"/>
                <w:sz w:val="21"/>
                <w:highlight w:val="none"/>
                <w:lang w:eastAsia="zh-CN"/>
              </w:rPr>
              <w:t>；技术负责人</w:t>
            </w:r>
            <w:r>
              <w:rPr>
                <w:rFonts w:hint="eastAsia" w:ascii="宋体" w:hAnsi="宋体" w:eastAsia="宋体" w:cs="宋体"/>
                <w:color w:val="auto"/>
                <w:kern w:val="2"/>
                <w:sz w:val="21"/>
                <w:highlight w:val="none"/>
                <w:lang w:eastAsia="zh-CN"/>
              </w:rPr>
              <w:t>职称证书复印件</w:t>
            </w:r>
            <w:r>
              <w:rPr>
                <w:rFonts w:hint="eastAsia" w:ascii="宋体" w:hAnsi="宋体" w:eastAsia="宋体" w:cs="宋体"/>
                <w:color w:val="auto"/>
                <w:spacing w:val="-8"/>
                <w:kern w:val="2"/>
                <w:sz w:val="21"/>
                <w:highlight w:val="none"/>
                <w:lang w:eastAsia="zh-CN"/>
              </w:rPr>
              <w:t>；</w:t>
            </w:r>
            <w:r>
              <w:rPr>
                <w:rFonts w:hint="eastAsia" w:ascii="宋体" w:hAnsi="宋体" w:eastAsia="宋体" w:cs="宋体"/>
                <w:color w:val="auto"/>
                <w:spacing w:val="-9"/>
                <w:kern w:val="2"/>
                <w:sz w:val="21"/>
                <w:highlight w:val="none"/>
                <w:lang w:eastAsia="zh-CN"/>
              </w:rPr>
              <w:t>专职安全员安全生产考核合格证书</w:t>
            </w:r>
            <w:r>
              <w:rPr>
                <w:rFonts w:hint="eastAsia" w:ascii="宋体" w:hAnsi="宋体" w:eastAsia="宋体" w:cs="宋体"/>
                <w:color w:val="auto"/>
                <w:spacing w:val="-2"/>
                <w:kern w:val="2"/>
                <w:sz w:val="21"/>
                <w:highlight w:val="none"/>
                <w:lang w:eastAsia="zh-CN"/>
              </w:rPr>
              <w:t>（</w:t>
            </w:r>
            <w:r>
              <w:rPr>
                <w:rFonts w:hint="eastAsia" w:ascii="宋体" w:hAnsi="宋体" w:eastAsia="宋体" w:cs="宋体"/>
                <w:color w:val="auto"/>
                <w:kern w:val="2"/>
                <w:sz w:val="21"/>
                <w:highlight w:val="none"/>
                <w:lang w:eastAsia="zh-CN"/>
              </w:rPr>
              <w:t>C</w:t>
            </w:r>
            <w:r>
              <w:rPr>
                <w:rFonts w:hint="eastAsia" w:ascii="宋体" w:hAnsi="宋体" w:eastAsia="宋体" w:cs="宋体"/>
                <w:color w:val="auto"/>
                <w:spacing w:val="-3"/>
                <w:kern w:val="2"/>
                <w:sz w:val="21"/>
                <w:highlight w:val="none"/>
                <w:lang w:eastAsia="zh-CN"/>
              </w:rPr>
              <w:t>类）</w:t>
            </w:r>
            <w:r>
              <w:rPr>
                <w:rFonts w:hint="eastAsia" w:ascii="宋体" w:hAnsi="宋体" w:eastAsia="宋体" w:cs="宋体"/>
                <w:color w:val="auto"/>
                <w:spacing w:val="-2"/>
                <w:kern w:val="2"/>
                <w:sz w:val="21"/>
                <w:highlight w:val="none"/>
                <w:lang w:eastAsia="zh-CN"/>
              </w:rPr>
              <w:t>的复印件；</w:t>
            </w:r>
            <w:r>
              <w:rPr>
                <w:rFonts w:hint="eastAsia" w:ascii="宋体" w:hAnsi="宋体" w:eastAsia="宋体" w:cs="宋体"/>
                <w:color w:val="auto"/>
                <w:spacing w:val="-12"/>
                <w:kern w:val="2"/>
                <w:sz w:val="21"/>
                <w:highlight w:val="none"/>
                <w:lang w:eastAsia="zh-CN"/>
              </w:rPr>
              <w:t xml:space="preserve">施工员、质量员、材料员资格证书复印件；以及以上人员近 </w:t>
            </w:r>
            <w:r>
              <w:rPr>
                <w:rFonts w:hint="eastAsia" w:hAnsi="宋体" w:cs="宋体"/>
                <w:color w:val="auto"/>
                <w:spacing w:val="-12"/>
                <w:kern w:val="2"/>
                <w:sz w:val="21"/>
                <w:highlight w:val="none"/>
                <w:lang w:val="en-US" w:eastAsia="zh-CN"/>
              </w:rPr>
              <w:t>1</w:t>
            </w:r>
            <w:r>
              <w:rPr>
                <w:rFonts w:hint="eastAsia" w:ascii="宋体" w:hAnsi="宋体" w:eastAsia="宋体" w:cs="宋体"/>
                <w:color w:val="auto"/>
                <w:kern w:val="2"/>
                <w:sz w:val="21"/>
                <w:highlight w:val="none"/>
                <w:lang w:eastAsia="zh-CN"/>
              </w:rPr>
              <w:t xml:space="preserve"> </w:t>
            </w:r>
            <w:r>
              <w:rPr>
                <w:rFonts w:hint="eastAsia" w:ascii="宋体" w:hAnsi="宋体" w:eastAsia="宋体" w:cs="宋体"/>
                <w:color w:val="auto"/>
                <w:spacing w:val="-33"/>
                <w:kern w:val="2"/>
                <w:sz w:val="21"/>
                <w:highlight w:val="none"/>
                <w:lang w:eastAsia="zh-CN"/>
              </w:rPr>
              <w:t>个月</w:t>
            </w:r>
            <w:r>
              <w:rPr>
                <w:rFonts w:hint="eastAsia" w:ascii="宋体" w:hAnsi="宋体" w:eastAsia="宋体" w:cs="宋体"/>
                <w:color w:val="auto"/>
                <w:kern w:val="2"/>
                <w:sz w:val="21"/>
                <w:highlight w:val="none"/>
                <w:lang w:eastAsia="zh-CN"/>
              </w:rPr>
              <w:t>（ 2023 年</w:t>
            </w:r>
            <w:r>
              <w:rPr>
                <w:rFonts w:hint="eastAsia" w:hAnsi="宋体" w:cs="宋体"/>
                <w:color w:val="auto"/>
                <w:kern w:val="2"/>
                <w:sz w:val="21"/>
                <w:highlight w:val="none"/>
                <w:lang w:val="en-US" w:eastAsia="zh-CN"/>
              </w:rPr>
              <w:t>7</w:t>
            </w:r>
            <w:r>
              <w:rPr>
                <w:rFonts w:hint="eastAsia" w:ascii="宋体" w:hAnsi="宋体" w:eastAsia="宋体" w:cs="宋体"/>
                <w:color w:val="auto"/>
                <w:kern w:val="2"/>
                <w:sz w:val="21"/>
                <w:highlight w:val="none"/>
                <w:lang w:eastAsia="zh-CN"/>
              </w:rPr>
              <w:t>月）</w:t>
            </w:r>
            <w:r>
              <w:rPr>
                <w:rFonts w:hint="eastAsia" w:ascii="宋体" w:hAnsi="宋体" w:eastAsia="宋体" w:cs="宋体"/>
                <w:color w:val="auto"/>
                <w:spacing w:val="-31"/>
                <w:kern w:val="2"/>
                <w:sz w:val="21"/>
                <w:highlight w:val="none"/>
                <w:lang w:eastAsia="zh-CN"/>
              </w:rPr>
              <w:t xml:space="preserve"> 在</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现</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任</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职</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单</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位</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依</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法</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缴</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纳</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社</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会</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保</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险</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的</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证</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明</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材</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料</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复</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spacing w:val="-31"/>
                <w:kern w:val="2"/>
                <w:sz w:val="21"/>
                <w:highlight w:val="none"/>
                <w:lang w:eastAsia="zh-CN"/>
              </w:rPr>
              <w:t>印</w:t>
            </w:r>
            <w:r>
              <w:rPr>
                <w:rFonts w:hint="eastAsia" w:ascii="宋体" w:hAnsi="宋体" w:eastAsia="宋体" w:cs="宋体"/>
                <w:color w:val="auto"/>
                <w:spacing w:val="-31"/>
                <w:kern w:val="2"/>
                <w:sz w:val="21"/>
                <w:highlight w:val="none"/>
                <w:lang w:val="en-US" w:eastAsia="zh-CN"/>
              </w:rPr>
              <w:t xml:space="preserve">  </w:t>
            </w:r>
            <w:r>
              <w:rPr>
                <w:rFonts w:hint="eastAsia" w:ascii="宋体" w:hAnsi="宋体" w:eastAsia="宋体" w:cs="宋体"/>
                <w:color w:val="auto"/>
                <w:kern w:val="2"/>
                <w:sz w:val="21"/>
                <w:highlight w:val="none"/>
                <w:lang w:eastAsia="zh-CN"/>
              </w:rPr>
              <w:t>件。）</w:t>
            </w:r>
          </w:p>
          <w:p>
            <w:pPr>
              <w:pStyle w:val="279"/>
              <w:spacing w:before="27" w:line="320" w:lineRule="exact"/>
              <w:ind w:left="105" w:right="97"/>
              <w:jc w:val="both"/>
              <w:rPr>
                <w:rFonts w:hint="eastAsia" w:ascii="宋体" w:hAnsi="宋体" w:eastAsia="宋体" w:cs="宋体"/>
                <w:color w:val="auto"/>
                <w:sz w:val="21"/>
                <w:szCs w:val="21"/>
                <w:highlight w:val="none"/>
              </w:rPr>
            </w:pPr>
            <w:r>
              <w:rPr>
                <w:rFonts w:hint="eastAsia" w:ascii="宋体" w:hAnsi="宋体" w:eastAsia="宋体" w:cs="宋体"/>
                <w:color w:val="auto"/>
                <w:kern w:val="2"/>
                <w:sz w:val="21"/>
                <w:highlight w:val="none"/>
                <w:lang w:eastAsia="zh-CN"/>
              </w:rPr>
              <w:t>（</w:t>
            </w:r>
            <w:r>
              <w:rPr>
                <w:rFonts w:hint="eastAsia" w:ascii="宋体" w:hAnsi="宋体" w:eastAsia="宋体" w:cs="宋体"/>
                <w:color w:val="auto"/>
                <w:kern w:val="2"/>
                <w:sz w:val="21"/>
                <w:highlight w:val="none"/>
                <w:lang w:val="en-US" w:eastAsia="zh-CN"/>
              </w:rPr>
              <w:t>5</w:t>
            </w:r>
            <w:r>
              <w:rPr>
                <w:rFonts w:hint="eastAsia" w:ascii="宋体" w:hAnsi="宋体" w:eastAsia="宋体" w:cs="宋体"/>
                <w:color w:val="auto"/>
                <w:kern w:val="2"/>
                <w:sz w:val="21"/>
                <w:highlight w:val="none"/>
                <w:lang w:eastAsia="zh-CN"/>
              </w:rPr>
              <w:t>）</w:t>
            </w:r>
            <w:r>
              <w:rPr>
                <w:rFonts w:hint="eastAsia" w:ascii="宋体" w:hAnsi="宋体" w:eastAsia="宋体" w:cs="宋体"/>
                <w:color w:val="auto"/>
                <w:spacing w:val="-18"/>
                <w:kern w:val="2"/>
                <w:sz w:val="21"/>
                <w:highlight w:val="none"/>
                <w:lang w:eastAsia="zh-CN"/>
              </w:rPr>
              <w:t>企业</w:t>
            </w:r>
            <w:r>
              <w:rPr>
                <w:rFonts w:hint="eastAsia" w:hAnsi="宋体" w:cs="宋体"/>
                <w:color w:val="auto"/>
                <w:spacing w:val="-18"/>
                <w:kern w:val="2"/>
                <w:sz w:val="21"/>
                <w:highlight w:val="none"/>
                <w:lang w:val="en-US" w:eastAsia="zh-CN"/>
              </w:rPr>
              <w:t>2022年</w:t>
            </w:r>
            <w:r>
              <w:rPr>
                <w:rFonts w:hint="eastAsia" w:ascii="宋体" w:hAnsi="宋体" w:eastAsia="宋体" w:cs="宋体"/>
                <w:color w:val="auto"/>
                <w:spacing w:val="-3"/>
                <w:kern w:val="2"/>
                <w:sz w:val="21"/>
                <w:highlight w:val="none"/>
                <w:lang w:eastAsia="zh-CN"/>
              </w:rPr>
              <w:t>经审计的财</w:t>
            </w:r>
            <w:r>
              <w:rPr>
                <w:rFonts w:hint="eastAsia" w:ascii="宋体" w:hAnsi="宋体" w:eastAsia="宋体" w:cs="宋体"/>
                <w:color w:val="auto"/>
                <w:spacing w:val="-9"/>
                <w:kern w:val="2"/>
                <w:sz w:val="21"/>
                <w:highlight w:val="none"/>
                <w:lang w:eastAsia="zh-CN"/>
              </w:rPr>
              <w:t>务报告复印件；</w:t>
            </w:r>
            <w:r>
              <w:rPr>
                <w:rFonts w:hint="eastAsia" w:ascii="宋体" w:hAnsi="宋体" w:eastAsia="宋体" w:cs="宋体"/>
                <w:color w:val="auto"/>
                <w:sz w:val="21"/>
                <w:szCs w:val="21"/>
                <w:highlight w:val="none"/>
              </w:rPr>
              <w:t>（新成立的公司按实际情况提供)</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highlight w:val="none"/>
                <w:lang w:eastAsia="zh-CN"/>
              </w:rPr>
              <w:t>投标文件</w:t>
            </w:r>
            <w:r>
              <w:rPr>
                <w:rFonts w:hint="eastAsia" w:ascii="宋体" w:hAnsi="宋体" w:eastAsia="宋体" w:cs="宋体"/>
                <w:bCs/>
                <w:color w:val="auto"/>
                <w:sz w:val="21"/>
                <w:highlight w:val="none"/>
              </w:rPr>
              <w:t>递交截止之日前半年内</w:t>
            </w:r>
            <w:r>
              <w:rPr>
                <w:rFonts w:hint="eastAsia" w:ascii="宋体" w:hAnsi="宋体" w:eastAsia="宋体" w:cs="宋体"/>
                <w:bCs/>
                <w:color w:val="auto"/>
                <w:sz w:val="21"/>
                <w:highlight w:val="none"/>
                <w:lang w:eastAsia="zh-CN"/>
              </w:rPr>
              <w:t>投标人</w:t>
            </w:r>
            <w:r>
              <w:rPr>
                <w:rFonts w:hint="eastAsia" w:ascii="宋体" w:hAnsi="宋体" w:eastAsia="宋体" w:cs="宋体"/>
                <w:bCs/>
                <w:color w:val="auto"/>
                <w:sz w:val="21"/>
                <w:highlight w:val="none"/>
              </w:rPr>
              <w:t>连续三个月的依法纳税的依法缴纳税费或依法免缴税费的证明（复印件，格式自拟）；</w:t>
            </w:r>
            <w:r>
              <w:rPr>
                <w:rFonts w:hint="eastAsia" w:ascii="宋体" w:hAnsi="宋体" w:eastAsia="宋体" w:cs="宋体"/>
                <w:color w:val="auto"/>
                <w:sz w:val="21"/>
                <w:highlight w:val="none"/>
              </w:rPr>
              <w:t>无纳税记录的，应提供由</w:t>
            </w:r>
            <w:r>
              <w:rPr>
                <w:rFonts w:hint="eastAsia" w:ascii="宋体" w:hAnsi="宋体" w:eastAsia="宋体" w:cs="宋体"/>
                <w:color w:val="auto"/>
                <w:sz w:val="21"/>
                <w:highlight w:val="none"/>
                <w:lang w:eastAsia="zh-CN"/>
              </w:rPr>
              <w:t>投标人</w:t>
            </w:r>
            <w:r>
              <w:rPr>
                <w:rFonts w:hint="eastAsia" w:ascii="宋体" w:hAnsi="宋体" w:eastAsia="宋体" w:cs="宋体"/>
                <w:color w:val="auto"/>
                <w:sz w:val="21"/>
                <w:highlight w:val="none"/>
              </w:rPr>
              <w:t>所在地税务部门出具的相关证明材料，成立不</w:t>
            </w:r>
            <w:r>
              <w:rPr>
                <w:rFonts w:hint="eastAsia" w:ascii="宋体" w:hAnsi="宋体" w:eastAsia="宋体" w:cs="宋体"/>
                <w:bCs/>
                <w:color w:val="auto"/>
                <w:sz w:val="21"/>
                <w:highlight w:val="none"/>
              </w:rPr>
              <w:t>足三个月的公司按实际提供</w:t>
            </w: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rPr>
              <w:t>（格式自拟，复印件）</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val="en-US" w:eastAsia="zh-CN"/>
              </w:rPr>
              <w:t>7</w:t>
            </w:r>
            <w:r>
              <w:rPr>
                <w:rFonts w:hint="eastAsia" w:ascii="宋体" w:hAnsi="宋体" w:eastAsia="宋体" w:cs="宋体"/>
                <w:bCs/>
                <w:color w:val="auto"/>
                <w:sz w:val="21"/>
                <w:highlight w:val="none"/>
              </w:rPr>
              <w:t>）参加政府采购活动前3年内在经营活动中无重大违法记录的书面声明；</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val="en-US" w:eastAsia="zh-CN"/>
              </w:rPr>
              <w:t>8</w:t>
            </w: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eastAsia="zh-CN"/>
              </w:rPr>
              <w:t>参加政府采购活动前3年内投标人及其法定代表人及拟投入的项目经理无行贿犯罪记录的书面承诺</w:t>
            </w:r>
            <w:r>
              <w:rPr>
                <w:rFonts w:hint="eastAsia" w:ascii="宋体" w:hAnsi="宋体" w:eastAsia="宋体" w:cs="宋体"/>
                <w:bCs/>
                <w:color w:val="auto"/>
                <w:sz w:val="21"/>
                <w:highlight w:val="none"/>
              </w:rPr>
              <w:t>；</w:t>
            </w:r>
          </w:p>
          <w:p>
            <w:pPr>
              <w:pStyle w:val="279"/>
              <w:spacing w:before="27" w:line="320" w:lineRule="exact"/>
              <w:ind w:left="105" w:right="97"/>
              <w:jc w:val="both"/>
              <w:rPr>
                <w:rFonts w:hint="eastAsia" w:ascii="宋体" w:hAnsi="宋体" w:eastAsia="宋体" w:cs="宋体"/>
                <w:bCs/>
                <w:color w:val="auto"/>
                <w:sz w:val="21"/>
                <w:highlight w:val="none"/>
                <w:lang w:eastAsia="zh-CN"/>
              </w:rPr>
            </w:pP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lang w:val="en-US" w:eastAsia="zh-CN"/>
              </w:rPr>
              <w:t>9</w:t>
            </w:r>
            <w:r>
              <w:rPr>
                <w:rFonts w:hint="eastAsia" w:ascii="宋体" w:hAnsi="宋体" w:eastAsia="宋体" w:cs="宋体"/>
                <w:bCs/>
                <w:color w:val="auto"/>
                <w:sz w:val="21"/>
                <w:highlight w:val="none"/>
                <w:lang w:eastAsia="zh-CN"/>
              </w:rPr>
              <w:t>）投标人直接控股、管理关系信息表</w:t>
            </w:r>
            <w:r>
              <w:rPr>
                <w:rFonts w:hint="eastAsia" w:hAnsi="宋体" w:cs="宋体"/>
                <w:bCs/>
                <w:color w:val="auto"/>
                <w:sz w:val="21"/>
                <w:highlight w:val="none"/>
                <w:lang w:eastAsia="zh-CN"/>
              </w:rPr>
              <w:t>；</w:t>
            </w:r>
          </w:p>
          <w:p>
            <w:pPr>
              <w:pStyle w:val="279"/>
              <w:spacing w:before="27" w:line="320" w:lineRule="exact"/>
              <w:ind w:left="105" w:right="97"/>
              <w:jc w:val="both"/>
              <w:rPr>
                <w:rFonts w:hint="default" w:ascii="宋体" w:hAnsi="宋体" w:eastAsia="宋体" w:cs="宋体"/>
                <w:bCs/>
                <w:color w:val="auto"/>
                <w:sz w:val="21"/>
                <w:highlight w:val="none"/>
                <w:lang w:val="en-US" w:eastAsia="zh-CN"/>
              </w:rPr>
            </w:pPr>
            <w:r>
              <w:rPr>
                <w:rFonts w:hint="eastAsia" w:hAnsi="宋体" w:cs="宋体"/>
                <w:bCs/>
                <w:color w:val="auto"/>
                <w:sz w:val="21"/>
                <w:highlight w:val="none"/>
                <w:lang w:eastAsia="zh-CN"/>
              </w:rPr>
              <w:t>（</w:t>
            </w:r>
            <w:r>
              <w:rPr>
                <w:rFonts w:hint="eastAsia" w:hAnsi="宋体" w:cs="宋体"/>
                <w:bCs/>
                <w:color w:val="auto"/>
                <w:sz w:val="21"/>
                <w:highlight w:val="none"/>
                <w:lang w:val="en-US" w:eastAsia="zh-CN"/>
              </w:rPr>
              <w:t>10</w:t>
            </w:r>
            <w:r>
              <w:rPr>
                <w:rFonts w:hint="eastAsia" w:hAnsi="宋体" w:cs="宋体"/>
                <w:bCs/>
                <w:color w:val="auto"/>
                <w:sz w:val="21"/>
                <w:highlight w:val="none"/>
                <w:lang w:eastAsia="zh-CN"/>
              </w:rPr>
              <w:t>）</w:t>
            </w:r>
            <w:r>
              <w:rPr>
                <w:rFonts w:hint="eastAsia" w:hAnsi="宋体" w:cs="宋体"/>
                <w:bCs/>
                <w:color w:val="auto"/>
                <w:sz w:val="21"/>
                <w:highlight w:val="none"/>
                <w:lang w:val="en-US" w:eastAsia="zh-CN"/>
              </w:rPr>
              <w:t>农民工工资保证金承诺书。</w:t>
            </w:r>
          </w:p>
          <w:p>
            <w:pPr>
              <w:pStyle w:val="279"/>
              <w:spacing w:before="27" w:line="320" w:lineRule="exact"/>
              <w:ind w:left="105" w:right="97"/>
              <w:jc w:val="both"/>
              <w:rPr>
                <w:rFonts w:hint="eastAsia"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eastAsia="zh-CN"/>
              </w:rPr>
              <w:t>上述（</w:t>
            </w:r>
            <w:r>
              <w:rPr>
                <w:rFonts w:hint="eastAsia" w:ascii="宋体" w:hAnsi="宋体" w:eastAsia="宋体" w:cs="宋体"/>
                <w:bCs/>
                <w:color w:val="auto"/>
                <w:sz w:val="21"/>
                <w:highlight w:val="none"/>
                <w:lang w:val="en-US" w:eastAsia="zh-CN"/>
              </w:rPr>
              <w:t>1</w:t>
            </w: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lang w:val="en-US" w:eastAsia="zh-CN"/>
              </w:rPr>
              <w:t>~（</w:t>
            </w:r>
            <w:r>
              <w:rPr>
                <w:rFonts w:hint="eastAsia" w:hAnsi="宋体" w:cs="宋体"/>
                <w:bCs/>
                <w:color w:val="auto"/>
                <w:sz w:val="21"/>
                <w:highlight w:val="none"/>
                <w:lang w:val="en-US" w:eastAsia="zh-CN"/>
              </w:rPr>
              <w:t>10</w:t>
            </w:r>
            <w:r>
              <w:rPr>
                <w:rFonts w:hint="eastAsia" w:ascii="宋体" w:hAnsi="宋体" w:eastAsia="宋体" w:cs="宋体"/>
                <w:bCs/>
                <w:color w:val="auto"/>
                <w:sz w:val="21"/>
                <w:highlight w:val="none"/>
                <w:lang w:val="en-US" w:eastAsia="zh-CN"/>
              </w:rPr>
              <w:t>）项材料为必须提供，否则投标无效。</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二、商务标部分</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1、投标函及投标函附录；</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2、投标响应表；</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3、已标价工程量清单。</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三、技术标部分</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施工组织设计。</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四、企业信誉实力部分</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1、企业信誉实力一览表（如有）。</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2、投标人可结合本项目的评标办法视自身情况自行提交相关证明材料（如有）。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3.1.3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近年财务状况的年份要求</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指2022年（对于从取得营业执照时间起到投标截止时间为止不足要求年数的企业，只需提交企业取得营业执照年份至所要求最近年份经审计的财务报表）。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noWrap w:val="0"/>
            <w:vAlign w:val="top"/>
          </w:tcPr>
          <w:p>
            <w:pPr>
              <w:pStyle w:val="13"/>
              <w:spacing w:line="360" w:lineRule="exact"/>
              <w:ind w:firstLine="0" w:firstLineChars="0"/>
              <w:jc w:val="center"/>
              <w:rPr>
                <w:rFonts w:hint="eastAsia" w:ascii="宋体" w:hAnsi="宋体" w:eastAsia="宋体" w:cs="宋体"/>
                <w:sz w:val="21"/>
                <w:highlight w:val="none"/>
                <w:lang w:val="en-US" w:eastAsia="zh-CN"/>
              </w:rPr>
            </w:pP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考核期</w:t>
            </w:r>
          </w:p>
        </w:tc>
        <w:tc>
          <w:tcPr>
            <w:tcW w:w="6463" w:type="dxa"/>
            <w:noWrap w:val="0"/>
            <w:vAlign w:val="center"/>
          </w:tcPr>
          <w:p>
            <w:pPr>
              <w:pStyle w:val="13"/>
              <w:spacing w:line="360" w:lineRule="exact"/>
              <w:ind w:firstLine="0" w:firstLineChars="0"/>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投标截止时间</w:t>
            </w:r>
            <w:r>
              <w:rPr>
                <w:rFonts w:hint="eastAsia" w:ascii="宋体" w:hAnsi="宋体" w:cs="宋体"/>
                <w:sz w:val="21"/>
                <w:highlight w:val="none"/>
                <w:lang w:val="en-US" w:eastAsia="zh-CN"/>
              </w:rPr>
              <w:t>前三年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noWrap w:val="0"/>
            <w:vAlign w:val="top"/>
          </w:tcPr>
          <w:p>
            <w:pPr>
              <w:pStyle w:val="13"/>
              <w:spacing w:line="360" w:lineRule="exact"/>
              <w:ind w:firstLine="0" w:firstLineChars="0"/>
              <w:jc w:val="center"/>
              <w:rPr>
                <w:rFonts w:hint="eastAsia" w:ascii="宋体" w:hAnsi="宋体" w:eastAsia="宋体" w:cs="宋体"/>
                <w:sz w:val="21"/>
                <w:highlight w:val="none"/>
                <w:lang w:val="en-US" w:eastAsia="zh-CN"/>
              </w:rPr>
            </w:pP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近年发生的诉讼及仲裁情况的年份要求</w:t>
            </w:r>
          </w:p>
        </w:tc>
        <w:tc>
          <w:tcPr>
            <w:tcW w:w="6463" w:type="dxa"/>
            <w:noWrap w:val="0"/>
            <w:vAlign w:val="center"/>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指2020年1月1日至投标截止时间止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3.3.1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投标有效期</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3.4</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投标保证金</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bCs/>
                <w:sz w:val="21"/>
                <w:szCs w:val="21"/>
                <w:highlight w:val="none"/>
                <w:lang w:val="en-US" w:eastAsia="zh-CN"/>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3.5</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是否允许递交备选投标方案</w:t>
            </w:r>
          </w:p>
        </w:tc>
        <w:tc>
          <w:tcPr>
            <w:tcW w:w="6463" w:type="dxa"/>
            <w:noWrap w:val="0"/>
            <w:vAlign w:val="center"/>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3.6</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投标文件的编制</w:t>
            </w:r>
          </w:p>
        </w:tc>
        <w:tc>
          <w:tcPr>
            <w:tcW w:w="6463" w:type="dxa"/>
            <w:noWrap w:val="0"/>
            <w:vAlign w:val="center"/>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3.6.1电子投标文件中须加盖投标人公章部分均采用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3.6.2投标人法人（负责人）或授权代表持有政采云个人CA签章的，应在投标文件中涉及到签字的位置使用个人CA签章，没有办理政采云个人CA签章的可在投标文件中涉及到签字的位置手写签字后扫描或者拍照做成PDF的格式上传即可。</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3.6.3投标文件不得涂改，若有修改错漏处，须法定代表人（负责人）或授权委托人签字（或个人CA签章）。投标文件因字迹潦草或表达不清所引起的后果由投标人负责。</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3.6.4评审前准备</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 xml:space="preserve">（1）本项目实行网上评审，采用电子投标文件；若投标人参与投标，自行承担投标一切费用。 </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 xml:space="preserve">（2）各投标人在截标前应确保成为政采云平台正式注册入库供应商，并完成 CA 数字证书申领。因未注册入库、未办理 CA 数字证书等原因造成无法投标或投标失败等后果由投标人自行承担。 </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（3）投标人将政采云电子交易客户端下载、安装完成后，可通过账号密码或 CA 登录客户端进行投标文件制作。客户端请至网站下载专区查看，如有问题可拨打政采云客户服务热线 95763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3.7.1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投标文件的补充、修改和撤回</w:t>
            </w:r>
          </w:p>
        </w:tc>
        <w:tc>
          <w:tcPr>
            <w:tcW w:w="6463" w:type="dxa"/>
            <w:noWrap w:val="0"/>
            <w:vAlign w:val="center"/>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投标文件递交截止时间前可以补充、修改或者撤回电子投标文件。补充或者修改电子投标文件的，应当先行撤回原文件，补充、修改后重新传输递交，投标文件递交截止时间前未完成传输的，视为撤回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4.1.1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投标文件递交截止时间</w:t>
            </w:r>
          </w:p>
        </w:tc>
        <w:tc>
          <w:tcPr>
            <w:tcW w:w="6463" w:type="dxa"/>
            <w:noWrap w:val="0"/>
            <w:vAlign w:val="top"/>
          </w:tcPr>
          <w:p>
            <w:pPr>
              <w:pStyle w:val="13"/>
              <w:wordWrap w:val="0"/>
              <w:spacing w:line="360" w:lineRule="exact"/>
              <w:ind w:firstLine="0" w:firstLineChars="0"/>
              <w:rPr>
                <w:rFonts w:hint="eastAsia" w:ascii="宋体" w:hAnsi="宋体" w:eastAsia="宋体" w:cs="宋体"/>
                <w:kern w:val="0"/>
                <w:sz w:val="21"/>
                <w:highlight w:val="none"/>
                <w:u w:val="single"/>
                <w:lang w:val="en-US" w:eastAsia="zh-CN"/>
              </w:rPr>
            </w:pPr>
            <w:r>
              <w:rPr>
                <w:rFonts w:hint="eastAsia" w:ascii="宋体" w:hAnsi="宋体" w:eastAsia="宋体" w:cs="宋体"/>
                <w:bCs/>
                <w:kern w:val="0"/>
                <w:sz w:val="21"/>
                <w:highlight w:val="none"/>
                <w:lang w:val="en-US" w:eastAsia="zh-CN"/>
              </w:rPr>
              <w:t>投标人应于2023年</w:t>
            </w:r>
            <w:r>
              <w:rPr>
                <w:rFonts w:hint="eastAsia" w:ascii="宋体" w:hAnsi="宋体" w:cs="宋体"/>
                <w:bCs/>
                <w:kern w:val="0"/>
                <w:sz w:val="21"/>
                <w:highlight w:val="none"/>
                <w:lang w:val="en-US" w:eastAsia="zh-CN"/>
              </w:rPr>
              <w:t>09</w:t>
            </w:r>
            <w:r>
              <w:rPr>
                <w:rFonts w:hint="eastAsia" w:ascii="宋体" w:hAnsi="宋体" w:eastAsia="宋体" w:cs="宋体"/>
                <w:bCs/>
                <w:kern w:val="0"/>
                <w:sz w:val="21"/>
                <w:highlight w:val="none"/>
                <w:lang w:val="en-US" w:eastAsia="zh-CN"/>
              </w:rPr>
              <w:t>月</w:t>
            </w:r>
            <w:r>
              <w:rPr>
                <w:rFonts w:hint="eastAsia" w:ascii="宋体" w:hAnsi="宋体" w:cs="宋体"/>
                <w:bCs/>
                <w:kern w:val="0"/>
                <w:sz w:val="21"/>
                <w:highlight w:val="none"/>
                <w:lang w:val="en-US" w:eastAsia="zh-CN"/>
              </w:rPr>
              <w:t>01</w:t>
            </w:r>
            <w:r>
              <w:rPr>
                <w:rFonts w:hint="eastAsia" w:ascii="宋体" w:hAnsi="宋体" w:eastAsia="宋体" w:cs="宋体"/>
                <w:bCs/>
                <w:kern w:val="0"/>
                <w:sz w:val="21"/>
                <w:highlight w:val="none"/>
                <w:lang w:val="en-US" w:eastAsia="zh-CN"/>
              </w:rPr>
              <w:t>日上午9时30分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95763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4.1.2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投标文件解密时间</w:t>
            </w:r>
          </w:p>
        </w:tc>
        <w:tc>
          <w:tcPr>
            <w:tcW w:w="6463" w:type="dxa"/>
            <w:noWrap w:val="0"/>
            <w:vAlign w:val="top"/>
          </w:tcPr>
          <w:p>
            <w:pPr>
              <w:pStyle w:val="13"/>
              <w:spacing w:line="360" w:lineRule="exact"/>
              <w:ind w:firstLine="0" w:firstLineChars="0"/>
              <w:rPr>
                <w:rFonts w:hint="eastAsia" w:ascii="宋体" w:hAnsi="宋体" w:eastAsia="宋体" w:cs="宋体"/>
                <w:kern w:val="0"/>
                <w:sz w:val="21"/>
                <w:highlight w:val="none"/>
                <w:lang w:val="en-US" w:eastAsia="zh-CN"/>
              </w:rPr>
            </w:pPr>
            <w:r>
              <w:rPr>
                <w:rFonts w:hint="eastAsia" w:ascii="宋体" w:hAnsi="宋体" w:eastAsia="宋体" w:cs="宋体"/>
                <w:bCs/>
                <w:kern w:val="0"/>
                <w:sz w:val="21"/>
                <w:highlight w:val="none"/>
                <w:lang w:val="en-US" w:eastAsia="zh-CN"/>
              </w:rPr>
              <w:t>截标时间后30分钟内（2023年</w:t>
            </w:r>
            <w:r>
              <w:rPr>
                <w:rFonts w:hint="eastAsia" w:ascii="宋体" w:hAnsi="宋体" w:cs="宋体"/>
                <w:bCs/>
                <w:kern w:val="0"/>
                <w:sz w:val="21"/>
                <w:highlight w:val="none"/>
                <w:lang w:val="en-US" w:eastAsia="zh-CN"/>
              </w:rPr>
              <w:t>09</w:t>
            </w:r>
            <w:r>
              <w:rPr>
                <w:rFonts w:hint="eastAsia" w:ascii="宋体" w:hAnsi="宋体" w:eastAsia="宋体" w:cs="宋体"/>
                <w:bCs/>
                <w:kern w:val="0"/>
                <w:sz w:val="21"/>
                <w:highlight w:val="none"/>
                <w:lang w:val="en-US" w:eastAsia="zh-CN"/>
              </w:rPr>
              <w:t>月</w:t>
            </w:r>
            <w:r>
              <w:rPr>
                <w:rFonts w:hint="eastAsia" w:ascii="宋体" w:hAnsi="宋体" w:cs="宋体"/>
                <w:bCs/>
                <w:kern w:val="0"/>
                <w:sz w:val="21"/>
                <w:highlight w:val="none"/>
                <w:lang w:val="en-US" w:eastAsia="zh-CN"/>
              </w:rPr>
              <w:t>01</w:t>
            </w:r>
            <w:r>
              <w:rPr>
                <w:rFonts w:hint="eastAsia" w:ascii="宋体" w:hAnsi="宋体" w:eastAsia="宋体" w:cs="宋体"/>
                <w:bCs/>
                <w:kern w:val="0"/>
                <w:sz w:val="21"/>
                <w:highlight w:val="none"/>
                <w:lang w:val="en-US" w:eastAsia="zh-CN"/>
              </w:rPr>
              <w:t>日上午9时30分至10时00分)投标人可以登录政采云平台，用“项目采购-开标评标”功能进行解密电子投标文件。若投标人在规定时间内无法解密或解密失败，可向采购代理机构提供电子备份投标文件【在接到无法解密或解密失败的通知后，投标人可根据自身实际情况按通知时要求的时间到桂林市公共资源交易中心现场提交或以电子邮件的形式（以通知时告知的电子邮箱地址为准）提交电子备份投标文件】。若投标人在规定时间内无法解密或解密失败且未提供电子备份投标文件的(包含提供的电子备份投标文件无效或无法解密的情况)，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5.1.1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开标时间和地点</w:t>
            </w:r>
          </w:p>
        </w:tc>
        <w:tc>
          <w:tcPr>
            <w:tcW w:w="6463" w:type="dxa"/>
            <w:noWrap w:val="0"/>
            <w:vAlign w:val="top"/>
          </w:tcPr>
          <w:p>
            <w:pPr>
              <w:pStyle w:val="13"/>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开标时间：</w:t>
            </w:r>
            <w:r>
              <w:rPr>
                <w:rFonts w:hint="eastAsia" w:ascii="宋体" w:hAnsi="宋体" w:eastAsia="宋体" w:cs="宋体"/>
                <w:bCs/>
                <w:kern w:val="0"/>
                <w:sz w:val="21"/>
                <w:highlight w:val="none"/>
                <w:lang w:val="en-US" w:eastAsia="zh-CN"/>
              </w:rPr>
              <w:t>2023年</w:t>
            </w:r>
            <w:r>
              <w:rPr>
                <w:rFonts w:hint="eastAsia" w:ascii="宋体" w:hAnsi="宋体" w:cs="宋体"/>
                <w:bCs/>
                <w:kern w:val="0"/>
                <w:sz w:val="21"/>
                <w:highlight w:val="none"/>
                <w:lang w:val="en-US" w:eastAsia="zh-CN"/>
              </w:rPr>
              <w:t>09</w:t>
            </w:r>
            <w:r>
              <w:rPr>
                <w:rFonts w:hint="eastAsia" w:ascii="宋体" w:hAnsi="宋体" w:eastAsia="宋体" w:cs="宋体"/>
                <w:bCs/>
                <w:kern w:val="0"/>
                <w:sz w:val="21"/>
                <w:highlight w:val="none"/>
                <w:lang w:val="en-US" w:eastAsia="zh-CN"/>
              </w:rPr>
              <w:t>月</w:t>
            </w:r>
            <w:r>
              <w:rPr>
                <w:rFonts w:hint="eastAsia" w:ascii="宋体" w:hAnsi="宋体" w:cs="宋体"/>
                <w:bCs/>
                <w:kern w:val="0"/>
                <w:sz w:val="21"/>
                <w:highlight w:val="none"/>
                <w:lang w:val="en-US" w:eastAsia="zh-CN"/>
              </w:rPr>
              <w:t>01</w:t>
            </w:r>
            <w:r>
              <w:rPr>
                <w:rFonts w:hint="eastAsia" w:ascii="宋体" w:hAnsi="宋体" w:eastAsia="宋体" w:cs="宋体"/>
                <w:bCs/>
                <w:kern w:val="0"/>
                <w:sz w:val="21"/>
                <w:highlight w:val="none"/>
                <w:lang w:val="en-US" w:eastAsia="zh-CN"/>
              </w:rPr>
              <w:t>日</w:t>
            </w:r>
            <w:r>
              <w:rPr>
                <w:rFonts w:hint="eastAsia" w:ascii="宋体" w:hAnsi="宋体" w:eastAsia="宋体" w:cs="宋体"/>
                <w:sz w:val="21"/>
                <w:highlight w:val="none"/>
                <w:lang w:val="en-US" w:eastAsia="zh-CN"/>
              </w:rPr>
              <w:t>9时30分。</w:t>
            </w:r>
          </w:p>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开标地点：通过政采云平台实行在线解密开启。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5.2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开标程序</w:t>
            </w:r>
          </w:p>
        </w:tc>
        <w:tc>
          <w:tcPr>
            <w:tcW w:w="6463" w:type="dxa"/>
            <w:noWrap w:val="0"/>
            <w:vAlign w:val="top"/>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见正文5.2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6.1.1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评标委员会的组建</w:t>
            </w:r>
          </w:p>
        </w:tc>
        <w:tc>
          <w:tcPr>
            <w:tcW w:w="6463" w:type="dxa"/>
            <w:noWrap w:val="0"/>
            <w:vAlign w:val="top"/>
          </w:tcPr>
          <w:p>
            <w:pPr>
              <w:spacing w:line="360" w:lineRule="exact"/>
              <w:rPr>
                <w:rFonts w:hint="eastAsia" w:ascii="宋体" w:hAnsi="宋体" w:eastAsia="宋体" w:cs="宋体"/>
                <w:kern w:val="0"/>
                <w:sz w:val="21"/>
                <w:highlight w:val="none"/>
              </w:rPr>
            </w:pPr>
            <w:r>
              <w:rPr>
                <w:rFonts w:hint="eastAsia" w:ascii="宋体" w:hAnsi="宋体" w:eastAsia="宋体" w:cs="宋体"/>
                <w:kern w:val="0"/>
                <w:sz w:val="21"/>
                <w:highlight w:val="none"/>
              </w:rPr>
              <w:t>评标</w:t>
            </w:r>
            <w:r>
              <w:rPr>
                <w:rFonts w:hint="eastAsia" w:ascii="宋体" w:hAnsi="宋体" w:eastAsia="宋体" w:cs="宋体"/>
                <w:spacing w:val="4"/>
                <w:kern w:val="0"/>
                <w:sz w:val="21"/>
                <w:highlight w:val="none"/>
              </w:rPr>
              <w:t>委</w:t>
            </w:r>
            <w:r>
              <w:rPr>
                <w:rFonts w:hint="eastAsia" w:ascii="宋体" w:hAnsi="宋体" w:eastAsia="宋体" w:cs="宋体"/>
                <w:kern w:val="0"/>
                <w:sz w:val="21"/>
                <w:highlight w:val="none"/>
              </w:rPr>
              <w:t>员</w:t>
            </w:r>
            <w:r>
              <w:rPr>
                <w:rFonts w:hint="eastAsia" w:ascii="宋体" w:hAnsi="宋体" w:eastAsia="宋体" w:cs="宋体"/>
                <w:spacing w:val="4"/>
                <w:kern w:val="0"/>
                <w:sz w:val="21"/>
                <w:highlight w:val="none"/>
              </w:rPr>
              <w:t>会</w:t>
            </w:r>
            <w:r>
              <w:rPr>
                <w:rFonts w:hint="eastAsia" w:ascii="宋体" w:hAnsi="宋体" w:eastAsia="宋体" w:cs="宋体"/>
                <w:kern w:val="0"/>
                <w:sz w:val="21"/>
                <w:highlight w:val="none"/>
              </w:rPr>
              <w:t>构成：</w:t>
            </w:r>
            <w:r>
              <w:rPr>
                <w:rFonts w:hint="eastAsia" w:ascii="宋体" w:hAnsi="宋体" w:eastAsia="宋体" w:cs="宋体"/>
                <w:kern w:val="0"/>
                <w:sz w:val="21"/>
                <w:highlight w:val="none"/>
                <w:u w:val="single"/>
                <w:lang w:val="en-US" w:eastAsia="zh-CN"/>
              </w:rPr>
              <w:t>5</w:t>
            </w:r>
            <w:r>
              <w:rPr>
                <w:rFonts w:hint="eastAsia" w:ascii="宋体" w:hAnsi="宋体" w:eastAsia="宋体" w:cs="宋体"/>
                <w:kern w:val="0"/>
                <w:sz w:val="21"/>
                <w:highlight w:val="none"/>
              </w:rPr>
              <w:t>人，</w:t>
            </w:r>
            <w:r>
              <w:rPr>
                <w:rFonts w:hint="eastAsia" w:ascii="宋体" w:hAnsi="宋体" w:eastAsia="宋体" w:cs="宋体"/>
                <w:spacing w:val="4"/>
                <w:kern w:val="0"/>
                <w:sz w:val="21"/>
                <w:highlight w:val="none"/>
              </w:rPr>
              <w:t>其</w:t>
            </w:r>
            <w:r>
              <w:rPr>
                <w:rFonts w:hint="eastAsia" w:ascii="宋体" w:hAnsi="宋体" w:eastAsia="宋体" w:cs="宋体"/>
                <w:kern w:val="0"/>
                <w:sz w:val="21"/>
                <w:highlight w:val="none"/>
              </w:rPr>
              <w:t>中招标</w:t>
            </w:r>
            <w:r>
              <w:rPr>
                <w:rFonts w:hint="eastAsia" w:ascii="宋体" w:hAnsi="宋体" w:eastAsia="宋体" w:cs="宋体"/>
                <w:spacing w:val="4"/>
                <w:kern w:val="0"/>
                <w:sz w:val="21"/>
                <w:highlight w:val="none"/>
              </w:rPr>
              <w:t>人</w:t>
            </w:r>
            <w:r>
              <w:rPr>
                <w:rFonts w:hint="eastAsia" w:ascii="宋体" w:hAnsi="宋体" w:eastAsia="宋体" w:cs="宋体"/>
                <w:kern w:val="0"/>
                <w:sz w:val="21"/>
                <w:highlight w:val="none"/>
              </w:rPr>
              <w:t>代表</w:t>
            </w:r>
            <w:r>
              <w:rPr>
                <w:rFonts w:hint="eastAsia" w:ascii="宋体" w:hAnsi="宋体" w:cs="宋体"/>
                <w:kern w:val="0"/>
                <w:sz w:val="21"/>
                <w:highlight w:val="none"/>
                <w:lang w:val="en-US" w:eastAsia="zh-CN"/>
              </w:rPr>
              <w:t>1</w:t>
            </w:r>
            <w:r>
              <w:rPr>
                <w:rFonts w:hint="eastAsia" w:ascii="宋体" w:hAnsi="宋体" w:eastAsia="宋体" w:cs="宋体"/>
                <w:kern w:val="0"/>
                <w:sz w:val="21"/>
                <w:highlight w:val="none"/>
              </w:rPr>
              <w:t>人，专家评委</w:t>
            </w:r>
            <w:r>
              <w:rPr>
                <w:rFonts w:hint="eastAsia" w:ascii="宋体" w:hAnsi="宋体" w:cs="宋体"/>
                <w:kern w:val="0"/>
                <w:sz w:val="21"/>
                <w:highlight w:val="none"/>
                <w:lang w:val="en-US" w:eastAsia="zh-CN"/>
              </w:rPr>
              <w:t>4</w:t>
            </w:r>
            <w:r>
              <w:rPr>
                <w:rFonts w:hint="eastAsia" w:ascii="宋体" w:hAnsi="宋体" w:eastAsia="宋体" w:cs="宋体"/>
                <w:kern w:val="0"/>
                <w:sz w:val="21"/>
                <w:highlight w:val="none"/>
              </w:rPr>
              <w:t>人。</w:t>
            </w:r>
          </w:p>
          <w:p>
            <w:pPr>
              <w:spacing w:line="360" w:lineRule="exact"/>
              <w:rPr>
                <w:rFonts w:hint="eastAsia" w:ascii="宋体" w:hAnsi="宋体" w:eastAsia="宋体" w:cs="宋体"/>
                <w:kern w:val="0"/>
                <w:sz w:val="21"/>
                <w:highlight w:val="none"/>
              </w:rPr>
            </w:pPr>
            <w:r>
              <w:rPr>
                <w:rFonts w:hint="eastAsia" w:ascii="宋体" w:hAnsi="宋体" w:eastAsia="宋体" w:cs="宋体"/>
                <w:kern w:val="0"/>
                <w:sz w:val="21"/>
                <w:highlight w:val="none"/>
              </w:rPr>
              <w:t>评标专家确定方式：开标前从政府采购云系统中随机抽取。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6.3</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评标办法</w:t>
            </w:r>
          </w:p>
        </w:tc>
        <w:tc>
          <w:tcPr>
            <w:tcW w:w="6463" w:type="dxa"/>
            <w:noWrap w:val="0"/>
            <w:vAlign w:val="top"/>
          </w:tcPr>
          <w:p>
            <w:pPr>
              <w:spacing w:line="360" w:lineRule="exact"/>
              <w:rPr>
                <w:rFonts w:hint="eastAsia" w:ascii="宋体" w:hAnsi="宋体" w:eastAsia="宋体" w:cs="宋体"/>
                <w:kern w:val="0"/>
                <w:sz w:val="21"/>
                <w:highlight w:val="none"/>
              </w:rPr>
            </w:pPr>
            <w:r>
              <w:rPr>
                <w:rFonts w:hint="eastAsia" w:ascii="宋体" w:hAnsi="宋体" w:eastAsia="宋体" w:cs="宋体"/>
                <w:kern w:val="0"/>
                <w:sz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7.1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是否授权评标委员会确定中标人</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 xml:space="preserve">□是 </w:t>
            </w:r>
          </w:p>
          <w:p>
            <w:pPr>
              <w:spacing w:line="360" w:lineRule="exact"/>
              <w:rPr>
                <w:rFonts w:hint="eastAsia" w:ascii="宋体" w:hAnsi="宋体" w:eastAsia="宋体" w:cs="宋体"/>
                <w:sz w:val="21"/>
                <w:highlight w:val="none"/>
              </w:rPr>
            </w:pPr>
            <w:r>
              <w:rPr>
                <w:rFonts w:hint="eastAsia" w:ascii="宋体" w:hAnsi="宋体" w:eastAsia="宋体" w:cs="宋体"/>
                <w:sz w:val="24"/>
                <w:highlight w:val="none"/>
              </w:rPr>
              <w:t>☑</w:t>
            </w:r>
            <w:r>
              <w:rPr>
                <w:rFonts w:hint="eastAsia" w:ascii="宋体" w:hAnsi="宋体" w:eastAsia="宋体" w:cs="宋体"/>
                <w:sz w:val="21"/>
                <w:highlight w:val="none"/>
              </w:rPr>
              <w:t>否，推荐的中标候选人数：</w:t>
            </w:r>
            <w:r>
              <w:rPr>
                <w:rFonts w:hint="eastAsia" w:ascii="宋体" w:hAnsi="宋体" w:eastAsia="宋体" w:cs="宋体"/>
                <w:sz w:val="21"/>
                <w:highlight w:val="none"/>
                <w:u w:val="single"/>
              </w:rPr>
              <w:t>3</w:t>
            </w:r>
            <w:r>
              <w:rPr>
                <w:rFonts w:hint="eastAsia" w:ascii="宋体" w:hAnsi="宋体" w:eastAsia="宋体" w:cs="宋体"/>
                <w:sz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7.2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中标公告及中标通知书</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7.2.1招标代理机构于评标结束后两个工作日内将评标报告送交招标人，招标人应当自收到评标报告五个工作日内在评标报告推荐的中标候选人中按顺序确定中标人；招标代理机构在中标人确定之日起两个工作日内在指定媒体上公告中标结果，中标公告期限为一个工作日。</w:t>
            </w:r>
          </w:p>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7.2.2中标公告发布的同时，招标代理机构向中标人发出中标通知书，中标人应自接到通知之日起七个工作日内，办理中标通知书领取手续。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7.3.1</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履约担保</w:t>
            </w:r>
          </w:p>
        </w:tc>
        <w:tc>
          <w:tcPr>
            <w:tcW w:w="6463" w:type="dxa"/>
            <w:noWrap w:val="0"/>
            <w:vAlign w:val="top"/>
          </w:tcPr>
          <w:p>
            <w:pPr>
              <w:spacing w:line="360" w:lineRule="exact"/>
              <w:rPr>
                <w:rFonts w:hint="eastAsia" w:ascii="宋体" w:hAnsi="宋体" w:eastAsia="宋体" w:cs="宋体"/>
                <w:sz w:val="21"/>
                <w:highlight w:val="none"/>
              </w:rPr>
            </w:pPr>
            <w:r>
              <w:rPr>
                <w:rFonts w:hint="eastAsia" w:ascii="宋体" w:hAnsi="宋体" w:eastAsia="宋体" w:cs="宋体"/>
                <w:sz w:val="21"/>
                <w:highlight w:val="none"/>
              </w:rPr>
              <w:t>履约保证金金额按中标价的</w:t>
            </w:r>
            <w:r>
              <w:rPr>
                <w:rFonts w:hint="eastAsia" w:ascii="宋体" w:hAnsi="宋体" w:cs="宋体"/>
                <w:sz w:val="21"/>
                <w:highlight w:val="none"/>
                <w:lang w:val="en-US" w:eastAsia="zh-CN"/>
              </w:rPr>
              <w:t>2</w:t>
            </w:r>
            <w:r>
              <w:rPr>
                <w:rFonts w:hint="eastAsia" w:ascii="宋体" w:hAnsi="宋体" w:eastAsia="宋体" w:cs="宋体"/>
                <w:sz w:val="21"/>
                <w:highlight w:val="none"/>
              </w:rPr>
              <w:t>%（人民币，四舍五入到元）缴纳，由中标人在签订合同前将履约保证金以支票、汇票、本票或者金融机构、担保机构出具的保函等非现金形式缴入招标人指定账户。</w:t>
            </w:r>
          </w:p>
          <w:p>
            <w:pPr>
              <w:spacing w:line="360" w:lineRule="exact"/>
              <w:rPr>
                <w:rFonts w:hint="eastAsia" w:ascii="宋体" w:hAnsi="宋体" w:eastAsia="宋体" w:cs="宋体"/>
                <w:sz w:val="21"/>
                <w:highlight w:val="none"/>
              </w:rPr>
            </w:pPr>
            <w:r>
              <w:rPr>
                <w:rFonts w:hint="eastAsia" w:ascii="宋体" w:hAnsi="宋体" w:eastAsia="宋体" w:cs="宋体"/>
                <w:bCs/>
                <w:sz w:val="21"/>
                <w:highlight w:val="none"/>
              </w:rPr>
              <w:t>根据《桂林市财政局关于进一步发挥政府采购政策功能促进企业发展的通知》（市财采〔2022〕7号）文件要求，对中型企业收取的履约保证金数额为采购合同金额的2%，免收小微企业履约保证金。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7.4.4</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合同存档</w:t>
            </w:r>
          </w:p>
        </w:tc>
        <w:tc>
          <w:tcPr>
            <w:tcW w:w="6463" w:type="dxa"/>
            <w:noWrap w:val="0"/>
            <w:vAlign w:val="center"/>
          </w:tcPr>
          <w:p>
            <w:pPr>
              <w:pStyle w:val="13"/>
              <w:spacing w:line="360" w:lineRule="exact"/>
              <w:ind w:firstLine="0" w:firstLineChars="0"/>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政府采购合同双方自签订之日起1个工作日内将合同原件两份交招标代理机构。招标代理机构将政府采购合同在省级以上人民政府财政部门指定媒体上公告并于合同签订之日起7个工作日内将一份合同原件送永福县政府采购管理办公室备案，一份由招标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w:t>
            </w:r>
          </w:p>
        </w:tc>
        <w:tc>
          <w:tcPr>
            <w:tcW w:w="9055" w:type="dxa"/>
            <w:gridSpan w:val="2"/>
            <w:noWrap w:val="0"/>
            <w:vAlign w:val="center"/>
          </w:tcPr>
          <w:p>
            <w:pPr>
              <w:pStyle w:val="23"/>
              <w:snapToGrid w:val="0"/>
              <w:spacing w:line="360" w:lineRule="exact"/>
              <w:jc w:val="left"/>
              <w:rPr>
                <w:rFonts w:hint="eastAsia" w:ascii="宋体" w:hAnsi="宋体" w:eastAsia="宋体" w:cs="宋体"/>
                <w:highlight w:val="none"/>
              </w:rPr>
            </w:pPr>
            <w:r>
              <w:rPr>
                <w:rFonts w:hint="eastAsia" w:ascii="宋体" w:hAnsi="宋体" w:eastAsia="宋体" w:cs="宋体"/>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10.1</w:t>
            </w:r>
          </w:p>
        </w:tc>
        <w:tc>
          <w:tcPr>
            <w:tcW w:w="2592" w:type="dxa"/>
            <w:noWrap w:val="0"/>
            <w:vAlign w:val="center"/>
          </w:tcPr>
          <w:p>
            <w:pPr>
              <w:pStyle w:val="13"/>
              <w:spacing w:line="360" w:lineRule="exact"/>
              <w:ind w:firstLine="0" w:firstLineChars="0"/>
              <w:jc w:val="center"/>
              <w:rPr>
                <w:rFonts w:hint="eastAsia" w:ascii="宋体" w:hAnsi="宋体" w:eastAsia="宋体" w:cs="宋体"/>
                <w:kern w:val="0"/>
                <w:position w:val="-1"/>
                <w:sz w:val="21"/>
                <w:highlight w:val="none"/>
                <w:lang w:val="en-US" w:eastAsia="zh-CN"/>
              </w:rPr>
            </w:pPr>
            <w:r>
              <w:rPr>
                <w:rFonts w:hint="eastAsia" w:ascii="宋体" w:hAnsi="宋体" w:eastAsia="宋体" w:cs="宋体"/>
                <w:sz w:val="21"/>
                <w:highlight w:val="none"/>
                <w:lang w:val="en-US" w:eastAsia="zh-CN"/>
              </w:rPr>
              <w:t>招标控制价</w:t>
            </w:r>
          </w:p>
        </w:tc>
        <w:tc>
          <w:tcPr>
            <w:tcW w:w="6463" w:type="dxa"/>
            <w:noWrap w:val="0"/>
            <w:vAlign w:val="center"/>
          </w:tcPr>
          <w:p>
            <w:pPr>
              <w:pStyle w:val="13"/>
              <w:spacing w:line="360" w:lineRule="exact"/>
              <w:ind w:firstLine="0" w:firstLineChars="0"/>
              <w:jc w:val="left"/>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I标：3489238.86</w:t>
            </w:r>
            <w:r>
              <w:rPr>
                <w:rFonts w:hint="eastAsia" w:ascii="宋体" w:hAnsi="宋体" w:eastAsia="宋体" w:cs="宋体"/>
                <w:sz w:val="21"/>
                <w:szCs w:val="21"/>
                <w:highlight w:val="none"/>
                <w:lang w:val="en-US" w:eastAsia="zh-CN"/>
              </w:rPr>
              <w:t>元</w:t>
            </w:r>
            <w:r>
              <w:rPr>
                <w:rFonts w:hint="eastAsia" w:ascii="宋体" w:hAnsi="宋体" w:eastAsia="宋体" w:cs="宋体"/>
                <w:sz w:val="21"/>
                <w:highlight w:val="none"/>
                <w:lang w:val="en-US" w:eastAsia="zh-CN"/>
              </w:rPr>
              <w:t>；</w:t>
            </w:r>
          </w:p>
          <w:p>
            <w:pPr>
              <w:pStyle w:val="13"/>
              <w:spacing w:line="360" w:lineRule="exact"/>
              <w:ind w:firstLine="0" w:firstLineChars="0"/>
              <w:jc w:val="left"/>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II标:3082444.58</w:t>
            </w:r>
            <w:r>
              <w:rPr>
                <w:rFonts w:hint="eastAsia" w:ascii="宋体" w:hAnsi="宋体" w:eastAsia="宋体" w:cs="宋体"/>
                <w:sz w:val="21"/>
                <w:szCs w:val="21"/>
                <w:highlight w:val="none"/>
                <w:lang w:val="en-US" w:eastAsia="zh-CN"/>
              </w:rPr>
              <w:t>元</w:t>
            </w:r>
            <w:r>
              <w:rPr>
                <w:rFonts w:hint="eastAsia" w:ascii="宋体" w:hAnsi="宋体" w:eastAsia="宋体" w:cs="宋体"/>
                <w:sz w:val="21"/>
                <w:highlight w:val="none"/>
                <w:lang w:val="en-US" w:eastAsia="zh-CN"/>
              </w:rPr>
              <w:t>；</w:t>
            </w:r>
          </w:p>
          <w:p>
            <w:pPr>
              <w:pStyle w:val="13"/>
              <w:spacing w:line="360" w:lineRule="exact"/>
              <w:ind w:firstLine="0" w:firstLineChars="0"/>
              <w:jc w:val="left"/>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II标：3221289.30</w:t>
            </w:r>
            <w:r>
              <w:rPr>
                <w:rFonts w:hint="eastAsia" w:ascii="宋体" w:hAnsi="宋体" w:eastAsia="宋体" w:cs="宋体"/>
                <w:sz w:val="21"/>
                <w:szCs w:val="21"/>
                <w:highlight w:val="none"/>
                <w:lang w:val="en-US" w:eastAsia="zh-CN"/>
              </w:rPr>
              <w:t>元</w:t>
            </w:r>
            <w:r>
              <w:rPr>
                <w:rFonts w:hint="eastAsia" w:ascii="宋体" w:hAnsi="宋体" w:eastAsia="宋体" w:cs="宋体"/>
                <w:sz w:val="21"/>
                <w:highlight w:val="none"/>
                <w:lang w:val="en-US" w:eastAsia="zh-CN"/>
              </w:rPr>
              <w:t>；</w:t>
            </w:r>
          </w:p>
          <w:p>
            <w:pPr>
              <w:pStyle w:val="23"/>
              <w:snapToGrid w:val="0"/>
              <w:spacing w:line="360" w:lineRule="exact"/>
              <w:rPr>
                <w:rFonts w:hint="eastAsia" w:ascii="宋体" w:hAnsi="宋体" w:eastAsia="宋体" w:cs="宋体"/>
                <w:kern w:val="0"/>
                <w:position w:val="-1"/>
                <w:highlight w:val="none"/>
              </w:rPr>
            </w:pPr>
            <w:r>
              <w:rPr>
                <w:rFonts w:hint="eastAsia" w:ascii="宋体" w:hAnsi="宋体" w:eastAsia="宋体" w:cs="宋体"/>
                <w:kern w:val="0"/>
                <w:position w:val="-1"/>
                <w:highlight w:val="none"/>
              </w:rPr>
              <w:t>投标人所投标段的投标总报价高于所投标段招标控制价为无效投标。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10.2</w:t>
            </w:r>
          </w:p>
        </w:tc>
        <w:tc>
          <w:tcPr>
            <w:tcW w:w="2592"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kern w:val="0"/>
                <w:sz w:val="21"/>
                <w:highlight w:val="none"/>
                <w:lang w:val="en-US" w:eastAsia="zh-CN"/>
              </w:rPr>
              <w:t>招标代理服务费</w:t>
            </w:r>
          </w:p>
        </w:tc>
        <w:tc>
          <w:tcPr>
            <w:tcW w:w="6463" w:type="dxa"/>
            <w:noWrap w:val="0"/>
            <w:vAlign w:val="center"/>
          </w:tcPr>
          <w:p>
            <w:pPr>
              <w:pStyle w:val="23"/>
              <w:snapToGrid w:val="0"/>
              <w:spacing w:line="360" w:lineRule="exact"/>
              <w:rPr>
                <w:rFonts w:hint="eastAsia" w:ascii="宋体" w:hAnsi="宋体" w:eastAsia="宋体" w:cs="宋体"/>
                <w:kern w:val="0"/>
                <w:position w:val="-1"/>
                <w:highlight w:val="none"/>
              </w:rPr>
            </w:pPr>
            <w:r>
              <w:rPr>
                <w:rFonts w:hint="eastAsia" w:ascii="宋体" w:hAnsi="宋体" w:eastAsia="宋体" w:cs="宋体"/>
                <w:kern w:val="0"/>
                <w:position w:val="-1"/>
                <w:highlight w:val="none"/>
              </w:rPr>
              <w:t>中标人领取中标通知书前，向</w:t>
            </w:r>
            <w:r>
              <w:rPr>
                <w:rFonts w:hint="eastAsia" w:ascii="宋体" w:hAnsi="宋体" w:eastAsia="宋体" w:cs="宋体"/>
                <w:kern w:val="0"/>
                <w:position w:val="-1"/>
                <w:highlight w:val="none"/>
                <w:lang w:eastAsia="zh-CN"/>
              </w:rPr>
              <w:t>广西煜昌工程咨询有限公司</w:t>
            </w:r>
            <w:r>
              <w:rPr>
                <w:rFonts w:hint="eastAsia" w:ascii="宋体" w:hAnsi="宋体" w:eastAsia="宋体" w:cs="宋体"/>
                <w:kern w:val="0"/>
                <w:position w:val="-1"/>
                <w:highlight w:val="none"/>
              </w:rPr>
              <w:t>一次性付清招标代理服务费，本项目的招标代理服务收费标准参照计价格〔2002〕1980号《招标代理服务收费管理暂行办法》工程类收费标准和发改办价格〔2003〕857号文的规定</w:t>
            </w:r>
            <w:r>
              <w:rPr>
                <w:rFonts w:hint="eastAsia" w:ascii="宋体" w:hAnsi="宋体" w:eastAsia="宋体" w:cs="宋体"/>
                <w:kern w:val="0"/>
                <w:position w:val="-1"/>
                <w:highlight w:val="none"/>
                <w:lang w:val="en-US" w:eastAsia="zh-CN"/>
              </w:rPr>
              <w:t>计算</w:t>
            </w:r>
            <w:r>
              <w:rPr>
                <w:rFonts w:hint="eastAsia" w:ascii="宋体" w:hAnsi="宋体" w:eastAsia="宋体" w:cs="宋体"/>
                <w:kern w:val="0"/>
                <w:position w:val="-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10.3</w:t>
            </w:r>
          </w:p>
        </w:tc>
        <w:tc>
          <w:tcPr>
            <w:tcW w:w="2592" w:type="dxa"/>
            <w:noWrap w:val="0"/>
            <w:vAlign w:val="center"/>
          </w:tcPr>
          <w:p>
            <w:pPr>
              <w:pStyle w:val="13"/>
              <w:spacing w:line="360" w:lineRule="exact"/>
              <w:ind w:firstLine="0" w:firstLineChars="0"/>
              <w:jc w:val="center"/>
              <w:rPr>
                <w:rFonts w:hint="eastAsia" w:ascii="宋体" w:hAnsi="宋体" w:eastAsia="宋体" w:cs="宋体"/>
                <w:kern w:val="0"/>
                <w:sz w:val="21"/>
                <w:highlight w:val="none"/>
                <w:lang w:val="en-US" w:eastAsia="zh-CN"/>
              </w:rPr>
            </w:pPr>
            <w:r>
              <w:rPr>
                <w:rFonts w:hint="eastAsia" w:ascii="宋体" w:hAnsi="宋体" w:eastAsia="宋体" w:cs="宋体"/>
                <w:kern w:val="0"/>
                <w:sz w:val="21"/>
                <w:highlight w:val="none"/>
                <w:lang w:val="en-US" w:eastAsia="zh-CN"/>
              </w:rPr>
              <w:t>解释权</w:t>
            </w:r>
          </w:p>
        </w:tc>
        <w:tc>
          <w:tcPr>
            <w:tcW w:w="6463" w:type="dxa"/>
            <w:noWrap w:val="0"/>
            <w:vAlign w:val="center"/>
          </w:tcPr>
          <w:p>
            <w:pPr>
              <w:pStyle w:val="23"/>
              <w:snapToGrid w:val="0"/>
              <w:spacing w:line="360" w:lineRule="exact"/>
              <w:rPr>
                <w:rFonts w:hint="eastAsia" w:ascii="宋体" w:hAnsi="宋体" w:eastAsia="宋体" w:cs="宋体"/>
                <w:kern w:val="0"/>
                <w:position w:val="-1"/>
                <w:highlight w:val="none"/>
              </w:rPr>
            </w:pPr>
            <w:r>
              <w:rPr>
                <w:rFonts w:hint="eastAsia" w:ascii="宋体" w:hAnsi="宋体" w:eastAsia="宋体" w:cs="宋体"/>
                <w:kern w:val="0"/>
                <w:highlight w:val="none"/>
              </w:rPr>
              <w:t>本招标文件的解释权属本招标代理机构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6" w:type="dxa"/>
            <w:noWrap w:val="0"/>
            <w:vAlign w:val="center"/>
          </w:tcPr>
          <w:p>
            <w:pPr>
              <w:pStyle w:val="13"/>
              <w:spacing w:line="360" w:lineRule="exact"/>
              <w:ind w:firstLine="0" w:firstLineChars="0"/>
              <w:jc w:val="center"/>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10.4</w:t>
            </w:r>
          </w:p>
        </w:tc>
        <w:tc>
          <w:tcPr>
            <w:tcW w:w="2592" w:type="dxa"/>
            <w:noWrap w:val="0"/>
            <w:vAlign w:val="center"/>
          </w:tcPr>
          <w:p>
            <w:pPr>
              <w:pStyle w:val="23"/>
              <w:snapToGrid w:val="0"/>
              <w:spacing w:line="360" w:lineRule="exact"/>
              <w:jc w:val="center"/>
              <w:rPr>
                <w:rFonts w:hint="eastAsia" w:ascii="宋体" w:hAnsi="宋体" w:eastAsia="宋体" w:cs="宋体"/>
                <w:kern w:val="0"/>
                <w:highlight w:val="none"/>
              </w:rPr>
            </w:pPr>
            <w:r>
              <w:rPr>
                <w:rFonts w:hint="eastAsia" w:ascii="宋体" w:hAnsi="宋体" w:eastAsia="宋体" w:cs="宋体"/>
                <w:szCs w:val="21"/>
                <w:highlight w:val="none"/>
                <w:lang w:val="zh-CN"/>
              </w:rPr>
              <w:t>监督管理机构</w:t>
            </w:r>
          </w:p>
        </w:tc>
        <w:tc>
          <w:tcPr>
            <w:tcW w:w="6463" w:type="dxa"/>
            <w:noWrap w:val="0"/>
            <w:vAlign w:val="center"/>
          </w:tcPr>
          <w:p>
            <w:pPr>
              <w:pStyle w:val="23"/>
              <w:snapToGrid w:val="0"/>
              <w:spacing w:line="360" w:lineRule="exact"/>
              <w:rPr>
                <w:rFonts w:hint="eastAsia" w:ascii="宋体" w:hAnsi="宋体" w:eastAsia="宋体" w:cs="宋体"/>
                <w:kern w:val="0"/>
                <w:highlight w:val="none"/>
                <w:lang w:val="en-US" w:eastAsia="zh-CN"/>
              </w:rPr>
            </w:pPr>
            <w:r>
              <w:rPr>
                <w:rFonts w:hint="eastAsia" w:ascii="宋体" w:hAnsi="宋体" w:eastAsia="宋体" w:cs="宋体"/>
                <w:color w:val="auto"/>
                <w:w w:val="100"/>
                <w:sz w:val="21"/>
                <w:szCs w:val="21"/>
                <w:highlight w:val="none"/>
                <w:lang w:val="en-US" w:eastAsia="zh-CN"/>
              </w:rPr>
              <w:t>永福县人民政府采购管理办公室</w:t>
            </w:r>
            <w:r>
              <w:rPr>
                <w:rFonts w:hint="eastAsia" w:ascii="宋体" w:hAnsi="宋体" w:eastAsia="宋体" w:cs="宋体"/>
                <w:szCs w:val="21"/>
                <w:highlight w:val="none"/>
              </w:rPr>
              <w:t xml:space="preserve">    </w:t>
            </w:r>
            <w:r>
              <w:rPr>
                <w:rFonts w:hint="eastAsia" w:ascii="宋体" w:hAnsi="宋体" w:eastAsia="宋体" w:cs="宋体"/>
                <w:szCs w:val="21"/>
                <w:highlight w:val="none"/>
                <w:lang w:val="zh-CN"/>
              </w:rPr>
              <w:t>电话：0773-</w:t>
            </w:r>
            <w:r>
              <w:rPr>
                <w:rFonts w:hint="eastAsia" w:ascii="宋体" w:hAnsi="宋体" w:eastAsia="宋体" w:cs="宋体"/>
                <w:szCs w:val="21"/>
                <w:highlight w:val="none"/>
                <w:lang w:val="en-US" w:eastAsia="zh-CN"/>
              </w:rPr>
              <w:t>8518392</w:t>
            </w:r>
          </w:p>
        </w:tc>
      </w:tr>
    </w:tbl>
    <w:p>
      <w:pPr>
        <w:pStyle w:val="25"/>
        <w:rPr>
          <w:rFonts w:hint="eastAsia" w:ascii="宋体" w:hAnsi="宋体" w:eastAsia="宋体" w:cs="宋体"/>
          <w:highlight w:val="none"/>
        </w:rPr>
        <w:sectPr>
          <w:footerReference r:id="rId7" w:type="first"/>
          <w:footerReference r:id="rId6" w:type="default"/>
          <w:pgSz w:w="11906" w:h="16838"/>
          <w:pgMar w:top="850" w:right="972" w:bottom="850" w:left="854" w:header="851" w:footer="992" w:gutter="0"/>
          <w:pgNumType w:fmt="decimal" w:start="1"/>
          <w:cols w:space="720" w:num="1"/>
          <w:titlePg/>
          <w:docGrid w:type="lines" w:linePitch="388" w:charSpace="0"/>
        </w:sectPr>
      </w:pPr>
    </w:p>
    <w:p>
      <w:pPr>
        <w:spacing w:line="380" w:lineRule="exact"/>
        <w:jc w:val="center"/>
        <w:rPr>
          <w:rFonts w:hint="eastAsia" w:ascii="宋体" w:hAnsi="宋体" w:eastAsia="宋体" w:cs="宋体"/>
          <w:b/>
          <w:kern w:val="0"/>
          <w:highlight w:val="none"/>
        </w:rPr>
      </w:pPr>
      <w:bookmarkStart w:id="22" w:name="_Toc26096"/>
      <w:bookmarkStart w:id="23" w:name="_Toc57624325"/>
      <w:bookmarkStart w:id="24" w:name="_Toc8961"/>
      <w:bookmarkStart w:id="25" w:name="_Toc21022"/>
      <w:r>
        <w:rPr>
          <w:rFonts w:hint="eastAsia" w:ascii="宋体" w:hAnsi="宋体" w:eastAsia="宋体" w:cs="宋体"/>
          <w:b/>
          <w:sz w:val="30"/>
          <w:szCs w:val="30"/>
          <w:highlight w:val="none"/>
        </w:rPr>
        <w:t>投标人须知正文部分</w:t>
      </w:r>
      <w:bookmarkEnd w:id="22"/>
      <w:bookmarkEnd w:id="23"/>
      <w:bookmarkEnd w:id="24"/>
      <w:bookmarkEnd w:id="25"/>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1.总则</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1.1项目概况</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w:t>
      </w: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.1根据《中华人民</w:t>
      </w:r>
      <w:r>
        <w:rPr>
          <w:rFonts w:hint="eastAsia" w:ascii="宋体" w:hAnsi="宋体" w:eastAsia="宋体" w:cs="宋体"/>
          <w:spacing w:val="1"/>
          <w:kern w:val="0"/>
          <w:sz w:val="21"/>
          <w:highlight w:val="none"/>
        </w:rPr>
        <w:t>共</w:t>
      </w:r>
      <w:r>
        <w:rPr>
          <w:rFonts w:hint="eastAsia" w:ascii="宋体" w:hAnsi="宋体" w:eastAsia="宋体" w:cs="宋体"/>
          <w:kern w:val="0"/>
          <w:sz w:val="21"/>
          <w:highlight w:val="none"/>
        </w:rPr>
        <w:t>和国政府采购法》、《中华人民</w:t>
      </w:r>
      <w:r>
        <w:rPr>
          <w:rFonts w:hint="eastAsia" w:ascii="宋体" w:hAnsi="宋体" w:eastAsia="宋体" w:cs="宋体"/>
          <w:spacing w:val="1"/>
          <w:kern w:val="0"/>
          <w:sz w:val="21"/>
          <w:highlight w:val="none"/>
        </w:rPr>
        <w:t>共</w:t>
      </w:r>
      <w:r>
        <w:rPr>
          <w:rFonts w:hint="eastAsia" w:ascii="宋体" w:hAnsi="宋体" w:eastAsia="宋体" w:cs="宋体"/>
          <w:kern w:val="0"/>
          <w:sz w:val="21"/>
          <w:highlight w:val="none"/>
        </w:rPr>
        <w:t>和国招标</w:t>
      </w:r>
      <w:r>
        <w:rPr>
          <w:rFonts w:hint="eastAsia" w:ascii="宋体" w:hAnsi="宋体" w:eastAsia="宋体" w:cs="宋体"/>
          <w:spacing w:val="1"/>
          <w:kern w:val="0"/>
          <w:sz w:val="21"/>
          <w:highlight w:val="none"/>
        </w:rPr>
        <w:t>投</w:t>
      </w:r>
      <w:r>
        <w:rPr>
          <w:rFonts w:hint="eastAsia" w:ascii="宋体" w:hAnsi="宋体" w:eastAsia="宋体" w:cs="宋体"/>
          <w:kern w:val="0"/>
          <w:sz w:val="21"/>
          <w:highlight w:val="none"/>
        </w:rPr>
        <w:t>标法》等</w:t>
      </w:r>
      <w:r>
        <w:rPr>
          <w:rFonts w:hint="eastAsia" w:ascii="宋体" w:hAnsi="宋体" w:eastAsia="宋体" w:cs="宋体"/>
          <w:spacing w:val="1"/>
          <w:kern w:val="0"/>
          <w:sz w:val="21"/>
          <w:highlight w:val="none"/>
        </w:rPr>
        <w:t>有</w:t>
      </w:r>
      <w:r>
        <w:rPr>
          <w:rFonts w:hint="eastAsia" w:ascii="宋体" w:hAnsi="宋体" w:eastAsia="宋体" w:cs="宋体"/>
          <w:kern w:val="0"/>
          <w:sz w:val="21"/>
          <w:highlight w:val="none"/>
        </w:rPr>
        <w:t>关法律、</w:t>
      </w:r>
      <w:r>
        <w:rPr>
          <w:rFonts w:hint="eastAsia" w:ascii="宋体" w:hAnsi="宋体" w:eastAsia="宋体" w:cs="宋体"/>
          <w:spacing w:val="1"/>
          <w:kern w:val="0"/>
          <w:sz w:val="21"/>
          <w:highlight w:val="none"/>
        </w:rPr>
        <w:t>法</w:t>
      </w:r>
      <w:r>
        <w:rPr>
          <w:rFonts w:hint="eastAsia" w:ascii="宋体" w:hAnsi="宋体" w:eastAsia="宋体" w:cs="宋体"/>
          <w:kern w:val="0"/>
          <w:sz w:val="21"/>
          <w:highlight w:val="none"/>
        </w:rPr>
        <w:t>规和规章</w:t>
      </w:r>
      <w:r>
        <w:rPr>
          <w:rFonts w:hint="eastAsia" w:ascii="宋体" w:hAnsi="宋体" w:eastAsia="宋体" w:cs="宋体"/>
          <w:spacing w:val="1"/>
          <w:kern w:val="0"/>
          <w:sz w:val="21"/>
          <w:highlight w:val="none"/>
        </w:rPr>
        <w:t>的</w:t>
      </w:r>
      <w:r>
        <w:rPr>
          <w:rFonts w:hint="eastAsia" w:ascii="宋体" w:hAnsi="宋体" w:eastAsia="宋体" w:cs="宋体"/>
          <w:kern w:val="0"/>
          <w:sz w:val="21"/>
          <w:highlight w:val="none"/>
        </w:rPr>
        <w:t>规定，本</w:t>
      </w:r>
      <w:r>
        <w:rPr>
          <w:rFonts w:hint="eastAsia" w:ascii="宋体" w:hAnsi="宋体" w:eastAsia="宋体" w:cs="宋体"/>
          <w:spacing w:val="1"/>
          <w:kern w:val="0"/>
          <w:sz w:val="21"/>
          <w:highlight w:val="none"/>
        </w:rPr>
        <w:t>招标</w:t>
      </w:r>
      <w:r>
        <w:rPr>
          <w:rFonts w:hint="eastAsia" w:ascii="宋体" w:hAnsi="宋体" w:eastAsia="宋体" w:cs="宋体"/>
          <w:kern w:val="0"/>
          <w:sz w:val="21"/>
          <w:highlight w:val="none"/>
        </w:rPr>
        <w:t>项目已具备招标条件，现对本工程施工进行招标。</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.1.2本招</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项目</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.1.3本工程招标代理机构：见投标人须知前附表。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.1.4本招</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项目名称：见投标人须知前附表。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.1.5本工程建设地点：见投标人须知前附表。</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1.2资金来源和落实情况</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.2.1本招</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项目的资金来源：见投标人须知前附表。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.2.2本招</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项目的出资比例：见投标人须知前附表。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.2.3本招</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项目的资金落实情况：见投标人须知前附表。</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1.3招标范围、要求工期、质量要求和标段划分</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.3.1本次</w:t>
      </w:r>
      <w:r>
        <w:rPr>
          <w:rFonts w:hint="eastAsia" w:ascii="宋体" w:hAnsi="宋体" w:eastAsia="宋体" w:cs="宋体"/>
          <w:spacing w:val="-1"/>
          <w:kern w:val="0"/>
          <w:sz w:val="21"/>
          <w:highlight w:val="none"/>
        </w:rPr>
        <w:t>招</w:t>
      </w:r>
      <w:r>
        <w:rPr>
          <w:rFonts w:hint="eastAsia" w:ascii="宋体" w:hAnsi="宋体" w:eastAsia="宋体" w:cs="宋体"/>
          <w:kern w:val="0"/>
          <w:sz w:val="21"/>
          <w:highlight w:val="none"/>
        </w:rPr>
        <w:t>标范围：见投标人须知前附表。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.3.2本工程的要求工期：见投标人须知前附表。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.3.3本工程的质量要求：见投标人须知前附表。</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1.3.4本工程的标段划分：见投标人须知前附表。</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1.4投标人资格要求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w:t>
      </w:r>
      <w:r>
        <w:rPr>
          <w:rFonts w:hint="eastAsia" w:ascii="宋体" w:hAnsi="宋体" w:eastAsia="宋体" w:cs="宋体"/>
          <w:spacing w:val="-1"/>
          <w:kern w:val="0"/>
          <w:sz w:val="21"/>
          <w:highlight w:val="none"/>
        </w:rPr>
        <w:t>4</w:t>
      </w:r>
      <w:r>
        <w:rPr>
          <w:rFonts w:hint="eastAsia" w:ascii="宋体" w:hAnsi="宋体" w:eastAsia="宋体" w:cs="宋体"/>
          <w:kern w:val="0"/>
          <w:sz w:val="21"/>
          <w:highlight w:val="none"/>
        </w:rPr>
        <w:t>.1投标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应具备承担本工程施工的资质条件、能力、信誉：见投标人须知前附表；</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1.4.2投标人须知前附表规定接受联合体投标的，除应符合本章第1.4.1项和投标人须知前附表的要求外，还应遵守以下规定：</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1</w:t>
      </w:r>
      <w:r>
        <w:rPr>
          <w:rFonts w:hint="eastAsia" w:ascii="宋体" w:hAnsi="宋体" w:eastAsia="宋体" w:cs="宋体"/>
          <w:spacing w:val="-38"/>
          <w:kern w:val="0"/>
          <w:sz w:val="21"/>
          <w:highlight w:val="none"/>
        </w:rPr>
        <w:t xml:space="preserve">）   </w:t>
      </w:r>
      <w:r>
        <w:rPr>
          <w:rFonts w:hint="eastAsia" w:ascii="宋体" w:hAnsi="宋体" w:eastAsia="宋体" w:cs="宋体"/>
          <w:kern w:val="0"/>
          <w:sz w:val="21"/>
          <w:highlight w:val="none"/>
        </w:rPr>
        <w:t>联合</w:t>
      </w:r>
      <w:r>
        <w:rPr>
          <w:rFonts w:hint="eastAsia" w:ascii="宋体" w:hAnsi="宋体" w:eastAsia="宋体" w:cs="宋体"/>
          <w:spacing w:val="-1"/>
          <w:kern w:val="0"/>
          <w:sz w:val="21"/>
          <w:highlight w:val="none"/>
        </w:rPr>
        <w:t>体</w:t>
      </w:r>
      <w:r>
        <w:rPr>
          <w:rFonts w:hint="eastAsia" w:ascii="宋体" w:hAnsi="宋体" w:eastAsia="宋体" w:cs="宋体"/>
          <w:kern w:val="0"/>
          <w:sz w:val="21"/>
          <w:highlight w:val="none"/>
        </w:rPr>
        <w:t>各方应按招标文件提供格式签订联合体协议</w:t>
      </w:r>
      <w:r>
        <w:rPr>
          <w:rFonts w:hint="eastAsia" w:ascii="宋体" w:hAnsi="宋体" w:eastAsia="宋体" w:cs="宋体"/>
          <w:spacing w:val="-38"/>
          <w:kern w:val="0"/>
          <w:sz w:val="21"/>
          <w:highlight w:val="none"/>
        </w:rPr>
        <w:t>，</w:t>
      </w:r>
      <w:r>
        <w:rPr>
          <w:rFonts w:hint="eastAsia" w:ascii="宋体" w:hAnsi="宋体" w:eastAsia="宋体" w:cs="宋体"/>
          <w:kern w:val="0"/>
          <w:sz w:val="21"/>
          <w:highlight w:val="none"/>
        </w:rPr>
        <w:t>明确联合体牵头人和各方权利义务；</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2</w:t>
      </w:r>
      <w:r>
        <w:rPr>
          <w:rFonts w:hint="eastAsia" w:ascii="宋体" w:hAnsi="宋体" w:eastAsia="宋体" w:cs="宋体"/>
          <w:kern w:val="0"/>
          <w:sz w:val="21"/>
          <w:highlight w:val="none"/>
        </w:rPr>
        <w:t>）由同</w:t>
      </w:r>
      <w:r>
        <w:rPr>
          <w:rFonts w:hint="eastAsia" w:ascii="宋体" w:hAnsi="宋体" w:eastAsia="宋体" w:cs="宋体"/>
          <w:spacing w:val="-1"/>
          <w:kern w:val="0"/>
          <w:sz w:val="21"/>
          <w:highlight w:val="none"/>
        </w:rPr>
        <w:t>一</w:t>
      </w:r>
      <w:r>
        <w:rPr>
          <w:rFonts w:hint="eastAsia" w:ascii="宋体" w:hAnsi="宋体" w:eastAsia="宋体" w:cs="宋体"/>
          <w:kern w:val="0"/>
          <w:sz w:val="21"/>
          <w:highlight w:val="none"/>
        </w:rPr>
        <w:t>专业的单位组成的联合体，按照资质等级较低的单位确定资质等级；</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3</w:t>
      </w:r>
      <w:r>
        <w:rPr>
          <w:rFonts w:hint="eastAsia" w:ascii="宋体" w:hAnsi="宋体" w:eastAsia="宋体" w:cs="宋体"/>
          <w:kern w:val="0"/>
          <w:sz w:val="21"/>
          <w:highlight w:val="none"/>
        </w:rPr>
        <w:t>）联合</w:t>
      </w:r>
      <w:r>
        <w:rPr>
          <w:rFonts w:hint="eastAsia" w:ascii="宋体" w:hAnsi="宋体" w:eastAsia="宋体" w:cs="宋体"/>
          <w:spacing w:val="-1"/>
          <w:kern w:val="0"/>
          <w:sz w:val="21"/>
          <w:highlight w:val="none"/>
        </w:rPr>
        <w:t>体</w:t>
      </w:r>
      <w:r>
        <w:rPr>
          <w:rFonts w:hint="eastAsia" w:ascii="宋体" w:hAnsi="宋体" w:eastAsia="宋体" w:cs="宋体"/>
          <w:kern w:val="0"/>
          <w:sz w:val="21"/>
          <w:highlight w:val="none"/>
        </w:rPr>
        <w:t>各方不得再以自己名义单独或参加其他联合体在同一工程中投标。</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.4.3 投标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不得存在下列情形之一：</w:t>
      </w:r>
    </w:p>
    <w:p>
      <w:pPr>
        <w:spacing w:line="380" w:lineRule="exact"/>
        <w:ind w:firstLine="420" w:firstLineChars="200"/>
        <w:rPr>
          <w:rFonts w:hint="eastAsia" w:ascii="宋体" w:hAnsi="宋体" w:eastAsia="宋体" w:cs="宋体"/>
          <w:spacing w:val="-104"/>
          <w:kern w:val="0"/>
          <w:position w:val="-2"/>
          <w:sz w:val="21"/>
          <w:highlight w:val="none"/>
        </w:rPr>
      </w:pPr>
      <w:r>
        <w:rPr>
          <w:rFonts w:hint="eastAsia" w:ascii="宋体" w:hAnsi="宋体" w:eastAsia="宋体" w:cs="宋体"/>
          <w:kern w:val="0"/>
          <w:position w:val="-2"/>
          <w:sz w:val="21"/>
          <w:highlight w:val="none"/>
        </w:rPr>
        <w:t>（</w:t>
      </w:r>
      <w:r>
        <w:rPr>
          <w:rFonts w:hint="eastAsia" w:ascii="宋体" w:hAnsi="宋体" w:eastAsia="宋体" w:cs="宋体"/>
          <w:spacing w:val="1"/>
          <w:kern w:val="0"/>
          <w:position w:val="-2"/>
          <w:sz w:val="21"/>
          <w:highlight w:val="none"/>
        </w:rPr>
        <w:t>1</w:t>
      </w:r>
      <w:r>
        <w:rPr>
          <w:rFonts w:hint="eastAsia" w:ascii="宋体" w:hAnsi="宋体" w:eastAsia="宋体" w:cs="宋体"/>
          <w:kern w:val="0"/>
          <w:position w:val="-2"/>
          <w:sz w:val="21"/>
          <w:highlight w:val="none"/>
        </w:rPr>
        <w:t>）</w:t>
      </w:r>
      <w:r>
        <w:rPr>
          <w:rFonts w:hint="eastAsia" w:ascii="宋体" w:hAnsi="宋体" w:eastAsia="宋体" w:cs="宋体"/>
          <w:kern w:val="0"/>
          <w:sz w:val="21"/>
          <w:highlight w:val="none"/>
        </w:rPr>
        <w:t>为招标人不具有独立法人资格的附属机构（单位）；</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2</w:t>
      </w:r>
      <w:r>
        <w:rPr>
          <w:rFonts w:hint="eastAsia" w:ascii="宋体" w:hAnsi="宋体" w:eastAsia="宋体" w:cs="宋体"/>
          <w:kern w:val="0"/>
          <w:sz w:val="21"/>
          <w:highlight w:val="none"/>
        </w:rPr>
        <w:t>）为本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前期准备提供设计或咨询服务的，但设计施工总承包的除外；</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3</w:t>
      </w:r>
      <w:r>
        <w:rPr>
          <w:rFonts w:hint="eastAsia" w:ascii="宋体" w:hAnsi="宋体" w:eastAsia="宋体" w:cs="宋体"/>
          <w:kern w:val="0"/>
          <w:sz w:val="21"/>
          <w:highlight w:val="none"/>
        </w:rPr>
        <w:t>）为本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的监理人；</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4</w:t>
      </w:r>
      <w:r>
        <w:rPr>
          <w:rFonts w:hint="eastAsia" w:ascii="宋体" w:hAnsi="宋体" w:eastAsia="宋体" w:cs="宋体"/>
          <w:kern w:val="0"/>
          <w:sz w:val="21"/>
          <w:highlight w:val="none"/>
        </w:rPr>
        <w:t>）为本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的代建人；</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5</w:t>
      </w:r>
      <w:r>
        <w:rPr>
          <w:rFonts w:hint="eastAsia" w:ascii="宋体" w:hAnsi="宋体" w:eastAsia="宋体" w:cs="宋体"/>
          <w:kern w:val="0"/>
          <w:sz w:val="21"/>
          <w:highlight w:val="none"/>
        </w:rPr>
        <w:t>）为本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提供招标代理服务的；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6</w:t>
      </w:r>
      <w:r>
        <w:rPr>
          <w:rFonts w:hint="eastAsia" w:ascii="宋体" w:hAnsi="宋体" w:eastAsia="宋体" w:cs="宋体"/>
          <w:kern w:val="0"/>
          <w:sz w:val="21"/>
          <w:highlight w:val="none"/>
        </w:rPr>
        <w:t>）与本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的监理人或代建人或招标代理机构同为一个法定代表人的；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7</w:t>
      </w:r>
      <w:r>
        <w:rPr>
          <w:rFonts w:hint="eastAsia" w:ascii="宋体" w:hAnsi="宋体" w:eastAsia="宋体" w:cs="宋体"/>
          <w:kern w:val="0"/>
          <w:sz w:val="21"/>
          <w:highlight w:val="none"/>
        </w:rPr>
        <w:t>）与本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的监理人或代建人或招标代理机构相互控股或参股的；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8</w:t>
      </w:r>
      <w:r>
        <w:rPr>
          <w:rFonts w:hint="eastAsia" w:ascii="宋体" w:hAnsi="宋体" w:eastAsia="宋体" w:cs="宋体"/>
          <w:kern w:val="0"/>
          <w:sz w:val="21"/>
          <w:highlight w:val="none"/>
        </w:rPr>
        <w:t>）与本</w:t>
      </w:r>
      <w:r>
        <w:rPr>
          <w:rFonts w:hint="eastAsia" w:ascii="宋体" w:hAnsi="宋体" w:eastAsia="宋体" w:cs="宋体"/>
          <w:spacing w:val="-1"/>
          <w:kern w:val="0"/>
          <w:sz w:val="21"/>
          <w:highlight w:val="none"/>
        </w:rPr>
        <w:t>工程</w:t>
      </w:r>
      <w:r>
        <w:rPr>
          <w:rFonts w:hint="eastAsia" w:ascii="宋体" w:hAnsi="宋体" w:eastAsia="宋体" w:cs="宋体"/>
          <w:kern w:val="0"/>
          <w:sz w:val="21"/>
          <w:highlight w:val="none"/>
        </w:rPr>
        <w:t>的监理人或代建人或招标代理机构相互任职或工作的；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9</w:t>
      </w:r>
      <w:r>
        <w:rPr>
          <w:rFonts w:hint="eastAsia" w:ascii="宋体" w:hAnsi="宋体" w:eastAsia="宋体" w:cs="宋体"/>
          <w:kern w:val="0"/>
          <w:sz w:val="21"/>
          <w:highlight w:val="none"/>
        </w:rPr>
        <w:t>）被责</w:t>
      </w:r>
      <w:r>
        <w:rPr>
          <w:rFonts w:hint="eastAsia" w:ascii="宋体" w:hAnsi="宋体" w:eastAsia="宋体" w:cs="宋体"/>
          <w:spacing w:val="-1"/>
          <w:kern w:val="0"/>
          <w:sz w:val="21"/>
          <w:highlight w:val="none"/>
        </w:rPr>
        <w:t>令</w:t>
      </w:r>
      <w:r>
        <w:rPr>
          <w:rFonts w:hint="eastAsia" w:ascii="宋体" w:hAnsi="宋体" w:eastAsia="宋体" w:cs="宋体"/>
          <w:kern w:val="0"/>
          <w:sz w:val="21"/>
          <w:highlight w:val="none"/>
        </w:rPr>
        <w:t>停业的；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10</w:t>
      </w:r>
      <w:r>
        <w:rPr>
          <w:rFonts w:hint="eastAsia" w:ascii="宋体" w:hAnsi="宋体" w:eastAsia="宋体" w:cs="宋体"/>
          <w:kern w:val="0"/>
          <w:sz w:val="21"/>
          <w:highlight w:val="none"/>
        </w:rPr>
        <w:t>）被</w:t>
      </w:r>
      <w:r>
        <w:rPr>
          <w:rFonts w:hint="eastAsia" w:ascii="宋体" w:hAnsi="宋体" w:eastAsia="宋体" w:cs="宋体"/>
          <w:spacing w:val="-1"/>
          <w:kern w:val="0"/>
          <w:sz w:val="21"/>
          <w:highlight w:val="none"/>
        </w:rPr>
        <w:t>暂</w:t>
      </w:r>
      <w:r>
        <w:rPr>
          <w:rFonts w:hint="eastAsia" w:ascii="宋体" w:hAnsi="宋体" w:eastAsia="宋体" w:cs="宋体"/>
          <w:kern w:val="0"/>
          <w:sz w:val="21"/>
          <w:highlight w:val="none"/>
        </w:rPr>
        <w:t>停或取消投标资格的；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8"/>
          <w:kern w:val="0"/>
          <w:sz w:val="21"/>
          <w:highlight w:val="none"/>
        </w:rPr>
        <w:t>1</w:t>
      </w: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）财</w:t>
      </w:r>
      <w:r>
        <w:rPr>
          <w:rFonts w:hint="eastAsia" w:ascii="宋体" w:hAnsi="宋体" w:eastAsia="宋体" w:cs="宋体"/>
          <w:spacing w:val="-1"/>
          <w:kern w:val="0"/>
          <w:sz w:val="21"/>
          <w:highlight w:val="none"/>
        </w:rPr>
        <w:t>产</w:t>
      </w:r>
      <w:r>
        <w:rPr>
          <w:rFonts w:hint="eastAsia" w:ascii="宋体" w:hAnsi="宋体" w:eastAsia="宋体" w:cs="宋体"/>
          <w:kern w:val="0"/>
          <w:sz w:val="21"/>
          <w:highlight w:val="none"/>
        </w:rPr>
        <w:t>被接管或冻结的；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12</w:t>
      </w:r>
      <w:r>
        <w:rPr>
          <w:rFonts w:hint="eastAsia" w:ascii="宋体" w:hAnsi="宋体" w:eastAsia="宋体" w:cs="宋体"/>
          <w:kern w:val="0"/>
          <w:sz w:val="21"/>
          <w:highlight w:val="none"/>
        </w:rPr>
        <w:t>）在</w:t>
      </w:r>
      <w:r>
        <w:rPr>
          <w:rFonts w:hint="eastAsia" w:ascii="宋体" w:hAnsi="宋体" w:eastAsia="宋体" w:cs="宋体"/>
          <w:spacing w:val="-1"/>
          <w:kern w:val="0"/>
          <w:sz w:val="21"/>
          <w:highlight w:val="none"/>
        </w:rPr>
        <w:t>最</w:t>
      </w:r>
      <w:r>
        <w:rPr>
          <w:rFonts w:hint="eastAsia" w:ascii="宋体" w:hAnsi="宋体" w:eastAsia="宋体" w:cs="宋体"/>
          <w:kern w:val="0"/>
          <w:sz w:val="21"/>
          <w:highlight w:val="none"/>
        </w:rPr>
        <w:t>近三年内有骗取中标或严重违约或重大工程质量问题的；</w:t>
      </w:r>
    </w:p>
    <w:p>
      <w:pPr>
        <w:pStyle w:val="13"/>
        <w:rPr>
          <w:rFonts w:hint="eastAsia" w:ascii="宋体" w:hAnsi="宋体" w:eastAsia="宋体" w:cs="宋体"/>
          <w:highlight w:val="none"/>
        </w:rPr>
      </w:pPr>
      <w:r>
        <w:rPr>
          <w:rFonts w:hint="eastAsia" w:ascii="宋体" w:hAnsi="宋体" w:eastAsia="宋体" w:cs="宋体"/>
          <w:kern w:val="0"/>
          <w:sz w:val="21"/>
          <w:highlight w:val="none"/>
        </w:rPr>
        <w:t>1.4.4单位负责人为同一人或者存在控股、管理关系的不同单位，不得参加同一标段投标或者未划分标段的同一招标项目投标，违反本规定的，相关投标均无效。</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1.5费用承担</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投标人准备和参加投标活动发生的费用自理。</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1.6保密</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参与招标投标活动的各方应对招标文件和投标文件中的商业和技术等秘密保密，违者应对由此造成的后果承担法律责任。</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1.7语言文字</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除专用术语外，与招标投标有关的语言均使用中文。必要时专用术语应附有中文注释。</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1.8计量单位</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所有计量均采用中华人民共和国法定计量单位。</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1.9踏勘现场</w:t>
      </w:r>
    </w:p>
    <w:p>
      <w:pPr>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1.9.1投标人详见投标人须知前附表。</w:t>
      </w:r>
    </w:p>
    <w:p>
      <w:pPr>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1.9.2投标人踏勘现场发生的费用自理。</w:t>
      </w:r>
    </w:p>
    <w:p>
      <w:pPr>
        <w:spacing w:line="3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1.9.3投标人自行负责在踏勘现场中所发生的人员伤亡和财产损失。</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1.10投标预备会</w:t>
      </w:r>
    </w:p>
    <w:p>
      <w:pPr>
        <w:spacing w:line="380" w:lineRule="exact"/>
        <w:ind w:firstLine="420" w:firstLineChars="200"/>
        <w:rPr>
          <w:rFonts w:hint="eastAsia" w:ascii="宋体" w:hAnsi="宋体" w:eastAsia="宋体" w:cs="宋体"/>
          <w:b/>
          <w:kern w:val="0"/>
          <w:sz w:val="24"/>
          <w:highlight w:val="none"/>
        </w:rPr>
      </w:pPr>
      <w:r>
        <w:rPr>
          <w:rFonts w:hint="eastAsia" w:ascii="宋体" w:hAnsi="宋体" w:eastAsia="宋体" w:cs="宋体"/>
          <w:kern w:val="0"/>
          <w:sz w:val="21"/>
          <w:highlight w:val="none"/>
        </w:rPr>
        <w:t>不召开</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1.11分包</w:t>
      </w:r>
    </w:p>
    <w:p>
      <w:pPr>
        <w:spacing w:line="380" w:lineRule="exact"/>
        <w:ind w:firstLine="404" w:firstLineChars="200"/>
        <w:rPr>
          <w:rFonts w:hint="eastAsia" w:ascii="宋体" w:hAnsi="宋体" w:eastAsia="宋体" w:cs="宋体"/>
          <w:spacing w:val="-4"/>
          <w:kern w:val="0"/>
          <w:sz w:val="21"/>
          <w:highlight w:val="none"/>
        </w:rPr>
      </w:pPr>
      <w:r>
        <w:rPr>
          <w:rFonts w:hint="eastAsia" w:ascii="宋体" w:hAnsi="宋体" w:eastAsia="宋体" w:cs="宋体"/>
          <w:spacing w:val="-4"/>
          <w:kern w:val="0"/>
          <w:sz w:val="21"/>
          <w:highlight w:val="none"/>
        </w:rPr>
        <w:t>投标人拟在中标后将中标项目的部分非主体、非关键性工作进行分包的，应符合投标人须知前附表规定的分包内容、分包金额和接受分包的第三人资质要求等限制性条件。</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1.12偏离</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投标人须知前附表允许投标文件偏离招标文件某些要求的</w:t>
      </w:r>
      <w:r>
        <w:rPr>
          <w:rFonts w:hint="eastAsia" w:ascii="宋体" w:hAnsi="宋体" w:eastAsia="宋体" w:cs="宋体"/>
          <w:spacing w:val="-34"/>
          <w:kern w:val="0"/>
          <w:sz w:val="21"/>
          <w:highlight w:val="none"/>
        </w:rPr>
        <w:t>，</w:t>
      </w:r>
      <w:r>
        <w:rPr>
          <w:rFonts w:hint="eastAsia" w:ascii="宋体" w:hAnsi="宋体" w:eastAsia="宋体" w:cs="宋体"/>
          <w:kern w:val="0"/>
          <w:sz w:val="21"/>
          <w:highlight w:val="none"/>
        </w:rPr>
        <w:t>偏离应当符合招标文件规定的偏离范围和幅度。</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2.招标文件</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2.1招标文件的组成</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2.1.1本招标文件包括：</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）招标</w:t>
      </w:r>
      <w:r>
        <w:rPr>
          <w:rFonts w:hint="eastAsia" w:ascii="宋体" w:hAnsi="宋体" w:eastAsia="宋体" w:cs="宋体"/>
          <w:spacing w:val="-1"/>
          <w:kern w:val="0"/>
          <w:sz w:val="21"/>
          <w:highlight w:val="none"/>
        </w:rPr>
        <w:t>公</w:t>
      </w:r>
      <w:r>
        <w:rPr>
          <w:rFonts w:hint="eastAsia" w:ascii="宋体" w:hAnsi="宋体" w:eastAsia="宋体" w:cs="宋体"/>
          <w:kern w:val="0"/>
          <w:sz w:val="21"/>
          <w:highlight w:val="none"/>
        </w:rPr>
        <w:t>告；</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2</w:t>
      </w:r>
      <w:r>
        <w:rPr>
          <w:rFonts w:hint="eastAsia" w:ascii="宋体" w:hAnsi="宋体" w:eastAsia="宋体" w:cs="宋体"/>
          <w:kern w:val="0"/>
          <w:sz w:val="21"/>
          <w:highlight w:val="none"/>
        </w:rPr>
        <w:t>）投标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须知；</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3</w:t>
      </w:r>
      <w:r>
        <w:rPr>
          <w:rFonts w:hint="eastAsia" w:ascii="宋体" w:hAnsi="宋体" w:eastAsia="宋体" w:cs="宋体"/>
          <w:kern w:val="0"/>
          <w:sz w:val="21"/>
          <w:highlight w:val="none"/>
        </w:rPr>
        <w:t>）评标</w:t>
      </w:r>
      <w:r>
        <w:rPr>
          <w:rFonts w:hint="eastAsia" w:ascii="宋体" w:hAnsi="宋体" w:eastAsia="宋体" w:cs="宋体"/>
          <w:spacing w:val="-1"/>
          <w:kern w:val="0"/>
          <w:sz w:val="21"/>
          <w:highlight w:val="none"/>
        </w:rPr>
        <w:t>办</w:t>
      </w:r>
      <w:r>
        <w:rPr>
          <w:rFonts w:hint="eastAsia" w:ascii="宋体" w:hAnsi="宋体" w:eastAsia="宋体" w:cs="宋体"/>
          <w:kern w:val="0"/>
          <w:sz w:val="21"/>
          <w:highlight w:val="none"/>
        </w:rPr>
        <w:t>法；</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4</w:t>
      </w:r>
      <w:r>
        <w:rPr>
          <w:rFonts w:hint="eastAsia" w:ascii="宋体" w:hAnsi="宋体" w:eastAsia="宋体" w:cs="宋体"/>
          <w:kern w:val="0"/>
          <w:sz w:val="21"/>
          <w:highlight w:val="none"/>
        </w:rPr>
        <w:t>）合同</w:t>
      </w:r>
      <w:r>
        <w:rPr>
          <w:rFonts w:hint="eastAsia" w:ascii="宋体" w:hAnsi="宋体" w:eastAsia="宋体" w:cs="宋体"/>
          <w:spacing w:val="-1"/>
          <w:kern w:val="0"/>
          <w:sz w:val="21"/>
          <w:highlight w:val="none"/>
        </w:rPr>
        <w:t>条</w:t>
      </w:r>
      <w:r>
        <w:rPr>
          <w:rFonts w:hint="eastAsia" w:ascii="宋体" w:hAnsi="宋体" w:eastAsia="宋体" w:cs="宋体"/>
          <w:kern w:val="0"/>
          <w:sz w:val="21"/>
          <w:highlight w:val="none"/>
        </w:rPr>
        <w:t>款及格式；</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5</w:t>
      </w:r>
      <w:r>
        <w:rPr>
          <w:rFonts w:hint="eastAsia" w:ascii="宋体" w:hAnsi="宋体" w:eastAsia="宋体" w:cs="宋体"/>
          <w:kern w:val="0"/>
          <w:sz w:val="21"/>
          <w:highlight w:val="none"/>
        </w:rPr>
        <w:t>）工程</w:t>
      </w:r>
      <w:r>
        <w:rPr>
          <w:rFonts w:hint="eastAsia" w:ascii="宋体" w:hAnsi="宋体" w:eastAsia="宋体" w:cs="宋体"/>
          <w:spacing w:val="-1"/>
          <w:kern w:val="0"/>
          <w:sz w:val="21"/>
          <w:highlight w:val="none"/>
        </w:rPr>
        <w:t>量</w:t>
      </w:r>
      <w:r>
        <w:rPr>
          <w:rFonts w:hint="eastAsia" w:ascii="宋体" w:hAnsi="宋体" w:eastAsia="宋体" w:cs="宋体"/>
          <w:kern w:val="0"/>
          <w:sz w:val="21"/>
          <w:highlight w:val="none"/>
        </w:rPr>
        <w:t>清单；</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6</w:t>
      </w:r>
      <w:r>
        <w:rPr>
          <w:rFonts w:hint="eastAsia" w:ascii="宋体" w:hAnsi="宋体" w:eastAsia="宋体" w:cs="宋体"/>
          <w:kern w:val="0"/>
          <w:sz w:val="21"/>
          <w:highlight w:val="none"/>
        </w:rPr>
        <w:t>）图纸；</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7</w:t>
      </w:r>
      <w:r>
        <w:rPr>
          <w:rFonts w:hint="eastAsia" w:ascii="宋体" w:hAnsi="宋体" w:eastAsia="宋体" w:cs="宋体"/>
          <w:kern w:val="0"/>
          <w:sz w:val="21"/>
          <w:highlight w:val="none"/>
        </w:rPr>
        <w:t>）技术</w:t>
      </w:r>
      <w:r>
        <w:rPr>
          <w:rFonts w:hint="eastAsia" w:ascii="宋体" w:hAnsi="宋体" w:eastAsia="宋体" w:cs="宋体"/>
          <w:spacing w:val="-1"/>
          <w:kern w:val="0"/>
          <w:sz w:val="21"/>
          <w:highlight w:val="none"/>
        </w:rPr>
        <w:t>标</w:t>
      </w:r>
      <w:r>
        <w:rPr>
          <w:rFonts w:hint="eastAsia" w:ascii="宋体" w:hAnsi="宋体" w:eastAsia="宋体" w:cs="宋体"/>
          <w:kern w:val="0"/>
          <w:sz w:val="21"/>
          <w:highlight w:val="none"/>
        </w:rPr>
        <w:t>准和要求；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8</w:t>
      </w:r>
      <w:r>
        <w:rPr>
          <w:rFonts w:hint="eastAsia" w:ascii="宋体" w:hAnsi="宋体" w:eastAsia="宋体" w:cs="宋体"/>
          <w:kern w:val="0"/>
          <w:sz w:val="21"/>
          <w:highlight w:val="none"/>
        </w:rPr>
        <w:t>）投标</w:t>
      </w:r>
      <w:r>
        <w:rPr>
          <w:rFonts w:hint="eastAsia" w:ascii="宋体" w:hAnsi="宋体" w:eastAsia="宋体" w:cs="宋体"/>
          <w:spacing w:val="-1"/>
          <w:kern w:val="0"/>
          <w:sz w:val="21"/>
          <w:highlight w:val="none"/>
        </w:rPr>
        <w:t>文</w:t>
      </w:r>
      <w:r>
        <w:rPr>
          <w:rFonts w:hint="eastAsia" w:ascii="宋体" w:hAnsi="宋体" w:eastAsia="宋体" w:cs="宋体"/>
          <w:kern w:val="0"/>
          <w:sz w:val="21"/>
          <w:highlight w:val="none"/>
        </w:rPr>
        <w:t>件格式；</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9</w:t>
      </w:r>
      <w:r>
        <w:rPr>
          <w:rFonts w:hint="eastAsia" w:ascii="宋体" w:hAnsi="宋体" w:eastAsia="宋体" w:cs="宋体"/>
          <w:kern w:val="0"/>
          <w:sz w:val="21"/>
          <w:highlight w:val="none"/>
        </w:rPr>
        <w:t>）投标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须知前附表规定的其他材料。</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2.1.2根据本章第2.2款和第2.3款对招标文件所作的澄清、修改，构成招标文件的组成部分。当招标文件及其澄清、修改或补充文件对于同一内容表述不一致时，以最后发出的书面文件为准。</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2.2招标文件的澄清</w:t>
      </w:r>
    </w:p>
    <w:p>
      <w:pPr>
        <w:snapToGrid w:val="0"/>
        <w:spacing w:line="380" w:lineRule="exact"/>
        <w:ind w:firstLine="424"/>
        <w:rPr>
          <w:rFonts w:hint="eastAsia" w:ascii="宋体" w:hAnsi="宋体" w:eastAsia="宋体" w:cs="宋体"/>
          <w:sz w:val="21"/>
          <w:szCs w:val="21"/>
          <w:highlight w:val="none"/>
        </w:rPr>
      </w:pPr>
      <w:r>
        <w:rPr>
          <w:rFonts w:hint="eastAsia" w:ascii="宋体" w:hAnsi="宋体" w:eastAsia="宋体" w:cs="宋体"/>
          <w:sz w:val="21"/>
          <w:szCs w:val="21"/>
          <w:highlight w:val="none"/>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napToGrid w:val="0"/>
        <w:spacing w:line="380" w:lineRule="exact"/>
        <w:ind w:firstLine="425"/>
        <w:rPr>
          <w:rFonts w:hint="eastAsia" w:ascii="宋体" w:hAnsi="宋体" w:eastAsia="宋体" w:cs="宋体"/>
          <w:sz w:val="21"/>
          <w:szCs w:val="21"/>
          <w:highlight w:val="none"/>
        </w:rPr>
      </w:pPr>
      <w:r>
        <w:rPr>
          <w:rFonts w:hint="eastAsia" w:ascii="宋体" w:hAnsi="宋体" w:eastAsia="宋体" w:cs="宋体"/>
          <w:sz w:val="21"/>
          <w:szCs w:val="21"/>
          <w:highlight w:val="none"/>
        </w:rPr>
        <w:t>2.2.2招标文件的澄清将在招标公告发布的相关网站上公示，已下载招标文件的投标人自行登录招标公告发布的相关网站查询，以便将澄清和补遗内容考虑在投标文件中。如果澄清发出的时间距投标截止时间不足15天，且招标文件的澄清内容可能影响投标文件编制的，相应延长投标截止时间。</w:t>
      </w:r>
    </w:p>
    <w:p>
      <w:pPr>
        <w:snapToGrid w:val="0"/>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2.2.3招标人在招标公告发布的网站发布的同时，视同投标人已知晓招标文件的澄清内容， 投标人应将澄清内容考虑在投标文件中，投标人在投标截止前未登录招标公告发布的网站查看澄清和答疑，造成投标人的投标文件不符合招标文件要求或废标的，由投标人自行承担责任。</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2.3招标文件的修改</w:t>
      </w:r>
    </w:p>
    <w:p>
      <w:pPr>
        <w:snapToGrid w:val="0"/>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2.3.1在投标截止时间15日前，招标人可以修改招标文件，招标文件的修改将在投标人须知前附表规定的投标截止时间15天前在招标公告发布的网站中公示，投标人自行登录网站查询。如果修改招标文件的时间距投标截止时间不足15日可能影响投标文件编制的，相应延长投标截止时间。</w:t>
      </w:r>
    </w:p>
    <w:p>
      <w:pPr>
        <w:snapToGrid w:val="0"/>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2.3.2为使投标人在编制投标文件时有充分的时间对招标文件的修改、补充等内容进行研究并做出响应，招标人可酌情延长提交投标文件的截止时间，具体时间在招标文件的修改、补充等通知中予以明确。</w:t>
      </w:r>
    </w:p>
    <w:p>
      <w:pPr>
        <w:snapToGrid w:val="0"/>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2.3.3投标人应将修改或补充内容考虑在投标文件中，投标人在投标截止前未登录招标公告发布的网站查看，造成投标人的投标文件不符合招标文件要求或废标的，由投标人自行承担责任。招标文件的修改内容作为招标文件的组成部分，具有约束作用。</w:t>
      </w:r>
    </w:p>
    <w:p>
      <w:pPr>
        <w:wordWrap w:val="0"/>
        <w:spacing w:line="380" w:lineRule="exact"/>
        <w:rPr>
          <w:rFonts w:hint="eastAsia" w:ascii="宋体" w:hAnsi="宋体" w:eastAsia="宋体" w:cs="宋体"/>
          <w:b/>
          <w:kern w:val="0"/>
          <w:szCs w:val="28"/>
          <w:highlight w:val="none"/>
        </w:rPr>
      </w:pPr>
      <w:r>
        <w:rPr>
          <w:rFonts w:hint="eastAsia" w:ascii="宋体" w:hAnsi="宋体" w:eastAsia="宋体" w:cs="宋体"/>
          <w:b/>
          <w:kern w:val="0"/>
          <w:szCs w:val="28"/>
          <w:highlight w:val="none"/>
        </w:rPr>
        <w:t>3.投标文件</w:t>
      </w:r>
    </w:p>
    <w:p>
      <w:pPr>
        <w:wordWrap w:val="0"/>
        <w:spacing w:line="380" w:lineRule="exact"/>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3.1 投标文件的组成</w:t>
      </w:r>
    </w:p>
    <w:p>
      <w:pPr>
        <w:wordWrap w:val="0"/>
        <w:spacing w:line="38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子投标文件按政采云平台要求及本招标文件要求制作、加密并递交。具体操作流程可参考《政府采购项目电子交易管理操作指南-供应商》，指南可在“http://www.ccgp-guangxi.gov.cn/PurchaseAdvisory/ImportantNotice/2866753.html”下载。</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3.1.1投标文件应包括下列内容：</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（1）资格审查部分：具体材料见投标人须知前附表；</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（2）商务标部分：具体材料见投标人须知前附表；</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（3）技术标部分：具体材料见投标人须知前附表；</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（4）企业信誉实力部分：具体材料见投标人须知前附表。</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3.1.2招标文件“第八章 投标文件格式”有规定格式要求的，投标人应按规定的格式填写并按要求提交相关的证明材料。</w:t>
      </w:r>
    </w:p>
    <w:p>
      <w:pPr>
        <w:snapToGrid w:val="0"/>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3.1.3近年财务状况、考核期、发生的重大诉讼及仲裁情况的年份要求：见投标人须知前附表。</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3.2 投标报价</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3.2.1投标人应按第五章“工程量清单”的要求填写相应的表格。</w:t>
      </w:r>
    </w:p>
    <w:p>
      <w:pPr>
        <w:spacing w:line="380" w:lineRule="exact"/>
        <w:ind w:firstLine="420" w:firstLineChars="200"/>
        <w:rPr>
          <w:rFonts w:hint="eastAsia" w:ascii="宋体" w:hAnsi="宋体" w:eastAsia="宋体" w:cs="宋体"/>
          <w:sz w:val="21"/>
          <w:highlight w:val="none"/>
        </w:rPr>
      </w:pPr>
      <w:r>
        <w:rPr>
          <w:rFonts w:hint="eastAsia" w:ascii="宋体" w:hAnsi="宋体" w:eastAsia="宋体" w:cs="宋体"/>
          <w:kern w:val="0"/>
          <w:sz w:val="21"/>
          <w:highlight w:val="none"/>
        </w:rPr>
        <w:t>3.2.2</w:t>
      </w:r>
      <w:r>
        <w:rPr>
          <w:rFonts w:hint="eastAsia" w:ascii="宋体" w:hAnsi="宋体" w:eastAsia="宋体" w:cs="宋体"/>
          <w:sz w:val="21"/>
          <w:highlight w:val="none"/>
        </w:rPr>
        <w:t>投标人在投标截止时间前修改投标函中的投标报价，应同时修改第五章“工程量清单”中的相应报价。</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3.3 投标有效期</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3.</w:t>
      </w:r>
      <w:r>
        <w:rPr>
          <w:rFonts w:hint="eastAsia" w:ascii="宋体" w:hAnsi="宋体" w:eastAsia="宋体" w:cs="宋体"/>
          <w:spacing w:val="-1"/>
          <w:kern w:val="0"/>
          <w:sz w:val="21"/>
          <w:highlight w:val="none"/>
        </w:rPr>
        <w:t>3</w:t>
      </w:r>
      <w:r>
        <w:rPr>
          <w:rFonts w:hint="eastAsia" w:ascii="宋体" w:hAnsi="宋体" w:eastAsia="宋体" w:cs="宋体"/>
          <w:kern w:val="0"/>
          <w:sz w:val="21"/>
          <w:highlight w:val="none"/>
        </w:rPr>
        <w:t>.1在投标人须知前</w:t>
      </w:r>
      <w:r>
        <w:rPr>
          <w:rFonts w:hint="eastAsia" w:ascii="宋体" w:hAnsi="宋体" w:eastAsia="宋体" w:cs="宋体"/>
          <w:spacing w:val="1"/>
          <w:kern w:val="0"/>
          <w:sz w:val="21"/>
          <w:highlight w:val="none"/>
        </w:rPr>
        <w:t>附</w:t>
      </w:r>
      <w:r>
        <w:rPr>
          <w:rFonts w:hint="eastAsia" w:ascii="宋体" w:hAnsi="宋体" w:eastAsia="宋体" w:cs="宋体"/>
          <w:kern w:val="0"/>
          <w:sz w:val="21"/>
          <w:highlight w:val="none"/>
        </w:rPr>
        <w:t>表规定的</w:t>
      </w:r>
      <w:r>
        <w:rPr>
          <w:rFonts w:hint="eastAsia" w:ascii="宋体" w:hAnsi="宋体" w:eastAsia="宋体" w:cs="宋体"/>
          <w:spacing w:val="1"/>
          <w:kern w:val="0"/>
          <w:sz w:val="21"/>
          <w:highlight w:val="none"/>
        </w:rPr>
        <w:t>投</w:t>
      </w:r>
      <w:r>
        <w:rPr>
          <w:rFonts w:hint="eastAsia" w:ascii="宋体" w:hAnsi="宋体" w:eastAsia="宋体" w:cs="宋体"/>
          <w:kern w:val="0"/>
          <w:sz w:val="21"/>
          <w:highlight w:val="none"/>
        </w:rPr>
        <w:t>标有效期</w:t>
      </w:r>
      <w:r>
        <w:rPr>
          <w:rFonts w:hint="eastAsia" w:ascii="宋体" w:hAnsi="宋体" w:eastAsia="宋体" w:cs="宋体"/>
          <w:spacing w:val="1"/>
          <w:kern w:val="0"/>
          <w:sz w:val="21"/>
          <w:highlight w:val="none"/>
        </w:rPr>
        <w:t>内</w:t>
      </w:r>
      <w:r>
        <w:rPr>
          <w:rFonts w:hint="eastAsia" w:ascii="宋体" w:hAnsi="宋体" w:eastAsia="宋体" w:cs="宋体"/>
          <w:kern w:val="0"/>
          <w:sz w:val="21"/>
          <w:highlight w:val="none"/>
        </w:rPr>
        <w:t>，投标人</w:t>
      </w:r>
      <w:r>
        <w:rPr>
          <w:rFonts w:hint="eastAsia" w:ascii="宋体" w:hAnsi="宋体" w:eastAsia="宋体" w:cs="宋体"/>
          <w:spacing w:val="1"/>
          <w:kern w:val="0"/>
          <w:sz w:val="21"/>
          <w:highlight w:val="none"/>
        </w:rPr>
        <w:t>不</w:t>
      </w:r>
      <w:r>
        <w:rPr>
          <w:rFonts w:hint="eastAsia" w:ascii="宋体" w:hAnsi="宋体" w:eastAsia="宋体" w:cs="宋体"/>
          <w:kern w:val="0"/>
          <w:sz w:val="21"/>
          <w:highlight w:val="none"/>
        </w:rPr>
        <w:t>得要求撤</w:t>
      </w:r>
      <w:r>
        <w:rPr>
          <w:rFonts w:hint="eastAsia" w:ascii="宋体" w:hAnsi="宋体" w:eastAsia="宋体" w:cs="宋体"/>
          <w:spacing w:val="1"/>
          <w:kern w:val="0"/>
          <w:sz w:val="21"/>
          <w:highlight w:val="none"/>
        </w:rPr>
        <w:t>销</w:t>
      </w:r>
      <w:r>
        <w:rPr>
          <w:rFonts w:hint="eastAsia" w:ascii="宋体" w:hAnsi="宋体" w:eastAsia="宋体" w:cs="宋体"/>
          <w:kern w:val="0"/>
          <w:sz w:val="21"/>
          <w:highlight w:val="none"/>
        </w:rPr>
        <w:t>或修改其</w:t>
      </w:r>
      <w:r>
        <w:rPr>
          <w:rFonts w:hint="eastAsia" w:ascii="宋体" w:hAnsi="宋体" w:eastAsia="宋体" w:cs="宋体"/>
          <w:spacing w:val="1"/>
          <w:kern w:val="0"/>
          <w:sz w:val="21"/>
          <w:highlight w:val="none"/>
        </w:rPr>
        <w:t>投标</w:t>
      </w:r>
      <w:r>
        <w:rPr>
          <w:rFonts w:hint="eastAsia" w:ascii="宋体" w:hAnsi="宋体" w:eastAsia="宋体" w:cs="宋体"/>
          <w:kern w:val="0"/>
          <w:sz w:val="21"/>
          <w:highlight w:val="none"/>
        </w:rPr>
        <w:t>文件。</w:t>
      </w:r>
    </w:p>
    <w:p>
      <w:pPr>
        <w:spacing w:line="380" w:lineRule="exact"/>
        <w:ind w:firstLine="420"/>
        <w:rPr>
          <w:rFonts w:hint="eastAsia" w:ascii="宋体" w:hAnsi="宋体" w:eastAsia="宋体" w:cs="宋体"/>
          <w:kern w:val="0"/>
          <w:sz w:val="21"/>
          <w:highlight w:val="none"/>
        </w:rPr>
      </w:pPr>
      <w:r>
        <w:rPr>
          <w:rFonts w:hint="eastAsia" w:ascii="宋体" w:hAnsi="宋体" w:eastAsia="宋体" w:cs="宋体"/>
          <w:kern w:val="0"/>
          <w:sz w:val="21"/>
          <w:highlight w:val="none"/>
        </w:rPr>
        <w:t>3.</w:t>
      </w:r>
      <w:r>
        <w:rPr>
          <w:rFonts w:hint="eastAsia" w:ascii="宋体" w:hAnsi="宋体" w:eastAsia="宋体" w:cs="宋体"/>
          <w:spacing w:val="-1"/>
          <w:kern w:val="0"/>
          <w:sz w:val="21"/>
          <w:highlight w:val="none"/>
        </w:rPr>
        <w:t>3</w:t>
      </w:r>
      <w:r>
        <w:rPr>
          <w:rFonts w:hint="eastAsia" w:ascii="宋体" w:hAnsi="宋体" w:eastAsia="宋体" w:cs="宋体"/>
          <w:kern w:val="0"/>
          <w:sz w:val="21"/>
          <w:highlight w:val="none"/>
        </w:rPr>
        <w:t>.2在原定投标有效期满之前，出现特殊情况需</w:t>
      </w:r>
      <w:r>
        <w:rPr>
          <w:rFonts w:hint="eastAsia" w:ascii="宋体" w:hAnsi="宋体" w:eastAsia="宋体" w:cs="宋体"/>
          <w:spacing w:val="1"/>
          <w:kern w:val="0"/>
          <w:sz w:val="21"/>
          <w:highlight w:val="none"/>
        </w:rPr>
        <w:t>要</w:t>
      </w:r>
      <w:r>
        <w:rPr>
          <w:rFonts w:hint="eastAsia" w:ascii="宋体" w:hAnsi="宋体" w:eastAsia="宋体" w:cs="宋体"/>
          <w:kern w:val="0"/>
          <w:sz w:val="21"/>
          <w:highlight w:val="none"/>
        </w:rPr>
        <w:t>延长投标</w:t>
      </w:r>
      <w:r>
        <w:rPr>
          <w:rFonts w:hint="eastAsia" w:ascii="宋体" w:hAnsi="宋体" w:eastAsia="宋体" w:cs="宋体"/>
          <w:spacing w:val="1"/>
          <w:kern w:val="0"/>
          <w:sz w:val="21"/>
          <w:highlight w:val="none"/>
        </w:rPr>
        <w:t>有</w:t>
      </w:r>
      <w:r>
        <w:rPr>
          <w:rFonts w:hint="eastAsia" w:ascii="宋体" w:hAnsi="宋体" w:eastAsia="宋体" w:cs="宋体"/>
          <w:kern w:val="0"/>
          <w:sz w:val="21"/>
          <w:highlight w:val="none"/>
        </w:rPr>
        <w:t>效期的，</w:t>
      </w:r>
      <w:r>
        <w:rPr>
          <w:rFonts w:hint="eastAsia" w:ascii="宋体" w:hAnsi="宋体" w:eastAsia="宋体" w:cs="宋体"/>
          <w:sz w:val="21"/>
          <w:szCs w:val="21"/>
          <w:highlight w:val="none"/>
        </w:rPr>
        <w:t>招标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以书</w:t>
      </w:r>
      <w:r>
        <w:rPr>
          <w:rFonts w:hint="eastAsia" w:ascii="宋体" w:hAnsi="宋体" w:eastAsia="宋体" w:cs="宋体"/>
          <w:spacing w:val="1"/>
          <w:kern w:val="0"/>
          <w:sz w:val="21"/>
          <w:highlight w:val="none"/>
        </w:rPr>
        <w:t>面</w:t>
      </w:r>
      <w:r>
        <w:rPr>
          <w:rFonts w:hint="eastAsia" w:ascii="宋体" w:hAnsi="宋体" w:eastAsia="宋体" w:cs="宋体"/>
          <w:kern w:val="0"/>
          <w:sz w:val="21"/>
          <w:highlight w:val="none"/>
        </w:rPr>
        <w:t>形式通知</w:t>
      </w:r>
      <w:r>
        <w:rPr>
          <w:rFonts w:hint="eastAsia" w:ascii="宋体" w:hAnsi="宋体" w:eastAsia="宋体" w:cs="宋体"/>
          <w:spacing w:val="1"/>
          <w:kern w:val="0"/>
          <w:sz w:val="21"/>
          <w:highlight w:val="none"/>
        </w:rPr>
        <w:t>所</w:t>
      </w:r>
      <w:r>
        <w:rPr>
          <w:rFonts w:hint="eastAsia" w:ascii="宋体" w:hAnsi="宋体" w:eastAsia="宋体" w:cs="宋体"/>
          <w:kern w:val="0"/>
          <w:sz w:val="21"/>
          <w:highlight w:val="none"/>
        </w:rPr>
        <w:t>有投标人</w:t>
      </w:r>
      <w:r>
        <w:rPr>
          <w:rFonts w:hint="eastAsia" w:ascii="宋体" w:hAnsi="宋体" w:eastAsia="宋体" w:cs="宋体"/>
          <w:spacing w:val="1"/>
          <w:kern w:val="0"/>
          <w:sz w:val="21"/>
          <w:highlight w:val="none"/>
        </w:rPr>
        <w:t>延长</w:t>
      </w:r>
      <w:r>
        <w:rPr>
          <w:rFonts w:hint="eastAsia" w:ascii="宋体" w:hAnsi="宋体" w:eastAsia="宋体" w:cs="宋体"/>
          <w:kern w:val="0"/>
          <w:sz w:val="21"/>
          <w:highlight w:val="none"/>
        </w:rPr>
        <w:t>投标有效期。</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3.4 投标保证金</w:t>
      </w:r>
    </w:p>
    <w:p>
      <w:pPr>
        <w:spacing w:line="380" w:lineRule="exact"/>
        <w:ind w:firstLine="435"/>
        <w:rPr>
          <w:rFonts w:hint="eastAsia" w:ascii="宋体" w:hAnsi="宋体" w:eastAsia="宋体" w:cs="宋体"/>
          <w:sz w:val="21"/>
          <w:szCs w:val="21"/>
          <w:highlight w:val="none"/>
        </w:rPr>
      </w:pPr>
      <w:r>
        <w:rPr>
          <w:rFonts w:hint="eastAsia" w:ascii="宋体" w:hAnsi="宋体" w:eastAsia="宋体" w:cs="宋体"/>
          <w:bCs/>
          <w:sz w:val="21"/>
          <w:szCs w:val="21"/>
          <w:highlight w:val="none"/>
        </w:rPr>
        <w:t>本项目无需缴纳投标保证金。</w:t>
      </w:r>
    </w:p>
    <w:p>
      <w:pPr>
        <w:spacing w:line="380" w:lineRule="exact"/>
        <w:rPr>
          <w:rFonts w:hint="eastAsia" w:ascii="宋体" w:hAnsi="宋体" w:eastAsia="宋体" w:cs="宋体"/>
          <w:kern w:val="0"/>
          <w:sz w:val="21"/>
          <w:highlight w:val="none"/>
        </w:rPr>
      </w:pPr>
      <w:r>
        <w:rPr>
          <w:rFonts w:hint="eastAsia" w:ascii="宋体" w:hAnsi="宋体" w:eastAsia="宋体" w:cs="宋体"/>
          <w:b/>
          <w:kern w:val="0"/>
          <w:sz w:val="24"/>
          <w:highlight w:val="none"/>
        </w:rPr>
        <w:t>3.5 备选投标方案</w:t>
      </w:r>
    </w:p>
    <w:p>
      <w:pPr>
        <w:spacing w:line="380" w:lineRule="exact"/>
        <w:ind w:firstLine="420" w:firstLineChars="200"/>
        <w:rPr>
          <w:rFonts w:hint="eastAsia" w:ascii="宋体" w:hAnsi="宋体" w:eastAsia="宋体" w:cs="宋体"/>
          <w:sz w:val="21"/>
          <w:highlight w:val="none"/>
        </w:rPr>
      </w:pPr>
      <w:r>
        <w:rPr>
          <w:rFonts w:hint="eastAsia" w:ascii="宋体" w:hAnsi="宋体" w:eastAsia="宋体" w:cs="宋体"/>
          <w:sz w:val="21"/>
          <w:highlight w:val="none"/>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w:t>
      </w:r>
      <w:r>
        <w:rPr>
          <w:rFonts w:hint="eastAsia" w:ascii="宋体" w:hAnsi="宋体" w:eastAsia="宋体" w:cs="宋体"/>
          <w:sz w:val="21"/>
          <w:szCs w:val="21"/>
          <w:highlight w:val="none"/>
        </w:rPr>
        <w:t>招标</w:t>
      </w:r>
      <w:r>
        <w:rPr>
          <w:rFonts w:hint="eastAsia" w:ascii="宋体" w:hAnsi="宋体" w:eastAsia="宋体" w:cs="宋体"/>
          <w:sz w:val="21"/>
          <w:highlight w:val="none"/>
        </w:rPr>
        <w:t>人可以接受该备选投标方案。</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3.6投标文件的编制</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3.6.1电子投标文件中须加盖投标人公章部分均采用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3.6.2投标人法人（负责人）或授权代表持有政采云个人CA签章的，应在投标文件中涉及到签字的位置使用个人CA签章，没有办理政采云个人CA签章的可在投标文件中涉及到签字的位置手写签字后扫描或者拍照做成PDF的格式上传即可。</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3.6.3投标文件不得涂改，若有修改错漏处，须法定代表人（负责人）或授权委托人签字（或个人CA签章）。投标文件因字迹潦草或表达不清所引起的后果由投标人负责。</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3.6.4评审前准备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 xml:space="preserve">（1）本项目实行网上评审，采用电子投标文件；若投标人参与投标，自行承担投标一切费用。 </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 xml:space="preserve">（2）各投标人在截标前应确保成为政采云平台正式注册入库供应商，并完成 CA 数字证书申领。因未注册入库、未办理 CA 数字证书等原因造成无法投标或投标失败等后果由投标人自行承担。 </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（3）投标人将政采云电子交易客户端下载、安装完成后，可通过账号密码或 CA 登录客户端进行投标文件制作。客户端请至网站下载专区查看，如有问题可拨打政采云客户服务热线 95763 进行咨询。</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3.6.5特别说明：</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投标文件（电子投标文件），其中电子投标文件中所须加盖公章部分均采用CA签章。若投标文件中有专门标注的某关联点，并要求投标人在电子投标系统中作出投标响应的，如投标人未对关联点进行响应或者在投标文件其它内容中进行描述，造成电子评审不能查询的责任由投标人自行承担。</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（2）招标文件要求法定代表人（负责人）或委托代理人签字的部分必须签字然后扫描或者拍照做成 pdf 格式上传（或加盖个人CA签章），无签字的视为投标无效。</w:t>
      </w:r>
    </w:p>
    <w:p>
      <w:pPr>
        <w:keepNext/>
        <w:keepLines/>
        <w:spacing w:line="400" w:lineRule="exact"/>
        <w:outlineLvl w:val="0"/>
        <w:rPr>
          <w:rFonts w:hint="eastAsia" w:ascii="宋体" w:hAnsi="宋体" w:eastAsia="宋体" w:cs="宋体"/>
          <w:b/>
          <w:bCs/>
          <w:kern w:val="44"/>
          <w:sz w:val="24"/>
          <w:szCs w:val="24"/>
          <w:highlight w:val="none"/>
        </w:rPr>
      </w:pPr>
      <w:bookmarkStart w:id="26" w:name="_Toc57624354"/>
      <w:bookmarkStart w:id="27" w:name="_Toc418751956"/>
      <w:bookmarkStart w:id="28" w:name="_Toc115372965"/>
      <w:bookmarkStart w:id="29" w:name="_Toc12343"/>
      <w:bookmarkStart w:id="30" w:name="_Toc10963"/>
      <w:bookmarkStart w:id="31" w:name="_Toc27375"/>
      <w:bookmarkStart w:id="32" w:name="_Toc358569395"/>
      <w:r>
        <w:rPr>
          <w:rFonts w:hint="eastAsia" w:ascii="宋体" w:hAnsi="宋体" w:eastAsia="宋体" w:cs="宋体"/>
          <w:b/>
          <w:bCs/>
          <w:kern w:val="44"/>
          <w:sz w:val="24"/>
          <w:szCs w:val="24"/>
          <w:highlight w:val="none"/>
        </w:rPr>
        <w:t>3.7投标文件的补充、修改和撤回</w:t>
      </w:r>
      <w:bookmarkEnd w:id="26"/>
      <w:bookmarkEnd w:id="27"/>
      <w:bookmarkEnd w:id="28"/>
      <w:bookmarkEnd w:id="29"/>
      <w:bookmarkEnd w:id="30"/>
      <w:bookmarkEnd w:id="31"/>
      <w:bookmarkEnd w:id="32"/>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3.7.1投标文件递交截止时间前可以补充、修改或者撤回电子投标文件。补充或者修改电子投标文件的，应当先行撤回原文件，补充、修改后重新传输递交，投标文件递交截止时间前未完成传输的，视为撤回电子投标文件。</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3.7.2在投标文件递交截止时间后的投标文件有效期内，供应商不得撤回其投标文件。</w:t>
      </w:r>
    </w:p>
    <w:p>
      <w:pPr>
        <w:spacing w:line="380" w:lineRule="exact"/>
        <w:rPr>
          <w:rFonts w:hint="eastAsia" w:ascii="宋体" w:hAnsi="宋体" w:eastAsia="宋体" w:cs="宋体"/>
          <w:b/>
          <w:kern w:val="0"/>
          <w:szCs w:val="28"/>
          <w:highlight w:val="none"/>
        </w:rPr>
      </w:pPr>
      <w:r>
        <w:rPr>
          <w:rFonts w:hint="eastAsia" w:ascii="宋体" w:hAnsi="宋体" w:eastAsia="宋体" w:cs="宋体"/>
          <w:b/>
          <w:kern w:val="0"/>
          <w:szCs w:val="28"/>
          <w:highlight w:val="none"/>
        </w:rPr>
        <w:t>4.投标</w:t>
      </w:r>
    </w:p>
    <w:p>
      <w:pPr>
        <w:spacing w:line="380" w:lineRule="exact"/>
        <w:rPr>
          <w:rFonts w:hint="eastAsia" w:ascii="宋体" w:hAnsi="宋体" w:eastAsia="宋体" w:cs="宋体"/>
          <w:kern w:val="0"/>
          <w:sz w:val="21"/>
          <w:highlight w:val="none"/>
        </w:rPr>
      </w:pPr>
      <w:r>
        <w:rPr>
          <w:rFonts w:hint="eastAsia" w:ascii="宋体" w:hAnsi="宋体" w:eastAsia="宋体" w:cs="宋体"/>
          <w:b/>
          <w:kern w:val="0"/>
          <w:sz w:val="24"/>
          <w:highlight w:val="none"/>
        </w:rPr>
        <w:t>4.1</w:t>
      </w:r>
      <w:r>
        <w:rPr>
          <w:rFonts w:hint="eastAsia" w:ascii="宋体" w:hAnsi="宋体" w:eastAsia="宋体" w:cs="宋体"/>
          <w:b/>
          <w:kern w:val="0"/>
          <w:sz w:val="24"/>
          <w:szCs w:val="24"/>
          <w:highlight w:val="none"/>
        </w:rPr>
        <w:t>投标文件的递交和解密</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4.1.1投标文件递交截止时间：投标人应于202</w:t>
      </w:r>
      <w:r>
        <w:rPr>
          <w:rFonts w:hint="eastAsia" w:ascii="宋体" w:hAnsi="宋体" w:eastAsia="宋体" w:cs="宋体"/>
          <w:bCs/>
          <w:kern w:val="0"/>
          <w:sz w:val="21"/>
          <w:szCs w:val="21"/>
          <w:highlight w:val="none"/>
          <w:lang w:val="en-US" w:eastAsia="zh-CN"/>
        </w:rPr>
        <w:t>3</w:t>
      </w:r>
      <w:r>
        <w:rPr>
          <w:rFonts w:hint="eastAsia" w:ascii="宋体" w:hAnsi="宋体" w:eastAsia="宋体" w:cs="宋体"/>
          <w:bCs/>
          <w:kern w:val="0"/>
          <w:sz w:val="21"/>
          <w:szCs w:val="21"/>
          <w:highlight w:val="none"/>
        </w:rPr>
        <w:t>年</w:t>
      </w:r>
      <w:r>
        <w:rPr>
          <w:rFonts w:hint="eastAsia" w:ascii="宋体" w:hAnsi="宋体" w:cs="宋体"/>
          <w:bCs/>
          <w:kern w:val="0"/>
          <w:sz w:val="21"/>
          <w:szCs w:val="21"/>
          <w:highlight w:val="none"/>
          <w:lang w:val="en-US" w:eastAsia="zh-CN"/>
        </w:rPr>
        <w:t>09</w:t>
      </w:r>
      <w:r>
        <w:rPr>
          <w:rFonts w:hint="eastAsia" w:ascii="宋体" w:hAnsi="宋体" w:eastAsia="宋体" w:cs="宋体"/>
          <w:bCs/>
          <w:kern w:val="0"/>
          <w:sz w:val="21"/>
          <w:szCs w:val="21"/>
          <w:highlight w:val="none"/>
        </w:rPr>
        <w:t>月</w:t>
      </w:r>
      <w:r>
        <w:rPr>
          <w:rFonts w:hint="eastAsia" w:ascii="宋体" w:hAnsi="宋体" w:cs="宋体"/>
          <w:bCs/>
          <w:kern w:val="0"/>
          <w:sz w:val="21"/>
          <w:szCs w:val="21"/>
          <w:highlight w:val="none"/>
          <w:lang w:val="en-US" w:eastAsia="zh-CN"/>
        </w:rPr>
        <w:t>01</w:t>
      </w:r>
      <w:r>
        <w:rPr>
          <w:rFonts w:hint="eastAsia" w:ascii="宋体" w:hAnsi="宋体" w:eastAsia="宋体" w:cs="宋体"/>
          <w:bCs/>
          <w:kern w:val="0"/>
          <w:sz w:val="21"/>
          <w:szCs w:val="21"/>
          <w:highlight w:val="none"/>
          <w:lang w:val="en-US" w:eastAsia="zh-CN"/>
        </w:rPr>
        <w:t xml:space="preserve"> </w:t>
      </w:r>
      <w:r>
        <w:rPr>
          <w:rFonts w:hint="eastAsia" w:ascii="宋体" w:hAnsi="宋体" w:eastAsia="宋体" w:cs="宋体"/>
          <w:bCs/>
          <w:kern w:val="0"/>
          <w:sz w:val="21"/>
          <w:szCs w:val="21"/>
          <w:highlight w:val="none"/>
        </w:rPr>
        <w:t>日上午9时30分之前将电子投标文件上传到政采云平台。应按照本项目招标文件和政采云平台的要求编制、加密传输投标文件。投标人在使用系统进行投标的过程中遇到涉及平台使用的任何问题，可致电政采云平台技术支持热线咨询，联系方式：95763。</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4.1.2投标文件解密时间：截标时间后30分钟内（202</w:t>
      </w:r>
      <w:r>
        <w:rPr>
          <w:rFonts w:hint="eastAsia" w:ascii="宋体" w:hAnsi="宋体" w:eastAsia="宋体" w:cs="宋体"/>
          <w:bCs/>
          <w:kern w:val="0"/>
          <w:sz w:val="21"/>
          <w:szCs w:val="21"/>
          <w:highlight w:val="none"/>
          <w:lang w:val="en-US" w:eastAsia="zh-CN"/>
        </w:rPr>
        <w:t>3</w:t>
      </w:r>
      <w:r>
        <w:rPr>
          <w:rFonts w:hint="eastAsia" w:ascii="宋体" w:hAnsi="宋体" w:eastAsia="宋体" w:cs="宋体"/>
          <w:bCs/>
          <w:kern w:val="0"/>
          <w:sz w:val="21"/>
          <w:szCs w:val="21"/>
          <w:highlight w:val="none"/>
        </w:rPr>
        <w:t>年</w:t>
      </w:r>
      <w:r>
        <w:rPr>
          <w:rFonts w:hint="eastAsia" w:ascii="宋体" w:hAnsi="宋体" w:cs="宋体"/>
          <w:bCs/>
          <w:kern w:val="0"/>
          <w:sz w:val="21"/>
          <w:szCs w:val="21"/>
          <w:highlight w:val="none"/>
          <w:lang w:val="en-US" w:eastAsia="zh-CN"/>
        </w:rPr>
        <w:t>09</w:t>
      </w:r>
      <w:r>
        <w:rPr>
          <w:rFonts w:hint="eastAsia" w:ascii="宋体" w:hAnsi="宋体" w:eastAsia="宋体" w:cs="宋体"/>
          <w:bCs/>
          <w:kern w:val="0"/>
          <w:sz w:val="21"/>
          <w:szCs w:val="21"/>
          <w:highlight w:val="none"/>
        </w:rPr>
        <w:t>月</w:t>
      </w:r>
      <w:r>
        <w:rPr>
          <w:rFonts w:hint="eastAsia" w:ascii="宋体" w:hAnsi="宋体" w:cs="宋体"/>
          <w:bCs/>
          <w:kern w:val="0"/>
          <w:sz w:val="21"/>
          <w:szCs w:val="21"/>
          <w:highlight w:val="none"/>
          <w:lang w:val="en-US" w:eastAsia="zh-CN"/>
        </w:rPr>
        <w:t>01</w:t>
      </w:r>
      <w:r>
        <w:rPr>
          <w:rFonts w:hint="eastAsia" w:ascii="宋体" w:hAnsi="宋体" w:eastAsia="宋体" w:cs="宋体"/>
          <w:bCs/>
          <w:kern w:val="0"/>
          <w:sz w:val="21"/>
          <w:szCs w:val="21"/>
          <w:highlight w:val="none"/>
        </w:rPr>
        <w:t>日上午9时30分至10时00分)投标人可以登录政采云平台，用“项目采购-开标评标”功能进行解密电子投标文件。若投标人在规定时间内无法解密或解密失败，可向采购代理机构提供电子备份投标文件【在接到无法解密或解密失败的通知后，投标人可根据自身实际情况按通知时要求的时间到桂林市公共资源交易中心现场提交或以电子邮件的形式（以通知时告知的电子邮箱地址为准）提交电子备份投标文件】。若投标人在规定时间内无法解密或解密失败且未提供电子备份投标文件的(包含提供的电子备份投标文件无效或无法解密的情况)，视为无效投标。</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4.1.3 除招标文件另有规定外，供应商所递交的投标文件不予退还。</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4.2电子投标文件的相关说明</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4.2.1</w:t>
      </w:r>
      <w:r>
        <w:rPr>
          <w:rFonts w:hint="eastAsia" w:ascii="宋体" w:hAnsi="宋体" w:eastAsia="宋体" w:cs="宋体"/>
          <w:sz w:val="21"/>
          <w:szCs w:val="21"/>
          <w:highlight w:val="none"/>
        </w:rPr>
        <w:t>投标人</w:t>
      </w:r>
      <w:r>
        <w:rPr>
          <w:rFonts w:hint="eastAsia" w:ascii="宋体" w:hAnsi="宋体" w:eastAsia="宋体" w:cs="宋体"/>
          <w:bCs/>
          <w:kern w:val="0"/>
          <w:sz w:val="21"/>
          <w:szCs w:val="21"/>
          <w:highlight w:val="none"/>
        </w:rPr>
        <w:t>进行电子投标应安装客户端软件，并按照招标文件和电子交易平台的要求编制并加密投标文件。</w:t>
      </w:r>
      <w:r>
        <w:rPr>
          <w:rFonts w:hint="eastAsia" w:ascii="宋体" w:hAnsi="宋体" w:eastAsia="宋体" w:cs="宋体"/>
          <w:sz w:val="21"/>
          <w:szCs w:val="21"/>
          <w:highlight w:val="none"/>
        </w:rPr>
        <w:t>投标人</w:t>
      </w:r>
      <w:r>
        <w:rPr>
          <w:rFonts w:hint="eastAsia" w:ascii="宋体" w:hAnsi="宋体" w:eastAsia="宋体" w:cs="宋体"/>
          <w:bCs/>
          <w:kern w:val="0"/>
          <w:sz w:val="21"/>
          <w:szCs w:val="21"/>
          <w:highlight w:val="none"/>
        </w:rPr>
        <w:t>未按规定加密的投标文件，电子交易平台将拒收。</w:t>
      </w:r>
      <w:r>
        <w:rPr>
          <w:rFonts w:hint="eastAsia" w:ascii="宋体" w:hAnsi="宋体" w:eastAsia="宋体" w:cs="宋体"/>
          <w:sz w:val="21"/>
          <w:szCs w:val="21"/>
          <w:highlight w:val="none"/>
        </w:rPr>
        <w:t>投标人</w:t>
      </w:r>
      <w:r>
        <w:rPr>
          <w:rFonts w:hint="eastAsia" w:ascii="宋体" w:hAnsi="宋体" w:eastAsia="宋体" w:cs="宋体"/>
          <w:bCs/>
          <w:kern w:val="0"/>
          <w:sz w:val="21"/>
          <w:szCs w:val="21"/>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4.2.2如有特殊情况，招标代理机构延长截止时间和开标时间，招标代理机构和</w:t>
      </w:r>
      <w:r>
        <w:rPr>
          <w:rFonts w:hint="eastAsia" w:ascii="宋体" w:hAnsi="宋体" w:eastAsia="宋体" w:cs="宋体"/>
          <w:sz w:val="21"/>
          <w:szCs w:val="21"/>
          <w:highlight w:val="none"/>
        </w:rPr>
        <w:t>投标人</w:t>
      </w:r>
      <w:r>
        <w:rPr>
          <w:rFonts w:hint="eastAsia" w:ascii="宋体" w:hAnsi="宋体" w:eastAsia="宋体" w:cs="宋体"/>
          <w:bCs/>
          <w:kern w:val="0"/>
          <w:sz w:val="21"/>
          <w:szCs w:val="21"/>
          <w:highlight w:val="none"/>
        </w:rPr>
        <w:t>的权利和义务将受到新的截止时间和开标时间的约束。</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5.开标</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5.1 开标时间和地点</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5.1.1开标时间和地点：开标时间：202</w:t>
      </w:r>
      <w:r>
        <w:rPr>
          <w:rFonts w:hint="eastAsia" w:ascii="宋体" w:hAnsi="宋体" w:eastAsia="宋体" w:cs="宋体"/>
          <w:bCs/>
          <w:kern w:val="0"/>
          <w:sz w:val="21"/>
          <w:szCs w:val="21"/>
          <w:highlight w:val="none"/>
          <w:lang w:val="en-US" w:eastAsia="zh-CN"/>
        </w:rPr>
        <w:t>3</w:t>
      </w:r>
      <w:r>
        <w:rPr>
          <w:rFonts w:hint="eastAsia" w:ascii="宋体" w:hAnsi="宋体" w:eastAsia="宋体" w:cs="宋体"/>
          <w:bCs/>
          <w:kern w:val="0"/>
          <w:sz w:val="21"/>
          <w:szCs w:val="21"/>
          <w:highlight w:val="none"/>
        </w:rPr>
        <w:t>年</w:t>
      </w:r>
      <w:r>
        <w:rPr>
          <w:rFonts w:hint="eastAsia" w:ascii="宋体" w:hAnsi="宋体" w:cs="宋体"/>
          <w:bCs/>
          <w:kern w:val="0"/>
          <w:sz w:val="21"/>
          <w:szCs w:val="21"/>
          <w:highlight w:val="none"/>
          <w:lang w:val="en-US" w:eastAsia="zh-CN"/>
        </w:rPr>
        <w:t>09</w:t>
      </w:r>
      <w:r>
        <w:rPr>
          <w:rFonts w:hint="eastAsia" w:ascii="宋体" w:hAnsi="宋体" w:eastAsia="宋体" w:cs="宋体"/>
          <w:bCs/>
          <w:kern w:val="0"/>
          <w:sz w:val="21"/>
          <w:szCs w:val="21"/>
          <w:highlight w:val="none"/>
        </w:rPr>
        <w:t>月</w:t>
      </w:r>
      <w:r>
        <w:rPr>
          <w:rFonts w:hint="eastAsia" w:ascii="宋体" w:hAnsi="宋体" w:cs="宋体"/>
          <w:bCs/>
          <w:kern w:val="0"/>
          <w:sz w:val="21"/>
          <w:szCs w:val="21"/>
          <w:highlight w:val="none"/>
          <w:lang w:val="en-US" w:eastAsia="zh-CN"/>
        </w:rPr>
        <w:t>01</w:t>
      </w:r>
      <w:r>
        <w:rPr>
          <w:rFonts w:hint="eastAsia" w:ascii="宋体" w:hAnsi="宋体" w:eastAsia="宋体" w:cs="宋体"/>
          <w:bCs/>
          <w:kern w:val="0"/>
          <w:sz w:val="21"/>
          <w:szCs w:val="21"/>
          <w:highlight w:val="none"/>
        </w:rPr>
        <w:t>日上午9时30分；开标地点：通过政采云平台实行在线解密开启。</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5.1.2电子备份投标文件可以通过以下方式递交：在接到无法解密或解密失败的通知后，投标人可根据自身实际情况按通知时要求的时间到桂林市公共资源交易中心现场提交或以电子邮件的形式（以通知时告知的电子邮箱地址为准）提交电子备份投标文件。</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5.1.3投标人不足3家的，不得开标，招标人或者招标代理机构应当重新组织采购。</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5.2 开标程序</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5.2.1开标准备</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（1）开标的准备工作由本公司负责落实；</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2）本公司将按照招标文件规定的时间通过“政府采购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5.2.2开标程序</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向各投标人发出电子加密投标文件【开始解密】通知，由投标人按招标文件规定的时间内自行进行投标文件解密。投标人在规定的时间内无法完成已递交的“电子加密投标文件”解密的，如已按规定递交了电子备份投标文件的，将由招标代理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（2）投标文件解密结束后，开标活动组织人员在线开启投标文件。</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（3）开启投标人报价文件，“政采云”平台在线向投标人公开开标（报价）一览表有关内容，投标人代表如果认为开标信息有误，可以当场或在线提出异议。</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开标结束后，如发现开标结果与报价文件不一致者，由评标委员会根据报价文件内容进行修正。</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特别说明：如遇“政采云”平台电子化开标或评审程序调整的，按调整后程序执行。</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6. 评标</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6.1 评标委员会</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6.</w:t>
      </w: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.1评标由招标人依法组建的评标委员会负责，评标委员会由招标人负责依法组建。评标委员会成员人数以及技术、经济等方面专家的确定方式见投标人须知前附表。</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6</w:t>
      </w:r>
      <w:r>
        <w:rPr>
          <w:rFonts w:hint="eastAsia" w:ascii="宋体" w:hAnsi="宋体" w:eastAsia="宋体" w:cs="宋体"/>
          <w:kern w:val="0"/>
          <w:sz w:val="21"/>
          <w:highlight w:val="none"/>
        </w:rPr>
        <w:t>.1.2评标</w:t>
      </w:r>
      <w:r>
        <w:rPr>
          <w:rFonts w:hint="eastAsia" w:ascii="宋体" w:hAnsi="宋体" w:eastAsia="宋体" w:cs="宋体"/>
          <w:spacing w:val="-1"/>
          <w:kern w:val="0"/>
          <w:sz w:val="21"/>
          <w:highlight w:val="none"/>
        </w:rPr>
        <w:t>委</w:t>
      </w:r>
      <w:r>
        <w:rPr>
          <w:rFonts w:hint="eastAsia" w:ascii="宋体" w:hAnsi="宋体" w:eastAsia="宋体" w:cs="宋体"/>
          <w:kern w:val="0"/>
          <w:sz w:val="21"/>
          <w:highlight w:val="none"/>
        </w:rPr>
        <w:t>员会成员有下列情形之一的，应当回避：</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（1）投标人或者投标人主要负责人的近亲属；</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（2）招标项目主管部门或者招标投标行政监督部门的工作人员；</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（3）与投标人有经济利益关系，可能影响对投标公正评审的人员；</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（4）曾在招标投标活动中从事违法行为而受过行政处罚或者刑事处罚的人员；</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（5）评标委员会成员之间有近亲属关系的；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（6）与投标人有其他利害关系的人员。</w:t>
      </w:r>
    </w:p>
    <w:p>
      <w:pPr>
        <w:spacing w:line="380" w:lineRule="exact"/>
        <w:ind w:firstLine="424" w:firstLineChars="200"/>
        <w:rPr>
          <w:rFonts w:hint="eastAsia" w:ascii="宋体" w:hAnsi="宋体" w:eastAsia="宋体" w:cs="宋体"/>
          <w:spacing w:val="1"/>
          <w:kern w:val="0"/>
          <w:sz w:val="21"/>
          <w:highlight w:val="none"/>
        </w:rPr>
      </w:pPr>
      <w:r>
        <w:rPr>
          <w:rFonts w:hint="eastAsia" w:ascii="宋体" w:hAnsi="宋体" w:eastAsia="宋体" w:cs="宋体"/>
          <w:spacing w:val="1"/>
          <w:kern w:val="0"/>
          <w:sz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6.2 评标原则</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评标活动遵循公平、公正、科学和择优的原则。</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6.3</w:t>
      </w:r>
      <w:r>
        <w:rPr>
          <w:rFonts w:hint="eastAsia" w:ascii="宋体" w:hAnsi="宋体" w:eastAsia="宋体" w:cs="宋体"/>
          <w:b/>
          <w:bCs/>
          <w:kern w:val="44"/>
          <w:sz w:val="24"/>
          <w:highlight w:val="none"/>
        </w:rPr>
        <w:t>评标方式</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评标委员会按照第三章“评标办法”规定的方法、评审因素、标准和程序对投标文件进行评审。第三章“评标办法”没有规定的方法、评审因素和标准，不作为评标依据。</w:t>
      </w:r>
    </w:p>
    <w:p>
      <w:pPr>
        <w:spacing w:line="380" w:lineRule="exact"/>
        <w:rPr>
          <w:rFonts w:hint="eastAsia" w:ascii="宋体" w:hAnsi="宋体" w:eastAsia="宋体" w:cs="宋体"/>
          <w:b/>
          <w:kern w:val="0"/>
          <w:sz w:val="24"/>
          <w:highlight w:val="none"/>
        </w:rPr>
      </w:pPr>
      <w:bookmarkStart w:id="33" w:name="_Toc57624363"/>
      <w:bookmarkStart w:id="34" w:name="_Toc7250"/>
      <w:bookmarkStart w:id="35" w:name="_Toc21314"/>
      <w:bookmarkStart w:id="36" w:name="_Toc29567"/>
      <w:r>
        <w:rPr>
          <w:rFonts w:hint="eastAsia" w:ascii="宋体" w:hAnsi="宋体" w:eastAsia="宋体" w:cs="宋体"/>
          <w:b/>
          <w:kern w:val="0"/>
          <w:sz w:val="24"/>
          <w:highlight w:val="none"/>
        </w:rPr>
        <w:t>6.4</w:t>
      </w:r>
      <w:bookmarkEnd w:id="33"/>
      <w:bookmarkEnd w:id="34"/>
      <w:bookmarkEnd w:id="35"/>
      <w:bookmarkEnd w:id="36"/>
      <w:r>
        <w:rPr>
          <w:rFonts w:hint="eastAsia" w:ascii="宋体" w:hAnsi="宋体" w:eastAsia="宋体" w:cs="宋体"/>
          <w:b/>
          <w:kern w:val="0"/>
          <w:sz w:val="24"/>
          <w:highlight w:val="none"/>
        </w:rPr>
        <w:t>电子交易活动的中止</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招标过程中出现以下情形，导致电子交易平台无法正常运行，或者无法保证电子交易的公平、公正和安全时，招标代理机构可中止电子交易活动：</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（1）电子交易平台发生故障而无法登录访问的；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（2）电子交易平台应用或数据库出现错误，不能进行正常操作的；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（3）电子交易平台发现严重安全漏洞，有潜在泄密危险的；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（4）病毒发作导致不能进行正常操作的；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（5）其他无法保证电子交易的公平、公正和安全的情况。</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出现以上情形，不影响招标公平、公正性的，招标代理机构可以待上述情形消除后继续组织电子交易活动；影响或可能影响采购公平、公正性的，经招标人确认后，应当重新采购。</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6.5移交评标资料</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评标委员会完成评标后，立即向招标人提交评标报告和中标候选人名单，并同时移交所有评标涉及资料。</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6.6评标资料封存和启封</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评标资料封存和启封应符合当地</w:t>
      </w:r>
      <w:r>
        <w:rPr>
          <w:rFonts w:hint="eastAsia" w:ascii="宋体" w:hAnsi="宋体" w:cs="宋体"/>
          <w:bCs/>
          <w:kern w:val="0"/>
          <w:sz w:val="21"/>
          <w:szCs w:val="21"/>
          <w:highlight w:val="none"/>
          <w:lang w:val="en-US" w:eastAsia="zh-CN"/>
        </w:rPr>
        <w:t>政府采购</w:t>
      </w:r>
      <w:r>
        <w:rPr>
          <w:rFonts w:hint="eastAsia" w:ascii="宋体" w:hAnsi="宋体" w:eastAsia="宋体" w:cs="宋体"/>
          <w:bCs/>
          <w:kern w:val="0"/>
          <w:sz w:val="21"/>
          <w:szCs w:val="21"/>
          <w:highlight w:val="none"/>
        </w:rPr>
        <w:t>监督管理部门的规定。</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6.7中标人信用查询</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根据《关于做好政府采购有关信用主体标识码登记及在政府招标活动中查询使用信用记录有关问题的通知》桂财采〔2016〕37号的通知，在对第一中标候选人的中标资格进行信用查询：</w:t>
      </w:r>
    </w:p>
    <w:p>
      <w:pPr>
        <w:wordWrap w:val="0"/>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kern w:val="0"/>
          <w:sz w:val="21"/>
          <w:highlight w:val="none"/>
        </w:rPr>
        <w:t>（1）</w:t>
      </w:r>
      <w:r>
        <w:rPr>
          <w:rFonts w:hint="eastAsia" w:ascii="宋体" w:hAnsi="宋体" w:eastAsia="宋体" w:cs="宋体"/>
          <w:bCs/>
          <w:kern w:val="0"/>
          <w:sz w:val="21"/>
          <w:szCs w:val="21"/>
          <w:highlight w:val="none"/>
        </w:rPr>
        <w:t>查询渠道：“信用中国”网站(www.creditchina.gov.cn)、中国政府采购网(www.ccgp.gov.cn)等；</w:t>
      </w:r>
    </w:p>
    <w:p>
      <w:pPr>
        <w:wordWrap w:val="0"/>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（2）查询截止时点：中标通知书发出前；</w:t>
      </w:r>
    </w:p>
    <w:p>
      <w:pPr>
        <w:wordWrap w:val="0"/>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（3）信用信息查询记录和证据留存方式：在查询网站中直接打印查询记录，打印材料作为招标活动资料保存；</w:t>
      </w:r>
    </w:p>
    <w:p>
      <w:pPr>
        <w:wordWrap w:val="0"/>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招标活动，取消其中标人资格。招标人依法按照评审报告中评标委员会推荐成交候选人排序表确定排名第二的中标候选人为中标人或者重新组织采购。</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6.8履约能力审查</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80" w:lineRule="exact"/>
        <w:ind w:firstLine="420" w:firstLineChars="200"/>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如招标人认为中标候选人的经营、财务状况发生较大变化或者存在违法行为可能影响其履约能力的，应当在中标通知书发出前由原评标委员会按照招标文件规定的标准和方法审查确认。</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7. 合同授予</w:t>
      </w:r>
    </w:p>
    <w:p>
      <w:pPr>
        <w:spacing w:line="380" w:lineRule="exact"/>
        <w:rPr>
          <w:rFonts w:hint="eastAsia" w:ascii="宋体" w:hAnsi="宋体" w:eastAsia="宋体" w:cs="宋体"/>
          <w:kern w:val="0"/>
          <w:sz w:val="21"/>
          <w:highlight w:val="none"/>
        </w:rPr>
      </w:pPr>
      <w:r>
        <w:rPr>
          <w:rFonts w:hint="eastAsia" w:ascii="宋体" w:hAnsi="宋体" w:eastAsia="宋体" w:cs="宋体"/>
          <w:b/>
          <w:kern w:val="0"/>
          <w:sz w:val="24"/>
          <w:highlight w:val="none"/>
        </w:rPr>
        <w:t>7.1 定标方式</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sz w:val="21"/>
          <w:szCs w:val="21"/>
          <w:highlight w:val="none"/>
        </w:rPr>
        <w:t>除投标人须知前附表规定评标委员会直接确定中标人外，招标人依据评标委员会推荐的中标候选人依法确定中标人，评标委员会推荐中标候选人的人数见“投标人须知前附表”。</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7.2中标公告及中标通知书</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7.2.1招标代理机构于评标结束后两个工作日内将评标报告送交招标人，招标人应当自收到评标报告五个工作日内在评标报告推荐的中标候选人中按顺序确定中标人；招标代理机构在中标人确定之日起两个工作日内在指定媒体上公告中标结果，中标公告期限为一个工作日。</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7.2.2中标公告发布的同时，招标代理机构向中标人发出中标通知书，中标人应自接到通知之日起七个工作日内，办理中标通知书领取手续。</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7.3 履约担保</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7.3.1履约保证金金额按中标价的</w:t>
      </w:r>
      <w:r>
        <w:rPr>
          <w:rFonts w:hint="eastAsia" w:ascii="宋体" w:hAnsi="宋体" w:cs="宋体"/>
          <w:kern w:val="0"/>
          <w:sz w:val="21"/>
          <w:highlight w:val="none"/>
          <w:lang w:val="en-US" w:eastAsia="zh-CN"/>
        </w:rPr>
        <w:t>2</w:t>
      </w:r>
      <w:r>
        <w:rPr>
          <w:rFonts w:hint="eastAsia" w:ascii="宋体" w:hAnsi="宋体" w:eastAsia="宋体" w:cs="宋体"/>
          <w:kern w:val="0"/>
          <w:sz w:val="21"/>
          <w:highlight w:val="none"/>
        </w:rPr>
        <w:t>%（人民币，四舍五入到元）缴纳，由中标人在签订合同前将履约保证金以支票、汇票、本票或者金融机构、担保机构出具的保函等非现金形式缴入招标人指定账户。</w:t>
      </w:r>
    </w:p>
    <w:p>
      <w:pPr>
        <w:spacing w:line="380" w:lineRule="exact"/>
        <w:ind w:firstLine="420" w:firstLineChars="200"/>
        <w:rPr>
          <w:rFonts w:hint="eastAsia" w:ascii="宋体" w:hAnsi="宋体" w:eastAsia="宋体" w:cs="宋体"/>
          <w:bCs/>
          <w:kern w:val="0"/>
          <w:sz w:val="21"/>
          <w:highlight w:val="none"/>
        </w:rPr>
      </w:pPr>
      <w:r>
        <w:rPr>
          <w:rFonts w:hint="eastAsia" w:ascii="宋体" w:hAnsi="宋体" w:eastAsia="宋体" w:cs="宋体"/>
          <w:bCs/>
          <w:sz w:val="21"/>
          <w:highlight w:val="none"/>
        </w:rPr>
        <w:t>根据《桂林市财政局关于进一步发挥政府采购政策功能促进企业发展的通知》（市财采〔2022〕7号）文件要求，对中型企业收取的履约保证金数额为采购合同金额的2%，免收小微企业履约保证金。</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7.3.2如果中标人未按上述第7.3.1款规定执行，招标人将上报监督管理机构，取消该中标资格，</w:t>
      </w:r>
      <w:r>
        <w:rPr>
          <w:rFonts w:hint="eastAsia" w:ascii="宋体" w:hAnsi="宋体" w:eastAsia="宋体" w:cs="宋体"/>
          <w:sz w:val="21"/>
          <w:szCs w:val="21"/>
          <w:highlight w:val="none"/>
        </w:rPr>
        <w:t>并有权授予第二中标候选人为中标人或重新组织采购。</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7.3.3中标人履行完合同约定权利义务事项后，凭相关材料向招标人申请办理退还手续，招标人应当自收到退还资料之日起5个工作日内退还其履约保证金。如中标人不按双方签订的合同规定履约，则没收其全部履约保证金，履约保证金不足以赔偿损失的，按实际损失赔偿。</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7.3.4在履约保证金到期退还前，若中标人的开户名称、开户银行、账号有变动的，请以书面形式通知</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人，否则由此产生的后果由中标人自负。</w:t>
      </w:r>
    </w:p>
    <w:p>
      <w:pPr>
        <w:spacing w:line="380" w:lineRule="exact"/>
        <w:rPr>
          <w:rFonts w:hint="eastAsia" w:ascii="宋体" w:hAnsi="宋体" w:eastAsia="宋体" w:cs="宋体"/>
          <w:kern w:val="0"/>
          <w:sz w:val="21"/>
          <w:highlight w:val="none"/>
        </w:rPr>
      </w:pPr>
      <w:r>
        <w:rPr>
          <w:rFonts w:hint="eastAsia" w:ascii="宋体" w:hAnsi="宋体" w:eastAsia="宋体" w:cs="宋体"/>
          <w:b/>
          <w:kern w:val="0"/>
          <w:sz w:val="24"/>
          <w:highlight w:val="none"/>
        </w:rPr>
        <w:t>7.4 签订合同</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w:t>
      </w:r>
      <w:r>
        <w:rPr>
          <w:rFonts w:hint="eastAsia" w:ascii="宋体" w:hAnsi="宋体" w:eastAsia="宋体" w:cs="宋体"/>
          <w:spacing w:val="-1"/>
          <w:kern w:val="0"/>
          <w:sz w:val="21"/>
          <w:highlight w:val="none"/>
        </w:rPr>
        <w:t>4</w:t>
      </w:r>
      <w:r>
        <w:rPr>
          <w:rFonts w:hint="eastAsia" w:ascii="宋体" w:hAnsi="宋体" w:eastAsia="宋体" w:cs="宋体"/>
          <w:kern w:val="0"/>
          <w:sz w:val="21"/>
          <w:highlight w:val="none"/>
        </w:rPr>
        <w:t>.1</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人和中标人应当自中标通知书发出之日起</w:t>
      </w:r>
      <w:r>
        <w:rPr>
          <w:rFonts w:hint="eastAsia" w:ascii="宋体" w:hAnsi="宋体" w:eastAsia="宋体" w:cs="宋体"/>
          <w:spacing w:val="-1"/>
          <w:kern w:val="0"/>
          <w:sz w:val="21"/>
          <w:highlight w:val="none"/>
        </w:rPr>
        <w:t>25</w:t>
      </w:r>
      <w:r>
        <w:rPr>
          <w:rFonts w:hint="eastAsia" w:ascii="宋体" w:hAnsi="宋体" w:eastAsia="宋体" w:cs="宋体"/>
          <w:kern w:val="0"/>
          <w:sz w:val="21"/>
          <w:highlight w:val="none"/>
        </w:rPr>
        <w:t>天</w:t>
      </w:r>
      <w:r>
        <w:rPr>
          <w:rFonts w:hint="eastAsia" w:ascii="宋体" w:hAnsi="宋体" w:eastAsia="宋体" w:cs="宋体"/>
          <w:spacing w:val="-1"/>
          <w:kern w:val="0"/>
          <w:sz w:val="21"/>
          <w:highlight w:val="none"/>
        </w:rPr>
        <w:t>内</w:t>
      </w:r>
      <w:r>
        <w:rPr>
          <w:rFonts w:hint="eastAsia" w:ascii="宋体" w:hAnsi="宋体" w:eastAsia="宋体" w:cs="宋体"/>
          <w:spacing w:val="-42"/>
          <w:kern w:val="0"/>
          <w:sz w:val="21"/>
          <w:highlight w:val="none"/>
        </w:rPr>
        <w:t>，</w:t>
      </w:r>
      <w:r>
        <w:rPr>
          <w:rFonts w:hint="eastAsia" w:ascii="宋体" w:hAnsi="宋体" w:eastAsia="宋体" w:cs="宋体"/>
          <w:kern w:val="0"/>
          <w:sz w:val="21"/>
          <w:highlight w:val="none"/>
        </w:rPr>
        <w:t>根据招标文件和中标人的投标文件订立书面合同</w:t>
      </w:r>
      <w:r>
        <w:rPr>
          <w:rFonts w:hint="eastAsia" w:ascii="宋体" w:hAnsi="宋体" w:eastAsia="宋体" w:cs="宋体"/>
          <w:spacing w:val="-31"/>
          <w:kern w:val="0"/>
          <w:sz w:val="21"/>
          <w:highlight w:val="none"/>
        </w:rPr>
        <w:t>。</w:t>
      </w:r>
      <w:r>
        <w:rPr>
          <w:rFonts w:hint="eastAsia" w:ascii="宋体" w:hAnsi="宋体" w:eastAsia="宋体" w:cs="宋体"/>
          <w:kern w:val="0"/>
          <w:sz w:val="21"/>
          <w:highlight w:val="none"/>
        </w:rPr>
        <w:t>中标人无正当理由拒签合同的</w:t>
      </w:r>
      <w:r>
        <w:rPr>
          <w:rFonts w:hint="eastAsia" w:ascii="宋体" w:hAnsi="宋体" w:eastAsia="宋体" w:cs="宋体"/>
          <w:spacing w:val="-31"/>
          <w:kern w:val="0"/>
          <w:sz w:val="21"/>
          <w:highlight w:val="none"/>
        </w:rPr>
        <w:t>，</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人取消其中标资格。</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7.4.2国有资金占控股或者主导地位的依法必须进行招标的项目，招标人应当确定排名第一的中标候选人为中标人。排名第一的中标候选人(或者评标委员会依据招标人的授权直接确定的中标人) 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80" w:lineRule="exact"/>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7</w:t>
      </w:r>
      <w:r>
        <w:rPr>
          <w:rFonts w:hint="eastAsia" w:ascii="宋体" w:hAnsi="宋体" w:eastAsia="宋体" w:cs="宋体"/>
          <w:kern w:val="0"/>
          <w:sz w:val="21"/>
          <w:highlight w:val="none"/>
        </w:rPr>
        <w:t>.4.3发出中标通知书后，</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人无正当理由拒签合同的，由有关行政监督部门给予警告，责令改正。给中标人造成损失的，还应当赔偿损失。</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7.4.4合同存档：政府采购合同双方自签订之日起1个工作日内将合同原件两份交招标代理机构。招标代理机构将政府采购合同在省级以上人民政府财政部门指定媒体上公告并于合同签订之日起7个工作日内将一份合同原件送</w:t>
      </w:r>
      <w:r>
        <w:rPr>
          <w:rFonts w:hint="eastAsia" w:ascii="宋体" w:hAnsi="宋体" w:eastAsia="宋体" w:cs="宋体"/>
          <w:color w:val="auto"/>
          <w:w w:val="100"/>
          <w:sz w:val="21"/>
          <w:szCs w:val="21"/>
          <w:highlight w:val="none"/>
          <w:lang w:val="en-US" w:eastAsia="zh-CN"/>
        </w:rPr>
        <w:t>永福县人民政府采购管理办公室</w:t>
      </w:r>
      <w:r>
        <w:rPr>
          <w:rFonts w:hint="eastAsia" w:ascii="宋体" w:hAnsi="宋体" w:eastAsia="宋体" w:cs="宋体"/>
          <w:kern w:val="0"/>
          <w:sz w:val="21"/>
          <w:highlight w:val="none"/>
        </w:rPr>
        <w:t>备案，一份由招标代理机构存档。</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8.重新招标和不再招标</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8.1 重新招标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有下列情形之一的，</w:t>
      </w:r>
      <w:r>
        <w:rPr>
          <w:rFonts w:hint="eastAsia" w:ascii="宋体" w:hAnsi="宋体" w:eastAsia="宋体" w:cs="宋体"/>
          <w:sz w:val="21"/>
          <w:szCs w:val="21"/>
          <w:highlight w:val="none"/>
        </w:rPr>
        <w:t>招标</w:t>
      </w:r>
      <w:r>
        <w:rPr>
          <w:rFonts w:hint="eastAsia" w:ascii="宋体" w:hAnsi="宋体" w:eastAsia="宋体" w:cs="宋体"/>
          <w:kern w:val="0"/>
          <w:sz w:val="21"/>
          <w:highlight w:val="none"/>
        </w:rPr>
        <w:t>人将重新招标：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（1）投标截止时，投标人少于3个的；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（2）经评标委员会评审后，所有投标被否决或者部分投标被否决后，有效投标不足3个，导致投标明显缺乏竞争的；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（3）其他有关法规和文件规定的应当重新招标的情形。</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8.2 不再招标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重新招标后投标人仍少于3个或者重新招标后所有投标被否决的，属于必须审批或核准的工程建设项目，经原审批或核准部门批准后可不再进行招标。</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9.纪律和监督</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9.1 对招标人的纪律要求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招标人不得泄漏招标投标活动中应当保密的情况和资料，不得与投标人串通损害国家利益、社会公共利益或者他人合法权益。有下列情形之一的，属于招标人与投标人串通投标：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（1）招标人在开标前开启投标文件并将有关信息泄露给其他投标人；</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（2）招标人直接或者间接向投标人泄露标底、评标委员会成员等信息；</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（3）招标人明示或者暗示投标人压低或者抬高投标报价；</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（4）招标人授意投标人撤换、修改投标文件；</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（5）招标人明示或者暗示投标人为特定投标人中标提供方便；</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（6）招标人与投标人为谋求特定投标人中标而采取的其他串通行为。</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9.2 对投标人的纪律要求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9.2.1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（1）投标人之间协商投标报价等投标文件的实质性内容；</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（2）投标人之间约定中标人；</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（3）投标人之间约定部分投标人放弃投标或者中标；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（4）属于同一集团、协会、商会等组织成员的投标人按照该组织要求协同投标；</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（5）投标人之间为谋取中标或者排斥特定投标人而采取的其他联合行动；</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（6）不同投标人的投标文件由同一单位或者个人编制；</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（7）不同投标人委托同一单位或者个人办理投标事宜；</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（8）不同投标人的投标文件载明的项目管理成员为同一人；</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（9）不同投标人的投标文件异常一致或者投标报价呈规律性差异；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（10）不同投标人的投标文件相互混编；</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（11）不同投标人的投标文件由同一单位、个人或同一台电脑编制；</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（12）不同投标人的投标文件上传的机器码一致的。</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9.2.2投标人不得向招标人或评标委员会成员或其他有关人员索问评标过程的情况和材料。</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9.3对评标委员会成员的纪律要求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8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rPr>
        <w:t>9.4对与评标活动有关的工作人员的纪律要求</w:t>
      </w:r>
    </w:p>
    <w:p>
      <w:pPr>
        <w:spacing w:line="38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与评标活动有关的工作人员不得收受他人的财物或者其他好处</w:t>
      </w:r>
      <w:r>
        <w:rPr>
          <w:rFonts w:hint="eastAsia" w:ascii="宋体" w:hAnsi="宋体" w:eastAsia="宋体" w:cs="宋体"/>
          <w:spacing w:val="-94"/>
          <w:kern w:val="0"/>
          <w:sz w:val="21"/>
          <w:highlight w:val="none"/>
        </w:rPr>
        <w:t>，</w:t>
      </w:r>
      <w:r>
        <w:rPr>
          <w:rFonts w:hint="eastAsia" w:ascii="宋体" w:hAnsi="宋体" w:eastAsia="宋体" w:cs="宋体"/>
          <w:kern w:val="0"/>
          <w:sz w:val="21"/>
          <w:highlight w:val="none"/>
        </w:rPr>
        <w:t>不得向他人透漏对投标文件的评审和比较</w:t>
      </w:r>
      <w:r>
        <w:rPr>
          <w:rFonts w:hint="eastAsia" w:ascii="宋体" w:hAnsi="宋体" w:eastAsia="宋体" w:cs="宋体"/>
          <w:spacing w:val="-31"/>
          <w:kern w:val="0"/>
          <w:sz w:val="21"/>
          <w:highlight w:val="none"/>
        </w:rPr>
        <w:t>、</w:t>
      </w:r>
      <w:r>
        <w:rPr>
          <w:rFonts w:hint="eastAsia" w:ascii="宋体" w:hAnsi="宋体" w:eastAsia="宋体" w:cs="宋体"/>
          <w:kern w:val="0"/>
          <w:sz w:val="21"/>
          <w:highlight w:val="none"/>
        </w:rPr>
        <w:t>中标候选人的推荐情况以及评标有关的其他情况</w:t>
      </w:r>
      <w:r>
        <w:rPr>
          <w:rFonts w:hint="eastAsia" w:ascii="宋体" w:hAnsi="宋体" w:eastAsia="宋体" w:cs="宋体"/>
          <w:spacing w:val="-31"/>
          <w:kern w:val="0"/>
          <w:sz w:val="21"/>
          <w:highlight w:val="none"/>
        </w:rPr>
        <w:t>。</w:t>
      </w:r>
      <w:r>
        <w:rPr>
          <w:rFonts w:hint="eastAsia" w:ascii="宋体" w:hAnsi="宋体" w:eastAsia="宋体" w:cs="宋体"/>
          <w:kern w:val="0"/>
          <w:sz w:val="21"/>
          <w:highlight w:val="none"/>
        </w:rPr>
        <w:t>在评标活动中</w:t>
      </w:r>
      <w:r>
        <w:rPr>
          <w:rFonts w:hint="eastAsia" w:ascii="宋体" w:hAnsi="宋体" w:eastAsia="宋体" w:cs="宋体"/>
          <w:spacing w:val="-31"/>
          <w:kern w:val="0"/>
          <w:sz w:val="21"/>
          <w:highlight w:val="none"/>
        </w:rPr>
        <w:t>，</w:t>
      </w:r>
      <w:r>
        <w:rPr>
          <w:rFonts w:hint="eastAsia" w:ascii="宋体" w:hAnsi="宋体" w:eastAsia="宋体" w:cs="宋体"/>
          <w:kern w:val="0"/>
          <w:sz w:val="21"/>
          <w:highlight w:val="none"/>
        </w:rPr>
        <w:t>与评标活动有关的工作人员不得擅离职守，影响评标程序正常进行。</w:t>
      </w:r>
    </w:p>
    <w:p>
      <w:pPr>
        <w:spacing w:line="380" w:lineRule="exact"/>
        <w:rPr>
          <w:rFonts w:hint="eastAsia" w:ascii="宋体" w:hAnsi="宋体" w:eastAsia="宋体" w:cs="宋体"/>
          <w:kern w:val="0"/>
          <w:sz w:val="21"/>
          <w:highlight w:val="none"/>
        </w:rPr>
      </w:pPr>
      <w:r>
        <w:rPr>
          <w:rFonts w:hint="eastAsia" w:ascii="宋体" w:hAnsi="宋体" w:eastAsia="宋体" w:cs="宋体"/>
          <w:b/>
          <w:bCs/>
          <w:kern w:val="0"/>
          <w:sz w:val="24"/>
          <w:szCs w:val="24"/>
          <w:highlight w:val="none"/>
        </w:rPr>
        <w:t>9.5</w:t>
      </w:r>
      <w:r>
        <w:rPr>
          <w:rFonts w:hint="eastAsia" w:ascii="宋体" w:hAnsi="宋体" w:eastAsia="宋体" w:cs="宋体"/>
          <w:kern w:val="0"/>
          <w:sz w:val="21"/>
          <w:highlight w:val="none"/>
        </w:rPr>
        <w:t xml:space="preserve"> </w:t>
      </w:r>
      <w:r>
        <w:rPr>
          <w:rFonts w:hint="eastAsia" w:ascii="宋体" w:hAnsi="宋体" w:eastAsia="宋体" w:cs="宋体"/>
          <w:b/>
          <w:kern w:val="0"/>
          <w:sz w:val="24"/>
          <w:highlight w:val="none"/>
        </w:rPr>
        <w:t>质疑和投诉</w:t>
      </w:r>
    </w:p>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9.5.1投标人认为招标文件使自己的合法权益受到损害的，应当在本项目公告期限届满之日起七个工作日内以书面形式向招标代理机构提出质疑；投标人认为招标过程或中标结果使自己的合法权益受到损害的，应当在各采购程序环节结束之日或中标公告期限届满之日起七个工作日内，以书面形式向招标代理机构提出质疑。</w:t>
      </w:r>
    </w:p>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9.5.2投标人对招标代理机构的答复不满意或者招标代理机构未在规定的时间内作出答复的，可以在答复期满后十五个工作日内向</w:t>
      </w:r>
      <w:r>
        <w:rPr>
          <w:rFonts w:hint="eastAsia" w:ascii="宋体" w:hAnsi="宋体" w:eastAsia="宋体" w:cs="宋体"/>
          <w:kern w:val="0"/>
          <w:highlight w:val="none"/>
          <w:lang w:eastAsia="zh-CN"/>
        </w:rPr>
        <w:t>永福</w:t>
      </w:r>
      <w:r>
        <w:rPr>
          <w:rFonts w:hint="eastAsia" w:ascii="宋体" w:hAnsi="宋体" w:eastAsia="宋体" w:cs="宋体"/>
          <w:kern w:val="0"/>
          <w:highlight w:val="none"/>
        </w:rPr>
        <w:t>县政府采购监督管理部门投诉。</w:t>
      </w:r>
    </w:p>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9.5.3质疑、投诉应当采用书面形式，质疑书、投诉书实行实名制，均应明确阐述招标文件、招标过程或中标结果中使自己合法权益受到损害的实质性内容，并提供必要的证明材料。</w:t>
      </w:r>
    </w:p>
    <w:p>
      <w:pPr>
        <w:spacing w:line="380" w:lineRule="exact"/>
        <w:rPr>
          <w:rFonts w:hint="eastAsia" w:ascii="宋体" w:hAnsi="宋体" w:eastAsia="宋体" w:cs="宋体"/>
          <w:b/>
          <w:kern w:val="0"/>
          <w:highlight w:val="none"/>
        </w:rPr>
      </w:pPr>
      <w:r>
        <w:rPr>
          <w:rFonts w:hint="eastAsia" w:ascii="宋体" w:hAnsi="宋体" w:eastAsia="宋体" w:cs="宋体"/>
          <w:b/>
          <w:kern w:val="0"/>
          <w:highlight w:val="none"/>
        </w:rPr>
        <w:t>10. 需要补充的其他内容</w:t>
      </w:r>
    </w:p>
    <w:p>
      <w:pPr>
        <w:spacing w:line="380" w:lineRule="exact"/>
        <w:rPr>
          <w:rFonts w:hint="eastAsia" w:ascii="宋体" w:hAnsi="宋体" w:eastAsia="宋体" w:cs="宋体"/>
          <w:b/>
          <w:sz w:val="21"/>
          <w:highlight w:val="none"/>
        </w:rPr>
      </w:pPr>
      <w:r>
        <w:rPr>
          <w:rFonts w:hint="eastAsia" w:ascii="宋体" w:hAnsi="宋体" w:eastAsia="宋体" w:cs="宋体"/>
          <w:b/>
          <w:sz w:val="21"/>
          <w:highlight w:val="none"/>
        </w:rPr>
        <w:t>10.1招标控制价</w:t>
      </w:r>
    </w:p>
    <w:p>
      <w:pPr>
        <w:spacing w:line="380" w:lineRule="exact"/>
        <w:ind w:firstLine="420" w:firstLineChars="200"/>
        <w:rPr>
          <w:rFonts w:hint="eastAsia" w:ascii="宋体" w:hAnsi="宋体" w:eastAsia="宋体" w:cs="宋体"/>
          <w:sz w:val="21"/>
          <w:highlight w:val="none"/>
        </w:rPr>
      </w:pPr>
      <w:r>
        <w:rPr>
          <w:rFonts w:hint="eastAsia" w:ascii="宋体" w:hAnsi="宋体" w:eastAsia="宋体" w:cs="宋体"/>
          <w:sz w:val="21"/>
          <w:szCs w:val="21"/>
          <w:highlight w:val="none"/>
        </w:rPr>
        <w:t>见投标人须知前附表。</w:t>
      </w:r>
    </w:p>
    <w:p>
      <w:pPr>
        <w:spacing w:line="380" w:lineRule="exact"/>
        <w:rPr>
          <w:rFonts w:hint="eastAsia" w:ascii="宋体" w:hAnsi="宋体" w:eastAsia="宋体" w:cs="宋体"/>
          <w:kern w:val="0"/>
          <w:sz w:val="21"/>
          <w:szCs w:val="21"/>
          <w:highlight w:val="none"/>
        </w:rPr>
      </w:pPr>
      <w:r>
        <w:rPr>
          <w:rFonts w:hint="eastAsia" w:ascii="宋体" w:hAnsi="宋体" w:eastAsia="宋体" w:cs="宋体"/>
          <w:b/>
          <w:sz w:val="21"/>
          <w:highlight w:val="none"/>
        </w:rPr>
        <w:t>10.2招标代理服务费</w:t>
      </w:r>
    </w:p>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10.2.1中标人领取中标通知书前，向</w:t>
      </w:r>
      <w:r>
        <w:rPr>
          <w:rFonts w:hint="eastAsia" w:ascii="宋体" w:hAnsi="宋体" w:eastAsia="宋体" w:cs="宋体"/>
          <w:kern w:val="0"/>
          <w:highlight w:val="none"/>
          <w:lang w:eastAsia="zh-CN"/>
        </w:rPr>
        <w:t>广西煜昌工程咨询有限公司</w:t>
      </w:r>
      <w:r>
        <w:rPr>
          <w:rFonts w:hint="eastAsia" w:ascii="宋体" w:hAnsi="宋体" w:eastAsia="宋体" w:cs="宋体"/>
          <w:kern w:val="0"/>
          <w:highlight w:val="none"/>
        </w:rPr>
        <w:t>一次性付清招标代理服务费，本项目的招标代理服务收费标准参照计价格〔2002〕1980号《招标代理服务收费管理暂行办法》工程类收费标准和发改办价格〔2003〕857号文的规定</w:t>
      </w:r>
      <w:r>
        <w:rPr>
          <w:rFonts w:hint="eastAsia" w:hAnsi="宋体" w:cs="宋体"/>
          <w:kern w:val="0"/>
          <w:highlight w:val="none"/>
          <w:lang w:val="en-US" w:eastAsia="zh-CN"/>
        </w:rPr>
        <w:t>计算</w:t>
      </w:r>
      <w:bookmarkStart w:id="776" w:name="_GoBack"/>
      <w:bookmarkEnd w:id="776"/>
      <w:r>
        <w:rPr>
          <w:rFonts w:hint="eastAsia" w:ascii="宋体" w:hAnsi="宋体" w:eastAsia="宋体" w:cs="宋体"/>
          <w:kern w:val="0"/>
          <w:highlight w:val="none"/>
        </w:rPr>
        <w:t>。</w:t>
      </w:r>
    </w:p>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招标代理服务收费标准</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7"/>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2647" w:type="dxa"/>
            <w:noWrap w:val="0"/>
            <w:vAlign w:val="top"/>
          </w:tcPr>
          <w:p>
            <w:pPr>
              <w:wordWrap w:val="0"/>
              <w:spacing w:line="360" w:lineRule="exact"/>
              <w:ind w:firstLine="1275"/>
              <w:rPr>
                <w:rFonts w:hint="eastAsia" w:ascii="宋体" w:hAnsi="宋体" w:eastAsia="宋体" w:cs="宋体"/>
                <w:bCs/>
                <w:sz w:val="21"/>
                <w:szCs w:val="21"/>
                <w:highlight w:val="none"/>
              </w:rPr>
            </w:pPr>
            <w:r>
              <w:rPr>
                <w:rFonts w:hint="eastAsia" w:ascii="宋体" w:hAnsi="宋体" w:eastAsia="宋体" w:cs="宋体"/>
                <w:bCs/>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-6350</wp:posOffset>
                      </wp:positionV>
                      <wp:extent cx="1262380" cy="1377315"/>
                      <wp:effectExtent l="3810" t="3175" r="10160" b="10160"/>
                      <wp:wrapNone/>
                      <wp:docPr id="3" name="直线 16"/>
                      <wp:cNvGraphicFramePr/>
                      <a:graphic xmlns:a="http://schemas.openxmlformats.org/drawingml/2006/main">
                        <a:graphicData uri="http://schemas.microsoft.com/office/word/2010/wordprocessingShape">
                          <wps:wsp>
                            <wps:cNvCnPr/>
                            <wps:spPr>
                              <a:xfrm flipH="1" flipV="1">
                                <a:off x="0" y="0"/>
                                <a:ext cx="1262380" cy="13773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flip:x y;margin-left:27pt;margin-top:-0.5pt;height:108.45pt;width:99.4pt;z-index:251661312;mso-width-relative:page;mso-height-relative:page;" filled="f" stroked="t" coordsize="21600,21600" o:gfxdata="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RZjb1QAAAAkBAAAPAAAAAAAAAAEAIAAAACIAAABkcnMvZG93bnJldi54bWxQ&#10;SwECFAAUAAAACACHTuJAzufRSvoBAAD2AwAADgAAAAAAAAABACAAAAAkAQAAZHJzL2Uyb0RvYy54&#10;bWxQSwUGAAAAAAYABgBZAQAAkAUAA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wp:posOffset>
                      </wp:positionV>
                      <wp:extent cx="635" cy="0"/>
                      <wp:effectExtent l="0" t="0" r="0" b="0"/>
                      <wp:wrapNone/>
                      <wp:docPr id="1" name="直线 1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9pt;margin-top:-0.5pt;height:0pt;width:0.05pt;z-index:25165926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uR037VAAAACQEA&#10;AA8AAAAAAAAAAQAgAAAAIgAAAGRycy9kb3ducmV2LnhtbFBLAQIUABQAAAAIAIdO4kCt0hWS5AEA&#10;ANgDAAAOAAAAAAAAAAEAIAAAACQBAABkcnMvZTJvRG9jLnhtbFBLBQYAAAAABgAGAFkBAAB6BQAA&#10;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w:t>服</w:t>
            </w:r>
          </w:p>
          <w:p>
            <w:pPr>
              <w:wordWrap w:val="0"/>
              <w:spacing w:line="360" w:lineRule="exact"/>
              <w:ind w:firstLine="210" w:firstLineChars="1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费　　　　　务</w:t>
            </w:r>
          </w:p>
          <w:p>
            <w:pPr>
              <w:wordWrap w:val="0"/>
              <w:spacing w:line="360" w:lineRule="exact"/>
              <w:ind w:firstLine="1050" w:firstLineChars="500"/>
              <w:rPr>
                <w:rFonts w:hint="eastAsia" w:ascii="宋体" w:hAnsi="宋体" w:eastAsia="宋体" w:cs="宋体"/>
                <w:bCs/>
                <w:sz w:val="21"/>
                <w:szCs w:val="21"/>
                <w:highlight w:val="none"/>
              </w:rPr>
            </w:pPr>
            <w:r>
              <w:rPr>
                <w:rFonts w:hint="eastAsia" w:ascii="宋体" w:hAnsi="宋体" w:eastAsia="宋体" w:cs="宋体"/>
                <w:bCs/>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90805</wp:posOffset>
                      </wp:positionV>
                      <wp:extent cx="1689735" cy="822960"/>
                      <wp:effectExtent l="1905" t="4445" r="3810" b="10795"/>
                      <wp:wrapNone/>
                      <wp:docPr id="2" name="直线 15"/>
                      <wp:cNvGraphicFramePr/>
                      <a:graphic xmlns:a="http://schemas.openxmlformats.org/drawingml/2006/main">
                        <a:graphicData uri="http://schemas.microsoft.com/office/word/2010/wordprocessingShape">
                          <wps:wsp>
                            <wps:cNvCnPr/>
                            <wps:spPr>
                              <a:xfrm flipH="1" flipV="1">
                                <a:off x="0" y="0"/>
                                <a:ext cx="1689735" cy="8229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flip:x y;margin-left:-6.65pt;margin-top:7.15pt;height:64.8pt;width:133.05pt;z-index:251660288;mso-width-relative:page;mso-height-relative:page;" filled="f" stroked="t" coordsize="21600,21600" o:gfxdata="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GynW1AAAAAoBAAAPAAAAAAAAAAEAIAAAACIAAABkcnMvZG93bnJldi54bWxQ&#10;SwECFAAUAAAACACHTuJACUFuzPsBAAD1AwAADgAAAAAAAAABACAAAAAjAQAAZHJzL2Uyb0RvYy54&#10;bWxQSwUGAAAAAAYABgBZAQAAkAUAA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w:t>　　　类</w:t>
            </w:r>
          </w:p>
          <w:p>
            <w:pPr>
              <w:wordWrap w:val="0"/>
              <w:spacing w:line="360" w:lineRule="exact"/>
              <w:ind w:firstLine="1050" w:firstLineChars="500"/>
              <w:rPr>
                <w:rFonts w:hint="eastAsia" w:ascii="宋体" w:hAnsi="宋体" w:eastAsia="宋体" w:cs="宋体"/>
                <w:bCs/>
                <w:sz w:val="21"/>
                <w:szCs w:val="21"/>
                <w:highlight w:val="none"/>
              </w:rPr>
            </w:pPr>
            <w:r>
              <w:rPr>
                <w:rFonts w:hint="eastAsia" w:ascii="宋体" w:hAnsi="宋体" w:eastAsia="宋体" w:cs="宋体"/>
                <w:bCs/>
                <w:sz w:val="21"/>
                <w:szCs w:val="21"/>
                <w:highlight w:val="none"/>
              </w:rPr>
              <w:t>率　　　型</w:t>
            </w:r>
          </w:p>
          <w:p>
            <w:pPr>
              <w:wordWrap w:val="0"/>
              <w:spacing w:line="360" w:lineRule="exact"/>
              <w:ind w:firstLine="1050" w:firstLineChars="5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w:t>
            </w:r>
          </w:p>
          <w:p>
            <w:pPr>
              <w:wordWrap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中标金额（万元）</w:t>
            </w:r>
          </w:p>
        </w:tc>
        <w:tc>
          <w:tcPr>
            <w:tcW w:w="1980" w:type="dxa"/>
            <w:noWrap w:val="0"/>
            <w:vAlign w:val="center"/>
          </w:tcPr>
          <w:p>
            <w:pPr>
              <w:wordWrap w:val="0"/>
              <w:spacing w:line="3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货物招标</w:t>
            </w:r>
          </w:p>
        </w:tc>
        <w:tc>
          <w:tcPr>
            <w:tcW w:w="1980" w:type="dxa"/>
            <w:noWrap w:val="0"/>
            <w:vAlign w:val="center"/>
          </w:tcPr>
          <w:p>
            <w:pPr>
              <w:wordWrap w:val="0"/>
              <w:spacing w:line="3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服务招标</w:t>
            </w:r>
          </w:p>
        </w:tc>
        <w:tc>
          <w:tcPr>
            <w:tcW w:w="1980" w:type="dxa"/>
            <w:noWrap w:val="0"/>
            <w:vAlign w:val="center"/>
          </w:tcPr>
          <w:p>
            <w:pPr>
              <w:wordWrap w:val="0"/>
              <w:spacing w:line="3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100以下</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100-500</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0.8%</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500-1000</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0.8%</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0.45%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1000-5000</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5000-10000</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10000-100000</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1000000以上</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c>
          <w:tcPr>
            <w:tcW w:w="1980" w:type="dxa"/>
            <w:noWrap w:val="0"/>
            <w:vAlign w:val="top"/>
          </w:tcPr>
          <w:p>
            <w:pPr>
              <w:wordWrap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r>
    </w:tbl>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注：招标代理服务收费按差额定率累进法计算。</w:t>
      </w:r>
    </w:p>
    <w:p>
      <w:pPr>
        <w:pStyle w:val="23"/>
        <w:spacing w:line="380" w:lineRule="exact"/>
        <w:ind w:firstLine="420" w:firstLineChars="200"/>
        <w:rPr>
          <w:rFonts w:hint="eastAsia" w:ascii="宋体" w:hAnsi="宋体" w:eastAsia="宋体" w:cs="宋体"/>
          <w:kern w:val="0"/>
          <w:highlight w:val="none"/>
        </w:rPr>
      </w:pPr>
    </w:p>
    <w:p>
      <w:pPr>
        <w:pStyle w:val="23"/>
        <w:spacing w:line="380" w:lineRule="exact"/>
        <w:ind w:firstLine="420" w:firstLineChars="200"/>
        <w:rPr>
          <w:rFonts w:hint="eastAsia" w:ascii="宋体" w:hAnsi="宋体" w:eastAsia="宋体" w:cs="宋体"/>
          <w:kern w:val="0"/>
          <w:highlight w:val="none"/>
        </w:rPr>
      </w:pPr>
      <w:r>
        <w:rPr>
          <w:rFonts w:hint="eastAsia" w:ascii="宋体" w:hAnsi="宋体" w:eastAsia="宋体" w:cs="宋体"/>
          <w:kern w:val="0"/>
          <w:highlight w:val="none"/>
        </w:rPr>
        <w:t>10.2.2招标代理服务费缴纳账户：</w:t>
      </w:r>
    </w:p>
    <w:p>
      <w:pPr>
        <w:pStyle w:val="23"/>
        <w:spacing w:line="380" w:lineRule="exact"/>
        <w:ind w:firstLine="420" w:firstLineChars="200"/>
        <w:rPr>
          <w:rFonts w:hint="eastAsia" w:ascii="宋体" w:hAnsi="宋体" w:eastAsia="宋体" w:cs="宋体"/>
          <w:kern w:val="0"/>
          <w:highlight w:val="none"/>
          <w:lang w:eastAsia="zh-CN"/>
        </w:rPr>
      </w:pPr>
      <w:r>
        <w:rPr>
          <w:rFonts w:hint="eastAsia" w:ascii="宋体" w:hAnsi="宋体" w:eastAsia="宋体" w:cs="宋体"/>
          <w:kern w:val="0"/>
          <w:highlight w:val="none"/>
        </w:rPr>
        <w:t>账户名称：</w:t>
      </w:r>
      <w:r>
        <w:rPr>
          <w:rFonts w:hint="eastAsia" w:ascii="宋体" w:hAnsi="宋体" w:eastAsia="宋体" w:cs="宋体"/>
          <w:kern w:val="0"/>
          <w:highlight w:val="none"/>
          <w:lang w:eastAsia="zh-CN"/>
        </w:rPr>
        <w:t xml:space="preserve">广西煜昌工程咨询有限公司          </w:t>
      </w:r>
      <w:r>
        <w:rPr>
          <w:rFonts w:hint="eastAsia" w:ascii="宋体" w:hAnsi="宋体" w:eastAsia="宋体" w:cs="宋体"/>
          <w:kern w:val="0"/>
          <w:highlight w:val="none"/>
        </w:rPr>
        <w:t>银行账号：</w:t>
      </w:r>
      <w:r>
        <w:rPr>
          <w:rFonts w:hint="eastAsia" w:ascii="宋体" w:hAnsi="宋体" w:eastAsia="宋体" w:cs="宋体"/>
          <w:kern w:val="0"/>
          <w:highlight w:val="none"/>
          <w:lang w:val="en-US" w:eastAsia="zh-CN"/>
        </w:rPr>
        <w:t>6600 0001 3511 9000 15</w:t>
      </w:r>
    </w:p>
    <w:p>
      <w:pPr>
        <w:pStyle w:val="23"/>
        <w:spacing w:line="380" w:lineRule="exact"/>
        <w:ind w:firstLine="420" w:firstLineChars="200"/>
        <w:rPr>
          <w:rFonts w:hint="eastAsia" w:ascii="宋体" w:hAnsi="宋体" w:eastAsia="宋体" w:cs="宋体"/>
          <w:kern w:val="0"/>
          <w:highlight w:val="none"/>
          <w:lang w:eastAsia="zh-CN"/>
        </w:rPr>
      </w:pPr>
      <w:r>
        <w:rPr>
          <w:rFonts w:hint="eastAsia" w:ascii="宋体" w:hAnsi="宋体" w:eastAsia="宋体" w:cs="宋体"/>
          <w:kern w:val="0"/>
          <w:highlight w:val="none"/>
          <w:lang w:eastAsia="zh-CN"/>
        </w:rPr>
        <w:t>开户银行：</w:t>
      </w:r>
      <w:r>
        <w:rPr>
          <w:rFonts w:hint="eastAsia" w:ascii="宋体" w:hAnsi="宋体" w:eastAsia="宋体" w:cs="宋体"/>
          <w:kern w:val="0"/>
          <w:highlight w:val="none"/>
          <w:lang w:val="en-US" w:eastAsia="zh-CN"/>
        </w:rPr>
        <w:t>桂林银行股份有限公司丽君路支行</w:t>
      </w:r>
    </w:p>
    <w:p>
      <w:pPr>
        <w:spacing w:line="380" w:lineRule="exact"/>
        <w:rPr>
          <w:rFonts w:hint="eastAsia" w:ascii="宋体" w:hAnsi="宋体" w:eastAsia="宋体" w:cs="宋体"/>
          <w:b/>
          <w:sz w:val="21"/>
          <w:highlight w:val="none"/>
        </w:rPr>
      </w:pPr>
      <w:r>
        <w:rPr>
          <w:rFonts w:hint="eastAsia" w:ascii="宋体" w:hAnsi="宋体" w:eastAsia="宋体" w:cs="宋体"/>
          <w:b/>
          <w:sz w:val="21"/>
          <w:highlight w:val="none"/>
        </w:rPr>
        <w:t>10.3解释权</w:t>
      </w:r>
    </w:p>
    <w:p>
      <w:pPr>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见投标人须知前附表要求。</w:t>
      </w:r>
    </w:p>
    <w:p>
      <w:pPr>
        <w:spacing w:line="380" w:lineRule="exact"/>
        <w:rPr>
          <w:rFonts w:hint="eastAsia" w:ascii="宋体" w:hAnsi="宋体" w:eastAsia="宋体" w:cs="宋体"/>
          <w:b/>
          <w:sz w:val="21"/>
          <w:highlight w:val="none"/>
        </w:rPr>
      </w:pPr>
      <w:r>
        <w:rPr>
          <w:rFonts w:hint="eastAsia" w:ascii="宋体" w:hAnsi="宋体" w:eastAsia="宋体" w:cs="宋体"/>
          <w:b/>
          <w:sz w:val="21"/>
          <w:highlight w:val="none"/>
        </w:rPr>
        <w:t>10.4监督管理机构</w:t>
      </w:r>
    </w:p>
    <w:p>
      <w:pPr>
        <w:spacing w:line="3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见投标人须知前附表要求。</w:t>
      </w:r>
    </w:p>
    <w:p>
      <w:pPr>
        <w:spacing w:line="380" w:lineRule="exact"/>
        <w:ind w:firstLine="420" w:firstLineChars="200"/>
        <w:rPr>
          <w:rFonts w:hint="eastAsia" w:ascii="宋体" w:hAnsi="宋体" w:eastAsia="宋体" w:cs="宋体"/>
          <w:kern w:val="0"/>
          <w:sz w:val="21"/>
          <w:highlight w:val="none"/>
        </w:rPr>
        <w:sectPr>
          <w:footerReference r:id="rId8" w:type="default"/>
          <w:pgSz w:w="11906" w:h="16838"/>
          <w:pgMar w:top="1247" w:right="1474" w:bottom="1247" w:left="1474" w:header="851" w:footer="992" w:gutter="0"/>
          <w:pgNumType w:fmt="decimal"/>
          <w:cols w:space="720" w:num="1"/>
          <w:docGrid w:type="lines" w:linePitch="312" w:charSpace="0"/>
        </w:sectPr>
      </w:pPr>
      <w:r>
        <w:rPr>
          <w:rFonts w:hint="eastAsia" w:ascii="宋体" w:hAnsi="宋体" w:eastAsia="宋体" w:cs="宋体"/>
          <w:kern w:val="0"/>
          <w:sz w:val="21"/>
          <w:highlight w:val="none"/>
        </w:rPr>
        <w:t xml:space="preserve">   </w:t>
      </w:r>
    </w:p>
    <w:p>
      <w:pPr>
        <w:rPr>
          <w:rFonts w:hint="eastAsia" w:ascii="宋体" w:hAnsi="宋体" w:eastAsia="宋体" w:cs="宋体"/>
          <w:kern w:val="0"/>
          <w:sz w:val="21"/>
          <w:highlight w:val="none"/>
        </w:rPr>
      </w:pPr>
      <w:r>
        <w:rPr>
          <w:rFonts w:hint="eastAsia" w:ascii="宋体" w:hAnsi="宋体" w:eastAsia="宋体" w:cs="宋体"/>
          <w:kern w:val="0"/>
          <w:sz w:val="21"/>
          <w:highlight w:val="none"/>
        </w:rPr>
        <w:t>附表一：问题澄清通知</w:t>
      </w:r>
    </w:p>
    <w:p>
      <w:pPr>
        <w:jc w:val="center"/>
        <w:rPr>
          <w:rFonts w:hint="eastAsia" w:ascii="宋体" w:hAnsi="宋体" w:eastAsia="宋体" w:cs="宋体"/>
          <w:b/>
          <w:kern w:val="0"/>
          <w:sz w:val="32"/>
          <w:highlight w:val="none"/>
        </w:rPr>
      </w:pPr>
      <w:r>
        <w:rPr>
          <w:rFonts w:hint="eastAsia" w:ascii="宋体" w:hAnsi="宋体" w:eastAsia="宋体" w:cs="宋体"/>
          <w:b/>
          <w:w w:val="99"/>
          <w:kern w:val="0"/>
          <w:sz w:val="32"/>
          <w:highlight w:val="none"/>
        </w:rPr>
        <w:t>问题澄清通知</w:t>
      </w:r>
    </w:p>
    <w:p>
      <w:pPr>
        <w:ind w:firstLine="3752" w:firstLineChars="1787"/>
        <w:rPr>
          <w:rFonts w:hint="eastAsia" w:ascii="宋体" w:hAnsi="宋体" w:eastAsia="宋体" w:cs="宋体"/>
          <w:kern w:val="0"/>
          <w:sz w:val="21"/>
          <w:highlight w:val="none"/>
        </w:rPr>
      </w:pPr>
      <w:r>
        <w:rPr>
          <w:rFonts w:hint="eastAsia" w:ascii="宋体" w:hAnsi="宋体" w:eastAsia="宋体" w:cs="宋体"/>
          <w:kern w:val="0"/>
          <w:sz w:val="21"/>
          <w:highlight w:val="none"/>
        </w:rPr>
        <w:t>编号：</w:t>
      </w:r>
    </w:p>
    <w:p>
      <w:pPr>
        <w:rPr>
          <w:rFonts w:hint="eastAsia" w:ascii="宋体" w:hAnsi="宋体" w:eastAsia="宋体" w:cs="宋体"/>
          <w:kern w:val="0"/>
          <w:sz w:val="21"/>
          <w:highlight w:val="none"/>
        </w:rPr>
      </w:pPr>
    </w:p>
    <w:p>
      <w:pPr>
        <w:rPr>
          <w:rFonts w:hint="eastAsia" w:ascii="宋体" w:hAnsi="宋体" w:eastAsia="宋体" w:cs="宋体"/>
          <w:kern w:val="0"/>
          <w:sz w:val="21"/>
          <w:highlight w:val="none"/>
        </w:rPr>
      </w:pP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（投标</w:t>
      </w:r>
      <w:r>
        <w:rPr>
          <w:rFonts w:hint="eastAsia" w:ascii="宋体" w:hAnsi="宋体" w:eastAsia="宋体" w:cs="宋体"/>
          <w:spacing w:val="-1"/>
          <w:kern w:val="0"/>
          <w:sz w:val="21"/>
          <w:highlight w:val="none"/>
        </w:rPr>
        <w:t>人</w:t>
      </w:r>
      <w:r>
        <w:rPr>
          <w:rFonts w:hint="eastAsia" w:ascii="宋体" w:hAnsi="宋体" w:eastAsia="宋体" w:cs="宋体"/>
          <w:kern w:val="0"/>
          <w:sz w:val="21"/>
          <w:highlight w:val="none"/>
        </w:rPr>
        <w:t>名称）：</w:t>
      </w:r>
    </w:p>
    <w:p>
      <w:pPr>
        <w:rPr>
          <w:rFonts w:hint="eastAsia" w:ascii="宋体" w:hAnsi="宋体" w:eastAsia="宋体" w:cs="宋体"/>
          <w:kern w:val="0"/>
          <w:sz w:val="21"/>
          <w:highlight w:val="none"/>
        </w:rPr>
      </w:pPr>
    </w:p>
    <w:p>
      <w:pPr>
        <w:ind w:firstLine="209" w:firstLineChars="101"/>
        <w:rPr>
          <w:rFonts w:hint="eastAsia" w:ascii="宋体" w:hAnsi="宋体" w:eastAsia="宋体" w:cs="宋体"/>
          <w:kern w:val="0"/>
          <w:sz w:val="21"/>
          <w:highlight w:val="none"/>
        </w:rPr>
      </w:pPr>
      <w:r>
        <w:rPr>
          <w:rFonts w:hint="eastAsia" w:ascii="宋体" w:hAnsi="宋体" w:eastAsia="宋体" w:cs="宋体"/>
          <w:w w:val="99"/>
          <w:kern w:val="0"/>
          <w:sz w:val="21"/>
          <w:highlight w:val="none"/>
          <w:u w:val="single"/>
        </w:rPr>
        <w:t xml:space="preserve">     （项目名称）   </w:t>
      </w:r>
      <w:r>
        <w:rPr>
          <w:rFonts w:hint="eastAsia" w:ascii="宋体" w:hAnsi="宋体" w:eastAsia="宋体" w:cs="宋体"/>
          <w:kern w:val="0"/>
          <w:sz w:val="21"/>
          <w:highlight w:val="none"/>
        </w:rPr>
        <w:t>施工招标的评标委员会</w:t>
      </w:r>
      <w:r>
        <w:rPr>
          <w:rFonts w:hint="eastAsia" w:ascii="宋体" w:hAnsi="宋体" w:eastAsia="宋体" w:cs="宋体"/>
          <w:spacing w:val="-31"/>
          <w:kern w:val="0"/>
          <w:sz w:val="21"/>
          <w:highlight w:val="none"/>
        </w:rPr>
        <w:t>，</w:t>
      </w:r>
      <w:r>
        <w:rPr>
          <w:rFonts w:hint="eastAsia" w:ascii="宋体" w:hAnsi="宋体" w:eastAsia="宋体" w:cs="宋体"/>
          <w:kern w:val="0"/>
          <w:sz w:val="21"/>
          <w:highlight w:val="none"/>
        </w:rPr>
        <w:t>对你方的投标文件进行了仔细的审查，现需你方对下列问题以书面形式予以澄清：</w:t>
      </w:r>
    </w:p>
    <w:p>
      <w:pPr>
        <w:rPr>
          <w:rFonts w:hint="eastAsia" w:ascii="宋体" w:hAnsi="宋体" w:eastAsia="宋体" w:cs="宋体"/>
          <w:kern w:val="0"/>
          <w:sz w:val="21"/>
          <w:highlight w:val="none"/>
        </w:rPr>
      </w:pPr>
    </w:p>
    <w:p>
      <w:pPr>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 xml:space="preserve"> </w:t>
      </w:r>
    </w:p>
    <w:p>
      <w:pPr>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2</w:t>
      </w: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 xml:space="preserve"> </w:t>
      </w:r>
    </w:p>
    <w:p>
      <w:pPr>
        <w:rPr>
          <w:rFonts w:hint="eastAsia" w:ascii="宋体" w:hAnsi="宋体" w:eastAsia="宋体" w:cs="宋体"/>
          <w:kern w:val="0"/>
          <w:sz w:val="21"/>
          <w:highlight w:val="none"/>
        </w:rPr>
      </w:pPr>
      <w:r>
        <w:rPr>
          <w:rFonts w:hint="eastAsia" w:ascii="宋体" w:hAnsi="宋体" w:eastAsia="宋体" w:cs="宋体"/>
          <w:kern w:val="0"/>
          <w:sz w:val="21"/>
          <w:highlight w:val="none"/>
        </w:rPr>
        <w:t>………..</w:t>
      </w:r>
    </w:p>
    <w:p>
      <w:pPr>
        <w:rPr>
          <w:rFonts w:hint="eastAsia" w:ascii="宋体" w:hAnsi="宋体" w:eastAsia="宋体" w:cs="宋体"/>
          <w:kern w:val="0"/>
          <w:sz w:val="21"/>
          <w:highlight w:val="none"/>
        </w:rPr>
      </w:pPr>
    </w:p>
    <w:p>
      <w:pPr>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请将上述问题的澄清于</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spacing w:val="-1"/>
          <w:kern w:val="0"/>
          <w:sz w:val="21"/>
          <w:highlight w:val="none"/>
        </w:rPr>
        <w:t>年</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rPr>
        <w:t>月</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rPr>
        <w:t>日</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rPr>
        <w:t>前递交至</w:t>
      </w:r>
      <w:r>
        <w:rPr>
          <w:rFonts w:hint="eastAsia" w:ascii="宋体" w:hAnsi="宋体" w:eastAsia="宋体" w:cs="宋体"/>
          <w:kern w:val="0"/>
          <w:sz w:val="21"/>
          <w:highlight w:val="none"/>
          <w:u w:val="single"/>
        </w:rPr>
        <w:t>（详</w:t>
      </w:r>
      <w:r>
        <w:rPr>
          <w:rFonts w:hint="eastAsia" w:ascii="宋体" w:hAnsi="宋体" w:eastAsia="宋体" w:cs="宋体"/>
          <w:spacing w:val="-1"/>
          <w:kern w:val="0"/>
          <w:sz w:val="21"/>
          <w:highlight w:val="none"/>
          <w:u w:val="single"/>
        </w:rPr>
        <w:t>细</w:t>
      </w:r>
      <w:r>
        <w:rPr>
          <w:rFonts w:hint="eastAsia" w:ascii="宋体" w:hAnsi="宋体" w:eastAsia="宋体" w:cs="宋体"/>
          <w:kern w:val="0"/>
          <w:sz w:val="21"/>
          <w:highlight w:val="none"/>
          <w:u w:val="single"/>
        </w:rPr>
        <w:t>地</w:t>
      </w:r>
      <w:r>
        <w:rPr>
          <w:rFonts w:hint="eastAsia" w:ascii="宋体" w:hAnsi="宋体" w:eastAsia="宋体" w:cs="宋体"/>
          <w:spacing w:val="1"/>
          <w:kern w:val="0"/>
          <w:sz w:val="21"/>
          <w:highlight w:val="none"/>
          <w:u w:val="single"/>
        </w:rPr>
        <w:t>址</w:t>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或传真至</w:t>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（传真号码）。采用传真方式的，应在</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年</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月</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日</w:t>
      </w:r>
      <w:r>
        <w:rPr>
          <w:rFonts w:hint="eastAsia" w:ascii="宋体" w:hAnsi="宋体" w:eastAsia="宋体" w:cs="宋体"/>
          <w:kern w:val="0"/>
          <w:sz w:val="21"/>
          <w:highlight w:val="none"/>
          <w:u w:val="single"/>
        </w:rPr>
        <w:tab/>
      </w:r>
      <w:r>
        <w:rPr>
          <w:rFonts w:hint="eastAsia" w:ascii="宋体" w:hAnsi="宋体" w:eastAsia="宋体" w:cs="宋体"/>
          <w:spacing w:val="1"/>
          <w:kern w:val="0"/>
          <w:sz w:val="21"/>
          <w:highlight w:val="none"/>
        </w:rPr>
        <w:t>时前</w:t>
      </w:r>
      <w:r>
        <w:rPr>
          <w:rFonts w:hint="eastAsia" w:ascii="宋体" w:hAnsi="宋体" w:eastAsia="宋体" w:cs="宋体"/>
          <w:kern w:val="0"/>
          <w:sz w:val="21"/>
          <w:highlight w:val="none"/>
        </w:rPr>
        <w:t>将原件递交至</w:t>
      </w:r>
      <w:r>
        <w:rPr>
          <w:rFonts w:hint="eastAsia" w:ascii="宋体" w:hAnsi="宋体" w:eastAsia="宋体" w:cs="宋体"/>
          <w:kern w:val="0"/>
          <w:sz w:val="21"/>
          <w:highlight w:val="none"/>
          <w:u w:val="single"/>
        </w:rPr>
        <w:t>（详</w:t>
      </w:r>
      <w:r>
        <w:rPr>
          <w:rFonts w:hint="eastAsia" w:ascii="宋体" w:hAnsi="宋体" w:eastAsia="宋体" w:cs="宋体"/>
          <w:spacing w:val="-1"/>
          <w:kern w:val="0"/>
          <w:sz w:val="21"/>
          <w:highlight w:val="none"/>
          <w:u w:val="single"/>
        </w:rPr>
        <w:t>细</w:t>
      </w:r>
      <w:r>
        <w:rPr>
          <w:rFonts w:hint="eastAsia" w:ascii="宋体" w:hAnsi="宋体" w:eastAsia="宋体" w:cs="宋体"/>
          <w:kern w:val="0"/>
          <w:sz w:val="21"/>
          <w:highlight w:val="none"/>
          <w:u w:val="single"/>
        </w:rPr>
        <w:t>地</w:t>
      </w:r>
      <w:r>
        <w:rPr>
          <w:rFonts w:hint="eastAsia" w:ascii="宋体" w:hAnsi="宋体" w:eastAsia="宋体" w:cs="宋体"/>
          <w:spacing w:val="1"/>
          <w:kern w:val="0"/>
          <w:sz w:val="21"/>
          <w:highlight w:val="none"/>
          <w:u w:val="single"/>
        </w:rPr>
        <w:t>址</w:t>
      </w:r>
      <w:r>
        <w:rPr>
          <w:rFonts w:hint="eastAsia" w:ascii="宋体" w:hAnsi="宋体" w:eastAsia="宋体" w:cs="宋体"/>
          <w:kern w:val="0"/>
          <w:sz w:val="21"/>
          <w:highlight w:val="none"/>
          <w:u w:val="single"/>
        </w:rPr>
        <w:t>）</w:t>
      </w:r>
      <w:r>
        <w:rPr>
          <w:rFonts w:hint="eastAsia" w:ascii="宋体" w:hAnsi="宋体" w:eastAsia="宋体" w:cs="宋体"/>
          <w:kern w:val="0"/>
          <w:sz w:val="21"/>
          <w:highlight w:val="none"/>
        </w:rPr>
        <w:t>。</w:t>
      </w:r>
    </w:p>
    <w:p>
      <w:pPr>
        <w:rPr>
          <w:rFonts w:hint="eastAsia" w:ascii="宋体" w:hAnsi="宋体" w:eastAsia="宋体" w:cs="宋体"/>
          <w:kern w:val="0"/>
          <w:sz w:val="21"/>
          <w:highlight w:val="none"/>
        </w:rPr>
      </w:pPr>
    </w:p>
    <w:p>
      <w:pPr>
        <w:ind w:firstLine="3536" w:firstLineChars="17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评</w:t>
      </w:r>
      <w:r>
        <w:rPr>
          <w:rFonts w:hint="eastAsia" w:ascii="宋体" w:hAnsi="宋体" w:eastAsia="宋体" w:cs="宋体"/>
          <w:kern w:val="0"/>
          <w:sz w:val="21"/>
          <w:highlight w:val="none"/>
        </w:rPr>
        <w:t>标工作组负责人：</w:t>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签</w:t>
      </w:r>
      <w:r>
        <w:rPr>
          <w:rFonts w:hint="eastAsia" w:ascii="宋体" w:hAnsi="宋体" w:eastAsia="宋体" w:cs="宋体"/>
          <w:kern w:val="0"/>
          <w:sz w:val="21"/>
          <w:highlight w:val="none"/>
        </w:rPr>
        <w:t>字）</w:t>
      </w:r>
    </w:p>
    <w:p>
      <w:pPr>
        <w:rPr>
          <w:rFonts w:hint="eastAsia" w:ascii="宋体" w:hAnsi="宋体" w:eastAsia="宋体" w:cs="宋体"/>
          <w:kern w:val="0"/>
          <w:sz w:val="21"/>
          <w:highlight w:val="none"/>
        </w:rPr>
      </w:pPr>
    </w:p>
    <w:p>
      <w:pPr>
        <w:rPr>
          <w:rFonts w:hint="eastAsia" w:ascii="宋体" w:hAnsi="宋体" w:eastAsia="宋体" w:cs="宋体"/>
          <w:kern w:val="0"/>
          <w:sz w:val="21"/>
          <w:highlight w:val="none"/>
        </w:rPr>
      </w:pPr>
    </w:p>
    <w:p>
      <w:pPr>
        <w:ind w:firstLine="5565" w:firstLineChars="2650"/>
        <w:rPr>
          <w:rFonts w:hint="eastAsia" w:ascii="宋体" w:hAnsi="宋体" w:eastAsia="宋体" w:cs="宋体"/>
          <w:kern w:val="0"/>
          <w:sz w:val="21"/>
          <w:highlight w:val="none"/>
        </w:rPr>
      </w:pP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年</w:t>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月</w:t>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日</w:t>
      </w:r>
    </w:p>
    <w:p>
      <w:pPr>
        <w:rPr>
          <w:rFonts w:hint="eastAsia" w:ascii="宋体" w:hAnsi="宋体" w:eastAsia="宋体" w:cs="宋体"/>
          <w:kern w:val="0"/>
          <w:sz w:val="21"/>
          <w:highlight w:val="none"/>
        </w:rPr>
      </w:pPr>
      <w:bookmarkStart w:id="37" w:name="_Toc207442840"/>
      <w:bookmarkStart w:id="38" w:name="_Toc208893543"/>
      <w:r>
        <w:rPr>
          <w:rFonts w:hint="eastAsia" w:ascii="宋体" w:hAnsi="宋体" w:eastAsia="宋体" w:cs="宋体"/>
          <w:kern w:val="0"/>
          <w:sz w:val="21"/>
          <w:highlight w:val="none"/>
        </w:rPr>
        <w:t>附表二：问题的澄清</w:t>
      </w:r>
      <w:bookmarkEnd w:id="37"/>
      <w:bookmarkEnd w:id="38"/>
    </w:p>
    <w:p>
      <w:pPr>
        <w:rPr>
          <w:rFonts w:hint="eastAsia" w:ascii="宋体" w:hAnsi="宋体" w:eastAsia="宋体" w:cs="宋体"/>
          <w:kern w:val="0"/>
          <w:sz w:val="21"/>
          <w:highlight w:val="none"/>
        </w:rPr>
      </w:pPr>
    </w:p>
    <w:p>
      <w:pPr>
        <w:rPr>
          <w:rFonts w:hint="eastAsia" w:ascii="宋体" w:hAnsi="宋体" w:eastAsia="宋体" w:cs="宋体"/>
          <w:kern w:val="0"/>
          <w:sz w:val="21"/>
          <w:highlight w:val="none"/>
        </w:rPr>
      </w:pPr>
    </w:p>
    <w:p>
      <w:pPr>
        <w:jc w:val="center"/>
        <w:rPr>
          <w:rFonts w:hint="eastAsia" w:ascii="宋体" w:hAnsi="宋体" w:eastAsia="宋体" w:cs="宋体"/>
          <w:b/>
          <w:kern w:val="0"/>
          <w:sz w:val="32"/>
          <w:highlight w:val="none"/>
        </w:rPr>
      </w:pPr>
      <w:r>
        <w:rPr>
          <w:rFonts w:hint="eastAsia" w:ascii="宋体" w:hAnsi="宋体" w:eastAsia="宋体" w:cs="宋体"/>
          <w:b/>
          <w:w w:val="99"/>
          <w:kern w:val="0"/>
          <w:sz w:val="32"/>
          <w:highlight w:val="none"/>
        </w:rPr>
        <w:t>问题的澄清</w:t>
      </w:r>
    </w:p>
    <w:p>
      <w:pPr>
        <w:jc w:val="center"/>
        <w:rPr>
          <w:rFonts w:hint="eastAsia" w:ascii="宋体" w:hAnsi="宋体" w:eastAsia="宋体" w:cs="宋体"/>
          <w:kern w:val="0"/>
          <w:sz w:val="21"/>
          <w:highlight w:val="none"/>
        </w:rPr>
      </w:pPr>
    </w:p>
    <w:p>
      <w:pPr>
        <w:ind w:firstLine="3685" w:firstLineChars="1755"/>
        <w:rPr>
          <w:rFonts w:hint="eastAsia" w:ascii="宋体" w:hAnsi="宋体" w:eastAsia="宋体" w:cs="宋体"/>
          <w:kern w:val="0"/>
          <w:sz w:val="21"/>
          <w:highlight w:val="none"/>
        </w:rPr>
      </w:pPr>
      <w:r>
        <w:rPr>
          <w:rFonts w:hint="eastAsia" w:ascii="宋体" w:hAnsi="宋体" w:eastAsia="宋体" w:cs="宋体"/>
          <w:kern w:val="0"/>
          <w:sz w:val="21"/>
          <w:highlight w:val="none"/>
        </w:rPr>
        <w:t>编号：</w:t>
      </w:r>
    </w:p>
    <w:p>
      <w:pPr>
        <w:rPr>
          <w:rFonts w:hint="eastAsia" w:ascii="宋体" w:hAnsi="宋体" w:eastAsia="宋体" w:cs="宋体"/>
          <w:kern w:val="0"/>
          <w:sz w:val="21"/>
          <w:highlight w:val="none"/>
        </w:rPr>
      </w:pPr>
    </w:p>
    <w:p>
      <w:pPr>
        <w:rPr>
          <w:rFonts w:hint="eastAsia" w:ascii="宋体" w:hAnsi="宋体" w:eastAsia="宋体" w:cs="宋体"/>
          <w:kern w:val="0"/>
          <w:sz w:val="21"/>
          <w:highlight w:val="none"/>
        </w:rPr>
      </w:pPr>
      <w:r>
        <w:rPr>
          <w:rFonts w:hint="eastAsia" w:ascii="宋体" w:hAnsi="宋体" w:eastAsia="宋体" w:cs="宋体"/>
          <w:w w:val="99"/>
          <w:kern w:val="0"/>
          <w:sz w:val="21"/>
          <w:highlight w:val="none"/>
          <w:u w:val="single"/>
        </w:rPr>
        <w:t xml:space="preserve">    （项目名称）   </w:t>
      </w:r>
      <w:r>
        <w:rPr>
          <w:rFonts w:hint="eastAsia" w:ascii="宋体" w:hAnsi="宋体" w:eastAsia="宋体" w:cs="宋体"/>
          <w:kern w:val="0"/>
          <w:sz w:val="21"/>
          <w:highlight w:val="none"/>
        </w:rPr>
        <w:t xml:space="preserve">施工招标评标委员会： </w:t>
      </w:r>
    </w:p>
    <w:p>
      <w:pPr>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问题澄清通知（编号：</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u w:val="single"/>
        </w:rPr>
        <w:t xml:space="preserve">   </w:t>
      </w:r>
      <w:r>
        <w:rPr>
          <w:rFonts w:hint="eastAsia" w:ascii="宋体" w:hAnsi="宋体" w:eastAsia="宋体" w:cs="宋体"/>
          <w:kern w:val="0"/>
          <w:sz w:val="21"/>
          <w:highlight w:val="none"/>
        </w:rPr>
        <w:t>）已收悉</w:t>
      </w:r>
      <w:r>
        <w:rPr>
          <w:rFonts w:hint="eastAsia" w:ascii="宋体" w:hAnsi="宋体" w:eastAsia="宋体" w:cs="宋体"/>
          <w:spacing w:val="-1"/>
          <w:kern w:val="0"/>
          <w:sz w:val="21"/>
          <w:highlight w:val="none"/>
        </w:rPr>
        <w:t>，</w:t>
      </w:r>
      <w:r>
        <w:rPr>
          <w:rFonts w:hint="eastAsia" w:ascii="宋体" w:hAnsi="宋体" w:eastAsia="宋体" w:cs="宋体"/>
          <w:kern w:val="0"/>
          <w:sz w:val="21"/>
          <w:highlight w:val="none"/>
        </w:rPr>
        <w:t>现澄清如下：</w:t>
      </w:r>
    </w:p>
    <w:p>
      <w:pPr>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1</w:t>
      </w: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 xml:space="preserve"> </w:t>
      </w:r>
    </w:p>
    <w:p>
      <w:pPr>
        <w:ind w:firstLine="424" w:firstLineChars="200"/>
        <w:rPr>
          <w:rFonts w:hint="eastAsia" w:ascii="宋体" w:hAnsi="宋体" w:eastAsia="宋体" w:cs="宋体"/>
          <w:kern w:val="0"/>
          <w:sz w:val="21"/>
          <w:highlight w:val="none"/>
        </w:rPr>
      </w:pPr>
      <w:r>
        <w:rPr>
          <w:rFonts w:hint="eastAsia" w:ascii="宋体" w:hAnsi="宋体" w:eastAsia="宋体" w:cs="宋体"/>
          <w:spacing w:val="1"/>
          <w:kern w:val="0"/>
          <w:sz w:val="21"/>
          <w:highlight w:val="none"/>
        </w:rPr>
        <w:t>2</w:t>
      </w:r>
      <w:r>
        <w:rPr>
          <w:rFonts w:hint="eastAsia" w:ascii="宋体" w:hAnsi="宋体" w:eastAsia="宋体" w:cs="宋体"/>
          <w:kern w:val="0"/>
          <w:sz w:val="21"/>
          <w:highlight w:val="none"/>
        </w:rPr>
        <w:t>.</w:t>
      </w:r>
      <w:r>
        <w:rPr>
          <w:rFonts w:hint="eastAsia" w:ascii="宋体" w:hAnsi="宋体" w:eastAsia="宋体" w:cs="宋体"/>
          <w:spacing w:val="1"/>
          <w:kern w:val="0"/>
          <w:sz w:val="21"/>
          <w:highlight w:val="none"/>
        </w:rPr>
        <w:t xml:space="preserve"> </w:t>
      </w:r>
    </w:p>
    <w:p>
      <w:pPr>
        <w:ind w:firstLine="447" w:firstLineChars="213"/>
        <w:rPr>
          <w:rFonts w:hint="eastAsia" w:ascii="宋体" w:hAnsi="宋体" w:eastAsia="宋体" w:cs="宋体"/>
          <w:kern w:val="0"/>
          <w:sz w:val="21"/>
          <w:highlight w:val="none"/>
        </w:rPr>
      </w:pPr>
      <w:r>
        <w:rPr>
          <w:rFonts w:hint="eastAsia" w:ascii="宋体" w:hAnsi="宋体" w:eastAsia="宋体" w:cs="宋体"/>
          <w:kern w:val="0"/>
          <w:sz w:val="21"/>
          <w:highlight w:val="none"/>
        </w:rPr>
        <w:t xml:space="preserve">  ………………</w:t>
      </w:r>
    </w:p>
    <w:p>
      <w:pPr>
        <w:ind w:firstLine="447" w:firstLineChars="213"/>
        <w:rPr>
          <w:rFonts w:hint="eastAsia" w:ascii="宋体" w:hAnsi="宋体" w:eastAsia="宋体" w:cs="宋体"/>
          <w:kern w:val="0"/>
          <w:sz w:val="21"/>
          <w:highlight w:val="none"/>
        </w:rPr>
      </w:pPr>
    </w:p>
    <w:p>
      <w:pPr>
        <w:ind w:firstLine="447" w:firstLineChars="213"/>
        <w:rPr>
          <w:rFonts w:hint="eastAsia" w:ascii="宋体" w:hAnsi="宋体" w:eastAsia="宋体" w:cs="宋体"/>
          <w:kern w:val="0"/>
          <w:sz w:val="21"/>
          <w:highlight w:val="none"/>
        </w:rPr>
      </w:pPr>
    </w:p>
    <w:p>
      <w:pPr>
        <w:ind w:firstLine="4252" w:firstLineChars="2025"/>
        <w:rPr>
          <w:rFonts w:hint="eastAsia" w:ascii="宋体" w:hAnsi="宋体" w:eastAsia="宋体" w:cs="宋体"/>
          <w:kern w:val="0"/>
          <w:sz w:val="21"/>
          <w:highlight w:val="none"/>
        </w:rPr>
      </w:pPr>
      <w:r>
        <w:rPr>
          <w:rFonts w:hint="eastAsia" w:ascii="宋体" w:hAnsi="宋体" w:eastAsia="宋体" w:cs="宋体"/>
          <w:kern w:val="0"/>
          <w:sz w:val="21"/>
          <w:highlight w:val="none"/>
        </w:rPr>
        <w:t>投标人：</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rPr>
        <w:t>（盖单位章）</w:t>
      </w:r>
    </w:p>
    <w:p>
      <w:pPr>
        <w:ind w:firstLine="4252" w:firstLineChars="2025"/>
        <w:rPr>
          <w:rFonts w:hint="eastAsia" w:ascii="宋体" w:hAnsi="宋体" w:eastAsia="宋体" w:cs="宋体"/>
          <w:kern w:val="0"/>
          <w:sz w:val="21"/>
          <w:highlight w:val="none"/>
        </w:rPr>
      </w:pPr>
      <w:r>
        <w:rPr>
          <w:rFonts w:hint="eastAsia" w:ascii="宋体" w:hAnsi="宋体" w:eastAsia="宋体" w:cs="宋体"/>
          <w:kern w:val="0"/>
          <w:sz w:val="21"/>
          <w:highlight w:val="none"/>
        </w:rPr>
        <w:t xml:space="preserve"> </w:t>
      </w:r>
    </w:p>
    <w:p>
      <w:pPr>
        <w:ind w:firstLine="4252" w:firstLineChars="2025"/>
        <w:rPr>
          <w:rFonts w:hint="eastAsia" w:ascii="宋体" w:hAnsi="宋体" w:eastAsia="宋体" w:cs="宋体"/>
          <w:kern w:val="0"/>
          <w:sz w:val="21"/>
          <w:highlight w:val="none"/>
        </w:rPr>
      </w:pPr>
      <w:r>
        <w:rPr>
          <w:rFonts w:hint="eastAsia" w:ascii="宋体" w:hAnsi="宋体" w:eastAsia="宋体" w:cs="宋体"/>
          <w:kern w:val="0"/>
          <w:sz w:val="21"/>
          <w:highlight w:val="none"/>
        </w:rPr>
        <w:t>法定代表人或其委托代理人：</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（签</w:t>
      </w:r>
      <w:r>
        <w:rPr>
          <w:rFonts w:hint="eastAsia" w:ascii="宋体" w:hAnsi="宋体" w:eastAsia="宋体" w:cs="宋体"/>
          <w:spacing w:val="-1"/>
          <w:kern w:val="0"/>
          <w:sz w:val="21"/>
          <w:highlight w:val="none"/>
        </w:rPr>
        <w:t>字</w:t>
      </w:r>
      <w:r>
        <w:rPr>
          <w:rFonts w:hint="eastAsia" w:ascii="宋体" w:hAnsi="宋体" w:eastAsia="宋体" w:cs="宋体"/>
          <w:kern w:val="0"/>
          <w:position w:val="-2"/>
          <w:sz w:val="21"/>
          <w:highlight w:val="none"/>
        </w:rPr>
        <w:t>、盖章</w:t>
      </w:r>
      <w:r>
        <w:rPr>
          <w:rFonts w:hint="eastAsia" w:ascii="宋体" w:hAnsi="宋体" w:eastAsia="宋体" w:cs="宋体"/>
          <w:kern w:val="0"/>
          <w:sz w:val="21"/>
          <w:highlight w:val="none"/>
        </w:rPr>
        <w:t>）</w:t>
      </w:r>
    </w:p>
    <w:p>
      <w:pPr>
        <w:ind w:firstLine="4252" w:firstLineChars="2025"/>
        <w:rPr>
          <w:rFonts w:hint="eastAsia" w:ascii="宋体" w:hAnsi="宋体" w:eastAsia="宋体" w:cs="宋体"/>
          <w:kern w:val="0"/>
          <w:sz w:val="21"/>
          <w:highlight w:val="none"/>
        </w:rPr>
      </w:pPr>
    </w:p>
    <w:p>
      <w:pPr>
        <w:ind w:firstLine="5670" w:firstLineChars="1350"/>
        <w:rPr>
          <w:rFonts w:hint="eastAsia" w:ascii="宋体" w:hAnsi="宋体" w:eastAsia="宋体" w:cs="宋体"/>
          <w:kern w:val="0"/>
          <w:sz w:val="21"/>
          <w:highlight w:val="none"/>
        </w:rPr>
      </w:pP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spacing w:val="-1"/>
          <w:kern w:val="0"/>
          <w:sz w:val="21"/>
          <w:highlight w:val="none"/>
        </w:rPr>
        <w:t>年</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月</w:t>
      </w:r>
      <w:r>
        <w:rPr>
          <w:rFonts w:hint="eastAsia" w:ascii="宋体" w:hAnsi="宋体" w:eastAsia="宋体" w:cs="宋体"/>
          <w:w w:val="200"/>
          <w:kern w:val="0"/>
          <w:sz w:val="21"/>
          <w:highlight w:val="none"/>
          <w:u w:val="single"/>
        </w:rPr>
        <w:t xml:space="preserve"> </w:t>
      </w:r>
      <w:r>
        <w:rPr>
          <w:rFonts w:hint="eastAsia" w:ascii="宋体" w:hAnsi="宋体" w:eastAsia="宋体" w:cs="宋体"/>
          <w:kern w:val="0"/>
          <w:sz w:val="21"/>
          <w:highlight w:val="none"/>
          <w:u w:val="single"/>
        </w:rPr>
        <w:tab/>
      </w:r>
      <w:r>
        <w:rPr>
          <w:rFonts w:hint="eastAsia" w:ascii="宋体" w:hAnsi="宋体" w:eastAsia="宋体" w:cs="宋体"/>
          <w:kern w:val="0"/>
          <w:sz w:val="21"/>
          <w:highlight w:val="none"/>
        </w:rPr>
        <w:t>日</w:t>
      </w:r>
    </w:p>
    <w:p>
      <w:pPr>
        <w:spacing w:line="300" w:lineRule="auto"/>
        <w:rPr>
          <w:rFonts w:hint="eastAsia" w:ascii="宋体" w:hAnsi="宋体" w:eastAsia="宋体" w:cs="宋体"/>
          <w:kern w:val="0"/>
          <w:sz w:val="24"/>
          <w:highlight w:val="none"/>
        </w:rPr>
        <w:sectPr>
          <w:pgSz w:w="11906" w:h="16838"/>
          <w:pgMar w:top="1247" w:right="1474" w:bottom="1247" w:left="1474" w:header="851" w:footer="992" w:gutter="0"/>
          <w:pgNumType w:fmt="decimal"/>
          <w:cols w:space="720" w:num="1"/>
          <w:docGrid w:type="lines" w:linePitch="312" w:charSpace="0"/>
        </w:sectPr>
      </w:pPr>
    </w:p>
    <w:p>
      <w:pPr>
        <w:pStyle w:val="4"/>
        <w:spacing w:line="240" w:lineRule="exact"/>
        <w:jc w:val="center"/>
        <w:rPr>
          <w:rFonts w:hint="eastAsia" w:ascii="宋体" w:hAnsi="宋体" w:eastAsia="宋体" w:cs="宋体"/>
          <w:highlight w:val="none"/>
        </w:rPr>
      </w:pPr>
      <w:bookmarkStart w:id="39" w:name="_Toc115372966"/>
      <w:r>
        <w:rPr>
          <w:rFonts w:hint="eastAsia" w:ascii="宋体" w:hAnsi="宋体" w:eastAsia="宋体" w:cs="宋体"/>
          <w:highlight w:val="none"/>
        </w:rPr>
        <w:t>第三章 评标办法（综合评分法）</w:t>
      </w:r>
      <w:bookmarkEnd w:id="39"/>
    </w:p>
    <w:p>
      <w:pPr>
        <w:pStyle w:val="162"/>
        <w:spacing w:line="451" w:lineRule="exact"/>
        <w:ind w:right="4"/>
        <w:jc w:val="center"/>
        <w:outlineLvl w:val="2"/>
        <w:rPr>
          <w:rFonts w:hint="eastAsia" w:ascii="宋体" w:hAnsi="宋体" w:eastAsia="宋体" w:cs="宋体"/>
          <w:b/>
          <w:sz w:val="32"/>
          <w:szCs w:val="32"/>
          <w:highlight w:val="none"/>
          <w:lang w:val="zh-CN"/>
        </w:rPr>
      </w:pPr>
      <w:bookmarkStart w:id="40" w:name="_Toc352587304"/>
      <w:bookmarkStart w:id="41" w:name="_Toc354381547"/>
      <w:bookmarkStart w:id="42" w:name="_Toc30048"/>
      <w:bookmarkStart w:id="43" w:name="_Toc214785158"/>
      <w:bookmarkStart w:id="44" w:name="_Toc238206011"/>
      <w:bookmarkStart w:id="45" w:name="_Toc354818242"/>
      <w:bookmarkStart w:id="46" w:name="_Toc25668"/>
      <w:bookmarkStart w:id="47" w:name="_Toc214788971"/>
      <w:bookmarkStart w:id="48" w:name="_Toc115372967"/>
      <w:bookmarkStart w:id="49" w:name="_Toc209648114"/>
      <w:r>
        <w:rPr>
          <w:rFonts w:hint="eastAsia" w:ascii="宋体" w:hAnsi="宋体" w:eastAsia="宋体" w:cs="宋体"/>
          <w:b/>
          <w:sz w:val="32"/>
          <w:szCs w:val="32"/>
          <w:highlight w:val="none"/>
          <w:lang w:val="zh-CN"/>
        </w:rPr>
        <w:t>评标办法前附表</w:t>
      </w:r>
      <w:bookmarkEnd w:id="40"/>
      <w:bookmarkEnd w:id="41"/>
      <w:bookmarkEnd w:id="42"/>
      <w:bookmarkEnd w:id="43"/>
      <w:bookmarkEnd w:id="44"/>
      <w:bookmarkEnd w:id="45"/>
      <w:bookmarkEnd w:id="46"/>
      <w:bookmarkEnd w:id="47"/>
      <w:bookmarkEnd w:id="48"/>
    </w:p>
    <w:p>
      <w:pPr>
        <w:spacing w:line="40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2.1初步评审</w:t>
      </w:r>
    </w:p>
    <w:tbl>
      <w:tblPr>
        <w:tblStyle w:val="47"/>
        <w:tblW w:w="9860" w:type="dxa"/>
        <w:tblInd w:w="-173" w:type="dxa"/>
        <w:tblLayout w:type="fixed"/>
        <w:tblCellMar>
          <w:top w:w="0" w:type="dxa"/>
          <w:left w:w="0" w:type="dxa"/>
          <w:bottom w:w="0" w:type="dxa"/>
          <w:right w:w="0" w:type="dxa"/>
        </w:tblCellMar>
      </w:tblPr>
      <w:tblGrid>
        <w:gridCol w:w="995"/>
        <w:gridCol w:w="999"/>
        <w:gridCol w:w="2743"/>
        <w:gridCol w:w="5123"/>
      </w:tblGrid>
      <w:tr>
        <w:tblPrEx>
          <w:tblCellMar>
            <w:top w:w="0" w:type="dxa"/>
            <w:left w:w="0" w:type="dxa"/>
            <w:bottom w:w="0" w:type="dxa"/>
            <w:right w:w="0" w:type="dxa"/>
          </w:tblCellMar>
        </w:tblPrEx>
        <w:trPr>
          <w:trHeight w:val="411" w:hRule="exact"/>
          <w:tblHead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0"/>
                <w:sz w:val="21"/>
                <w:szCs w:val="21"/>
                <w:highlight w:val="none"/>
              </w:rPr>
            </w:pPr>
            <w:r>
              <w:rPr>
                <w:rFonts w:hint="eastAsia" w:ascii="宋体" w:hAnsi="宋体" w:eastAsia="宋体" w:cs="宋体"/>
                <w:spacing w:val="1"/>
                <w:kern w:val="0"/>
                <w:sz w:val="21"/>
                <w:szCs w:val="21"/>
                <w:highlight w:val="none"/>
              </w:rPr>
              <w:t>条款号</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0"/>
                <w:sz w:val="21"/>
                <w:szCs w:val="21"/>
                <w:highlight w:val="none"/>
              </w:rPr>
            </w:pPr>
            <w:r>
              <w:rPr>
                <w:rFonts w:hint="eastAsia" w:ascii="宋体" w:hAnsi="宋体" w:eastAsia="宋体" w:cs="宋体"/>
                <w:spacing w:val="1"/>
                <w:kern w:val="0"/>
                <w:sz w:val="21"/>
                <w:szCs w:val="21"/>
                <w:highlight w:val="none"/>
              </w:rPr>
              <w:t>评审因素</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0"/>
                <w:sz w:val="21"/>
                <w:szCs w:val="21"/>
                <w:highlight w:val="none"/>
              </w:rPr>
            </w:pPr>
            <w:r>
              <w:rPr>
                <w:rFonts w:hint="eastAsia" w:ascii="宋体" w:hAnsi="宋体" w:eastAsia="宋体" w:cs="宋体"/>
                <w:spacing w:val="1"/>
                <w:kern w:val="0"/>
                <w:sz w:val="21"/>
                <w:szCs w:val="21"/>
                <w:highlight w:val="none"/>
              </w:rPr>
              <w:t>评审标准</w:t>
            </w:r>
          </w:p>
        </w:tc>
      </w:tr>
      <w:tr>
        <w:tblPrEx>
          <w:tblCellMar>
            <w:top w:w="0" w:type="dxa"/>
            <w:left w:w="0" w:type="dxa"/>
            <w:bottom w:w="0" w:type="dxa"/>
            <w:right w:w="0" w:type="dxa"/>
          </w:tblCellMar>
        </w:tblPrEx>
        <w:trPr>
          <w:cantSplit/>
          <w:trHeight w:val="480" w:hRule="atLeast"/>
        </w:trPr>
        <w:tc>
          <w:tcPr>
            <w:tcW w:w="995"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2.1.1</w:t>
            </w:r>
          </w:p>
        </w:tc>
        <w:tc>
          <w:tcPr>
            <w:tcW w:w="999"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资格评审标准</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投标文件签署</w:t>
            </w:r>
          </w:p>
        </w:tc>
        <w:tc>
          <w:tcPr>
            <w:tcW w:w="5123" w:type="dxa"/>
            <w:tcBorders>
              <w:top w:val="single" w:color="auto" w:sz="4" w:space="0"/>
              <w:left w:val="single" w:color="auto" w:sz="4" w:space="0"/>
              <w:bottom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宋体" w:hAnsi="宋体" w:eastAsia="宋体" w:cs="宋体"/>
                <w:color w:val="auto"/>
                <w:spacing w:val="-7"/>
                <w:kern w:val="2"/>
                <w:sz w:val="21"/>
                <w:highlight w:val="none"/>
                <w:lang w:eastAsia="zh-CN"/>
              </w:rPr>
            </w:pPr>
            <w:r>
              <w:rPr>
                <w:rFonts w:hint="eastAsia" w:ascii="宋体" w:hAnsi="宋体" w:eastAsia="宋体" w:cs="宋体"/>
                <w:color w:val="auto"/>
                <w:spacing w:val="-7"/>
                <w:kern w:val="2"/>
                <w:sz w:val="21"/>
                <w:highlight w:val="none"/>
                <w:lang w:eastAsia="zh-CN"/>
              </w:rPr>
              <w:t>有效的法定代表人身份证明（附身份证复印件） 或法定代表人授权委托书（附身份证复印件， 授权代</w:t>
            </w:r>
          </w:p>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理时提供）</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企业基本情况</w:t>
            </w:r>
          </w:p>
        </w:tc>
        <w:tc>
          <w:tcPr>
            <w:tcW w:w="5123" w:type="dxa"/>
            <w:tcBorders>
              <w:top w:val="single" w:color="auto" w:sz="4" w:space="0"/>
              <w:left w:val="single" w:color="auto" w:sz="4" w:space="0"/>
              <w:bottom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提供有效的企业营业执照、资质证书、安全生产许可证复印件</w:t>
            </w:r>
            <w:r>
              <w:rPr>
                <w:rFonts w:hint="eastAsia" w:ascii="宋体" w:hAnsi="宋体" w:eastAsia="宋体" w:cs="宋体"/>
                <w:color w:val="auto"/>
                <w:spacing w:val="-7"/>
                <w:kern w:val="2"/>
                <w:sz w:val="21"/>
                <w:highlight w:val="none"/>
                <w:lang w:val="en-US" w:eastAsia="zh-CN"/>
              </w:rPr>
              <w:t>,以及中小企业声明函（如有）。</w:t>
            </w:r>
          </w:p>
        </w:tc>
      </w:tr>
      <w:tr>
        <w:tblPrEx>
          <w:tblCellMar>
            <w:top w:w="0" w:type="dxa"/>
            <w:left w:w="0" w:type="dxa"/>
            <w:bottom w:w="0" w:type="dxa"/>
            <w:right w:w="0" w:type="dxa"/>
          </w:tblCellMar>
        </w:tblPrEx>
        <w:trPr>
          <w:cantSplit/>
          <w:trHeight w:val="555"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建设工程项目管理承诺书</w:t>
            </w:r>
          </w:p>
        </w:tc>
        <w:tc>
          <w:tcPr>
            <w:tcW w:w="5123" w:type="dxa"/>
            <w:tcBorders>
              <w:top w:val="single" w:color="auto" w:sz="4" w:space="0"/>
              <w:left w:val="single" w:color="auto" w:sz="4" w:space="0"/>
              <w:bottom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提供建设工程项目管理承诺书</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项目管理机构配备情况</w:t>
            </w:r>
          </w:p>
        </w:tc>
        <w:tc>
          <w:tcPr>
            <w:tcW w:w="5123" w:type="dxa"/>
            <w:tcBorders>
              <w:top w:val="single" w:color="auto" w:sz="4" w:space="0"/>
              <w:left w:val="single" w:color="auto" w:sz="4" w:space="0"/>
              <w:bottom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提供项目经理注册建造师注册证书和安全生产考核合格证书（B 类）的复印件；技术负责人职称证书复印件；专职安全员安全生产考核合格证书（C类）的复印件；施工员、质量员、材料员资格证书复印件；以及以上人员</w:t>
            </w:r>
            <w:r>
              <w:rPr>
                <w:rFonts w:hint="eastAsia" w:ascii="宋体" w:hAnsi="宋体" w:eastAsia="宋体" w:cs="宋体"/>
                <w:color w:val="auto"/>
                <w:spacing w:val="-12"/>
                <w:kern w:val="2"/>
                <w:sz w:val="21"/>
                <w:highlight w:val="none"/>
                <w:lang w:eastAsia="zh-CN"/>
              </w:rPr>
              <w:t xml:space="preserve">近 </w:t>
            </w:r>
            <w:r>
              <w:rPr>
                <w:rFonts w:hint="eastAsia" w:hAnsi="宋体" w:cs="宋体"/>
                <w:color w:val="auto"/>
                <w:spacing w:val="-12"/>
                <w:kern w:val="2"/>
                <w:sz w:val="21"/>
                <w:highlight w:val="none"/>
                <w:lang w:val="en-US" w:eastAsia="zh-CN"/>
              </w:rPr>
              <w:t>1</w:t>
            </w:r>
            <w:r>
              <w:rPr>
                <w:rFonts w:hint="eastAsia" w:ascii="宋体" w:hAnsi="宋体" w:eastAsia="宋体" w:cs="宋体"/>
                <w:color w:val="auto"/>
                <w:kern w:val="2"/>
                <w:sz w:val="21"/>
                <w:highlight w:val="none"/>
                <w:lang w:eastAsia="zh-CN"/>
              </w:rPr>
              <w:t xml:space="preserve"> </w:t>
            </w:r>
            <w:r>
              <w:rPr>
                <w:rFonts w:hint="eastAsia" w:ascii="宋体" w:hAnsi="宋体" w:eastAsia="宋体" w:cs="宋体"/>
                <w:color w:val="auto"/>
                <w:spacing w:val="-33"/>
                <w:kern w:val="2"/>
                <w:sz w:val="21"/>
                <w:highlight w:val="none"/>
                <w:lang w:eastAsia="zh-CN"/>
              </w:rPr>
              <w:t>个月</w:t>
            </w:r>
            <w:r>
              <w:rPr>
                <w:rFonts w:hint="eastAsia" w:ascii="宋体" w:hAnsi="宋体" w:eastAsia="宋体" w:cs="宋体"/>
                <w:color w:val="auto"/>
                <w:kern w:val="2"/>
                <w:sz w:val="21"/>
                <w:highlight w:val="none"/>
                <w:lang w:eastAsia="zh-CN"/>
              </w:rPr>
              <w:t>（ 2023 年</w:t>
            </w:r>
            <w:r>
              <w:rPr>
                <w:rFonts w:hint="eastAsia" w:hAnsi="宋体" w:cs="宋体"/>
                <w:color w:val="auto"/>
                <w:kern w:val="2"/>
                <w:sz w:val="21"/>
                <w:highlight w:val="none"/>
                <w:lang w:val="en-US" w:eastAsia="zh-CN"/>
              </w:rPr>
              <w:t>7</w:t>
            </w:r>
            <w:r>
              <w:rPr>
                <w:rFonts w:hint="eastAsia" w:ascii="宋体" w:hAnsi="宋体" w:eastAsia="宋体" w:cs="宋体"/>
                <w:color w:val="auto"/>
                <w:kern w:val="2"/>
                <w:sz w:val="21"/>
                <w:highlight w:val="none"/>
                <w:lang w:eastAsia="zh-CN"/>
              </w:rPr>
              <w:t>月</w:t>
            </w:r>
            <w:r>
              <w:rPr>
                <w:rFonts w:hint="eastAsia" w:cs="宋体"/>
                <w:color w:val="auto"/>
                <w:kern w:val="2"/>
                <w:sz w:val="21"/>
                <w:highlight w:val="none"/>
                <w:lang w:eastAsia="zh-CN"/>
              </w:rPr>
              <w:t>，</w:t>
            </w:r>
            <w:r>
              <w:rPr>
                <w:rFonts w:hint="eastAsia" w:cs="宋体"/>
                <w:color w:val="auto"/>
                <w:kern w:val="2"/>
                <w:sz w:val="21"/>
                <w:highlight w:val="none"/>
                <w:lang w:val="en-US" w:eastAsia="zh-CN"/>
              </w:rPr>
              <w:t>2023年7月新聘请员工提供劳动合同即可</w:t>
            </w:r>
            <w:r>
              <w:rPr>
                <w:rFonts w:hint="eastAsia" w:ascii="宋体" w:hAnsi="宋体" w:eastAsia="宋体" w:cs="宋体"/>
                <w:color w:val="auto"/>
                <w:kern w:val="2"/>
                <w:sz w:val="21"/>
                <w:highlight w:val="none"/>
                <w:lang w:eastAsia="zh-CN"/>
              </w:rPr>
              <w:t>）</w:t>
            </w:r>
            <w:r>
              <w:rPr>
                <w:rFonts w:hint="eastAsia" w:ascii="宋体" w:hAnsi="宋体" w:eastAsia="宋体" w:cs="宋体"/>
                <w:color w:val="auto"/>
                <w:spacing w:val="-7"/>
                <w:kern w:val="2"/>
                <w:sz w:val="21"/>
                <w:highlight w:val="none"/>
                <w:lang w:eastAsia="zh-CN"/>
              </w:rPr>
              <w:t>在现任职单位依法缴纳社会保险的证明材料复印件。</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nil"/>
              <w:left w:val="single" w:color="auto" w:sz="4" w:space="0"/>
              <w:bottom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财务状况</w:t>
            </w:r>
          </w:p>
        </w:tc>
        <w:tc>
          <w:tcPr>
            <w:tcW w:w="5123" w:type="dxa"/>
            <w:tcBorders>
              <w:top w:val="nil"/>
              <w:left w:val="single" w:color="auto" w:sz="4" w:space="0"/>
              <w:bottom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提供企业</w:t>
            </w:r>
            <w:r>
              <w:rPr>
                <w:rFonts w:hint="eastAsia" w:hAnsi="宋体" w:cs="宋体"/>
                <w:color w:val="auto"/>
                <w:spacing w:val="-7"/>
                <w:kern w:val="2"/>
                <w:sz w:val="21"/>
                <w:highlight w:val="none"/>
                <w:lang w:val="en-US" w:eastAsia="zh-CN"/>
              </w:rPr>
              <w:t>2022年度</w:t>
            </w:r>
            <w:r>
              <w:rPr>
                <w:rFonts w:hint="eastAsia" w:ascii="宋体" w:hAnsi="宋体" w:eastAsia="宋体" w:cs="宋体"/>
                <w:color w:val="auto"/>
                <w:spacing w:val="-7"/>
                <w:kern w:val="2"/>
                <w:sz w:val="21"/>
                <w:highlight w:val="none"/>
                <w:lang w:eastAsia="zh-CN"/>
              </w:rPr>
              <w:t>经审计的财务报告复印件。（新成立的公司按实际情况提供)</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完税证明</w:t>
            </w:r>
          </w:p>
        </w:tc>
        <w:tc>
          <w:tcPr>
            <w:tcW w:w="5123" w:type="dxa"/>
            <w:tcBorders>
              <w:top w:val="single" w:color="auto" w:sz="4" w:space="0"/>
              <w:left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tc>
      </w:tr>
      <w:tr>
        <w:tblPrEx>
          <w:tblCellMar>
            <w:top w:w="0" w:type="dxa"/>
            <w:left w:w="0" w:type="dxa"/>
            <w:bottom w:w="0" w:type="dxa"/>
            <w:right w:w="0" w:type="dxa"/>
          </w:tblCellMar>
        </w:tblPrEx>
        <w:trPr>
          <w:cantSplit/>
          <w:trHeight w:val="567"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无重大违法记录的书面声明</w:t>
            </w:r>
          </w:p>
        </w:tc>
        <w:tc>
          <w:tcPr>
            <w:tcW w:w="5123" w:type="dxa"/>
            <w:tcBorders>
              <w:top w:val="single" w:color="auto" w:sz="4" w:space="0"/>
              <w:left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提供参加政府采购活动前3年内在经营活动中无重大违法记录的书面声明。</w:t>
            </w:r>
          </w:p>
        </w:tc>
      </w:tr>
      <w:tr>
        <w:tblPrEx>
          <w:tblCellMar>
            <w:top w:w="0" w:type="dxa"/>
            <w:left w:w="0" w:type="dxa"/>
            <w:bottom w:w="0" w:type="dxa"/>
            <w:right w:w="0" w:type="dxa"/>
          </w:tblCellMar>
        </w:tblPrEx>
        <w:trPr>
          <w:cantSplit/>
          <w:trHeight w:val="567"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jc w:val="left"/>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无行贿犯罪记录的书面承诺</w:t>
            </w:r>
          </w:p>
        </w:tc>
        <w:tc>
          <w:tcPr>
            <w:tcW w:w="5123" w:type="dxa"/>
            <w:tcBorders>
              <w:top w:val="single" w:color="auto" w:sz="4" w:space="0"/>
              <w:left w:val="single" w:color="auto" w:sz="4" w:space="0"/>
              <w:right w:val="single" w:color="auto" w:sz="4" w:space="0"/>
            </w:tcBorders>
            <w:noWrap w:val="0"/>
            <w:vAlign w:val="top"/>
          </w:tcPr>
          <w:p>
            <w:pPr>
              <w:pStyle w:val="279"/>
              <w:keepNext w:val="0"/>
              <w:keepLines w:val="0"/>
              <w:pageBreakBefore w:val="0"/>
              <w:widowControl w:val="0"/>
              <w:kinsoku/>
              <w:wordWrap/>
              <w:overflowPunct/>
              <w:topLinePunct w:val="0"/>
              <w:autoSpaceDE w:val="0"/>
              <w:autoSpaceDN w:val="0"/>
              <w:bidi w:val="0"/>
              <w:adjustRightInd w:val="0"/>
              <w:snapToGrid w:val="0"/>
              <w:spacing w:before="90" w:line="240" w:lineRule="auto"/>
              <w:ind w:left="0" w:leftChars="0" w:right="96" w:rightChars="0"/>
              <w:textAlignment w:val="auto"/>
              <w:rPr>
                <w:rFonts w:hint="eastAsia" w:ascii="宋体" w:hAnsi="宋体" w:eastAsia="宋体" w:cs="宋体"/>
                <w:kern w:val="0"/>
                <w:sz w:val="21"/>
                <w:szCs w:val="21"/>
                <w:highlight w:val="none"/>
              </w:rPr>
            </w:pPr>
            <w:r>
              <w:rPr>
                <w:rFonts w:hint="eastAsia" w:ascii="宋体" w:hAnsi="宋体" w:eastAsia="宋体" w:cs="宋体"/>
                <w:color w:val="auto"/>
                <w:spacing w:val="-7"/>
                <w:kern w:val="2"/>
                <w:sz w:val="21"/>
                <w:highlight w:val="none"/>
                <w:lang w:eastAsia="zh-CN"/>
              </w:rPr>
              <w:t>提供参加政府采购活动前3年内投标人及其法定代表人及拟投入的项目经理无行贿犯罪记录的书面承诺。</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highlight w:val="none"/>
              </w:rPr>
            </w:pPr>
            <w:r>
              <w:rPr>
                <w:rFonts w:hint="eastAsia" w:ascii="宋体" w:hAnsi="宋体" w:eastAsia="宋体" w:cs="宋体"/>
                <w:color w:val="auto"/>
                <w:sz w:val="21"/>
                <w:szCs w:val="21"/>
                <w:highlight w:val="none"/>
              </w:rPr>
              <w:t>供应商直接控股、管理关系信息表</w:t>
            </w:r>
          </w:p>
        </w:tc>
        <w:tc>
          <w:tcPr>
            <w:tcW w:w="512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kern w:val="0"/>
                <w:sz w:val="21"/>
                <w:szCs w:val="21"/>
                <w:highlight w:val="none"/>
              </w:rPr>
            </w:pPr>
            <w:r>
              <w:rPr>
                <w:rFonts w:hint="eastAsia" w:ascii="宋体" w:hAnsi="宋体" w:eastAsia="宋体" w:cs="宋体"/>
                <w:color w:val="auto"/>
                <w:sz w:val="21"/>
                <w:szCs w:val="21"/>
                <w:highlight w:val="none"/>
              </w:rPr>
              <w:t>单位负责人为同一人或者存在直接控股、管理关系的不同投标人，不得参加同一合同项下的政府采购活动。</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农民工工资保证金承诺书</w:t>
            </w:r>
          </w:p>
        </w:tc>
        <w:tc>
          <w:tcPr>
            <w:tcW w:w="512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按桂劳社发[2009]50号文件规定承诺</w:t>
            </w:r>
          </w:p>
        </w:tc>
      </w:tr>
      <w:tr>
        <w:tblPrEx>
          <w:tblCellMar>
            <w:top w:w="0" w:type="dxa"/>
            <w:left w:w="0" w:type="dxa"/>
            <w:bottom w:w="0" w:type="dxa"/>
            <w:right w:w="0" w:type="dxa"/>
          </w:tblCellMar>
        </w:tblPrEx>
        <w:trPr>
          <w:cantSplit/>
          <w:trHeight w:val="525" w:hRule="atLeast"/>
        </w:trPr>
        <w:tc>
          <w:tcPr>
            <w:tcW w:w="995"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highlight w:val="none"/>
              </w:rPr>
            </w:pPr>
            <w:r>
              <w:rPr>
                <w:rFonts w:hint="eastAsia" w:ascii="宋体" w:hAnsi="宋体" w:eastAsia="宋体" w:cs="宋体"/>
                <w:spacing w:val="1"/>
                <w:sz w:val="21"/>
                <w:szCs w:val="21"/>
                <w:highlight w:val="none"/>
              </w:rPr>
              <w:t>2</w:t>
            </w:r>
            <w:r>
              <w:rPr>
                <w:rFonts w:hint="eastAsia" w:ascii="宋体" w:hAnsi="宋体" w:eastAsia="宋体" w:cs="宋体"/>
                <w:sz w:val="21"/>
                <w:szCs w:val="21"/>
                <w:highlight w:val="none"/>
              </w:rPr>
              <w:t>.1.2</w:t>
            </w:r>
          </w:p>
        </w:tc>
        <w:tc>
          <w:tcPr>
            <w:tcW w:w="999"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形式评审</w:t>
            </w:r>
          </w:p>
          <w:p>
            <w:pPr>
              <w:pStyle w:val="162"/>
              <w:spacing w:line="400" w:lineRule="exact"/>
              <w:jc w:val="center"/>
              <w:rPr>
                <w:rFonts w:hint="eastAsia" w:ascii="宋体" w:hAnsi="宋体" w:eastAsia="宋体" w:cs="宋体"/>
                <w:highlight w:val="none"/>
              </w:rPr>
            </w:pPr>
            <w:r>
              <w:rPr>
                <w:rFonts w:hint="eastAsia" w:ascii="宋体" w:hAnsi="宋体" w:eastAsia="宋体" w:cs="宋体"/>
                <w:sz w:val="21"/>
                <w:szCs w:val="21"/>
                <w:highlight w:val="none"/>
                <w:lang w:val="zh-CN"/>
              </w:rPr>
              <w:t>标准</w:t>
            </w:r>
          </w:p>
        </w:tc>
        <w:tc>
          <w:tcPr>
            <w:tcW w:w="274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投标人名称</w:t>
            </w:r>
          </w:p>
        </w:tc>
        <w:tc>
          <w:tcPr>
            <w:tcW w:w="5123" w:type="dxa"/>
            <w:tcBorders>
              <w:top w:val="single" w:color="auto" w:sz="4" w:space="0"/>
              <w:left w:val="single" w:color="auto" w:sz="4" w:space="0"/>
              <w:right w:val="single" w:color="auto" w:sz="4" w:space="0"/>
            </w:tcBorders>
            <w:noWrap w:val="0"/>
            <w:vAlign w:val="center"/>
          </w:tcPr>
          <w:p>
            <w:pPr>
              <w:spacing w:line="400" w:lineRule="exact"/>
              <w:ind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与营业执照、资质证书、安全生产许可证一致</w:t>
            </w:r>
          </w:p>
        </w:tc>
      </w:tr>
      <w:tr>
        <w:tblPrEx>
          <w:tblCellMar>
            <w:top w:w="0" w:type="dxa"/>
            <w:left w:w="0" w:type="dxa"/>
            <w:bottom w:w="0" w:type="dxa"/>
            <w:right w:w="0" w:type="dxa"/>
          </w:tblCellMar>
        </w:tblPrEx>
        <w:trPr>
          <w:cantSplit/>
          <w:trHeight w:val="565"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投标函签字盖章</w:t>
            </w:r>
          </w:p>
        </w:tc>
        <w:tc>
          <w:tcPr>
            <w:tcW w:w="512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投标人在招标文件规定的投标文件相关位置加盖投标人公章（CA 签章）、法定代表人或其委托代理人签字（或个人CA签章）</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投标文件格式</w:t>
            </w:r>
          </w:p>
        </w:tc>
        <w:tc>
          <w:tcPr>
            <w:tcW w:w="512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符合第八章“投标文件格式”的要求</w:t>
            </w:r>
          </w:p>
        </w:tc>
      </w:tr>
      <w:tr>
        <w:tblPrEx>
          <w:tblCellMar>
            <w:top w:w="0" w:type="dxa"/>
            <w:left w:w="0" w:type="dxa"/>
            <w:bottom w:w="0" w:type="dxa"/>
            <w:right w:w="0" w:type="dxa"/>
          </w:tblCellMar>
        </w:tblPrEx>
        <w:trPr>
          <w:cantSplit/>
          <w:trHeight w:val="501" w:hRule="atLeast"/>
        </w:trPr>
        <w:tc>
          <w:tcPr>
            <w:tcW w:w="995" w:type="dxa"/>
            <w:vMerge w:val="continue"/>
            <w:tcBorders>
              <w:left w:val="single" w:color="auto" w:sz="4" w:space="0"/>
              <w:bottom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bottom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报价唯一</w:t>
            </w:r>
          </w:p>
        </w:tc>
        <w:tc>
          <w:tcPr>
            <w:tcW w:w="5123" w:type="dxa"/>
            <w:tcBorders>
              <w:top w:val="single" w:color="auto" w:sz="4" w:space="0"/>
              <w:left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只能有一个有效报价</w:t>
            </w:r>
          </w:p>
        </w:tc>
      </w:tr>
      <w:tr>
        <w:tblPrEx>
          <w:tblCellMar>
            <w:top w:w="0" w:type="dxa"/>
            <w:left w:w="0" w:type="dxa"/>
            <w:bottom w:w="0" w:type="dxa"/>
            <w:right w:w="0" w:type="dxa"/>
          </w:tblCellMar>
        </w:tblPrEx>
        <w:trPr>
          <w:cantSplit/>
          <w:trHeight w:val="555" w:hRule="atLeast"/>
        </w:trPr>
        <w:tc>
          <w:tcPr>
            <w:tcW w:w="995"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2.1.3</w:t>
            </w:r>
          </w:p>
        </w:tc>
        <w:tc>
          <w:tcPr>
            <w:tcW w:w="999" w:type="dxa"/>
            <w:vMerge w:val="restart"/>
            <w:tcBorders>
              <w:top w:val="single" w:color="auto" w:sz="4" w:space="0"/>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响应性</w:t>
            </w:r>
          </w:p>
          <w:p>
            <w:pPr>
              <w:pStyle w:val="162"/>
              <w:spacing w:line="400" w:lineRule="exact"/>
              <w:jc w:val="center"/>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评审标准</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投标内容</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符合第二章“投标人须知”第</w:t>
            </w:r>
            <w:r>
              <w:rPr>
                <w:rFonts w:hint="eastAsia" w:ascii="宋体" w:hAnsi="宋体" w:eastAsia="宋体" w:cs="宋体"/>
                <w:spacing w:val="1"/>
                <w:kern w:val="0"/>
                <w:sz w:val="21"/>
                <w:szCs w:val="21"/>
                <w:highlight w:val="none"/>
              </w:rPr>
              <w:t>1.3.1</w:t>
            </w:r>
            <w:r>
              <w:rPr>
                <w:rFonts w:hint="eastAsia" w:ascii="宋体" w:hAnsi="宋体" w:eastAsia="宋体" w:cs="宋体"/>
                <w:kern w:val="0"/>
                <w:sz w:val="21"/>
                <w:szCs w:val="21"/>
                <w:highlight w:val="none"/>
              </w:rPr>
              <w:t>项</w:t>
            </w:r>
            <w:r>
              <w:rPr>
                <w:rFonts w:hint="eastAsia" w:ascii="宋体" w:hAnsi="宋体" w:eastAsia="宋体" w:cs="宋体"/>
                <w:spacing w:val="-1"/>
                <w:kern w:val="0"/>
                <w:sz w:val="21"/>
                <w:szCs w:val="21"/>
                <w:highlight w:val="none"/>
              </w:rPr>
              <w:t>规</w:t>
            </w:r>
            <w:r>
              <w:rPr>
                <w:rFonts w:hint="eastAsia" w:ascii="宋体" w:hAnsi="宋体" w:eastAsia="宋体" w:cs="宋体"/>
                <w:kern w:val="0"/>
                <w:sz w:val="21"/>
                <w:szCs w:val="21"/>
                <w:highlight w:val="none"/>
              </w:rPr>
              <w:t>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工期</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符合第二章“投标人须知”第</w:t>
            </w:r>
            <w:r>
              <w:rPr>
                <w:rFonts w:hint="eastAsia" w:ascii="宋体" w:hAnsi="宋体" w:eastAsia="宋体" w:cs="宋体"/>
                <w:spacing w:val="1"/>
                <w:kern w:val="0"/>
                <w:sz w:val="21"/>
                <w:szCs w:val="21"/>
                <w:highlight w:val="none"/>
              </w:rPr>
              <w:t>1.3.2</w:t>
            </w:r>
            <w:r>
              <w:rPr>
                <w:rFonts w:hint="eastAsia" w:ascii="宋体" w:hAnsi="宋体" w:eastAsia="宋体" w:cs="宋体"/>
                <w:kern w:val="0"/>
                <w:sz w:val="21"/>
                <w:szCs w:val="21"/>
                <w:highlight w:val="none"/>
              </w:rPr>
              <w:t>项</w:t>
            </w:r>
            <w:r>
              <w:rPr>
                <w:rFonts w:hint="eastAsia" w:ascii="宋体" w:hAnsi="宋体" w:eastAsia="宋体" w:cs="宋体"/>
                <w:spacing w:val="-1"/>
                <w:kern w:val="0"/>
                <w:sz w:val="21"/>
                <w:szCs w:val="21"/>
                <w:highlight w:val="none"/>
              </w:rPr>
              <w:t>规</w:t>
            </w:r>
            <w:r>
              <w:rPr>
                <w:rFonts w:hint="eastAsia" w:ascii="宋体" w:hAnsi="宋体" w:eastAsia="宋体" w:cs="宋体"/>
                <w:kern w:val="0"/>
                <w:sz w:val="21"/>
                <w:szCs w:val="21"/>
                <w:highlight w:val="none"/>
              </w:rPr>
              <w:t>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工程质量</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符合第二章“投标人须知”第</w:t>
            </w:r>
            <w:r>
              <w:rPr>
                <w:rFonts w:hint="eastAsia" w:ascii="宋体" w:hAnsi="宋体" w:eastAsia="宋体" w:cs="宋体"/>
                <w:spacing w:val="1"/>
                <w:kern w:val="0"/>
                <w:sz w:val="21"/>
                <w:szCs w:val="21"/>
                <w:highlight w:val="none"/>
              </w:rPr>
              <w:t>1.3.3</w:t>
            </w:r>
            <w:r>
              <w:rPr>
                <w:rFonts w:hint="eastAsia" w:ascii="宋体" w:hAnsi="宋体" w:eastAsia="宋体" w:cs="宋体"/>
                <w:kern w:val="0"/>
                <w:sz w:val="21"/>
                <w:szCs w:val="21"/>
                <w:highlight w:val="none"/>
              </w:rPr>
              <w:t>项</w:t>
            </w:r>
            <w:r>
              <w:rPr>
                <w:rFonts w:hint="eastAsia" w:ascii="宋体" w:hAnsi="宋体" w:eastAsia="宋体" w:cs="宋体"/>
                <w:spacing w:val="-1"/>
                <w:kern w:val="0"/>
                <w:sz w:val="21"/>
                <w:szCs w:val="21"/>
                <w:highlight w:val="none"/>
              </w:rPr>
              <w:t>规</w:t>
            </w:r>
            <w:r>
              <w:rPr>
                <w:rFonts w:hint="eastAsia" w:ascii="宋体" w:hAnsi="宋体" w:eastAsia="宋体" w:cs="宋体"/>
                <w:kern w:val="0"/>
                <w:sz w:val="21"/>
                <w:szCs w:val="21"/>
                <w:highlight w:val="none"/>
              </w:rPr>
              <w:t>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投标有效期</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符合第二章“投标人须知”第</w:t>
            </w:r>
            <w:r>
              <w:rPr>
                <w:rFonts w:hint="eastAsia" w:ascii="宋体" w:hAnsi="宋体" w:eastAsia="宋体" w:cs="宋体"/>
                <w:spacing w:val="1"/>
                <w:kern w:val="0"/>
                <w:sz w:val="21"/>
                <w:szCs w:val="21"/>
                <w:highlight w:val="none"/>
              </w:rPr>
              <w:t>3.3.1</w:t>
            </w:r>
            <w:r>
              <w:rPr>
                <w:rFonts w:hint="eastAsia" w:ascii="宋体" w:hAnsi="宋体" w:eastAsia="宋体" w:cs="宋体"/>
                <w:kern w:val="0"/>
                <w:sz w:val="21"/>
                <w:szCs w:val="21"/>
                <w:highlight w:val="none"/>
              </w:rPr>
              <w:t>项</w:t>
            </w:r>
            <w:r>
              <w:rPr>
                <w:rFonts w:hint="eastAsia" w:ascii="宋体" w:hAnsi="宋体" w:eastAsia="宋体" w:cs="宋体"/>
                <w:spacing w:val="-1"/>
                <w:kern w:val="0"/>
                <w:sz w:val="21"/>
                <w:szCs w:val="21"/>
                <w:highlight w:val="none"/>
              </w:rPr>
              <w:t>规</w:t>
            </w:r>
            <w:r>
              <w:rPr>
                <w:rFonts w:hint="eastAsia" w:ascii="宋体" w:hAnsi="宋体" w:eastAsia="宋体" w:cs="宋体"/>
                <w:kern w:val="0"/>
                <w:sz w:val="21"/>
                <w:szCs w:val="21"/>
                <w:highlight w:val="none"/>
              </w:rPr>
              <w:t>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权利义务</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投标函附录中的相关承诺符合或优于第四章“合同条款及格式”的相关规定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技术标准和要求</w:t>
            </w:r>
          </w:p>
        </w:tc>
        <w:tc>
          <w:tcPr>
            <w:tcW w:w="512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符合第七章“技术标准和要求”规定</w:t>
            </w:r>
          </w:p>
        </w:tc>
      </w:tr>
      <w:tr>
        <w:tblPrEx>
          <w:tblCellMar>
            <w:top w:w="0" w:type="dxa"/>
            <w:left w:w="0" w:type="dxa"/>
            <w:bottom w:w="0" w:type="dxa"/>
            <w:right w:w="0" w:type="dxa"/>
          </w:tblCellMar>
        </w:tblPrEx>
        <w:trPr>
          <w:cantSplit/>
          <w:trHeight w:val="480" w:hRule="atLeast"/>
        </w:trPr>
        <w:tc>
          <w:tcPr>
            <w:tcW w:w="995"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投标价格</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投标总报价低于（含等于）第二章“投标人须知”前附表第10.1款载明的招标控制价</w:t>
            </w:r>
          </w:p>
        </w:tc>
      </w:tr>
      <w:tr>
        <w:tblPrEx>
          <w:tblCellMar>
            <w:top w:w="0" w:type="dxa"/>
            <w:left w:w="0" w:type="dxa"/>
            <w:bottom w:w="0" w:type="dxa"/>
            <w:right w:w="0" w:type="dxa"/>
          </w:tblCellMar>
        </w:tblPrEx>
        <w:trPr>
          <w:cantSplit/>
          <w:trHeight w:val="963" w:hRule="atLeast"/>
        </w:trPr>
        <w:tc>
          <w:tcPr>
            <w:tcW w:w="995" w:type="dxa"/>
            <w:vMerge w:val="continue"/>
            <w:tcBorders>
              <w:left w:val="single" w:color="auto" w:sz="4" w:space="0"/>
              <w:bottom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999" w:type="dxa"/>
            <w:vMerge w:val="continue"/>
            <w:tcBorders>
              <w:left w:val="single" w:color="auto" w:sz="4" w:space="0"/>
              <w:bottom w:val="single" w:color="auto" w:sz="4" w:space="0"/>
              <w:right w:val="single" w:color="auto" w:sz="4" w:space="0"/>
            </w:tcBorders>
            <w:noWrap w:val="0"/>
            <w:vAlign w:val="center"/>
          </w:tcPr>
          <w:p>
            <w:pPr>
              <w:pStyle w:val="162"/>
              <w:spacing w:line="400" w:lineRule="exact"/>
              <w:jc w:val="center"/>
              <w:rPr>
                <w:rFonts w:hint="eastAsia" w:ascii="宋体" w:hAnsi="宋体" w:eastAsia="宋体" w:cs="宋体"/>
                <w:sz w:val="21"/>
                <w:szCs w:val="21"/>
                <w:highlight w:val="none"/>
                <w:lang w:val="zh-CN"/>
              </w:rPr>
            </w:pP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已标价工程量清单</w:t>
            </w:r>
          </w:p>
        </w:tc>
        <w:tc>
          <w:tcPr>
            <w:tcW w:w="51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40" w:leftChars="50" w:right="140" w:rightChars="50"/>
              <w:rPr>
                <w:rFonts w:hint="eastAsia" w:ascii="宋体" w:hAnsi="宋体" w:eastAsia="宋体" w:cs="宋体"/>
                <w:kern w:val="0"/>
                <w:sz w:val="21"/>
                <w:szCs w:val="21"/>
                <w:highlight w:val="none"/>
              </w:rPr>
            </w:pPr>
            <w:r>
              <w:rPr>
                <w:rFonts w:hint="eastAsia" w:ascii="宋体" w:hAnsi="宋体" w:eastAsia="宋体" w:cs="宋体"/>
                <w:kern w:val="0"/>
                <w:sz w:val="21"/>
                <w:highlight w:val="none"/>
              </w:rPr>
              <w:t>符合第五章“工程量清单”给出的范围及数量，</w:t>
            </w:r>
            <w:r>
              <w:rPr>
                <w:rFonts w:hint="eastAsia" w:ascii="宋体" w:hAnsi="宋体" w:eastAsia="宋体" w:cs="宋体"/>
                <w:bCs/>
                <w:sz w:val="21"/>
                <w:szCs w:val="21"/>
                <w:highlight w:val="none"/>
              </w:rPr>
              <w:t>应按照招标人提供的工程量清单进行报价。</w:t>
            </w:r>
          </w:p>
        </w:tc>
      </w:tr>
    </w:tbl>
    <w:p>
      <w:pPr>
        <w:spacing w:line="400" w:lineRule="exact"/>
        <w:rPr>
          <w:rFonts w:hint="eastAsia" w:ascii="宋体" w:hAnsi="宋体" w:eastAsia="宋体" w:cs="宋体"/>
          <w:b/>
          <w:sz w:val="21"/>
          <w:szCs w:val="21"/>
          <w:highlight w:val="none"/>
        </w:rPr>
      </w:pPr>
    </w:p>
    <w:p>
      <w:pPr>
        <w:spacing w:line="40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2.2分值构成与评分标准</w:t>
      </w:r>
    </w:p>
    <w:tbl>
      <w:tblPr>
        <w:tblStyle w:val="47"/>
        <w:tblW w:w="98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3"/>
        <w:gridCol w:w="109"/>
        <w:gridCol w:w="1565"/>
        <w:gridCol w:w="230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7"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条款内容</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2.2.1</w:t>
            </w:r>
          </w:p>
        </w:tc>
        <w:tc>
          <w:tcPr>
            <w:tcW w:w="1707"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分值构成</w:t>
            </w: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630"/>
              <w:rPr>
                <w:rFonts w:hint="eastAsia" w:ascii="宋体" w:hAnsi="宋体" w:eastAsia="宋体" w:cs="宋体"/>
                <w:sz w:val="21"/>
                <w:szCs w:val="21"/>
                <w:highlight w:val="none"/>
              </w:rPr>
            </w:pPr>
            <w:r>
              <w:rPr>
                <w:rFonts w:hint="eastAsia" w:ascii="宋体" w:hAnsi="宋体" w:eastAsia="宋体" w:cs="宋体"/>
                <w:sz w:val="21"/>
                <w:szCs w:val="21"/>
                <w:highlight w:val="none"/>
              </w:rPr>
              <w:t>分值构成</w:t>
            </w:r>
          </w:p>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（总分100分）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施工组织设计：</w:t>
            </w:r>
            <w:r>
              <w:rPr>
                <w:rFonts w:hint="eastAsia" w:ascii="宋体" w:hAnsi="宋体" w:eastAsia="宋体" w:cs="宋体"/>
                <w:sz w:val="21"/>
                <w:szCs w:val="21"/>
                <w:highlight w:val="none"/>
                <w:u w:val="none"/>
                <w:lang w:val="en-US" w:eastAsia="zh-CN"/>
              </w:rPr>
              <w:t>60</w:t>
            </w:r>
            <w:r>
              <w:rPr>
                <w:rFonts w:hint="eastAsia" w:ascii="宋体" w:hAnsi="宋体" w:eastAsia="宋体" w:cs="宋体"/>
                <w:sz w:val="21"/>
                <w:szCs w:val="21"/>
                <w:highlight w:val="none"/>
                <w:u w:val="none"/>
              </w:rPr>
              <w:t>分</w:t>
            </w:r>
          </w:p>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商务标：</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 xml:space="preserve"> 分</w:t>
            </w:r>
          </w:p>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企业信誉实力</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2.2.2</w:t>
            </w:r>
          </w:p>
        </w:tc>
        <w:tc>
          <w:tcPr>
            <w:tcW w:w="1707"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评标基准价计算</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1.投标报价有效报价范围：为投标总报价低于或等于招标控制价，通过资格评审、形式评审、响应性评审，经评标委员会审定不存在严重不平衡、不合理、不低于其企业成本的投标人投标总价。</w:t>
            </w:r>
          </w:p>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2.将在有效报价范围内的全部合格投标人有效投标总报价的算术平均值作为评标基准价。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557"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92"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2.2.3（1）</w:t>
            </w:r>
          </w:p>
        </w:tc>
        <w:tc>
          <w:tcPr>
            <w:tcW w:w="156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技术标（施工组织设计）</w:t>
            </w:r>
          </w:p>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（满分60分）</w:t>
            </w: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总体概述（</w:t>
            </w:r>
            <w:r>
              <w:rPr>
                <w:rFonts w:hint="eastAsia" w:ascii="宋体" w:hAnsi="宋体" w:eastAsia="宋体" w:cs="宋体"/>
                <w:color w:val="000000"/>
                <w:kern w:val="0"/>
                <w:sz w:val="21"/>
                <w:szCs w:val="21"/>
                <w:highlight w:val="none"/>
              </w:rPr>
              <w:t>优5分、良3分、中1分、差0分）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315"/>
              <w:rPr>
                <w:rFonts w:hint="eastAsia" w:ascii="宋体" w:hAnsi="宋体" w:eastAsia="宋体" w:cs="宋体"/>
                <w:sz w:val="21"/>
                <w:szCs w:val="21"/>
                <w:highlight w:val="none"/>
              </w:rPr>
            </w:pPr>
            <w:r>
              <w:rPr>
                <w:rFonts w:hint="eastAsia" w:ascii="宋体" w:hAnsi="宋体" w:eastAsia="宋体" w:cs="宋体"/>
                <w:sz w:val="21"/>
                <w:szCs w:val="21"/>
                <w:highlight w:val="none"/>
              </w:rPr>
              <w:t>优：对项目总体有深刻认识，表达清晰、完整、严谨、合理，措施先进、具体、有效、成熟；施工段划分清晰、合理，符合规范要求。</w:t>
            </w:r>
          </w:p>
          <w:p>
            <w:pPr>
              <w:spacing w:line="360" w:lineRule="atLeast"/>
              <w:ind w:firstLine="315"/>
              <w:rPr>
                <w:rFonts w:hint="eastAsia" w:ascii="宋体" w:hAnsi="宋体" w:eastAsia="宋体" w:cs="宋体"/>
                <w:sz w:val="21"/>
                <w:szCs w:val="21"/>
                <w:highlight w:val="none"/>
              </w:rPr>
            </w:pPr>
            <w:r>
              <w:rPr>
                <w:rFonts w:hint="eastAsia" w:ascii="宋体" w:hAnsi="宋体" w:eastAsia="宋体" w:cs="宋体"/>
                <w:sz w:val="21"/>
                <w:szCs w:val="21"/>
                <w:highlight w:val="none"/>
              </w:rPr>
              <w:t>良：对项目总体有一定认识，表达清晰、完整，措施具体有效；施工段划分清晰，符合规范要求。</w:t>
            </w:r>
          </w:p>
          <w:p>
            <w:pPr>
              <w:spacing w:line="360" w:lineRule="atLeast"/>
              <w:ind w:firstLine="315"/>
              <w:rPr>
                <w:rFonts w:hint="eastAsia" w:ascii="宋体" w:hAnsi="宋体" w:eastAsia="宋体" w:cs="宋体"/>
                <w:sz w:val="21"/>
                <w:szCs w:val="21"/>
                <w:highlight w:val="none"/>
              </w:rPr>
            </w:pPr>
            <w:r>
              <w:rPr>
                <w:rFonts w:hint="eastAsia" w:ascii="宋体" w:hAnsi="宋体" w:eastAsia="宋体" w:cs="宋体"/>
                <w:sz w:val="21"/>
                <w:szCs w:val="21"/>
                <w:highlight w:val="none"/>
              </w:rPr>
              <w:t>中：对项目总体有认识，有一定的措施但部分不具体；施工段划分较合理，符合规范要求。</w:t>
            </w:r>
          </w:p>
          <w:p>
            <w:pPr>
              <w:spacing w:line="360" w:lineRule="atLeast"/>
              <w:ind w:firstLine="315"/>
              <w:rPr>
                <w:rFonts w:hint="eastAsia" w:ascii="宋体" w:hAnsi="宋体" w:eastAsia="宋体" w:cs="宋体"/>
                <w:bCs/>
                <w:sz w:val="21"/>
                <w:szCs w:val="21"/>
                <w:highlight w:val="none"/>
              </w:rPr>
            </w:pPr>
            <w:r>
              <w:rPr>
                <w:rFonts w:hint="eastAsia" w:ascii="宋体" w:hAnsi="宋体" w:eastAsia="宋体" w:cs="宋体"/>
                <w:sz w:val="21"/>
                <w:szCs w:val="21"/>
                <w:highlight w:val="none"/>
              </w:rPr>
              <w:t>差：对项目认识不足，表达不清晰，措施不具体；施工段划分不合理。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27" w:firstLineChars="13"/>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主要施工方法（</w:t>
            </w:r>
            <w:r>
              <w:rPr>
                <w:rFonts w:hint="eastAsia" w:ascii="宋体" w:hAnsi="宋体" w:eastAsia="宋体" w:cs="宋体"/>
                <w:color w:val="000000"/>
                <w:kern w:val="0"/>
                <w:sz w:val="21"/>
                <w:szCs w:val="21"/>
                <w:highlight w:val="none"/>
              </w:rPr>
              <w:t>优10分、良6分、中3分、差0分）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优：各主要分部施工方法符合项目实际，有详尽的施工技术方案，工艺先进、方法科学合理、可行，能指导具体施工并确保安全；</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良：各主要分部施工方法符合项目实际，有较详尽的施工技术方案，工艺较好、方法科学合理、可行，能指导具体施工并确保安全；</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中：各主要分部施工方法能满足项目需求，有施工技术方案，能指导具体施工并确保安全；</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差：各主要分部施工方法不能满足项目需求，没有施工技术方案，不能指导具体施工并确保安全。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27" w:firstLineChars="13"/>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施工进度、施工进度计划和各阶段进度的保证措施</w:t>
            </w:r>
            <w:r>
              <w:rPr>
                <w:rFonts w:hint="eastAsia" w:ascii="宋体" w:hAnsi="宋体" w:eastAsia="宋体" w:cs="宋体"/>
                <w:color w:val="000000"/>
                <w:kern w:val="0"/>
                <w:sz w:val="21"/>
                <w:szCs w:val="21"/>
                <w:highlight w:val="none"/>
              </w:rPr>
              <w:t>（优14分、良10分、中6分、差 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优：关键线路清晰、准确、完整，计划编制合理、可行，关键节点的控制措施有力、合理、可行。</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良：关键线路清晰、准确、完整，计划编制可行，关键节点的控制措施合理、可行。</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中：关键线路基本准确，计划编制合理，关键节点的控制措施基本可行。</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差：关键线路不准确，计划编制不合理，关键节点的控制不可行。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27" w:firstLineChars="13"/>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劳动力和材料投入计划及其保证措施（优5分、良3分、中1分、差0分）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优：投入计划与进度计划呼应，较好满足施工需要，调配投入计划合理、准确。</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良：投入计划与进度计划呼应，基本满足施工需要，调配投入计划基本合理、准确。</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中：投入计划与进度计划呼应，基本满足施工需要，调配投入计划基本合理。</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40" w:lineRule="exact"/>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施工平面布置和临时设施布置</w:t>
            </w:r>
            <w:r>
              <w:rPr>
                <w:rFonts w:hint="eastAsia" w:ascii="宋体" w:hAnsi="宋体" w:eastAsia="宋体" w:cs="宋体"/>
                <w:color w:val="000000"/>
                <w:kern w:val="0"/>
                <w:sz w:val="21"/>
                <w:szCs w:val="21"/>
                <w:highlight w:val="none"/>
              </w:rPr>
              <w:t>（优5分、良3分、中1分、差0分）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40" w:lineRule="exac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优：总体布置有针对性、合理，较好满足施工需要，符合安全、文明生产要求。</w:t>
            </w:r>
          </w:p>
          <w:p>
            <w:pPr>
              <w:widowControl/>
              <w:spacing w:line="340" w:lineRule="exac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良：总体布置合理，能满足施工需要，基本符合安全、文明生产要求。</w:t>
            </w:r>
          </w:p>
          <w:p>
            <w:pPr>
              <w:widowControl/>
              <w:spacing w:line="340" w:lineRule="exac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中：总体布置基本合理，基本满足施工需要。</w:t>
            </w:r>
          </w:p>
          <w:p>
            <w:pPr>
              <w:widowControl/>
              <w:spacing w:line="340" w:lineRule="exact"/>
              <w:ind w:firstLine="420"/>
              <w:rPr>
                <w:rFonts w:hint="eastAsia" w:ascii="宋体" w:hAnsi="宋体" w:eastAsia="宋体" w:cs="宋体"/>
                <w:bCs/>
                <w:sz w:val="21"/>
                <w:szCs w:val="21"/>
                <w:highlight w:val="none"/>
              </w:rPr>
            </w:pPr>
            <w:r>
              <w:rPr>
                <w:rFonts w:hint="eastAsia" w:ascii="宋体" w:hAnsi="宋体" w:eastAsia="宋体" w:cs="宋体"/>
                <w:kern w:val="0"/>
                <w:sz w:val="21"/>
                <w:szCs w:val="21"/>
                <w:highlight w:val="none"/>
              </w:rPr>
              <w:t>差：总体布置不合理，不符合安全、文明生产要求。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关键施工技术、工艺及工程实施的重点、难点和解决方案</w:t>
            </w:r>
            <w:r>
              <w:rPr>
                <w:rFonts w:hint="eastAsia" w:ascii="宋体" w:hAnsi="宋体" w:eastAsia="宋体" w:cs="宋体"/>
                <w:color w:val="000000"/>
                <w:kern w:val="0"/>
                <w:sz w:val="21"/>
                <w:szCs w:val="21"/>
                <w:highlight w:val="none"/>
              </w:rPr>
              <w:t>（优8分、良5分、中2分、差0分）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优：对项目关键技术、工艺有深入的表达，对重点、难点有先进合理的施工措施并有可行的安全措施，解决方案完整、经济、安全、切实可行，措施得力。</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良：对项目关键技术、工艺有深入的表达，对重点、难点有合理的建议，解决方案经济、安全、基本可行。</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中：对项目关键技术有一定了解，对重点、难点有建议，解决方案基本可行。</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差：对项目关键技术有表述，对重点、难点有建议，解决方案不可行。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b/>
                <w:bCs/>
                <w:sz w:val="21"/>
                <w:szCs w:val="21"/>
                <w:highlight w:val="none"/>
              </w:rPr>
            </w:pPr>
            <w:r>
              <w:rPr>
                <w:rFonts w:hint="eastAsia" w:ascii="宋体" w:hAnsi="宋体" w:eastAsia="宋体" w:cs="宋体"/>
                <w:bCs/>
                <w:color w:val="000000"/>
                <w:kern w:val="0"/>
                <w:sz w:val="21"/>
                <w:szCs w:val="21"/>
                <w:highlight w:val="none"/>
              </w:rPr>
              <w:t>安全文明施工措施（优5分、良3分、中1分、差0分）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优：针对项目实际情况，有先进、具体、完整、可行的实施措施，采用规范正确、清晰。</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良：针对项目实际情况，有合理的措施且具体、完整，采用规范正确。</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中：有基本合理的措施，采用规范正确。</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b/>
                <w:bCs/>
                <w:sz w:val="21"/>
                <w:szCs w:val="21"/>
                <w:highlight w:val="none"/>
              </w:rPr>
            </w:pPr>
            <w:r>
              <w:rPr>
                <w:rFonts w:hint="eastAsia" w:ascii="宋体" w:hAnsi="宋体" w:eastAsia="宋体" w:cs="宋体"/>
                <w:bCs/>
                <w:color w:val="000000"/>
                <w:kern w:val="0"/>
                <w:sz w:val="21"/>
                <w:szCs w:val="21"/>
                <w:highlight w:val="none"/>
              </w:rPr>
              <w:t>质量保证与承诺（优5分、良3分、中1分、差0分）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优：针对项目实际提出先进、可行、具体的保证措施，超过招标文件的质量要求及施工验收规范要求。</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良：针对项目实际提出先进、可行、具体的保证措施，满足招标文件的质量要求。</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中：具体措施可行，满足招标文件的质量要求。</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差：措施不可行。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992"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p>
        </w:tc>
        <w:tc>
          <w:tcPr>
            <w:tcW w:w="156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p>
        </w:tc>
        <w:tc>
          <w:tcPr>
            <w:tcW w:w="2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新技术应用与承诺（优3分、良2分、中1分、差0分）</w:t>
            </w:r>
          </w:p>
        </w:tc>
        <w:tc>
          <w:tcPr>
            <w:tcW w:w="49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atLeas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优：针对项目实际，提出采用新技术的具体措施。新技术的验证材料可靠，对节约投资和工期的保证措施得力、具体、严谨。对采用新技术可能产生的风险预见充分，对新技术的实施有安全生产的可靠方案。</w:t>
            </w:r>
          </w:p>
          <w:p>
            <w:pPr>
              <w:widowControl/>
              <w:spacing w:line="360" w:lineRule="atLeas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良：针对项目实际，提出采用新技术的具体措施。新技术的验证材料可靠，对节约投资和工期有保证措施。对采用新技术可能产生的风险有一定的预见。</w:t>
            </w:r>
          </w:p>
          <w:p>
            <w:pPr>
              <w:widowControl/>
              <w:spacing w:line="360" w:lineRule="atLeast"/>
              <w:ind w:firstLine="4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中：有新技术措施，但验证材料不充分，对节约投资和工期可能有一定收益，对采用新技术可能产生的风险预见不足。</w:t>
            </w:r>
          </w:p>
          <w:p>
            <w:pPr>
              <w:spacing w:line="360" w:lineRule="atLeast"/>
              <w:ind w:firstLine="420"/>
              <w:rPr>
                <w:rFonts w:hint="eastAsia" w:ascii="宋体" w:hAnsi="宋体" w:eastAsia="宋体" w:cs="宋体"/>
                <w:bCs/>
                <w:sz w:val="21"/>
                <w:szCs w:val="21"/>
                <w:highlight w:val="none"/>
              </w:rPr>
            </w:pPr>
            <w:r>
              <w:rPr>
                <w:rFonts w:hint="eastAsia" w:ascii="宋体" w:hAnsi="宋体" w:eastAsia="宋体" w:cs="宋体"/>
                <w:kern w:val="0"/>
                <w:sz w:val="21"/>
                <w:szCs w:val="21"/>
                <w:highlight w:val="none"/>
              </w:rPr>
              <w:t>差：采用的新技术针对性不强或验证材料不可靠，对节约投资和工期没有具体收益。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92"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2.2.3（2）</w:t>
            </w:r>
          </w:p>
        </w:tc>
        <w:tc>
          <w:tcPr>
            <w:tcW w:w="156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商务标</w:t>
            </w:r>
          </w:p>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（满分</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0分）</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numPr>
                <w:ilvl w:val="0"/>
                <w:numId w:val="2"/>
              </w:numPr>
              <w:spacing w:line="360" w:lineRule="atLeast"/>
              <w:ind w:firstLine="420"/>
              <w:rPr>
                <w:rFonts w:hint="eastAsia" w:ascii="宋体" w:hAnsi="宋体" w:cs="宋体"/>
                <w:kern w:val="0"/>
                <w:sz w:val="21"/>
                <w:szCs w:val="21"/>
                <w:highlight w:val="none"/>
              </w:rPr>
            </w:pPr>
            <w:r>
              <w:rPr>
                <w:rFonts w:hint="eastAsia" w:ascii="宋体" w:hAnsi="宋体" w:cs="宋体"/>
                <w:kern w:val="0"/>
                <w:sz w:val="21"/>
                <w:szCs w:val="21"/>
                <w:highlight w:val="none"/>
              </w:rPr>
              <w:t>评标基准价确定方法：将所有有效投标报价的算术平均值作为评标的基准价。</w:t>
            </w:r>
          </w:p>
          <w:p>
            <w:pPr>
              <w:spacing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在有效报价范围内，以投标人的投标报价算数平均值为基准价，投标人的投标报价与基准价的报价相比，每高1%扣</w:t>
            </w:r>
            <w:r>
              <w:rPr>
                <w:rFonts w:hint="eastAsia" w:ascii="宋体" w:hAnsi="宋体" w:eastAsia="宋体" w:cs="宋体"/>
                <w:kern w:val="0"/>
                <w:sz w:val="21"/>
                <w:szCs w:val="21"/>
                <w:highlight w:val="none"/>
                <w:lang w:val="en-US" w:eastAsia="zh-CN"/>
              </w:rPr>
              <w:t>0.1</w:t>
            </w:r>
            <w:r>
              <w:rPr>
                <w:rFonts w:hint="eastAsia" w:ascii="宋体" w:hAnsi="宋体" w:eastAsia="宋体" w:cs="宋体"/>
                <w:kern w:val="0"/>
                <w:sz w:val="21"/>
                <w:szCs w:val="21"/>
                <w:highlight w:val="none"/>
              </w:rPr>
              <w:t>分，每低1%扣</w:t>
            </w:r>
            <w:r>
              <w:rPr>
                <w:rFonts w:hint="eastAsia" w:ascii="宋体" w:hAnsi="宋体" w:eastAsia="宋体" w:cs="宋体"/>
                <w:kern w:val="0"/>
                <w:sz w:val="21"/>
                <w:szCs w:val="21"/>
                <w:highlight w:val="none"/>
                <w:lang w:val="en-US" w:eastAsia="zh-CN"/>
              </w:rPr>
              <w:t>0.</w:t>
            </w:r>
            <w:r>
              <w:rPr>
                <w:rFonts w:hint="eastAsia" w:ascii="宋体" w:hAnsi="宋体" w:eastAsia="宋体" w:cs="宋体"/>
                <w:kern w:val="0"/>
                <w:sz w:val="21"/>
                <w:szCs w:val="21"/>
                <w:highlight w:val="none"/>
              </w:rPr>
              <w:t>1分，扣完为止。投标人报价等于基准价时，得分为30分。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92"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2.2.3（</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p>
        </w:tc>
        <w:tc>
          <w:tcPr>
            <w:tcW w:w="156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企业信誉实力</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10分</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numPr>
                <w:ilvl w:val="0"/>
                <w:numId w:val="0"/>
              </w:numPr>
              <w:spacing w:line="360" w:lineRule="atLeast"/>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投标人近3年（指投标截止日前3年）承担过类似业绩的每个得 </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分，满分</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分（需附中标通知书或合同协议书或完工或竣工验收鉴定书，以中标通知书或合同协议书或完工或竣工验收鉴定书标明的时间计算）。</w:t>
            </w:r>
          </w:p>
          <w:p>
            <w:pPr>
              <w:pStyle w:val="2"/>
              <w:numPr>
                <w:ilvl w:val="0"/>
                <w:numId w:val="0"/>
              </w:numPr>
              <w:ind w:right="1787" w:rightChars="0"/>
              <w:jc w:val="left"/>
              <w:rPr>
                <w:rFonts w:hint="eastAsia" w:ascii="宋体" w:hAnsi="宋体" w:eastAsia="宋体" w:cs="宋体"/>
                <w:highlight w:val="none"/>
              </w:rPr>
            </w:pPr>
            <w:r>
              <w:rPr>
                <w:rFonts w:hint="eastAsia" w:ascii="宋体" w:hAnsi="宋体" w:eastAsia="宋体" w:cs="宋体"/>
                <w:kern w:val="2"/>
                <w:sz w:val="21"/>
                <w:szCs w:val="21"/>
                <w:highlight w:val="none"/>
                <w:lang w:val="en-US" w:eastAsia="zh-CN" w:bidi="ar-SA"/>
              </w:rPr>
              <w:t>类似项目指：中标金额或合同金额300万元以上（含300万元）的高标准农田项目。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57"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57"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投标人汇总得分</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投标人汇总得分（满分100分）=该投标人的技术标得分+商务标得分</w:t>
            </w:r>
            <w:r>
              <w:rPr>
                <w:rFonts w:hint="eastAsia" w:ascii="宋体" w:hAnsi="宋体" w:eastAsia="宋体" w:cs="宋体"/>
                <w:color w:val="auto"/>
                <w:sz w:val="21"/>
                <w:szCs w:val="21"/>
                <w:highlight w:val="none"/>
                <w:lang w:val="en-US" w:eastAsia="zh-CN"/>
              </w:rPr>
              <w:t>+企业信誉实力得分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8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674"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评标程序</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8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3.1.2</w:t>
            </w:r>
          </w:p>
        </w:tc>
        <w:tc>
          <w:tcPr>
            <w:tcW w:w="1674"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否决投标条件</w:t>
            </w:r>
          </w:p>
        </w:tc>
        <w:tc>
          <w:tcPr>
            <w:tcW w:w="728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详见本章附件B：否决投标条件</w:t>
            </w:r>
          </w:p>
        </w:tc>
      </w:tr>
    </w:tbl>
    <w:p>
      <w:pPr>
        <w:spacing w:line="400" w:lineRule="exact"/>
        <w:jc w:val="center"/>
        <w:outlineLvl w:val="0"/>
        <w:rPr>
          <w:rFonts w:hint="eastAsia" w:ascii="宋体" w:hAnsi="宋体" w:eastAsia="宋体" w:cs="宋体"/>
          <w:sz w:val="30"/>
          <w:szCs w:val="30"/>
          <w:highlight w:val="none"/>
        </w:rPr>
      </w:pPr>
      <w:r>
        <w:rPr>
          <w:rFonts w:hint="eastAsia" w:ascii="宋体" w:hAnsi="宋体" w:eastAsia="宋体" w:cs="宋体"/>
          <w:b/>
          <w:kern w:val="0"/>
          <w:sz w:val="24"/>
          <w:szCs w:val="24"/>
          <w:highlight w:val="none"/>
        </w:rPr>
        <w:br w:type="page"/>
      </w:r>
      <w:bookmarkStart w:id="50" w:name="_Toc2014"/>
      <w:bookmarkStart w:id="51" w:name="_Toc115372968"/>
      <w:bookmarkStart w:id="52" w:name="_Toc346"/>
      <w:r>
        <w:rPr>
          <w:rFonts w:hint="eastAsia" w:ascii="宋体" w:hAnsi="宋体" w:eastAsia="宋体" w:cs="宋体"/>
          <w:b/>
          <w:sz w:val="30"/>
          <w:szCs w:val="30"/>
          <w:highlight w:val="none"/>
        </w:rPr>
        <w:t>评标办法（综合评分法）正文部分</w:t>
      </w:r>
      <w:bookmarkEnd w:id="50"/>
      <w:bookmarkEnd w:id="51"/>
      <w:bookmarkEnd w:id="52"/>
    </w:p>
    <w:p>
      <w:pPr>
        <w:pStyle w:val="3"/>
        <w:wordWrap w:val="0"/>
        <w:spacing w:before="0" w:after="0" w:line="400" w:lineRule="exact"/>
        <w:rPr>
          <w:rFonts w:hint="eastAsia" w:ascii="宋体" w:hAnsi="宋体" w:eastAsia="宋体" w:cs="宋体"/>
          <w:sz w:val="28"/>
          <w:szCs w:val="28"/>
          <w:highlight w:val="none"/>
        </w:rPr>
      </w:pPr>
      <w:bookmarkStart w:id="53" w:name="_Toc115372969"/>
      <w:bookmarkStart w:id="54" w:name="_Toc184635093"/>
      <w:bookmarkStart w:id="55" w:name="_Toc19360"/>
      <w:bookmarkStart w:id="56" w:name="_Toc6382"/>
      <w:r>
        <w:rPr>
          <w:rFonts w:hint="eastAsia" w:ascii="宋体" w:hAnsi="宋体" w:eastAsia="宋体" w:cs="宋体"/>
          <w:sz w:val="28"/>
          <w:szCs w:val="28"/>
          <w:highlight w:val="none"/>
        </w:rPr>
        <w:t>1 评标方法</w:t>
      </w:r>
      <w:bookmarkEnd w:id="53"/>
      <w:bookmarkEnd w:id="54"/>
      <w:bookmarkEnd w:id="55"/>
      <w:bookmarkEnd w:id="56"/>
    </w:p>
    <w:p>
      <w:pPr>
        <w:pStyle w:val="108"/>
        <w:wordWrap w:val="0"/>
        <w:spacing w:line="400" w:lineRule="exact"/>
        <w:rPr>
          <w:rFonts w:hint="eastAsia" w:ascii="宋体" w:hAnsi="宋体" w:eastAsia="宋体" w:cs="宋体"/>
          <w:sz w:val="24"/>
          <w:szCs w:val="24"/>
          <w:highlight w:val="none"/>
        </w:rPr>
      </w:pPr>
      <w:bookmarkStart w:id="57" w:name="_Toc26649"/>
      <w:bookmarkStart w:id="58" w:name="_Toc7767"/>
      <w:bookmarkStart w:id="59" w:name="_Toc115372970"/>
      <w:r>
        <w:rPr>
          <w:rFonts w:hint="eastAsia" w:ascii="宋体" w:hAnsi="宋体" w:eastAsia="宋体" w:cs="宋体"/>
          <w:sz w:val="24"/>
          <w:szCs w:val="24"/>
          <w:highlight w:val="none"/>
        </w:rPr>
        <w:t>1.1 总则</w:t>
      </w:r>
      <w:bookmarkEnd w:id="57"/>
      <w:bookmarkEnd w:id="58"/>
      <w:bookmarkEnd w:id="59"/>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本次评标采用综合评分法；评标委员会对满足招标文件实质性要求的投标文件，按照本章“评标办法前附表”第2.2 款规定的评分标准进行打分，并按综合得分由高到低顺序推荐中标候选人，或根据招标人授权直接确定中标人。综合评分相等时，以投标总报价低的优先；经评审的投标价相等时，按企业资质高的优先；企业资质也相等的，按技术标得分高得优先；技术标也相等的，由评委无记名投票确定。</w:t>
      </w:r>
    </w:p>
    <w:p>
      <w:pPr>
        <w:pStyle w:val="108"/>
        <w:wordWrap w:val="0"/>
        <w:spacing w:line="400" w:lineRule="exact"/>
        <w:rPr>
          <w:rFonts w:hint="eastAsia" w:ascii="宋体" w:hAnsi="宋体" w:eastAsia="宋体" w:cs="宋体"/>
          <w:sz w:val="24"/>
          <w:szCs w:val="24"/>
          <w:highlight w:val="none"/>
        </w:rPr>
      </w:pPr>
      <w:bookmarkStart w:id="60" w:name="_Toc7938"/>
      <w:bookmarkStart w:id="61" w:name="_Toc115372971"/>
      <w:bookmarkStart w:id="62" w:name="_Toc8131"/>
      <w:r>
        <w:rPr>
          <w:rFonts w:hint="eastAsia" w:ascii="宋体" w:hAnsi="宋体" w:eastAsia="宋体" w:cs="宋体"/>
          <w:sz w:val="24"/>
          <w:szCs w:val="24"/>
          <w:highlight w:val="none"/>
        </w:rPr>
        <w:t>1.2 适用于采用资格审查合格制办法</w:t>
      </w:r>
      <w:bookmarkEnd w:id="60"/>
      <w:bookmarkEnd w:id="61"/>
      <w:bookmarkEnd w:id="62"/>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所有在投标截止时间前提交投标文件的投标人均参与竞标。</w:t>
      </w:r>
    </w:p>
    <w:p>
      <w:pPr>
        <w:pStyle w:val="3"/>
        <w:wordWrap w:val="0"/>
        <w:spacing w:before="0" w:after="0" w:line="400" w:lineRule="exact"/>
        <w:rPr>
          <w:rFonts w:hint="eastAsia" w:ascii="宋体" w:hAnsi="宋体" w:eastAsia="宋体" w:cs="宋体"/>
          <w:sz w:val="28"/>
          <w:szCs w:val="28"/>
          <w:highlight w:val="none"/>
        </w:rPr>
      </w:pPr>
      <w:bookmarkStart w:id="63" w:name="_Toc115372972"/>
      <w:bookmarkStart w:id="64" w:name="_Toc6846"/>
      <w:bookmarkStart w:id="65" w:name="_Toc184635094"/>
      <w:bookmarkStart w:id="66" w:name="_Toc29751"/>
      <w:r>
        <w:rPr>
          <w:rFonts w:hint="eastAsia" w:ascii="宋体" w:hAnsi="宋体" w:eastAsia="宋体" w:cs="宋体"/>
          <w:sz w:val="28"/>
          <w:szCs w:val="28"/>
          <w:highlight w:val="none"/>
        </w:rPr>
        <w:t>2 评审标准</w:t>
      </w:r>
      <w:bookmarkEnd w:id="63"/>
      <w:bookmarkEnd w:id="64"/>
      <w:bookmarkEnd w:id="65"/>
      <w:bookmarkEnd w:id="66"/>
    </w:p>
    <w:p>
      <w:pPr>
        <w:pStyle w:val="108"/>
        <w:wordWrap w:val="0"/>
        <w:spacing w:line="400" w:lineRule="exact"/>
        <w:rPr>
          <w:rFonts w:hint="eastAsia" w:ascii="宋体" w:hAnsi="宋体" w:eastAsia="宋体" w:cs="宋体"/>
          <w:sz w:val="24"/>
          <w:szCs w:val="24"/>
          <w:highlight w:val="none"/>
        </w:rPr>
      </w:pPr>
      <w:bookmarkStart w:id="67" w:name="_Toc115372973"/>
      <w:bookmarkStart w:id="68" w:name="_Toc13778"/>
      <w:bookmarkStart w:id="69" w:name="_Toc929"/>
      <w:r>
        <w:rPr>
          <w:rFonts w:hint="eastAsia" w:ascii="宋体" w:hAnsi="宋体" w:eastAsia="宋体" w:cs="宋体"/>
          <w:sz w:val="24"/>
          <w:szCs w:val="24"/>
          <w:highlight w:val="none"/>
        </w:rPr>
        <w:t>2.1 初步评审标准</w:t>
      </w:r>
      <w:bookmarkEnd w:id="67"/>
      <w:bookmarkEnd w:id="68"/>
      <w:bookmarkEnd w:id="69"/>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2.1.1资格评审标准：见“评标办法前附表”。</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2.1.2形式评审标准：见“评标办法前附表”。</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2.1.3响应性评审标准：见“评标办法前附表”。</w:t>
      </w:r>
    </w:p>
    <w:p>
      <w:pPr>
        <w:pStyle w:val="108"/>
        <w:wordWrap w:val="0"/>
        <w:spacing w:line="400" w:lineRule="exact"/>
        <w:rPr>
          <w:rFonts w:hint="eastAsia" w:ascii="宋体" w:hAnsi="宋体" w:eastAsia="宋体" w:cs="宋体"/>
          <w:sz w:val="24"/>
          <w:szCs w:val="24"/>
          <w:highlight w:val="none"/>
        </w:rPr>
      </w:pPr>
      <w:bookmarkStart w:id="70" w:name="_Toc115372974"/>
      <w:bookmarkStart w:id="71" w:name="_Toc10818"/>
      <w:bookmarkStart w:id="72" w:name="_Toc10926"/>
      <w:r>
        <w:rPr>
          <w:rFonts w:hint="eastAsia" w:ascii="宋体" w:hAnsi="宋体" w:eastAsia="宋体" w:cs="宋体"/>
          <w:sz w:val="24"/>
          <w:szCs w:val="24"/>
          <w:highlight w:val="none"/>
        </w:rPr>
        <w:t>2.2 分值构成与评分标准</w:t>
      </w:r>
      <w:bookmarkEnd w:id="70"/>
      <w:bookmarkEnd w:id="71"/>
      <w:bookmarkEnd w:id="72"/>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2.2.1分值构成：见“评标办法前附表”。</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2.2.2评标基准价计算方法：见“评标办法前附表”。</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2.2.3评分标准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（1）技术标评分标准：见“评标办法前附表”。</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（2）商务标评分标准：见“评标办法前附表”。</w:t>
      </w:r>
    </w:p>
    <w:p>
      <w:pPr>
        <w:pStyle w:val="108"/>
        <w:wordWrap w:val="0"/>
        <w:spacing w:line="400" w:lineRule="exact"/>
        <w:rPr>
          <w:rFonts w:hint="eastAsia" w:ascii="宋体" w:hAnsi="宋体" w:eastAsia="宋体" w:cs="宋体"/>
          <w:sz w:val="28"/>
          <w:szCs w:val="28"/>
          <w:highlight w:val="none"/>
        </w:rPr>
      </w:pPr>
      <w:bookmarkStart w:id="73" w:name="_Toc184635095"/>
      <w:bookmarkStart w:id="74" w:name="_Toc26367"/>
      <w:bookmarkStart w:id="75" w:name="_Toc1581"/>
      <w:bookmarkStart w:id="76" w:name="_Toc115372975"/>
      <w:r>
        <w:rPr>
          <w:rFonts w:hint="eastAsia" w:ascii="宋体" w:hAnsi="宋体" w:eastAsia="宋体" w:cs="宋体"/>
          <w:sz w:val="28"/>
          <w:szCs w:val="28"/>
          <w:highlight w:val="none"/>
        </w:rPr>
        <w:t>3 评标程序</w:t>
      </w:r>
      <w:bookmarkEnd w:id="73"/>
      <w:bookmarkEnd w:id="74"/>
      <w:bookmarkEnd w:id="75"/>
      <w:bookmarkEnd w:id="76"/>
    </w:p>
    <w:p>
      <w:pPr>
        <w:pStyle w:val="108"/>
        <w:wordWrap w:val="0"/>
        <w:spacing w:line="400" w:lineRule="exact"/>
        <w:rPr>
          <w:rFonts w:hint="eastAsia" w:ascii="宋体" w:hAnsi="宋体" w:eastAsia="宋体" w:cs="宋体"/>
          <w:sz w:val="24"/>
          <w:szCs w:val="24"/>
          <w:highlight w:val="none"/>
        </w:rPr>
      </w:pPr>
      <w:bookmarkStart w:id="77" w:name="_Toc22452"/>
      <w:bookmarkStart w:id="78" w:name="_Toc115372976"/>
      <w:bookmarkStart w:id="79" w:name="_Toc22993"/>
      <w:r>
        <w:rPr>
          <w:rFonts w:hint="eastAsia" w:ascii="宋体" w:hAnsi="宋体" w:eastAsia="宋体" w:cs="宋体"/>
          <w:sz w:val="24"/>
          <w:szCs w:val="24"/>
          <w:highlight w:val="none"/>
        </w:rPr>
        <w:t>3.1 初步评审</w:t>
      </w:r>
      <w:bookmarkEnd w:id="77"/>
      <w:bookmarkEnd w:id="78"/>
      <w:bookmarkEnd w:id="79"/>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3.1.1评标委员会依据本章第2.1款规定的标准对投标文件进行初步评审。有一项不符合评审标准的，作否决投标处理。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3.1.2 投标人有以下情形之一的，其投标作否决投标处理：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（1）第二章“投标人须知”第1.4.3项规定的任何一种情形的：</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（2）串通投标或弄虚作假或有其他违法行为的；</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（3）不按评标委员会要求澄清、说明或补正的。</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3.1.3 投标总报价有算术错误的，评标委员会按以下原则对投标总报价进行修正，修正的价格经投标人书面确认后具有约束力。投标人不接受修正价格的，其投标作否决投标处理。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（1）投标文件中的大写金额与小写金额不一致的，以大写金额为准；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（2）总价金额与依据单价计算出的结果不一致的，以单价金额为准修正总价，但单价金额小数点有明显错误的除外。</w:t>
      </w:r>
    </w:p>
    <w:p>
      <w:pPr>
        <w:pStyle w:val="3"/>
        <w:wordWrap w:val="0"/>
        <w:spacing w:before="0" w:after="0" w:line="400" w:lineRule="exact"/>
        <w:rPr>
          <w:rFonts w:hint="eastAsia" w:ascii="宋体" w:hAnsi="宋体" w:eastAsia="宋体" w:cs="宋体"/>
          <w:sz w:val="24"/>
          <w:szCs w:val="24"/>
          <w:highlight w:val="none"/>
        </w:rPr>
      </w:pPr>
      <w:bookmarkStart w:id="80" w:name="_Toc115372977"/>
      <w:bookmarkStart w:id="81" w:name="_Toc30007"/>
      <w:bookmarkStart w:id="82" w:name="_Toc24763"/>
      <w:r>
        <w:rPr>
          <w:rFonts w:hint="eastAsia" w:ascii="宋体" w:hAnsi="宋体" w:eastAsia="宋体" w:cs="宋体"/>
          <w:sz w:val="24"/>
          <w:szCs w:val="24"/>
          <w:highlight w:val="none"/>
        </w:rPr>
        <w:t>3.2 详细评审</w:t>
      </w:r>
      <w:bookmarkEnd w:id="80"/>
      <w:bookmarkEnd w:id="81"/>
      <w:bookmarkEnd w:id="82"/>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3.2.1 评标委员会按照本章“评标办法前附表”第2.2款规定的量化因素和分值进行打分，并计算出综合评估得分。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3.2.2 评分分值计算保留小数点后两位，小数点后第三位“四舍五入”。</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3.2.3 投标人得分（满分100分）=商务标分+技术标分。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3.2.4 评标委员会发现投标人的报价明显低于其他投标总报价，或者在设有标底时明显低于标底，使得其投标总报价可能低于其个别成本的，应当启动投标人成本评审程序，要求该投标人作出书面说明并提供相应的证明材料。投标人不能合理说明或者不能提供相应证明材料的，由评标委员会认定该投标人以低于成本报价竞标。</w:t>
      </w:r>
    </w:p>
    <w:p>
      <w:pPr>
        <w:pStyle w:val="3"/>
        <w:wordWrap w:val="0"/>
        <w:spacing w:before="0" w:after="0" w:line="400" w:lineRule="exact"/>
        <w:rPr>
          <w:rFonts w:hint="eastAsia" w:ascii="宋体" w:hAnsi="宋体" w:eastAsia="宋体" w:cs="宋体"/>
          <w:sz w:val="24"/>
          <w:szCs w:val="24"/>
          <w:highlight w:val="none"/>
        </w:rPr>
      </w:pPr>
      <w:bookmarkStart w:id="83" w:name="_Toc115372978"/>
      <w:bookmarkStart w:id="84" w:name="_Toc27090"/>
      <w:bookmarkStart w:id="85" w:name="_Toc24724"/>
      <w:r>
        <w:rPr>
          <w:rFonts w:hint="eastAsia" w:ascii="宋体" w:hAnsi="宋体" w:eastAsia="宋体" w:cs="宋体"/>
          <w:sz w:val="24"/>
          <w:szCs w:val="24"/>
          <w:highlight w:val="none"/>
        </w:rPr>
        <w:t>3.3 投标文件的澄清和补正</w:t>
      </w:r>
      <w:bookmarkEnd w:id="83"/>
      <w:bookmarkEnd w:id="84"/>
      <w:bookmarkEnd w:id="85"/>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3.3.2 澄清、说明和补正不得改变投标文件的实质性内容（算术性错误修正的除外）。投标人的书面澄清、说明和补正属于投标文件的组成部分。</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3.3.3 评标委员会对投标人提交的澄清、说明或补正有疑问的，可以要求投标人进一步澄清、说明或补正，直至满足评标委员会的要求。</w:t>
      </w:r>
    </w:p>
    <w:p>
      <w:pPr>
        <w:pStyle w:val="3"/>
        <w:wordWrap w:val="0"/>
        <w:spacing w:before="0" w:after="0" w:line="400" w:lineRule="exact"/>
        <w:rPr>
          <w:rFonts w:hint="eastAsia" w:ascii="宋体" w:hAnsi="宋体" w:eastAsia="宋体" w:cs="宋体"/>
          <w:sz w:val="24"/>
          <w:szCs w:val="24"/>
          <w:highlight w:val="none"/>
        </w:rPr>
      </w:pPr>
      <w:bookmarkStart w:id="86" w:name="_Toc316"/>
      <w:bookmarkStart w:id="87" w:name="_Toc9278"/>
      <w:bookmarkStart w:id="88" w:name="_Toc115372979"/>
      <w:r>
        <w:rPr>
          <w:rFonts w:hint="eastAsia" w:ascii="宋体" w:hAnsi="宋体" w:eastAsia="宋体" w:cs="宋体"/>
          <w:sz w:val="24"/>
          <w:szCs w:val="24"/>
          <w:highlight w:val="none"/>
        </w:rPr>
        <w:t>3.4 评标结果</w:t>
      </w:r>
      <w:bookmarkEnd w:id="86"/>
      <w:bookmarkEnd w:id="87"/>
      <w:bookmarkEnd w:id="88"/>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3.4.1 除第二章“投标人须知”前附表授权直接确定中标人外，评标委员会按照得分高到低的顺序推荐中标候选人。</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3.4.2 评标委员会完成评标后，由应当向招标人提交书面评标报告。</w:t>
      </w:r>
    </w:p>
    <w:p>
      <w:pPr>
        <w:wordWrap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3.4.3 评标委员会应将评标过程中使用的文件、表格以及其他材料应当即时归还招标人。</w:t>
      </w:r>
    </w:p>
    <w:p>
      <w:pPr>
        <w:spacing w:line="400" w:lineRule="exact"/>
        <w:rPr>
          <w:rFonts w:hint="eastAsia" w:ascii="宋体" w:hAnsi="宋体" w:eastAsia="宋体" w:cs="宋体"/>
          <w:sz w:val="21"/>
          <w:szCs w:val="21"/>
          <w:highlight w:val="none"/>
        </w:rPr>
      </w:pPr>
    </w:p>
    <w:p>
      <w:pPr>
        <w:pStyle w:val="3"/>
        <w:spacing w:before="0" w:line="400" w:lineRule="exact"/>
        <w:jc w:val="center"/>
        <w:rPr>
          <w:rFonts w:hint="eastAsia" w:ascii="宋体" w:hAnsi="宋体" w:eastAsia="宋体" w:cs="宋体"/>
          <w:sz w:val="21"/>
          <w:szCs w:val="21"/>
          <w:highlight w:val="none"/>
        </w:rPr>
      </w:pPr>
      <w:bookmarkStart w:id="89" w:name="_Toc15965"/>
    </w:p>
    <w:p>
      <w:pPr>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pStyle w:val="3"/>
        <w:spacing w:before="0" w:line="400" w:lineRule="exact"/>
        <w:jc w:val="center"/>
        <w:rPr>
          <w:rFonts w:hint="eastAsia" w:ascii="宋体" w:hAnsi="宋体" w:eastAsia="宋体" w:cs="宋体"/>
          <w:sz w:val="28"/>
          <w:szCs w:val="28"/>
          <w:highlight w:val="none"/>
        </w:rPr>
      </w:pPr>
      <w:bookmarkStart w:id="90" w:name="_Toc115372980"/>
      <w:bookmarkStart w:id="91" w:name="_Toc5041"/>
      <w:r>
        <w:rPr>
          <w:rFonts w:hint="eastAsia" w:ascii="宋体" w:hAnsi="宋体" w:eastAsia="宋体" w:cs="宋体"/>
          <w:sz w:val="28"/>
          <w:szCs w:val="28"/>
          <w:highlight w:val="none"/>
        </w:rPr>
        <w:t>附件A：评标详细程序</w:t>
      </w:r>
      <w:bookmarkEnd w:id="89"/>
      <w:bookmarkEnd w:id="90"/>
      <w:bookmarkEnd w:id="91"/>
    </w:p>
    <w:p>
      <w:pPr>
        <w:spacing w:after="120" w:afterLines="50" w:line="40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评标详细程序</w:t>
      </w:r>
    </w:p>
    <w:p>
      <w:pPr>
        <w:spacing w:line="400" w:lineRule="exact"/>
        <w:outlineLvl w:val="0"/>
        <w:rPr>
          <w:rFonts w:hint="eastAsia" w:ascii="宋体" w:hAnsi="宋体" w:eastAsia="宋体" w:cs="宋体"/>
          <w:sz w:val="21"/>
          <w:szCs w:val="21"/>
          <w:highlight w:val="none"/>
        </w:rPr>
      </w:pPr>
      <w:bookmarkStart w:id="92" w:name="_Toc27274"/>
      <w:bookmarkStart w:id="93" w:name="_Toc29426"/>
      <w:bookmarkStart w:id="94" w:name="_Toc115372981"/>
      <w:r>
        <w:rPr>
          <w:rFonts w:hint="eastAsia" w:ascii="宋体" w:hAnsi="宋体" w:eastAsia="宋体" w:cs="宋体"/>
          <w:sz w:val="21"/>
          <w:szCs w:val="21"/>
          <w:highlight w:val="none"/>
        </w:rPr>
        <w:t>A0 总  则</w:t>
      </w:r>
      <w:bookmarkEnd w:id="92"/>
      <w:bookmarkEnd w:id="93"/>
      <w:bookmarkEnd w:id="94"/>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本附件是本章“评标办法”的组成部分，是对本章第3条所规定的评标程序的进一步细化，评标委员会应当按照本附件所规定的详细程序开展并完成评标工作。</w:t>
      </w:r>
    </w:p>
    <w:p>
      <w:pPr>
        <w:spacing w:line="400" w:lineRule="exact"/>
        <w:outlineLvl w:val="0"/>
        <w:rPr>
          <w:rFonts w:hint="eastAsia" w:ascii="宋体" w:hAnsi="宋体" w:eastAsia="宋体" w:cs="宋体"/>
          <w:sz w:val="21"/>
          <w:szCs w:val="21"/>
          <w:highlight w:val="none"/>
        </w:rPr>
      </w:pPr>
      <w:bookmarkStart w:id="95" w:name="_Toc115372982"/>
      <w:bookmarkStart w:id="96" w:name="_Toc30102"/>
      <w:bookmarkStart w:id="97" w:name="_Toc12865"/>
      <w:r>
        <w:rPr>
          <w:rFonts w:hint="eastAsia" w:ascii="宋体" w:hAnsi="宋体" w:eastAsia="宋体" w:cs="宋体"/>
          <w:sz w:val="21"/>
          <w:szCs w:val="21"/>
          <w:highlight w:val="none"/>
        </w:rPr>
        <w:t>A1 基本程序</w:t>
      </w:r>
      <w:bookmarkEnd w:id="95"/>
      <w:bookmarkEnd w:id="96"/>
      <w:bookmarkEnd w:id="97"/>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评标活动将按以下五个步骤进行：</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（1）评标准备；</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（2）初步评审：</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（3）详细评审；</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（4）澄清、说明或补正；</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（5）推荐中标候选人或者直接确定中标人及提交评标报告。</w:t>
      </w:r>
    </w:p>
    <w:p>
      <w:pPr>
        <w:spacing w:line="400" w:lineRule="exact"/>
        <w:outlineLvl w:val="0"/>
        <w:rPr>
          <w:rFonts w:hint="eastAsia" w:ascii="宋体" w:hAnsi="宋体" w:eastAsia="宋体" w:cs="宋体"/>
          <w:sz w:val="21"/>
          <w:szCs w:val="21"/>
          <w:highlight w:val="none"/>
        </w:rPr>
      </w:pPr>
      <w:bookmarkStart w:id="98" w:name="_Toc20887"/>
      <w:bookmarkStart w:id="99" w:name="_Toc20711"/>
      <w:bookmarkStart w:id="100" w:name="_Toc115372983"/>
      <w:r>
        <w:rPr>
          <w:rFonts w:hint="eastAsia" w:ascii="宋体" w:hAnsi="宋体" w:eastAsia="宋体" w:cs="宋体"/>
          <w:sz w:val="21"/>
          <w:szCs w:val="21"/>
          <w:highlight w:val="none"/>
        </w:rPr>
        <w:t>A2 评标准备</w:t>
      </w:r>
      <w:bookmarkEnd w:id="98"/>
      <w:bookmarkEnd w:id="99"/>
      <w:bookmarkEnd w:id="100"/>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A2.1评标委员会成员签到</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评标委员会成员到达评标现场时应在签到表上签到以证明其出席。</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A2.2评标委员会的分工</w:t>
      </w:r>
    </w:p>
    <w:p>
      <w:pPr>
        <w:pStyle w:val="16"/>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评标委员会首先推选一名评标委员会主任。评标委员会主任负责评标活动的组织工作。</w:t>
      </w:r>
    </w:p>
    <w:p>
      <w:pPr>
        <w:pStyle w:val="125"/>
        <w:spacing w:line="400" w:lineRule="exact"/>
        <w:rPr>
          <w:rFonts w:hint="eastAsia" w:ascii="宋体" w:hAnsi="宋体" w:eastAsia="宋体" w:cs="宋体"/>
          <w:highlight w:val="none"/>
        </w:rPr>
      </w:pPr>
      <w:r>
        <w:rPr>
          <w:rFonts w:hint="eastAsia" w:ascii="宋体" w:hAnsi="宋体" w:eastAsia="宋体" w:cs="宋体"/>
          <w:highlight w:val="none"/>
        </w:rPr>
        <w:t>A2.3熟悉文件资料</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2.3.1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A2.3.2招标人或招标代理机构应向评标委员会提供评标所需的信息和数据。</w:t>
      </w:r>
    </w:p>
    <w:p>
      <w:pPr>
        <w:spacing w:line="400" w:lineRule="exact"/>
        <w:outlineLvl w:val="0"/>
        <w:rPr>
          <w:rFonts w:hint="eastAsia" w:ascii="宋体" w:hAnsi="宋体" w:eastAsia="宋体" w:cs="宋体"/>
          <w:sz w:val="21"/>
          <w:szCs w:val="21"/>
          <w:highlight w:val="none"/>
        </w:rPr>
      </w:pPr>
      <w:bookmarkStart w:id="101" w:name="_Toc115372984"/>
      <w:bookmarkStart w:id="102" w:name="_Toc16025"/>
      <w:bookmarkStart w:id="103" w:name="_Toc2029"/>
      <w:r>
        <w:rPr>
          <w:rFonts w:hint="eastAsia" w:ascii="宋体" w:hAnsi="宋体" w:eastAsia="宋体" w:cs="宋体"/>
          <w:sz w:val="21"/>
          <w:szCs w:val="21"/>
          <w:highlight w:val="none"/>
        </w:rPr>
        <w:t>A3 初步评审</w:t>
      </w:r>
      <w:bookmarkEnd w:id="101"/>
      <w:bookmarkEnd w:id="102"/>
      <w:bookmarkEnd w:id="103"/>
    </w:p>
    <w:p>
      <w:pPr>
        <w:spacing w:line="400" w:lineRule="exact"/>
        <w:ind w:firstLine="420" w:firstLineChars="200"/>
        <w:outlineLvl w:val="0"/>
        <w:rPr>
          <w:rFonts w:hint="eastAsia" w:ascii="宋体" w:hAnsi="宋体" w:eastAsia="宋体" w:cs="宋体"/>
          <w:sz w:val="21"/>
          <w:szCs w:val="21"/>
          <w:highlight w:val="none"/>
        </w:rPr>
      </w:pPr>
      <w:bookmarkStart w:id="104" w:name="_Toc115372985"/>
      <w:bookmarkStart w:id="105" w:name="_Toc19249"/>
      <w:bookmarkStart w:id="106" w:name="_Toc28639"/>
      <w:r>
        <w:rPr>
          <w:rFonts w:hint="eastAsia" w:ascii="宋体" w:hAnsi="宋体" w:eastAsia="宋体" w:cs="宋体"/>
          <w:sz w:val="21"/>
          <w:szCs w:val="21"/>
          <w:highlight w:val="none"/>
        </w:rPr>
        <w:t>A3.1资格评审</w:t>
      </w:r>
      <w:bookmarkEnd w:id="104"/>
      <w:bookmarkEnd w:id="105"/>
      <w:bookmarkEnd w:id="106"/>
    </w:p>
    <w:p>
      <w:pPr>
        <w:spacing w:line="400" w:lineRule="exact"/>
        <w:ind w:firstLine="412" w:firstLineChars="20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评标委员会根据“评标办法前附表”中规定的评审因素和评审标准，对投标人的投标文件进行资格评审。</w:t>
      </w:r>
    </w:p>
    <w:p>
      <w:pPr>
        <w:spacing w:line="400" w:lineRule="exact"/>
        <w:ind w:firstLine="420" w:firstLineChars="200"/>
        <w:outlineLvl w:val="0"/>
        <w:rPr>
          <w:rFonts w:hint="eastAsia" w:ascii="宋体" w:hAnsi="宋体" w:eastAsia="宋体" w:cs="宋体"/>
          <w:sz w:val="21"/>
          <w:szCs w:val="21"/>
          <w:highlight w:val="none"/>
        </w:rPr>
      </w:pPr>
      <w:bookmarkStart w:id="107" w:name="_Toc115372986"/>
      <w:bookmarkStart w:id="108" w:name="_Toc6443"/>
      <w:bookmarkStart w:id="109" w:name="_Toc19578"/>
      <w:r>
        <w:rPr>
          <w:rFonts w:hint="eastAsia" w:ascii="宋体" w:hAnsi="宋体" w:eastAsia="宋体" w:cs="宋体"/>
          <w:sz w:val="21"/>
          <w:szCs w:val="21"/>
          <w:highlight w:val="none"/>
        </w:rPr>
        <w:t>A3.2形式评审</w:t>
      </w:r>
      <w:bookmarkEnd w:id="107"/>
      <w:bookmarkEnd w:id="108"/>
      <w:bookmarkEnd w:id="109"/>
    </w:p>
    <w:p>
      <w:pPr>
        <w:spacing w:line="400" w:lineRule="exact"/>
        <w:ind w:firstLine="412" w:firstLineChars="200"/>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评标委员会根据“评标办法前附表”中规定的评审因素和评审标准，对投标人的投标文件进行形式评审。</w:t>
      </w:r>
    </w:p>
    <w:p>
      <w:pPr>
        <w:spacing w:line="400" w:lineRule="exact"/>
        <w:ind w:firstLine="420" w:firstLineChars="200"/>
        <w:outlineLvl w:val="0"/>
        <w:rPr>
          <w:rFonts w:hint="eastAsia" w:ascii="宋体" w:hAnsi="宋体" w:eastAsia="宋体" w:cs="宋体"/>
          <w:sz w:val="21"/>
          <w:szCs w:val="21"/>
          <w:highlight w:val="none"/>
        </w:rPr>
      </w:pPr>
      <w:bookmarkStart w:id="110" w:name="_Toc11678"/>
      <w:bookmarkStart w:id="111" w:name="_Toc115372987"/>
      <w:bookmarkStart w:id="112" w:name="_Toc8525"/>
      <w:r>
        <w:rPr>
          <w:rFonts w:hint="eastAsia" w:ascii="宋体" w:hAnsi="宋体" w:eastAsia="宋体" w:cs="宋体"/>
          <w:sz w:val="21"/>
          <w:szCs w:val="21"/>
          <w:highlight w:val="none"/>
        </w:rPr>
        <w:t>A3.3 响应性评审</w:t>
      </w:r>
      <w:bookmarkEnd w:id="110"/>
      <w:bookmarkEnd w:id="111"/>
      <w:bookmarkEnd w:id="112"/>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A3.3.1评标委员会根据“评标办法前附表”中规定的评审因素和评审标准，对投标人的投标文件进行响应性评审。</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A3.3.2投标人投标总报价不得超出第二章“投标人须知”前附表第10.2款载明的招标控制价，凡投标人的投标总报价超出招标控制价的，该投标人的投标文件不能通过响应性评审。</w:t>
      </w:r>
    </w:p>
    <w:p>
      <w:pPr>
        <w:spacing w:line="400" w:lineRule="exact"/>
        <w:ind w:firstLine="420" w:firstLineChars="200"/>
        <w:outlineLvl w:val="0"/>
        <w:rPr>
          <w:rFonts w:hint="eastAsia" w:ascii="宋体" w:hAnsi="宋体" w:eastAsia="宋体" w:cs="宋体"/>
          <w:sz w:val="21"/>
          <w:szCs w:val="21"/>
          <w:highlight w:val="none"/>
        </w:rPr>
      </w:pPr>
      <w:bookmarkStart w:id="113" w:name="_Toc18050"/>
      <w:bookmarkStart w:id="114" w:name="_Toc3241"/>
      <w:bookmarkStart w:id="115" w:name="_Toc115372988"/>
      <w:r>
        <w:rPr>
          <w:rFonts w:hint="eastAsia" w:ascii="宋体" w:hAnsi="宋体" w:eastAsia="宋体" w:cs="宋体"/>
          <w:sz w:val="21"/>
          <w:szCs w:val="21"/>
          <w:highlight w:val="none"/>
        </w:rPr>
        <w:t>A3.4 施工组织设计评审</w:t>
      </w:r>
      <w:bookmarkEnd w:id="113"/>
      <w:bookmarkEnd w:id="114"/>
      <w:bookmarkEnd w:id="115"/>
    </w:p>
    <w:p>
      <w:pPr>
        <w:spacing w:line="400" w:lineRule="exact"/>
        <w:ind w:firstLine="412" w:firstLineChars="200"/>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评标委员会根据“评标办法前附表”中规定的评审因素和评审标准，对投标人的施工组织设计进行评审。</w:t>
      </w:r>
    </w:p>
    <w:p>
      <w:pPr>
        <w:spacing w:line="400" w:lineRule="exact"/>
        <w:ind w:firstLine="420" w:firstLineChars="200"/>
        <w:outlineLvl w:val="0"/>
        <w:rPr>
          <w:rFonts w:hint="eastAsia" w:ascii="宋体" w:hAnsi="宋体" w:eastAsia="宋体" w:cs="宋体"/>
          <w:sz w:val="21"/>
          <w:szCs w:val="21"/>
          <w:highlight w:val="none"/>
        </w:rPr>
      </w:pPr>
      <w:bookmarkStart w:id="116" w:name="_Toc115372989"/>
      <w:bookmarkStart w:id="117" w:name="_Toc256"/>
      <w:bookmarkStart w:id="118" w:name="_Toc5074"/>
      <w:r>
        <w:rPr>
          <w:rFonts w:hint="eastAsia" w:ascii="宋体" w:hAnsi="宋体" w:eastAsia="宋体" w:cs="宋体"/>
          <w:sz w:val="21"/>
          <w:szCs w:val="21"/>
          <w:highlight w:val="none"/>
        </w:rPr>
        <w:t>A3.5 判断投标是否为否决投标</w:t>
      </w:r>
      <w:bookmarkEnd w:id="116"/>
      <w:bookmarkEnd w:id="117"/>
      <w:bookmarkEnd w:id="118"/>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A3.5.1判断投标人的投标是否为否决投标的全部条件（包括本章第3.1.2项中规定的条件），在本章附件B中集中列示。</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A3.5.2本章附件B集中列示的否决投标条件不应与第二章“投标人须知”和本章正文部分包括的否决投标条件抵触，如果出现相互矛盾的情况，以第二章“投标人须知”和本章正文部分的规定为准。</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A3.5.3评标委员会在评标（包括初步评审和详细评审）过程中，依据本章附件B中规定的否决投标条件判断投标人的投标是否为否决投标。</w:t>
      </w:r>
    </w:p>
    <w:p>
      <w:pPr>
        <w:spacing w:line="400" w:lineRule="exact"/>
        <w:ind w:firstLine="420" w:firstLineChars="200"/>
        <w:outlineLvl w:val="0"/>
        <w:rPr>
          <w:rFonts w:hint="eastAsia" w:ascii="宋体" w:hAnsi="宋体" w:eastAsia="宋体" w:cs="宋体"/>
          <w:sz w:val="21"/>
          <w:szCs w:val="21"/>
          <w:highlight w:val="none"/>
        </w:rPr>
      </w:pPr>
      <w:bookmarkStart w:id="119" w:name="_Toc115372990"/>
      <w:bookmarkStart w:id="120" w:name="_Toc20072"/>
      <w:bookmarkStart w:id="121" w:name="_Toc27235"/>
      <w:r>
        <w:rPr>
          <w:rFonts w:hint="eastAsia" w:ascii="宋体" w:hAnsi="宋体" w:eastAsia="宋体" w:cs="宋体"/>
          <w:sz w:val="21"/>
          <w:szCs w:val="21"/>
          <w:highlight w:val="none"/>
        </w:rPr>
        <w:t>A3.6算术错误修正</w:t>
      </w:r>
      <w:bookmarkEnd w:id="119"/>
      <w:bookmarkEnd w:id="120"/>
      <w:bookmarkEnd w:id="121"/>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评标委员会依据本章中规定的相关原则对投标总报价中存在的算术错误进行修正，并根据算术错误修正结果计算评标价。</w:t>
      </w:r>
    </w:p>
    <w:p>
      <w:pPr>
        <w:spacing w:line="400" w:lineRule="exact"/>
        <w:ind w:firstLine="420" w:firstLineChars="200"/>
        <w:outlineLvl w:val="0"/>
        <w:rPr>
          <w:rFonts w:hint="eastAsia" w:ascii="宋体" w:hAnsi="宋体" w:eastAsia="宋体" w:cs="宋体"/>
          <w:sz w:val="21"/>
          <w:szCs w:val="21"/>
          <w:highlight w:val="none"/>
        </w:rPr>
      </w:pPr>
      <w:bookmarkStart w:id="122" w:name="_Toc115372991"/>
      <w:bookmarkStart w:id="123" w:name="_Toc24085"/>
      <w:bookmarkStart w:id="124" w:name="_Toc14244"/>
      <w:r>
        <w:rPr>
          <w:rFonts w:hint="eastAsia" w:ascii="宋体" w:hAnsi="宋体" w:eastAsia="宋体" w:cs="宋体"/>
          <w:sz w:val="21"/>
          <w:szCs w:val="21"/>
          <w:highlight w:val="none"/>
        </w:rPr>
        <w:t>A3.7澄清、说明或补正</w:t>
      </w:r>
      <w:bookmarkEnd w:id="122"/>
      <w:bookmarkEnd w:id="123"/>
      <w:bookmarkEnd w:id="124"/>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00" w:lineRule="exact"/>
        <w:outlineLvl w:val="0"/>
        <w:rPr>
          <w:rFonts w:hint="eastAsia" w:ascii="宋体" w:hAnsi="宋体" w:eastAsia="宋体" w:cs="宋体"/>
          <w:sz w:val="21"/>
          <w:szCs w:val="21"/>
          <w:highlight w:val="none"/>
        </w:rPr>
      </w:pPr>
      <w:bookmarkStart w:id="125" w:name="_Toc21861"/>
      <w:bookmarkStart w:id="126" w:name="_Toc115372992"/>
      <w:bookmarkStart w:id="127" w:name="_Toc17435"/>
      <w:r>
        <w:rPr>
          <w:rFonts w:hint="eastAsia" w:ascii="宋体" w:hAnsi="宋体" w:eastAsia="宋体" w:cs="宋体"/>
          <w:sz w:val="21"/>
          <w:szCs w:val="21"/>
          <w:highlight w:val="none"/>
        </w:rPr>
        <w:t>A4 详细评审</w:t>
      </w:r>
      <w:bookmarkEnd w:id="125"/>
      <w:bookmarkEnd w:id="126"/>
      <w:bookmarkEnd w:id="127"/>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只有通过了初步评审、被判定为合格的投标方可进入详细评审。</w:t>
      </w:r>
    </w:p>
    <w:p>
      <w:pPr>
        <w:spacing w:line="400" w:lineRule="exact"/>
        <w:ind w:firstLine="420" w:firstLineChars="200"/>
        <w:outlineLvl w:val="0"/>
        <w:rPr>
          <w:rFonts w:hint="eastAsia" w:ascii="宋体" w:hAnsi="宋体" w:eastAsia="宋体" w:cs="宋体"/>
          <w:sz w:val="21"/>
          <w:szCs w:val="21"/>
          <w:highlight w:val="none"/>
        </w:rPr>
      </w:pPr>
      <w:bookmarkStart w:id="128" w:name="_Toc7337"/>
      <w:bookmarkStart w:id="129" w:name="_Toc17012"/>
      <w:bookmarkStart w:id="130" w:name="_Toc115372993"/>
      <w:r>
        <w:rPr>
          <w:rFonts w:hint="eastAsia" w:ascii="宋体" w:hAnsi="宋体" w:eastAsia="宋体" w:cs="宋体"/>
          <w:sz w:val="21"/>
          <w:szCs w:val="21"/>
          <w:highlight w:val="none"/>
        </w:rPr>
        <w:t>A4.1 对投标文件进行基础性数据分析和整理工作（清标）</w:t>
      </w:r>
      <w:bookmarkEnd w:id="128"/>
      <w:bookmarkEnd w:id="129"/>
      <w:bookmarkEnd w:id="130"/>
    </w:p>
    <w:p>
      <w:pPr>
        <w:spacing w:line="400" w:lineRule="exact"/>
        <w:ind w:firstLine="420" w:firstLineChars="200"/>
        <w:outlineLvl w:val="0"/>
        <w:rPr>
          <w:rFonts w:hint="eastAsia" w:ascii="宋体" w:hAnsi="宋体" w:eastAsia="宋体" w:cs="宋体"/>
          <w:sz w:val="21"/>
          <w:szCs w:val="21"/>
          <w:highlight w:val="none"/>
        </w:rPr>
      </w:pPr>
      <w:bookmarkStart w:id="131" w:name="_Toc18766"/>
      <w:bookmarkStart w:id="132" w:name="_Toc28738"/>
      <w:bookmarkStart w:id="133" w:name="_Toc115372994"/>
      <w:r>
        <w:rPr>
          <w:rFonts w:hint="eastAsia" w:ascii="宋体" w:hAnsi="宋体" w:eastAsia="宋体" w:cs="宋体"/>
          <w:sz w:val="21"/>
          <w:szCs w:val="21"/>
          <w:highlight w:val="none"/>
        </w:rPr>
        <w:t>A4.2价格折算</w:t>
      </w:r>
      <w:bookmarkEnd w:id="131"/>
      <w:bookmarkEnd w:id="132"/>
      <w:bookmarkEnd w:id="133"/>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评标委员会根据评标办法对投标总报价计算出评标价。</w:t>
      </w:r>
    </w:p>
    <w:p>
      <w:pPr>
        <w:spacing w:line="400" w:lineRule="exact"/>
        <w:ind w:firstLine="420" w:firstLineChars="200"/>
        <w:outlineLvl w:val="0"/>
        <w:rPr>
          <w:rFonts w:hint="eastAsia" w:ascii="宋体" w:hAnsi="宋体" w:eastAsia="宋体" w:cs="宋体"/>
          <w:sz w:val="21"/>
          <w:szCs w:val="21"/>
          <w:highlight w:val="none"/>
        </w:rPr>
      </w:pPr>
      <w:bookmarkStart w:id="134" w:name="_Toc24031"/>
      <w:bookmarkStart w:id="135" w:name="_Toc28693"/>
      <w:bookmarkStart w:id="136" w:name="_Toc115372995"/>
      <w:r>
        <w:rPr>
          <w:rFonts w:hint="eastAsia" w:ascii="宋体" w:hAnsi="宋体" w:eastAsia="宋体" w:cs="宋体"/>
          <w:sz w:val="21"/>
          <w:szCs w:val="21"/>
          <w:highlight w:val="none"/>
        </w:rPr>
        <w:t>A4.3 判断投标总报价是否低于成本</w:t>
      </w:r>
      <w:bookmarkEnd w:id="134"/>
      <w:bookmarkEnd w:id="135"/>
      <w:bookmarkEnd w:id="136"/>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由评标委员会认定投标人是否以低于成本竞标。</w:t>
      </w:r>
    </w:p>
    <w:p>
      <w:pPr>
        <w:spacing w:line="400" w:lineRule="exact"/>
        <w:ind w:firstLine="420" w:firstLineChars="200"/>
        <w:outlineLvl w:val="0"/>
        <w:rPr>
          <w:rFonts w:hint="eastAsia" w:ascii="宋体" w:hAnsi="宋体" w:eastAsia="宋体" w:cs="宋体"/>
          <w:sz w:val="21"/>
          <w:szCs w:val="21"/>
          <w:highlight w:val="none"/>
        </w:rPr>
      </w:pPr>
      <w:bookmarkStart w:id="137" w:name="_Toc23643"/>
      <w:bookmarkStart w:id="138" w:name="_Toc115372996"/>
      <w:bookmarkStart w:id="139" w:name="_Toc22625"/>
      <w:r>
        <w:rPr>
          <w:rFonts w:hint="eastAsia" w:ascii="宋体" w:hAnsi="宋体" w:eastAsia="宋体" w:cs="宋体"/>
          <w:sz w:val="21"/>
          <w:szCs w:val="21"/>
          <w:highlight w:val="none"/>
        </w:rPr>
        <w:t>A4.4澄清、说明或补正</w:t>
      </w:r>
      <w:bookmarkEnd w:id="137"/>
      <w:bookmarkEnd w:id="138"/>
      <w:bookmarkEnd w:id="139"/>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00" w:lineRule="exact"/>
        <w:outlineLvl w:val="0"/>
        <w:rPr>
          <w:rFonts w:hint="eastAsia" w:ascii="宋体" w:hAnsi="宋体" w:eastAsia="宋体" w:cs="宋体"/>
          <w:sz w:val="21"/>
          <w:szCs w:val="21"/>
          <w:highlight w:val="none"/>
        </w:rPr>
      </w:pPr>
      <w:bookmarkStart w:id="140" w:name="_Toc26923"/>
      <w:bookmarkStart w:id="141" w:name="_Toc115372997"/>
      <w:bookmarkStart w:id="142" w:name="_Toc32251"/>
      <w:r>
        <w:rPr>
          <w:rFonts w:hint="eastAsia" w:ascii="宋体" w:hAnsi="宋体" w:eastAsia="宋体" w:cs="宋体"/>
          <w:sz w:val="21"/>
          <w:szCs w:val="21"/>
          <w:highlight w:val="none"/>
        </w:rPr>
        <w:t>A5推荐中标候选人或者直接确定中标人</w:t>
      </w:r>
      <w:bookmarkEnd w:id="140"/>
      <w:bookmarkEnd w:id="141"/>
      <w:bookmarkEnd w:id="142"/>
    </w:p>
    <w:p>
      <w:pPr>
        <w:spacing w:line="400" w:lineRule="exact"/>
        <w:ind w:firstLine="420" w:firstLineChars="200"/>
        <w:outlineLvl w:val="0"/>
        <w:rPr>
          <w:rFonts w:hint="eastAsia" w:ascii="宋体" w:hAnsi="宋体" w:eastAsia="宋体" w:cs="宋体"/>
          <w:sz w:val="21"/>
          <w:szCs w:val="21"/>
          <w:highlight w:val="none"/>
        </w:rPr>
      </w:pPr>
      <w:bookmarkStart w:id="143" w:name="_Toc10416"/>
      <w:bookmarkStart w:id="144" w:name="_Toc115372998"/>
      <w:bookmarkStart w:id="145" w:name="_Toc31502"/>
      <w:r>
        <w:rPr>
          <w:rFonts w:hint="eastAsia" w:ascii="宋体" w:hAnsi="宋体" w:eastAsia="宋体" w:cs="宋体"/>
          <w:sz w:val="21"/>
          <w:szCs w:val="21"/>
          <w:highlight w:val="none"/>
        </w:rPr>
        <w:t>A5.1汇总评标结果</w:t>
      </w:r>
      <w:bookmarkEnd w:id="143"/>
      <w:bookmarkEnd w:id="144"/>
      <w:bookmarkEnd w:id="145"/>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投标总报价评审工作全部结束后，评标委员会对评标结果进行汇总。</w:t>
      </w:r>
    </w:p>
    <w:p>
      <w:pPr>
        <w:spacing w:line="400" w:lineRule="exact"/>
        <w:ind w:firstLine="420" w:firstLineChars="200"/>
        <w:outlineLvl w:val="0"/>
        <w:rPr>
          <w:rFonts w:hint="eastAsia" w:ascii="宋体" w:hAnsi="宋体" w:eastAsia="宋体" w:cs="宋体"/>
          <w:sz w:val="21"/>
          <w:szCs w:val="21"/>
          <w:highlight w:val="none"/>
        </w:rPr>
      </w:pPr>
      <w:bookmarkStart w:id="146" w:name="_Toc26896"/>
      <w:bookmarkStart w:id="147" w:name="_Toc115372999"/>
      <w:bookmarkStart w:id="148" w:name="_Toc28934"/>
      <w:r>
        <w:rPr>
          <w:rFonts w:hint="eastAsia" w:ascii="宋体" w:hAnsi="宋体" w:eastAsia="宋体" w:cs="宋体"/>
          <w:sz w:val="21"/>
          <w:szCs w:val="21"/>
          <w:highlight w:val="none"/>
        </w:rPr>
        <w:t>A5.2 推荐中标候选人</w:t>
      </w:r>
      <w:bookmarkEnd w:id="146"/>
      <w:bookmarkEnd w:id="147"/>
      <w:bookmarkEnd w:id="148"/>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A5.2.1 除第二章“投标人须知”前附表授权直接确定中标人外，评标委员会在推荐中标候选人时，应遵照以下原则：</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（1）评标委员会按照最终得分由高到底的次序排列，根据第二章“投标人须知”前附表第7.1款的规定推荐中标候选人。</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如果评标委员会根据本章的规定作否决投标处理后，有效投标不足三个，且少于第二章“投标人须知”前附表第7.1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A5.2.2 投标截止时间前递交投标文件的投标人数量少于三个或者所有投标被否决的，招标人应当依法重新招标。</w:t>
      </w:r>
    </w:p>
    <w:p>
      <w:pPr>
        <w:spacing w:line="400" w:lineRule="exact"/>
        <w:ind w:firstLine="420" w:firstLineChars="200"/>
        <w:outlineLvl w:val="0"/>
        <w:rPr>
          <w:rFonts w:hint="eastAsia" w:ascii="宋体" w:hAnsi="宋体" w:eastAsia="宋体" w:cs="宋体"/>
          <w:sz w:val="21"/>
          <w:szCs w:val="21"/>
          <w:highlight w:val="none"/>
        </w:rPr>
      </w:pPr>
      <w:bookmarkStart w:id="149" w:name="_Toc6423"/>
      <w:bookmarkStart w:id="150" w:name="_Toc115373000"/>
      <w:bookmarkStart w:id="151" w:name="_Toc8886"/>
      <w:r>
        <w:rPr>
          <w:rFonts w:hint="eastAsia" w:ascii="宋体" w:hAnsi="宋体" w:eastAsia="宋体" w:cs="宋体"/>
          <w:sz w:val="21"/>
          <w:szCs w:val="21"/>
          <w:highlight w:val="none"/>
        </w:rPr>
        <w:t>A5.3直接确定中标人</w:t>
      </w:r>
      <w:bookmarkEnd w:id="149"/>
      <w:bookmarkEnd w:id="150"/>
      <w:bookmarkEnd w:id="151"/>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第二章“投标人须知”前附表授权评标委员会直接确定中标人的，评标委员会对有效的投标按照评标得分由高至低的次序排列，并确定排名第一的投标人为中标人。</w:t>
      </w:r>
    </w:p>
    <w:p>
      <w:pPr>
        <w:spacing w:line="400" w:lineRule="exact"/>
        <w:ind w:firstLine="420" w:firstLineChars="200"/>
        <w:outlineLvl w:val="0"/>
        <w:rPr>
          <w:rFonts w:hint="eastAsia" w:ascii="宋体" w:hAnsi="宋体" w:eastAsia="宋体" w:cs="宋体"/>
          <w:sz w:val="21"/>
          <w:szCs w:val="21"/>
          <w:highlight w:val="none"/>
        </w:rPr>
      </w:pPr>
      <w:bookmarkStart w:id="152" w:name="_Toc115373001"/>
      <w:bookmarkStart w:id="153" w:name="_Toc20055"/>
      <w:bookmarkStart w:id="154" w:name="_Toc24240"/>
      <w:r>
        <w:rPr>
          <w:rFonts w:hint="eastAsia" w:ascii="宋体" w:hAnsi="宋体" w:eastAsia="宋体" w:cs="宋体"/>
          <w:sz w:val="21"/>
          <w:szCs w:val="21"/>
          <w:highlight w:val="none"/>
        </w:rPr>
        <w:t>A5.4 编制及提交评标报告</w:t>
      </w:r>
      <w:bookmarkEnd w:id="152"/>
      <w:bookmarkEnd w:id="153"/>
      <w:bookmarkEnd w:id="154"/>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评标委员会应向招标人提交评标报告。评标报告应当由全体评标委员会成员签字，一式三份，招标人、招标代理人、招投标监督管理部门各一份。评标报告应当包括但不限于以下内容：</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（1）基本情况和数据表；</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（2）评标委员会成员名单；</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（3）开标记录；</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（4）资格审查情况表（如果是资格后审）</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（5）符合要求的投标一览表；</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（6）否决投标情况说明；</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（7）评标标准、评标方法或者评标因素一览表；</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（8）经评审的价格一览表（包括评标委员会在评标过程中所形成的所有记载评标结果、结论的表格、说明、记录等文件）：</w:t>
      </w:r>
      <w:bookmarkStart w:id="155" w:name="_Toc389065225"/>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（9）经评审的投标人排序；</w:t>
      </w:r>
      <w:bookmarkEnd w:id="155"/>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10）推荐的中标候选人名单及后选人项目经理、安全员、项目技术负责人、施工员名单（如果第二章“投标人须知”前附表授权评标委员会直接确定中标人，则为“确定的中标人”）与签订合同前要处理的事宜；</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（11）澄清、说明或补正事项纪要。</w:t>
      </w:r>
    </w:p>
    <w:p>
      <w:pPr>
        <w:pStyle w:val="108"/>
        <w:spacing w:line="400" w:lineRule="exact"/>
        <w:rPr>
          <w:rFonts w:hint="eastAsia" w:ascii="宋体" w:hAnsi="宋体" w:eastAsia="宋体" w:cs="宋体"/>
          <w:b w:val="0"/>
          <w:highlight w:val="none"/>
        </w:rPr>
      </w:pPr>
      <w:bookmarkStart w:id="156" w:name="_Toc21552"/>
      <w:bookmarkStart w:id="157" w:name="_Toc21551"/>
      <w:bookmarkStart w:id="158" w:name="_Toc115373002"/>
      <w:r>
        <w:rPr>
          <w:rFonts w:hint="eastAsia" w:ascii="宋体" w:hAnsi="宋体" w:eastAsia="宋体" w:cs="宋体"/>
          <w:b w:val="0"/>
          <w:highlight w:val="none"/>
        </w:rPr>
        <w:t>A6.1暗标评审程序规定（适用于对施工组织设计进行暗标评审的）</w:t>
      </w:r>
      <w:bookmarkEnd w:id="156"/>
      <w:bookmarkEnd w:id="157"/>
      <w:bookmarkEnd w:id="158"/>
    </w:p>
    <w:p>
      <w:pPr>
        <w:snapToGrid w:val="0"/>
        <w:spacing w:line="400" w:lineRule="exact"/>
        <w:rPr>
          <w:rFonts w:hint="eastAsia" w:ascii="宋体" w:hAnsi="宋体" w:eastAsia="宋体" w:cs="宋体"/>
          <w:sz w:val="21"/>
          <w:szCs w:val="21"/>
          <w:highlight w:val="none"/>
        </w:rPr>
      </w:pPr>
      <w:r>
        <w:rPr>
          <w:rStyle w:val="124"/>
          <w:rFonts w:hint="eastAsia" w:ascii="宋体" w:hAnsi="宋体" w:eastAsia="宋体" w:cs="宋体"/>
          <w:b/>
          <w:highlight w:val="none"/>
        </w:rPr>
        <w:t xml:space="preserve">  </w:t>
      </w:r>
      <w:r>
        <w:rPr>
          <w:rStyle w:val="124"/>
          <w:rFonts w:hint="eastAsia" w:ascii="宋体" w:hAnsi="宋体" w:eastAsia="宋体" w:cs="宋体"/>
          <w:highlight w:val="none"/>
        </w:rPr>
        <w:t xml:space="preserve">  A6.1.1暗标编号。施工</w:t>
      </w:r>
      <w:r>
        <w:rPr>
          <w:rFonts w:hint="eastAsia" w:ascii="宋体" w:hAnsi="宋体" w:eastAsia="宋体" w:cs="宋体"/>
          <w:sz w:val="21"/>
          <w:szCs w:val="21"/>
          <w:highlight w:val="none"/>
        </w:rPr>
        <w:t>组织设计采用“暗标”评审方式，在评标工作开始前，招标人将指定专人负责对投标文件的技术标书正副本对应随机编码，然后将编好码的技术标副本交评标委员会评审，妥善保管未开封的正本，在评标委员会全体成员均完成暗标部分评审并对评审结果进行汇总和签字确认后，招标人向评标委员会公布与副本编码对应的正本的投标单位身份，并进行记录由全体评委签字确认。</w:t>
      </w:r>
    </w:p>
    <w:p>
      <w:pPr>
        <w:spacing w:line="400" w:lineRule="exact"/>
        <w:outlineLvl w:val="0"/>
        <w:rPr>
          <w:rFonts w:hint="eastAsia" w:ascii="宋体" w:hAnsi="宋体" w:eastAsia="宋体" w:cs="宋体"/>
          <w:sz w:val="21"/>
          <w:szCs w:val="21"/>
          <w:highlight w:val="none"/>
        </w:rPr>
      </w:pPr>
      <w:bookmarkStart w:id="159" w:name="_Toc2773"/>
      <w:bookmarkStart w:id="160" w:name="_Toc115373003"/>
      <w:bookmarkStart w:id="161" w:name="_Toc2064"/>
      <w:r>
        <w:rPr>
          <w:rFonts w:hint="eastAsia" w:ascii="宋体" w:hAnsi="宋体" w:eastAsia="宋体" w:cs="宋体"/>
          <w:sz w:val="21"/>
          <w:szCs w:val="21"/>
          <w:highlight w:val="none"/>
        </w:rPr>
        <w:t>A6.2关于评标活动暂停</w:t>
      </w:r>
      <w:bookmarkEnd w:id="159"/>
      <w:bookmarkEnd w:id="160"/>
      <w:bookmarkEnd w:id="161"/>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A6.2.1评标委员会应当执行连续评标的原则，按评标办法中规定的程序、内容、方法、标准完成全部评标工作。只有发生不可抗力导致评标工作无法继续时，评标活动方可暂停。</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A6.2.2发生评标暂停情况时，评标委员会应当封存全部投标文件和评标记录，待不可抗力的影响结束且具备继续评标的条件时，由原评标委员会继续评标。</w:t>
      </w:r>
    </w:p>
    <w:p>
      <w:pPr>
        <w:spacing w:line="400" w:lineRule="exact"/>
        <w:ind w:firstLine="420" w:firstLineChars="200"/>
        <w:outlineLvl w:val="0"/>
        <w:rPr>
          <w:rFonts w:hint="eastAsia" w:ascii="宋体" w:hAnsi="宋体" w:eastAsia="宋体" w:cs="宋体"/>
          <w:sz w:val="21"/>
          <w:szCs w:val="21"/>
          <w:highlight w:val="none"/>
        </w:rPr>
      </w:pPr>
      <w:bookmarkStart w:id="162" w:name="_Toc14754"/>
      <w:bookmarkStart w:id="163" w:name="_Toc10022"/>
      <w:bookmarkStart w:id="164" w:name="_Toc115373004"/>
      <w:r>
        <w:rPr>
          <w:rFonts w:hint="eastAsia" w:ascii="宋体" w:hAnsi="宋体" w:eastAsia="宋体" w:cs="宋体"/>
          <w:sz w:val="21"/>
          <w:szCs w:val="21"/>
          <w:highlight w:val="none"/>
        </w:rPr>
        <w:t>A6.3 关于评标中途更换评标委员会成员</w:t>
      </w:r>
      <w:bookmarkEnd w:id="162"/>
      <w:bookmarkEnd w:id="163"/>
      <w:bookmarkEnd w:id="164"/>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A6.3.1  除非发生下列情况之一，评标委员会成员不得在评标中途更换：</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（1）因不可抗拒的客观原因，不能到场或需在评标中途退出评标活动。</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（2）根据法律法规规定，某个或某几个评标委员会成员需要回避。</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A6.3.2 退出评标的评标委员会成员，其已完成的评标行为无效。由招标人根据本招标文件规定的评标委员会成员产生方式另行确定替代者进行评标。</w:t>
      </w:r>
    </w:p>
    <w:p>
      <w:pPr>
        <w:spacing w:line="400" w:lineRule="exact"/>
        <w:ind w:firstLine="420" w:firstLineChars="200"/>
        <w:outlineLvl w:val="0"/>
        <w:rPr>
          <w:rFonts w:hint="eastAsia" w:ascii="宋体" w:hAnsi="宋体" w:eastAsia="宋体" w:cs="宋体"/>
          <w:sz w:val="21"/>
          <w:szCs w:val="21"/>
          <w:highlight w:val="none"/>
        </w:rPr>
      </w:pPr>
      <w:bookmarkStart w:id="165" w:name="_Toc9467"/>
      <w:bookmarkStart w:id="166" w:name="_Toc115373005"/>
      <w:bookmarkStart w:id="167" w:name="_Toc16486"/>
      <w:r>
        <w:rPr>
          <w:rFonts w:hint="eastAsia" w:ascii="宋体" w:hAnsi="宋体" w:eastAsia="宋体" w:cs="宋体"/>
          <w:sz w:val="21"/>
          <w:szCs w:val="21"/>
          <w:highlight w:val="none"/>
        </w:rPr>
        <w:t>A6.4记名投票</w:t>
      </w:r>
      <w:bookmarkEnd w:id="165"/>
      <w:bookmarkEnd w:id="166"/>
      <w:bookmarkEnd w:id="167"/>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在任何评标环节中，需评标委员会就某项定性的评审结论做出表决的，由评标委员会全体成员按照少数服从多数的原则，以记名投票方式表决。</w:t>
      </w:r>
    </w:p>
    <w:p>
      <w:pPr>
        <w:spacing w:line="400" w:lineRule="exact"/>
        <w:outlineLvl w:val="0"/>
        <w:rPr>
          <w:rFonts w:hint="eastAsia" w:ascii="宋体" w:hAnsi="宋体" w:eastAsia="宋体" w:cs="宋体"/>
          <w:sz w:val="21"/>
          <w:szCs w:val="21"/>
          <w:highlight w:val="none"/>
        </w:rPr>
      </w:pPr>
      <w:bookmarkStart w:id="168" w:name="_Toc115373006"/>
      <w:bookmarkStart w:id="169" w:name="_Toc23869"/>
      <w:bookmarkStart w:id="170" w:name="_Toc27574"/>
      <w:r>
        <w:rPr>
          <w:rFonts w:hint="eastAsia" w:ascii="宋体" w:hAnsi="宋体" w:eastAsia="宋体" w:cs="宋体"/>
          <w:sz w:val="21"/>
          <w:szCs w:val="21"/>
          <w:highlight w:val="none"/>
        </w:rPr>
        <w:t>A7 补充条款</w:t>
      </w:r>
      <w:bookmarkEnd w:id="168"/>
      <w:bookmarkEnd w:id="169"/>
      <w:bookmarkEnd w:id="170"/>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p>
    <w:p>
      <w:pPr>
        <w:rPr>
          <w:rFonts w:hint="eastAsia" w:ascii="宋体" w:hAnsi="宋体" w:eastAsia="宋体" w:cs="宋体"/>
          <w:highlight w:val="none"/>
        </w:rPr>
      </w:pPr>
    </w:p>
    <w:p>
      <w:pPr>
        <w:spacing w:line="400" w:lineRule="exact"/>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pStyle w:val="3"/>
        <w:spacing w:before="0" w:after="0" w:line="240" w:lineRule="auto"/>
        <w:jc w:val="center"/>
        <w:rPr>
          <w:rFonts w:hint="eastAsia" w:ascii="宋体" w:hAnsi="宋体" w:eastAsia="宋体" w:cs="宋体"/>
          <w:sz w:val="28"/>
          <w:szCs w:val="28"/>
          <w:highlight w:val="none"/>
        </w:rPr>
      </w:pPr>
      <w:bookmarkStart w:id="171" w:name="_Toc8799"/>
      <w:r>
        <w:rPr>
          <w:rFonts w:hint="eastAsia" w:ascii="宋体" w:hAnsi="宋体" w:eastAsia="宋体" w:cs="宋体"/>
          <w:sz w:val="21"/>
          <w:szCs w:val="21"/>
          <w:highlight w:val="none"/>
        </w:rPr>
        <w:br w:type="page"/>
      </w:r>
      <w:bookmarkStart w:id="172" w:name="_Toc115373007"/>
      <w:bookmarkStart w:id="173" w:name="_Toc29541"/>
      <w:r>
        <w:rPr>
          <w:rFonts w:hint="eastAsia" w:ascii="宋体" w:hAnsi="宋体" w:eastAsia="宋体" w:cs="宋体"/>
          <w:sz w:val="28"/>
          <w:szCs w:val="28"/>
          <w:highlight w:val="none"/>
        </w:rPr>
        <w:t>附件B：否决投标条件</w:t>
      </w:r>
      <w:bookmarkEnd w:id="171"/>
      <w:bookmarkEnd w:id="172"/>
      <w:bookmarkEnd w:id="173"/>
    </w:p>
    <w:p>
      <w:pPr>
        <w:adjustRightInd w:val="0"/>
        <w:snapToGrid w:val="0"/>
        <w:ind w:firstLine="482" w:firstLineChars="2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否决投标条件</w:t>
      </w:r>
    </w:p>
    <w:p>
      <w:pPr>
        <w:spacing w:line="400" w:lineRule="exact"/>
        <w:outlineLvl w:val="0"/>
        <w:rPr>
          <w:rFonts w:hint="eastAsia" w:ascii="宋体" w:hAnsi="宋体" w:eastAsia="宋体" w:cs="宋体"/>
          <w:sz w:val="21"/>
          <w:szCs w:val="21"/>
          <w:highlight w:val="none"/>
        </w:rPr>
      </w:pPr>
      <w:bookmarkStart w:id="174" w:name="_Toc14234"/>
      <w:bookmarkStart w:id="175" w:name="_Toc11848"/>
      <w:bookmarkStart w:id="176" w:name="_Toc115373008"/>
      <w:r>
        <w:rPr>
          <w:rFonts w:hint="eastAsia" w:ascii="宋体" w:hAnsi="宋体" w:eastAsia="宋体" w:cs="宋体"/>
          <w:sz w:val="21"/>
          <w:szCs w:val="21"/>
          <w:highlight w:val="none"/>
        </w:rPr>
        <w:t>B0 总  则</w:t>
      </w:r>
      <w:bookmarkEnd w:id="174"/>
      <w:bookmarkEnd w:id="175"/>
      <w:bookmarkEnd w:id="176"/>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spacing w:line="400" w:lineRule="exact"/>
        <w:outlineLvl w:val="0"/>
        <w:rPr>
          <w:rFonts w:hint="eastAsia" w:ascii="宋体" w:hAnsi="宋体" w:eastAsia="宋体" w:cs="宋体"/>
          <w:sz w:val="21"/>
          <w:szCs w:val="21"/>
          <w:highlight w:val="none"/>
        </w:rPr>
      </w:pPr>
      <w:bookmarkStart w:id="177" w:name="_Toc115373009"/>
      <w:bookmarkStart w:id="178" w:name="_Toc12512"/>
      <w:bookmarkStart w:id="179" w:name="_Toc18833"/>
      <w:r>
        <w:rPr>
          <w:rFonts w:hint="eastAsia" w:ascii="宋体" w:hAnsi="宋体" w:eastAsia="宋体" w:cs="宋体"/>
          <w:sz w:val="21"/>
          <w:szCs w:val="21"/>
          <w:highlight w:val="none"/>
        </w:rPr>
        <w:t>B1 否决投标条件</w:t>
      </w:r>
      <w:bookmarkEnd w:id="177"/>
      <w:bookmarkEnd w:id="178"/>
      <w:bookmarkEnd w:id="179"/>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投标人或其投标文件有下列情形之一的，其投标作否决投标处理：</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B1.1有第二章“投标人须知”第1.4.3项规定的任何一种情形的；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B1.2有串通投标或弄虚作假或有其他违法行为的；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B1.3不按评标委员会要求澄清、说明或补正的；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B1.4在资格评审、形式评审、响应性评审中，评标委员会认定投标人的投标文件不符合“评标办法前附表”中规定的任何一项评审标准的；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B1.5投标文件的关键内容字迹模糊、辨认不清的；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B1.6没有在招标文件规定的投标文件相关位置加盖投标人单位公章（CA签章）、法定代表人或授权代理人签字或个人CA签章的；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B1.7投标人不接受评标委员会按第三章“评标办法”第3.1.3条的原则对投标总报价进行修正的；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B1.8投标人不具备独立法人资格或作为独立法人资格但就本工程提交一个以上的投标文件的；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B1.9投标人就不同标段派出同一项目经理和专职安全生产管理人员的（符合桂建管﹝2013﹞17号文除外）；</w:t>
      </w:r>
    </w:p>
    <w:p>
      <w:pPr>
        <w:pStyle w:val="16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B1.10组成联合体投标的，投标文件未附联合体各方共同投标协议书的；</w:t>
      </w:r>
    </w:p>
    <w:p>
      <w:pPr>
        <w:pStyle w:val="16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B1.11投标人拟投入本工程的项目经理在在建项目中任项目经理的（符合法规规定的特殊情况和桂建管﹝2013﹞17号文要求的除外）或无有效安全生产考核合格证（B类）的；</w:t>
      </w:r>
    </w:p>
    <w:p>
      <w:pPr>
        <w:pStyle w:val="16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B1.12投标人没有提供工程完工服务承诺书的；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B1.13投标人采用总价优惠或以总价百分比优惠的方式进行投标报价的；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B1.14投标人投标文件的投标总报价超出招标控制价的；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B1.15投标人已标价工程量清单的项目名称或项目特征与招标工程量清单不一致，评标委员会要求澄清、说明或补正，但投标人拒绝澄清、说明或补正的；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B1.16评标中，如项目编码与项目名称、项目特征不一致，以项目编码 (共 12 位) 为准；如项目编码与计量单位、工程数量无法一一对应，该清单项目作废，该清单项目的费用视为包含在其他清单中；如作废的清单项目达到 3 项以上 (含本数) 或作废的清单项目造价累计超过单位工程投标总价的 2% (含本数) ，视为不响应招标文件实质性内容；</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B1.17投标函中的报价与工程量清单汇总表不一致的；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B1.18设有暂估价、暂列金额的，投标时未按招标人工程量清单给出的暂估价、暂列金额计入投标总报价中；</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B1.19投标文件实质上没有响应招标文件的要求的；</w:t>
      </w:r>
    </w:p>
    <w:p>
      <w:pPr>
        <w:pStyle w:val="164"/>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B1.20法规规定的其他否决投标条款。</w:t>
      </w:r>
    </w:p>
    <w:p>
      <w:pPr>
        <w:pStyle w:val="164"/>
        <w:spacing w:line="400" w:lineRule="exact"/>
        <w:ind w:firstLine="420" w:firstLineChars="200"/>
        <w:rPr>
          <w:rFonts w:hint="eastAsia" w:ascii="宋体" w:hAnsi="宋体" w:eastAsia="宋体" w:cs="宋体"/>
          <w:sz w:val="21"/>
          <w:highlight w:val="none"/>
        </w:rPr>
      </w:pPr>
      <w:r>
        <w:rPr>
          <w:rFonts w:hint="eastAsia" w:ascii="宋体" w:hAnsi="宋体" w:eastAsia="宋体" w:cs="宋体"/>
          <w:sz w:val="21"/>
          <w:szCs w:val="21"/>
          <w:highlight w:val="none"/>
        </w:rPr>
        <w:t>B2评标委员会对判定为否决投标的投标文件要说明否决投标情况，否决投标情况说明应当对照招标文件规定的否决投标条件以及投标文件存在的具体问题。</w:t>
      </w:r>
    </w:p>
    <w:p>
      <w:pPr>
        <w:spacing w:line="360" w:lineRule="auto"/>
        <w:jc w:val="center"/>
        <w:outlineLvl w:val="1"/>
        <w:rPr>
          <w:rFonts w:hint="eastAsia" w:ascii="宋体" w:hAnsi="宋体" w:eastAsia="宋体" w:cs="宋体"/>
          <w:b/>
          <w:sz w:val="30"/>
          <w:szCs w:val="30"/>
          <w:highlight w:val="none"/>
        </w:rPr>
      </w:pPr>
      <w:r>
        <w:rPr>
          <w:rFonts w:hint="eastAsia" w:ascii="宋体" w:hAnsi="宋体" w:eastAsia="宋体" w:cs="宋体"/>
          <w:b/>
          <w:highlight w:val="none"/>
        </w:rPr>
        <w:br w:type="page"/>
      </w:r>
      <w:bookmarkEnd w:id="49"/>
      <w:bookmarkStart w:id="180" w:name="_Toc115373010"/>
      <w:r>
        <w:rPr>
          <w:rFonts w:hint="eastAsia" w:ascii="宋体" w:hAnsi="宋体" w:eastAsia="宋体" w:cs="宋体"/>
          <w:b/>
          <w:sz w:val="30"/>
          <w:szCs w:val="30"/>
          <w:highlight w:val="none"/>
        </w:rPr>
        <w:t>第四章 合同条款及格式</w:t>
      </w:r>
      <w:bookmarkEnd w:id="180"/>
      <w:bookmarkStart w:id="181" w:name="bookmark878"/>
      <w:bookmarkStart w:id="182" w:name="bookmark879"/>
      <w:bookmarkStart w:id="183" w:name="_Toc13447"/>
      <w:bookmarkStart w:id="184" w:name="bookmark880"/>
      <w:bookmarkStart w:id="185" w:name="_Toc20241"/>
    </w:p>
    <w:bookmarkEnd w:id="181"/>
    <w:bookmarkEnd w:id="182"/>
    <w:bookmarkEnd w:id="183"/>
    <w:bookmarkEnd w:id="184"/>
    <w:bookmarkEnd w:id="185"/>
    <w:p>
      <w:pPr>
        <w:spacing w:line="320" w:lineRule="exact"/>
        <w:jc w:val="center"/>
        <w:outlineLvl w:val="1"/>
        <w:rPr>
          <w:rFonts w:hint="eastAsia" w:ascii="宋体" w:hAnsi="宋体" w:eastAsia="宋体" w:cs="宋体"/>
          <w:b/>
          <w:sz w:val="30"/>
          <w:szCs w:val="30"/>
          <w:highlight w:val="none"/>
        </w:rPr>
      </w:pPr>
    </w:p>
    <w:p>
      <w:pPr>
        <w:keepNext/>
        <w:keepLines/>
        <w:spacing w:before="260" w:after="260" w:line="413" w:lineRule="auto"/>
        <w:jc w:val="center"/>
        <w:outlineLvl w:val="2"/>
        <w:rPr>
          <w:rFonts w:hint="eastAsia" w:ascii="宋体" w:hAnsi="宋体" w:eastAsia="宋体" w:cs="宋体"/>
          <w:sz w:val="30"/>
          <w:szCs w:val="30"/>
          <w:highlight w:val="none"/>
        </w:rPr>
      </w:pPr>
      <w:bookmarkStart w:id="186" w:name="_Toc20358"/>
      <w:r>
        <w:rPr>
          <w:rFonts w:hint="eastAsia" w:ascii="宋体" w:hAnsi="宋体" w:eastAsia="宋体" w:cs="宋体"/>
          <w:b/>
          <w:sz w:val="30"/>
          <w:szCs w:val="30"/>
          <w:highlight w:val="none"/>
        </w:rPr>
        <w:t>第一部分 合同协议书</w:t>
      </w:r>
      <w:bookmarkEnd w:id="186"/>
    </w:p>
    <w:p>
      <w:pPr>
        <w:spacing w:line="280" w:lineRule="exact"/>
        <w:rPr>
          <w:rFonts w:hint="eastAsia" w:ascii="宋体" w:hAnsi="宋体" w:eastAsia="宋体" w:cs="宋体"/>
          <w:b/>
          <w:sz w:val="21"/>
          <w:szCs w:val="21"/>
          <w:highlight w:val="none"/>
          <w:u w:val="single"/>
        </w:rPr>
      </w:pPr>
      <w:r>
        <w:rPr>
          <w:rFonts w:hint="eastAsia" w:ascii="宋体" w:hAnsi="宋体" w:eastAsia="宋体" w:cs="宋体"/>
          <w:b/>
          <w:sz w:val="21"/>
          <w:szCs w:val="21"/>
          <w:highlight w:val="none"/>
        </w:rPr>
        <w:t>发包人（全称）：</w:t>
      </w:r>
      <w:r>
        <w:rPr>
          <w:rFonts w:hint="eastAsia" w:ascii="宋体" w:hAnsi="宋体" w:eastAsia="宋体" w:cs="宋体"/>
          <w:b/>
          <w:sz w:val="21"/>
          <w:szCs w:val="21"/>
          <w:highlight w:val="none"/>
          <w:u w:val="single"/>
        </w:rPr>
        <w:t>                       </w:t>
      </w:r>
    </w:p>
    <w:p>
      <w:pPr>
        <w:spacing w:line="280" w:lineRule="exact"/>
        <w:rPr>
          <w:rFonts w:hint="eastAsia" w:ascii="宋体" w:hAnsi="宋体" w:eastAsia="宋体" w:cs="宋体"/>
          <w:b/>
          <w:sz w:val="21"/>
          <w:szCs w:val="21"/>
          <w:highlight w:val="none"/>
          <w:u w:val="single"/>
        </w:rPr>
      </w:pPr>
      <w:r>
        <w:rPr>
          <w:rFonts w:hint="eastAsia" w:ascii="宋体" w:hAnsi="宋体" w:eastAsia="宋体" w:cs="宋体"/>
          <w:b/>
          <w:sz w:val="21"/>
          <w:szCs w:val="21"/>
          <w:highlight w:val="none"/>
        </w:rPr>
        <w:t>承包人（全称）：</w:t>
      </w:r>
      <w:r>
        <w:rPr>
          <w:rFonts w:hint="eastAsia" w:ascii="宋体" w:hAnsi="宋体" w:eastAsia="宋体" w:cs="宋体"/>
          <w:b/>
          <w:sz w:val="21"/>
          <w:szCs w:val="21"/>
          <w:highlight w:val="none"/>
          <w:u w:val="single"/>
        </w:rPr>
        <w:t>                      </w:t>
      </w:r>
    </w:p>
    <w:p>
      <w:pPr>
        <w:spacing w:line="2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根据《中华人民共和国民法典》、《中华人民共和国建筑法》及有关法律规定，遵循平等、自愿、公平和诚实信用的原则，双方就</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工程施工及有关事项协商一致，共同达成如下协议：</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b/>
          <w:sz w:val="21"/>
          <w:szCs w:val="21"/>
          <w:highlight w:val="none"/>
        </w:rPr>
        <w:t xml:space="preserve"> </w:t>
      </w:r>
      <w:bookmarkStart w:id="187" w:name="_Toc351203481"/>
      <w:r>
        <w:rPr>
          <w:rFonts w:hint="eastAsia" w:ascii="宋体" w:hAnsi="宋体" w:eastAsia="宋体" w:cs="宋体"/>
          <w:b/>
          <w:sz w:val="21"/>
          <w:szCs w:val="21"/>
          <w:highlight w:val="none"/>
        </w:rPr>
        <w:t>一、工程概况</w:t>
      </w:r>
      <w:bookmarkEnd w:id="187"/>
    </w:p>
    <w:p>
      <w:pPr>
        <w:spacing w:line="280" w:lineRule="exact"/>
        <w:ind w:firstLine="411" w:firstLineChars="196"/>
        <w:rPr>
          <w:rFonts w:hint="eastAsia" w:ascii="宋体" w:hAnsi="宋体" w:eastAsia="宋体" w:cs="宋体"/>
          <w:sz w:val="21"/>
          <w:szCs w:val="21"/>
          <w:highlight w:val="none"/>
          <w:u w:val="single"/>
        </w:rPr>
      </w:pPr>
      <w:r>
        <w:rPr>
          <w:rFonts w:hint="eastAsia" w:ascii="宋体" w:hAnsi="宋体" w:eastAsia="宋体" w:cs="宋体"/>
          <w:bCs/>
          <w:sz w:val="21"/>
          <w:szCs w:val="21"/>
          <w:highlight w:val="none"/>
        </w:rPr>
        <w:t>1.工程名称</w:t>
      </w:r>
      <w:r>
        <w:rPr>
          <w:rFonts w:hint="eastAsia" w:ascii="宋体" w:hAnsi="宋体" w:eastAsia="宋体" w:cs="宋体"/>
          <w:sz w:val="21"/>
          <w:szCs w:val="21"/>
          <w:highlight w:val="none"/>
        </w:rPr>
        <w:t>：</w:t>
      </w:r>
      <w:r>
        <w:rPr>
          <w:rFonts w:hint="eastAsia" w:ascii="宋体" w:hAnsi="宋体" w:eastAsia="宋体" w:cs="宋体"/>
          <w:b/>
          <w:sz w:val="21"/>
          <w:szCs w:val="21"/>
          <w:highlight w:val="none"/>
          <w:u w:val="single"/>
        </w:rPr>
        <w:t>                      </w:t>
      </w:r>
      <w:r>
        <w:rPr>
          <w:rFonts w:hint="eastAsia" w:ascii="宋体" w:hAnsi="宋体" w:eastAsia="宋体" w:cs="宋体"/>
          <w:sz w:val="21"/>
          <w:szCs w:val="21"/>
          <w:highlight w:val="none"/>
        </w:rPr>
        <w:t>。</w:t>
      </w:r>
    </w:p>
    <w:p>
      <w:pPr>
        <w:spacing w:line="280" w:lineRule="exact"/>
        <w:ind w:firstLine="411" w:firstLineChars="196"/>
        <w:rPr>
          <w:rFonts w:hint="eastAsia" w:ascii="宋体" w:hAnsi="宋体" w:eastAsia="宋体" w:cs="宋体"/>
          <w:bCs/>
          <w:sz w:val="21"/>
          <w:szCs w:val="21"/>
          <w:highlight w:val="none"/>
        </w:rPr>
      </w:pPr>
      <w:r>
        <w:rPr>
          <w:rFonts w:hint="eastAsia" w:ascii="宋体" w:hAnsi="宋体" w:eastAsia="宋体" w:cs="宋体"/>
          <w:bCs/>
          <w:sz w:val="21"/>
          <w:szCs w:val="21"/>
          <w:highlight w:val="none"/>
        </w:rPr>
        <w:t>2.工程地点：</w:t>
      </w:r>
      <w:r>
        <w:rPr>
          <w:rFonts w:hint="eastAsia" w:ascii="宋体" w:hAnsi="宋体" w:eastAsia="宋体" w:cs="宋体"/>
          <w:b/>
          <w:sz w:val="21"/>
          <w:szCs w:val="21"/>
          <w:highlight w:val="none"/>
          <w:u w:val="single"/>
        </w:rPr>
        <w:t>                      </w:t>
      </w:r>
      <w:r>
        <w:rPr>
          <w:rFonts w:hint="eastAsia" w:ascii="宋体" w:hAnsi="宋体" w:eastAsia="宋体" w:cs="宋体"/>
          <w:sz w:val="21"/>
          <w:szCs w:val="21"/>
          <w:highlight w:val="none"/>
        </w:rPr>
        <w:t>。</w:t>
      </w:r>
    </w:p>
    <w:p>
      <w:pPr>
        <w:spacing w:line="280" w:lineRule="exact"/>
        <w:ind w:firstLine="411" w:firstLineChars="196"/>
        <w:rPr>
          <w:rFonts w:hint="eastAsia" w:ascii="宋体" w:hAnsi="宋体" w:eastAsia="宋体" w:cs="宋体"/>
          <w:bCs/>
          <w:sz w:val="21"/>
          <w:szCs w:val="21"/>
          <w:highlight w:val="none"/>
        </w:rPr>
      </w:pPr>
      <w:r>
        <w:rPr>
          <w:rFonts w:hint="eastAsia" w:ascii="宋体" w:hAnsi="宋体" w:eastAsia="宋体" w:cs="宋体"/>
          <w:bCs/>
          <w:sz w:val="21"/>
          <w:szCs w:val="21"/>
          <w:highlight w:val="none"/>
        </w:rPr>
        <w:t>3.资金来源：</w:t>
      </w:r>
      <w:r>
        <w:rPr>
          <w:rFonts w:hint="eastAsia" w:ascii="宋体" w:hAnsi="宋体" w:eastAsia="宋体" w:cs="宋体"/>
          <w:b/>
          <w:sz w:val="21"/>
          <w:szCs w:val="21"/>
          <w:highlight w:val="none"/>
          <w:u w:val="single"/>
        </w:rPr>
        <w:t>                      </w:t>
      </w:r>
      <w:r>
        <w:rPr>
          <w:rFonts w:hint="eastAsia" w:ascii="宋体" w:hAnsi="宋体" w:eastAsia="宋体" w:cs="宋体"/>
          <w:bCs/>
          <w:sz w:val="21"/>
          <w:szCs w:val="21"/>
          <w:highlight w:val="none"/>
        </w:rPr>
        <w:t>。</w:t>
      </w:r>
    </w:p>
    <w:p>
      <w:pPr>
        <w:spacing w:line="280" w:lineRule="exact"/>
        <w:ind w:firstLine="411" w:firstLineChars="196"/>
        <w:rPr>
          <w:rFonts w:hint="eastAsia" w:ascii="宋体" w:hAnsi="宋体" w:eastAsia="宋体" w:cs="宋体"/>
          <w:bCs/>
          <w:sz w:val="21"/>
          <w:szCs w:val="21"/>
          <w:highlight w:val="none"/>
        </w:rPr>
      </w:pPr>
      <w:r>
        <w:rPr>
          <w:rFonts w:hint="eastAsia" w:ascii="宋体" w:hAnsi="宋体" w:eastAsia="宋体" w:cs="宋体"/>
          <w:bCs/>
          <w:sz w:val="21"/>
          <w:szCs w:val="21"/>
          <w:highlight w:val="none"/>
        </w:rPr>
        <w:t>4.工程内容：</w:t>
      </w:r>
      <w:r>
        <w:rPr>
          <w:rFonts w:hint="eastAsia" w:ascii="宋体" w:hAnsi="宋体" w:eastAsia="宋体" w:cs="宋体"/>
          <w:b/>
          <w:sz w:val="21"/>
          <w:szCs w:val="21"/>
          <w:highlight w:val="none"/>
          <w:u w:val="single"/>
        </w:rPr>
        <w:t>                      </w:t>
      </w:r>
      <w:r>
        <w:rPr>
          <w:rFonts w:hint="eastAsia" w:ascii="宋体" w:hAnsi="宋体" w:eastAsia="宋体" w:cs="宋体"/>
          <w:bCs/>
          <w:sz w:val="21"/>
          <w:szCs w:val="21"/>
          <w:highlight w:val="none"/>
        </w:rPr>
        <w:t>。</w:t>
      </w:r>
    </w:p>
    <w:p>
      <w:pPr>
        <w:spacing w:line="280" w:lineRule="exact"/>
        <w:ind w:firstLine="411" w:firstLineChars="196"/>
        <w:rPr>
          <w:rFonts w:hint="eastAsia" w:ascii="宋体" w:hAnsi="宋体" w:eastAsia="宋体" w:cs="宋体"/>
          <w:bCs/>
          <w:sz w:val="21"/>
          <w:szCs w:val="21"/>
          <w:highlight w:val="none"/>
        </w:rPr>
      </w:pPr>
      <w:r>
        <w:rPr>
          <w:rFonts w:hint="eastAsia" w:ascii="宋体" w:hAnsi="宋体" w:eastAsia="宋体" w:cs="宋体"/>
          <w:sz w:val="21"/>
          <w:szCs w:val="21"/>
          <w:highlight w:val="none"/>
        </w:rPr>
        <w:t>群体工程应附《承包人承揽工程项目一览表》（附件1）。</w:t>
      </w:r>
    </w:p>
    <w:p>
      <w:pPr>
        <w:spacing w:line="280" w:lineRule="exact"/>
        <w:ind w:firstLine="411" w:firstLineChars="196"/>
        <w:rPr>
          <w:rFonts w:hint="eastAsia" w:ascii="宋体" w:hAnsi="宋体" w:eastAsia="宋体" w:cs="宋体"/>
          <w:bCs/>
          <w:sz w:val="21"/>
          <w:szCs w:val="21"/>
          <w:highlight w:val="none"/>
        </w:rPr>
      </w:pPr>
      <w:r>
        <w:rPr>
          <w:rFonts w:hint="eastAsia" w:ascii="宋体" w:hAnsi="宋体" w:eastAsia="宋体" w:cs="宋体"/>
          <w:bCs/>
          <w:sz w:val="21"/>
          <w:szCs w:val="21"/>
          <w:highlight w:val="none"/>
        </w:rPr>
        <w:t>5.工程承包范围：</w:t>
      </w:r>
    </w:p>
    <w:p>
      <w:pPr>
        <w:spacing w:line="28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u w:val="single"/>
        </w:rPr>
        <w:t xml:space="preserve">                               </w:t>
      </w:r>
      <w:r>
        <w:rPr>
          <w:rFonts w:hint="eastAsia" w:ascii="宋体" w:hAnsi="宋体" w:eastAsia="宋体" w:cs="宋体"/>
          <w:sz w:val="21"/>
          <w:szCs w:val="21"/>
          <w:highlight w:val="none"/>
        </w:rPr>
        <w:t>。</w:t>
      </w:r>
    </w:p>
    <w:p>
      <w:pPr>
        <w:keepNext/>
        <w:keepLines/>
        <w:spacing w:before="120" w:after="120" w:line="280" w:lineRule="exact"/>
        <w:outlineLvl w:val="3"/>
        <w:rPr>
          <w:rFonts w:hint="eastAsia" w:ascii="宋体" w:hAnsi="宋体" w:eastAsia="宋体" w:cs="宋体"/>
          <w:b/>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b/>
          <w:sz w:val="21"/>
          <w:szCs w:val="21"/>
          <w:highlight w:val="none"/>
        </w:rPr>
        <w:t xml:space="preserve"> </w:t>
      </w:r>
      <w:bookmarkStart w:id="188" w:name="_Toc351203482"/>
      <w:r>
        <w:rPr>
          <w:rFonts w:hint="eastAsia" w:ascii="宋体" w:hAnsi="宋体" w:eastAsia="宋体" w:cs="宋体"/>
          <w:b/>
          <w:sz w:val="21"/>
          <w:szCs w:val="21"/>
          <w:highlight w:val="none"/>
        </w:rPr>
        <w:t>二、合同工期</w:t>
      </w:r>
      <w:bookmarkEnd w:id="188"/>
    </w:p>
    <w:p>
      <w:pPr>
        <w:spacing w:line="280" w:lineRule="exact"/>
        <w:ind w:firstLine="459"/>
        <w:rPr>
          <w:rFonts w:hint="eastAsia" w:ascii="宋体" w:hAnsi="宋体" w:eastAsia="宋体" w:cs="宋体"/>
          <w:sz w:val="21"/>
          <w:szCs w:val="21"/>
          <w:highlight w:val="none"/>
        </w:rPr>
      </w:pPr>
      <w:r>
        <w:rPr>
          <w:rFonts w:hint="eastAsia" w:ascii="宋体" w:hAnsi="宋体" w:eastAsia="宋体" w:cs="宋体"/>
          <w:sz w:val="21"/>
          <w:szCs w:val="21"/>
          <w:highlight w:val="none"/>
        </w:rPr>
        <w:t>计划开工日期：</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日。</w:t>
      </w:r>
    </w:p>
    <w:p>
      <w:pPr>
        <w:spacing w:line="280" w:lineRule="exact"/>
        <w:ind w:firstLine="459"/>
        <w:rPr>
          <w:rFonts w:hint="eastAsia" w:ascii="宋体" w:hAnsi="宋体" w:eastAsia="宋体" w:cs="宋体"/>
          <w:sz w:val="21"/>
          <w:szCs w:val="21"/>
          <w:highlight w:val="none"/>
        </w:rPr>
      </w:pPr>
      <w:r>
        <w:rPr>
          <w:rFonts w:hint="eastAsia" w:ascii="宋体" w:hAnsi="宋体" w:eastAsia="宋体" w:cs="宋体"/>
          <w:sz w:val="21"/>
          <w:szCs w:val="21"/>
          <w:highlight w:val="none"/>
        </w:rPr>
        <w:t>计划竣工日期：</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日。</w:t>
      </w:r>
    </w:p>
    <w:p>
      <w:pPr>
        <w:spacing w:line="280" w:lineRule="exact"/>
        <w:ind w:firstLine="459"/>
        <w:rPr>
          <w:rFonts w:hint="eastAsia" w:ascii="宋体" w:hAnsi="宋体" w:eastAsia="宋体" w:cs="宋体"/>
          <w:sz w:val="21"/>
          <w:szCs w:val="21"/>
          <w:highlight w:val="none"/>
        </w:rPr>
      </w:pPr>
      <w:r>
        <w:rPr>
          <w:rFonts w:hint="eastAsia" w:ascii="宋体" w:hAnsi="宋体" w:eastAsia="宋体" w:cs="宋体"/>
          <w:sz w:val="21"/>
          <w:szCs w:val="21"/>
          <w:highlight w:val="none"/>
        </w:rPr>
        <w:t>工期：</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月前。工期总日历天数与根据前述计划开竣工日期计算的工期天数不一致的，以工期总日历天数为准。</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bookmarkStart w:id="189" w:name="_Toc351203483"/>
      <w:r>
        <w:rPr>
          <w:rFonts w:hint="eastAsia" w:ascii="宋体" w:hAnsi="宋体" w:eastAsia="宋体" w:cs="宋体"/>
          <w:b/>
          <w:sz w:val="21"/>
          <w:szCs w:val="21"/>
          <w:highlight w:val="none"/>
        </w:rPr>
        <w:t>三、质量标准</w:t>
      </w:r>
      <w:bookmarkEnd w:id="189"/>
    </w:p>
    <w:p>
      <w:pPr>
        <w:spacing w:line="280" w:lineRule="exact"/>
        <w:ind w:firstLine="459"/>
        <w:rPr>
          <w:rFonts w:hint="eastAsia" w:ascii="宋体" w:hAnsi="宋体" w:eastAsia="宋体" w:cs="宋体"/>
          <w:sz w:val="21"/>
          <w:szCs w:val="21"/>
          <w:highlight w:val="none"/>
        </w:rPr>
      </w:pPr>
      <w:r>
        <w:rPr>
          <w:rFonts w:hint="eastAsia" w:ascii="宋体" w:hAnsi="宋体" w:eastAsia="宋体" w:cs="宋体"/>
          <w:sz w:val="21"/>
          <w:szCs w:val="21"/>
          <w:highlight w:val="none"/>
        </w:rPr>
        <w:t>工程质量符合</w:t>
      </w:r>
      <w:r>
        <w:rPr>
          <w:rFonts w:hint="eastAsia" w:ascii="宋体" w:hAnsi="宋体" w:eastAsia="宋体" w:cs="宋体"/>
          <w:b/>
          <w:sz w:val="21"/>
          <w:szCs w:val="21"/>
          <w:highlight w:val="none"/>
          <w:u w:val="single"/>
        </w:rPr>
        <w:t>                      </w:t>
      </w:r>
      <w:r>
        <w:rPr>
          <w:rFonts w:hint="eastAsia" w:ascii="宋体" w:hAnsi="宋体" w:eastAsia="宋体" w:cs="宋体"/>
          <w:sz w:val="21"/>
          <w:szCs w:val="21"/>
          <w:highlight w:val="none"/>
        </w:rPr>
        <w:t>标准。</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sz w:val="21"/>
          <w:szCs w:val="21"/>
          <w:highlight w:val="none"/>
        </w:rPr>
        <w:t xml:space="preserve"> </w:t>
      </w:r>
      <w:bookmarkStart w:id="190" w:name="_Toc351203484"/>
      <w:r>
        <w:rPr>
          <w:rFonts w:hint="eastAsia" w:ascii="宋体" w:hAnsi="宋体" w:eastAsia="宋体" w:cs="宋体"/>
          <w:b/>
          <w:sz w:val="21"/>
          <w:szCs w:val="21"/>
          <w:highlight w:val="none"/>
        </w:rPr>
        <w:t>四、签约合同价与合同价格形式</w:t>
      </w:r>
      <w:bookmarkEnd w:id="190"/>
      <w:r>
        <w:rPr>
          <w:rFonts w:hint="eastAsia" w:ascii="宋体" w:hAnsi="宋体" w:eastAsia="宋体" w:cs="宋体"/>
          <w:b/>
          <w:sz w:val="21"/>
          <w:szCs w:val="21"/>
          <w:highlight w:val="none"/>
        </w:rPr>
        <w:tab/>
      </w:r>
    </w:p>
    <w:p>
      <w:pPr>
        <w:spacing w:line="2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1.签约合同价为：</w:t>
      </w:r>
    </w:p>
    <w:p>
      <w:pPr>
        <w:spacing w:before="120" w:after="120" w:line="280" w:lineRule="exact"/>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人民币（大写）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p>
    <w:p>
      <w:pPr>
        <w:spacing w:line="2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2.合同价格形式：</w:t>
      </w:r>
      <w:r>
        <w:rPr>
          <w:rFonts w:hint="eastAsia" w:ascii="宋体" w:hAnsi="宋体" w:eastAsia="宋体" w:cs="宋体"/>
          <w:b/>
          <w:sz w:val="21"/>
          <w:szCs w:val="21"/>
          <w:highlight w:val="none"/>
          <w:u w:val="single"/>
        </w:rPr>
        <w:t xml:space="preserve">                       </w:t>
      </w:r>
      <w:r>
        <w:rPr>
          <w:rFonts w:hint="eastAsia" w:ascii="宋体" w:hAnsi="宋体" w:eastAsia="宋体" w:cs="宋体"/>
          <w:sz w:val="21"/>
          <w:szCs w:val="21"/>
          <w:highlight w:val="none"/>
        </w:rPr>
        <w:t>。</w:t>
      </w:r>
    </w:p>
    <w:p>
      <w:pPr>
        <w:keepNext/>
        <w:keepLines/>
        <w:spacing w:before="120" w:after="120" w:line="280" w:lineRule="exact"/>
        <w:outlineLvl w:val="3"/>
        <w:rPr>
          <w:rFonts w:hint="eastAsia" w:ascii="宋体" w:hAnsi="宋体" w:eastAsia="宋体" w:cs="宋体"/>
          <w:b/>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b/>
          <w:sz w:val="21"/>
          <w:szCs w:val="21"/>
          <w:highlight w:val="none"/>
        </w:rPr>
        <w:t xml:space="preserve"> </w:t>
      </w:r>
      <w:bookmarkStart w:id="191" w:name="_Toc351203485"/>
      <w:r>
        <w:rPr>
          <w:rFonts w:hint="eastAsia" w:ascii="宋体" w:hAnsi="宋体" w:eastAsia="宋体" w:cs="宋体"/>
          <w:b/>
          <w:sz w:val="21"/>
          <w:szCs w:val="21"/>
          <w:highlight w:val="none"/>
        </w:rPr>
        <w:t>五、</w:t>
      </w:r>
      <w:bookmarkEnd w:id="191"/>
      <w:r>
        <w:rPr>
          <w:rFonts w:hint="eastAsia" w:ascii="宋体" w:hAnsi="宋体" w:eastAsia="宋体" w:cs="宋体"/>
          <w:b/>
          <w:sz w:val="21"/>
          <w:szCs w:val="21"/>
          <w:highlight w:val="none"/>
        </w:rPr>
        <w:t>项目经理</w:t>
      </w:r>
    </w:p>
    <w:p>
      <w:pPr>
        <w:spacing w:line="2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承包人项目经理：</w:t>
      </w:r>
      <w:r>
        <w:rPr>
          <w:rFonts w:hint="eastAsia" w:ascii="宋体" w:hAnsi="宋体" w:eastAsia="宋体" w:cs="宋体"/>
          <w:b/>
          <w:sz w:val="21"/>
          <w:szCs w:val="21"/>
          <w:highlight w:val="none"/>
          <w:u w:val="single"/>
        </w:rPr>
        <w:t>                     </w:t>
      </w:r>
      <w:r>
        <w:rPr>
          <w:rFonts w:hint="eastAsia" w:ascii="宋体" w:hAnsi="宋体" w:eastAsia="宋体" w:cs="宋体"/>
          <w:sz w:val="21"/>
          <w:szCs w:val="21"/>
          <w:highlight w:val="none"/>
        </w:rPr>
        <w:t>。</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b/>
          <w:sz w:val="21"/>
          <w:szCs w:val="21"/>
          <w:highlight w:val="none"/>
        </w:rPr>
        <w:t xml:space="preserve"> </w:t>
      </w:r>
      <w:bookmarkStart w:id="192" w:name="_Toc351203486"/>
      <w:r>
        <w:rPr>
          <w:rFonts w:hint="eastAsia" w:ascii="宋体" w:hAnsi="宋体" w:eastAsia="宋体" w:cs="宋体"/>
          <w:b/>
          <w:sz w:val="21"/>
          <w:szCs w:val="21"/>
          <w:highlight w:val="none"/>
        </w:rPr>
        <w:t>六、合同文件构成</w:t>
      </w:r>
      <w:bookmarkEnd w:id="192"/>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本协议书与下列文件一起构成合同文件：</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（1）中标通知书；</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（2）投标函及其附录； </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（3）专用合同条款及其附件；</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（4）通用合同条款；</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（5）技术标准和要求；</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（6）图纸；</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（7）已标价工程量清单或预算书；</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（8）其他合同文件。</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在合同订立及履行过程中形成的与合同有关的文件均构成合同文件组成部分。</w:t>
      </w:r>
    </w:p>
    <w:p>
      <w:pPr>
        <w:autoSpaceDE w:val="0"/>
        <w:autoSpaceDN w:val="0"/>
        <w:adjustRightInd w:val="0"/>
        <w:spacing w:line="28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b/>
          <w:sz w:val="21"/>
          <w:szCs w:val="21"/>
          <w:highlight w:val="none"/>
        </w:rPr>
        <w:t xml:space="preserve"> </w:t>
      </w:r>
      <w:bookmarkStart w:id="193" w:name="_Toc351203487"/>
      <w:r>
        <w:rPr>
          <w:rFonts w:hint="eastAsia" w:ascii="宋体" w:hAnsi="宋体" w:eastAsia="宋体" w:cs="宋体"/>
          <w:b/>
          <w:sz w:val="21"/>
          <w:szCs w:val="21"/>
          <w:highlight w:val="none"/>
        </w:rPr>
        <w:t>七、承诺</w:t>
      </w:r>
      <w:bookmarkEnd w:id="193"/>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1.发包人承诺按照法律规定履行项目审批手续、筹集工程建设资金并按照合同约定的期限和方式支付合同价款。</w:t>
      </w:r>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2.承包人承诺按照法律规定及合同约定组织完成工程施工，确保工程质量和安全，不进行转包及违法分包，并在缺陷责任期及保修期内承担相应的工程维修责任。</w:t>
      </w:r>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3.发包人和承包人通过招投标形式签订合同的，双方理解并承诺不再就同一工程另行签订与合同实质性内容相背离的协议。</w:t>
      </w:r>
    </w:p>
    <w:p>
      <w:pPr>
        <w:spacing w:line="280" w:lineRule="exact"/>
        <w:rPr>
          <w:rFonts w:hint="eastAsia" w:ascii="宋体" w:hAnsi="宋体" w:eastAsia="宋体" w:cs="宋体"/>
          <w:bCs/>
          <w:sz w:val="21"/>
          <w:szCs w:val="21"/>
          <w:highlight w:val="none"/>
        </w:rPr>
      </w:pPr>
      <w:bookmarkStart w:id="194" w:name="_Toc351203488"/>
      <w:r>
        <w:rPr>
          <w:rFonts w:hint="eastAsia" w:ascii="宋体" w:hAnsi="宋体" w:eastAsia="宋体" w:cs="宋体"/>
          <w:b/>
          <w:sz w:val="21"/>
          <w:szCs w:val="21"/>
          <w:highlight w:val="none"/>
        </w:rPr>
        <w:t xml:space="preserve">    八、词语含义</w:t>
      </w:r>
      <w:bookmarkEnd w:id="194"/>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本协议书中词语含义与第二部分通用合同条款中赋予的含义相同。</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r>
        <w:rPr>
          <w:rFonts w:hint="eastAsia" w:ascii="宋体" w:hAnsi="宋体" w:eastAsia="宋体" w:cs="宋体"/>
          <w:sz w:val="21"/>
          <w:szCs w:val="21"/>
          <w:highlight w:val="none"/>
        </w:rPr>
        <w:t xml:space="preserve"> </w:t>
      </w:r>
      <w:r>
        <w:rPr>
          <w:rFonts w:hint="eastAsia" w:ascii="宋体" w:hAnsi="宋体" w:eastAsia="宋体" w:cs="宋体"/>
          <w:b/>
          <w:sz w:val="21"/>
          <w:szCs w:val="21"/>
          <w:highlight w:val="none"/>
        </w:rPr>
        <w:t xml:space="preserve"> </w:t>
      </w:r>
      <w:bookmarkStart w:id="195" w:name="_Toc351203489"/>
      <w:r>
        <w:rPr>
          <w:rFonts w:hint="eastAsia" w:ascii="宋体" w:hAnsi="宋体" w:eastAsia="宋体" w:cs="宋体"/>
          <w:b/>
          <w:sz w:val="21"/>
          <w:szCs w:val="21"/>
          <w:highlight w:val="none"/>
        </w:rPr>
        <w:t>九、签订时间</w:t>
      </w:r>
      <w:bookmarkEnd w:id="195"/>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本合同于</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年</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月</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日签订。</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bookmarkStart w:id="196" w:name="_Toc351203490"/>
      <w:r>
        <w:rPr>
          <w:rFonts w:hint="eastAsia" w:ascii="宋体" w:hAnsi="宋体" w:eastAsia="宋体" w:cs="宋体"/>
          <w:b/>
          <w:sz w:val="21"/>
          <w:szCs w:val="21"/>
          <w:highlight w:val="none"/>
        </w:rPr>
        <w:t>十、签订地点</w:t>
      </w:r>
      <w:bookmarkEnd w:id="196"/>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本合同在</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签订。</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bookmarkStart w:id="197" w:name="_Toc351203491"/>
      <w:r>
        <w:rPr>
          <w:rFonts w:hint="eastAsia" w:ascii="宋体" w:hAnsi="宋体" w:eastAsia="宋体" w:cs="宋体"/>
          <w:b/>
          <w:sz w:val="21"/>
          <w:szCs w:val="21"/>
          <w:highlight w:val="none"/>
        </w:rPr>
        <w:t>十一、补充协议</w:t>
      </w:r>
      <w:bookmarkEnd w:id="197"/>
    </w:p>
    <w:p>
      <w:pPr>
        <w:spacing w:line="280" w:lineRule="exact"/>
        <w:ind w:firstLine="420" w:firstLineChars="200"/>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合同未尽事宜，合同当事人另行签订补充协议，补充协议是合同的组成部分。</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bookmarkStart w:id="198" w:name="_Toc351203492"/>
      <w:r>
        <w:rPr>
          <w:rFonts w:hint="eastAsia" w:ascii="宋体" w:hAnsi="宋体" w:eastAsia="宋体" w:cs="宋体"/>
          <w:b/>
          <w:sz w:val="21"/>
          <w:szCs w:val="21"/>
          <w:highlight w:val="none"/>
        </w:rPr>
        <w:t>十二、合同生效</w:t>
      </w:r>
      <w:bookmarkEnd w:id="198"/>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本合同自</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rPr>
        <w:t>生效。</w:t>
      </w:r>
    </w:p>
    <w:p>
      <w:pPr>
        <w:keepNext/>
        <w:keepLines/>
        <w:spacing w:before="120" w:after="120" w:line="280" w:lineRule="exact"/>
        <w:outlineLvl w:val="3"/>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w:t>
      </w:r>
      <w:bookmarkStart w:id="199" w:name="_Toc351203493"/>
      <w:r>
        <w:rPr>
          <w:rFonts w:hint="eastAsia" w:ascii="宋体" w:hAnsi="宋体" w:eastAsia="宋体" w:cs="宋体"/>
          <w:b/>
          <w:sz w:val="21"/>
          <w:szCs w:val="21"/>
          <w:highlight w:val="none"/>
        </w:rPr>
        <w:t>十三、合同份数</w:t>
      </w:r>
      <w:bookmarkEnd w:id="199"/>
    </w:p>
    <w:p>
      <w:pPr>
        <w:spacing w:line="28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本合同一式</w:t>
      </w:r>
      <w:r>
        <w:rPr>
          <w:rFonts w:hint="eastAsia" w:ascii="宋体" w:hAnsi="宋体" w:eastAsia="宋体" w:cs="宋体"/>
          <w:bCs/>
          <w:sz w:val="21"/>
          <w:szCs w:val="21"/>
          <w:highlight w:val="none"/>
          <w:u w:val="single"/>
        </w:rPr>
        <w:t xml:space="preserve"> 陆</w:t>
      </w:r>
      <w:r>
        <w:rPr>
          <w:rFonts w:hint="eastAsia" w:ascii="宋体" w:hAnsi="宋体" w:eastAsia="宋体" w:cs="宋体"/>
          <w:bCs/>
          <w:sz w:val="21"/>
          <w:szCs w:val="21"/>
          <w:highlight w:val="none"/>
        </w:rPr>
        <w:t>份，均具有同等法律效力，发包人执</w:t>
      </w:r>
      <w:r>
        <w:rPr>
          <w:rFonts w:hint="eastAsia" w:ascii="宋体" w:hAnsi="宋体" w:eastAsia="宋体" w:cs="宋体"/>
          <w:bCs/>
          <w:sz w:val="21"/>
          <w:szCs w:val="21"/>
          <w:highlight w:val="none"/>
          <w:u w:val="single"/>
        </w:rPr>
        <w:t xml:space="preserve"> 叁 </w:t>
      </w:r>
      <w:r>
        <w:rPr>
          <w:rFonts w:hint="eastAsia" w:ascii="宋体" w:hAnsi="宋体" w:eastAsia="宋体" w:cs="宋体"/>
          <w:bCs/>
          <w:sz w:val="21"/>
          <w:szCs w:val="21"/>
          <w:highlight w:val="none"/>
        </w:rPr>
        <w:t>份，承包人执</w:t>
      </w:r>
      <w:r>
        <w:rPr>
          <w:rFonts w:hint="eastAsia" w:ascii="宋体" w:hAnsi="宋体" w:eastAsia="宋体" w:cs="宋体"/>
          <w:bCs/>
          <w:sz w:val="21"/>
          <w:szCs w:val="21"/>
          <w:highlight w:val="none"/>
          <w:u w:val="single"/>
        </w:rPr>
        <w:t xml:space="preserve"> 叁 </w:t>
      </w:r>
      <w:r>
        <w:rPr>
          <w:rFonts w:hint="eastAsia" w:ascii="宋体" w:hAnsi="宋体" w:eastAsia="宋体" w:cs="宋体"/>
          <w:bCs/>
          <w:sz w:val="21"/>
          <w:szCs w:val="21"/>
          <w:highlight w:val="none"/>
        </w:rPr>
        <w:t>份。</w:t>
      </w:r>
    </w:p>
    <w:p>
      <w:pPr>
        <w:spacing w:line="280" w:lineRule="exact"/>
        <w:rPr>
          <w:rFonts w:hint="eastAsia" w:ascii="宋体" w:hAnsi="宋体" w:eastAsia="宋体" w:cs="宋体"/>
          <w:bCs/>
          <w:sz w:val="21"/>
          <w:szCs w:val="21"/>
          <w:highlight w:val="none"/>
        </w:rPr>
      </w:pPr>
    </w:p>
    <w:p>
      <w:pPr>
        <w:spacing w:line="280" w:lineRule="exact"/>
        <w:rPr>
          <w:rFonts w:hint="eastAsia" w:ascii="宋体" w:hAnsi="宋体" w:eastAsia="宋体" w:cs="宋体"/>
          <w:bCs/>
          <w:sz w:val="21"/>
          <w:szCs w:val="21"/>
          <w:highlight w:val="none"/>
        </w:rPr>
      </w:pP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发包人：  (公章)             承包人：  (公章)</w:t>
      </w:r>
    </w:p>
    <w:p>
      <w:pPr>
        <w:spacing w:line="280" w:lineRule="exac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 xml:space="preserve">                                 </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  法定代表人或其委托代理人：</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（签字）                    （签字）</w:t>
      </w:r>
    </w:p>
    <w:p>
      <w:pPr>
        <w:spacing w:line="280" w:lineRule="exact"/>
        <w:rPr>
          <w:rFonts w:hint="eastAsia" w:ascii="宋体" w:hAnsi="宋体" w:eastAsia="宋体" w:cs="宋体"/>
          <w:sz w:val="21"/>
          <w:szCs w:val="21"/>
          <w:highlight w:val="none"/>
          <w:u w:val="single"/>
        </w:rPr>
      </w:pPr>
    </w:p>
    <w:p>
      <w:pPr>
        <w:spacing w:line="280" w:lineRule="exact"/>
        <w:rPr>
          <w:rFonts w:hint="eastAsia" w:ascii="宋体" w:hAnsi="宋体" w:eastAsia="宋体" w:cs="宋体"/>
          <w:sz w:val="21"/>
          <w:szCs w:val="21"/>
          <w:highlight w:val="none"/>
          <w:u w:val="single"/>
        </w:rPr>
      </w:pPr>
    </w:p>
    <w:p>
      <w:pPr>
        <w:tabs>
          <w:tab w:val="left" w:pos="4410"/>
        </w:tabs>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组织机构代码：</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rPr>
        <w:t xml:space="preserve">   组织机构代码：</w:t>
      </w:r>
      <w:r>
        <w:rPr>
          <w:rFonts w:hint="eastAsia" w:ascii="宋体" w:hAnsi="宋体" w:eastAsia="宋体" w:cs="宋体"/>
          <w:b/>
          <w:sz w:val="21"/>
          <w:szCs w:val="21"/>
          <w:highlight w:val="none"/>
          <w:u w:val="single"/>
        </w:rPr>
        <w:t xml:space="preserve">                       </w:t>
      </w:r>
      <w:r>
        <w:rPr>
          <w:rFonts w:hint="eastAsia" w:ascii="宋体" w:hAnsi="宋体" w:eastAsia="宋体" w:cs="宋体"/>
          <w:sz w:val="21"/>
          <w:szCs w:val="21"/>
          <w:highlight w:val="none"/>
        </w:rPr>
        <w:t xml:space="preserve"> </w:t>
      </w:r>
    </w:p>
    <w:p>
      <w:pPr>
        <w:spacing w:line="280" w:lineRule="exact"/>
        <w:rPr>
          <w:rFonts w:hint="eastAsia" w:ascii="宋体" w:hAnsi="宋体" w:eastAsia="宋体" w:cs="宋体"/>
          <w:b/>
          <w:sz w:val="21"/>
          <w:szCs w:val="21"/>
          <w:highlight w:val="none"/>
          <w:u w:val="single"/>
        </w:rPr>
      </w:pPr>
      <w:r>
        <w:rPr>
          <w:rFonts w:hint="eastAsia" w:ascii="宋体" w:hAnsi="宋体" w:eastAsia="宋体" w:cs="宋体"/>
          <w:sz w:val="21"/>
          <w:szCs w:val="21"/>
          <w:highlight w:val="none"/>
        </w:rPr>
        <w:t>地  址：</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地  址：</w:t>
      </w:r>
      <w:r>
        <w:rPr>
          <w:rFonts w:hint="eastAsia" w:ascii="宋体" w:hAnsi="宋体" w:eastAsia="宋体" w:cs="宋体"/>
          <w:b/>
          <w:sz w:val="21"/>
          <w:szCs w:val="21"/>
          <w:highlight w:val="none"/>
          <w:u w:val="single"/>
        </w:rPr>
        <w:t xml:space="preserve">                              </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邮政编码：</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邮政编码：</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法定代表人：</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委托代理人：</w:t>
      </w:r>
      <w:r>
        <w:rPr>
          <w:rFonts w:hint="eastAsia" w:ascii="宋体" w:hAnsi="宋体" w:eastAsia="宋体" w:cs="宋体"/>
          <w:b/>
          <w:sz w:val="21"/>
          <w:szCs w:val="21"/>
          <w:highlight w:val="none"/>
          <w:u w:val="single"/>
        </w:rPr>
        <w:t xml:space="preserve">                          </w:t>
      </w:r>
    </w:p>
    <w:p>
      <w:pPr>
        <w:spacing w:line="280" w:lineRule="exac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电  话：</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电  话：</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传  真：</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传  真：</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电子信箱：</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电子信箱：</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开户银行：</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开户银行：</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p>
    <w:p>
      <w:pPr>
        <w:spacing w:line="280" w:lineRule="exact"/>
        <w:rPr>
          <w:rFonts w:hint="eastAsia" w:ascii="宋体" w:hAnsi="宋体" w:eastAsia="宋体" w:cs="宋体"/>
          <w:szCs w:val="21"/>
          <w:highlight w:val="none"/>
          <w:u w:val="single"/>
        </w:rPr>
      </w:pPr>
      <w:r>
        <w:rPr>
          <w:rFonts w:hint="eastAsia" w:ascii="宋体" w:hAnsi="宋体" w:eastAsia="宋体" w:cs="宋体"/>
          <w:sz w:val="21"/>
          <w:szCs w:val="21"/>
          <w:highlight w:val="none"/>
        </w:rPr>
        <w:t>账  号：</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账  号：</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Cs w:val="21"/>
          <w:highlight w:val="none"/>
          <w:u w:val="single"/>
        </w:rPr>
        <w:t xml:space="preserve">     </w:t>
      </w:r>
    </w:p>
    <w:p>
      <w:pPr>
        <w:spacing w:line="300" w:lineRule="auto"/>
        <w:ind w:right="1787"/>
        <w:jc w:val="center"/>
        <w:outlineLvl w:val="0"/>
        <w:rPr>
          <w:rFonts w:hint="eastAsia" w:ascii="宋体" w:hAnsi="宋体" w:eastAsia="宋体" w:cs="宋体"/>
          <w:sz w:val="52"/>
          <w:szCs w:val="21"/>
          <w:highlight w:val="none"/>
          <w:u w:val="single"/>
        </w:rPr>
      </w:pPr>
    </w:p>
    <w:p>
      <w:pPr>
        <w:pStyle w:val="2"/>
        <w:rPr>
          <w:rFonts w:hint="eastAsia" w:ascii="宋体" w:hAnsi="宋体" w:eastAsia="宋体" w:cs="宋体"/>
          <w:highlight w:val="none"/>
        </w:rPr>
      </w:pPr>
    </w:p>
    <w:p>
      <w:pPr>
        <w:ind w:firstLine="560" w:firstLineChars="200"/>
        <w:rPr>
          <w:rFonts w:hint="eastAsia" w:ascii="宋体" w:hAnsi="宋体" w:eastAsia="宋体" w:cs="宋体"/>
          <w:highlight w:val="none"/>
        </w:rPr>
      </w:pPr>
    </w:p>
    <w:p>
      <w:pPr>
        <w:tabs>
          <w:tab w:val="center" w:pos="5452"/>
        </w:tabs>
        <w:spacing w:line="360" w:lineRule="exact"/>
        <w:jc w:val="center"/>
        <w:outlineLvl w:val="1"/>
        <w:rPr>
          <w:rFonts w:hint="eastAsia" w:ascii="宋体" w:hAnsi="宋体" w:eastAsia="宋体" w:cs="宋体"/>
          <w:b/>
          <w:sz w:val="30"/>
          <w:szCs w:val="30"/>
          <w:highlight w:val="none"/>
        </w:rPr>
      </w:pPr>
      <w:bookmarkStart w:id="200" w:name="_Toc32079"/>
      <w:r>
        <w:rPr>
          <w:rFonts w:hint="eastAsia" w:ascii="宋体" w:hAnsi="宋体" w:eastAsia="宋体" w:cs="宋体"/>
          <w:b/>
          <w:sz w:val="30"/>
          <w:szCs w:val="30"/>
          <w:highlight w:val="none"/>
        </w:rPr>
        <w:t>第二部分 通用条款</w:t>
      </w:r>
      <w:bookmarkEnd w:id="200"/>
    </w:p>
    <w:p>
      <w:pPr>
        <w:widowControl/>
        <w:spacing w:before="144" w:after="144" w:line="360" w:lineRule="exact"/>
        <w:jc w:val="left"/>
        <w:rPr>
          <w:rFonts w:hint="eastAsia" w:ascii="宋体" w:hAnsi="宋体" w:eastAsia="宋体" w:cs="宋体"/>
          <w:b/>
          <w:bCs/>
          <w:kern w:val="0"/>
          <w:sz w:val="21"/>
          <w:szCs w:val="21"/>
          <w:highlight w:val="none"/>
        </w:rPr>
      </w:pPr>
      <w:bookmarkStart w:id="201" w:name="zh01"/>
      <w:bookmarkEnd w:id="201"/>
      <w:r>
        <w:rPr>
          <w:rFonts w:hint="eastAsia" w:ascii="宋体" w:hAnsi="宋体" w:eastAsia="宋体" w:cs="宋体"/>
          <w:b/>
          <w:bCs/>
          <w:kern w:val="0"/>
          <w:sz w:val="21"/>
          <w:szCs w:val="21"/>
          <w:highlight w:val="none"/>
        </w:rPr>
        <w:t>1.一般约定</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1.1词语定义与解释</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合同协议书、通用合同条款、专用合同条款中的下列词语具有本款所赋予的含义：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1.1.1.1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1.1.1.2合同协议书：是指构成合同的由发包人和承包人共同签署的称为“合同协议书”的书面文件。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1.1.1.3中标通知书：是指构成合同的由发包人通知承包人中标的书面文件。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1.1.1.4投标函：是指构成合同的由承包人填写并签署的用于投标的称为“投标函”的文件。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1.1.1.5投标函附录：是指构成合同的附在投标函后的称为“投标函附录”的文件。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1.1.1.6技术标准和要求：是指构成合同的施工应当遵守的或指导施工的国家、行业或地方的技术标准和要求，以及合同约定的技术标准和要求。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1.1.1.7图纸：是指构成合同的图纸，包括由发包人按照合同约定提供或经发包人批准的设计文件、施工图、鸟瞰图及模型等，以及在合同履行过程中形成的图纸文件。图纸应当按照法律规定审查合格。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1.1.1.8已标价工程量清单：是指构成合同的由承包人按照规定的格式和要求填写并标明价格的工程量清单，包括说明和表格。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1.1.1.9预算书：是指构成合同的由承包人按照发包人规定的格式和要求编制的工程预算文件。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1.1.1.10其他合同文件：是指经合同当事人约定的与工程施工有关的具有合同约束力的文件或书面协议。合同当事人可以在专用合同条款中进行约定。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1.1.2合同当事人及其他相关方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1.1.2.1合同当事人：是指发包人和（或）承包人。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1.1.2.2发包人：是指与承包人签订合同协议书的当事人及取得该当事人资格的合法继承人。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1.1.2.3承包人：是指与发包人签订合同协议书的，具有相应工程施工承包资质的当事人及取得该当事人资格的合法继承人。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1.1.2.4监理人：是指在专用合同条款中指明的，受发包人委托按照法律规定进行工程监督管理的法人或其他组织。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1.1.2.5设计人：是指在专用合同条款中指明的，受发包人委托负责工程设计并具备相应工程设计资质的法人或其他组织。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1.1.2.6分包人：是指按照法律规定和合同约定，分包部分工程或工作，并与承包人签订分包合同的具有相应资质的法人。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1.1.2.7发包人代表：是指由发包人任命并派驻施工现场在发包人授权范围内行使发包人权利的人。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1.1.2.8项目经理：是指由承包人任命并派驻施工现场，在承包人授权范围内负责合同履行，且按照法律规定具有相应资格的项目负责人。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1.1.2.9总监理工程师：是指由监理人任命并派驻施工现场进行工程监理的总负责人。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1.1.3工程和设备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1.1.3.1工程：是指与合同协议书中工程承包范围对应的永久工程和（或）临时工程。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1.1.3.2永久工程：是指按合同约定建造并移交给发包人的工程，包括工程设备。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1.1.3.3临时工程：是指为完成合同约定的永久工程所修建的各类临时性工程，不包括施工设备。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1.1.3.4单位工程：是指在合同协议书中指明的，具备独立施工条件并能形成独立使用功能的永久工程。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1.1.3.5工程设备：是指构成永久工程的机电设备、金属结构设备、仪器及其他类似的设备和装置。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1.1.3.6施工设备：是指为完成合同约定的各项工作所需的设备、器具和其他物品，但不包括工程设备、临时工程和材料。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1.1.3.7施工现场：是指用于工程施工的场所，以及在专用合同条款中指明作为施工场所组成部分的其他场所，包括永久占地和临时占地。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1.1.3.8临时设施：是指为完成合同约定的各项工作所服务的临时性生产和生活设施。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1.1.3.9永久占地：是指专用合同条款中指明为实施工程需永久占用的土地。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1.1.3.10临时占地：是指专用合同条款中指明为实施工程需要临时占用的土地。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1.1.4日期和期限</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1.1.4.1开工日期：包括计划开工日期和实际开工日期。计划开工日期是指合同协议书约定的开工日期；实际开工日期是指监理人按照第7.3.2项〔开工通知〕约定发出的符合法律规定的开工通知中载明的开工日期。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1.1.4.2竣工日期：包括计划竣工日期和实际竣工日期。计划竣工日期是指合同协议书约定的竣工日期；实际竣工日期按照第13.2.3项〔竣工日期〕的约定确定。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1.1.4.3工期：是指在合同协议书约定的承包人完成工程所需的期限，包括按照合同约定所作的期限变更。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1.1.4.4缺陷责任期：是指承包人按照合同约定承担缺陷修复义务，且发包人预留质量保证金的期限，自工程实际竣工日期起计算。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1.1.4.5保修期：是指承包人按照合同约定对工程承担保修责任的期限，从工程竣工验收合格之日起计算。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1.1.4.6基准日期：招标发包的工程以投标截止日前28天的日期为基准日期，直接发包的工程以合同签订日前28天的日期为基准日期。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1.1.4.7天：除特别指明外，均指日历天。合同中按天计算时间的，开始当天不计入，从次日开始计算，期限最后一天的截止时间为当天24:00时。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1.1.5合同价格和费用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1.1.5.1签约合同价：是指发包人和承包人在合同协议书中确定的总金额，包括安全文明施工费、暂估价及暂列金额等。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1.1.5.2合同价格：是指发包人用于支付承包人按照合同约定完成承包范围内全部工作的金额，包括合同履行过程中按合同约定发生的价格变化。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1.1.5.3费用：是指为履行合同所发生的或将要发生的所有必需的开支，包括管理费和应分摊的其他费用，但不包括利润。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1.1.5.4暂估价：是指发包人在工程量清单或预算书中提供的用于支付必然发生但暂时不能确定价格的材料、工程设备的单价、专业工程以及服务工作的金额。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1.1.5.5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1.1.5.6计日工：是指合同履行过程中，承包人完成发包人提出的零星工作或需要采用计日工计价的变更工作时，按合同中约定的单价计价的一种方式。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1.1.5.7质量保证金：是指按照第15.3款〔质量保证金〕约定承包人用于保证其在缺陷责任期内履行缺陷修补义务的担保。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1.1.5.8总价项目：是指在现行国家、行业以及地方的计量规则中无工程量计算规则，在已标价工程量清单或预算书中以总价或以费率形式计算的项目。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1.1.6其他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1.1.6.1书面形式：是指合同文件、信函、电报、传真等可以有形地表现所载内容的形式。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1.2语言文字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合同以中国的汉语简体文字编写、解释和说明。合同当事人在专用合同条款中约定使用两种以上语言时，汉语为优先解释和说明合同的语言。</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1.3法律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合同所称法律是指中华人民共和国法律、行政法规、部门规章，以及工程所在地的地方性法规、自治条例、单行条例和地方政府规章等。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合同当事人可以在专用合同条款中约定合同适用的其他规范性文件。</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1.4标准和规范</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1.4.1适用于工程的国家标准、行业标准、工程所在地的地方性标准，以及相应的规范、规程等，合同当事人有特别要求的，应在专用合同条款中约定。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1.4.2发包人要求使用国外标准、规范的，发包人负责提供原文版本和中文译本，并在专用合同条款中约定提供标准规范的名称、份数和时间。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1.4.3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1.5合同文件的优先顺序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组成合同的各项文件应互相解释，互为说明。除专用合同条款另有约定外，解释合同文件的优先顺序如下：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（1）合同协议书；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（2）中标通知书（如果有）；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（3）投标函及其附录（如果有）；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（4）专用合同条款及其附件；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（5）通用合同条款；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（6）技术标准和要求；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（7）图纸；</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（8）已标价工程量清单或预算书；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（9）其他合同文件。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上述各项合同文件包括合同当事人就该项合同文件所作出的补充和修改，属于同一类内容的文件，应以最新签署的为准。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在合同订立及履行过程中形成的与合同有关的文件均构成合同文件组成部分，并根据其性质确定优先解释顺序。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1.6图纸和承包人文件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1.6.1图纸的提供和交底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因发包人未按合同约定提供图纸导致承包人费用增加和（或）工期延误的，按照第7.5.1项〔因发包人原因导致工期延误〕约定办理。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1.6.2图纸的错误</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1.6.3图纸的修改和补充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图纸需要修改和补充的，应经图纸原设计人及审批部门同意，并由监理人在工程或工程相应部位施工前将修改后的图纸或补充图纸提交给承包人，承包人应按修改或补充后的图纸施工。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1.6.4承包人文件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承包人应按照专用合同条款的约定提供应当由其编制的与工程施工有关的文件，并按照专用合同条款约定的期限、数量和形式提交监理人，并由监理人报送发包人。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1.6.5图纸和承包人文件的保管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除专用合同条款另有约定外，承包人应在施工现场另外保存一套完整的图纸和承包人文件，供发包人、监理人及有关人员进行工程检查时使用。</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1.7联络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1.7.1与合同有关的通知、批准、证明、证书、指示、指令、要求、请求、同意、意见、确定和决定等，均应采用书面形式，并应在合同约定的期限内送达接收人和送达地点。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1.7.2发包人和承包人应在专用合同条款中约定各自的送达接收人和送达地点。任何一方合同当事人指定的接收人或送达地点发生变动的，应提前3天以书面形式通知对方。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1.7.3发包人和承包人应当及时签收另一方送达至送达地点和指定接收人的来往信函。拒不签收的，由此增加的费用和（或）延误的工期由拒绝接收一方承担。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1.8严禁贿赂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合同当事人不得以贿赂或变相贿赂的方式，谋取非法利益或损害对方权益。因一方合同当事人的贿赂造成对方损失的，应赔偿损失，并承担相应的法律责任。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1.9化石、文物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发包人、监理人和承包人应按有关政府行政管理部门要求采取妥善的保护措施，由此增加的费用和（或）延误的工期由发包人承担。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承包人发现文物后不及时报告或隐瞒不报，致使文物丢失或损坏的，应赔偿损失，并承担相应的法律责任。</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1.10交通运输</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1.10.1出入现场的权利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1.10.2场外交通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1.10.3场内交通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场外交通和场内交通的边界由合同当事人在专用合同条款中约定。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1.10.4超大件和超重件的运输</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1.10.5道路和桥梁的损坏责任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因承包人运输造成施工场地内外公共道路和桥梁损坏的，由承包人承担修复损坏的全部费用和可能引起的赔偿。</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1.10.6水路和航空运输</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本款前述各项的内容适用于水路运输和航空运输，其中“道路”一词的涵义包括河道、航线、船闸、机场、码头、堤防以及水路或航空运输中其他相似结构物；“车辆”一词的涵义包括船舶和飞机等。</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1.11知识产权</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1.11.1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1.11.2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1.11.3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1.11.4除专用合同条款另有约定外，承包人在合同签订前和签订时已确定采用的专利、专有技术、技术秘密的使用费已包含在签约合同价中。</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1.12保密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除法律规定或合同另有约定外，未经发包人同意，承包人不得将发包人提供的图纸、文件以及声明需要保密的资料信息等商业秘密泄露给第三方。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除法律规定或合同另有约定外，未经承包人同意，发包人不得将承包人提供的技术秘密及声明需要保密的资料信息等商业秘密泄露给第三方。</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1.13工程量清单错误的修正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除专用合同条款另有约定外，发包人提供的工程量清单，应被认为是准确的和完整的。出现下列情形之一时，发包人应予以修正，并相应调整合同价格：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（1）工程量清单存在缺项、漏项的；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（2）工程量清单偏差超出专用合同条款约定的工程量偏差范围的；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（3）未按照国家现行计量规范强制性规定计量的。</w:t>
      </w:r>
    </w:p>
    <w:p>
      <w:pPr>
        <w:widowControl/>
        <w:spacing w:before="144" w:after="144" w:line="360" w:lineRule="exact"/>
        <w:jc w:val="left"/>
        <w:rPr>
          <w:rFonts w:hint="eastAsia" w:ascii="宋体" w:hAnsi="宋体" w:eastAsia="宋体" w:cs="宋体"/>
          <w:b/>
          <w:bCs/>
          <w:kern w:val="0"/>
          <w:sz w:val="21"/>
          <w:szCs w:val="21"/>
          <w:highlight w:val="none"/>
        </w:rPr>
      </w:pPr>
      <w:bookmarkStart w:id="202" w:name="zh02"/>
      <w:bookmarkEnd w:id="202"/>
      <w:r>
        <w:rPr>
          <w:rFonts w:hint="eastAsia" w:ascii="宋体" w:hAnsi="宋体" w:eastAsia="宋体" w:cs="宋体"/>
          <w:b/>
          <w:bCs/>
          <w:kern w:val="0"/>
          <w:sz w:val="21"/>
          <w:szCs w:val="21"/>
          <w:highlight w:val="none"/>
        </w:rPr>
        <w:t>2.发包人</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2.1许可或批准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因发包人原因未能及时办理完毕前述许可、批准或备案，由发包人承担由此增加的费用和（或）延误的工期，并支付承包人合理的利润。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2.2发包人代表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发包人代表不能按照合同约定履行其职责及义务，并导致合同无法继续正常履行的，承包人可以要求发包人撤换发包人代表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不属于法定必须监理的工程，监理人的职权可以由发包人代表或发包人指定的其他人员行使</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2.3发包人人员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发包人应要求在施工现场的发包人人员遵守法律及有关安全、质量、环境保护、文明施工等规定，并保障承包人免于承受因发包人人员未遵守上述要求给承包人造成的损失和责任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发包人人员包括发包人代表及其他由发包人派驻施工现场的人员</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2.4施工现场、施工条件和基础资料的提供</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2.4.1提供施工现场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除专用合同条款另有约定外，发包人应最迟于开工日期7天前向承包人移交施工现场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2.4.2提供施工条件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除专用合同条款另有约定外，发包人应负责提供施工所需要的条件，包括：</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（1）将施工用水、电力、通讯线路等施工所必需的条件接至施工现场内；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（2）保证向承包人提供正常施工所需要的进入施工现场的交通条件；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（3）协调处理施工现场周围地下管线和邻近建筑物、构筑物、古树名木的保护工作，并承担相关费用；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（4）按照专用合同条款约定应提供的其他设施和条件。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2.4.3提供基础资料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按照法律规定确需在开工后方能提供的基础资料，发包人应尽其努力及时地在相应工程施工前的合理期限内提供，合理期限应以不影响承包人的正常施工为限。</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2.4.4逾期提供的责任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因发包人原因未能按合同约定及时向承包人提供施工现场、施工条件、基础资料的，由发包人承担由此增加的费用和（或）延误的工期。</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2.5资金来源证明及支付担保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除专用合同条款另有约定外，发包人应在收到承包人要求提供资金来源证明的书面通知后28天内，向承包人提供能够按照合同约定支付合同价款的相应资金来源证明。</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2.6支付合同价款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发包人应按合同约定向承包人及时支付合同价款。</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2.7组织竣工验收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发包人应按合同约定及时组织竣工验收。</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2.8现场统一管理协议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发包人应与承包人、由发包人直接发包的专业工程的承包人签订施工现场统一管理协议，明确各方的权利义务。施工现场统一管理协议作为专用合同条款的附件。</w:t>
      </w:r>
    </w:p>
    <w:p>
      <w:pPr>
        <w:widowControl/>
        <w:spacing w:before="144" w:after="144" w:line="360" w:lineRule="exact"/>
        <w:jc w:val="left"/>
        <w:rPr>
          <w:rFonts w:hint="eastAsia" w:ascii="宋体" w:hAnsi="宋体" w:eastAsia="宋体" w:cs="宋体"/>
          <w:b/>
          <w:bCs/>
          <w:kern w:val="0"/>
          <w:sz w:val="21"/>
          <w:szCs w:val="21"/>
          <w:highlight w:val="none"/>
        </w:rPr>
      </w:pPr>
      <w:bookmarkStart w:id="203" w:name="zh03"/>
      <w:bookmarkEnd w:id="203"/>
      <w:r>
        <w:rPr>
          <w:rFonts w:hint="eastAsia" w:ascii="宋体" w:hAnsi="宋体" w:eastAsia="宋体" w:cs="宋体"/>
          <w:b/>
          <w:bCs/>
          <w:kern w:val="0"/>
          <w:sz w:val="21"/>
          <w:szCs w:val="21"/>
          <w:highlight w:val="none"/>
        </w:rPr>
        <w:t>3.承包人</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3.1承包人的一般义务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承包人在履行合同过程中应遵守法律和工程建设标准规范，并履行以下义务：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办理法律规定应由承包人办理的许可和批准，并将办理结果书面报送发包人留存；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（2）按法律规定和合同约定完成工程，并在保修期内承担保修义务；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（3）按法律规定和合同约定采取施工安全和环境保护措施，办理工伤保险，确保工程及人员、材料、设备和设施的安全；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（4）按合同约定的工作内容和施工进度要求，编制施工组织设计和施工措施计划，并对所有施工作业和施工方法的完备性和安全可靠性负责；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（6）按照第6.3款〔环境保护〕约定负责施工场地及其周边环境与生态的保护工作；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（7）按第6.1款〔安全文明施工〕约定采取施工安全措施，确保工程及其人员、材料、设备和设施的安全，防止因工程施工造成的人身伤害和财产损失；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（8）将发包人按合同约定支付的各项价款专用于合同工程，且应及时支付其雇用人员工资，并及时向分包人支付合同价款；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（9）按照法律规定和合同约定编制竣工资料，完成竣工资料立卷及归档，并按专用合同条款约定的竣工资料的套数、内容、时间等要求移交发包人；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（10）应履行的其他义务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3.2项目经理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3.2.1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承包人违反上述约定的，应按照专用合同条款的约定，承担违约责任。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3.2.2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3.2.3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3.2.4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3.2.5项目经理因特殊情况授权其下属人员履行其某项工作职责的，该下属人员应具备履行相应职责的能力，并应提前7天将上述人员的姓名和授权范围书面通知监理人，并征得发包人书面同意。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3.3承包人人员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3.3.1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3.3.2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特殊工种作业人员均应持有相应的资格证明，监理人可以随时检查。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3.3.3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3.3.4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3.3.5承包人擅自更换主要施工管理人员，或前述人员未经监理人或发包人同意擅自离开施工现场的，应按照专用合同条款约定承担违约责任。</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3.4承包人现场查勘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承包人应对基于发包人按照第2.4.3项〔提供基础资料〕提交的基础资料所做出的解释和推断负责，但因基础资料存在错误、遗漏导致承包人解释或推断失实的，由发包人承担责任。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3.5分包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3.5.1分包的一般约定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承包人不得以劳务分包的名义转包或违法分包工程。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3.5.2分包的确定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3.5.3分包管理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承包人应向监理人提交分包人的主要施工管理人员表，并对分包人的施工人员进行实名制管理，包括但不限于进出场管理、登记造册以及各种证照的办理。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3.5.4分包合同价款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（1）除本项第（2）目约定的情况或专用合同条款另有约定外，分包合同价款由承包人与分包人结算，未经承包人同意，发包人不得向分包人支付分包工程价款；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（2）生效法律文书要求发包人向分包人支付分包合同价款的，发包人有权从应付承包人工程款中扣除该部分款项。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3.5.5分包合同权益的转让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3.6工程照管与成品、半成品保护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（1）除专用合同条款另有约定外，自发包人向承包人移交施工现场之日起，承包人应负责照管工程及工程相关的材料、工程设备，直到颁发工程接收证书之日止。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（2）在承包人负责照管期间，因承包人原因造成工程、材料、工程设备损坏的，由承包人负责修复或更换，并承担由此增加的费用和（或）延误的工期。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（3）对合同内分期完成的成品和半成品，在工程接收证书颁发前，由承包人承担保护责任。因承包人原因造成成品或半成品损坏的，由承包人负责修复或更换，并承担由此增加的费用和（或）延误的工期。</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3.7履约担保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发包人需要承包人提供履约担保的，由合同当事人在专用合同条款中约定履约担保的方式、金额及期限等。履约担保可以采用银行保函或担保公司担保等形式，具体由合同当事人在专用合同条款中约定。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因承包人原因导致工期延长的，继续提供履约担保所增加的费用由承包人承担；非因承包人原因导致工期延长的，继续提供履约担保所增加的费用由发包人承担。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3.8联合体</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3.8.1联合体各方应共同与发包人签订合同协议书。联合体各方应为履行合同向发包人承担连带责任。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3.8.2联合体协议经发包人确认后作为合同附件。在履行合同过程中，未经发包人同意，不得修改联合体协议。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3.8.3联合体牵头人负责与发包人和监理人联系，并接受指示，负责组织联合体各成员全面履行合同。</w:t>
      </w:r>
    </w:p>
    <w:p>
      <w:pPr>
        <w:widowControl/>
        <w:spacing w:before="144" w:after="144" w:line="360" w:lineRule="exact"/>
        <w:jc w:val="left"/>
        <w:rPr>
          <w:rFonts w:hint="eastAsia" w:ascii="宋体" w:hAnsi="宋体" w:eastAsia="宋体" w:cs="宋体"/>
          <w:b/>
          <w:bCs/>
          <w:kern w:val="0"/>
          <w:sz w:val="21"/>
          <w:szCs w:val="21"/>
          <w:highlight w:val="none"/>
        </w:rPr>
      </w:pPr>
      <w:bookmarkStart w:id="204" w:name="zh04"/>
      <w:bookmarkEnd w:id="204"/>
      <w:r>
        <w:rPr>
          <w:rFonts w:hint="eastAsia" w:ascii="宋体" w:hAnsi="宋体" w:eastAsia="宋体" w:cs="宋体"/>
          <w:b/>
          <w:bCs/>
          <w:kern w:val="0"/>
          <w:sz w:val="21"/>
          <w:szCs w:val="21"/>
          <w:highlight w:val="none"/>
        </w:rPr>
        <w:t>4.监理人</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4.1监理人的一般规定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除专用合同条款另有约定外，监理人在施工现场的办公场所、生活场所由承包人提供，所发生的费用由发包人承担。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4.2监理人员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4.3监理人的指示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承包人对监理人发出的指示有疑问的，应向监理人提出书面异议，监理人应在48小时内对该指示予以确认、更改或撤销，监理人逾期未回复的，承包人有权拒绝执行上述指示。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4.4商定或确定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合同当事人进行商定或确定时，总监理工程师应当会同合同当事人尽量通过协商达成一致，不能达成一致的，由总监理工程师按照合同约定审慎做出公正的确定。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widowControl/>
        <w:spacing w:before="144" w:after="144" w:line="360" w:lineRule="exact"/>
        <w:jc w:val="left"/>
        <w:rPr>
          <w:rFonts w:hint="eastAsia" w:ascii="宋体" w:hAnsi="宋体" w:eastAsia="宋体" w:cs="宋体"/>
          <w:b/>
          <w:bCs/>
          <w:kern w:val="0"/>
          <w:sz w:val="21"/>
          <w:szCs w:val="21"/>
          <w:highlight w:val="none"/>
        </w:rPr>
      </w:pPr>
      <w:bookmarkStart w:id="205" w:name="zh05"/>
      <w:bookmarkEnd w:id="205"/>
      <w:r>
        <w:rPr>
          <w:rFonts w:hint="eastAsia" w:ascii="宋体" w:hAnsi="宋体" w:eastAsia="宋体" w:cs="宋体"/>
          <w:b/>
          <w:bCs/>
          <w:kern w:val="0"/>
          <w:sz w:val="21"/>
          <w:szCs w:val="21"/>
          <w:highlight w:val="none"/>
        </w:rPr>
        <w:t>5.工程质量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5.1质量要求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5.1.1工程质量标准必须符合现行国家有关工程施工质量验收规范和标准的要求。有关工程质量的特殊标准或要求由合同当事人在专用合同条款中约定。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5.1.2因发包人原因造成工程质量未达到合同约定标准的，由发包人承担由此增加的费用和（或）延误的工期，并支付承包人合理的利润。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5.1.3因承包人原因造成工程质量未达到合同约定标准的，发包人有权要求承包人返工直至工程质量达到合同约定的标准为止，并由承包人承担由此增加的费用和（或）延误的工期。</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5.2质量保证措施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5.2.1发包人的质量管理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发包人应按照法律规定及合同约定完成与工程质量有关的各项工作。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5.2.2承包人的质量管理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承包人应对施工人员进行质量教育和技术培训，定期考核施工人员的劳动技能，严格执行施工规范和操作规程。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5.2.3监理人的质量检查和检验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5.3隐蔽工程检查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5.3.1承包人自检</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承包人应当对工程隐蔽部位进行自检，并经自检确认是否具备覆盖条件。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5.3.2检查程序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5.3.3重新检查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5.3.4承包人私自覆盖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5.4不合格工程的处理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5.4.1因承包人原因造成工程不合格的，发包人有权随时要求承包人采取补救措施，直至达到合同要求的质量标准，由此增加的费用和（或）延误的工期由承包人承担。无法补救的，按照第13.2.4项〔拒绝接收全部或部分工程〕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5.4.2因发包人原因造成工程不合格的，由此增加的费用和（或）延误的工期由发包人承担，并支付承包人合理的利润。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5.5质量争议检测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合同当事人对工程质量有争议的，由双方协商确定的工程质量检测机构鉴定，由此产生的费用及因此造成的损失，由责任方承担。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合同当事人均有责任的，由双方根据其责任分别承担。合同当事人无法达成一致的，按照第4.4款〔商定或确定〕执行。</w:t>
      </w:r>
    </w:p>
    <w:p>
      <w:pPr>
        <w:widowControl/>
        <w:spacing w:before="144" w:after="144" w:line="360" w:lineRule="exact"/>
        <w:jc w:val="left"/>
        <w:rPr>
          <w:rFonts w:hint="eastAsia" w:ascii="宋体" w:hAnsi="宋体" w:eastAsia="宋体" w:cs="宋体"/>
          <w:b/>
          <w:bCs/>
          <w:kern w:val="0"/>
          <w:sz w:val="21"/>
          <w:szCs w:val="21"/>
          <w:highlight w:val="none"/>
        </w:rPr>
      </w:pPr>
      <w:bookmarkStart w:id="206" w:name="zh06"/>
      <w:bookmarkEnd w:id="206"/>
      <w:r>
        <w:rPr>
          <w:rFonts w:hint="eastAsia" w:ascii="宋体" w:hAnsi="宋体" w:eastAsia="宋体" w:cs="宋体"/>
          <w:b/>
          <w:bCs/>
          <w:kern w:val="0"/>
          <w:sz w:val="21"/>
          <w:szCs w:val="21"/>
          <w:highlight w:val="none"/>
        </w:rPr>
        <w:t>6.安全文明施工与环境保护</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6.1安全文明施工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6.1.1安全生产要求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因安全生产需要暂停施工的，按照第7.8款〔暂停施工〕的约定执行。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6.1.2安全生产保证措施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6.1.3特别安全生产事项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承包人在动力设备、输电线路、地下管道、密封防震车间、易燃易爆地段以及临街交通要道附近施工时，施工开始前应向发包人和监理人提出安全防护措施，经发包人认可后实施。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需单独编制危险性较大分部分项专项工程施工方案的，及要求进行专家论证的超过一定规模的危险性较大的分部分项工程，承包人应及时编制和组织论证。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6.1.4治安保卫</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除专用合同条款另有约定外，发包人应与当地公安部门协商，在现场建立治安管理机构或联防组织，统一管理施工场地的治安保卫事项，履行合同工程的治安保卫职责。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发包人和承包人除应协助现场治安管理机构或联防组织维护施工场地的社会治安外，还应做好包括生活区在内的各自管辖区的治安保卫工作。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6.1.5文明施工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6.1.6安全文明施工费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安全文明施工费由发包人承担，发包人不得以任何形式扣减该部分费用。因基准日期后合同所适用的法律或政府有关规定发生变化，增加的安全文明施工费由发包人承担。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6.1.7紧急情况处理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6.1.8事故处理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6.1.9安全生产责任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6.1.9.1发包人的安全责任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发包人应负责赔偿以下各种情况造成的损失：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（1）工程或工程的任何部分对土地的占用所造成的第三者财产损失；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（2）由于发包人原因在施工场地及其毗邻地带造成的第三者人身伤亡和财产损失；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（3）由于发包人原因对承包人、监理人造成的人员人身伤亡和财产损失；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（4）由于发包人原因造成的发包人自身人员的人身伤害以及财产损失。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6.1.9.2承包人的安全责任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由于承包人原因在施工场地内及其毗邻地带造成的发包人、监理人以及第三者人员伤亡和财产损失，由承包人负责赔偿。</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6.2职业健康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6.2.1劳动保护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承包人应按法律规定安排工作时间，保证其雇佣人员享有休息和休假的权利。因工程施工的特殊需要占用休假日或延长工作时间的，应不超过法律规定的限度，并按法律规定给予补休或付酬。</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6.2.2生活条件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备必要的伤病防治和急救的医务人员与医疗设施。</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6.3环境保护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承包人应当承担因其原因引起的环境污染侵权损害赔偿责任，因上述环境污染引起纠纷而导致暂停施工的，由此增加的费用和（或）延误的工期由承包人承担。</w:t>
      </w:r>
    </w:p>
    <w:p>
      <w:pPr>
        <w:widowControl/>
        <w:spacing w:before="144" w:after="144" w:line="360" w:lineRule="exact"/>
        <w:jc w:val="left"/>
        <w:rPr>
          <w:rFonts w:hint="eastAsia" w:ascii="宋体" w:hAnsi="宋体" w:eastAsia="宋体" w:cs="宋体"/>
          <w:b/>
          <w:bCs/>
          <w:kern w:val="0"/>
          <w:sz w:val="21"/>
          <w:szCs w:val="21"/>
          <w:highlight w:val="none"/>
        </w:rPr>
      </w:pPr>
      <w:bookmarkStart w:id="207" w:name="zh07"/>
      <w:bookmarkEnd w:id="207"/>
      <w:r>
        <w:rPr>
          <w:rFonts w:hint="eastAsia" w:ascii="宋体" w:hAnsi="宋体" w:eastAsia="宋体" w:cs="宋体"/>
          <w:b/>
          <w:bCs/>
          <w:kern w:val="0"/>
          <w:sz w:val="21"/>
          <w:szCs w:val="21"/>
          <w:highlight w:val="none"/>
        </w:rPr>
        <w:t>7.工期和进度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7.1施工组织设计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7.1.1施工组织设计的内容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施工组织设计应包含以下内容：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（1）施工方案；</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（2）施工现场平面布置图；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（3）施工进度计划和保证措施；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（4）劳动力及材料供应计划；</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（5）施工机械设备的选用；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（6）质量保证体系及措施；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（7）安全生产、文明施工措施；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（8）环境保护、成本控制措施；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（9）合同当事人约定的其他内容。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7.1.2施工组织设计的提交和修改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施工进度计划的编制和修改按照第7.2款〔施工进度计划〕执行。</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7.2施工进度计划</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7.2.1施工进度计划的编制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7.2.2施工进度计划的修订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7.3开工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7.3.1开工准备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除专用合同条款另有约定外，合同当事人应按约定完成开工准备工作。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7.3.2开工通知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7.4测量放线</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7.4.1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7.4.2承包人负责施工过程中的全部施工测量放线工作，并配置具有相应资质的人员、合格的仪器、设备和其他物品。承包人应矫正工程的位置、标高、尺寸或准线中出现的任何差错，并对工程各部分的定位负责。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施工过程中对施工现场内水准点等测量标志物的保护工作由承包人负责。</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7.5工期延误</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7.5.1因发包人原因导致工期延误</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在合同履行过程中，因下列情况导致工期延误和（或）费用增加的，由发包人承担由此延误的工期和（或）增加的费用，且发包人应支付承包人合理的利润：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（1）发包人未能按合同约定提供图纸或所提供图纸不符合合同约定的；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（2）发包人未能按合同约定提供施工现场、施工条件、基础资料、许可、批准等开工条件的；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（3）发包人提供的测量基准点、基准线和水准点及其书面资料存在错误或疏漏的；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（4）发包人未能在计划开工日期之日起7天内同意下达开工通知的；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（5）发包人未能按合同约定日期支付工程预付款、进度款或竣工结算款的；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（6）监理人未按合同约定发出指示、批准等文件的；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（7）专用合同条款中约定的其他情形。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7.5.2因承包人原因导致工期延误</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因承包人原因造成工期延误的，可以在专用合同条款中约定逾期竣工违约金的计算方法和逾期竣工违约金的上限。承包人支付逾期竣工违约金后，不免除承包人继续完成工程及修补缺陷的义务。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7.6不利物质条件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7.7异常恶劣的气候条件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7.8.1发包人原因引起的暂停施工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因发包人原因引起暂停施工的，监理人经发包人同意后，应及时下达暂停施工指示。情况紧急且监理人未及时下达暂停施工指示的，按照第7.8.4项〔紧急情况下的暂停施工〕执行。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因发包人原因引起的暂停施工，发包人应承担由此增加的费用和（或）延误的工期，并支付承包人合理的利润。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7.8.2承包人原因引起的暂停施工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7.8.3指示暂停施工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监理人认为有必要时，并经发包人批准后，可向承包人作出暂停施工的指示，承包人应按监理人指示暂停施工。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7.8.4紧急情况下的暂停施工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7.8.5暂停施工后的复工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承包人无故拖延和拒绝复工的，承包人承担由此增加的费用和（或）延误的工期；因发包人原因无法按时复工的，按照第7.5.1项〔因发包人原因导致工期延误〕约定办理。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7.8.6暂停施工持续56天以上</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7.8.7暂停施工期间的工程照管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暂停施工期间，承包人应负责妥善照管工程并提供安全保障，由此增加的费用由责任方承担。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7.8.8暂停施工的措施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暂停施工期间，发包人和承包人均应采取必要的措施确保工程质量及安全，防止因暂停施工扩大损失。</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7.9提前竣工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7.9.1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7.9.2发包人要求承包人提前竣工，或承包人提出提前竣工的建议能够给发包人带来效益的，合同当事人可以在专用合同条款中约定提前竣工的奖励。</w:t>
      </w:r>
    </w:p>
    <w:p>
      <w:pPr>
        <w:widowControl/>
        <w:spacing w:before="144" w:after="144" w:line="360" w:lineRule="exact"/>
        <w:jc w:val="left"/>
        <w:rPr>
          <w:rFonts w:hint="eastAsia" w:ascii="宋体" w:hAnsi="宋体" w:eastAsia="宋体" w:cs="宋体"/>
          <w:b/>
          <w:bCs/>
          <w:kern w:val="0"/>
          <w:sz w:val="21"/>
          <w:szCs w:val="21"/>
          <w:highlight w:val="none"/>
        </w:rPr>
      </w:pPr>
      <w:bookmarkStart w:id="208" w:name="zh08"/>
      <w:bookmarkEnd w:id="208"/>
      <w:r>
        <w:rPr>
          <w:rFonts w:hint="eastAsia" w:ascii="宋体" w:hAnsi="宋体" w:eastAsia="宋体" w:cs="宋体"/>
          <w:b/>
          <w:bCs/>
          <w:kern w:val="0"/>
          <w:sz w:val="21"/>
          <w:szCs w:val="21"/>
          <w:highlight w:val="none"/>
        </w:rPr>
        <w:t>8.材料与设备</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8.1发包人供应材料与工程设备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发包人自行供应材料、工程设备的，应在签订合同时在专用合同条款的附件《发包人供应材料设备一览表》中明确材料、工程设备的品种、规格、型号、数量、单价、质量等级和送达地点。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8.2承包人采购材料与工程设备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8.3材料与工程设备的接收与拒收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8.3.1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发包人提供的材料和工程设备的规格、数量或质量不符合合同约定的，或因发包人原因导致交货日期延误或交货地点变更等情况的，按照第16.1款〔发包人违约〕约定办理。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8.3.2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8.4材料与工程设备的保管与使用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8.4.1发包人供应材料与工程设备的保管与使用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发包人供应的材料和工程设备使用前，由承包人负责检验，检验费用由发包人承担，不合格的不得使用。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8.4.2承包人采购材料与工程设备的保管与使用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发包人或监理人发现承包人使用不符合设计或有关标准要求的材料和工程设备时，有权要求承包人进行修复、拆除或重新采购，由此增加的费用和（或）延误的工期，由承包人承担。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8.5禁止使用不合格的材料和工程设备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8.5.1监理人有权拒绝承包人提供的不合格材料或工程设备，并要求承包人立即进行更换。监理人应在更换后再次进行检查和检验，由此增加的费用和（或）延误的工期由承包人承担。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8.5.2监理人发现承包人使用了不合格的材料和工程设备，承包人应按照监理人的指示立即改正，并禁止在工程中继续使用不合格的材料和工程设备。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8.5.3发包人提供的材料或工程设备不符合合同要求的，承包人有权拒绝，并可要求发包人更换，由此增加的费用和（或）延误的工期由发包人承担，并支付承包人合理的利润。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8.6样品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8.6.1样品的报送与封存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需要承包人报送样品的材料或工程设备，样品的种类、名称、规格、数量等要求均应在专用合同条款中约定。样品的报送程序如下：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（3）经发包人和监理人审批确认的样品应按约定的方法封样，封存的样品作为检验工程相关部分的标准之一。承包人在施工过程中不得使用与样品不符的材料或工程设备。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8.6.2样品的保管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经批准的样品应由监理人负责封存于现场，承包人应在现场为保存样品提供适当和固定的场所并保持适当和良好的存储环境条件。</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8.7材料与工程设备的替代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8.7.1出现下列情况需要使用替代材料和工程设备的，承包人应按照第8.7.2项约定的程序执行：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（1）基准日期后生效的法律规定禁止使用的；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（2）发包人要求使用替代品的；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（3）因其他原因必须使用替代品的。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8.7.2承包人应在使用替代材料和工程设备28天前书面通知监理人，并附下列文件：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（1）被替代的材料和工程设备的名称、数量、规格、型号、品牌、性能、价格及其他相关资料；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（2）替代品的名称、数量、规格、型号、品牌、性能、价格及其他相关资料；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（3）替代品与被替代产品之间的差异以及使用替代品可能对工程产生的影响；</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（4）替代品与被替代产品的价格差异；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（5）使用替代品的理由和原因说明；</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（6）监理人要求的其他文件。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监理人应在收到通知后14天内向承包人发出经发包人签认的书面指示；监理人逾期发出书面指示的，视为发包人和监理人同意使用替代品。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8.7.3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8.8施工设备和临时设施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8.8.1承包人提供的施工设备和临时设施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除专用合同条款另有约定外，承包人应自行承担修建临时设施的费用，需要临时占地的，应由发包人办理申请手续并承担相应费用。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8.8.2发包人提供的施工设备和临时设施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发包人提供的施工设备或临时设施在专用合同条款中约定。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8.8.3要求承包人增加或更换施工设备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承包人使用的施工设备不能满足合同进度计划和（或）质量要求时，监理人有权要求承包人增加或更换施工设备，承包人应及时增加或更换，由此增加的费用和（或）延误的工期由承包人承担。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8.9材料与设备专用要求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widowControl/>
        <w:spacing w:before="144" w:after="144" w:line="360" w:lineRule="exact"/>
        <w:jc w:val="left"/>
        <w:rPr>
          <w:rFonts w:hint="eastAsia" w:ascii="宋体" w:hAnsi="宋体" w:eastAsia="宋体" w:cs="宋体"/>
          <w:b/>
          <w:bCs/>
          <w:kern w:val="0"/>
          <w:sz w:val="21"/>
          <w:szCs w:val="21"/>
          <w:highlight w:val="none"/>
        </w:rPr>
      </w:pPr>
      <w:bookmarkStart w:id="209" w:name="zh09"/>
      <w:bookmarkEnd w:id="209"/>
      <w:r>
        <w:rPr>
          <w:rFonts w:hint="eastAsia" w:ascii="宋体" w:hAnsi="宋体" w:eastAsia="宋体" w:cs="宋体"/>
          <w:b/>
          <w:bCs/>
          <w:kern w:val="0"/>
          <w:sz w:val="21"/>
          <w:szCs w:val="21"/>
          <w:highlight w:val="none"/>
        </w:rPr>
        <w:t>9.试验与检验</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9.1试验设备与试验人员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9.1.1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9.1.2承包人应按专用合同条款的约定提供试验设备、取样装置、试验场所和试验条件，并向监理人提交相应进场计划表。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承包人配置的试验设备要符合相应试验规程的要求并经过具有资质的检测单位检测，且在正式使用该试验设备前，需要经过监理人与承包人共同校定。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9.1.3承包人应向监理人提交试验人员的名单及其岗位、资格等证明资料，试验人员必须能够熟练进行相应的检测试验，承包人对试验人员的试验程序和试验结果的正确性负责。</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9.2取样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试验属于自检性质的，承包人可以单独取样。试验属于监理人抽检性质的，可由监理人取样，也可由承包人的试验人员在监理人的监督下取样。</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9.3材料、工程设备和工程的试验和检验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9.4现场工艺试验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承包人应按合同约定或监理人指示进行现场工艺试验。对大型的现场工艺试验，监理人认为必要时，承包人应根据监理人提出的工艺试验要求，编制工艺试验措施计划，报送监理人审查。</w:t>
      </w:r>
    </w:p>
    <w:p>
      <w:pPr>
        <w:widowControl/>
        <w:spacing w:before="144" w:after="144" w:line="360" w:lineRule="exact"/>
        <w:jc w:val="left"/>
        <w:rPr>
          <w:rFonts w:hint="eastAsia" w:ascii="宋体" w:hAnsi="宋体" w:eastAsia="宋体" w:cs="宋体"/>
          <w:b/>
          <w:bCs/>
          <w:kern w:val="0"/>
          <w:sz w:val="21"/>
          <w:szCs w:val="21"/>
          <w:highlight w:val="none"/>
        </w:rPr>
      </w:pPr>
      <w:bookmarkStart w:id="210" w:name="zh10"/>
      <w:bookmarkEnd w:id="210"/>
      <w:r>
        <w:rPr>
          <w:rFonts w:hint="eastAsia" w:ascii="宋体" w:hAnsi="宋体" w:eastAsia="宋体" w:cs="宋体"/>
          <w:b/>
          <w:bCs/>
          <w:kern w:val="0"/>
          <w:sz w:val="21"/>
          <w:szCs w:val="21"/>
          <w:highlight w:val="none"/>
        </w:rPr>
        <w:t>10.变更</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10.1变更的范围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除专用合同条款另有约定外，合同履行过程中发生以下情形的，应按照本条约定进行变更：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（1）增加或减少合同中任何工作，或追加额外的工作；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（2）取消合同中任何工作，但转由他人实施的工作除外；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（3）改变合同中任何工作的质量标准或其他特性；</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（4）改变工程的基线、标高、位置和尺寸；</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（5）改变工程的时间安排或实施顺序。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10.2变更权</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涉及设计变更的，应由设计人提供变更后的图纸和说明。如变更超过原设计标准或批准的建设规模时，发包人应及时办理规划、设计变更等审批手续。</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10.3变更程序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10.3.1发包人提出变更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发包人提出变更的，应通过监理人向承包人发出变更指示，变更指示应说明计划变更的工程范围和变更的内容。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10.3.2监理人提出变更建议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10.3.3变更执行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10.4变更估价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10.4.1变更估价原则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除专用合同条款另有约定外，变更估价按照本款约定处理：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（1）已标价工程量清单或预算书有相同项目的，按照相同项目单价认定；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（2）已标价工程量清单或预算书中无相同项目，但有类似项目的，参照类似项目的单价认定；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10.4.2变更估价程序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因变更引起的价格调整应计入最近一期的进度款中支付。</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10.5承包人的合理化建议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承包人提出合理化建议的，应向监理人提交合理化建议说明，说明建议的内容和理由，以及实施该建议对合同价格和工期的影响。</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合理化建议降低了合同价格或者提高了工程经济效益的，发包人可对承包人给予奖励，奖励的方法和金额在专用合同条款中约定。</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10.6变更引起的工期调整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因变更引起工期变化的，合同当事人均可要求调整合同工期，由合同当事人按照第4.4款〔商定或确定〕并参考工程所在地的工期定额标准确定增减工期天数。</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10.7暂估价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暂估价专业分包工程、服务、材料和工程设备的明细由合同当事人在专用合同条款中约定。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10.7.1依法必须招标的暂估价项目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对于依法必须招标的暂估价项目，采取以下第1种方式确定。合同当事人也可以在专用合同条款中选择其他招标方式。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第1种方式：对于依法必须招标的暂估价项目，由承包人招标，对该暂估价项目的确认和批准按照以下约定执行：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10.7.2不属于依法必须招标的暂估价项目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除专用合同条款另有约定外，对于不属于依法必须招标的暂估价项目，采取以下第1种方式确定：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第1种方式：对于不属于依法必须招标的暂估价项目，按本项约定确认和批准：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（2）发包人认为承包人确定的供应商、分包人无法满足工程质量或合同要求的，发包人可以要求承包人重新确定暂估价项目的供应商、分包人；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（3）承包人应当在签订暂估价合同后7天内，将暂估价合同副本报送发包人留存。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第2种方式：承包人按照第10.7.1项〔依法必须招标的暂估价项目〕约定的第1种方式确定暂估价项目。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第3种方式：承包人直接实施的暂估价项目。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承包人具备实施暂估价项目的资格和条件的，经发包人和承包人协商一致后，可由承包人自行实施暂估价项目，合同当事人可以在专用合同条款约定具体事项。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10.7.3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10.8暂列金额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暂列金额应按照发包人的要求使用，发包人的要求应通过监理人发出。合同当事人可以在专用合同条款中协商确定有关事项。</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10.9计日工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采用计日工计价的任何一项工作，承包人应在该项工作实施过程中，每天提交以下报表和有关凭证报送监理人审查：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（1）工作名称、内容和数量；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（2）投入该工作的所有人员的姓名、专业、工种、级别和耗用工时；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（3）投入该工作的材料类别和数量；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（4）投入该工作的施工设备型号、台数和耗用台时；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（5）其他有关资料和凭证。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计日工由承包人汇总后，列入最近一期进度付款申请单，由监理人审查并经发包人批准后列入进度付款。</w:t>
      </w:r>
    </w:p>
    <w:p>
      <w:pPr>
        <w:widowControl/>
        <w:spacing w:before="144" w:after="144" w:line="360" w:lineRule="exact"/>
        <w:jc w:val="left"/>
        <w:rPr>
          <w:rFonts w:hint="eastAsia" w:ascii="宋体" w:hAnsi="宋体" w:eastAsia="宋体" w:cs="宋体"/>
          <w:b/>
          <w:bCs/>
          <w:kern w:val="0"/>
          <w:sz w:val="21"/>
          <w:szCs w:val="21"/>
          <w:highlight w:val="none"/>
        </w:rPr>
      </w:pPr>
      <w:bookmarkStart w:id="211" w:name="zh11"/>
      <w:bookmarkEnd w:id="211"/>
      <w:r>
        <w:rPr>
          <w:rFonts w:hint="eastAsia" w:ascii="宋体" w:hAnsi="宋体" w:eastAsia="宋体" w:cs="宋体"/>
          <w:b/>
          <w:bCs/>
          <w:kern w:val="0"/>
          <w:sz w:val="21"/>
          <w:szCs w:val="21"/>
          <w:highlight w:val="none"/>
        </w:rPr>
        <w:t>11.价格调整</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11.1市场价格波动引起的调整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除专用合同条款另有约定外，市场价格波动超过合同当事人约定的范围，合同价格应当调整。合同当事人可以在专用合同条款中约定选择以下一种方式对合同价格进行调整：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第1种方式：采用价格指数进行价格调整。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（1）价格调整公式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因人工、材料和设备等价格波动影响合同价格时，根据专用合同条款中约定的数据，按以下公式计算差额并调整合同价格：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公式中：ΔP——需调整的价格差额；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A——定值权重（即不调部分的权重）；</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——各可调因子的变值权重（即可调部分的权重），为各可调因子在签约合同价中所占的比例；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——各可调因子的现行价格指数，指约定的付款证书相关周期最后一天的前42天的各可调因子的价格指数；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——各可调因子的基本价格指数，指基准日期的各可调因子的价格指数。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（2）暂时确定调整差额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在计算调整差额时无现行价格指数的，合同当事人同意暂用前次价格指数计算。实际价格指数有调整的，合同当事人进行相应调整。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（3）权重的调整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因变更导致合同约定的权重不合理时，按照第4.4款〔商定或确定〕执行。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（4）因承包人原因工期延误后的价格调整。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因承包人原因未按期竣工的，对合同约定的竣工日期后继续施工的工程，在使用价格调整公式时，应采用计划竣工日期与实际竣工日期的两个价格指数中较低的一个作为现行价格指数。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第2种方式：采用造价信息进行价格调整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（2）材料、工程设备价格变化的价款调整按照发包人提供的基准价格，按以下风险范围规定执行:。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③承包人在已标价工程量清单或预算书中载明材料单价等于基准价格的：除专用合同条款另有约定外，合同履行期间材料单价涨跌幅以基准价格为基础超过±5%时，其超过部分据实调整。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（3）施工机械台班单价或施工机械使用费发生变化超过省级或行业建设主管部门或其授权的工程造价管理机构规定的范围时，按规定调整合同价格。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第3种方式：专用合同条款约定的其他方式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11.2法律变化引起的调整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因法律变化引起的合同价格和工期调整，合同当事人无法达成一致的，由总监理工程师按第4.4款〔商定或确定〕的约定处理。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因承包人原因造成工期延误，在工期延误期间出现法律变化的，由此增加的费用和（或）延误的工期由承包人承担。</w:t>
      </w:r>
    </w:p>
    <w:p>
      <w:pPr>
        <w:widowControl/>
        <w:spacing w:before="144" w:after="144" w:line="360" w:lineRule="exact"/>
        <w:jc w:val="left"/>
        <w:rPr>
          <w:rFonts w:hint="eastAsia" w:ascii="宋体" w:hAnsi="宋体" w:eastAsia="宋体" w:cs="宋体"/>
          <w:b/>
          <w:bCs/>
          <w:kern w:val="0"/>
          <w:sz w:val="21"/>
          <w:szCs w:val="21"/>
          <w:highlight w:val="none"/>
        </w:rPr>
      </w:pPr>
      <w:bookmarkStart w:id="212" w:name="zh12"/>
      <w:bookmarkEnd w:id="212"/>
      <w:r>
        <w:rPr>
          <w:rFonts w:hint="eastAsia" w:ascii="宋体" w:hAnsi="宋体" w:eastAsia="宋体" w:cs="宋体"/>
          <w:b/>
          <w:bCs/>
          <w:kern w:val="0"/>
          <w:sz w:val="21"/>
          <w:szCs w:val="21"/>
          <w:highlight w:val="none"/>
        </w:rPr>
        <w:t>12.合同价格、计量与支付</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12.1合同价格形式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发包人和承包人应在合同协议书中选择下列一种合同价格形式：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1、单价合同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2、总价合同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3、其它价格形式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合同当事人可在专用合同条款中约定其他合同价格形式。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12.2预付款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12.2.1预付款的支付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预付款的支付按照专用合同条款约定执行，签订合同后，7个工作日内支付。预付款应当用于材料、工程设备、施工设备的采购及修建临时工程、组织施工队伍进场等。</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除专用合同条款另有约定外，预付款在进度付款中同比例扣回。在颁发工程接收证书前，提前解除合同的，尚未扣完的预付款应与合同价款一并结算。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12.2.2预付款担保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发包人在工程款中逐期扣回预付款后，预付款担保额度应相应减少，但剩余的预付款担保金额不得低于未被扣回的预付款金额。</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12.3计量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12.3.1计量原则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工程量计量按照合同约定的工程量计算规则、图纸及变更指示等进行计量。工程量计算规则应以相关的国家标准、行业标准等为依据，由合同当事人在专用合同条款中约定。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12.3.2计量周期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除专用合同条款另有约定外，工程量的计量按月进行。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12.3.3单价合同的计量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除专用合同条款另有约定外，单价合同的计量按照本项约定执行：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（1）承包人应于每月25日向监理人报送上月20日至当月19日已完成的工程量报告，并附具进度付款申请单、已完成工程量报表和有关资料。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（3）监理人未在收到承包人提交的工程量报表后的7天内完成审核的，承包人报送的工程量报告中的工程量视为承包人实际完成的工程量，据此计算工程价款。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12.3.4总价合同的计量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除专用合同条款另有约定外，按月计量支付的总价合同，按照本项约定执行：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（1）承包人应于每月25日向监理人报送上月20日至当月19日已完成的工程量报告，并附具进度付款申请单、已完成工程量报表和有关资料。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（3）监理人未在收到承包人提交的工程量报表后的7天内完成复核的，承包人提交的工程量报告中的工程量视为承包人实际完成的工程量。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12.3.5总价合同采用支付分解表计量支付的，可以按照第12.3.4项〔总价合同的计量〕约定进行计量，但合同价款按照支付分解表进行支付。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12.3.6其他价格形式合同的计量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合同当事人可在专用合同条款中约定其他价格形式合同的计量方式和程序。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12.4工程进度款支付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12.4.1付款周期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除专用合同条款另有约定外，付款周期应按照第12.3.2项〔计量周期〕的约定与计量周期保持一致。</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12.4.2进度付款申请单的编制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除专用合同条款另有约定外，进度付款申请单应包括下列内容：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（1）截至本次付款周期已完成工作对应的金额；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（2）根据第10条〔变更〕应增加和扣减的变更金额；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（3）根据第12.2款〔预付款〕约定应支付的预付款和扣减的返还预付款；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（4）根据第15.3款〔质量保证金〕约定应扣减的质量保证金；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（5）根据第19条〔索赔〕应增加和扣减的索赔金额；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（6）对已签发的进度款支付证书中出现错误的修正，应在本次进度付款中支付或扣除的金额；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（7）根据合同约定应增加和扣减的其他金额。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12.4.3进度付款申请单的提交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（1）单价合同进度付款申请单的提交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（2）总价合同进度付款申请单的提交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总价合同按月计量支付的，承包人按照第12.3.4项〔总价合同的计量〕约定的时间按月向监理人提交进度付款申请单，并附上已完成工程量报表和有关资料。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总价合同按支付分解表支付的，承包人应按照第12.4.6项〔支付分解表〕及第12.4.2项〔进度付款申请单的编制〕的约定向监理人提交进度付款申请单。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（3）其他价格形式合同的进度付款申请单的提交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合同当事人可在专用合同条款中约定其他价格形式合同的进度付款申请单的编制和提交程序。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12.4.4进度款审核和支付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（3）发包人签发进度款支付证书或临时进度款支付证书，不表明发包人已同意、批准或接受了承包人完成的相应部分的工作。</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12.4.5进度付款的修正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在对已签发的进度款支付证书进行阶段汇总和复核中发现错误、遗漏或重复的，发包人和承包人均有权提出修正申请。经发包人和承包人同意的修正，应在下期进度付款中支付或扣除。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12.4.6支付分解表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1、支付分解表的编制要求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（1）支付分解表中所列的每期付款金额，应为第12.4.2项〔进度付款申请单的编制〕第（1）目的估算金额；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（2）实际进度与施工进度计划不一致的，合同当事人可按照第4.4款〔商定或确定〕修改支付分解表；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（3）不采用支付分解表的，承包人应向发包人和监理人提交按季度编制的支付估算分解表，用于支付参考。</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2、总价合同支付分解表的编制与审批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（2）监理人应在收到支付分解表后7天内完成审核并报送发包人。发包人应在收到经监理人审核的支付分解表后7天内完成审批，经发包人批准的支付分解表为有约束力的支付分解表。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（3）发包人逾期未完成支付分解表审批的，也未及时要求承包人进行修正和提供补充资料的，则承包人提交的支付分解表视为已经获得发包人批准。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3、单价合同的总价项目支付分解表的编制与审批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12.5支付账户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发包人应将合同价款支付至合同协议书中约定的承包人账户。</w:t>
      </w:r>
    </w:p>
    <w:p>
      <w:pPr>
        <w:widowControl/>
        <w:spacing w:before="144" w:after="144" w:line="360" w:lineRule="exact"/>
        <w:jc w:val="left"/>
        <w:rPr>
          <w:rFonts w:hint="eastAsia" w:ascii="宋体" w:hAnsi="宋体" w:eastAsia="宋体" w:cs="宋体"/>
          <w:b/>
          <w:bCs/>
          <w:kern w:val="0"/>
          <w:sz w:val="21"/>
          <w:szCs w:val="21"/>
          <w:highlight w:val="none"/>
        </w:rPr>
      </w:pPr>
      <w:bookmarkStart w:id="213" w:name="zh13"/>
      <w:bookmarkEnd w:id="213"/>
      <w:r>
        <w:rPr>
          <w:rFonts w:hint="eastAsia" w:ascii="宋体" w:hAnsi="宋体" w:eastAsia="宋体" w:cs="宋体"/>
          <w:b/>
          <w:bCs/>
          <w:kern w:val="0"/>
          <w:sz w:val="21"/>
          <w:szCs w:val="21"/>
          <w:highlight w:val="none"/>
        </w:rPr>
        <w:t>13.验收和工程试车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13.1分部分项工程验收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13.1.1分部分项工程质量应符合国家有关工程施工验收规范、标准及合同约定，承包人应按照施工组织设计的要求完成分部分项工程施工。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13.1.2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分部分项工程的验收资料应当作为竣工资料的组成部分。</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13.2竣工验收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13.2.1竣工验收条件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工程具备以下条件的，承包人可以申请竣工验收：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（1）除发包人同意的甩项工作和缺陷修补工作外，合同范围内的全部工程以及有关工作，包括合同要求的试验、试运行以及检验均已完成，并符合合同要求；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（2）已按合同约定编制了甩项工作和缺陷修补工作清单以及相应的施工计划；</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（3）已按合同约定的内容和份数备齐竣工资料。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13.2.2竣工验收程序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除专用合同条款另有约定外，承包人申请竣工验收的，应当按照以下程序进行：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（3）竣工验收合格的，发包人应在验收合格后14天内向承包人签发工程接收证书。发包人无正当理由逾期不颁发工程接收证书的，自验收合格后第15天起视为已颁发工程接收证书。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13.2.3竣工日期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13.2.4拒绝接收全部或部分工程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13.2.5移交、接收全部与部分工程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除专用合同条款另有约定外，合同当事人应当在颁发工程接收证书后7天内完成工程的移交。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发包人无正当理由不接收工程的，发包人自应当接收工程之日起，承担工程照管、成品保护、保管等与工程有关的各项费用，合同当事人可以在专用合同条款中另行约定发包人逾期接收工程的违约责任。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承包人无正当理由不移交工程的，承包人应承担工程照管、成品保护、保管等与工程有关的各项费用，合同当事人可以在专用合同条款中另行约定承包人无正当理由不移交工程的违约责任。</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13.3工程试车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13.3.1试车程序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工程需要试车的，除专用合同条款另有约定外，试车内容应与承包人承包范围相一致，试车费用由承包人承担。工程试车应按如下程序进行：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13.3.2试车中的责任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13.3.3投料试车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如需进行投料试车的，发包人应在工程竣工验收后组织投料试车。发包人要求在工程竣工验收前进行或需要承包人配合时，应征得承包人同意，并在专用合同条款中约定有关事项。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13.4提前交付单位工程的验收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13.4.1发包人需要在工程竣工前使用单位工程的，或承包人提出提前交付已经竣工的单位工程且经发包人同意的，可进行单位工程验收，验收的程序按照第13.2款〔竣工验收〕的约定进行。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13.4.2发包人要求在工程竣工前交付单位工程，由此导致承包人费用增加和（或）工期延误的，由发包人承担由此增加的费用和（或）延误的工期，并支付承包人合理的利润。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13.5施工期运行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13.5.1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13.5.2在施工期运行中发现工程或工程设备损坏或存在缺陷的，由承包人按第15.2款〔缺陷责任期〕约定进行修复。</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13.6竣工退场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13.6.1竣工退场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颁发工程接收证书后，承包人应按以下要求对施工现场进行清理：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（1）施工现场内残留的垃圾已全部清除出场；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（2）临时工程已拆除，场地已进行清理、平整或复原；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（3）按合同约定应撤离的人员、承包人施工设备和剩余的材料，包括废弃的施工设备和材料，已按计划撤离施工现场；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（4）施工现场周边及其附近道路、河道的施工堆积物，已全部清理；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（5）施工现场其他场地清理工作已全部完成。</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13.6.2地表还原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widowControl/>
        <w:spacing w:before="144" w:after="144" w:line="360" w:lineRule="exact"/>
        <w:jc w:val="left"/>
        <w:rPr>
          <w:rFonts w:hint="eastAsia" w:ascii="宋体" w:hAnsi="宋体" w:eastAsia="宋体" w:cs="宋体"/>
          <w:b/>
          <w:bCs/>
          <w:kern w:val="0"/>
          <w:sz w:val="21"/>
          <w:szCs w:val="21"/>
          <w:highlight w:val="none"/>
        </w:rPr>
      </w:pPr>
      <w:bookmarkStart w:id="214" w:name="zh14"/>
      <w:bookmarkEnd w:id="214"/>
      <w:r>
        <w:rPr>
          <w:rFonts w:hint="eastAsia" w:ascii="宋体" w:hAnsi="宋体" w:eastAsia="宋体" w:cs="宋体"/>
          <w:b/>
          <w:bCs/>
          <w:kern w:val="0"/>
          <w:sz w:val="21"/>
          <w:szCs w:val="21"/>
          <w:highlight w:val="none"/>
        </w:rPr>
        <w:t>14.竣工结算</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14.1竣工结算申请</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除专用合同条款另有约定外，竣工结算申请单应包括以下内容：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（1）竣工结算合同价格；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（2）发包人已支付承包人的款项；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（3）应扣留的质量保证金；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（4）发包人应支付承包人的合同价款。</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14.2竣工结算审核</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除专用合同条款另有约定外，发包人应在签发竣工付款证书后的14天内，完成对承包人的竣工付款。发包人逾期支付的，按照中国人民银行发布的同期同类贷款基准利率支付违约金；逾期支付超过56天的，按照中国人民银行发布的同期同类贷款基准利率的两倍支付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14.3甩项竣工协议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要求甩项竣工的，合同当事人应签订甩项竣工协议。在甩项竣工协议中应明确，合同当事人按照第14.1款〔竣工结算申请〕及14.2款〔竣工结算审核〕的约定，对已完合格工程进行结算，并支付相应合同价款。</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14.4最终结清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14.4.1最终结清申请单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（1）除专用合同条款另有约定外，承包人应在缺陷责任期终止证书颁发后7天内，按专用合同条款约定的份数向发包人提交最终结清申请单，并提供相关证明材料。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除专用合同条款另有约定外，最终结清申请单应列明质量保证金、应扣除的质量保证金、缺陷责任期内发生的增减费用。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（2）发包人对最终结清申请单内容有异议的，有权要求承包人进行修正和提供补充资料，承包人应向发包人提交修正后的最终结清申请单。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14.4.2最终结清证书和支付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（3）承包人对发包人颁发的最终结清证书有异议的，按第20条〔争议解决〕的约定办理。</w:t>
      </w:r>
    </w:p>
    <w:p>
      <w:pPr>
        <w:widowControl/>
        <w:spacing w:before="144" w:after="144" w:line="360" w:lineRule="exact"/>
        <w:jc w:val="left"/>
        <w:rPr>
          <w:rFonts w:hint="eastAsia" w:ascii="宋体" w:hAnsi="宋体" w:eastAsia="宋体" w:cs="宋体"/>
          <w:b/>
          <w:bCs/>
          <w:kern w:val="0"/>
          <w:sz w:val="21"/>
          <w:szCs w:val="21"/>
          <w:highlight w:val="none"/>
        </w:rPr>
      </w:pPr>
      <w:bookmarkStart w:id="215" w:name="zh15"/>
      <w:bookmarkEnd w:id="215"/>
      <w:r>
        <w:rPr>
          <w:rFonts w:hint="eastAsia" w:ascii="宋体" w:hAnsi="宋体" w:eastAsia="宋体" w:cs="宋体"/>
          <w:b/>
          <w:bCs/>
          <w:kern w:val="0"/>
          <w:sz w:val="21"/>
          <w:szCs w:val="21"/>
          <w:highlight w:val="none"/>
        </w:rPr>
        <w:t>15.缺陷责任与保修</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15.1工程保修的原则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在工程移交发包人后，因承包人原因产生的质量缺陷，承包人应承担质量缺陷责任和保修义务。缺陷责任期届满，承包人仍应按合同约定的工程各部位保修年限承担保修义务。</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15.2缺陷责任期</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15.2.1缺陷责任期自实际竣工日期起计算，合同当事人应在专用合同条款约定缺陷责任期的具体期限，但该期限最长不超过24个月。（本项目缺陷责任期为12个月）</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15.2.2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24个月。（本项目缺陷责任期为12个月）</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15.2.3任何一项缺陷或损坏修复后，经检查证明其影响了工程或工程设备的使用性能，承包人应重新进行合同约定的试验和试运行，试验和试运行的全部费用应由责任方承担。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15.2.4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15.3质量保证金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经合同当事人协商一致扣留质量保证金的，应在专用合同条款中予以明确。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15.3.1承包人提供质量保证金的方式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承包人提供质量保证金有以下三种方式：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（1）质量保证金保函；</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（2）相应比例的工程款；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（3）双方约定的其他方式。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除专用合同条款另有约定外，质量保证金原则上采用上述第（1）种方式。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15.3.2质量保证金的扣留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质量保证金的扣留有以下三种方式：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（1）在支付工程进度款时逐次扣留，在此情形下，质量保证金的计算基数不包括预付款的支付、扣回以及价格调整的金额；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（2）工程竣工结算时一次性扣留质量保证金；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（3）双方约定的其他扣留方式。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除专用合同条款另有约定外，质量保证金的扣留原则上采用上述第（1）种方式。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发包人累计扣留的质量保证金不得超过结算合同价格的5%，如承包人在发包人签发竣工付款证书后28天内提交质量保证金保函，发包人应同时退还扣留的作为质量保证金的工程价款。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15.3.3质量保证金的退还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发包人应按14.4款〔最终结清〕的约定退还质量保证金。</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15.4保修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15.4.1保修责任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发包人未经竣工验收擅自使用工程的，保修期自转移占有之日起算。</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15.4.2修复费用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保修期内，修复的费用按照以下约定处理：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（1）保修期内，因承包人原因造成工程的缺陷、损坏，承包人应负责修复，并承担修复的费用以及因工程的缺陷、损坏造成的人身伤害和财产损失；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（2）保修期内，因发包人使用不当造成工程的缺陷、损坏，可以委托承包人修复，但发包人应承担修复的费用，并支付承包人合理利润；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（3）因其他原因造成工程的缺陷、损坏，可以委托承包人修复，发包人应承担修复的费用，并支付承包人合理的利润，因工程的缺陷、损坏造成的人身伤害和财产损失由责任方承担。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15.4.3修复通知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15.4.4未能修复</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15.4.5承包人出入权</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widowControl/>
        <w:spacing w:before="144" w:after="144" w:line="360" w:lineRule="exact"/>
        <w:jc w:val="left"/>
        <w:rPr>
          <w:rFonts w:hint="eastAsia" w:ascii="宋体" w:hAnsi="宋体" w:eastAsia="宋体" w:cs="宋体"/>
          <w:b/>
          <w:bCs/>
          <w:kern w:val="0"/>
          <w:sz w:val="21"/>
          <w:szCs w:val="21"/>
          <w:highlight w:val="none"/>
        </w:rPr>
      </w:pPr>
      <w:bookmarkStart w:id="216" w:name="zh16"/>
      <w:bookmarkEnd w:id="216"/>
      <w:r>
        <w:rPr>
          <w:rFonts w:hint="eastAsia" w:ascii="宋体" w:hAnsi="宋体" w:eastAsia="宋体" w:cs="宋体"/>
          <w:b/>
          <w:bCs/>
          <w:kern w:val="0"/>
          <w:sz w:val="21"/>
          <w:szCs w:val="21"/>
          <w:highlight w:val="none"/>
        </w:rPr>
        <w:t>16.违约</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16.1发包人违约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16.1.1发包人违约的情形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在合同履行过程中发生的下列情形，属于发包人违约：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（1）因发包人原因未能在计划开工日期前7天内下达开工通知的；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（2）因发包人原因未能按合同约定支付合同价款的；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（3）发包人违反第10.1款〔变更的范围〕第（2）项约定，自行实施被取消的工作或转由他人实施的；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（4）发包人提供的材料、工程设备的规格、数量或质量不符合合同约定，或因发包人原因导致交货日期延误或交货地点变更等情况的；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（5）因发包人违反合同约定造成暂停施工的；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（6）发包人无正当理由没有在约定期限内发出复工指示，导致承包人无法复工的；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（7）发包人明确表示或者以其行为表明不履行合同主要义务的；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（8）发包人未能按照合同约定履行其他义务的。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16.1.2发包人违约的责任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发包人应承担因其违约给承包人增加的费用和（或）延误的工期，并支付承包人合理的利润。此外，合同当事人可在专用合同条款中另行约定发包人违约责任的承担方式和计算方法。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16.1.3因发包人违约解除合同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16.1.4因发包人违约解除合同后的付款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承包人按照本款约定解除合同的，发包人应在解除合同后28天内支付下列款项，并解除履约担保：</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（1）合同解除前所完成工作的价款；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（2）承包人为工程施工订购并已付款的材料、工程设备和其他物品的价款；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（3）承包人撤离施工现场以及遣散承包人人员的款项；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（4）按照合同约定在合同解除前应支付的违约金；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（5）按照合同约定应当支付给承包人的其他款项；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（6）按照合同约定应退还的质量保证金；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（7）因解除合同给承包人造成的损失。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合同当事人未能就解除合同后的结清达成一致的，按照第20条〔争议解决〕的约定处理。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承包人应妥善做好已完工程和与工程有关的已购材料、工程设备的保护和移交工作，并将施工设备和人员撤出施工现场，发包人应为承包人撤出提供必要条件。</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16.2承包人违约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16.2.1承包人违约的情形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在合同履行过程中发生的下列情形，属于承包人违约：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（1）承包人违反合同约定进行转包或违法分包的；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（2）承包人违反合同约定采购和使用不合格的材料和工程设备的；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（3）因承包人原因导致工程质量不符合合同要求的；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（4）承包人违反第8.9款〔材料与设备专用要求〕的约定，未经批准，私自将已按照合同约定进入施工现场的材料或设备撤离施工现场的；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（5）承包人未能按施工进度计划及时完成合同约定的工作，造成工期延误的；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（6）承包人在缺陷责任期及保修期内，未能在合理期限对工程缺陷进行修复，或拒绝按发包人要求进行修复的；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（7）承包人明确表示或者以其行为表明不履行合同主要义务的；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（8）承包人未能按照合同约定履行其他义务的。</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承包人发生除本项第（7）目约定以外的其他违约情况时，监理人可向承包人发出整改通知，要求其在指定的期限内改正。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16.2.2承包人违约的责任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承包人应承担因其违约行为而增加的费用和（或）延误的工期。此外，合同当事人可在专用合同条款中另行约定承包人违约责任的承担方式和计算方法。</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16.2.3因承包人违约解除合同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16.2.4因承包人违约解除合同后的处理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因承包人原因导致合同解除的，则合同当事人应在合同解除后28天内完成估价、付款和清算，并按以下约定执行：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（1）合同解除后，按第4.4款〔商定或确定〕商定或确定承包人实际完成工作对应的合同价款，以及承包人已提供的材料、工程设备、施工设备和临时工程等的价值；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（2）合同解除后，承包人应支付的违约金；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（3）合同解除后，因解除合同给发包人造成的损失；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（4）合同解除后，承包人应按照发包人要求和监理人的指示完成现场的清理和撤离；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（5）发包人和承包人应在合同解除后进行清算，出具最终结清付款证书，结清全部款项。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因承包人违约解除合同的，发包人有权暂停对承包人的付款，查清各项付款和已扣款项。发包人和承包人未能就合同解除后的清算和款项支付达成一致的，按照第20条〔争议解决〕的约定处理。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16.2.5采购合同权益转让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16.3第三人造成的违约</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在履行合同过程中，一方当事人因第三人的原因造成违约的，应当向对方当事人承担违约责任。一方当事人和第三人之间的纠纷，依照法律规定或者按照约定解决。</w:t>
      </w:r>
    </w:p>
    <w:p>
      <w:pPr>
        <w:widowControl/>
        <w:spacing w:before="144" w:after="144" w:line="360" w:lineRule="exact"/>
        <w:jc w:val="left"/>
        <w:rPr>
          <w:rFonts w:hint="eastAsia" w:ascii="宋体" w:hAnsi="宋体" w:eastAsia="宋体" w:cs="宋体"/>
          <w:b/>
          <w:bCs/>
          <w:kern w:val="0"/>
          <w:sz w:val="21"/>
          <w:szCs w:val="21"/>
          <w:highlight w:val="none"/>
        </w:rPr>
      </w:pPr>
      <w:bookmarkStart w:id="217" w:name="zh17"/>
      <w:bookmarkEnd w:id="217"/>
      <w:r>
        <w:rPr>
          <w:rFonts w:hint="eastAsia" w:ascii="宋体" w:hAnsi="宋体" w:eastAsia="宋体" w:cs="宋体"/>
          <w:b/>
          <w:bCs/>
          <w:kern w:val="0"/>
          <w:sz w:val="21"/>
          <w:szCs w:val="21"/>
          <w:highlight w:val="none"/>
        </w:rPr>
        <w:t>17.不可抗力</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17.1不可抗力的确认</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17.2不可抗力的通知</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合同一方当事人遇到不可抗力事件，使其履行合同义务受到阻碍时，应立即通知合同另一方当事人和监理人，书面说明不可抗力和受阻碍的详细情况，并提供必要的证明。</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17.3不可抗力后果的承担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17.3.1不可抗力引起的后果及造成的损失由合同当事人按照法律规定及合同约定各自承担。不可抗力发生前已完成的工程应当按照合同约定进行计量支付。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17.3.2不可抗力导致的人员伤亡、财产损失、费用增加和（或）工期延误等后果，由合同当事人按以下原则承担：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（1）永久工程、已运至施工现场的材料和工程设备的损坏，以及因工程损坏造成的第三人人员伤亡和财产损失由发包人承担；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（2）承包人施工设备的损坏由承包人承担；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（3）发包人和承包人承担各自人员伤亡和财产的损失；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（5）因不可抗力引起或将引起工期延误，发包人要求赶工的，由此增加的赶工费用由发包人承担；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（6）承包人在停工期间按照发包人要求照管、清理和修复工程的费用由发包人承担。</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不可抗力发生后，合同当事人均应采取措施尽量避免和减少损失的扩大，任何一方当事人没有采取有效措施导致损失扩大的，应对扩大的损失承担责任。</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因合同一方迟延履行合同义务，在迟延履行期间遭遇不可抗力的，不免除其违约责任。</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17.4因不可抗力解除合同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因不可抗力导致合同无法履行连续超过84天或累计超过140天的，发包人和承包人均有权解除合同。合同解除后，由双方当事人按照第4.4款〔商定或确定〕商定或确定发包人应支付的款项，该款项包括：</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（1）合同解除前承包人已完成工作的价款；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（2）承包人为工程订购的并已交付给承包人，或承包人有责任接受交付的材料、工程设备和其他物品的价款；</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（3）发包人要求承包人退货或解除订货合同而产生的费用，或因不能退货或解除合同而产生的损失；</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（4）承包人撤离施工现场以及遣散承包人人员的费用；</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（5）按照合同约定在合同解除前应支付给承包人的其他款项；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（6）扣减承包人按照合同约定应向发包人支付的款项；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（7）双方商定或确定的其他款项。</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除专用合同条款另有约定外，合同解除后，发包人应在商定或确定上述款项后28天内完成上述款项的支付。</w:t>
      </w:r>
    </w:p>
    <w:p>
      <w:pPr>
        <w:widowControl/>
        <w:spacing w:before="144" w:after="144" w:line="360" w:lineRule="exact"/>
        <w:jc w:val="left"/>
        <w:rPr>
          <w:rFonts w:hint="eastAsia" w:ascii="宋体" w:hAnsi="宋体" w:eastAsia="宋体" w:cs="宋体"/>
          <w:b/>
          <w:bCs/>
          <w:kern w:val="0"/>
          <w:sz w:val="21"/>
          <w:szCs w:val="21"/>
          <w:highlight w:val="none"/>
        </w:rPr>
      </w:pPr>
      <w:bookmarkStart w:id="218" w:name="zh18"/>
      <w:bookmarkEnd w:id="218"/>
      <w:r>
        <w:rPr>
          <w:rFonts w:hint="eastAsia" w:ascii="宋体" w:hAnsi="宋体" w:eastAsia="宋体" w:cs="宋体"/>
          <w:b/>
          <w:bCs/>
          <w:kern w:val="0"/>
          <w:sz w:val="21"/>
          <w:szCs w:val="21"/>
          <w:highlight w:val="none"/>
        </w:rPr>
        <w:t>18.保险</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18.1工程保险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除专用合同条款另有约定外，发包人应投保建筑工程一切险或安装工程一切险；发包人委托承包人投保的，因投保产生的保险费和其他相关费用由发包人承担。</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18.2工伤保险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18.2.1发包人应依照法律规定参加工伤保险，并为在施工现场的全部员工办理工伤保险，缴纳工伤保险费，并要求监理人及由发包人为履行合同聘请的第三方依法参加工伤保险。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18.2.2承包人应依照法律规定参加工伤保险，并为其履行合同的全部员工办理工伤保险，缴纳工伤保险费，并要求分包人及由承包人为履行合同聘请的第三方依法参加工伤保险。</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18.3其他保险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发包人和承包人可以为其施工现场的全部人员办理意外伤害保险并支付保险费，包括其员工及为履行合同聘请的第三方的人员，具体事项由合同当事人在专用合同条款约定。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除专用合同条款另有约定外，承包人应为其施工设备等办理财产保险。</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18.4持续保险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合同当事人应与保险人保持联系，使保险人能够随时了解工程实施中的变动，并确保按保险合同条款要求持续保险。</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18.5保险凭证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合同当事人应及时向另一方当事人提交其已投保的各项保险的凭证和保险单复印件。</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18.6未按约定投保的补救</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18.6.1发包人未按合同约定办理保险，或未能使保险持续有效的，则承包人可代为办理，所需费用由发包人承担。发包人未按合同约定办理保险，导致未能得到足额赔偿的，由发包人负责补足。</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18.6.2承包人未按合同约定办理保险，或未能使保险持续有效的，则发包人可代为办理，所需费用由承包人承担。承包人未按合同约定办理保险，导致未能得到足额赔偿的，由承包人负责补足。</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18.7通知义务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保险事故发生时，投保人应按照保险合同规定的条件和期限及时向保险人报告。发包人和承包人应当在知道保险事故发生后及时通知对方。</w:t>
      </w:r>
    </w:p>
    <w:p>
      <w:pPr>
        <w:widowControl/>
        <w:spacing w:before="144" w:after="144" w:line="360" w:lineRule="exact"/>
        <w:jc w:val="left"/>
        <w:rPr>
          <w:rFonts w:hint="eastAsia" w:ascii="宋体" w:hAnsi="宋体" w:eastAsia="宋体" w:cs="宋体"/>
          <w:b/>
          <w:bCs/>
          <w:kern w:val="0"/>
          <w:sz w:val="21"/>
          <w:szCs w:val="21"/>
          <w:highlight w:val="none"/>
        </w:rPr>
      </w:pPr>
      <w:bookmarkStart w:id="219" w:name="zh19"/>
      <w:bookmarkEnd w:id="219"/>
      <w:r>
        <w:rPr>
          <w:rFonts w:hint="eastAsia" w:ascii="宋体" w:hAnsi="宋体" w:eastAsia="宋体" w:cs="宋体"/>
          <w:b/>
          <w:bCs/>
          <w:kern w:val="0"/>
          <w:sz w:val="21"/>
          <w:szCs w:val="21"/>
          <w:highlight w:val="none"/>
        </w:rPr>
        <w:t>19.索赔</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19.1承包人的索赔</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根据合同约定，承包人认为有权得到追加付款和（或）延长工期的，应按以下程序向发包人提出索赔：</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（2）承包人应在发出索赔意向通知书后28天内，向监理人正式递交索赔报告；索赔报告应详细说明索赔理由以及要求追加的付款金额和（或）延长的工期，并附必要的记录和证明材料；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（3）索赔事件具有持续影响的，承包人应按合理时间间隔继续递交延续索赔通知，说明持续影响的实际情况和记录，列出累计的追加付款金额和（或）工期延长天数；</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（4）在索赔事件影响结束后28天内，承包人应向监理人递交最终索赔报告，说明最终要求索赔的追加付款金额和（或）延长的工期，并附必要的记录和证明材料。</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19.2对承包人索赔的处理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对承包人索赔的处理如下：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（1）监理人应在收到索赔报告后14天内完成审查并报送发包人。监理人对索赔报告存在异议的，有权要求承包人提交全部原始记录副本；</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（2）发包人应在监理人收到索赔报告或有关索赔的进一步证明材料后的28天内，由监理人向承包人出具经发包人签认的索赔处理结果。发包人逾期答复的，则视为认可承包人的索赔要求；</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（3）承包人接受索赔处理结果的，索赔款项在当期进度款中进行支付；承包人不接受索赔处理结果的，按照第20条〔争议解决〕约定处理。</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19.3发包人的索赔</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根据合同约定，发包人认为有权得到赔付金额和（或）延长缺陷责任期的，监理人应向承包人发出通知并附有详细的证明。</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19.4对发包人索赔的处理</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对发包人索赔的处理如下：</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（1）承包人收到发包人提交的索赔报告后，应及时审查索赔报告的内容、查验发包人证明材料；</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（2）承包人应在收到索赔报告或有关索赔的进一步证明材料后28天内，将索赔处理结果答复发包人。如果承包人未在上述期限内作出答复的，则视为对发包人索赔要求的认可；</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（3）承包人接受索赔处理结果的，发包人可从应支付给承包人的合同价款中扣除赔付的金额或延长缺陷责任期；发包人不接受索赔处理结果的，按第20条〔争议解决〕约定处理。</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19.5提出索赔的期限</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（1）承包人按第14.2款〔竣工结算审核〕约定接收竣工付款证书后，应被视为已无权再提出在工程接收证书颁发前所发生的任何索赔。</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（2）承包人按第14.4款〔最终结清〕提交的最终结清申请单中，只限于提出工程接收证书颁发后发生的索赔。提出索赔的期限自接受最终结清证书时终止。</w:t>
      </w:r>
    </w:p>
    <w:p>
      <w:pPr>
        <w:widowControl/>
        <w:spacing w:before="144" w:after="144" w:line="360" w:lineRule="exact"/>
        <w:jc w:val="left"/>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20.争议解决</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20.1和解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合同当事人可以就争议自行和解，自行和解达成协议的经双方签字并盖章后作为合同补充文件，双方均应遵照执行。</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20.2调解</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合同当事人可以就争议请求建设行政主管部门、行业协会或其他第三方进行调解，调解达成协议的，经双方签字并盖章后作为合同补充文件，双方均应遵照执行。</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20.3争议评审</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合同当事人在专用合同条款中约定采取争议评审方式解决争议以及评审规则，并按下列约定执行：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20.3.1争议评审小组的确定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合同当事人可以共同选择一名或三名争议评审员，组成争议评审小组。除专用合同条款另有约定外，合同当事人应当自合同签订后28天内，或者争议发生后14天内，选定争议评审员。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除专用合同条款另有约定外，评审员报酬由发包人和承包人各承担一半。</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20.3.2争议评审小组的决定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20.3.3争议评审小组决定的效力</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争议评审小组作出的书面决定经合同当事人签字确认后，对双方具有约束力，双方应遵照执行。</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任何一方当事人不接受争议评审小组决定或不履行争议评审小组决定的，双方可选择采用其他争议解决方式。</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20.4仲裁或诉讼</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因合同及合同有关事项产生的争议，合同当事人可以在专用合同条款中约定以下一种方式解决争议：</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（1）向约定的仲裁委员会申请仲裁；</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（2）向有管辖权的人民法院起诉。</w:t>
      </w:r>
    </w:p>
    <w:p>
      <w:pPr>
        <w:widowControl/>
        <w:spacing w:before="60" w:after="60" w:line="360" w:lineRule="exact"/>
        <w:ind w:left="12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20.5争议解决条款效力</w:t>
      </w:r>
    </w:p>
    <w:p>
      <w:pPr>
        <w:widowControl/>
        <w:spacing w:before="90" w:after="90" w:line="360" w:lineRule="exact"/>
        <w:ind w:firstLine="36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合同有关争议解决的条款独立存在，合同的变更、解除、终止、无效或者被撤销均不影响其效力。</w:t>
      </w:r>
    </w:p>
    <w:p>
      <w:pPr>
        <w:tabs>
          <w:tab w:val="left" w:pos="4395"/>
        </w:tabs>
        <w:rPr>
          <w:rFonts w:hint="eastAsia" w:ascii="宋体" w:hAnsi="宋体" w:eastAsia="宋体" w:cs="宋体"/>
          <w:b/>
          <w:szCs w:val="28"/>
          <w:highlight w:val="none"/>
        </w:rPr>
      </w:pPr>
    </w:p>
    <w:p>
      <w:pPr>
        <w:tabs>
          <w:tab w:val="left" w:pos="4395"/>
        </w:tabs>
        <w:rPr>
          <w:rFonts w:hint="eastAsia" w:ascii="宋体" w:hAnsi="宋体" w:eastAsia="宋体" w:cs="宋体"/>
          <w:b/>
          <w:szCs w:val="28"/>
          <w:highlight w:val="none"/>
        </w:rPr>
      </w:pPr>
    </w:p>
    <w:p>
      <w:pPr>
        <w:spacing w:line="300" w:lineRule="auto"/>
        <w:ind w:right="1787"/>
        <w:jc w:val="center"/>
        <w:outlineLvl w:val="0"/>
        <w:rPr>
          <w:rFonts w:hint="eastAsia" w:ascii="宋体" w:hAnsi="宋体" w:eastAsia="宋体" w:cs="宋体"/>
          <w:sz w:val="52"/>
          <w:highlight w:val="none"/>
        </w:rPr>
      </w:pPr>
    </w:p>
    <w:p>
      <w:pPr>
        <w:pStyle w:val="2"/>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ind w:firstLine="560" w:firstLineChars="200"/>
        <w:rPr>
          <w:rFonts w:hint="eastAsia" w:ascii="宋体" w:hAnsi="宋体" w:eastAsia="宋体" w:cs="宋体"/>
          <w:highlight w:val="none"/>
        </w:rPr>
      </w:pPr>
    </w:p>
    <w:p>
      <w:pPr>
        <w:jc w:val="center"/>
        <w:outlineLvl w:val="1"/>
        <w:rPr>
          <w:rFonts w:hint="eastAsia" w:ascii="宋体" w:hAnsi="宋体" w:eastAsia="宋体" w:cs="宋体"/>
          <w:b/>
          <w:szCs w:val="28"/>
          <w:highlight w:val="none"/>
        </w:rPr>
      </w:pPr>
      <w:bookmarkStart w:id="220" w:name="_Toc26041"/>
    </w:p>
    <w:p>
      <w:pPr>
        <w:jc w:val="center"/>
        <w:outlineLvl w:val="1"/>
        <w:rPr>
          <w:rFonts w:hint="eastAsia" w:ascii="宋体" w:hAnsi="宋体" w:eastAsia="宋体" w:cs="宋体"/>
          <w:b/>
          <w:szCs w:val="28"/>
          <w:highlight w:val="none"/>
        </w:rPr>
      </w:pPr>
      <w:r>
        <w:rPr>
          <w:rFonts w:hint="eastAsia" w:ascii="宋体" w:hAnsi="宋体" w:eastAsia="宋体" w:cs="宋体"/>
          <w:b/>
          <w:szCs w:val="28"/>
          <w:highlight w:val="none"/>
        </w:rPr>
        <w:t>第三部分 专用条款</w:t>
      </w:r>
      <w:bookmarkEnd w:id="220"/>
    </w:p>
    <w:p>
      <w:pPr>
        <w:keepNext/>
        <w:keepLines/>
        <w:spacing w:before="120" w:after="120" w:line="300" w:lineRule="exact"/>
        <w:outlineLvl w:val="3"/>
        <w:rPr>
          <w:rFonts w:hint="eastAsia" w:ascii="宋体" w:hAnsi="宋体" w:eastAsia="宋体" w:cs="宋体"/>
          <w:sz w:val="21"/>
          <w:szCs w:val="21"/>
          <w:highlight w:val="none"/>
        </w:rPr>
      </w:pPr>
      <w:bookmarkStart w:id="221" w:name="_Toc351203633"/>
      <w:r>
        <w:rPr>
          <w:rFonts w:hint="eastAsia" w:ascii="宋体" w:hAnsi="宋体" w:eastAsia="宋体" w:cs="宋体"/>
          <w:sz w:val="21"/>
          <w:szCs w:val="21"/>
          <w:highlight w:val="none"/>
        </w:rPr>
        <w:t>1</w:t>
      </w:r>
      <w:bookmarkStart w:id="222" w:name="_Toc296944495"/>
      <w:bookmarkStart w:id="223" w:name="_Toc292559361"/>
      <w:bookmarkStart w:id="224" w:name="_Toc296347155"/>
      <w:bookmarkStart w:id="225" w:name="_Toc296346657"/>
      <w:bookmarkStart w:id="226" w:name="_Toc297120456"/>
      <w:bookmarkStart w:id="227" w:name="_Toc296891196"/>
      <w:bookmarkStart w:id="228" w:name="_Toc292559866"/>
      <w:bookmarkStart w:id="229" w:name="_Toc297048342"/>
      <w:bookmarkStart w:id="230" w:name="_Toc296503156"/>
      <w:bookmarkStart w:id="231" w:name="_Toc296890984"/>
      <w:r>
        <w:rPr>
          <w:rFonts w:hint="eastAsia" w:ascii="宋体" w:hAnsi="宋体" w:eastAsia="宋体" w:cs="宋体"/>
          <w:sz w:val="21"/>
          <w:szCs w:val="21"/>
          <w:highlight w:val="none"/>
        </w:rPr>
        <w:t>. 一般约定</w:t>
      </w:r>
      <w:bookmarkEnd w:id="221"/>
    </w:p>
    <w:bookmarkEnd w:id="222"/>
    <w:bookmarkEnd w:id="223"/>
    <w:bookmarkEnd w:id="224"/>
    <w:bookmarkEnd w:id="225"/>
    <w:bookmarkEnd w:id="226"/>
    <w:bookmarkEnd w:id="227"/>
    <w:bookmarkEnd w:id="228"/>
    <w:bookmarkEnd w:id="229"/>
    <w:bookmarkEnd w:id="230"/>
    <w:bookmarkEnd w:id="231"/>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 词语定义</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1.1.1合同</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1.1.1.10其他合同文件包括：</w:t>
      </w:r>
      <w:r>
        <w:rPr>
          <w:rFonts w:hint="eastAsia" w:ascii="宋体" w:hAnsi="宋体" w:eastAsia="宋体" w:cs="宋体"/>
          <w:sz w:val="21"/>
          <w:szCs w:val="21"/>
          <w:highlight w:val="none"/>
          <w:u w:val="single"/>
        </w:rPr>
        <w:t xml:space="preserve"> （1）本合同协议书；（2）中标通知书；（3）投标书及其附件；（4）本合同专用条款及补充条款；（5）本合同通用条款；（6）标准、规范及有关技术文件；（7）图纸（含图纸修改通知单及图纸设计变更文件）；（8）工程量清单；（9）本工程预算控制价造价成果文件、招标文件及其他合同文件</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1.1.2 合同当事人及其他相关方</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1.1.2.4监理人：</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名    称：</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资质类别和等级：</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电子信箱：</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通信地址：</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1.1.2.5 设计人：</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名    称：</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资质类别和等级：</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电子信箱：</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通信地址：</w:t>
      </w:r>
      <w:r>
        <w:rPr>
          <w:rFonts w:hint="eastAsia" w:ascii="宋体" w:hAnsi="宋体" w:eastAsia="宋体" w:cs="宋体"/>
          <w:b/>
          <w:sz w:val="21"/>
          <w:szCs w:val="21"/>
          <w:highlight w:val="none"/>
          <w:u w:val="single"/>
        </w:rPr>
        <w:t xml:space="preserve">      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1.1.3 工程和设备</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1.1.3.7 作为施工现场组成部分的其他场所包括：</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1.1.3.9 永久占地包括： </w:t>
      </w:r>
      <w:r>
        <w:rPr>
          <w:rFonts w:hint="eastAsia" w:ascii="宋体" w:hAnsi="宋体" w:eastAsia="宋体" w:cs="宋体"/>
          <w:sz w:val="21"/>
          <w:szCs w:val="21"/>
          <w:highlight w:val="none"/>
          <w:u w:val="single"/>
        </w:rPr>
        <w:t>按合同约定建造并移交给发包人的工程（包括工程设备）                       所占用的土地</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1.1.3.10 临时占地包括：</w:t>
      </w:r>
      <w:r>
        <w:rPr>
          <w:rFonts w:hint="eastAsia" w:ascii="宋体" w:hAnsi="宋体" w:eastAsia="宋体" w:cs="宋体"/>
          <w:sz w:val="21"/>
          <w:szCs w:val="21"/>
          <w:highlight w:val="none"/>
          <w:u w:val="single"/>
        </w:rPr>
        <w:t>为完成合同约定的永久工程所修建的各类临时性工程及设施所占用的土地，由承包人根据现场踏勘情况结合施工现场所处位置自行解决</w:t>
      </w:r>
      <w:r>
        <w:rPr>
          <w:rFonts w:hint="eastAsia" w:ascii="宋体" w:hAnsi="宋体" w:eastAsia="宋体" w:cs="宋体"/>
          <w:kern w:val="0"/>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1.3法律 </w:t>
      </w:r>
    </w:p>
    <w:p>
      <w:pPr>
        <w:autoSpaceDE w:val="0"/>
        <w:autoSpaceDN w:val="0"/>
        <w:adjustRightInd w:val="0"/>
        <w:spacing w:line="300" w:lineRule="exact"/>
        <w:ind w:left="795" w:leftChars="284"/>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适用于合同的其他规范性文件：</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1.4 标准和规范</w:t>
      </w:r>
    </w:p>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1.4.1适用于工程的标准规范包括：</w:t>
      </w:r>
      <w:r>
        <w:rPr>
          <w:rFonts w:hint="eastAsia" w:ascii="宋体" w:hAnsi="宋体" w:eastAsia="宋体" w:cs="宋体"/>
          <w:b/>
          <w:sz w:val="21"/>
          <w:szCs w:val="21"/>
          <w:highlight w:val="none"/>
          <w:u w:val="single"/>
        </w:rPr>
        <w:t>除按通用条款约定外，承包人还必须遵守《合同法》、《政府采购法》以及现行国家部门和地方性的法律、法规、桂林市有关条例规定。</w:t>
      </w:r>
    </w:p>
    <w:p>
      <w:pPr>
        <w:autoSpaceDE w:val="0"/>
        <w:autoSpaceDN w:val="0"/>
        <w:adjustRightInd w:val="0"/>
        <w:spacing w:before="100" w:after="100" w:line="300" w:lineRule="exact"/>
        <w:ind w:left="479" w:leftChars="171" w:right="-115" w:firstLine="210" w:firstLineChars="100"/>
        <w:jc w:val="left"/>
        <w:rPr>
          <w:rFonts w:hint="eastAsia" w:ascii="宋体" w:hAnsi="宋体" w:eastAsia="宋体" w:cs="宋体"/>
          <w:b/>
          <w:kern w:val="0"/>
          <w:sz w:val="21"/>
          <w:szCs w:val="21"/>
          <w:highlight w:val="none"/>
          <w:u w:val="single"/>
        </w:rPr>
      </w:pPr>
      <w:r>
        <w:rPr>
          <w:rFonts w:hint="eastAsia" w:ascii="宋体" w:hAnsi="宋体" w:eastAsia="宋体" w:cs="宋体"/>
          <w:kern w:val="0"/>
          <w:sz w:val="21"/>
          <w:szCs w:val="21"/>
          <w:highlight w:val="none"/>
        </w:rPr>
        <w:t>1.4.2 发包人提供国外标准、规范的名称：</w:t>
      </w:r>
      <w:r>
        <w:rPr>
          <w:rFonts w:hint="eastAsia" w:ascii="宋体" w:hAnsi="宋体" w:eastAsia="宋体" w:cs="宋体"/>
          <w:b/>
          <w:kern w:val="0"/>
          <w:sz w:val="21"/>
          <w:szCs w:val="21"/>
          <w:highlight w:val="none"/>
          <w:u w:val="single"/>
        </w:rPr>
        <w:t>无。</w:t>
      </w:r>
    </w:p>
    <w:p>
      <w:pPr>
        <w:spacing w:line="300" w:lineRule="exact"/>
        <w:ind w:firstLine="630" w:firstLineChars="3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发包人提供国外标准、规范的份数：</w:t>
      </w:r>
      <w:r>
        <w:rPr>
          <w:rFonts w:hint="eastAsia" w:ascii="宋体" w:hAnsi="宋体" w:eastAsia="宋体" w:cs="宋体"/>
          <w:kern w:val="0"/>
          <w:sz w:val="21"/>
          <w:szCs w:val="21"/>
          <w:highlight w:val="none"/>
          <w:u w:val="single"/>
        </w:rPr>
        <w:t xml:space="preserve">        无              </w:t>
      </w:r>
      <w:r>
        <w:rPr>
          <w:rFonts w:hint="eastAsia" w:ascii="宋体" w:hAnsi="宋体" w:eastAsia="宋体" w:cs="宋体"/>
          <w:kern w:val="0"/>
          <w:sz w:val="21"/>
          <w:szCs w:val="21"/>
          <w:highlight w:val="none"/>
        </w:rPr>
        <w:t>；</w:t>
      </w:r>
    </w:p>
    <w:p>
      <w:pPr>
        <w:spacing w:line="300" w:lineRule="exact"/>
        <w:ind w:left="795" w:leftChars="284"/>
        <w:rPr>
          <w:rFonts w:hint="eastAsia" w:ascii="宋体" w:hAnsi="宋体" w:eastAsia="宋体" w:cs="宋体"/>
          <w:sz w:val="21"/>
          <w:szCs w:val="21"/>
          <w:highlight w:val="none"/>
        </w:rPr>
      </w:pPr>
      <w:r>
        <w:rPr>
          <w:rFonts w:hint="eastAsia" w:ascii="宋体" w:hAnsi="宋体" w:eastAsia="宋体" w:cs="宋体"/>
          <w:sz w:val="21"/>
          <w:szCs w:val="21"/>
          <w:highlight w:val="none"/>
        </w:rPr>
        <w:t>1.4.3发包人对工程的技术标准和功能要求的特殊要求：</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 合同文件的优先顺序</w:t>
      </w:r>
    </w:p>
    <w:p>
      <w:pPr>
        <w:spacing w:line="300" w:lineRule="exact"/>
        <w:ind w:firstLine="525" w:firstLineChars="250"/>
        <w:rPr>
          <w:rFonts w:hint="eastAsia" w:ascii="宋体" w:hAnsi="宋体" w:eastAsia="宋体" w:cs="宋体"/>
          <w:b/>
          <w:kern w:val="0"/>
          <w:sz w:val="21"/>
          <w:szCs w:val="21"/>
          <w:highlight w:val="none"/>
          <w:u w:val="single"/>
        </w:rPr>
      </w:pPr>
      <w:r>
        <w:rPr>
          <w:rFonts w:hint="eastAsia" w:ascii="宋体" w:hAnsi="宋体" w:eastAsia="宋体" w:cs="宋体"/>
          <w:sz w:val="21"/>
          <w:szCs w:val="21"/>
          <w:highlight w:val="none"/>
        </w:rPr>
        <w:t>合同文件组成及优先顺序为：</w:t>
      </w:r>
      <w:r>
        <w:rPr>
          <w:rFonts w:hint="eastAsia" w:ascii="宋体" w:hAnsi="宋体" w:eastAsia="宋体" w:cs="宋体"/>
          <w:b/>
          <w:sz w:val="21"/>
          <w:szCs w:val="21"/>
          <w:highlight w:val="none"/>
          <w:u w:val="single"/>
        </w:rPr>
        <w:t>（1）本合同协议书（2）中标通知书（3）报价文件及其附件（4）本合同专用条款（5）本合同通用条款（6）技术标准和要求（7）图纸（含图纸修改通知单及图纸设计变更文件）（8）已标价工程量清单（9）本工程预算控制价造价成果文件。</w:t>
      </w:r>
      <w:r>
        <w:rPr>
          <w:rFonts w:hint="eastAsia" w:ascii="宋体" w:hAnsi="宋体" w:eastAsia="宋体" w:cs="宋体"/>
          <w:b/>
          <w:kern w:val="0"/>
          <w:sz w:val="21"/>
          <w:szCs w:val="21"/>
          <w:highlight w:val="none"/>
          <w:u w:val="single"/>
        </w:rPr>
        <w:t>（10）招标文件（11）其他合同文件。</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 图纸和承包人文件</w:t>
      </w:r>
      <w:r>
        <w:rPr>
          <w:rFonts w:hint="eastAsia" w:ascii="宋体" w:hAnsi="宋体" w:eastAsia="宋体" w:cs="宋体"/>
          <w:sz w:val="21"/>
          <w:szCs w:val="21"/>
          <w:highlight w:val="none"/>
        </w:rPr>
        <w:tab/>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1.6.1 图纸的提供</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发包人向承包人提供图纸的期限：</w:t>
      </w:r>
      <w:r>
        <w:rPr>
          <w:rFonts w:hint="eastAsia" w:ascii="宋体" w:hAnsi="宋体" w:eastAsia="宋体" w:cs="宋体"/>
          <w:sz w:val="21"/>
          <w:szCs w:val="21"/>
          <w:highlight w:val="none"/>
          <w:u w:val="single"/>
        </w:rPr>
        <w:t xml:space="preserve">合同签订生效后7天内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发包人向承包人提供图纸的数量：</w:t>
      </w:r>
      <w:r>
        <w:rPr>
          <w:rFonts w:hint="eastAsia" w:ascii="宋体" w:hAnsi="宋体" w:eastAsia="宋体" w:cs="宋体"/>
          <w:sz w:val="21"/>
          <w:szCs w:val="21"/>
          <w:highlight w:val="none"/>
          <w:u w:val="single"/>
        </w:rPr>
        <w:t>合同签订生效后五天内向承包人免费提供施工图叁份</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发包人向承包人提供图纸的内容：</w:t>
      </w:r>
      <w:r>
        <w:rPr>
          <w:rFonts w:hint="eastAsia" w:ascii="宋体" w:hAnsi="宋体" w:eastAsia="宋体" w:cs="宋体"/>
          <w:sz w:val="21"/>
          <w:szCs w:val="21"/>
          <w:highlight w:val="none"/>
          <w:u w:val="single"/>
        </w:rPr>
        <w:t xml:space="preserve">       施工图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1.6.4 承包人文件</w:t>
      </w:r>
    </w:p>
    <w:p>
      <w:pPr>
        <w:spacing w:line="300" w:lineRule="exact"/>
        <w:ind w:left="795" w:leftChars="284"/>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需要由承包人提供的文件，包括：</w:t>
      </w:r>
      <w:r>
        <w:rPr>
          <w:rFonts w:hint="eastAsia" w:ascii="宋体" w:hAnsi="宋体" w:eastAsia="宋体" w:cs="宋体"/>
          <w:sz w:val="21"/>
          <w:szCs w:val="21"/>
          <w:highlight w:val="none"/>
          <w:u w:val="single"/>
        </w:rPr>
        <w:t xml:space="preserve">     施工图以外的大样图、加工图、标准图等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承包人提供的文件的期限为：</w:t>
      </w:r>
      <w:r>
        <w:rPr>
          <w:rFonts w:hint="eastAsia" w:ascii="宋体" w:hAnsi="宋体" w:eastAsia="宋体" w:cs="宋体"/>
          <w:sz w:val="21"/>
          <w:szCs w:val="21"/>
          <w:highlight w:val="none"/>
          <w:u w:val="single"/>
        </w:rPr>
        <w:t xml:space="preserve">       </w:t>
      </w:r>
      <w:r>
        <w:rPr>
          <w:rFonts w:hint="eastAsia" w:ascii="宋体" w:hAnsi="宋体" w:eastAsia="宋体" w:cs="宋体"/>
          <w:b/>
          <w:sz w:val="21"/>
          <w:szCs w:val="21"/>
          <w:highlight w:val="none"/>
          <w:u w:val="single"/>
        </w:rPr>
        <w:t>构件开始施工前7天内</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承包人提供的文件的数量为：</w:t>
      </w:r>
      <w:r>
        <w:rPr>
          <w:rFonts w:hint="eastAsia" w:ascii="宋体" w:hAnsi="宋体" w:eastAsia="宋体" w:cs="宋体"/>
          <w:sz w:val="21"/>
          <w:szCs w:val="21"/>
          <w:highlight w:val="none"/>
          <w:u w:val="single"/>
        </w:rPr>
        <w:t xml:space="preserve">       8份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承包人提供的文件的形式为：</w:t>
      </w:r>
      <w:r>
        <w:rPr>
          <w:rFonts w:hint="eastAsia" w:ascii="宋体" w:hAnsi="宋体" w:eastAsia="宋体" w:cs="宋体"/>
          <w:sz w:val="21"/>
          <w:szCs w:val="21"/>
          <w:highlight w:val="none"/>
          <w:u w:val="single"/>
        </w:rPr>
        <w:t xml:space="preserve">       纸质版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发包人审批承包人文件的期限：</w:t>
      </w:r>
      <w:r>
        <w:rPr>
          <w:rFonts w:hint="eastAsia" w:ascii="宋体" w:hAnsi="宋体" w:eastAsia="宋体" w:cs="宋体"/>
          <w:sz w:val="21"/>
          <w:szCs w:val="21"/>
          <w:highlight w:val="none"/>
          <w:u w:val="single"/>
        </w:rPr>
        <w:t xml:space="preserve">       7天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1.6.5 现场图纸准备</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关于现场图纸准备的约定：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1.7 联络</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1.7.1发包人和承包人应当在</w:t>
      </w:r>
      <w:r>
        <w:rPr>
          <w:rFonts w:hint="eastAsia" w:ascii="宋体" w:hAnsi="宋体" w:eastAsia="宋体" w:cs="宋体"/>
          <w:sz w:val="21"/>
          <w:szCs w:val="21"/>
          <w:highlight w:val="none"/>
          <w:u w:val="single"/>
        </w:rPr>
        <w:t xml:space="preserve">     7   </w:t>
      </w:r>
      <w:r>
        <w:rPr>
          <w:rFonts w:hint="eastAsia" w:ascii="宋体" w:hAnsi="宋体" w:eastAsia="宋体" w:cs="宋体"/>
          <w:kern w:val="0"/>
          <w:sz w:val="21"/>
          <w:szCs w:val="21"/>
          <w:highlight w:val="none"/>
        </w:rPr>
        <w:t>天内将与合同有关的通知、批准、证明、证书、指示、指令、要求、请求、同意、意见、确定和决定等书面函件送达对方当事人。</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1.7.2 发包人接收文件的地点：</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发包人指定的接收人为：</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承包人接收文件的地点：</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承包人指定的接收人为：</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监理人接收文件的地点：</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监理人指定的接收人为：</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1.10 交通运输</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Start w:id="232" w:name="_Toc300934943"/>
      <w:bookmarkStart w:id="233" w:name="_Toc303539100"/>
      <w:bookmarkStart w:id="234" w:name="_Toc304295521"/>
      <w:bookmarkStart w:id="235" w:name="_Toc312677986"/>
      <w:bookmarkStart w:id="236" w:name="_Toc318581155"/>
      <w:r>
        <w:rPr>
          <w:rFonts w:hint="eastAsia" w:ascii="宋体" w:hAnsi="宋体" w:eastAsia="宋体" w:cs="宋体"/>
          <w:sz w:val="21"/>
          <w:szCs w:val="21"/>
          <w:highlight w:val="none"/>
        </w:rPr>
        <w:t>.10.1 出入现场的权利</w:t>
      </w:r>
    </w:p>
    <w:p>
      <w:pPr>
        <w:spacing w:line="300" w:lineRule="exact"/>
        <w:ind w:left="795" w:leftChars="284"/>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关于出入现场的权利的约定：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bookmarkEnd w:id="232"/>
    <w:bookmarkEnd w:id="233"/>
    <w:bookmarkEnd w:id="234"/>
    <w:bookmarkEnd w:id="235"/>
    <w:bookmarkEnd w:id="236"/>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Start w:id="237" w:name="_Toc318581156"/>
      <w:bookmarkStart w:id="238" w:name="_Toc300934944"/>
      <w:bookmarkStart w:id="239" w:name="_Toc312677987"/>
      <w:bookmarkStart w:id="240" w:name="_Toc303539101"/>
      <w:bookmarkStart w:id="241" w:name="_Toc304295522"/>
      <w:r>
        <w:rPr>
          <w:rFonts w:hint="eastAsia" w:ascii="宋体" w:hAnsi="宋体" w:eastAsia="宋体" w:cs="宋体"/>
          <w:sz w:val="21"/>
          <w:szCs w:val="21"/>
          <w:highlight w:val="none"/>
        </w:rPr>
        <w:t>.10.3 场内交通</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关于场外交通和场内交通的边界的约定：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关于发包人向承包人免费提供满足工程施工需要的场内道路和交通设施的约定：</w:t>
      </w:r>
      <w:r>
        <w:rPr>
          <w:rFonts w:hint="eastAsia" w:ascii="宋体" w:hAnsi="宋体" w:eastAsia="宋体" w:cs="宋体"/>
          <w:sz w:val="21"/>
          <w:szCs w:val="21"/>
          <w:highlight w:val="none"/>
          <w:u w:val="single"/>
        </w:rPr>
        <w:t xml:space="preserve">由承包人负责场内道路和交通设施的修建并承担相应费用            </w:t>
      </w:r>
      <w:r>
        <w:rPr>
          <w:rFonts w:hint="eastAsia" w:ascii="宋体" w:hAnsi="宋体" w:eastAsia="宋体" w:cs="宋体"/>
          <w:sz w:val="21"/>
          <w:szCs w:val="21"/>
          <w:highlight w:val="none"/>
        </w:rPr>
        <w:t>。</w:t>
      </w:r>
      <w:bookmarkEnd w:id="237"/>
      <w:bookmarkEnd w:id="238"/>
      <w:bookmarkEnd w:id="239"/>
      <w:bookmarkEnd w:id="240"/>
      <w:bookmarkEnd w:id="241"/>
      <w:r>
        <w:rPr>
          <w:rFonts w:hint="eastAsia" w:ascii="宋体" w:hAnsi="宋体" w:eastAsia="宋体" w:cs="宋体"/>
          <w:sz w:val="21"/>
          <w:szCs w:val="21"/>
          <w:highlight w:val="none"/>
        </w:rPr>
        <w:t xml:space="preserve">  </w:t>
      </w:r>
      <w:bookmarkStart w:id="242" w:name="_Toc318581157"/>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1.10.4超大件和超重件的运输</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运输超大件或超重件所需的道路和桥梁临时加固改造费用和其他有关费用由</w:t>
      </w:r>
      <w:r>
        <w:rPr>
          <w:rFonts w:hint="eastAsia" w:ascii="宋体" w:hAnsi="宋体" w:eastAsia="宋体" w:cs="宋体"/>
          <w:sz w:val="21"/>
          <w:szCs w:val="21"/>
          <w:highlight w:val="none"/>
          <w:u w:val="single"/>
        </w:rPr>
        <w:t xml:space="preserve">  承包人    </w:t>
      </w:r>
      <w:r>
        <w:rPr>
          <w:rFonts w:hint="eastAsia" w:ascii="宋体" w:hAnsi="宋体" w:eastAsia="宋体" w:cs="宋体"/>
          <w:sz w:val="21"/>
          <w:szCs w:val="21"/>
          <w:highlight w:val="none"/>
        </w:rPr>
        <w:t>承担。</w:t>
      </w:r>
    </w:p>
    <w:bookmarkEnd w:id="242"/>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1.11 知识产权</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21"/>
          <w:szCs w:val="21"/>
          <w:highlight w:val="none"/>
          <w:u w:val="single"/>
        </w:rPr>
        <w:t>著作权属于发包人</w:t>
      </w:r>
      <w:r>
        <w:rPr>
          <w:rFonts w:hint="eastAsia" w:ascii="宋体" w:hAnsi="宋体" w:eastAsia="宋体" w:cs="宋体"/>
          <w:sz w:val="21"/>
          <w:szCs w:val="21"/>
          <w:highlight w:val="none"/>
        </w:rPr>
        <w:t>。</w:t>
      </w:r>
    </w:p>
    <w:p>
      <w:pPr>
        <w:spacing w:line="300" w:lineRule="exact"/>
        <w:ind w:left="795" w:leftChars="284"/>
        <w:rPr>
          <w:rFonts w:hint="eastAsia" w:ascii="宋体" w:hAnsi="宋体" w:eastAsia="宋体" w:cs="宋体"/>
          <w:sz w:val="21"/>
          <w:szCs w:val="21"/>
          <w:highlight w:val="none"/>
        </w:rPr>
      </w:pPr>
      <w:r>
        <w:rPr>
          <w:rFonts w:hint="eastAsia" w:ascii="宋体" w:hAnsi="宋体" w:eastAsia="宋体" w:cs="宋体"/>
          <w:sz w:val="21"/>
          <w:szCs w:val="21"/>
          <w:highlight w:val="none"/>
        </w:rPr>
        <w:t>关于发包人提供的上述文件的使用限制的要求：</w:t>
      </w:r>
      <w:r>
        <w:rPr>
          <w:rFonts w:hint="eastAsia" w:ascii="宋体" w:hAnsi="宋体" w:eastAsia="宋体" w:cs="宋体"/>
          <w:sz w:val="21"/>
          <w:szCs w:val="21"/>
          <w:highlight w:val="none"/>
          <w:u w:val="single"/>
        </w:rPr>
        <w:t>未经发包人同意，承包人不得为了合同以外的目的而复制、使用上述文件或将之提供给任何第三方</w:t>
      </w:r>
      <w:r>
        <w:rPr>
          <w:rFonts w:hint="eastAsia" w:ascii="宋体" w:hAnsi="宋体" w:eastAsia="宋体" w:cs="宋体"/>
          <w:sz w:val="21"/>
          <w:szCs w:val="21"/>
          <w:highlight w:val="none"/>
        </w:rPr>
        <w:t>。</w:t>
      </w:r>
    </w:p>
    <w:p>
      <w:pPr>
        <w:spacing w:line="300" w:lineRule="exact"/>
        <w:ind w:left="795" w:leftChars="284"/>
        <w:rPr>
          <w:rFonts w:hint="eastAsia" w:ascii="宋体" w:hAnsi="宋体" w:eastAsia="宋体" w:cs="宋体"/>
          <w:sz w:val="21"/>
          <w:szCs w:val="21"/>
          <w:highlight w:val="none"/>
        </w:rPr>
      </w:pPr>
      <w:r>
        <w:rPr>
          <w:rFonts w:hint="eastAsia" w:ascii="宋体" w:hAnsi="宋体" w:eastAsia="宋体" w:cs="宋体"/>
          <w:sz w:val="21"/>
          <w:szCs w:val="21"/>
          <w:highlight w:val="none"/>
        </w:rPr>
        <w:t>1.11.2 关于承包人为实施工程所编制文件的著作权的归属：</w:t>
      </w:r>
      <w:r>
        <w:rPr>
          <w:rFonts w:hint="eastAsia" w:ascii="宋体" w:hAnsi="宋体" w:eastAsia="宋体" w:cs="宋体"/>
          <w:sz w:val="21"/>
          <w:szCs w:val="21"/>
          <w:highlight w:val="none"/>
          <w:u w:val="single"/>
        </w:rPr>
        <w:t>除署名以外著作权属于发包人</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关于承包人提供的上述文件的使用限制的要求：</w:t>
      </w:r>
      <w:r>
        <w:rPr>
          <w:rFonts w:hint="eastAsia" w:ascii="宋体" w:hAnsi="宋体" w:eastAsia="宋体" w:cs="宋体"/>
          <w:sz w:val="21"/>
          <w:szCs w:val="21"/>
          <w:highlight w:val="none"/>
          <w:u w:val="single"/>
        </w:rPr>
        <w:t>未经发包人同意，承包人不得为了合同以外的目的而复制、使用上述文件或将之提供给任何第三方</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sz w:val="21"/>
          <w:szCs w:val="21"/>
          <w:highlight w:val="none"/>
        </w:rPr>
        <w:t>1.11.4 承包人在施工过程中所采用的专利、专有技术、技术秘密的使用费的承担方式：</w:t>
      </w:r>
      <w:r>
        <w:rPr>
          <w:rFonts w:hint="eastAsia" w:ascii="宋体" w:hAnsi="宋体" w:eastAsia="宋体" w:cs="宋体"/>
          <w:sz w:val="21"/>
          <w:szCs w:val="21"/>
          <w:highlight w:val="none"/>
          <w:u w:val="single"/>
        </w:rPr>
        <w:t>由承包人承担</w:t>
      </w:r>
      <w:r>
        <w:rPr>
          <w:rFonts w:hint="eastAsia" w:ascii="宋体" w:hAnsi="宋体" w:eastAsia="宋体" w:cs="宋体"/>
          <w:kern w:val="0"/>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1.13工程量清单错误的修正</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出现工程量清单错误时，是否调整合同价格：</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kern w:val="0"/>
          <w:sz w:val="21"/>
          <w:szCs w:val="21"/>
          <w:highlight w:val="none"/>
        </w:rPr>
        <w:t>。</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允许调整合同价格的工程量偏差范围：</w:t>
      </w:r>
      <w:r>
        <w:rPr>
          <w:rFonts w:hint="eastAsia" w:ascii="宋体" w:hAnsi="宋体" w:eastAsia="宋体" w:cs="宋体"/>
          <w:sz w:val="21"/>
          <w:szCs w:val="21"/>
          <w:highlight w:val="none"/>
          <w:u w:val="single"/>
        </w:rPr>
        <w:t xml:space="preserve"> 超出15%     </w:t>
      </w:r>
      <w:r>
        <w:rPr>
          <w:rFonts w:hint="eastAsia" w:ascii="宋体" w:hAnsi="宋体" w:eastAsia="宋体" w:cs="宋体"/>
          <w:kern w:val="0"/>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243" w:name="_Toc351203634"/>
      <w:r>
        <w:rPr>
          <w:rFonts w:hint="eastAsia" w:ascii="宋体" w:hAnsi="宋体" w:eastAsia="宋体" w:cs="宋体"/>
          <w:sz w:val="21"/>
          <w:szCs w:val="21"/>
          <w:highlight w:val="none"/>
        </w:rPr>
        <w:t>2</w:t>
      </w:r>
      <w:bookmarkStart w:id="244" w:name="_Toc292559362"/>
      <w:bookmarkStart w:id="245" w:name="_Toc297048343"/>
      <w:bookmarkStart w:id="246" w:name="_Toc297120457"/>
      <w:bookmarkStart w:id="247" w:name="_Toc296503157"/>
      <w:bookmarkStart w:id="248" w:name="_Toc292559867"/>
      <w:bookmarkStart w:id="249" w:name="_Toc296347156"/>
      <w:bookmarkStart w:id="250" w:name="_Toc296346658"/>
      <w:bookmarkStart w:id="251" w:name="_Toc296890985"/>
      <w:bookmarkStart w:id="252" w:name="_Toc296944496"/>
      <w:bookmarkStart w:id="253" w:name="_Toc296891197"/>
      <w:r>
        <w:rPr>
          <w:rFonts w:hint="eastAsia" w:ascii="宋体" w:hAnsi="宋体" w:eastAsia="宋体" w:cs="宋体"/>
          <w:sz w:val="21"/>
          <w:szCs w:val="21"/>
          <w:highlight w:val="none"/>
        </w:rPr>
        <w:t>. 发包人</w:t>
      </w:r>
      <w:bookmarkEnd w:id="243"/>
    </w:p>
    <w:bookmarkEnd w:id="244"/>
    <w:bookmarkEnd w:id="245"/>
    <w:bookmarkEnd w:id="246"/>
    <w:bookmarkEnd w:id="247"/>
    <w:bookmarkEnd w:id="248"/>
    <w:bookmarkEnd w:id="249"/>
    <w:bookmarkEnd w:id="250"/>
    <w:bookmarkEnd w:id="251"/>
    <w:bookmarkEnd w:id="252"/>
    <w:bookmarkEnd w:id="253"/>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2.2 发包人代表</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发包人代表：</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职    务：</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电子信箱：</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通信地址：</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发包人对发包人代表的授权范围如下：</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2.4 施工现场、施工条件和基础资料的提供</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2.4.1 提供施工现场</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关于发包人移交施工现场的期限要求：</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2.4.2 提供施工条件</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关于发包人应负责提供施工所需要的条件，包括：</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2.5 资金来源证明及支付担保</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发包人提供资金来源证明的期限要求：</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发包人是否提供支付担保：</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发包人提供支付担保的形式：</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254" w:name="_Toc351203635"/>
      <w:r>
        <w:rPr>
          <w:rFonts w:hint="eastAsia" w:ascii="宋体" w:hAnsi="宋体" w:eastAsia="宋体" w:cs="宋体"/>
          <w:sz w:val="21"/>
          <w:szCs w:val="21"/>
          <w:highlight w:val="none"/>
        </w:rPr>
        <w:t>3</w:t>
      </w:r>
      <w:bookmarkStart w:id="255" w:name="_Toc296503158"/>
      <w:bookmarkStart w:id="256" w:name="_Toc292559363"/>
      <w:bookmarkStart w:id="257" w:name="_Toc296347157"/>
      <w:bookmarkStart w:id="258" w:name="_Toc296944497"/>
      <w:bookmarkStart w:id="259" w:name="_Toc297048344"/>
      <w:bookmarkStart w:id="260" w:name="_Toc296891198"/>
      <w:bookmarkStart w:id="261" w:name="_Toc297120458"/>
      <w:bookmarkStart w:id="262" w:name="_Toc296346659"/>
      <w:bookmarkStart w:id="263" w:name="_Toc296890986"/>
      <w:bookmarkStart w:id="264" w:name="_Toc292559868"/>
      <w:r>
        <w:rPr>
          <w:rFonts w:hint="eastAsia" w:ascii="宋体" w:hAnsi="宋体" w:eastAsia="宋体" w:cs="宋体"/>
          <w:sz w:val="21"/>
          <w:szCs w:val="21"/>
          <w:highlight w:val="none"/>
        </w:rPr>
        <w:t>. 承包人</w:t>
      </w:r>
      <w:bookmarkEnd w:id="254"/>
    </w:p>
    <w:bookmarkEnd w:id="255"/>
    <w:bookmarkEnd w:id="256"/>
    <w:bookmarkEnd w:id="257"/>
    <w:bookmarkEnd w:id="258"/>
    <w:bookmarkEnd w:id="259"/>
    <w:bookmarkEnd w:id="260"/>
    <w:bookmarkEnd w:id="261"/>
    <w:bookmarkEnd w:id="262"/>
    <w:bookmarkEnd w:id="263"/>
    <w:bookmarkEnd w:id="264"/>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3.1 承包人的一般义务</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（5）</w:t>
      </w:r>
      <w:r>
        <w:rPr>
          <w:rFonts w:hint="eastAsia" w:ascii="宋体" w:hAnsi="宋体" w:eastAsia="宋体" w:cs="宋体"/>
          <w:sz w:val="21"/>
          <w:szCs w:val="21"/>
          <w:highlight w:val="none"/>
        </w:rPr>
        <w:t>承包人提交的竣工资料的内容：</w:t>
      </w:r>
      <w:r>
        <w:rPr>
          <w:rFonts w:hint="eastAsia" w:ascii="宋体" w:hAnsi="宋体" w:eastAsia="宋体" w:cs="宋体"/>
          <w:position w:val="-2"/>
          <w:sz w:val="21"/>
          <w:szCs w:val="21"/>
          <w:highlight w:val="none"/>
          <w:u w:val="single"/>
        </w:rPr>
        <w:t>①工程具备竣工验收条件，承包人按工程竣工验收有关规定，向发包人提交符合归档要求内容装订成册的完整竣工资料及竣工验收报告、工程竣工图；②承包人所提交的竣工资料必须符合《建设工程文件归档整理规范》要求，并在结算审批时出具符合规定的《工程档案验收合格证明》及建设单位接收档案资料清单证明。</w:t>
      </w:r>
    </w:p>
    <w:p>
      <w:pPr>
        <w:spacing w:line="300" w:lineRule="exact"/>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承包人需要提交的竣工资料套数：</w:t>
      </w:r>
      <w:r>
        <w:rPr>
          <w:rFonts w:hint="eastAsia" w:ascii="宋体" w:hAnsi="宋体" w:eastAsia="宋体" w:cs="宋体"/>
          <w:sz w:val="21"/>
          <w:szCs w:val="21"/>
          <w:highlight w:val="none"/>
          <w:u w:val="single"/>
        </w:rPr>
        <w:t xml:space="preserve">全套竣工资料一式4份  </w:t>
      </w:r>
      <w:r>
        <w:rPr>
          <w:rFonts w:hint="eastAsia" w:ascii="宋体" w:hAnsi="宋体" w:eastAsia="宋体" w:cs="宋体"/>
          <w:sz w:val="21"/>
          <w:szCs w:val="21"/>
          <w:highlight w:val="none"/>
        </w:rPr>
        <w:t>。</w:t>
      </w:r>
    </w:p>
    <w:p>
      <w:pPr>
        <w:spacing w:line="300" w:lineRule="exact"/>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承包人提交的竣工资料的费用承担：</w:t>
      </w:r>
      <w:r>
        <w:rPr>
          <w:rFonts w:hint="eastAsia" w:ascii="宋体" w:hAnsi="宋体" w:eastAsia="宋体" w:cs="宋体"/>
          <w:sz w:val="21"/>
          <w:szCs w:val="21"/>
          <w:highlight w:val="none"/>
          <w:u w:val="single"/>
        </w:rPr>
        <w:t>由承包人承担相关费用</w:t>
      </w:r>
      <w:r>
        <w:rPr>
          <w:rFonts w:hint="eastAsia" w:ascii="宋体" w:hAnsi="宋体" w:eastAsia="宋体" w:cs="宋体"/>
          <w:sz w:val="21"/>
          <w:szCs w:val="21"/>
          <w:highlight w:val="none"/>
        </w:rPr>
        <w:t>。</w:t>
      </w:r>
    </w:p>
    <w:p>
      <w:pPr>
        <w:spacing w:line="300" w:lineRule="exact"/>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承包人提交的竣工资料移交时间：</w:t>
      </w:r>
      <w:r>
        <w:rPr>
          <w:rFonts w:hint="eastAsia" w:ascii="宋体" w:hAnsi="宋体" w:eastAsia="宋体" w:cs="宋体"/>
          <w:sz w:val="21"/>
          <w:szCs w:val="21"/>
          <w:highlight w:val="none"/>
          <w:u w:val="single"/>
        </w:rPr>
        <w:t xml:space="preserve"> 工程竣工验收合格后14天内        </w:t>
      </w:r>
      <w:r>
        <w:rPr>
          <w:rFonts w:hint="eastAsia" w:ascii="宋体" w:hAnsi="宋体" w:eastAsia="宋体" w:cs="宋体"/>
          <w:sz w:val="21"/>
          <w:szCs w:val="21"/>
          <w:highlight w:val="none"/>
        </w:rPr>
        <w:t>。</w:t>
      </w:r>
    </w:p>
    <w:p>
      <w:pPr>
        <w:spacing w:line="300" w:lineRule="exact"/>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承包人提交的竣工资料形式要求：</w:t>
      </w:r>
      <w:r>
        <w:rPr>
          <w:rFonts w:hint="eastAsia" w:ascii="宋体" w:hAnsi="宋体" w:eastAsia="宋体" w:cs="宋体"/>
          <w:sz w:val="21"/>
          <w:szCs w:val="21"/>
          <w:highlight w:val="none"/>
          <w:u w:val="single"/>
        </w:rPr>
        <w:t xml:space="preserve">   纸质版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（6）承包人应履行的其他义务：</w:t>
      </w:r>
      <w:r>
        <w:rPr>
          <w:rFonts w:hint="eastAsia" w:ascii="宋体" w:hAnsi="宋体" w:eastAsia="宋体" w:cs="宋体"/>
          <w:sz w:val="21"/>
          <w:szCs w:val="21"/>
          <w:highlight w:val="none"/>
          <w:u w:val="single"/>
        </w:rPr>
        <w:t>①承包人应当主动配合发包人协调与施工现场周边农村及村民的关系，确保项目施工顺利进行；②农民工工资按桂劳社发[2009]50号文件执行</w:t>
      </w:r>
      <w:r>
        <w:rPr>
          <w:rFonts w:hint="eastAsia" w:ascii="宋体" w:hAnsi="宋体" w:eastAsia="宋体" w:cs="宋体"/>
          <w:kern w:val="0"/>
          <w:sz w:val="21"/>
          <w:szCs w:val="21"/>
          <w:highlight w:val="none"/>
          <w:u w:val="single"/>
        </w:rPr>
        <w:t>，中标单位应按时支付农民工工资，发包人支付到合同价款的80％时，承包人应全部支付完农民工工资，之后如有农民工到发包方单位及上级部门反映索要工资现象视为违约，每发生一次扣最终结算价的1％，发包方可从应向承包方支付的款项中扣除；③</w:t>
      </w:r>
      <w:r>
        <w:rPr>
          <w:rFonts w:hint="eastAsia" w:ascii="宋体" w:hAnsi="宋体" w:eastAsia="宋体" w:cs="宋体"/>
          <w:sz w:val="21"/>
          <w:szCs w:val="21"/>
          <w:highlight w:val="none"/>
          <w:u w:val="single"/>
        </w:rPr>
        <w:t>本工程必须是中标人独立完成，不得转包。如一经发现转包，发包人有权终止合同，依法另行选择承包人，原承包人无条件退出现场；④发包人另行发包的招标范围以外的工程，承包人必须无条件配合；⑤承包人在承包工程施工期间所发生的一切责任事故，全部由承包人承担经济责任和法律责任</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 xml:space="preserve"> </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 项目经理</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3.2.1 </w:t>
      </w:r>
      <w:r>
        <w:rPr>
          <w:rFonts w:hint="eastAsia" w:ascii="宋体" w:hAnsi="宋体" w:eastAsia="宋体" w:cs="宋体"/>
          <w:sz w:val="21"/>
          <w:szCs w:val="21"/>
          <w:highlight w:val="none"/>
        </w:rPr>
        <w:t>项目经理：</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建造师执业资格等级：</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建造师注册证书号：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建造师执业印章号：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安全生产考核合格证书号：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电子信箱：</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通信地址：</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承包人对项目经理的授权范围如下：</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关于项目经理每月在施工现场的时间要求：</w:t>
      </w:r>
      <w:r>
        <w:rPr>
          <w:rFonts w:hint="eastAsia" w:ascii="宋体" w:hAnsi="宋体" w:eastAsia="宋体" w:cs="宋体"/>
          <w:sz w:val="21"/>
          <w:szCs w:val="21"/>
          <w:highlight w:val="none"/>
          <w:u w:val="single"/>
        </w:rPr>
        <w:t xml:space="preserve">  不少于22个工作日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承包人未提交劳动合同，以及没有为项目经理缴纳社会保险证明的违约责任：</w:t>
      </w:r>
      <w:r>
        <w:rPr>
          <w:rFonts w:hint="eastAsia" w:ascii="宋体" w:hAnsi="宋体" w:eastAsia="宋体" w:cs="宋体"/>
          <w:sz w:val="21"/>
          <w:szCs w:val="21"/>
          <w:highlight w:val="none"/>
          <w:u w:val="single"/>
        </w:rPr>
        <w:t xml:space="preserve">  发包人有权更换项目经理直至解除承包合同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项目经理未经批准，擅自离开施工现场的违约责任：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3.2.3 承包人擅自更换项目经理的违约责任：</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u w:val="single"/>
        </w:rPr>
        <w:t>承包人若不能按投标书的承诺派驻项目经理必须承担违约责任：若经发包人检查发现人员不齐、不符合要求的，发包人发出整改通知书，承包人按整改通知书进行整改，若整改仍不符合要求，则扣款2万元；若未经发包人同意，承包人擅自更换注册建造师，每更换一次，扣款2万元；直至实现承诺。</w:t>
      </w:r>
      <w:r>
        <w:rPr>
          <w:rFonts w:hint="eastAsia" w:ascii="宋体" w:hAnsi="宋体" w:eastAsia="宋体" w:cs="宋体"/>
          <w:sz w:val="21"/>
          <w:szCs w:val="21"/>
          <w:highlight w:val="none"/>
          <w:u w:val="single"/>
        </w:rPr>
        <w:t xml:space="preserve"> </w:t>
      </w:r>
    </w:p>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3.2.4 承包人无正当理由拒绝更换项目经理的违约责任：</w:t>
      </w:r>
      <w:r>
        <w:rPr>
          <w:rFonts w:hint="eastAsia" w:ascii="宋体" w:hAnsi="宋体" w:eastAsia="宋体" w:cs="宋体"/>
          <w:kern w:val="0"/>
          <w:sz w:val="21"/>
          <w:szCs w:val="21"/>
          <w:highlight w:val="none"/>
          <w:u w:val="single"/>
        </w:rPr>
        <w:t>解除承包合同</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 承包人人员</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3.3.1 承包人提交项目管理机构及施工现场管理人员安排报告的期限：</w:t>
      </w:r>
      <w:r>
        <w:rPr>
          <w:rFonts w:hint="eastAsia" w:ascii="宋体" w:hAnsi="宋体" w:eastAsia="宋体" w:cs="宋体"/>
          <w:sz w:val="21"/>
          <w:szCs w:val="21"/>
          <w:highlight w:val="none"/>
          <w:u w:val="single"/>
        </w:rPr>
        <w:t>按通用条款执行，无特殊约定</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3.3.3 承包人无正当理由拒绝撤换主要施工管理人员的违约责任：</w:t>
      </w:r>
      <w:r>
        <w:rPr>
          <w:rFonts w:hint="eastAsia" w:ascii="宋体" w:hAnsi="宋体" w:eastAsia="宋体" w:cs="宋体"/>
          <w:kern w:val="0"/>
          <w:sz w:val="21"/>
          <w:szCs w:val="21"/>
          <w:highlight w:val="none"/>
          <w:u w:val="single"/>
        </w:rPr>
        <w:t>解除承包合同。</w:t>
      </w:r>
      <w:r>
        <w:rPr>
          <w:rFonts w:hint="eastAsia" w:ascii="宋体" w:hAnsi="宋体" w:eastAsia="宋体" w:cs="宋体"/>
          <w:sz w:val="21"/>
          <w:szCs w:val="21"/>
          <w:highlight w:val="none"/>
          <w:u w:val="single"/>
        </w:rPr>
        <w:t xml:space="preserve"> </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3.3.4 承包人主要施工管理人员离开施工现场的批准要求：</w:t>
      </w:r>
      <w:r>
        <w:rPr>
          <w:rFonts w:hint="eastAsia" w:ascii="宋体" w:hAnsi="宋体" w:eastAsia="宋体" w:cs="宋体"/>
          <w:sz w:val="21"/>
          <w:szCs w:val="21"/>
          <w:highlight w:val="none"/>
          <w:u w:val="single"/>
        </w:rPr>
        <w:t xml:space="preserve"> 按通用条款执行，无特殊约定</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3.3.5承包人擅自更换主要施工管理人员的违约责任：</w:t>
      </w:r>
      <w:r>
        <w:rPr>
          <w:rFonts w:hint="eastAsia" w:ascii="宋体" w:hAnsi="宋体" w:eastAsia="宋体" w:cs="宋体"/>
          <w:kern w:val="0"/>
          <w:sz w:val="21"/>
          <w:szCs w:val="21"/>
          <w:highlight w:val="none"/>
          <w:u w:val="single"/>
        </w:rPr>
        <w:t>承包人若不能按投标书的承诺派驻主要技术管理人员及施工人员，必须承担违约责任：若经发包人检查发现人员不齐、不符合要求的，发包人发出整改通知书，承包人按整改通知书进行整改，若整改仍不符合要求，</w:t>
      </w:r>
      <w:r>
        <w:rPr>
          <w:rFonts w:hint="eastAsia" w:ascii="宋体" w:hAnsi="宋体" w:eastAsia="宋体" w:cs="宋体"/>
          <w:sz w:val="21"/>
          <w:szCs w:val="21"/>
          <w:highlight w:val="none"/>
          <w:u w:val="single"/>
        </w:rPr>
        <w:t>发包人有权终止合同，原承包人无条件退出现场</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承包人主要施工管理人员擅自离开施工现场的违约责任：</w:t>
      </w:r>
      <w:r>
        <w:rPr>
          <w:rFonts w:hint="eastAsia" w:ascii="宋体" w:hAnsi="宋体" w:eastAsia="宋体" w:cs="宋体"/>
          <w:sz w:val="21"/>
          <w:szCs w:val="21"/>
          <w:highlight w:val="none"/>
          <w:u w:val="single"/>
        </w:rPr>
        <w:t>解除承包合同</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w:t>
      </w:r>
      <w:bookmarkStart w:id="265" w:name="_Toc304295523"/>
      <w:bookmarkStart w:id="266" w:name="_Toc297216151"/>
      <w:bookmarkStart w:id="267" w:name="_Toc312677988"/>
      <w:bookmarkStart w:id="268" w:name="_Toc292559364"/>
      <w:bookmarkStart w:id="269" w:name="_Toc296346660"/>
      <w:bookmarkStart w:id="270" w:name="_Toc296890987"/>
      <w:bookmarkStart w:id="271" w:name="_Toc296347158"/>
      <w:bookmarkStart w:id="272" w:name="_Toc297048345"/>
      <w:bookmarkStart w:id="273" w:name="_Toc296944498"/>
      <w:bookmarkStart w:id="274" w:name="_Toc300934945"/>
      <w:bookmarkStart w:id="275" w:name="_Toc296503159"/>
      <w:bookmarkStart w:id="276" w:name="_Toc303539102"/>
      <w:bookmarkStart w:id="277" w:name="_Toc292559869"/>
      <w:bookmarkStart w:id="278" w:name="_Toc297123492"/>
      <w:bookmarkStart w:id="279" w:name="_Toc296891199"/>
      <w:bookmarkStart w:id="280" w:name="_Toc297120459"/>
      <w:r>
        <w:rPr>
          <w:rFonts w:hint="eastAsia" w:ascii="宋体" w:hAnsi="宋体" w:eastAsia="宋体" w:cs="宋体"/>
          <w:sz w:val="21"/>
          <w:szCs w:val="21"/>
          <w:highlight w:val="none"/>
        </w:rPr>
        <w:t>.5 分包</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w:t>
      </w:r>
      <w:bookmarkStart w:id="281" w:name="_Toc296944499"/>
      <w:bookmarkStart w:id="282" w:name="_Toc296503160"/>
      <w:bookmarkStart w:id="283" w:name="_Toc303539103"/>
      <w:bookmarkStart w:id="284" w:name="_Toc297123493"/>
      <w:bookmarkStart w:id="285" w:name="_Toc296347159"/>
      <w:bookmarkStart w:id="286" w:name="_Toc296890988"/>
      <w:bookmarkStart w:id="287" w:name="_Toc297048346"/>
      <w:bookmarkStart w:id="288" w:name="_Toc300934946"/>
      <w:bookmarkStart w:id="289" w:name="_Toc297120460"/>
      <w:bookmarkStart w:id="290" w:name="_Toc292559870"/>
      <w:bookmarkStart w:id="291" w:name="_Toc296891200"/>
      <w:bookmarkStart w:id="292" w:name="_Toc296346661"/>
      <w:bookmarkStart w:id="293" w:name="_Toc297216152"/>
      <w:bookmarkStart w:id="294" w:name="_Toc304295524"/>
      <w:bookmarkStart w:id="295" w:name="_Toc292559365"/>
      <w:bookmarkStart w:id="296" w:name="_Toc318581158"/>
      <w:bookmarkStart w:id="297" w:name="_Toc312677989"/>
      <w:r>
        <w:rPr>
          <w:rFonts w:hint="eastAsia" w:ascii="宋体" w:hAnsi="宋体" w:eastAsia="宋体" w:cs="宋体"/>
          <w:sz w:val="21"/>
          <w:szCs w:val="21"/>
          <w:highlight w:val="none"/>
        </w:rPr>
        <w:t>.5.1 分包的一般约定</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禁止分包的工程包括：</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主体结构、关键性工作的范围：</w:t>
      </w:r>
      <w:r>
        <w:rPr>
          <w:rFonts w:hint="eastAsia" w:ascii="宋体" w:hAnsi="宋体" w:eastAsia="宋体" w:cs="宋体"/>
          <w:sz w:val="21"/>
          <w:szCs w:val="21"/>
          <w:highlight w:val="none"/>
          <w:u w:val="single"/>
        </w:rPr>
        <w:t xml:space="preserve">  按照国家有关规定执行  </w:t>
      </w:r>
      <w:r>
        <w:rPr>
          <w:rFonts w:hint="eastAsia" w:ascii="宋体" w:hAnsi="宋体" w:eastAsia="宋体" w:cs="宋体"/>
          <w:sz w:val="21"/>
          <w:szCs w:val="21"/>
          <w:highlight w:val="none"/>
        </w:rPr>
        <w: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Start w:id="298" w:name="_Toc297048347"/>
      <w:bookmarkStart w:id="299" w:name="_Toc296890989"/>
      <w:bookmarkStart w:id="300" w:name="_Toc304295525"/>
      <w:bookmarkStart w:id="301" w:name="_Toc296891201"/>
      <w:bookmarkStart w:id="302" w:name="_Toc297216153"/>
      <w:bookmarkStart w:id="303" w:name="_Toc300934947"/>
      <w:bookmarkStart w:id="304" w:name="_Toc297123494"/>
      <w:bookmarkStart w:id="305" w:name="_Toc296347160"/>
      <w:bookmarkStart w:id="306" w:name="_Toc303539104"/>
      <w:bookmarkStart w:id="307" w:name="_Toc296346662"/>
      <w:bookmarkStart w:id="308" w:name="_Toc296944500"/>
      <w:bookmarkStart w:id="309" w:name="_Toc296503161"/>
      <w:bookmarkStart w:id="310" w:name="_Toc297120461"/>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w:t>
      </w:r>
      <w:bookmarkStart w:id="311" w:name="_Toc318581159"/>
      <w:bookmarkStart w:id="312" w:name="_Toc312677990"/>
      <w:r>
        <w:rPr>
          <w:rFonts w:hint="eastAsia" w:ascii="宋体" w:hAnsi="宋体" w:eastAsia="宋体" w:cs="宋体"/>
          <w:sz w:val="21"/>
          <w:szCs w:val="21"/>
          <w:highlight w:val="none"/>
        </w:rPr>
        <w:t>.5.2分包的确定</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允许分包的专业工程包括：</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其他关于分包的约定：</w:t>
      </w:r>
      <w:r>
        <w:rPr>
          <w:rFonts w:hint="eastAsia" w:ascii="宋体" w:hAnsi="宋体" w:eastAsia="宋体" w:cs="宋体"/>
          <w:sz w:val="21"/>
          <w:szCs w:val="21"/>
          <w:highlight w:val="none"/>
          <w:u w:val="single"/>
        </w:rPr>
        <w:t xml:space="preserve">     按照国家有关规定执行             </w:t>
      </w:r>
      <w:r>
        <w:rPr>
          <w:rFonts w:hint="eastAsia" w:ascii="宋体" w:hAnsi="宋体" w:eastAsia="宋体" w:cs="宋体"/>
          <w:sz w:val="21"/>
          <w:szCs w:val="21"/>
          <w:highlight w:val="none"/>
        </w:rPr>
        <w:t>。</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3.5.4 分包合同价款</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关于分包合同价款支付的约定：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bookmarkEnd w:id="311"/>
    <w:bookmarkEnd w:id="312"/>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3.6 工程照管与成品、半成品保护</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承包人负责照管工程及工程相关的材料、工程设备的起始时间：</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3.7 履约担保</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承包人是否提供履约担保：</w:t>
      </w:r>
      <w:r>
        <w:rPr>
          <w:rFonts w:hint="eastAsia" w:ascii="宋体" w:hAnsi="宋体" w:eastAsia="宋体" w:cs="宋体"/>
          <w:sz w:val="21"/>
          <w:szCs w:val="21"/>
          <w:highlight w:val="none"/>
          <w:u w:val="single"/>
        </w:rPr>
        <w:t xml:space="preserve">          是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承包人提供履约担保的形式、金额及期限的：</w:t>
      </w:r>
      <w:r>
        <w:rPr>
          <w:rFonts w:hint="eastAsia" w:ascii="宋体" w:hAnsi="宋体" w:eastAsia="宋体" w:cs="宋体"/>
          <w:sz w:val="21"/>
          <w:szCs w:val="21"/>
          <w:highlight w:val="none"/>
          <w:u w:val="single"/>
        </w:rPr>
        <w:t>履约担保采取现金、银行保函、工程担保、工程保证保险的形式，不计利息。履约保证金采用现金形式的，应从投标人银行基本账户转出到招标人账户，保证金为中标合同金额的</w:t>
      </w:r>
      <w:r>
        <w:rPr>
          <w:rFonts w:hint="eastAsia" w:ascii="宋体" w:hAnsi="宋体" w:cs="宋体"/>
          <w:sz w:val="21"/>
          <w:szCs w:val="21"/>
          <w:highlight w:val="none"/>
          <w:u w:val="single"/>
          <w:lang w:val="en-US" w:eastAsia="zh-CN"/>
        </w:rPr>
        <w:t>2</w:t>
      </w:r>
      <w:r>
        <w:rPr>
          <w:rFonts w:hint="eastAsia" w:ascii="宋体" w:hAnsi="宋体" w:eastAsia="宋体" w:cs="宋体"/>
          <w:sz w:val="21"/>
          <w:szCs w:val="21"/>
          <w:highlight w:val="none"/>
          <w:u w:val="single"/>
        </w:rPr>
        <w:t>%；履约保函应由投标人基本账户所在银行开据，保函金额为中标合同金额的</w:t>
      </w:r>
      <w:r>
        <w:rPr>
          <w:rFonts w:hint="eastAsia" w:ascii="宋体" w:hAnsi="宋体" w:cs="宋体"/>
          <w:sz w:val="21"/>
          <w:szCs w:val="21"/>
          <w:highlight w:val="none"/>
          <w:u w:val="single"/>
          <w:lang w:val="en-US" w:eastAsia="zh-CN"/>
        </w:rPr>
        <w:t>2</w:t>
      </w:r>
      <w:r>
        <w:rPr>
          <w:rFonts w:hint="eastAsia" w:ascii="宋体" w:hAnsi="宋体" w:eastAsia="宋体" w:cs="宋体"/>
          <w:sz w:val="21"/>
          <w:szCs w:val="21"/>
          <w:highlight w:val="none"/>
          <w:u w:val="single"/>
        </w:rPr>
        <w:t>%，并在签订施工合同时提供履约保证金或履约保函，履约保函有效期自发包人与承包人签订的合同生效之日起至发包人签发工程完工证书之日止，发包人在合同工程完工验收证书颁布发后28 天内将履约担保退还给承包人。</w:t>
      </w:r>
      <w:r>
        <w:rPr>
          <w:rFonts w:hint="eastAsia" w:ascii="宋体" w:hAnsi="宋体" w:eastAsia="宋体" w:cs="宋体"/>
          <w:bCs/>
          <w:sz w:val="21"/>
          <w:highlight w:val="none"/>
          <w:u w:val="single"/>
        </w:rPr>
        <w:t>根据《桂林市财政局关于进一步发挥政府采购政策功能促进企业发展的通知》（市财采〔2022〕7号）文件要求，对中型企业收取的履约保证金数额为采购合同金额的2%，免收小微企业履约保证金。</w:t>
      </w:r>
    </w:p>
    <w:p>
      <w:pPr>
        <w:keepNext/>
        <w:keepLines/>
        <w:spacing w:before="120" w:after="120" w:line="300" w:lineRule="exact"/>
        <w:outlineLvl w:val="3"/>
        <w:rPr>
          <w:rFonts w:hint="eastAsia" w:ascii="宋体" w:hAnsi="宋体" w:eastAsia="宋体" w:cs="宋体"/>
          <w:sz w:val="21"/>
          <w:szCs w:val="21"/>
          <w:highlight w:val="none"/>
        </w:rPr>
      </w:pPr>
      <w:bookmarkStart w:id="313" w:name="_Toc351203636"/>
      <w:r>
        <w:rPr>
          <w:rFonts w:hint="eastAsia" w:ascii="宋体" w:hAnsi="宋体" w:eastAsia="宋体" w:cs="宋体"/>
          <w:sz w:val="21"/>
          <w:szCs w:val="21"/>
          <w:highlight w:val="none"/>
        </w:rPr>
        <w:t>4</w:t>
      </w:r>
      <w:bookmarkStart w:id="314" w:name="_Toc297120462"/>
      <w:bookmarkStart w:id="315" w:name="_Toc292559366"/>
      <w:bookmarkStart w:id="316" w:name="_Toc296347161"/>
      <w:bookmarkStart w:id="317" w:name="_Toc292559871"/>
      <w:bookmarkStart w:id="318" w:name="_Toc296944501"/>
      <w:bookmarkStart w:id="319" w:name="_Toc296503162"/>
      <w:bookmarkStart w:id="320" w:name="_Toc296890990"/>
      <w:bookmarkStart w:id="321" w:name="_Toc297048348"/>
      <w:bookmarkStart w:id="322" w:name="_Toc296346663"/>
      <w:bookmarkStart w:id="323" w:name="_Toc296891202"/>
      <w:bookmarkStart w:id="324" w:name="_Toc267251413"/>
      <w:r>
        <w:rPr>
          <w:rFonts w:hint="eastAsia" w:ascii="宋体" w:hAnsi="宋体" w:eastAsia="宋体" w:cs="宋体"/>
          <w:sz w:val="21"/>
          <w:szCs w:val="21"/>
          <w:highlight w:val="none"/>
        </w:rPr>
        <w:t>. 监</w:t>
      </w:r>
      <w:bookmarkEnd w:id="314"/>
      <w:bookmarkEnd w:id="315"/>
      <w:bookmarkEnd w:id="316"/>
      <w:bookmarkEnd w:id="317"/>
      <w:bookmarkEnd w:id="318"/>
      <w:bookmarkEnd w:id="319"/>
      <w:bookmarkEnd w:id="320"/>
      <w:bookmarkEnd w:id="321"/>
      <w:bookmarkEnd w:id="322"/>
      <w:bookmarkEnd w:id="323"/>
      <w:bookmarkEnd w:id="324"/>
      <w:r>
        <w:rPr>
          <w:rFonts w:hint="eastAsia" w:ascii="宋体" w:hAnsi="宋体" w:eastAsia="宋体" w:cs="宋体"/>
          <w:sz w:val="21"/>
          <w:szCs w:val="21"/>
          <w:highlight w:val="none"/>
        </w:rPr>
        <w:t>理人</w:t>
      </w:r>
      <w:bookmarkEnd w:id="313"/>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4.1监理人的一般规定</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关于监理人的监理内容：</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关于监理人的监理权限：</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spacing w:before="120" w:after="120" w:line="26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关于监理人在施工现场的办公场所、生活场所的提供和费用承担的约定：</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4.2 监理人员</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总监理工程师：</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职    务：</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监理工程师执业资格证书号：</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电子信箱：</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通信地址：</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关于监理人的其他约定：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4.4 商定或确定</w:t>
      </w:r>
    </w:p>
    <w:p>
      <w:pPr>
        <w:spacing w:line="260" w:lineRule="exact"/>
        <w:ind w:firstLine="420" w:firstLineChars="200"/>
        <w:rPr>
          <w:rFonts w:hint="eastAsia" w:ascii="宋体" w:hAnsi="宋体" w:eastAsia="宋体" w:cs="宋体"/>
          <w:sz w:val="21"/>
          <w:szCs w:val="21"/>
          <w:highlight w:val="none"/>
        </w:rPr>
      </w:pPr>
      <w:bookmarkStart w:id="325" w:name="_Toc267251418"/>
      <w:r>
        <w:rPr>
          <w:rFonts w:hint="eastAsia" w:ascii="宋体" w:hAnsi="宋体" w:eastAsia="宋体" w:cs="宋体"/>
          <w:sz w:val="21"/>
          <w:szCs w:val="21"/>
          <w:highlight w:val="none"/>
        </w:rPr>
        <w:t>在发包人和承包人不能通过协商达成一致意见时，发包人授权监理人对以下事项进行确定：</w:t>
      </w:r>
    </w:p>
    <w:p>
      <w:pPr>
        <w:autoSpaceDE w:val="0"/>
        <w:autoSpaceDN w:val="0"/>
        <w:adjustRightInd w:val="0"/>
        <w:spacing w:line="26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autoSpaceDE w:val="0"/>
        <w:autoSpaceDN w:val="0"/>
        <w:adjustRightInd w:val="0"/>
        <w:spacing w:line="26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autoSpaceDE w:val="0"/>
        <w:autoSpaceDN w:val="0"/>
        <w:adjustRightInd w:val="0"/>
        <w:spacing w:line="26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keepNext/>
        <w:keepLines/>
        <w:spacing w:before="120" w:after="120" w:line="260" w:lineRule="exact"/>
        <w:outlineLvl w:val="3"/>
        <w:rPr>
          <w:rFonts w:hint="eastAsia" w:ascii="宋体" w:hAnsi="宋体" w:eastAsia="宋体" w:cs="宋体"/>
          <w:sz w:val="21"/>
          <w:szCs w:val="21"/>
          <w:highlight w:val="none"/>
        </w:rPr>
      </w:pPr>
      <w:bookmarkStart w:id="326" w:name="_Toc351203637"/>
      <w:r>
        <w:rPr>
          <w:rFonts w:hint="eastAsia" w:ascii="宋体" w:hAnsi="宋体" w:eastAsia="宋体" w:cs="宋体"/>
          <w:sz w:val="21"/>
          <w:szCs w:val="21"/>
          <w:highlight w:val="none"/>
        </w:rPr>
        <w:t>5</w:t>
      </w:r>
      <w:bookmarkEnd w:id="325"/>
      <w:bookmarkStart w:id="327" w:name="_Toc297120463"/>
      <w:bookmarkStart w:id="328" w:name="_Toc296891203"/>
      <w:bookmarkStart w:id="329" w:name="_Toc296503163"/>
      <w:bookmarkStart w:id="330" w:name="_Toc296347162"/>
      <w:bookmarkStart w:id="331" w:name="_Toc296944502"/>
      <w:bookmarkStart w:id="332" w:name="_Toc296890991"/>
      <w:bookmarkStart w:id="333" w:name="_Toc292559367"/>
      <w:bookmarkStart w:id="334" w:name="_Toc292559872"/>
      <w:bookmarkStart w:id="335" w:name="_Toc297048349"/>
      <w:bookmarkStart w:id="336" w:name="_Toc296346664"/>
      <w:r>
        <w:rPr>
          <w:rFonts w:hint="eastAsia" w:ascii="宋体" w:hAnsi="宋体" w:eastAsia="宋体" w:cs="宋体"/>
          <w:sz w:val="21"/>
          <w:szCs w:val="21"/>
          <w:highlight w:val="none"/>
        </w:rPr>
        <w:t>. 工程质量</w:t>
      </w:r>
      <w:bookmarkEnd w:id="326"/>
    </w:p>
    <w:p>
      <w:pPr>
        <w:spacing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5.1 质量要求</w:t>
      </w:r>
    </w:p>
    <w:p>
      <w:pPr>
        <w:spacing w:line="26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5</w:t>
      </w:r>
      <w:bookmarkStart w:id="337" w:name="_Toc312677997"/>
      <w:bookmarkStart w:id="338" w:name="_Toc300934949"/>
      <w:bookmarkStart w:id="339" w:name="_Toc304295527"/>
      <w:bookmarkStart w:id="340" w:name="_Toc318581164"/>
      <w:bookmarkStart w:id="341" w:name="_Toc297216155"/>
      <w:bookmarkStart w:id="342" w:name="_Toc303539106"/>
      <w:bookmarkStart w:id="343" w:name="_Toc297123496"/>
      <w:r>
        <w:rPr>
          <w:rFonts w:hint="eastAsia" w:ascii="宋体" w:hAnsi="宋体" w:eastAsia="宋体" w:cs="宋体"/>
          <w:sz w:val="21"/>
          <w:szCs w:val="21"/>
          <w:highlight w:val="none"/>
        </w:rPr>
        <w:t>.1.1 特殊质量标准和要求：</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26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关于工程奖项的约定：</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5.3 隐蔽工程检查</w:t>
      </w:r>
    </w:p>
    <w:p>
      <w:pPr>
        <w:spacing w:line="26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5.3.2承包人提前通知监理人隐蔽工程检查的期限的约定：</w:t>
      </w:r>
      <w:r>
        <w:rPr>
          <w:rFonts w:hint="eastAsia" w:ascii="宋体" w:hAnsi="宋体" w:eastAsia="宋体" w:cs="宋体"/>
          <w:kern w:val="0"/>
          <w:sz w:val="21"/>
          <w:szCs w:val="21"/>
          <w:highlight w:val="none"/>
          <w:u w:val="single"/>
        </w:rPr>
        <w:t>任何部位的工程需要覆盖或隐蔽前，均应提前24小时通知监理工程师及建设工程质量监督站进行中间验收并拍照，没有监理工程师及质量监督站的批准，均不得隐蔽或验收。</w:t>
      </w:r>
      <w:r>
        <w:rPr>
          <w:rFonts w:hint="eastAsia" w:ascii="宋体" w:hAnsi="宋体" w:eastAsia="宋体" w:cs="宋体"/>
          <w:sz w:val="21"/>
          <w:szCs w:val="21"/>
          <w:highlight w:val="none"/>
          <w:u w:val="single"/>
        </w:rPr>
        <w:t xml:space="preserve">   </w:t>
      </w:r>
    </w:p>
    <w:p>
      <w:pPr>
        <w:spacing w:line="26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监理人不能按时进行检查时，应提前</w:t>
      </w:r>
      <w:r>
        <w:rPr>
          <w:rFonts w:hint="eastAsia" w:ascii="宋体" w:hAnsi="宋体" w:eastAsia="宋体" w:cs="宋体"/>
          <w:sz w:val="21"/>
          <w:szCs w:val="21"/>
          <w:highlight w:val="none"/>
          <w:u w:val="single"/>
        </w:rPr>
        <w:t xml:space="preserve">  24  </w:t>
      </w:r>
      <w:r>
        <w:rPr>
          <w:rFonts w:hint="eastAsia" w:ascii="宋体" w:hAnsi="宋体" w:eastAsia="宋体" w:cs="宋体"/>
          <w:sz w:val="21"/>
          <w:szCs w:val="21"/>
          <w:highlight w:val="none"/>
        </w:rPr>
        <w:t>小时提交书面延期要求。</w:t>
      </w:r>
    </w:p>
    <w:p>
      <w:pPr>
        <w:spacing w:line="26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关于延期最长不得超过：</w:t>
      </w:r>
      <w:r>
        <w:rPr>
          <w:rFonts w:hint="eastAsia" w:ascii="宋体" w:hAnsi="宋体" w:eastAsia="宋体" w:cs="宋体"/>
          <w:sz w:val="21"/>
          <w:szCs w:val="21"/>
          <w:highlight w:val="none"/>
          <w:u w:val="single"/>
        </w:rPr>
        <w:t xml:space="preserve">  48 </w:t>
      </w:r>
      <w:r>
        <w:rPr>
          <w:rFonts w:hint="eastAsia" w:ascii="宋体" w:hAnsi="宋体" w:eastAsia="宋体" w:cs="宋体"/>
          <w:sz w:val="21"/>
          <w:szCs w:val="21"/>
          <w:highlight w:val="none"/>
        </w:rPr>
        <w:t>小时。</w:t>
      </w:r>
    </w:p>
    <w:p>
      <w:pPr>
        <w:keepNext/>
        <w:keepLines/>
        <w:spacing w:before="120" w:after="120" w:line="260" w:lineRule="exact"/>
        <w:outlineLvl w:val="3"/>
        <w:rPr>
          <w:rFonts w:hint="eastAsia" w:ascii="宋体" w:hAnsi="宋体" w:eastAsia="宋体" w:cs="宋体"/>
          <w:sz w:val="21"/>
          <w:szCs w:val="21"/>
          <w:highlight w:val="none"/>
        </w:rPr>
      </w:pPr>
      <w:bookmarkStart w:id="344" w:name="_Toc351203638"/>
      <w:r>
        <w:rPr>
          <w:rFonts w:hint="eastAsia" w:ascii="宋体" w:hAnsi="宋体" w:eastAsia="宋体" w:cs="宋体"/>
          <w:sz w:val="21"/>
          <w:szCs w:val="21"/>
          <w:highlight w:val="none"/>
        </w:rPr>
        <w:t>6. 安全文明施工与环境保护</w:t>
      </w:r>
      <w:bookmarkEnd w:id="344"/>
    </w:p>
    <w:p>
      <w:pPr>
        <w:spacing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6.1安全文明施工</w:t>
      </w:r>
    </w:p>
    <w:p>
      <w:pPr>
        <w:spacing w:line="26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6.1.1 项目安全生产的达标目标及相应事项的约定：</w:t>
      </w:r>
      <w:r>
        <w:rPr>
          <w:rFonts w:hint="eastAsia" w:ascii="宋体" w:hAnsi="宋体" w:eastAsia="宋体" w:cs="宋体"/>
          <w:sz w:val="21"/>
          <w:szCs w:val="21"/>
          <w:highlight w:val="none"/>
          <w:u w:val="single"/>
        </w:rPr>
        <w:t xml:space="preserve">  按照国家及地方安全文明施工的有关规定执行   </w:t>
      </w:r>
      <w:r>
        <w:rPr>
          <w:rFonts w:hint="eastAsia" w:ascii="宋体" w:hAnsi="宋体" w:eastAsia="宋体" w:cs="宋体"/>
          <w:sz w:val="21"/>
          <w:szCs w:val="21"/>
          <w:highlight w:val="none"/>
        </w:rPr>
        <w:t>。</w:t>
      </w:r>
    </w:p>
    <w:p>
      <w:pPr>
        <w:spacing w:before="120"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6.1.4 关于治安保卫的特别约定：</w:t>
      </w:r>
      <w:r>
        <w:rPr>
          <w:rFonts w:hint="eastAsia" w:ascii="宋体" w:hAnsi="宋体" w:eastAsia="宋体" w:cs="宋体"/>
          <w:sz w:val="21"/>
          <w:szCs w:val="21"/>
          <w:highlight w:val="none"/>
          <w:u w:val="single"/>
        </w:rPr>
        <w:t xml:space="preserve">   承包人应当负责统一管理施工场地的治安保卫事项，履行合同工程的治安保卫职责   </w:t>
      </w:r>
      <w:r>
        <w:rPr>
          <w:rFonts w:hint="eastAsia" w:ascii="宋体" w:hAnsi="宋体" w:eastAsia="宋体" w:cs="宋体"/>
          <w:kern w:val="0"/>
          <w:sz w:val="21"/>
          <w:szCs w:val="21"/>
          <w:highlight w:val="none"/>
        </w:rPr>
        <w:t>。</w:t>
      </w:r>
    </w:p>
    <w:p>
      <w:pPr>
        <w:spacing w:before="120" w:after="120" w:line="26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关于编制施工场地治安管理计划的约定：</w:t>
      </w:r>
      <w:r>
        <w:rPr>
          <w:rFonts w:hint="eastAsia" w:ascii="宋体" w:hAnsi="宋体" w:eastAsia="宋体" w:cs="宋体"/>
          <w:sz w:val="21"/>
          <w:szCs w:val="21"/>
          <w:highlight w:val="none"/>
          <w:u w:val="single"/>
        </w:rPr>
        <w:t xml:space="preserve">  开工前7天内承包人编制施工场地治安管理计划和突发治安事件紧急预案   。</w:t>
      </w:r>
    </w:p>
    <w:p>
      <w:pPr>
        <w:spacing w:line="26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6.1.5 文明施工</w:t>
      </w:r>
    </w:p>
    <w:p>
      <w:pPr>
        <w:spacing w:before="120" w:after="120" w:line="26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合同当事人对文明施工的要求：</w:t>
      </w:r>
      <w:r>
        <w:rPr>
          <w:rFonts w:hint="eastAsia" w:ascii="宋体" w:hAnsi="宋体" w:eastAsia="宋体" w:cs="宋体"/>
          <w:sz w:val="21"/>
          <w:szCs w:val="21"/>
          <w:highlight w:val="none"/>
          <w:u w:val="single"/>
        </w:rPr>
        <w:t xml:space="preserve">按照国家及地方安全文明施工的有关规定执行 </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p>
      <w:pPr>
        <w:spacing w:before="120" w:after="120" w:line="26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6.1.6 关于安全文明施工费支付比例和支付期限的约定：</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bookmarkEnd w:id="337"/>
    <w:bookmarkEnd w:id="338"/>
    <w:bookmarkEnd w:id="339"/>
    <w:bookmarkEnd w:id="340"/>
    <w:bookmarkEnd w:id="341"/>
    <w:bookmarkEnd w:id="342"/>
    <w:bookmarkEnd w:id="343"/>
    <w:p>
      <w:pPr>
        <w:keepNext/>
        <w:keepLines/>
        <w:spacing w:before="120" w:after="120" w:line="260" w:lineRule="exact"/>
        <w:outlineLvl w:val="3"/>
        <w:rPr>
          <w:rFonts w:hint="eastAsia" w:ascii="宋体" w:hAnsi="宋体" w:eastAsia="宋体" w:cs="宋体"/>
          <w:sz w:val="21"/>
          <w:szCs w:val="21"/>
          <w:highlight w:val="none"/>
        </w:rPr>
      </w:pPr>
      <w:bookmarkStart w:id="345" w:name="_Toc351203639"/>
      <w:r>
        <w:rPr>
          <w:rFonts w:hint="eastAsia" w:ascii="宋体" w:hAnsi="宋体" w:eastAsia="宋体" w:cs="宋体"/>
          <w:sz w:val="21"/>
          <w:szCs w:val="21"/>
          <w:highlight w:val="none"/>
        </w:rPr>
        <w:t>7. 工期和进度</w:t>
      </w:r>
      <w:bookmarkEnd w:id="345"/>
    </w:p>
    <w:p>
      <w:pPr>
        <w:spacing w:after="120" w:line="2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7.1 施工组织设计</w:t>
      </w:r>
    </w:p>
    <w:p>
      <w:pPr>
        <w:spacing w:before="120" w:after="120" w:line="26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7.1.1 合</w:t>
      </w:r>
      <w:r>
        <w:rPr>
          <w:rFonts w:hint="eastAsia" w:ascii="宋体" w:hAnsi="宋体" w:eastAsia="宋体" w:cs="宋体"/>
          <w:kern w:val="0"/>
          <w:sz w:val="21"/>
          <w:szCs w:val="21"/>
          <w:highlight w:val="none"/>
        </w:rPr>
        <w:t>同当事人约定的施工组织设计应包括的其他内容：</w:t>
      </w:r>
      <w:r>
        <w:rPr>
          <w:rFonts w:hint="eastAsia" w:ascii="宋体" w:hAnsi="宋体" w:eastAsia="宋体" w:cs="宋体"/>
          <w:sz w:val="21"/>
          <w:szCs w:val="21"/>
          <w:highlight w:val="none"/>
          <w:u w:val="single"/>
        </w:rPr>
        <w:t>①管理人员名单、职称、职务、上岗证等；②按照国家及地方有关规定应当提交的内容</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 xml:space="preserve">7.1.2 </w:t>
      </w:r>
      <w:r>
        <w:rPr>
          <w:rFonts w:hint="eastAsia" w:ascii="宋体" w:hAnsi="宋体" w:eastAsia="宋体" w:cs="宋体"/>
          <w:kern w:val="0"/>
          <w:sz w:val="21"/>
          <w:szCs w:val="21"/>
          <w:highlight w:val="none"/>
        </w:rPr>
        <w:t>施工组织设计的提交和修改</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承包人提交详细施工组织设计的期限的约定：</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p>
      <w:pPr>
        <w:spacing w:before="120" w:after="120"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发包人和监理人在收到详细的施工组织设计后确认或提出修改意见的期限：</w:t>
      </w:r>
      <w:r>
        <w:rPr>
          <w:rFonts w:hint="eastAsia" w:ascii="宋体" w:hAnsi="宋体" w:eastAsia="宋体" w:cs="宋体"/>
          <w:sz w:val="21"/>
          <w:szCs w:val="21"/>
          <w:highlight w:val="none"/>
          <w:u w:val="single"/>
        </w:rPr>
        <w:t>按通用条款执</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u w:val="single"/>
        </w:rPr>
        <w:t>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w:t>
      </w:r>
      <w:bookmarkStart w:id="346" w:name="_Toc297123514"/>
      <w:bookmarkStart w:id="347" w:name="_Toc297216173"/>
      <w:bookmarkStart w:id="348" w:name="_Toc304295541"/>
      <w:bookmarkStart w:id="349" w:name="_Toc300934966"/>
      <w:bookmarkStart w:id="350" w:name="_Toc312677479"/>
      <w:bookmarkStart w:id="351" w:name="_Toc312678005"/>
      <w:bookmarkStart w:id="352" w:name="_Toc303539123"/>
      <w:r>
        <w:rPr>
          <w:rFonts w:hint="eastAsia" w:ascii="宋体" w:hAnsi="宋体" w:eastAsia="宋体" w:cs="宋体"/>
          <w:sz w:val="21"/>
          <w:szCs w:val="21"/>
          <w:highlight w:val="none"/>
        </w:rPr>
        <w:t>.2 施工进度计划</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7.2.2 施工进度计划的修订</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发包人和监理人在收到修订的施工进度计划后确认或提出修改意见的期限：</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7.3 开工</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7.3.1 开工准备</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关于承包人提交</w:t>
      </w:r>
      <w:r>
        <w:rPr>
          <w:rFonts w:hint="eastAsia" w:ascii="宋体" w:hAnsi="宋体" w:eastAsia="宋体" w:cs="宋体"/>
          <w:kern w:val="0"/>
          <w:sz w:val="21"/>
          <w:szCs w:val="21"/>
          <w:highlight w:val="none"/>
        </w:rPr>
        <w:t>工程开工报审表的期限：</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关于发包人应完成的其他开工准备工作及期限：</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关于承包人应完成的其他开工准备工作及期限：</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7.3.2开工通知</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因发包人原因造成监理人未能在计划开工日期之日起</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天内发出开工通知的，承包人有权提出价格调整要求，或者解除合同。</w:t>
      </w:r>
    </w:p>
    <w:bookmarkEnd w:id="346"/>
    <w:bookmarkEnd w:id="347"/>
    <w:bookmarkEnd w:id="348"/>
    <w:bookmarkEnd w:id="349"/>
    <w:bookmarkEnd w:id="350"/>
    <w:bookmarkEnd w:id="351"/>
    <w:bookmarkEnd w:id="352"/>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7.4 测量放线</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7.4.1发包人通过监理人向承包人提供测量基准点、基准线和水准点及其书面资料的期限：</w:t>
      </w:r>
      <w:r>
        <w:rPr>
          <w:rFonts w:hint="eastAsia" w:ascii="宋体" w:hAnsi="宋体" w:eastAsia="宋体" w:cs="宋体"/>
          <w:sz w:val="21"/>
          <w:szCs w:val="21"/>
          <w:highlight w:val="none"/>
          <w:u w:val="single"/>
        </w:rPr>
        <w:t>承包人进入工地后进行现场书面交桩</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w:t>
      </w:r>
      <w:bookmarkStart w:id="353" w:name="_Toc312677484"/>
      <w:bookmarkStart w:id="354" w:name="_Toc297123516"/>
      <w:bookmarkStart w:id="355" w:name="_Toc304295546"/>
      <w:bookmarkStart w:id="356" w:name="_Toc300934968"/>
      <w:bookmarkStart w:id="357" w:name="_Toc312678010"/>
      <w:bookmarkStart w:id="358" w:name="_Toc303539125"/>
      <w:bookmarkStart w:id="359" w:name="_Toc297216175"/>
      <w:r>
        <w:rPr>
          <w:rFonts w:hint="eastAsia" w:ascii="宋体" w:hAnsi="宋体" w:eastAsia="宋体" w:cs="宋体"/>
          <w:sz w:val="21"/>
          <w:szCs w:val="21"/>
          <w:highlight w:val="none"/>
        </w:rPr>
        <w:t>.5 工期延误</w:t>
      </w:r>
    </w:p>
    <w:bookmarkEnd w:id="353"/>
    <w:bookmarkEnd w:id="354"/>
    <w:bookmarkEnd w:id="355"/>
    <w:bookmarkEnd w:id="356"/>
    <w:bookmarkEnd w:id="357"/>
    <w:bookmarkEnd w:id="358"/>
    <w:bookmarkEnd w:id="359"/>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7.5.1 因发包人原因导致工期延误</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（7）因发包人原因导致工期延误的其他情形：</w:t>
      </w:r>
      <w:r>
        <w:rPr>
          <w:rFonts w:hint="eastAsia" w:ascii="宋体" w:hAnsi="宋体" w:eastAsia="宋体" w:cs="宋体"/>
          <w:sz w:val="21"/>
          <w:szCs w:val="21"/>
          <w:highlight w:val="none"/>
          <w:u w:val="single"/>
        </w:rPr>
        <w:t xml:space="preserve"> 开工时间由发包人确定，发包人提前7天向承包人发出书面通知，期间的工期顺延，发包人不赔偿承包人因延期开工造成的损失。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w:t>
      </w:r>
      <w:bookmarkStart w:id="360" w:name="_Toc312677486"/>
      <w:bookmarkStart w:id="361" w:name="_Toc312678012"/>
      <w:bookmarkStart w:id="362" w:name="_Toc318581169"/>
      <w:bookmarkStart w:id="363" w:name="_Toc297123518"/>
      <w:bookmarkStart w:id="364" w:name="_Toc303539127"/>
      <w:bookmarkStart w:id="365" w:name="_Toc300934970"/>
      <w:bookmarkStart w:id="366" w:name="_Toc304295548"/>
      <w:bookmarkStart w:id="367" w:name="_Toc297216177"/>
      <w:r>
        <w:rPr>
          <w:rFonts w:hint="eastAsia" w:ascii="宋体" w:hAnsi="宋体" w:eastAsia="宋体" w:cs="宋体"/>
          <w:sz w:val="21"/>
          <w:szCs w:val="21"/>
          <w:highlight w:val="none"/>
        </w:rPr>
        <w:t>.5.2 因承包人原因导致工期延误</w:t>
      </w:r>
    </w:p>
    <w:bookmarkEnd w:id="360"/>
    <w:bookmarkEnd w:id="361"/>
    <w:bookmarkEnd w:id="362"/>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因</w:t>
      </w:r>
      <w:bookmarkStart w:id="368" w:name="_Toc312677487"/>
      <w:bookmarkStart w:id="369" w:name="_Toc312678013"/>
      <w:bookmarkStart w:id="370" w:name="_Toc318581170"/>
      <w:r>
        <w:rPr>
          <w:rFonts w:hint="eastAsia" w:ascii="宋体" w:hAnsi="宋体" w:eastAsia="宋体" w:cs="宋体"/>
          <w:sz w:val="21"/>
          <w:szCs w:val="21"/>
          <w:highlight w:val="none"/>
        </w:rPr>
        <w:t>承包人原因造成工期延误，逾期竣工违约金的计算方法为：</w:t>
      </w:r>
      <w:r>
        <w:rPr>
          <w:rFonts w:hint="eastAsia" w:ascii="宋体" w:hAnsi="宋体" w:eastAsia="宋体" w:cs="宋体"/>
          <w:sz w:val="21"/>
          <w:szCs w:val="21"/>
          <w:highlight w:val="none"/>
          <w:u w:val="single"/>
        </w:rPr>
        <w:t xml:space="preserve">   每拖延一天工期支付给发包人最终结算价的0.4‰/天的违约金        </w:t>
      </w:r>
      <w:r>
        <w:rPr>
          <w:rFonts w:hint="eastAsia" w:ascii="宋体" w:hAnsi="宋体" w:eastAsia="宋体" w:cs="宋体"/>
          <w:sz w:val="21"/>
          <w:szCs w:val="21"/>
          <w:highlight w:val="none"/>
        </w:rPr>
        <w:t>。</w:t>
      </w:r>
      <w:bookmarkEnd w:id="363"/>
      <w:bookmarkEnd w:id="364"/>
      <w:bookmarkEnd w:id="365"/>
      <w:bookmarkEnd w:id="366"/>
      <w:bookmarkEnd w:id="367"/>
      <w:bookmarkEnd w:id="368"/>
      <w:bookmarkEnd w:id="369"/>
    </w:p>
    <w:bookmarkEnd w:id="370"/>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因承包人原因造成工期延误，逾</w:t>
      </w:r>
      <w:bookmarkStart w:id="371" w:name="_Toc318581171"/>
      <w:bookmarkStart w:id="372" w:name="_Toc312678014"/>
      <w:r>
        <w:rPr>
          <w:rFonts w:hint="eastAsia" w:ascii="宋体" w:hAnsi="宋体" w:eastAsia="宋体" w:cs="宋体"/>
          <w:sz w:val="21"/>
          <w:szCs w:val="21"/>
          <w:highlight w:val="none"/>
        </w:rPr>
        <w:t>期竣工违约金的上限：</w:t>
      </w:r>
      <w:r>
        <w:rPr>
          <w:rFonts w:hint="eastAsia" w:ascii="宋体" w:hAnsi="宋体" w:eastAsia="宋体" w:cs="宋体"/>
          <w:sz w:val="21"/>
          <w:szCs w:val="21"/>
          <w:highlight w:val="none"/>
          <w:u w:val="single"/>
        </w:rPr>
        <w:t xml:space="preserve"> 违约金最高限额为最终结算价的4％</w:t>
      </w:r>
      <w:r>
        <w:rPr>
          <w:rFonts w:hint="eastAsia" w:ascii="宋体" w:hAnsi="宋体" w:eastAsia="宋体" w:cs="宋体"/>
          <w:sz w:val="21"/>
          <w:szCs w:val="21"/>
          <w:highlight w:val="none"/>
        </w:rPr>
        <w:t>。</w:t>
      </w:r>
    </w:p>
    <w:bookmarkEnd w:id="371"/>
    <w:bookmarkEnd w:id="372"/>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w:t>
      </w:r>
      <w:bookmarkStart w:id="373" w:name="_Toc303539128"/>
      <w:bookmarkStart w:id="374" w:name="_Toc304295549"/>
      <w:bookmarkStart w:id="375" w:name="_Toc297123519"/>
      <w:bookmarkStart w:id="376" w:name="_Toc300934971"/>
      <w:bookmarkStart w:id="377" w:name="_Toc312678015"/>
      <w:bookmarkStart w:id="378" w:name="_Toc297216178"/>
      <w:r>
        <w:rPr>
          <w:rFonts w:hint="eastAsia" w:ascii="宋体" w:hAnsi="宋体" w:eastAsia="宋体" w:cs="宋体"/>
          <w:sz w:val="21"/>
          <w:szCs w:val="21"/>
          <w:highlight w:val="none"/>
        </w:rPr>
        <w:t>.6 不</w:t>
      </w:r>
      <w:bookmarkEnd w:id="373"/>
      <w:bookmarkEnd w:id="374"/>
      <w:bookmarkEnd w:id="375"/>
      <w:bookmarkEnd w:id="376"/>
      <w:bookmarkEnd w:id="377"/>
      <w:bookmarkEnd w:id="378"/>
      <w:r>
        <w:rPr>
          <w:rFonts w:hint="eastAsia" w:ascii="宋体" w:hAnsi="宋体" w:eastAsia="宋体" w:cs="宋体"/>
          <w:sz w:val="21"/>
          <w:szCs w:val="21"/>
          <w:highlight w:val="none"/>
        </w:rPr>
        <w:t>利物质条件</w:t>
      </w:r>
    </w:p>
    <w:p>
      <w:pPr>
        <w:spacing w:line="300" w:lineRule="exact"/>
        <w:ind w:firstLine="420" w:firstLineChars="200"/>
        <w:jc w:val="left"/>
        <w:rPr>
          <w:rFonts w:hint="eastAsia" w:ascii="宋体" w:hAnsi="宋体" w:eastAsia="宋体" w:cs="宋体"/>
          <w:sz w:val="21"/>
          <w:szCs w:val="21"/>
          <w:highlight w:val="none"/>
          <w:u w:val="single"/>
        </w:rPr>
      </w:pPr>
      <w:bookmarkStart w:id="379" w:name="_Toc303539129"/>
      <w:bookmarkStart w:id="380" w:name="_Toc297123520"/>
      <w:bookmarkStart w:id="381" w:name="_Toc304295550"/>
      <w:bookmarkStart w:id="382" w:name="_Toc318581172"/>
      <w:bookmarkStart w:id="383" w:name="_Toc312678016"/>
      <w:bookmarkStart w:id="384" w:name="_Toc297216179"/>
      <w:bookmarkStart w:id="385" w:name="_Toc300934972"/>
      <w:r>
        <w:rPr>
          <w:rFonts w:hint="eastAsia" w:ascii="宋体" w:hAnsi="宋体" w:eastAsia="宋体" w:cs="宋体"/>
          <w:sz w:val="21"/>
          <w:szCs w:val="21"/>
          <w:highlight w:val="none"/>
        </w:rPr>
        <w:t>不利物质条件的其他情形和有关约定：</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bookmarkEnd w:id="379"/>
    <w:bookmarkEnd w:id="380"/>
    <w:bookmarkEnd w:id="381"/>
    <w:bookmarkEnd w:id="382"/>
    <w:bookmarkEnd w:id="383"/>
    <w:bookmarkEnd w:id="384"/>
    <w:bookmarkEnd w:id="385"/>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w:t>
      </w:r>
      <w:bookmarkStart w:id="386" w:name="_Toc303539130"/>
      <w:bookmarkStart w:id="387" w:name="_Toc300934973"/>
      <w:bookmarkStart w:id="388" w:name="_Toc297216180"/>
      <w:bookmarkStart w:id="389" w:name="_Toc304295551"/>
      <w:bookmarkStart w:id="390" w:name="_Toc297123521"/>
      <w:bookmarkStart w:id="391" w:name="_Toc312678017"/>
      <w:r>
        <w:rPr>
          <w:rFonts w:hint="eastAsia" w:ascii="宋体" w:hAnsi="宋体" w:eastAsia="宋体" w:cs="宋体"/>
          <w:sz w:val="21"/>
          <w:szCs w:val="21"/>
          <w:highlight w:val="none"/>
        </w:rPr>
        <w:t>.7异常恶劣的气候条件</w:t>
      </w:r>
    </w:p>
    <w:bookmarkEnd w:id="386"/>
    <w:bookmarkEnd w:id="387"/>
    <w:bookmarkEnd w:id="388"/>
    <w:bookmarkEnd w:id="389"/>
    <w:bookmarkEnd w:id="390"/>
    <w:bookmarkEnd w:id="391"/>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发包人和承包人同意以下情形视为异常恶劣的气候条件：</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u w:val="single"/>
        </w:rPr>
        <w:t>当地6级以上的破坏性地震</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u w:val="single"/>
        </w:rPr>
        <w:t>暴雨级以上的持续3天的大雨</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u w:val="single"/>
        </w:rPr>
        <w:t>5年以上未发生过的，持续5天的高温天气</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7.9 提前竣工的奖励</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7.9.2提前竣工的奖励：</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392" w:name="_Toc351203640"/>
      <w:r>
        <w:rPr>
          <w:rFonts w:hint="eastAsia" w:ascii="宋体" w:hAnsi="宋体" w:eastAsia="宋体" w:cs="宋体"/>
          <w:sz w:val="21"/>
          <w:szCs w:val="21"/>
          <w:highlight w:val="none"/>
        </w:rPr>
        <w:t>8. 材料与设备</w:t>
      </w:r>
      <w:bookmarkEnd w:id="392"/>
    </w:p>
    <w:bookmarkEnd w:id="327"/>
    <w:bookmarkEnd w:id="328"/>
    <w:bookmarkEnd w:id="329"/>
    <w:bookmarkEnd w:id="330"/>
    <w:bookmarkEnd w:id="331"/>
    <w:bookmarkEnd w:id="332"/>
    <w:bookmarkEnd w:id="333"/>
    <w:bookmarkEnd w:id="334"/>
    <w:bookmarkEnd w:id="335"/>
    <w:bookmarkEnd w:id="336"/>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w:t>
      </w:r>
      <w:bookmarkStart w:id="393" w:name="_Toc296890995"/>
      <w:bookmarkStart w:id="394" w:name="_Toc303539136"/>
      <w:bookmarkStart w:id="395" w:name="_Toc292559877"/>
      <w:bookmarkStart w:id="396" w:name="_Toc297048353"/>
      <w:bookmarkStart w:id="397" w:name="_Toc292559372"/>
      <w:bookmarkStart w:id="398" w:name="_Toc297123527"/>
      <w:bookmarkStart w:id="399" w:name="_Toc312678019"/>
      <w:bookmarkStart w:id="400" w:name="_Toc300934979"/>
      <w:bookmarkStart w:id="401" w:name="_Toc296891207"/>
      <w:bookmarkStart w:id="402" w:name="_Toc296503167"/>
      <w:bookmarkStart w:id="403" w:name="_Toc297216186"/>
      <w:bookmarkStart w:id="404" w:name="_Toc296944506"/>
      <w:bookmarkStart w:id="405" w:name="_Toc280868654"/>
      <w:bookmarkStart w:id="406" w:name="_Toc296346668"/>
      <w:bookmarkStart w:id="407" w:name="_Toc304295556"/>
      <w:bookmarkStart w:id="408" w:name="_Toc296347166"/>
      <w:bookmarkStart w:id="409" w:name="_Toc297120467"/>
      <w:bookmarkStart w:id="410" w:name="_Toc312677493"/>
      <w:bookmarkStart w:id="411" w:name="_Toc280868655"/>
      <w:bookmarkStart w:id="412" w:name="_Toc280868656"/>
      <w:bookmarkStart w:id="413" w:name="_Toc267251424"/>
      <w:r>
        <w:rPr>
          <w:rFonts w:hint="eastAsia" w:ascii="宋体" w:hAnsi="宋体" w:eastAsia="宋体" w:cs="宋体"/>
          <w:sz w:val="21"/>
          <w:szCs w:val="21"/>
          <w:highlight w:val="none"/>
        </w:rPr>
        <w:t>.4材料与工程设备的保管与使用</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w:t>
      </w:r>
      <w:bookmarkStart w:id="414" w:name="_Toc292559373"/>
      <w:bookmarkStart w:id="415" w:name="_Toc292559878"/>
      <w:bookmarkStart w:id="416" w:name="_Toc297216187"/>
      <w:bookmarkStart w:id="417" w:name="_Toc303539137"/>
      <w:bookmarkStart w:id="418" w:name="_Toc297120468"/>
      <w:bookmarkStart w:id="419" w:name="_Toc296890996"/>
      <w:bookmarkStart w:id="420" w:name="_Toc297048354"/>
      <w:bookmarkStart w:id="421" w:name="_Toc312677494"/>
      <w:bookmarkStart w:id="422" w:name="_Toc312678020"/>
      <w:bookmarkStart w:id="423" w:name="_Toc318581173"/>
      <w:bookmarkStart w:id="424" w:name="_Toc300934980"/>
      <w:bookmarkStart w:id="425" w:name="_Toc304295557"/>
      <w:bookmarkStart w:id="426" w:name="_Toc296503168"/>
      <w:bookmarkStart w:id="427" w:name="_Toc296346669"/>
      <w:bookmarkStart w:id="428" w:name="_Toc297123528"/>
      <w:bookmarkStart w:id="429" w:name="_Toc296944507"/>
      <w:bookmarkStart w:id="430" w:name="_Toc296347167"/>
      <w:bookmarkStart w:id="431" w:name="_Toc296891208"/>
      <w:r>
        <w:rPr>
          <w:rFonts w:hint="eastAsia" w:ascii="宋体" w:hAnsi="宋体" w:eastAsia="宋体" w:cs="宋体"/>
          <w:sz w:val="21"/>
          <w:szCs w:val="21"/>
          <w:highlight w:val="none"/>
        </w:rPr>
        <w:t>.4.1发包人供应的材料设备的保管费用的承担：</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bookmarkEnd w:id="414"/>
      <w:bookmarkEnd w:id="415"/>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8.6 样品</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8.6.1</w:t>
      </w:r>
      <w:r>
        <w:rPr>
          <w:rFonts w:hint="eastAsia" w:ascii="宋体" w:hAnsi="宋体" w:eastAsia="宋体" w:cs="宋体"/>
          <w:kern w:val="0"/>
          <w:sz w:val="21"/>
          <w:szCs w:val="21"/>
          <w:highlight w:val="none"/>
        </w:rPr>
        <w:tab/>
      </w:r>
      <w:r>
        <w:rPr>
          <w:rFonts w:hint="eastAsia" w:ascii="宋体" w:hAnsi="宋体" w:eastAsia="宋体" w:cs="宋体"/>
          <w:kern w:val="0"/>
          <w:sz w:val="21"/>
          <w:szCs w:val="21"/>
          <w:highlight w:val="none"/>
        </w:rPr>
        <w:t>样品的报送与封存</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需要承包人报送样品的材料或工程设备，样品的种类、名称、规格、数量要求：</w:t>
      </w:r>
      <w:r>
        <w:rPr>
          <w:rFonts w:hint="eastAsia" w:ascii="宋体" w:hAnsi="宋体" w:eastAsia="宋体" w:cs="宋体"/>
          <w:kern w:val="0"/>
          <w:sz w:val="21"/>
          <w:szCs w:val="21"/>
          <w:highlight w:val="none"/>
          <w:u w:val="single"/>
        </w:rPr>
        <w:t>承包人按设计及图纸要求根据工程所需采购材料且</w:t>
      </w:r>
      <w:r>
        <w:rPr>
          <w:rFonts w:hint="eastAsia" w:ascii="宋体" w:hAnsi="宋体" w:eastAsia="宋体" w:cs="宋体"/>
          <w:b/>
          <w:kern w:val="0"/>
          <w:sz w:val="21"/>
          <w:szCs w:val="21"/>
          <w:highlight w:val="none"/>
          <w:u w:val="single"/>
        </w:rPr>
        <w:t>①按投标单位报价指定的材料采购，其品种、规格、型号、质量等级应与投标清单相符，采购的样品必须先经监理和发包人认可；如因特殊原因不能从发包人推荐品牌中采购相应材料或设备时，应报请发包人并取得发包人书面同意方可采用，否则因此造成的一切后果由承包人负责；②货到接受监理、发包人检查；③在监理监督下，按规定送检或试验；④工程量清单中的暂定价的材料，必须经发包人在品牌、规格、颜色及单价等方面审定后方能采购。</w:t>
      </w:r>
    </w:p>
    <w:p>
      <w:pPr>
        <w:autoSpaceDE w:val="0"/>
        <w:autoSpaceDN w:val="0"/>
        <w:adjustRightInd w:val="0"/>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8.8 施工设备和临时设施</w:t>
      </w:r>
    </w:p>
    <w:p>
      <w:pPr>
        <w:autoSpaceDE w:val="0"/>
        <w:autoSpaceDN w:val="0"/>
        <w:adjustRightInd w:val="0"/>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8.8.1 承包人提供的施工设备和临时设施</w:t>
      </w:r>
    </w:p>
    <w:p>
      <w:pPr>
        <w:autoSpaceDE w:val="0"/>
        <w:autoSpaceDN w:val="0"/>
        <w:adjustRightInd w:val="0"/>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关于修建临时设施费用承担的约定：</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keepNext/>
        <w:keepLines/>
        <w:spacing w:before="120" w:after="120" w:line="300" w:lineRule="exact"/>
        <w:outlineLvl w:val="3"/>
        <w:rPr>
          <w:rFonts w:hint="eastAsia" w:ascii="宋体" w:hAnsi="宋体" w:eastAsia="宋体" w:cs="宋体"/>
          <w:sz w:val="21"/>
          <w:szCs w:val="21"/>
          <w:highlight w:val="none"/>
        </w:rPr>
      </w:pPr>
      <w:bookmarkStart w:id="432" w:name="_Toc351203641"/>
      <w:r>
        <w:rPr>
          <w:rFonts w:hint="eastAsia" w:ascii="宋体" w:hAnsi="宋体" w:eastAsia="宋体" w:cs="宋体"/>
          <w:sz w:val="21"/>
          <w:szCs w:val="21"/>
          <w:highlight w:val="none"/>
        </w:rPr>
        <w:t>9</w:t>
      </w:r>
      <w:bookmarkEnd w:id="411"/>
      <w:bookmarkEnd w:id="412"/>
      <w:bookmarkEnd w:id="413"/>
      <w:bookmarkStart w:id="433" w:name="_Toc312677495"/>
      <w:bookmarkStart w:id="434" w:name="_Toc303539139"/>
      <w:bookmarkStart w:id="435" w:name="_Toc304295559"/>
      <w:bookmarkStart w:id="436" w:name="_Toc297216192"/>
      <w:bookmarkStart w:id="437" w:name="_Toc300934982"/>
      <w:bookmarkStart w:id="438" w:name="_Toc312678021"/>
      <w:bookmarkStart w:id="439" w:name="_Toc297123533"/>
      <w:bookmarkStart w:id="440" w:name="_Toc296891001"/>
      <w:bookmarkStart w:id="441" w:name="_Toc267251428"/>
      <w:bookmarkStart w:id="442" w:name="_Toc296347172"/>
      <w:bookmarkStart w:id="443" w:name="_Toc296346674"/>
      <w:bookmarkStart w:id="444" w:name="_Toc267251427"/>
      <w:bookmarkStart w:id="445" w:name="_Toc296891213"/>
      <w:bookmarkStart w:id="446" w:name="_Toc297048359"/>
      <w:bookmarkStart w:id="447" w:name="_Toc296944512"/>
      <w:bookmarkStart w:id="448" w:name="_Toc296503173"/>
      <w:bookmarkStart w:id="449" w:name="_Toc292559378"/>
      <w:bookmarkStart w:id="450" w:name="_Toc292559883"/>
      <w:bookmarkStart w:id="451" w:name="_Toc297120473"/>
      <w:r>
        <w:rPr>
          <w:rFonts w:hint="eastAsia" w:ascii="宋体" w:hAnsi="宋体" w:eastAsia="宋体" w:cs="宋体"/>
          <w:sz w:val="21"/>
          <w:szCs w:val="21"/>
          <w:highlight w:val="none"/>
        </w:rPr>
        <w:t>. 试验与检验</w:t>
      </w:r>
      <w:bookmarkEnd w:id="432"/>
    </w:p>
    <w:bookmarkEnd w:id="433"/>
    <w:bookmarkEnd w:id="434"/>
    <w:bookmarkEnd w:id="435"/>
    <w:bookmarkEnd w:id="436"/>
    <w:bookmarkEnd w:id="437"/>
    <w:bookmarkEnd w:id="438"/>
    <w:bookmarkEnd w:id="439"/>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w:t>
      </w:r>
      <w:bookmarkStart w:id="452" w:name="_Toc312677496"/>
      <w:bookmarkStart w:id="453" w:name="_Toc300934983"/>
      <w:bookmarkStart w:id="454" w:name="_Toc304295560"/>
      <w:bookmarkStart w:id="455" w:name="_Toc312678022"/>
      <w:bookmarkStart w:id="456" w:name="_Toc297216193"/>
      <w:bookmarkStart w:id="457" w:name="_Toc297123534"/>
      <w:bookmarkStart w:id="458" w:name="_Toc303539140"/>
      <w:r>
        <w:rPr>
          <w:rFonts w:hint="eastAsia" w:ascii="宋体" w:hAnsi="宋体" w:eastAsia="宋体" w:cs="宋体"/>
          <w:sz w:val="21"/>
          <w:szCs w:val="21"/>
          <w:highlight w:val="none"/>
        </w:rPr>
        <w:t>.1试验设备与试验人员</w:t>
      </w:r>
    </w:p>
    <w:bookmarkEnd w:id="452"/>
    <w:bookmarkEnd w:id="453"/>
    <w:bookmarkEnd w:id="454"/>
    <w:bookmarkEnd w:id="455"/>
    <w:bookmarkEnd w:id="456"/>
    <w:bookmarkEnd w:id="457"/>
    <w:bookmarkEnd w:id="458"/>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9</w:t>
      </w:r>
      <w:bookmarkStart w:id="459" w:name="_Toc312678023"/>
      <w:bookmarkStart w:id="460" w:name="_Toc303539141"/>
      <w:bookmarkStart w:id="461" w:name="_Toc297123535"/>
      <w:bookmarkStart w:id="462" w:name="_Toc312677497"/>
      <w:bookmarkStart w:id="463" w:name="_Toc297216194"/>
      <w:bookmarkStart w:id="464" w:name="_Toc300934984"/>
      <w:bookmarkStart w:id="465" w:name="_Toc304295561"/>
      <w:bookmarkStart w:id="466" w:name="_Toc318581174"/>
      <w:r>
        <w:rPr>
          <w:rFonts w:hint="eastAsia" w:ascii="宋体" w:hAnsi="宋体" w:eastAsia="宋体" w:cs="宋体"/>
          <w:sz w:val="21"/>
          <w:szCs w:val="21"/>
          <w:highlight w:val="none"/>
        </w:rPr>
        <w:t>.1.2 试验设备</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施工现场需要配置的试验场所：</w:t>
      </w:r>
      <w:bookmarkEnd w:id="459"/>
      <w:bookmarkEnd w:id="460"/>
      <w:bookmarkEnd w:id="461"/>
      <w:bookmarkEnd w:id="462"/>
      <w:bookmarkEnd w:id="463"/>
      <w:bookmarkEnd w:id="464"/>
      <w:bookmarkEnd w:id="465"/>
      <w:bookmarkStart w:id="467" w:name="_Toc303539142"/>
      <w:bookmarkStart w:id="468" w:name="_Toc297216195"/>
      <w:bookmarkStart w:id="469" w:name="_Toc304295562"/>
      <w:bookmarkStart w:id="470" w:name="_Toc312677498"/>
      <w:bookmarkStart w:id="471" w:name="_Toc297123536"/>
      <w:bookmarkStart w:id="472" w:name="_Toc300934985"/>
      <w:bookmarkStart w:id="473" w:name="_Toc312678024"/>
      <w:r>
        <w:rPr>
          <w:rFonts w:hint="eastAsia" w:ascii="宋体" w:hAnsi="宋体" w:eastAsia="宋体" w:cs="宋体"/>
          <w:sz w:val="21"/>
          <w:szCs w:val="21"/>
          <w:highlight w:val="none"/>
          <w:u w:val="single"/>
        </w:rPr>
        <w:t xml:space="preserve"> 根据国家及地方有关规定和现场实际情况配置 </w:t>
      </w:r>
      <w:r>
        <w:rPr>
          <w:rFonts w:hint="eastAsia" w:ascii="宋体" w:hAnsi="宋体" w:eastAsia="宋体" w:cs="宋体"/>
          <w:sz w:val="21"/>
          <w:szCs w:val="21"/>
          <w:highlight w:val="none"/>
        </w:rPr>
        <w:t xml:space="preserve">。 </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施工现场需要配备的试验设备：</w:t>
      </w:r>
      <w:r>
        <w:rPr>
          <w:rFonts w:hint="eastAsia" w:ascii="宋体" w:hAnsi="宋体" w:eastAsia="宋体" w:cs="宋体"/>
          <w:sz w:val="21"/>
          <w:szCs w:val="21"/>
          <w:highlight w:val="none"/>
          <w:u w:val="single"/>
        </w:rPr>
        <w:t xml:space="preserve"> 根据国家及地方有关规定和现场实际情况配置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施工现场需要具备的其他试验条件：</w:t>
      </w:r>
      <w:r>
        <w:rPr>
          <w:rFonts w:hint="eastAsia" w:ascii="宋体" w:hAnsi="宋体" w:eastAsia="宋体" w:cs="宋体"/>
          <w:sz w:val="21"/>
          <w:szCs w:val="21"/>
          <w:highlight w:val="none"/>
          <w:u w:val="single"/>
        </w:rPr>
        <w:t xml:space="preserve"> 根据国家及地方有关规定和现场实际情况配置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9.4 现场工艺试验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现场工艺试验的有关约定：</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bookmarkEnd w:id="466"/>
    <w:bookmarkEnd w:id="467"/>
    <w:bookmarkEnd w:id="468"/>
    <w:bookmarkEnd w:id="469"/>
    <w:bookmarkEnd w:id="470"/>
    <w:bookmarkEnd w:id="471"/>
    <w:bookmarkEnd w:id="472"/>
    <w:bookmarkEnd w:id="473"/>
    <w:p>
      <w:pPr>
        <w:keepNext/>
        <w:keepLines/>
        <w:spacing w:before="120" w:after="120" w:line="300" w:lineRule="exact"/>
        <w:outlineLvl w:val="3"/>
        <w:rPr>
          <w:rFonts w:hint="eastAsia" w:ascii="宋体" w:hAnsi="宋体" w:eastAsia="宋体" w:cs="宋体"/>
          <w:sz w:val="21"/>
          <w:szCs w:val="21"/>
          <w:highlight w:val="none"/>
        </w:rPr>
      </w:pPr>
      <w:bookmarkStart w:id="474" w:name="_Toc351203642"/>
      <w:r>
        <w:rPr>
          <w:rFonts w:hint="eastAsia" w:ascii="宋体" w:hAnsi="宋体" w:eastAsia="宋体" w:cs="宋体"/>
          <w:sz w:val="21"/>
          <w:szCs w:val="21"/>
          <w:highlight w:val="none"/>
        </w:rPr>
        <w:t>1</w:t>
      </w:r>
      <w:bookmarkEnd w:id="440"/>
      <w:bookmarkEnd w:id="441"/>
      <w:bookmarkEnd w:id="442"/>
      <w:bookmarkEnd w:id="443"/>
      <w:bookmarkEnd w:id="444"/>
      <w:bookmarkEnd w:id="445"/>
      <w:bookmarkEnd w:id="446"/>
      <w:bookmarkEnd w:id="447"/>
      <w:bookmarkEnd w:id="448"/>
      <w:bookmarkEnd w:id="449"/>
      <w:bookmarkEnd w:id="450"/>
      <w:bookmarkEnd w:id="451"/>
      <w:bookmarkStart w:id="475" w:name="_Toc297123540"/>
      <w:bookmarkStart w:id="476" w:name="_Toc296346694"/>
      <w:bookmarkStart w:id="477" w:name="_Toc296347192"/>
      <w:bookmarkStart w:id="478" w:name="_Toc297216199"/>
      <w:bookmarkStart w:id="479" w:name="_Toc292559903"/>
      <w:bookmarkStart w:id="480" w:name="_Toc296891021"/>
      <w:bookmarkStart w:id="481" w:name="_Toc296944532"/>
      <w:bookmarkStart w:id="482" w:name="_Toc292559398"/>
      <w:bookmarkStart w:id="483" w:name="_Toc296503193"/>
      <w:bookmarkStart w:id="484" w:name="_Toc300934989"/>
      <w:bookmarkStart w:id="485" w:name="_Toc297120493"/>
      <w:bookmarkStart w:id="486" w:name="_Toc304295566"/>
      <w:bookmarkStart w:id="487" w:name="_Toc297048379"/>
      <w:bookmarkStart w:id="488" w:name="_Toc296891233"/>
      <w:bookmarkStart w:id="489" w:name="_Toc303539146"/>
      <w:bookmarkStart w:id="490" w:name="_Toc312677499"/>
      <w:bookmarkStart w:id="491" w:name="_Toc312678025"/>
      <w:bookmarkStart w:id="492" w:name="_Toc267251439"/>
      <w:bookmarkStart w:id="493" w:name="_Toc267251440"/>
      <w:bookmarkStart w:id="494" w:name="_Toc267251437"/>
      <w:bookmarkStart w:id="495" w:name="_Toc267251433"/>
      <w:bookmarkStart w:id="496" w:name="_Toc267251435"/>
      <w:bookmarkStart w:id="497" w:name="_Toc267251441"/>
      <w:bookmarkStart w:id="498" w:name="_Toc267251442"/>
      <w:r>
        <w:rPr>
          <w:rFonts w:hint="eastAsia" w:ascii="宋体" w:hAnsi="宋体" w:eastAsia="宋体" w:cs="宋体"/>
          <w:sz w:val="21"/>
          <w:szCs w:val="21"/>
          <w:highlight w:val="none"/>
        </w:rPr>
        <w:t>0. 变更</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bookmarkEnd w:id="490"/>
    <w:bookmarkEnd w:id="491"/>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Start w:id="499" w:name="_Toc296891234"/>
      <w:bookmarkStart w:id="500" w:name="_Toc312678026"/>
      <w:bookmarkStart w:id="501" w:name="_Toc296503194"/>
      <w:bookmarkStart w:id="502" w:name="_Toc304295567"/>
      <w:bookmarkStart w:id="503" w:name="_Toc296944533"/>
      <w:bookmarkStart w:id="504" w:name="_Toc292559399"/>
      <w:bookmarkStart w:id="505" w:name="_Toc292559904"/>
      <w:bookmarkStart w:id="506" w:name="_Toc296346695"/>
      <w:bookmarkStart w:id="507" w:name="_Toc300934990"/>
      <w:bookmarkStart w:id="508" w:name="_Toc296891022"/>
      <w:bookmarkStart w:id="509" w:name="_Toc297123541"/>
      <w:bookmarkStart w:id="510" w:name="_Toc296347193"/>
      <w:bookmarkStart w:id="511" w:name="_Toc312677500"/>
      <w:bookmarkStart w:id="512" w:name="_Toc297120494"/>
      <w:bookmarkStart w:id="513" w:name="_Toc297216200"/>
      <w:bookmarkStart w:id="514" w:name="_Toc303539147"/>
      <w:bookmarkStart w:id="515" w:name="_Toc297048380"/>
      <w:r>
        <w:rPr>
          <w:rFonts w:hint="eastAsia" w:ascii="宋体" w:hAnsi="宋体" w:eastAsia="宋体" w:cs="宋体"/>
          <w:sz w:val="21"/>
          <w:szCs w:val="21"/>
          <w:highlight w:val="none"/>
        </w:rPr>
        <w:t>0.1变更的范围</w:t>
      </w:r>
    </w:p>
    <w:p>
      <w:pPr>
        <w:spacing w:line="300" w:lineRule="exact"/>
        <w:ind w:firstLine="6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关于变更的范围的约定：</w:t>
      </w:r>
      <w:r>
        <w:rPr>
          <w:rFonts w:hint="eastAsia" w:ascii="宋体" w:hAnsi="宋体" w:eastAsia="宋体" w:cs="宋体"/>
          <w:sz w:val="21"/>
          <w:szCs w:val="21"/>
          <w:highlight w:val="none"/>
          <w:u w:val="single"/>
        </w:rPr>
        <w:t>按通用条款执行</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10.4 变更估价</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10.4.1 变更估价原则</w:t>
      </w:r>
    </w:p>
    <w:p>
      <w:pPr>
        <w:spacing w:line="346" w:lineRule="exact"/>
        <w:ind w:firstLine="420" w:firstLineChars="200"/>
        <w:jc w:val="left"/>
        <w:rPr>
          <w:rFonts w:hint="eastAsia" w:ascii="宋体" w:hAnsi="宋体" w:eastAsia="宋体" w:cs="宋体"/>
          <w:bCs/>
          <w:sz w:val="21"/>
          <w:szCs w:val="21"/>
          <w:highlight w:val="none"/>
        </w:rPr>
      </w:pPr>
      <w:bookmarkStart w:id="516" w:name="_Toc251051742"/>
      <w:r>
        <w:rPr>
          <w:rFonts w:hint="eastAsia" w:ascii="宋体" w:hAnsi="宋体" w:eastAsia="宋体" w:cs="宋体"/>
          <w:bCs/>
          <w:sz w:val="21"/>
          <w:szCs w:val="21"/>
          <w:highlight w:val="none"/>
        </w:rPr>
        <w:t>因设计变更、相关签证及招标工程量清单错项、漏项引起工程项目、工程量任何变化的，变更合同价款按下列方法进行：</w:t>
      </w:r>
      <w:bookmarkEnd w:id="516"/>
      <w:r>
        <w:rPr>
          <w:rFonts w:hint="eastAsia" w:ascii="宋体" w:hAnsi="宋体" w:eastAsia="宋体" w:cs="宋体"/>
          <w:bCs/>
          <w:sz w:val="21"/>
          <w:szCs w:val="21"/>
          <w:highlight w:val="none"/>
        </w:rPr>
        <w:fldChar w:fldCharType="begin"/>
      </w:r>
      <w:r>
        <w:rPr>
          <w:rFonts w:hint="eastAsia" w:ascii="宋体" w:hAnsi="宋体" w:eastAsia="宋体" w:cs="宋体"/>
          <w:bCs/>
          <w:sz w:val="21"/>
          <w:szCs w:val="21"/>
          <w:highlight w:val="none"/>
        </w:rPr>
        <w:instrText xml:space="preserve"> = 1 \* GB3 </w:instrText>
      </w:r>
      <w:r>
        <w:rPr>
          <w:rFonts w:hint="eastAsia" w:ascii="宋体" w:hAnsi="宋体" w:eastAsia="宋体" w:cs="宋体"/>
          <w:bCs/>
          <w:sz w:val="21"/>
          <w:szCs w:val="21"/>
          <w:highlight w:val="none"/>
        </w:rPr>
        <w:fldChar w:fldCharType="separate"/>
      </w:r>
      <w:r>
        <w:rPr>
          <w:rFonts w:hint="eastAsia" w:ascii="宋体" w:hAnsi="宋体" w:eastAsia="宋体" w:cs="宋体"/>
          <w:bCs/>
          <w:sz w:val="21"/>
          <w:szCs w:val="21"/>
          <w:highlight w:val="none"/>
        </w:rPr>
        <w:t>①</w:t>
      </w:r>
      <w:r>
        <w:rPr>
          <w:rFonts w:hint="eastAsia" w:ascii="宋体" w:hAnsi="宋体" w:eastAsia="宋体" w:cs="宋体"/>
          <w:bCs/>
          <w:sz w:val="21"/>
          <w:szCs w:val="21"/>
          <w:highlight w:val="none"/>
        </w:rPr>
        <w:fldChar w:fldCharType="end"/>
      </w:r>
      <w:r>
        <w:rPr>
          <w:rFonts w:hint="eastAsia" w:ascii="宋体" w:hAnsi="宋体" w:eastAsia="宋体" w:cs="宋体"/>
          <w:bCs/>
          <w:sz w:val="21"/>
          <w:szCs w:val="21"/>
          <w:highlight w:val="none"/>
        </w:rPr>
        <w:t>合同中已有适用于变更工程的项，按合同中已有的综合单价确定；</w:t>
      </w:r>
      <w:r>
        <w:rPr>
          <w:rFonts w:hint="eastAsia" w:ascii="宋体" w:hAnsi="宋体" w:eastAsia="宋体" w:cs="宋体"/>
          <w:bCs/>
          <w:sz w:val="21"/>
          <w:szCs w:val="21"/>
          <w:highlight w:val="none"/>
        </w:rPr>
        <w:fldChar w:fldCharType="begin"/>
      </w:r>
      <w:r>
        <w:rPr>
          <w:rFonts w:hint="eastAsia" w:ascii="宋体" w:hAnsi="宋体" w:eastAsia="宋体" w:cs="宋体"/>
          <w:bCs/>
          <w:sz w:val="21"/>
          <w:szCs w:val="21"/>
          <w:highlight w:val="none"/>
        </w:rPr>
        <w:instrText xml:space="preserve"> = 2 \* GB3 </w:instrText>
      </w:r>
      <w:r>
        <w:rPr>
          <w:rFonts w:hint="eastAsia" w:ascii="宋体" w:hAnsi="宋体" w:eastAsia="宋体" w:cs="宋体"/>
          <w:bCs/>
          <w:sz w:val="21"/>
          <w:szCs w:val="21"/>
          <w:highlight w:val="none"/>
        </w:rPr>
        <w:fldChar w:fldCharType="separate"/>
      </w:r>
      <w:r>
        <w:rPr>
          <w:rFonts w:hint="eastAsia" w:ascii="宋体" w:hAnsi="宋体" w:eastAsia="宋体" w:cs="宋体"/>
          <w:bCs/>
          <w:sz w:val="21"/>
          <w:szCs w:val="21"/>
          <w:highlight w:val="none"/>
        </w:rPr>
        <w:t>②</w:t>
      </w:r>
      <w:r>
        <w:rPr>
          <w:rFonts w:hint="eastAsia" w:ascii="宋体" w:hAnsi="宋体" w:eastAsia="宋体" w:cs="宋体"/>
          <w:bCs/>
          <w:sz w:val="21"/>
          <w:szCs w:val="21"/>
          <w:highlight w:val="none"/>
        </w:rPr>
        <w:fldChar w:fldCharType="end"/>
      </w:r>
      <w:r>
        <w:rPr>
          <w:rFonts w:hint="eastAsia" w:ascii="宋体" w:hAnsi="宋体" w:eastAsia="宋体" w:cs="宋体"/>
          <w:bCs/>
          <w:sz w:val="21"/>
          <w:szCs w:val="21"/>
          <w:highlight w:val="none"/>
        </w:rPr>
        <w:t>合同中有类似变更工程的项（指工程量清单项目中除主要材料不同外，人工、机械及其他材料均相同的项），综合单价按已有类似的综合单价加材料价差来确定；③合同中没有适用或类似于变更工程的项，其综合单价套用广西现行消耗量定额，费率按预算价的费率构成计取，材料价按施工期《桂林建设工程造价信息》（</w:t>
      </w:r>
      <w:r>
        <w:rPr>
          <w:rFonts w:hint="eastAsia" w:ascii="宋体" w:hAnsi="宋体" w:eastAsia="宋体" w:cs="宋体"/>
          <w:bCs/>
          <w:sz w:val="21"/>
          <w:szCs w:val="21"/>
          <w:highlight w:val="none"/>
          <w:lang w:eastAsia="zh-CN"/>
        </w:rPr>
        <w:t>永福</w:t>
      </w:r>
      <w:r>
        <w:rPr>
          <w:rFonts w:hint="eastAsia" w:ascii="宋体" w:hAnsi="宋体" w:eastAsia="宋体" w:cs="宋体"/>
          <w:bCs/>
          <w:sz w:val="21"/>
          <w:szCs w:val="21"/>
          <w:highlight w:val="none"/>
        </w:rPr>
        <w:t>县）公布价格的算数平均值计取，装修、水电材料以及材料价格缺项的根据市场询价签证确定其材料价格，最后总价乘以系数（投标报价/预算价）；④不适用上述条款的项，则由发包人和承包人协商签证确定；⑤因不可抗力产生的费用由发包人及承包人双方协商分担。</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Start w:id="517" w:name="_Toc300934993"/>
      <w:bookmarkStart w:id="518" w:name="_Toc296891237"/>
      <w:bookmarkStart w:id="519" w:name="_Toc297123544"/>
      <w:bookmarkStart w:id="520" w:name="_Toc297048383"/>
      <w:bookmarkStart w:id="521" w:name="_Toc292559907"/>
      <w:bookmarkStart w:id="522" w:name="_Toc303539150"/>
      <w:bookmarkStart w:id="523" w:name="_Toc292559402"/>
      <w:bookmarkStart w:id="524" w:name="_Toc296944536"/>
      <w:bookmarkStart w:id="525" w:name="_Toc296347196"/>
      <w:bookmarkStart w:id="526" w:name="_Toc297120497"/>
      <w:bookmarkStart w:id="527" w:name="_Toc296891025"/>
      <w:bookmarkStart w:id="528" w:name="_Toc297216203"/>
      <w:bookmarkStart w:id="529" w:name="_Toc296346698"/>
      <w:bookmarkStart w:id="530" w:name="_Toc296503197"/>
      <w:bookmarkStart w:id="531" w:name="_Toc312677503"/>
      <w:bookmarkStart w:id="532" w:name="_Toc304295570"/>
      <w:bookmarkStart w:id="533" w:name="_Toc312678029"/>
      <w:r>
        <w:rPr>
          <w:rFonts w:hint="eastAsia" w:ascii="宋体" w:hAnsi="宋体" w:eastAsia="宋体" w:cs="宋体"/>
          <w:sz w:val="21"/>
          <w:szCs w:val="21"/>
          <w:highlight w:val="none"/>
        </w:rPr>
        <w:t>0.5承</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Start w:id="534" w:name="_Toc300934994"/>
      <w:bookmarkStart w:id="535" w:name="_Toc296891243"/>
      <w:bookmarkStart w:id="536" w:name="_Toc297123545"/>
      <w:bookmarkStart w:id="537" w:name="_Toc297048389"/>
      <w:bookmarkStart w:id="538" w:name="_Toc296944542"/>
      <w:bookmarkStart w:id="539" w:name="_Toc297216204"/>
      <w:bookmarkStart w:id="540" w:name="_Toc296347202"/>
      <w:bookmarkStart w:id="541" w:name="_Toc296503203"/>
      <w:bookmarkStart w:id="542" w:name="_Toc296346704"/>
      <w:bookmarkStart w:id="543" w:name="_Toc297120503"/>
      <w:bookmarkStart w:id="544" w:name="_Toc296891031"/>
      <w:bookmarkStart w:id="545" w:name="_Toc292559913"/>
      <w:bookmarkStart w:id="546" w:name="_Toc292559408"/>
      <w:bookmarkStart w:id="547" w:name="_Toc303539151"/>
      <w:r>
        <w:rPr>
          <w:rFonts w:hint="eastAsia" w:ascii="宋体" w:hAnsi="宋体" w:eastAsia="宋体" w:cs="宋体"/>
          <w:sz w:val="21"/>
          <w:szCs w:val="21"/>
          <w:highlight w:val="none"/>
        </w:rPr>
        <w:t>包人的合理化建议</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监理人审查承包人合理化建议的期限：</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发包人审批承包人合理化建议的期限：</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承</w:t>
      </w:r>
      <w:bookmarkStart w:id="548" w:name="_Toc296346705"/>
      <w:bookmarkStart w:id="549" w:name="_Toc318581175"/>
      <w:bookmarkStart w:id="550" w:name="_Toc312677504"/>
      <w:bookmarkStart w:id="551" w:name="_Toc296891244"/>
      <w:bookmarkStart w:id="552" w:name="_Toc297123546"/>
      <w:bookmarkStart w:id="553" w:name="_Toc303539152"/>
      <w:bookmarkStart w:id="554" w:name="_Toc297048390"/>
      <w:bookmarkStart w:id="555" w:name="_Toc296891032"/>
      <w:bookmarkStart w:id="556" w:name="_Toc296503204"/>
      <w:bookmarkStart w:id="557" w:name="_Toc297120504"/>
      <w:bookmarkStart w:id="558" w:name="_Toc292559409"/>
      <w:bookmarkStart w:id="559" w:name="_Toc296347203"/>
      <w:bookmarkStart w:id="560" w:name="_Toc304295571"/>
      <w:bookmarkStart w:id="561" w:name="_Toc297216205"/>
      <w:bookmarkStart w:id="562" w:name="_Toc300934995"/>
      <w:bookmarkStart w:id="563" w:name="_Toc292559914"/>
      <w:bookmarkStart w:id="564" w:name="_Toc296944543"/>
      <w:bookmarkStart w:id="565" w:name="_Toc312678030"/>
      <w:r>
        <w:rPr>
          <w:rFonts w:hint="eastAsia" w:ascii="宋体" w:hAnsi="宋体" w:eastAsia="宋体" w:cs="宋体"/>
          <w:sz w:val="21"/>
          <w:szCs w:val="21"/>
          <w:highlight w:val="none"/>
        </w:rPr>
        <w:t>包人提出的合理化建议降低了合同价格或者提高了工程经济效益的奖励的方法和金额为：</w:t>
      </w:r>
      <w:r>
        <w:rPr>
          <w:rFonts w:hint="eastAsia" w:ascii="宋体" w:hAnsi="宋体" w:eastAsia="宋体" w:cs="宋体"/>
          <w:sz w:val="21"/>
          <w:szCs w:val="21"/>
          <w:highlight w:val="none"/>
          <w:u w:val="single"/>
        </w:rPr>
        <w:t xml:space="preserve">                                </w:t>
      </w:r>
    </w:p>
    <w:p>
      <w:pPr>
        <w:spacing w:line="300" w:lineRule="exact"/>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Start w:id="566" w:name="_Toc297048385"/>
      <w:bookmarkStart w:id="567" w:name="_Toc296944538"/>
      <w:bookmarkStart w:id="568" w:name="_Toc304295574"/>
      <w:bookmarkStart w:id="569" w:name="_Toc292559404"/>
      <w:bookmarkStart w:id="570" w:name="_Toc296346700"/>
      <w:bookmarkStart w:id="571" w:name="_Toc312677507"/>
      <w:bookmarkStart w:id="572" w:name="_Toc297120499"/>
      <w:bookmarkStart w:id="573" w:name="_Toc297123548"/>
      <w:bookmarkStart w:id="574" w:name="_Toc312678033"/>
      <w:bookmarkStart w:id="575" w:name="_Toc303539154"/>
      <w:bookmarkStart w:id="576" w:name="_Toc296891027"/>
      <w:bookmarkStart w:id="577" w:name="_Toc296503199"/>
      <w:bookmarkStart w:id="578" w:name="_Toc297216207"/>
      <w:bookmarkStart w:id="579" w:name="_Toc292559909"/>
      <w:bookmarkStart w:id="580" w:name="_Toc296891239"/>
      <w:bookmarkStart w:id="581" w:name="_Toc300934997"/>
      <w:bookmarkStart w:id="582" w:name="_Toc296347198"/>
      <w:r>
        <w:rPr>
          <w:rFonts w:hint="eastAsia" w:ascii="宋体" w:hAnsi="宋体" w:eastAsia="宋体" w:cs="宋体"/>
          <w:sz w:val="21"/>
          <w:szCs w:val="21"/>
          <w:highlight w:val="none"/>
        </w:rPr>
        <w:t>0.7 暂估价</w:t>
      </w:r>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暂</w:t>
      </w:r>
      <w:bookmarkStart w:id="583" w:name="_Toc312678034"/>
      <w:bookmarkStart w:id="584" w:name="_Toc318581176"/>
      <w:bookmarkStart w:id="585" w:name="_Toc312677508"/>
      <w:r>
        <w:rPr>
          <w:rFonts w:hint="eastAsia" w:ascii="宋体" w:hAnsi="宋体" w:eastAsia="宋体" w:cs="宋体"/>
          <w:kern w:val="0"/>
          <w:sz w:val="21"/>
          <w:szCs w:val="21"/>
          <w:highlight w:val="none"/>
        </w:rPr>
        <w:t>估价材料和工程设备的明细详见附件11：《</w:t>
      </w:r>
      <w:r>
        <w:rPr>
          <w:rFonts w:hint="eastAsia" w:ascii="宋体" w:hAnsi="宋体" w:eastAsia="宋体" w:cs="宋体"/>
          <w:sz w:val="21"/>
          <w:szCs w:val="21"/>
          <w:highlight w:val="none"/>
        </w:rPr>
        <w:t>暂估价一览表》</w:t>
      </w:r>
      <w:r>
        <w:rPr>
          <w:rFonts w:hint="eastAsia" w:ascii="宋体" w:hAnsi="宋体" w:eastAsia="宋体" w:cs="宋体"/>
          <w:kern w:val="0"/>
          <w:sz w:val="21"/>
          <w:szCs w:val="21"/>
          <w:highlight w:val="none"/>
        </w:rPr>
        <w:t>。</w:t>
      </w:r>
    </w:p>
    <w:bookmarkEnd w:id="583"/>
    <w:bookmarkEnd w:id="584"/>
    <w:bookmarkEnd w:id="585"/>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Start w:id="586" w:name="_Toc312677509"/>
      <w:bookmarkStart w:id="587" w:name="_Toc312678035"/>
      <w:bookmarkStart w:id="588" w:name="_Toc318581177"/>
      <w:r>
        <w:rPr>
          <w:rFonts w:hint="eastAsia" w:ascii="宋体" w:hAnsi="宋体" w:eastAsia="宋体" w:cs="宋体"/>
          <w:sz w:val="21"/>
          <w:szCs w:val="21"/>
          <w:highlight w:val="none"/>
        </w:rPr>
        <w:t>0.7.1 依法必须招标的暂估价项目</w:t>
      </w:r>
    </w:p>
    <w:bookmarkEnd w:id="586"/>
    <w:bookmarkEnd w:id="587"/>
    <w:bookmarkEnd w:id="588"/>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对于依法必须招标的暂估价项目的确认和批准采取第</w:t>
      </w:r>
      <w:r>
        <w:rPr>
          <w:rFonts w:hint="eastAsia" w:ascii="宋体" w:hAnsi="宋体" w:eastAsia="宋体" w:cs="宋体"/>
          <w:sz w:val="21"/>
          <w:szCs w:val="21"/>
          <w:highlight w:val="none"/>
          <w:u w:val="single"/>
        </w:rPr>
        <w:t xml:space="preserve">  2  </w:t>
      </w:r>
      <w:r>
        <w:rPr>
          <w:rFonts w:hint="eastAsia" w:ascii="宋体" w:hAnsi="宋体" w:eastAsia="宋体" w:cs="宋体"/>
          <w:sz w:val="21"/>
          <w:szCs w:val="21"/>
          <w:highlight w:val="none"/>
        </w:rPr>
        <w:t>种方式确定。</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10.7.2 不属于依法必须招标的暂估价项目</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对于不属于依法必须招标的暂估价项目的确认和批准采取第</w:t>
      </w:r>
      <w:r>
        <w:rPr>
          <w:rFonts w:hint="eastAsia" w:ascii="宋体" w:hAnsi="宋体" w:eastAsia="宋体" w:cs="宋体"/>
          <w:sz w:val="21"/>
          <w:szCs w:val="21"/>
          <w:highlight w:val="none"/>
          <w:u w:val="single"/>
        </w:rPr>
        <w:t xml:space="preserve"> 1  </w:t>
      </w:r>
      <w:r>
        <w:rPr>
          <w:rFonts w:hint="eastAsia" w:ascii="宋体" w:hAnsi="宋体" w:eastAsia="宋体" w:cs="宋体"/>
          <w:sz w:val="21"/>
          <w:szCs w:val="21"/>
          <w:highlight w:val="none"/>
        </w:rPr>
        <w:t>种方式确定。</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第3种方式：</w:t>
      </w:r>
      <w:r>
        <w:rPr>
          <w:rFonts w:hint="eastAsia" w:ascii="宋体" w:hAnsi="宋体" w:eastAsia="宋体" w:cs="宋体"/>
          <w:kern w:val="0"/>
          <w:sz w:val="21"/>
          <w:szCs w:val="21"/>
          <w:highlight w:val="none"/>
        </w:rPr>
        <w:t>承包人直接实施的暂估价项目</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承包人直接实施的暂估价项目的约定：</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10.8 暂列金额</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合同当事人关于暂列金额使用的约定：</w:t>
      </w:r>
      <w:r>
        <w:rPr>
          <w:rFonts w:hint="eastAsia" w:ascii="宋体" w:hAnsi="宋体" w:eastAsia="宋体" w:cs="宋体"/>
          <w:sz w:val="21"/>
          <w:szCs w:val="21"/>
          <w:highlight w:val="none"/>
          <w:u w:val="single"/>
        </w:rPr>
        <w:t xml:space="preserve">（1）已签约合同价中的暂列金额由发包人掌握使用。 </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bCs/>
          <w:sz w:val="21"/>
          <w:szCs w:val="21"/>
          <w:highlight w:val="none"/>
          <w:u w:val="single"/>
        </w:rPr>
        <w:t>（2）发包人按照规定所作支付后，暂列金额如有余额归发包人</w:t>
      </w:r>
      <w:r>
        <w:rPr>
          <w:rFonts w:hint="eastAsia" w:ascii="宋体" w:hAnsi="宋体" w:eastAsia="宋体" w:cs="宋体"/>
          <w:kern w:val="0"/>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589" w:name="_Toc351203643"/>
      <w:r>
        <w:rPr>
          <w:rFonts w:hint="eastAsia" w:ascii="宋体" w:hAnsi="宋体" w:eastAsia="宋体" w:cs="宋体"/>
          <w:sz w:val="21"/>
          <w:szCs w:val="21"/>
          <w:highlight w:val="none"/>
        </w:rPr>
        <w:t>11. 价格调整</w:t>
      </w:r>
      <w:bookmarkEnd w:id="589"/>
    </w:p>
    <w:p>
      <w:pPr>
        <w:spacing w:after="120" w:line="300" w:lineRule="exact"/>
        <w:ind w:firstLine="420" w:firstLineChars="200"/>
        <w:rPr>
          <w:rFonts w:hint="eastAsia" w:ascii="宋体" w:hAnsi="宋体" w:eastAsia="宋体" w:cs="宋体"/>
          <w:sz w:val="21"/>
          <w:szCs w:val="21"/>
          <w:highlight w:val="none"/>
        </w:rPr>
      </w:pPr>
      <w:bookmarkStart w:id="590" w:name="_Toc296891029"/>
      <w:bookmarkStart w:id="591" w:name="_Toc296347200"/>
      <w:bookmarkStart w:id="592" w:name="_Toc296891241"/>
      <w:bookmarkStart w:id="593" w:name="_Toc312678039"/>
      <w:bookmarkStart w:id="594" w:name="_Toc297120501"/>
      <w:bookmarkStart w:id="595" w:name="_Toc303539157"/>
      <w:bookmarkStart w:id="596" w:name="_Toc292559406"/>
      <w:bookmarkStart w:id="597" w:name="_Toc296944540"/>
      <w:bookmarkStart w:id="598" w:name="_Toc292559911"/>
      <w:bookmarkStart w:id="599" w:name="_Toc304295577"/>
      <w:bookmarkStart w:id="600" w:name="_Toc297048387"/>
      <w:bookmarkStart w:id="601" w:name="_Toc297216209"/>
      <w:bookmarkStart w:id="602" w:name="_Toc297123550"/>
      <w:bookmarkStart w:id="603" w:name="_Toc296503201"/>
      <w:bookmarkStart w:id="604" w:name="_Toc296346702"/>
      <w:bookmarkStart w:id="605" w:name="_Toc300935000"/>
      <w:r>
        <w:rPr>
          <w:rFonts w:hint="eastAsia" w:ascii="宋体" w:hAnsi="宋体" w:eastAsia="宋体" w:cs="宋体"/>
          <w:sz w:val="21"/>
          <w:szCs w:val="21"/>
          <w:highlight w:val="none"/>
        </w:rPr>
        <w:t>11.1 市场价格波动引起的调整</w:t>
      </w:r>
    </w:p>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市场价格波动是否调整合同价格的约定：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不</w:t>
      </w:r>
      <w:r>
        <w:rPr>
          <w:rFonts w:hint="eastAsia" w:ascii="宋体" w:hAnsi="宋体" w:eastAsia="宋体" w:cs="宋体"/>
          <w:sz w:val="21"/>
          <w:szCs w:val="21"/>
          <w:highlight w:val="none"/>
          <w:u w:val="single"/>
        </w:rPr>
        <w:t xml:space="preserve">调整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因市场价格波动调整合同价格，采用以下第</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种方式对合同价格进行调整：</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第1种方式：采用价格指数进行价格调整。</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关于各可调因子、定值和变值权重，以及基本价格指数及其来源的约定：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第2种方式：采用造价信息进行价格调整。</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（2）关于基准价格的约定：</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sz w:val="21"/>
          <w:szCs w:val="21"/>
          <w:highlight w:val="none"/>
          <w:u w:val="single"/>
        </w:rPr>
        <w:t xml:space="preserve"> 5  </w:t>
      </w:r>
      <w:r>
        <w:rPr>
          <w:rFonts w:hint="eastAsia" w:ascii="宋体" w:hAnsi="宋体" w:eastAsia="宋体" w:cs="宋体"/>
          <w:sz w:val="21"/>
          <w:szCs w:val="21"/>
          <w:highlight w:val="none"/>
        </w:rPr>
        <w:t>%时，或材料单价跌幅以已标价工程量清单或预算书中载明材料单价为基础超过</w:t>
      </w:r>
      <w:r>
        <w:rPr>
          <w:rFonts w:hint="eastAsia" w:ascii="宋体" w:hAnsi="宋体" w:eastAsia="宋体" w:cs="宋体"/>
          <w:sz w:val="21"/>
          <w:szCs w:val="21"/>
          <w:highlight w:val="none"/>
          <w:u w:val="single"/>
        </w:rPr>
        <w:t xml:space="preserve">  5 </w:t>
      </w:r>
      <w:r>
        <w:rPr>
          <w:rFonts w:hint="eastAsia" w:ascii="宋体" w:hAnsi="宋体" w:eastAsia="宋体" w:cs="宋体"/>
          <w:sz w:val="21"/>
          <w:szCs w:val="21"/>
          <w:highlight w:val="none"/>
        </w:rPr>
        <w:t>%时，其超过部分据实调整。</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②承包人在已标价工程量清单或预算书中载明的材料单价高于基准价格的：专用合同条款合同履行期间材料单价跌幅以基准价格为基础超过</w:t>
      </w:r>
      <w:r>
        <w:rPr>
          <w:rFonts w:hint="eastAsia" w:ascii="宋体" w:hAnsi="宋体" w:eastAsia="宋体" w:cs="宋体"/>
          <w:sz w:val="21"/>
          <w:szCs w:val="21"/>
          <w:highlight w:val="none"/>
          <w:u w:val="single"/>
        </w:rPr>
        <w:t xml:space="preserve"> 5  </w:t>
      </w:r>
      <w:r>
        <w:rPr>
          <w:rFonts w:hint="eastAsia" w:ascii="宋体" w:hAnsi="宋体" w:eastAsia="宋体" w:cs="宋体"/>
          <w:sz w:val="21"/>
          <w:szCs w:val="21"/>
          <w:highlight w:val="none"/>
        </w:rPr>
        <w:t>%时，材料单价涨幅以已标价工程量清单或预算书中载明材料单价为基础超过</w:t>
      </w:r>
      <w:r>
        <w:rPr>
          <w:rFonts w:hint="eastAsia" w:ascii="宋体" w:hAnsi="宋体" w:eastAsia="宋体" w:cs="宋体"/>
          <w:sz w:val="21"/>
          <w:szCs w:val="21"/>
          <w:highlight w:val="none"/>
          <w:u w:val="single"/>
        </w:rPr>
        <w:t xml:space="preserve">  5 </w:t>
      </w:r>
      <w:r>
        <w:rPr>
          <w:rFonts w:hint="eastAsia" w:ascii="宋体" w:hAnsi="宋体" w:eastAsia="宋体" w:cs="宋体"/>
          <w:sz w:val="21"/>
          <w:szCs w:val="21"/>
          <w:highlight w:val="none"/>
        </w:rPr>
        <w:t>%时，其超过部分据实调整。</w:t>
      </w:r>
    </w:p>
    <w:p>
      <w:pPr>
        <w:spacing w:line="300" w:lineRule="exact"/>
        <w:ind w:firstLine="64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sz w:val="21"/>
          <w:szCs w:val="21"/>
          <w:highlight w:val="none"/>
          <w:u w:val="single"/>
        </w:rPr>
        <w:t xml:space="preserve"> 5  </w:t>
      </w:r>
      <w:r>
        <w:rPr>
          <w:rFonts w:hint="eastAsia" w:ascii="宋体" w:hAnsi="宋体" w:eastAsia="宋体" w:cs="宋体"/>
          <w:sz w:val="21"/>
          <w:szCs w:val="21"/>
          <w:highlight w:val="none"/>
        </w:rPr>
        <w:t>%时，其超过部分据实调整。</w:t>
      </w:r>
    </w:p>
    <w:p>
      <w:pPr>
        <w:spacing w:line="300" w:lineRule="exact"/>
        <w:ind w:firstLine="645"/>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第3种方式：其他价格调整方式：</w:t>
      </w:r>
      <w:r>
        <w:rPr>
          <w:rFonts w:hint="eastAsia" w:ascii="宋体" w:hAnsi="宋体" w:eastAsia="宋体" w:cs="宋体"/>
          <w:sz w:val="21"/>
          <w:szCs w:val="21"/>
          <w:highlight w:val="none"/>
          <w:u w:val="single"/>
        </w:rPr>
        <w:t xml:space="preserve">经三方协商后，签订补充协议  </w:t>
      </w:r>
      <w:r>
        <w:rPr>
          <w:rFonts w:hint="eastAsia" w:ascii="宋体" w:hAnsi="宋体" w:eastAsia="宋体" w:cs="宋体"/>
          <w:sz w:val="21"/>
          <w:szCs w:val="21"/>
          <w:highlight w:val="none"/>
        </w:rPr>
        <w:t>。</w:t>
      </w:r>
    </w:p>
    <w:bookmarkEnd w:id="492"/>
    <w:bookmarkEnd w:id="493"/>
    <w:bookmarkEnd w:id="494"/>
    <w:bookmarkEnd w:id="495"/>
    <w:bookmarkEnd w:id="496"/>
    <w:bookmarkEnd w:id="497"/>
    <w:p>
      <w:pPr>
        <w:keepNext/>
        <w:keepLines/>
        <w:spacing w:before="120" w:after="120" w:line="300" w:lineRule="exact"/>
        <w:outlineLvl w:val="3"/>
        <w:rPr>
          <w:rFonts w:hint="eastAsia" w:ascii="宋体" w:hAnsi="宋体" w:eastAsia="宋体" w:cs="宋体"/>
          <w:sz w:val="21"/>
          <w:szCs w:val="21"/>
          <w:highlight w:val="none"/>
        </w:rPr>
      </w:pPr>
      <w:bookmarkStart w:id="606" w:name="_Toc296346706"/>
      <w:bookmarkStart w:id="607" w:name="_Toc296944544"/>
      <w:bookmarkStart w:id="608" w:name="_Toc292559410"/>
      <w:bookmarkStart w:id="609" w:name="_Toc296891245"/>
      <w:bookmarkStart w:id="610" w:name="_Toc297120505"/>
      <w:bookmarkStart w:id="611" w:name="_Toc296347204"/>
      <w:bookmarkStart w:id="612" w:name="_Toc296891033"/>
      <w:bookmarkStart w:id="613" w:name="_Toc292559915"/>
      <w:bookmarkStart w:id="614" w:name="_Toc297048391"/>
      <w:bookmarkStart w:id="615" w:name="_Toc296503205"/>
      <w:bookmarkStart w:id="616" w:name="_Toc351203644"/>
      <w:bookmarkStart w:id="617" w:name="_Toc312678040"/>
      <w:bookmarkStart w:id="618" w:name="_Toc304295579"/>
      <w:bookmarkStart w:id="619" w:name="_Toc300935002"/>
      <w:bookmarkStart w:id="620" w:name="_Toc297216211"/>
      <w:bookmarkStart w:id="621" w:name="_Toc297123552"/>
      <w:bookmarkStart w:id="622" w:name="_Toc303539159"/>
      <w:r>
        <w:rPr>
          <w:rFonts w:hint="eastAsia" w:ascii="宋体" w:hAnsi="宋体" w:eastAsia="宋体" w:cs="宋体"/>
          <w:sz w:val="21"/>
          <w:szCs w:val="21"/>
          <w:highlight w:val="none"/>
        </w:rPr>
        <w:t xml:space="preserve">12. </w:t>
      </w:r>
      <w:bookmarkEnd w:id="606"/>
      <w:bookmarkEnd w:id="607"/>
      <w:bookmarkEnd w:id="608"/>
      <w:bookmarkEnd w:id="609"/>
      <w:bookmarkEnd w:id="610"/>
      <w:bookmarkEnd w:id="611"/>
      <w:bookmarkEnd w:id="612"/>
      <w:bookmarkEnd w:id="613"/>
      <w:bookmarkEnd w:id="614"/>
      <w:bookmarkEnd w:id="615"/>
      <w:r>
        <w:rPr>
          <w:rFonts w:hint="eastAsia" w:ascii="宋体" w:hAnsi="宋体" w:eastAsia="宋体" w:cs="宋体"/>
          <w:sz w:val="21"/>
          <w:szCs w:val="21"/>
          <w:highlight w:val="none"/>
        </w:rPr>
        <w:t>合同价格、计量与支付</w:t>
      </w:r>
      <w:bookmarkEnd w:id="616"/>
    </w:p>
    <w:bookmarkEnd w:id="617"/>
    <w:bookmarkEnd w:id="618"/>
    <w:bookmarkEnd w:id="619"/>
    <w:bookmarkEnd w:id="620"/>
    <w:bookmarkEnd w:id="621"/>
    <w:bookmarkEnd w:id="622"/>
    <w:p>
      <w:pPr>
        <w:spacing w:after="120" w:line="300" w:lineRule="exact"/>
        <w:ind w:firstLine="420" w:firstLineChars="200"/>
        <w:rPr>
          <w:rFonts w:hint="eastAsia" w:ascii="宋体" w:hAnsi="宋体" w:eastAsia="宋体" w:cs="宋体"/>
          <w:sz w:val="21"/>
          <w:szCs w:val="21"/>
          <w:highlight w:val="none"/>
        </w:rPr>
      </w:pPr>
      <w:bookmarkStart w:id="623" w:name="_Toc267251461"/>
      <w:bookmarkStart w:id="624" w:name="_Toc292559411"/>
      <w:bookmarkStart w:id="625" w:name="_Toc292559916"/>
      <w:bookmarkStart w:id="626" w:name="_Toc296346707"/>
      <w:bookmarkStart w:id="627" w:name="_Toc296944545"/>
      <w:bookmarkStart w:id="628" w:name="_Toc297120506"/>
      <w:bookmarkStart w:id="629" w:name="_Toc296891034"/>
      <w:bookmarkStart w:id="630" w:name="_Toc297048392"/>
      <w:bookmarkStart w:id="631" w:name="_Toc296347205"/>
      <w:bookmarkStart w:id="632" w:name="_Toc296891246"/>
      <w:bookmarkStart w:id="633" w:name="_Toc296503206"/>
      <w:bookmarkStart w:id="634" w:name="_Toc312678041"/>
      <w:bookmarkStart w:id="635" w:name="_Toc300935003"/>
      <w:bookmarkStart w:id="636" w:name="_Toc297123553"/>
      <w:bookmarkStart w:id="637" w:name="_Toc304295580"/>
      <w:bookmarkStart w:id="638" w:name="_Toc303539160"/>
      <w:bookmarkStart w:id="639" w:name="_Toc297216212"/>
      <w:r>
        <w:rPr>
          <w:rFonts w:hint="eastAsia" w:ascii="宋体" w:hAnsi="宋体" w:eastAsia="宋体" w:cs="宋体"/>
          <w:sz w:val="21"/>
          <w:szCs w:val="21"/>
          <w:highlight w:val="none"/>
        </w:rPr>
        <w:t>12.1 合</w:t>
      </w:r>
      <w:bookmarkEnd w:id="623"/>
      <w:bookmarkEnd w:id="624"/>
      <w:bookmarkEnd w:id="625"/>
      <w:r>
        <w:rPr>
          <w:rFonts w:hint="eastAsia" w:ascii="宋体" w:hAnsi="宋体" w:eastAsia="宋体" w:cs="宋体"/>
          <w:sz w:val="21"/>
          <w:szCs w:val="21"/>
          <w:highlight w:val="none"/>
        </w:rPr>
        <w:t>同价</w:t>
      </w:r>
      <w:bookmarkEnd w:id="626"/>
      <w:bookmarkEnd w:id="627"/>
      <w:bookmarkEnd w:id="628"/>
      <w:bookmarkEnd w:id="629"/>
      <w:bookmarkEnd w:id="630"/>
      <w:bookmarkEnd w:id="631"/>
      <w:bookmarkEnd w:id="632"/>
      <w:bookmarkEnd w:id="633"/>
      <w:r>
        <w:rPr>
          <w:rFonts w:hint="eastAsia" w:ascii="宋体" w:hAnsi="宋体" w:eastAsia="宋体" w:cs="宋体"/>
          <w:sz w:val="21"/>
          <w:szCs w:val="21"/>
          <w:highlight w:val="none"/>
        </w:rPr>
        <w:t>格形式：本项目采用</w:t>
      </w:r>
      <w:r>
        <w:rPr>
          <w:rFonts w:hint="eastAsia" w:ascii="宋体" w:hAnsi="宋体" w:eastAsia="宋体" w:cs="宋体"/>
          <w:sz w:val="21"/>
          <w:szCs w:val="21"/>
          <w:highlight w:val="none"/>
          <w:u w:val="single"/>
        </w:rPr>
        <w:t>可调价格合同</w:t>
      </w:r>
      <w:r>
        <w:rPr>
          <w:rFonts w:hint="eastAsia" w:ascii="宋体" w:hAnsi="宋体" w:eastAsia="宋体" w:cs="宋体"/>
          <w:sz w:val="21"/>
          <w:szCs w:val="21"/>
          <w:highlight w:val="none"/>
        </w:rPr>
        <w:t>形式，合同价款采用</w:t>
      </w:r>
      <w:r>
        <w:rPr>
          <w:rFonts w:hint="eastAsia" w:ascii="宋体" w:hAnsi="宋体" w:eastAsia="宋体" w:cs="宋体"/>
          <w:sz w:val="21"/>
          <w:szCs w:val="21"/>
          <w:highlight w:val="none"/>
          <w:u w:val="single"/>
        </w:rPr>
        <w:t>固定单价，总价可调</w:t>
      </w:r>
      <w:r>
        <w:rPr>
          <w:rFonts w:hint="eastAsia" w:ascii="宋体" w:hAnsi="宋体" w:eastAsia="宋体" w:cs="宋体"/>
          <w:sz w:val="21"/>
          <w:szCs w:val="21"/>
          <w:highlight w:val="none"/>
        </w:rPr>
        <w:t>方式确定。</w:t>
      </w:r>
    </w:p>
    <w:bookmarkEnd w:id="634"/>
    <w:bookmarkEnd w:id="635"/>
    <w:bookmarkEnd w:id="636"/>
    <w:bookmarkEnd w:id="637"/>
    <w:bookmarkEnd w:id="638"/>
    <w:bookmarkEnd w:id="639"/>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1、单价合同。</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综合单价包含的风险范围：</w:t>
      </w:r>
      <w:r>
        <w:rPr>
          <w:rFonts w:hint="eastAsia" w:ascii="宋体" w:hAnsi="宋体" w:eastAsia="宋体" w:cs="宋体"/>
          <w:sz w:val="21"/>
          <w:szCs w:val="21"/>
          <w:highlight w:val="none"/>
          <w:u w:val="single"/>
        </w:rPr>
        <w:t>承担施工中的一切风险，本合同单价在合同实施期间不因市场变化因素而变化；由于承包人因施工方法的修正、变更而引起的费用增加，由承包人自理，发包人不另追加费用。项目措施费包干使用，结算时不作调整。</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风险费用的计算方法：</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auto"/>
        <w:ind w:firstLine="420" w:firstLineChars="200"/>
        <w:rPr>
          <w:rFonts w:hint="eastAsia" w:ascii="宋体" w:hAnsi="宋体" w:eastAsia="宋体" w:cs="宋体"/>
          <w:kern w:val="0"/>
          <w:sz w:val="21"/>
          <w:highlight w:val="none"/>
          <w:u w:val="single"/>
        </w:rPr>
      </w:pPr>
      <w:r>
        <w:rPr>
          <w:rFonts w:hint="eastAsia" w:ascii="宋体" w:hAnsi="宋体" w:eastAsia="宋体" w:cs="宋体"/>
          <w:sz w:val="21"/>
          <w:szCs w:val="21"/>
          <w:highlight w:val="none"/>
        </w:rPr>
        <w:t>风险范围以外合同价格的调整方法：</w:t>
      </w:r>
      <w:r>
        <w:rPr>
          <w:rFonts w:hint="eastAsia" w:ascii="宋体" w:hAnsi="宋体" w:eastAsia="宋体" w:cs="宋体"/>
          <w:sz w:val="21"/>
          <w:szCs w:val="21"/>
          <w:highlight w:val="none"/>
          <w:u w:val="single"/>
        </w:rPr>
        <w:t>本工程合同实施期间因不可预见因素或设计及发包人要求所发生的工程量增减（由变更签证产生），其工程量按实际发生经发包人代表签证确认，其结算综合单价的确定按下列方法进行：⑴报价中已有适用于变更工程的综合单价，按已有的综合单价确定，综合单价不随工程量的增减而变化；⑵报价中有类似变更工程的综合单价，可参照报价中已有的综合单价确定；⑶政府采购合同在履行过程中,如招标人需增加与合同标的相同工程的工程量，增加的采购金额原则上不得超过原合同采购金额的百分之十；如改变原有设计或变更合同中材料的规格、型号和品牌，必需报</w:t>
      </w:r>
      <w:r>
        <w:rPr>
          <w:rFonts w:hint="eastAsia" w:ascii="宋体" w:hAnsi="宋体" w:eastAsia="宋体" w:cs="宋体"/>
          <w:color w:val="auto"/>
          <w:w w:val="100"/>
          <w:sz w:val="21"/>
          <w:szCs w:val="21"/>
          <w:highlight w:val="none"/>
          <w:u w:val="single"/>
          <w:lang w:val="en-US" w:eastAsia="zh-CN"/>
        </w:rPr>
        <w:t>永福县人民政府采购管理办公室</w:t>
      </w:r>
      <w:r>
        <w:rPr>
          <w:rFonts w:hint="eastAsia" w:ascii="宋体" w:hAnsi="宋体" w:eastAsia="宋体" w:cs="宋体"/>
          <w:sz w:val="21"/>
          <w:szCs w:val="21"/>
          <w:highlight w:val="none"/>
          <w:u w:val="single"/>
        </w:rPr>
        <w:t>备案，且改变部分的采购金额所占的份额原则上不得超过原合同采购金额的百分之三十（结算方式为：广西水利厅、区发改委、区财政厅以桂水基[2007]38号文联合发布的《广西水利水电工程设计概（预）算编制规定》、《广西水利水电工程概（预）算系列定额》、《广西水利水电工程概（预）算补充定额》计算</w:t>
      </w:r>
      <w:r>
        <w:rPr>
          <w:rFonts w:hint="eastAsia" w:ascii="宋体" w:hAnsi="宋体" w:eastAsia="宋体" w:cs="宋体"/>
          <w:kern w:val="0"/>
          <w:sz w:val="21"/>
          <w:highlight w:val="none"/>
          <w:u w:val="single"/>
        </w:rPr>
        <w:t>；材料按施工期间桂林市</w:t>
      </w:r>
      <w:r>
        <w:rPr>
          <w:rFonts w:hint="eastAsia" w:ascii="宋体" w:hAnsi="宋体" w:eastAsia="宋体" w:cs="宋体"/>
          <w:kern w:val="0"/>
          <w:sz w:val="21"/>
          <w:highlight w:val="none"/>
          <w:u w:val="single"/>
          <w:lang w:eastAsia="zh-CN"/>
        </w:rPr>
        <w:t>永福</w:t>
      </w:r>
      <w:r>
        <w:rPr>
          <w:rFonts w:hint="eastAsia" w:ascii="宋体" w:hAnsi="宋体" w:eastAsia="宋体" w:cs="宋体"/>
          <w:kern w:val="0"/>
          <w:sz w:val="21"/>
          <w:highlight w:val="none"/>
          <w:u w:val="single"/>
        </w:rPr>
        <w:t>县材料信息价中材料价格，没有的由甲乙双方、监理方等有关单位共同咨价确定。</w:t>
      </w:r>
    </w:p>
    <w:p>
      <w:pPr>
        <w:spacing w:line="30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2、总价合同。</w:t>
      </w:r>
    </w:p>
    <w:p>
      <w:pPr>
        <w:autoSpaceDE w:val="0"/>
        <w:autoSpaceDN w:val="0"/>
        <w:adjustRightInd w:val="0"/>
        <w:spacing w:before="100" w:after="100" w:line="300" w:lineRule="exact"/>
        <w:ind w:left="3" w:leftChars="1" w:right="-64"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总价包含的风险范围：</w:t>
      </w:r>
      <w:r>
        <w:rPr>
          <w:rFonts w:hint="eastAsia" w:ascii="宋体" w:hAnsi="宋体" w:eastAsia="宋体" w:cs="宋体"/>
          <w:kern w:val="0"/>
          <w:sz w:val="21"/>
          <w:szCs w:val="21"/>
          <w:highlight w:val="none"/>
          <w:u w:val="single"/>
        </w:rPr>
        <w:t>承担施工中的一切风险，本合同总价在合同实施期间不因市场变化因素而变化；由于承包人因施工方法的修正、变更而引起的费用增加，由承包人自理，发包人不另追加费用。</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风险费用的计算方法：</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风险范围以外合同价格的调整方法：</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3、其他价格方式：</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bookmarkStart w:id="640" w:name="_Toc300935004"/>
      <w:bookmarkStart w:id="641" w:name="_Toc303539161"/>
      <w:bookmarkStart w:id="642" w:name="_Toc297216213"/>
      <w:bookmarkStart w:id="643" w:name="_Toc304295581"/>
      <w:bookmarkStart w:id="644" w:name="_Toc312678042"/>
      <w:bookmarkStart w:id="645" w:name="_Toc297123554"/>
      <w:bookmarkStart w:id="646" w:name="_Toc297048393"/>
      <w:bookmarkStart w:id="647" w:name="_Toc296347206"/>
      <w:bookmarkStart w:id="648" w:name="_Toc292559917"/>
      <w:bookmarkStart w:id="649" w:name="_Toc297120507"/>
      <w:bookmarkStart w:id="650" w:name="_Toc292559412"/>
      <w:bookmarkStart w:id="651" w:name="_Toc296944546"/>
      <w:bookmarkStart w:id="652" w:name="_Toc296891035"/>
      <w:bookmarkStart w:id="653" w:name="_Toc296346708"/>
      <w:bookmarkStart w:id="654" w:name="_Toc296891247"/>
      <w:bookmarkStart w:id="655" w:name="_Toc296503207"/>
      <w:r>
        <w:rPr>
          <w:rFonts w:hint="eastAsia" w:ascii="宋体" w:hAnsi="宋体" w:eastAsia="宋体" w:cs="宋体"/>
          <w:sz w:val="21"/>
          <w:szCs w:val="21"/>
          <w:highlight w:val="none"/>
        </w:rPr>
        <w:t>12.2 预付款</w:t>
      </w:r>
    </w:p>
    <w:bookmarkEnd w:id="640"/>
    <w:bookmarkEnd w:id="641"/>
    <w:bookmarkEnd w:id="642"/>
    <w:bookmarkEnd w:id="643"/>
    <w:bookmarkEnd w:id="644"/>
    <w:bookmarkEnd w:id="645"/>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12.2.1 预付款的支付</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预付款支付比例或金额：</w:t>
      </w:r>
      <w:r>
        <w:rPr>
          <w:rFonts w:hint="eastAsia" w:ascii="宋体" w:hAnsi="宋体" w:eastAsia="宋体" w:cs="宋体"/>
          <w:sz w:val="21"/>
          <w:szCs w:val="21"/>
          <w:highlight w:val="none"/>
          <w:u w:val="single"/>
        </w:rPr>
        <w:t>合同价款的</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rPr>
        <w:t xml:space="preserve">0%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预付款支付期限：</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预付款扣回的方式：</w:t>
      </w:r>
      <w:r>
        <w:rPr>
          <w:rFonts w:hint="eastAsia" w:ascii="宋体" w:hAnsi="宋体" w:eastAsia="宋体" w:cs="宋体"/>
          <w:sz w:val="21"/>
          <w:szCs w:val="21"/>
          <w:highlight w:val="none"/>
          <w:u w:val="single"/>
        </w:rPr>
        <w:t xml:space="preserve"> 工程进度款支付至80%前全部扣回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12.2.2 预付款担保</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承包人提交预付款担保的期限：</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预付款担保的形式为：</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bookmarkEnd w:id="646"/>
    <w:bookmarkEnd w:id="647"/>
    <w:bookmarkEnd w:id="648"/>
    <w:bookmarkEnd w:id="649"/>
    <w:bookmarkEnd w:id="650"/>
    <w:bookmarkEnd w:id="651"/>
    <w:bookmarkEnd w:id="652"/>
    <w:bookmarkEnd w:id="653"/>
    <w:bookmarkEnd w:id="654"/>
    <w:bookmarkEnd w:id="655"/>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12.3 计量</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12.3.1 计量原则</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工程量计算规则：</w:t>
      </w:r>
      <w:r>
        <w:rPr>
          <w:rFonts w:hint="eastAsia" w:ascii="宋体" w:hAnsi="宋体" w:eastAsia="宋体" w:cs="宋体"/>
          <w:sz w:val="21"/>
          <w:szCs w:val="21"/>
          <w:highlight w:val="none"/>
          <w:u w:val="single"/>
        </w:rPr>
        <w:t>实际完成的工程量按国家标准及广西壮族自治区各相关文件规定的计算规则和有关合同约束力的图纸进行计量。</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12.3.2 计量周期</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关于计量周期的约定：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12.3.3 单价合同的计量</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关于单价合同计量的约定：</w:t>
      </w:r>
      <w:r>
        <w:rPr>
          <w:rFonts w:hint="eastAsia" w:ascii="宋体" w:hAnsi="宋体" w:eastAsia="宋体" w:cs="宋体"/>
          <w:sz w:val="21"/>
          <w:szCs w:val="21"/>
          <w:highlight w:val="none"/>
          <w:u w:val="single"/>
        </w:rPr>
        <w:t xml:space="preserve">   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12.3.4 总价合同的计量</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关于总价合同计量的约定：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12.3.5总价合同采用支付分解表计量支付的，是否适用第</w:t>
      </w:r>
      <w:r>
        <w:rPr>
          <w:rFonts w:hint="eastAsia" w:ascii="宋体" w:hAnsi="宋体" w:eastAsia="宋体" w:cs="宋体"/>
          <w:kern w:val="0"/>
          <w:sz w:val="21"/>
          <w:szCs w:val="21"/>
          <w:highlight w:val="none"/>
        </w:rPr>
        <w:t xml:space="preserve">12.3.4 </w:t>
      </w:r>
      <w:r>
        <w:rPr>
          <w:rFonts w:hint="eastAsia" w:ascii="宋体" w:hAnsi="宋体" w:eastAsia="宋体" w:cs="宋体"/>
          <w:sz w:val="21"/>
          <w:szCs w:val="21"/>
          <w:highlight w:val="none"/>
        </w:rPr>
        <w:t>项</w:t>
      </w:r>
      <w:r>
        <w:rPr>
          <w:rFonts w:hint="eastAsia" w:ascii="宋体" w:hAnsi="宋体" w:eastAsia="宋体" w:cs="宋体"/>
          <w:kern w:val="0"/>
          <w:sz w:val="21"/>
          <w:szCs w:val="21"/>
          <w:highlight w:val="none"/>
        </w:rPr>
        <w:t>〔总价合同的计量〕</w:t>
      </w:r>
      <w:r>
        <w:rPr>
          <w:rFonts w:hint="eastAsia" w:ascii="宋体" w:hAnsi="宋体" w:eastAsia="宋体" w:cs="宋体"/>
          <w:sz w:val="21"/>
          <w:szCs w:val="21"/>
          <w:highlight w:val="none"/>
        </w:rPr>
        <w:t>约定进行计量：</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12.3.6 其他价格形式合同的计量</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其他价格形式的计量方式和程序：</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12.4 工程进度款支付</w:t>
      </w:r>
    </w:p>
    <w:p>
      <w:pPr>
        <w:spacing w:line="300" w:lineRule="exact"/>
        <w:ind w:firstLine="420" w:firstLineChars="200"/>
        <w:jc w:val="left"/>
        <w:rPr>
          <w:rFonts w:hint="eastAsia" w:ascii="宋体" w:hAnsi="宋体" w:eastAsia="宋体" w:cs="宋体"/>
          <w:sz w:val="21"/>
          <w:szCs w:val="21"/>
          <w:highlight w:val="none"/>
        </w:rPr>
      </w:pPr>
      <w:bookmarkStart w:id="656" w:name="_Toc300935006"/>
      <w:bookmarkStart w:id="657" w:name="_Toc303539163"/>
      <w:bookmarkStart w:id="658" w:name="_Toc297216215"/>
      <w:bookmarkStart w:id="659" w:name="_Toc296891039"/>
      <w:bookmarkStart w:id="660" w:name="_Toc296503211"/>
      <w:bookmarkStart w:id="661" w:name="_Toc296346712"/>
      <w:bookmarkStart w:id="662" w:name="_Toc292559416"/>
      <w:bookmarkStart w:id="663" w:name="_Toc296891251"/>
      <w:bookmarkStart w:id="664" w:name="_Toc297048397"/>
      <w:bookmarkStart w:id="665" w:name="_Toc296944550"/>
      <w:bookmarkStart w:id="666" w:name="_Toc297123556"/>
      <w:bookmarkStart w:id="667" w:name="_Toc296347210"/>
      <w:bookmarkStart w:id="668" w:name="_Toc297120511"/>
      <w:bookmarkStart w:id="669" w:name="_Toc292559921"/>
      <w:r>
        <w:rPr>
          <w:rFonts w:hint="eastAsia" w:ascii="宋体" w:hAnsi="宋体" w:eastAsia="宋体" w:cs="宋体"/>
          <w:sz w:val="21"/>
          <w:szCs w:val="21"/>
          <w:highlight w:val="none"/>
        </w:rPr>
        <w:t>12.4.1 付款周期</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关于付款周期的约定：</w:t>
      </w:r>
      <w:r>
        <w:rPr>
          <w:rFonts w:hint="eastAsia" w:ascii="宋体" w:hAnsi="宋体" w:eastAsia="宋体" w:cs="宋体"/>
          <w:sz w:val="21"/>
          <w:szCs w:val="21"/>
          <w:highlight w:val="none"/>
          <w:u w:val="single"/>
        </w:rPr>
        <w:t xml:space="preserve">  按工程进度付款    </w:t>
      </w:r>
      <w:r>
        <w:rPr>
          <w:rFonts w:hint="eastAsia" w:ascii="宋体" w:hAnsi="宋体" w:eastAsia="宋体" w:cs="宋体"/>
          <w:sz w:val="21"/>
          <w:szCs w:val="21"/>
          <w:highlight w:val="none"/>
        </w:rPr>
        <w:t>。</w:t>
      </w:r>
    </w:p>
    <w:p>
      <w:pPr>
        <w:autoSpaceDE w:val="0"/>
        <w:autoSpaceDN w:val="0"/>
        <w:adjustRightInd w:val="0"/>
        <w:spacing w:line="400" w:lineRule="exact"/>
        <w:ind w:left="-70" w:leftChars="-25" w:right="-700" w:rightChars="-250"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rPr>
        <w:t>工程款（进度款）原则上按月申请，应与合同约定的工程计量周期一致。付款比例为合同内按工程计量周期内完成工程量的 80%，合同外（设计变更和现场签证引起的费用）按工程计量周期内完成工程量的60%。</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12.4.2 进度付款申请单的编制</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关于进度付款申请单编制的约定：</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Fonts w:hint="eastAsia" w:ascii="宋体" w:hAnsi="宋体" w:eastAsia="宋体" w:cs="宋体"/>
          <w:sz w:val="21"/>
          <w:szCs w:val="21"/>
          <w:highlight w:val="none"/>
        </w:rPr>
        <w:t>2.4.3 进度付款申请单的提交</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（1）单价合同进度付款申请单提交的约定：</w:t>
      </w:r>
      <w:r>
        <w:rPr>
          <w:rFonts w:hint="eastAsia" w:ascii="宋体" w:hAnsi="宋体" w:eastAsia="宋体" w:cs="宋体"/>
          <w:sz w:val="21"/>
          <w:szCs w:val="21"/>
          <w:highlight w:val="none"/>
          <w:u w:val="single"/>
        </w:rPr>
        <w:t xml:space="preserve">  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（2）总价合同进度付款申请单提交的约定：</w:t>
      </w:r>
      <w:r>
        <w:rPr>
          <w:rFonts w:hint="eastAsia" w:ascii="宋体" w:hAnsi="宋体" w:eastAsia="宋体" w:cs="宋体"/>
          <w:sz w:val="21"/>
          <w:szCs w:val="21"/>
          <w:highlight w:val="none"/>
          <w:u w:val="single"/>
        </w:rPr>
        <w:t xml:space="preserve">  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（3）其他价格形式合同进度付款申请单提交的约定：</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12.4.4 进度款审核和支付</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（1）监理人审查并报送发包人的期限：</w:t>
      </w:r>
      <w:r>
        <w:rPr>
          <w:rFonts w:hint="eastAsia" w:ascii="宋体" w:hAnsi="宋体" w:eastAsia="宋体" w:cs="宋体"/>
          <w:sz w:val="21"/>
          <w:szCs w:val="21"/>
          <w:highlight w:val="none"/>
          <w:u w:val="single"/>
        </w:rPr>
        <w:t xml:space="preserve"> 收到相关资料后7天内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发包人完成审批并签发进度款支付证书的期限：</w:t>
      </w:r>
      <w:r>
        <w:rPr>
          <w:rFonts w:hint="eastAsia" w:ascii="宋体" w:hAnsi="宋体" w:eastAsia="宋体" w:cs="宋体"/>
          <w:sz w:val="21"/>
          <w:szCs w:val="21"/>
          <w:highlight w:val="none"/>
          <w:u w:val="single"/>
        </w:rPr>
        <w:t>收到相关资料后7天内</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（2）发包人支付进度款的期限：</w:t>
      </w:r>
      <w:r>
        <w:rPr>
          <w:rFonts w:hint="eastAsia" w:ascii="宋体" w:hAnsi="宋体" w:eastAsia="宋体" w:cs="宋体"/>
          <w:sz w:val="21"/>
          <w:szCs w:val="21"/>
          <w:highlight w:val="none"/>
          <w:u w:val="single"/>
        </w:rPr>
        <w:t xml:space="preserve">  办理相关付款手续后的7天内</w:t>
      </w:r>
      <w:r>
        <w:rPr>
          <w:rFonts w:hint="eastAsia" w:ascii="宋体" w:hAnsi="宋体" w:eastAsia="宋体" w:cs="宋体"/>
          <w:sz w:val="21"/>
          <w:szCs w:val="21"/>
          <w:highlight w:val="none"/>
        </w:rPr>
        <w:t>。</w:t>
      </w:r>
    </w:p>
    <w:p>
      <w:pPr>
        <w:spacing w:line="300" w:lineRule="exact"/>
        <w:ind w:firstLine="525" w:firstLineChars="25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发包人逾期支付进度款的违约金的计算方式：</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525" w:firstLineChars="25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12.4.6 支付分解表的编制</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2、总价合同支付分解表的编制与审批：</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3、单价合同的总价项目支付分解表的编制与审批：</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bookmarkEnd w:id="498"/>
    <w:p>
      <w:pPr>
        <w:keepNext/>
        <w:keepLines/>
        <w:spacing w:before="120" w:after="120" w:line="300" w:lineRule="exact"/>
        <w:outlineLvl w:val="3"/>
        <w:rPr>
          <w:rFonts w:hint="eastAsia" w:ascii="宋体" w:hAnsi="宋体" w:eastAsia="宋体" w:cs="宋体"/>
          <w:sz w:val="21"/>
          <w:szCs w:val="21"/>
          <w:highlight w:val="none"/>
        </w:rPr>
      </w:pPr>
      <w:bookmarkStart w:id="670" w:name="_Toc351203645"/>
      <w:bookmarkStart w:id="671" w:name="_Toc300935015"/>
      <w:bookmarkStart w:id="672" w:name="_Toc303539172"/>
      <w:bookmarkStart w:id="673" w:name="_Toc296891047"/>
      <w:bookmarkStart w:id="674" w:name="_Toc296503219"/>
      <w:bookmarkStart w:id="675" w:name="_Toc296891259"/>
      <w:bookmarkStart w:id="676" w:name="_Toc292559929"/>
      <w:bookmarkStart w:id="677" w:name="_Toc297216223"/>
      <w:bookmarkStart w:id="678" w:name="_Toc304295593"/>
      <w:bookmarkStart w:id="679" w:name="_Toc296346720"/>
      <w:bookmarkStart w:id="680" w:name="_Toc297120519"/>
      <w:bookmarkStart w:id="681" w:name="_Toc312678053"/>
      <w:bookmarkStart w:id="682" w:name="_Toc296944558"/>
      <w:bookmarkStart w:id="683" w:name="_Toc296347218"/>
      <w:bookmarkStart w:id="684" w:name="_Toc297123564"/>
      <w:bookmarkStart w:id="685" w:name="_Toc297048405"/>
      <w:bookmarkStart w:id="686" w:name="_Toc292559424"/>
      <w:r>
        <w:rPr>
          <w:rFonts w:hint="eastAsia" w:ascii="宋体" w:hAnsi="宋体" w:eastAsia="宋体" w:cs="宋体"/>
          <w:sz w:val="21"/>
          <w:szCs w:val="21"/>
          <w:highlight w:val="none"/>
        </w:rPr>
        <w:t>13. 验收和工程试车</w:t>
      </w:r>
      <w:bookmarkEnd w:id="670"/>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13.1 分部分项工程验收</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13.1.2监理人不能按时进行验收时，应提前</w:t>
      </w:r>
      <w:r>
        <w:rPr>
          <w:rFonts w:hint="eastAsia" w:ascii="宋体" w:hAnsi="宋体" w:eastAsia="宋体" w:cs="宋体"/>
          <w:sz w:val="21"/>
          <w:szCs w:val="21"/>
          <w:highlight w:val="none"/>
          <w:u w:val="single"/>
        </w:rPr>
        <w:t xml:space="preserve">   24 </w:t>
      </w:r>
      <w:r>
        <w:rPr>
          <w:rFonts w:hint="eastAsia" w:ascii="宋体" w:hAnsi="宋体" w:eastAsia="宋体" w:cs="宋体"/>
          <w:sz w:val="21"/>
          <w:szCs w:val="21"/>
          <w:highlight w:val="none"/>
        </w:rPr>
        <w:t>小时提交书面延期要求。</w:t>
      </w:r>
    </w:p>
    <w:p>
      <w:pPr>
        <w:spacing w:line="300" w:lineRule="exact"/>
        <w:ind w:firstLine="420" w:firstLineChars="200"/>
        <w:jc w:val="left"/>
        <w:rPr>
          <w:rFonts w:hint="eastAsia" w:ascii="宋体" w:hAnsi="宋体" w:eastAsia="宋体" w:cs="宋体"/>
          <w:b/>
          <w:sz w:val="21"/>
          <w:szCs w:val="21"/>
          <w:highlight w:val="none"/>
        </w:rPr>
      </w:pPr>
      <w:r>
        <w:rPr>
          <w:rFonts w:hint="eastAsia" w:ascii="宋体" w:hAnsi="宋体" w:eastAsia="宋体" w:cs="宋体"/>
          <w:sz w:val="21"/>
          <w:szCs w:val="21"/>
          <w:highlight w:val="none"/>
        </w:rPr>
        <w:t>关于延期最长不得超过：</w:t>
      </w:r>
      <w:r>
        <w:rPr>
          <w:rFonts w:hint="eastAsia" w:ascii="宋体" w:hAnsi="宋体" w:eastAsia="宋体" w:cs="宋体"/>
          <w:sz w:val="21"/>
          <w:szCs w:val="21"/>
          <w:highlight w:val="none"/>
          <w:u w:val="single"/>
        </w:rPr>
        <w:t xml:space="preserve"> 48</w:t>
      </w:r>
      <w:r>
        <w:rPr>
          <w:rFonts w:hint="eastAsia" w:ascii="宋体" w:hAnsi="宋体" w:eastAsia="宋体" w:cs="宋体"/>
          <w:sz w:val="21"/>
          <w:szCs w:val="21"/>
          <w:highlight w:val="none"/>
        </w:rPr>
        <w:t>小时。</w:t>
      </w:r>
    </w:p>
    <w:p>
      <w:pPr>
        <w:spacing w:after="120" w:line="300" w:lineRule="exact"/>
        <w:ind w:firstLine="420" w:firstLineChars="200"/>
        <w:rPr>
          <w:rFonts w:hint="eastAsia" w:ascii="宋体" w:hAnsi="宋体" w:eastAsia="宋体" w:cs="宋体"/>
          <w:sz w:val="21"/>
          <w:szCs w:val="21"/>
          <w:highlight w:val="none"/>
        </w:rPr>
      </w:pPr>
      <w:bookmarkStart w:id="687" w:name="_Toc292559428"/>
      <w:bookmarkStart w:id="688" w:name="_Toc297216224"/>
      <w:bookmarkStart w:id="689" w:name="_Toc296944562"/>
      <w:bookmarkStart w:id="690" w:name="_Toc296891263"/>
      <w:bookmarkStart w:id="691" w:name="_Toc297120523"/>
      <w:bookmarkStart w:id="692" w:name="_Toc303539173"/>
      <w:bookmarkStart w:id="693" w:name="_Toc296347222"/>
      <w:bookmarkStart w:id="694" w:name="_Toc296346724"/>
      <w:bookmarkStart w:id="695" w:name="_Toc312678056"/>
      <w:bookmarkStart w:id="696" w:name="_Toc296503223"/>
      <w:bookmarkStart w:id="697" w:name="_Toc300935016"/>
      <w:bookmarkStart w:id="698" w:name="_Toc297123565"/>
      <w:bookmarkStart w:id="699" w:name="_Toc296891051"/>
      <w:bookmarkStart w:id="700" w:name="_Toc292559933"/>
      <w:bookmarkStart w:id="701" w:name="_Toc304295596"/>
      <w:bookmarkStart w:id="702" w:name="_Toc297048409"/>
      <w:bookmarkStart w:id="703" w:name="_Toc267251475"/>
      <w:bookmarkStart w:id="704" w:name="_Toc267251474"/>
      <w:bookmarkStart w:id="705" w:name="_Toc267251476"/>
      <w:bookmarkStart w:id="706" w:name="_Toc267251470"/>
      <w:bookmarkStart w:id="707" w:name="_Toc267251471"/>
      <w:bookmarkStart w:id="708" w:name="_Toc267251473"/>
      <w:bookmarkStart w:id="709" w:name="_Toc267251472"/>
      <w:r>
        <w:rPr>
          <w:rFonts w:hint="eastAsia" w:ascii="宋体" w:hAnsi="宋体" w:eastAsia="宋体" w:cs="宋体"/>
          <w:sz w:val="21"/>
          <w:szCs w:val="21"/>
          <w:highlight w:val="none"/>
        </w:rPr>
        <w:t>13.2 竣工验收</w:t>
      </w:r>
    </w:p>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Pr>
        <w:spacing w:line="300" w:lineRule="exact"/>
        <w:ind w:firstLine="420" w:firstLineChars="200"/>
        <w:jc w:val="left"/>
        <w:rPr>
          <w:rFonts w:hint="eastAsia" w:ascii="宋体" w:hAnsi="宋体" w:eastAsia="宋体" w:cs="宋体"/>
          <w:sz w:val="21"/>
          <w:szCs w:val="21"/>
          <w:highlight w:val="none"/>
        </w:rPr>
      </w:pPr>
      <w:bookmarkStart w:id="710" w:name="_Toc280868704"/>
      <w:bookmarkStart w:id="711" w:name="_Toc280868705"/>
      <w:bookmarkStart w:id="712" w:name="_Toc280868706"/>
      <w:bookmarkStart w:id="713" w:name="_Toc280868707"/>
      <w:bookmarkStart w:id="714" w:name="_Toc280868708"/>
      <w:bookmarkStart w:id="715" w:name="_Toc280868709"/>
      <w:r>
        <w:rPr>
          <w:rFonts w:hint="eastAsia" w:ascii="宋体" w:hAnsi="宋体" w:eastAsia="宋体" w:cs="宋体"/>
          <w:sz w:val="21"/>
          <w:szCs w:val="21"/>
          <w:highlight w:val="none"/>
        </w:rPr>
        <w:t>13.2.2竣工验收程序</w:t>
      </w:r>
    </w:p>
    <w:bookmarkEnd w:id="710"/>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关于竣工验收程序的约定：</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发包人不按照本项约定组织竣工验收、颁发工程接收证书的违约金的计算方法：</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bookmarkEnd w:id="711"/>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13.2.5移交、接收全部与部分工程</w:t>
      </w:r>
    </w:p>
    <w:bookmarkEnd w:id="712"/>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承包人向发包人移交工程的期限：</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发包人未按本合同约定接收全部或部分工程的，违约金的计算方法为：</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bookmarkEnd w:id="713"/>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承包人未按时移交工程的，违约金的计算方法为：</w:t>
      </w:r>
      <w:r>
        <w:rPr>
          <w:rFonts w:hint="eastAsia" w:ascii="宋体" w:hAnsi="宋体" w:eastAsia="宋体" w:cs="宋体"/>
          <w:sz w:val="21"/>
          <w:szCs w:val="21"/>
          <w:highlight w:val="none"/>
          <w:u w:val="single"/>
        </w:rPr>
        <w:t>每拖延一天工期支付给发包人最终结算总价的0.5‰/天的违约金，违约金最高限额为整个工程总价款的2%</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13.3 工程试车</w:t>
      </w:r>
    </w:p>
    <w:bookmarkEnd w:id="714"/>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13.3.1 试车程序</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工程试车内容：</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（1）单机无负荷试车费用由</w:t>
      </w:r>
      <w:r>
        <w:rPr>
          <w:rFonts w:hint="eastAsia" w:ascii="宋体" w:hAnsi="宋体" w:eastAsia="宋体" w:cs="宋体"/>
          <w:sz w:val="21"/>
          <w:szCs w:val="21"/>
          <w:highlight w:val="none"/>
          <w:u w:val="single"/>
        </w:rPr>
        <w:t xml:space="preserve">     承包人        </w:t>
      </w:r>
      <w:r>
        <w:rPr>
          <w:rFonts w:hint="eastAsia" w:ascii="宋体" w:hAnsi="宋体" w:eastAsia="宋体" w:cs="宋体"/>
          <w:kern w:val="0"/>
          <w:sz w:val="21"/>
          <w:szCs w:val="21"/>
          <w:highlight w:val="none"/>
        </w:rPr>
        <w:t>承担；</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（2）无负荷联动试车费用由</w:t>
      </w:r>
      <w:r>
        <w:rPr>
          <w:rFonts w:hint="eastAsia" w:ascii="宋体" w:hAnsi="宋体" w:eastAsia="宋体" w:cs="宋体"/>
          <w:sz w:val="21"/>
          <w:szCs w:val="21"/>
          <w:highlight w:val="none"/>
          <w:u w:val="single"/>
        </w:rPr>
        <w:t xml:space="preserve">     承包人         </w:t>
      </w:r>
      <w:r>
        <w:rPr>
          <w:rFonts w:hint="eastAsia" w:ascii="宋体" w:hAnsi="宋体" w:eastAsia="宋体" w:cs="宋体"/>
          <w:kern w:val="0"/>
          <w:sz w:val="21"/>
          <w:szCs w:val="21"/>
          <w:highlight w:val="none"/>
        </w:rPr>
        <w:t>承担。</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13.3.3 投料试车</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关于投料试车相关事项的约定：</w:t>
      </w:r>
      <w:r>
        <w:rPr>
          <w:rFonts w:hint="eastAsia" w:ascii="宋体" w:hAnsi="宋体" w:eastAsia="宋体" w:cs="宋体"/>
          <w:sz w:val="21"/>
          <w:szCs w:val="21"/>
          <w:highlight w:val="none"/>
          <w:u w:val="single"/>
        </w:rPr>
        <w:t xml:space="preserve">      无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13.6 竣工退场</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13.6.1 竣工退场</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承包人完成竣工退场的期限：</w:t>
      </w:r>
      <w:r>
        <w:rPr>
          <w:rFonts w:hint="eastAsia" w:ascii="宋体" w:hAnsi="宋体" w:eastAsia="宋体" w:cs="宋体"/>
          <w:sz w:val="21"/>
          <w:szCs w:val="21"/>
          <w:highlight w:val="none"/>
          <w:u w:val="single"/>
        </w:rPr>
        <w:t xml:space="preserve">      竣工验收合格后     </w:t>
      </w:r>
      <w:r>
        <w:rPr>
          <w:rFonts w:hint="eastAsia" w:ascii="宋体" w:hAnsi="宋体" w:eastAsia="宋体" w:cs="宋体"/>
          <w:kern w:val="0"/>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716" w:name="_Toc351203646"/>
      <w:r>
        <w:rPr>
          <w:rFonts w:hint="eastAsia" w:ascii="宋体" w:hAnsi="宋体" w:eastAsia="宋体" w:cs="宋体"/>
          <w:sz w:val="21"/>
          <w:szCs w:val="21"/>
          <w:highlight w:val="none"/>
        </w:rPr>
        <w:t>14. 竣工结算</w:t>
      </w:r>
      <w:bookmarkEnd w:id="716"/>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14.1 竣工付款申请</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承包人提交竣工付款申请单的期限：</w:t>
      </w:r>
      <w:r>
        <w:rPr>
          <w:rFonts w:hint="eastAsia" w:ascii="宋体" w:hAnsi="宋体" w:eastAsia="宋体" w:cs="宋体"/>
          <w:sz w:val="21"/>
          <w:szCs w:val="21"/>
          <w:highlight w:val="none"/>
          <w:u w:val="single"/>
        </w:rPr>
        <w:t>经审定工程竣工结算并由承包人提出申请后28天内。</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竣工付款申请单应包括的内容：</w:t>
      </w:r>
      <w:r>
        <w:rPr>
          <w:rFonts w:hint="eastAsia" w:ascii="宋体" w:hAnsi="宋体" w:eastAsia="宋体" w:cs="宋体"/>
          <w:sz w:val="21"/>
          <w:szCs w:val="21"/>
          <w:highlight w:val="none"/>
          <w:u w:val="single"/>
        </w:rPr>
        <w:t>竣工结算由承包人提交相关结算资料（主要包括合同、工程量计算书、结算书、变更设计通知单、签证单、竣工图）齐全后经监理初审、发包人审核后，必须经发包人审定后方可办理工程结算或竣工决算，最终结算以按财政部门的审计结果为准。工程款按最终审定的结算造价支付至97％，</w:t>
      </w:r>
      <w:r>
        <w:rPr>
          <w:rFonts w:hint="eastAsia" w:ascii="宋体" w:hAnsi="宋体" w:eastAsia="宋体" w:cs="宋体"/>
          <w:spacing w:val="-2"/>
          <w:sz w:val="21"/>
          <w:szCs w:val="21"/>
          <w:highlight w:val="none"/>
          <w:u w:val="single"/>
        </w:rPr>
        <w:t>预留的3％的质保金。</w:t>
      </w:r>
      <w:r>
        <w:rPr>
          <w:rFonts w:hint="eastAsia" w:ascii="宋体" w:hAnsi="宋体" w:eastAsia="宋体" w:cs="宋体"/>
          <w:sz w:val="21"/>
          <w:szCs w:val="21"/>
          <w:highlight w:val="none"/>
          <w:u w:val="single"/>
        </w:rPr>
        <w:t xml:space="preserve">  </w:t>
      </w:r>
    </w:p>
    <w:p>
      <w:pPr>
        <w:spacing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承包人未按本项约定的期限和内容提交竣工付款申请单或者未按审核部门要求提交修正后的竣工付款申请单，经发包人催促后14天内仍未提交或者没有明确答复的，发包人有权根据已有资料进行审查，审查确定的竣工结算合同总价和竣工付款金额视同是经承包人认可的工程竣工结算合同总价和竣工付款金额。</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14.2 竣工结算审核</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发包人审批竣工付款申请单的期限：</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发包人完成竣工付款的期限：</w:t>
      </w:r>
      <w:r>
        <w:rPr>
          <w:rFonts w:hint="eastAsia" w:ascii="宋体" w:hAnsi="宋体" w:eastAsia="宋体" w:cs="宋体"/>
          <w:sz w:val="21"/>
          <w:szCs w:val="21"/>
          <w:highlight w:val="none"/>
          <w:u w:val="single"/>
        </w:rPr>
        <w:t xml:space="preserve">在签发竣工付款证书后的30天内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关于竣工付款证书异议部分复核的方式和程序：</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14.4 最终结清</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14.4.1 最终结清申请单</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承包人提交最终结清申请单的份数：</w:t>
      </w:r>
      <w:r>
        <w:rPr>
          <w:rFonts w:hint="eastAsia" w:ascii="宋体" w:hAnsi="宋体" w:eastAsia="宋体" w:cs="宋体"/>
          <w:sz w:val="21"/>
          <w:szCs w:val="21"/>
          <w:highlight w:val="none"/>
          <w:u w:val="single"/>
        </w:rPr>
        <w:t xml:space="preserve">一式四份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承包人提交最终结算申请单的期限：</w:t>
      </w:r>
      <w:r>
        <w:rPr>
          <w:rFonts w:hint="eastAsia" w:ascii="宋体" w:hAnsi="宋体" w:eastAsia="宋体" w:cs="宋体"/>
          <w:sz w:val="21"/>
          <w:szCs w:val="21"/>
          <w:highlight w:val="none"/>
          <w:u w:val="single"/>
        </w:rPr>
        <w:t xml:space="preserve">缺陷责任期终止证书签发后14天内向监理人提交4份竣工付款申请单及相关证明材料。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14.4.2 最终结清证书和支付</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（1）发包人完成最终结清申请单的审批并颁发最终结清证书的期限：</w:t>
      </w:r>
      <w:r>
        <w:rPr>
          <w:rFonts w:hint="eastAsia" w:ascii="宋体" w:hAnsi="宋体" w:eastAsia="宋体" w:cs="宋体"/>
          <w:sz w:val="21"/>
          <w:szCs w:val="21"/>
          <w:highlight w:val="none"/>
          <w:u w:val="single"/>
        </w:rPr>
        <w:t>按通用条款执行</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（2）发包人完成支付的期限：</w:t>
      </w:r>
      <w:r>
        <w:rPr>
          <w:rFonts w:hint="eastAsia" w:ascii="宋体" w:hAnsi="宋体" w:eastAsia="宋体" w:cs="宋体"/>
          <w:sz w:val="21"/>
          <w:szCs w:val="21"/>
          <w:highlight w:val="none"/>
          <w:u w:val="single"/>
        </w:rPr>
        <w:t xml:space="preserve">在颁发最终结清证书后的30天内      </w:t>
      </w:r>
      <w:r>
        <w:rPr>
          <w:rFonts w:hint="eastAsia" w:ascii="宋体" w:hAnsi="宋体" w:eastAsia="宋体" w:cs="宋体"/>
          <w:sz w:val="21"/>
          <w:szCs w:val="21"/>
          <w:highlight w:val="none"/>
        </w:rPr>
        <w:t>。</w:t>
      </w:r>
    </w:p>
    <w:bookmarkEnd w:id="703"/>
    <w:bookmarkEnd w:id="704"/>
    <w:bookmarkEnd w:id="705"/>
    <w:bookmarkEnd w:id="706"/>
    <w:bookmarkEnd w:id="707"/>
    <w:bookmarkEnd w:id="708"/>
    <w:bookmarkEnd w:id="709"/>
    <w:bookmarkEnd w:id="715"/>
    <w:p>
      <w:pPr>
        <w:keepNext/>
        <w:keepLines/>
        <w:spacing w:before="120" w:after="120" w:line="300" w:lineRule="exact"/>
        <w:outlineLvl w:val="3"/>
        <w:rPr>
          <w:rFonts w:hint="eastAsia" w:ascii="宋体" w:hAnsi="宋体" w:eastAsia="宋体" w:cs="宋体"/>
          <w:sz w:val="21"/>
          <w:szCs w:val="21"/>
          <w:highlight w:val="none"/>
        </w:rPr>
      </w:pPr>
      <w:bookmarkStart w:id="717" w:name="_Toc351203647"/>
      <w:bookmarkStart w:id="718" w:name="_Toc267251483"/>
      <w:bookmarkStart w:id="719" w:name="_Toc267251482"/>
      <w:bookmarkStart w:id="720" w:name="_Toc267251484"/>
      <w:bookmarkStart w:id="721" w:name="_Toc267251485"/>
      <w:bookmarkStart w:id="722" w:name="_Toc267251489"/>
      <w:bookmarkStart w:id="723" w:name="_Toc267251490"/>
      <w:bookmarkStart w:id="724" w:name="_Toc267251486"/>
      <w:bookmarkStart w:id="725" w:name="_Toc267251488"/>
      <w:bookmarkStart w:id="726" w:name="_Toc267251501"/>
      <w:bookmarkStart w:id="727" w:name="_Toc267251496"/>
      <w:bookmarkStart w:id="728" w:name="_Toc267251492"/>
      <w:bookmarkStart w:id="729" w:name="_Toc267251502"/>
      <w:bookmarkStart w:id="730" w:name="_Toc267251503"/>
      <w:bookmarkStart w:id="731" w:name="_Toc267251498"/>
      <w:bookmarkStart w:id="732" w:name="_Toc267251494"/>
      <w:bookmarkStart w:id="733" w:name="_Toc267251493"/>
      <w:bookmarkStart w:id="734" w:name="_Toc267251499"/>
      <w:bookmarkStart w:id="735" w:name="_Toc267251491"/>
      <w:bookmarkStart w:id="736" w:name="_Toc267251497"/>
      <w:bookmarkStart w:id="737" w:name="_Toc267251495"/>
      <w:bookmarkStart w:id="738" w:name="_Toc267251504"/>
      <w:bookmarkStart w:id="739" w:name="_Toc267251506"/>
      <w:bookmarkStart w:id="740" w:name="_Toc267251507"/>
      <w:bookmarkStart w:id="741" w:name="_Toc267251508"/>
      <w:bookmarkStart w:id="742" w:name="_Toc267251509"/>
      <w:bookmarkStart w:id="743" w:name="_Toc267251514"/>
      <w:bookmarkStart w:id="744" w:name="_Toc267251511"/>
      <w:bookmarkStart w:id="745" w:name="_Toc267251510"/>
      <w:bookmarkStart w:id="746" w:name="_Toc267251515"/>
      <w:bookmarkStart w:id="747" w:name="_Toc267251513"/>
      <w:r>
        <w:rPr>
          <w:rFonts w:hint="eastAsia" w:ascii="宋体" w:hAnsi="宋体" w:eastAsia="宋体" w:cs="宋体"/>
          <w:sz w:val="21"/>
          <w:szCs w:val="21"/>
          <w:highlight w:val="none"/>
        </w:rPr>
        <w:t>15. 缺陷责任期与保修</w:t>
      </w:r>
      <w:bookmarkEnd w:id="717"/>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15.2缺陷责任期</w:t>
      </w:r>
      <w:bookmarkEnd w:id="718"/>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缺陷责任期的具体期限：</w:t>
      </w:r>
      <w:r>
        <w:rPr>
          <w:rFonts w:hint="eastAsia" w:ascii="宋体" w:hAnsi="宋体" w:eastAsia="宋体" w:cs="宋体"/>
          <w:sz w:val="21"/>
          <w:szCs w:val="21"/>
          <w:highlight w:val="none"/>
          <w:u w:val="single"/>
        </w:rPr>
        <w:t xml:space="preserve">12个月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15.3 质量保证金</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关于是否扣留质量保证金的约定：按</w:t>
      </w:r>
      <w:r>
        <w:rPr>
          <w:rFonts w:hint="eastAsia" w:ascii="宋体" w:hAnsi="宋体" w:eastAsia="宋体" w:cs="宋体"/>
          <w:sz w:val="21"/>
          <w:szCs w:val="21"/>
          <w:highlight w:val="none"/>
          <w:u w:val="single"/>
        </w:rPr>
        <w:t>工程审核造价金额的3%作为质保金</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15.3.1 承包人提供质量保证金的方式</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质量保证金采用以下第</w:t>
      </w:r>
      <w:r>
        <w:rPr>
          <w:rFonts w:hint="eastAsia" w:ascii="宋体" w:hAnsi="宋体" w:eastAsia="宋体" w:cs="宋体"/>
          <w:sz w:val="21"/>
          <w:szCs w:val="21"/>
          <w:highlight w:val="none"/>
          <w:u w:val="single"/>
        </w:rPr>
        <w:t xml:space="preserve">  2  </w:t>
      </w:r>
      <w:r>
        <w:rPr>
          <w:rFonts w:hint="eastAsia" w:ascii="宋体" w:hAnsi="宋体" w:eastAsia="宋体" w:cs="宋体"/>
          <w:sz w:val="21"/>
          <w:szCs w:val="21"/>
          <w:highlight w:val="none"/>
        </w:rPr>
        <w:t>种方式：</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（1）质量保证金保函，保证金额为：</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 xml:space="preserve">； </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eastAsia" w:ascii="宋体" w:hAnsi="宋体" w:eastAsia="宋体" w:cs="宋体"/>
          <w:kern w:val="0"/>
          <w:sz w:val="21"/>
          <w:szCs w:val="21"/>
          <w:highlight w:val="none"/>
          <w:u w:val="single"/>
        </w:rPr>
        <w:t xml:space="preserve">   3 </w:t>
      </w:r>
      <w:r>
        <w:rPr>
          <w:rFonts w:hint="eastAsia" w:ascii="宋体" w:hAnsi="宋体" w:eastAsia="宋体" w:cs="宋体"/>
          <w:kern w:val="0"/>
          <w:sz w:val="21"/>
          <w:szCs w:val="21"/>
          <w:highlight w:val="none"/>
        </w:rPr>
        <w:t>%的工程款；</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（3）其他方式:</w:t>
      </w:r>
      <w:r>
        <w:rPr>
          <w:rFonts w:hint="eastAsia" w:ascii="宋体" w:hAnsi="宋体" w:eastAsia="宋体" w:cs="宋体"/>
          <w:kern w:val="0"/>
          <w:sz w:val="21"/>
          <w:szCs w:val="21"/>
          <w:highlight w:val="none"/>
          <w:u w:val="single"/>
        </w:rPr>
        <w:t xml:space="preserve">          无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15.3.2 质量保证金的扣留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质量保证金的扣留采取以下第</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eastAsia="zh-CN"/>
        </w:rPr>
        <w:t>（</w:t>
      </w:r>
      <w:r>
        <w:rPr>
          <w:rFonts w:hint="eastAsia" w:ascii="宋体" w:hAnsi="宋体" w:cs="宋体"/>
          <w:sz w:val="21"/>
          <w:szCs w:val="21"/>
          <w:highlight w:val="none"/>
          <w:u w:val="single"/>
          <w:lang w:val="en-US" w:eastAsia="zh-CN"/>
        </w:rPr>
        <w:t>2</w:t>
      </w:r>
      <w:r>
        <w:rPr>
          <w:rFonts w:hint="eastAsia" w:ascii="宋体" w:hAnsi="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种方式：</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（1）在支付工程进度款时逐次扣留，在此情形下，质量保证金的计算基数不包括预付款的支付、扣回以及价格调整的金额；</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（2）工程竣工结算时一次性扣留质量保证金；</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（3）其他扣留方式:</w:t>
      </w:r>
      <w:r>
        <w:rPr>
          <w:rFonts w:hint="eastAsia" w:ascii="宋体" w:hAnsi="宋体" w:eastAsia="宋体" w:cs="宋体"/>
          <w:kern w:val="0"/>
          <w:sz w:val="21"/>
          <w:szCs w:val="21"/>
          <w:highlight w:val="none"/>
          <w:u w:val="single"/>
        </w:rPr>
        <w:t xml:space="preserve">          无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关于质量保证金的补充约定：</w:t>
      </w:r>
      <w:r>
        <w:rPr>
          <w:rFonts w:hint="eastAsia" w:ascii="宋体" w:hAnsi="宋体" w:eastAsia="宋体" w:cs="宋体"/>
          <w:sz w:val="21"/>
          <w:szCs w:val="21"/>
          <w:highlight w:val="none"/>
          <w:u w:val="single"/>
        </w:rPr>
        <w:t>发包人在质保期（一年）满后一个月内将质保金的全部返回给承包人。质量保证金的返还，并不能免除承包人按照合同约定应承担的质量保修责任和应履行的质量保修义务。</w:t>
      </w:r>
    </w:p>
    <w:bookmarkEnd w:id="719"/>
    <w:bookmarkEnd w:id="720"/>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15.4保修</w:t>
      </w:r>
    </w:p>
    <w:bookmarkEnd w:id="721"/>
    <w:p>
      <w:pPr>
        <w:spacing w:line="300" w:lineRule="exact"/>
        <w:ind w:firstLine="409" w:firstLineChars="195"/>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15.4.1 保修责任</w:t>
      </w:r>
    </w:p>
    <w:p>
      <w:pPr>
        <w:spacing w:line="300" w:lineRule="exact"/>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工程保修期为：</w:t>
      </w:r>
      <w:r>
        <w:rPr>
          <w:rFonts w:hint="eastAsia" w:ascii="宋体" w:hAnsi="宋体" w:eastAsia="宋体" w:cs="宋体"/>
          <w:sz w:val="21"/>
          <w:szCs w:val="21"/>
          <w:highlight w:val="none"/>
          <w:u w:val="single"/>
        </w:rPr>
        <w:t xml:space="preserve">  /  。</w:t>
      </w:r>
    </w:p>
    <w:p>
      <w:pPr>
        <w:autoSpaceDE w:val="0"/>
        <w:autoSpaceDN w:val="0"/>
        <w:adjustRightInd w:val="0"/>
        <w:spacing w:before="100" w:line="300" w:lineRule="exact"/>
        <w:ind w:right="30" w:firstLine="360" w:firstLineChars="1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15.4.2 修复通知</w:t>
      </w:r>
    </w:p>
    <w:p>
      <w:pPr>
        <w:spacing w:line="300" w:lineRule="exact"/>
        <w:ind w:firstLine="409" w:firstLineChars="195"/>
        <w:jc w:val="left"/>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承包人收到保修通知并到达工程现场的合理时间：</w:t>
      </w:r>
      <w:r>
        <w:rPr>
          <w:rFonts w:hint="eastAsia" w:ascii="宋体" w:hAnsi="宋体" w:eastAsia="宋体" w:cs="宋体"/>
          <w:sz w:val="21"/>
          <w:szCs w:val="21"/>
          <w:highlight w:val="none"/>
          <w:u w:val="single"/>
        </w:rPr>
        <w:t>承包人应当在接到保修通知之日起七天内派人保修</w:t>
      </w:r>
      <w:r>
        <w:rPr>
          <w:rFonts w:hint="eastAsia" w:ascii="宋体" w:hAnsi="宋体" w:eastAsia="宋体" w:cs="宋体"/>
          <w:kern w:val="0"/>
          <w:sz w:val="21"/>
          <w:szCs w:val="21"/>
          <w:highlight w:val="none"/>
          <w:u w:val="single"/>
        </w:rPr>
        <w:t>。</w:t>
      </w:r>
      <w:r>
        <w:rPr>
          <w:rFonts w:hint="eastAsia" w:ascii="宋体" w:hAnsi="宋体" w:eastAsia="宋体" w:cs="宋体"/>
          <w:sz w:val="21"/>
          <w:szCs w:val="21"/>
          <w:highlight w:val="none"/>
          <w:u w:val="single"/>
        </w:rPr>
        <w:t>承包人不在约定期限内派人保修的，发包人可以委托他人修理，所产生的费用由承包人承担。</w:t>
      </w:r>
    </w:p>
    <w:bookmarkEnd w:id="722"/>
    <w:bookmarkEnd w:id="723"/>
    <w:bookmarkEnd w:id="724"/>
    <w:bookmarkEnd w:id="725"/>
    <w:p>
      <w:pPr>
        <w:keepNext/>
        <w:keepLines/>
        <w:spacing w:before="120" w:after="120" w:line="300" w:lineRule="exact"/>
        <w:outlineLvl w:val="3"/>
        <w:rPr>
          <w:rFonts w:hint="eastAsia" w:ascii="宋体" w:hAnsi="宋体" w:eastAsia="宋体" w:cs="宋体"/>
          <w:sz w:val="21"/>
          <w:szCs w:val="21"/>
          <w:highlight w:val="none"/>
        </w:rPr>
      </w:pPr>
      <w:bookmarkStart w:id="748" w:name="_Toc351203648"/>
      <w:bookmarkStart w:id="749" w:name="_Toc280868717"/>
      <w:bookmarkStart w:id="750" w:name="_Toc280868718"/>
      <w:r>
        <w:rPr>
          <w:rFonts w:hint="eastAsia" w:ascii="宋体" w:hAnsi="宋体" w:eastAsia="宋体" w:cs="宋体"/>
          <w:sz w:val="21"/>
          <w:szCs w:val="21"/>
          <w:highlight w:val="none"/>
        </w:rPr>
        <w:t>16. 违约</w:t>
      </w:r>
      <w:bookmarkEnd w:id="748"/>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16.1 发包人违约</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16.1.1发包人违约的情形</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发包人违约的其他情形：</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sz w:val="21"/>
          <w:szCs w:val="21"/>
          <w:highlight w:val="none"/>
        </w:rPr>
        <w:t>。</w:t>
      </w:r>
    </w:p>
    <w:p>
      <w:pPr>
        <w:spacing w:line="30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16.1.2 发包人违约的责任</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发包人违约责任的承担方式和计算方法：</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（1）因发包人原因未能在计划开工日期前7天内下达开工通知的违约责任：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（2）因发包人原因未能按合同约定支付合同价款的违约责任：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（3）发包人违反第10.1款〔变更的范围〕第（2）项约定，自行实施被取消的工作或转由他人实施的违约责任：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（5）因发包人违反合同约定造成暂停施工的违约责任：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（6）发包人无正当理由没有在约定期限内发出复工指示，导致承包人无法复工的违约责任：</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（7）其他：</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16.1.3 因发包人违约解除合同</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承包人按16.1.1项〔发包人违约的情形〕约定暂停施工满</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天后发包人仍不纠正其违约行为并致使合同目的不能实现的，承包人有权解除合同。</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16.2 承包人违约</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16.2.1 承包人违约的情形</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承包人违约的其他情形：</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u w:val="single"/>
        </w:rPr>
        <w:t xml:space="preserve">按通用条款执行   </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16.2.2承包人违约的责任</w:t>
      </w:r>
    </w:p>
    <w:p>
      <w:pPr>
        <w:spacing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承包人违约责任的承担方式和计算方法：</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u w:val="single"/>
        </w:rPr>
        <w:t xml:space="preserve">每拖延一天工期支付给发包人最终结算价的0.4‰/天的违约金。误期时间从合同规定竣工日期起直到全部合同工程或相应工程的全部移交竣工报告的批准日期之间的天数（不足一日的按一日计算）。                        </w:t>
      </w:r>
      <w:r>
        <w:rPr>
          <w:rFonts w:hint="eastAsia" w:ascii="宋体" w:hAnsi="宋体" w:eastAsia="宋体" w:cs="宋体"/>
          <w:sz w:val="21"/>
          <w:szCs w:val="21"/>
          <w:highlight w:val="none"/>
        </w:rPr>
        <w:t xml:space="preserve">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16.2.3 因承包人违约解除合同</w:t>
      </w:r>
    </w:p>
    <w:p>
      <w:pPr>
        <w:spacing w:before="120" w:after="120" w:line="300" w:lineRule="exact"/>
        <w:ind w:firstLine="420" w:firstLineChars="200"/>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关于承包人违约解除合同的特别约定：</w:t>
      </w:r>
      <w:r>
        <w:rPr>
          <w:rFonts w:hint="eastAsia" w:ascii="宋体" w:hAnsi="宋体" w:eastAsia="宋体" w:cs="宋体"/>
          <w:kern w:val="0"/>
          <w:sz w:val="21"/>
          <w:szCs w:val="21"/>
          <w:highlight w:val="none"/>
          <w:u w:val="single"/>
        </w:rPr>
        <w:t>合同解除后承包人应立即退场，退场标准参照13.6.1的规定执行</w:t>
      </w:r>
      <w:r>
        <w:rPr>
          <w:rFonts w:hint="eastAsia" w:ascii="宋体" w:hAnsi="宋体" w:eastAsia="宋体" w:cs="宋体"/>
          <w:kern w:val="0"/>
          <w:sz w:val="21"/>
          <w:szCs w:val="21"/>
          <w:highlight w:val="none"/>
        </w:rPr>
        <w:t>。</w:t>
      </w:r>
    </w:p>
    <w:p>
      <w:pPr>
        <w:spacing w:before="120" w:after="120" w:line="300" w:lineRule="exact"/>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发包人继续使用承包人在施工现场的材料、设备、临时工程、承包人文件和由承包人或以其名义编制的其他文件的费用承担方式：</w:t>
      </w:r>
      <w:r>
        <w:rPr>
          <w:rFonts w:hint="eastAsia" w:ascii="宋体" w:hAnsi="宋体" w:eastAsia="宋体" w:cs="宋体"/>
          <w:kern w:val="0"/>
          <w:sz w:val="21"/>
          <w:szCs w:val="21"/>
          <w:highlight w:val="none"/>
          <w:u w:val="single"/>
        </w:rPr>
        <w:t xml:space="preserve">   无偿使用     </w:t>
      </w:r>
      <w:r>
        <w:rPr>
          <w:rFonts w:hint="eastAsia" w:ascii="宋体" w:hAnsi="宋体" w:eastAsia="宋体" w:cs="宋体"/>
          <w:kern w:val="0"/>
          <w:sz w:val="21"/>
          <w:szCs w:val="21"/>
          <w:highlight w:val="none"/>
        </w:rPr>
        <w:t>。</w:t>
      </w:r>
    </w:p>
    <w:p>
      <w:pPr>
        <w:keepNext/>
        <w:keepLines/>
        <w:spacing w:before="120" w:after="120" w:line="300" w:lineRule="exact"/>
        <w:outlineLvl w:val="3"/>
        <w:rPr>
          <w:rFonts w:hint="eastAsia" w:ascii="宋体" w:hAnsi="宋体" w:eastAsia="宋体" w:cs="宋体"/>
          <w:sz w:val="21"/>
          <w:szCs w:val="21"/>
          <w:highlight w:val="none"/>
        </w:rPr>
      </w:pPr>
      <w:bookmarkStart w:id="751" w:name="_Toc351203649"/>
      <w:r>
        <w:rPr>
          <w:rFonts w:hint="eastAsia" w:ascii="宋体" w:hAnsi="宋体" w:eastAsia="宋体" w:cs="宋体"/>
          <w:sz w:val="21"/>
          <w:szCs w:val="21"/>
          <w:highlight w:val="none"/>
        </w:rPr>
        <w:t>17. 不可抗力</w:t>
      </w:r>
      <w:bookmarkEnd w:id="751"/>
      <w:r>
        <w:rPr>
          <w:rFonts w:hint="eastAsia" w:ascii="宋体" w:hAnsi="宋体" w:eastAsia="宋体" w:cs="宋体"/>
          <w:sz w:val="21"/>
          <w:szCs w:val="21"/>
          <w:highlight w:val="none"/>
        </w:rPr>
        <w:t xml:space="preserve"> </w:t>
      </w:r>
      <w:bookmarkEnd w:id="749"/>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17.1 不可抗力的确认</w:t>
      </w:r>
    </w:p>
    <w:p>
      <w:pPr>
        <w:spacing w:line="300" w:lineRule="exact"/>
        <w:ind w:firstLine="420" w:firstLineChars="200"/>
        <w:jc w:val="left"/>
        <w:rPr>
          <w:rFonts w:hint="eastAsia" w:ascii="宋体" w:hAnsi="宋体" w:eastAsia="宋体" w:cs="宋体"/>
          <w:kern w:val="0"/>
          <w:sz w:val="21"/>
          <w:szCs w:val="21"/>
          <w:highlight w:val="none"/>
          <w:u w:val="single"/>
        </w:rPr>
      </w:pPr>
      <w:r>
        <w:rPr>
          <w:rFonts w:hint="eastAsia" w:ascii="宋体" w:hAnsi="宋体" w:eastAsia="宋体" w:cs="宋体"/>
          <w:sz w:val="21"/>
          <w:szCs w:val="21"/>
          <w:highlight w:val="none"/>
        </w:rPr>
        <w:t>除通用合同条款约定的不可抗力事件之外，视为不可抗力的其他情形：</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u w:val="single"/>
        </w:rPr>
        <w:t>不可抗力包括因战争、恐怖主义、动乱、空中飞行物体坠落或其他非发包人、承包人责任造成的爆炸、停工、火灾，以及：1、当地气象部门规定的情形；2、当地地震部门规定的情形；3、当地卫生部门规定的情形；4、提供政府相关部门对不可抗力的证明材料。</w:t>
      </w:r>
      <w:r>
        <w:rPr>
          <w:rFonts w:hint="eastAsia" w:ascii="宋体" w:hAnsi="宋体" w:eastAsia="宋体" w:cs="宋体"/>
          <w:kern w:val="0"/>
          <w:sz w:val="21"/>
          <w:szCs w:val="21"/>
          <w:highlight w:val="none"/>
          <w:u w:val="single"/>
        </w:rPr>
        <w:t xml:space="preserve"> </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17.4 因不可抗力解除合同</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合同解除后，发包人应在商定或确定发包人应支付款项后</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天内完成款项的支付。</w:t>
      </w:r>
    </w:p>
    <w:p>
      <w:pPr>
        <w:keepNext/>
        <w:keepLines/>
        <w:spacing w:before="120" w:after="120" w:line="300" w:lineRule="exact"/>
        <w:outlineLvl w:val="3"/>
        <w:rPr>
          <w:rFonts w:hint="eastAsia" w:ascii="宋体" w:hAnsi="宋体" w:eastAsia="宋体" w:cs="宋体"/>
          <w:sz w:val="21"/>
          <w:szCs w:val="21"/>
          <w:highlight w:val="none"/>
        </w:rPr>
      </w:pPr>
      <w:bookmarkStart w:id="752" w:name="_Toc351203650"/>
      <w:r>
        <w:rPr>
          <w:rFonts w:hint="eastAsia" w:ascii="宋体" w:hAnsi="宋体" w:eastAsia="宋体" w:cs="宋体"/>
          <w:sz w:val="21"/>
          <w:szCs w:val="21"/>
          <w:highlight w:val="none"/>
        </w:rPr>
        <w:t>18. 保险</w:t>
      </w:r>
      <w:bookmarkEnd w:id="752"/>
    </w:p>
    <w:bookmarkEnd w:id="750"/>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18.1 工程保险</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关于工程保险的特别约定：</w:t>
      </w:r>
      <w:r>
        <w:rPr>
          <w:rFonts w:hint="eastAsia" w:ascii="宋体" w:hAnsi="宋体" w:eastAsia="宋体" w:cs="宋体"/>
          <w:kern w:val="0"/>
          <w:sz w:val="21"/>
          <w:szCs w:val="21"/>
          <w:highlight w:val="none"/>
          <w:u w:val="single"/>
        </w:rPr>
        <w:t xml:space="preserve">  </w:t>
      </w:r>
      <w:r>
        <w:rPr>
          <w:rFonts w:hint="eastAsia" w:ascii="宋体" w:hAnsi="宋体" w:eastAsia="宋体" w:cs="宋体"/>
          <w:sz w:val="21"/>
          <w:szCs w:val="21"/>
          <w:highlight w:val="none"/>
          <w:u w:val="single"/>
        </w:rPr>
        <w:t>承包人应投保建筑工程一切险并承担相关费用</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18.3 其他保险</w:t>
      </w:r>
    </w:p>
    <w:p>
      <w:pPr>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sz w:val="21"/>
          <w:szCs w:val="21"/>
          <w:highlight w:val="none"/>
        </w:rPr>
        <w:t>关于其他保险的约定：</w:t>
      </w:r>
      <w:r>
        <w:rPr>
          <w:rFonts w:hint="eastAsia" w:ascii="宋体" w:hAnsi="宋体" w:eastAsia="宋体" w:cs="宋体"/>
          <w:kern w:val="0"/>
          <w:sz w:val="21"/>
          <w:szCs w:val="21"/>
          <w:highlight w:val="none"/>
          <w:u w:val="single"/>
        </w:rPr>
        <w:t xml:space="preserve"> 承包人根据市建协字【2009】3号文须缴纳建筑意外伤害保险费。  </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承包人是否应为其施工设备等办理财产保险：</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18.7 通知义务</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kern w:val="0"/>
          <w:sz w:val="21"/>
          <w:szCs w:val="21"/>
          <w:highlight w:val="none"/>
        </w:rPr>
        <w:t>关于变更保险合同时的通知义务的约定：</w:t>
      </w:r>
      <w:r>
        <w:rPr>
          <w:rFonts w:hint="eastAsia" w:ascii="宋体" w:hAnsi="宋体" w:eastAsia="宋体" w:cs="宋体"/>
          <w:sz w:val="21"/>
          <w:szCs w:val="21"/>
          <w:highlight w:val="none"/>
          <w:u w:val="single"/>
        </w:rPr>
        <w:t xml:space="preserve">       按通用条款执行           </w:t>
      </w:r>
      <w:r>
        <w:rPr>
          <w:rFonts w:hint="eastAsia" w:ascii="宋体" w:hAnsi="宋体" w:eastAsia="宋体" w:cs="宋体"/>
          <w:sz w:val="21"/>
          <w:szCs w:val="21"/>
          <w:highlight w:val="none"/>
        </w:rPr>
        <w:t>。</w:t>
      </w:r>
    </w:p>
    <w:bookmarkEnd w:id="726"/>
    <w:bookmarkEnd w:id="727"/>
    <w:bookmarkEnd w:id="728"/>
    <w:bookmarkEnd w:id="729"/>
    <w:bookmarkEnd w:id="730"/>
    <w:bookmarkEnd w:id="731"/>
    <w:bookmarkEnd w:id="732"/>
    <w:bookmarkEnd w:id="733"/>
    <w:bookmarkEnd w:id="734"/>
    <w:bookmarkEnd w:id="735"/>
    <w:bookmarkEnd w:id="736"/>
    <w:bookmarkEnd w:id="737"/>
    <w:p>
      <w:pPr>
        <w:keepNext/>
        <w:keepLines/>
        <w:spacing w:before="120" w:after="120" w:line="300" w:lineRule="exact"/>
        <w:outlineLvl w:val="3"/>
        <w:rPr>
          <w:rFonts w:hint="eastAsia" w:ascii="宋体" w:hAnsi="宋体" w:eastAsia="宋体" w:cs="宋体"/>
          <w:sz w:val="21"/>
          <w:szCs w:val="21"/>
          <w:highlight w:val="none"/>
        </w:rPr>
      </w:pPr>
      <w:bookmarkStart w:id="753" w:name="_Toc351203651"/>
      <w:r>
        <w:rPr>
          <w:rFonts w:hint="eastAsia" w:ascii="宋体" w:hAnsi="宋体" w:eastAsia="宋体" w:cs="宋体"/>
          <w:sz w:val="21"/>
          <w:szCs w:val="21"/>
          <w:highlight w:val="none"/>
        </w:rPr>
        <w:t>20. 争议解决</w:t>
      </w:r>
      <w:bookmarkEnd w:id="753"/>
    </w:p>
    <w:bookmarkEnd w:id="738"/>
    <w:bookmarkEnd w:id="739"/>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20.3 争</w:t>
      </w:r>
      <w:bookmarkEnd w:id="740"/>
      <w:r>
        <w:rPr>
          <w:rFonts w:hint="eastAsia" w:ascii="宋体" w:hAnsi="宋体" w:eastAsia="宋体" w:cs="宋体"/>
          <w:sz w:val="21"/>
          <w:szCs w:val="21"/>
          <w:highlight w:val="none"/>
        </w:rPr>
        <w:t>议评审</w:t>
      </w:r>
    </w:p>
    <w:p>
      <w:pPr>
        <w:spacing w:line="300" w:lineRule="exact"/>
        <w:ind w:left="199" w:leftChars="71" w:firstLine="315" w:firstLineChars="15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合同当事人是否同意将工程争议提交争议评审小组决定：</w:t>
      </w:r>
      <w:r>
        <w:rPr>
          <w:rFonts w:hint="eastAsia" w:ascii="宋体" w:hAnsi="宋体" w:eastAsia="宋体" w:cs="宋体"/>
          <w:sz w:val="21"/>
          <w:szCs w:val="21"/>
          <w:highlight w:val="none"/>
          <w:u w:val="single"/>
        </w:rPr>
        <w:t xml:space="preserve">  不同意    </w:t>
      </w:r>
      <w:r>
        <w:rPr>
          <w:rFonts w:hint="eastAsia" w:ascii="宋体" w:hAnsi="宋体" w:eastAsia="宋体" w:cs="宋体"/>
          <w:sz w:val="21"/>
          <w:szCs w:val="21"/>
          <w:highlight w:val="none"/>
        </w:rPr>
        <w:t xml:space="preserve">。  </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20.3.1 争议评审小组的确定</w:t>
      </w:r>
    </w:p>
    <w:p>
      <w:pPr>
        <w:spacing w:line="300" w:lineRule="exact"/>
        <w:ind w:firstLine="420" w:firstLineChars="200"/>
        <w:jc w:val="left"/>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争议评审小组成员的确定：</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选定争议评审员的期限：</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争议评审小组成员的报酬承担方式：</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其他事项的约定：</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autoSpaceDE w:val="0"/>
        <w:autoSpaceDN w:val="0"/>
        <w:adjustRightInd w:val="0"/>
        <w:spacing w:line="3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20.3.2 争议评审小组的决定</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合同当事人关于本项的约定：</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w:t>
      </w:r>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20.4仲裁或诉讼</w:t>
      </w:r>
      <w:bookmarkEnd w:id="741"/>
    </w:p>
    <w:p>
      <w:pPr>
        <w:spacing w:after="120" w:line="3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因合同及合同有关事项发生的争议，按下列第</w:t>
      </w:r>
      <w:r>
        <w:rPr>
          <w:rFonts w:hint="eastAsia" w:ascii="宋体" w:hAnsi="宋体" w:eastAsia="宋体" w:cs="宋体"/>
          <w:sz w:val="21"/>
          <w:szCs w:val="21"/>
          <w:highlight w:val="none"/>
          <w:u w:val="single"/>
        </w:rPr>
        <w:t xml:space="preserve"> （2） </w:t>
      </w:r>
      <w:r>
        <w:rPr>
          <w:rFonts w:hint="eastAsia" w:ascii="宋体" w:hAnsi="宋体" w:eastAsia="宋体" w:cs="宋体"/>
          <w:sz w:val="21"/>
          <w:szCs w:val="21"/>
          <w:highlight w:val="none"/>
        </w:rPr>
        <w:t>种方式解决：</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（1）向</w:t>
      </w:r>
      <w:r>
        <w:rPr>
          <w:rFonts w:hint="eastAsia" w:ascii="宋体" w:hAnsi="宋体" w:eastAsia="宋体" w:cs="宋体"/>
          <w:sz w:val="21"/>
          <w:szCs w:val="21"/>
          <w:highlight w:val="none"/>
          <w:u w:val="single"/>
        </w:rPr>
        <w:t xml:space="preserve">   建设行政主管部门 </w:t>
      </w:r>
      <w:r>
        <w:rPr>
          <w:rFonts w:hint="eastAsia" w:ascii="宋体" w:hAnsi="宋体" w:eastAsia="宋体" w:cs="宋体"/>
          <w:sz w:val="21"/>
          <w:szCs w:val="21"/>
          <w:highlight w:val="none"/>
        </w:rPr>
        <w:t>仲裁委员会申请仲裁；</w:t>
      </w:r>
    </w:p>
    <w:p>
      <w:pPr>
        <w:spacing w:line="3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（2）向</w:t>
      </w:r>
      <w:r>
        <w:rPr>
          <w:rFonts w:hint="eastAsia" w:ascii="宋体" w:hAnsi="宋体" w:eastAsia="宋体" w:cs="宋体"/>
          <w:sz w:val="21"/>
          <w:szCs w:val="21"/>
          <w:highlight w:val="none"/>
          <w:u w:val="single"/>
        </w:rPr>
        <w:t xml:space="preserve">   本工程辖区内  </w:t>
      </w:r>
      <w:r>
        <w:rPr>
          <w:rFonts w:hint="eastAsia" w:ascii="宋体" w:hAnsi="宋体" w:eastAsia="宋体" w:cs="宋体"/>
          <w:sz w:val="21"/>
          <w:szCs w:val="21"/>
          <w:highlight w:val="none"/>
        </w:rPr>
        <w:t>人民法院起诉。</w:t>
      </w:r>
      <w:bookmarkEnd w:id="742"/>
      <w:bookmarkEnd w:id="743"/>
      <w:bookmarkEnd w:id="744"/>
      <w:bookmarkEnd w:id="745"/>
      <w:bookmarkEnd w:id="746"/>
      <w:bookmarkEnd w:id="747"/>
    </w:p>
    <w:p>
      <w:pPr>
        <w:rPr>
          <w:rFonts w:hint="eastAsia" w:ascii="宋体" w:hAnsi="宋体" w:eastAsia="宋体" w:cs="宋体"/>
          <w:sz w:val="21"/>
          <w:szCs w:val="22"/>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3"/>
        <w:spacing w:before="0" w:after="0" w:line="360" w:lineRule="auto"/>
        <w:jc w:val="center"/>
        <w:rPr>
          <w:rFonts w:hint="eastAsia" w:ascii="宋体" w:hAnsi="宋体" w:eastAsia="宋体" w:cs="宋体"/>
          <w:sz w:val="32"/>
          <w:szCs w:val="32"/>
          <w:highlight w:val="none"/>
        </w:rPr>
      </w:pPr>
      <w:bookmarkStart w:id="754" w:name="_Toc115373059"/>
      <w:r>
        <w:rPr>
          <w:rFonts w:hint="eastAsia" w:ascii="宋体" w:hAnsi="宋体" w:eastAsia="宋体" w:cs="宋体"/>
          <w:sz w:val="32"/>
          <w:szCs w:val="32"/>
          <w:highlight w:val="none"/>
        </w:rPr>
        <w:t>第五章 工程量清单</w:t>
      </w:r>
      <w:bookmarkEnd w:id="754"/>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1、工程量清单说明</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 本工程量清单是依据：</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（1）《广西壮族自治区水利水电工程设计概（预）算编制规定（2007年）》；</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（2）《广西壮族自治区水利水电建筑工程概算定额（2007年）》；</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（3）《广西壮族自治区水利水电工程机械台时费定额（2007年）》；</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（4）交通部2018年《公路工程基本建设项目概预算编制办法》（JTG 3830-2018）；</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（5）交通部2018年《公路工程预算定额》（JTG/T 3832-2018）；</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（6）交通部2018年《公路工程机械台班费用定额》（JTG/T 3833-2018）；</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（7）广西壮族自治区交通厅桂交办建管[2012]7号文发布的《转发交通运输部关于公布公路工程基本建设项目概算预算编制办法局部修订公告的通知》；</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（8）交通运输部办公厅关于《公路工程营业税改增值税计价依据调整方案》的通知（交办公路[2016]66号）；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（9）《广西壮族自治区交通工程造价管理站关于印发广西公路工程材料价格“营改增”调整方案的通知》（桂交监造价发[2016]1号）；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（10）《自治区住房城乡建设厅关于调整除税价计算适用增值税税率的通知》（桂造价[2018]14号）；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（11）《关于调整除税价计算适用增值税税率的通知》（桂造价[2019]10号）；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（12）交通运输部关于调整《公路工程建设项目投资估算编制办法》(JTG 3820-2018)和《公路工程建设项目概算预算编制办法》(JTG 3830-2018)中“税金”有关规定的公告（交通运输部公告[2019]26号）；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（13）广西壮族自治区交通运输厅桂交建管[2019]39号文发布的《关于印发公路工程建设项目估算概算预算编制办法广西补充规定的通知》；</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（14）广西壮族自治区交通工程造价管理站桂交监造价函[2019]16号《关于发布广西公路工程机械台班车船使用税标准的函》；</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（15）广西壮族自治区农业农村厅《关于下达2022年农田建设任务的通知》（桂农厅发〔2022〕6号）；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（16）材料价格参照《桂林市建设工程造价信息》202</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年第</w:t>
      </w:r>
      <w:r>
        <w:rPr>
          <w:rFonts w:hint="eastAsia" w:ascii="宋体" w:hAnsi="宋体" w:cs="宋体"/>
          <w:kern w:val="0"/>
          <w:sz w:val="21"/>
          <w:szCs w:val="21"/>
          <w:highlight w:val="none"/>
          <w:lang w:val="en-US" w:eastAsia="zh-CN"/>
        </w:rPr>
        <w:t>5</w:t>
      </w:r>
      <w:r>
        <w:rPr>
          <w:rFonts w:hint="eastAsia" w:ascii="宋体" w:hAnsi="宋体" w:eastAsia="宋体" w:cs="宋体"/>
          <w:kern w:val="0"/>
          <w:sz w:val="21"/>
          <w:szCs w:val="21"/>
          <w:highlight w:val="none"/>
        </w:rPr>
        <w:t>期刊，造价信息上没有的材料按桂林市同期价格或者市场询价确定。</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1.2 本工程量清单应与招标文件中的投标人须知、通用合同条款、专用合同条款、技术标准和要求 及图纸等章节内容一起阅读和理解。</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1.3 本工程量清单仅是投标报价的共同基础，竣工结算的工程量按合同约定确定。合同价格的确定 以及价款支付应遵循合同条款 (包括通用合同条款和专用合同条款)、技术标准和要求以及本章的 有关约定。</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1.4 补充子目的子目特征、计量单位、工程量计算规则及工作内容说明如下：</w:t>
      </w:r>
      <w:r>
        <w:rPr>
          <w:rFonts w:hint="eastAsia" w:ascii="宋体" w:hAnsi="宋体" w:eastAsia="宋体" w:cs="宋体"/>
          <w:kern w:val="0"/>
          <w:sz w:val="21"/>
          <w:szCs w:val="21"/>
          <w:highlight w:val="none"/>
          <w:u w:val="single"/>
        </w:rPr>
        <w:t xml:space="preserve">   /    </w:t>
      </w:r>
      <w:r>
        <w:rPr>
          <w:rFonts w:hint="eastAsia" w:ascii="宋体" w:hAnsi="宋体" w:eastAsia="宋体" w:cs="宋体"/>
          <w:kern w:val="0"/>
          <w:sz w:val="21"/>
          <w:szCs w:val="21"/>
          <w:highlight w:val="none"/>
        </w:rPr>
        <w:t>。</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1.5 本条第1.1款中约定的计量和计价规则适用于合同履约过程中工程量计量与价款支付、工程变 更、索赔和工程结算。</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1.6 本条与下述第2条和第3条的说明内容是构成合同文件的已标价工程量清单的组成部分。</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2、投标报价说明</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本说明是招标人对投标人编制投标报价的要求和规定。投标人在编制投标文件时,应据此编写报价 说明。</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 投标报价定额和取费标准</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投标人编制报价时，其定额和费用标准不作限制。投标人可充分发挥自身优势，结合建筑市场的供 求关系，自行选用定额和费用标准。</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投标人编制投标报价应附有编制说明，并且至少应包括以下内容：</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 报价编制依据、选用定额；</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 费率取值 (其他直接费、现场经费、间接费、利润、税金等费用的费率取值) ；</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 单价分析表</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 人工预算单价计算表，材料预算价格计算表，混凝土及砂浆材料单价计算表，主要施工机械台班/台时费计算表，人工砂石料单价计算表 (如有)，总价项目分解表。</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 投标报价的说明</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 除合同另有规定外，工程量清单中的单价和合价包括由承包人承担的成本、利润、税金以及合同明示或暗示的应由承包人承担的义务、责任和风险等所发生的各项费用。</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 符合合同规定的全部费用和利润都应包括在工程量清单所列的各项目中，合同规定应由承包 人承担而在工程量清单中未详细列出的项目，其费用和利润应认为已包括在其它有关项目的单价和 合价中。投标人不应在工程量清单中自行增加新的项目或修改项目名称。</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 投标人应根据工程情况和市场调查自行确定材料工地价，若合同专用条款允许对材料价格涨 跌在波动幅度范围外进行补差，则以公布的材料工地参考价为基准价进行补差。</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 工程量清单报价中，对投标人没有填写单价或合价的项目(子目)，其费用均视为已分摊在工程量清单中其他相关项目(子目)单价或合价之中。</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 投标人必须按照工程量清单中的顺序列报项目名称及其工程量，不得增项或漏项，也不得更改各项目的工程量。</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 工程量清单报价表中有计算或汇总的算术错误时，应按以下原则改正：</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①工程量清单中任一项目的单价乘其工程量的乘积与该项目的合价不吻合时，应以单价为准，改正 合价。但经合同双方共同核对后认为单价有明显的小数点错位时，则应以合价为准，改正单价。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②若投标报价汇总表中的金额与相应的各分项工程量清单中的合计金额不吻合时，应以修正算术错误后的各分项工程量清单中的合计金额为准，改正投标报价汇总表中相应部分的金额和投标总报价。</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③如果数字表示的金额和用文字表示的金额不一致时，应以文字表示的金额为准；</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 所有报价均以人民币表示。</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3、其他说明：无</w:t>
      </w:r>
    </w:p>
    <w:p>
      <w:pPr>
        <w:spacing w:line="30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4、工程量清单：投标人自行查询下载工程量清单，招标人不再另行通知。</w:t>
      </w:r>
    </w:p>
    <w:p>
      <w:pPr>
        <w:pStyle w:val="3"/>
        <w:spacing w:before="0" w:after="0" w:line="0" w:lineRule="atLeast"/>
        <w:jc w:val="center"/>
        <w:rPr>
          <w:rFonts w:hint="eastAsia" w:ascii="宋体" w:hAnsi="宋体" w:eastAsia="宋体" w:cs="宋体"/>
          <w:highlight w:val="none"/>
        </w:rPr>
      </w:pPr>
      <w:r>
        <w:rPr>
          <w:rFonts w:hint="eastAsia" w:ascii="宋体" w:hAnsi="宋体" w:eastAsia="宋体" w:cs="宋体"/>
          <w:sz w:val="36"/>
          <w:highlight w:val="none"/>
          <w:lang w:val="en-US"/>
        </w:rPr>
        <w:br w:type="page"/>
      </w:r>
    </w:p>
    <w:p>
      <w:pPr>
        <w:rPr>
          <w:rFonts w:hint="eastAsia" w:ascii="宋体" w:hAnsi="宋体" w:eastAsia="宋体" w:cs="宋体"/>
          <w:highlight w:val="none"/>
        </w:rPr>
      </w:pPr>
    </w:p>
    <w:p>
      <w:pPr>
        <w:pStyle w:val="3"/>
        <w:spacing w:before="0" w:after="0" w:line="0" w:lineRule="atLeast"/>
        <w:jc w:val="center"/>
        <w:rPr>
          <w:rFonts w:hint="eastAsia" w:ascii="宋体" w:hAnsi="宋体" w:eastAsia="宋体" w:cs="宋体"/>
          <w:sz w:val="36"/>
          <w:highlight w:val="none"/>
        </w:rPr>
      </w:pPr>
      <w:bookmarkStart w:id="755" w:name="_Toc115373060"/>
      <w:r>
        <w:rPr>
          <w:rFonts w:hint="eastAsia" w:ascii="宋体" w:hAnsi="宋体" w:eastAsia="宋体" w:cs="宋体"/>
          <w:sz w:val="36"/>
          <w:highlight w:val="none"/>
        </w:rPr>
        <w:t>第</w:t>
      </w:r>
      <w:r>
        <w:rPr>
          <w:rFonts w:hint="eastAsia" w:ascii="宋体" w:hAnsi="宋体" w:eastAsia="宋体" w:cs="宋体"/>
          <w:sz w:val="36"/>
          <w:highlight w:val="none"/>
          <w:lang w:eastAsia="zh-CN"/>
        </w:rPr>
        <w:t xml:space="preserve"> </w:t>
      </w:r>
      <w:r>
        <w:rPr>
          <w:rFonts w:hint="eastAsia" w:ascii="宋体" w:hAnsi="宋体" w:eastAsia="宋体" w:cs="宋体"/>
          <w:sz w:val="36"/>
          <w:highlight w:val="none"/>
        </w:rPr>
        <w:t>二</w:t>
      </w:r>
      <w:r>
        <w:rPr>
          <w:rFonts w:hint="eastAsia" w:ascii="宋体" w:hAnsi="宋体" w:eastAsia="宋体" w:cs="宋体"/>
          <w:sz w:val="36"/>
          <w:highlight w:val="none"/>
          <w:lang w:eastAsia="zh-CN"/>
        </w:rPr>
        <w:t xml:space="preserve"> </w:t>
      </w:r>
      <w:r>
        <w:rPr>
          <w:rFonts w:hint="eastAsia" w:ascii="宋体" w:hAnsi="宋体" w:eastAsia="宋体" w:cs="宋体"/>
          <w:sz w:val="36"/>
          <w:highlight w:val="none"/>
        </w:rPr>
        <w:t>卷</w:t>
      </w:r>
      <w:bookmarkEnd w:id="755"/>
    </w:p>
    <w:p>
      <w:pPr>
        <w:pStyle w:val="4"/>
        <w:spacing w:after="0" w:line="416" w:lineRule="auto"/>
        <w:jc w:val="center"/>
        <w:rPr>
          <w:rFonts w:hint="eastAsia" w:ascii="宋体" w:hAnsi="宋体" w:eastAsia="宋体" w:cs="宋体"/>
          <w:highlight w:val="none"/>
        </w:rPr>
      </w:pPr>
      <w:bookmarkStart w:id="756" w:name="_Toc115373061"/>
      <w:r>
        <w:rPr>
          <w:rFonts w:hint="eastAsia" w:ascii="宋体" w:hAnsi="宋体" w:eastAsia="宋体" w:cs="宋体"/>
          <w:highlight w:val="none"/>
        </w:rPr>
        <w:t>第六章  图纸（另册）</w:t>
      </w:r>
      <w:bookmarkEnd w:id="756"/>
    </w:p>
    <w:p>
      <w:pPr>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（自行下载电子版）</w:t>
      </w:r>
    </w:p>
    <w:p>
      <w:pPr>
        <w:jc w:val="center"/>
        <w:outlineLvl w:val="0"/>
        <w:rPr>
          <w:rFonts w:hint="eastAsia" w:ascii="宋体" w:hAnsi="宋体" w:eastAsia="宋体" w:cs="宋体"/>
          <w:kern w:val="0"/>
          <w:sz w:val="24"/>
          <w:highlight w:val="none"/>
        </w:rPr>
      </w:pPr>
      <w:r>
        <w:rPr>
          <w:rFonts w:hint="eastAsia" w:ascii="宋体" w:hAnsi="宋体" w:eastAsia="宋体" w:cs="宋体"/>
          <w:w w:val="99"/>
          <w:kern w:val="0"/>
          <w:highlight w:val="none"/>
        </w:rPr>
        <w:br w:type="page"/>
      </w:r>
      <w:bookmarkStart w:id="757" w:name="_Toc115373062"/>
      <w:r>
        <w:rPr>
          <w:rFonts w:hint="eastAsia" w:ascii="宋体" w:hAnsi="宋体" w:eastAsia="宋体" w:cs="宋体"/>
          <w:b/>
          <w:bCs/>
          <w:sz w:val="40"/>
          <w:szCs w:val="21"/>
          <w:highlight w:val="none"/>
        </w:rPr>
        <w:t>第 三 卷</w:t>
      </w:r>
      <w:bookmarkEnd w:id="757"/>
    </w:p>
    <w:p>
      <w:pPr>
        <w:pStyle w:val="4"/>
        <w:jc w:val="center"/>
        <w:rPr>
          <w:rFonts w:hint="eastAsia" w:ascii="宋体" w:hAnsi="宋体" w:eastAsia="宋体" w:cs="宋体"/>
          <w:highlight w:val="none"/>
          <w:lang w:eastAsia="zh-CN"/>
        </w:rPr>
      </w:pPr>
      <w:bookmarkStart w:id="758" w:name="_Toc115373063"/>
      <w:r>
        <w:rPr>
          <w:rFonts w:hint="eastAsia" w:ascii="宋体" w:hAnsi="宋体" w:eastAsia="宋体" w:cs="宋体"/>
          <w:highlight w:val="none"/>
        </w:rPr>
        <w:t>第七章 技术标准和要求</w:t>
      </w:r>
      <w:bookmarkEnd w:id="758"/>
    </w:p>
    <w:p>
      <w:pPr>
        <w:pStyle w:val="13"/>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适用的国家、行业以及地方规范、标准和规程现行的国家、行业和地方现行标准、规范和规程等。</w:t>
      </w:r>
    </w:p>
    <w:p>
      <w:pPr>
        <w:spacing w:line="560" w:lineRule="exact"/>
        <w:ind w:firstLine="480" w:firstLineChars="200"/>
        <w:rPr>
          <w:rFonts w:hint="eastAsia" w:ascii="宋体" w:hAnsi="宋体" w:eastAsia="宋体" w:cs="宋体"/>
          <w:sz w:val="24"/>
          <w:highlight w:val="none"/>
        </w:rPr>
        <w:sectPr>
          <w:footerReference r:id="rId9" w:type="default"/>
          <w:pgSz w:w="11906" w:h="16838"/>
          <w:pgMar w:top="1247" w:right="1474" w:bottom="1247" w:left="1474" w:header="851" w:footer="992" w:gutter="0"/>
          <w:pgNumType w:fmt="decimal"/>
          <w:cols w:space="720" w:num="1"/>
          <w:docGrid w:linePitch="312" w:charSpace="0"/>
        </w:sectPr>
      </w:pPr>
    </w:p>
    <w:p>
      <w:pPr>
        <w:pStyle w:val="3"/>
        <w:spacing w:before="0" w:after="0" w:line="0" w:lineRule="atLeast"/>
        <w:jc w:val="center"/>
        <w:rPr>
          <w:rFonts w:hint="eastAsia" w:ascii="宋体" w:hAnsi="宋体" w:eastAsia="宋体" w:cs="宋体"/>
          <w:sz w:val="32"/>
          <w:szCs w:val="32"/>
          <w:highlight w:val="none"/>
        </w:rPr>
      </w:pPr>
      <w:bookmarkStart w:id="759" w:name="_Toc115373064"/>
      <w:r>
        <w:rPr>
          <w:rFonts w:hint="eastAsia" w:ascii="宋体" w:hAnsi="宋体" w:eastAsia="宋体" w:cs="宋体"/>
          <w:sz w:val="32"/>
          <w:szCs w:val="32"/>
          <w:highlight w:val="none"/>
        </w:rPr>
        <w:t>第</w:t>
      </w:r>
      <w:r>
        <w:rPr>
          <w:rFonts w:hint="eastAsia" w:ascii="宋体" w:hAnsi="宋体" w:eastAsia="宋体" w:cs="宋体"/>
          <w:sz w:val="32"/>
          <w:szCs w:val="32"/>
          <w:highlight w:val="none"/>
          <w:lang w:eastAsia="zh-CN"/>
        </w:rPr>
        <w:t xml:space="preserve"> </w:t>
      </w:r>
      <w:r>
        <w:rPr>
          <w:rFonts w:hint="eastAsia" w:ascii="宋体" w:hAnsi="宋体" w:eastAsia="宋体" w:cs="宋体"/>
          <w:sz w:val="32"/>
          <w:szCs w:val="32"/>
          <w:highlight w:val="none"/>
        </w:rPr>
        <w:t>四</w:t>
      </w:r>
      <w:r>
        <w:rPr>
          <w:rFonts w:hint="eastAsia" w:ascii="宋体" w:hAnsi="宋体" w:eastAsia="宋体" w:cs="宋体"/>
          <w:sz w:val="32"/>
          <w:szCs w:val="32"/>
          <w:highlight w:val="none"/>
          <w:lang w:eastAsia="zh-CN"/>
        </w:rPr>
        <w:t xml:space="preserve"> </w:t>
      </w:r>
      <w:r>
        <w:rPr>
          <w:rFonts w:hint="eastAsia" w:ascii="宋体" w:hAnsi="宋体" w:eastAsia="宋体" w:cs="宋体"/>
          <w:sz w:val="32"/>
          <w:szCs w:val="32"/>
          <w:highlight w:val="none"/>
        </w:rPr>
        <w:t>卷</w:t>
      </w:r>
      <w:bookmarkEnd w:id="759"/>
    </w:p>
    <w:p>
      <w:pPr>
        <w:pStyle w:val="4"/>
        <w:jc w:val="center"/>
        <w:rPr>
          <w:rFonts w:hint="eastAsia" w:ascii="宋体" w:hAnsi="宋体" w:eastAsia="宋体" w:cs="宋体"/>
          <w:szCs w:val="32"/>
          <w:highlight w:val="none"/>
        </w:rPr>
      </w:pPr>
      <w:bookmarkStart w:id="760" w:name="_Toc115373065"/>
      <w:r>
        <w:rPr>
          <w:rFonts w:hint="eastAsia" w:ascii="宋体" w:hAnsi="宋体" w:eastAsia="宋体" w:cs="宋体"/>
          <w:szCs w:val="32"/>
          <w:highlight w:val="none"/>
        </w:rPr>
        <w:t>第八章 投标文件格式</w:t>
      </w:r>
      <w:bookmarkEnd w:id="760"/>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p>
    <w:p>
      <w:pPr>
        <w:jc w:val="center"/>
        <w:rPr>
          <w:rFonts w:hint="eastAsia" w:ascii="宋体" w:hAnsi="宋体" w:eastAsia="宋体" w:cs="宋体"/>
          <w:sz w:val="32"/>
          <w:szCs w:val="32"/>
          <w:highlight w:val="none"/>
          <w:u w:val="single"/>
        </w:rPr>
      </w:pPr>
      <w:r>
        <w:rPr>
          <w:rFonts w:hint="eastAsia" w:ascii="宋体" w:hAnsi="宋体" w:eastAsia="宋体" w:cs="宋体"/>
          <w:sz w:val="32"/>
          <w:szCs w:val="32"/>
          <w:highlight w:val="none"/>
          <w:u w:val="single"/>
        </w:rPr>
        <w:br w:type="page"/>
      </w:r>
    </w:p>
    <w:p>
      <w:pPr>
        <w:jc w:val="center"/>
        <w:rPr>
          <w:rFonts w:hint="eastAsia" w:ascii="宋体" w:hAnsi="宋体" w:eastAsia="宋体" w:cs="宋体"/>
          <w:sz w:val="32"/>
          <w:szCs w:val="32"/>
          <w:highlight w:val="none"/>
        </w:rPr>
      </w:pP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（项目名称）</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标段</w:t>
      </w:r>
    </w:p>
    <w:p>
      <w:pPr>
        <w:spacing w:before="240" w:beforeLines="100"/>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spacing w:before="240" w:beforeLines="100"/>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投  标  文  件</w:t>
      </w: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jc w:val="center"/>
        <w:rPr>
          <w:rFonts w:hint="eastAsia" w:ascii="宋体" w:hAnsi="宋体" w:eastAsia="宋体" w:cs="宋体"/>
          <w:sz w:val="32"/>
          <w:szCs w:val="32"/>
          <w:highlight w:val="none"/>
        </w:rPr>
      </w:pPr>
    </w:p>
    <w:p>
      <w:pPr>
        <w:pStyle w:val="2"/>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spacing w:line="360" w:lineRule="auto"/>
        <w:ind w:firstLine="480" w:firstLineChars="150"/>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项目编号：</w:t>
      </w:r>
      <w:r>
        <w:rPr>
          <w:rFonts w:hint="eastAsia" w:ascii="宋体" w:hAnsi="宋体" w:eastAsia="宋体" w:cs="宋体"/>
          <w:sz w:val="32"/>
          <w:szCs w:val="32"/>
          <w:highlight w:val="none"/>
          <w:u w:val="single"/>
        </w:rPr>
        <w:t xml:space="preserve">                  </w:t>
      </w:r>
    </w:p>
    <w:p>
      <w:pPr>
        <w:spacing w:line="360" w:lineRule="auto"/>
        <w:jc w:val="left"/>
        <w:rPr>
          <w:rFonts w:hint="eastAsia" w:ascii="宋体" w:hAnsi="宋体" w:eastAsia="宋体" w:cs="宋体"/>
          <w:sz w:val="30"/>
          <w:szCs w:val="30"/>
          <w:highlight w:val="none"/>
        </w:rPr>
      </w:pPr>
      <w:r>
        <w:rPr>
          <w:rFonts w:hint="eastAsia" w:ascii="宋体" w:hAnsi="宋体" w:eastAsia="宋体" w:cs="宋体"/>
          <w:sz w:val="32"/>
          <w:szCs w:val="32"/>
          <w:highlight w:val="none"/>
        </w:rPr>
        <w:t xml:space="preserve">  </w:t>
      </w:r>
      <w:r>
        <w:rPr>
          <w:rFonts w:hint="eastAsia" w:ascii="宋体" w:hAnsi="宋体" w:eastAsia="宋体" w:cs="宋体"/>
          <w:sz w:val="30"/>
          <w:szCs w:val="30"/>
          <w:highlight w:val="none"/>
        </w:rPr>
        <w:t xml:space="preserve"> 投标人：</w:t>
      </w:r>
      <w:r>
        <w:rPr>
          <w:rFonts w:hint="eastAsia" w:ascii="宋体" w:hAnsi="宋体" w:eastAsia="宋体" w:cs="宋体"/>
          <w:sz w:val="30"/>
          <w:szCs w:val="30"/>
          <w:highlight w:val="none"/>
          <w:u w:val="single"/>
        </w:rPr>
        <w:t xml:space="preserve">                          </w:t>
      </w:r>
      <w:r>
        <w:rPr>
          <w:rFonts w:hint="eastAsia" w:ascii="宋体" w:hAnsi="宋体" w:eastAsia="宋体" w:cs="宋体"/>
          <w:sz w:val="30"/>
          <w:szCs w:val="30"/>
          <w:highlight w:val="none"/>
        </w:rPr>
        <w:t>[盖单位公章（CA签章）]</w:t>
      </w:r>
    </w:p>
    <w:p>
      <w:pPr>
        <w:spacing w:line="36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   法定代表人或其委托代理人：</w:t>
      </w:r>
      <w:r>
        <w:rPr>
          <w:rFonts w:hint="eastAsia" w:ascii="宋体" w:hAnsi="宋体" w:eastAsia="宋体" w:cs="宋体"/>
          <w:sz w:val="30"/>
          <w:szCs w:val="30"/>
          <w:highlight w:val="none"/>
          <w:u w:val="single"/>
        </w:rPr>
        <w:t xml:space="preserve">         </w:t>
      </w:r>
      <w:r>
        <w:rPr>
          <w:rFonts w:hint="eastAsia" w:ascii="宋体" w:hAnsi="宋体" w:eastAsia="宋体" w:cs="宋体"/>
          <w:sz w:val="30"/>
          <w:szCs w:val="30"/>
          <w:highlight w:val="none"/>
        </w:rPr>
        <w:t>[签字或盖章（CA签章）]</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r>
        <w:rPr>
          <w:rFonts w:hint="eastAsia" w:ascii="宋体" w:hAnsi="宋体" w:eastAsia="宋体" w:cs="宋体"/>
          <w:sz w:val="30"/>
          <w:szCs w:val="30"/>
          <w:highlight w:val="none"/>
          <w:u w:val="single"/>
        </w:rPr>
        <w:t xml:space="preserve">      </w:t>
      </w:r>
      <w:r>
        <w:rPr>
          <w:rFonts w:hint="eastAsia" w:ascii="宋体" w:hAnsi="宋体" w:eastAsia="宋体" w:cs="宋体"/>
          <w:sz w:val="30"/>
          <w:szCs w:val="30"/>
          <w:highlight w:val="none"/>
        </w:rPr>
        <w:t>年</w:t>
      </w:r>
      <w:r>
        <w:rPr>
          <w:rFonts w:hint="eastAsia" w:ascii="宋体" w:hAnsi="宋体" w:eastAsia="宋体" w:cs="宋体"/>
          <w:sz w:val="30"/>
          <w:szCs w:val="30"/>
          <w:highlight w:val="none"/>
          <w:u w:val="single"/>
        </w:rPr>
        <w:t xml:space="preserve">   </w:t>
      </w:r>
      <w:r>
        <w:rPr>
          <w:rFonts w:hint="eastAsia" w:ascii="宋体" w:hAnsi="宋体" w:eastAsia="宋体" w:cs="宋体"/>
          <w:sz w:val="30"/>
          <w:szCs w:val="30"/>
          <w:highlight w:val="none"/>
        </w:rPr>
        <w:t>月</w:t>
      </w:r>
      <w:r>
        <w:rPr>
          <w:rFonts w:hint="eastAsia" w:ascii="宋体" w:hAnsi="宋体" w:eastAsia="宋体" w:cs="宋体"/>
          <w:sz w:val="30"/>
          <w:szCs w:val="30"/>
          <w:highlight w:val="none"/>
          <w:u w:val="single"/>
        </w:rPr>
        <w:t xml:space="preserve">   </w:t>
      </w:r>
      <w:r>
        <w:rPr>
          <w:rFonts w:hint="eastAsia" w:ascii="宋体" w:hAnsi="宋体" w:eastAsia="宋体" w:cs="宋体"/>
          <w:sz w:val="30"/>
          <w:szCs w:val="30"/>
          <w:highlight w:val="none"/>
        </w:rPr>
        <w:t>日</w:t>
      </w:r>
    </w:p>
    <w:p>
      <w:pPr>
        <w:spacing w:before="240" w:beforeLines="100" w:after="240" w:afterLines="100"/>
        <w:jc w:val="center"/>
        <w:rPr>
          <w:rFonts w:hint="eastAsia" w:ascii="宋体" w:hAnsi="宋体" w:eastAsia="宋体" w:cs="宋体"/>
          <w:b/>
          <w:szCs w:val="28"/>
          <w:highlight w:val="none"/>
        </w:rPr>
      </w:pPr>
      <w:r>
        <w:rPr>
          <w:rFonts w:hint="eastAsia" w:ascii="宋体" w:hAnsi="宋体" w:eastAsia="宋体" w:cs="宋体"/>
          <w:sz w:val="32"/>
          <w:szCs w:val="32"/>
          <w:highlight w:val="none"/>
        </w:rPr>
        <w:br w:type="page"/>
      </w:r>
      <w:r>
        <w:rPr>
          <w:rFonts w:hint="eastAsia" w:ascii="宋体" w:hAnsi="宋体" w:eastAsia="宋体" w:cs="宋体"/>
          <w:b/>
          <w:szCs w:val="28"/>
          <w:highlight w:val="none"/>
        </w:rPr>
        <w:t>目    录</w:t>
      </w:r>
    </w:p>
    <w:p>
      <w:pPr>
        <w:snapToGrid w:val="0"/>
        <w:spacing w:before="240" w:beforeLines="100" w:after="240" w:afterLines="100" w:line="48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（应附有页码）</w:t>
      </w:r>
    </w:p>
    <w:p>
      <w:pPr>
        <w:tabs>
          <w:tab w:val="center" w:pos="5452"/>
        </w:tabs>
        <w:spacing w:line="400" w:lineRule="exact"/>
        <w:ind w:left="-50" w:leftChars="-18" w:firstLine="31" w:firstLineChars="13"/>
        <w:rPr>
          <w:rFonts w:hint="eastAsia" w:ascii="宋体" w:hAnsi="宋体" w:eastAsia="宋体" w:cs="宋体"/>
          <w:b/>
          <w:sz w:val="24"/>
          <w:highlight w:val="none"/>
          <w:lang w:bidi="ar"/>
        </w:rPr>
      </w:pPr>
      <w:r>
        <w:rPr>
          <w:rFonts w:hint="eastAsia" w:ascii="宋体" w:hAnsi="宋体" w:eastAsia="宋体" w:cs="宋体"/>
          <w:b/>
          <w:sz w:val="24"/>
          <w:highlight w:val="none"/>
          <w:lang w:bidi="ar"/>
        </w:rPr>
        <w:t>【资格审查部分】</w:t>
      </w:r>
    </w:p>
    <w:p>
      <w:pPr>
        <w:pStyle w:val="279"/>
        <w:spacing w:before="27" w:line="320" w:lineRule="exact"/>
        <w:ind w:left="105" w:right="97"/>
        <w:jc w:val="both"/>
        <w:rPr>
          <w:rFonts w:hint="eastAsia" w:ascii="宋体" w:hAnsi="宋体" w:eastAsia="宋体" w:cs="宋体"/>
          <w:bCs/>
          <w:color w:val="auto"/>
          <w:sz w:val="21"/>
          <w:highlight w:val="none"/>
          <w:lang w:eastAsia="zh-CN"/>
        </w:rPr>
      </w:pPr>
      <w:r>
        <w:rPr>
          <w:rFonts w:hint="eastAsia" w:ascii="宋体" w:hAnsi="宋体" w:eastAsia="宋体" w:cs="宋体"/>
          <w:bCs/>
          <w:color w:val="auto"/>
          <w:sz w:val="21"/>
          <w:highlight w:val="none"/>
          <w:lang w:eastAsia="zh-CN"/>
        </w:rPr>
        <w:t>（1）法定代表人身份证明原件及身份证复印件</w:t>
      </w:r>
    </w:p>
    <w:p>
      <w:pPr>
        <w:pStyle w:val="279"/>
        <w:spacing w:before="27" w:line="320" w:lineRule="exact"/>
        <w:ind w:left="105" w:right="97"/>
        <w:jc w:val="both"/>
        <w:rPr>
          <w:rFonts w:hint="eastAsia" w:ascii="宋体" w:hAnsi="宋体" w:eastAsia="宋体" w:cs="宋体"/>
          <w:bCs/>
          <w:color w:val="auto"/>
          <w:sz w:val="21"/>
          <w:highlight w:val="none"/>
          <w:lang w:eastAsia="zh-CN"/>
        </w:rPr>
      </w:pPr>
      <w:r>
        <w:rPr>
          <w:rFonts w:hint="eastAsia" w:ascii="宋体" w:hAnsi="宋体" w:eastAsia="宋体" w:cs="宋体"/>
          <w:bCs/>
          <w:color w:val="auto"/>
          <w:sz w:val="21"/>
          <w:highlight w:val="none"/>
          <w:lang w:eastAsia="zh-CN"/>
        </w:rPr>
        <w:t>（法定代表人签署投标文件时提供）或者投标文件签署授权委托书（原件），附：法定代表人身份证明及身份证、授权代理人身份证等材料的复印件（委托代理人签署投标文件时提供） ；</w:t>
      </w:r>
    </w:p>
    <w:p>
      <w:pPr>
        <w:pStyle w:val="279"/>
        <w:numPr>
          <w:ilvl w:val="0"/>
          <w:numId w:val="1"/>
        </w:numPr>
        <w:spacing w:before="26" w:line="320" w:lineRule="exact"/>
        <w:ind w:left="105" w:right="94"/>
        <w:jc w:val="both"/>
        <w:rPr>
          <w:rFonts w:hint="eastAsia" w:ascii="宋体" w:hAnsi="宋体" w:eastAsia="宋体" w:cs="宋体"/>
          <w:color w:val="auto"/>
          <w:kern w:val="2"/>
          <w:sz w:val="21"/>
          <w:highlight w:val="none"/>
          <w:lang w:eastAsia="zh-CN"/>
        </w:rPr>
      </w:pPr>
      <w:r>
        <w:rPr>
          <w:rFonts w:hint="eastAsia" w:ascii="宋体" w:hAnsi="宋体" w:eastAsia="宋体" w:cs="宋体"/>
          <w:color w:val="auto"/>
          <w:spacing w:val="-3"/>
          <w:kern w:val="2"/>
          <w:sz w:val="21"/>
          <w:highlight w:val="none"/>
          <w:lang w:eastAsia="zh-CN"/>
        </w:rPr>
        <w:t>企业基本情况表；（附：企业营业执照复印件、资质证书复印件、安全生产许可证复印件、中小企业声明函（</w:t>
      </w:r>
      <w:r>
        <w:rPr>
          <w:rFonts w:hint="eastAsia" w:ascii="宋体" w:hAnsi="宋体" w:eastAsia="宋体" w:cs="宋体"/>
          <w:color w:val="auto"/>
          <w:spacing w:val="-3"/>
          <w:kern w:val="2"/>
          <w:sz w:val="21"/>
          <w:highlight w:val="none"/>
          <w:lang w:val="en-US" w:eastAsia="zh-CN"/>
        </w:rPr>
        <w:t>如有</w:t>
      </w:r>
      <w:r>
        <w:rPr>
          <w:rFonts w:hint="eastAsia" w:ascii="宋体" w:hAnsi="宋体" w:eastAsia="宋体" w:cs="宋体"/>
          <w:color w:val="auto"/>
          <w:spacing w:val="-3"/>
          <w:kern w:val="2"/>
          <w:sz w:val="21"/>
          <w:highlight w:val="none"/>
          <w:lang w:eastAsia="zh-CN"/>
        </w:rPr>
        <w:t>）</w:t>
      </w:r>
      <w:r>
        <w:rPr>
          <w:rFonts w:hint="eastAsia" w:ascii="宋体" w:hAnsi="宋体" w:eastAsia="宋体" w:cs="宋体"/>
          <w:color w:val="auto"/>
          <w:kern w:val="2"/>
          <w:sz w:val="21"/>
          <w:highlight w:val="none"/>
          <w:lang w:eastAsia="zh-CN"/>
        </w:rPr>
        <w:t>）</w:t>
      </w:r>
    </w:p>
    <w:p>
      <w:pPr>
        <w:pStyle w:val="279"/>
        <w:spacing w:before="41" w:line="320" w:lineRule="exact"/>
        <w:ind w:left="105"/>
        <w:rPr>
          <w:rFonts w:hint="eastAsia" w:ascii="宋体" w:hAnsi="宋体" w:eastAsia="宋体" w:cs="宋体"/>
          <w:color w:val="auto"/>
          <w:kern w:val="2"/>
          <w:sz w:val="21"/>
          <w:highlight w:val="none"/>
          <w:lang w:eastAsia="zh-CN"/>
        </w:rPr>
      </w:pPr>
      <w:r>
        <w:rPr>
          <w:rFonts w:hint="eastAsia" w:ascii="宋体" w:hAnsi="宋体" w:eastAsia="宋体" w:cs="宋体"/>
          <w:color w:val="auto"/>
          <w:kern w:val="2"/>
          <w:sz w:val="21"/>
          <w:highlight w:val="none"/>
          <w:lang w:eastAsia="zh-CN"/>
        </w:rPr>
        <w:t>（</w:t>
      </w:r>
      <w:r>
        <w:rPr>
          <w:rFonts w:hint="eastAsia" w:ascii="宋体" w:hAnsi="宋体" w:eastAsia="宋体" w:cs="宋体"/>
          <w:color w:val="auto"/>
          <w:kern w:val="2"/>
          <w:sz w:val="21"/>
          <w:highlight w:val="none"/>
          <w:lang w:val="en-US" w:eastAsia="zh-CN"/>
        </w:rPr>
        <w:t>3</w:t>
      </w:r>
      <w:r>
        <w:rPr>
          <w:rFonts w:hint="eastAsia" w:ascii="宋体" w:hAnsi="宋体" w:eastAsia="宋体" w:cs="宋体"/>
          <w:color w:val="auto"/>
          <w:kern w:val="2"/>
          <w:sz w:val="21"/>
          <w:highlight w:val="none"/>
          <w:lang w:eastAsia="zh-CN"/>
        </w:rPr>
        <w:t>）建设工程项目管理承诺书；</w:t>
      </w:r>
    </w:p>
    <w:p>
      <w:pPr>
        <w:pStyle w:val="279"/>
        <w:spacing w:before="53" w:line="320" w:lineRule="exact"/>
        <w:ind w:left="105" w:right="96"/>
        <w:jc w:val="both"/>
        <w:rPr>
          <w:rFonts w:hint="eastAsia" w:ascii="宋体" w:hAnsi="宋体" w:eastAsia="宋体" w:cs="宋体"/>
          <w:color w:val="auto"/>
          <w:spacing w:val="-2"/>
          <w:kern w:val="2"/>
          <w:sz w:val="21"/>
          <w:highlight w:val="none"/>
          <w:lang w:eastAsia="zh-CN"/>
        </w:rPr>
      </w:pPr>
      <w:r>
        <w:rPr>
          <w:rFonts w:hint="eastAsia" w:ascii="宋体" w:hAnsi="宋体" w:eastAsia="宋体" w:cs="宋体"/>
          <w:color w:val="auto"/>
          <w:spacing w:val="-8"/>
          <w:kern w:val="2"/>
          <w:sz w:val="21"/>
          <w:highlight w:val="none"/>
          <w:lang w:eastAsia="zh-CN"/>
        </w:rPr>
        <w:t>（</w:t>
      </w:r>
      <w:r>
        <w:rPr>
          <w:rFonts w:hint="eastAsia" w:ascii="宋体" w:hAnsi="宋体" w:eastAsia="宋体" w:cs="宋体"/>
          <w:color w:val="auto"/>
          <w:spacing w:val="-2"/>
          <w:kern w:val="2"/>
          <w:sz w:val="21"/>
          <w:highlight w:val="none"/>
          <w:lang w:val="en-US" w:eastAsia="zh-CN"/>
        </w:rPr>
        <w:t>4</w:t>
      </w:r>
      <w:r>
        <w:rPr>
          <w:rFonts w:hint="eastAsia" w:ascii="宋体" w:hAnsi="宋体" w:eastAsia="宋体" w:cs="宋体"/>
          <w:color w:val="auto"/>
          <w:spacing w:val="-2"/>
          <w:kern w:val="2"/>
          <w:sz w:val="21"/>
          <w:highlight w:val="none"/>
          <w:lang w:eastAsia="zh-CN"/>
        </w:rPr>
        <w:t>）项目管</w:t>
      </w:r>
      <w:r>
        <w:rPr>
          <w:rFonts w:hint="eastAsia" w:ascii="宋体" w:hAnsi="宋体" w:eastAsia="宋体" w:cs="宋体"/>
          <w:color w:val="auto"/>
          <w:kern w:val="2"/>
          <w:sz w:val="21"/>
          <w:highlight w:val="none"/>
          <w:lang w:eastAsia="zh-CN"/>
        </w:rPr>
        <w:t>理机构配备情况表</w:t>
      </w:r>
      <w:r>
        <w:rPr>
          <w:rFonts w:hint="eastAsia" w:ascii="宋体" w:hAnsi="宋体" w:eastAsia="宋体" w:cs="宋体"/>
          <w:color w:val="auto"/>
          <w:spacing w:val="-2"/>
          <w:kern w:val="2"/>
          <w:sz w:val="21"/>
          <w:highlight w:val="none"/>
          <w:lang w:eastAsia="zh-CN"/>
        </w:rPr>
        <w:t xml:space="preserve">；（附：项目经理注册建造师注册证书和安全生产考核合格证书（B  类）的复印件；技术负责人职称证书复印件；专职安全员安全生产考核合格证书（C类）的复印件；施工员、质量员、材料员资格证书复印件；以及以上人员近 </w:t>
      </w:r>
      <w:r>
        <w:rPr>
          <w:rFonts w:hint="eastAsia" w:hAnsi="宋体" w:cs="宋体"/>
          <w:color w:val="auto"/>
          <w:spacing w:val="-2"/>
          <w:kern w:val="2"/>
          <w:sz w:val="21"/>
          <w:highlight w:val="none"/>
          <w:lang w:val="en-US" w:eastAsia="zh-CN"/>
        </w:rPr>
        <w:t>1</w:t>
      </w:r>
      <w:r>
        <w:rPr>
          <w:rFonts w:hint="eastAsia" w:ascii="宋体" w:hAnsi="宋体" w:eastAsia="宋体" w:cs="宋体"/>
          <w:color w:val="auto"/>
          <w:spacing w:val="-2"/>
          <w:kern w:val="2"/>
          <w:sz w:val="21"/>
          <w:highlight w:val="none"/>
          <w:lang w:eastAsia="zh-CN"/>
        </w:rPr>
        <w:t>个月（</w:t>
      </w:r>
      <w:r>
        <w:rPr>
          <w:rFonts w:hint="eastAsia" w:hAnsi="宋体" w:cs="宋体"/>
          <w:color w:val="auto"/>
          <w:spacing w:val="-2"/>
          <w:kern w:val="2"/>
          <w:sz w:val="21"/>
          <w:highlight w:val="none"/>
          <w:lang w:val="en-US" w:eastAsia="zh-CN"/>
        </w:rPr>
        <w:t>2</w:t>
      </w:r>
      <w:r>
        <w:rPr>
          <w:rFonts w:hint="eastAsia" w:ascii="宋体" w:hAnsi="宋体" w:eastAsia="宋体" w:cs="宋体"/>
          <w:color w:val="auto"/>
          <w:spacing w:val="-2"/>
          <w:kern w:val="2"/>
          <w:sz w:val="21"/>
          <w:highlight w:val="none"/>
          <w:lang w:eastAsia="zh-CN"/>
        </w:rPr>
        <w:t>023年</w:t>
      </w:r>
      <w:r>
        <w:rPr>
          <w:rFonts w:hint="eastAsia" w:hAnsi="宋体" w:cs="宋体"/>
          <w:color w:val="auto"/>
          <w:spacing w:val="-2"/>
          <w:kern w:val="2"/>
          <w:sz w:val="21"/>
          <w:highlight w:val="none"/>
          <w:lang w:val="en-US" w:eastAsia="zh-CN"/>
        </w:rPr>
        <w:t>7</w:t>
      </w:r>
      <w:r>
        <w:rPr>
          <w:rFonts w:hint="eastAsia" w:ascii="宋体" w:hAnsi="宋体" w:eastAsia="宋体" w:cs="宋体"/>
          <w:color w:val="auto"/>
          <w:spacing w:val="-2"/>
          <w:kern w:val="2"/>
          <w:sz w:val="21"/>
          <w:highlight w:val="none"/>
          <w:lang w:eastAsia="zh-CN"/>
        </w:rPr>
        <w:t>月</w:t>
      </w:r>
      <w:r>
        <w:rPr>
          <w:rFonts w:hint="eastAsia" w:hAnsi="宋体" w:cs="宋体"/>
          <w:color w:val="auto"/>
          <w:spacing w:val="-2"/>
          <w:kern w:val="2"/>
          <w:sz w:val="21"/>
          <w:highlight w:val="none"/>
          <w:lang w:eastAsia="zh-CN"/>
        </w:rPr>
        <w:t>，</w:t>
      </w:r>
      <w:r>
        <w:rPr>
          <w:rFonts w:hint="eastAsia" w:cs="宋体"/>
          <w:color w:val="auto"/>
          <w:kern w:val="2"/>
          <w:sz w:val="21"/>
          <w:highlight w:val="none"/>
          <w:lang w:val="en-US" w:eastAsia="zh-CN"/>
        </w:rPr>
        <w:t>2023年7月新聘请员工提供劳动合同即可</w:t>
      </w:r>
      <w:r>
        <w:rPr>
          <w:rFonts w:hint="eastAsia" w:ascii="宋体" w:hAnsi="宋体" w:eastAsia="宋体" w:cs="宋体"/>
          <w:color w:val="auto"/>
          <w:spacing w:val="-2"/>
          <w:kern w:val="2"/>
          <w:sz w:val="21"/>
          <w:highlight w:val="none"/>
          <w:lang w:eastAsia="zh-CN"/>
        </w:rPr>
        <w:t xml:space="preserve">） </w:t>
      </w:r>
      <w:r>
        <w:rPr>
          <w:rFonts w:hint="eastAsia" w:ascii="宋体" w:hAnsi="宋体" w:eastAsia="宋体" w:cs="宋体"/>
          <w:color w:val="auto"/>
          <w:spacing w:val="-2"/>
          <w:kern w:val="2"/>
          <w:sz w:val="21"/>
          <w:highlight w:val="none"/>
          <w:lang w:val="en-US" w:eastAsia="zh-CN"/>
        </w:rPr>
        <w:t>在</w:t>
      </w:r>
      <w:r>
        <w:rPr>
          <w:rFonts w:hint="eastAsia" w:ascii="宋体" w:hAnsi="宋体" w:eastAsia="宋体" w:cs="宋体"/>
          <w:color w:val="auto"/>
          <w:spacing w:val="-2"/>
          <w:kern w:val="2"/>
          <w:sz w:val="21"/>
          <w:highlight w:val="none"/>
          <w:lang w:eastAsia="zh-CN"/>
        </w:rPr>
        <w:t>现任职单位依法缴纳社会保险的证明材料复印件。）</w:t>
      </w:r>
    </w:p>
    <w:p>
      <w:pPr>
        <w:pStyle w:val="279"/>
        <w:spacing w:before="53" w:line="320" w:lineRule="exact"/>
        <w:ind w:left="105" w:right="96"/>
        <w:jc w:val="both"/>
        <w:rPr>
          <w:rFonts w:hint="eastAsia" w:ascii="宋体" w:hAnsi="宋体" w:eastAsia="宋体" w:cs="宋体"/>
          <w:color w:val="auto"/>
          <w:sz w:val="21"/>
          <w:szCs w:val="21"/>
          <w:highlight w:val="none"/>
        </w:rPr>
      </w:pPr>
      <w:r>
        <w:rPr>
          <w:rFonts w:hint="eastAsia" w:ascii="宋体" w:hAnsi="宋体" w:eastAsia="宋体" w:cs="宋体"/>
          <w:color w:val="auto"/>
          <w:spacing w:val="-2"/>
          <w:kern w:val="2"/>
          <w:sz w:val="21"/>
          <w:highlight w:val="none"/>
          <w:lang w:eastAsia="zh-CN"/>
        </w:rPr>
        <w:t>（</w:t>
      </w:r>
      <w:r>
        <w:rPr>
          <w:rFonts w:hint="eastAsia" w:ascii="宋体" w:hAnsi="宋体" w:eastAsia="宋体" w:cs="宋体"/>
          <w:color w:val="auto"/>
          <w:spacing w:val="-2"/>
          <w:kern w:val="2"/>
          <w:sz w:val="21"/>
          <w:highlight w:val="none"/>
          <w:lang w:val="en-US" w:eastAsia="zh-CN"/>
        </w:rPr>
        <w:t>5</w:t>
      </w:r>
      <w:r>
        <w:rPr>
          <w:rFonts w:hint="eastAsia" w:ascii="宋体" w:hAnsi="宋体" w:eastAsia="宋体" w:cs="宋体"/>
          <w:color w:val="auto"/>
          <w:spacing w:val="-2"/>
          <w:kern w:val="2"/>
          <w:sz w:val="21"/>
          <w:highlight w:val="none"/>
          <w:lang w:eastAsia="zh-CN"/>
        </w:rPr>
        <w:t>）企业</w:t>
      </w:r>
      <w:r>
        <w:rPr>
          <w:rFonts w:hint="eastAsia" w:hAnsi="宋体" w:cs="宋体"/>
          <w:color w:val="auto"/>
          <w:spacing w:val="-2"/>
          <w:kern w:val="2"/>
          <w:sz w:val="21"/>
          <w:highlight w:val="none"/>
          <w:lang w:val="en-US" w:eastAsia="zh-CN"/>
        </w:rPr>
        <w:t>2022</w:t>
      </w:r>
      <w:r>
        <w:rPr>
          <w:rFonts w:hint="eastAsia" w:ascii="宋体" w:hAnsi="宋体" w:eastAsia="宋体" w:cs="宋体"/>
          <w:color w:val="auto"/>
          <w:spacing w:val="-2"/>
          <w:kern w:val="2"/>
          <w:sz w:val="21"/>
          <w:highlight w:val="none"/>
          <w:lang w:eastAsia="zh-CN"/>
        </w:rPr>
        <w:t>年经审计的财务报告复印件；（新成立的公司按实际情况</w:t>
      </w:r>
      <w:r>
        <w:rPr>
          <w:rFonts w:hint="eastAsia" w:ascii="宋体" w:hAnsi="宋体" w:eastAsia="宋体" w:cs="宋体"/>
          <w:color w:val="auto"/>
          <w:sz w:val="21"/>
          <w:szCs w:val="21"/>
          <w:highlight w:val="none"/>
        </w:rPr>
        <w:t>提供)</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bCs/>
          <w:color w:val="auto"/>
          <w:sz w:val="21"/>
          <w:highlight w:val="none"/>
          <w:lang w:eastAsia="zh-CN"/>
        </w:rPr>
        <w:t>投标文件</w:t>
      </w:r>
      <w:r>
        <w:rPr>
          <w:rFonts w:hint="eastAsia" w:ascii="宋体" w:hAnsi="宋体" w:eastAsia="宋体" w:cs="宋体"/>
          <w:bCs/>
          <w:color w:val="auto"/>
          <w:sz w:val="21"/>
          <w:highlight w:val="none"/>
        </w:rPr>
        <w:t>递交截止之日前半年内</w:t>
      </w:r>
      <w:r>
        <w:rPr>
          <w:rFonts w:hint="eastAsia" w:ascii="宋体" w:hAnsi="宋体" w:eastAsia="宋体" w:cs="宋体"/>
          <w:bCs/>
          <w:color w:val="auto"/>
          <w:sz w:val="21"/>
          <w:highlight w:val="none"/>
          <w:lang w:eastAsia="zh-CN"/>
        </w:rPr>
        <w:t>投标人</w:t>
      </w:r>
      <w:r>
        <w:rPr>
          <w:rFonts w:hint="eastAsia" w:ascii="宋体" w:hAnsi="宋体" w:eastAsia="宋体" w:cs="宋体"/>
          <w:bCs/>
          <w:color w:val="auto"/>
          <w:sz w:val="21"/>
          <w:highlight w:val="none"/>
        </w:rPr>
        <w:t>连续三个月的依法纳税的依法缴纳税费或依法免缴税费的证明（复印件，格式自拟）；</w:t>
      </w:r>
      <w:r>
        <w:rPr>
          <w:rFonts w:hint="eastAsia" w:ascii="宋体" w:hAnsi="宋体" w:eastAsia="宋体" w:cs="宋体"/>
          <w:color w:val="auto"/>
          <w:sz w:val="21"/>
          <w:highlight w:val="none"/>
        </w:rPr>
        <w:t>无纳税记录的，应提供由</w:t>
      </w:r>
      <w:r>
        <w:rPr>
          <w:rFonts w:hint="eastAsia" w:ascii="宋体" w:hAnsi="宋体" w:eastAsia="宋体" w:cs="宋体"/>
          <w:color w:val="auto"/>
          <w:sz w:val="21"/>
          <w:highlight w:val="none"/>
          <w:lang w:eastAsia="zh-CN"/>
        </w:rPr>
        <w:t>投标人</w:t>
      </w:r>
      <w:r>
        <w:rPr>
          <w:rFonts w:hint="eastAsia" w:ascii="宋体" w:hAnsi="宋体" w:eastAsia="宋体" w:cs="宋体"/>
          <w:color w:val="auto"/>
          <w:sz w:val="21"/>
          <w:highlight w:val="none"/>
        </w:rPr>
        <w:t>所在地税务部门出具的相关证明材料，成立不</w:t>
      </w:r>
      <w:r>
        <w:rPr>
          <w:rFonts w:hint="eastAsia" w:ascii="宋体" w:hAnsi="宋体" w:eastAsia="宋体" w:cs="宋体"/>
          <w:bCs/>
          <w:color w:val="auto"/>
          <w:sz w:val="21"/>
          <w:highlight w:val="none"/>
        </w:rPr>
        <w:t>足三个月的公司按实际提供</w:t>
      </w: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rPr>
        <w:t>（格式自拟，复印件）</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val="en-US" w:eastAsia="zh-CN"/>
        </w:rPr>
        <w:t>7</w:t>
      </w:r>
      <w:r>
        <w:rPr>
          <w:rFonts w:hint="eastAsia" w:ascii="宋体" w:hAnsi="宋体" w:eastAsia="宋体" w:cs="宋体"/>
          <w:bCs/>
          <w:color w:val="auto"/>
          <w:sz w:val="21"/>
          <w:highlight w:val="none"/>
        </w:rPr>
        <w:t>）参加政府采购活动前3年内在经营活动中无重大违法记录的书面声明；</w:t>
      </w:r>
    </w:p>
    <w:p>
      <w:pPr>
        <w:pStyle w:val="279"/>
        <w:spacing w:before="27" w:line="320" w:lineRule="exact"/>
        <w:ind w:left="105" w:right="97"/>
        <w:jc w:val="both"/>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val="en-US" w:eastAsia="zh-CN"/>
        </w:rPr>
        <w:t>8</w:t>
      </w:r>
      <w:r>
        <w:rPr>
          <w:rFonts w:hint="eastAsia" w:ascii="宋体" w:hAnsi="宋体" w:eastAsia="宋体" w:cs="宋体"/>
          <w:bCs/>
          <w:color w:val="auto"/>
          <w:sz w:val="21"/>
          <w:highlight w:val="none"/>
        </w:rPr>
        <w:t>）</w:t>
      </w:r>
      <w:r>
        <w:rPr>
          <w:rFonts w:hint="eastAsia" w:ascii="宋体" w:hAnsi="宋体" w:eastAsia="宋体" w:cs="宋体"/>
          <w:bCs/>
          <w:color w:val="auto"/>
          <w:sz w:val="21"/>
          <w:highlight w:val="none"/>
          <w:lang w:eastAsia="zh-CN"/>
        </w:rPr>
        <w:t>参加政府采购活动前3年内投标人及其法定代表人及拟投入的项目经理无行贿犯罪记录的书面承诺</w:t>
      </w:r>
      <w:r>
        <w:rPr>
          <w:rFonts w:hint="eastAsia" w:ascii="宋体" w:hAnsi="宋体" w:eastAsia="宋体" w:cs="宋体"/>
          <w:bCs/>
          <w:color w:val="auto"/>
          <w:sz w:val="21"/>
          <w:highlight w:val="none"/>
        </w:rPr>
        <w:t>；</w:t>
      </w:r>
    </w:p>
    <w:p>
      <w:pPr>
        <w:pStyle w:val="279"/>
        <w:spacing w:before="27" w:line="320" w:lineRule="exact"/>
        <w:ind w:left="105" w:right="97"/>
        <w:jc w:val="both"/>
        <w:rPr>
          <w:rFonts w:hint="eastAsia" w:hAnsi="宋体" w:cs="宋体"/>
          <w:bCs/>
          <w:color w:val="auto"/>
          <w:sz w:val="21"/>
          <w:highlight w:val="none"/>
          <w:lang w:eastAsia="zh-CN"/>
        </w:rPr>
      </w:pP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lang w:val="en-US" w:eastAsia="zh-CN"/>
        </w:rPr>
        <w:t>9</w:t>
      </w:r>
      <w:r>
        <w:rPr>
          <w:rFonts w:hint="eastAsia" w:ascii="宋体" w:hAnsi="宋体" w:eastAsia="宋体" w:cs="宋体"/>
          <w:bCs/>
          <w:color w:val="auto"/>
          <w:sz w:val="21"/>
          <w:highlight w:val="none"/>
          <w:lang w:eastAsia="zh-CN"/>
        </w:rPr>
        <w:t>）投标人直接控股、管理关系信息表</w:t>
      </w:r>
      <w:r>
        <w:rPr>
          <w:rFonts w:hint="eastAsia" w:hAnsi="宋体" w:cs="宋体"/>
          <w:bCs/>
          <w:color w:val="auto"/>
          <w:sz w:val="21"/>
          <w:highlight w:val="none"/>
          <w:lang w:eastAsia="zh-CN"/>
        </w:rPr>
        <w:t>；</w:t>
      </w:r>
    </w:p>
    <w:p>
      <w:pPr>
        <w:pStyle w:val="279"/>
        <w:spacing w:before="27" w:line="320" w:lineRule="exact"/>
        <w:ind w:left="105" w:right="97"/>
        <w:jc w:val="both"/>
        <w:rPr>
          <w:rFonts w:hint="eastAsia" w:hAnsi="宋体" w:cs="宋体"/>
          <w:bCs/>
          <w:color w:val="auto"/>
          <w:sz w:val="21"/>
          <w:highlight w:val="none"/>
          <w:lang w:eastAsia="zh-CN"/>
        </w:rPr>
      </w:pPr>
      <w:r>
        <w:rPr>
          <w:rFonts w:hint="eastAsia" w:hAnsi="宋体" w:cs="宋体"/>
          <w:bCs/>
          <w:color w:val="auto"/>
          <w:sz w:val="21"/>
          <w:highlight w:val="none"/>
          <w:lang w:eastAsia="zh-CN"/>
        </w:rPr>
        <w:t>（</w:t>
      </w:r>
      <w:r>
        <w:rPr>
          <w:rFonts w:hint="eastAsia" w:hAnsi="宋体" w:cs="宋体"/>
          <w:bCs/>
          <w:color w:val="auto"/>
          <w:sz w:val="21"/>
          <w:highlight w:val="none"/>
          <w:lang w:val="en-US" w:eastAsia="zh-CN"/>
        </w:rPr>
        <w:t>10</w:t>
      </w:r>
      <w:r>
        <w:rPr>
          <w:rFonts w:hint="eastAsia" w:hAnsi="宋体" w:cs="宋体"/>
          <w:bCs/>
          <w:color w:val="auto"/>
          <w:sz w:val="21"/>
          <w:highlight w:val="none"/>
          <w:lang w:eastAsia="zh-CN"/>
        </w:rPr>
        <w:t>）</w:t>
      </w:r>
      <w:r>
        <w:rPr>
          <w:rFonts w:hint="eastAsia" w:hAnsi="宋体" w:cs="宋体"/>
          <w:bCs/>
          <w:color w:val="auto"/>
          <w:sz w:val="21"/>
          <w:highlight w:val="none"/>
          <w:lang w:val="en-US" w:eastAsia="zh-CN"/>
        </w:rPr>
        <w:t>农民工工资保证金承诺书</w:t>
      </w:r>
    </w:p>
    <w:p>
      <w:pPr>
        <w:tabs>
          <w:tab w:val="left" w:pos="826"/>
        </w:tabs>
        <w:snapToGrid w:val="0"/>
        <w:spacing w:line="400" w:lineRule="exact"/>
        <w:rPr>
          <w:rFonts w:hint="eastAsia" w:ascii="宋体" w:hAnsi="宋体" w:eastAsia="宋体" w:cs="宋体"/>
          <w:sz w:val="21"/>
          <w:szCs w:val="21"/>
          <w:highlight w:val="none"/>
        </w:rPr>
      </w:pPr>
      <w:r>
        <w:rPr>
          <w:rFonts w:hint="eastAsia" w:ascii="宋体" w:hAnsi="宋体" w:eastAsia="宋体" w:cs="宋体"/>
          <w:bCs/>
          <w:color w:val="auto"/>
          <w:sz w:val="21"/>
          <w:highlight w:val="none"/>
          <w:lang w:eastAsia="zh-CN"/>
        </w:rPr>
        <w:t>上述（</w:t>
      </w:r>
      <w:r>
        <w:rPr>
          <w:rFonts w:hint="eastAsia" w:ascii="宋体" w:hAnsi="宋体" w:eastAsia="宋体" w:cs="宋体"/>
          <w:bCs/>
          <w:color w:val="auto"/>
          <w:sz w:val="21"/>
          <w:highlight w:val="none"/>
          <w:lang w:val="en-US" w:eastAsia="zh-CN"/>
        </w:rPr>
        <w:t>1</w:t>
      </w: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lang w:val="en-US" w:eastAsia="zh-CN"/>
        </w:rPr>
        <w:t>~（</w:t>
      </w:r>
      <w:r>
        <w:rPr>
          <w:rFonts w:hint="eastAsia" w:ascii="宋体" w:hAnsi="宋体" w:cs="宋体"/>
          <w:bCs/>
          <w:color w:val="auto"/>
          <w:sz w:val="21"/>
          <w:highlight w:val="none"/>
          <w:lang w:val="en-US" w:eastAsia="zh-CN"/>
        </w:rPr>
        <w:t>10</w:t>
      </w:r>
      <w:r>
        <w:rPr>
          <w:rFonts w:hint="eastAsia" w:ascii="宋体" w:hAnsi="宋体" w:eastAsia="宋体" w:cs="宋体"/>
          <w:bCs/>
          <w:color w:val="auto"/>
          <w:sz w:val="21"/>
          <w:highlight w:val="none"/>
          <w:lang w:val="en-US" w:eastAsia="zh-CN"/>
        </w:rPr>
        <w:t>）项材料为必须提供，否则投标无效。</w:t>
      </w:r>
    </w:p>
    <w:p>
      <w:pPr>
        <w:tabs>
          <w:tab w:val="center" w:pos="5452"/>
        </w:tabs>
        <w:spacing w:line="400" w:lineRule="exact"/>
        <w:ind w:left="-50" w:leftChars="-18" w:firstLine="31" w:firstLineChars="13"/>
        <w:rPr>
          <w:rFonts w:hint="eastAsia" w:ascii="宋体" w:hAnsi="宋体" w:eastAsia="宋体" w:cs="宋体"/>
          <w:b/>
          <w:sz w:val="24"/>
          <w:highlight w:val="none"/>
          <w:lang w:bidi="ar"/>
        </w:rPr>
      </w:pPr>
      <w:r>
        <w:rPr>
          <w:rFonts w:hint="eastAsia" w:ascii="宋体" w:hAnsi="宋体" w:eastAsia="宋体" w:cs="宋体"/>
          <w:b/>
          <w:sz w:val="24"/>
          <w:highlight w:val="none"/>
          <w:lang w:bidi="ar"/>
        </w:rPr>
        <w:t>【商务标部分】</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1、投标函及投标函附录；</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2、投标响应表；</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3、已标价工程量清单。</w:t>
      </w:r>
    </w:p>
    <w:p>
      <w:pPr>
        <w:spacing w:line="400" w:lineRule="exact"/>
        <w:ind w:firstLine="420" w:firstLineChars="200"/>
        <w:rPr>
          <w:rFonts w:hint="eastAsia" w:ascii="宋体" w:hAnsi="宋体" w:eastAsia="宋体" w:cs="宋体"/>
          <w:kern w:val="0"/>
          <w:sz w:val="21"/>
          <w:highlight w:val="none"/>
        </w:rPr>
      </w:pPr>
    </w:p>
    <w:p>
      <w:pPr>
        <w:tabs>
          <w:tab w:val="center" w:pos="5452"/>
        </w:tabs>
        <w:spacing w:line="400" w:lineRule="exact"/>
        <w:ind w:left="-50" w:leftChars="-18" w:firstLine="31" w:firstLineChars="13"/>
        <w:rPr>
          <w:rFonts w:hint="eastAsia" w:ascii="宋体" w:hAnsi="宋体" w:eastAsia="宋体" w:cs="宋体"/>
          <w:b/>
          <w:sz w:val="24"/>
          <w:highlight w:val="none"/>
          <w:lang w:bidi="ar"/>
        </w:rPr>
      </w:pPr>
      <w:r>
        <w:rPr>
          <w:rFonts w:hint="eastAsia" w:ascii="宋体" w:hAnsi="宋体" w:eastAsia="宋体" w:cs="宋体"/>
          <w:b/>
          <w:sz w:val="24"/>
          <w:highlight w:val="none"/>
          <w:lang w:bidi="ar"/>
        </w:rPr>
        <w:t>【技术标部分】</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施工组织设计</w:t>
      </w:r>
    </w:p>
    <w:p>
      <w:pPr>
        <w:spacing w:line="400" w:lineRule="exact"/>
        <w:ind w:firstLine="420" w:firstLineChars="200"/>
        <w:rPr>
          <w:rFonts w:hint="eastAsia" w:ascii="宋体" w:hAnsi="宋体" w:eastAsia="宋体" w:cs="宋体"/>
          <w:kern w:val="0"/>
          <w:sz w:val="21"/>
          <w:highlight w:val="none"/>
        </w:rPr>
      </w:pPr>
    </w:p>
    <w:p>
      <w:pPr>
        <w:tabs>
          <w:tab w:val="center" w:pos="5452"/>
        </w:tabs>
        <w:spacing w:line="400" w:lineRule="exact"/>
        <w:ind w:left="-50" w:leftChars="-18" w:firstLine="31" w:firstLineChars="13"/>
        <w:rPr>
          <w:rFonts w:hint="eastAsia" w:ascii="宋体" w:hAnsi="宋体" w:eastAsia="宋体" w:cs="宋体"/>
          <w:b/>
          <w:sz w:val="24"/>
          <w:highlight w:val="none"/>
          <w:lang w:bidi="ar"/>
        </w:rPr>
      </w:pPr>
      <w:r>
        <w:rPr>
          <w:rFonts w:hint="eastAsia" w:ascii="宋体" w:hAnsi="宋体" w:eastAsia="宋体" w:cs="宋体"/>
          <w:b/>
          <w:sz w:val="24"/>
          <w:highlight w:val="none"/>
          <w:lang w:bidi="ar"/>
        </w:rPr>
        <w:t>【企业信誉实力部分】</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1、企业信誉实力一览表（如有）。</w:t>
      </w:r>
    </w:p>
    <w:p>
      <w:pPr>
        <w:tabs>
          <w:tab w:val="left" w:pos="826"/>
        </w:tabs>
        <w:snapToGrid w:val="0"/>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2、投标人可结合本项目的评标办法视自身情况自行提交相关证明材料（如有）。</w:t>
      </w:r>
    </w:p>
    <w:p>
      <w:pPr>
        <w:pStyle w:val="13"/>
        <w:rPr>
          <w:rFonts w:hint="eastAsia" w:ascii="宋体" w:hAnsi="宋体" w:eastAsia="宋体" w:cs="宋体"/>
          <w:sz w:val="21"/>
          <w:szCs w:val="21"/>
          <w:highlight w:val="none"/>
        </w:rPr>
      </w:pPr>
    </w:p>
    <w:p>
      <w:pPr>
        <w:pStyle w:val="13"/>
        <w:ind w:firstLine="560"/>
        <w:rPr>
          <w:rFonts w:hint="eastAsia" w:ascii="宋体" w:hAnsi="宋体" w:eastAsia="宋体" w:cs="宋体"/>
          <w:highlight w:val="none"/>
        </w:rPr>
      </w:pPr>
    </w:p>
    <w:p>
      <w:pPr>
        <w:pStyle w:val="13"/>
        <w:ind w:firstLine="560"/>
        <w:rPr>
          <w:rFonts w:hint="eastAsia" w:ascii="宋体" w:hAnsi="宋体" w:eastAsia="宋体" w:cs="宋体"/>
          <w:highlight w:val="none"/>
        </w:rPr>
      </w:pPr>
    </w:p>
    <w:p>
      <w:pPr>
        <w:pStyle w:val="13"/>
        <w:ind w:left="0" w:leftChars="0" w:firstLine="0" w:firstLineChars="0"/>
        <w:rPr>
          <w:rFonts w:hint="eastAsia" w:ascii="宋体" w:hAnsi="宋体" w:eastAsia="宋体" w:cs="宋体"/>
          <w:highlight w:val="none"/>
        </w:rPr>
      </w:pPr>
    </w:p>
    <w:p>
      <w:pPr>
        <w:rPr>
          <w:rFonts w:hint="eastAsia" w:ascii="宋体" w:hAnsi="宋体" w:eastAsia="宋体" w:cs="宋体"/>
          <w:b/>
          <w:w w:val="99"/>
          <w:kern w:val="0"/>
          <w:szCs w:val="28"/>
          <w:highlight w:val="none"/>
        </w:rPr>
      </w:pPr>
      <w:r>
        <w:rPr>
          <w:rFonts w:hint="eastAsia" w:ascii="宋体" w:hAnsi="宋体" w:eastAsia="宋体" w:cs="宋体"/>
          <w:b/>
          <w:w w:val="99"/>
          <w:kern w:val="0"/>
          <w:szCs w:val="28"/>
          <w:highlight w:val="none"/>
        </w:rPr>
        <w:br w:type="page"/>
      </w:r>
    </w:p>
    <w:p>
      <w:pPr>
        <w:widowControl/>
        <w:kinsoku w:val="0"/>
        <w:autoSpaceDE w:val="0"/>
        <w:autoSpaceDN w:val="0"/>
        <w:adjustRightInd w:val="0"/>
        <w:snapToGrid w:val="0"/>
        <w:jc w:val="left"/>
        <w:textAlignment w:val="baseline"/>
        <w:rPr>
          <w:rFonts w:hint="eastAsia" w:ascii="宋体" w:hAnsi="宋体" w:eastAsia="宋体" w:cs="宋体"/>
          <w:snapToGrid w:val="0"/>
          <w:kern w:val="0"/>
          <w:sz w:val="24"/>
          <w:szCs w:val="21"/>
          <w:highlight w:val="none"/>
        </w:rPr>
      </w:pPr>
    </w:p>
    <w:p>
      <w:pPr>
        <w:spacing w:line="4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【资格审查部分】</w:t>
      </w:r>
    </w:p>
    <w:p>
      <w:pPr>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ind w:left="108" w:leftChars="0"/>
        <w:jc w:val="center"/>
        <w:textAlignment w:val="auto"/>
        <w:rPr>
          <w:rFonts w:hint="eastAsia" w:ascii="宋体" w:hAnsi="宋体" w:eastAsia="宋体" w:cs="宋体"/>
          <w:b/>
          <w:color w:val="auto"/>
          <w:w w:val="95"/>
          <w:sz w:val="28"/>
          <w:szCs w:val="22"/>
          <w:highlight w:val="none"/>
          <w:lang w:val="en-US" w:eastAsia="zh-CN" w:bidi="ar-SA"/>
        </w:rPr>
      </w:pPr>
      <w:bookmarkStart w:id="761" w:name="_Toc16340_WPSOffice_Level1"/>
      <w:bookmarkStart w:id="762" w:name="_Toc27247_WPSOffice_Level2"/>
      <w:r>
        <w:rPr>
          <w:rFonts w:hint="eastAsia" w:ascii="宋体" w:hAnsi="宋体" w:eastAsia="宋体" w:cs="宋体"/>
          <w:b/>
          <w:bCs/>
          <w:color w:val="auto"/>
          <w:spacing w:val="-3"/>
          <w:kern w:val="2"/>
          <w:sz w:val="44"/>
          <w:szCs w:val="44"/>
          <w:highlight w:val="none"/>
          <w:lang w:val="en-US" w:eastAsia="zh-CN" w:bidi="ar-SA"/>
        </w:rPr>
        <w:t>资格文件</w:t>
      </w:r>
      <w:bookmarkEnd w:id="761"/>
      <w:bookmarkEnd w:id="762"/>
    </w:p>
    <w:p>
      <w:pPr>
        <w:widowControl w:val="0"/>
        <w:autoSpaceDE w:val="0"/>
        <w:autoSpaceDN w:val="0"/>
        <w:spacing w:before="1"/>
        <w:jc w:val="center"/>
        <w:outlineLvl w:val="1"/>
        <w:rPr>
          <w:rFonts w:hint="eastAsia" w:ascii="宋体" w:hAnsi="宋体" w:eastAsia="宋体" w:cs="宋体"/>
          <w:b/>
          <w:bCs/>
          <w:color w:val="auto"/>
          <w:sz w:val="32"/>
          <w:szCs w:val="32"/>
          <w:highlight w:val="none"/>
          <w:lang w:val="en-US" w:eastAsia="zh-CN" w:bidi="ar-SA"/>
        </w:rPr>
      </w:pPr>
    </w:p>
    <w:p>
      <w:pPr>
        <w:autoSpaceDE w:val="0"/>
        <w:autoSpaceDN w:val="0"/>
        <w:spacing w:before="15"/>
        <w:ind w:left="2716"/>
        <w:jc w:val="left"/>
        <w:rPr>
          <w:rFonts w:hint="eastAsia" w:ascii="宋体" w:hAnsi="宋体" w:eastAsia="宋体" w:cs="宋体"/>
          <w:b/>
          <w:color w:val="auto"/>
          <w:kern w:val="0"/>
          <w:sz w:val="28"/>
          <w:szCs w:val="22"/>
          <w:highlight w:val="none"/>
          <w:lang w:eastAsia="zh-CN"/>
        </w:rPr>
      </w:pPr>
      <w:r>
        <w:rPr>
          <w:rFonts w:hint="eastAsia" w:ascii="宋体" w:hAnsi="宋体" w:eastAsia="宋体" w:cs="宋体"/>
          <w:b/>
          <w:color w:val="auto"/>
          <w:w w:val="95"/>
          <w:kern w:val="0"/>
          <w:sz w:val="28"/>
          <w:szCs w:val="22"/>
          <w:highlight w:val="none"/>
          <w:lang w:eastAsia="zh-CN"/>
        </w:rPr>
        <w:t>1、投标文件签署授权委托书</w:t>
      </w:r>
    </w:p>
    <w:p>
      <w:pPr>
        <w:widowControl w:val="0"/>
        <w:autoSpaceDE w:val="0"/>
        <w:autoSpaceDN w:val="0"/>
        <w:rPr>
          <w:rFonts w:hint="eastAsia" w:ascii="宋体" w:hAnsi="宋体" w:eastAsia="宋体" w:cs="宋体"/>
          <w:b/>
          <w:color w:val="auto"/>
          <w:sz w:val="30"/>
          <w:szCs w:val="21"/>
          <w:highlight w:val="none"/>
          <w:lang w:val="en-US" w:eastAsia="zh-CN" w:bidi="ar-SA"/>
        </w:rPr>
      </w:pPr>
    </w:p>
    <w:p>
      <w:pPr>
        <w:widowControl w:val="0"/>
        <w:autoSpaceDE w:val="0"/>
        <w:autoSpaceDN w:val="0"/>
        <w:rPr>
          <w:rFonts w:hint="eastAsia" w:ascii="宋体" w:hAnsi="宋体" w:eastAsia="宋体" w:cs="宋体"/>
          <w:b/>
          <w:color w:val="auto"/>
          <w:sz w:val="30"/>
          <w:szCs w:val="21"/>
          <w:highlight w:val="none"/>
          <w:lang w:val="en-US" w:eastAsia="zh-CN" w:bidi="ar-SA"/>
        </w:rPr>
      </w:pPr>
    </w:p>
    <w:p>
      <w:pPr>
        <w:widowControl w:val="0"/>
        <w:tabs>
          <w:tab w:val="left" w:pos="3498"/>
          <w:tab w:val="left" w:pos="6725"/>
        </w:tabs>
        <w:autoSpaceDE w:val="0"/>
        <w:autoSpaceDN w:val="0"/>
        <w:spacing w:before="248" w:line="360" w:lineRule="auto"/>
        <w:ind w:left="75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en-US" w:bidi="ar-SA"/>
        </w:rPr>
        <mc:AlternateContent>
          <mc:Choice Requires="wpg">
            <w:drawing>
              <wp:anchor distT="0" distB="0" distL="114300" distR="114300" simplePos="0" relativeHeight="251662336" behindDoc="1" locked="0" layoutInCell="1" allowOverlap="1">
                <wp:simplePos x="0" y="0"/>
                <wp:positionH relativeFrom="page">
                  <wp:posOffset>2854960</wp:posOffset>
                </wp:positionH>
                <wp:positionV relativeFrom="paragraph">
                  <wp:posOffset>184785</wp:posOffset>
                </wp:positionV>
                <wp:extent cx="562610" cy="163195"/>
                <wp:effectExtent l="0" t="0" r="0" b="0"/>
                <wp:wrapNone/>
                <wp:docPr id="9" name="组合 5"/>
                <wp:cNvGraphicFramePr/>
                <a:graphic xmlns:a="http://schemas.openxmlformats.org/drawingml/2006/main">
                  <a:graphicData uri="http://schemas.microsoft.com/office/word/2010/wordprocessingGroup">
                    <wpg:wgp>
                      <wpg:cNvGrpSpPr/>
                      <wpg:grpSpPr>
                        <a:xfrm>
                          <a:off x="0" y="0"/>
                          <a:ext cx="562610" cy="163195"/>
                          <a:chOff x="4496" y="292"/>
                          <a:chExt cx="886" cy="257203"/>
                        </a:xfrm>
                      </wpg:grpSpPr>
                      <pic:pic xmlns:pic="http://schemas.openxmlformats.org/drawingml/2006/picture">
                        <pic:nvPicPr>
                          <pic:cNvPr id="5" name="图片 6"/>
                          <pic:cNvPicPr>
                            <a:picLocks noChangeAspect="1"/>
                          </pic:cNvPicPr>
                        </pic:nvPicPr>
                        <pic:blipFill>
                          <a:blip r:embed="rId26"/>
                          <a:stretch>
                            <a:fillRect/>
                          </a:stretch>
                        </pic:blipFill>
                        <pic:spPr>
                          <a:xfrm>
                            <a:off x="4496" y="291"/>
                            <a:ext cx="630" cy="257"/>
                          </a:xfrm>
                          <a:prstGeom prst="rect">
                            <a:avLst/>
                          </a:prstGeom>
                          <a:noFill/>
                          <a:ln>
                            <a:noFill/>
                          </a:ln>
                        </pic:spPr>
                      </pic:pic>
                      <pic:pic xmlns:pic="http://schemas.openxmlformats.org/drawingml/2006/picture">
                        <pic:nvPicPr>
                          <pic:cNvPr id="6" name="图片 7"/>
                          <pic:cNvPicPr>
                            <a:picLocks noChangeAspect="1"/>
                          </pic:cNvPicPr>
                        </pic:nvPicPr>
                        <pic:blipFill>
                          <a:blip r:embed="rId27"/>
                          <a:stretch>
                            <a:fillRect/>
                          </a:stretch>
                        </pic:blipFill>
                        <pic:spPr>
                          <a:xfrm>
                            <a:off x="4964" y="291"/>
                            <a:ext cx="418" cy="257"/>
                          </a:xfrm>
                          <a:prstGeom prst="rect">
                            <a:avLst/>
                          </a:prstGeom>
                          <a:noFill/>
                          <a:ln>
                            <a:noFill/>
                          </a:ln>
                        </pic:spPr>
                      </pic:pic>
                    </wpg:wgp>
                  </a:graphicData>
                </a:graphic>
              </wp:anchor>
            </w:drawing>
          </mc:Choice>
          <mc:Fallback>
            <w:pict>
              <v:group id="组合 5" o:spid="_x0000_s1026" o:spt="203" style="position:absolute;left:0pt;margin-left:224.8pt;margin-top:14.55pt;height:12.85pt;width:44.3pt;mso-position-horizontal-relative:page;z-index:-251654144;mso-width-relative:page;mso-height-relative:page;" coordorigin="4496,292" coordsize="886,257203" o:gfxdata="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">
                <o:lock v:ext="edit" aspectratio="f"/>
                <v:shape id="图片 6" o:spid="_x0000_s1026" o:spt="75" type="#_x0000_t75" style="position:absolute;left:4496;top:291;height:257;width:630;" filled="f" o:preferrelative="t" stroked="f" coordsize="21600,21600" o:gfxdata="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vsqbsAAADa&#10;AAAADwAAAAAAAAABACAAAAAiAAAAZHJzL2Rvd25yZXYueG1sUEsBAhQAFAAAAAgAh07iQDMvBZ47&#10;AAAAOQAAABAAAAAAAAAAAQAgAAAACgEAAGRycy9zaGFwZXhtbC54bWxQSwUGAAAAAAYABgBbAQAA&#10;tAMAAAAA&#10;">
                  <v:fill on="f" focussize="0,0"/>
                  <v:stroke on="f"/>
                  <v:imagedata r:id="rId26" o:title=""/>
                  <o:lock v:ext="edit" aspectratio="t"/>
                </v:shape>
                <v:shape id="图片 7" o:spid="_x0000_s1026" o:spt="75" type="#_x0000_t75" style="position:absolute;left:4964;top:291;height:257;width:418;" filled="f" o:preferrelative="t" stroked="f" coordsize="21600,21600" o:gfxdata="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ZazYugAAANoA&#10;AAAPAAAAAAAAAAEAIAAAACIAAABkcnMvZG93bnJldi54bWxQSwECFAAUAAAACACHTuJAMy8FnjsA&#10;AAA5AAAAEAAAAAAAAAABACAAAAAJAQAAZHJzL3NoYXBleG1sLnhtbFBLBQYAAAAABgAGAFsBAACz&#10;AwAAAAA=&#10;">
                  <v:fill on="f" focussize="0,0"/>
                  <v:stroke on="f"/>
                  <v:imagedata r:id="rId27" o:title=""/>
                  <o:lock v:ext="edit" aspectratio="t"/>
                </v:shape>
              </v:group>
            </w:pict>
          </mc:Fallback>
        </mc:AlternateContent>
      </w:r>
      <w:r>
        <w:rPr>
          <w:rFonts w:hint="eastAsia" w:ascii="宋体" w:hAnsi="宋体" w:eastAsia="宋体" w:cs="宋体"/>
          <w:color w:val="auto"/>
          <w:sz w:val="21"/>
          <w:szCs w:val="21"/>
          <w:highlight w:val="none"/>
          <w:lang w:val="en-US" w:eastAsia="zh-CN" w:bidi="ar-SA"/>
        </w:rPr>
        <w:t>本授</w:t>
      </w:r>
      <w:r>
        <w:rPr>
          <w:rFonts w:hint="eastAsia" w:ascii="宋体" w:hAnsi="宋体" w:eastAsia="宋体" w:cs="宋体"/>
          <w:color w:val="auto"/>
          <w:spacing w:val="-3"/>
          <w:sz w:val="21"/>
          <w:szCs w:val="21"/>
          <w:highlight w:val="none"/>
          <w:lang w:val="en-US" w:eastAsia="zh-CN" w:bidi="ar-SA"/>
        </w:rPr>
        <w:t>权</w:t>
      </w:r>
      <w:r>
        <w:rPr>
          <w:rFonts w:hint="eastAsia" w:ascii="宋体" w:hAnsi="宋体" w:eastAsia="宋体" w:cs="宋体"/>
          <w:color w:val="auto"/>
          <w:sz w:val="21"/>
          <w:szCs w:val="21"/>
          <w:highlight w:val="none"/>
          <w:lang w:val="en-US" w:eastAsia="zh-CN" w:bidi="ar-SA"/>
        </w:rPr>
        <w:t>委</w:t>
      </w:r>
      <w:r>
        <w:rPr>
          <w:rFonts w:hint="eastAsia" w:ascii="宋体" w:hAnsi="宋体" w:eastAsia="宋体" w:cs="宋体"/>
          <w:color w:val="auto"/>
          <w:spacing w:val="-3"/>
          <w:sz w:val="21"/>
          <w:szCs w:val="21"/>
          <w:highlight w:val="none"/>
          <w:lang w:val="en-US" w:eastAsia="zh-CN" w:bidi="ar-SA"/>
        </w:rPr>
        <w:t>托</w:t>
      </w:r>
      <w:r>
        <w:rPr>
          <w:rFonts w:hint="eastAsia" w:ascii="宋体" w:hAnsi="宋体" w:eastAsia="宋体" w:cs="宋体"/>
          <w:color w:val="auto"/>
          <w:sz w:val="21"/>
          <w:szCs w:val="21"/>
          <w:highlight w:val="none"/>
          <w:lang w:val="en-US" w:eastAsia="zh-CN" w:bidi="ar-SA"/>
        </w:rPr>
        <w:t>书</w:t>
      </w:r>
      <w:r>
        <w:rPr>
          <w:rFonts w:hint="eastAsia" w:ascii="宋体" w:hAnsi="宋体" w:eastAsia="宋体" w:cs="宋体"/>
          <w:color w:val="auto"/>
          <w:spacing w:val="-3"/>
          <w:sz w:val="21"/>
          <w:szCs w:val="21"/>
          <w:highlight w:val="none"/>
          <w:lang w:val="en-US" w:eastAsia="zh-CN" w:bidi="ar-SA"/>
        </w:rPr>
        <w:t>声明</w:t>
      </w:r>
      <w:r>
        <w:rPr>
          <w:rFonts w:hint="eastAsia" w:ascii="宋体" w:hAnsi="宋体" w:eastAsia="宋体" w:cs="宋体"/>
          <w:color w:val="auto"/>
          <w:spacing w:val="-15"/>
          <w:sz w:val="21"/>
          <w:szCs w:val="21"/>
          <w:highlight w:val="none"/>
          <w:lang w:val="en-US" w:eastAsia="zh-CN" w:bidi="ar-SA"/>
        </w:rPr>
        <w:t>：</w:t>
      </w:r>
      <w:r>
        <w:rPr>
          <w:rFonts w:hint="eastAsia" w:ascii="宋体" w:hAnsi="宋体" w:eastAsia="宋体" w:cs="宋体"/>
          <w:color w:val="auto"/>
          <w:spacing w:val="-3"/>
          <w:sz w:val="21"/>
          <w:szCs w:val="21"/>
          <w:highlight w:val="none"/>
          <w:lang w:val="en-US" w:eastAsia="zh-CN" w:bidi="ar-SA"/>
        </w:rPr>
        <w:t>我</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pacing w:val="-3"/>
          <w:sz w:val="21"/>
          <w:szCs w:val="21"/>
          <w:highlight w:val="none"/>
          <w:lang w:val="en-US" w:eastAsia="zh-CN" w:bidi="ar-SA"/>
        </w:rPr>
        <w:t>姓名</w:t>
      </w:r>
      <w:r>
        <w:rPr>
          <w:rFonts w:hint="eastAsia" w:ascii="宋体" w:hAnsi="宋体" w:eastAsia="宋体" w:cs="宋体"/>
          <w:color w:val="auto"/>
          <w:spacing w:val="-15"/>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系</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pacing w:val="-3"/>
          <w:sz w:val="21"/>
          <w:szCs w:val="21"/>
          <w:highlight w:val="none"/>
          <w:lang w:val="en-US" w:eastAsia="zh-CN" w:bidi="ar-SA"/>
        </w:rPr>
        <w:t>投</w:t>
      </w:r>
      <w:r>
        <w:rPr>
          <w:rFonts w:hint="eastAsia" w:ascii="宋体" w:hAnsi="宋体" w:eastAsia="宋体" w:cs="宋体"/>
          <w:color w:val="auto"/>
          <w:sz w:val="21"/>
          <w:szCs w:val="21"/>
          <w:highlight w:val="none"/>
          <w:lang w:val="en-US" w:eastAsia="zh-CN" w:bidi="ar-SA"/>
        </w:rPr>
        <w:t>标</w:t>
      </w:r>
      <w:r>
        <w:rPr>
          <w:rFonts w:hint="eastAsia" w:ascii="宋体" w:hAnsi="宋体" w:eastAsia="宋体" w:cs="宋体"/>
          <w:color w:val="auto"/>
          <w:spacing w:val="-3"/>
          <w:sz w:val="21"/>
          <w:szCs w:val="21"/>
          <w:highlight w:val="none"/>
          <w:lang w:val="en-US" w:eastAsia="zh-CN" w:bidi="ar-SA"/>
        </w:rPr>
        <w:t>人名</w:t>
      </w:r>
      <w:r>
        <w:rPr>
          <w:rFonts w:hint="eastAsia" w:ascii="宋体" w:hAnsi="宋体" w:eastAsia="宋体" w:cs="宋体"/>
          <w:color w:val="auto"/>
          <w:sz w:val="21"/>
          <w:szCs w:val="21"/>
          <w:highlight w:val="none"/>
          <w:lang w:val="en-US" w:eastAsia="zh-CN" w:bidi="ar-SA"/>
        </w:rPr>
        <w:t>称</w:t>
      </w:r>
      <w:r>
        <w:rPr>
          <w:rFonts w:hint="eastAsia" w:ascii="宋体" w:hAnsi="宋体" w:eastAsia="宋体" w:cs="宋体"/>
          <w:color w:val="auto"/>
          <w:spacing w:val="-17"/>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的</w:t>
      </w:r>
      <w:r>
        <w:rPr>
          <w:rFonts w:hint="eastAsia" w:ascii="宋体" w:hAnsi="宋体" w:eastAsia="宋体" w:cs="宋体"/>
          <w:color w:val="auto"/>
          <w:spacing w:val="-3"/>
          <w:sz w:val="21"/>
          <w:szCs w:val="21"/>
          <w:highlight w:val="none"/>
          <w:lang w:val="en-US" w:eastAsia="zh-CN" w:bidi="ar-SA"/>
        </w:rPr>
        <w:t>法</w:t>
      </w:r>
      <w:r>
        <w:rPr>
          <w:rFonts w:hint="eastAsia" w:ascii="宋体" w:hAnsi="宋体" w:eastAsia="宋体" w:cs="宋体"/>
          <w:color w:val="auto"/>
          <w:sz w:val="21"/>
          <w:szCs w:val="21"/>
          <w:highlight w:val="none"/>
          <w:lang w:val="en-US" w:eastAsia="zh-CN" w:bidi="ar-SA"/>
        </w:rPr>
        <w:t>定</w:t>
      </w:r>
    </w:p>
    <w:p>
      <w:pPr>
        <w:widowControl w:val="0"/>
        <w:autoSpaceDE w:val="0"/>
        <w:autoSpaceDN w:val="0"/>
        <w:spacing w:before="9" w:line="360" w:lineRule="auto"/>
        <w:rPr>
          <w:rFonts w:hint="eastAsia" w:ascii="宋体" w:hAnsi="宋体" w:eastAsia="宋体" w:cs="宋体"/>
          <w:color w:val="auto"/>
          <w:sz w:val="10"/>
          <w:szCs w:val="21"/>
          <w:highlight w:val="none"/>
          <w:lang w:val="en-US" w:eastAsia="zh-CN" w:bidi="ar-SA"/>
        </w:rPr>
      </w:pPr>
    </w:p>
    <w:p>
      <w:pPr>
        <w:widowControl w:val="0"/>
        <w:tabs>
          <w:tab w:val="left" w:pos="4370"/>
          <w:tab w:val="left" w:pos="6909"/>
        </w:tabs>
        <w:autoSpaceDE w:val="0"/>
        <w:autoSpaceDN w:val="0"/>
        <w:spacing w:before="44" w:line="360" w:lineRule="auto"/>
        <w:ind w:left="1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代表人，现授权委托</w:t>
      </w:r>
      <w:r>
        <w:rPr>
          <w:rFonts w:hint="eastAsia" w:ascii="宋体" w:hAnsi="宋体" w:eastAsia="宋体" w:cs="宋体"/>
          <w:color w:val="auto"/>
          <w:sz w:val="21"/>
          <w:szCs w:val="21"/>
          <w:highlight w:val="none"/>
          <w:u w:val="single"/>
          <w:lang w:val="en-US" w:eastAsia="zh-CN" w:bidi="ar-SA"/>
        </w:rPr>
        <w:t xml:space="preserve">    </w:t>
      </w:r>
      <w:r>
        <w:rPr>
          <w:rFonts w:hint="eastAsia" w:ascii="宋体" w:hAnsi="宋体" w:eastAsia="宋体" w:cs="宋体"/>
          <w:color w:val="auto"/>
          <w:sz w:val="21"/>
          <w:szCs w:val="21"/>
          <w:highlight w:val="none"/>
          <w:lang w:val="en-US" w:eastAsia="zh-CN" w:bidi="ar-SA"/>
        </w:rPr>
        <w:t>（姓名）为我公司签署</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u w:val="single"/>
          <w:lang w:val="en-US" w:eastAsia="zh-CN" w:bidi="ar-SA"/>
        </w:rPr>
        <w:t xml:space="preserve">  </w:t>
      </w:r>
      <w:r>
        <w:rPr>
          <w:rFonts w:hint="eastAsia" w:ascii="宋体" w:hAnsi="宋体" w:eastAsia="宋体" w:cs="宋体"/>
          <w:color w:val="auto"/>
          <w:sz w:val="21"/>
          <w:szCs w:val="21"/>
          <w:highlight w:val="none"/>
          <w:lang w:val="en-US" w:eastAsia="zh-CN" w:bidi="ar-SA"/>
        </w:rPr>
        <w:t>（项目名称）的投标文件的法定代表人授权委托代理人，我承认代理人全权代表我所签署的本工程的投标文件的内容。</w:t>
      </w:r>
    </w:p>
    <w:p>
      <w:pPr>
        <w:widowControl w:val="0"/>
        <w:autoSpaceDE w:val="0"/>
        <w:autoSpaceDN w:val="0"/>
        <w:spacing w:line="20" w:lineRule="exact"/>
        <w:ind w:left="343"/>
        <w:rPr>
          <w:rFonts w:hint="eastAsia" w:ascii="宋体" w:hAnsi="宋体" w:eastAsia="宋体" w:cs="宋体"/>
          <w:color w:val="auto"/>
          <w:sz w:val="2"/>
          <w:szCs w:val="21"/>
          <w:highlight w:val="none"/>
          <w:lang w:val="en-US" w:eastAsia="zh-CN" w:bidi="ar-SA"/>
        </w:rPr>
      </w:pPr>
    </w:p>
    <w:p>
      <w:pPr>
        <w:widowControl w:val="0"/>
        <w:autoSpaceDE w:val="0"/>
        <w:autoSpaceDN w:val="0"/>
        <w:spacing w:before="5"/>
        <w:rPr>
          <w:rFonts w:hint="eastAsia" w:ascii="宋体" w:hAnsi="宋体" w:eastAsia="宋体" w:cs="宋体"/>
          <w:color w:val="auto"/>
          <w:sz w:val="11"/>
          <w:szCs w:val="21"/>
          <w:highlight w:val="none"/>
          <w:lang w:val="en-US" w:eastAsia="zh-CN" w:bidi="ar-SA"/>
        </w:rPr>
      </w:pPr>
    </w:p>
    <w:p>
      <w:pPr>
        <w:widowControl w:val="0"/>
        <w:autoSpaceDE w:val="0"/>
        <w:autoSpaceDN w:val="0"/>
        <w:spacing w:before="37" w:line="712" w:lineRule="auto"/>
        <w:ind w:right="817"/>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代理人无转委托权，特此委托。</w:t>
      </w: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spacing w:before="10"/>
        <w:rPr>
          <w:rFonts w:hint="eastAsia" w:ascii="宋体" w:hAnsi="宋体" w:eastAsia="宋体" w:cs="宋体"/>
          <w:color w:val="auto"/>
          <w:sz w:val="25"/>
          <w:szCs w:val="21"/>
          <w:highlight w:val="none"/>
          <w:lang w:val="en-US" w:eastAsia="zh-CN" w:bidi="ar-SA"/>
        </w:rPr>
      </w:pPr>
    </w:p>
    <w:p>
      <w:pPr>
        <w:widowControl w:val="0"/>
        <w:tabs>
          <w:tab w:val="left" w:pos="5150"/>
          <w:tab w:val="left" w:pos="7147"/>
          <w:tab w:val="left" w:pos="8558"/>
        </w:tabs>
        <w:autoSpaceDE w:val="0"/>
        <w:autoSpaceDN w:val="0"/>
        <w:spacing w:before="1"/>
        <w:ind w:left="28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代理</w:t>
      </w:r>
      <w:r>
        <w:rPr>
          <w:rFonts w:hint="eastAsia" w:ascii="宋体" w:hAnsi="宋体" w:eastAsia="宋体" w:cs="宋体"/>
          <w:color w:val="auto"/>
          <w:spacing w:val="-3"/>
          <w:sz w:val="21"/>
          <w:szCs w:val="21"/>
          <w:highlight w:val="none"/>
          <w:lang w:val="en-US" w:eastAsia="zh-CN" w:bidi="ar-SA"/>
        </w:rPr>
        <w:t>人</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性别：</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年龄</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9"/>
        <w:rPr>
          <w:rFonts w:hint="eastAsia" w:ascii="宋体" w:hAnsi="宋体" w:eastAsia="宋体" w:cs="宋体"/>
          <w:color w:val="auto"/>
          <w:sz w:val="19"/>
          <w:szCs w:val="21"/>
          <w:highlight w:val="none"/>
          <w:lang w:val="en-US" w:eastAsia="zh-CN" w:bidi="ar-SA"/>
        </w:rPr>
      </w:pPr>
    </w:p>
    <w:p>
      <w:pPr>
        <w:widowControl w:val="0"/>
        <w:tabs>
          <w:tab w:val="left" w:pos="6199"/>
          <w:tab w:val="left" w:pos="8558"/>
        </w:tabs>
        <w:autoSpaceDE w:val="0"/>
        <w:autoSpaceDN w:val="0"/>
        <w:spacing w:before="43"/>
        <w:ind w:left="28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身份</w:t>
      </w:r>
      <w:r>
        <w:rPr>
          <w:rFonts w:hint="eastAsia" w:ascii="宋体" w:hAnsi="宋体" w:eastAsia="宋体" w:cs="宋体"/>
          <w:color w:val="auto"/>
          <w:spacing w:val="-3"/>
          <w:sz w:val="21"/>
          <w:szCs w:val="21"/>
          <w:highlight w:val="none"/>
          <w:lang w:val="en-US" w:eastAsia="zh-CN" w:bidi="ar-SA"/>
        </w:rPr>
        <w:t>证</w:t>
      </w:r>
      <w:r>
        <w:rPr>
          <w:rFonts w:hint="eastAsia" w:ascii="宋体" w:hAnsi="宋体" w:eastAsia="宋体" w:cs="宋体"/>
          <w:color w:val="auto"/>
          <w:sz w:val="21"/>
          <w:szCs w:val="21"/>
          <w:highlight w:val="none"/>
          <w:lang w:val="en-US" w:eastAsia="zh-CN" w:bidi="ar-SA"/>
        </w:rPr>
        <w:t>号</w:t>
      </w:r>
      <w:r>
        <w:rPr>
          <w:rFonts w:hint="eastAsia" w:ascii="宋体" w:hAnsi="宋体" w:eastAsia="宋体" w:cs="宋体"/>
          <w:color w:val="auto"/>
          <w:spacing w:val="-3"/>
          <w:sz w:val="21"/>
          <w:szCs w:val="21"/>
          <w:highlight w:val="none"/>
          <w:lang w:val="en-US" w:eastAsia="zh-CN" w:bidi="ar-SA"/>
        </w:rPr>
        <w:t>码</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1"/>
          <w:sz w:val="21"/>
          <w:szCs w:val="21"/>
          <w:highlight w:val="none"/>
          <w:lang w:val="en-US" w:eastAsia="zh-CN" w:bidi="ar-SA"/>
        </w:rPr>
        <w:t>职</w:t>
      </w:r>
      <w:r>
        <w:rPr>
          <w:rFonts w:hint="eastAsia" w:ascii="宋体" w:hAnsi="宋体" w:eastAsia="宋体" w:cs="宋体"/>
          <w:color w:val="auto"/>
          <w:spacing w:val="-3"/>
          <w:sz w:val="21"/>
          <w:szCs w:val="21"/>
          <w:highlight w:val="none"/>
          <w:lang w:val="en-US" w:eastAsia="zh-CN" w:bidi="ar-SA"/>
        </w:rPr>
        <w:t>务</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spacing w:before="2"/>
        <w:rPr>
          <w:rFonts w:hint="eastAsia" w:ascii="宋体" w:hAnsi="宋体" w:eastAsia="宋体" w:cs="宋体"/>
          <w:color w:val="auto"/>
          <w:sz w:val="24"/>
          <w:szCs w:val="21"/>
          <w:highlight w:val="none"/>
          <w:lang w:val="en-US" w:eastAsia="zh-CN" w:bidi="ar-SA"/>
        </w:rPr>
      </w:pPr>
    </w:p>
    <w:p>
      <w:pPr>
        <w:widowControl w:val="0"/>
        <w:tabs>
          <w:tab w:val="left" w:pos="7250"/>
        </w:tabs>
        <w:autoSpaceDE w:val="0"/>
        <w:autoSpaceDN w:val="0"/>
        <w:spacing w:before="43"/>
        <w:ind w:left="28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w:t>
      </w:r>
      <w:r>
        <w:rPr>
          <w:rFonts w:hint="eastAsia" w:ascii="宋体" w:hAnsi="宋体" w:eastAsia="宋体" w:cs="宋体"/>
          <w:color w:val="auto"/>
          <w:spacing w:val="-3"/>
          <w:sz w:val="21"/>
          <w:szCs w:val="21"/>
          <w:highlight w:val="none"/>
          <w:lang w:val="en-US" w:eastAsia="zh-CN" w:bidi="ar-SA"/>
        </w:rPr>
        <w:t>人</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u w:val="single"/>
          <w:lang w:val="en-US" w:eastAsia="zh-CN" w:bidi="ar-SA"/>
        </w:rPr>
        <w:t>（盖</w:t>
      </w:r>
      <w:r>
        <w:rPr>
          <w:rFonts w:hint="eastAsia" w:ascii="宋体" w:hAnsi="宋体" w:eastAsia="宋体" w:cs="宋体"/>
          <w:color w:val="auto"/>
          <w:sz w:val="21"/>
          <w:szCs w:val="21"/>
          <w:highlight w:val="none"/>
          <w:u w:val="single"/>
          <w:lang w:val="en-US" w:eastAsia="zh-CN" w:bidi="ar-SA"/>
        </w:rPr>
        <w:t>单位</w:t>
      </w:r>
      <w:r>
        <w:rPr>
          <w:rFonts w:hint="eastAsia" w:ascii="宋体" w:hAnsi="宋体" w:eastAsia="宋体" w:cs="宋体"/>
          <w:color w:val="auto"/>
          <w:spacing w:val="-3"/>
          <w:sz w:val="21"/>
          <w:szCs w:val="21"/>
          <w:highlight w:val="none"/>
          <w:u w:val="single"/>
          <w:lang w:val="en-US" w:eastAsia="zh-CN" w:bidi="ar-SA"/>
        </w:rPr>
        <w:t>章）</w:t>
      </w:r>
    </w:p>
    <w:p>
      <w:pPr>
        <w:widowControl w:val="0"/>
        <w:autoSpaceDE w:val="0"/>
        <w:autoSpaceDN w:val="0"/>
        <w:spacing w:before="4"/>
        <w:rPr>
          <w:rFonts w:hint="eastAsia" w:ascii="宋体" w:hAnsi="宋体" w:eastAsia="宋体" w:cs="宋体"/>
          <w:color w:val="auto"/>
          <w:sz w:val="17"/>
          <w:szCs w:val="21"/>
          <w:highlight w:val="none"/>
          <w:lang w:val="en-US" w:eastAsia="zh-CN" w:bidi="ar-SA"/>
        </w:rPr>
      </w:pPr>
    </w:p>
    <w:p>
      <w:pPr>
        <w:widowControl w:val="0"/>
        <w:tabs>
          <w:tab w:val="left" w:pos="7039"/>
        </w:tabs>
        <w:autoSpaceDE w:val="0"/>
        <w:autoSpaceDN w:val="0"/>
        <w:spacing w:before="43"/>
        <w:ind w:left="28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法定</w:t>
      </w:r>
      <w:r>
        <w:rPr>
          <w:rFonts w:hint="eastAsia" w:ascii="宋体" w:hAnsi="宋体" w:eastAsia="宋体" w:cs="宋体"/>
          <w:color w:val="auto"/>
          <w:spacing w:val="-3"/>
          <w:sz w:val="21"/>
          <w:szCs w:val="21"/>
          <w:highlight w:val="none"/>
          <w:lang w:val="en-US" w:eastAsia="zh-CN" w:bidi="ar-SA"/>
        </w:rPr>
        <w:t>代</w:t>
      </w:r>
      <w:r>
        <w:rPr>
          <w:rFonts w:hint="eastAsia" w:ascii="宋体" w:hAnsi="宋体" w:eastAsia="宋体" w:cs="宋体"/>
          <w:color w:val="auto"/>
          <w:sz w:val="21"/>
          <w:szCs w:val="21"/>
          <w:highlight w:val="none"/>
          <w:lang w:val="en-US" w:eastAsia="zh-CN" w:bidi="ar-SA"/>
        </w:rPr>
        <w:t>表</w:t>
      </w:r>
      <w:r>
        <w:rPr>
          <w:rFonts w:hint="eastAsia" w:ascii="宋体" w:hAnsi="宋体" w:eastAsia="宋体" w:cs="宋体"/>
          <w:color w:val="auto"/>
          <w:spacing w:val="-3"/>
          <w:sz w:val="21"/>
          <w:szCs w:val="21"/>
          <w:highlight w:val="none"/>
          <w:lang w:val="en-US" w:eastAsia="zh-CN" w:bidi="ar-SA"/>
        </w:rPr>
        <w:t>人</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u w:val="single"/>
          <w:lang w:val="en-US" w:eastAsia="zh-CN" w:bidi="ar-SA"/>
        </w:rPr>
        <w:t>（</w:t>
      </w:r>
      <w:r>
        <w:rPr>
          <w:rFonts w:hint="eastAsia" w:ascii="宋体" w:hAnsi="宋体" w:eastAsia="宋体" w:cs="宋体"/>
          <w:color w:val="auto"/>
          <w:spacing w:val="-3"/>
          <w:sz w:val="21"/>
          <w:szCs w:val="21"/>
          <w:highlight w:val="none"/>
          <w:u w:val="single"/>
          <w:lang w:val="en-US" w:eastAsia="zh-CN" w:bidi="ar-SA"/>
        </w:rPr>
        <w:t>签字</w:t>
      </w:r>
      <w:r>
        <w:rPr>
          <w:rFonts w:hint="eastAsia" w:ascii="宋体" w:hAnsi="宋体" w:eastAsia="宋体" w:cs="宋体"/>
          <w:color w:val="auto"/>
          <w:sz w:val="21"/>
          <w:szCs w:val="21"/>
          <w:highlight w:val="none"/>
          <w:u w:val="single"/>
          <w:lang w:val="en-US" w:eastAsia="zh-CN" w:bidi="ar-SA"/>
        </w:rPr>
        <w:t>或盖</w:t>
      </w:r>
      <w:r>
        <w:rPr>
          <w:rFonts w:hint="eastAsia" w:ascii="宋体" w:hAnsi="宋体" w:eastAsia="宋体" w:cs="宋体"/>
          <w:color w:val="auto"/>
          <w:spacing w:val="-3"/>
          <w:sz w:val="21"/>
          <w:szCs w:val="21"/>
          <w:highlight w:val="none"/>
          <w:u w:val="single"/>
          <w:lang w:val="en-US" w:eastAsia="zh-CN" w:bidi="ar-SA"/>
        </w:rPr>
        <w:t>章</w:t>
      </w:r>
      <w:r>
        <w:rPr>
          <w:rFonts w:hint="eastAsia" w:ascii="宋体" w:hAnsi="宋体" w:eastAsia="宋体" w:cs="宋体"/>
          <w:color w:val="auto"/>
          <w:sz w:val="21"/>
          <w:szCs w:val="21"/>
          <w:highlight w:val="none"/>
          <w:u w:val="single"/>
          <w:lang w:val="en-US" w:eastAsia="zh-CN" w:bidi="ar-SA"/>
        </w:rPr>
        <w:t>）</w:t>
      </w:r>
    </w:p>
    <w:p>
      <w:pPr>
        <w:widowControl w:val="0"/>
        <w:autoSpaceDE w:val="0"/>
        <w:autoSpaceDN w:val="0"/>
        <w:spacing w:before="4"/>
        <w:rPr>
          <w:rFonts w:hint="eastAsia" w:ascii="宋体" w:hAnsi="宋体" w:eastAsia="宋体" w:cs="宋体"/>
          <w:color w:val="auto"/>
          <w:sz w:val="17"/>
          <w:szCs w:val="21"/>
          <w:highlight w:val="none"/>
          <w:lang w:val="en-US" w:eastAsia="zh-CN" w:bidi="ar-SA"/>
        </w:rPr>
      </w:pPr>
    </w:p>
    <w:p>
      <w:pPr>
        <w:widowControl w:val="0"/>
        <w:tabs>
          <w:tab w:val="left" w:pos="5778"/>
          <w:tab w:val="left" w:pos="6516"/>
          <w:tab w:val="left" w:pos="7250"/>
        </w:tabs>
        <w:autoSpaceDE w:val="0"/>
        <w:autoSpaceDN w:val="0"/>
        <w:spacing w:before="43"/>
        <w:ind w:left="2838"/>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授权</w:t>
      </w:r>
      <w:r>
        <w:rPr>
          <w:rFonts w:hint="eastAsia" w:ascii="宋体" w:hAnsi="宋体" w:eastAsia="宋体" w:cs="宋体"/>
          <w:color w:val="auto"/>
          <w:spacing w:val="-3"/>
          <w:sz w:val="21"/>
          <w:szCs w:val="21"/>
          <w:highlight w:val="none"/>
          <w:lang w:val="en-US" w:eastAsia="zh-CN" w:bidi="ar-SA"/>
        </w:rPr>
        <w:t>委</w:t>
      </w:r>
      <w:r>
        <w:rPr>
          <w:rFonts w:hint="eastAsia" w:ascii="宋体" w:hAnsi="宋体" w:eastAsia="宋体" w:cs="宋体"/>
          <w:color w:val="auto"/>
          <w:sz w:val="21"/>
          <w:szCs w:val="21"/>
          <w:highlight w:val="none"/>
          <w:lang w:val="en-US" w:eastAsia="zh-CN" w:bidi="ar-SA"/>
        </w:rPr>
        <w:t>托</w:t>
      </w:r>
      <w:r>
        <w:rPr>
          <w:rFonts w:hint="eastAsia" w:ascii="宋体" w:hAnsi="宋体" w:eastAsia="宋体" w:cs="宋体"/>
          <w:color w:val="auto"/>
          <w:spacing w:val="-3"/>
          <w:sz w:val="21"/>
          <w:szCs w:val="21"/>
          <w:highlight w:val="none"/>
          <w:lang w:val="en-US" w:eastAsia="zh-CN" w:bidi="ar-SA"/>
        </w:rPr>
        <w:t>日</w:t>
      </w:r>
      <w:r>
        <w:rPr>
          <w:rFonts w:hint="eastAsia" w:ascii="宋体" w:hAnsi="宋体" w:eastAsia="宋体" w:cs="宋体"/>
          <w:color w:val="auto"/>
          <w:sz w:val="21"/>
          <w:szCs w:val="21"/>
          <w:highlight w:val="none"/>
          <w:lang w:val="en-US" w:eastAsia="zh-CN" w:bidi="ar-SA"/>
        </w:rPr>
        <w:t>期</w:t>
      </w:r>
      <w:r>
        <w:rPr>
          <w:rFonts w:hint="eastAsia" w:ascii="宋体" w:hAnsi="宋体" w:eastAsia="宋体" w:cs="宋体"/>
          <w:color w:val="auto"/>
          <w:spacing w:val="-3"/>
          <w:sz w:val="21"/>
          <w:szCs w:val="21"/>
          <w:highlight w:val="none"/>
          <w:lang w:val="en-US" w:eastAsia="zh-CN" w:bidi="ar-SA"/>
        </w:rPr>
        <w:t>：</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年</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月</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日</w:t>
      </w: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spacing w:before="2"/>
        <w:rPr>
          <w:rFonts w:hint="eastAsia" w:ascii="宋体" w:hAnsi="宋体" w:eastAsia="宋体" w:cs="宋体"/>
          <w:color w:val="auto"/>
          <w:sz w:val="27"/>
          <w:szCs w:val="21"/>
          <w:highlight w:val="none"/>
          <w:lang w:val="en-US" w:eastAsia="zh-CN" w:bidi="ar-SA"/>
        </w:rPr>
      </w:pPr>
    </w:p>
    <w:p>
      <w:pPr>
        <w:widowControl w:val="0"/>
        <w:autoSpaceDE w:val="0"/>
        <w:autoSpaceDN w:val="0"/>
        <w:spacing w:before="36" w:line="384" w:lineRule="auto"/>
        <w:ind w:left="138" w:right="132"/>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【备注： 附法定代表人身份证明及其身份证、 委托代理人身份证，以上复印件均须加盖投标人单位公章】</w:t>
      </w:r>
    </w:p>
    <w:p>
      <w:pPr>
        <w:spacing w:line="384" w:lineRule="auto"/>
        <w:rPr>
          <w:rFonts w:hint="eastAsia" w:ascii="宋体" w:hAnsi="宋体" w:eastAsia="宋体" w:cs="宋体"/>
          <w:color w:val="auto"/>
          <w:highlight w:val="none"/>
          <w:lang w:eastAsia="zh-CN"/>
        </w:rPr>
        <w:sectPr>
          <w:pgSz w:w="11910" w:h="16850"/>
          <w:pgMar w:top="1100" w:right="1300" w:bottom="1020" w:left="1660" w:header="877" w:footer="835" w:gutter="0"/>
          <w:pgNumType w:fmt="decimal"/>
          <w:cols w:space="720" w:num="1"/>
        </w:sectPr>
      </w:pPr>
    </w:p>
    <w:p>
      <w:pPr>
        <w:widowControl w:val="0"/>
        <w:autoSpaceDE w:val="0"/>
        <w:autoSpaceDN w:val="0"/>
        <w:spacing w:before="12"/>
        <w:rPr>
          <w:rFonts w:hint="eastAsia" w:ascii="宋体" w:hAnsi="宋体" w:eastAsia="宋体" w:cs="宋体"/>
          <w:color w:val="auto"/>
          <w:sz w:val="19"/>
          <w:szCs w:val="21"/>
          <w:highlight w:val="none"/>
          <w:lang w:val="en-US" w:eastAsia="zh-CN" w:bidi="ar-SA"/>
        </w:rPr>
      </w:pPr>
    </w:p>
    <w:p>
      <w:pPr>
        <w:autoSpaceDE w:val="0"/>
        <w:autoSpaceDN w:val="0"/>
        <w:spacing w:before="15"/>
        <w:ind w:left="3472"/>
        <w:jc w:val="left"/>
        <w:rPr>
          <w:rFonts w:hint="eastAsia" w:ascii="宋体" w:hAnsi="宋体" w:eastAsia="宋体" w:cs="宋体"/>
          <w:b/>
          <w:color w:val="auto"/>
          <w:kern w:val="0"/>
          <w:sz w:val="28"/>
          <w:szCs w:val="22"/>
          <w:highlight w:val="none"/>
          <w:lang w:eastAsia="zh-CN"/>
        </w:rPr>
      </w:pPr>
      <w:bookmarkStart w:id="763" w:name="_Toc10677_WPSOffice_Level2"/>
      <w:bookmarkStart w:id="764" w:name="_Toc12893_WPSOffice_Level3"/>
      <w:r>
        <w:rPr>
          <w:rFonts w:hint="eastAsia" w:ascii="宋体" w:hAnsi="宋体" w:eastAsia="宋体" w:cs="宋体"/>
          <w:b/>
          <w:color w:val="auto"/>
          <w:w w:val="95"/>
          <w:kern w:val="0"/>
          <w:sz w:val="28"/>
          <w:szCs w:val="22"/>
          <w:highlight w:val="none"/>
          <w:lang w:eastAsia="zh-CN"/>
        </w:rPr>
        <w:t>法定代表人身份证明</w:t>
      </w:r>
      <w:bookmarkEnd w:id="763"/>
      <w:bookmarkEnd w:id="764"/>
    </w:p>
    <w:p>
      <w:pPr>
        <w:widowControl w:val="0"/>
        <w:autoSpaceDE w:val="0"/>
        <w:autoSpaceDN w:val="0"/>
        <w:rPr>
          <w:rFonts w:hint="eastAsia" w:ascii="宋体" w:hAnsi="宋体" w:eastAsia="宋体" w:cs="宋体"/>
          <w:b/>
          <w:color w:val="auto"/>
          <w:sz w:val="28"/>
          <w:szCs w:val="21"/>
          <w:highlight w:val="none"/>
          <w:lang w:val="en-US" w:eastAsia="zh-CN" w:bidi="ar-SA"/>
        </w:rPr>
      </w:pPr>
    </w:p>
    <w:p>
      <w:pPr>
        <w:widowControl w:val="0"/>
        <w:tabs>
          <w:tab w:val="left" w:pos="7641"/>
        </w:tabs>
        <w:autoSpaceDE w:val="0"/>
        <w:autoSpaceDN w:val="0"/>
        <w:spacing w:before="244"/>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投标人：</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11"/>
        <w:rPr>
          <w:rFonts w:hint="eastAsia" w:ascii="宋体" w:hAnsi="宋体" w:eastAsia="宋体" w:cs="宋体"/>
          <w:color w:val="auto"/>
          <w:sz w:val="20"/>
          <w:szCs w:val="21"/>
          <w:highlight w:val="none"/>
          <w:lang w:val="en-US" w:eastAsia="zh-CN" w:bidi="ar-SA"/>
        </w:rPr>
      </w:pPr>
    </w:p>
    <w:p>
      <w:pPr>
        <w:widowControl w:val="0"/>
        <w:tabs>
          <w:tab w:val="left" w:pos="7641"/>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pacing w:val="-1"/>
          <w:sz w:val="21"/>
          <w:szCs w:val="21"/>
          <w:highlight w:val="none"/>
          <w:lang w:val="en-US" w:eastAsia="zh-CN" w:bidi="ar-SA"/>
        </w:rPr>
        <w:t>单位</w:t>
      </w:r>
      <w:r>
        <w:rPr>
          <w:rFonts w:hint="eastAsia" w:ascii="宋体" w:hAnsi="宋体" w:eastAsia="宋体" w:cs="宋体"/>
          <w:color w:val="auto"/>
          <w:spacing w:val="-3"/>
          <w:sz w:val="21"/>
          <w:szCs w:val="21"/>
          <w:highlight w:val="none"/>
          <w:lang w:val="en-US" w:eastAsia="zh-CN" w:bidi="ar-SA"/>
        </w:rPr>
        <w:t>性</w:t>
      </w:r>
      <w:r>
        <w:rPr>
          <w:rFonts w:hint="eastAsia" w:ascii="宋体" w:hAnsi="宋体" w:eastAsia="宋体" w:cs="宋体"/>
          <w:color w:val="auto"/>
          <w:sz w:val="21"/>
          <w:szCs w:val="21"/>
          <w:highlight w:val="none"/>
          <w:lang w:val="en-US" w:eastAsia="zh-CN" w:bidi="ar-SA"/>
        </w:rPr>
        <w:t>质：</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11"/>
        <w:rPr>
          <w:rFonts w:hint="eastAsia" w:ascii="宋体" w:hAnsi="宋体" w:eastAsia="宋体" w:cs="宋体"/>
          <w:color w:val="auto"/>
          <w:sz w:val="20"/>
          <w:szCs w:val="21"/>
          <w:highlight w:val="none"/>
          <w:lang w:val="en-US" w:eastAsia="zh-CN" w:bidi="ar-SA"/>
        </w:rPr>
      </w:pPr>
    </w:p>
    <w:p>
      <w:pPr>
        <w:widowControl w:val="0"/>
        <w:tabs>
          <w:tab w:val="left" w:pos="1294"/>
          <w:tab w:val="left" w:pos="7641"/>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地</w:t>
      </w:r>
      <w:r>
        <w:rPr>
          <w:rFonts w:hint="eastAsia" w:ascii="宋体" w:hAnsi="宋体" w:eastAsia="宋体" w:cs="宋体"/>
          <w:color w:val="auto"/>
          <w:sz w:val="21"/>
          <w:szCs w:val="21"/>
          <w:highlight w:val="none"/>
          <w:lang w:val="en-US" w:eastAsia="zh-CN" w:bidi="ar-SA"/>
        </w:rPr>
        <w:tab/>
      </w:r>
      <w:r>
        <w:rPr>
          <w:rFonts w:hint="eastAsia" w:ascii="宋体" w:hAnsi="宋体" w:eastAsia="宋体" w:cs="宋体"/>
          <w:color w:val="auto"/>
          <w:spacing w:val="-1"/>
          <w:sz w:val="21"/>
          <w:szCs w:val="21"/>
          <w:highlight w:val="none"/>
          <w:lang w:val="en-US" w:eastAsia="zh-CN" w:bidi="ar-SA"/>
        </w:rPr>
        <w:t>址：</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2"/>
        <w:rPr>
          <w:rFonts w:hint="eastAsia" w:ascii="宋体" w:hAnsi="宋体" w:eastAsia="宋体" w:cs="宋体"/>
          <w:color w:val="auto"/>
          <w:sz w:val="21"/>
          <w:szCs w:val="21"/>
          <w:highlight w:val="none"/>
          <w:lang w:val="en-US" w:eastAsia="zh-CN" w:bidi="ar-SA"/>
        </w:rPr>
      </w:pPr>
    </w:p>
    <w:p>
      <w:pPr>
        <w:widowControl w:val="0"/>
        <w:tabs>
          <w:tab w:val="left" w:pos="3500"/>
          <w:tab w:val="left" w:pos="5181"/>
          <w:tab w:val="left" w:pos="6859"/>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成立</w:t>
      </w:r>
      <w:r>
        <w:rPr>
          <w:rFonts w:hint="eastAsia" w:ascii="宋体" w:hAnsi="宋体" w:eastAsia="宋体" w:cs="宋体"/>
          <w:color w:val="auto"/>
          <w:spacing w:val="-3"/>
          <w:sz w:val="21"/>
          <w:szCs w:val="21"/>
          <w:highlight w:val="none"/>
          <w:lang w:val="en-US" w:eastAsia="zh-CN" w:bidi="ar-SA"/>
        </w:rPr>
        <w:t>时</w:t>
      </w:r>
      <w:r>
        <w:rPr>
          <w:rFonts w:hint="eastAsia" w:ascii="宋体" w:hAnsi="宋体" w:eastAsia="宋体" w:cs="宋体"/>
          <w:color w:val="auto"/>
          <w:sz w:val="21"/>
          <w:szCs w:val="21"/>
          <w:highlight w:val="none"/>
          <w:lang w:val="en-US" w:eastAsia="zh-CN" w:bidi="ar-SA"/>
        </w:rPr>
        <w:t>间：</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年</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月</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日</w:t>
      </w:r>
    </w:p>
    <w:p>
      <w:pPr>
        <w:widowControl w:val="0"/>
        <w:autoSpaceDE w:val="0"/>
        <w:autoSpaceDN w:val="0"/>
        <w:spacing w:before="5"/>
        <w:rPr>
          <w:rFonts w:hint="eastAsia" w:ascii="宋体" w:hAnsi="宋体" w:eastAsia="宋体" w:cs="宋体"/>
          <w:color w:val="auto"/>
          <w:sz w:val="18"/>
          <w:szCs w:val="21"/>
          <w:highlight w:val="none"/>
          <w:lang w:val="en-US" w:eastAsia="zh-CN" w:bidi="ar-SA"/>
        </w:rPr>
      </w:pPr>
    </w:p>
    <w:p>
      <w:pPr>
        <w:widowControl w:val="0"/>
        <w:tabs>
          <w:tab w:val="left" w:pos="7641"/>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pacing w:val="-1"/>
          <w:sz w:val="21"/>
          <w:szCs w:val="21"/>
          <w:highlight w:val="none"/>
          <w:lang w:val="en-US" w:eastAsia="zh-CN" w:bidi="ar-SA"/>
        </w:rPr>
        <w:t>经营</w:t>
      </w:r>
      <w:r>
        <w:rPr>
          <w:rFonts w:hint="eastAsia" w:ascii="宋体" w:hAnsi="宋体" w:eastAsia="宋体" w:cs="宋体"/>
          <w:color w:val="auto"/>
          <w:spacing w:val="-3"/>
          <w:sz w:val="21"/>
          <w:szCs w:val="21"/>
          <w:highlight w:val="none"/>
          <w:lang w:val="en-US" w:eastAsia="zh-CN" w:bidi="ar-SA"/>
        </w:rPr>
        <w:t>期</w:t>
      </w:r>
      <w:r>
        <w:rPr>
          <w:rFonts w:hint="eastAsia" w:ascii="宋体" w:hAnsi="宋体" w:eastAsia="宋体" w:cs="宋体"/>
          <w:color w:val="auto"/>
          <w:sz w:val="21"/>
          <w:szCs w:val="21"/>
          <w:highlight w:val="none"/>
          <w:lang w:val="en-US" w:eastAsia="zh-CN" w:bidi="ar-SA"/>
        </w:rPr>
        <w:t>限：</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rPr>
          <w:rFonts w:hint="eastAsia" w:ascii="宋体" w:hAnsi="宋体" w:eastAsia="宋体" w:cs="宋体"/>
          <w:color w:val="auto"/>
          <w:sz w:val="21"/>
          <w:szCs w:val="21"/>
          <w:highlight w:val="none"/>
          <w:lang w:val="en-US" w:eastAsia="zh-CN" w:bidi="ar-SA"/>
        </w:rPr>
      </w:pPr>
    </w:p>
    <w:p>
      <w:pPr>
        <w:widowControl w:val="0"/>
        <w:tabs>
          <w:tab w:val="left" w:pos="1294"/>
          <w:tab w:val="left" w:pos="4444"/>
          <w:tab w:val="left" w:pos="5181"/>
          <w:tab w:val="left" w:pos="7643"/>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姓</w:t>
      </w:r>
      <w:r>
        <w:rPr>
          <w:rFonts w:hint="eastAsia" w:ascii="宋体" w:hAnsi="宋体" w:eastAsia="宋体" w:cs="宋体"/>
          <w:color w:val="auto"/>
          <w:sz w:val="21"/>
          <w:szCs w:val="21"/>
          <w:highlight w:val="none"/>
          <w:lang w:val="en-US" w:eastAsia="zh-CN" w:bidi="ar-SA"/>
        </w:rPr>
        <w:tab/>
      </w:r>
      <w:r>
        <w:rPr>
          <w:rFonts w:hint="eastAsia" w:ascii="宋体" w:hAnsi="宋体" w:eastAsia="宋体" w:cs="宋体"/>
          <w:color w:val="auto"/>
          <w:sz w:val="21"/>
          <w:szCs w:val="21"/>
          <w:highlight w:val="none"/>
          <w:lang w:val="en-US" w:eastAsia="zh-CN" w:bidi="ar-SA"/>
        </w:rPr>
        <w:t>名：</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性</w:t>
      </w:r>
      <w:r>
        <w:rPr>
          <w:rFonts w:hint="eastAsia" w:ascii="宋体" w:hAnsi="宋体" w:eastAsia="宋体" w:cs="宋体"/>
          <w:color w:val="auto"/>
          <w:sz w:val="21"/>
          <w:szCs w:val="21"/>
          <w:highlight w:val="none"/>
          <w:lang w:val="en-US" w:eastAsia="zh-CN" w:bidi="ar-SA"/>
        </w:rPr>
        <w:tab/>
      </w:r>
      <w:r>
        <w:rPr>
          <w:rFonts w:hint="eastAsia" w:ascii="宋体" w:hAnsi="宋体" w:eastAsia="宋体" w:cs="宋体"/>
          <w:color w:val="auto"/>
          <w:spacing w:val="-3"/>
          <w:sz w:val="21"/>
          <w:szCs w:val="21"/>
          <w:highlight w:val="none"/>
          <w:lang w:val="en-US" w:eastAsia="zh-CN" w:bidi="ar-SA"/>
        </w:rPr>
        <w:t>别</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2"/>
        <w:rPr>
          <w:rFonts w:hint="eastAsia" w:ascii="宋体" w:hAnsi="宋体" w:eastAsia="宋体" w:cs="宋体"/>
          <w:color w:val="auto"/>
          <w:sz w:val="21"/>
          <w:szCs w:val="21"/>
          <w:highlight w:val="none"/>
          <w:lang w:val="en-US" w:eastAsia="zh-CN" w:bidi="ar-SA"/>
        </w:rPr>
      </w:pPr>
    </w:p>
    <w:p>
      <w:pPr>
        <w:widowControl w:val="0"/>
        <w:tabs>
          <w:tab w:val="left" w:pos="1294"/>
          <w:tab w:val="left" w:pos="4444"/>
          <w:tab w:val="left" w:pos="5181"/>
          <w:tab w:val="left" w:pos="7643"/>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年</w:t>
      </w:r>
      <w:r>
        <w:rPr>
          <w:rFonts w:hint="eastAsia" w:ascii="宋体" w:hAnsi="宋体" w:eastAsia="宋体" w:cs="宋体"/>
          <w:color w:val="auto"/>
          <w:sz w:val="21"/>
          <w:szCs w:val="21"/>
          <w:highlight w:val="none"/>
          <w:lang w:val="en-US" w:eastAsia="zh-CN" w:bidi="ar-SA"/>
        </w:rPr>
        <w:tab/>
      </w:r>
      <w:r>
        <w:rPr>
          <w:rFonts w:hint="eastAsia" w:ascii="宋体" w:hAnsi="宋体" w:eastAsia="宋体" w:cs="宋体"/>
          <w:color w:val="auto"/>
          <w:sz w:val="21"/>
          <w:szCs w:val="21"/>
          <w:highlight w:val="none"/>
          <w:lang w:val="en-US" w:eastAsia="zh-CN" w:bidi="ar-SA"/>
        </w:rPr>
        <w:t>龄：</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职</w:t>
      </w:r>
      <w:r>
        <w:rPr>
          <w:rFonts w:hint="eastAsia" w:ascii="宋体" w:hAnsi="宋体" w:eastAsia="宋体" w:cs="宋体"/>
          <w:color w:val="auto"/>
          <w:sz w:val="21"/>
          <w:szCs w:val="21"/>
          <w:highlight w:val="none"/>
          <w:lang w:val="en-US" w:eastAsia="zh-CN" w:bidi="ar-SA"/>
        </w:rPr>
        <w:tab/>
      </w:r>
      <w:r>
        <w:rPr>
          <w:rFonts w:hint="eastAsia" w:ascii="宋体" w:hAnsi="宋体" w:eastAsia="宋体" w:cs="宋体"/>
          <w:color w:val="auto"/>
          <w:spacing w:val="-3"/>
          <w:sz w:val="21"/>
          <w:szCs w:val="21"/>
          <w:highlight w:val="none"/>
          <w:lang w:val="en-US" w:eastAsia="zh-CN" w:bidi="ar-SA"/>
        </w:rPr>
        <w:t>务</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p>
    <w:p>
      <w:pPr>
        <w:widowControl w:val="0"/>
        <w:autoSpaceDE w:val="0"/>
        <w:autoSpaceDN w:val="0"/>
        <w:spacing w:before="11"/>
        <w:rPr>
          <w:rFonts w:hint="eastAsia" w:ascii="宋体" w:hAnsi="宋体" w:eastAsia="宋体" w:cs="宋体"/>
          <w:color w:val="auto"/>
          <w:sz w:val="20"/>
          <w:szCs w:val="21"/>
          <w:highlight w:val="none"/>
          <w:lang w:val="en-US" w:eastAsia="zh-CN" w:bidi="ar-SA"/>
        </w:rPr>
      </w:pPr>
    </w:p>
    <w:p>
      <w:pPr>
        <w:widowControl w:val="0"/>
        <w:tabs>
          <w:tab w:val="left" w:pos="5944"/>
        </w:tabs>
        <w:autoSpaceDE w:val="0"/>
        <w:autoSpaceDN w:val="0"/>
        <w:spacing w:before="43"/>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系</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u w:val="single"/>
          <w:lang w:val="en-US" w:eastAsia="zh-CN" w:bidi="ar-SA"/>
        </w:rPr>
        <w:t>（</w:t>
      </w:r>
      <w:r>
        <w:rPr>
          <w:rFonts w:hint="eastAsia" w:ascii="宋体" w:hAnsi="宋体" w:eastAsia="宋体" w:cs="宋体"/>
          <w:color w:val="auto"/>
          <w:spacing w:val="-3"/>
          <w:sz w:val="21"/>
          <w:szCs w:val="21"/>
          <w:highlight w:val="none"/>
          <w:lang w:val="en-US" w:eastAsia="zh-CN" w:bidi="ar-SA"/>
        </w:rPr>
        <w:t>投</w:t>
      </w:r>
      <w:r>
        <w:rPr>
          <w:rFonts w:hint="eastAsia" w:ascii="宋体" w:hAnsi="宋体" w:eastAsia="宋体" w:cs="宋体"/>
          <w:color w:val="auto"/>
          <w:sz w:val="21"/>
          <w:szCs w:val="21"/>
          <w:highlight w:val="none"/>
          <w:lang w:val="en-US" w:eastAsia="zh-CN" w:bidi="ar-SA"/>
        </w:rPr>
        <w:t>标</w:t>
      </w:r>
      <w:r>
        <w:rPr>
          <w:rFonts w:hint="eastAsia" w:ascii="宋体" w:hAnsi="宋体" w:eastAsia="宋体" w:cs="宋体"/>
          <w:color w:val="auto"/>
          <w:spacing w:val="-3"/>
          <w:sz w:val="21"/>
          <w:szCs w:val="21"/>
          <w:highlight w:val="none"/>
          <w:lang w:val="en-US" w:eastAsia="zh-CN" w:bidi="ar-SA"/>
        </w:rPr>
        <w:t>人</w:t>
      </w:r>
      <w:r>
        <w:rPr>
          <w:rFonts w:hint="eastAsia" w:ascii="宋体" w:hAnsi="宋体" w:eastAsia="宋体" w:cs="宋体"/>
          <w:color w:val="auto"/>
          <w:sz w:val="21"/>
          <w:szCs w:val="21"/>
          <w:highlight w:val="none"/>
          <w:lang w:val="en-US" w:eastAsia="zh-CN" w:bidi="ar-SA"/>
        </w:rPr>
        <w:t>名</w:t>
      </w:r>
      <w:r>
        <w:rPr>
          <w:rFonts w:hint="eastAsia" w:ascii="宋体" w:hAnsi="宋体" w:eastAsia="宋体" w:cs="宋体"/>
          <w:color w:val="auto"/>
          <w:spacing w:val="-3"/>
          <w:sz w:val="21"/>
          <w:szCs w:val="21"/>
          <w:highlight w:val="none"/>
          <w:lang w:val="en-US" w:eastAsia="zh-CN" w:bidi="ar-SA"/>
        </w:rPr>
        <w:t>称</w:t>
      </w:r>
      <w:r>
        <w:rPr>
          <w:rFonts w:hint="eastAsia" w:ascii="宋体" w:hAnsi="宋体" w:eastAsia="宋体" w:cs="宋体"/>
          <w:color w:val="auto"/>
          <w:spacing w:val="-77"/>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的</w:t>
      </w:r>
      <w:r>
        <w:rPr>
          <w:rFonts w:hint="eastAsia" w:ascii="宋体" w:hAnsi="宋体" w:eastAsia="宋体" w:cs="宋体"/>
          <w:color w:val="auto"/>
          <w:spacing w:val="-3"/>
          <w:sz w:val="21"/>
          <w:szCs w:val="21"/>
          <w:highlight w:val="none"/>
          <w:lang w:val="en-US" w:eastAsia="zh-CN" w:bidi="ar-SA"/>
        </w:rPr>
        <w:t>法</w:t>
      </w:r>
      <w:r>
        <w:rPr>
          <w:rFonts w:hint="eastAsia" w:ascii="宋体" w:hAnsi="宋体" w:eastAsia="宋体" w:cs="宋体"/>
          <w:color w:val="auto"/>
          <w:sz w:val="21"/>
          <w:szCs w:val="21"/>
          <w:highlight w:val="none"/>
          <w:lang w:val="en-US" w:eastAsia="zh-CN" w:bidi="ar-SA"/>
        </w:rPr>
        <w:t>定代</w:t>
      </w:r>
      <w:r>
        <w:rPr>
          <w:rFonts w:hint="eastAsia" w:ascii="宋体" w:hAnsi="宋体" w:eastAsia="宋体" w:cs="宋体"/>
          <w:color w:val="auto"/>
          <w:spacing w:val="-3"/>
          <w:sz w:val="21"/>
          <w:szCs w:val="21"/>
          <w:highlight w:val="none"/>
          <w:lang w:val="en-US" w:eastAsia="zh-CN" w:bidi="ar-SA"/>
        </w:rPr>
        <w:t>表</w:t>
      </w:r>
      <w:r>
        <w:rPr>
          <w:rFonts w:hint="eastAsia" w:ascii="宋体" w:hAnsi="宋体" w:eastAsia="宋体" w:cs="宋体"/>
          <w:color w:val="auto"/>
          <w:sz w:val="21"/>
          <w:szCs w:val="21"/>
          <w:highlight w:val="none"/>
          <w:lang w:val="en-US" w:eastAsia="zh-CN" w:bidi="ar-SA"/>
        </w:rPr>
        <w:t>人。</w:t>
      </w:r>
    </w:p>
    <w:p>
      <w:pPr>
        <w:widowControl w:val="0"/>
        <w:autoSpaceDE w:val="0"/>
        <w:autoSpaceDN w:val="0"/>
        <w:spacing w:before="12"/>
        <w:rPr>
          <w:rFonts w:hint="eastAsia" w:ascii="宋体" w:hAnsi="宋体" w:eastAsia="宋体" w:cs="宋体"/>
          <w:color w:val="auto"/>
          <w:sz w:val="18"/>
          <w:szCs w:val="21"/>
          <w:highlight w:val="none"/>
          <w:lang w:val="en-US" w:eastAsia="zh-CN" w:bidi="ar-SA"/>
        </w:rPr>
      </w:pPr>
    </w:p>
    <w:p>
      <w:pPr>
        <w:widowControl w:val="0"/>
        <w:autoSpaceDE w:val="0"/>
        <w:autoSpaceDN w:val="0"/>
        <w:spacing w:before="36"/>
        <w:ind w:left="66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特此证明。</w:t>
      </w: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autoSpaceDE w:val="0"/>
        <w:autoSpaceDN w:val="0"/>
        <w:rPr>
          <w:rFonts w:hint="eastAsia" w:ascii="宋体" w:hAnsi="宋体" w:eastAsia="宋体" w:cs="宋体"/>
          <w:color w:val="auto"/>
          <w:sz w:val="20"/>
          <w:szCs w:val="21"/>
          <w:highlight w:val="none"/>
          <w:lang w:val="en-US" w:eastAsia="zh-CN" w:bidi="ar-SA"/>
        </w:rPr>
      </w:pPr>
    </w:p>
    <w:p>
      <w:pPr>
        <w:widowControl w:val="0"/>
        <w:tabs>
          <w:tab w:val="left" w:pos="7553"/>
        </w:tabs>
        <w:autoSpaceDE w:val="0"/>
        <w:autoSpaceDN w:val="0"/>
        <w:spacing w:before="190"/>
        <w:ind w:left="398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w:t>
      </w:r>
      <w:r>
        <w:rPr>
          <w:rFonts w:hint="eastAsia" w:ascii="宋体" w:hAnsi="宋体" w:eastAsia="宋体" w:cs="宋体"/>
          <w:color w:val="auto"/>
          <w:spacing w:val="-3"/>
          <w:sz w:val="21"/>
          <w:szCs w:val="21"/>
          <w:highlight w:val="none"/>
          <w:lang w:val="en-US" w:eastAsia="zh-CN" w:bidi="ar-SA"/>
        </w:rPr>
        <w:t>人</w:t>
      </w:r>
      <w:r>
        <w:rPr>
          <w:rFonts w:hint="eastAsia" w:ascii="宋体"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盖</w:t>
      </w:r>
      <w:r>
        <w:rPr>
          <w:rFonts w:hint="eastAsia" w:ascii="宋体" w:hAnsi="宋体" w:eastAsia="宋体" w:cs="宋体"/>
          <w:color w:val="auto"/>
          <w:spacing w:val="-3"/>
          <w:sz w:val="21"/>
          <w:szCs w:val="21"/>
          <w:highlight w:val="none"/>
          <w:lang w:val="en-US" w:eastAsia="zh-CN" w:bidi="ar-SA"/>
        </w:rPr>
        <w:t>单</w:t>
      </w:r>
      <w:r>
        <w:rPr>
          <w:rFonts w:hint="eastAsia" w:ascii="宋体" w:hAnsi="宋体" w:eastAsia="宋体" w:cs="宋体"/>
          <w:color w:val="auto"/>
          <w:sz w:val="21"/>
          <w:szCs w:val="21"/>
          <w:highlight w:val="none"/>
          <w:lang w:val="en-US" w:eastAsia="zh-CN" w:bidi="ar-SA"/>
        </w:rPr>
        <w:t>位</w:t>
      </w:r>
      <w:r>
        <w:rPr>
          <w:rFonts w:hint="eastAsia" w:ascii="宋体" w:hAnsi="宋体" w:eastAsia="宋体" w:cs="宋体"/>
          <w:color w:val="auto"/>
          <w:spacing w:val="-3"/>
          <w:sz w:val="21"/>
          <w:szCs w:val="21"/>
          <w:highlight w:val="none"/>
          <w:lang w:val="en-US" w:eastAsia="zh-CN" w:bidi="ar-SA"/>
        </w:rPr>
        <w:t>章</w:t>
      </w:r>
      <w:r>
        <w:rPr>
          <w:rFonts w:hint="eastAsia" w:ascii="宋体" w:hAnsi="宋体" w:eastAsia="宋体" w:cs="宋体"/>
          <w:color w:val="auto"/>
          <w:sz w:val="21"/>
          <w:szCs w:val="21"/>
          <w:highlight w:val="none"/>
          <w:lang w:val="en-US" w:eastAsia="zh-CN" w:bidi="ar-SA"/>
        </w:rPr>
        <w:t>）</w:t>
      </w:r>
    </w:p>
    <w:p>
      <w:pPr>
        <w:widowControl w:val="0"/>
        <w:autoSpaceDE w:val="0"/>
        <w:autoSpaceDN w:val="0"/>
        <w:spacing w:before="7"/>
        <w:rPr>
          <w:rFonts w:hint="eastAsia" w:ascii="宋体" w:hAnsi="宋体" w:eastAsia="宋体" w:cs="宋体"/>
          <w:color w:val="auto"/>
          <w:sz w:val="14"/>
          <w:szCs w:val="21"/>
          <w:highlight w:val="none"/>
          <w:lang w:val="en-US" w:eastAsia="zh-CN" w:bidi="ar-SA"/>
        </w:rPr>
      </w:pPr>
    </w:p>
    <w:p>
      <w:pPr>
        <w:widowControl w:val="0"/>
        <w:tabs>
          <w:tab w:val="left" w:pos="6504"/>
          <w:tab w:val="left" w:pos="7553"/>
          <w:tab w:val="left" w:pos="8602"/>
        </w:tabs>
        <w:autoSpaceDE w:val="0"/>
        <w:autoSpaceDN w:val="0"/>
        <w:spacing w:before="36"/>
        <w:ind w:left="482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pacing w:val="-3"/>
          <w:sz w:val="21"/>
          <w:szCs w:val="21"/>
          <w:highlight w:val="none"/>
          <w:lang w:val="en-US" w:eastAsia="zh-CN" w:bidi="ar-SA"/>
        </w:rPr>
        <w:t>年</w:t>
      </w:r>
      <w:r>
        <w:rPr>
          <w:rFonts w:hint="eastAsia" w:ascii="宋体" w:hAnsi="宋体" w:eastAsia="宋体" w:cs="宋体"/>
          <w:color w:val="auto"/>
          <w:spacing w:val="-3"/>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月</w:t>
      </w:r>
      <w:r>
        <w:rPr>
          <w:rFonts w:hint="eastAsia" w:ascii="宋体" w:hAnsi="宋体" w:eastAsia="宋体" w:cs="宋体"/>
          <w:color w:val="auto"/>
          <w:sz w:val="21"/>
          <w:szCs w:val="21"/>
          <w:highlight w:val="none"/>
          <w:u w:val="single"/>
          <w:lang w:val="en-US" w:eastAsia="zh-CN" w:bidi="ar-SA"/>
        </w:rPr>
        <w:tab/>
      </w:r>
      <w:r>
        <w:rPr>
          <w:rFonts w:hint="eastAsia" w:ascii="宋体" w:hAnsi="宋体" w:eastAsia="宋体" w:cs="宋体"/>
          <w:color w:val="auto"/>
          <w:sz w:val="21"/>
          <w:szCs w:val="21"/>
          <w:highlight w:val="none"/>
          <w:lang w:val="en-US" w:eastAsia="zh-CN" w:bidi="ar-SA"/>
        </w:rPr>
        <w:t>日</w:t>
      </w:r>
    </w:p>
    <w:p>
      <w:pPr>
        <w:rPr>
          <w:rFonts w:hint="eastAsia" w:ascii="宋体" w:hAnsi="宋体" w:eastAsia="宋体" w:cs="宋体"/>
          <w:color w:val="auto"/>
          <w:highlight w:val="none"/>
          <w:lang w:eastAsia="zh-CN"/>
        </w:rPr>
        <w:sectPr>
          <w:pgSz w:w="11910" w:h="16850"/>
          <w:pgMar w:top="1100" w:right="1300" w:bottom="1020" w:left="1660" w:header="877" w:footer="835" w:gutter="0"/>
          <w:pgNumType w:fmt="decimal"/>
          <w:cols w:space="720" w:num="1"/>
        </w:sectPr>
      </w:pPr>
    </w:p>
    <w:p>
      <w:pPr>
        <w:widowControl w:val="0"/>
        <w:autoSpaceDE w:val="0"/>
        <w:autoSpaceDN w:val="0"/>
        <w:spacing w:before="12"/>
        <w:rPr>
          <w:rFonts w:hint="eastAsia" w:ascii="宋体" w:hAnsi="宋体" w:eastAsia="宋体" w:cs="宋体"/>
          <w:color w:val="auto"/>
          <w:sz w:val="19"/>
          <w:szCs w:val="21"/>
          <w:highlight w:val="none"/>
          <w:lang w:val="en-US" w:eastAsia="zh-CN" w:bidi="ar-SA"/>
        </w:rPr>
      </w:pPr>
    </w:p>
    <w:p>
      <w:pPr>
        <w:widowControl w:val="0"/>
        <w:autoSpaceDE w:val="0"/>
        <w:autoSpaceDN w:val="0"/>
        <w:spacing w:before="15"/>
        <w:ind w:left="3520"/>
        <w:outlineLvl w:val="3"/>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t>2、企业基本情况表</w:t>
      </w:r>
    </w:p>
    <w:p>
      <w:pPr>
        <w:widowControl w:val="0"/>
        <w:autoSpaceDE w:val="0"/>
        <w:autoSpaceDN w:val="0"/>
        <w:spacing w:before="4"/>
        <w:rPr>
          <w:rFonts w:hint="eastAsia" w:ascii="宋体" w:hAnsi="宋体" w:eastAsia="宋体" w:cs="宋体"/>
          <w:b/>
          <w:color w:val="auto"/>
          <w:sz w:val="28"/>
          <w:szCs w:val="21"/>
          <w:highlight w:val="none"/>
          <w:lang w:val="en-US" w:eastAsia="zh-CN" w:bidi="ar-SA"/>
        </w:rPr>
      </w:pPr>
    </w:p>
    <w:tbl>
      <w:tblPr>
        <w:tblStyle w:val="4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trPr>
        <w:tc>
          <w:tcPr>
            <w:tcW w:w="1625" w:type="dxa"/>
          </w:tcPr>
          <w:p>
            <w:pPr>
              <w:widowControl w:val="0"/>
              <w:autoSpaceDE w:val="0"/>
              <w:autoSpaceDN w:val="0"/>
              <w:spacing w:before="112"/>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投标人名称</w:t>
            </w:r>
          </w:p>
        </w:tc>
        <w:tc>
          <w:tcPr>
            <w:tcW w:w="7339" w:type="dxa"/>
            <w:gridSpan w:val="7"/>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widowControl w:val="0"/>
              <w:autoSpaceDE w:val="0"/>
              <w:autoSpaceDN w:val="0"/>
              <w:spacing w:before="114"/>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注册地址</w:t>
            </w:r>
          </w:p>
        </w:tc>
        <w:tc>
          <w:tcPr>
            <w:tcW w:w="3390" w:type="dxa"/>
            <w:gridSpan w:val="4"/>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287" w:type="dxa"/>
          </w:tcPr>
          <w:p>
            <w:pPr>
              <w:widowControl w:val="0"/>
              <w:autoSpaceDE w:val="0"/>
              <w:autoSpaceDN w:val="0"/>
              <w:spacing w:before="114"/>
              <w:ind w:right="30"/>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邮政编码</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141"/>
              <w:ind w:left="393"/>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联系方式</w:t>
            </w:r>
          </w:p>
        </w:tc>
        <w:tc>
          <w:tcPr>
            <w:tcW w:w="898" w:type="dxa"/>
          </w:tcPr>
          <w:p>
            <w:pPr>
              <w:widowControl w:val="0"/>
              <w:autoSpaceDE w:val="0"/>
              <w:autoSpaceDN w:val="0"/>
              <w:spacing w:before="114"/>
              <w:ind w:left="9"/>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联系人</w:t>
            </w:r>
          </w:p>
        </w:tc>
        <w:tc>
          <w:tcPr>
            <w:tcW w:w="2492" w:type="dxa"/>
            <w:gridSpan w:val="3"/>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287" w:type="dxa"/>
          </w:tcPr>
          <w:p>
            <w:pPr>
              <w:widowControl w:val="0"/>
              <w:tabs>
                <w:tab w:val="left" w:pos="422"/>
              </w:tabs>
              <w:autoSpaceDE w:val="0"/>
              <w:autoSpaceDN w:val="0"/>
              <w:spacing w:before="114"/>
              <w:ind w:right="28"/>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电</w:t>
            </w:r>
            <w:r>
              <w:rPr>
                <w:rFonts w:hint="eastAsia" w:ascii="宋体" w:hAnsi="宋体" w:eastAsia="宋体" w:cs="宋体"/>
                <w:color w:val="auto"/>
                <w:kern w:val="2"/>
                <w:sz w:val="21"/>
                <w:szCs w:val="22"/>
                <w:highlight w:val="none"/>
                <w:lang w:val="en-US" w:eastAsia="en-US" w:bidi="ar-SA"/>
              </w:rPr>
              <w:tab/>
            </w:r>
            <w:r>
              <w:rPr>
                <w:rFonts w:hint="eastAsia" w:ascii="宋体" w:hAnsi="宋体" w:eastAsia="宋体" w:cs="宋体"/>
                <w:color w:val="auto"/>
                <w:kern w:val="2"/>
                <w:sz w:val="21"/>
                <w:szCs w:val="22"/>
                <w:highlight w:val="none"/>
                <w:lang w:val="en-US" w:eastAsia="en-US" w:bidi="ar-SA"/>
              </w:rPr>
              <w:t>话</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898" w:type="dxa"/>
          </w:tcPr>
          <w:p>
            <w:pPr>
              <w:widowControl w:val="0"/>
              <w:tabs>
                <w:tab w:val="left" w:pos="432"/>
              </w:tabs>
              <w:autoSpaceDE w:val="0"/>
              <w:autoSpaceDN w:val="0"/>
              <w:spacing w:before="112"/>
              <w:ind w:left="9"/>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传</w:t>
            </w:r>
            <w:r>
              <w:rPr>
                <w:rFonts w:hint="eastAsia" w:ascii="宋体" w:hAnsi="宋体" w:eastAsia="宋体" w:cs="宋体"/>
                <w:color w:val="auto"/>
                <w:kern w:val="2"/>
                <w:sz w:val="21"/>
                <w:szCs w:val="22"/>
                <w:highlight w:val="none"/>
                <w:lang w:val="en-US" w:eastAsia="en-US" w:bidi="ar-SA"/>
              </w:rPr>
              <w:tab/>
            </w:r>
            <w:r>
              <w:rPr>
                <w:rFonts w:hint="eastAsia" w:ascii="宋体" w:hAnsi="宋体" w:eastAsia="宋体" w:cs="宋体"/>
                <w:color w:val="auto"/>
                <w:kern w:val="2"/>
                <w:sz w:val="21"/>
                <w:szCs w:val="22"/>
                <w:highlight w:val="none"/>
                <w:lang w:val="en-US" w:eastAsia="en-US" w:bidi="ar-SA"/>
              </w:rPr>
              <w:t>真</w:t>
            </w:r>
          </w:p>
        </w:tc>
        <w:tc>
          <w:tcPr>
            <w:tcW w:w="2492" w:type="dxa"/>
            <w:gridSpan w:val="3"/>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287" w:type="dxa"/>
          </w:tcPr>
          <w:p>
            <w:pPr>
              <w:widowControl w:val="0"/>
              <w:tabs>
                <w:tab w:val="left" w:pos="422"/>
              </w:tabs>
              <w:autoSpaceDE w:val="0"/>
              <w:autoSpaceDN w:val="0"/>
              <w:spacing w:before="112"/>
              <w:ind w:right="28"/>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网</w:t>
            </w:r>
            <w:r>
              <w:rPr>
                <w:rFonts w:hint="eastAsia" w:ascii="宋体" w:hAnsi="宋体" w:eastAsia="宋体" w:cs="宋体"/>
                <w:color w:val="auto"/>
                <w:kern w:val="2"/>
                <w:sz w:val="21"/>
                <w:szCs w:val="22"/>
                <w:highlight w:val="none"/>
                <w:lang w:val="en-US" w:eastAsia="en-US" w:bidi="ar-SA"/>
              </w:rPr>
              <w:tab/>
            </w:r>
            <w:r>
              <w:rPr>
                <w:rFonts w:hint="eastAsia" w:ascii="宋体" w:hAnsi="宋体" w:eastAsia="宋体" w:cs="宋体"/>
                <w:color w:val="auto"/>
                <w:kern w:val="2"/>
                <w:sz w:val="21"/>
                <w:szCs w:val="22"/>
                <w:highlight w:val="none"/>
                <w:lang w:val="en-US" w:eastAsia="en-US" w:bidi="ar-SA"/>
              </w:rPr>
              <w:t>址</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widowControl w:val="0"/>
              <w:autoSpaceDE w:val="0"/>
              <w:autoSpaceDN w:val="0"/>
              <w:spacing w:before="3" w:line="274" w:lineRule="exact"/>
              <w:ind w:left="602" w:right="168" w:hanging="42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统一社会信用代码</w:t>
            </w:r>
          </w:p>
        </w:tc>
        <w:tc>
          <w:tcPr>
            <w:tcW w:w="7339" w:type="dxa"/>
            <w:gridSpan w:val="7"/>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widowControl w:val="0"/>
              <w:autoSpaceDE w:val="0"/>
              <w:autoSpaceDN w:val="0"/>
              <w:spacing w:before="112"/>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法定代表人</w:t>
            </w:r>
          </w:p>
        </w:tc>
        <w:tc>
          <w:tcPr>
            <w:tcW w:w="898" w:type="dxa"/>
          </w:tcPr>
          <w:p>
            <w:pPr>
              <w:widowControl w:val="0"/>
              <w:autoSpaceDE w:val="0"/>
              <w:autoSpaceDN w:val="0"/>
              <w:spacing w:before="112"/>
              <w:ind w:left="9"/>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姓名</w:t>
            </w:r>
          </w:p>
        </w:tc>
        <w:tc>
          <w:tcPr>
            <w:tcW w:w="1022"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tcPr>
          <w:p>
            <w:pPr>
              <w:widowControl w:val="0"/>
              <w:autoSpaceDE w:val="0"/>
              <w:autoSpaceDN w:val="0"/>
              <w:spacing w:before="112"/>
              <w:ind w:left="137" w:right="132"/>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技术职称</w:t>
            </w:r>
          </w:p>
        </w:tc>
        <w:tc>
          <w:tcPr>
            <w:tcW w:w="1598"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740" w:type="dxa"/>
          </w:tcPr>
          <w:p>
            <w:pPr>
              <w:widowControl w:val="0"/>
              <w:autoSpaceDE w:val="0"/>
              <w:autoSpaceDN w:val="0"/>
              <w:spacing w:before="112"/>
              <w:ind w:right="133"/>
              <w:jc w:val="right"/>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电话</w:t>
            </w:r>
          </w:p>
        </w:tc>
        <w:tc>
          <w:tcPr>
            <w:tcW w:w="1922"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widowControl w:val="0"/>
              <w:autoSpaceDE w:val="0"/>
              <w:autoSpaceDN w:val="0"/>
              <w:spacing w:before="114"/>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技术负责人</w:t>
            </w:r>
          </w:p>
        </w:tc>
        <w:tc>
          <w:tcPr>
            <w:tcW w:w="898" w:type="dxa"/>
          </w:tcPr>
          <w:p>
            <w:pPr>
              <w:widowControl w:val="0"/>
              <w:autoSpaceDE w:val="0"/>
              <w:autoSpaceDN w:val="0"/>
              <w:spacing w:before="114"/>
              <w:ind w:left="9"/>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姓名</w:t>
            </w:r>
          </w:p>
        </w:tc>
        <w:tc>
          <w:tcPr>
            <w:tcW w:w="1022"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tcPr>
          <w:p>
            <w:pPr>
              <w:widowControl w:val="0"/>
              <w:autoSpaceDE w:val="0"/>
              <w:autoSpaceDN w:val="0"/>
              <w:spacing w:before="114"/>
              <w:ind w:left="137" w:right="132"/>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技术职称</w:t>
            </w:r>
          </w:p>
        </w:tc>
        <w:tc>
          <w:tcPr>
            <w:tcW w:w="1598"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740" w:type="dxa"/>
          </w:tcPr>
          <w:p>
            <w:pPr>
              <w:widowControl w:val="0"/>
              <w:autoSpaceDE w:val="0"/>
              <w:autoSpaceDN w:val="0"/>
              <w:spacing w:before="114"/>
              <w:ind w:right="133"/>
              <w:jc w:val="right"/>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电话</w:t>
            </w:r>
          </w:p>
        </w:tc>
        <w:tc>
          <w:tcPr>
            <w:tcW w:w="1922"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widowControl w:val="0"/>
              <w:autoSpaceDE w:val="0"/>
              <w:autoSpaceDN w:val="0"/>
              <w:spacing w:before="112"/>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成立时间</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5419" w:type="dxa"/>
            <w:gridSpan w:val="5"/>
          </w:tcPr>
          <w:p>
            <w:pPr>
              <w:widowControl w:val="0"/>
              <w:autoSpaceDE w:val="0"/>
              <w:autoSpaceDN w:val="0"/>
              <w:spacing w:before="112"/>
              <w:ind w:left="2060" w:right="2049"/>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widowControl w:val="0"/>
              <w:autoSpaceDE w:val="0"/>
              <w:autoSpaceDN w:val="0"/>
              <w:spacing w:before="112"/>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资质等级</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10"/>
              <w:rPr>
                <w:rFonts w:hint="eastAsia" w:ascii="宋体" w:hAnsi="宋体" w:eastAsia="宋体" w:cs="宋体"/>
                <w:b/>
                <w:color w:val="auto"/>
                <w:kern w:val="2"/>
                <w:sz w:val="16"/>
                <w:szCs w:val="22"/>
                <w:highlight w:val="none"/>
                <w:lang w:val="en-US" w:eastAsia="en-US" w:bidi="ar-SA"/>
              </w:rPr>
            </w:pPr>
          </w:p>
          <w:p>
            <w:pPr>
              <w:widowControl w:val="0"/>
              <w:autoSpaceDE w:val="0"/>
              <w:autoSpaceDN w:val="0"/>
              <w:ind w:left="367"/>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其中</w:t>
            </w:r>
          </w:p>
        </w:tc>
        <w:tc>
          <w:tcPr>
            <w:tcW w:w="1598" w:type="dxa"/>
            <w:gridSpan w:val="2"/>
          </w:tcPr>
          <w:p>
            <w:pPr>
              <w:widowControl w:val="0"/>
              <w:autoSpaceDE w:val="0"/>
              <w:autoSpaceDN w:val="0"/>
              <w:spacing w:before="112"/>
              <w:ind w:left="389"/>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项目经理</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widowControl w:val="0"/>
              <w:autoSpaceDE w:val="0"/>
              <w:autoSpaceDN w:val="0"/>
              <w:spacing w:before="4" w:line="274" w:lineRule="exact"/>
              <w:ind w:left="602" w:right="168" w:hanging="42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安全生产许可证号</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598" w:type="dxa"/>
            <w:gridSpan w:val="2"/>
          </w:tcPr>
          <w:p>
            <w:pPr>
              <w:widowControl w:val="0"/>
              <w:autoSpaceDE w:val="0"/>
              <w:autoSpaceDN w:val="0"/>
              <w:spacing w:before="114"/>
              <w:ind w:left="18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高级职称人员</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widowControl w:val="0"/>
              <w:autoSpaceDE w:val="0"/>
              <w:autoSpaceDN w:val="0"/>
              <w:spacing w:before="112"/>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注册资金</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598" w:type="dxa"/>
            <w:gridSpan w:val="2"/>
          </w:tcPr>
          <w:p>
            <w:pPr>
              <w:widowControl w:val="0"/>
              <w:autoSpaceDE w:val="0"/>
              <w:autoSpaceDN w:val="0"/>
              <w:spacing w:before="112"/>
              <w:ind w:left="18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中级职称人员</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widowControl w:val="0"/>
              <w:autoSpaceDE w:val="0"/>
              <w:autoSpaceDN w:val="0"/>
              <w:spacing w:before="114"/>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开户银行</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598" w:type="dxa"/>
            <w:gridSpan w:val="2"/>
          </w:tcPr>
          <w:p>
            <w:pPr>
              <w:widowControl w:val="0"/>
              <w:autoSpaceDE w:val="0"/>
              <w:autoSpaceDN w:val="0"/>
              <w:spacing w:before="114"/>
              <w:ind w:left="18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初级职称人员</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widowControl w:val="0"/>
              <w:autoSpaceDE w:val="0"/>
              <w:autoSpaceDN w:val="0"/>
              <w:spacing w:before="112"/>
              <w:ind w:left="266"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账号</w:t>
            </w:r>
          </w:p>
        </w:tc>
        <w:tc>
          <w:tcPr>
            <w:tcW w:w="1920"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9"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598" w:type="dxa"/>
            <w:gridSpan w:val="2"/>
          </w:tcPr>
          <w:p>
            <w:pPr>
              <w:widowControl w:val="0"/>
              <w:tabs>
                <w:tab w:val="left" w:pos="917"/>
              </w:tabs>
              <w:autoSpaceDE w:val="0"/>
              <w:autoSpaceDN w:val="0"/>
              <w:spacing w:before="112"/>
              <w:ind w:left="495"/>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技</w:t>
            </w:r>
            <w:r>
              <w:rPr>
                <w:rFonts w:hint="eastAsia" w:ascii="宋体" w:hAnsi="宋体" w:eastAsia="宋体" w:cs="宋体"/>
                <w:color w:val="auto"/>
                <w:kern w:val="2"/>
                <w:sz w:val="21"/>
                <w:szCs w:val="22"/>
                <w:highlight w:val="none"/>
                <w:lang w:val="en-US" w:eastAsia="en-US" w:bidi="ar-SA"/>
              </w:rPr>
              <w:tab/>
            </w:r>
            <w:r>
              <w:rPr>
                <w:rFonts w:hint="eastAsia" w:ascii="宋体" w:hAnsi="宋体" w:eastAsia="宋体" w:cs="宋体"/>
                <w:color w:val="auto"/>
                <w:kern w:val="2"/>
                <w:sz w:val="21"/>
                <w:szCs w:val="22"/>
                <w:highlight w:val="none"/>
                <w:lang w:val="en-US" w:eastAsia="en-US" w:bidi="ar-SA"/>
              </w:rPr>
              <w:t>工</w:t>
            </w:r>
          </w:p>
        </w:tc>
        <w:tc>
          <w:tcPr>
            <w:tcW w:w="2662" w:type="dxa"/>
            <w:gridSpan w:val="2"/>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2"/>
              <w:rPr>
                <w:rFonts w:hint="eastAsia" w:ascii="宋体" w:hAnsi="宋体" w:eastAsia="宋体" w:cs="宋体"/>
                <w:b/>
                <w:color w:val="auto"/>
                <w:kern w:val="2"/>
                <w:sz w:val="17"/>
                <w:szCs w:val="22"/>
                <w:highlight w:val="none"/>
                <w:lang w:val="en-US" w:eastAsia="en-US" w:bidi="ar-SA"/>
              </w:rPr>
            </w:pPr>
          </w:p>
          <w:p>
            <w:pPr>
              <w:widowControl w:val="0"/>
              <w:autoSpaceDE w:val="0"/>
              <w:autoSpaceDN w:val="0"/>
              <w:ind w:left="269"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经营范围</w:t>
            </w:r>
          </w:p>
        </w:tc>
        <w:tc>
          <w:tcPr>
            <w:tcW w:w="7339" w:type="dxa"/>
            <w:gridSpan w:val="7"/>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widowControl w:val="0"/>
              <w:autoSpaceDE w:val="0"/>
              <w:autoSpaceDN w:val="0"/>
              <w:spacing w:before="112"/>
              <w:ind w:left="266" w:right="25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备注</w:t>
            </w:r>
          </w:p>
        </w:tc>
        <w:tc>
          <w:tcPr>
            <w:tcW w:w="7339" w:type="dxa"/>
            <w:gridSpan w:val="7"/>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bl>
    <w:p>
      <w:pPr>
        <w:widowControl w:val="0"/>
        <w:autoSpaceDE w:val="0"/>
        <w:autoSpaceDN w:val="0"/>
        <w:spacing w:before="1"/>
        <w:rPr>
          <w:rFonts w:hint="eastAsia" w:ascii="宋体" w:hAnsi="宋体" w:eastAsia="宋体" w:cs="宋体"/>
          <w:b/>
          <w:color w:val="auto"/>
          <w:sz w:val="31"/>
          <w:szCs w:val="21"/>
          <w:highlight w:val="none"/>
          <w:lang w:val="en-US" w:eastAsia="en-US" w:bidi="ar-SA"/>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jc w:val="left"/>
        <w:textAlignment w:val="auto"/>
        <w:rPr>
          <w:rFonts w:hint="eastAsia" w:ascii="宋体" w:hAnsi="宋体" w:eastAsia="宋体" w:cs="宋体"/>
          <w:b/>
          <w:bCs/>
          <w:color w:val="auto"/>
          <w:kern w:val="2"/>
          <w:sz w:val="21"/>
          <w:highlight w:val="none"/>
          <w:lang w:eastAsia="zh-CN"/>
        </w:rPr>
        <w:sectPr>
          <w:pgSz w:w="11910" w:h="16850"/>
          <w:pgMar w:top="1100" w:right="1160" w:bottom="1020" w:left="1540" w:header="877" w:footer="835" w:gutter="0"/>
          <w:pgNumType w:fmt="decimal"/>
          <w:cols w:space="720" w:num="1"/>
        </w:sectPr>
      </w:pPr>
      <w:r>
        <w:rPr>
          <w:rFonts w:hint="eastAsia" w:ascii="宋体" w:hAnsi="宋体" w:eastAsia="宋体" w:cs="宋体"/>
          <w:b/>
          <w:bCs/>
          <w:color w:val="auto"/>
          <w:kern w:val="2"/>
          <w:sz w:val="21"/>
          <w:szCs w:val="22"/>
          <w:highlight w:val="none"/>
          <w:lang w:val="en-US" w:eastAsia="zh-CN" w:bidi="ar-SA"/>
        </w:rPr>
        <w:t>【备注： 附有效的企业营业执照、 企业资质证书、安全生产许可证的复印件、中小企业声明函（如有）。 以上资料加盖投标人单位公章】</w:t>
      </w:r>
    </w:p>
    <w:p>
      <w:pPr>
        <w:widowControl w:val="0"/>
        <w:autoSpaceDE w:val="0"/>
        <w:autoSpaceDN w:val="0"/>
        <w:spacing w:line="297" w:lineRule="auto"/>
        <w:ind w:right="295" w:firstLine="640"/>
        <w:jc w:val="center"/>
        <w:rPr>
          <w:rFonts w:hint="eastAsia" w:ascii="宋体" w:hAnsi="宋体" w:eastAsia="宋体" w:cs="宋体"/>
          <w:b/>
          <w:bCs/>
          <w:color w:val="auto"/>
          <w:spacing w:val="-2"/>
          <w:sz w:val="28"/>
          <w:szCs w:val="28"/>
          <w:highlight w:val="none"/>
          <w:lang w:val="en-US" w:eastAsia="zh-CN" w:bidi="ar-SA"/>
        </w:rPr>
      </w:pPr>
      <w:r>
        <w:rPr>
          <w:rFonts w:hint="eastAsia" w:ascii="宋体" w:hAnsi="宋体" w:eastAsia="宋体" w:cs="宋体"/>
          <w:b/>
          <w:bCs/>
          <w:color w:val="auto"/>
          <w:spacing w:val="-2"/>
          <w:sz w:val="28"/>
          <w:szCs w:val="28"/>
          <w:highlight w:val="none"/>
          <w:lang w:val="en-US" w:eastAsia="zh-CN" w:bidi="ar-SA"/>
        </w:rPr>
        <w:t>中小企业声明函（工程、服务）</w:t>
      </w:r>
    </w:p>
    <w:p>
      <w:pPr>
        <w:widowControl w:val="0"/>
        <w:autoSpaceDE w:val="0"/>
        <w:autoSpaceDN w:val="0"/>
        <w:spacing w:before="2"/>
        <w:rPr>
          <w:rFonts w:hint="eastAsia" w:ascii="宋体" w:hAnsi="宋体" w:eastAsia="宋体" w:cs="宋体"/>
          <w:b/>
          <w:color w:val="auto"/>
          <w:sz w:val="28"/>
          <w:szCs w:val="28"/>
          <w:highlight w:val="none"/>
          <w:lang w:val="en-US" w:eastAsia="zh-CN" w:bidi="ar-SA"/>
        </w:rPr>
      </w:pPr>
    </w:p>
    <w:p>
      <w:pPr>
        <w:widowControl w:val="0"/>
        <w:autoSpaceDE/>
        <w:autoSpaceDN/>
        <w:spacing w:line="360" w:lineRule="auto"/>
        <w:ind w:right="295" w:firstLine="641"/>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bidi="ar-SA"/>
        </w:rPr>
        <w:t>本公司郑重声明，根据《政府采购促进中小</w:t>
      </w:r>
      <w:r>
        <w:rPr>
          <w:rFonts w:hint="eastAsia" w:ascii="宋体" w:hAnsi="宋体" w:eastAsia="宋体" w:cs="宋体"/>
          <w:color w:val="auto"/>
          <w:spacing w:val="-18"/>
          <w:sz w:val="24"/>
          <w:szCs w:val="24"/>
          <w:highlight w:val="none"/>
          <w:lang w:val="en-US" w:eastAsia="zh-CN" w:bidi="ar-SA"/>
        </w:rPr>
        <w:t>企业发展管理办法》</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spacing w:val="5"/>
          <w:sz w:val="24"/>
          <w:szCs w:val="24"/>
          <w:highlight w:val="none"/>
          <w:lang w:val="en-US" w:eastAsia="zh-CN" w:bidi="ar-SA"/>
        </w:rPr>
        <w:t>财库</w:t>
      </w:r>
      <w:r>
        <w:rPr>
          <w:rFonts w:hint="eastAsia" w:ascii="宋体" w:hAnsi="宋体" w:eastAsia="宋体" w:cs="宋体"/>
          <w:color w:val="auto"/>
          <w:sz w:val="24"/>
          <w:szCs w:val="24"/>
          <w:highlight w:val="none"/>
          <w:lang w:val="en-US" w:eastAsia="zh-CN" w:bidi="ar-SA"/>
        </w:rPr>
        <w:t>﹝2020﹞46</w:t>
      </w:r>
      <w:r>
        <w:rPr>
          <w:rFonts w:hint="eastAsia" w:ascii="宋体" w:hAnsi="宋体" w:eastAsia="宋体" w:cs="宋体"/>
          <w:color w:val="auto"/>
          <w:spacing w:val="-38"/>
          <w:sz w:val="24"/>
          <w:szCs w:val="24"/>
          <w:highlight w:val="none"/>
          <w:lang w:val="en-US" w:eastAsia="zh-CN" w:bidi="ar-SA"/>
        </w:rPr>
        <w:t xml:space="preserve"> 号</w:t>
      </w:r>
      <w:r>
        <w:rPr>
          <w:rFonts w:hint="eastAsia" w:ascii="宋体" w:hAnsi="宋体" w:eastAsia="宋体" w:cs="宋体"/>
          <w:color w:val="auto"/>
          <w:spacing w:val="5"/>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的规定，本公司</w:t>
      </w:r>
      <w:r>
        <w:rPr>
          <w:rFonts w:hint="eastAsia" w:ascii="宋体" w:hAnsi="宋体" w:eastAsia="宋体" w:cs="宋体"/>
          <w:color w:val="auto"/>
          <w:spacing w:val="-2"/>
          <w:sz w:val="24"/>
          <w:szCs w:val="24"/>
          <w:highlight w:val="none"/>
          <w:lang w:val="en-US" w:eastAsia="zh-CN" w:bidi="ar-SA"/>
        </w:rPr>
        <w:t>参加</w:t>
      </w:r>
      <w:r>
        <w:rPr>
          <w:rFonts w:hint="eastAsia" w:ascii="宋体" w:hAnsi="宋体" w:eastAsia="宋体" w:cs="宋体"/>
          <w:color w:val="auto"/>
          <w:spacing w:val="-2"/>
          <w:sz w:val="24"/>
          <w:szCs w:val="24"/>
          <w:highlight w:val="none"/>
          <w:u w:val="single"/>
          <w:lang w:val="en-US" w:eastAsia="zh-CN" w:bidi="ar-SA"/>
        </w:rPr>
        <w:t>（招标单位名称）</w:t>
      </w:r>
      <w:r>
        <w:rPr>
          <w:rFonts w:hint="eastAsia" w:ascii="宋体" w:hAnsi="宋体" w:eastAsia="宋体" w:cs="宋体"/>
          <w:color w:val="auto"/>
          <w:spacing w:val="-2"/>
          <w:sz w:val="24"/>
          <w:szCs w:val="24"/>
          <w:highlight w:val="none"/>
          <w:lang w:val="en-US" w:eastAsia="zh-CN" w:bidi="ar-SA"/>
        </w:rPr>
        <w:t>的</w:t>
      </w:r>
      <w:r>
        <w:rPr>
          <w:rFonts w:hint="eastAsia" w:ascii="宋体" w:hAnsi="宋体" w:eastAsia="宋体" w:cs="宋体"/>
          <w:color w:val="auto"/>
          <w:spacing w:val="-2"/>
          <w:sz w:val="24"/>
          <w:szCs w:val="24"/>
          <w:highlight w:val="none"/>
          <w:u w:val="single"/>
          <w:lang w:val="en-US" w:eastAsia="zh-CN" w:bidi="ar-SA"/>
        </w:rPr>
        <w:t>（项目名称）</w:t>
      </w:r>
      <w:r>
        <w:rPr>
          <w:rFonts w:hint="eastAsia" w:ascii="宋体" w:hAnsi="宋体" w:eastAsia="宋体" w:cs="宋体"/>
          <w:color w:val="auto"/>
          <w:spacing w:val="-2"/>
          <w:sz w:val="24"/>
          <w:szCs w:val="24"/>
          <w:highlight w:val="none"/>
          <w:lang w:val="en-US" w:eastAsia="zh-CN" w:bidi="ar-SA"/>
        </w:rPr>
        <w:t>采购活动，工程的施工单位全部为符合政策要求的中小企业（或者：服务全部由符合政策要求的中小企业承接）。相关企业的具体情况如下：</w:t>
      </w:r>
    </w:p>
    <w:p>
      <w:pPr>
        <w:widowControl w:val="0"/>
        <w:autoSpaceDE/>
        <w:autoSpaceDN/>
        <w:spacing w:line="360" w:lineRule="auto"/>
        <w:ind w:right="295" w:firstLine="641"/>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u w:val="single"/>
          <w:lang w:val="en-US" w:eastAsia="zh-CN" w:bidi="ar-SA"/>
        </w:rPr>
        <w:t>（项目名称）</w:t>
      </w:r>
      <w:r>
        <w:rPr>
          <w:rFonts w:hint="eastAsia" w:ascii="宋体" w:hAnsi="宋体" w:eastAsia="宋体" w:cs="宋体"/>
          <w:color w:val="auto"/>
          <w:spacing w:val="-2"/>
          <w:sz w:val="24"/>
          <w:szCs w:val="24"/>
          <w:highlight w:val="none"/>
          <w:lang w:val="en-US" w:eastAsia="zh-CN" w:bidi="ar-SA"/>
        </w:rPr>
        <w:t>，属于</w:t>
      </w:r>
      <w:r>
        <w:rPr>
          <w:rFonts w:hint="eastAsia" w:ascii="宋体" w:hAnsi="宋体" w:eastAsia="宋体" w:cs="宋体"/>
          <w:color w:val="auto"/>
          <w:spacing w:val="-2"/>
          <w:sz w:val="24"/>
          <w:szCs w:val="24"/>
          <w:highlight w:val="none"/>
          <w:u w:val="single"/>
          <w:lang w:val="en-US" w:eastAsia="zh-CN" w:bidi="ar-SA"/>
        </w:rPr>
        <w:t>建筑业</w:t>
      </w:r>
      <w:r>
        <w:rPr>
          <w:rFonts w:hint="eastAsia" w:ascii="宋体" w:hAnsi="宋体" w:eastAsia="宋体" w:cs="宋体"/>
          <w:color w:val="auto"/>
          <w:spacing w:val="-2"/>
          <w:sz w:val="24"/>
          <w:szCs w:val="24"/>
          <w:highlight w:val="none"/>
          <w:lang w:val="en-US" w:eastAsia="zh-CN" w:bidi="ar-SA"/>
        </w:rPr>
        <w:t>；承建（承接）企业为</w:t>
      </w:r>
      <w:r>
        <w:rPr>
          <w:rFonts w:hint="eastAsia" w:ascii="宋体" w:hAnsi="宋体" w:eastAsia="宋体" w:cs="宋体"/>
          <w:color w:val="auto"/>
          <w:spacing w:val="-2"/>
          <w:sz w:val="24"/>
          <w:szCs w:val="24"/>
          <w:highlight w:val="none"/>
          <w:u w:val="single"/>
          <w:lang w:val="en-US" w:eastAsia="zh-CN" w:bidi="ar-SA"/>
        </w:rPr>
        <w:t xml:space="preserve"> （企业名称） </w:t>
      </w:r>
      <w:r>
        <w:rPr>
          <w:rFonts w:hint="eastAsia" w:ascii="宋体" w:hAnsi="宋体" w:eastAsia="宋体" w:cs="宋体"/>
          <w:color w:val="auto"/>
          <w:spacing w:val="-2"/>
          <w:sz w:val="24"/>
          <w:szCs w:val="24"/>
          <w:highlight w:val="none"/>
          <w:lang w:val="en-US" w:eastAsia="zh-CN" w:bidi="ar-SA"/>
        </w:rPr>
        <w:t>，从业人员</w:t>
      </w:r>
      <w:r>
        <w:rPr>
          <w:rFonts w:hint="eastAsia" w:ascii="宋体" w:hAnsi="宋体" w:eastAsia="宋体" w:cs="宋体"/>
          <w:color w:val="auto"/>
          <w:spacing w:val="-2"/>
          <w:sz w:val="24"/>
          <w:szCs w:val="24"/>
          <w:highlight w:val="none"/>
          <w:u w:val="single"/>
          <w:lang w:val="en-US" w:eastAsia="zh-CN" w:bidi="ar-SA"/>
        </w:rPr>
        <w:tab/>
      </w:r>
      <w:r>
        <w:rPr>
          <w:rFonts w:hint="eastAsia" w:ascii="宋体" w:hAnsi="宋体" w:eastAsia="宋体" w:cs="宋体"/>
          <w:color w:val="auto"/>
          <w:spacing w:val="-2"/>
          <w:sz w:val="24"/>
          <w:szCs w:val="24"/>
          <w:highlight w:val="none"/>
          <w:u w:val="single"/>
          <w:lang w:val="en-US" w:eastAsia="zh-CN" w:bidi="ar-SA"/>
        </w:rPr>
        <w:t xml:space="preserve">  </w:t>
      </w:r>
      <w:r>
        <w:rPr>
          <w:rFonts w:hint="eastAsia" w:ascii="宋体" w:hAnsi="宋体" w:eastAsia="宋体" w:cs="宋体"/>
          <w:color w:val="auto"/>
          <w:spacing w:val="-2"/>
          <w:sz w:val="24"/>
          <w:szCs w:val="24"/>
          <w:highlight w:val="none"/>
          <w:lang w:val="en-US" w:eastAsia="zh-CN" w:bidi="ar-SA"/>
        </w:rPr>
        <w:t>人，营业收入为</w:t>
      </w:r>
      <w:r>
        <w:rPr>
          <w:rFonts w:hint="eastAsia" w:ascii="宋体" w:hAnsi="宋体" w:eastAsia="宋体" w:cs="宋体"/>
          <w:color w:val="auto"/>
          <w:spacing w:val="-2"/>
          <w:sz w:val="24"/>
          <w:szCs w:val="24"/>
          <w:highlight w:val="none"/>
          <w:u w:val="single"/>
          <w:lang w:val="en-US" w:eastAsia="zh-CN" w:bidi="ar-SA"/>
        </w:rPr>
        <w:tab/>
      </w:r>
      <w:r>
        <w:rPr>
          <w:rFonts w:hint="eastAsia" w:ascii="宋体" w:hAnsi="宋体" w:eastAsia="宋体" w:cs="宋体"/>
          <w:color w:val="auto"/>
          <w:spacing w:val="-2"/>
          <w:sz w:val="24"/>
          <w:szCs w:val="24"/>
          <w:highlight w:val="none"/>
          <w:u w:val="single"/>
          <w:lang w:val="en-US" w:eastAsia="zh-CN" w:bidi="ar-SA"/>
        </w:rPr>
        <w:t xml:space="preserve"> </w:t>
      </w:r>
      <w:r>
        <w:rPr>
          <w:rFonts w:hint="eastAsia" w:ascii="宋体" w:hAnsi="宋体" w:eastAsia="宋体" w:cs="宋体"/>
          <w:color w:val="auto"/>
          <w:spacing w:val="-2"/>
          <w:sz w:val="24"/>
          <w:szCs w:val="24"/>
          <w:highlight w:val="none"/>
          <w:lang w:val="en-US" w:eastAsia="zh-CN" w:bidi="ar-SA"/>
        </w:rPr>
        <w:t>万元，资产总额为</w:t>
      </w:r>
      <w:r>
        <w:rPr>
          <w:rFonts w:hint="eastAsia" w:ascii="宋体" w:hAnsi="宋体" w:eastAsia="宋体" w:cs="宋体"/>
          <w:color w:val="auto"/>
          <w:spacing w:val="-2"/>
          <w:sz w:val="24"/>
          <w:szCs w:val="24"/>
          <w:highlight w:val="none"/>
          <w:u w:val="single"/>
          <w:lang w:val="en-US" w:eastAsia="zh-CN" w:bidi="ar-SA"/>
        </w:rPr>
        <w:t xml:space="preserve">    </w:t>
      </w:r>
      <w:r>
        <w:rPr>
          <w:rFonts w:hint="eastAsia" w:ascii="宋体" w:hAnsi="宋体" w:eastAsia="宋体" w:cs="宋体"/>
          <w:color w:val="auto"/>
          <w:spacing w:val="-2"/>
          <w:sz w:val="24"/>
          <w:szCs w:val="24"/>
          <w:highlight w:val="none"/>
          <w:lang w:val="en-US" w:eastAsia="zh-CN" w:bidi="ar-SA"/>
        </w:rPr>
        <w:t>万元，属于</w:t>
      </w:r>
      <w:r>
        <w:rPr>
          <w:rFonts w:hint="eastAsia" w:ascii="宋体" w:hAnsi="宋体" w:eastAsia="宋体" w:cs="宋体"/>
          <w:color w:val="auto"/>
          <w:spacing w:val="-2"/>
          <w:sz w:val="24"/>
          <w:szCs w:val="24"/>
          <w:highlight w:val="none"/>
          <w:u w:val="single"/>
          <w:lang w:val="en-US" w:eastAsia="zh-CN" w:bidi="ar-SA"/>
        </w:rPr>
        <w:t>（中型企业/ 小型企业/微型企业）</w:t>
      </w:r>
      <w:r>
        <w:rPr>
          <w:rFonts w:hint="eastAsia" w:ascii="宋体" w:hAnsi="宋体" w:eastAsia="宋体" w:cs="宋体"/>
          <w:color w:val="auto"/>
          <w:spacing w:val="-2"/>
          <w:sz w:val="24"/>
          <w:szCs w:val="24"/>
          <w:highlight w:val="none"/>
          <w:lang w:val="en-US" w:eastAsia="zh-CN" w:bidi="ar-SA"/>
        </w:rPr>
        <w:t>；</w:t>
      </w:r>
    </w:p>
    <w:p>
      <w:pPr>
        <w:widowControl w:val="0"/>
        <w:autoSpaceDE/>
        <w:autoSpaceDN/>
        <w:spacing w:line="360" w:lineRule="auto"/>
        <w:ind w:right="295" w:firstLine="641"/>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bidi="ar-SA"/>
        </w:rPr>
        <w:t>以上企业，不属于大企业的分支机构，不存在控股股东为大企业的情形，也不存在与大企业的负责人为同一人的情 形。</w:t>
      </w:r>
    </w:p>
    <w:p>
      <w:pPr>
        <w:widowControl w:val="0"/>
        <w:autoSpaceDE/>
        <w:autoSpaceDN/>
        <w:spacing w:line="360" w:lineRule="auto"/>
        <w:ind w:right="295" w:firstLine="641"/>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bidi="ar-SA"/>
        </w:rPr>
        <w:t>本企业对上述声明内容的真实性负责。如有虚假，将依 法承担相应责任。</w:t>
      </w:r>
    </w:p>
    <w:p>
      <w:pPr>
        <w:widowControl w:val="0"/>
        <w:autoSpaceDE w:val="0"/>
        <w:autoSpaceDN w:val="0"/>
        <w:spacing w:line="297" w:lineRule="auto"/>
        <w:ind w:right="295" w:firstLine="640"/>
        <w:rPr>
          <w:rFonts w:hint="eastAsia" w:ascii="宋体" w:hAnsi="宋体" w:eastAsia="宋体" w:cs="宋体"/>
          <w:color w:val="auto"/>
          <w:spacing w:val="-2"/>
          <w:sz w:val="24"/>
          <w:szCs w:val="24"/>
          <w:highlight w:val="none"/>
          <w:lang w:val="en-US" w:eastAsia="zh-CN" w:bidi="ar-SA"/>
        </w:rPr>
      </w:pPr>
    </w:p>
    <w:p>
      <w:pPr>
        <w:widowControl w:val="0"/>
        <w:autoSpaceDE w:val="0"/>
        <w:autoSpaceDN w:val="0"/>
        <w:spacing w:line="297" w:lineRule="auto"/>
        <w:ind w:right="295" w:firstLine="4956" w:firstLineChars="2100"/>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bidi="ar-SA"/>
        </w:rPr>
        <w:t>企业名称（盖章）：</w:t>
      </w:r>
    </w:p>
    <w:p>
      <w:pPr>
        <w:widowControl w:val="0"/>
        <w:autoSpaceDE w:val="0"/>
        <w:autoSpaceDN w:val="0"/>
        <w:spacing w:line="297" w:lineRule="auto"/>
        <w:ind w:right="295" w:firstLine="6353" w:firstLineChars="2302"/>
        <w:rPr>
          <w:rFonts w:hint="eastAsia" w:ascii="宋体" w:hAnsi="宋体" w:eastAsia="宋体" w:cs="宋体"/>
          <w:color w:val="auto"/>
          <w:spacing w:val="-2"/>
          <w:sz w:val="28"/>
          <w:szCs w:val="28"/>
          <w:highlight w:val="none"/>
          <w:lang w:val="en-US" w:eastAsia="zh-CN" w:bidi="ar-SA"/>
        </w:rPr>
      </w:pPr>
    </w:p>
    <w:p>
      <w:pPr>
        <w:widowControl w:val="0"/>
        <w:autoSpaceDE w:val="0"/>
        <w:autoSpaceDN w:val="0"/>
        <w:spacing w:line="297" w:lineRule="auto"/>
        <w:ind w:right="295" w:firstLine="5432" w:firstLineChars="2302"/>
        <w:rPr>
          <w:rFonts w:hint="eastAsia" w:ascii="宋体" w:hAnsi="宋体" w:eastAsia="宋体" w:cs="宋体"/>
          <w:color w:val="auto"/>
          <w:spacing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bidi="ar-SA"/>
        </w:rPr>
        <w:t>日 期：</w:t>
      </w:r>
    </w:p>
    <w:p>
      <w:pPr>
        <w:widowControl w:val="0"/>
        <w:autoSpaceDE w:val="0"/>
        <w:autoSpaceDN w:val="0"/>
        <w:spacing w:before="15"/>
        <w:ind w:left="2716"/>
        <w:outlineLvl w:val="3"/>
        <w:rPr>
          <w:rFonts w:hint="eastAsia" w:ascii="宋体" w:hAnsi="宋体" w:eastAsia="宋体" w:cs="宋体"/>
          <w:b/>
          <w:bCs/>
          <w:color w:val="auto"/>
          <w:w w:val="95"/>
          <w:sz w:val="28"/>
          <w:szCs w:val="28"/>
          <w:highlight w:val="none"/>
          <w:lang w:val="en-US" w:eastAsia="zh-CN" w:bidi="ar-SA"/>
        </w:rPr>
      </w:pP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before="1"/>
        <w:jc w:val="center"/>
        <w:outlineLvl w:val="1"/>
        <w:rPr>
          <w:rFonts w:hint="eastAsia" w:ascii="宋体" w:hAnsi="宋体" w:eastAsia="宋体" w:cs="宋体"/>
          <w:b/>
          <w:bCs/>
          <w:color w:val="auto"/>
          <w:w w:val="95"/>
          <w:sz w:val="32"/>
          <w:szCs w:val="32"/>
          <w:highlight w:val="none"/>
          <w:lang w:val="en-US" w:eastAsia="zh-CN" w:bidi="ar-SA"/>
        </w:rPr>
      </w:pPr>
    </w:p>
    <w:p>
      <w:pPr>
        <w:autoSpaceDE w:val="0"/>
        <w:autoSpaceDN w:val="0"/>
        <w:spacing w:line="360" w:lineRule="auto"/>
        <w:ind w:left="20"/>
        <w:jc w:val="left"/>
        <w:rPr>
          <w:rFonts w:hint="eastAsia" w:ascii="宋体" w:hAnsi="宋体" w:eastAsia="宋体" w:cs="宋体"/>
          <w:b/>
          <w:bCs/>
          <w:color w:val="auto"/>
          <w:kern w:val="0"/>
          <w:sz w:val="22"/>
          <w:szCs w:val="21"/>
          <w:highlight w:val="none"/>
          <w:lang w:eastAsia="en-US"/>
        </w:rPr>
      </w:pPr>
      <w:r>
        <w:rPr>
          <w:rFonts w:hint="eastAsia" w:ascii="宋体" w:hAnsi="宋体" w:eastAsia="宋体" w:cs="宋体"/>
          <w:color w:val="auto"/>
          <w:kern w:val="0"/>
          <w:sz w:val="21"/>
          <w:szCs w:val="21"/>
          <w:highlight w:val="none"/>
          <w:lang w:eastAsia="en-US"/>
        </w:rPr>
        <w:t>注：从业人员、营业收入、资产总额填报上一年度数据，无上一年度数据的新成立企业可不填报。</w:t>
      </w: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before="1"/>
        <w:jc w:val="center"/>
        <w:outlineLvl w:val="1"/>
        <w:rPr>
          <w:rFonts w:hint="eastAsia" w:ascii="宋体" w:hAnsi="宋体" w:eastAsia="宋体" w:cs="宋体"/>
          <w:b/>
          <w:bCs/>
          <w:color w:val="auto"/>
          <w:w w:val="95"/>
          <w:sz w:val="32"/>
          <w:szCs w:val="32"/>
          <w:highlight w:val="none"/>
          <w:lang w:val="en-US" w:eastAsia="zh-CN" w:bidi="ar-SA"/>
        </w:rPr>
      </w:pP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before="1"/>
        <w:jc w:val="center"/>
        <w:outlineLvl w:val="1"/>
        <w:rPr>
          <w:rFonts w:hint="eastAsia" w:ascii="宋体" w:hAnsi="宋体" w:eastAsia="宋体" w:cs="宋体"/>
          <w:b/>
          <w:bCs/>
          <w:color w:val="auto"/>
          <w:w w:val="95"/>
          <w:sz w:val="32"/>
          <w:szCs w:val="32"/>
          <w:highlight w:val="none"/>
          <w:lang w:val="en-US" w:eastAsia="zh-CN" w:bidi="ar-SA"/>
        </w:rPr>
      </w:pP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before="1"/>
        <w:jc w:val="center"/>
        <w:outlineLvl w:val="1"/>
        <w:rPr>
          <w:rFonts w:hint="eastAsia" w:ascii="宋体" w:hAnsi="宋体" w:eastAsia="宋体" w:cs="宋体"/>
          <w:b/>
          <w:bCs/>
          <w:color w:val="auto"/>
          <w:w w:val="95"/>
          <w:sz w:val="32"/>
          <w:szCs w:val="32"/>
          <w:highlight w:val="none"/>
          <w:lang w:val="en-US" w:eastAsia="zh-CN" w:bidi="ar-SA"/>
        </w:rPr>
      </w:pP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before="1"/>
        <w:jc w:val="center"/>
        <w:outlineLvl w:val="1"/>
        <w:rPr>
          <w:rFonts w:hint="eastAsia" w:ascii="宋体" w:hAnsi="宋体" w:eastAsia="宋体" w:cs="宋体"/>
          <w:b/>
          <w:bCs/>
          <w:color w:val="auto"/>
          <w:w w:val="95"/>
          <w:sz w:val="32"/>
          <w:szCs w:val="32"/>
          <w:highlight w:val="none"/>
          <w:lang w:val="en-US" w:eastAsia="zh-CN" w:bidi="ar-SA"/>
        </w:rPr>
      </w:pPr>
    </w:p>
    <w:p>
      <w:pPr>
        <w:autoSpaceDE w:val="0"/>
        <w:autoSpaceDN w:val="0"/>
        <w:jc w:val="left"/>
        <w:rPr>
          <w:rFonts w:hint="eastAsia" w:ascii="宋体" w:hAnsi="宋体" w:eastAsia="宋体" w:cs="宋体"/>
          <w:color w:val="auto"/>
          <w:w w:val="95"/>
          <w:kern w:val="0"/>
          <w:sz w:val="22"/>
          <w:szCs w:val="22"/>
          <w:highlight w:val="none"/>
          <w:lang w:eastAsia="zh-CN"/>
        </w:rPr>
      </w:pPr>
    </w:p>
    <w:p>
      <w:pPr>
        <w:widowControl w:val="0"/>
        <w:autoSpaceDE w:val="0"/>
        <w:autoSpaceDN w:val="0"/>
        <w:spacing w:line="600" w:lineRule="exact"/>
        <w:ind w:firstLine="420" w:firstLineChars="200"/>
        <w:rPr>
          <w:rFonts w:hint="eastAsia" w:ascii="宋体" w:hAnsi="宋体" w:eastAsia="宋体" w:cs="宋体"/>
          <w:sz w:val="21"/>
          <w:szCs w:val="21"/>
          <w:highlight w:val="none"/>
          <w:lang w:val="en-US" w:eastAsia="zh-CN" w:bidi="ar-SA"/>
        </w:rPr>
      </w:pPr>
    </w:p>
    <w:p>
      <w:pPr>
        <w:rPr>
          <w:rFonts w:hint="eastAsia" w:ascii="宋体" w:hAnsi="宋体" w:eastAsia="宋体" w:cs="宋体"/>
          <w:b/>
          <w:bCs/>
          <w:color w:val="auto"/>
          <w:w w:val="95"/>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br w:type="page"/>
      </w:r>
    </w:p>
    <w:p>
      <w:pPr>
        <w:widowControl w:val="0"/>
        <w:autoSpaceDE w:val="0"/>
        <w:autoSpaceDN w:val="0"/>
        <w:spacing w:before="15"/>
        <w:ind w:left="2716"/>
        <w:outlineLvl w:val="3"/>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t>3、建设工程项目管理承诺书</w:t>
      </w:r>
    </w:p>
    <w:p>
      <w:pPr>
        <w:widowControl/>
        <w:kinsoku w:val="0"/>
        <w:autoSpaceDE w:val="0"/>
        <w:autoSpaceDN w:val="0"/>
        <w:adjustRightInd w:val="0"/>
        <w:snapToGrid w:val="0"/>
        <w:spacing w:line="269" w:lineRule="auto"/>
        <w:jc w:val="left"/>
        <w:textAlignment w:val="baseline"/>
        <w:rPr>
          <w:rFonts w:hint="eastAsia" w:ascii="宋体" w:hAnsi="宋体" w:eastAsia="宋体" w:cs="宋体"/>
          <w:snapToGrid w:val="0"/>
          <w:kern w:val="0"/>
          <w:sz w:val="21"/>
          <w:szCs w:val="21"/>
          <w:highlight w:val="none"/>
        </w:rPr>
      </w:pPr>
      <w:bookmarkStart w:id="765" w:name="_Toc19081_WPSOffice_Level3"/>
      <w:bookmarkStart w:id="766" w:name="_Toc16603_WPSOffice_Level2"/>
    </w:p>
    <w:p>
      <w:pPr>
        <w:widowControl/>
        <w:kinsoku w:val="0"/>
        <w:autoSpaceDE w:val="0"/>
        <w:autoSpaceDN w:val="0"/>
        <w:adjustRightInd w:val="0"/>
        <w:snapToGrid w:val="0"/>
        <w:spacing w:line="270" w:lineRule="auto"/>
        <w:jc w:val="left"/>
        <w:textAlignment w:val="baseline"/>
        <w:rPr>
          <w:rFonts w:hint="eastAsia" w:ascii="宋体" w:hAnsi="宋体" w:eastAsia="宋体" w:cs="宋体"/>
          <w:snapToGrid w:val="0"/>
          <w:kern w:val="0"/>
          <w:sz w:val="21"/>
          <w:szCs w:val="21"/>
          <w:highlight w:val="none"/>
        </w:rPr>
      </w:pPr>
    </w:p>
    <w:p>
      <w:pPr>
        <w:spacing w:line="480" w:lineRule="auto"/>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（招标人名称）：</w:t>
      </w:r>
    </w:p>
    <w:p>
      <w:pPr>
        <w:spacing w:line="520" w:lineRule="exact"/>
        <w:ind w:left="-10" w:firstLine="455" w:firstLineChars="217"/>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作为参与</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（工程名称）项目的投标方，根据国家、自治区相关文件规定，我方在此向招标人承诺：</w:t>
      </w:r>
    </w:p>
    <w:p>
      <w:pPr>
        <w:spacing w:line="520" w:lineRule="exact"/>
        <w:ind w:left="-10" w:firstLine="455" w:firstLineChars="217"/>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一旦中标，我方保证按照政府相关部门的规定，在发出中标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spacing w:line="520" w:lineRule="exact"/>
        <w:ind w:left="-10" w:firstLine="455" w:firstLineChars="217"/>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3" w:leftChars="-1" w:firstLine="449" w:firstLineChars="214"/>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一旦中标，我方保证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一旦中标，我方保证严格执行《危险性较大的分部分项工程安全管理规定》（建质〔2018〕31号）的规定，强化对深基坑、高切坡、高大模板、人工挖孔桩、起重吊装、临时活动板房等重大危险源的专项施工方案的编制、论证、审批、实施、检测的风险管理。</w:t>
      </w:r>
    </w:p>
    <w:p>
      <w:pPr>
        <w:widowControl/>
        <w:kinsoku w:val="0"/>
        <w:autoSpaceDE w:val="0"/>
        <w:autoSpaceDN w:val="0"/>
        <w:adjustRightInd w:val="0"/>
        <w:snapToGrid w:val="0"/>
        <w:spacing w:line="356" w:lineRule="auto"/>
        <w:jc w:val="left"/>
        <w:textAlignment w:val="baseline"/>
        <w:rPr>
          <w:rFonts w:hint="eastAsia" w:ascii="宋体" w:hAnsi="宋体" w:eastAsia="宋体" w:cs="宋体"/>
          <w:snapToGrid w:val="0"/>
          <w:kern w:val="0"/>
          <w:sz w:val="21"/>
          <w:szCs w:val="21"/>
          <w:highlight w:val="none"/>
        </w:rPr>
      </w:pPr>
    </w:p>
    <w:p>
      <w:pPr>
        <w:tabs>
          <w:tab w:val="center" w:pos="5452"/>
        </w:tabs>
        <w:spacing w:line="400" w:lineRule="exact"/>
        <w:ind w:firstLine="330" w:firstLineChars="150"/>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投标人：</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rPr>
        <w:t>[盖单位公章（CA签章）]</w:t>
      </w:r>
    </w:p>
    <w:p>
      <w:pPr>
        <w:tabs>
          <w:tab w:val="center" w:pos="5452"/>
        </w:tabs>
        <w:spacing w:line="400" w:lineRule="exact"/>
        <w:ind w:firstLine="330" w:firstLineChars="150"/>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法定代表人或授权代理人：</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rPr>
        <w:t>[签字或盖章（CA签章）]</w:t>
      </w:r>
    </w:p>
    <w:p>
      <w:pPr>
        <w:tabs>
          <w:tab w:val="center" w:pos="5452"/>
        </w:tabs>
        <w:spacing w:line="400" w:lineRule="exact"/>
        <w:ind w:firstLine="330" w:firstLineChars="150"/>
        <w:jc w:val="right"/>
        <w:rPr>
          <w:rFonts w:hint="eastAsia" w:ascii="宋体" w:hAnsi="宋体" w:eastAsia="宋体" w:cs="宋体"/>
          <w:snapToGrid w:val="0"/>
          <w:kern w:val="0"/>
          <w:sz w:val="21"/>
          <w:szCs w:val="21"/>
          <w:highlight w:val="none"/>
        </w:rPr>
      </w:pPr>
      <w:r>
        <w:rPr>
          <w:rFonts w:hint="eastAsia" w:ascii="宋体" w:hAnsi="宋体" w:eastAsia="宋体" w:cs="宋体"/>
          <w:sz w:val="22"/>
          <w:szCs w:val="22"/>
          <w:highlight w:val="none"/>
        </w:rPr>
        <w:t xml:space="preserve">                          日期：     年     月     日</w:t>
      </w:r>
    </w:p>
    <w:p>
      <w:pPr>
        <w:rPr>
          <w:rFonts w:hint="eastAsia" w:ascii="宋体" w:hAnsi="宋体" w:eastAsia="宋体" w:cs="宋体"/>
          <w:b/>
          <w:bCs/>
          <w:color w:val="auto"/>
          <w:w w:val="95"/>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br w:type="page"/>
      </w:r>
    </w:p>
    <w:p>
      <w:pPr>
        <w:widowControl w:val="0"/>
        <w:autoSpaceDE w:val="0"/>
        <w:autoSpaceDN w:val="0"/>
        <w:spacing w:before="15"/>
        <w:ind w:left="1318"/>
        <w:outlineLvl w:val="3"/>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t>广西壮族自治区建筑工程安全文明施工措施项目清单内容</w:t>
      </w:r>
      <w:bookmarkEnd w:id="765"/>
      <w:bookmarkEnd w:id="766"/>
    </w:p>
    <w:p>
      <w:pPr>
        <w:autoSpaceDE w:val="0"/>
        <w:autoSpaceDN w:val="0"/>
        <w:spacing w:before="187" w:line="324" w:lineRule="auto"/>
        <w:ind w:left="3990" w:right="2715" w:hanging="692"/>
        <w:jc w:val="left"/>
        <w:rPr>
          <w:rFonts w:hint="eastAsia" w:ascii="宋体" w:hAnsi="宋体" w:eastAsia="宋体" w:cs="宋体"/>
          <w:b/>
          <w:color w:val="auto"/>
          <w:kern w:val="0"/>
          <w:sz w:val="24"/>
          <w:szCs w:val="22"/>
          <w:highlight w:val="none"/>
          <w:lang w:eastAsia="zh-CN"/>
        </w:rPr>
      </w:pPr>
      <w:bookmarkStart w:id="767" w:name="_Toc31979_WPSOffice_Level2"/>
      <w:bookmarkStart w:id="768" w:name="_Toc23393_WPSOffice_Level3"/>
      <w:r>
        <w:rPr>
          <w:rFonts w:hint="eastAsia" w:ascii="宋体" w:hAnsi="宋体" w:eastAsia="宋体" w:cs="宋体"/>
          <w:color w:val="auto"/>
          <w:kern w:val="0"/>
          <w:sz w:val="24"/>
          <w:szCs w:val="22"/>
          <w:highlight w:val="none"/>
          <w:lang w:eastAsia="zh-CN"/>
        </w:rPr>
        <w:t xml:space="preserve">（桂建质〔2015〕16 号文附件一） </w:t>
      </w:r>
      <w:r>
        <w:rPr>
          <w:rFonts w:hint="eastAsia" w:ascii="宋体" w:hAnsi="宋体" w:eastAsia="宋体" w:cs="宋体"/>
          <w:b/>
          <w:color w:val="auto"/>
          <w:w w:val="95"/>
          <w:kern w:val="0"/>
          <w:sz w:val="24"/>
          <w:szCs w:val="22"/>
          <w:highlight w:val="none"/>
          <w:lang w:eastAsia="zh-CN"/>
        </w:rPr>
        <w:t>广西壮族自治区</w:t>
      </w:r>
      <w:bookmarkEnd w:id="767"/>
      <w:bookmarkEnd w:id="768"/>
    </w:p>
    <w:p>
      <w:pPr>
        <w:widowControl w:val="0"/>
        <w:autoSpaceDE w:val="0"/>
        <w:autoSpaceDN w:val="0"/>
        <w:spacing w:before="0" w:after="36" w:line="228" w:lineRule="exact"/>
        <w:ind w:left="3141"/>
        <w:outlineLvl w:val="4"/>
        <w:rPr>
          <w:rFonts w:hint="eastAsia" w:ascii="宋体" w:hAnsi="宋体" w:eastAsia="宋体" w:cs="宋体"/>
          <w:b/>
          <w:bCs/>
          <w:color w:val="auto"/>
          <w:sz w:val="24"/>
          <w:szCs w:val="24"/>
          <w:highlight w:val="none"/>
          <w:lang w:val="en-US" w:eastAsia="zh-CN" w:bidi="ar-SA"/>
        </w:rPr>
      </w:pPr>
      <w:bookmarkStart w:id="769" w:name="_Toc17330_WPSOffice_Level3"/>
      <w:bookmarkStart w:id="770" w:name="_Toc26189_WPSOffice_Level2"/>
      <w:r>
        <w:rPr>
          <w:rFonts w:hint="eastAsia" w:ascii="宋体" w:hAnsi="宋体" w:eastAsia="宋体" w:cs="宋体"/>
          <w:b/>
          <w:bCs/>
          <w:color w:val="auto"/>
          <w:w w:val="85"/>
          <w:sz w:val="24"/>
          <w:szCs w:val="24"/>
          <w:highlight w:val="none"/>
          <w:lang w:val="en-US" w:eastAsia="zh-CN" w:bidi="ar-SA"/>
        </w:rPr>
        <w:t>建设工程安全文明施工措施项目清单内容</w:t>
      </w:r>
      <w:bookmarkEnd w:id="769"/>
      <w:bookmarkEnd w:id="770"/>
    </w:p>
    <w:tbl>
      <w:tblPr>
        <w:tblStyle w:val="4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widowControl w:val="0"/>
              <w:autoSpaceDE w:val="0"/>
              <w:autoSpaceDN w:val="0"/>
              <w:spacing w:before="69"/>
              <w:ind w:left="155"/>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类别</w:t>
            </w:r>
          </w:p>
        </w:tc>
        <w:tc>
          <w:tcPr>
            <w:tcW w:w="1787" w:type="dxa"/>
            <w:gridSpan w:val="2"/>
          </w:tcPr>
          <w:p>
            <w:pPr>
              <w:widowControl w:val="0"/>
              <w:autoSpaceDE w:val="0"/>
              <w:autoSpaceDN w:val="0"/>
              <w:spacing w:before="69"/>
              <w:ind w:left="469"/>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项目名称</w:t>
            </w:r>
          </w:p>
        </w:tc>
        <w:tc>
          <w:tcPr>
            <w:tcW w:w="6931" w:type="dxa"/>
          </w:tcPr>
          <w:p>
            <w:pPr>
              <w:widowControl w:val="0"/>
              <w:tabs>
                <w:tab w:val="left" w:pos="428"/>
                <w:tab w:val="left" w:pos="848"/>
                <w:tab w:val="left" w:pos="1271"/>
              </w:tabs>
              <w:autoSpaceDE w:val="0"/>
              <w:autoSpaceDN w:val="0"/>
              <w:spacing w:before="69"/>
              <w:ind w:left="6"/>
              <w:jc w:val="center"/>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具</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体</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内</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133" w:line="261" w:lineRule="auto"/>
              <w:ind w:left="155" w:right="14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文明施工与 环境保护</w:t>
            </w:r>
          </w:p>
        </w:tc>
        <w:tc>
          <w:tcPr>
            <w:tcW w:w="1787" w:type="dxa"/>
            <w:gridSpan w:val="2"/>
          </w:tcPr>
          <w:p>
            <w:pPr>
              <w:widowControl w:val="0"/>
              <w:autoSpaceDE w:val="0"/>
              <w:autoSpaceDN w:val="0"/>
              <w:spacing w:line="269" w:lineRule="exact"/>
              <w:ind w:left="453" w:right="443"/>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安全警示</w:t>
            </w:r>
          </w:p>
          <w:p>
            <w:pPr>
              <w:widowControl w:val="0"/>
              <w:autoSpaceDE w:val="0"/>
              <w:autoSpaceDN w:val="0"/>
              <w:spacing w:before="25"/>
              <w:ind w:left="450" w:right="443"/>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标志牌</w:t>
            </w:r>
          </w:p>
        </w:tc>
        <w:tc>
          <w:tcPr>
            <w:tcW w:w="6931" w:type="dxa"/>
          </w:tcPr>
          <w:p>
            <w:pPr>
              <w:widowControl w:val="0"/>
              <w:autoSpaceDE w:val="0"/>
              <w:autoSpaceDN w:val="0"/>
              <w:spacing w:line="269"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在易发伤亡事故（或危险）处设置明显的、符合国家标准要求的安全警示</w:t>
            </w:r>
          </w:p>
          <w:p>
            <w:pPr>
              <w:widowControl w:val="0"/>
              <w:autoSpaceDE w:val="0"/>
              <w:autoSpaceDN w:val="0"/>
              <w:spacing w:before="25"/>
              <w:ind w:left="10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787" w:type="dxa"/>
            <w:gridSpan w:val="2"/>
          </w:tcPr>
          <w:p>
            <w:pPr>
              <w:widowControl w:val="0"/>
              <w:autoSpaceDE w:val="0"/>
              <w:autoSpaceDN w:val="0"/>
              <w:spacing w:before="144"/>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现场围挡</w:t>
            </w:r>
          </w:p>
        </w:tc>
        <w:tc>
          <w:tcPr>
            <w:tcW w:w="6931" w:type="dxa"/>
          </w:tcPr>
          <w:p>
            <w:pPr>
              <w:widowControl w:val="0"/>
              <w:autoSpaceDE w:val="0"/>
              <w:autoSpaceDN w:val="0"/>
              <w:spacing w:line="296"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1.现场采用封闭围挡，高度不小于 1.8m；</w:t>
            </w:r>
          </w:p>
          <w:p>
            <w:pPr>
              <w:widowControl w:val="0"/>
              <w:autoSpaceDE w:val="0"/>
              <w:autoSpaceDN w:val="0"/>
              <w:spacing w:line="285"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232"/>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七牌二图</w:t>
            </w:r>
          </w:p>
        </w:tc>
        <w:tc>
          <w:tcPr>
            <w:tcW w:w="6931" w:type="dxa"/>
          </w:tcPr>
          <w:p>
            <w:pPr>
              <w:widowControl w:val="0"/>
              <w:autoSpaceDE w:val="0"/>
              <w:autoSpaceDN w:val="0"/>
              <w:spacing w:line="300" w:lineRule="exact"/>
              <w:ind w:left="106" w:right="86"/>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在进门处悬挂工程概况、现场出入制度、管理人员名单及监督电话、安全生产规定、文明施工、消防保卫、节能公示等七牌；施工现场总平面图、工程效果图。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100"/>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企业标志</w:t>
            </w:r>
          </w:p>
        </w:tc>
        <w:tc>
          <w:tcPr>
            <w:tcW w:w="6931" w:type="dxa"/>
          </w:tcPr>
          <w:p>
            <w:pPr>
              <w:widowControl w:val="0"/>
              <w:autoSpaceDE w:val="0"/>
              <w:autoSpaceDN w:val="0"/>
              <w:spacing w:before="100"/>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11"/>
              <w:rPr>
                <w:rFonts w:hint="eastAsia" w:ascii="宋体" w:hAnsi="宋体" w:eastAsia="宋体" w:cs="宋体"/>
                <w:b/>
                <w:color w:val="auto"/>
                <w:kern w:val="2"/>
                <w:sz w:val="13"/>
                <w:szCs w:val="22"/>
                <w:highlight w:val="none"/>
                <w:lang w:val="en-US" w:eastAsia="zh-CN" w:bidi="ar-SA"/>
              </w:rPr>
            </w:pPr>
          </w:p>
          <w:p>
            <w:pPr>
              <w:widowControl w:val="0"/>
              <w:autoSpaceDE w:val="0"/>
              <w:autoSpaceDN w:val="0"/>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场容场貌</w:t>
            </w:r>
          </w:p>
        </w:tc>
        <w:tc>
          <w:tcPr>
            <w:tcW w:w="6931" w:type="dxa"/>
          </w:tcPr>
          <w:p>
            <w:pPr>
              <w:widowControl w:val="0"/>
              <w:autoSpaceDE w:val="0"/>
              <w:autoSpaceDN w:val="0"/>
              <w:spacing w:line="295"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1.道路畅通；</w:t>
            </w:r>
          </w:p>
          <w:p>
            <w:pPr>
              <w:widowControl w:val="0"/>
              <w:autoSpaceDE w:val="0"/>
              <w:autoSpaceDN w:val="0"/>
              <w:spacing w:line="300"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2.排水沟、排水设施畅通；</w:t>
            </w:r>
          </w:p>
          <w:p>
            <w:pPr>
              <w:widowControl w:val="0"/>
              <w:autoSpaceDE w:val="0"/>
              <w:autoSpaceDN w:val="0"/>
              <w:ind w:left="106" w:right="97"/>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3.工地地面硬化处理（办公区，生活区，现场道路，材料堆放、混凝土搅</w:t>
            </w:r>
            <w:r>
              <w:rPr>
                <w:rFonts w:hint="eastAsia" w:ascii="宋体" w:hAnsi="宋体" w:eastAsia="宋体" w:cs="宋体"/>
                <w:color w:val="auto"/>
                <w:spacing w:val="-3"/>
                <w:kern w:val="2"/>
                <w:sz w:val="21"/>
                <w:szCs w:val="22"/>
                <w:highlight w:val="none"/>
                <w:lang w:val="en-US" w:eastAsia="zh-CN" w:bidi="ar-SA"/>
              </w:rPr>
              <w:t>拌、砂浆搅拌、钢筋加工等场地，外脚手架基础等</w:t>
            </w:r>
            <w:r>
              <w:rPr>
                <w:rFonts w:hint="eastAsia" w:ascii="宋体" w:hAnsi="宋体" w:eastAsia="宋体" w:cs="宋体"/>
                <w:color w:val="auto"/>
                <w:spacing w:val="-108"/>
                <w:kern w:val="2"/>
                <w:sz w:val="21"/>
                <w:szCs w:val="22"/>
                <w:highlight w:val="none"/>
                <w:lang w:val="en-US" w:eastAsia="zh-CN" w:bidi="ar-SA"/>
              </w:rPr>
              <w:t>）</w:t>
            </w:r>
            <w:r>
              <w:rPr>
                <w:rFonts w:hint="eastAsia" w:ascii="宋体" w:hAnsi="宋体" w:eastAsia="宋体" w:cs="宋体"/>
                <w:color w:val="auto"/>
                <w:kern w:val="2"/>
                <w:sz w:val="21"/>
                <w:szCs w:val="22"/>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7"/>
              <w:rPr>
                <w:rFonts w:hint="eastAsia" w:ascii="宋体" w:hAnsi="宋体" w:eastAsia="宋体" w:cs="宋体"/>
                <w:b/>
                <w:color w:val="auto"/>
                <w:kern w:val="2"/>
                <w:sz w:val="22"/>
                <w:szCs w:val="22"/>
                <w:highlight w:val="none"/>
                <w:lang w:val="en-US" w:eastAsia="zh-CN" w:bidi="ar-SA"/>
              </w:rPr>
            </w:pPr>
          </w:p>
          <w:p>
            <w:pPr>
              <w:widowControl w:val="0"/>
              <w:autoSpaceDE w:val="0"/>
              <w:autoSpaceDN w:val="0"/>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材料堆放</w:t>
            </w:r>
          </w:p>
        </w:tc>
        <w:tc>
          <w:tcPr>
            <w:tcW w:w="6931" w:type="dxa"/>
          </w:tcPr>
          <w:p>
            <w:pPr>
              <w:widowControl w:val="0"/>
              <w:autoSpaceDE w:val="0"/>
              <w:autoSpaceDN w:val="0"/>
              <w:spacing w:line="296"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1.材料、构件、料具等堆放时，应有名称、品种、规格等标牌；</w:t>
            </w:r>
          </w:p>
          <w:p>
            <w:pPr>
              <w:widowControl w:val="0"/>
              <w:autoSpaceDE w:val="0"/>
              <w:autoSpaceDN w:val="0"/>
              <w:spacing w:line="300"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2.水泥和其他易飞扬细颗粒建筑材料应封闭存放或采取覆盖等措施；</w:t>
            </w:r>
          </w:p>
          <w:p>
            <w:pPr>
              <w:widowControl w:val="0"/>
              <w:autoSpaceDE w:val="0"/>
              <w:autoSpaceDN w:val="0"/>
              <w:spacing w:line="284"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3.易燃、易爆和有毒有害物品分类存放。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95"/>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现场防火</w:t>
            </w:r>
          </w:p>
        </w:tc>
        <w:tc>
          <w:tcPr>
            <w:tcW w:w="6931" w:type="dxa"/>
          </w:tcPr>
          <w:p>
            <w:pPr>
              <w:widowControl w:val="0"/>
              <w:autoSpaceDE w:val="0"/>
              <w:autoSpaceDN w:val="0"/>
              <w:spacing w:before="95"/>
              <w:ind w:left="10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787" w:type="dxa"/>
            <w:gridSpan w:val="2"/>
          </w:tcPr>
          <w:p>
            <w:pPr>
              <w:widowControl w:val="0"/>
              <w:autoSpaceDE w:val="0"/>
              <w:autoSpaceDN w:val="0"/>
              <w:spacing w:before="143"/>
              <w:ind w:left="47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垃圾清运</w:t>
            </w:r>
          </w:p>
        </w:tc>
        <w:tc>
          <w:tcPr>
            <w:tcW w:w="6931" w:type="dxa"/>
          </w:tcPr>
          <w:p>
            <w:pPr>
              <w:widowControl w:val="0"/>
              <w:autoSpaceDE w:val="0"/>
              <w:autoSpaceDN w:val="0"/>
              <w:spacing w:line="295"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1.施工现场应设置密闭式垃圾站，施工垃圾、生活垃圾应分类存放。</w:t>
            </w:r>
          </w:p>
          <w:p>
            <w:pPr>
              <w:widowControl w:val="0"/>
              <w:autoSpaceDE w:val="0"/>
              <w:autoSpaceDN w:val="0"/>
              <w:spacing w:line="284"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line="300" w:lineRule="exact"/>
              <w:ind w:left="366" w:right="145" w:hanging="212"/>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宣传栏、环保及不扰民措施</w:t>
            </w:r>
          </w:p>
        </w:tc>
        <w:tc>
          <w:tcPr>
            <w:tcW w:w="6931" w:type="dxa"/>
          </w:tcPr>
          <w:p>
            <w:pPr>
              <w:widowControl w:val="0"/>
              <w:autoSpaceDE w:val="0"/>
              <w:autoSpaceDN w:val="0"/>
              <w:spacing w:line="300" w:lineRule="exact"/>
              <w:ind w:left="106" w:right="9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宣传栏、安全宣传标语等，洗车（防止污染市区道路</w:t>
            </w:r>
            <w:r>
              <w:rPr>
                <w:rFonts w:hint="eastAsia" w:ascii="宋体" w:hAnsi="宋体" w:eastAsia="宋体" w:cs="宋体"/>
                <w:color w:val="auto"/>
                <w:spacing w:val="-101"/>
                <w:kern w:val="2"/>
                <w:sz w:val="21"/>
                <w:szCs w:val="22"/>
                <w:highlight w:val="none"/>
                <w:lang w:val="en-US" w:eastAsia="zh-CN" w:bidi="ar-SA"/>
              </w:rPr>
              <w:t>）</w:t>
            </w:r>
            <w:r>
              <w:rPr>
                <w:rFonts w:hint="eastAsia" w:ascii="宋体" w:hAnsi="宋体" w:eastAsia="宋体" w:cs="宋体"/>
                <w:color w:val="auto"/>
                <w:kern w:val="2"/>
                <w:sz w:val="21"/>
                <w:szCs w:val="22"/>
                <w:highlight w:val="none"/>
                <w:lang w:val="en-US" w:eastAsia="zh-CN" w:bidi="ar-SA"/>
              </w:rPr>
              <w:t>、粉尘、噪声控制</w:t>
            </w:r>
            <w:r>
              <w:rPr>
                <w:rFonts w:hint="eastAsia" w:ascii="宋体" w:hAnsi="宋体" w:eastAsia="宋体" w:cs="宋体"/>
                <w:color w:val="auto"/>
                <w:spacing w:val="-1"/>
                <w:kern w:val="2"/>
                <w:sz w:val="21"/>
                <w:szCs w:val="22"/>
                <w:highlight w:val="none"/>
                <w:lang w:val="en-US" w:eastAsia="zh-CN" w:bidi="ar-SA"/>
              </w:rPr>
              <w:t>和排污</w:t>
            </w:r>
            <w:r>
              <w:rPr>
                <w:rFonts w:hint="eastAsia" w:ascii="宋体" w:hAnsi="宋体" w:eastAsia="宋体" w:cs="宋体"/>
                <w:color w:val="auto"/>
                <w:kern w:val="2"/>
                <w:sz w:val="21"/>
                <w:szCs w:val="22"/>
                <w:highlight w:val="none"/>
                <w:lang w:val="en-US" w:eastAsia="zh-CN" w:bidi="ar-SA"/>
              </w:rPr>
              <w:t>（</w:t>
            </w:r>
            <w:r>
              <w:rPr>
                <w:rFonts w:hint="eastAsia" w:ascii="宋体" w:hAnsi="宋体" w:eastAsia="宋体" w:cs="宋体"/>
                <w:color w:val="auto"/>
                <w:spacing w:val="-3"/>
                <w:kern w:val="2"/>
                <w:sz w:val="21"/>
                <w:szCs w:val="22"/>
                <w:highlight w:val="none"/>
                <w:lang w:val="en-US" w:eastAsia="zh-CN" w:bidi="ar-SA"/>
              </w:rPr>
              <w:t>污水、废气</w:t>
            </w:r>
            <w:r>
              <w:rPr>
                <w:rFonts w:hint="eastAsia" w:ascii="宋体" w:hAnsi="宋体" w:eastAsia="宋体" w:cs="宋体"/>
                <w:color w:val="auto"/>
                <w:kern w:val="2"/>
                <w:sz w:val="21"/>
                <w:szCs w:val="22"/>
                <w:highlight w:val="none"/>
                <w:lang w:val="en-US" w:eastAsia="zh-CN" w:bidi="ar-SA"/>
              </w:rPr>
              <w:t>）</w:t>
            </w:r>
            <w:r>
              <w:rPr>
                <w:rFonts w:hint="eastAsia" w:ascii="宋体" w:hAnsi="宋体" w:eastAsia="宋体" w:cs="宋体"/>
                <w:color w:val="auto"/>
                <w:spacing w:val="-2"/>
                <w:kern w:val="2"/>
                <w:sz w:val="21"/>
                <w:szCs w:val="22"/>
                <w:highlight w:val="none"/>
                <w:lang w:val="en-US" w:eastAsia="zh-CN" w:bidi="ar-SA"/>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10"/>
              <w:rPr>
                <w:rFonts w:hint="eastAsia" w:ascii="宋体" w:hAnsi="宋体" w:eastAsia="宋体" w:cs="宋体"/>
                <w:b/>
                <w:color w:val="auto"/>
                <w:kern w:val="2"/>
                <w:sz w:val="29"/>
                <w:szCs w:val="22"/>
                <w:highlight w:val="none"/>
                <w:lang w:val="en-US" w:eastAsia="zh-CN" w:bidi="ar-SA"/>
              </w:rPr>
            </w:pPr>
          </w:p>
          <w:p>
            <w:pPr>
              <w:widowControl w:val="0"/>
              <w:autoSpaceDE w:val="0"/>
              <w:autoSpaceDN w:val="0"/>
              <w:spacing w:before="1" w:line="261" w:lineRule="auto"/>
              <w:ind w:left="155" w:right="14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临时设施</w:t>
            </w:r>
          </w:p>
        </w:tc>
        <w:tc>
          <w:tcPr>
            <w:tcW w:w="1787" w:type="dxa"/>
            <w:gridSpan w:val="2"/>
          </w:tcPr>
          <w:p>
            <w:pPr>
              <w:widowControl w:val="0"/>
              <w:autoSpaceDE w:val="0"/>
              <w:autoSpaceDN w:val="0"/>
              <w:spacing w:before="145" w:line="261" w:lineRule="auto"/>
              <w:ind w:left="472" w:right="46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现场办公生活设施</w:t>
            </w:r>
          </w:p>
        </w:tc>
        <w:tc>
          <w:tcPr>
            <w:tcW w:w="6931" w:type="dxa"/>
          </w:tcPr>
          <w:p>
            <w:pPr>
              <w:widowControl w:val="0"/>
              <w:autoSpaceDE w:val="0"/>
              <w:autoSpaceDN w:val="0"/>
              <w:spacing w:line="295"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1.施工现场办公、生活区与作业区分开设置，保持安全距离。</w:t>
            </w:r>
          </w:p>
          <w:p>
            <w:pPr>
              <w:widowControl w:val="0"/>
              <w:autoSpaceDE w:val="0"/>
              <w:autoSpaceDN w:val="0"/>
              <w:ind w:left="106" w:right="97"/>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2"/>
              <w:rPr>
                <w:rFonts w:hint="eastAsia" w:ascii="宋体" w:hAnsi="宋体" w:eastAsia="宋体" w:cs="宋体"/>
                <w:b/>
                <w:color w:val="auto"/>
                <w:kern w:val="2"/>
                <w:sz w:val="26"/>
                <w:szCs w:val="22"/>
                <w:highlight w:val="none"/>
                <w:lang w:val="en-US" w:eastAsia="zh-CN" w:bidi="ar-SA"/>
              </w:rPr>
            </w:pPr>
          </w:p>
          <w:p>
            <w:pPr>
              <w:widowControl w:val="0"/>
              <w:autoSpaceDE w:val="0"/>
              <w:autoSpaceDN w:val="0"/>
              <w:spacing w:line="261" w:lineRule="auto"/>
              <w:ind w:left="155" w:right="147"/>
              <w:jc w:val="both"/>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施工现场临时用电</w:t>
            </w:r>
          </w:p>
        </w:tc>
        <w:tc>
          <w:tcPr>
            <w:tcW w:w="1261" w:type="dxa"/>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1"/>
              <w:rPr>
                <w:rFonts w:hint="eastAsia" w:ascii="宋体" w:hAnsi="宋体" w:eastAsia="宋体" w:cs="宋体"/>
                <w:b/>
                <w:color w:val="auto"/>
                <w:kern w:val="2"/>
                <w:sz w:val="14"/>
                <w:szCs w:val="22"/>
                <w:highlight w:val="none"/>
                <w:lang w:val="en-US" w:eastAsia="en-US" w:bidi="ar-SA"/>
              </w:rPr>
            </w:pPr>
          </w:p>
          <w:p>
            <w:pPr>
              <w:widowControl w:val="0"/>
              <w:autoSpaceDE w:val="0"/>
              <w:autoSpaceDN w:val="0"/>
              <w:ind w:left="207"/>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配电线路</w:t>
            </w:r>
          </w:p>
        </w:tc>
        <w:tc>
          <w:tcPr>
            <w:tcW w:w="6931" w:type="dxa"/>
          </w:tcPr>
          <w:p>
            <w:pPr>
              <w:widowControl w:val="0"/>
              <w:autoSpaceDE w:val="0"/>
              <w:autoSpaceDN w:val="0"/>
              <w:spacing w:line="296"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1.按照 TN-S 系统要求配备五芯电缆、四芯电缆和三芯电缆。</w:t>
            </w:r>
          </w:p>
          <w:p>
            <w:pPr>
              <w:widowControl w:val="0"/>
              <w:autoSpaceDE w:val="0"/>
              <w:autoSpaceDN w:val="0"/>
              <w:ind w:left="106" w:right="97"/>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2.按要求架设临时用电线路的电杆、横担、瓷夹、瓷瓶等，或电缆埋地的地沟。</w:t>
            </w:r>
          </w:p>
          <w:p>
            <w:pPr>
              <w:widowControl w:val="0"/>
              <w:autoSpaceDE w:val="0"/>
              <w:autoSpaceDN w:val="0"/>
              <w:spacing w:before="25" w:line="285"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3.对靠近施工现场的外电线路，设置木质、塑料等绝缘体的防护设施。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5"/>
              <w:rPr>
                <w:rFonts w:hint="eastAsia" w:ascii="宋体" w:hAnsi="宋体" w:eastAsia="宋体" w:cs="宋体"/>
                <w:b/>
                <w:color w:val="auto"/>
                <w:kern w:val="2"/>
                <w:sz w:val="25"/>
                <w:szCs w:val="22"/>
                <w:highlight w:val="none"/>
                <w:lang w:val="en-US" w:eastAsia="zh-CN" w:bidi="ar-SA"/>
              </w:rPr>
            </w:pPr>
          </w:p>
          <w:p>
            <w:pPr>
              <w:widowControl w:val="0"/>
              <w:autoSpaceDE w:val="0"/>
              <w:autoSpaceDN w:val="0"/>
              <w:spacing w:line="261" w:lineRule="auto"/>
              <w:ind w:left="313" w:right="301"/>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配电箱开关箱</w:t>
            </w:r>
          </w:p>
        </w:tc>
        <w:tc>
          <w:tcPr>
            <w:tcW w:w="6931" w:type="dxa"/>
          </w:tcPr>
          <w:p>
            <w:pPr>
              <w:widowControl w:val="0"/>
              <w:autoSpaceDE w:val="0"/>
              <w:autoSpaceDN w:val="0"/>
              <w:spacing w:line="249" w:lineRule="auto"/>
              <w:ind w:left="106" w:right="93"/>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1.按三级配电要求，配备总配电箱、分配电箱、开关箱三类（铁质）标准电箱，开关箱应符合一机、一箱、一闸、一漏，三类电箱中的各类电器应是合格品。</w:t>
            </w:r>
          </w:p>
          <w:p>
            <w:pPr>
              <w:widowControl w:val="0"/>
              <w:autoSpaceDE w:val="0"/>
              <w:autoSpaceDN w:val="0"/>
              <w:spacing w:before="22"/>
              <w:ind w:left="106" w:right="97"/>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2.按两级保护的要求，选取符合容量要求和质量合格的总配电箱和开关箱中的漏电保护器。</w:t>
            </w:r>
          </w:p>
          <w:p>
            <w:pPr>
              <w:widowControl w:val="0"/>
              <w:autoSpaceDE w:val="0"/>
              <w:autoSpaceDN w:val="0"/>
              <w:spacing w:before="25" w:line="285" w:lineRule="exact"/>
              <w:ind w:left="106"/>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2" w:line="300" w:lineRule="exact"/>
              <w:ind w:left="419" w:right="198" w:hanging="21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接地保护装置</w:t>
            </w:r>
          </w:p>
        </w:tc>
        <w:tc>
          <w:tcPr>
            <w:tcW w:w="6931" w:type="dxa"/>
          </w:tcPr>
          <w:p>
            <w:pPr>
              <w:widowControl w:val="0"/>
              <w:autoSpaceDE w:val="0"/>
              <w:autoSpaceDN w:val="0"/>
              <w:spacing w:before="145"/>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施工现场应设置不少于三处的重复接地装置。</w:t>
            </w:r>
          </w:p>
        </w:tc>
      </w:tr>
    </w:tbl>
    <w:p>
      <w:pPr>
        <w:rPr>
          <w:rFonts w:hint="eastAsia" w:ascii="宋体" w:hAnsi="宋体" w:eastAsia="宋体" w:cs="宋体"/>
          <w:color w:val="auto"/>
          <w:sz w:val="21"/>
          <w:highlight w:val="none"/>
          <w:lang w:eastAsia="zh-CN"/>
        </w:rPr>
        <w:sectPr>
          <w:pgSz w:w="11910" w:h="16850"/>
          <w:pgMar w:top="1100" w:right="920" w:bottom="1020" w:left="1300" w:header="877" w:footer="835" w:gutter="0"/>
          <w:pgNumType w:fmt="decimal"/>
          <w:cols w:space="720" w:num="1"/>
        </w:sectPr>
      </w:pPr>
    </w:p>
    <w:p>
      <w:pPr>
        <w:widowControl w:val="0"/>
        <w:autoSpaceDE w:val="0"/>
        <w:autoSpaceDN w:val="0"/>
        <w:spacing w:before="7"/>
        <w:rPr>
          <w:rFonts w:hint="eastAsia" w:ascii="宋体" w:hAnsi="宋体" w:eastAsia="宋体" w:cs="宋体"/>
          <w:b/>
          <w:color w:val="auto"/>
          <w:sz w:val="24"/>
          <w:szCs w:val="21"/>
          <w:highlight w:val="none"/>
          <w:lang w:val="en-US" w:eastAsia="zh-CN" w:bidi="ar-SA"/>
        </w:rPr>
      </w:pPr>
    </w:p>
    <w:tbl>
      <w:tblPr>
        <w:tblStyle w:val="4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widowControl w:val="0"/>
              <w:autoSpaceDE w:val="0"/>
              <w:autoSpaceDN w:val="0"/>
              <w:spacing w:before="67"/>
              <w:ind w:left="155"/>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类别</w:t>
            </w:r>
          </w:p>
        </w:tc>
        <w:tc>
          <w:tcPr>
            <w:tcW w:w="1787" w:type="dxa"/>
            <w:gridSpan w:val="2"/>
          </w:tcPr>
          <w:p>
            <w:pPr>
              <w:widowControl w:val="0"/>
              <w:autoSpaceDE w:val="0"/>
              <w:autoSpaceDN w:val="0"/>
              <w:spacing w:before="67"/>
              <w:ind w:left="469"/>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项目名称</w:t>
            </w:r>
          </w:p>
        </w:tc>
        <w:tc>
          <w:tcPr>
            <w:tcW w:w="6931" w:type="dxa"/>
          </w:tcPr>
          <w:p>
            <w:pPr>
              <w:widowControl w:val="0"/>
              <w:tabs>
                <w:tab w:val="left" w:pos="428"/>
                <w:tab w:val="left" w:pos="848"/>
                <w:tab w:val="left" w:pos="1271"/>
              </w:tabs>
              <w:autoSpaceDE w:val="0"/>
              <w:autoSpaceDN w:val="0"/>
              <w:spacing w:before="67"/>
              <w:ind w:left="6"/>
              <w:jc w:val="center"/>
              <w:rPr>
                <w:rFonts w:hint="eastAsia" w:ascii="宋体" w:hAnsi="宋体" w:eastAsia="宋体" w:cs="宋体"/>
                <w:b/>
                <w:color w:val="auto"/>
                <w:kern w:val="2"/>
                <w:sz w:val="21"/>
                <w:szCs w:val="22"/>
                <w:highlight w:val="none"/>
                <w:lang w:val="en-US" w:eastAsia="en-US" w:bidi="ar-SA"/>
              </w:rPr>
            </w:pPr>
            <w:r>
              <w:rPr>
                <w:rFonts w:hint="eastAsia" w:ascii="宋体" w:hAnsi="宋体" w:eastAsia="宋体" w:cs="宋体"/>
                <w:b/>
                <w:color w:val="auto"/>
                <w:kern w:val="2"/>
                <w:sz w:val="21"/>
                <w:szCs w:val="22"/>
                <w:highlight w:val="none"/>
                <w:lang w:val="en-US" w:eastAsia="en-US" w:bidi="ar-SA"/>
              </w:rPr>
              <w:t>具</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体</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内</w:t>
            </w:r>
            <w:r>
              <w:rPr>
                <w:rFonts w:hint="eastAsia" w:ascii="宋体" w:hAnsi="宋体" w:eastAsia="宋体" w:cs="宋体"/>
                <w:b/>
                <w:color w:val="auto"/>
                <w:kern w:val="2"/>
                <w:sz w:val="21"/>
                <w:szCs w:val="22"/>
                <w:highlight w:val="none"/>
                <w:lang w:val="en-US" w:eastAsia="en-US" w:bidi="ar-SA"/>
              </w:rPr>
              <w:tab/>
            </w:r>
            <w:r>
              <w:rPr>
                <w:rFonts w:hint="eastAsia" w:ascii="宋体" w:hAnsi="宋体" w:eastAsia="宋体" w:cs="宋体"/>
                <w:b/>
                <w:color w:val="auto"/>
                <w:kern w:val="2"/>
                <w:sz w:val="21"/>
                <w:szCs w:val="22"/>
                <w:highlight w:val="none"/>
                <w:lang w:val="en-US" w:eastAsia="en-US" w:bidi="ar-SA"/>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526"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261" w:type="dxa"/>
          </w:tcPr>
          <w:p>
            <w:pPr>
              <w:widowControl w:val="0"/>
              <w:autoSpaceDE w:val="0"/>
              <w:autoSpaceDN w:val="0"/>
              <w:spacing w:before="10"/>
              <w:rPr>
                <w:rFonts w:hint="eastAsia" w:ascii="宋体" w:hAnsi="宋体" w:eastAsia="宋体" w:cs="宋体"/>
                <w:b/>
                <w:color w:val="auto"/>
                <w:kern w:val="2"/>
                <w:sz w:val="21"/>
                <w:szCs w:val="22"/>
                <w:highlight w:val="none"/>
                <w:lang w:val="en-US" w:eastAsia="en-US" w:bidi="ar-SA"/>
              </w:rPr>
            </w:pPr>
          </w:p>
          <w:p>
            <w:pPr>
              <w:widowControl w:val="0"/>
              <w:autoSpaceDE w:val="0"/>
              <w:autoSpaceDN w:val="0"/>
              <w:spacing w:line="261" w:lineRule="auto"/>
              <w:ind w:left="313" w:right="198" w:hanging="10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现场变配电装置</w:t>
            </w:r>
          </w:p>
        </w:tc>
        <w:tc>
          <w:tcPr>
            <w:tcW w:w="6931" w:type="dxa"/>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174"/>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1"/>
              <w:rPr>
                <w:rFonts w:hint="eastAsia" w:ascii="宋体" w:hAnsi="宋体" w:eastAsia="宋体" w:cs="宋体"/>
                <w:b/>
                <w:color w:val="auto"/>
                <w:kern w:val="2"/>
                <w:sz w:val="26"/>
                <w:szCs w:val="22"/>
                <w:highlight w:val="none"/>
                <w:lang w:val="en-US" w:eastAsia="zh-CN" w:bidi="ar-SA"/>
              </w:rPr>
            </w:pPr>
          </w:p>
          <w:p>
            <w:pPr>
              <w:widowControl w:val="0"/>
              <w:autoSpaceDE w:val="0"/>
              <w:autoSpaceDN w:val="0"/>
              <w:spacing w:before="1" w:line="261" w:lineRule="auto"/>
              <w:ind w:left="155" w:right="14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安全施工</w:t>
            </w:r>
          </w:p>
        </w:tc>
        <w:tc>
          <w:tcPr>
            <w:tcW w:w="526"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zh-CN" w:bidi="ar-SA"/>
              </w:rPr>
            </w:pPr>
          </w:p>
          <w:p>
            <w:pPr>
              <w:widowControl w:val="0"/>
              <w:autoSpaceDE w:val="0"/>
              <w:autoSpaceDN w:val="0"/>
              <w:spacing w:before="2"/>
              <w:rPr>
                <w:rFonts w:hint="eastAsia" w:ascii="宋体" w:hAnsi="宋体" w:eastAsia="宋体" w:cs="宋体"/>
                <w:b/>
                <w:color w:val="auto"/>
                <w:kern w:val="2"/>
                <w:sz w:val="28"/>
                <w:szCs w:val="22"/>
                <w:highlight w:val="none"/>
                <w:lang w:val="en-US" w:eastAsia="zh-CN" w:bidi="ar-SA"/>
              </w:rPr>
            </w:pPr>
          </w:p>
          <w:p>
            <w:pPr>
              <w:widowControl w:val="0"/>
              <w:autoSpaceDE w:val="0"/>
              <w:autoSpaceDN w:val="0"/>
              <w:spacing w:line="261" w:lineRule="auto"/>
              <w:ind w:left="155" w:right="147"/>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临边洞口交叉高处作业防护</w:t>
            </w:r>
          </w:p>
        </w:tc>
        <w:tc>
          <w:tcPr>
            <w:tcW w:w="1261" w:type="dxa"/>
          </w:tcPr>
          <w:p>
            <w:pPr>
              <w:widowControl w:val="0"/>
              <w:autoSpaceDE w:val="0"/>
              <w:autoSpaceDN w:val="0"/>
              <w:spacing w:before="2" w:line="300" w:lineRule="exact"/>
              <w:ind w:left="107" w:right="95" w:hanging="3"/>
              <w:jc w:val="center"/>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pacing w:val="-1"/>
                <w:kern w:val="2"/>
                <w:sz w:val="21"/>
                <w:szCs w:val="22"/>
                <w:highlight w:val="none"/>
                <w:lang w:val="en-US" w:eastAsia="zh-CN" w:bidi="ar-SA"/>
              </w:rPr>
              <w:t xml:space="preserve">楼层、屋 </w:t>
            </w:r>
            <w:r>
              <w:rPr>
                <w:rFonts w:hint="eastAsia" w:ascii="宋体" w:hAnsi="宋体" w:eastAsia="宋体" w:cs="宋体"/>
                <w:color w:val="auto"/>
                <w:spacing w:val="-4"/>
                <w:kern w:val="2"/>
                <w:sz w:val="21"/>
                <w:szCs w:val="22"/>
                <w:highlight w:val="none"/>
                <w:lang w:val="en-US" w:eastAsia="zh-CN" w:bidi="ar-SA"/>
              </w:rPr>
              <w:t>面、阳台等</w:t>
            </w:r>
            <w:r>
              <w:rPr>
                <w:rFonts w:hint="eastAsia" w:ascii="宋体" w:hAnsi="宋体" w:eastAsia="宋体" w:cs="宋体"/>
                <w:color w:val="auto"/>
                <w:spacing w:val="-3"/>
                <w:kern w:val="2"/>
                <w:sz w:val="21"/>
                <w:szCs w:val="22"/>
                <w:highlight w:val="none"/>
                <w:lang w:val="en-US" w:eastAsia="zh-CN" w:bidi="ar-SA"/>
              </w:rPr>
              <w:t>临边防护</w:t>
            </w:r>
          </w:p>
        </w:tc>
        <w:tc>
          <w:tcPr>
            <w:tcW w:w="6931" w:type="dxa"/>
          </w:tcPr>
          <w:p>
            <w:pPr>
              <w:widowControl w:val="0"/>
              <w:autoSpaceDE w:val="0"/>
              <w:autoSpaceDN w:val="0"/>
              <w:spacing w:before="9"/>
              <w:rPr>
                <w:rFonts w:hint="eastAsia" w:ascii="宋体" w:hAnsi="宋体" w:eastAsia="宋体" w:cs="宋体"/>
                <w:b/>
                <w:color w:val="auto"/>
                <w:kern w:val="2"/>
                <w:sz w:val="22"/>
                <w:szCs w:val="22"/>
                <w:highlight w:val="none"/>
                <w:lang w:val="en-US" w:eastAsia="zh-CN" w:bidi="ar-SA"/>
              </w:rPr>
            </w:pPr>
          </w:p>
          <w:p>
            <w:pPr>
              <w:widowControl w:val="0"/>
              <w:autoSpaceDE w:val="0"/>
              <w:autoSpaceDN w:val="0"/>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设两道防护栏杆和 18cm 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143"/>
              <w:ind w:left="85"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通道口</w:t>
            </w:r>
          </w:p>
        </w:tc>
        <w:tc>
          <w:tcPr>
            <w:tcW w:w="6931" w:type="dxa"/>
          </w:tcPr>
          <w:p>
            <w:pPr>
              <w:widowControl w:val="0"/>
              <w:autoSpaceDE w:val="0"/>
              <w:autoSpaceDN w:val="0"/>
              <w:spacing w:line="237" w:lineRule="auto"/>
              <w:ind w:left="106" w:right="93"/>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pacing w:val="-7"/>
                <w:kern w:val="2"/>
                <w:sz w:val="21"/>
                <w:szCs w:val="22"/>
                <w:highlight w:val="none"/>
                <w:lang w:val="en-US" w:eastAsia="zh-CN" w:bidi="ar-SA"/>
              </w:rPr>
              <w:t xml:space="preserve">设防护棚，防护棚应为不小于 </w:t>
            </w:r>
            <w:r>
              <w:rPr>
                <w:rFonts w:hint="eastAsia" w:ascii="宋体" w:hAnsi="宋体" w:eastAsia="宋体" w:cs="宋体"/>
                <w:color w:val="auto"/>
                <w:kern w:val="2"/>
                <w:sz w:val="21"/>
                <w:szCs w:val="22"/>
                <w:highlight w:val="none"/>
                <w:lang w:val="en-US" w:eastAsia="zh-CN" w:bidi="ar-SA"/>
              </w:rPr>
              <w:t xml:space="preserve">5cm </w:t>
            </w:r>
            <w:r>
              <w:rPr>
                <w:rFonts w:hint="eastAsia" w:ascii="宋体" w:hAnsi="宋体" w:eastAsia="宋体" w:cs="宋体"/>
                <w:color w:val="auto"/>
                <w:spacing w:val="-8"/>
                <w:kern w:val="2"/>
                <w:sz w:val="21"/>
                <w:szCs w:val="22"/>
                <w:highlight w:val="none"/>
                <w:lang w:val="en-US" w:eastAsia="zh-CN" w:bidi="ar-SA"/>
              </w:rPr>
              <w:t xml:space="preserve">厚的木板或两道相距 </w:t>
            </w:r>
            <w:r>
              <w:rPr>
                <w:rFonts w:hint="eastAsia" w:ascii="宋体" w:hAnsi="宋体" w:eastAsia="宋体" w:cs="宋体"/>
                <w:color w:val="auto"/>
                <w:kern w:val="2"/>
                <w:sz w:val="21"/>
                <w:szCs w:val="22"/>
                <w:highlight w:val="none"/>
                <w:lang w:val="en-US" w:eastAsia="zh-CN" w:bidi="ar-SA"/>
              </w:rPr>
              <w:t xml:space="preserve">50cm </w:t>
            </w:r>
            <w:r>
              <w:rPr>
                <w:rFonts w:hint="eastAsia" w:ascii="宋体" w:hAnsi="宋体" w:eastAsia="宋体" w:cs="宋体"/>
                <w:color w:val="auto"/>
                <w:spacing w:val="-3"/>
                <w:kern w:val="2"/>
                <w:sz w:val="21"/>
                <w:szCs w:val="22"/>
                <w:highlight w:val="none"/>
                <w:lang w:val="en-US" w:eastAsia="zh-CN" w:bidi="ar-SA"/>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143"/>
              <w:ind w:left="83"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预留洞口</w:t>
            </w:r>
          </w:p>
        </w:tc>
        <w:tc>
          <w:tcPr>
            <w:tcW w:w="6931" w:type="dxa"/>
          </w:tcPr>
          <w:p>
            <w:pPr>
              <w:widowControl w:val="0"/>
              <w:autoSpaceDE w:val="0"/>
              <w:autoSpaceDN w:val="0"/>
              <w:ind w:left="106" w:right="93"/>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用硬质材料全封闭；短边超过 1.5m 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145"/>
              <w:ind w:left="83"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电梯井口</w:t>
            </w:r>
          </w:p>
        </w:tc>
        <w:tc>
          <w:tcPr>
            <w:tcW w:w="6931" w:type="dxa"/>
          </w:tcPr>
          <w:p>
            <w:pPr>
              <w:widowControl w:val="0"/>
              <w:autoSpaceDE w:val="0"/>
              <w:autoSpaceDN w:val="0"/>
              <w:spacing w:line="237" w:lineRule="auto"/>
              <w:ind w:left="106" w:right="-15"/>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pacing w:val="-20"/>
                <w:kern w:val="2"/>
                <w:sz w:val="21"/>
                <w:szCs w:val="22"/>
                <w:highlight w:val="none"/>
                <w:lang w:val="en-US" w:eastAsia="zh-CN" w:bidi="ar-SA"/>
              </w:rPr>
              <w:t xml:space="preserve">设置定型化、工具化、标准化的防护门。在电梯井内每隔 </w:t>
            </w:r>
            <w:r>
              <w:rPr>
                <w:rFonts w:hint="eastAsia" w:ascii="宋体" w:hAnsi="宋体" w:eastAsia="宋体" w:cs="宋体"/>
                <w:color w:val="auto"/>
                <w:kern w:val="2"/>
                <w:sz w:val="21"/>
                <w:szCs w:val="22"/>
                <w:highlight w:val="none"/>
                <w:lang w:val="en-US" w:eastAsia="zh-CN" w:bidi="ar-SA"/>
              </w:rPr>
              <w:t>2</w:t>
            </w:r>
            <w:r>
              <w:rPr>
                <w:rFonts w:hint="eastAsia" w:ascii="宋体" w:hAnsi="宋体" w:eastAsia="宋体" w:cs="宋体"/>
                <w:color w:val="auto"/>
                <w:spacing w:val="-85"/>
                <w:kern w:val="2"/>
                <w:sz w:val="21"/>
                <w:szCs w:val="22"/>
                <w:highlight w:val="none"/>
                <w:lang w:val="en-US" w:eastAsia="zh-CN" w:bidi="ar-SA"/>
              </w:rPr>
              <w:t>层</w:t>
            </w:r>
            <w:r>
              <w:rPr>
                <w:rFonts w:hint="eastAsia" w:ascii="宋体" w:hAnsi="宋体" w:eastAsia="宋体" w:cs="宋体"/>
                <w:color w:val="auto"/>
                <w:spacing w:val="-3"/>
                <w:kern w:val="2"/>
                <w:sz w:val="21"/>
                <w:szCs w:val="22"/>
                <w:highlight w:val="none"/>
                <w:lang w:val="en-US" w:eastAsia="zh-CN" w:bidi="ar-SA"/>
              </w:rPr>
              <w:t>（</w:t>
            </w:r>
            <w:r>
              <w:rPr>
                <w:rFonts w:hint="eastAsia" w:ascii="宋体" w:hAnsi="宋体" w:eastAsia="宋体" w:cs="宋体"/>
                <w:color w:val="auto"/>
                <w:spacing w:val="-13"/>
                <w:kern w:val="2"/>
                <w:sz w:val="21"/>
                <w:szCs w:val="22"/>
                <w:highlight w:val="none"/>
                <w:lang w:val="en-US" w:eastAsia="zh-CN" w:bidi="ar-SA"/>
              </w:rPr>
              <w:t xml:space="preserve">不大于 </w:t>
            </w:r>
            <w:r>
              <w:rPr>
                <w:rFonts w:hint="eastAsia" w:ascii="宋体" w:hAnsi="宋体" w:eastAsia="宋体" w:cs="宋体"/>
                <w:color w:val="auto"/>
                <w:kern w:val="2"/>
                <w:sz w:val="21"/>
                <w:szCs w:val="22"/>
                <w:highlight w:val="none"/>
                <w:lang w:val="en-US" w:eastAsia="zh-CN" w:bidi="ar-SA"/>
              </w:rPr>
              <w:t xml:space="preserve">10m） </w:t>
            </w:r>
            <w:r>
              <w:rPr>
                <w:rFonts w:hint="eastAsia" w:ascii="宋体" w:hAnsi="宋体" w:eastAsia="宋体" w:cs="宋体"/>
                <w:color w:val="auto"/>
                <w:spacing w:val="-3"/>
                <w:kern w:val="2"/>
                <w:sz w:val="21"/>
                <w:szCs w:val="22"/>
                <w:highlight w:val="none"/>
                <w:lang w:val="en-US" w:eastAsia="zh-CN" w:bidi="ar-SA"/>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line="269" w:lineRule="exact"/>
              <w:ind w:left="85"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楼梯边</w:t>
            </w:r>
          </w:p>
        </w:tc>
        <w:tc>
          <w:tcPr>
            <w:tcW w:w="6931" w:type="dxa"/>
          </w:tcPr>
          <w:p>
            <w:pPr>
              <w:widowControl w:val="0"/>
              <w:autoSpaceDE w:val="0"/>
              <w:autoSpaceDN w:val="0"/>
              <w:spacing w:line="280"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设 1.2m 高的定型化、工具化的防护栏，18cm 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line="300" w:lineRule="exact"/>
              <w:ind w:left="207" w:right="198"/>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垂直方向交叉作业</w:t>
            </w:r>
          </w:p>
        </w:tc>
        <w:tc>
          <w:tcPr>
            <w:tcW w:w="6931" w:type="dxa"/>
          </w:tcPr>
          <w:p>
            <w:pPr>
              <w:widowControl w:val="0"/>
              <w:autoSpaceDE w:val="0"/>
              <w:autoSpaceDN w:val="0"/>
              <w:spacing w:before="145"/>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145"/>
              <w:ind w:left="83"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高空作业</w:t>
            </w:r>
          </w:p>
        </w:tc>
        <w:tc>
          <w:tcPr>
            <w:tcW w:w="6931" w:type="dxa"/>
          </w:tcPr>
          <w:p>
            <w:pPr>
              <w:widowControl w:val="0"/>
              <w:autoSpaceDE w:val="0"/>
              <w:autoSpaceDN w:val="0"/>
              <w:spacing w:before="2" w:line="300" w:lineRule="exact"/>
              <w:ind w:left="106" w:right="93"/>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line="269" w:lineRule="exact"/>
              <w:ind w:left="85"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基坑、卸料</w:t>
            </w:r>
          </w:p>
          <w:p>
            <w:pPr>
              <w:widowControl w:val="0"/>
              <w:autoSpaceDE w:val="0"/>
              <w:autoSpaceDN w:val="0"/>
              <w:spacing w:before="25"/>
              <w:ind w:left="85"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平台</w:t>
            </w:r>
          </w:p>
        </w:tc>
        <w:tc>
          <w:tcPr>
            <w:tcW w:w="6931" w:type="dxa"/>
          </w:tcPr>
          <w:p>
            <w:pPr>
              <w:widowControl w:val="0"/>
              <w:autoSpaceDE w:val="0"/>
              <w:autoSpaceDN w:val="0"/>
              <w:spacing w:before="143"/>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设 1.2m 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143"/>
              <w:ind w:left="261"/>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安全防护用品</w:t>
            </w:r>
          </w:p>
        </w:tc>
        <w:tc>
          <w:tcPr>
            <w:tcW w:w="6931" w:type="dxa"/>
          </w:tcPr>
          <w:p>
            <w:pPr>
              <w:widowControl w:val="0"/>
              <w:autoSpaceDE w:val="0"/>
              <w:autoSpaceDN w:val="0"/>
              <w:spacing w:line="269"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安全帽、安全带、特种作业人员（电工、焊工、架子工等）防护服装、用</w:t>
            </w:r>
          </w:p>
          <w:p>
            <w:pPr>
              <w:widowControl w:val="0"/>
              <w:autoSpaceDE w:val="0"/>
              <w:autoSpaceDN w:val="0"/>
              <w:spacing w:before="25"/>
              <w:ind w:left="10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rPr>
                <w:rFonts w:hint="eastAsia" w:ascii="宋体" w:hAnsi="宋体" w:eastAsia="宋体" w:cs="宋体"/>
                <w:b/>
                <w:color w:val="auto"/>
                <w:kern w:val="2"/>
                <w:sz w:val="20"/>
                <w:szCs w:val="22"/>
                <w:highlight w:val="none"/>
                <w:lang w:val="en-US" w:eastAsia="en-US" w:bidi="ar-SA"/>
              </w:rPr>
            </w:pPr>
          </w:p>
          <w:p>
            <w:pPr>
              <w:widowControl w:val="0"/>
              <w:autoSpaceDE w:val="0"/>
              <w:autoSpaceDN w:val="0"/>
              <w:spacing w:before="2"/>
              <w:rPr>
                <w:rFonts w:hint="eastAsia" w:ascii="宋体" w:hAnsi="宋体" w:eastAsia="宋体" w:cs="宋体"/>
                <w:b/>
                <w:color w:val="auto"/>
                <w:kern w:val="2"/>
                <w:sz w:val="19"/>
                <w:szCs w:val="22"/>
                <w:highlight w:val="none"/>
                <w:lang w:val="en-US" w:eastAsia="en-US" w:bidi="ar-SA"/>
              </w:rPr>
            </w:pPr>
          </w:p>
          <w:p>
            <w:pPr>
              <w:widowControl w:val="0"/>
              <w:autoSpaceDE w:val="0"/>
              <w:autoSpaceDN w:val="0"/>
              <w:ind w:left="155"/>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其他</w:t>
            </w:r>
          </w:p>
        </w:tc>
        <w:tc>
          <w:tcPr>
            <w:tcW w:w="526" w:type="dxa"/>
            <w:vMerge w:val="restart"/>
          </w:tcPr>
          <w:p>
            <w:pPr>
              <w:widowControl w:val="0"/>
              <w:autoSpaceDE w:val="0"/>
              <w:autoSpaceDN w:val="0"/>
              <w:spacing w:line="261" w:lineRule="auto"/>
              <w:ind w:left="155" w:right="147"/>
              <w:jc w:val="both"/>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机械设备防</w:t>
            </w:r>
          </w:p>
          <w:p>
            <w:pPr>
              <w:widowControl w:val="0"/>
              <w:autoSpaceDE w:val="0"/>
              <w:autoSpaceDN w:val="0"/>
              <w:spacing w:before="11"/>
              <w:ind w:left="155"/>
              <w:jc w:val="both"/>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护</w:t>
            </w:r>
          </w:p>
        </w:tc>
        <w:tc>
          <w:tcPr>
            <w:tcW w:w="1261" w:type="dxa"/>
          </w:tcPr>
          <w:p>
            <w:pPr>
              <w:widowControl w:val="0"/>
              <w:autoSpaceDE w:val="0"/>
              <w:autoSpaceDN w:val="0"/>
              <w:spacing w:line="269" w:lineRule="exact"/>
              <w:ind w:left="83" w:right="76"/>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中小型机</w:t>
            </w:r>
          </w:p>
          <w:p>
            <w:pPr>
              <w:widowControl w:val="0"/>
              <w:autoSpaceDE w:val="0"/>
              <w:autoSpaceDN w:val="0"/>
              <w:spacing w:before="25"/>
              <w:ind w:left="4"/>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械</w:t>
            </w:r>
          </w:p>
        </w:tc>
        <w:tc>
          <w:tcPr>
            <w:tcW w:w="6931" w:type="dxa"/>
          </w:tcPr>
          <w:p>
            <w:pPr>
              <w:widowControl w:val="0"/>
              <w:autoSpaceDE w:val="0"/>
              <w:autoSpaceDN w:val="0"/>
              <w:spacing w:before="145"/>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pacing w:val="-1"/>
                <w:kern w:val="2"/>
                <w:sz w:val="21"/>
                <w:szCs w:val="22"/>
                <w:highlight w:val="none"/>
                <w:lang w:val="en-US" w:eastAsia="zh-CN" w:bidi="ar-SA"/>
              </w:rPr>
              <w:t>设防护棚</w:t>
            </w:r>
            <w:r>
              <w:rPr>
                <w:rFonts w:hint="eastAsia" w:ascii="宋体" w:hAnsi="宋体" w:eastAsia="宋体" w:cs="宋体"/>
                <w:color w:val="auto"/>
                <w:spacing w:val="-3"/>
                <w:kern w:val="2"/>
                <w:sz w:val="21"/>
                <w:szCs w:val="22"/>
                <w:highlight w:val="none"/>
                <w:lang w:val="en-US" w:eastAsia="zh-CN" w:bidi="ar-SA"/>
              </w:rPr>
              <w:t>（同通道口防护并有防雨措施</w:t>
            </w:r>
            <w:r>
              <w:rPr>
                <w:rFonts w:hint="eastAsia" w:ascii="宋体" w:hAnsi="宋体" w:eastAsia="宋体" w:cs="宋体"/>
                <w:color w:val="auto"/>
                <w:spacing w:val="-108"/>
                <w:kern w:val="2"/>
                <w:sz w:val="21"/>
                <w:szCs w:val="22"/>
                <w:highlight w:val="none"/>
                <w:lang w:val="en-US" w:eastAsia="zh-CN" w:bidi="ar-SA"/>
              </w:rPr>
              <w:t>）</w:t>
            </w:r>
            <w:r>
              <w:rPr>
                <w:rFonts w:hint="eastAsia" w:ascii="宋体" w:hAnsi="宋体" w:eastAsia="宋体" w:cs="宋体"/>
                <w:color w:val="auto"/>
                <w:kern w:val="2"/>
                <w:sz w:val="21"/>
                <w:szCs w:val="22"/>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526"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261" w:type="dxa"/>
          </w:tcPr>
          <w:p>
            <w:pPr>
              <w:widowControl w:val="0"/>
              <w:autoSpaceDE w:val="0"/>
              <w:autoSpaceDN w:val="0"/>
              <w:spacing w:before="1"/>
              <w:rPr>
                <w:rFonts w:hint="eastAsia" w:ascii="宋体" w:hAnsi="宋体" w:eastAsia="宋体" w:cs="宋体"/>
                <w:b/>
                <w:color w:val="auto"/>
                <w:kern w:val="2"/>
                <w:sz w:val="22"/>
                <w:szCs w:val="22"/>
                <w:highlight w:val="none"/>
                <w:lang w:val="en-US" w:eastAsia="zh-CN" w:bidi="ar-SA"/>
              </w:rPr>
            </w:pPr>
          </w:p>
          <w:p>
            <w:pPr>
              <w:widowControl w:val="0"/>
              <w:autoSpaceDE w:val="0"/>
              <w:autoSpaceDN w:val="0"/>
              <w:spacing w:before="1" w:line="261" w:lineRule="auto"/>
              <w:ind w:left="419" w:right="198" w:hanging="21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垂直运输设备</w:t>
            </w:r>
          </w:p>
        </w:tc>
        <w:tc>
          <w:tcPr>
            <w:tcW w:w="6931" w:type="dxa"/>
          </w:tcPr>
          <w:p>
            <w:pPr>
              <w:widowControl w:val="0"/>
              <w:autoSpaceDE w:val="0"/>
              <w:autoSpaceDN w:val="0"/>
              <w:spacing w:before="141" w:line="301"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1.垂直运输设备检测、检验。</w:t>
            </w:r>
          </w:p>
          <w:p>
            <w:pPr>
              <w:widowControl w:val="0"/>
              <w:autoSpaceDE w:val="0"/>
              <w:autoSpaceDN w:val="0"/>
              <w:ind w:left="106" w:right="-15"/>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w:t>
            </w:r>
            <w:r>
              <w:rPr>
                <w:rFonts w:hint="eastAsia" w:ascii="宋体" w:hAnsi="宋体" w:eastAsia="宋体" w:cs="宋体"/>
                <w:color w:val="auto"/>
                <w:spacing w:val="-10"/>
                <w:kern w:val="2"/>
                <w:sz w:val="21"/>
                <w:szCs w:val="22"/>
                <w:highlight w:val="none"/>
                <w:lang w:val="en-US" w:eastAsia="zh-CN" w:bidi="ar-SA"/>
              </w:rPr>
              <w:t xml:space="preserve">物料提升机、施工电梯等卸料平台搭设、外侧用密目式安全立网全封闭， </w:t>
            </w:r>
            <w:r>
              <w:rPr>
                <w:rFonts w:hint="eastAsia" w:ascii="宋体" w:hAnsi="宋体" w:eastAsia="宋体" w:cs="宋体"/>
                <w:color w:val="auto"/>
                <w:spacing w:val="-5"/>
                <w:kern w:val="2"/>
                <w:sz w:val="21"/>
                <w:szCs w:val="22"/>
                <w:highlight w:val="none"/>
                <w:lang w:val="en-US" w:eastAsia="zh-CN" w:bidi="ar-SA"/>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95"/>
              <w:ind w:left="261"/>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专家论证审查</w:t>
            </w:r>
          </w:p>
        </w:tc>
        <w:tc>
          <w:tcPr>
            <w:tcW w:w="6931" w:type="dxa"/>
          </w:tcPr>
          <w:p>
            <w:pPr>
              <w:widowControl w:val="0"/>
              <w:autoSpaceDE w:val="0"/>
              <w:autoSpaceDN w:val="0"/>
              <w:spacing w:before="95"/>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93"/>
              <w:ind w:left="261"/>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应急救援预案</w:t>
            </w:r>
          </w:p>
        </w:tc>
        <w:tc>
          <w:tcPr>
            <w:tcW w:w="6931" w:type="dxa"/>
          </w:tcPr>
          <w:p>
            <w:pPr>
              <w:widowControl w:val="0"/>
              <w:autoSpaceDE w:val="0"/>
              <w:autoSpaceDN w:val="0"/>
              <w:spacing w:before="93"/>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zh-CN"/>
              </w:rPr>
            </w:pPr>
          </w:p>
        </w:tc>
        <w:tc>
          <w:tcPr>
            <w:tcW w:w="1787" w:type="dxa"/>
            <w:gridSpan w:val="2"/>
          </w:tcPr>
          <w:p>
            <w:pPr>
              <w:widowControl w:val="0"/>
              <w:autoSpaceDE w:val="0"/>
              <w:autoSpaceDN w:val="0"/>
              <w:spacing w:before="146"/>
              <w:ind w:left="155"/>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非正常情况施工</w:t>
            </w:r>
          </w:p>
        </w:tc>
        <w:tc>
          <w:tcPr>
            <w:tcW w:w="6931" w:type="dxa"/>
          </w:tcPr>
          <w:p>
            <w:pPr>
              <w:widowControl w:val="0"/>
              <w:autoSpaceDE w:val="0"/>
              <w:autoSpaceDN w:val="0"/>
              <w:spacing w:line="269" w:lineRule="exact"/>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其它特殊情况下的防护费用，如：城市主干道、人流密集、河边等处施工</w:t>
            </w:r>
          </w:p>
          <w:p>
            <w:pPr>
              <w:widowControl w:val="0"/>
              <w:autoSpaceDE w:val="0"/>
              <w:autoSpaceDN w:val="0"/>
              <w:spacing w:before="25"/>
              <w:ind w:left="106"/>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及文物、古建筑、古树保护等。</w:t>
            </w:r>
          </w:p>
        </w:tc>
      </w:tr>
    </w:tbl>
    <w:p>
      <w:pPr>
        <w:widowControl w:val="0"/>
        <w:autoSpaceDE w:val="0"/>
        <w:autoSpaceDN w:val="0"/>
        <w:spacing w:before="86"/>
        <w:ind w:left="498" w:right="514" w:firstLine="41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注：本表所列建筑工程安全文明施工费，是依据现行法律法规及标准规范确定的。如法律法规和标准规范修订，本表所列项目应按照修订后的法律法规和标准规范进行调整。</w:t>
      </w:r>
    </w:p>
    <w:p>
      <w:pPr>
        <w:rPr>
          <w:rFonts w:hint="eastAsia" w:ascii="宋体" w:hAnsi="宋体" w:eastAsia="宋体" w:cs="宋体"/>
          <w:color w:val="auto"/>
          <w:highlight w:val="none"/>
          <w:lang w:eastAsia="zh-CN"/>
        </w:rPr>
        <w:sectPr>
          <w:pgSz w:w="11910" w:h="16850"/>
          <w:pgMar w:top="1100" w:right="920" w:bottom="1020" w:left="1300" w:header="877" w:footer="835" w:gutter="0"/>
          <w:pgNumType w:fmt="decimal"/>
          <w:cols w:space="720" w:num="1"/>
        </w:sectPr>
      </w:pPr>
    </w:p>
    <w:p>
      <w:pPr>
        <w:widowControl w:val="0"/>
        <w:autoSpaceDE w:val="0"/>
        <w:autoSpaceDN w:val="0"/>
        <w:spacing w:before="248"/>
        <w:ind w:left="1140"/>
        <w:jc w:val="center"/>
        <w:outlineLvl w:val="4"/>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w w:val="95"/>
          <w:sz w:val="28"/>
          <w:szCs w:val="28"/>
          <w:highlight w:val="none"/>
          <w:lang w:val="en-US" w:eastAsia="zh-CN" w:bidi="ar-SA"/>
        </w:rPr>
        <w:t>4、项目管理机构配备情况表</w:t>
      </w:r>
    </w:p>
    <w:tbl>
      <w:tblPr>
        <w:tblStyle w:val="47"/>
        <w:tblpPr w:leftFromText="180" w:rightFromText="180" w:vertAnchor="text" w:horzAnchor="page" w:tblpX="1069" w:tblpY="2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widowControl w:val="0"/>
              <w:autoSpaceDE w:val="0"/>
              <w:autoSpaceDN w:val="0"/>
              <w:spacing w:before="12"/>
              <w:rPr>
                <w:rFonts w:hint="eastAsia" w:ascii="宋体" w:hAnsi="宋体" w:eastAsia="宋体" w:cs="宋体"/>
                <w:color w:val="auto"/>
                <w:kern w:val="2"/>
                <w:sz w:val="25"/>
                <w:szCs w:val="22"/>
                <w:highlight w:val="none"/>
                <w:lang w:val="en-US" w:eastAsia="zh-CN" w:bidi="ar-SA"/>
              </w:rPr>
            </w:pPr>
          </w:p>
          <w:p>
            <w:pPr>
              <w:widowControl w:val="0"/>
              <w:autoSpaceDE w:val="0"/>
              <w:autoSpaceDN w:val="0"/>
              <w:spacing w:before="1"/>
              <w:ind w:left="285"/>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岗位</w:t>
            </w:r>
          </w:p>
        </w:tc>
        <w:tc>
          <w:tcPr>
            <w:tcW w:w="828" w:type="dxa"/>
            <w:vMerge w:val="restart"/>
          </w:tcPr>
          <w:p>
            <w:pPr>
              <w:widowControl w:val="0"/>
              <w:autoSpaceDE w:val="0"/>
              <w:autoSpaceDN w:val="0"/>
              <w:spacing w:before="12"/>
              <w:rPr>
                <w:rFonts w:hint="eastAsia" w:ascii="宋体" w:hAnsi="宋体" w:eastAsia="宋体" w:cs="宋体"/>
                <w:color w:val="auto"/>
                <w:kern w:val="2"/>
                <w:sz w:val="25"/>
                <w:szCs w:val="22"/>
                <w:highlight w:val="none"/>
                <w:lang w:val="en-US" w:eastAsia="en-US" w:bidi="ar-SA"/>
              </w:rPr>
            </w:pPr>
          </w:p>
          <w:p>
            <w:pPr>
              <w:widowControl w:val="0"/>
              <w:autoSpaceDE w:val="0"/>
              <w:autoSpaceDN w:val="0"/>
              <w:spacing w:before="1"/>
              <w:ind w:left="20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姓名</w:t>
            </w:r>
          </w:p>
        </w:tc>
        <w:tc>
          <w:tcPr>
            <w:tcW w:w="817" w:type="dxa"/>
            <w:vMerge w:val="restart"/>
          </w:tcPr>
          <w:p>
            <w:pPr>
              <w:widowControl w:val="0"/>
              <w:autoSpaceDE w:val="0"/>
              <w:autoSpaceDN w:val="0"/>
              <w:spacing w:before="12"/>
              <w:rPr>
                <w:rFonts w:hint="eastAsia" w:ascii="宋体" w:hAnsi="宋体" w:eastAsia="宋体" w:cs="宋体"/>
                <w:color w:val="auto"/>
                <w:kern w:val="2"/>
                <w:sz w:val="25"/>
                <w:szCs w:val="22"/>
                <w:highlight w:val="none"/>
                <w:lang w:val="en-US" w:eastAsia="en-US" w:bidi="ar-SA"/>
              </w:rPr>
            </w:pPr>
          </w:p>
          <w:p>
            <w:pPr>
              <w:widowControl w:val="0"/>
              <w:autoSpaceDE w:val="0"/>
              <w:autoSpaceDN w:val="0"/>
              <w:spacing w:before="1"/>
              <w:ind w:left="196"/>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职称</w:t>
            </w:r>
          </w:p>
        </w:tc>
        <w:tc>
          <w:tcPr>
            <w:tcW w:w="4596" w:type="dxa"/>
            <w:gridSpan w:val="4"/>
          </w:tcPr>
          <w:p>
            <w:pPr>
              <w:widowControl w:val="0"/>
              <w:autoSpaceDE w:val="0"/>
              <w:autoSpaceDN w:val="0"/>
              <w:spacing w:before="64"/>
              <w:ind w:left="1347"/>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执业或职业资格证明</w:t>
            </w:r>
          </w:p>
        </w:tc>
        <w:tc>
          <w:tcPr>
            <w:tcW w:w="2532" w:type="dxa"/>
            <w:gridSpan w:val="2"/>
          </w:tcPr>
          <w:p>
            <w:pPr>
              <w:widowControl w:val="0"/>
              <w:autoSpaceDE w:val="0"/>
              <w:autoSpaceDN w:val="0"/>
              <w:spacing w:before="64"/>
              <w:ind w:left="419"/>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828"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817" w:type="dxa"/>
            <w:vMerge w:val="continue"/>
            <w:tcBorders>
              <w:top w:val="nil"/>
            </w:tcBorders>
          </w:tcPr>
          <w:p>
            <w:pPr>
              <w:autoSpaceDE w:val="0"/>
              <w:autoSpaceDN w:val="0"/>
              <w:jc w:val="left"/>
              <w:rPr>
                <w:rFonts w:hint="eastAsia" w:ascii="宋体" w:hAnsi="宋体" w:eastAsia="宋体" w:cs="宋体"/>
                <w:color w:val="auto"/>
                <w:kern w:val="2"/>
                <w:sz w:val="2"/>
                <w:szCs w:val="2"/>
                <w:highlight w:val="none"/>
                <w:lang w:eastAsia="en-US"/>
              </w:rPr>
            </w:pPr>
          </w:p>
        </w:tc>
        <w:tc>
          <w:tcPr>
            <w:tcW w:w="1148" w:type="dxa"/>
          </w:tcPr>
          <w:p>
            <w:pPr>
              <w:widowControl w:val="0"/>
              <w:autoSpaceDE w:val="0"/>
              <w:autoSpaceDN w:val="0"/>
              <w:spacing w:before="102"/>
              <w:ind w:left="152"/>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证书名称</w:t>
            </w:r>
          </w:p>
        </w:tc>
        <w:tc>
          <w:tcPr>
            <w:tcW w:w="1151" w:type="dxa"/>
          </w:tcPr>
          <w:p>
            <w:pPr>
              <w:widowControl w:val="0"/>
              <w:autoSpaceDE w:val="0"/>
              <w:autoSpaceDN w:val="0"/>
              <w:spacing w:before="102"/>
              <w:ind w:left="360"/>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级别</w:t>
            </w:r>
          </w:p>
        </w:tc>
        <w:tc>
          <w:tcPr>
            <w:tcW w:w="1148" w:type="dxa"/>
          </w:tcPr>
          <w:p>
            <w:pPr>
              <w:widowControl w:val="0"/>
              <w:autoSpaceDE w:val="0"/>
              <w:autoSpaceDN w:val="0"/>
              <w:spacing w:before="102"/>
              <w:ind w:left="357"/>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证号</w:t>
            </w:r>
          </w:p>
        </w:tc>
        <w:tc>
          <w:tcPr>
            <w:tcW w:w="1149" w:type="dxa"/>
          </w:tcPr>
          <w:p>
            <w:pPr>
              <w:widowControl w:val="0"/>
              <w:autoSpaceDE w:val="0"/>
              <w:autoSpaceDN w:val="0"/>
              <w:spacing w:before="102"/>
              <w:ind w:left="358"/>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专业</w:t>
            </w:r>
          </w:p>
        </w:tc>
        <w:tc>
          <w:tcPr>
            <w:tcW w:w="853" w:type="dxa"/>
          </w:tcPr>
          <w:p>
            <w:pPr>
              <w:widowControl w:val="0"/>
              <w:autoSpaceDE w:val="0"/>
              <w:autoSpaceDN w:val="0"/>
              <w:spacing w:before="102"/>
              <w:ind w:left="103"/>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项目数</w:t>
            </w:r>
          </w:p>
        </w:tc>
        <w:tc>
          <w:tcPr>
            <w:tcW w:w="1679" w:type="dxa"/>
          </w:tcPr>
          <w:p>
            <w:pPr>
              <w:widowControl w:val="0"/>
              <w:autoSpaceDE w:val="0"/>
              <w:autoSpaceDN w:val="0"/>
              <w:spacing w:line="239" w:lineRule="exact"/>
              <w:ind w:left="394" w:right="39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主要项目</w:t>
            </w:r>
          </w:p>
          <w:p>
            <w:pPr>
              <w:widowControl w:val="0"/>
              <w:autoSpaceDE w:val="0"/>
              <w:autoSpaceDN w:val="0"/>
              <w:spacing w:line="273" w:lineRule="exact"/>
              <w:ind w:left="392" w:right="395"/>
              <w:jc w:val="center"/>
              <w:rPr>
                <w:rFonts w:hint="eastAsia" w:ascii="宋体" w:hAnsi="宋体" w:eastAsia="宋体" w:cs="宋体"/>
                <w:color w:val="auto"/>
                <w:kern w:val="2"/>
                <w:sz w:val="21"/>
                <w:szCs w:val="22"/>
                <w:highlight w:val="none"/>
                <w:lang w:val="en-US" w:eastAsia="en-US" w:bidi="ar-SA"/>
              </w:rPr>
            </w:pPr>
            <w:r>
              <w:rPr>
                <w:rFonts w:hint="eastAsia" w:ascii="宋体" w:hAnsi="宋体" w:eastAsia="宋体" w:cs="宋体"/>
                <w:color w:val="auto"/>
                <w:kern w:val="2"/>
                <w:sz w:val="21"/>
                <w:szCs w:val="22"/>
                <w:highlight w:val="none"/>
                <w:lang w:val="en-US" w:eastAsia="en-US" w:bidi="ar-SA"/>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2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17"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51"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8"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14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853"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c>
          <w:tcPr>
            <w:tcW w:w="1679" w:type="dxa"/>
          </w:tcPr>
          <w:p>
            <w:pPr>
              <w:widowControl w:val="0"/>
              <w:autoSpaceDE w:val="0"/>
              <w:autoSpaceDN w:val="0"/>
              <w:rPr>
                <w:rFonts w:hint="eastAsia" w:ascii="宋体" w:hAnsi="宋体" w:eastAsia="宋体" w:cs="宋体"/>
                <w:color w:val="auto"/>
                <w:kern w:val="2"/>
                <w:sz w:val="20"/>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widowControl w:val="0"/>
              <w:autoSpaceDE w:val="0"/>
              <w:autoSpaceDN w:val="0"/>
              <w:spacing w:before="85" w:line="357" w:lineRule="auto"/>
              <w:ind w:left="107" w:right="109"/>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一旦我单位中标，将实行项目经理负责制，我方保证并配备上述项目管理机构。上述填报内容真实，若不真实，愿按有关规定接受处理。</w:t>
            </w:r>
          </w:p>
        </w:tc>
      </w:tr>
    </w:tbl>
    <w:p>
      <w:pPr>
        <w:widowControl w:val="0"/>
        <w:autoSpaceDE w:val="0"/>
        <w:autoSpaceDN w:val="0"/>
        <w:spacing w:before="1"/>
        <w:rPr>
          <w:rFonts w:hint="eastAsia" w:ascii="宋体" w:hAnsi="宋体" w:eastAsia="宋体" w:cs="宋体"/>
          <w:b/>
          <w:color w:val="auto"/>
          <w:sz w:val="20"/>
          <w:szCs w:val="21"/>
          <w:highlight w:val="none"/>
          <w:lang w:val="en-US" w:eastAsia="zh-CN" w:bidi="ar-SA"/>
        </w:rPr>
      </w:pPr>
    </w:p>
    <w:p>
      <w:pPr>
        <w:widowControl w:val="0"/>
        <w:autoSpaceDE w:val="0"/>
        <w:autoSpaceDN w:val="0"/>
        <w:spacing w:before="9"/>
        <w:rPr>
          <w:rFonts w:hint="eastAsia" w:ascii="宋体" w:hAnsi="宋体" w:eastAsia="宋体" w:cs="宋体"/>
          <w:color w:val="auto"/>
          <w:sz w:val="26"/>
          <w:szCs w:val="21"/>
          <w:highlight w:val="none"/>
          <w:lang w:val="en-US" w:eastAsia="zh-CN" w:bidi="ar-SA"/>
        </w:rPr>
      </w:pPr>
    </w:p>
    <w:p>
      <w:pPr>
        <w:widowControl w:val="0"/>
        <w:autoSpaceDE w:val="0"/>
        <w:autoSpaceDN w:val="0"/>
        <w:spacing w:before="85" w:line="357" w:lineRule="auto"/>
        <w:ind w:left="107" w:right="109"/>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附：项目经理注册建造师注册证书和安全生产考核合格证书（B  类）的复印件；技术负责人职称证书复印件；专职安全员安全生产考核合格证书（C类）的复印件；施工员、质量员、材料员资格证书复印件；以及以上人员</w:t>
      </w:r>
      <w:r>
        <w:rPr>
          <w:rFonts w:hint="eastAsia" w:ascii="宋体" w:hAnsi="宋体" w:eastAsia="宋体" w:cs="宋体"/>
          <w:color w:val="auto"/>
          <w:spacing w:val="-12"/>
          <w:kern w:val="2"/>
          <w:sz w:val="21"/>
          <w:highlight w:val="none"/>
          <w:lang w:eastAsia="zh-CN"/>
        </w:rPr>
        <w:t xml:space="preserve">近 </w:t>
      </w:r>
      <w:r>
        <w:rPr>
          <w:rFonts w:hint="eastAsia" w:hAnsi="宋体" w:cs="宋体"/>
          <w:color w:val="auto"/>
          <w:spacing w:val="-12"/>
          <w:kern w:val="2"/>
          <w:sz w:val="21"/>
          <w:highlight w:val="none"/>
          <w:lang w:val="en-US" w:eastAsia="zh-CN"/>
        </w:rPr>
        <w:t>1</w:t>
      </w:r>
      <w:r>
        <w:rPr>
          <w:rFonts w:hint="eastAsia" w:ascii="宋体" w:hAnsi="宋体" w:eastAsia="宋体" w:cs="宋体"/>
          <w:color w:val="auto"/>
          <w:kern w:val="2"/>
          <w:sz w:val="21"/>
          <w:highlight w:val="none"/>
          <w:lang w:eastAsia="zh-CN"/>
        </w:rPr>
        <w:t xml:space="preserve"> </w:t>
      </w:r>
      <w:r>
        <w:rPr>
          <w:rFonts w:hint="eastAsia" w:ascii="宋体" w:hAnsi="宋体" w:eastAsia="宋体" w:cs="宋体"/>
          <w:color w:val="auto"/>
          <w:spacing w:val="-33"/>
          <w:kern w:val="2"/>
          <w:sz w:val="21"/>
          <w:highlight w:val="none"/>
          <w:lang w:eastAsia="zh-CN"/>
        </w:rPr>
        <w:t>个月</w:t>
      </w:r>
      <w:r>
        <w:rPr>
          <w:rFonts w:hint="eastAsia" w:ascii="宋体" w:hAnsi="宋体" w:eastAsia="宋体" w:cs="宋体"/>
          <w:color w:val="auto"/>
          <w:kern w:val="2"/>
          <w:sz w:val="21"/>
          <w:highlight w:val="none"/>
          <w:lang w:eastAsia="zh-CN"/>
        </w:rPr>
        <w:t>（ 2023 年</w:t>
      </w:r>
      <w:r>
        <w:rPr>
          <w:rFonts w:hint="eastAsia" w:hAnsi="宋体" w:cs="宋体"/>
          <w:color w:val="auto"/>
          <w:kern w:val="2"/>
          <w:sz w:val="21"/>
          <w:highlight w:val="none"/>
          <w:lang w:val="en-US" w:eastAsia="zh-CN"/>
        </w:rPr>
        <w:t>7</w:t>
      </w:r>
      <w:r>
        <w:rPr>
          <w:rFonts w:hint="eastAsia" w:ascii="宋体" w:hAnsi="宋体" w:eastAsia="宋体" w:cs="宋体"/>
          <w:color w:val="auto"/>
          <w:kern w:val="2"/>
          <w:sz w:val="21"/>
          <w:highlight w:val="none"/>
          <w:lang w:eastAsia="zh-CN"/>
        </w:rPr>
        <w:t>月</w:t>
      </w:r>
      <w:r>
        <w:rPr>
          <w:rFonts w:hint="eastAsia" w:cs="宋体"/>
          <w:color w:val="auto"/>
          <w:kern w:val="2"/>
          <w:sz w:val="21"/>
          <w:highlight w:val="none"/>
          <w:lang w:eastAsia="zh-CN"/>
        </w:rPr>
        <w:t>，</w:t>
      </w:r>
      <w:r>
        <w:rPr>
          <w:rFonts w:hint="eastAsia" w:ascii="宋体" w:hAnsi="宋体" w:eastAsia="宋体" w:cs="宋体"/>
          <w:color w:val="auto"/>
          <w:kern w:val="2"/>
          <w:sz w:val="21"/>
          <w:highlight w:val="none"/>
          <w:lang w:val="en-US" w:eastAsia="zh-CN"/>
        </w:rPr>
        <w:t>2023年7月</w:t>
      </w:r>
      <w:r>
        <w:rPr>
          <w:rFonts w:hint="eastAsia" w:cs="宋体"/>
          <w:color w:val="auto"/>
          <w:kern w:val="2"/>
          <w:sz w:val="21"/>
          <w:highlight w:val="none"/>
          <w:lang w:val="en-US" w:eastAsia="zh-CN"/>
        </w:rPr>
        <w:t>新聘请员工提供劳动合同即可</w:t>
      </w:r>
      <w:r>
        <w:rPr>
          <w:rFonts w:hint="eastAsia" w:ascii="宋体" w:hAnsi="宋体" w:eastAsia="宋体" w:cs="宋体"/>
          <w:color w:val="auto"/>
          <w:kern w:val="2"/>
          <w:sz w:val="21"/>
          <w:highlight w:val="none"/>
          <w:lang w:eastAsia="zh-CN"/>
        </w:rPr>
        <w:t>）</w:t>
      </w:r>
      <w:r>
        <w:rPr>
          <w:rFonts w:hint="eastAsia" w:ascii="宋体" w:hAnsi="宋体" w:eastAsia="宋体" w:cs="宋体"/>
          <w:color w:val="auto"/>
          <w:kern w:val="2"/>
          <w:sz w:val="21"/>
          <w:szCs w:val="22"/>
          <w:highlight w:val="none"/>
          <w:lang w:val="en-US" w:eastAsia="zh-CN" w:bidi="ar-SA"/>
        </w:rPr>
        <w:t xml:space="preserve"> 在现任职单位依法缴纳社会保险的证明材料复印件。</w:t>
      </w:r>
    </w:p>
    <w:p>
      <w:pPr>
        <w:autoSpaceDE w:val="0"/>
        <w:autoSpaceDN w:val="0"/>
        <w:spacing w:line="345" w:lineRule="auto"/>
        <w:ind w:left="138" w:right="255"/>
        <w:jc w:val="both"/>
        <w:rPr>
          <w:rFonts w:hint="eastAsia" w:ascii="宋体" w:hAnsi="宋体" w:eastAsia="宋体" w:cs="宋体"/>
          <w:b/>
          <w:color w:val="auto"/>
          <w:kern w:val="0"/>
          <w:sz w:val="28"/>
          <w:szCs w:val="22"/>
          <w:highlight w:val="none"/>
          <w:lang w:val="en-US" w:eastAsia="zh-CN"/>
        </w:rPr>
      </w:pPr>
    </w:p>
    <w:p>
      <w:pPr>
        <w:autoSpaceDE w:val="0"/>
        <w:autoSpaceDN w:val="0"/>
        <w:spacing w:line="345" w:lineRule="auto"/>
        <w:ind w:left="138" w:right="255"/>
        <w:jc w:val="both"/>
        <w:rPr>
          <w:rFonts w:hint="eastAsia" w:ascii="宋体" w:hAnsi="宋体" w:eastAsia="宋体" w:cs="宋体"/>
          <w:b/>
          <w:color w:val="auto"/>
          <w:kern w:val="0"/>
          <w:sz w:val="28"/>
          <w:szCs w:val="22"/>
          <w:highlight w:val="none"/>
          <w:lang w:val="en-US" w:eastAsia="zh-CN"/>
        </w:rPr>
      </w:pPr>
      <w:r>
        <w:rPr>
          <w:rFonts w:hint="eastAsia" w:ascii="宋体" w:hAnsi="宋体" w:eastAsia="宋体" w:cs="宋体"/>
          <w:b/>
          <w:color w:val="auto"/>
          <w:kern w:val="0"/>
          <w:sz w:val="28"/>
          <w:szCs w:val="22"/>
          <w:highlight w:val="none"/>
          <w:lang w:val="en-US" w:eastAsia="zh-CN"/>
        </w:rPr>
        <w:t>5、企业</w:t>
      </w:r>
      <w:r>
        <w:rPr>
          <w:rFonts w:hint="eastAsia" w:ascii="宋体" w:hAnsi="宋体" w:cs="宋体"/>
          <w:b/>
          <w:color w:val="auto"/>
          <w:kern w:val="0"/>
          <w:sz w:val="28"/>
          <w:szCs w:val="22"/>
          <w:highlight w:val="none"/>
          <w:lang w:val="en-US" w:eastAsia="zh-CN"/>
        </w:rPr>
        <w:t>2022</w:t>
      </w:r>
      <w:r>
        <w:rPr>
          <w:rFonts w:hint="eastAsia" w:ascii="宋体" w:hAnsi="宋体" w:eastAsia="宋体" w:cs="宋体"/>
          <w:b/>
          <w:color w:val="auto"/>
          <w:kern w:val="0"/>
          <w:sz w:val="28"/>
          <w:szCs w:val="22"/>
          <w:highlight w:val="none"/>
          <w:lang w:val="en-US" w:eastAsia="zh-CN"/>
        </w:rPr>
        <w:t>年经审计的财务报告复印件；（新成立的公司按实际情况提供)</w:t>
      </w:r>
    </w:p>
    <w:p>
      <w:pPr>
        <w:autoSpaceDE w:val="0"/>
        <w:autoSpaceDN w:val="0"/>
        <w:spacing w:line="345" w:lineRule="auto"/>
        <w:jc w:val="both"/>
        <w:rPr>
          <w:rFonts w:hint="eastAsia" w:ascii="宋体" w:hAnsi="宋体" w:eastAsia="宋体" w:cs="宋体"/>
          <w:color w:val="auto"/>
          <w:kern w:val="0"/>
          <w:sz w:val="28"/>
          <w:szCs w:val="22"/>
          <w:highlight w:val="none"/>
          <w:lang w:eastAsia="zh-CN"/>
        </w:rPr>
      </w:pPr>
    </w:p>
    <w:p>
      <w:pPr>
        <w:autoSpaceDE w:val="0"/>
        <w:autoSpaceDN w:val="0"/>
        <w:spacing w:line="345" w:lineRule="auto"/>
        <w:ind w:left="138" w:right="255"/>
        <w:jc w:val="both"/>
        <w:rPr>
          <w:rFonts w:hint="eastAsia" w:ascii="宋体" w:hAnsi="宋体" w:eastAsia="宋体" w:cs="宋体"/>
          <w:b/>
          <w:color w:val="auto"/>
          <w:kern w:val="0"/>
          <w:sz w:val="28"/>
          <w:szCs w:val="22"/>
          <w:highlight w:val="none"/>
          <w:lang w:val="en-US" w:eastAsia="zh-CN"/>
        </w:rPr>
      </w:pPr>
      <w:r>
        <w:rPr>
          <w:rFonts w:hint="eastAsia" w:ascii="宋体" w:hAnsi="宋体" w:eastAsia="宋体" w:cs="宋体"/>
          <w:b/>
          <w:color w:val="auto"/>
          <w:kern w:val="0"/>
          <w:sz w:val="28"/>
          <w:szCs w:val="22"/>
          <w:highlight w:val="none"/>
          <w:lang w:val="en-US" w:eastAsia="zh-CN"/>
        </w:rPr>
        <w:t>6、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p>
      <w:pPr>
        <w:rPr>
          <w:rFonts w:hint="eastAsia" w:ascii="宋体" w:hAnsi="宋体" w:eastAsia="宋体" w:cs="宋体"/>
          <w:color w:val="auto"/>
          <w:highlight w:val="none"/>
          <w:lang w:eastAsia="zh-CN"/>
        </w:rPr>
        <w:sectPr>
          <w:pgSz w:w="11910" w:h="16850"/>
          <w:pgMar w:top="1100" w:right="1180" w:bottom="1020" w:left="1660" w:header="877" w:footer="835" w:gutter="0"/>
          <w:pgNumType w:fmt="decimal"/>
          <w:cols w:space="720" w:num="1"/>
        </w:sectPr>
      </w:pPr>
    </w:p>
    <w:p>
      <w:pPr>
        <w:widowControl w:val="0"/>
        <w:autoSpaceDE w:val="0"/>
        <w:autoSpaceDN w:val="0"/>
        <w:rPr>
          <w:rFonts w:hint="eastAsia" w:ascii="宋体" w:hAnsi="宋体" w:eastAsia="宋体" w:cs="宋体"/>
          <w:b/>
          <w:color w:val="auto"/>
          <w:sz w:val="20"/>
          <w:szCs w:val="21"/>
          <w:highlight w:val="none"/>
          <w:lang w:val="en-US" w:eastAsia="zh-CN" w:bidi="ar-SA"/>
        </w:rPr>
      </w:pPr>
    </w:p>
    <w:p>
      <w:pPr>
        <w:autoSpaceDE w:val="0"/>
        <w:autoSpaceDN w:val="0"/>
        <w:spacing w:line="345" w:lineRule="auto"/>
        <w:ind w:left="138" w:right="255"/>
        <w:jc w:val="both"/>
        <w:rPr>
          <w:rFonts w:hint="eastAsia" w:ascii="宋体" w:hAnsi="宋体" w:eastAsia="宋体" w:cs="宋体"/>
          <w:b/>
          <w:color w:val="auto"/>
          <w:kern w:val="0"/>
          <w:sz w:val="28"/>
          <w:szCs w:val="22"/>
          <w:highlight w:val="none"/>
          <w:lang w:val="en-US" w:eastAsia="zh-CN"/>
        </w:rPr>
      </w:pPr>
      <w:r>
        <w:rPr>
          <w:rFonts w:hint="eastAsia" w:ascii="宋体" w:hAnsi="宋体" w:eastAsia="宋体" w:cs="宋体"/>
          <w:b/>
          <w:color w:val="auto"/>
          <w:kern w:val="0"/>
          <w:sz w:val="28"/>
          <w:szCs w:val="22"/>
          <w:highlight w:val="none"/>
          <w:lang w:val="en-US" w:eastAsia="zh-CN"/>
        </w:rPr>
        <w:t>7、参加政府采购活动前3年内在经营活动中无重大违法记录的书面声明</w:t>
      </w:r>
    </w:p>
    <w:p>
      <w:pPr>
        <w:autoSpaceDE w:val="0"/>
        <w:autoSpaceDN w:val="0"/>
        <w:adjustRightInd w:val="0"/>
        <w:snapToGrid w:val="0"/>
        <w:spacing w:line="432" w:lineRule="auto"/>
        <w:jc w:val="left"/>
        <w:rPr>
          <w:rFonts w:hint="eastAsia" w:ascii="宋体" w:hAnsi="宋体" w:eastAsia="宋体" w:cs="宋体"/>
          <w:color w:val="auto"/>
          <w:kern w:val="0"/>
          <w:sz w:val="24"/>
          <w:szCs w:val="22"/>
          <w:highlight w:val="none"/>
          <w:lang w:eastAsia="en-US"/>
        </w:rPr>
      </w:pPr>
    </w:p>
    <w:p>
      <w:pPr>
        <w:autoSpaceDE w:val="0"/>
        <w:autoSpaceDN w:val="0"/>
        <w:adjustRightInd w:val="0"/>
        <w:snapToGrid w:val="0"/>
        <w:spacing w:line="432" w:lineRule="auto"/>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致：</w:t>
      </w:r>
      <w:r>
        <w:rPr>
          <w:rFonts w:hint="eastAsia" w:ascii="宋体" w:hAnsi="宋体" w:eastAsia="宋体" w:cs="宋体"/>
          <w:color w:val="auto"/>
          <w:kern w:val="0"/>
          <w:sz w:val="24"/>
          <w:szCs w:val="22"/>
          <w:highlight w:val="none"/>
          <w:u w:val="single"/>
          <w:lang w:eastAsia="en-US"/>
        </w:rPr>
        <w:t xml:space="preserve"> （</w:t>
      </w:r>
      <w:r>
        <w:rPr>
          <w:rFonts w:hint="eastAsia" w:ascii="宋体" w:hAnsi="宋体" w:eastAsia="宋体" w:cs="宋体"/>
          <w:color w:val="auto"/>
          <w:kern w:val="0"/>
          <w:sz w:val="24"/>
          <w:szCs w:val="22"/>
          <w:highlight w:val="none"/>
          <w:u w:val="single"/>
          <w:lang w:eastAsia="zh-CN"/>
        </w:rPr>
        <w:t>招标</w:t>
      </w:r>
      <w:r>
        <w:rPr>
          <w:rFonts w:hint="eastAsia" w:ascii="宋体" w:hAnsi="宋体" w:eastAsia="宋体" w:cs="宋体"/>
          <w:color w:val="auto"/>
          <w:kern w:val="0"/>
          <w:sz w:val="24"/>
          <w:szCs w:val="22"/>
          <w:highlight w:val="none"/>
          <w:u w:val="single"/>
          <w:lang w:eastAsia="en-US"/>
        </w:rPr>
        <w:t xml:space="preserve">人） </w:t>
      </w: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我单位近三年在经营活动中无重大违法记录（包括：因违法经营受到刑事处罚或者责令停产停业，吊销许可证或者执照、较大数额罚款等行政处罚），且不存在被“信用中国”网站(www.creditchina.gov.cn)、中国政府采购网(www.ccgp.gov.cn)等渠道列入失信被执行人、重大税收违法案件当事人名单、政府采购严重违法失信行为记录名单的情形，特此声明。</w:t>
      </w: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若招标采购单位在本项目采购过程中发现我单位存在上述不良记录的，我单位将无条件地退出本项目的竞标，并承担因此引起的一切后果。</w:t>
      </w:r>
    </w:p>
    <w:p>
      <w:pPr>
        <w:widowControl w:val="0"/>
        <w:autoSpaceDE w:val="0"/>
        <w:autoSpaceDN w:val="0"/>
        <w:spacing w:before="1" w:line="355" w:lineRule="auto"/>
        <w:ind w:left="4444" w:right="399" w:firstLine="736"/>
        <w:rPr>
          <w:rFonts w:hint="eastAsia" w:ascii="宋体" w:hAnsi="宋体" w:eastAsia="宋体" w:cs="宋体"/>
          <w:color w:val="auto"/>
          <w:sz w:val="21"/>
          <w:szCs w:val="21"/>
          <w:highlight w:val="none"/>
          <w:lang w:val="en-US" w:eastAsia="zh-CN" w:bidi="ar-SA"/>
        </w:rPr>
      </w:pP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u w:val="single"/>
          <w:lang w:val="en-US" w:eastAsia="zh-CN" w:bidi="ar-SA"/>
        </w:rPr>
      </w:pPr>
      <w:r>
        <w:rPr>
          <w:rFonts w:hint="eastAsia" w:ascii="宋体" w:hAnsi="宋体" w:eastAsia="宋体" w:cs="宋体"/>
          <w:color w:val="auto"/>
          <w:sz w:val="24"/>
          <w:szCs w:val="24"/>
          <w:highlight w:val="none"/>
          <w:lang w:val="en-US" w:eastAsia="zh-CN" w:bidi="ar-SA"/>
        </w:rPr>
        <w:t>投标人：</w:t>
      </w:r>
      <w:r>
        <w:rPr>
          <w:rFonts w:hint="eastAsia" w:ascii="宋体" w:hAnsi="宋体" w:eastAsia="宋体" w:cs="宋体"/>
          <w:color w:val="auto"/>
          <w:sz w:val="24"/>
          <w:szCs w:val="24"/>
          <w:highlight w:val="none"/>
          <w:u w:val="single"/>
          <w:lang w:val="en-US" w:eastAsia="zh-CN" w:bidi="ar-SA"/>
        </w:rPr>
        <w:t xml:space="preserve"> （投标人名称） （盖章） </w:t>
      </w: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法定代表人或授权代理人：</w:t>
      </w:r>
      <w:r>
        <w:rPr>
          <w:rFonts w:hint="eastAsia" w:ascii="宋体" w:hAnsi="宋体" w:eastAsia="宋体" w:cs="宋体"/>
          <w:color w:val="auto"/>
          <w:sz w:val="24"/>
          <w:szCs w:val="24"/>
          <w:highlight w:val="none"/>
          <w:u w:val="single"/>
          <w:lang w:val="en-US" w:eastAsia="zh-CN" w:bidi="ar-SA"/>
        </w:rPr>
        <w:t xml:space="preserve"> （签字或盖章）</w:t>
      </w:r>
    </w:p>
    <w:p>
      <w:pPr>
        <w:tabs>
          <w:tab w:val="left" w:pos="1048"/>
          <w:tab w:val="left" w:pos="1468"/>
          <w:tab w:val="left" w:pos="1889"/>
        </w:tabs>
        <w:spacing w:before="33"/>
        <w:ind w:right="296" w:firstLine="3510" w:firstLineChars="1500"/>
        <w:jc w:val="both"/>
        <w:rPr>
          <w:rFonts w:hint="eastAsia" w:ascii="宋体" w:hAnsi="宋体" w:eastAsia="宋体" w:cs="宋体"/>
          <w:color w:val="auto"/>
          <w:sz w:val="24"/>
          <w:szCs w:val="24"/>
          <w:highlight w:val="none"/>
          <w:lang w:eastAsia="zh-CN"/>
        </w:rPr>
        <w:sectPr>
          <w:pgSz w:w="11910" w:h="16850"/>
          <w:pgMar w:top="1100" w:right="1300" w:bottom="1020" w:left="1660" w:header="877" w:footer="835" w:gutter="0"/>
          <w:pgNumType w:fmt="decimal"/>
          <w:cols w:space="720" w:num="1"/>
        </w:sectPr>
      </w:pPr>
      <w:r>
        <w:rPr>
          <w:rFonts w:hint="eastAsia" w:ascii="宋体" w:hAnsi="宋体" w:eastAsia="宋体" w:cs="宋体"/>
          <w:color w:val="auto"/>
          <w:spacing w:val="-3"/>
          <w:sz w:val="24"/>
          <w:szCs w:val="24"/>
          <w:highlight w:val="none"/>
          <w:lang w:val="en-US" w:eastAsia="zh-CN" w:bidi="ar-SA"/>
        </w:rPr>
        <w:t>日</w:t>
      </w:r>
      <w:r>
        <w:rPr>
          <w:rFonts w:hint="eastAsia" w:ascii="宋体" w:hAnsi="宋体" w:eastAsia="宋体" w:cs="宋体"/>
          <w:color w:val="auto"/>
          <w:sz w:val="24"/>
          <w:szCs w:val="24"/>
          <w:highlight w:val="none"/>
          <w:lang w:val="en-US" w:eastAsia="zh-CN" w:bidi="ar-SA"/>
        </w:rPr>
        <w:t>期：</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年</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月</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日</w:t>
      </w:r>
    </w:p>
    <w:p>
      <w:pPr>
        <w:autoSpaceDE w:val="0"/>
        <w:autoSpaceDN w:val="0"/>
        <w:spacing w:line="345" w:lineRule="auto"/>
        <w:ind w:left="138" w:right="255"/>
        <w:jc w:val="both"/>
        <w:rPr>
          <w:rFonts w:hint="eastAsia" w:ascii="宋体" w:hAnsi="宋体" w:eastAsia="宋体" w:cs="宋体"/>
          <w:b/>
          <w:color w:val="auto"/>
          <w:kern w:val="0"/>
          <w:sz w:val="28"/>
          <w:szCs w:val="22"/>
          <w:highlight w:val="none"/>
          <w:lang w:val="en-US" w:eastAsia="zh-CN"/>
        </w:rPr>
      </w:pPr>
      <w:r>
        <w:rPr>
          <w:rFonts w:hint="eastAsia" w:ascii="宋体" w:hAnsi="宋体" w:eastAsia="宋体" w:cs="宋体"/>
          <w:b/>
          <w:color w:val="auto"/>
          <w:kern w:val="0"/>
          <w:sz w:val="28"/>
          <w:szCs w:val="22"/>
          <w:highlight w:val="none"/>
          <w:lang w:val="en-US" w:eastAsia="zh-CN"/>
        </w:rPr>
        <w:t>8、参加政府采购活动前3年内投标人及其法定代表人及拟投入的项目经理无行贿犯罪记录的书面承诺；</w:t>
      </w:r>
    </w:p>
    <w:p>
      <w:pPr>
        <w:autoSpaceDE w:val="0"/>
        <w:autoSpaceDN w:val="0"/>
        <w:adjustRightInd w:val="0"/>
        <w:snapToGrid w:val="0"/>
        <w:spacing w:line="432" w:lineRule="auto"/>
        <w:jc w:val="left"/>
        <w:rPr>
          <w:rFonts w:hint="eastAsia" w:ascii="宋体" w:hAnsi="宋体" w:eastAsia="宋体" w:cs="宋体"/>
          <w:color w:val="auto"/>
          <w:kern w:val="0"/>
          <w:sz w:val="24"/>
          <w:szCs w:val="22"/>
          <w:highlight w:val="none"/>
          <w:lang w:eastAsia="en-US"/>
        </w:rPr>
      </w:pPr>
    </w:p>
    <w:p>
      <w:pPr>
        <w:autoSpaceDE w:val="0"/>
        <w:autoSpaceDN w:val="0"/>
        <w:adjustRightInd w:val="0"/>
        <w:snapToGrid w:val="0"/>
        <w:spacing w:line="432" w:lineRule="auto"/>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致：</w:t>
      </w:r>
      <w:r>
        <w:rPr>
          <w:rFonts w:hint="eastAsia" w:ascii="宋体" w:hAnsi="宋体" w:eastAsia="宋体" w:cs="宋体"/>
          <w:color w:val="auto"/>
          <w:kern w:val="0"/>
          <w:sz w:val="24"/>
          <w:szCs w:val="22"/>
          <w:highlight w:val="none"/>
          <w:u w:val="single"/>
          <w:lang w:eastAsia="en-US"/>
        </w:rPr>
        <w:t xml:space="preserve"> （</w:t>
      </w:r>
      <w:r>
        <w:rPr>
          <w:rFonts w:hint="eastAsia" w:ascii="宋体" w:hAnsi="宋体" w:eastAsia="宋体" w:cs="宋体"/>
          <w:color w:val="auto"/>
          <w:kern w:val="0"/>
          <w:sz w:val="24"/>
          <w:szCs w:val="22"/>
          <w:highlight w:val="none"/>
          <w:u w:val="single"/>
          <w:lang w:eastAsia="zh-CN"/>
        </w:rPr>
        <w:t>招标</w:t>
      </w:r>
      <w:r>
        <w:rPr>
          <w:rFonts w:hint="eastAsia" w:ascii="宋体" w:hAnsi="宋体" w:eastAsia="宋体" w:cs="宋体"/>
          <w:color w:val="auto"/>
          <w:kern w:val="0"/>
          <w:sz w:val="24"/>
          <w:szCs w:val="22"/>
          <w:highlight w:val="none"/>
          <w:u w:val="single"/>
          <w:lang w:eastAsia="en-US"/>
        </w:rPr>
        <w:t xml:space="preserve">人） </w:t>
      </w: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近三年在经营活动中我单位及法定代表人及拟投入本项目的项目经理没有行贿犯罪记录，特此声明。</w:t>
      </w:r>
    </w:p>
    <w:p>
      <w:pPr>
        <w:autoSpaceDE w:val="0"/>
        <w:autoSpaceDN w:val="0"/>
        <w:adjustRightInd w:val="0"/>
        <w:snapToGrid w:val="0"/>
        <w:spacing w:line="432" w:lineRule="auto"/>
        <w:ind w:firstLine="360" w:firstLineChars="150"/>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若招标采购单位在本项目采购过程中发现我单位及法定代表人及拟投入本项目的项目经理近三年内在经营活动中有行贿犯罪记录，我单位将无条件地退出本项目的竞标，并承担因此引起的一切后果。</w:t>
      </w: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lang w:val="en-US" w:eastAsia="zh-CN" w:bidi="ar-SA"/>
        </w:rPr>
      </w:pP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lang w:val="en-US" w:eastAsia="zh-CN" w:bidi="ar-SA"/>
        </w:rPr>
      </w:pP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u w:val="single"/>
          <w:lang w:val="en-US" w:eastAsia="zh-CN" w:bidi="ar-SA"/>
        </w:rPr>
      </w:pPr>
      <w:r>
        <w:rPr>
          <w:rFonts w:hint="eastAsia" w:ascii="宋体" w:hAnsi="宋体" w:eastAsia="宋体" w:cs="宋体"/>
          <w:color w:val="auto"/>
          <w:sz w:val="24"/>
          <w:szCs w:val="24"/>
          <w:highlight w:val="none"/>
          <w:lang w:val="en-US" w:eastAsia="zh-CN" w:bidi="ar-SA"/>
        </w:rPr>
        <w:t>投标人：</w:t>
      </w:r>
      <w:r>
        <w:rPr>
          <w:rFonts w:hint="eastAsia" w:ascii="宋体" w:hAnsi="宋体" w:eastAsia="宋体" w:cs="宋体"/>
          <w:color w:val="auto"/>
          <w:sz w:val="24"/>
          <w:szCs w:val="24"/>
          <w:highlight w:val="none"/>
          <w:u w:val="single"/>
          <w:lang w:val="en-US" w:eastAsia="zh-CN" w:bidi="ar-SA"/>
        </w:rPr>
        <w:t xml:space="preserve"> （投标人名称） （盖章） </w:t>
      </w:r>
    </w:p>
    <w:p>
      <w:pPr>
        <w:widowControl w:val="0"/>
        <w:autoSpaceDE w:val="0"/>
        <w:autoSpaceDN w:val="0"/>
        <w:spacing w:before="1" w:line="355" w:lineRule="auto"/>
        <w:ind w:right="399" w:firstLine="3600" w:firstLineChars="15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法定代表人或授权代理人：</w:t>
      </w:r>
      <w:r>
        <w:rPr>
          <w:rFonts w:hint="eastAsia" w:ascii="宋体" w:hAnsi="宋体" w:eastAsia="宋体" w:cs="宋体"/>
          <w:color w:val="auto"/>
          <w:sz w:val="24"/>
          <w:szCs w:val="24"/>
          <w:highlight w:val="none"/>
          <w:u w:val="single"/>
          <w:lang w:val="en-US" w:eastAsia="zh-CN" w:bidi="ar-SA"/>
        </w:rPr>
        <w:t xml:space="preserve"> （签字或盖章）</w:t>
      </w:r>
    </w:p>
    <w:p>
      <w:pPr>
        <w:tabs>
          <w:tab w:val="left" w:pos="1048"/>
          <w:tab w:val="left" w:pos="1468"/>
          <w:tab w:val="left" w:pos="1889"/>
        </w:tabs>
        <w:spacing w:before="33"/>
        <w:ind w:right="296" w:firstLine="3510" w:firstLineChars="1500"/>
        <w:jc w:val="both"/>
        <w:rPr>
          <w:rFonts w:hint="eastAsia" w:ascii="宋体" w:hAnsi="宋体" w:eastAsia="宋体" w:cs="宋体"/>
          <w:color w:val="auto"/>
          <w:sz w:val="24"/>
          <w:szCs w:val="24"/>
          <w:highlight w:val="none"/>
          <w:lang w:eastAsia="zh-CN"/>
        </w:rPr>
        <w:sectPr>
          <w:pgSz w:w="11910" w:h="16850"/>
          <w:pgMar w:top="1100" w:right="1300" w:bottom="1020" w:left="1660" w:header="877" w:footer="835" w:gutter="0"/>
          <w:pgNumType w:fmt="decimal"/>
          <w:cols w:space="720" w:num="1"/>
        </w:sectPr>
      </w:pPr>
      <w:r>
        <w:rPr>
          <w:rFonts w:hint="eastAsia" w:ascii="宋体" w:hAnsi="宋体" w:eastAsia="宋体" w:cs="宋体"/>
          <w:color w:val="auto"/>
          <w:spacing w:val="-3"/>
          <w:sz w:val="24"/>
          <w:szCs w:val="24"/>
          <w:highlight w:val="none"/>
          <w:lang w:val="en-US" w:eastAsia="zh-CN" w:bidi="ar-SA"/>
        </w:rPr>
        <w:t>日</w:t>
      </w:r>
      <w:r>
        <w:rPr>
          <w:rFonts w:hint="eastAsia" w:ascii="宋体" w:hAnsi="宋体" w:eastAsia="宋体" w:cs="宋体"/>
          <w:color w:val="auto"/>
          <w:sz w:val="24"/>
          <w:szCs w:val="24"/>
          <w:highlight w:val="none"/>
          <w:lang w:val="en-US" w:eastAsia="zh-CN" w:bidi="ar-SA"/>
        </w:rPr>
        <w:t>期：</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年</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月</w:t>
      </w:r>
      <w:r>
        <w:rPr>
          <w:rFonts w:hint="eastAsia" w:ascii="宋体" w:hAnsi="宋体" w:eastAsia="宋体" w:cs="宋体"/>
          <w:color w:val="auto"/>
          <w:sz w:val="24"/>
          <w:szCs w:val="24"/>
          <w:highlight w:val="none"/>
          <w:u w:val="single"/>
          <w:lang w:val="en-US" w:eastAsia="zh-CN" w:bidi="ar-SA"/>
        </w:rPr>
        <w:tab/>
      </w:r>
      <w:r>
        <w:rPr>
          <w:rFonts w:hint="eastAsia" w:ascii="宋体" w:hAnsi="宋体" w:eastAsia="宋体" w:cs="宋体"/>
          <w:color w:val="auto"/>
          <w:sz w:val="24"/>
          <w:szCs w:val="24"/>
          <w:highlight w:val="none"/>
          <w:u w:val="single"/>
          <w:lang w:val="en-US" w:eastAsia="zh-CN" w:bidi="ar-SA"/>
        </w:rPr>
        <w:t>日</w:t>
      </w:r>
    </w:p>
    <w:p>
      <w:pPr>
        <w:autoSpaceDE w:val="0"/>
        <w:autoSpaceDN w:val="0"/>
        <w:spacing w:line="345" w:lineRule="auto"/>
        <w:ind w:left="138" w:right="255"/>
        <w:jc w:val="center"/>
        <w:rPr>
          <w:rFonts w:hint="eastAsia" w:ascii="宋体" w:hAnsi="宋体" w:eastAsia="宋体" w:cs="宋体"/>
          <w:b/>
          <w:color w:val="auto"/>
          <w:kern w:val="0"/>
          <w:sz w:val="28"/>
          <w:szCs w:val="22"/>
          <w:highlight w:val="none"/>
          <w:lang w:val="en-US" w:eastAsia="zh-CN"/>
        </w:rPr>
      </w:pPr>
      <w:r>
        <w:rPr>
          <w:rFonts w:hint="eastAsia" w:ascii="宋体" w:hAnsi="宋体" w:eastAsia="宋体" w:cs="宋体"/>
          <w:b/>
          <w:color w:val="auto"/>
          <w:kern w:val="0"/>
          <w:sz w:val="28"/>
          <w:szCs w:val="22"/>
          <w:highlight w:val="none"/>
          <w:lang w:val="en-US" w:eastAsia="zh-CN"/>
        </w:rPr>
        <w:t>9、供应商直接控股、管理关系信息表</w:t>
      </w:r>
    </w:p>
    <w:p>
      <w:pPr>
        <w:widowControl w:val="0"/>
        <w:autoSpaceDE w:val="0"/>
        <w:autoSpaceDN w:val="0"/>
        <w:spacing w:before="54" w:line="679" w:lineRule="auto"/>
        <w:ind w:left="0" w:right="50" w:firstLine="0"/>
        <w:jc w:val="center"/>
        <w:outlineLvl w:val="5"/>
        <w:rPr>
          <w:rFonts w:hint="eastAsia" w:ascii="宋体" w:hAnsi="宋体" w:eastAsia="宋体" w:cs="宋体"/>
          <w:b/>
          <w:bCs/>
          <w:color w:val="auto"/>
          <w:sz w:val="28"/>
          <w:szCs w:val="28"/>
          <w:highlight w:val="none"/>
          <w:lang w:val="en-US" w:eastAsia="en-US" w:bidi="ar-SA"/>
        </w:rPr>
      </w:pPr>
      <w:r>
        <w:rPr>
          <w:rFonts w:hint="eastAsia" w:ascii="宋体" w:hAnsi="宋体" w:eastAsia="宋体" w:cs="宋体"/>
          <w:b/>
          <w:bCs/>
          <w:color w:val="auto"/>
          <w:sz w:val="28"/>
          <w:szCs w:val="28"/>
          <w:highlight w:val="none"/>
          <w:lang w:val="en-US" w:eastAsia="en-US" w:bidi="ar-SA"/>
        </w:rPr>
        <w:t>供应商直接控股股东信息表</w:t>
      </w:r>
    </w:p>
    <w:tbl>
      <w:tblPr>
        <w:tblStyle w:val="47"/>
        <w:tblW w:w="92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385"/>
        <w:gridCol w:w="1235"/>
        <w:gridCol w:w="392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widowControl w:val="0"/>
              <w:autoSpaceDE w:val="0"/>
              <w:autoSpaceDN w:val="0"/>
              <w:spacing w:before="199"/>
              <w:ind w:left="179" w:right="168"/>
              <w:jc w:val="center"/>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序号</w:t>
            </w:r>
          </w:p>
        </w:tc>
        <w:tc>
          <w:tcPr>
            <w:tcW w:w="2385" w:type="dxa"/>
            <w:noWrap w:val="0"/>
            <w:vAlign w:val="top"/>
          </w:tcPr>
          <w:p>
            <w:pPr>
              <w:widowControl w:val="0"/>
              <w:autoSpaceDE w:val="0"/>
              <w:autoSpaceDN w:val="0"/>
              <w:spacing w:before="199"/>
              <w:ind w:left="362"/>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直接控股股东名称</w:t>
            </w:r>
          </w:p>
        </w:tc>
        <w:tc>
          <w:tcPr>
            <w:tcW w:w="1235" w:type="dxa"/>
            <w:noWrap w:val="0"/>
            <w:vAlign w:val="top"/>
          </w:tcPr>
          <w:p>
            <w:pPr>
              <w:widowControl w:val="0"/>
              <w:autoSpaceDE w:val="0"/>
              <w:autoSpaceDN w:val="0"/>
              <w:spacing w:before="199"/>
              <w:jc w:val="center"/>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出资比例</w:t>
            </w:r>
          </w:p>
        </w:tc>
        <w:tc>
          <w:tcPr>
            <w:tcW w:w="3920" w:type="dxa"/>
            <w:noWrap w:val="0"/>
            <w:vAlign w:val="top"/>
          </w:tcPr>
          <w:p>
            <w:pPr>
              <w:widowControl w:val="0"/>
              <w:autoSpaceDE w:val="0"/>
              <w:autoSpaceDN w:val="0"/>
              <w:spacing w:before="199"/>
              <w:jc w:val="center"/>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身份证号码或者统一社会信用代码</w:t>
            </w:r>
          </w:p>
        </w:tc>
        <w:tc>
          <w:tcPr>
            <w:tcW w:w="796" w:type="dxa"/>
            <w:noWrap w:val="0"/>
            <w:vAlign w:val="top"/>
          </w:tcPr>
          <w:p>
            <w:pPr>
              <w:widowControl w:val="0"/>
              <w:autoSpaceDE w:val="0"/>
              <w:autoSpaceDN w:val="0"/>
              <w:spacing w:before="199"/>
              <w:ind w:left="197"/>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1" w:type="dxa"/>
            <w:noWrap w:val="0"/>
            <w:vAlign w:val="top"/>
          </w:tcPr>
          <w:p>
            <w:pPr>
              <w:widowControl w:val="0"/>
              <w:autoSpaceDE w:val="0"/>
              <w:autoSpaceDN w:val="0"/>
              <w:spacing w:before="199"/>
              <w:ind w:left="7"/>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1</w:t>
            </w:r>
          </w:p>
        </w:tc>
        <w:tc>
          <w:tcPr>
            <w:tcW w:w="238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23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920"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796"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widowControl w:val="0"/>
              <w:autoSpaceDE w:val="0"/>
              <w:autoSpaceDN w:val="0"/>
              <w:spacing w:before="199"/>
              <w:ind w:left="7"/>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2</w:t>
            </w:r>
          </w:p>
        </w:tc>
        <w:tc>
          <w:tcPr>
            <w:tcW w:w="238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23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920"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796"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widowControl w:val="0"/>
              <w:autoSpaceDE w:val="0"/>
              <w:autoSpaceDN w:val="0"/>
              <w:spacing w:before="199"/>
              <w:ind w:left="7"/>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3</w:t>
            </w:r>
          </w:p>
        </w:tc>
        <w:tc>
          <w:tcPr>
            <w:tcW w:w="238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23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920"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796"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41" w:type="dxa"/>
            <w:noWrap w:val="0"/>
            <w:vAlign w:val="top"/>
          </w:tcPr>
          <w:p>
            <w:pPr>
              <w:widowControl w:val="0"/>
              <w:autoSpaceDE w:val="0"/>
              <w:autoSpaceDN w:val="0"/>
              <w:spacing w:before="199"/>
              <w:ind w:left="176" w:right="169"/>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w:t>
            </w:r>
          </w:p>
        </w:tc>
        <w:tc>
          <w:tcPr>
            <w:tcW w:w="238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235"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920"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796"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bl>
    <w:p>
      <w:pPr>
        <w:autoSpaceDE w:val="0"/>
        <w:autoSpaceDN w:val="0"/>
        <w:spacing w:line="360" w:lineRule="auto"/>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注：</w:t>
      </w:r>
    </w:p>
    <w:p>
      <w:pPr>
        <w:tabs>
          <w:tab w:val="left" w:pos="1468"/>
        </w:tabs>
        <w:autoSpaceDE w:val="0"/>
        <w:autoSpaceDN w:val="0"/>
        <w:spacing w:line="360" w:lineRule="auto"/>
        <w:ind w:firstLine="480" w:firstLineChars="200"/>
        <w:jc w:val="both"/>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tabs>
          <w:tab w:val="left" w:pos="1468"/>
        </w:tabs>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2.本表所指的控股关系仅限于直接控股关系，不包括间接的控股关系。公司实际控制人与公司之间的关系不属于本表所指的直接控股关系。</w:t>
      </w:r>
    </w:p>
    <w:p>
      <w:pPr>
        <w:tabs>
          <w:tab w:val="left" w:pos="1468"/>
        </w:tabs>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3.供应商不存在直接控股股东的，则填“无”。</w:t>
      </w: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spacing w:before="12"/>
        <w:rPr>
          <w:rFonts w:hint="eastAsia" w:ascii="宋体" w:hAnsi="宋体" w:eastAsia="宋体" w:cs="宋体"/>
          <w:color w:val="auto"/>
          <w:sz w:val="31"/>
          <w:szCs w:val="21"/>
          <w:highlight w:val="none"/>
          <w:lang w:val="en-US" w:eastAsia="zh-CN" w:bidi="ar-SA"/>
        </w:rPr>
      </w:pPr>
    </w:p>
    <w:p>
      <w:pPr>
        <w:widowControl w:val="0"/>
        <w:autoSpaceDE w:val="0"/>
        <w:autoSpaceDN w:val="0"/>
        <w:spacing w:before="1"/>
        <w:rPr>
          <w:rFonts w:hint="eastAsia" w:ascii="宋体" w:hAnsi="宋体" w:eastAsia="宋体" w:cs="宋体"/>
          <w:color w:val="auto"/>
          <w:sz w:val="21"/>
          <w:szCs w:val="21"/>
          <w:highlight w:val="none"/>
          <w:lang w:val="en-US" w:eastAsia="zh-CN" w:bidi="ar-SA"/>
        </w:rPr>
      </w:pPr>
    </w:p>
    <w:p>
      <w:pPr>
        <w:tabs>
          <w:tab w:val="left" w:pos="8243"/>
          <w:tab w:val="left" w:pos="8963"/>
        </w:tabs>
        <w:autoSpaceDE w:val="0"/>
        <w:autoSpaceDN w:val="0"/>
        <w:spacing w:before="201" w:line="364" w:lineRule="auto"/>
        <w:ind w:right="1421" w:firstLine="4320" w:firstLineChars="18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单位名称（盖公章）：</w:t>
      </w:r>
      <w:r>
        <w:rPr>
          <w:rFonts w:hint="eastAsia" w:ascii="宋体" w:hAnsi="宋体" w:eastAsia="宋体" w:cs="宋体"/>
          <w:color w:val="auto"/>
          <w:kern w:val="0"/>
          <w:sz w:val="24"/>
          <w:szCs w:val="22"/>
          <w:highlight w:val="none"/>
          <w:u w:val="single"/>
          <w:lang w:eastAsia="zh-CN"/>
        </w:rPr>
        <w:t xml:space="preserve"> </w:t>
      </w:r>
      <w:r>
        <w:rPr>
          <w:rFonts w:hint="eastAsia" w:ascii="宋体" w:hAnsi="宋体" w:eastAsia="宋体" w:cs="宋体"/>
          <w:color w:val="auto"/>
          <w:kern w:val="0"/>
          <w:sz w:val="24"/>
          <w:szCs w:val="22"/>
          <w:highlight w:val="none"/>
          <w:u w:val="single"/>
          <w:lang w:eastAsia="zh-CN"/>
        </w:rPr>
        <w:tab/>
      </w:r>
    </w:p>
    <w:p>
      <w:pPr>
        <w:tabs>
          <w:tab w:val="left" w:pos="7347"/>
          <w:tab w:val="left" w:pos="8068"/>
        </w:tabs>
        <w:autoSpaceDE w:val="0"/>
        <w:autoSpaceDN w:val="0"/>
        <w:spacing w:before="2"/>
        <w:ind w:left="6627"/>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年</w:t>
      </w:r>
      <w:r>
        <w:rPr>
          <w:rFonts w:hint="eastAsia" w:ascii="宋体" w:hAnsi="宋体" w:eastAsia="宋体" w:cs="宋体"/>
          <w:color w:val="auto"/>
          <w:kern w:val="0"/>
          <w:sz w:val="24"/>
          <w:szCs w:val="22"/>
          <w:highlight w:val="none"/>
          <w:lang w:eastAsia="zh-CN"/>
        </w:rPr>
        <w:tab/>
      </w:r>
      <w:r>
        <w:rPr>
          <w:rFonts w:hint="eastAsia" w:ascii="宋体" w:hAnsi="宋体" w:eastAsia="宋体" w:cs="宋体"/>
          <w:color w:val="auto"/>
          <w:kern w:val="0"/>
          <w:sz w:val="24"/>
          <w:szCs w:val="22"/>
          <w:highlight w:val="none"/>
          <w:lang w:eastAsia="zh-CN"/>
        </w:rPr>
        <w:t>月</w:t>
      </w:r>
      <w:r>
        <w:rPr>
          <w:rFonts w:hint="eastAsia" w:ascii="宋体" w:hAnsi="宋体" w:eastAsia="宋体" w:cs="宋体"/>
          <w:color w:val="auto"/>
          <w:kern w:val="0"/>
          <w:sz w:val="24"/>
          <w:szCs w:val="22"/>
          <w:highlight w:val="none"/>
          <w:lang w:eastAsia="zh-CN"/>
        </w:rPr>
        <w:tab/>
      </w:r>
      <w:r>
        <w:rPr>
          <w:rFonts w:hint="eastAsia" w:ascii="宋体" w:hAnsi="宋体" w:eastAsia="宋体" w:cs="宋体"/>
          <w:color w:val="auto"/>
          <w:kern w:val="0"/>
          <w:sz w:val="24"/>
          <w:szCs w:val="22"/>
          <w:highlight w:val="none"/>
          <w:lang w:eastAsia="zh-CN"/>
        </w:rPr>
        <w:t>日</w:t>
      </w:r>
    </w:p>
    <w:p>
      <w:pPr>
        <w:jc w:val="center"/>
        <w:rPr>
          <w:rFonts w:hint="eastAsia" w:ascii="宋体" w:hAnsi="宋体" w:cs="宋体"/>
          <w:sz w:val="21"/>
          <w:szCs w:val="21"/>
          <w:highlight w:val="none"/>
        </w:rPr>
      </w:pPr>
      <w:r>
        <w:rPr>
          <w:rFonts w:hint="eastAsia" w:ascii="宋体" w:hAnsi="宋体" w:eastAsia="宋体" w:cs="宋体"/>
          <w:color w:val="auto"/>
          <w:kern w:val="0"/>
          <w:sz w:val="24"/>
          <w:szCs w:val="22"/>
          <w:highlight w:val="none"/>
          <w:lang w:eastAsia="zh-CN"/>
        </w:rPr>
        <w:br w:type="page"/>
      </w:r>
    </w:p>
    <w:p>
      <w:pPr>
        <w:rPr>
          <w:rFonts w:hint="eastAsia" w:ascii="宋体" w:hAnsi="宋体" w:eastAsia="宋体" w:cs="宋体"/>
          <w:b/>
          <w:bCs/>
          <w:color w:val="auto"/>
          <w:kern w:val="2"/>
          <w:sz w:val="28"/>
          <w:szCs w:val="28"/>
          <w:highlight w:val="none"/>
          <w:lang w:val="en-US" w:eastAsia="zh-CN" w:bidi="ar-SA"/>
        </w:rPr>
      </w:pPr>
    </w:p>
    <w:p>
      <w:pPr>
        <w:autoSpaceDE w:val="0"/>
        <w:autoSpaceDN w:val="0"/>
        <w:jc w:val="center"/>
        <w:rPr>
          <w:rFonts w:hint="eastAsia" w:ascii="宋体" w:hAnsi="宋体" w:eastAsia="宋体" w:cs="宋体"/>
          <w:color w:val="auto"/>
          <w:kern w:val="0"/>
          <w:sz w:val="22"/>
          <w:szCs w:val="22"/>
          <w:highlight w:val="none"/>
          <w:lang w:eastAsia="en-US"/>
        </w:rPr>
      </w:pPr>
      <w:r>
        <w:rPr>
          <w:rFonts w:hint="eastAsia" w:ascii="宋体" w:hAnsi="宋体" w:eastAsia="宋体" w:cs="宋体"/>
          <w:b/>
          <w:bCs/>
          <w:color w:val="auto"/>
          <w:kern w:val="2"/>
          <w:sz w:val="28"/>
          <w:szCs w:val="28"/>
          <w:highlight w:val="none"/>
          <w:lang w:val="en-US" w:eastAsia="zh-CN" w:bidi="ar-SA"/>
        </w:rPr>
        <w:t>供应商直接管理关系信息表</w:t>
      </w:r>
    </w:p>
    <w:p>
      <w:pPr>
        <w:widowControl w:val="0"/>
        <w:autoSpaceDE w:val="0"/>
        <w:autoSpaceDN w:val="0"/>
        <w:rPr>
          <w:rFonts w:hint="eastAsia" w:ascii="宋体" w:hAnsi="宋体" w:eastAsia="宋体" w:cs="宋体"/>
          <w:b/>
          <w:color w:val="auto"/>
          <w:sz w:val="20"/>
          <w:szCs w:val="21"/>
          <w:highlight w:val="none"/>
          <w:lang w:val="en-US" w:eastAsia="zh-CN" w:bidi="ar-SA"/>
        </w:rPr>
      </w:pPr>
    </w:p>
    <w:tbl>
      <w:tblPr>
        <w:tblStyle w:val="47"/>
        <w:tblW w:w="905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37"/>
        <w:gridCol w:w="319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widowControl w:val="0"/>
              <w:autoSpaceDE w:val="0"/>
              <w:autoSpaceDN w:val="0"/>
              <w:spacing w:before="199"/>
              <w:ind w:left="143" w:right="129"/>
              <w:jc w:val="center"/>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序号</w:t>
            </w:r>
          </w:p>
        </w:tc>
        <w:tc>
          <w:tcPr>
            <w:tcW w:w="3237" w:type="dxa"/>
            <w:noWrap w:val="0"/>
            <w:vAlign w:val="top"/>
          </w:tcPr>
          <w:p>
            <w:pPr>
              <w:widowControl w:val="0"/>
              <w:autoSpaceDE w:val="0"/>
              <w:autoSpaceDN w:val="0"/>
              <w:spacing w:before="199"/>
              <w:ind w:left="597"/>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直接管理关系单位名称</w:t>
            </w:r>
          </w:p>
        </w:tc>
        <w:tc>
          <w:tcPr>
            <w:tcW w:w="3199" w:type="dxa"/>
            <w:noWrap w:val="0"/>
            <w:vAlign w:val="top"/>
          </w:tcPr>
          <w:p>
            <w:pPr>
              <w:widowControl w:val="0"/>
              <w:autoSpaceDE w:val="0"/>
              <w:autoSpaceDN w:val="0"/>
              <w:spacing w:before="199"/>
              <w:ind w:left="815"/>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统一社会信用代码</w:t>
            </w:r>
          </w:p>
        </w:tc>
        <w:tc>
          <w:tcPr>
            <w:tcW w:w="1517" w:type="dxa"/>
            <w:tcBorders>
              <w:right w:val="single" w:color="000000" w:sz="6" w:space="0"/>
            </w:tcBorders>
            <w:noWrap w:val="0"/>
            <w:vAlign w:val="top"/>
          </w:tcPr>
          <w:p>
            <w:pPr>
              <w:widowControl w:val="0"/>
              <w:autoSpaceDE w:val="0"/>
              <w:autoSpaceDN w:val="0"/>
              <w:spacing w:before="199"/>
              <w:ind w:left="582" w:right="570"/>
              <w:jc w:val="center"/>
              <w:rPr>
                <w:rFonts w:hint="eastAsia" w:ascii="宋体" w:hAnsi="宋体" w:eastAsia="宋体" w:cs="宋体"/>
                <w:b/>
                <w:color w:val="auto"/>
                <w:sz w:val="24"/>
                <w:szCs w:val="22"/>
                <w:highlight w:val="none"/>
                <w:lang w:val="en-US" w:eastAsia="en-US" w:bidi="ar-SA"/>
              </w:rPr>
            </w:pPr>
            <w:r>
              <w:rPr>
                <w:rFonts w:hint="eastAsia" w:ascii="宋体" w:hAnsi="宋体" w:eastAsia="宋体" w:cs="宋体"/>
                <w:b/>
                <w:color w:val="auto"/>
                <w:sz w:val="24"/>
                <w:szCs w:val="22"/>
                <w:highlight w:val="none"/>
                <w:lang w:val="en-US" w:eastAsia="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widowControl w:val="0"/>
              <w:autoSpaceDE w:val="0"/>
              <w:autoSpaceDN w:val="0"/>
              <w:spacing w:before="199"/>
              <w:ind w:left="9"/>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1</w:t>
            </w:r>
          </w:p>
        </w:tc>
        <w:tc>
          <w:tcPr>
            <w:tcW w:w="3237"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199"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517" w:type="dxa"/>
            <w:tcBorders>
              <w:right w:val="single" w:color="000000" w:sz="6" w:space="0"/>
            </w:tcBorders>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04" w:type="dxa"/>
            <w:noWrap w:val="0"/>
            <w:vAlign w:val="top"/>
          </w:tcPr>
          <w:p>
            <w:pPr>
              <w:widowControl w:val="0"/>
              <w:autoSpaceDE w:val="0"/>
              <w:autoSpaceDN w:val="0"/>
              <w:spacing w:before="201"/>
              <w:ind w:left="9"/>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2</w:t>
            </w:r>
          </w:p>
        </w:tc>
        <w:tc>
          <w:tcPr>
            <w:tcW w:w="3237"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199"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517" w:type="dxa"/>
            <w:tcBorders>
              <w:right w:val="single" w:color="000000" w:sz="6" w:space="0"/>
            </w:tcBorders>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104" w:type="dxa"/>
            <w:noWrap w:val="0"/>
            <w:vAlign w:val="top"/>
          </w:tcPr>
          <w:p>
            <w:pPr>
              <w:widowControl w:val="0"/>
              <w:autoSpaceDE w:val="0"/>
              <w:autoSpaceDN w:val="0"/>
              <w:spacing w:before="199"/>
              <w:ind w:left="9"/>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3</w:t>
            </w:r>
          </w:p>
        </w:tc>
        <w:tc>
          <w:tcPr>
            <w:tcW w:w="3237"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199"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517" w:type="dxa"/>
            <w:tcBorders>
              <w:right w:val="single" w:color="000000" w:sz="6" w:space="0"/>
            </w:tcBorders>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104" w:type="dxa"/>
            <w:noWrap w:val="0"/>
            <w:vAlign w:val="top"/>
          </w:tcPr>
          <w:p>
            <w:pPr>
              <w:widowControl w:val="0"/>
              <w:autoSpaceDE w:val="0"/>
              <w:autoSpaceDN w:val="0"/>
              <w:spacing w:before="199"/>
              <w:ind w:left="139" w:right="130"/>
              <w:jc w:val="center"/>
              <w:rPr>
                <w:rFonts w:hint="eastAsia" w:ascii="宋体" w:hAnsi="宋体" w:eastAsia="宋体" w:cs="宋体"/>
                <w:color w:val="auto"/>
                <w:sz w:val="24"/>
                <w:szCs w:val="22"/>
                <w:highlight w:val="none"/>
                <w:lang w:val="en-US" w:eastAsia="en-US" w:bidi="ar-SA"/>
              </w:rPr>
            </w:pPr>
            <w:r>
              <w:rPr>
                <w:rFonts w:hint="eastAsia" w:ascii="宋体" w:hAnsi="宋体" w:eastAsia="宋体" w:cs="宋体"/>
                <w:color w:val="auto"/>
                <w:sz w:val="24"/>
                <w:szCs w:val="22"/>
                <w:highlight w:val="none"/>
                <w:lang w:val="en-US" w:eastAsia="en-US" w:bidi="ar-SA"/>
              </w:rPr>
              <w:t>……</w:t>
            </w:r>
          </w:p>
        </w:tc>
        <w:tc>
          <w:tcPr>
            <w:tcW w:w="3237"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3199" w:type="dxa"/>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c>
          <w:tcPr>
            <w:tcW w:w="1517" w:type="dxa"/>
            <w:tcBorders>
              <w:right w:val="single" w:color="000000" w:sz="6" w:space="0"/>
            </w:tcBorders>
            <w:noWrap w:val="0"/>
            <w:vAlign w:val="top"/>
          </w:tcPr>
          <w:p>
            <w:pPr>
              <w:widowControl w:val="0"/>
              <w:autoSpaceDE w:val="0"/>
              <w:autoSpaceDN w:val="0"/>
              <w:rPr>
                <w:rFonts w:hint="eastAsia" w:ascii="宋体" w:hAnsi="宋体" w:eastAsia="宋体" w:cs="宋体"/>
                <w:color w:val="auto"/>
                <w:sz w:val="24"/>
                <w:szCs w:val="22"/>
                <w:highlight w:val="none"/>
                <w:lang w:val="en-US" w:eastAsia="en-US" w:bidi="ar-SA"/>
              </w:rPr>
            </w:pPr>
          </w:p>
        </w:tc>
      </w:tr>
    </w:tbl>
    <w:p>
      <w:pPr>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en-US"/>
        </w:rPr>
      </w:pPr>
      <w:r>
        <w:rPr>
          <w:rFonts w:hint="eastAsia" w:ascii="宋体" w:hAnsi="宋体" w:eastAsia="宋体" w:cs="宋体"/>
          <w:color w:val="auto"/>
          <w:kern w:val="0"/>
          <w:sz w:val="24"/>
          <w:szCs w:val="22"/>
          <w:highlight w:val="none"/>
          <w:lang w:eastAsia="en-US"/>
        </w:rPr>
        <w:t>注：</w:t>
      </w:r>
    </w:p>
    <w:p>
      <w:pPr>
        <w:tabs>
          <w:tab w:val="left" w:pos="1468"/>
        </w:tabs>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1.管理关系：是指不具有出资持股关系的其他单位之间存在的管理与被管理关系，如一些上下级关系的事业单位和团体组织。</w:t>
      </w:r>
    </w:p>
    <w:p>
      <w:pPr>
        <w:tabs>
          <w:tab w:val="left" w:pos="1468"/>
        </w:tabs>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2.本表所指的管理关系仅限于直接管理关系，不包括间接的管理关系。</w:t>
      </w:r>
    </w:p>
    <w:p>
      <w:pPr>
        <w:tabs>
          <w:tab w:val="left" w:pos="1468"/>
        </w:tabs>
        <w:autoSpaceDE w:val="0"/>
        <w:autoSpaceDN w:val="0"/>
        <w:spacing w:line="360" w:lineRule="auto"/>
        <w:ind w:firstLine="480" w:firstLineChars="2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3.供应商不存在直接管理关系的，则填“无”。</w:t>
      </w:r>
    </w:p>
    <w:p>
      <w:pPr>
        <w:widowControl w:val="0"/>
        <w:tabs>
          <w:tab w:val="left" w:pos="425"/>
        </w:tabs>
        <w:autoSpaceDE w:val="0"/>
        <w:autoSpaceDN w:val="0"/>
        <w:spacing w:before="15"/>
        <w:ind w:left="138"/>
        <w:outlineLvl w:val="3"/>
        <w:rPr>
          <w:rFonts w:hint="eastAsia" w:ascii="宋体" w:hAnsi="宋体" w:eastAsia="宋体" w:cs="宋体"/>
          <w:b/>
          <w:bCs/>
          <w:color w:val="auto"/>
          <w:sz w:val="28"/>
          <w:szCs w:val="28"/>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widowControl w:val="0"/>
        <w:autoSpaceDE w:val="0"/>
        <w:autoSpaceDN w:val="0"/>
        <w:rPr>
          <w:rFonts w:hint="eastAsia" w:ascii="宋体" w:hAnsi="宋体" w:eastAsia="宋体" w:cs="宋体"/>
          <w:color w:val="auto"/>
          <w:sz w:val="24"/>
          <w:szCs w:val="21"/>
          <w:highlight w:val="none"/>
          <w:lang w:val="en-US" w:eastAsia="zh-CN" w:bidi="ar-SA"/>
        </w:rPr>
      </w:pPr>
    </w:p>
    <w:p>
      <w:pPr>
        <w:tabs>
          <w:tab w:val="left" w:pos="8243"/>
          <w:tab w:val="left" w:pos="8963"/>
        </w:tabs>
        <w:autoSpaceDE w:val="0"/>
        <w:autoSpaceDN w:val="0"/>
        <w:spacing w:before="201" w:line="364" w:lineRule="auto"/>
        <w:ind w:right="1421" w:firstLine="4320" w:firstLineChars="1800"/>
        <w:jc w:val="left"/>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lang w:eastAsia="zh-CN"/>
        </w:rPr>
        <w:t>单位名称（盖公章）：</w:t>
      </w:r>
      <w:r>
        <w:rPr>
          <w:rFonts w:hint="eastAsia" w:ascii="宋体" w:hAnsi="宋体" w:eastAsia="宋体" w:cs="宋体"/>
          <w:color w:val="auto"/>
          <w:kern w:val="0"/>
          <w:sz w:val="24"/>
          <w:szCs w:val="22"/>
          <w:highlight w:val="none"/>
          <w:u w:val="single"/>
          <w:lang w:eastAsia="zh-CN"/>
        </w:rPr>
        <w:t xml:space="preserve"> </w:t>
      </w:r>
      <w:r>
        <w:rPr>
          <w:rFonts w:hint="eastAsia" w:ascii="宋体" w:hAnsi="宋体" w:eastAsia="宋体" w:cs="宋体"/>
          <w:color w:val="auto"/>
          <w:kern w:val="0"/>
          <w:sz w:val="24"/>
          <w:szCs w:val="22"/>
          <w:highlight w:val="none"/>
          <w:u w:val="single"/>
          <w:lang w:eastAsia="zh-CN"/>
        </w:rPr>
        <w:tab/>
      </w:r>
    </w:p>
    <w:p>
      <w:pPr>
        <w:tabs>
          <w:tab w:val="left" w:pos="7347"/>
          <w:tab w:val="left" w:pos="8068"/>
        </w:tabs>
        <w:spacing w:before="2"/>
        <w:ind w:left="6627"/>
        <w:rPr>
          <w:rFonts w:hint="eastAsia" w:ascii="宋体" w:hAnsi="宋体" w:eastAsia="宋体" w:cs="宋体"/>
          <w:color w:val="auto"/>
          <w:highlight w:val="none"/>
          <w:lang w:val="en-US"/>
        </w:rPr>
        <w:sectPr>
          <w:footerReference r:id="rId10" w:type="default"/>
          <w:footerReference r:id="rId11" w:type="even"/>
          <w:pgSz w:w="11910" w:h="16840"/>
          <w:pgMar w:top="1134" w:right="1417" w:bottom="1134" w:left="1417" w:header="0" w:footer="1201" w:gutter="0"/>
          <w:pgNumType w:fmt="decimal"/>
          <w:cols w:space="720" w:num="1"/>
          <w:rtlGutter w:val="0"/>
        </w:sectPr>
      </w:pPr>
      <w:r>
        <w:rPr>
          <w:rFonts w:hint="eastAsia" w:ascii="宋体" w:hAnsi="宋体" w:eastAsia="宋体" w:cs="宋体"/>
          <w:color w:val="auto"/>
          <w:kern w:val="0"/>
          <w:sz w:val="24"/>
          <w:szCs w:val="22"/>
          <w:highlight w:val="none"/>
          <w:lang w:eastAsia="zh-CN"/>
        </w:rPr>
        <w:t>年</w:t>
      </w:r>
      <w:r>
        <w:rPr>
          <w:rFonts w:hint="eastAsia" w:ascii="宋体" w:hAnsi="宋体" w:eastAsia="宋体" w:cs="宋体"/>
          <w:color w:val="auto"/>
          <w:kern w:val="0"/>
          <w:sz w:val="24"/>
          <w:szCs w:val="22"/>
          <w:highlight w:val="none"/>
          <w:lang w:eastAsia="zh-CN"/>
        </w:rPr>
        <w:tab/>
      </w:r>
      <w:r>
        <w:rPr>
          <w:rFonts w:hint="eastAsia" w:ascii="宋体" w:hAnsi="宋体" w:eastAsia="宋体" w:cs="宋体"/>
          <w:color w:val="auto"/>
          <w:kern w:val="0"/>
          <w:sz w:val="24"/>
          <w:szCs w:val="22"/>
          <w:highlight w:val="none"/>
          <w:lang w:eastAsia="zh-CN"/>
        </w:rPr>
        <w:t>月</w:t>
      </w:r>
      <w:r>
        <w:rPr>
          <w:rFonts w:hint="eastAsia" w:ascii="宋体" w:hAnsi="宋体" w:eastAsia="宋体" w:cs="宋体"/>
          <w:color w:val="auto"/>
          <w:kern w:val="0"/>
          <w:sz w:val="24"/>
          <w:szCs w:val="22"/>
          <w:highlight w:val="none"/>
          <w:lang w:eastAsia="zh-CN"/>
        </w:rPr>
        <w:tab/>
      </w:r>
      <w:r>
        <w:rPr>
          <w:rFonts w:hint="eastAsia" w:ascii="宋体" w:hAnsi="宋体" w:eastAsia="宋体" w:cs="宋体"/>
          <w:color w:val="auto"/>
          <w:kern w:val="0"/>
          <w:sz w:val="24"/>
          <w:szCs w:val="22"/>
          <w:highlight w:val="none"/>
          <w:lang w:val="en-US" w:eastAsia="zh-CN"/>
        </w:rPr>
        <w:t>日</w:t>
      </w:r>
    </w:p>
    <w:p>
      <w:pPr>
        <w:pStyle w:val="13"/>
        <w:ind w:left="-1" w:leftChars="-1" w:hanging="2" w:firstLineChars="0"/>
        <w:jc w:val="center"/>
        <w:rPr>
          <w:rFonts w:hint="eastAsia" w:ascii="宋体" w:hAnsi="宋体" w:cs="宋体"/>
          <w:b/>
          <w:w w:val="99"/>
          <w:kern w:val="0"/>
          <w:szCs w:val="28"/>
          <w:highlight w:val="none"/>
        </w:rPr>
      </w:pPr>
      <w:bookmarkStart w:id="771" w:name="_Toc10617"/>
      <w:bookmarkStart w:id="772" w:name="_Toc9093"/>
      <w:r>
        <w:rPr>
          <w:rFonts w:hint="eastAsia" w:ascii="宋体" w:hAnsi="宋体" w:eastAsia="宋体" w:cs="宋体"/>
          <w:b/>
          <w:color w:val="auto"/>
          <w:kern w:val="0"/>
          <w:sz w:val="28"/>
          <w:szCs w:val="22"/>
          <w:highlight w:val="none"/>
          <w:lang w:val="en-US" w:eastAsia="zh-CN" w:bidi="ar-SA"/>
        </w:rPr>
        <w:t>10、农民工工资保证金承诺书</w:t>
      </w:r>
      <w:bookmarkEnd w:id="771"/>
      <w:bookmarkEnd w:id="772"/>
    </w:p>
    <w:p>
      <w:pPr>
        <w:jc w:val="center"/>
        <w:rPr>
          <w:rFonts w:hint="eastAsia" w:ascii="宋体" w:hAnsi="宋体" w:cs="宋体"/>
          <w:sz w:val="21"/>
          <w:szCs w:val="21"/>
          <w:highlight w:val="none"/>
        </w:rPr>
      </w:pPr>
    </w:p>
    <w:p>
      <w:pPr>
        <w:jc w:val="center"/>
        <w:rPr>
          <w:rFonts w:hint="eastAsia" w:ascii="宋体" w:hAnsi="宋体" w:cs="宋体"/>
          <w:sz w:val="21"/>
          <w:szCs w:val="21"/>
          <w:highlight w:val="none"/>
        </w:rPr>
      </w:pPr>
      <w:r>
        <w:rPr>
          <w:rFonts w:hint="eastAsia" w:ascii="宋体" w:hAnsi="宋体" w:cs="宋体"/>
          <w:sz w:val="21"/>
          <w:szCs w:val="21"/>
          <w:highlight w:val="none"/>
        </w:rPr>
        <w:t>按桂劳社发[2009]50号文件规定承诺</w:t>
      </w:r>
    </w:p>
    <w:p>
      <w:pPr>
        <w:rPr>
          <w:rFonts w:hint="eastAsia" w:ascii="宋体" w:hAnsi="宋体" w:eastAsia="宋体" w:cs="宋体"/>
          <w:b/>
          <w:szCs w:val="28"/>
          <w:highlight w:val="none"/>
          <w:lang w:bidi="ar"/>
        </w:rPr>
      </w:pPr>
      <w:r>
        <w:rPr>
          <w:rFonts w:hint="eastAsia" w:ascii="宋体" w:hAnsi="宋体" w:eastAsia="宋体" w:cs="宋体"/>
          <w:b/>
          <w:szCs w:val="28"/>
          <w:highlight w:val="none"/>
          <w:lang w:bidi="ar"/>
        </w:rPr>
        <w:br w:type="page"/>
      </w:r>
    </w:p>
    <w:p>
      <w:pPr>
        <w:jc w:val="left"/>
        <w:rPr>
          <w:rFonts w:hint="eastAsia" w:ascii="宋体" w:hAnsi="宋体" w:eastAsia="宋体" w:cs="宋体"/>
          <w:szCs w:val="28"/>
          <w:highlight w:val="none"/>
        </w:rPr>
      </w:pPr>
      <w:r>
        <w:rPr>
          <w:rFonts w:hint="eastAsia" w:ascii="宋体" w:hAnsi="宋体" w:eastAsia="宋体" w:cs="宋体"/>
          <w:b/>
          <w:szCs w:val="28"/>
          <w:highlight w:val="none"/>
          <w:lang w:bidi="ar"/>
        </w:rPr>
        <w:t>【商务标部分】</w:t>
      </w:r>
    </w:p>
    <w:p>
      <w:pPr>
        <w:jc w:val="center"/>
        <w:rPr>
          <w:rFonts w:hint="eastAsia" w:ascii="宋体" w:hAnsi="宋体" w:eastAsia="宋体" w:cs="宋体"/>
          <w:b/>
          <w:w w:val="99"/>
          <w:kern w:val="0"/>
          <w:szCs w:val="28"/>
          <w:highlight w:val="none"/>
        </w:rPr>
      </w:pPr>
      <w:r>
        <w:rPr>
          <w:rFonts w:hint="eastAsia" w:ascii="宋体" w:hAnsi="宋体" w:eastAsia="宋体" w:cs="宋体"/>
          <w:b/>
          <w:w w:val="99"/>
          <w:kern w:val="0"/>
          <w:szCs w:val="28"/>
          <w:highlight w:val="none"/>
        </w:rPr>
        <w:t>（一）投标函及投标函附录</w:t>
      </w:r>
    </w:p>
    <w:p>
      <w:pPr>
        <w:jc w:val="center"/>
        <w:rPr>
          <w:rFonts w:hint="eastAsia" w:ascii="宋体" w:hAnsi="宋体" w:eastAsia="宋体" w:cs="宋体"/>
          <w:b/>
          <w:kern w:val="0"/>
          <w:szCs w:val="28"/>
          <w:highlight w:val="none"/>
        </w:rPr>
      </w:pPr>
      <w:r>
        <w:rPr>
          <w:rFonts w:hint="eastAsia" w:ascii="宋体" w:hAnsi="宋体" w:eastAsia="宋体" w:cs="宋体"/>
          <w:b/>
          <w:kern w:val="0"/>
          <w:szCs w:val="28"/>
          <w:highlight w:val="none"/>
        </w:rPr>
        <w:t>投标函</w:t>
      </w:r>
    </w:p>
    <w:p>
      <w:pPr>
        <w:spacing w:line="40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（招标人名称）：</w:t>
      </w:r>
    </w:p>
    <w:p>
      <w:pPr>
        <w:tabs>
          <w:tab w:val="left" w:pos="7560"/>
        </w:tabs>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1、根据你方项目编号为</w:t>
      </w:r>
      <w:r>
        <w:rPr>
          <w:rFonts w:hint="eastAsia" w:ascii="宋体" w:hAnsi="宋体" w:eastAsia="宋体" w:cs="宋体"/>
          <w:sz w:val="21"/>
          <w:szCs w:val="21"/>
          <w:highlight w:val="none"/>
          <w:u w:val="single"/>
        </w:rPr>
        <w:t xml:space="preserve">  （项目编号）  </w:t>
      </w:r>
      <w:r>
        <w:rPr>
          <w:rFonts w:hint="eastAsia" w:ascii="宋体" w:hAnsi="宋体" w:eastAsia="宋体" w:cs="宋体"/>
          <w:sz w:val="21"/>
          <w:szCs w:val="21"/>
          <w:highlight w:val="none"/>
        </w:rPr>
        <w:t>的</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标段招标文件，遵照《中华人民共和国招标投标法》、《中华人民共和国政府采购法》等有关规定，经踏勘项目现场和研究上述招标文件的投标须知、合同条款、图纸、工程建设标准和工程量清单及其他有关文件后，我方愿意以工程总报价人民币（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元)，并按上述图纸、合同条款、工程建设标准和工程量清单（如有时）的条件要求承包上述工程的施工、竣工，并承担任何质量缺陷保修责任。我方保证工程质量达到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等级。</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2、我方已详细审核全部招标文件，包括修改文件（如有时）及有关附件。</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3、我方承认投标函附录是我方投标函的组成部分。</w:t>
      </w:r>
    </w:p>
    <w:p>
      <w:pPr>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4、一旦我方中标，我方保证按合同书中规定的工期</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日历天</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完成并移交全部工程。</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5、如果我方中标，我方将按照文件规定提交履约保证金作为履约担保。</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6、我方同意所提交的投标文件在招标文件的投标须知中第3.3.1条规定的投标有效期内有效，在此期间内如果中标，我方将受此约束。</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7、我方在此声明，所递交的投标文件及有关资料内容完整、真实和准确，且不存在第2章“投标人须知”第1.4.3项和1.4.4 项规定的任何一种情形，如有虚假或隐瞒，我方愿意承担一切后果，并不再寻求任何旨在减轻或免除法律责任的辩解。</w:t>
      </w:r>
    </w:p>
    <w:p>
      <w:pPr>
        <w:spacing w:line="400" w:lineRule="exact"/>
        <w:ind w:firstLine="442"/>
        <w:rPr>
          <w:rFonts w:hint="eastAsia" w:ascii="宋体" w:hAnsi="宋体" w:eastAsia="宋体" w:cs="宋体"/>
          <w:sz w:val="21"/>
          <w:szCs w:val="21"/>
          <w:highlight w:val="none"/>
        </w:rPr>
      </w:pPr>
      <w:r>
        <w:rPr>
          <w:rFonts w:hint="eastAsia" w:ascii="宋体" w:hAnsi="宋体" w:eastAsia="宋体" w:cs="宋体"/>
          <w:sz w:val="21"/>
          <w:szCs w:val="21"/>
          <w:highlight w:val="none"/>
        </w:rPr>
        <w:t>8、除非另外达成协议并生效，你方的中标通知书和本投标文件将成为约束双方的合同文件的组成部分。</w:t>
      </w:r>
    </w:p>
    <w:p>
      <w:pPr>
        <w:spacing w:line="400" w:lineRule="exact"/>
        <w:ind w:firstLine="420" w:firstLineChars="200"/>
        <w:rPr>
          <w:rFonts w:hint="eastAsia" w:ascii="宋体" w:hAnsi="宋体" w:eastAsia="宋体" w:cs="宋体"/>
          <w:kern w:val="0"/>
          <w:sz w:val="21"/>
          <w:szCs w:val="21"/>
          <w:highlight w:val="none"/>
        </w:rPr>
      </w:pP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w:t>
      </w:r>
      <w:r>
        <w:rPr>
          <w:rFonts w:hint="eastAsia" w:ascii="宋体" w:hAnsi="宋体" w:eastAsia="宋体" w:cs="宋体"/>
          <w:spacing w:val="-1"/>
          <w:kern w:val="0"/>
          <w:sz w:val="21"/>
          <w:szCs w:val="21"/>
          <w:highlight w:val="none"/>
        </w:rPr>
        <w:t>：</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rPr>
        <w:t xml:space="preserve">[盖单位公章（CA签章）] </w:t>
      </w: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法定代表人或其委托代理人：</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rPr>
        <w:t>[签字或盖章（CA签章）]</w:t>
      </w: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地址：</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u w:val="single"/>
        </w:rPr>
        <w:tab/>
      </w: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传真：</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p>
    <w:p>
      <w:pPr>
        <w:spacing w:line="400" w:lineRule="exact"/>
        <w:ind w:firstLine="3402" w:firstLineChars="162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邮政编码：</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u w:val="single"/>
        </w:rPr>
        <w:t xml:space="preserve">        </w:t>
      </w:r>
    </w:p>
    <w:p>
      <w:pPr>
        <w:spacing w:line="400" w:lineRule="exact"/>
        <w:ind w:firstLine="3049" w:firstLineChars="1466"/>
        <w:jc w:val="center"/>
        <w:rPr>
          <w:rFonts w:hint="eastAsia" w:ascii="宋体" w:hAnsi="宋体" w:eastAsia="宋体" w:cs="宋体"/>
          <w:kern w:val="0"/>
          <w:sz w:val="21"/>
          <w:szCs w:val="21"/>
          <w:highlight w:val="none"/>
        </w:rPr>
      </w:pPr>
      <w:r>
        <w:rPr>
          <w:rFonts w:hint="eastAsia" w:ascii="宋体" w:hAnsi="宋体" w:eastAsia="宋体" w:cs="宋体"/>
          <w:spacing w:val="-1"/>
          <w:kern w:val="0"/>
          <w:sz w:val="21"/>
          <w:szCs w:val="21"/>
          <w:highlight w:val="none"/>
          <w:u w:val="single"/>
        </w:rPr>
        <w:t xml:space="preserve">      </w:t>
      </w:r>
      <w:r>
        <w:rPr>
          <w:rFonts w:hint="eastAsia" w:ascii="宋体" w:hAnsi="宋体" w:eastAsia="宋体" w:cs="宋体"/>
          <w:spacing w:val="-1"/>
          <w:kern w:val="0"/>
          <w:sz w:val="21"/>
          <w:szCs w:val="21"/>
          <w:highlight w:val="none"/>
        </w:rPr>
        <w:t>年</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rPr>
        <w:t>月</w:t>
      </w:r>
      <w:r>
        <w:rPr>
          <w:rFonts w:hint="eastAsia" w:ascii="宋体" w:hAnsi="宋体" w:eastAsia="宋体" w:cs="宋体"/>
          <w:w w:val="200"/>
          <w:kern w:val="0"/>
          <w:sz w:val="21"/>
          <w:szCs w:val="21"/>
          <w:highlight w:val="none"/>
          <w:u w:val="single"/>
        </w:rPr>
        <w:t xml:space="preserve"> </w:t>
      </w:r>
      <w:r>
        <w:rPr>
          <w:rFonts w:hint="eastAsia" w:ascii="宋体" w:hAnsi="宋体" w:eastAsia="宋体" w:cs="宋体"/>
          <w:kern w:val="0"/>
          <w:sz w:val="21"/>
          <w:szCs w:val="21"/>
          <w:highlight w:val="none"/>
          <w:u w:val="single"/>
        </w:rPr>
        <w:tab/>
      </w:r>
      <w:r>
        <w:rPr>
          <w:rFonts w:hint="eastAsia" w:ascii="宋体" w:hAnsi="宋体" w:eastAsia="宋体" w:cs="宋体"/>
          <w:kern w:val="0"/>
          <w:sz w:val="21"/>
          <w:szCs w:val="21"/>
          <w:highlight w:val="none"/>
        </w:rPr>
        <w:t>日</w:t>
      </w:r>
    </w:p>
    <w:p>
      <w:pPr>
        <w:jc w:val="center"/>
        <w:rPr>
          <w:rFonts w:hint="eastAsia" w:ascii="宋体" w:hAnsi="宋体" w:eastAsia="宋体" w:cs="宋体"/>
          <w:kern w:val="0"/>
          <w:sz w:val="21"/>
          <w:highlight w:val="none"/>
        </w:rPr>
      </w:pPr>
    </w:p>
    <w:p>
      <w:pPr>
        <w:jc w:val="center"/>
        <w:rPr>
          <w:rFonts w:hint="eastAsia" w:ascii="宋体" w:hAnsi="宋体" w:eastAsia="宋体" w:cs="宋体"/>
          <w:kern w:val="0"/>
          <w:sz w:val="21"/>
          <w:highlight w:val="none"/>
        </w:rPr>
      </w:pPr>
    </w:p>
    <w:p>
      <w:pPr>
        <w:rPr>
          <w:rFonts w:hint="eastAsia" w:ascii="宋体" w:hAnsi="宋体" w:eastAsia="宋体" w:cs="宋体"/>
          <w:sz w:val="21"/>
          <w:highlight w:val="none"/>
        </w:rPr>
      </w:pPr>
    </w:p>
    <w:p>
      <w:pPr>
        <w:rPr>
          <w:rFonts w:hint="eastAsia" w:ascii="宋体" w:hAnsi="宋体" w:eastAsia="宋体" w:cs="宋体"/>
          <w:sz w:val="21"/>
          <w:highlight w:val="none"/>
        </w:rPr>
      </w:pPr>
    </w:p>
    <w:p>
      <w:pPr>
        <w:rPr>
          <w:rFonts w:hint="eastAsia" w:ascii="宋体" w:hAnsi="宋体" w:eastAsia="宋体" w:cs="宋体"/>
          <w:kern w:val="0"/>
          <w:sz w:val="21"/>
          <w:highlight w:val="none"/>
        </w:rPr>
      </w:pPr>
    </w:p>
    <w:p>
      <w:pPr>
        <w:pStyle w:val="2"/>
        <w:rPr>
          <w:rFonts w:hint="eastAsia" w:ascii="宋体" w:hAnsi="宋体" w:eastAsia="宋体" w:cs="宋体"/>
          <w:highlight w:val="none"/>
        </w:rPr>
      </w:pPr>
    </w:p>
    <w:p>
      <w:pPr>
        <w:pStyle w:val="46"/>
        <w:ind w:firstLine="560"/>
        <w:rPr>
          <w:rFonts w:hint="eastAsia" w:ascii="宋体" w:hAnsi="宋体" w:eastAsia="宋体" w:cs="宋体"/>
          <w:highlight w:val="none"/>
        </w:rPr>
      </w:pPr>
    </w:p>
    <w:p>
      <w:pPr>
        <w:jc w:val="center"/>
        <w:rPr>
          <w:rFonts w:hint="eastAsia" w:ascii="宋体" w:hAnsi="宋体" w:eastAsia="宋体" w:cs="宋体"/>
          <w:b/>
          <w:kern w:val="0"/>
          <w:szCs w:val="28"/>
          <w:highlight w:val="none"/>
        </w:rPr>
      </w:pPr>
      <w:r>
        <w:rPr>
          <w:rFonts w:hint="eastAsia" w:ascii="宋体" w:hAnsi="宋体" w:eastAsia="宋体" w:cs="宋体"/>
          <w:b/>
          <w:kern w:val="0"/>
          <w:szCs w:val="28"/>
          <w:highlight w:val="none"/>
        </w:rPr>
        <w:t>投标函附录</w:t>
      </w:r>
    </w:p>
    <w:p>
      <w:pPr>
        <w:pStyle w:val="2"/>
        <w:ind w:right="0" w:firstLine="420" w:firstLineChars="200"/>
        <w:jc w:val="left"/>
        <w:rPr>
          <w:rFonts w:hint="eastAsia" w:ascii="宋体" w:hAnsi="宋体" w:eastAsia="宋体" w:cs="宋体"/>
          <w:sz w:val="21"/>
          <w:szCs w:val="21"/>
          <w:highlight w:val="none"/>
        </w:rPr>
      </w:pPr>
      <w:bookmarkStart w:id="773" w:name="_Toc115373073"/>
      <w:r>
        <w:rPr>
          <w:rFonts w:hint="eastAsia" w:ascii="宋体" w:hAnsi="宋体" w:eastAsia="宋体" w:cs="宋体"/>
          <w:sz w:val="21"/>
          <w:szCs w:val="21"/>
          <w:highlight w:val="none"/>
        </w:rPr>
        <w:t>工程名称：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标段</w:t>
      </w:r>
      <w:bookmarkEnd w:id="773"/>
    </w:p>
    <w:tbl>
      <w:tblPr>
        <w:tblStyle w:val="47"/>
        <w:tblW w:w="87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7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09" w:line="229" w:lineRule="auto"/>
              <w:ind w:left="227"/>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5"/>
                <w:kern w:val="0"/>
                <w:sz w:val="21"/>
                <w:szCs w:val="21"/>
                <w:highlight w:val="none"/>
              </w:rPr>
              <w:t>序号</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09" w:line="228" w:lineRule="auto"/>
              <w:ind w:left="3382"/>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4"/>
                <w:kern w:val="0"/>
                <w:sz w:val="21"/>
                <w:szCs w:val="21"/>
                <w:highlight w:val="none"/>
              </w:rPr>
              <w:t xml:space="preserve">内 </w:t>
            </w:r>
            <w:r>
              <w:rPr>
                <w:rFonts w:hint="eastAsia" w:ascii="宋体" w:hAnsi="宋体" w:eastAsia="宋体" w:cs="宋体"/>
                <w:snapToGrid w:val="0"/>
                <w:spacing w:val="2"/>
                <w:kern w:val="0"/>
                <w:sz w:val="21"/>
                <w:szCs w:val="21"/>
                <w:highlight w:val="none"/>
              </w:rPr>
              <w:t xml:space="preserve">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97" w:line="193" w:lineRule="auto"/>
              <w:ind w:left="399"/>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1</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66" w:line="226" w:lineRule="auto"/>
              <w:ind w:left="25"/>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8"/>
                <w:kern w:val="0"/>
                <w:sz w:val="21"/>
                <w:szCs w:val="21"/>
                <w:highlight w:val="none"/>
              </w:rPr>
              <w:t>施工企业资质等级</w:t>
            </w:r>
            <w:r>
              <w:rPr>
                <w:rFonts w:hint="eastAsia" w:ascii="宋体" w:hAnsi="宋体" w:eastAsia="宋体" w:cs="宋体"/>
                <w:snapToGrid w:val="0"/>
                <w:spacing w:val="6"/>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99" w:line="192" w:lineRule="auto"/>
              <w:ind w:left="387"/>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110" w:line="228" w:lineRule="auto"/>
              <w:ind w:left="29"/>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10"/>
                <w:kern w:val="0"/>
                <w:sz w:val="21"/>
                <w:szCs w:val="21"/>
                <w:highlight w:val="none"/>
              </w:rPr>
              <w:t>项</w:t>
            </w:r>
            <w:r>
              <w:rPr>
                <w:rFonts w:hint="eastAsia" w:ascii="宋体" w:hAnsi="宋体" w:eastAsia="宋体" w:cs="宋体"/>
                <w:snapToGrid w:val="0"/>
                <w:spacing w:val="6"/>
                <w:kern w:val="0"/>
                <w:sz w:val="21"/>
                <w:szCs w:val="21"/>
                <w:highlight w:val="none"/>
              </w:rPr>
              <w:t>目经理姓名：</w:t>
            </w:r>
          </w:p>
          <w:p>
            <w:pPr>
              <w:widowControl/>
              <w:kinsoku w:val="0"/>
              <w:autoSpaceDE w:val="0"/>
              <w:autoSpaceDN w:val="0"/>
              <w:adjustRightInd w:val="0"/>
              <w:snapToGrid w:val="0"/>
              <w:spacing w:before="65" w:line="226" w:lineRule="auto"/>
              <w:ind w:left="26"/>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13"/>
                <w:kern w:val="0"/>
                <w:sz w:val="21"/>
                <w:szCs w:val="21"/>
                <w:highlight w:val="none"/>
              </w:rPr>
              <w:t>注</w:t>
            </w:r>
            <w:r>
              <w:rPr>
                <w:rFonts w:hint="eastAsia" w:ascii="宋体" w:hAnsi="宋体" w:eastAsia="宋体" w:cs="宋体"/>
                <w:snapToGrid w:val="0"/>
                <w:spacing w:val="8"/>
                <w:kern w:val="0"/>
                <w:sz w:val="21"/>
                <w:szCs w:val="21"/>
                <w:highlight w:val="none"/>
              </w:rPr>
              <w:t>册建造师证书专业、等级：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302" w:line="190" w:lineRule="auto"/>
              <w:ind w:left="388"/>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3</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69" w:line="228" w:lineRule="auto"/>
              <w:ind w:left="28"/>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3"/>
                <w:kern w:val="0"/>
                <w:sz w:val="21"/>
                <w:szCs w:val="21"/>
                <w:highlight w:val="none"/>
              </w:rPr>
              <w:t>工</w:t>
            </w:r>
            <w:r>
              <w:rPr>
                <w:rFonts w:hint="eastAsia" w:ascii="宋体" w:hAnsi="宋体" w:eastAsia="宋体" w:cs="宋体"/>
                <w:snapToGrid w:val="0"/>
                <w:spacing w:val="2"/>
                <w:kern w:val="0"/>
                <w:sz w:val="21"/>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301" w:line="192" w:lineRule="auto"/>
              <w:ind w:left="383"/>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4</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67" w:line="228" w:lineRule="auto"/>
              <w:ind w:left="26"/>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8"/>
                <w:kern w:val="0"/>
                <w:sz w:val="21"/>
                <w:szCs w:val="21"/>
                <w:highlight w:val="none"/>
              </w:rPr>
              <w:t>质</w:t>
            </w:r>
            <w:r>
              <w:rPr>
                <w:rFonts w:hint="eastAsia" w:ascii="宋体" w:hAnsi="宋体" w:eastAsia="宋体" w:cs="宋体"/>
                <w:snapToGrid w:val="0"/>
                <w:spacing w:val="5"/>
                <w:kern w:val="0"/>
                <w:sz w:val="21"/>
                <w:szCs w:val="21"/>
                <w:highlight w:val="none"/>
              </w:rPr>
              <w:t>量等级：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302" w:line="189" w:lineRule="auto"/>
              <w:ind w:left="388"/>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5</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68" w:line="228" w:lineRule="auto"/>
              <w:ind w:left="28"/>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7"/>
                <w:kern w:val="0"/>
                <w:sz w:val="21"/>
                <w:szCs w:val="21"/>
                <w:highlight w:val="none"/>
              </w:rPr>
              <w:t>投</w:t>
            </w:r>
            <w:r>
              <w:rPr>
                <w:rFonts w:hint="eastAsia" w:ascii="宋体" w:hAnsi="宋体" w:eastAsia="宋体" w:cs="宋体"/>
                <w:snapToGrid w:val="0"/>
                <w:spacing w:val="5"/>
                <w:kern w:val="0"/>
                <w:sz w:val="21"/>
                <w:szCs w:val="21"/>
                <w:highlight w:val="none"/>
              </w:rPr>
              <w:t>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304" w:line="190" w:lineRule="auto"/>
              <w:ind w:left="386"/>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6</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70" w:line="228" w:lineRule="auto"/>
              <w:ind w:left="25"/>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18"/>
                <w:kern w:val="0"/>
                <w:sz w:val="21"/>
                <w:szCs w:val="21"/>
                <w:highlight w:val="none"/>
              </w:rPr>
              <w:t>权利</w:t>
            </w:r>
            <w:r>
              <w:rPr>
                <w:rFonts w:hint="eastAsia" w:ascii="宋体" w:hAnsi="宋体" w:eastAsia="宋体" w:cs="宋体"/>
                <w:snapToGrid w:val="0"/>
                <w:spacing w:val="9"/>
                <w:kern w:val="0"/>
                <w:sz w:val="21"/>
                <w:szCs w:val="21"/>
                <w:highlight w:val="none"/>
              </w:rPr>
              <w:t>和义务：响应招标文件第四章“合同条款及格式”的规定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72"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305" w:line="189" w:lineRule="auto"/>
              <w:ind w:left="389"/>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7</w:t>
            </w:r>
          </w:p>
        </w:tc>
        <w:tc>
          <w:tcPr>
            <w:tcW w:w="7869" w:type="dxa"/>
            <w:tcBorders>
              <w:top w:val="single" w:color="000000" w:sz="2" w:space="0"/>
              <w:bottom w:val="single" w:color="000000" w:sz="2" w:space="0"/>
            </w:tcBorders>
            <w:noWrap w:val="0"/>
            <w:vAlign w:val="top"/>
          </w:tcPr>
          <w:p>
            <w:pPr>
              <w:widowControl/>
              <w:kinsoku w:val="0"/>
              <w:autoSpaceDE w:val="0"/>
              <w:autoSpaceDN w:val="0"/>
              <w:adjustRightInd w:val="0"/>
              <w:snapToGrid w:val="0"/>
              <w:spacing w:before="271" w:line="225" w:lineRule="auto"/>
              <w:ind w:left="26"/>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7"/>
                <w:kern w:val="0"/>
                <w:sz w:val="21"/>
                <w:szCs w:val="21"/>
                <w:highlight w:val="none"/>
              </w:rPr>
              <w:t>其</w:t>
            </w:r>
            <w:r>
              <w:rPr>
                <w:rFonts w:hint="eastAsia" w:ascii="宋体" w:hAnsi="宋体" w:eastAsia="宋体" w:cs="宋体"/>
                <w:snapToGrid w:val="0"/>
                <w:spacing w:val="4"/>
                <w:kern w:val="0"/>
                <w:sz w:val="21"/>
                <w:szCs w:val="21"/>
                <w:highlight w:val="none"/>
              </w:rPr>
              <w:t xml:space="preserve">    他：</w:t>
            </w:r>
          </w:p>
        </w:tc>
      </w:tr>
    </w:tbl>
    <w:p>
      <w:pPr>
        <w:spacing w:line="480" w:lineRule="exact"/>
        <w:rPr>
          <w:rFonts w:hint="eastAsia" w:ascii="宋体" w:hAnsi="宋体" w:eastAsia="宋体" w:cs="宋体"/>
          <w:sz w:val="24"/>
          <w:szCs w:val="24"/>
          <w:highlight w:val="none"/>
        </w:rPr>
      </w:pP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[盖单位公章（CA签章）]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ab/>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[签字或盖章（CA签章）]</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spacing w:line="300" w:lineRule="auto"/>
        <w:rPr>
          <w:rFonts w:hint="eastAsia" w:ascii="宋体" w:hAnsi="宋体" w:eastAsia="宋体" w:cs="宋体"/>
          <w:kern w:val="0"/>
          <w:sz w:val="24"/>
          <w:highlight w:val="none"/>
        </w:rPr>
        <w:sectPr>
          <w:headerReference r:id="rId14" w:type="first"/>
          <w:footerReference r:id="rId17" w:type="first"/>
          <w:headerReference r:id="rId12" w:type="default"/>
          <w:footerReference r:id="rId15" w:type="default"/>
          <w:headerReference r:id="rId13" w:type="even"/>
          <w:footerReference r:id="rId16" w:type="even"/>
          <w:pgSz w:w="11906" w:h="16838"/>
          <w:pgMar w:top="1247" w:right="1474" w:bottom="1247" w:left="1474" w:header="851" w:footer="992" w:gutter="0"/>
          <w:pgNumType w:fmt="decimal"/>
          <w:cols w:space="720" w:num="1"/>
          <w:docGrid w:linePitch="312" w:charSpace="0"/>
        </w:sectPr>
      </w:pPr>
    </w:p>
    <w:p>
      <w:pPr>
        <w:jc w:val="center"/>
        <w:rPr>
          <w:rFonts w:hint="eastAsia" w:ascii="宋体" w:hAnsi="宋体" w:eastAsia="宋体" w:cs="宋体"/>
          <w:b/>
          <w:w w:val="99"/>
          <w:kern w:val="0"/>
          <w:szCs w:val="28"/>
          <w:highlight w:val="none"/>
        </w:rPr>
      </w:pPr>
      <w:r>
        <w:rPr>
          <w:rFonts w:hint="eastAsia" w:ascii="宋体" w:hAnsi="宋体" w:eastAsia="宋体" w:cs="宋体"/>
          <w:b/>
          <w:w w:val="99"/>
          <w:kern w:val="0"/>
          <w:szCs w:val="28"/>
          <w:highlight w:val="none"/>
        </w:rPr>
        <w:t>（二）投标响应表</w:t>
      </w:r>
    </w:p>
    <w:p>
      <w:pPr>
        <w:spacing w:line="4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（对招标文件有关工期、投标有效期、质量要求、技术标准和要求、招标范围等实质性内容作出响应,格式自行拟定）。</w:t>
      </w:r>
    </w:p>
    <w:p>
      <w:pPr>
        <w:pStyle w:val="2"/>
        <w:rPr>
          <w:rFonts w:hint="eastAsia" w:ascii="宋体" w:hAnsi="宋体" w:eastAsia="宋体" w:cs="宋体"/>
          <w:highlight w:val="none"/>
        </w:rPr>
      </w:pPr>
    </w:p>
    <w:p>
      <w:pPr>
        <w:spacing w:line="380" w:lineRule="exact"/>
        <w:rPr>
          <w:rFonts w:hint="eastAsia" w:ascii="宋体" w:hAnsi="宋体" w:eastAsia="宋体" w:cs="宋体"/>
          <w:b/>
          <w:bCs/>
          <w:sz w:val="21"/>
          <w:szCs w:val="21"/>
          <w:highlight w:val="none"/>
        </w:rPr>
      </w:pPr>
    </w:p>
    <w:p>
      <w:pPr>
        <w:pStyle w:val="2"/>
        <w:rPr>
          <w:rFonts w:hint="eastAsia" w:ascii="宋体" w:hAnsi="宋体" w:eastAsia="宋体" w:cs="宋体"/>
          <w:b/>
          <w:bCs/>
          <w:sz w:val="21"/>
          <w:szCs w:val="21"/>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jc w:val="center"/>
        <w:rPr>
          <w:rFonts w:hint="eastAsia" w:ascii="宋体" w:hAnsi="宋体" w:eastAsia="宋体" w:cs="宋体"/>
          <w:b/>
          <w:w w:val="99"/>
          <w:kern w:val="0"/>
          <w:szCs w:val="28"/>
          <w:highlight w:val="none"/>
        </w:rPr>
      </w:pPr>
      <w:r>
        <w:rPr>
          <w:rFonts w:hint="eastAsia" w:ascii="宋体" w:hAnsi="宋体" w:eastAsia="宋体" w:cs="宋体"/>
          <w:b/>
          <w:w w:val="99"/>
          <w:kern w:val="0"/>
          <w:szCs w:val="28"/>
          <w:highlight w:val="none"/>
        </w:rPr>
        <w:t>（三）已标价工程量清单</w:t>
      </w:r>
    </w:p>
    <w:p>
      <w:pPr>
        <w:spacing w:line="360" w:lineRule="auto"/>
        <w:ind w:firstLine="411" w:firstLineChars="196"/>
        <w:rPr>
          <w:rFonts w:hint="eastAsia" w:ascii="宋体" w:hAnsi="宋体" w:eastAsia="宋体" w:cs="宋体"/>
          <w:bCs/>
          <w:szCs w:val="21"/>
          <w:highlight w:val="none"/>
        </w:rPr>
      </w:pPr>
      <w:r>
        <w:rPr>
          <w:rFonts w:hint="eastAsia" w:ascii="宋体" w:hAnsi="宋体" w:eastAsia="宋体" w:cs="宋体"/>
          <w:sz w:val="21"/>
          <w:szCs w:val="21"/>
          <w:highlight w:val="none"/>
        </w:rPr>
        <w:t>备注：已标价工程量清单按第五章“工程量清单”中的相关清单表格式填写。构成合同文件的已标价工程量清单包括第五章“工程量清单”有关工程量清单、投标报价以及其他说明的内容。</w:t>
      </w: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tabs>
          <w:tab w:val="left" w:pos="826"/>
        </w:tabs>
        <w:snapToGrid w:val="0"/>
        <w:spacing w:line="420" w:lineRule="exact"/>
        <w:jc w:val="center"/>
        <w:rPr>
          <w:rFonts w:hint="eastAsia" w:ascii="宋体" w:hAnsi="宋体" w:eastAsia="宋体" w:cs="宋体"/>
          <w:b/>
          <w:highlight w:val="none"/>
        </w:rPr>
      </w:pPr>
    </w:p>
    <w:p>
      <w:pPr>
        <w:pStyle w:val="2"/>
        <w:rPr>
          <w:rFonts w:hint="eastAsia" w:ascii="宋体" w:hAnsi="宋体" w:eastAsia="宋体" w:cs="宋体"/>
          <w:b/>
          <w:highlight w:val="none"/>
        </w:rPr>
      </w:pPr>
    </w:p>
    <w:p>
      <w:pPr>
        <w:pStyle w:val="2"/>
        <w:rPr>
          <w:rFonts w:hint="eastAsia" w:ascii="宋体" w:hAnsi="宋体" w:eastAsia="宋体" w:cs="宋体"/>
          <w:b/>
          <w:highlight w:val="none"/>
        </w:rPr>
      </w:pPr>
    </w:p>
    <w:p>
      <w:pPr>
        <w:pStyle w:val="13"/>
        <w:ind w:firstLine="562"/>
        <w:rPr>
          <w:rFonts w:hint="eastAsia" w:ascii="宋体" w:hAnsi="宋体" w:eastAsia="宋体" w:cs="宋体"/>
          <w:b/>
          <w:highlight w:val="none"/>
        </w:rPr>
      </w:pPr>
    </w:p>
    <w:p>
      <w:pPr>
        <w:pStyle w:val="13"/>
        <w:ind w:firstLine="0" w:firstLineChars="0"/>
        <w:rPr>
          <w:rFonts w:hint="eastAsia" w:ascii="宋体" w:hAnsi="宋体" w:eastAsia="宋体" w:cs="宋体"/>
          <w:b/>
          <w:szCs w:val="28"/>
          <w:highlight w:val="none"/>
        </w:rPr>
      </w:pPr>
      <w:r>
        <w:rPr>
          <w:rFonts w:hint="eastAsia" w:ascii="宋体" w:hAnsi="宋体" w:eastAsia="宋体" w:cs="宋体"/>
          <w:b/>
          <w:szCs w:val="28"/>
          <w:highlight w:val="none"/>
          <w:lang w:bidi="ar"/>
        </w:rPr>
        <w:t>【技术标部分】</w:t>
      </w:r>
    </w:p>
    <w:p>
      <w:pPr>
        <w:jc w:val="center"/>
        <w:rPr>
          <w:rFonts w:hint="eastAsia" w:ascii="宋体" w:hAnsi="宋体" w:eastAsia="宋体" w:cs="宋体"/>
          <w:b/>
          <w:w w:val="99"/>
          <w:kern w:val="0"/>
          <w:szCs w:val="28"/>
          <w:highlight w:val="none"/>
        </w:rPr>
      </w:pPr>
      <w:bookmarkStart w:id="774" w:name="_Toc30024"/>
      <w:bookmarkStart w:id="775" w:name="_Toc13195"/>
      <w:r>
        <w:rPr>
          <w:rFonts w:hint="eastAsia" w:ascii="宋体" w:hAnsi="宋体" w:eastAsia="宋体" w:cs="宋体"/>
          <w:b/>
          <w:w w:val="99"/>
          <w:kern w:val="0"/>
          <w:szCs w:val="28"/>
          <w:highlight w:val="none"/>
        </w:rPr>
        <w:t>施工组织设计</w:t>
      </w:r>
      <w:bookmarkEnd w:id="774"/>
      <w:bookmarkEnd w:id="775"/>
    </w:p>
    <w:p>
      <w:pPr>
        <w:autoSpaceDE w:val="0"/>
        <w:autoSpaceDN w:val="0"/>
        <w:adjustRightInd w:val="0"/>
        <w:spacing w:line="360" w:lineRule="exact"/>
        <w:ind w:firstLine="420" w:firstLineChars="200"/>
        <w:rPr>
          <w:rFonts w:hint="eastAsia" w:ascii="宋体" w:hAnsi="宋体" w:eastAsia="宋体" w:cs="宋体"/>
          <w:highlight w:val="none"/>
        </w:rPr>
      </w:pPr>
      <w:r>
        <w:rPr>
          <w:rFonts w:hint="eastAsia" w:ascii="宋体" w:hAnsi="宋体" w:eastAsia="宋体" w:cs="宋体"/>
          <w:kern w:val="0"/>
          <w:sz w:val="21"/>
          <w:highlight w:val="none"/>
        </w:rPr>
        <w:t>1、编制时应按以下章顺序采用文字并结合图表形式进行说明：</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（1）</w:t>
      </w:r>
      <w:r>
        <w:rPr>
          <w:rFonts w:hint="eastAsia" w:ascii="宋体" w:hAnsi="宋体" w:eastAsia="宋体" w:cs="宋体"/>
          <w:kern w:val="0"/>
          <w:sz w:val="21"/>
          <w:szCs w:val="21"/>
          <w:highlight w:val="none"/>
        </w:rPr>
        <w:t>总体概述</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w:t>
      </w:r>
      <w:r>
        <w:rPr>
          <w:rFonts w:hint="eastAsia" w:ascii="宋体" w:hAnsi="宋体" w:eastAsia="宋体" w:cs="宋体"/>
          <w:kern w:val="0"/>
          <w:sz w:val="21"/>
          <w:szCs w:val="21"/>
          <w:highlight w:val="none"/>
        </w:rPr>
        <w:t>主要施工方法</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（3）</w:t>
      </w:r>
      <w:r>
        <w:rPr>
          <w:rFonts w:hint="eastAsia" w:ascii="宋体" w:hAnsi="宋体" w:eastAsia="宋体" w:cs="宋体"/>
          <w:kern w:val="0"/>
          <w:sz w:val="21"/>
          <w:szCs w:val="21"/>
          <w:highlight w:val="none"/>
        </w:rPr>
        <w:t>施工进度、施工进度计划和各阶段进度的保证措施</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（4）</w:t>
      </w:r>
      <w:r>
        <w:rPr>
          <w:rFonts w:hint="eastAsia" w:ascii="宋体" w:hAnsi="宋体" w:eastAsia="宋体" w:cs="宋体"/>
          <w:kern w:val="0"/>
          <w:sz w:val="21"/>
          <w:szCs w:val="21"/>
          <w:highlight w:val="none"/>
        </w:rPr>
        <w:t>劳动力和材料投入计划及其保证措施</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（5）</w:t>
      </w:r>
      <w:r>
        <w:rPr>
          <w:rFonts w:hint="eastAsia" w:ascii="宋体" w:hAnsi="宋体" w:eastAsia="宋体" w:cs="宋体"/>
          <w:kern w:val="0"/>
          <w:sz w:val="21"/>
          <w:szCs w:val="21"/>
          <w:highlight w:val="none"/>
        </w:rPr>
        <w:t>施工平面布置和临时设施布置</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（6）</w:t>
      </w:r>
      <w:r>
        <w:rPr>
          <w:rFonts w:hint="eastAsia" w:ascii="宋体" w:hAnsi="宋体" w:eastAsia="宋体" w:cs="宋体"/>
          <w:kern w:val="0"/>
          <w:sz w:val="21"/>
          <w:szCs w:val="21"/>
          <w:highlight w:val="none"/>
        </w:rPr>
        <w:t>关键施工技术、工艺及工程实施的重点、难点和解决方案</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（7）</w:t>
      </w:r>
      <w:r>
        <w:rPr>
          <w:rFonts w:hint="eastAsia" w:ascii="宋体" w:hAnsi="宋体" w:eastAsia="宋体" w:cs="宋体"/>
          <w:kern w:val="0"/>
          <w:sz w:val="21"/>
          <w:szCs w:val="21"/>
          <w:highlight w:val="none"/>
        </w:rPr>
        <w:t>安全文明施工措施</w:t>
      </w:r>
      <w:r>
        <w:rPr>
          <w:rFonts w:hint="eastAsia" w:ascii="宋体" w:hAnsi="宋体" w:eastAsia="宋体" w:cs="宋体"/>
          <w:kern w:val="0"/>
          <w:sz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（8）</w:t>
      </w:r>
      <w:r>
        <w:rPr>
          <w:rFonts w:hint="eastAsia" w:ascii="宋体" w:hAnsi="宋体" w:eastAsia="宋体" w:cs="宋体"/>
          <w:kern w:val="0"/>
          <w:sz w:val="21"/>
          <w:szCs w:val="21"/>
          <w:highlight w:val="none"/>
        </w:rPr>
        <w:t>质量保证与承诺；</w:t>
      </w:r>
    </w:p>
    <w:p>
      <w:pPr>
        <w:autoSpaceDE w:val="0"/>
        <w:autoSpaceDN w:val="0"/>
        <w:adjustRightInd w:val="0"/>
        <w:spacing w:line="360" w:lineRule="exact"/>
        <w:ind w:firstLine="420" w:firstLineChars="200"/>
        <w:rPr>
          <w:rFonts w:hint="eastAsia" w:ascii="宋体" w:hAnsi="宋体" w:eastAsia="宋体" w:cs="宋体"/>
          <w:kern w:val="0"/>
          <w:sz w:val="24"/>
          <w:szCs w:val="24"/>
          <w:highlight w:val="none"/>
        </w:rPr>
      </w:pPr>
      <w:r>
        <w:rPr>
          <w:rFonts w:hint="eastAsia" w:ascii="宋体" w:hAnsi="宋体" w:eastAsia="宋体" w:cs="宋体"/>
          <w:kern w:val="0"/>
          <w:sz w:val="21"/>
          <w:highlight w:val="none"/>
        </w:rPr>
        <w:t>（9）</w:t>
      </w:r>
      <w:r>
        <w:rPr>
          <w:rFonts w:hint="eastAsia" w:ascii="宋体" w:hAnsi="宋体" w:eastAsia="宋体" w:cs="宋体"/>
          <w:kern w:val="0"/>
          <w:sz w:val="21"/>
          <w:szCs w:val="21"/>
          <w:highlight w:val="none"/>
        </w:rPr>
        <w:t>新技术应用与承诺</w:t>
      </w:r>
      <w:r>
        <w:rPr>
          <w:rFonts w:hint="eastAsia" w:ascii="宋体" w:hAnsi="宋体" w:eastAsia="宋体" w:cs="宋体"/>
          <w:bCs/>
          <w:kern w:val="0"/>
          <w:sz w:val="21"/>
          <w:szCs w:val="21"/>
          <w:highlight w:val="none"/>
        </w:rPr>
        <w:t>。</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2、施工组织设计除采用文字表述外可附下列图表，图表及格式要求附后。</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附表一  拟投入本标段的主要施工设备表</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附表二  拟配备本标段的试验和检测仪器设备表</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附表三  劳动力计划表</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附表四  计划开、竣工日期和施工进度网络图或横道图</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附表五  施工总平面图</w:t>
      </w:r>
    </w:p>
    <w:p>
      <w:pPr>
        <w:autoSpaceDE w:val="0"/>
        <w:autoSpaceDN w:val="0"/>
        <w:adjustRightInd w:val="0"/>
        <w:spacing w:line="360" w:lineRule="exact"/>
        <w:ind w:firstLine="420" w:firstLineChars="200"/>
        <w:rPr>
          <w:rFonts w:hint="eastAsia" w:ascii="宋体" w:hAnsi="宋体" w:eastAsia="宋体" w:cs="宋体"/>
          <w:kern w:val="0"/>
          <w:sz w:val="21"/>
          <w:highlight w:val="none"/>
        </w:rPr>
      </w:pPr>
      <w:r>
        <w:rPr>
          <w:rFonts w:hint="eastAsia" w:ascii="宋体" w:hAnsi="宋体" w:eastAsia="宋体" w:cs="宋体"/>
          <w:kern w:val="0"/>
          <w:sz w:val="21"/>
          <w:highlight w:val="none"/>
        </w:rPr>
        <w:t>附表六  临时用地表</w:t>
      </w:r>
    </w:p>
    <w:p>
      <w:pPr>
        <w:pStyle w:val="2"/>
        <w:rPr>
          <w:rFonts w:hint="eastAsia" w:ascii="宋体" w:hAnsi="宋体" w:eastAsia="宋体" w:cs="宋体"/>
          <w:kern w:val="0"/>
          <w:sz w:val="21"/>
          <w:highlight w:val="none"/>
        </w:rPr>
      </w:pPr>
    </w:p>
    <w:p>
      <w:pPr>
        <w:pStyle w:val="2"/>
        <w:rPr>
          <w:rFonts w:hint="eastAsia" w:ascii="宋体" w:hAnsi="宋体" w:eastAsia="宋体" w:cs="宋体"/>
          <w:kern w:val="0"/>
          <w:sz w:val="21"/>
          <w:highlight w:val="none"/>
        </w:rPr>
      </w:pPr>
    </w:p>
    <w:p>
      <w:pPr>
        <w:pStyle w:val="2"/>
        <w:rPr>
          <w:rFonts w:hint="eastAsia" w:ascii="宋体" w:hAnsi="宋体" w:eastAsia="宋体" w:cs="宋体"/>
          <w:kern w:val="0"/>
          <w:sz w:val="21"/>
          <w:highlight w:val="none"/>
        </w:rPr>
        <w:sectPr>
          <w:headerReference r:id="rId20" w:type="first"/>
          <w:footerReference r:id="rId23" w:type="first"/>
          <w:headerReference r:id="rId18" w:type="default"/>
          <w:footerReference r:id="rId21" w:type="default"/>
          <w:headerReference r:id="rId19" w:type="even"/>
          <w:footerReference r:id="rId22" w:type="even"/>
          <w:pgSz w:w="11906" w:h="16838"/>
          <w:pgMar w:top="1247" w:right="1474" w:bottom="1247" w:left="1474" w:header="851" w:footer="992" w:gutter="0"/>
          <w:pgNumType w:fmt="decimal"/>
          <w:cols w:space="720" w:num="1"/>
          <w:docGrid w:linePitch="312" w:charSpace="0"/>
        </w:sectPr>
      </w:pPr>
    </w:p>
    <w:p>
      <w:pPr>
        <w:autoSpaceDE w:val="0"/>
        <w:autoSpaceDN w:val="0"/>
        <w:adjustRightInd w:val="0"/>
        <w:spacing w:line="420" w:lineRule="exact"/>
        <w:rPr>
          <w:rFonts w:hint="eastAsia" w:ascii="宋体" w:hAnsi="宋体" w:eastAsia="宋体" w:cs="宋体"/>
          <w:b/>
          <w:spacing w:val="20"/>
          <w:sz w:val="21"/>
          <w:szCs w:val="21"/>
          <w:highlight w:val="none"/>
        </w:rPr>
      </w:pPr>
      <w:r>
        <w:rPr>
          <w:rFonts w:hint="eastAsia" w:ascii="宋体" w:hAnsi="宋体" w:eastAsia="宋体" w:cs="宋体"/>
          <w:sz w:val="21"/>
          <w:szCs w:val="21"/>
          <w:highlight w:val="none"/>
        </w:rPr>
        <w:t>附表一  拟投入本标段的主要施工设备表</w:t>
      </w:r>
    </w:p>
    <w:p>
      <w:pPr>
        <w:autoSpaceDE w:val="0"/>
        <w:autoSpaceDN w:val="0"/>
        <w:adjustRightInd w:val="0"/>
        <w:spacing w:line="420" w:lineRule="exact"/>
        <w:rPr>
          <w:rFonts w:hint="eastAsia" w:ascii="宋体" w:hAnsi="宋体" w:eastAsia="宋体" w:cs="宋体"/>
          <w:spacing w:val="20"/>
          <w:kern w:val="0"/>
          <w:sz w:val="21"/>
          <w:szCs w:val="21"/>
          <w:highlight w:val="none"/>
        </w:rPr>
      </w:pPr>
    </w:p>
    <w:tbl>
      <w:tblPr>
        <w:tblStyle w:val="47"/>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590"/>
        <w:gridCol w:w="850"/>
        <w:gridCol w:w="776"/>
        <w:gridCol w:w="730"/>
        <w:gridCol w:w="897"/>
        <w:gridCol w:w="1257"/>
        <w:gridCol w:w="846"/>
        <w:gridCol w:w="1100"/>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序号</w:t>
            </w: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机械或</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设备名称</w:t>
            </w: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型号规格</w:t>
            </w: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数量</w:t>
            </w: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国别</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产地</w:t>
            </w: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制造</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年份</w:t>
            </w: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额定</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功率(kw)</w:t>
            </w: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生产能力</w:t>
            </w: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用于施工部位</w:t>
            </w: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59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5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4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10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73"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bl>
    <w:p>
      <w:pPr>
        <w:spacing w:line="300" w:lineRule="auto"/>
        <w:rPr>
          <w:rFonts w:hint="eastAsia" w:ascii="宋体" w:hAnsi="宋体" w:eastAsia="宋体" w:cs="宋体"/>
          <w:b/>
          <w:spacing w:val="20"/>
          <w:sz w:val="24"/>
          <w:highlight w:val="none"/>
        </w:rPr>
      </w:pPr>
    </w:p>
    <w:p>
      <w:pPr>
        <w:spacing w:line="300" w:lineRule="auto"/>
        <w:rPr>
          <w:rFonts w:hint="eastAsia" w:ascii="宋体" w:hAnsi="宋体" w:eastAsia="宋体" w:cs="宋体"/>
          <w:b/>
          <w:spacing w:val="20"/>
          <w:sz w:val="21"/>
          <w:szCs w:val="21"/>
          <w:highlight w:val="none"/>
        </w:rPr>
      </w:pPr>
      <w:r>
        <w:rPr>
          <w:rFonts w:hint="eastAsia" w:ascii="宋体" w:hAnsi="宋体" w:eastAsia="宋体" w:cs="宋体"/>
          <w:sz w:val="21"/>
          <w:szCs w:val="21"/>
          <w:highlight w:val="none"/>
        </w:rPr>
        <w:t>附表二  拟配备本标段的试验和检测仪器设备表</w:t>
      </w:r>
    </w:p>
    <w:p>
      <w:pPr>
        <w:autoSpaceDE w:val="0"/>
        <w:autoSpaceDN w:val="0"/>
        <w:adjustRightInd w:val="0"/>
        <w:spacing w:line="420" w:lineRule="exact"/>
        <w:rPr>
          <w:rFonts w:hint="eastAsia" w:ascii="宋体" w:hAnsi="宋体" w:eastAsia="宋体" w:cs="宋体"/>
          <w:spacing w:val="20"/>
          <w:kern w:val="0"/>
          <w:sz w:val="24"/>
          <w:highlight w:val="none"/>
        </w:rPr>
      </w:pPr>
      <w:r>
        <w:rPr>
          <w:rFonts w:hint="eastAsia" w:ascii="宋体" w:hAnsi="宋体" w:eastAsia="宋体" w:cs="宋体"/>
          <w:spacing w:val="20"/>
          <w:kern w:val="0"/>
          <w:sz w:val="24"/>
          <w:highlight w:val="non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792"/>
        <w:gridCol w:w="718"/>
        <w:gridCol w:w="706"/>
        <w:gridCol w:w="730"/>
        <w:gridCol w:w="897"/>
        <w:gridCol w:w="1257"/>
        <w:gridCol w:w="1972"/>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序号</w:t>
            </w: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仪器设备名称</w:t>
            </w: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型号规格</w:t>
            </w: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数量</w:t>
            </w: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国别</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产地</w:t>
            </w: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制造</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年份</w:t>
            </w: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已使用</w:t>
            </w:r>
          </w:p>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台时数</w:t>
            </w: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用途</w:t>
            </w: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r>
              <w:rPr>
                <w:rFonts w:hint="eastAsia" w:ascii="宋体" w:hAnsi="宋体" w:eastAsia="宋体" w:cs="宋体"/>
                <w:spacing w:val="2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79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8"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06"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30"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89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25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1972"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c>
          <w:tcPr>
            <w:tcW w:w="717" w:type="dxa"/>
            <w:noWrap w:val="0"/>
            <w:vAlign w:val="center"/>
          </w:tcPr>
          <w:p>
            <w:pPr>
              <w:autoSpaceDE w:val="0"/>
              <w:autoSpaceDN w:val="0"/>
              <w:adjustRightInd w:val="0"/>
              <w:spacing w:line="420" w:lineRule="exact"/>
              <w:jc w:val="center"/>
              <w:rPr>
                <w:rFonts w:hint="eastAsia" w:ascii="宋体" w:hAnsi="宋体" w:eastAsia="宋体" w:cs="宋体"/>
                <w:spacing w:val="20"/>
                <w:kern w:val="0"/>
                <w:sz w:val="21"/>
                <w:szCs w:val="21"/>
                <w:highlight w:val="none"/>
              </w:rPr>
            </w:pPr>
          </w:p>
        </w:tc>
      </w:tr>
    </w:tbl>
    <w:p>
      <w:pPr>
        <w:spacing w:line="300" w:lineRule="auto"/>
        <w:rPr>
          <w:rFonts w:hint="eastAsia" w:ascii="宋体" w:hAnsi="宋体" w:eastAsia="宋体" w:cs="宋体"/>
          <w:kern w:val="0"/>
          <w:sz w:val="24"/>
          <w:highlight w:val="none"/>
        </w:rPr>
        <w:sectPr>
          <w:pgSz w:w="11906" w:h="16838"/>
          <w:pgMar w:top="1247" w:right="1474" w:bottom="1247" w:left="1474" w:header="851" w:footer="992" w:gutter="0"/>
          <w:pgNumType w:fmt="decimal"/>
          <w:cols w:space="720" w:num="1"/>
          <w:docGrid w:linePitch="312" w:charSpace="0"/>
        </w:sectPr>
      </w:pPr>
    </w:p>
    <w:p>
      <w:pPr>
        <w:spacing w:line="300" w:lineRule="auto"/>
        <w:rPr>
          <w:rFonts w:hint="eastAsia" w:ascii="宋体" w:hAnsi="宋体" w:eastAsia="宋体" w:cs="宋体"/>
          <w:b/>
          <w:spacing w:val="20"/>
          <w:sz w:val="24"/>
          <w:highlight w:val="none"/>
        </w:rPr>
      </w:pPr>
      <w:r>
        <w:rPr>
          <w:rFonts w:hint="eastAsia" w:ascii="宋体" w:hAnsi="宋体" w:eastAsia="宋体" w:cs="宋体"/>
          <w:kern w:val="0"/>
          <w:sz w:val="21"/>
          <w:highlight w:val="none"/>
        </w:rPr>
        <w:t>附表三  劳动力计划表</w:t>
      </w:r>
    </w:p>
    <w:p>
      <w:pPr>
        <w:autoSpaceDE w:val="0"/>
        <w:autoSpaceDN w:val="0"/>
        <w:adjustRightInd w:val="0"/>
        <w:spacing w:line="420" w:lineRule="exact"/>
        <w:jc w:val="right"/>
        <w:rPr>
          <w:rFonts w:hint="eastAsia" w:ascii="宋体" w:hAnsi="宋体" w:eastAsia="宋体" w:cs="宋体"/>
          <w:sz w:val="21"/>
          <w:szCs w:val="21"/>
          <w:highlight w:val="none"/>
        </w:rPr>
      </w:pPr>
      <w:r>
        <w:rPr>
          <w:rFonts w:hint="eastAsia" w:ascii="宋体" w:hAnsi="宋体" w:eastAsia="宋体" w:cs="宋体"/>
          <w:spacing w:val="20"/>
          <w:kern w:val="0"/>
          <w:sz w:val="21"/>
          <w:szCs w:val="21"/>
          <w:highlight w:val="none"/>
        </w:rPr>
        <w:t xml:space="preserve"> </w:t>
      </w:r>
      <w:r>
        <w:rPr>
          <w:rFonts w:hint="eastAsia" w:ascii="宋体" w:hAnsi="宋体" w:eastAsia="宋体" w:cs="宋体"/>
          <w:sz w:val="21"/>
          <w:szCs w:val="21"/>
          <w:highlight w:val="none"/>
        </w:rPr>
        <w:t xml:space="preserve">                 单位：人</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59" w:type="dxa"/>
            <w:vMerge w:val="restart"/>
            <w:noWrap w:val="0"/>
            <w:vAlign w:val="center"/>
          </w:tcPr>
          <w:p>
            <w:pPr>
              <w:autoSpaceDE w:val="0"/>
              <w:autoSpaceDN w:val="0"/>
              <w:adjustRightInd w:val="0"/>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工种</w:t>
            </w:r>
          </w:p>
        </w:tc>
        <w:tc>
          <w:tcPr>
            <w:tcW w:w="8127" w:type="dxa"/>
            <w:gridSpan w:val="7"/>
            <w:noWrap w:val="0"/>
            <w:vAlign w:val="center"/>
          </w:tcPr>
          <w:p>
            <w:pPr>
              <w:autoSpaceDE w:val="0"/>
              <w:autoSpaceDN w:val="0"/>
              <w:adjustRightInd w:val="0"/>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59" w:type="dxa"/>
            <w:vMerge w:val="continue"/>
            <w:noWrap w:val="0"/>
            <w:vAlign w:val="center"/>
          </w:tcPr>
          <w:p>
            <w:pPr>
              <w:autoSpaceDE w:val="0"/>
              <w:autoSpaceDN w:val="0"/>
              <w:adjustRightInd w:val="0"/>
              <w:spacing w:line="420" w:lineRule="exact"/>
              <w:jc w:val="center"/>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9"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9"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9"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9"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c>
          <w:tcPr>
            <w:tcW w:w="1161" w:type="dxa"/>
            <w:noWrap w:val="0"/>
            <w:vAlign w:val="top"/>
          </w:tcPr>
          <w:p>
            <w:pPr>
              <w:autoSpaceDE w:val="0"/>
              <w:autoSpaceDN w:val="0"/>
              <w:adjustRightInd w:val="0"/>
              <w:spacing w:line="420" w:lineRule="exact"/>
              <w:rPr>
                <w:rFonts w:hint="eastAsia" w:ascii="宋体" w:hAnsi="宋体" w:eastAsia="宋体" w:cs="宋体"/>
                <w:sz w:val="21"/>
                <w:szCs w:val="21"/>
                <w:highlight w:val="none"/>
              </w:rPr>
            </w:pPr>
          </w:p>
        </w:tc>
      </w:tr>
    </w:tbl>
    <w:p>
      <w:pPr>
        <w:spacing w:line="300" w:lineRule="auto"/>
        <w:rPr>
          <w:rFonts w:hint="eastAsia" w:ascii="宋体" w:hAnsi="宋体" w:eastAsia="宋体" w:cs="宋体"/>
          <w:b/>
          <w:spacing w:val="20"/>
          <w:kern w:val="0"/>
          <w:sz w:val="24"/>
          <w:highlight w:val="none"/>
        </w:rPr>
      </w:pPr>
    </w:p>
    <w:p>
      <w:pPr>
        <w:spacing w:line="300" w:lineRule="auto"/>
        <w:rPr>
          <w:rFonts w:hint="eastAsia" w:ascii="宋体" w:hAnsi="宋体" w:eastAsia="宋体" w:cs="宋体"/>
          <w:b/>
          <w:spacing w:val="20"/>
          <w:kern w:val="0"/>
          <w:sz w:val="21"/>
          <w:szCs w:val="21"/>
          <w:highlight w:val="none"/>
        </w:rPr>
      </w:pPr>
      <w:r>
        <w:rPr>
          <w:rFonts w:hint="eastAsia" w:ascii="宋体" w:hAnsi="宋体" w:eastAsia="宋体" w:cs="宋体"/>
          <w:sz w:val="21"/>
          <w:szCs w:val="21"/>
          <w:highlight w:val="none"/>
        </w:rPr>
        <w:t>附表四  计划开、竣工日期和施工进度网络图或横道图</w:t>
      </w:r>
    </w:p>
    <w:p>
      <w:pPr>
        <w:spacing w:line="420" w:lineRule="exact"/>
        <w:ind w:right="-2" w:firstLine="420" w:firstLineChars="200"/>
        <w:rPr>
          <w:rFonts w:hint="eastAsia" w:ascii="宋体" w:hAnsi="宋体" w:eastAsia="宋体" w:cs="宋体"/>
          <w:b/>
          <w:spacing w:val="20"/>
          <w:kern w:val="0"/>
          <w:sz w:val="21"/>
          <w:szCs w:val="21"/>
          <w:highlight w:val="none"/>
        </w:rPr>
      </w:pPr>
      <w:r>
        <w:rPr>
          <w:rFonts w:hint="eastAsia" w:ascii="宋体" w:hAnsi="宋体" w:eastAsia="宋体" w:cs="宋体"/>
          <w:sz w:val="21"/>
          <w:szCs w:val="21"/>
          <w:highlight w:val="none"/>
        </w:rPr>
        <w:t>投标人应提交施工进度网络图或横道图，说明按招标文件要求的工期进行施工的各个关键日期。</w:t>
      </w:r>
    </w:p>
    <w:p>
      <w:pPr>
        <w:spacing w:line="300" w:lineRule="auto"/>
        <w:ind w:firstLine="502" w:firstLineChars="200"/>
        <w:rPr>
          <w:rFonts w:hint="eastAsia" w:ascii="宋体" w:hAnsi="宋体" w:eastAsia="宋体" w:cs="宋体"/>
          <w:b/>
          <w:spacing w:val="20"/>
          <w:kern w:val="0"/>
          <w:sz w:val="21"/>
          <w:szCs w:val="21"/>
          <w:highlight w:val="none"/>
        </w:rPr>
      </w:pPr>
    </w:p>
    <w:p>
      <w:pPr>
        <w:spacing w:line="300" w:lineRule="auto"/>
        <w:rPr>
          <w:rFonts w:hint="eastAsia" w:ascii="宋体" w:hAnsi="宋体" w:eastAsia="宋体" w:cs="宋体"/>
          <w:sz w:val="24"/>
          <w:highlight w:val="none"/>
        </w:rPr>
      </w:pPr>
    </w:p>
    <w:p>
      <w:pPr>
        <w:spacing w:line="300" w:lineRule="auto"/>
        <w:rPr>
          <w:rFonts w:hint="eastAsia" w:ascii="宋体" w:hAnsi="宋体" w:eastAsia="宋体" w:cs="宋体"/>
          <w:sz w:val="24"/>
          <w:highlight w:val="none"/>
        </w:rPr>
      </w:pPr>
    </w:p>
    <w:p>
      <w:pPr>
        <w:spacing w:line="300" w:lineRule="auto"/>
        <w:rPr>
          <w:rFonts w:hint="eastAsia" w:ascii="宋体" w:hAnsi="宋体" w:eastAsia="宋体" w:cs="宋体"/>
          <w:spacing w:val="20"/>
          <w:kern w:val="0"/>
          <w:highlight w:val="none"/>
        </w:rPr>
      </w:pPr>
      <w:r>
        <w:rPr>
          <w:rFonts w:hint="eastAsia" w:ascii="宋体" w:hAnsi="宋体" w:eastAsia="宋体" w:cs="宋体"/>
          <w:sz w:val="24"/>
          <w:highlight w:val="none"/>
        </w:rPr>
        <w:t>附表五  施工总平面图</w:t>
      </w:r>
    </w:p>
    <w:p>
      <w:pPr>
        <w:spacing w:line="30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投标人应提交一份所投标段施工总平面图，绘制现场临时设施布置图表并附文字说明，说明临时设施、加工车间、现场办公、设备及仓储、供电、供水、卫生、生活等设施的情况和布置。</w:t>
      </w:r>
    </w:p>
    <w:p>
      <w:pPr>
        <w:spacing w:line="300" w:lineRule="auto"/>
        <w:ind w:firstLine="480" w:firstLineChars="200"/>
        <w:rPr>
          <w:rFonts w:hint="eastAsia" w:ascii="宋体" w:hAnsi="宋体" w:eastAsia="宋体" w:cs="宋体"/>
          <w:sz w:val="24"/>
          <w:highlight w:val="none"/>
        </w:rPr>
      </w:pPr>
    </w:p>
    <w:p>
      <w:pPr>
        <w:spacing w:line="300" w:lineRule="auto"/>
        <w:ind w:firstLine="480" w:firstLineChars="200"/>
        <w:rPr>
          <w:rFonts w:hint="eastAsia" w:ascii="宋体" w:hAnsi="宋体" w:eastAsia="宋体" w:cs="宋体"/>
          <w:sz w:val="24"/>
          <w:highlight w:val="none"/>
        </w:rPr>
      </w:pPr>
    </w:p>
    <w:p>
      <w:pPr>
        <w:spacing w:line="300" w:lineRule="auto"/>
        <w:rPr>
          <w:rFonts w:hint="eastAsia" w:ascii="宋体" w:hAnsi="宋体" w:eastAsia="宋体" w:cs="宋体"/>
          <w:b/>
          <w:spacing w:val="20"/>
          <w:sz w:val="24"/>
          <w:highlight w:val="none"/>
        </w:rPr>
      </w:pPr>
      <w:r>
        <w:rPr>
          <w:rFonts w:hint="eastAsia" w:ascii="宋体" w:hAnsi="宋体" w:eastAsia="宋体" w:cs="宋体"/>
          <w:kern w:val="0"/>
          <w:sz w:val="21"/>
          <w:highlight w:val="none"/>
        </w:rPr>
        <w:t>附表六  临时用地表</w:t>
      </w:r>
    </w:p>
    <w:p>
      <w:pPr>
        <w:spacing w:line="420" w:lineRule="exact"/>
        <w:ind w:right="-288"/>
        <w:rPr>
          <w:rFonts w:hint="eastAsia" w:ascii="宋体" w:hAnsi="宋体" w:eastAsia="宋体" w:cs="宋体"/>
          <w:sz w:val="24"/>
          <w:highlight w:val="none"/>
        </w:rPr>
      </w:pPr>
      <w:r>
        <w:rPr>
          <w:rFonts w:hint="eastAsia" w:ascii="宋体" w:hAnsi="宋体" w:eastAsia="宋体" w:cs="宋体"/>
          <w:sz w:val="24"/>
          <w:highlight w:val="non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dxa"/>
            <w:noWrap w:val="0"/>
            <w:vAlign w:val="center"/>
          </w:tcPr>
          <w:p>
            <w:pPr>
              <w:spacing w:line="420" w:lineRule="exact"/>
              <w:ind w:right="-28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用途</w:t>
            </w:r>
          </w:p>
        </w:tc>
        <w:tc>
          <w:tcPr>
            <w:tcW w:w="2322" w:type="dxa"/>
            <w:noWrap w:val="0"/>
            <w:vAlign w:val="center"/>
          </w:tcPr>
          <w:p>
            <w:pPr>
              <w:spacing w:line="420" w:lineRule="exact"/>
              <w:ind w:right="-28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面积（m</w:t>
            </w:r>
            <w:r>
              <w:rPr>
                <w:rFonts w:hint="eastAsia" w:ascii="宋体" w:hAnsi="宋体" w:eastAsia="宋体" w:cs="宋体"/>
                <w:sz w:val="21"/>
                <w:szCs w:val="21"/>
                <w:highlight w:val="none"/>
                <w:vertAlign w:val="superscript"/>
              </w:rPr>
              <w:t>2</w:t>
            </w:r>
            <w:r>
              <w:rPr>
                <w:rFonts w:hint="eastAsia" w:ascii="宋体" w:hAnsi="宋体" w:eastAsia="宋体" w:cs="宋体"/>
                <w:sz w:val="21"/>
                <w:szCs w:val="21"/>
                <w:highlight w:val="none"/>
              </w:rPr>
              <w:t>）</w:t>
            </w:r>
          </w:p>
        </w:tc>
        <w:tc>
          <w:tcPr>
            <w:tcW w:w="2322" w:type="dxa"/>
            <w:noWrap w:val="0"/>
            <w:vAlign w:val="center"/>
          </w:tcPr>
          <w:p>
            <w:pPr>
              <w:spacing w:line="420" w:lineRule="exact"/>
              <w:ind w:right="-28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位置</w:t>
            </w:r>
          </w:p>
        </w:tc>
        <w:tc>
          <w:tcPr>
            <w:tcW w:w="2322" w:type="dxa"/>
            <w:noWrap w:val="0"/>
            <w:vAlign w:val="center"/>
          </w:tcPr>
          <w:p>
            <w:pPr>
              <w:spacing w:line="420" w:lineRule="exact"/>
              <w:ind w:right="-28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c>
          <w:tcPr>
            <w:tcW w:w="2322" w:type="dxa"/>
            <w:noWrap w:val="0"/>
            <w:vAlign w:val="top"/>
          </w:tcPr>
          <w:p>
            <w:pPr>
              <w:spacing w:line="420" w:lineRule="exact"/>
              <w:ind w:right="-288"/>
              <w:rPr>
                <w:rFonts w:hint="eastAsia" w:ascii="宋体" w:hAnsi="宋体" w:eastAsia="宋体" w:cs="宋体"/>
                <w:sz w:val="21"/>
                <w:szCs w:val="21"/>
                <w:highlight w:val="none"/>
              </w:rPr>
            </w:pPr>
          </w:p>
        </w:tc>
      </w:tr>
    </w:tbl>
    <w:p>
      <w:pPr>
        <w:rPr>
          <w:rFonts w:hint="eastAsia" w:ascii="宋体" w:hAnsi="宋体" w:eastAsia="宋体" w:cs="宋体"/>
          <w:sz w:val="21"/>
          <w:szCs w:val="21"/>
          <w:highlight w:val="none"/>
        </w:rPr>
      </w:pPr>
    </w:p>
    <w:p>
      <w:pPr>
        <w:pStyle w:val="2"/>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pStyle w:val="46"/>
        <w:ind w:firstLine="560"/>
        <w:rPr>
          <w:rFonts w:hint="eastAsia" w:ascii="宋体" w:hAnsi="宋体" w:eastAsia="宋体" w:cs="宋体"/>
          <w:highlight w:val="none"/>
        </w:rPr>
      </w:pPr>
    </w:p>
    <w:p>
      <w:pPr>
        <w:tabs>
          <w:tab w:val="center" w:pos="5452"/>
        </w:tabs>
        <w:spacing w:line="400" w:lineRule="exact"/>
        <w:ind w:left="-50" w:leftChars="-18" w:firstLine="37" w:firstLineChars="13"/>
        <w:rPr>
          <w:rFonts w:hint="eastAsia" w:ascii="宋体" w:hAnsi="宋体" w:eastAsia="宋体" w:cs="宋体"/>
          <w:b/>
          <w:szCs w:val="28"/>
          <w:highlight w:val="none"/>
          <w:lang w:bidi="ar"/>
        </w:rPr>
      </w:pPr>
      <w:r>
        <w:rPr>
          <w:rFonts w:hint="eastAsia" w:ascii="宋体" w:hAnsi="宋体" w:eastAsia="宋体" w:cs="宋体"/>
          <w:b/>
          <w:szCs w:val="28"/>
          <w:highlight w:val="none"/>
          <w:lang w:bidi="ar"/>
        </w:rPr>
        <w:t>【企业信誉实力部分】</w:t>
      </w:r>
    </w:p>
    <w:p>
      <w:pPr>
        <w:tabs>
          <w:tab w:val="left" w:pos="826"/>
        </w:tabs>
        <w:snapToGrid w:val="0"/>
        <w:spacing w:line="400" w:lineRule="exact"/>
        <w:jc w:val="center"/>
        <w:rPr>
          <w:rFonts w:hint="eastAsia" w:ascii="宋体" w:hAnsi="宋体" w:eastAsia="宋体" w:cs="宋体"/>
          <w:szCs w:val="28"/>
          <w:highlight w:val="none"/>
        </w:rPr>
      </w:pPr>
      <w:r>
        <w:rPr>
          <w:rFonts w:hint="eastAsia" w:ascii="宋体" w:hAnsi="宋体" w:eastAsia="宋体" w:cs="宋体"/>
          <w:szCs w:val="28"/>
          <w:highlight w:val="none"/>
        </w:rPr>
        <w:t>（一）企业信誉实力一览表（如有）</w:t>
      </w:r>
    </w:p>
    <w:tbl>
      <w:tblPr>
        <w:tblStyle w:val="47"/>
        <w:tblW w:w="8673"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7"/>
        <w:gridCol w:w="416"/>
        <w:gridCol w:w="1034"/>
        <w:gridCol w:w="6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27" w:type="dxa"/>
            <w:vMerge w:val="restart"/>
            <w:tcBorders>
              <w:bottom w:val="single" w:color="auto" w:sz="4" w:space="0"/>
              <w:right w:val="nil"/>
            </w:tcBorders>
            <w:noWrap w:val="0"/>
            <w:textDirection w:val="tbRlV"/>
            <w:vAlign w:val="top"/>
          </w:tcPr>
          <w:p>
            <w:pPr>
              <w:widowControl/>
              <w:kinsoku w:val="0"/>
              <w:autoSpaceDE w:val="0"/>
              <w:autoSpaceDN w:val="0"/>
              <w:adjustRightInd w:val="0"/>
              <w:snapToGrid w:val="0"/>
              <w:spacing w:before="107" w:line="213" w:lineRule="auto"/>
              <w:ind w:left="509"/>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5"/>
                <w:kern w:val="0"/>
                <w:sz w:val="21"/>
                <w:szCs w:val="21"/>
                <w:highlight w:val="none"/>
              </w:rPr>
              <w:t>企  信  实   一  表</w:t>
            </w:r>
          </w:p>
        </w:tc>
        <w:tc>
          <w:tcPr>
            <w:tcW w:w="416" w:type="dxa"/>
            <w:vMerge w:val="restart"/>
            <w:tcBorders>
              <w:left w:val="nil"/>
              <w:bottom w:val="single" w:color="auto" w:sz="4" w:space="0"/>
            </w:tcBorders>
            <w:noWrap w:val="0"/>
            <w:textDirection w:val="tbRlV"/>
            <w:vAlign w:val="top"/>
          </w:tcPr>
          <w:p>
            <w:pPr>
              <w:widowControl/>
              <w:kinsoku w:val="0"/>
              <w:autoSpaceDE w:val="0"/>
              <w:autoSpaceDN w:val="0"/>
              <w:adjustRightInd w:val="0"/>
              <w:snapToGrid w:val="0"/>
              <w:spacing w:before="108" w:line="216" w:lineRule="auto"/>
              <w:ind w:left="509"/>
              <w:jc w:val="left"/>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13"/>
                <w:kern w:val="0"/>
                <w:sz w:val="21"/>
                <w:szCs w:val="21"/>
                <w:highlight w:val="none"/>
              </w:rPr>
              <w:t xml:space="preserve">业  誉  力  </w:t>
            </w:r>
            <w:r>
              <w:rPr>
                <w:rFonts w:hint="eastAsia" w:ascii="宋体" w:hAnsi="宋体" w:eastAsia="宋体" w:cs="宋体"/>
                <w:snapToGrid w:val="0"/>
                <w:spacing w:val="11"/>
                <w:kern w:val="0"/>
                <w:sz w:val="21"/>
                <w:szCs w:val="21"/>
                <w:highlight w:val="none"/>
              </w:rPr>
              <w:t>览</w:t>
            </w:r>
          </w:p>
        </w:tc>
        <w:tc>
          <w:tcPr>
            <w:tcW w:w="1034" w:type="dxa"/>
            <w:noWrap w:val="0"/>
            <w:vAlign w:val="center"/>
          </w:tcPr>
          <w:p>
            <w:pPr>
              <w:widowControl/>
              <w:kinsoku w:val="0"/>
              <w:autoSpaceDE w:val="0"/>
              <w:autoSpaceDN w:val="0"/>
              <w:adjustRightInd w:val="0"/>
              <w:snapToGrid w:val="0"/>
              <w:spacing w:before="65" w:line="229" w:lineRule="auto"/>
              <w:jc w:val="center"/>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5"/>
                <w:kern w:val="0"/>
                <w:sz w:val="21"/>
                <w:szCs w:val="21"/>
                <w:highlight w:val="none"/>
              </w:rPr>
              <w:t>序号</w:t>
            </w:r>
          </w:p>
        </w:tc>
        <w:tc>
          <w:tcPr>
            <w:tcW w:w="6796" w:type="dxa"/>
            <w:noWrap w:val="0"/>
            <w:vAlign w:val="center"/>
          </w:tcPr>
          <w:p>
            <w:pPr>
              <w:widowControl/>
              <w:kinsoku w:val="0"/>
              <w:autoSpaceDE w:val="0"/>
              <w:autoSpaceDN w:val="0"/>
              <w:adjustRightInd w:val="0"/>
              <w:snapToGrid w:val="0"/>
              <w:spacing w:before="65" w:line="228" w:lineRule="auto"/>
              <w:jc w:val="center"/>
              <w:textAlignment w:val="baseline"/>
              <w:rPr>
                <w:rFonts w:hint="eastAsia" w:ascii="宋体" w:hAnsi="宋体" w:eastAsia="宋体" w:cs="宋体"/>
                <w:snapToGrid w:val="0"/>
                <w:kern w:val="0"/>
                <w:sz w:val="21"/>
                <w:szCs w:val="21"/>
                <w:highlight w:val="none"/>
              </w:rPr>
            </w:pPr>
            <w:r>
              <w:rPr>
                <w:rFonts w:hint="eastAsia" w:ascii="宋体" w:hAnsi="宋体" w:eastAsia="宋体" w:cs="宋体"/>
                <w:snapToGrid w:val="0"/>
                <w:spacing w:val="3"/>
                <w:kern w:val="0"/>
                <w:sz w:val="21"/>
                <w:szCs w:val="21"/>
                <w:highlight w:val="none"/>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27" w:type="dxa"/>
            <w:vMerge w:val="continue"/>
            <w:tcBorders>
              <w:top w:val="single" w:color="auto" w:sz="4" w:space="0"/>
              <w:bottom w:val="single" w:color="auto" w:sz="4" w:space="0"/>
              <w:right w:val="nil"/>
            </w:tcBorders>
            <w:noWrap w:val="0"/>
            <w:textDirection w:val="tbRlV"/>
            <w:vAlign w:val="top"/>
          </w:tcPr>
          <w:p>
            <w:pPr>
              <w:widowControl/>
              <w:kinsoku w:val="0"/>
              <w:autoSpaceDE w:val="0"/>
              <w:autoSpaceDN w:val="0"/>
              <w:adjustRightInd w:val="0"/>
              <w:snapToGrid w:val="0"/>
              <w:spacing w:before="107" w:line="213" w:lineRule="auto"/>
              <w:ind w:left="509"/>
              <w:jc w:val="left"/>
              <w:textAlignment w:val="baseline"/>
              <w:rPr>
                <w:rFonts w:hint="eastAsia" w:ascii="宋体" w:hAnsi="宋体" w:eastAsia="宋体" w:cs="宋体"/>
                <w:snapToGrid w:val="0"/>
                <w:spacing w:val="5"/>
                <w:kern w:val="0"/>
                <w:sz w:val="21"/>
                <w:szCs w:val="21"/>
                <w:highlight w:val="none"/>
              </w:rPr>
            </w:pPr>
          </w:p>
        </w:tc>
        <w:tc>
          <w:tcPr>
            <w:tcW w:w="416" w:type="dxa"/>
            <w:vMerge w:val="continue"/>
            <w:tcBorders>
              <w:top w:val="single" w:color="auto" w:sz="4" w:space="0"/>
              <w:left w:val="nil"/>
              <w:bottom w:val="single" w:color="auto" w:sz="4" w:space="0"/>
            </w:tcBorders>
            <w:noWrap w:val="0"/>
            <w:textDirection w:val="tbRlV"/>
            <w:vAlign w:val="top"/>
          </w:tcPr>
          <w:p>
            <w:pPr>
              <w:widowControl/>
              <w:kinsoku w:val="0"/>
              <w:autoSpaceDE w:val="0"/>
              <w:autoSpaceDN w:val="0"/>
              <w:adjustRightInd w:val="0"/>
              <w:snapToGrid w:val="0"/>
              <w:spacing w:before="108" w:line="216" w:lineRule="auto"/>
              <w:ind w:left="509"/>
              <w:jc w:val="left"/>
              <w:textAlignment w:val="baseline"/>
              <w:rPr>
                <w:rFonts w:hint="eastAsia" w:ascii="宋体" w:hAnsi="宋体" w:eastAsia="宋体" w:cs="宋体"/>
                <w:snapToGrid w:val="0"/>
                <w:spacing w:val="13"/>
                <w:kern w:val="0"/>
                <w:sz w:val="21"/>
                <w:szCs w:val="21"/>
                <w:highlight w:val="none"/>
              </w:rPr>
            </w:pPr>
          </w:p>
        </w:tc>
        <w:tc>
          <w:tcPr>
            <w:tcW w:w="1034" w:type="dxa"/>
            <w:noWrap w:val="0"/>
            <w:vAlign w:val="center"/>
          </w:tcPr>
          <w:p>
            <w:pPr>
              <w:widowControl/>
              <w:kinsoku w:val="0"/>
              <w:autoSpaceDE w:val="0"/>
              <w:autoSpaceDN w:val="0"/>
              <w:adjustRightInd w:val="0"/>
              <w:snapToGrid w:val="0"/>
              <w:spacing w:before="65" w:line="229" w:lineRule="auto"/>
              <w:jc w:val="center"/>
              <w:textAlignment w:val="baseline"/>
              <w:rPr>
                <w:rFonts w:hint="eastAsia" w:ascii="宋体" w:hAnsi="宋体" w:eastAsia="宋体" w:cs="宋体"/>
                <w:snapToGrid w:val="0"/>
                <w:spacing w:val="5"/>
                <w:kern w:val="0"/>
                <w:sz w:val="21"/>
                <w:szCs w:val="21"/>
                <w:highlight w:val="none"/>
              </w:rPr>
            </w:pPr>
          </w:p>
        </w:tc>
        <w:tc>
          <w:tcPr>
            <w:tcW w:w="6796" w:type="dxa"/>
            <w:noWrap w:val="0"/>
            <w:vAlign w:val="center"/>
          </w:tcPr>
          <w:p>
            <w:pPr>
              <w:widowControl/>
              <w:kinsoku w:val="0"/>
              <w:autoSpaceDE w:val="0"/>
              <w:autoSpaceDN w:val="0"/>
              <w:adjustRightInd w:val="0"/>
              <w:snapToGrid w:val="0"/>
              <w:spacing w:line="439" w:lineRule="exact"/>
              <w:ind w:left="113"/>
              <w:jc w:val="left"/>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427" w:type="dxa"/>
            <w:vMerge w:val="continue"/>
            <w:tcBorders>
              <w:top w:val="single" w:color="auto" w:sz="4" w:space="0"/>
              <w:bottom w:val="single" w:color="auto" w:sz="4" w:space="0"/>
              <w:right w:val="nil"/>
            </w:tcBorders>
            <w:noWrap w:val="0"/>
            <w:textDirection w:val="tbRlV"/>
            <w:vAlign w:val="top"/>
          </w:tcPr>
          <w:p>
            <w:pPr>
              <w:widowControl/>
              <w:kinsoku w:val="0"/>
              <w:autoSpaceDE w:val="0"/>
              <w:autoSpaceDN w:val="0"/>
              <w:adjustRightInd w:val="0"/>
              <w:snapToGrid w:val="0"/>
              <w:spacing w:before="107" w:line="213" w:lineRule="auto"/>
              <w:ind w:left="509"/>
              <w:jc w:val="left"/>
              <w:textAlignment w:val="baseline"/>
              <w:rPr>
                <w:rFonts w:hint="eastAsia" w:ascii="宋体" w:hAnsi="宋体" w:eastAsia="宋体" w:cs="宋体"/>
                <w:snapToGrid w:val="0"/>
                <w:spacing w:val="5"/>
                <w:kern w:val="0"/>
                <w:sz w:val="21"/>
                <w:szCs w:val="21"/>
                <w:highlight w:val="none"/>
              </w:rPr>
            </w:pPr>
          </w:p>
        </w:tc>
        <w:tc>
          <w:tcPr>
            <w:tcW w:w="416" w:type="dxa"/>
            <w:vMerge w:val="continue"/>
            <w:tcBorders>
              <w:top w:val="single" w:color="auto" w:sz="4" w:space="0"/>
              <w:left w:val="nil"/>
              <w:bottom w:val="single" w:color="auto" w:sz="4" w:space="0"/>
            </w:tcBorders>
            <w:noWrap w:val="0"/>
            <w:textDirection w:val="tbRlV"/>
            <w:vAlign w:val="top"/>
          </w:tcPr>
          <w:p>
            <w:pPr>
              <w:widowControl/>
              <w:kinsoku w:val="0"/>
              <w:autoSpaceDE w:val="0"/>
              <w:autoSpaceDN w:val="0"/>
              <w:adjustRightInd w:val="0"/>
              <w:snapToGrid w:val="0"/>
              <w:spacing w:before="108" w:line="216" w:lineRule="auto"/>
              <w:ind w:left="509"/>
              <w:jc w:val="left"/>
              <w:textAlignment w:val="baseline"/>
              <w:rPr>
                <w:rFonts w:hint="eastAsia" w:ascii="宋体" w:hAnsi="宋体" w:eastAsia="宋体" w:cs="宋体"/>
                <w:snapToGrid w:val="0"/>
                <w:spacing w:val="13"/>
                <w:kern w:val="0"/>
                <w:sz w:val="21"/>
                <w:szCs w:val="21"/>
                <w:highlight w:val="none"/>
              </w:rPr>
            </w:pPr>
          </w:p>
        </w:tc>
        <w:tc>
          <w:tcPr>
            <w:tcW w:w="1034" w:type="dxa"/>
            <w:noWrap w:val="0"/>
            <w:vAlign w:val="center"/>
          </w:tcPr>
          <w:p>
            <w:pPr>
              <w:widowControl/>
              <w:kinsoku w:val="0"/>
              <w:autoSpaceDE w:val="0"/>
              <w:autoSpaceDN w:val="0"/>
              <w:adjustRightInd w:val="0"/>
              <w:snapToGrid w:val="0"/>
              <w:spacing w:before="65" w:line="229" w:lineRule="auto"/>
              <w:jc w:val="center"/>
              <w:textAlignment w:val="baseline"/>
              <w:rPr>
                <w:rFonts w:hint="eastAsia" w:ascii="宋体" w:hAnsi="宋体" w:eastAsia="宋体" w:cs="宋体"/>
                <w:snapToGrid w:val="0"/>
                <w:spacing w:val="5"/>
                <w:kern w:val="0"/>
                <w:sz w:val="21"/>
                <w:szCs w:val="21"/>
                <w:highlight w:val="none"/>
              </w:rPr>
            </w:pPr>
          </w:p>
        </w:tc>
        <w:tc>
          <w:tcPr>
            <w:tcW w:w="6796" w:type="dxa"/>
            <w:noWrap w:val="0"/>
            <w:vAlign w:val="center"/>
          </w:tcPr>
          <w:p>
            <w:pPr>
              <w:widowControl/>
              <w:kinsoku w:val="0"/>
              <w:autoSpaceDE w:val="0"/>
              <w:autoSpaceDN w:val="0"/>
              <w:adjustRightInd w:val="0"/>
              <w:snapToGrid w:val="0"/>
              <w:spacing w:line="439" w:lineRule="exact"/>
              <w:ind w:left="113"/>
              <w:jc w:val="left"/>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427" w:type="dxa"/>
            <w:vMerge w:val="continue"/>
            <w:tcBorders>
              <w:top w:val="single" w:color="auto" w:sz="4" w:space="0"/>
              <w:bottom w:val="single" w:color="auto" w:sz="4" w:space="0"/>
              <w:right w:val="nil"/>
            </w:tcBorders>
            <w:noWrap w:val="0"/>
            <w:textDirection w:val="tbRlV"/>
            <w:vAlign w:val="top"/>
          </w:tcPr>
          <w:p>
            <w:pPr>
              <w:widowControl/>
              <w:kinsoku w:val="0"/>
              <w:autoSpaceDE w:val="0"/>
              <w:autoSpaceDN w:val="0"/>
              <w:adjustRightInd w:val="0"/>
              <w:snapToGrid w:val="0"/>
              <w:jc w:val="left"/>
              <w:textAlignment w:val="baseline"/>
              <w:rPr>
                <w:rFonts w:hint="eastAsia" w:ascii="宋体" w:hAnsi="宋体" w:eastAsia="宋体" w:cs="宋体"/>
                <w:snapToGrid w:val="0"/>
                <w:kern w:val="0"/>
                <w:sz w:val="21"/>
                <w:szCs w:val="21"/>
                <w:highlight w:val="none"/>
              </w:rPr>
            </w:pPr>
          </w:p>
        </w:tc>
        <w:tc>
          <w:tcPr>
            <w:tcW w:w="416" w:type="dxa"/>
            <w:vMerge w:val="continue"/>
            <w:tcBorders>
              <w:top w:val="single" w:color="auto" w:sz="4" w:space="0"/>
              <w:left w:val="nil"/>
              <w:bottom w:val="single" w:color="auto" w:sz="4" w:space="0"/>
            </w:tcBorders>
            <w:noWrap w:val="0"/>
            <w:textDirection w:val="tbRlV"/>
            <w:vAlign w:val="top"/>
          </w:tcPr>
          <w:p>
            <w:pPr>
              <w:widowControl/>
              <w:kinsoku w:val="0"/>
              <w:autoSpaceDE w:val="0"/>
              <w:autoSpaceDN w:val="0"/>
              <w:adjustRightInd w:val="0"/>
              <w:snapToGrid w:val="0"/>
              <w:jc w:val="left"/>
              <w:textAlignment w:val="baseline"/>
              <w:rPr>
                <w:rFonts w:hint="eastAsia" w:ascii="宋体" w:hAnsi="宋体" w:eastAsia="宋体" w:cs="宋体"/>
                <w:snapToGrid w:val="0"/>
                <w:kern w:val="0"/>
                <w:sz w:val="21"/>
                <w:szCs w:val="21"/>
                <w:highlight w:val="none"/>
              </w:rPr>
            </w:pPr>
          </w:p>
        </w:tc>
        <w:tc>
          <w:tcPr>
            <w:tcW w:w="1034" w:type="dxa"/>
            <w:noWrap w:val="0"/>
            <w:vAlign w:val="center"/>
          </w:tcPr>
          <w:p>
            <w:pPr>
              <w:widowControl/>
              <w:kinsoku w:val="0"/>
              <w:autoSpaceDE w:val="0"/>
              <w:autoSpaceDN w:val="0"/>
              <w:adjustRightInd w:val="0"/>
              <w:snapToGrid w:val="0"/>
              <w:spacing w:before="65" w:line="193" w:lineRule="auto"/>
              <w:jc w:val="center"/>
              <w:textAlignment w:val="baseline"/>
              <w:rPr>
                <w:rFonts w:hint="eastAsia" w:ascii="宋体" w:hAnsi="宋体" w:eastAsia="宋体" w:cs="宋体"/>
                <w:snapToGrid w:val="0"/>
                <w:kern w:val="0"/>
                <w:sz w:val="21"/>
                <w:szCs w:val="21"/>
                <w:highlight w:val="none"/>
              </w:rPr>
            </w:pPr>
          </w:p>
        </w:tc>
        <w:tc>
          <w:tcPr>
            <w:tcW w:w="6796" w:type="dxa"/>
            <w:noWrap w:val="0"/>
            <w:vAlign w:val="center"/>
          </w:tcPr>
          <w:p>
            <w:pPr>
              <w:widowControl/>
              <w:kinsoku w:val="0"/>
              <w:autoSpaceDE w:val="0"/>
              <w:autoSpaceDN w:val="0"/>
              <w:adjustRightInd w:val="0"/>
              <w:snapToGrid w:val="0"/>
              <w:spacing w:line="439" w:lineRule="exact"/>
              <w:ind w:left="113"/>
              <w:jc w:val="left"/>
              <w:textAlignment w:val="baseline"/>
              <w:rPr>
                <w:rFonts w:hint="eastAsia" w:ascii="宋体" w:hAnsi="宋体" w:eastAsia="宋体" w:cs="宋体"/>
                <w:sz w:val="21"/>
                <w:szCs w:val="21"/>
                <w:highlight w:val="none"/>
              </w:rPr>
            </w:pPr>
          </w:p>
        </w:tc>
      </w:tr>
    </w:tbl>
    <w:p>
      <w:pPr>
        <w:tabs>
          <w:tab w:val="left" w:pos="826"/>
        </w:tabs>
        <w:snapToGrid w:val="0"/>
        <w:spacing w:line="400" w:lineRule="exact"/>
        <w:ind w:firstLine="420" w:firstLineChars="200"/>
        <w:rPr>
          <w:rFonts w:hint="eastAsia" w:ascii="宋体" w:hAnsi="宋体" w:eastAsia="宋体" w:cs="宋体"/>
          <w:sz w:val="21"/>
          <w:szCs w:val="21"/>
          <w:highlight w:val="none"/>
        </w:rPr>
      </w:pPr>
    </w:p>
    <w:p>
      <w:pPr>
        <w:tabs>
          <w:tab w:val="left" w:pos="826"/>
        </w:tabs>
        <w:snapToGrid w:val="0"/>
        <w:spacing w:line="400" w:lineRule="exact"/>
        <w:ind w:firstLine="420" w:firstLineChars="200"/>
        <w:rPr>
          <w:rFonts w:hint="eastAsia" w:ascii="宋体" w:hAnsi="宋体" w:eastAsia="宋体" w:cs="宋体"/>
          <w:sz w:val="21"/>
          <w:szCs w:val="21"/>
          <w:highlight w:val="none"/>
        </w:rPr>
      </w:pPr>
    </w:p>
    <w:p>
      <w:pPr>
        <w:tabs>
          <w:tab w:val="left" w:pos="826"/>
        </w:tabs>
        <w:snapToGrid w:val="0"/>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（二）投标人可结合本项目的评标办法视自身情况自行提交相关证明材料（如有）。</w:t>
      </w:r>
    </w:p>
    <w:p>
      <w:pPr>
        <w:pStyle w:val="46"/>
        <w:ind w:firstLine="560"/>
        <w:rPr>
          <w:rFonts w:hint="eastAsia" w:ascii="宋体" w:hAnsi="宋体" w:eastAsia="宋体" w:cs="宋体"/>
          <w:highlight w:val="none"/>
        </w:rPr>
      </w:pPr>
    </w:p>
    <w:sectPr>
      <w:pgSz w:w="11906" w:h="16838"/>
      <w:pgMar w:top="1247" w:right="1474" w:bottom="1247"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F"/>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Ìå">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2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2"/>
      <w:rPr>
        <w:rStyle w:val="51"/>
      </w:rPr>
    </w:pPr>
    <w:r>
      <w:fldChar w:fldCharType="begin"/>
    </w:r>
    <w:r>
      <w:rPr>
        <w:rStyle w:val="51"/>
      </w:rPr>
      <w:instrText xml:space="preserve">PAGE  </w:instrText>
    </w:r>
    <w:r>
      <w:fldChar w:fldCharType="separate"/>
    </w:r>
    <w:r>
      <w:rPr>
        <w:rStyle w:val="51"/>
      </w:rPr>
      <w:t>147</w:t>
    </w:r>
    <w:r>
      <w:fldChar w:fldCharType="end"/>
    </w:r>
  </w:p>
  <w:p>
    <w:pPr>
      <w:pStyle w:val="2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fldChar w:fldCharType="begin"/>
    </w:r>
    <w:r>
      <w:rPr>
        <w:rStyle w:val="51"/>
      </w:rPr>
      <w:instrText xml:space="preserve"> PAGE </w:instrText>
    </w:r>
    <w:r>
      <w:fldChar w:fldCharType="separate"/>
    </w:r>
    <w:r>
      <w:rPr>
        <w:rStyle w:val="51"/>
      </w:rPr>
      <w:t>147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51"/>
                            </w:rPr>
                          </w:pPr>
                          <w:r>
                            <w:fldChar w:fldCharType="begin"/>
                          </w:r>
                          <w:r>
                            <w:rPr>
                              <w:rStyle w:val="51"/>
                            </w:rPr>
                            <w:instrText xml:space="preserve">PAGE  </w:instrText>
                          </w:r>
                          <w:r>
                            <w:fldChar w:fldCharType="separate"/>
                          </w:r>
                          <w:r>
                            <w:rPr>
                              <w:rStyle w:val="51"/>
                            </w:rP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8"/>
                      <w:rPr>
                        <w:rStyle w:val="51"/>
                      </w:rPr>
                    </w:pPr>
                    <w:r>
                      <w:fldChar w:fldCharType="begin"/>
                    </w:r>
                    <w:r>
                      <w:rPr>
                        <w:rStyle w:val="51"/>
                      </w:rPr>
                      <w:instrText xml:space="preserve">PAGE  </w:instrText>
                    </w:r>
                    <w:r>
                      <w:fldChar w:fldCharType="separate"/>
                    </w:r>
                    <w:r>
                      <w:rPr>
                        <w:rStyle w:val="51"/>
                      </w:rPr>
                      <w:t>127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2"/>
      <w:rPr>
        <w:rStyle w:val="51"/>
      </w:rPr>
    </w:pPr>
    <w:r>
      <w:fldChar w:fldCharType="begin"/>
    </w:r>
    <w:r>
      <w:rPr>
        <w:rStyle w:val="51"/>
      </w:rPr>
      <w:instrText xml:space="preserve">PAGE  </w:instrText>
    </w:r>
    <w:r>
      <w:fldChar w:fldCharType="separate"/>
    </w:r>
    <w:r>
      <w:rPr>
        <w:rStyle w:val="51"/>
      </w:rPr>
      <w:t>147</w:t>
    </w:r>
    <w:r>
      <w:fldChar w:fldCharType="end"/>
    </w:r>
  </w:p>
  <w:p>
    <w:pPr>
      <w:pStyle w:val="2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fldChar w:fldCharType="begin"/>
    </w:r>
    <w:r>
      <w:rPr>
        <w:rStyle w:val="51"/>
      </w:rPr>
      <w:instrText xml:space="preserve"> PAGE </w:instrText>
    </w:r>
    <w:r>
      <w:fldChar w:fldCharType="separate"/>
    </w:r>
    <w:r>
      <w:rPr>
        <w:rStyle w:val="51"/>
      </w:rPr>
      <w:t>147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1"/>
      </w:rPr>
    </w:pPr>
    <w:r>
      <w:fldChar w:fldCharType="begin"/>
    </w:r>
    <w:r>
      <w:rPr>
        <w:rStyle w:val="51"/>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51"/>
                            </w:rPr>
                          </w:pPr>
                          <w:r>
                            <w:fldChar w:fldCharType="begin"/>
                          </w:r>
                          <w:r>
                            <w:rPr>
                              <w:rStyle w:val="51"/>
                            </w:rPr>
                            <w:instrText xml:space="preserve">PAGE  </w:instrText>
                          </w:r>
                          <w:r>
                            <w:fldChar w:fldCharType="separate"/>
                          </w:r>
                          <w:r>
                            <w:rPr>
                              <w:rStyle w:val="51"/>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rPr>
                        <w:rStyle w:val="51"/>
                      </w:rPr>
                    </w:pPr>
                    <w:r>
                      <w:fldChar w:fldCharType="begin"/>
                    </w:r>
                    <w:r>
                      <w:rPr>
                        <w:rStyle w:val="51"/>
                      </w:rPr>
                      <w:instrText xml:space="preserve">PAGE  </w:instrText>
                    </w:r>
                    <w:r>
                      <w:fldChar w:fldCharType="separate"/>
                    </w:r>
                    <w:r>
                      <w:rPr>
                        <w:rStyle w:val="51"/>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Er5I5AgAAc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ZEr5I5AgAAcQQAAA4AAAAAAAAAAQAgAAAAHwEAAGRycy9lMm9Eb2Mu&#10;eG1sUEsFBgAAAAAGAAYAWQEAAMo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jc w:val="center"/>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t>103</w:t>
                    </w:r>
                    <w:r>
                      <w:fldChar w:fldCharType="end"/>
                    </w:r>
                  </w:p>
                </w:txbxContent>
              </v:textbox>
            </v:shape>
          </w:pict>
        </mc:Fallback>
      </mc:AlternateContent>
    </w: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宋体" w:hAnsi="宋体" w:eastAsia="宋体" w:cs="宋体"/>
        <w:sz w:val="20"/>
        <w:szCs w:val="21"/>
        <w:lang w:val="en-US" w:eastAsia="en-US" w:bidi="ar-SA"/>
      </w:rPr>
    </w:pPr>
    <w:r>
      <w:rPr>
        <w:rFonts w:ascii="宋体" w:hAnsi="宋体" w:eastAsia="宋体" w:cs="宋体"/>
        <w:sz w:val="20"/>
        <w:szCs w:val="21"/>
        <w:lang w:val="en-US" w:eastAsia="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autoSpaceDE w:val="0"/>
                            <w:autoSpaceDN w:val="0"/>
                            <w:snapToGrid w:val="0"/>
                            <w:rPr>
                              <w:rFonts w:hint="eastAsia" w:ascii="宋体" w:hAnsi="宋体" w:eastAsia="宋体" w:cs="宋体"/>
                              <w:sz w:val="18"/>
                              <w:szCs w:val="22"/>
                              <w:lang w:val="en-US" w:eastAsia="zh-CN" w:bidi="ar-SA"/>
                            </w:rPr>
                          </w:pPr>
                          <w:r>
                            <w:rPr>
                              <w:rFonts w:hint="eastAsia" w:ascii="宋体" w:hAnsi="宋体" w:eastAsia="宋体" w:cs="宋体"/>
                              <w:sz w:val="18"/>
                              <w:szCs w:val="22"/>
                              <w:lang w:val="en-US" w:eastAsia="zh-CN" w:bidi="ar-SA"/>
                            </w:rPr>
                            <w:fldChar w:fldCharType="begin"/>
                          </w:r>
                          <w:r>
                            <w:rPr>
                              <w:rFonts w:hint="eastAsia" w:ascii="宋体" w:hAnsi="宋体" w:eastAsia="宋体" w:cs="宋体"/>
                              <w:sz w:val="18"/>
                              <w:szCs w:val="22"/>
                              <w:lang w:val="en-US" w:eastAsia="zh-CN" w:bidi="ar-SA"/>
                            </w:rPr>
                            <w:instrText xml:space="preserve"> PAGE  \* MERGEFORMAT </w:instrText>
                          </w:r>
                          <w:r>
                            <w:rPr>
                              <w:rFonts w:hint="eastAsia" w:ascii="宋体" w:hAnsi="宋体" w:eastAsia="宋体" w:cs="宋体"/>
                              <w:sz w:val="18"/>
                              <w:szCs w:val="22"/>
                              <w:lang w:val="en-US" w:eastAsia="zh-CN" w:bidi="ar-SA"/>
                            </w:rPr>
                            <w:fldChar w:fldCharType="separate"/>
                          </w:r>
                          <w:r>
                            <w:rPr>
                              <w:rFonts w:hint="eastAsia" w:ascii="宋体" w:hAnsi="宋体" w:eastAsia="宋体" w:cs="宋体"/>
                              <w:sz w:val="18"/>
                              <w:szCs w:val="22"/>
                              <w:lang w:val="en-US" w:eastAsia="zh-CN" w:bidi="ar-SA"/>
                            </w:rPr>
                            <w:t>1</w:t>
                          </w:r>
                          <w:r>
                            <w:rPr>
                              <w:rFonts w:hint="eastAsia" w:ascii="宋体" w:hAnsi="宋体" w:eastAsia="宋体" w:cs="宋体"/>
                              <w:sz w:val="18"/>
                              <w:szCs w:val="22"/>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widowControl w:val="0"/>
                      <w:tabs>
                        <w:tab w:val="center" w:pos="4153"/>
                        <w:tab w:val="right" w:pos="8306"/>
                      </w:tabs>
                      <w:autoSpaceDE w:val="0"/>
                      <w:autoSpaceDN w:val="0"/>
                      <w:snapToGrid w:val="0"/>
                      <w:rPr>
                        <w:rFonts w:hint="eastAsia" w:ascii="宋体" w:hAnsi="宋体" w:eastAsia="宋体" w:cs="宋体"/>
                        <w:sz w:val="18"/>
                        <w:szCs w:val="22"/>
                        <w:lang w:val="en-US" w:eastAsia="zh-CN" w:bidi="ar-SA"/>
                      </w:rPr>
                    </w:pPr>
                    <w:r>
                      <w:rPr>
                        <w:rFonts w:hint="eastAsia" w:ascii="宋体" w:hAnsi="宋体" w:eastAsia="宋体" w:cs="宋体"/>
                        <w:sz w:val="18"/>
                        <w:szCs w:val="22"/>
                        <w:lang w:val="en-US" w:eastAsia="zh-CN" w:bidi="ar-SA"/>
                      </w:rPr>
                      <w:fldChar w:fldCharType="begin"/>
                    </w:r>
                    <w:r>
                      <w:rPr>
                        <w:rFonts w:hint="eastAsia" w:ascii="宋体" w:hAnsi="宋体" w:eastAsia="宋体" w:cs="宋体"/>
                        <w:sz w:val="18"/>
                        <w:szCs w:val="22"/>
                        <w:lang w:val="en-US" w:eastAsia="zh-CN" w:bidi="ar-SA"/>
                      </w:rPr>
                      <w:instrText xml:space="preserve"> PAGE  \* MERGEFORMAT </w:instrText>
                    </w:r>
                    <w:r>
                      <w:rPr>
                        <w:rFonts w:hint="eastAsia" w:ascii="宋体" w:hAnsi="宋体" w:eastAsia="宋体" w:cs="宋体"/>
                        <w:sz w:val="18"/>
                        <w:szCs w:val="22"/>
                        <w:lang w:val="en-US" w:eastAsia="zh-CN" w:bidi="ar-SA"/>
                      </w:rPr>
                      <w:fldChar w:fldCharType="separate"/>
                    </w:r>
                    <w:r>
                      <w:rPr>
                        <w:rFonts w:hint="eastAsia" w:ascii="宋体" w:hAnsi="宋体" w:eastAsia="宋体" w:cs="宋体"/>
                        <w:sz w:val="18"/>
                        <w:szCs w:val="22"/>
                        <w:lang w:val="en-US" w:eastAsia="zh-CN" w:bidi="ar-SA"/>
                      </w:rPr>
                      <w:t>1</w:t>
                    </w:r>
                    <w:r>
                      <w:rPr>
                        <w:rFonts w:hint="eastAsia" w:ascii="宋体" w:hAnsi="宋体" w:eastAsia="宋体" w:cs="宋体"/>
                        <w:sz w:val="18"/>
                        <w:szCs w:val="22"/>
                        <w:lang w:val="en-US" w:eastAsia="zh-CN" w:bidi="ar-S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宋体" w:hAnsi="宋体" w:eastAsia="宋体" w:cs="宋体"/>
        <w:sz w:val="20"/>
        <w:szCs w:val="21"/>
        <w:lang w:val="en-US" w:eastAsia="en-US" w:bidi="ar-SA"/>
      </w:rPr>
    </w:pPr>
    <w:r>
      <w:rPr>
        <w:rFonts w:ascii="宋体" w:hAnsi="宋体" w:eastAsia="宋体" w:cs="宋体"/>
        <w:sz w:val="20"/>
        <w:szCs w:val="21"/>
        <w:lang w:val="en-US" w:eastAsia="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autoSpaceDE w:val="0"/>
                            <w:autoSpaceDN w:val="0"/>
                            <w:snapToGrid w:val="0"/>
                            <w:rPr>
                              <w:rFonts w:ascii="宋体" w:hAnsi="宋体" w:eastAsia="宋体" w:cs="宋体"/>
                              <w:sz w:val="18"/>
                              <w:szCs w:val="22"/>
                              <w:lang w:val="en-US" w:eastAsia="en-US" w:bidi="ar-SA"/>
                            </w:rPr>
                          </w:pPr>
                          <w:r>
                            <w:rPr>
                              <w:rFonts w:ascii="宋体" w:hAnsi="宋体" w:eastAsia="宋体" w:cs="宋体"/>
                              <w:sz w:val="18"/>
                              <w:szCs w:val="22"/>
                              <w:lang w:val="en-US" w:eastAsia="en-US" w:bidi="ar-SA"/>
                            </w:rPr>
                            <w:fldChar w:fldCharType="begin"/>
                          </w:r>
                          <w:r>
                            <w:rPr>
                              <w:rFonts w:ascii="宋体" w:hAnsi="宋体" w:eastAsia="宋体" w:cs="宋体"/>
                              <w:sz w:val="18"/>
                              <w:szCs w:val="22"/>
                              <w:lang w:val="en-US" w:eastAsia="en-US" w:bidi="ar-SA"/>
                            </w:rPr>
                            <w:instrText xml:space="preserve"> PAGE  \* MERGEFORMAT </w:instrText>
                          </w:r>
                          <w:r>
                            <w:rPr>
                              <w:rFonts w:ascii="宋体" w:hAnsi="宋体" w:eastAsia="宋体" w:cs="宋体"/>
                              <w:sz w:val="18"/>
                              <w:szCs w:val="22"/>
                              <w:lang w:val="en-US" w:eastAsia="en-US" w:bidi="ar-SA"/>
                            </w:rPr>
                            <w:fldChar w:fldCharType="separate"/>
                          </w:r>
                          <w:r>
                            <w:rPr>
                              <w:rFonts w:ascii="宋体" w:hAnsi="宋体" w:eastAsia="宋体" w:cs="宋体"/>
                              <w:sz w:val="18"/>
                              <w:szCs w:val="22"/>
                              <w:lang w:val="en-US" w:eastAsia="en-US" w:bidi="ar-SA"/>
                            </w:rPr>
                            <w:t>42</w:t>
                          </w:r>
                          <w:r>
                            <w:rPr>
                              <w:rFonts w:ascii="宋体" w:hAnsi="宋体" w:eastAsia="宋体" w:cs="宋体"/>
                              <w:sz w:val="18"/>
                              <w:szCs w:val="22"/>
                              <w:lang w:val="en-US" w:eastAsia="en-US" w:bidi="ar-S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dRYmwxgEAAJ0DAAAOAAAAAAAAAAEAIAAAAB4BAABkcnMvZTJvRG9jLnht&#10;bFBLBQYAAAAABgAGAFkBAABWBQAAAAA=&#10;">
              <v:fill on="f" focussize="0,0"/>
              <v:stroke on="f"/>
              <v:imagedata o:title=""/>
              <o:lock v:ext="edit" aspectratio="f"/>
              <v:textbox inset="0mm,0mm,0mm,0mm" style="mso-fit-shape-to-text:t;">
                <w:txbxContent>
                  <w:p>
                    <w:pPr>
                      <w:widowControl w:val="0"/>
                      <w:tabs>
                        <w:tab w:val="center" w:pos="4153"/>
                        <w:tab w:val="right" w:pos="8306"/>
                      </w:tabs>
                      <w:autoSpaceDE w:val="0"/>
                      <w:autoSpaceDN w:val="0"/>
                      <w:snapToGrid w:val="0"/>
                      <w:rPr>
                        <w:rFonts w:ascii="宋体" w:hAnsi="宋体" w:eastAsia="宋体" w:cs="宋体"/>
                        <w:sz w:val="18"/>
                        <w:szCs w:val="22"/>
                        <w:lang w:val="en-US" w:eastAsia="en-US" w:bidi="ar-SA"/>
                      </w:rPr>
                    </w:pPr>
                    <w:r>
                      <w:rPr>
                        <w:rFonts w:ascii="宋体" w:hAnsi="宋体" w:eastAsia="宋体" w:cs="宋体"/>
                        <w:sz w:val="18"/>
                        <w:szCs w:val="22"/>
                        <w:lang w:val="en-US" w:eastAsia="en-US" w:bidi="ar-SA"/>
                      </w:rPr>
                      <w:fldChar w:fldCharType="begin"/>
                    </w:r>
                    <w:r>
                      <w:rPr>
                        <w:rFonts w:ascii="宋体" w:hAnsi="宋体" w:eastAsia="宋体" w:cs="宋体"/>
                        <w:sz w:val="18"/>
                        <w:szCs w:val="22"/>
                        <w:lang w:val="en-US" w:eastAsia="en-US" w:bidi="ar-SA"/>
                      </w:rPr>
                      <w:instrText xml:space="preserve"> PAGE  \* MERGEFORMAT </w:instrText>
                    </w:r>
                    <w:r>
                      <w:rPr>
                        <w:rFonts w:ascii="宋体" w:hAnsi="宋体" w:eastAsia="宋体" w:cs="宋体"/>
                        <w:sz w:val="18"/>
                        <w:szCs w:val="22"/>
                        <w:lang w:val="en-US" w:eastAsia="en-US" w:bidi="ar-SA"/>
                      </w:rPr>
                      <w:fldChar w:fldCharType="separate"/>
                    </w:r>
                    <w:r>
                      <w:rPr>
                        <w:rFonts w:ascii="宋体" w:hAnsi="宋体" w:eastAsia="宋体" w:cs="宋体"/>
                        <w:sz w:val="18"/>
                        <w:szCs w:val="22"/>
                        <w:lang w:val="en-US" w:eastAsia="en-US" w:bidi="ar-SA"/>
                      </w:rPr>
                      <w:t>42</w:t>
                    </w:r>
                    <w:r>
                      <w:rPr>
                        <w:rFonts w:ascii="宋体" w:hAnsi="宋体" w:eastAsia="宋体" w:cs="宋体"/>
                        <w:sz w:val="18"/>
                        <w:szCs w:val="22"/>
                        <w:lang w:val="en-US" w:eastAsia="en-US" w:bidi="ar-S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51"/>
                            </w:rPr>
                          </w:pPr>
                          <w:r>
                            <w:fldChar w:fldCharType="begin"/>
                          </w:r>
                          <w:r>
                            <w:rPr>
                              <w:rStyle w:val="51"/>
                            </w:rPr>
                            <w:instrText xml:space="preserve">PAGE  </w:instrText>
                          </w:r>
                          <w:r>
                            <w:fldChar w:fldCharType="separate"/>
                          </w:r>
                          <w:r>
                            <w:rPr>
                              <w:rStyle w:val="51"/>
                            </w:rP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8"/>
                      <w:rPr>
                        <w:rStyle w:val="51"/>
                      </w:rPr>
                    </w:pPr>
                    <w:r>
                      <w:fldChar w:fldCharType="begin"/>
                    </w:r>
                    <w:r>
                      <w:rPr>
                        <w:rStyle w:val="51"/>
                      </w:rPr>
                      <w:instrText xml:space="preserve">PAGE  </w:instrText>
                    </w:r>
                    <w:r>
                      <w:fldChar w:fldCharType="separate"/>
                    </w:r>
                    <w:r>
                      <w:rPr>
                        <w:rStyle w:val="51"/>
                      </w:rPr>
                      <w:t>122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134BB"/>
    <w:multiLevelType w:val="singleLevel"/>
    <w:tmpl w:val="A98134BB"/>
    <w:lvl w:ilvl="0" w:tentative="0">
      <w:start w:val="1"/>
      <w:numFmt w:val="decimal"/>
      <w:suff w:val="space"/>
      <w:lvlText w:val="(%1)"/>
      <w:lvlJc w:val="left"/>
    </w:lvl>
  </w:abstractNum>
  <w:abstractNum w:abstractNumId="1">
    <w:nsid w:val="054A386F"/>
    <w:multiLevelType w:val="singleLevel"/>
    <w:tmpl w:val="054A386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94"/>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ThmZDRkM2FjODdiYjMzNjE2NDg0YzY0Yjg1NGYifQ=="/>
  </w:docVars>
  <w:rsids>
    <w:rsidRoot w:val="00172A27"/>
    <w:rsid w:val="000001F2"/>
    <w:rsid w:val="000003B9"/>
    <w:rsid w:val="000012A0"/>
    <w:rsid w:val="00001705"/>
    <w:rsid w:val="00002150"/>
    <w:rsid w:val="00002CE0"/>
    <w:rsid w:val="00002D5B"/>
    <w:rsid w:val="0000318D"/>
    <w:rsid w:val="0000332C"/>
    <w:rsid w:val="00003737"/>
    <w:rsid w:val="000047C7"/>
    <w:rsid w:val="00004C5C"/>
    <w:rsid w:val="00004D2D"/>
    <w:rsid w:val="00005AB3"/>
    <w:rsid w:val="00005CC9"/>
    <w:rsid w:val="00005EF1"/>
    <w:rsid w:val="000074CC"/>
    <w:rsid w:val="000117C5"/>
    <w:rsid w:val="00011C25"/>
    <w:rsid w:val="00011D3C"/>
    <w:rsid w:val="00011DF3"/>
    <w:rsid w:val="00012394"/>
    <w:rsid w:val="00012530"/>
    <w:rsid w:val="00012917"/>
    <w:rsid w:val="00012E78"/>
    <w:rsid w:val="00013541"/>
    <w:rsid w:val="00014095"/>
    <w:rsid w:val="00014530"/>
    <w:rsid w:val="00014BD1"/>
    <w:rsid w:val="000158ED"/>
    <w:rsid w:val="00016D8B"/>
    <w:rsid w:val="00016E5D"/>
    <w:rsid w:val="00020294"/>
    <w:rsid w:val="0002036F"/>
    <w:rsid w:val="000209E7"/>
    <w:rsid w:val="00020AC9"/>
    <w:rsid w:val="000213E2"/>
    <w:rsid w:val="00021CD6"/>
    <w:rsid w:val="00023EF8"/>
    <w:rsid w:val="00024099"/>
    <w:rsid w:val="000251B4"/>
    <w:rsid w:val="0002619A"/>
    <w:rsid w:val="00026C6F"/>
    <w:rsid w:val="00026D08"/>
    <w:rsid w:val="000301D1"/>
    <w:rsid w:val="000304B4"/>
    <w:rsid w:val="00030718"/>
    <w:rsid w:val="00030882"/>
    <w:rsid w:val="0003094E"/>
    <w:rsid w:val="00030F9D"/>
    <w:rsid w:val="000316CD"/>
    <w:rsid w:val="00031982"/>
    <w:rsid w:val="00031DE5"/>
    <w:rsid w:val="000326CF"/>
    <w:rsid w:val="00032DE6"/>
    <w:rsid w:val="00032FE0"/>
    <w:rsid w:val="00033205"/>
    <w:rsid w:val="000332E2"/>
    <w:rsid w:val="00034FD8"/>
    <w:rsid w:val="00035239"/>
    <w:rsid w:val="0003573F"/>
    <w:rsid w:val="000358F4"/>
    <w:rsid w:val="000363C6"/>
    <w:rsid w:val="00037486"/>
    <w:rsid w:val="00040DC6"/>
    <w:rsid w:val="00041C50"/>
    <w:rsid w:val="00042090"/>
    <w:rsid w:val="000428E3"/>
    <w:rsid w:val="0004363C"/>
    <w:rsid w:val="00044053"/>
    <w:rsid w:val="00044309"/>
    <w:rsid w:val="00044F5E"/>
    <w:rsid w:val="000457BD"/>
    <w:rsid w:val="00047308"/>
    <w:rsid w:val="000509E3"/>
    <w:rsid w:val="00050A1D"/>
    <w:rsid w:val="00050B30"/>
    <w:rsid w:val="000512C0"/>
    <w:rsid w:val="00051679"/>
    <w:rsid w:val="00052794"/>
    <w:rsid w:val="00054731"/>
    <w:rsid w:val="000548AA"/>
    <w:rsid w:val="00054985"/>
    <w:rsid w:val="00054A62"/>
    <w:rsid w:val="00055423"/>
    <w:rsid w:val="00055D6F"/>
    <w:rsid w:val="00057AA3"/>
    <w:rsid w:val="0006004A"/>
    <w:rsid w:val="00060084"/>
    <w:rsid w:val="00060349"/>
    <w:rsid w:val="000604D8"/>
    <w:rsid w:val="0006062A"/>
    <w:rsid w:val="0006095C"/>
    <w:rsid w:val="00061BB5"/>
    <w:rsid w:val="00061BC4"/>
    <w:rsid w:val="0006307B"/>
    <w:rsid w:val="00063E48"/>
    <w:rsid w:val="00064EB8"/>
    <w:rsid w:val="0006519E"/>
    <w:rsid w:val="00065AD5"/>
    <w:rsid w:val="000663C8"/>
    <w:rsid w:val="00066516"/>
    <w:rsid w:val="000669BA"/>
    <w:rsid w:val="00067CB6"/>
    <w:rsid w:val="00070946"/>
    <w:rsid w:val="00070CC9"/>
    <w:rsid w:val="00070FAF"/>
    <w:rsid w:val="00071E8C"/>
    <w:rsid w:val="000731A1"/>
    <w:rsid w:val="00074254"/>
    <w:rsid w:val="000743BB"/>
    <w:rsid w:val="000745BD"/>
    <w:rsid w:val="000753D7"/>
    <w:rsid w:val="00075A11"/>
    <w:rsid w:val="00075F56"/>
    <w:rsid w:val="0007715E"/>
    <w:rsid w:val="000827C1"/>
    <w:rsid w:val="0008324B"/>
    <w:rsid w:val="000842C1"/>
    <w:rsid w:val="00084984"/>
    <w:rsid w:val="00084B5A"/>
    <w:rsid w:val="000857EC"/>
    <w:rsid w:val="00086135"/>
    <w:rsid w:val="00086340"/>
    <w:rsid w:val="000868CD"/>
    <w:rsid w:val="0008698C"/>
    <w:rsid w:val="00090E8B"/>
    <w:rsid w:val="00092F3C"/>
    <w:rsid w:val="0009396E"/>
    <w:rsid w:val="00093B79"/>
    <w:rsid w:val="000945E1"/>
    <w:rsid w:val="00095BAB"/>
    <w:rsid w:val="00096489"/>
    <w:rsid w:val="000964E5"/>
    <w:rsid w:val="0009773A"/>
    <w:rsid w:val="00097D00"/>
    <w:rsid w:val="000A01E6"/>
    <w:rsid w:val="000A0E12"/>
    <w:rsid w:val="000A1028"/>
    <w:rsid w:val="000A1C8F"/>
    <w:rsid w:val="000A255C"/>
    <w:rsid w:val="000A40E1"/>
    <w:rsid w:val="000A54AB"/>
    <w:rsid w:val="000A58ED"/>
    <w:rsid w:val="000A5C69"/>
    <w:rsid w:val="000A6635"/>
    <w:rsid w:val="000A7E2B"/>
    <w:rsid w:val="000B0D9C"/>
    <w:rsid w:val="000B1868"/>
    <w:rsid w:val="000B3C10"/>
    <w:rsid w:val="000B449D"/>
    <w:rsid w:val="000B48A0"/>
    <w:rsid w:val="000B4D8E"/>
    <w:rsid w:val="000B4E6F"/>
    <w:rsid w:val="000B4F39"/>
    <w:rsid w:val="000B54B0"/>
    <w:rsid w:val="000B54BE"/>
    <w:rsid w:val="000B59AF"/>
    <w:rsid w:val="000B5BF0"/>
    <w:rsid w:val="000B6A16"/>
    <w:rsid w:val="000B6D7D"/>
    <w:rsid w:val="000C04F5"/>
    <w:rsid w:val="000C0F77"/>
    <w:rsid w:val="000C1792"/>
    <w:rsid w:val="000C1CC4"/>
    <w:rsid w:val="000C305A"/>
    <w:rsid w:val="000C3A17"/>
    <w:rsid w:val="000C3CEB"/>
    <w:rsid w:val="000C4195"/>
    <w:rsid w:val="000C4624"/>
    <w:rsid w:val="000C5459"/>
    <w:rsid w:val="000C6D01"/>
    <w:rsid w:val="000C6F0C"/>
    <w:rsid w:val="000C7855"/>
    <w:rsid w:val="000C789E"/>
    <w:rsid w:val="000D1D54"/>
    <w:rsid w:val="000D27FB"/>
    <w:rsid w:val="000D2CA9"/>
    <w:rsid w:val="000D2F35"/>
    <w:rsid w:val="000D2FD1"/>
    <w:rsid w:val="000D33F5"/>
    <w:rsid w:val="000D3466"/>
    <w:rsid w:val="000D39FB"/>
    <w:rsid w:val="000D3C21"/>
    <w:rsid w:val="000D3EBA"/>
    <w:rsid w:val="000D514A"/>
    <w:rsid w:val="000D5501"/>
    <w:rsid w:val="000E0299"/>
    <w:rsid w:val="000E1F03"/>
    <w:rsid w:val="000E3F9C"/>
    <w:rsid w:val="000E40AD"/>
    <w:rsid w:val="000E452E"/>
    <w:rsid w:val="000E4662"/>
    <w:rsid w:val="000E5DB3"/>
    <w:rsid w:val="000E6783"/>
    <w:rsid w:val="000E6E68"/>
    <w:rsid w:val="000E6F62"/>
    <w:rsid w:val="000E7815"/>
    <w:rsid w:val="000F03F5"/>
    <w:rsid w:val="000F043F"/>
    <w:rsid w:val="000F1014"/>
    <w:rsid w:val="000F12CB"/>
    <w:rsid w:val="000F1328"/>
    <w:rsid w:val="000F19BA"/>
    <w:rsid w:val="000F2AD4"/>
    <w:rsid w:val="000F308B"/>
    <w:rsid w:val="000F4C37"/>
    <w:rsid w:val="000F5760"/>
    <w:rsid w:val="000F5D26"/>
    <w:rsid w:val="000F672E"/>
    <w:rsid w:val="000F68BB"/>
    <w:rsid w:val="000F6BB1"/>
    <w:rsid w:val="000F6C70"/>
    <w:rsid w:val="000F7205"/>
    <w:rsid w:val="000F72E3"/>
    <w:rsid w:val="001011ED"/>
    <w:rsid w:val="00101389"/>
    <w:rsid w:val="00101F70"/>
    <w:rsid w:val="00101F96"/>
    <w:rsid w:val="00103900"/>
    <w:rsid w:val="001049B6"/>
    <w:rsid w:val="00104E67"/>
    <w:rsid w:val="00106236"/>
    <w:rsid w:val="001065A5"/>
    <w:rsid w:val="00106A1F"/>
    <w:rsid w:val="00106B90"/>
    <w:rsid w:val="00107170"/>
    <w:rsid w:val="00107263"/>
    <w:rsid w:val="00107B3D"/>
    <w:rsid w:val="0011028D"/>
    <w:rsid w:val="00110376"/>
    <w:rsid w:val="001103EC"/>
    <w:rsid w:val="00110D51"/>
    <w:rsid w:val="001122FE"/>
    <w:rsid w:val="00113D68"/>
    <w:rsid w:val="001141B0"/>
    <w:rsid w:val="001152A5"/>
    <w:rsid w:val="00115E64"/>
    <w:rsid w:val="0011627B"/>
    <w:rsid w:val="00116B10"/>
    <w:rsid w:val="00117F7B"/>
    <w:rsid w:val="001200C6"/>
    <w:rsid w:val="00120E5D"/>
    <w:rsid w:val="001212B9"/>
    <w:rsid w:val="00121402"/>
    <w:rsid w:val="00121A58"/>
    <w:rsid w:val="00123CF7"/>
    <w:rsid w:val="00124F04"/>
    <w:rsid w:val="00124F9A"/>
    <w:rsid w:val="00127561"/>
    <w:rsid w:val="00130DC9"/>
    <w:rsid w:val="00131667"/>
    <w:rsid w:val="0013177C"/>
    <w:rsid w:val="001336D1"/>
    <w:rsid w:val="0013453D"/>
    <w:rsid w:val="0013481D"/>
    <w:rsid w:val="00135038"/>
    <w:rsid w:val="00135327"/>
    <w:rsid w:val="00135C4F"/>
    <w:rsid w:val="001367EE"/>
    <w:rsid w:val="00136DF8"/>
    <w:rsid w:val="00136E4A"/>
    <w:rsid w:val="001418A7"/>
    <w:rsid w:val="001418D4"/>
    <w:rsid w:val="00141CA7"/>
    <w:rsid w:val="00142EF6"/>
    <w:rsid w:val="00142FEE"/>
    <w:rsid w:val="00143020"/>
    <w:rsid w:val="001433D6"/>
    <w:rsid w:val="0014410B"/>
    <w:rsid w:val="001441F3"/>
    <w:rsid w:val="00145246"/>
    <w:rsid w:val="00146BD6"/>
    <w:rsid w:val="00146D55"/>
    <w:rsid w:val="00147E44"/>
    <w:rsid w:val="00147E7E"/>
    <w:rsid w:val="001502F8"/>
    <w:rsid w:val="00154151"/>
    <w:rsid w:val="001549DF"/>
    <w:rsid w:val="00154C22"/>
    <w:rsid w:val="00155212"/>
    <w:rsid w:val="00155724"/>
    <w:rsid w:val="00155F29"/>
    <w:rsid w:val="001560D2"/>
    <w:rsid w:val="00157474"/>
    <w:rsid w:val="00157A5D"/>
    <w:rsid w:val="00157FCB"/>
    <w:rsid w:val="00160856"/>
    <w:rsid w:val="001623DC"/>
    <w:rsid w:val="00162F2B"/>
    <w:rsid w:val="00163157"/>
    <w:rsid w:val="001637F7"/>
    <w:rsid w:val="00164691"/>
    <w:rsid w:val="00165867"/>
    <w:rsid w:val="00166106"/>
    <w:rsid w:val="00167FD7"/>
    <w:rsid w:val="00170121"/>
    <w:rsid w:val="00170609"/>
    <w:rsid w:val="0017113A"/>
    <w:rsid w:val="0017132D"/>
    <w:rsid w:val="00172776"/>
    <w:rsid w:val="001728BF"/>
    <w:rsid w:val="00172AE7"/>
    <w:rsid w:val="00172D19"/>
    <w:rsid w:val="00172E51"/>
    <w:rsid w:val="00174658"/>
    <w:rsid w:val="0017527B"/>
    <w:rsid w:val="00175345"/>
    <w:rsid w:val="001764F1"/>
    <w:rsid w:val="0017748E"/>
    <w:rsid w:val="00180813"/>
    <w:rsid w:val="001825A4"/>
    <w:rsid w:val="00183C2B"/>
    <w:rsid w:val="00184358"/>
    <w:rsid w:val="0018479F"/>
    <w:rsid w:val="001862B0"/>
    <w:rsid w:val="001866E2"/>
    <w:rsid w:val="00190957"/>
    <w:rsid w:val="00190AF8"/>
    <w:rsid w:val="001910D8"/>
    <w:rsid w:val="001916C5"/>
    <w:rsid w:val="001916FE"/>
    <w:rsid w:val="00191AEC"/>
    <w:rsid w:val="00191BC2"/>
    <w:rsid w:val="0019238E"/>
    <w:rsid w:val="00192586"/>
    <w:rsid w:val="00192737"/>
    <w:rsid w:val="00194669"/>
    <w:rsid w:val="00195E94"/>
    <w:rsid w:val="001962B4"/>
    <w:rsid w:val="0019649B"/>
    <w:rsid w:val="0019669F"/>
    <w:rsid w:val="00196B0B"/>
    <w:rsid w:val="00196F2D"/>
    <w:rsid w:val="001A212B"/>
    <w:rsid w:val="001A2476"/>
    <w:rsid w:val="001A2E76"/>
    <w:rsid w:val="001A46F1"/>
    <w:rsid w:val="001A58BF"/>
    <w:rsid w:val="001A5EEB"/>
    <w:rsid w:val="001A7434"/>
    <w:rsid w:val="001B0487"/>
    <w:rsid w:val="001B46E4"/>
    <w:rsid w:val="001B4F50"/>
    <w:rsid w:val="001B5829"/>
    <w:rsid w:val="001B6E56"/>
    <w:rsid w:val="001B72E7"/>
    <w:rsid w:val="001C1F34"/>
    <w:rsid w:val="001C2040"/>
    <w:rsid w:val="001C2E23"/>
    <w:rsid w:val="001C413C"/>
    <w:rsid w:val="001C501A"/>
    <w:rsid w:val="001C557F"/>
    <w:rsid w:val="001C5A98"/>
    <w:rsid w:val="001C64BD"/>
    <w:rsid w:val="001C743C"/>
    <w:rsid w:val="001D0B45"/>
    <w:rsid w:val="001D0F4B"/>
    <w:rsid w:val="001D2A4F"/>
    <w:rsid w:val="001D2D2E"/>
    <w:rsid w:val="001D3260"/>
    <w:rsid w:val="001D3431"/>
    <w:rsid w:val="001D45B8"/>
    <w:rsid w:val="001D4A82"/>
    <w:rsid w:val="001D509F"/>
    <w:rsid w:val="001D5D87"/>
    <w:rsid w:val="001D6186"/>
    <w:rsid w:val="001D7038"/>
    <w:rsid w:val="001D7597"/>
    <w:rsid w:val="001E04AD"/>
    <w:rsid w:val="001E0D54"/>
    <w:rsid w:val="001E13A9"/>
    <w:rsid w:val="001E182E"/>
    <w:rsid w:val="001E319C"/>
    <w:rsid w:val="001E371D"/>
    <w:rsid w:val="001E3A9A"/>
    <w:rsid w:val="001E4400"/>
    <w:rsid w:val="001E4A91"/>
    <w:rsid w:val="001E4AD5"/>
    <w:rsid w:val="001E5402"/>
    <w:rsid w:val="001E5450"/>
    <w:rsid w:val="001E5C45"/>
    <w:rsid w:val="001E6822"/>
    <w:rsid w:val="001E6EE6"/>
    <w:rsid w:val="001F1230"/>
    <w:rsid w:val="001F1E25"/>
    <w:rsid w:val="001F20A9"/>
    <w:rsid w:val="001F32D8"/>
    <w:rsid w:val="001F3606"/>
    <w:rsid w:val="001F37E8"/>
    <w:rsid w:val="001F3CFC"/>
    <w:rsid w:val="001F42BD"/>
    <w:rsid w:val="001F622E"/>
    <w:rsid w:val="001F660E"/>
    <w:rsid w:val="001F7A7E"/>
    <w:rsid w:val="001F7ACC"/>
    <w:rsid w:val="001F7C4D"/>
    <w:rsid w:val="00200415"/>
    <w:rsid w:val="00200871"/>
    <w:rsid w:val="0020162F"/>
    <w:rsid w:val="00201912"/>
    <w:rsid w:val="00201DA2"/>
    <w:rsid w:val="00202F28"/>
    <w:rsid w:val="002042A1"/>
    <w:rsid w:val="00204705"/>
    <w:rsid w:val="00204C07"/>
    <w:rsid w:val="0020589D"/>
    <w:rsid w:val="00205A0E"/>
    <w:rsid w:val="00205A41"/>
    <w:rsid w:val="00205CED"/>
    <w:rsid w:val="00210375"/>
    <w:rsid w:val="00210853"/>
    <w:rsid w:val="002110BF"/>
    <w:rsid w:val="0021112E"/>
    <w:rsid w:val="00211256"/>
    <w:rsid w:val="00211790"/>
    <w:rsid w:val="002117D7"/>
    <w:rsid w:val="00211ECA"/>
    <w:rsid w:val="0021216B"/>
    <w:rsid w:val="00213C03"/>
    <w:rsid w:val="00215764"/>
    <w:rsid w:val="002179F3"/>
    <w:rsid w:val="00220DB6"/>
    <w:rsid w:val="00223087"/>
    <w:rsid w:val="00223093"/>
    <w:rsid w:val="0022329D"/>
    <w:rsid w:val="00223722"/>
    <w:rsid w:val="00223DB7"/>
    <w:rsid w:val="00224DD1"/>
    <w:rsid w:val="00224EBE"/>
    <w:rsid w:val="0022501E"/>
    <w:rsid w:val="002254E3"/>
    <w:rsid w:val="00226094"/>
    <w:rsid w:val="002268A5"/>
    <w:rsid w:val="00226F07"/>
    <w:rsid w:val="002277FD"/>
    <w:rsid w:val="00231F0D"/>
    <w:rsid w:val="00232377"/>
    <w:rsid w:val="00232955"/>
    <w:rsid w:val="00233215"/>
    <w:rsid w:val="0023426B"/>
    <w:rsid w:val="0023468F"/>
    <w:rsid w:val="00241FBA"/>
    <w:rsid w:val="002434B9"/>
    <w:rsid w:val="00243675"/>
    <w:rsid w:val="00243967"/>
    <w:rsid w:val="00245046"/>
    <w:rsid w:val="002462E8"/>
    <w:rsid w:val="00246BCB"/>
    <w:rsid w:val="002501D0"/>
    <w:rsid w:val="00250889"/>
    <w:rsid w:val="00250B7F"/>
    <w:rsid w:val="00250CB3"/>
    <w:rsid w:val="00250DEB"/>
    <w:rsid w:val="00251251"/>
    <w:rsid w:val="0025146B"/>
    <w:rsid w:val="00251DF5"/>
    <w:rsid w:val="00251DFD"/>
    <w:rsid w:val="00252283"/>
    <w:rsid w:val="002527AC"/>
    <w:rsid w:val="002529EE"/>
    <w:rsid w:val="00252A4E"/>
    <w:rsid w:val="00252D6A"/>
    <w:rsid w:val="00253A59"/>
    <w:rsid w:val="00254101"/>
    <w:rsid w:val="00255093"/>
    <w:rsid w:val="00255185"/>
    <w:rsid w:val="00256CA4"/>
    <w:rsid w:val="00257253"/>
    <w:rsid w:val="00257639"/>
    <w:rsid w:val="00260B9F"/>
    <w:rsid w:val="00260E34"/>
    <w:rsid w:val="002612D9"/>
    <w:rsid w:val="00261A66"/>
    <w:rsid w:val="002625D1"/>
    <w:rsid w:val="00262819"/>
    <w:rsid w:val="002629F6"/>
    <w:rsid w:val="00263B42"/>
    <w:rsid w:val="002662E3"/>
    <w:rsid w:val="0026639C"/>
    <w:rsid w:val="00266B2A"/>
    <w:rsid w:val="00266E75"/>
    <w:rsid w:val="002702B8"/>
    <w:rsid w:val="0027076E"/>
    <w:rsid w:val="00271E50"/>
    <w:rsid w:val="0027245C"/>
    <w:rsid w:val="0027275A"/>
    <w:rsid w:val="00274483"/>
    <w:rsid w:val="00274811"/>
    <w:rsid w:val="0027497D"/>
    <w:rsid w:val="00274E17"/>
    <w:rsid w:val="00274F61"/>
    <w:rsid w:val="002753B0"/>
    <w:rsid w:val="0027637B"/>
    <w:rsid w:val="002767E7"/>
    <w:rsid w:val="0028029D"/>
    <w:rsid w:val="00280AAD"/>
    <w:rsid w:val="002828F0"/>
    <w:rsid w:val="00282C3B"/>
    <w:rsid w:val="00282D55"/>
    <w:rsid w:val="002838E5"/>
    <w:rsid w:val="00283EE8"/>
    <w:rsid w:val="0028444F"/>
    <w:rsid w:val="00284A59"/>
    <w:rsid w:val="00285A85"/>
    <w:rsid w:val="002861E5"/>
    <w:rsid w:val="00286839"/>
    <w:rsid w:val="00286DB4"/>
    <w:rsid w:val="00286E91"/>
    <w:rsid w:val="00287C9B"/>
    <w:rsid w:val="00291903"/>
    <w:rsid w:val="00291E5F"/>
    <w:rsid w:val="0029295E"/>
    <w:rsid w:val="00292C61"/>
    <w:rsid w:val="0029366D"/>
    <w:rsid w:val="00293DA6"/>
    <w:rsid w:val="0029473A"/>
    <w:rsid w:val="0029503D"/>
    <w:rsid w:val="002950E5"/>
    <w:rsid w:val="00295237"/>
    <w:rsid w:val="002954DE"/>
    <w:rsid w:val="00295A15"/>
    <w:rsid w:val="00295F6E"/>
    <w:rsid w:val="00296DC7"/>
    <w:rsid w:val="002971C5"/>
    <w:rsid w:val="002A0AF0"/>
    <w:rsid w:val="002A0D8D"/>
    <w:rsid w:val="002A0FBD"/>
    <w:rsid w:val="002A1053"/>
    <w:rsid w:val="002A1AFD"/>
    <w:rsid w:val="002A2724"/>
    <w:rsid w:val="002A3AE3"/>
    <w:rsid w:val="002A4F3F"/>
    <w:rsid w:val="002A5FF7"/>
    <w:rsid w:val="002A7199"/>
    <w:rsid w:val="002A79AB"/>
    <w:rsid w:val="002B01A5"/>
    <w:rsid w:val="002B09A3"/>
    <w:rsid w:val="002B105A"/>
    <w:rsid w:val="002B154F"/>
    <w:rsid w:val="002B1EFE"/>
    <w:rsid w:val="002B22B0"/>
    <w:rsid w:val="002B245D"/>
    <w:rsid w:val="002B28A3"/>
    <w:rsid w:val="002B305F"/>
    <w:rsid w:val="002B37A2"/>
    <w:rsid w:val="002B3AE1"/>
    <w:rsid w:val="002B3DB3"/>
    <w:rsid w:val="002B3EE7"/>
    <w:rsid w:val="002B4A99"/>
    <w:rsid w:val="002B4AB9"/>
    <w:rsid w:val="002B5CCF"/>
    <w:rsid w:val="002B6493"/>
    <w:rsid w:val="002B786A"/>
    <w:rsid w:val="002C15BC"/>
    <w:rsid w:val="002C1AB4"/>
    <w:rsid w:val="002C2018"/>
    <w:rsid w:val="002C3237"/>
    <w:rsid w:val="002C3F77"/>
    <w:rsid w:val="002C48F7"/>
    <w:rsid w:val="002C675F"/>
    <w:rsid w:val="002C7C92"/>
    <w:rsid w:val="002C7D32"/>
    <w:rsid w:val="002C7EBA"/>
    <w:rsid w:val="002D0098"/>
    <w:rsid w:val="002D021F"/>
    <w:rsid w:val="002D03D7"/>
    <w:rsid w:val="002D0903"/>
    <w:rsid w:val="002D0BD8"/>
    <w:rsid w:val="002D1B11"/>
    <w:rsid w:val="002D1F5F"/>
    <w:rsid w:val="002D29EC"/>
    <w:rsid w:val="002D2E80"/>
    <w:rsid w:val="002D317A"/>
    <w:rsid w:val="002D3A05"/>
    <w:rsid w:val="002D495C"/>
    <w:rsid w:val="002D5F38"/>
    <w:rsid w:val="002D63D5"/>
    <w:rsid w:val="002D6442"/>
    <w:rsid w:val="002D6B12"/>
    <w:rsid w:val="002D6E42"/>
    <w:rsid w:val="002D7773"/>
    <w:rsid w:val="002D7819"/>
    <w:rsid w:val="002E074C"/>
    <w:rsid w:val="002E11D9"/>
    <w:rsid w:val="002E13CF"/>
    <w:rsid w:val="002E14CB"/>
    <w:rsid w:val="002E1803"/>
    <w:rsid w:val="002E1994"/>
    <w:rsid w:val="002E2099"/>
    <w:rsid w:val="002E3569"/>
    <w:rsid w:val="002E3C0C"/>
    <w:rsid w:val="002E3D70"/>
    <w:rsid w:val="002E3F10"/>
    <w:rsid w:val="002E446D"/>
    <w:rsid w:val="002E5282"/>
    <w:rsid w:val="002E559E"/>
    <w:rsid w:val="002E56F9"/>
    <w:rsid w:val="002E5E77"/>
    <w:rsid w:val="002E6309"/>
    <w:rsid w:val="002E657D"/>
    <w:rsid w:val="002E7498"/>
    <w:rsid w:val="002E75B1"/>
    <w:rsid w:val="002E7819"/>
    <w:rsid w:val="002F13A8"/>
    <w:rsid w:val="002F1704"/>
    <w:rsid w:val="002F1915"/>
    <w:rsid w:val="002F3415"/>
    <w:rsid w:val="002F3993"/>
    <w:rsid w:val="002F3A93"/>
    <w:rsid w:val="002F4495"/>
    <w:rsid w:val="002F49D4"/>
    <w:rsid w:val="002F52F1"/>
    <w:rsid w:val="00300948"/>
    <w:rsid w:val="00301838"/>
    <w:rsid w:val="003020DB"/>
    <w:rsid w:val="00302672"/>
    <w:rsid w:val="00302CB6"/>
    <w:rsid w:val="0030331D"/>
    <w:rsid w:val="00304DAC"/>
    <w:rsid w:val="0030573A"/>
    <w:rsid w:val="003065E8"/>
    <w:rsid w:val="00310350"/>
    <w:rsid w:val="00313A9B"/>
    <w:rsid w:val="00313C06"/>
    <w:rsid w:val="003147CF"/>
    <w:rsid w:val="003155B3"/>
    <w:rsid w:val="00315A3B"/>
    <w:rsid w:val="0031637D"/>
    <w:rsid w:val="0031637F"/>
    <w:rsid w:val="00317B33"/>
    <w:rsid w:val="00320087"/>
    <w:rsid w:val="00322676"/>
    <w:rsid w:val="0032489F"/>
    <w:rsid w:val="003259B8"/>
    <w:rsid w:val="00325F6A"/>
    <w:rsid w:val="00326435"/>
    <w:rsid w:val="00326B67"/>
    <w:rsid w:val="00327647"/>
    <w:rsid w:val="00330598"/>
    <w:rsid w:val="0033102C"/>
    <w:rsid w:val="00331AD6"/>
    <w:rsid w:val="00331CD9"/>
    <w:rsid w:val="00331FBD"/>
    <w:rsid w:val="00333541"/>
    <w:rsid w:val="00333775"/>
    <w:rsid w:val="00337049"/>
    <w:rsid w:val="00340440"/>
    <w:rsid w:val="003418F0"/>
    <w:rsid w:val="00342761"/>
    <w:rsid w:val="00342FB3"/>
    <w:rsid w:val="003430E7"/>
    <w:rsid w:val="00343503"/>
    <w:rsid w:val="00344A17"/>
    <w:rsid w:val="00344CD3"/>
    <w:rsid w:val="00346A77"/>
    <w:rsid w:val="0034774F"/>
    <w:rsid w:val="0034792E"/>
    <w:rsid w:val="00347A26"/>
    <w:rsid w:val="00347B1C"/>
    <w:rsid w:val="00350488"/>
    <w:rsid w:val="0035134A"/>
    <w:rsid w:val="00351757"/>
    <w:rsid w:val="00352C18"/>
    <w:rsid w:val="0035419F"/>
    <w:rsid w:val="0035516A"/>
    <w:rsid w:val="00355CF7"/>
    <w:rsid w:val="0035769A"/>
    <w:rsid w:val="00357DBF"/>
    <w:rsid w:val="00357F8B"/>
    <w:rsid w:val="00360355"/>
    <w:rsid w:val="003603BD"/>
    <w:rsid w:val="0036075F"/>
    <w:rsid w:val="00361AFC"/>
    <w:rsid w:val="00361BAD"/>
    <w:rsid w:val="003626D7"/>
    <w:rsid w:val="00363415"/>
    <w:rsid w:val="00363ABA"/>
    <w:rsid w:val="00364150"/>
    <w:rsid w:val="00364B79"/>
    <w:rsid w:val="003661C3"/>
    <w:rsid w:val="00366685"/>
    <w:rsid w:val="00366E18"/>
    <w:rsid w:val="003707F3"/>
    <w:rsid w:val="00371AFF"/>
    <w:rsid w:val="0037202A"/>
    <w:rsid w:val="003725C2"/>
    <w:rsid w:val="003728F6"/>
    <w:rsid w:val="0037380A"/>
    <w:rsid w:val="00373E18"/>
    <w:rsid w:val="00374E75"/>
    <w:rsid w:val="00375174"/>
    <w:rsid w:val="00375181"/>
    <w:rsid w:val="003758A9"/>
    <w:rsid w:val="00375AE3"/>
    <w:rsid w:val="00375E4B"/>
    <w:rsid w:val="003760D3"/>
    <w:rsid w:val="0037676E"/>
    <w:rsid w:val="00377FF7"/>
    <w:rsid w:val="003803A8"/>
    <w:rsid w:val="003805C0"/>
    <w:rsid w:val="003813C9"/>
    <w:rsid w:val="00382AA2"/>
    <w:rsid w:val="003841B2"/>
    <w:rsid w:val="0038476D"/>
    <w:rsid w:val="00386059"/>
    <w:rsid w:val="003866E6"/>
    <w:rsid w:val="00386778"/>
    <w:rsid w:val="003872D8"/>
    <w:rsid w:val="00387621"/>
    <w:rsid w:val="00387718"/>
    <w:rsid w:val="00387F8F"/>
    <w:rsid w:val="00395467"/>
    <w:rsid w:val="00397080"/>
    <w:rsid w:val="00397986"/>
    <w:rsid w:val="003A13ED"/>
    <w:rsid w:val="003A263D"/>
    <w:rsid w:val="003A2A2D"/>
    <w:rsid w:val="003A3286"/>
    <w:rsid w:val="003A35C4"/>
    <w:rsid w:val="003A393C"/>
    <w:rsid w:val="003A434F"/>
    <w:rsid w:val="003A4EAF"/>
    <w:rsid w:val="003A5223"/>
    <w:rsid w:val="003A55C4"/>
    <w:rsid w:val="003A5B2C"/>
    <w:rsid w:val="003A6119"/>
    <w:rsid w:val="003A6143"/>
    <w:rsid w:val="003A6A47"/>
    <w:rsid w:val="003A6ABA"/>
    <w:rsid w:val="003A77A2"/>
    <w:rsid w:val="003A7F05"/>
    <w:rsid w:val="003B062C"/>
    <w:rsid w:val="003B09C9"/>
    <w:rsid w:val="003B1038"/>
    <w:rsid w:val="003B2343"/>
    <w:rsid w:val="003B2F4E"/>
    <w:rsid w:val="003B3468"/>
    <w:rsid w:val="003B4534"/>
    <w:rsid w:val="003B51F5"/>
    <w:rsid w:val="003B6F29"/>
    <w:rsid w:val="003B7CC3"/>
    <w:rsid w:val="003C11A1"/>
    <w:rsid w:val="003C2A4C"/>
    <w:rsid w:val="003C2F48"/>
    <w:rsid w:val="003C3AD1"/>
    <w:rsid w:val="003C461C"/>
    <w:rsid w:val="003C4D73"/>
    <w:rsid w:val="003C4E5B"/>
    <w:rsid w:val="003C5B7F"/>
    <w:rsid w:val="003C7354"/>
    <w:rsid w:val="003D0A06"/>
    <w:rsid w:val="003D0EE5"/>
    <w:rsid w:val="003D2A7F"/>
    <w:rsid w:val="003D6223"/>
    <w:rsid w:val="003D63C3"/>
    <w:rsid w:val="003D7CBC"/>
    <w:rsid w:val="003D7FE2"/>
    <w:rsid w:val="003E2222"/>
    <w:rsid w:val="003E2BAF"/>
    <w:rsid w:val="003E427D"/>
    <w:rsid w:val="003E433E"/>
    <w:rsid w:val="003E6CE2"/>
    <w:rsid w:val="003E73A1"/>
    <w:rsid w:val="003E7736"/>
    <w:rsid w:val="003E7DB8"/>
    <w:rsid w:val="003E7DD0"/>
    <w:rsid w:val="003E7E07"/>
    <w:rsid w:val="003F021A"/>
    <w:rsid w:val="003F229C"/>
    <w:rsid w:val="003F2513"/>
    <w:rsid w:val="003F2814"/>
    <w:rsid w:val="003F3F15"/>
    <w:rsid w:val="003F452A"/>
    <w:rsid w:val="003F4590"/>
    <w:rsid w:val="003F4AEB"/>
    <w:rsid w:val="003F4DEA"/>
    <w:rsid w:val="003F6087"/>
    <w:rsid w:val="003F60A1"/>
    <w:rsid w:val="003F6D41"/>
    <w:rsid w:val="003F7AA4"/>
    <w:rsid w:val="00400E85"/>
    <w:rsid w:val="004011AA"/>
    <w:rsid w:val="00401E47"/>
    <w:rsid w:val="00402A31"/>
    <w:rsid w:val="00403211"/>
    <w:rsid w:val="004038E2"/>
    <w:rsid w:val="00403C4D"/>
    <w:rsid w:val="004063D6"/>
    <w:rsid w:val="00406543"/>
    <w:rsid w:val="0040705E"/>
    <w:rsid w:val="00407563"/>
    <w:rsid w:val="00407CD7"/>
    <w:rsid w:val="00410023"/>
    <w:rsid w:val="004102AB"/>
    <w:rsid w:val="0041276A"/>
    <w:rsid w:val="004129D5"/>
    <w:rsid w:val="0041333D"/>
    <w:rsid w:val="004138B1"/>
    <w:rsid w:val="00413D42"/>
    <w:rsid w:val="00415112"/>
    <w:rsid w:val="004151B6"/>
    <w:rsid w:val="004157A3"/>
    <w:rsid w:val="004168DF"/>
    <w:rsid w:val="00416A96"/>
    <w:rsid w:val="004175E8"/>
    <w:rsid w:val="00417BD2"/>
    <w:rsid w:val="0042087B"/>
    <w:rsid w:val="00420F70"/>
    <w:rsid w:val="00421C0B"/>
    <w:rsid w:val="00422B5C"/>
    <w:rsid w:val="004240FB"/>
    <w:rsid w:val="004242E8"/>
    <w:rsid w:val="004257A2"/>
    <w:rsid w:val="00425BA2"/>
    <w:rsid w:val="00427E5A"/>
    <w:rsid w:val="004305E9"/>
    <w:rsid w:val="00430BBE"/>
    <w:rsid w:val="004314F9"/>
    <w:rsid w:val="004318B2"/>
    <w:rsid w:val="00431AF6"/>
    <w:rsid w:val="00431D0E"/>
    <w:rsid w:val="00431DC7"/>
    <w:rsid w:val="00431E20"/>
    <w:rsid w:val="00432E49"/>
    <w:rsid w:val="004331E1"/>
    <w:rsid w:val="00434AD7"/>
    <w:rsid w:val="004353FF"/>
    <w:rsid w:val="00436029"/>
    <w:rsid w:val="00436AF3"/>
    <w:rsid w:val="00436B7E"/>
    <w:rsid w:val="004375B7"/>
    <w:rsid w:val="004420F9"/>
    <w:rsid w:val="00442561"/>
    <w:rsid w:val="00443D20"/>
    <w:rsid w:val="00443D29"/>
    <w:rsid w:val="00444075"/>
    <w:rsid w:val="00446FE5"/>
    <w:rsid w:val="00447036"/>
    <w:rsid w:val="00450B8B"/>
    <w:rsid w:val="00451621"/>
    <w:rsid w:val="00451807"/>
    <w:rsid w:val="00451B16"/>
    <w:rsid w:val="00452D83"/>
    <w:rsid w:val="00453CCA"/>
    <w:rsid w:val="0045548A"/>
    <w:rsid w:val="00455AE4"/>
    <w:rsid w:val="00455CC5"/>
    <w:rsid w:val="00456A5A"/>
    <w:rsid w:val="004571E4"/>
    <w:rsid w:val="0045721A"/>
    <w:rsid w:val="00457C80"/>
    <w:rsid w:val="00457DA5"/>
    <w:rsid w:val="00457F24"/>
    <w:rsid w:val="004604A9"/>
    <w:rsid w:val="004616D5"/>
    <w:rsid w:val="0046301A"/>
    <w:rsid w:val="00463A4B"/>
    <w:rsid w:val="00463DFB"/>
    <w:rsid w:val="00463E09"/>
    <w:rsid w:val="00465CD7"/>
    <w:rsid w:val="00465DDF"/>
    <w:rsid w:val="0047105C"/>
    <w:rsid w:val="0047179D"/>
    <w:rsid w:val="004723A0"/>
    <w:rsid w:val="00472F66"/>
    <w:rsid w:val="004730B8"/>
    <w:rsid w:val="00474B69"/>
    <w:rsid w:val="00475FC8"/>
    <w:rsid w:val="00476B9F"/>
    <w:rsid w:val="00476BFA"/>
    <w:rsid w:val="00476DE8"/>
    <w:rsid w:val="00480161"/>
    <w:rsid w:val="00480AE7"/>
    <w:rsid w:val="00480EA8"/>
    <w:rsid w:val="00481AA7"/>
    <w:rsid w:val="00482D4E"/>
    <w:rsid w:val="00482EC9"/>
    <w:rsid w:val="004838A6"/>
    <w:rsid w:val="00483A71"/>
    <w:rsid w:val="00485B1D"/>
    <w:rsid w:val="00485C3C"/>
    <w:rsid w:val="00486276"/>
    <w:rsid w:val="004863DC"/>
    <w:rsid w:val="004865BF"/>
    <w:rsid w:val="004865E4"/>
    <w:rsid w:val="00486947"/>
    <w:rsid w:val="00487424"/>
    <w:rsid w:val="004877DA"/>
    <w:rsid w:val="00487883"/>
    <w:rsid w:val="00487D3F"/>
    <w:rsid w:val="00490287"/>
    <w:rsid w:val="00492177"/>
    <w:rsid w:val="004929CE"/>
    <w:rsid w:val="0049326D"/>
    <w:rsid w:val="00493332"/>
    <w:rsid w:val="00494C9C"/>
    <w:rsid w:val="00495597"/>
    <w:rsid w:val="00495701"/>
    <w:rsid w:val="004A06D5"/>
    <w:rsid w:val="004A20A2"/>
    <w:rsid w:val="004A4D89"/>
    <w:rsid w:val="004A5811"/>
    <w:rsid w:val="004A611F"/>
    <w:rsid w:val="004A6AC9"/>
    <w:rsid w:val="004A79F7"/>
    <w:rsid w:val="004A7F9A"/>
    <w:rsid w:val="004B0891"/>
    <w:rsid w:val="004B12E7"/>
    <w:rsid w:val="004B3BE5"/>
    <w:rsid w:val="004B3F42"/>
    <w:rsid w:val="004B4232"/>
    <w:rsid w:val="004B4885"/>
    <w:rsid w:val="004B49FF"/>
    <w:rsid w:val="004B4C99"/>
    <w:rsid w:val="004B649D"/>
    <w:rsid w:val="004B6781"/>
    <w:rsid w:val="004B6B50"/>
    <w:rsid w:val="004B70A5"/>
    <w:rsid w:val="004B71AC"/>
    <w:rsid w:val="004C26CC"/>
    <w:rsid w:val="004C2950"/>
    <w:rsid w:val="004C3B26"/>
    <w:rsid w:val="004C3D68"/>
    <w:rsid w:val="004C4A0E"/>
    <w:rsid w:val="004C668D"/>
    <w:rsid w:val="004C676F"/>
    <w:rsid w:val="004C6B7E"/>
    <w:rsid w:val="004C6C5F"/>
    <w:rsid w:val="004C7769"/>
    <w:rsid w:val="004C7B53"/>
    <w:rsid w:val="004D0142"/>
    <w:rsid w:val="004D059D"/>
    <w:rsid w:val="004D11DC"/>
    <w:rsid w:val="004D1825"/>
    <w:rsid w:val="004D232B"/>
    <w:rsid w:val="004D2F88"/>
    <w:rsid w:val="004D3269"/>
    <w:rsid w:val="004D4396"/>
    <w:rsid w:val="004D6B63"/>
    <w:rsid w:val="004D7DC0"/>
    <w:rsid w:val="004E0AA1"/>
    <w:rsid w:val="004E0B1B"/>
    <w:rsid w:val="004E1277"/>
    <w:rsid w:val="004E16C4"/>
    <w:rsid w:val="004E1889"/>
    <w:rsid w:val="004E2672"/>
    <w:rsid w:val="004E280F"/>
    <w:rsid w:val="004E5CA1"/>
    <w:rsid w:val="004E63E1"/>
    <w:rsid w:val="004E6953"/>
    <w:rsid w:val="004E6D77"/>
    <w:rsid w:val="004E7719"/>
    <w:rsid w:val="004E7757"/>
    <w:rsid w:val="004E7BD7"/>
    <w:rsid w:val="004F21A8"/>
    <w:rsid w:val="004F284D"/>
    <w:rsid w:val="004F28E1"/>
    <w:rsid w:val="004F343C"/>
    <w:rsid w:val="004F48B1"/>
    <w:rsid w:val="004F50F6"/>
    <w:rsid w:val="004F524E"/>
    <w:rsid w:val="004F53C0"/>
    <w:rsid w:val="004F5648"/>
    <w:rsid w:val="004F6BE6"/>
    <w:rsid w:val="004F7812"/>
    <w:rsid w:val="004F7856"/>
    <w:rsid w:val="004F7B94"/>
    <w:rsid w:val="00500F72"/>
    <w:rsid w:val="0050242A"/>
    <w:rsid w:val="00504B85"/>
    <w:rsid w:val="00505A19"/>
    <w:rsid w:val="00505B1D"/>
    <w:rsid w:val="00506E9A"/>
    <w:rsid w:val="00507DA8"/>
    <w:rsid w:val="00507DEF"/>
    <w:rsid w:val="005111EE"/>
    <w:rsid w:val="00511C7E"/>
    <w:rsid w:val="005122B5"/>
    <w:rsid w:val="00512D9E"/>
    <w:rsid w:val="00513220"/>
    <w:rsid w:val="0051474F"/>
    <w:rsid w:val="00514A4F"/>
    <w:rsid w:val="005152BB"/>
    <w:rsid w:val="00516924"/>
    <w:rsid w:val="005172E0"/>
    <w:rsid w:val="005178AC"/>
    <w:rsid w:val="00517959"/>
    <w:rsid w:val="00520742"/>
    <w:rsid w:val="00520DB6"/>
    <w:rsid w:val="005217AC"/>
    <w:rsid w:val="00521D9F"/>
    <w:rsid w:val="005224B3"/>
    <w:rsid w:val="00522F3A"/>
    <w:rsid w:val="005239A9"/>
    <w:rsid w:val="005244F0"/>
    <w:rsid w:val="005257DD"/>
    <w:rsid w:val="00525D02"/>
    <w:rsid w:val="00525FC9"/>
    <w:rsid w:val="00526475"/>
    <w:rsid w:val="0052719E"/>
    <w:rsid w:val="0053140F"/>
    <w:rsid w:val="0053181B"/>
    <w:rsid w:val="00533012"/>
    <w:rsid w:val="005331A7"/>
    <w:rsid w:val="00533758"/>
    <w:rsid w:val="0053375B"/>
    <w:rsid w:val="00534C3D"/>
    <w:rsid w:val="005363AD"/>
    <w:rsid w:val="0053712B"/>
    <w:rsid w:val="0053773B"/>
    <w:rsid w:val="00537B7F"/>
    <w:rsid w:val="00537E8E"/>
    <w:rsid w:val="005407BF"/>
    <w:rsid w:val="00540F9E"/>
    <w:rsid w:val="00542843"/>
    <w:rsid w:val="005436B6"/>
    <w:rsid w:val="0054414D"/>
    <w:rsid w:val="0054492F"/>
    <w:rsid w:val="00544B4A"/>
    <w:rsid w:val="00544FFE"/>
    <w:rsid w:val="005452F8"/>
    <w:rsid w:val="005453EF"/>
    <w:rsid w:val="005455CE"/>
    <w:rsid w:val="00547A00"/>
    <w:rsid w:val="0055009F"/>
    <w:rsid w:val="00550332"/>
    <w:rsid w:val="00550671"/>
    <w:rsid w:val="00550B98"/>
    <w:rsid w:val="00551AEC"/>
    <w:rsid w:val="00552A13"/>
    <w:rsid w:val="00552BCD"/>
    <w:rsid w:val="00552F1B"/>
    <w:rsid w:val="00552F92"/>
    <w:rsid w:val="00553846"/>
    <w:rsid w:val="00554290"/>
    <w:rsid w:val="005542B8"/>
    <w:rsid w:val="005547BA"/>
    <w:rsid w:val="00554832"/>
    <w:rsid w:val="00554B74"/>
    <w:rsid w:val="005551F6"/>
    <w:rsid w:val="00555645"/>
    <w:rsid w:val="00556288"/>
    <w:rsid w:val="005604C2"/>
    <w:rsid w:val="00560712"/>
    <w:rsid w:val="0056079F"/>
    <w:rsid w:val="00560922"/>
    <w:rsid w:val="005612CB"/>
    <w:rsid w:val="0056142B"/>
    <w:rsid w:val="00561CCE"/>
    <w:rsid w:val="0056228F"/>
    <w:rsid w:val="00564EA4"/>
    <w:rsid w:val="00564F81"/>
    <w:rsid w:val="00565972"/>
    <w:rsid w:val="00565E45"/>
    <w:rsid w:val="005668AF"/>
    <w:rsid w:val="00566A1D"/>
    <w:rsid w:val="005671ED"/>
    <w:rsid w:val="005700FA"/>
    <w:rsid w:val="0057104F"/>
    <w:rsid w:val="00571B67"/>
    <w:rsid w:val="0057295A"/>
    <w:rsid w:val="005730F8"/>
    <w:rsid w:val="00573A30"/>
    <w:rsid w:val="00573C09"/>
    <w:rsid w:val="00574195"/>
    <w:rsid w:val="0057420F"/>
    <w:rsid w:val="00574716"/>
    <w:rsid w:val="005762F6"/>
    <w:rsid w:val="005770AB"/>
    <w:rsid w:val="00577D99"/>
    <w:rsid w:val="0058017D"/>
    <w:rsid w:val="005809BE"/>
    <w:rsid w:val="00580A2D"/>
    <w:rsid w:val="00580AF5"/>
    <w:rsid w:val="00580FC2"/>
    <w:rsid w:val="0058159B"/>
    <w:rsid w:val="0058279F"/>
    <w:rsid w:val="00582C83"/>
    <w:rsid w:val="005835A7"/>
    <w:rsid w:val="005835E3"/>
    <w:rsid w:val="0058455F"/>
    <w:rsid w:val="00584FCC"/>
    <w:rsid w:val="00586739"/>
    <w:rsid w:val="00586CE6"/>
    <w:rsid w:val="00586D0F"/>
    <w:rsid w:val="0058759F"/>
    <w:rsid w:val="005877B0"/>
    <w:rsid w:val="00590544"/>
    <w:rsid w:val="00591288"/>
    <w:rsid w:val="0059129E"/>
    <w:rsid w:val="005917E7"/>
    <w:rsid w:val="00591D2B"/>
    <w:rsid w:val="00591DBD"/>
    <w:rsid w:val="005923D2"/>
    <w:rsid w:val="00592474"/>
    <w:rsid w:val="00592E66"/>
    <w:rsid w:val="00593CEC"/>
    <w:rsid w:val="005962AF"/>
    <w:rsid w:val="00597307"/>
    <w:rsid w:val="005A0014"/>
    <w:rsid w:val="005A11D9"/>
    <w:rsid w:val="005A3D61"/>
    <w:rsid w:val="005A49B3"/>
    <w:rsid w:val="005A5174"/>
    <w:rsid w:val="005A72E6"/>
    <w:rsid w:val="005A743C"/>
    <w:rsid w:val="005A75DD"/>
    <w:rsid w:val="005A788B"/>
    <w:rsid w:val="005A79EF"/>
    <w:rsid w:val="005B0689"/>
    <w:rsid w:val="005B0B95"/>
    <w:rsid w:val="005B0F80"/>
    <w:rsid w:val="005B119F"/>
    <w:rsid w:val="005B2783"/>
    <w:rsid w:val="005B368E"/>
    <w:rsid w:val="005B3E68"/>
    <w:rsid w:val="005B5973"/>
    <w:rsid w:val="005B6E43"/>
    <w:rsid w:val="005B71F7"/>
    <w:rsid w:val="005C1F1A"/>
    <w:rsid w:val="005C4B5A"/>
    <w:rsid w:val="005C666C"/>
    <w:rsid w:val="005C6ADC"/>
    <w:rsid w:val="005C709E"/>
    <w:rsid w:val="005C787A"/>
    <w:rsid w:val="005D11B9"/>
    <w:rsid w:val="005D3B38"/>
    <w:rsid w:val="005D433B"/>
    <w:rsid w:val="005D5675"/>
    <w:rsid w:val="005D59FA"/>
    <w:rsid w:val="005D622C"/>
    <w:rsid w:val="005D630D"/>
    <w:rsid w:val="005D7E6B"/>
    <w:rsid w:val="005D7FD8"/>
    <w:rsid w:val="005E168E"/>
    <w:rsid w:val="005E25CE"/>
    <w:rsid w:val="005E2BF4"/>
    <w:rsid w:val="005E2D15"/>
    <w:rsid w:val="005E3950"/>
    <w:rsid w:val="005E426D"/>
    <w:rsid w:val="005E42C9"/>
    <w:rsid w:val="005E4E90"/>
    <w:rsid w:val="005E59B9"/>
    <w:rsid w:val="005E60CD"/>
    <w:rsid w:val="005E7B64"/>
    <w:rsid w:val="005F0652"/>
    <w:rsid w:val="005F08F0"/>
    <w:rsid w:val="005F0F53"/>
    <w:rsid w:val="005F1399"/>
    <w:rsid w:val="005F16F7"/>
    <w:rsid w:val="005F1C27"/>
    <w:rsid w:val="005F2AA8"/>
    <w:rsid w:val="005F2AB5"/>
    <w:rsid w:val="005F3732"/>
    <w:rsid w:val="005F3B6F"/>
    <w:rsid w:val="005F3C39"/>
    <w:rsid w:val="005F3D41"/>
    <w:rsid w:val="005F4257"/>
    <w:rsid w:val="005F5040"/>
    <w:rsid w:val="005F55BD"/>
    <w:rsid w:val="005F5CF4"/>
    <w:rsid w:val="006001EF"/>
    <w:rsid w:val="006003AE"/>
    <w:rsid w:val="006012CA"/>
    <w:rsid w:val="0060140C"/>
    <w:rsid w:val="0060221A"/>
    <w:rsid w:val="0060240A"/>
    <w:rsid w:val="00602671"/>
    <w:rsid w:val="00602FCA"/>
    <w:rsid w:val="006035BC"/>
    <w:rsid w:val="0060371C"/>
    <w:rsid w:val="006039A2"/>
    <w:rsid w:val="00603F36"/>
    <w:rsid w:val="0060471A"/>
    <w:rsid w:val="006047CD"/>
    <w:rsid w:val="00604A7F"/>
    <w:rsid w:val="00605B1D"/>
    <w:rsid w:val="006065DC"/>
    <w:rsid w:val="00606642"/>
    <w:rsid w:val="00607401"/>
    <w:rsid w:val="00607AE8"/>
    <w:rsid w:val="0061057C"/>
    <w:rsid w:val="00610E95"/>
    <w:rsid w:val="006113F6"/>
    <w:rsid w:val="00611416"/>
    <w:rsid w:val="00611639"/>
    <w:rsid w:val="006123BD"/>
    <w:rsid w:val="00612731"/>
    <w:rsid w:val="00613C5D"/>
    <w:rsid w:val="0061468E"/>
    <w:rsid w:val="00614709"/>
    <w:rsid w:val="0061589E"/>
    <w:rsid w:val="0061605B"/>
    <w:rsid w:val="0061651E"/>
    <w:rsid w:val="00617A55"/>
    <w:rsid w:val="00617C4B"/>
    <w:rsid w:val="0062097A"/>
    <w:rsid w:val="00620DD7"/>
    <w:rsid w:val="006217B4"/>
    <w:rsid w:val="006222C9"/>
    <w:rsid w:val="00622694"/>
    <w:rsid w:val="0062312B"/>
    <w:rsid w:val="006239FA"/>
    <w:rsid w:val="0062493E"/>
    <w:rsid w:val="0062507B"/>
    <w:rsid w:val="00625ACC"/>
    <w:rsid w:val="00625C58"/>
    <w:rsid w:val="0062602C"/>
    <w:rsid w:val="00626492"/>
    <w:rsid w:val="00627303"/>
    <w:rsid w:val="00627891"/>
    <w:rsid w:val="006307FE"/>
    <w:rsid w:val="00630D4B"/>
    <w:rsid w:val="006315F2"/>
    <w:rsid w:val="00631AE5"/>
    <w:rsid w:val="00631E82"/>
    <w:rsid w:val="00632E48"/>
    <w:rsid w:val="00633B89"/>
    <w:rsid w:val="0063600B"/>
    <w:rsid w:val="00636DC9"/>
    <w:rsid w:val="0063712A"/>
    <w:rsid w:val="00637DFE"/>
    <w:rsid w:val="0064003E"/>
    <w:rsid w:val="00640761"/>
    <w:rsid w:val="00640C1B"/>
    <w:rsid w:val="006429A4"/>
    <w:rsid w:val="006430FD"/>
    <w:rsid w:val="00643368"/>
    <w:rsid w:val="00644785"/>
    <w:rsid w:val="006448FD"/>
    <w:rsid w:val="00644D07"/>
    <w:rsid w:val="00645D98"/>
    <w:rsid w:val="00646CDE"/>
    <w:rsid w:val="00646D58"/>
    <w:rsid w:val="006474FE"/>
    <w:rsid w:val="00647689"/>
    <w:rsid w:val="006476F8"/>
    <w:rsid w:val="006479EE"/>
    <w:rsid w:val="00647CBF"/>
    <w:rsid w:val="0065010D"/>
    <w:rsid w:val="00650614"/>
    <w:rsid w:val="00650B77"/>
    <w:rsid w:val="0065169B"/>
    <w:rsid w:val="00651D3C"/>
    <w:rsid w:val="00652156"/>
    <w:rsid w:val="00652C96"/>
    <w:rsid w:val="0065326E"/>
    <w:rsid w:val="00653A3B"/>
    <w:rsid w:val="00653CBF"/>
    <w:rsid w:val="0065411F"/>
    <w:rsid w:val="006541B3"/>
    <w:rsid w:val="0065692E"/>
    <w:rsid w:val="00656DAF"/>
    <w:rsid w:val="0066066B"/>
    <w:rsid w:val="006607C0"/>
    <w:rsid w:val="00663BAD"/>
    <w:rsid w:val="00664BCA"/>
    <w:rsid w:val="00664D1E"/>
    <w:rsid w:val="00665EA5"/>
    <w:rsid w:val="006660D1"/>
    <w:rsid w:val="00666D87"/>
    <w:rsid w:val="00666EDE"/>
    <w:rsid w:val="0066743D"/>
    <w:rsid w:val="00667C7F"/>
    <w:rsid w:val="0067053D"/>
    <w:rsid w:val="00672627"/>
    <w:rsid w:val="006731A4"/>
    <w:rsid w:val="00673443"/>
    <w:rsid w:val="00673565"/>
    <w:rsid w:val="00673F33"/>
    <w:rsid w:val="006755B0"/>
    <w:rsid w:val="0067583D"/>
    <w:rsid w:val="00675A16"/>
    <w:rsid w:val="00675BC9"/>
    <w:rsid w:val="00676357"/>
    <w:rsid w:val="00677C4F"/>
    <w:rsid w:val="00677E09"/>
    <w:rsid w:val="00681CAC"/>
    <w:rsid w:val="00681CFD"/>
    <w:rsid w:val="006822C6"/>
    <w:rsid w:val="00682739"/>
    <w:rsid w:val="0068275C"/>
    <w:rsid w:val="006864ED"/>
    <w:rsid w:val="00687408"/>
    <w:rsid w:val="00687742"/>
    <w:rsid w:val="006877AE"/>
    <w:rsid w:val="0068791C"/>
    <w:rsid w:val="00687B00"/>
    <w:rsid w:val="006904F7"/>
    <w:rsid w:val="00690FA6"/>
    <w:rsid w:val="006925AF"/>
    <w:rsid w:val="0069458E"/>
    <w:rsid w:val="006947FF"/>
    <w:rsid w:val="006953A3"/>
    <w:rsid w:val="00695822"/>
    <w:rsid w:val="006963B0"/>
    <w:rsid w:val="0069648C"/>
    <w:rsid w:val="006964FD"/>
    <w:rsid w:val="006966F7"/>
    <w:rsid w:val="00697A1C"/>
    <w:rsid w:val="006A0277"/>
    <w:rsid w:val="006A0581"/>
    <w:rsid w:val="006A1CC5"/>
    <w:rsid w:val="006A1D00"/>
    <w:rsid w:val="006A2E3D"/>
    <w:rsid w:val="006A3712"/>
    <w:rsid w:val="006A38A4"/>
    <w:rsid w:val="006A3BED"/>
    <w:rsid w:val="006A41D6"/>
    <w:rsid w:val="006A4B4E"/>
    <w:rsid w:val="006A5228"/>
    <w:rsid w:val="006A540C"/>
    <w:rsid w:val="006A5678"/>
    <w:rsid w:val="006A596C"/>
    <w:rsid w:val="006A5ED4"/>
    <w:rsid w:val="006A60E4"/>
    <w:rsid w:val="006A62AF"/>
    <w:rsid w:val="006A66AD"/>
    <w:rsid w:val="006A7F0A"/>
    <w:rsid w:val="006B0AD4"/>
    <w:rsid w:val="006B0C50"/>
    <w:rsid w:val="006B0F98"/>
    <w:rsid w:val="006B12FF"/>
    <w:rsid w:val="006B163C"/>
    <w:rsid w:val="006B17AF"/>
    <w:rsid w:val="006B1F16"/>
    <w:rsid w:val="006B2321"/>
    <w:rsid w:val="006B284C"/>
    <w:rsid w:val="006B3A83"/>
    <w:rsid w:val="006B3B9F"/>
    <w:rsid w:val="006B4E77"/>
    <w:rsid w:val="006B6898"/>
    <w:rsid w:val="006C00D9"/>
    <w:rsid w:val="006C04BC"/>
    <w:rsid w:val="006C1161"/>
    <w:rsid w:val="006C2327"/>
    <w:rsid w:val="006C2735"/>
    <w:rsid w:val="006C3014"/>
    <w:rsid w:val="006C317C"/>
    <w:rsid w:val="006C3A94"/>
    <w:rsid w:val="006C3EDC"/>
    <w:rsid w:val="006C46F4"/>
    <w:rsid w:val="006C5A49"/>
    <w:rsid w:val="006C6794"/>
    <w:rsid w:val="006C6A77"/>
    <w:rsid w:val="006C6FDB"/>
    <w:rsid w:val="006C71E5"/>
    <w:rsid w:val="006C7C6F"/>
    <w:rsid w:val="006D1E5E"/>
    <w:rsid w:val="006D2DB1"/>
    <w:rsid w:val="006D49AE"/>
    <w:rsid w:val="006D64DC"/>
    <w:rsid w:val="006D6597"/>
    <w:rsid w:val="006D6627"/>
    <w:rsid w:val="006D6FC3"/>
    <w:rsid w:val="006E1607"/>
    <w:rsid w:val="006E2482"/>
    <w:rsid w:val="006E3745"/>
    <w:rsid w:val="006E38AB"/>
    <w:rsid w:val="006E416F"/>
    <w:rsid w:val="006E4A91"/>
    <w:rsid w:val="006E4F1E"/>
    <w:rsid w:val="006E4FF1"/>
    <w:rsid w:val="006E5A50"/>
    <w:rsid w:val="006E5BC8"/>
    <w:rsid w:val="006E5E18"/>
    <w:rsid w:val="006E67AD"/>
    <w:rsid w:val="006E6EE9"/>
    <w:rsid w:val="006E7D6A"/>
    <w:rsid w:val="006F0E59"/>
    <w:rsid w:val="006F1373"/>
    <w:rsid w:val="006F15A9"/>
    <w:rsid w:val="006F1CA7"/>
    <w:rsid w:val="006F29B3"/>
    <w:rsid w:val="006F49F2"/>
    <w:rsid w:val="006F4A1D"/>
    <w:rsid w:val="006F5CAD"/>
    <w:rsid w:val="006F6702"/>
    <w:rsid w:val="006F6E38"/>
    <w:rsid w:val="0070279F"/>
    <w:rsid w:val="00703D1F"/>
    <w:rsid w:val="00705539"/>
    <w:rsid w:val="0070584F"/>
    <w:rsid w:val="0070634B"/>
    <w:rsid w:val="00707990"/>
    <w:rsid w:val="00710D93"/>
    <w:rsid w:val="00711ACF"/>
    <w:rsid w:val="00711BE4"/>
    <w:rsid w:val="00712163"/>
    <w:rsid w:val="0071230F"/>
    <w:rsid w:val="0071292B"/>
    <w:rsid w:val="007146FB"/>
    <w:rsid w:val="00714A6E"/>
    <w:rsid w:val="00716754"/>
    <w:rsid w:val="00717DF9"/>
    <w:rsid w:val="00720AA5"/>
    <w:rsid w:val="00720F26"/>
    <w:rsid w:val="00722265"/>
    <w:rsid w:val="00723DB7"/>
    <w:rsid w:val="00723E45"/>
    <w:rsid w:val="00723F99"/>
    <w:rsid w:val="00725349"/>
    <w:rsid w:val="007262E6"/>
    <w:rsid w:val="007265AA"/>
    <w:rsid w:val="0072703D"/>
    <w:rsid w:val="00727A43"/>
    <w:rsid w:val="0073029B"/>
    <w:rsid w:val="0073042B"/>
    <w:rsid w:val="00730FFC"/>
    <w:rsid w:val="007310F5"/>
    <w:rsid w:val="007314B2"/>
    <w:rsid w:val="00732310"/>
    <w:rsid w:val="007324D3"/>
    <w:rsid w:val="00732D76"/>
    <w:rsid w:val="0073342F"/>
    <w:rsid w:val="00733848"/>
    <w:rsid w:val="0073450C"/>
    <w:rsid w:val="007351D5"/>
    <w:rsid w:val="007353C0"/>
    <w:rsid w:val="00736FA3"/>
    <w:rsid w:val="00737E11"/>
    <w:rsid w:val="00740470"/>
    <w:rsid w:val="007404D3"/>
    <w:rsid w:val="007424A5"/>
    <w:rsid w:val="007425C7"/>
    <w:rsid w:val="0074269B"/>
    <w:rsid w:val="00742988"/>
    <w:rsid w:val="00742B60"/>
    <w:rsid w:val="00743EBC"/>
    <w:rsid w:val="00744984"/>
    <w:rsid w:val="00744DC4"/>
    <w:rsid w:val="00744EFE"/>
    <w:rsid w:val="007451B2"/>
    <w:rsid w:val="00745F2A"/>
    <w:rsid w:val="00747A8C"/>
    <w:rsid w:val="00747AE4"/>
    <w:rsid w:val="00747F06"/>
    <w:rsid w:val="00750222"/>
    <w:rsid w:val="00750978"/>
    <w:rsid w:val="00750BEC"/>
    <w:rsid w:val="0075202F"/>
    <w:rsid w:val="0075219A"/>
    <w:rsid w:val="00752B45"/>
    <w:rsid w:val="007536FB"/>
    <w:rsid w:val="007548FA"/>
    <w:rsid w:val="00754E29"/>
    <w:rsid w:val="00756DBF"/>
    <w:rsid w:val="007577DC"/>
    <w:rsid w:val="0076038B"/>
    <w:rsid w:val="0076062E"/>
    <w:rsid w:val="007617D1"/>
    <w:rsid w:val="007629CE"/>
    <w:rsid w:val="00763651"/>
    <w:rsid w:val="00763D13"/>
    <w:rsid w:val="00764651"/>
    <w:rsid w:val="00764AD1"/>
    <w:rsid w:val="0076562C"/>
    <w:rsid w:val="00765A6F"/>
    <w:rsid w:val="00766BF5"/>
    <w:rsid w:val="00767956"/>
    <w:rsid w:val="00767B6D"/>
    <w:rsid w:val="007700F7"/>
    <w:rsid w:val="00770111"/>
    <w:rsid w:val="00770280"/>
    <w:rsid w:val="00772262"/>
    <w:rsid w:val="00774A13"/>
    <w:rsid w:val="00774DCD"/>
    <w:rsid w:val="00775734"/>
    <w:rsid w:val="00775E4F"/>
    <w:rsid w:val="007764BB"/>
    <w:rsid w:val="007769E3"/>
    <w:rsid w:val="00781A12"/>
    <w:rsid w:val="00781A3A"/>
    <w:rsid w:val="00781D85"/>
    <w:rsid w:val="0078269F"/>
    <w:rsid w:val="007830A0"/>
    <w:rsid w:val="0078368E"/>
    <w:rsid w:val="00784B7E"/>
    <w:rsid w:val="007862E6"/>
    <w:rsid w:val="00786AB1"/>
    <w:rsid w:val="00787140"/>
    <w:rsid w:val="0078726C"/>
    <w:rsid w:val="00787487"/>
    <w:rsid w:val="0078777A"/>
    <w:rsid w:val="007879E5"/>
    <w:rsid w:val="0079045A"/>
    <w:rsid w:val="007914BE"/>
    <w:rsid w:val="007916DE"/>
    <w:rsid w:val="00791C71"/>
    <w:rsid w:val="00792358"/>
    <w:rsid w:val="007925EA"/>
    <w:rsid w:val="00792D16"/>
    <w:rsid w:val="00793A6C"/>
    <w:rsid w:val="00796792"/>
    <w:rsid w:val="0079701C"/>
    <w:rsid w:val="007970AC"/>
    <w:rsid w:val="00797149"/>
    <w:rsid w:val="0079730F"/>
    <w:rsid w:val="007979DD"/>
    <w:rsid w:val="007A00D2"/>
    <w:rsid w:val="007A00D6"/>
    <w:rsid w:val="007A05AC"/>
    <w:rsid w:val="007A12AE"/>
    <w:rsid w:val="007A28C0"/>
    <w:rsid w:val="007A3D80"/>
    <w:rsid w:val="007A409B"/>
    <w:rsid w:val="007A4AFB"/>
    <w:rsid w:val="007A4ED0"/>
    <w:rsid w:val="007A5075"/>
    <w:rsid w:val="007A52FD"/>
    <w:rsid w:val="007A5B29"/>
    <w:rsid w:val="007A6171"/>
    <w:rsid w:val="007A7494"/>
    <w:rsid w:val="007B000F"/>
    <w:rsid w:val="007B0094"/>
    <w:rsid w:val="007B09D9"/>
    <w:rsid w:val="007B223E"/>
    <w:rsid w:val="007B414F"/>
    <w:rsid w:val="007B47A8"/>
    <w:rsid w:val="007B4FB7"/>
    <w:rsid w:val="007C2395"/>
    <w:rsid w:val="007C2EDB"/>
    <w:rsid w:val="007C2F86"/>
    <w:rsid w:val="007C36C9"/>
    <w:rsid w:val="007C36DE"/>
    <w:rsid w:val="007C384C"/>
    <w:rsid w:val="007C3927"/>
    <w:rsid w:val="007C3FB2"/>
    <w:rsid w:val="007C440B"/>
    <w:rsid w:val="007C4B4F"/>
    <w:rsid w:val="007C4B85"/>
    <w:rsid w:val="007C4F65"/>
    <w:rsid w:val="007C5676"/>
    <w:rsid w:val="007C72B6"/>
    <w:rsid w:val="007C7C89"/>
    <w:rsid w:val="007D04F8"/>
    <w:rsid w:val="007D1454"/>
    <w:rsid w:val="007D1521"/>
    <w:rsid w:val="007D20D4"/>
    <w:rsid w:val="007D2BCE"/>
    <w:rsid w:val="007D2FCF"/>
    <w:rsid w:val="007D36DE"/>
    <w:rsid w:val="007D3D4F"/>
    <w:rsid w:val="007D408C"/>
    <w:rsid w:val="007D4D63"/>
    <w:rsid w:val="007D57C7"/>
    <w:rsid w:val="007D5AAD"/>
    <w:rsid w:val="007D60D3"/>
    <w:rsid w:val="007D6B4E"/>
    <w:rsid w:val="007D6FE8"/>
    <w:rsid w:val="007D7091"/>
    <w:rsid w:val="007D7A01"/>
    <w:rsid w:val="007D7A3B"/>
    <w:rsid w:val="007E08B1"/>
    <w:rsid w:val="007E1CBF"/>
    <w:rsid w:val="007E40EB"/>
    <w:rsid w:val="007E47B4"/>
    <w:rsid w:val="007E6282"/>
    <w:rsid w:val="007E6C02"/>
    <w:rsid w:val="007F01F8"/>
    <w:rsid w:val="007F0CFD"/>
    <w:rsid w:val="007F1847"/>
    <w:rsid w:val="007F2655"/>
    <w:rsid w:val="007F45D0"/>
    <w:rsid w:val="007F5925"/>
    <w:rsid w:val="007F62FB"/>
    <w:rsid w:val="007F6E14"/>
    <w:rsid w:val="007F7951"/>
    <w:rsid w:val="008007FD"/>
    <w:rsid w:val="00800AA9"/>
    <w:rsid w:val="00800E59"/>
    <w:rsid w:val="00802242"/>
    <w:rsid w:val="00803174"/>
    <w:rsid w:val="00803512"/>
    <w:rsid w:val="008036EE"/>
    <w:rsid w:val="00803F4D"/>
    <w:rsid w:val="0080525A"/>
    <w:rsid w:val="008058E7"/>
    <w:rsid w:val="0080599D"/>
    <w:rsid w:val="008059DC"/>
    <w:rsid w:val="00806424"/>
    <w:rsid w:val="00806793"/>
    <w:rsid w:val="008071F1"/>
    <w:rsid w:val="0080722F"/>
    <w:rsid w:val="00807CCA"/>
    <w:rsid w:val="008101F1"/>
    <w:rsid w:val="008109F4"/>
    <w:rsid w:val="00811DCC"/>
    <w:rsid w:val="00812015"/>
    <w:rsid w:val="00812EE8"/>
    <w:rsid w:val="008132E0"/>
    <w:rsid w:val="0081362D"/>
    <w:rsid w:val="008146E5"/>
    <w:rsid w:val="008147B8"/>
    <w:rsid w:val="00815663"/>
    <w:rsid w:val="00816207"/>
    <w:rsid w:val="00816489"/>
    <w:rsid w:val="0081686C"/>
    <w:rsid w:val="00816CE9"/>
    <w:rsid w:val="00816D9E"/>
    <w:rsid w:val="008170D4"/>
    <w:rsid w:val="00817341"/>
    <w:rsid w:val="00820B2F"/>
    <w:rsid w:val="008212DD"/>
    <w:rsid w:val="008215B0"/>
    <w:rsid w:val="00821946"/>
    <w:rsid w:val="00822826"/>
    <w:rsid w:val="00822F70"/>
    <w:rsid w:val="0082331B"/>
    <w:rsid w:val="00823F77"/>
    <w:rsid w:val="008247EF"/>
    <w:rsid w:val="00824B5C"/>
    <w:rsid w:val="00825373"/>
    <w:rsid w:val="00825B12"/>
    <w:rsid w:val="00826863"/>
    <w:rsid w:val="00826A25"/>
    <w:rsid w:val="0082713D"/>
    <w:rsid w:val="00827150"/>
    <w:rsid w:val="0082732D"/>
    <w:rsid w:val="0082765A"/>
    <w:rsid w:val="00827AF2"/>
    <w:rsid w:val="00827B15"/>
    <w:rsid w:val="00830A5E"/>
    <w:rsid w:val="00830C21"/>
    <w:rsid w:val="00830C94"/>
    <w:rsid w:val="00832656"/>
    <w:rsid w:val="008331F2"/>
    <w:rsid w:val="00833557"/>
    <w:rsid w:val="00834F59"/>
    <w:rsid w:val="00835472"/>
    <w:rsid w:val="00835932"/>
    <w:rsid w:val="00836782"/>
    <w:rsid w:val="0083736C"/>
    <w:rsid w:val="00840074"/>
    <w:rsid w:val="00840271"/>
    <w:rsid w:val="00841D86"/>
    <w:rsid w:val="008424B8"/>
    <w:rsid w:val="008429AC"/>
    <w:rsid w:val="00843CDD"/>
    <w:rsid w:val="008464FC"/>
    <w:rsid w:val="0084668A"/>
    <w:rsid w:val="008467B5"/>
    <w:rsid w:val="00847252"/>
    <w:rsid w:val="00850BA4"/>
    <w:rsid w:val="00851C86"/>
    <w:rsid w:val="008520AC"/>
    <w:rsid w:val="00853147"/>
    <w:rsid w:val="0085458B"/>
    <w:rsid w:val="00854FDD"/>
    <w:rsid w:val="0085526D"/>
    <w:rsid w:val="008552FB"/>
    <w:rsid w:val="00855A27"/>
    <w:rsid w:val="00856018"/>
    <w:rsid w:val="0085678C"/>
    <w:rsid w:val="00856850"/>
    <w:rsid w:val="00857420"/>
    <w:rsid w:val="00857659"/>
    <w:rsid w:val="008577B5"/>
    <w:rsid w:val="00857A6B"/>
    <w:rsid w:val="00860B20"/>
    <w:rsid w:val="00862D95"/>
    <w:rsid w:val="008630C6"/>
    <w:rsid w:val="0086336A"/>
    <w:rsid w:val="00863823"/>
    <w:rsid w:val="00863E9D"/>
    <w:rsid w:val="00864080"/>
    <w:rsid w:val="0086408E"/>
    <w:rsid w:val="00864585"/>
    <w:rsid w:val="008649C4"/>
    <w:rsid w:val="008657AD"/>
    <w:rsid w:val="008664D0"/>
    <w:rsid w:val="008666A5"/>
    <w:rsid w:val="00866FA5"/>
    <w:rsid w:val="00867088"/>
    <w:rsid w:val="00867805"/>
    <w:rsid w:val="00867C82"/>
    <w:rsid w:val="00871B3B"/>
    <w:rsid w:val="00871E3E"/>
    <w:rsid w:val="00872444"/>
    <w:rsid w:val="008727F0"/>
    <w:rsid w:val="008727FC"/>
    <w:rsid w:val="00872F71"/>
    <w:rsid w:val="00873204"/>
    <w:rsid w:val="00873673"/>
    <w:rsid w:val="0087440A"/>
    <w:rsid w:val="00874FBC"/>
    <w:rsid w:val="0087566A"/>
    <w:rsid w:val="008765E9"/>
    <w:rsid w:val="00876957"/>
    <w:rsid w:val="008772D6"/>
    <w:rsid w:val="00877387"/>
    <w:rsid w:val="00877A2F"/>
    <w:rsid w:val="008802E4"/>
    <w:rsid w:val="00880E0F"/>
    <w:rsid w:val="008819EC"/>
    <w:rsid w:val="00881F1D"/>
    <w:rsid w:val="00882018"/>
    <w:rsid w:val="008826B0"/>
    <w:rsid w:val="00883225"/>
    <w:rsid w:val="0088336C"/>
    <w:rsid w:val="00883446"/>
    <w:rsid w:val="00885515"/>
    <w:rsid w:val="0088568C"/>
    <w:rsid w:val="00885C67"/>
    <w:rsid w:val="00885D68"/>
    <w:rsid w:val="00885F9A"/>
    <w:rsid w:val="00886065"/>
    <w:rsid w:val="00887AE2"/>
    <w:rsid w:val="00887B69"/>
    <w:rsid w:val="00890534"/>
    <w:rsid w:val="008905B7"/>
    <w:rsid w:val="00890BFA"/>
    <w:rsid w:val="0089237A"/>
    <w:rsid w:val="00892C85"/>
    <w:rsid w:val="00895964"/>
    <w:rsid w:val="00895B80"/>
    <w:rsid w:val="00896056"/>
    <w:rsid w:val="00896D11"/>
    <w:rsid w:val="008A0EBD"/>
    <w:rsid w:val="008A2C07"/>
    <w:rsid w:val="008A2D93"/>
    <w:rsid w:val="008A2E85"/>
    <w:rsid w:val="008A35C5"/>
    <w:rsid w:val="008A3CCA"/>
    <w:rsid w:val="008A4378"/>
    <w:rsid w:val="008A4580"/>
    <w:rsid w:val="008A5580"/>
    <w:rsid w:val="008A6746"/>
    <w:rsid w:val="008A769A"/>
    <w:rsid w:val="008A7972"/>
    <w:rsid w:val="008B0B18"/>
    <w:rsid w:val="008B0DFF"/>
    <w:rsid w:val="008B184D"/>
    <w:rsid w:val="008B1B2C"/>
    <w:rsid w:val="008B1C0B"/>
    <w:rsid w:val="008B375C"/>
    <w:rsid w:val="008B424D"/>
    <w:rsid w:val="008B5094"/>
    <w:rsid w:val="008B6405"/>
    <w:rsid w:val="008B783B"/>
    <w:rsid w:val="008C0CC4"/>
    <w:rsid w:val="008C1424"/>
    <w:rsid w:val="008C3255"/>
    <w:rsid w:val="008C3DCA"/>
    <w:rsid w:val="008C3EC3"/>
    <w:rsid w:val="008C4A52"/>
    <w:rsid w:val="008C5DA6"/>
    <w:rsid w:val="008C5F7D"/>
    <w:rsid w:val="008C6251"/>
    <w:rsid w:val="008C6988"/>
    <w:rsid w:val="008C6F9B"/>
    <w:rsid w:val="008C6FBA"/>
    <w:rsid w:val="008C78D2"/>
    <w:rsid w:val="008D0061"/>
    <w:rsid w:val="008D1EEF"/>
    <w:rsid w:val="008D3402"/>
    <w:rsid w:val="008D4560"/>
    <w:rsid w:val="008D61F8"/>
    <w:rsid w:val="008D634A"/>
    <w:rsid w:val="008D71F9"/>
    <w:rsid w:val="008E0188"/>
    <w:rsid w:val="008E0974"/>
    <w:rsid w:val="008E0A0B"/>
    <w:rsid w:val="008E12D3"/>
    <w:rsid w:val="008E145A"/>
    <w:rsid w:val="008E2300"/>
    <w:rsid w:val="008E32BB"/>
    <w:rsid w:val="008E37B5"/>
    <w:rsid w:val="008E3DDF"/>
    <w:rsid w:val="008E48F1"/>
    <w:rsid w:val="008E6FCD"/>
    <w:rsid w:val="008E72F1"/>
    <w:rsid w:val="008E7DF8"/>
    <w:rsid w:val="008F0CEF"/>
    <w:rsid w:val="008F259D"/>
    <w:rsid w:val="008F29F8"/>
    <w:rsid w:val="008F30D8"/>
    <w:rsid w:val="008F3EE9"/>
    <w:rsid w:val="008F54C9"/>
    <w:rsid w:val="008F7621"/>
    <w:rsid w:val="008F7D55"/>
    <w:rsid w:val="00900127"/>
    <w:rsid w:val="009025E1"/>
    <w:rsid w:val="009037EC"/>
    <w:rsid w:val="00904074"/>
    <w:rsid w:val="00904C2F"/>
    <w:rsid w:val="0090561A"/>
    <w:rsid w:val="00905EA6"/>
    <w:rsid w:val="00905F79"/>
    <w:rsid w:val="00906856"/>
    <w:rsid w:val="0091027A"/>
    <w:rsid w:val="00910838"/>
    <w:rsid w:val="0091128D"/>
    <w:rsid w:val="009116CB"/>
    <w:rsid w:val="009157BD"/>
    <w:rsid w:val="00915A5D"/>
    <w:rsid w:val="00916CC9"/>
    <w:rsid w:val="00917C84"/>
    <w:rsid w:val="00920154"/>
    <w:rsid w:val="0092092B"/>
    <w:rsid w:val="0092120C"/>
    <w:rsid w:val="00922247"/>
    <w:rsid w:val="00922298"/>
    <w:rsid w:val="00924352"/>
    <w:rsid w:val="00924592"/>
    <w:rsid w:val="009250A9"/>
    <w:rsid w:val="0092520F"/>
    <w:rsid w:val="009261E0"/>
    <w:rsid w:val="00927142"/>
    <w:rsid w:val="00927526"/>
    <w:rsid w:val="009278F9"/>
    <w:rsid w:val="009302E6"/>
    <w:rsid w:val="00930B0D"/>
    <w:rsid w:val="0093288E"/>
    <w:rsid w:val="0093420C"/>
    <w:rsid w:val="009342C8"/>
    <w:rsid w:val="00934786"/>
    <w:rsid w:val="00936602"/>
    <w:rsid w:val="00936634"/>
    <w:rsid w:val="00936D05"/>
    <w:rsid w:val="00937885"/>
    <w:rsid w:val="0094062D"/>
    <w:rsid w:val="00940937"/>
    <w:rsid w:val="00940BE2"/>
    <w:rsid w:val="009415F0"/>
    <w:rsid w:val="00941C7C"/>
    <w:rsid w:val="00941CEB"/>
    <w:rsid w:val="00941FF3"/>
    <w:rsid w:val="00942162"/>
    <w:rsid w:val="00943224"/>
    <w:rsid w:val="00943F05"/>
    <w:rsid w:val="009449BC"/>
    <w:rsid w:val="00945403"/>
    <w:rsid w:val="00946151"/>
    <w:rsid w:val="00947EAC"/>
    <w:rsid w:val="00950898"/>
    <w:rsid w:val="00950EDF"/>
    <w:rsid w:val="00951495"/>
    <w:rsid w:val="00952C81"/>
    <w:rsid w:val="00954419"/>
    <w:rsid w:val="00957FC9"/>
    <w:rsid w:val="00961E3D"/>
    <w:rsid w:val="009622EA"/>
    <w:rsid w:val="00962CA3"/>
    <w:rsid w:val="00963008"/>
    <w:rsid w:val="009635E2"/>
    <w:rsid w:val="00963B19"/>
    <w:rsid w:val="009647D0"/>
    <w:rsid w:val="00965774"/>
    <w:rsid w:val="00965D39"/>
    <w:rsid w:val="009661D4"/>
    <w:rsid w:val="00966A73"/>
    <w:rsid w:val="00966BF6"/>
    <w:rsid w:val="009671A7"/>
    <w:rsid w:val="009673BA"/>
    <w:rsid w:val="0097090F"/>
    <w:rsid w:val="00970A87"/>
    <w:rsid w:val="009712F9"/>
    <w:rsid w:val="00971468"/>
    <w:rsid w:val="00971E55"/>
    <w:rsid w:val="0097246F"/>
    <w:rsid w:val="009728A2"/>
    <w:rsid w:val="00972DD6"/>
    <w:rsid w:val="00973751"/>
    <w:rsid w:val="00975F36"/>
    <w:rsid w:val="0097647E"/>
    <w:rsid w:val="009765C8"/>
    <w:rsid w:val="00976FC5"/>
    <w:rsid w:val="00981821"/>
    <w:rsid w:val="00983262"/>
    <w:rsid w:val="009838E2"/>
    <w:rsid w:val="00983C88"/>
    <w:rsid w:val="009840C7"/>
    <w:rsid w:val="0098417A"/>
    <w:rsid w:val="00984296"/>
    <w:rsid w:val="00986085"/>
    <w:rsid w:val="0098635F"/>
    <w:rsid w:val="00987020"/>
    <w:rsid w:val="009874CD"/>
    <w:rsid w:val="00990680"/>
    <w:rsid w:val="00990949"/>
    <w:rsid w:val="00990FE5"/>
    <w:rsid w:val="00991263"/>
    <w:rsid w:val="00991B55"/>
    <w:rsid w:val="00995D61"/>
    <w:rsid w:val="009967C4"/>
    <w:rsid w:val="00996A39"/>
    <w:rsid w:val="00996C44"/>
    <w:rsid w:val="009974D9"/>
    <w:rsid w:val="009A0C01"/>
    <w:rsid w:val="009A11C9"/>
    <w:rsid w:val="009A1C80"/>
    <w:rsid w:val="009A36D0"/>
    <w:rsid w:val="009A483D"/>
    <w:rsid w:val="009A4A02"/>
    <w:rsid w:val="009A62E8"/>
    <w:rsid w:val="009A6B11"/>
    <w:rsid w:val="009A7C9A"/>
    <w:rsid w:val="009B070B"/>
    <w:rsid w:val="009B0F2B"/>
    <w:rsid w:val="009B2324"/>
    <w:rsid w:val="009B298D"/>
    <w:rsid w:val="009B3538"/>
    <w:rsid w:val="009B425D"/>
    <w:rsid w:val="009B495F"/>
    <w:rsid w:val="009B4FFC"/>
    <w:rsid w:val="009B513C"/>
    <w:rsid w:val="009B55A4"/>
    <w:rsid w:val="009C02E0"/>
    <w:rsid w:val="009C05FF"/>
    <w:rsid w:val="009C085B"/>
    <w:rsid w:val="009C0BF6"/>
    <w:rsid w:val="009C1769"/>
    <w:rsid w:val="009C1F78"/>
    <w:rsid w:val="009C20DD"/>
    <w:rsid w:val="009C24B1"/>
    <w:rsid w:val="009C3894"/>
    <w:rsid w:val="009C3CAD"/>
    <w:rsid w:val="009C484C"/>
    <w:rsid w:val="009C4AB9"/>
    <w:rsid w:val="009C4F80"/>
    <w:rsid w:val="009C5BF3"/>
    <w:rsid w:val="009C6578"/>
    <w:rsid w:val="009C7706"/>
    <w:rsid w:val="009C7926"/>
    <w:rsid w:val="009D102D"/>
    <w:rsid w:val="009D112D"/>
    <w:rsid w:val="009D2215"/>
    <w:rsid w:val="009D2841"/>
    <w:rsid w:val="009D340A"/>
    <w:rsid w:val="009D4B8D"/>
    <w:rsid w:val="009D5137"/>
    <w:rsid w:val="009D51EB"/>
    <w:rsid w:val="009D6268"/>
    <w:rsid w:val="009D689E"/>
    <w:rsid w:val="009D6D13"/>
    <w:rsid w:val="009D70DB"/>
    <w:rsid w:val="009E0E49"/>
    <w:rsid w:val="009E12CE"/>
    <w:rsid w:val="009E1537"/>
    <w:rsid w:val="009E19A9"/>
    <w:rsid w:val="009E1D14"/>
    <w:rsid w:val="009E2805"/>
    <w:rsid w:val="009E3A5D"/>
    <w:rsid w:val="009E3AA2"/>
    <w:rsid w:val="009E5D12"/>
    <w:rsid w:val="009E5EA7"/>
    <w:rsid w:val="009E66BF"/>
    <w:rsid w:val="009E67D8"/>
    <w:rsid w:val="009E6E89"/>
    <w:rsid w:val="009E753A"/>
    <w:rsid w:val="009E7851"/>
    <w:rsid w:val="009E7993"/>
    <w:rsid w:val="009E7FF8"/>
    <w:rsid w:val="009F0BD2"/>
    <w:rsid w:val="009F0CD5"/>
    <w:rsid w:val="009F194F"/>
    <w:rsid w:val="009F2295"/>
    <w:rsid w:val="009F2661"/>
    <w:rsid w:val="009F28CB"/>
    <w:rsid w:val="009F2E9A"/>
    <w:rsid w:val="009F36CE"/>
    <w:rsid w:val="009F440D"/>
    <w:rsid w:val="009F4A64"/>
    <w:rsid w:val="009F5860"/>
    <w:rsid w:val="009F64F5"/>
    <w:rsid w:val="009F651A"/>
    <w:rsid w:val="009F6660"/>
    <w:rsid w:val="009F6BDD"/>
    <w:rsid w:val="009F6F76"/>
    <w:rsid w:val="009F6FE2"/>
    <w:rsid w:val="009F7913"/>
    <w:rsid w:val="009F7FCE"/>
    <w:rsid w:val="00A00188"/>
    <w:rsid w:val="00A02D8C"/>
    <w:rsid w:val="00A03BA5"/>
    <w:rsid w:val="00A04B31"/>
    <w:rsid w:val="00A06C40"/>
    <w:rsid w:val="00A074A1"/>
    <w:rsid w:val="00A101A3"/>
    <w:rsid w:val="00A104ED"/>
    <w:rsid w:val="00A10BA9"/>
    <w:rsid w:val="00A10E25"/>
    <w:rsid w:val="00A11E65"/>
    <w:rsid w:val="00A11E71"/>
    <w:rsid w:val="00A11F22"/>
    <w:rsid w:val="00A120F3"/>
    <w:rsid w:val="00A12CA7"/>
    <w:rsid w:val="00A13CB3"/>
    <w:rsid w:val="00A13D89"/>
    <w:rsid w:val="00A160E4"/>
    <w:rsid w:val="00A165E6"/>
    <w:rsid w:val="00A20D07"/>
    <w:rsid w:val="00A24D08"/>
    <w:rsid w:val="00A25F1A"/>
    <w:rsid w:val="00A26B37"/>
    <w:rsid w:val="00A27121"/>
    <w:rsid w:val="00A301E4"/>
    <w:rsid w:val="00A30579"/>
    <w:rsid w:val="00A32D8D"/>
    <w:rsid w:val="00A33741"/>
    <w:rsid w:val="00A34431"/>
    <w:rsid w:val="00A354CD"/>
    <w:rsid w:val="00A354F4"/>
    <w:rsid w:val="00A35CF3"/>
    <w:rsid w:val="00A3790E"/>
    <w:rsid w:val="00A40BC2"/>
    <w:rsid w:val="00A40CB1"/>
    <w:rsid w:val="00A40E43"/>
    <w:rsid w:val="00A412EF"/>
    <w:rsid w:val="00A413CA"/>
    <w:rsid w:val="00A41763"/>
    <w:rsid w:val="00A41771"/>
    <w:rsid w:val="00A428E0"/>
    <w:rsid w:val="00A433C6"/>
    <w:rsid w:val="00A444A5"/>
    <w:rsid w:val="00A44860"/>
    <w:rsid w:val="00A454A1"/>
    <w:rsid w:val="00A45B41"/>
    <w:rsid w:val="00A46057"/>
    <w:rsid w:val="00A468D6"/>
    <w:rsid w:val="00A46AFE"/>
    <w:rsid w:val="00A46D6F"/>
    <w:rsid w:val="00A46F9A"/>
    <w:rsid w:val="00A47DC2"/>
    <w:rsid w:val="00A513F0"/>
    <w:rsid w:val="00A519E7"/>
    <w:rsid w:val="00A5480A"/>
    <w:rsid w:val="00A55955"/>
    <w:rsid w:val="00A55AE6"/>
    <w:rsid w:val="00A55FF5"/>
    <w:rsid w:val="00A61E1D"/>
    <w:rsid w:val="00A62228"/>
    <w:rsid w:val="00A627AC"/>
    <w:rsid w:val="00A63FE4"/>
    <w:rsid w:val="00A66152"/>
    <w:rsid w:val="00A66E7D"/>
    <w:rsid w:val="00A706B1"/>
    <w:rsid w:val="00A70D05"/>
    <w:rsid w:val="00A71070"/>
    <w:rsid w:val="00A72B88"/>
    <w:rsid w:val="00A732ED"/>
    <w:rsid w:val="00A73338"/>
    <w:rsid w:val="00A74620"/>
    <w:rsid w:val="00A74660"/>
    <w:rsid w:val="00A750AB"/>
    <w:rsid w:val="00A751BF"/>
    <w:rsid w:val="00A75D42"/>
    <w:rsid w:val="00A75F27"/>
    <w:rsid w:val="00A770F2"/>
    <w:rsid w:val="00A773E5"/>
    <w:rsid w:val="00A776A6"/>
    <w:rsid w:val="00A77EB3"/>
    <w:rsid w:val="00A8113F"/>
    <w:rsid w:val="00A82CDA"/>
    <w:rsid w:val="00A82D5F"/>
    <w:rsid w:val="00A833F1"/>
    <w:rsid w:val="00A86961"/>
    <w:rsid w:val="00A8720E"/>
    <w:rsid w:val="00A902C2"/>
    <w:rsid w:val="00A90B44"/>
    <w:rsid w:val="00A91351"/>
    <w:rsid w:val="00A91A84"/>
    <w:rsid w:val="00A91F09"/>
    <w:rsid w:val="00A920CB"/>
    <w:rsid w:val="00A936D5"/>
    <w:rsid w:val="00A9425B"/>
    <w:rsid w:val="00A94707"/>
    <w:rsid w:val="00A94DF1"/>
    <w:rsid w:val="00A961C9"/>
    <w:rsid w:val="00A968EA"/>
    <w:rsid w:val="00A969D9"/>
    <w:rsid w:val="00A97C46"/>
    <w:rsid w:val="00AA0424"/>
    <w:rsid w:val="00AA0889"/>
    <w:rsid w:val="00AA09A2"/>
    <w:rsid w:val="00AA0B8D"/>
    <w:rsid w:val="00AA13BF"/>
    <w:rsid w:val="00AA13E4"/>
    <w:rsid w:val="00AA1A06"/>
    <w:rsid w:val="00AA1A96"/>
    <w:rsid w:val="00AA1C99"/>
    <w:rsid w:val="00AA260F"/>
    <w:rsid w:val="00AA3674"/>
    <w:rsid w:val="00AA389E"/>
    <w:rsid w:val="00AA393D"/>
    <w:rsid w:val="00AA429F"/>
    <w:rsid w:val="00AA4F99"/>
    <w:rsid w:val="00AA5801"/>
    <w:rsid w:val="00AA597F"/>
    <w:rsid w:val="00AA6638"/>
    <w:rsid w:val="00AA744F"/>
    <w:rsid w:val="00AB0835"/>
    <w:rsid w:val="00AB0946"/>
    <w:rsid w:val="00AB2256"/>
    <w:rsid w:val="00AB24D1"/>
    <w:rsid w:val="00AB2585"/>
    <w:rsid w:val="00AB28FB"/>
    <w:rsid w:val="00AB29EE"/>
    <w:rsid w:val="00AB2B53"/>
    <w:rsid w:val="00AB2CE7"/>
    <w:rsid w:val="00AB391E"/>
    <w:rsid w:val="00AB4222"/>
    <w:rsid w:val="00AB550D"/>
    <w:rsid w:val="00AB6EC7"/>
    <w:rsid w:val="00AC0103"/>
    <w:rsid w:val="00AC0927"/>
    <w:rsid w:val="00AC17D4"/>
    <w:rsid w:val="00AC1B75"/>
    <w:rsid w:val="00AC1E87"/>
    <w:rsid w:val="00AC2532"/>
    <w:rsid w:val="00AC3275"/>
    <w:rsid w:val="00AC3998"/>
    <w:rsid w:val="00AC3B35"/>
    <w:rsid w:val="00AC5311"/>
    <w:rsid w:val="00AC5912"/>
    <w:rsid w:val="00AC7A76"/>
    <w:rsid w:val="00AC7C9A"/>
    <w:rsid w:val="00AD05EA"/>
    <w:rsid w:val="00AD0F2F"/>
    <w:rsid w:val="00AD1434"/>
    <w:rsid w:val="00AD1527"/>
    <w:rsid w:val="00AD177F"/>
    <w:rsid w:val="00AD18A3"/>
    <w:rsid w:val="00AD1D33"/>
    <w:rsid w:val="00AD2286"/>
    <w:rsid w:val="00AD262F"/>
    <w:rsid w:val="00AD280B"/>
    <w:rsid w:val="00AD550D"/>
    <w:rsid w:val="00AD6889"/>
    <w:rsid w:val="00AD69B1"/>
    <w:rsid w:val="00AE1550"/>
    <w:rsid w:val="00AE1EA6"/>
    <w:rsid w:val="00AE226F"/>
    <w:rsid w:val="00AE2871"/>
    <w:rsid w:val="00AE2899"/>
    <w:rsid w:val="00AE4DDF"/>
    <w:rsid w:val="00AE67C2"/>
    <w:rsid w:val="00AE69EA"/>
    <w:rsid w:val="00AE6B5B"/>
    <w:rsid w:val="00AE720E"/>
    <w:rsid w:val="00AE76F2"/>
    <w:rsid w:val="00AF0026"/>
    <w:rsid w:val="00AF02CA"/>
    <w:rsid w:val="00AF072D"/>
    <w:rsid w:val="00AF12A7"/>
    <w:rsid w:val="00AF167D"/>
    <w:rsid w:val="00AF1AE2"/>
    <w:rsid w:val="00AF3283"/>
    <w:rsid w:val="00AF3A19"/>
    <w:rsid w:val="00AF56BF"/>
    <w:rsid w:val="00AF6372"/>
    <w:rsid w:val="00AF6F88"/>
    <w:rsid w:val="00B009BC"/>
    <w:rsid w:val="00B009DA"/>
    <w:rsid w:val="00B00A9B"/>
    <w:rsid w:val="00B00FFE"/>
    <w:rsid w:val="00B01871"/>
    <w:rsid w:val="00B02595"/>
    <w:rsid w:val="00B04FC1"/>
    <w:rsid w:val="00B052B0"/>
    <w:rsid w:val="00B05878"/>
    <w:rsid w:val="00B05DCE"/>
    <w:rsid w:val="00B06235"/>
    <w:rsid w:val="00B06753"/>
    <w:rsid w:val="00B06D73"/>
    <w:rsid w:val="00B10190"/>
    <w:rsid w:val="00B10BF7"/>
    <w:rsid w:val="00B10C9B"/>
    <w:rsid w:val="00B11527"/>
    <w:rsid w:val="00B1283B"/>
    <w:rsid w:val="00B12A5F"/>
    <w:rsid w:val="00B12F7C"/>
    <w:rsid w:val="00B14098"/>
    <w:rsid w:val="00B1449A"/>
    <w:rsid w:val="00B145A4"/>
    <w:rsid w:val="00B14903"/>
    <w:rsid w:val="00B15993"/>
    <w:rsid w:val="00B15C24"/>
    <w:rsid w:val="00B1604E"/>
    <w:rsid w:val="00B1691D"/>
    <w:rsid w:val="00B16F32"/>
    <w:rsid w:val="00B171CF"/>
    <w:rsid w:val="00B17C3C"/>
    <w:rsid w:val="00B200A9"/>
    <w:rsid w:val="00B20494"/>
    <w:rsid w:val="00B20E38"/>
    <w:rsid w:val="00B20F5E"/>
    <w:rsid w:val="00B21CE8"/>
    <w:rsid w:val="00B23B64"/>
    <w:rsid w:val="00B24986"/>
    <w:rsid w:val="00B251D9"/>
    <w:rsid w:val="00B251EF"/>
    <w:rsid w:val="00B252FE"/>
    <w:rsid w:val="00B254D6"/>
    <w:rsid w:val="00B25C86"/>
    <w:rsid w:val="00B25F09"/>
    <w:rsid w:val="00B263FA"/>
    <w:rsid w:val="00B26BDF"/>
    <w:rsid w:val="00B26C72"/>
    <w:rsid w:val="00B27A82"/>
    <w:rsid w:val="00B27C4C"/>
    <w:rsid w:val="00B3194F"/>
    <w:rsid w:val="00B3206F"/>
    <w:rsid w:val="00B32158"/>
    <w:rsid w:val="00B3247B"/>
    <w:rsid w:val="00B33E51"/>
    <w:rsid w:val="00B3441F"/>
    <w:rsid w:val="00B35338"/>
    <w:rsid w:val="00B35EBA"/>
    <w:rsid w:val="00B365C5"/>
    <w:rsid w:val="00B36FBA"/>
    <w:rsid w:val="00B37068"/>
    <w:rsid w:val="00B373C7"/>
    <w:rsid w:val="00B37FA0"/>
    <w:rsid w:val="00B40111"/>
    <w:rsid w:val="00B40577"/>
    <w:rsid w:val="00B41763"/>
    <w:rsid w:val="00B41847"/>
    <w:rsid w:val="00B41A10"/>
    <w:rsid w:val="00B41A2E"/>
    <w:rsid w:val="00B41CBC"/>
    <w:rsid w:val="00B41E90"/>
    <w:rsid w:val="00B41F7D"/>
    <w:rsid w:val="00B41FE0"/>
    <w:rsid w:val="00B42BED"/>
    <w:rsid w:val="00B42E69"/>
    <w:rsid w:val="00B434A5"/>
    <w:rsid w:val="00B4358A"/>
    <w:rsid w:val="00B440C4"/>
    <w:rsid w:val="00B45773"/>
    <w:rsid w:val="00B45959"/>
    <w:rsid w:val="00B477B6"/>
    <w:rsid w:val="00B47C21"/>
    <w:rsid w:val="00B503B7"/>
    <w:rsid w:val="00B506F6"/>
    <w:rsid w:val="00B50E59"/>
    <w:rsid w:val="00B51616"/>
    <w:rsid w:val="00B52466"/>
    <w:rsid w:val="00B52CE2"/>
    <w:rsid w:val="00B54C67"/>
    <w:rsid w:val="00B579AD"/>
    <w:rsid w:val="00B579F8"/>
    <w:rsid w:val="00B57C14"/>
    <w:rsid w:val="00B57D41"/>
    <w:rsid w:val="00B60D78"/>
    <w:rsid w:val="00B625D4"/>
    <w:rsid w:val="00B62D94"/>
    <w:rsid w:val="00B631E4"/>
    <w:rsid w:val="00B633CC"/>
    <w:rsid w:val="00B638CB"/>
    <w:rsid w:val="00B63CD4"/>
    <w:rsid w:val="00B654A7"/>
    <w:rsid w:val="00B65B95"/>
    <w:rsid w:val="00B66652"/>
    <w:rsid w:val="00B666E5"/>
    <w:rsid w:val="00B67569"/>
    <w:rsid w:val="00B67B07"/>
    <w:rsid w:val="00B67BC7"/>
    <w:rsid w:val="00B67CF1"/>
    <w:rsid w:val="00B700FA"/>
    <w:rsid w:val="00B71258"/>
    <w:rsid w:val="00B7215F"/>
    <w:rsid w:val="00B72840"/>
    <w:rsid w:val="00B72FCF"/>
    <w:rsid w:val="00B735A5"/>
    <w:rsid w:val="00B74300"/>
    <w:rsid w:val="00B74401"/>
    <w:rsid w:val="00B7560C"/>
    <w:rsid w:val="00B75617"/>
    <w:rsid w:val="00B75983"/>
    <w:rsid w:val="00B761B3"/>
    <w:rsid w:val="00B763DB"/>
    <w:rsid w:val="00B7692A"/>
    <w:rsid w:val="00B76C6D"/>
    <w:rsid w:val="00B776BC"/>
    <w:rsid w:val="00B77AEA"/>
    <w:rsid w:val="00B77F60"/>
    <w:rsid w:val="00B81E5B"/>
    <w:rsid w:val="00B82E64"/>
    <w:rsid w:val="00B83973"/>
    <w:rsid w:val="00B86595"/>
    <w:rsid w:val="00B866C2"/>
    <w:rsid w:val="00B86AAD"/>
    <w:rsid w:val="00B9058F"/>
    <w:rsid w:val="00B90D82"/>
    <w:rsid w:val="00B9125D"/>
    <w:rsid w:val="00B91554"/>
    <w:rsid w:val="00B92507"/>
    <w:rsid w:val="00B928D7"/>
    <w:rsid w:val="00B937A3"/>
    <w:rsid w:val="00B93B42"/>
    <w:rsid w:val="00B93E9D"/>
    <w:rsid w:val="00B93EEB"/>
    <w:rsid w:val="00B94CBC"/>
    <w:rsid w:val="00B94EDB"/>
    <w:rsid w:val="00B96A77"/>
    <w:rsid w:val="00B96DB1"/>
    <w:rsid w:val="00B96E7C"/>
    <w:rsid w:val="00B97537"/>
    <w:rsid w:val="00B977D7"/>
    <w:rsid w:val="00BA0367"/>
    <w:rsid w:val="00BA0F51"/>
    <w:rsid w:val="00BA1B1F"/>
    <w:rsid w:val="00BA3737"/>
    <w:rsid w:val="00BA37EE"/>
    <w:rsid w:val="00BA3918"/>
    <w:rsid w:val="00BA3DD6"/>
    <w:rsid w:val="00BA410A"/>
    <w:rsid w:val="00BA4711"/>
    <w:rsid w:val="00BA4F6D"/>
    <w:rsid w:val="00BA541A"/>
    <w:rsid w:val="00BA59AA"/>
    <w:rsid w:val="00BB1120"/>
    <w:rsid w:val="00BB2BE5"/>
    <w:rsid w:val="00BB2CE3"/>
    <w:rsid w:val="00BB3482"/>
    <w:rsid w:val="00BB4443"/>
    <w:rsid w:val="00BB51D6"/>
    <w:rsid w:val="00BB56CB"/>
    <w:rsid w:val="00BB6071"/>
    <w:rsid w:val="00BB6293"/>
    <w:rsid w:val="00BB7388"/>
    <w:rsid w:val="00BB7DF8"/>
    <w:rsid w:val="00BC03A5"/>
    <w:rsid w:val="00BC0535"/>
    <w:rsid w:val="00BC2B01"/>
    <w:rsid w:val="00BC2EC7"/>
    <w:rsid w:val="00BC33C7"/>
    <w:rsid w:val="00BC3D08"/>
    <w:rsid w:val="00BC4CC7"/>
    <w:rsid w:val="00BC535C"/>
    <w:rsid w:val="00BC66EE"/>
    <w:rsid w:val="00BD059D"/>
    <w:rsid w:val="00BD11B0"/>
    <w:rsid w:val="00BD123E"/>
    <w:rsid w:val="00BD1A71"/>
    <w:rsid w:val="00BD1C7C"/>
    <w:rsid w:val="00BD2A00"/>
    <w:rsid w:val="00BD2B0E"/>
    <w:rsid w:val="00BD438A"/>
    <w:rsid w:val="00BD4428"/>
    <w:rsid w:val="00BD491B"/>
    <w:rsid w:val="00BD4EEE"/>
    <w:rsid w:val="00BD5E61"/>
    <w:rsid w:val="00BD5FA8"/>
    <w:rsid w:val="00BD6045"/>
    <w:rsid w:val="00BD663A"/>
    <w:rsid w:val="00BD6C5A"/>
    <w:rsid w:val="00BD6CE6"/>
    <w:rsid w:val="00BE12FD"/>
    <w:rsid w:val="00BE1763"/>
    <w:rsid w:val="00BE1810"/>
    <w:rsid w:val="00BE1B06"/>
    <w:rsid w:val="00BE1FC2"/>
    <w:rsid w:val="00BE3BB7"/>
    <w:rsid w:val="00BE4BB3"/>
    <w:rsid w:val="00BE4CF2"/>
    <w:rsid w:val="00BE7D02"/>
    <w:rsid w:val="00BF005E"/>
    <w:rsid w:val="00BF019A"/>
    <w:rsid w:val="00BF13CB"/>
    <w:rsid w:val="00BF1C7C"/>
    <w:rsid w:val="00BF25C6"/>
    <w:rsid w:val="00BF3588"/>
    <w:rsid w:val="00BF4C7E"/>
    <w:rsid w:val="00BF5F81"/>
    <w:rsid w:val="00BF703A"/>
    <w:rsid w:val="00BF723C"/>
    <w:rsid w:val="00BF7F98"/>
    <w:rsid w:val="00C005DC"/>
    <w:rsid w:val="00C016A0"/>
    <w:rsid w:val="00C017A7"/>
    <w:rsid w:val="00C020AF"/>
    <w:rsid w:val="00C03AC9"/>
    <w:rsid w:val="00C03DF9"/>
    <w:rsid w:val="00C04CD5"/>
    <w:rsid w:val="00C05643"/>
    <w:rsid w:val="00C05762"/>
    <w:rsid w:val="00C069DE"/>
    <w:rsid w:val="00C07325"/>
    <w:rsid w:val="00C07CA6"/>
    <w:rsid w:val="00C109AD"/>
    <w:rsid w:val="00C10B24"/>
    <w:rsid w:val="00C119F5"/>
    <w:rsid w:val="00C14676"/>
    <w:rsid w:val="00C149C3"/>
    <w:rsid w:val="00C15333"/>
    <w:rsid w:val="00C16335"/>
    <w:rsid w:val="00C1693A"/>
    <w:rsid w:val="00C16C5C"/>
    <w:rsid w:val="00C203BE"/>
    <w:rsid w:val="00C20934"/>
    <w:rsid w:val="00C209FE"/>
    <w:rsid w:val="00C213A4"/>
    <w:rsid w:val="00C21D64"/>
    <w:rsid w:val="00C25440"/>
    <w:rsid w:val="00C256E9"/>
    <w:rsid w:val="00C258F6"/>
    <w:rsid w:val="00C25A88"/>
    <w:rsid w:val="00C26223"/>
    <w:rsid w:val="00C26248"/>
    <w:rsid w:val="00C26B83"/>
    <w:rsid w:val="00C27479"/>
    <w:rsid w:val="00C2747F"/>
    <w:rsid w:val="00C301CF"/>
    <w:rsid w:val="00C30B7A"/>
    <w:rsid w:val="00C3128C"/>
    <w:rsid w:val="00C32872"/>
    <w:rsid w:val="00C339F2"/>
    <w:rsid w:val="00C33EB0"/>
    <w:rsid w:val="00C34419"/>
    <w:rsid w:val="00C349A7"/>
    <w:rsid w:val="00C34A08"/>
    <w:rsid w:val="00C34EA1"/>
    <w:rsid w:val="00C34EDF"/>
    <w:rsid w:val="00C36D73"/>
    <w:rsid w:val="00C37330"/>
    <w:rsid w:val="00C373E7"/>
    <w:rsid w:val="00C376BA"/>
    <w:rsid w:val="00C4075A"/>
    <w:rsid w:val="00C4077E"/>
    <w:rsid w:val="00C411E9"/>
    <w:rsid w:val="00C41C14"/>
    <w:rsid w:val="00C422A4"/>
    <w:rsid w:val="00C4265E"/>
    <w:rsid w:val="00C43704"/>
    <w:rsid w:val="00C4487F"/>
    <w:rsid w:val="00C4558F"/>
    <w:rsid w:val="00C4636A"/>
    <w:rsid w:val="00C46CA0"/>
    <w:rsid w:val="00C47688"/>
    <w:rsid w:val="00C517A0"/>
    <w:rsid w:val="00C5280D"/>
    <w:rsid w:val="00C5305B"/>
    <w:rsid w:val="00C535C5"/>
    <w:rsid w:val="00C53F82"/>
    <w:rsid w:val="00C54038"/>
    <w:rsid w:val="00C54FF1"/>
    <w:rsid w:val="00C55DA3"/>
    <w:rsid w:val="00C561A8"/>
    <w:rsid w:val="00C56619"/>
    <w:rsid w:val="00C57A64"/>
    <w:rsid w:val="00C60615"/>
    <w:rsid w:val="00C60FA7"/>
    <w:rsid w:val="00C61431"/>
    <w:rsid w:val="00C61F96"/>
    <w:rsid w:val="00C636BA"/>
    <w:rsid w:val="00C63BB8"/>
    <w:rsid w:val="00C65163"/>
    <w:rsid w:val="00C65F14"/>
    <w:rsid w:val="00C66BDD"/>
    <w:rsid w:val="00C670DA"/>
    <w:rsid w:val="00C67357"/>
    <w:rsid w:val="00C70726"/>
    <w:rsid w:val="00C71A39"/>
    <w:rsid w:val="00C71A62"/>
    <w:rsid w:val="00C71E6B"/>
    <w:rsid w:val="00C7249F"/>
    <w:rsid w:val="00C76434"/>
    <w:rsid w:val="00C766AD"/>
    <w:rsid w:val="00C7703E"/>
    <w:rsid w:val="00C805A8"/>
    <w:rsid w:val="00C81224"/>
    <w:rsid w:val="00C81671"/>
    <w:rsid w:val="00C82719"/>
    <w:rsid w:val="00C83A87"/>
    <w:rsid w:val="00C842B0"/>
    <w:rsid w:val="00C84FA6"/>
    <w:rsid w:val="00C84FCA"/>
    <w:rsid w:val="00C85102"/>
    <w:rsid w:val="00C8574F"/>
    <w:rsid w:val="00C865DA"/>
    <w:rsid w:val="00C86C3C"/>
    <w:rsid w:val="00C87600"/>
    <w:rsid w:val="00C877F3"/>
    <w:rsid w:val="00C905A8"/>
    <w:rsid w:val="00C91AC1"/>
    <w:rsid w:val="00C93047"/>
    <w:rsid w:val="00C93712"/>
    <w:rsid w:val="00C93A55"/>
    <w:rsid w:val="00C93BF6"/>
    <w:rsid w:val="00C94C3E"/>
    <w:rsid w:val="00C94CCB"/>
    <w:rsid w:val="00C952C1"/>
    <w:rsid w:val="00C964A2"/>
    <w:rsid w:val="00C9758E"/>
    <w:rsid w:val="00CA1195"/>
    <w:rsid w:val="00CA1872"/>
    <w:rsid w:val="00CA203F"/>
    <w:rsid w:val="00CA2458"/>
    <w:rsid w:val="00CA2939"/>
    <w:rsid w:val="00CA2E6E"/>
    <w:rsid w:val="00CA3632"/>
    <w:rsid w:val="00CA3CE6"/>
    <w:rsid w:val="00CA4356"/>
    <w:rsid w:val="00CA4709"/>
    <w:rsid w:val="00CA635A"/>
    <w:rsid w:val="00CA6F7F"/>
    <w:rsid w:val="00CA76E2"/>
    <w:rsid w:val="00CA787D"/>
    <w:rsid w:val="00CA78B8"/>
    <w:rsid w:val="00CB040C"/>
    <w:rsid w:val="00CB132B"/>
    <w:rsid w:val="00CB1C28"/>
    <w:rsid w:val="00CB1C93"/>
    <w:rsid w:val="00CB3B83"/>
    <w:rsid w:val="00CB41DC"/>
    <w:rsid w:val="00CB4938"/>
    <w:rsid w:val="00CB4CB6"/>
    <w:rsid w:val="00CB5325"/>
    <w:rsid w:val="00CB6521"/>
    <w:rsid w:val="00CB66F1"/>
    <w:rsid w:val="00CB6990"/>
    <w:rsid w:val="00CB6CB9"/>
    <w:rsid w:val="00CB762F"/>
    <w:rsid w:val="00CC2592"/>
    <w:rsid w:val="00CC2E6C"/>
    <w:rsid w:val="00CC2EC5"/>
    <w:rsid w:val="00CC3746"/>
    <w:rsid w:val="00CC3840"/>
    <w:rsid w:val="00CC3B1C"/>
    <w:rsid w:val="00CC409D"/>
    <w:rsid w:val="00CC50EE"/>
    <w:rsid w:val="00CC7A00"/>
    <w:rsid w:val="00CD0577"/>
    <w:rsid w:val="00CD05A9"/>
    <w:rsid w:val="00CD13E1"/>
    <w:rsid w:val="00CD2D35"/>
    <w:rsid w:val="00CD3706"/>
    <w:rsid w:val="00CD47B8"/>
    <w:rsid w:val="00CD679C"/>
    <w:rsid w:val="00CD7290"/>
    <w:rsid w:val="00CD7A40"/>
    <w:rsid w:val="00CE06CF"/>
    <w:rsid w:val="00CE0EF0"/>
    <w:rsid w:val="00CE2A49"/>
    <w:rsid w:val="00CE2BEE"/>
    <w:rsid w:val="00CE354C"/>
    <w:rsid w:val="00CE3888"/>
    <w:rsid w:val="00CE44C2"/>
    <w:rsid w:val="00CE4920"/>
    <w:rsid w:val="00CE4984"/>
    <w:rsid w:val="00CE6197"/>
    <w:rsid w:val="00CE6686"/>
    <w:rsid w:val="00CE6E61"/>
    <w:rsid w:val="00CE6FA2"/>
    <w:rsid w:val="00CE74C9"/>
    <w:rsid w:val="00CF2292"/>
    <w:rsid w:val="00CF2689"/>
    <w:rsid w:val="00CF2ACA"/>
    <w:rsid w:val="00CF3611"/>
    <w:rsid w:val="00CF6559"/>
    <w:rsid w:val="00D000A2"/>
    <w:rsid w:val="00D002B1"/>
    <w:rsid w:val="00D00759"/>
    <w:rsid w:val="00D034FF"/>
    <w:rsid w:val="00D04483"/>
    <w:rsid w:val="00D04840"/>
    <w:rsid w:val="00D0515D"/>
    <w:rsid w:val="00D06340"/>
    <w:rsid w:val="00D069CC"/>
    <w:rsid w:val="00D06CF9"/>
    <w:rsid w:val="00D07782"/>
    <w:rsid w:val="00D10473"/>
    <w:rsid w:val="00D11514"/>
    <w:rsid w:val="00D11B3B"/>
    <w:rsid w:val="00D11CE6"/>
    <w:rsid w:val="00D11F73"/>
    <w:rsid w:val="00D14AA7"/>
    <w:rsid w:val="00D15C49"/>
    <w:rsid w:val="00D16BB5"/>
    <w:rsid w:val="00D20577"/>
    <w:rsid w:val="00D20654"/>
    <w:rsid w:val="00D2095A"/>
    <w:rsid w:val="00D20EBB"/>
    <w:rsid w:val="00D21154"/>
    <w:rsid w:val="00D21CC9"/>
    <w:rsid w:val="00D225CF"/>
    <w:rsid w:val="00D2282D"/>
    <w:rsid w:val="00D228FC"/>
    <w:rsid w:val="00D238B6"/>
    <w:rsid w:val="00D238E7"/>
    <w:rsid w:val="00D2437A"/>
    <w:rsid w:val="00D2444B"/>
    <w:rsid w:val="00D24D7A"/>
    <w:rsid w:val="00D25152"/>
    <w:rsid w:val="00D25571"/>
    <w:rsid w:val="00D256EB"/>
    <w:rsid w:val="00D259A1"/>
    <w:rsid w:val="00D272C7"/>
    <w:rsid w:val="00D30296"/>
    <w:rsid w:val="00D302F2"/>
    <w:rsid w:val="00D30700"/>
    <w:rsid w:val="00D320A6"/>
    <w:rsid w:val="00D32D8F"/>
    <w:rsid w:val="00D33783"/>
    <w:rsid w:val="00D343A7"/>
    <w:rsid w:val="00D3489E"/>
    <w:rsid w:val="00D352FD"/>
    <w:rsid w:val="00D355B9"/>
    <w:rsid w:val="00D35816"/>
    <w:rsid w:val="00D364D0"/>
    <w:rsid w:val="00D36BEC"/>
    <w:rsid w:val="00D376F1"/>
    <w:rsid w:val="00D40758"/>
    <w:rsid w:val="00D41765"/>
    <w:rsid w:val="00D425CB"/>
    <w:rsid w:val="00D4289B"/>
    <w:rsid w:val="00D44C14"/>
    <w:rsid w:val="00D45A02"/>
    <w:rsid w:val="00D4651B"/>
    <w:rsid w:val="00D46FEB"/>
    <w:rsid w:val="00D4700F"/>
    <w:rsid w:val="00D5094A"/>
    <w:rsid w:val="00D50D53"/>
    <w:rsid w:val="00D5135B"/>
    <w:rsid w:val="00D5139C"/>
    <w:rsid w:val="00D520B1"/>
    <w:rsid w:val="00D521E7"/>
    <w:rsid w:val="00D56126"/>
    <w:rsid w:val="00D5620D"/>
    <w:rsid w:val="00D567C3"/>
    <w:rsid w:val="00D56F58"/>
    <w:rsid w:val="00D5711D"/>
    <w:rsid w:val="00D603F9"/>
    <w:rsid w:val="00D60ACD"/>
    <w:rsid w:val="00D614D3"/>
    <w:rsid w:val="00D61F95"/>
    <w:rsid w:val="00D6213B"/>
    <w:rsid w:val="00D621CD"/>
    <w:rsid w:val="00D63080"/>
    <w:rsid w:val="00D63EE9"/>
    <w:rsid w:val="00D64304"/>
    <w:rsid w:val="00D6473F"/>
    <w:rsid w:val="00D6529D"/>
    <w:rsid w:val="00D65729"/>
    <w:rsid w:val="00D66CB9"/>
    <w:rsid w:val="00D712A8"/>
    <w:rsid w:val="00D715A6"/>
    <w:rsid w:val="00D719B4"/>
    <w:rsid w:val="00D722B7"/>
    <w:rsid w:val="00D724AB"/>
    <w:rsid w:val="00D72A9D"/>
    <w:rsid w:val="00D7347D"/>
    <w:rsid w:val="00D738F1"/>
    <w:rsid w:val="00D7397D"/>
    <w:rsid w:val="00D73CD0"/>
    <w:rsid w:val="00D7410B"/>
    <w:rsid w:val="00D7443C"/>
    <w:rsid w:val="00D74B0E"/>
    <w:rsid w:val="00D7564F"/>
    <w:rsid w:val="00D765C0"/>
    <w:rsid w:val="00D775BB"/>
    <w:rsid w:val="00D77E3B"/>
    <w:rsid w:val="00D80D79"/>
    <w:rsid w:val="00D81647"/>
    <w:rsid w:val="00D824D1"/>
    <w:rsid w:val="00D83384"/>
    <w:rsid w:val="00D83B64"/>
    <w:rsid w:val="00D83FD0"/>
    <w:rsid w:val="00D840DC"/>
    <w:rsid w:val="00D84DB3"/>
    <w:rsid w:val="00D85764"/>
    <w:rsid w:val="00D857D1"/>
    <w:rsid w:val="00D876C8"/>
    <w:rsid w:val="00D90F85"/>
    <w:rsid w:val="00D91450"/>
    <w:rsid w:val="00D9276C"/>
    <w:rsid w:val="00D92E6D"/>
    <w:rsid w:val="00D93404"/>
    <w:rsid w:val="00D93496"/>
    <w:rsid w:val="00D944D6"/>
    <w:rsid w:val="00D95518"/>
    <w:rsid w:val="00D963C9"/>
    <w:rsid w:val="00D96745"/>
    <w:rsid w:val="00D968E9"/>
    <w:rsid w:val="00D971C8"/>
    <w:rsid w:val="00D97B2E"/>
    <w:rsid w:val="00DA0917"/>
    <w:rsid w:val="00DA2C8C"/>
    <w:rsid w:val="00DA2FF5"/>
    <w:rsid w:val="00DA3CB7"/>
    <w:rsid w:val="00DA3D07"/>
    <w:rsid w:val="00DA3EA2"/>
    <w:rsid w:val="00DA4C7D"/>
    <w:rsid w:val="00DA4CB8"/>
    <w:rsid w:val="00DA54D6"/>
    <w:rsid w:val="00DB0DAE"/>
    <w:rsid w:val="00DB11A4"/>
    <w:rsid w:val="00DB1208"/>
    <w:rsid w:val="00DB1432"/>
    <w:rsid w:val="00DB1457"/>
    <w:rsid w:val="00DB15FE"/>
    <w:rsid w:val="00DB2B2E"/>
    <w:rsid w:val="00DB2B43"/>
    <w:rsid w:val="00DB3F70"/>
    <w:rsid w:val="00DB4544"/>
    <w:rsid w:val="00DB5AEA"/>
    <w:rsid w:val="00DB620A"/>
    <w:rsid w:val="00DB647E"/>
    <w:rsid w:val="00DB666D"/>
    <w:rsid w:val="00DB7666"/>
    <w:rsid w:val="00DC06BD"/>
    <w:rsid w:val="00DC3575"/>
    <w:rsid w:val="00DC4B32"/>
    <w:rsid w:val="00DC67C9"/>
    <w:rsid w:val="00DC68F2"/>
    <w:rsid w:val="00DC6F49"/>
    <w:rsid w:val="00DC7351"/>
    <w:rsid w:val="00DC7B14"/>
    <w:rsid w:val="00DD0909"/>
    <w:rsid w:val="00DD0D3F"/>
    <w:rsid w:val="00DD199A"/>
    <w:rsid w:val="00DD2730"/>
    <w:rsid w:val="00DD2FCF"/>
    <w:rsid w:val="00DD3B87"/>
    <w:rsid w:val="00DD43AA"/>
    <w:rsid w:val="00DD4879"/>
    <w:rsid w:val="00DD54E8"/>
    <w:rsid w:val="00DD61E2"/>
    <w:rsid w:val="00DD6D37"/>
    <w:rsid w:val="00DD6E40"/>
    <w:rsid w:val="00DD7534"/>
    <w:rsid w:val="00DE161E"/>
    <w:rsid w:val="00DE20F0"/>
    <w:rsid w:val="00DE4262"/>
    <w:rsid w:val="00DE448E"/>
    <w:rsid w:val="00DE4D7D"/>
    <w:rsid w:val="00DE57DD"/>
    <w:rsid w:val="00DE5E7A"/>
    <w:rsid w:val="00DE6872"/>
    <w:rsid w:val="00DE6BBB"/>
    <w:rsid w:val="00DF0178"/>
    <w:rsid w:val="00DF0416"/>
    <w:rsid w:val="00DF0FDD"/>
    <w:rsid w:val="00DF1353"/>
    <w:rsid w:val="00DF16E6"/>
    <w:rsid w:val="00DF1A8C"/>
    <w:rsid w:val="00DF2AEB"/>
    <w:rsid w:val="00DF2C9D"/>
    <w:rsid w:val="00DF2E9D"/>
    <w:rsid w:val="00DF2ED1"/>
    <w:rsid w:val="00DF2F6A"/>
    <w:rsid w:val="00DF68C2"/>
    <w:rsid w:val="00DF6E3C"/>
    <w:rsid w:val="00DF70FB"/>
    <w:rsid w:val="00E00774"/>
    <w:rsid w:val="00E00B56"/>
    <w:rsid w:val="00E00DFC"/>
    <w:rsid w:val="00E027E9"/>
    <w:rsid w:val="00E02A53"/>
    <w:rsid w:val="00E03318"/>
    <w:rsid w:val="00E05B0A"/>
    <w:rsid w:val="00E109AA"/>
    <w:rsid w:val="00E114C4"/>
    <w:rsid w:val="00E11EFD"/>
    <w:rsid w:val="00E12443"/>
    <w:rsid w:val="00E1293B"/>
    <w:rsid w:val="00E129D4"/>
    <w:rsid w:val="00E12A18"/>
    <w:rsid w:val="00E12FBE"/>
    <w:rsid w:val="00E163EA"/>
    <w:rsid w:val="00E16C80"/>
    <w:rsid w:val="00E16EA2"/>
    <w:rsid w:val="00E17692"/>
    <w:rsid w:val="00E17F4B"/>
    <w:rsid w:val="00E227A5"/>
    <w:rsid w:val="00E22896"/>
    <w:rsid w:val="00E23E89"/>
    <w:rsid w:val="00E2550D"/>
    <w:rsid w:val="00E25552"/>
    <w:rsid w:val="00E259CF"/>
    <w:rsid w:val="00E26128"/>
    <w:rsid w:val="00E26246"/>
    <w:rsid w:val="00E2770C"/>
    <w:rsid w:val="00E27DAE"/>
    <w:rsid w:val="00E27E06"/>
    <w:rsid w:val="00E30742"/>
    <w:rsid w:val="00E312D9"/>
    <w:rsid w:val="00E31FCE"/>
    <w:rsid w:val="00E3374B"/>
    <w:rsid w:val="00E33C61"/>
    <w:rsid w:val="00E36160"/>
    <w:rsid w:val="00E36564"/>
    <w:rsid w:val="00E369C8"/>
    <w:rsid w:val="00E36B71"/>
    <w:rsid w:val="00E40928"/>
    <w:rsid w:val="00E40B0D"/>
    <w:rsid w:val="00E413CE"/>
    <w:rsid w:val="00E44588"/>
    <w:rsid w:val="00E448EF"/>
    <w:rsid w:val="00E44C79"/>
    <w:rsid w:val="00E465C4"/>
    <w:rsid w:val="00E50139"/>
    <w:rsid w:val="00E502D8"/>
    <w:rsid w:val="00E50ACB"/>
    <w:rsid w:val="00E5277F"/>
    <w:rsid w:val="00E531FF"/>
    <w:rsid w:val="00E53BDC"/>
    <w:rsid w:val="00E55374"/>
    <w:rsid w:val="00E55F32"/>
    <w:rsid w:val="00E56033"/>
    <w:rsid w:val="00E567FF"/>
    <w:rsid w:val="00E5686D"/>
    <w:rsid w:val="00E57969"/>
    <w:rsid w:val="00E60153"/>
    <w:rsid w:val="00E60667"/>
    <w:rsid w:val="00E6114B"/>
    <w:rsid w:val="00E62142"/>
    <w:rsid w:val="00E6217D"/>
    <w:rsid w:val="00E62E93"/>
    <w:rsid w:val="00E633E5"/>
    <w:rsid w:val="00E6473C"/>
    <w:rsid w:val="00E66F40"/>
    <w:rsid w:val="00E674FD"/>
    <w:rsid w:val="00E705F9"/>
    <w:rsid w:val="00E7070D"/>
    <w:rsid w:val="00E70AB1"/>
    <w:rsid w:val="00E71EC2"/>
    <w:rsid w:val="00E7238A"/>
    <w:rsid w:val="00E72BF4"/>
    <w:rsid w:val="00E7356D"/>
    <w:rsid w:val="00E74AC3"/>
    <w:rsid w:val="00E7516E"/>
    <w:rsid w:val="00E76BC7"/>
    <w:rsid w:val="00E7706E"/>
    <w:rsid w:val="00E7792F"/>
    <w:rsid w:val="00E80229"/>
    <w:rsid w:val="00E81ACD"/>
    <w:rsid w:val="00E835F5"/>
    <w:rsid w:val="00E83640"/>
    <w:rsid w:val="00E848A2"/>
    <w:rsid w:val="00E850B6"/>
    <w:rsid w:val="00E8554D"/>
    <w:rsid w:val="00E856D4"/>
    <w:rsid w:val="00E858B6"/>
    <w:rsid w:val="00E87097"/>
    <w:rsid w:val="00E90EA8"/>
    <w:rsid w:val="00E91D3D"/>
    <w:rsid w:val="00E91ED4"/>
    <w:rsid w:val="00E921B7"/>
    <w:rsid w:val="00E92C6B"/>
    <w:rsid w:val="00E945B7"/>
    <w:rsid w:val="00E9557A"/>
    <w:rsid w:val="00E955E7"/>
    <w:rsid w:val="00E95C5B"/>
    <w:rsid w:val="00E96970"/>
    <w:rsid w:val="00E976A9"/>
    <w:rsid w:val="00E97E7A"/>
    <w:rsid w:val="00E97F87"/>
    <w:rsid w:val="00EA03A0"/>
    <w:rsid w:val="00EA03F6"/>
    <w:rsid w:val="00EA0D73"/>
    <w:rsid w:val="00EA0DFD"/>
    <w:rsid w:val="00EA0E05"/>
    <w:rsid w:val="00EA1BF9"/>
    <w:rsid w:val="00EA2026"/>
    <w:rsid w:val="00EA2BF8"/>
    <w:rsid w:val="00EA2E54"/>
    <w:rsid w:val="00EA30F0"/>
    <w:rsid w:val="00EA3B87"/>
    <w:rsid w:val="00EA44DF"/>
    <w:rsid w:val="00EA4D4F"/>
    <w:rsid w:val="00EA55A1"/>
    <w:rsid w:val="00EA6030"/>
    <w:rsid w:val="00EA62F6"/>
    <w:rsid w:val="00EA6B16"/>
    <w:rsid w:val="00EA7031"/>
    <w:rsid w:val="00EA705B"/>
    <w:rsid w:val="00EA722D"/>
    <w:rsid w:val="00EA777B"/>
    <w:rsid w:val="00EA7856"/>
    <w:rsid w:val="00EA78C9"/>
    <w:rsid w:val="00EA7992"/>
    <w:rsid w:val="00EB0587"/>
    <w:rsid w:val="00EB068C"/>
    <w:rsid w:val="00EB0FFC"/>
    <w:rsid w:val="00EB235F"/>
    <w:rsid w:val="00EB29FC"/>
    <w:rsid w:val="00EB2A81"/>
    <w:rsid w:val="00EB3273"/>
    <w:rsid w:val="00EB3946"/>
    <w:rsid w:val="00EB3E9C"/>
    <w:rsid w:val="00EB44B7"/>
    <w:rsid w:val="00EB63FB"/>
    <w:rsid w:val="00EC0621"/>
    <w:rsid w:val="00EC09C0"/>
    <w:rsid w:val="00EC17EC"/>
    <w:rsid w:val="00EC20D1"/>
    <w:rsid w:val="00EC3498"/>
    <w:rsid w:val="00EC3F1B"/>
    <w:rsid w:val="00EC4165"/>
    <w:rsid w:val="00EC4622"/>
    <w:rsid w:val="00EC50F8"/>
    <w:rsid w:val="00EC5CB8"/>
    <w:rsid w:val="00EC6614"/>
    <w:rsid w:val="00EC6D39"/>
    <w:rsid w:val="00EC7FF5"/>
    <w:rsid w:val="00ED0117"/>
    <w:rsid w:val="00ED113D"/>
    <w:rsid w:val="00ED12C5"/>
    <w:rsid w:val="00ED12CE"/>
    <w:rsid w:val="00ED1794"/>
    <w:rsid w:val="00ED2A4C"/>
    <w:rsid w:val="00ED3FB7"/>
    <w:rsid w:val="00ED4E00"/>
    <w:rsid w:val="00ED50EC"/>
    <w:rsid w:val="00ED581B"/>
    <w:rsid w:val="00ED5A53"/>
    <w:rsid w:val="00ED7295"/>
    <w:rsid w:val="00EE0209"/>
    <w:rsid w:val="00EE09D0"/>
    <w:rsid w:val="00EE0FB7"/>
    <w:rsid w:val="00EE20F7"/>
    <w:rsid w:val="00EE219D"/>
    <w:rsid w:val="00EE34B9"/>
    <w:rsid w:val="00EE4199"/>
    <w:rsid w:val="00EE56F3"/>
    <w:rsid w:val="00EE5BF1"/>
    <w:rsid w:val="00EE6CF6"/>
    <w:rsid w:val="00EE726E"/>
    <w:rsid w:val="00EF15C7"/>
    <w:rsid w:val="00EF29C0"/>
    <w:rsid w:val="00EF2C47"/>
    <w:rsid w:val="00EF318E"/>
    <w:rsid w:val="00EF4B85"/>
    <w:rsid w:val="00EF522D"/>
    <w:rsid w:val="00EF6E0D"/>
    <w:rsid w:val="00EF7440"/>
    <w:rsid w:val="00EF7ADC"/>
    <w:rsid w:val="00EF7BC3"/>
    <w:rsid w:val="00F00756"/>
    <w:rsid w:val="00F00AD7"/>
    <w:rsid w:val="00F00CF9"/>
    <w:rsid w:val="00F01041"/>
    <w:rsid w:val="00F03842"/>
    <w:rsid w:val="00F03F97"/>
    <w:rsid w:val="00F04927"/>
    <w:rsid w:val="00F06888"/>
    <w:rsid w:val="00F06B0A"/>
    <w:rsid w:val="00F06B5C"/>
    <w:rsid w:val="00F07654"/>
    <w:rsid w:val="00F076B5"/>
    <w:rsid w:val="00F11FA5"/>
    <w:rsid w:val="00F1279A"/>
    <w:rsid w:val="00F12F8F"/>
    <w:rsid w:val="00F132EE"/>
    <w:rsid w:val="00F13879"/>
    <w:rsid w:val="00F138AA"/>
    <w:rsid w:val="00F13AC0"/>
    <w:rsid w:val="00F13B8A"/>
    <w:rsid w:val="00F1428A"/>
    <w:rsid w:val="00F1476C"/>
    <w:rsid w:val="00F159FA"/>
    <w:rsid w:val="00F16335"/>
    <w:rsid w:val="00F16800"/>
    <w:rsid w:val="00F20664"/>
    <w:rsid w:val="00F206F6"/>
    <w:rsid w:val="00F208D6"/>
    <w:rsid w:val="00F214B8"/>
    <w:rsid w:val="00F21A21"/>
    <w:rsid w:val="00F21A4C"/>
    <w:rsid w:val="00F21C5F"/>
    <w:rsid w:val="00F21E10"/>
    <w:rsid w:val="00F22B8E"/>
    <w:rsid w:val="00F22DCC"/>
    <w:rsid w:val="00F235E6"/>
    <w:rsid w:val="00F23867"/>
    <w:rsid w:val="00F23AC2"/>
    <w:rsid w:val="00F242FD"/>
    <w:rsid w:val="00F24F0F"/>
    <w:rsid w:val="00F25050"/>
    <w:rsid w:val="00F25EAF"/>
    <w:rsid w:val="00F26D66"/>
    <w:rsid w:val="00F27BA6"/>
    <w:rsid w:val="00F3141A"/>
    <w:rsid w:val="00F31913"/>
    <w:rsid w:val="00F330B6"/>
    <w:rsid w:val="00F34817"/>
    <w:rsid w:val="00F3523D"/>
    <w:rsid w:val="00F356C8"/>
    <w:rsid w:val="00F35726"/>
    <w:rsid w:val="00F35B94"/>
    <w:rsid w:val="00F35CFB"/>
    <w:rsid w:val="00F3604C"/>
    <w:rsid w:val="00F36CBE"/>
    <w:rsid w:val="00F37833"/>
    <w:rsid w:val="00F37AF2"/>
    <w:rsid w:val="00F37D5E"/>
    <w:rsid w:val="00F408FB"/>
    <w:rsid w:val="00F4107F"/>
    <w:rsid w:val="00F41349"/>
    <w:rsid w:val="00F414E2"/>
    <w:rsid w:val="00F41746"/>
    <w:rsid w:val="00F422D4"/>
    <w:rsid w:val="00F424AB"/>
    <w:rsid w:val="00F42BFE"/>
    <w:rsid w:val="00F42D6F"/>
    <w:rsid w:val="00F42F56"/>
    <w:rsid w:val="00F4411C"/>
    <w:rsid w:val="00F44268"/>
    <w:rsid w:val="00F44F6D"/>
    <w:rsid w:val="00F45EB7"/>
    <w:rsid w:val="00F46289"/>
    <w:rsid w:val="00F4689E"/>
    <w:rsid w:val="00F46A08"/>
    <w:rsid w:val="00F46E7E"/>
    <w:rsid w:val="00F47018"/>
    <w:rsid w:val="00F4722D"/>
    <w:rsid w:val="00F508F6"/>
    <w:rsid w:val="00F50ADC"/>
    <w:rsid w:val="00F50EB2"/>
    <w:rsid w:val="00F511C6"/>
    <w:rsid w:val="00F5123A"/>
    <w:rsid w:val="00F51E61"/>
    <w:rsid w:val="00F51F8B"/>
    <w:rsid w:val="00F526C5"/>
    <w:rsid w:val="00F5357E"/>
    <w:rsid w:val="00F53EA6"/>
    <w:rsid w:val="00F53F04"/>
    <w:rsid w:val="00F552EC"/>
    <w:rsid w:val="00F56EEA"/>
    <w:rsid w:val="00F57056"/>
    <w:rsid w:val="00F5758F"/>
    <w:rsid w:val="00F57AB2"/>
    <w:rsid w:val="00F57BBB"/>
    <w:rsid w:val="00F60508"/>
    <w:rsid w:val="00F62B83"/>
    <w:rsid w:val="00F63958"/>
    <w:rsid w:val="00F655EF"/>
    <w:rsid w:val="00F67B6C"/>
    <w:rsid w:val="00F70520"/>
    <w:rsid w:val="00F706E8"/>
    <w:rsid w:val="00F70FAA"/>
    <w:rsid w:val="00F72910"/>
    <w:rsid w:val="00F72DE0"/>
    <w:rsid w:val="00F74D91"/>
    <w:rsid w:val="00F750A1"/>
    <w:rsid w:val="00F75810"/>
    <w:rsid w:val="00F75F2C"/>
    <w:rsid w:val="00F75F6A"/>
    <w:rsid w:val="00F7601C"/>
    <w:rsid w:val="00F76896"/>
    <w:rsid w:val="00F768D4"/>
    <w:rsid w:val="00F779B3"/>
    <w:rsid w:val="00F81840"/>
    <w:rsid w:val="00F81CF3"/>
    <w:rsid w:val="00F82CAC"/>
    <w:rsid w:val="00F84E50"/>
    <w:rsid w:val="00F8527A"/>
    <w:rsid w:val="00F857B1"/>
    <w:rsid w:val="00F86105"/>
    <w:rsid w:val="00F86A17"/>
    <w:rsid w:val="00F86C77"/>
    <w:rsid w:val="00F86C8D"/>
    <w:rsid w:val="00F86FB2"/>
    <w:rsid w:val="00F901A4"/>
    <w:rsid w:val="00F9165C"/>
    <w:rsid w:val="00F92487"/>
    <w:rsid w:val="00F9282E"/>
    <w:rsid w:val="00F92A0E"/>
    <w:rsid w:val="00F9366F"/>
    <w:rsid w:val="00F93A55"/>
    <w:rsid w:val="00F93A67"/>
    <w:rsid w:val="00F93C9F"/>
    <w:rsid w:val="00F9416F"/>
    <w:rsid w:val="00F9424E"/>
    <w:rsid w:val="00F94272"/>
    <w:rsid w:val="00F94E40"/>
    <w:rsid w:val="00F951A6"/>
    <w:rsid w:val="00F9556C"/>
    <w:rsid w:val="00F95CE1"/>
    <w:rsid w:val="00F96A26"/>
    <w:rsid w:val="00F97B27"/>
    <w:rsid w:val="00F97DC4"/>
    <w:rsid w:val="00F97F46"/>
    <w:rsid w:val="00FA0D16"/>
    <w:rsid w:val="00FA2DA8"/>
    <w:rsid w:val="00FA2FEC"/>
    <w:rsid w:val="00FA3FCC"/>
    <w:rsid w:val="00FA599B"/>
    <w:rsid w:val="00FA5A1A"/>
    <w:rsid w:val="00FA5AA1"/>
    <w:rsid w:val="00FA68C0"/>
    <w:rsid w:val="00FA7094"/>
    <w:rsid w:val="00FA7E41"/>
    <w:rsid w:val="00FB0B99"/>
    <w:rsid w:val="00FB0EA3"/>
    <w:rsid w:val="00FB1484"/>
    <w:rsid w:val="00FB24B9"/>
    <w:rsid w:val="00FB27F5"/>
    <w:rsid w:val="00FB28C1"/>
    <w:rsid w:val="00FB2FFE"/>
    <w:rsid w:val="00FB438D"/>
    <w:rsid w:val="00FB4586"/>
    <w:rsid w:val="00FB476C"/>
    <w:rsid w:val="00FB47DB"/>
    <w:rsid w:val="00FB545E"/>
    <w:rsid w:val="00FB5939"/>
    <w:rsid w:val="00FB65F9"/>
    <w:rsid w:val="00FB665D"/>
    <w:rsid w:val="00FB7098"/>
    <w:rsid w:val="00FB789B"/>
    <w:rsid w:val="00FC1055"/>
    <w:rsid w:val="00FC116B"/>
    <w:rsid w:val="00FC1176"/>
    <w:rsid w:val="00FC1FBC"/>
    <w:rsid w:val="00FC20DE"/>
    <w:rsid w:val="00FC32D6"/>
    <w:rsid w:val="00FC33C1"/>
    <w:rsid w:val="00FC43F8"/>
    <w:rsid w:val="00FC50A6"/>
    <w:rsid w:val="00FC5321"/>
    <w:rsid w:val="00FC69D8"/>
    <w:rsid w:val="00FC7889"/>
    <w:rsid w:val="00FC7B5E"/>
    <w:rsid w:val="00FC7D5C"/>
    <w:rsid w:val="00FC7F12"/>
    <w:rsid w:val="00FD00C2"/>
    <w:rsid w:val="00FD2604"/>
    <w:rsid w:val="00FD2BAB"/>
    <w:rsid w:val="00FD3B7F"/>
    <w:rsid w:val="00FD45CB"/>
    <w:rsid w:val="00FD6541"/>
    <w:rsid w:val="00FD66DF"/>
    <w:rsid w:val="00FD6D68"/>
    <w:rsid w:val="00FD7290"/>
    <w:rsid w:val="00FE0B4A"/>
    <w:rsid w:val="00FE1420"/>
    <w:rsid w:val="00FE1EA0"/>
    <w:rsid w:val="00FE2D8C"/>
    <w:rsid w:val="00FE2DAA"/>
    <w:rsid w:val="00FE30D9"/>
    <w:rsid w:val="00FE3F98"/>
    <w:rsid w:val="00FE43F3"/>
    <w:rsid w:val="00FE460C"/>
    <w:rsid w:val="00FE54B1"/>
    <w:rsid w:val="00FE5CC4"/>
    <w:rsid w:val="00FE6128"/>
    <w:rsid w:val="00FE7042"/>
    <w:rsid w:val="00FF0AC6"/>
    <w:rsid w:val="00FF0E03"/>
    <w:rsid w:val="00FF0F82"/>
    <w:rsid w:val="00FF135A"/>
    <w:rsid w:val="00FF1967"/>
    <w:rsid w:val="00FF245F"/>
    <w:rsid w:val="00FF30BA"/>
    <w:rsid w:val="00FF4AF0"/>
    <w:rsid w:val="00FF5573"/>
    <w:rsid w:val="00FF560B"/>
    <w:rsid w:val="00FF6C4E"/>
    <w:rsid w:val="00FF6F32"/>
    <w:rsid w:val="01381A68"/>
    <w:rsid w:val="013E6CA1"/>
    <w:rsid w:val="013F2982"/>
    <w:rsid w:val="014B3B60"/>
    <w:rsid w:val="0170606B"/>
    <w:rsid w:val="01805B28"/>
    <w:rsid w:val="01862336"/>
    <w:rsid w:val="01AC27AA"/>
    <w:rsid w:val="01D718D3"/>
    <w:rsid w:val="01FA4378"/>
    <w:rsid w:val="021401FA"/>
    <w:rsid w:val="02471AFD"/>
    <w:rsid w:val="025D2470"/>
    <w:rsid w:val="02B240F8"/>
    <w:rsid w:val="02C43119"/>
    <w:rsid w:val="02E11689"/>
    <w:rsid w:val="02F361E7"/>
    <w:rsid w:val="030B5E06"/>
    <w:rsid w:val="031318F5"/>
    <w:rsid w:val="03193873"/>
    <w:rsid w:val="03261F60"/>
    <w:rsid w:val="03356B23"/>
    <w:rsid w:val="033A3457"/>
    <w:rsid w:val="035A6E90"/>
    <w:rsid w:val="035C598D"/>
    <w:rsid w:val="035D2013"/>
    <w:rsid w:val="036738D3"/>
    <w:rsid w:val="036A38A7"/>
    <w:rsid w:val="037554BB"/>
    <w:rsid w:val="038930D5"/>
    <w:rsid w:val="03BA7D4B"/>
    <w:rsid w:val="03CE34ED"/>
    <w:rsid w:val="03CF7CAE"/>
    <w:rsid w:val="03D13E6B"/>
    <w:rsid w:val="03EF662C"/>
    <w:rsid w:val="03F77694"/>
    <w:rsid w:val="04171254"/>
    <w:rsid w:val="0434373F"/>
    <w:rsid w:val="04477003"/>
    <w:rsid w:val="04483295"/>
    <w:rsid w:val="044E4FBA"/>
    <w:rsid w:val="0454738E"/>
    <w:rsid w:val="045A62E7"/>
    <w:rsid w:val="047F40B8"/>
    <w:rsid w:val="04915BE8"/>
    <w:rsid w:val="04D17976"/>
    <w:rsid w:val="04EE4ABD"/>
    <w:rsid w:val="050A70F0"/>
    <w:rsid w:val="051358AD"/>
    <w:rsid w:val="05172669"/>
    <w:rsid w:val="05186B93"/>
    <w:rsid w:val="05252D7C"/>
    <w:rsid w:val="053729A5"/>
    <w:rsid w:val="054F3681"/>
    <w:rsid w:val="055943D7"/>
    <w:rsid w:val="056004DF"/>
    <w:rsid w:val="05BF5373"/>
    <w:rsid w:val="05D9186B"/>
    <w:rsid w:val="05DD751D"/>
    <w:rsid w:val="06040FED"/>
    <w:rsid w:val="0627238D"/>
    <w:rsid w:val="062D7C32"/>
    <w:rsid w:val="06421E6F"/>
    <w:rsid w:val="066B25E0"/>
    <w:rsid w:val="066D20D8"/>
    <w:rsid w:val="067522BE"/>
    <w:rsid w:val="068E2DC2"/>
    <w:rsid w:val="06BE570C"/>
    <w:rsid w:val="06ED7393"/>
    <w:rsid w:val="070304BB"/>
    <w:rsid w:val="07307800"/>
    <w:rsid w:val="07335B50"/>
    <w:rsid w:val="07537F98"/>
    <w:rsid w:val="0766239D"/>
    <w:rsid w:val="076E03B1"/>
    <w:rsid w:val="078A46D9"/>
    <w:rsid w:val="07B83EB3"/>
    <w:rsid w:val="07BD69FF"/>
    <w:rsid w:val="07C531CC"/>
    <w:rsid w:val="07C95455"/>
    <w:rsid w:val="07F00BFE"/>
    <w:rsid w:val="07FD6BA9"/>
    <w:rsid w:val="08056925"/>
    <w:rsid w:val="08070CE7"/>
    <w:rsid w:val="08420F27"/>
    <w:rsid w:val="08485B98"/>
    <w:rsid w:val="08780BDF"/>
    <w:rsid w:val="089D2EAF"/>
    <w:rsid w:val="08A53371"/>
    <w:rsid w:val="08A81825"/>
    <w:rsid w:val="08AE189B"/>
    <w:rsid w:val="08BC65C9"/>
    <w:rsid w:val="08DC1382"/>
    <w:rsid w:val="08F11B50"/>
    <w:rsid w:val="08F36906"/>
    <w:rsid w:val="08F752EF"/>
    <w:rsid w:val="091910A6"/>
    <w:rsid w:val="09452A22"/>
    <w:rsid w:val="09741A2E"/>
    <w:rsid w:val="09A82D92"/>
    <w:rsid w:val="09BD19FE"/>
    <w:rsid w:val="09BF43D8"/>
    <w:rsid w:val="09CC13A3"/>
    <w:rsid w:val="09D42518"/>
    <w:rsid w:val="09D718F0"/>
    <w:rsid w:val="09DD0E5F"/>
    <w:rsid w:val="09EA50CF"/>
    <w:rsid w:val="0A195C1F"/>
    <w:rsid w:val="0A2707B8"/>
    <w:rsid w:val="0A3906D2"/>
    <w:rsid w:val="0A3A0709"/>
    <w:rsid w:val="0A590C06"/>
    <w:rsid w:val="0A5C1E39"/>
    <w:rsid w:val="0AC076B1"/>
    <w:rsid w:val="0B2710D1"/>
    <w:rsid w:val="0B304DD3"/>
    <w:rsid w:val="0B3B6FFB"/>
    <w:rsid w:val="0B446D91"/>
    <w:rsid w:val="0B82196E"/>
    <w:rsid w:val="0B8B5005"/>
    <w:rsid w:val="0B91045B"/>
    <w:rsid w:val="0B9E129E"/>
    <w:rsid w:val="0BB856CB"/>
    <w:rsid w:val="0BDE6804"/>
    <w:rsid w:val="0BFF2A2F"/>
    <w:rsid w:val="0C13125D"/>
    <w:rsid w:val="0C330FEB"/>
    <w:rsid w:val="0C473FC2"/>
    <w:rsid w:val="0C556D38"/>
    <w:rsid w:val="0C925066"/>
    <w:rsid w:val="0CEB6D41"/>
    <w:rsid w:val="0CF263BE"/>
    <w:rsid w:val="0CF26955"/>
    <w:rsid w:val="0D1158FC"/>
    <w:rsid w:val="0D1F75A0"/>
    <w:rsid w:val="0D3476EE"/>
    <w:rsid w:val="0D7B13B9"/>
    <w:rsid w:val="0D8357B2"/>
    <w:rsid w:val="0D8A1D43"/>
    <w:rsid w:val="0DB8581F"/>
    <w:rsid w:val="0DBD1298"/>
    <w:rsid w:val="0DCE749E"/>
    <w:rsid w:val="0E1D0C5D"/>
    <w:rsid w:val="0E280947"/>
    <w:rsid w:val="0E5A76D0"/>
    <w:rsid w:val="0E5F0E82"/>
    <w:rsid w:val="0E7D7202"/>
    <w:rsid w:val="0EC173B7"/>
    <w:rsid w:val="0F0D7CC0"/>
    <w:rsid w:val="0F120924"/>
    <w:rsid w:val="0F216961"/>
    <w:rsid w:val="0F356C3A"/>
    <w:rsid w:val="0F3C5702"/>
    <w:rsid w:val="0FA32368"/>
    <w:rsid w:val="0FA4174E"/>
    <w:rsid w:val="0FD05800"/>
    <w:rsid w:val="0FE01140"/>
    <w:rsid w:val="0FE92B27"/>
    <w:rsid w:val="0FED0AD1"/>
    <w:rsid w:val="102548A1"/>
    <w:rsid w:val="102B67C9"/>
    <w:rsid w:val="103569F1"/>
    <w:rsid w:val="105C79BE"/>
    <w:rsid w:val="1061452E"/>
    <w:rsid w:val="10721F53"/>
    <w:rsid w:val="109A4ABC"/>
    <w:rsid w:val="10A77A62"/>
    <w:rsid w:val="10E243C3"/>
    <w:rsid w:val="11080D80"/>
    <w:rsid w:val="116C69E3"/>
    <w:rsid w:val="118E6F3B"/>
    <w:rsid w:val="11904838"/>
    <w:rsid w:val="119F3BD4"/>
    <w:rsid w:val="11C21706"/>
    <w:rsid w:val="11D25503"/>
    <w:rsid w:val="1205799E"/>
    <w:rsid w:val="12232661"/>
    <w:rsid w:val="12566CDA"/>
    <w:rsid w:val="127A24AA"/>
    <w:rsid w:val="127A7A0A"/>
    <w:rsid w:val="12B972A9"/>
    <w:rsid w:val="12E01CA9"/>
    <w:rsid w:val="12E16087"/>
    <w:rsid w:val="12E93494"/>
    <w:rsid w:val="12E94AAF"/>
    <w:rsid w:val="13061A0B"/>
    <w:rsid w:val="130E43F8"/>
    <w:rsid w:val="131C29E9"/>
    <w:rsid w:val="133B7A1B"/>
    <w:rsid w:val="13673EFD"/>
    <w:rsid w:val="136A57AA"/>
    <w:rsid w:val="13923E44"/>
    <w:rsid w:val="139748B1"/>
    <w:rsid w:val="13BA5C90"/>
    <w:rsid w:val="14113D73"/>
    <w:rsid w:val="1441257D"/>
    <w:rsid w:val="14453837"/>
    <w:rsid w:val="147F6DAD"/>
    <w:rsid w:val="14957B16"/>
    <w:rsid w:val="14BD6892"/>
    <w:rsid w:val="14C10168"/>
    <w:rsid w:val="150E4BF1"/>
    <w:rsid w:val="15284D87"/>
    <w:rsid w:val="152A4E91"/>
    <w:rsid w:val="152B2957"/>
    <w:rsid w:val="154C2C56"/>
    <w:rsid w:val="156C754D"/>
    <w:rsid w:val="157C124F"/>
    <w:rsid w:val="157E7477"/>
    <w:rsid w:val="15910185"/>
    <w:rsid w:val="159D1783"/>
    <w:rsid w:val="159E0B75"/>
    <w:rsid w:val="15AD3AA8"/>
    <w:rsid w:val="15B8435E"/>
    <w:rsid w:val="160F623F"/>
    <w:rsid w:val="16133C04"/>
    <w:rsid w:val="16184950"/>
    <w:rsid w:val="162D1072"/>
    <w:rsid w:val="166B08E1"/>
    <w:rsid w:val="16777156"/>
    <w:rsid w:val="169B318D"/>
    <w:rsid w:val="16DA1216"/>
    <w:rsid w:val="16DE7B91"/>
    <w:rsid w:val="16E31300"/>
    <w:rsid w:val="16E85F22"/>
    <w:rsid w:val="16F96EF1"/>
    <w:rsid w:val="170654D2"/>
    <w:rsid w:val="1721100D"/>
    <w:rsid w:val="17557D6A"/>
    <w:rsid w:val="17581A59"/>
    <w:rsid w:val="17630A42"/>
    <w:rsid w:val="1784734F"/>
    <w:rsid w:val="179643FF"/>
    <w:rsid w:val="17D41AEF"/>
    <w:rsid w:val="18216F24"/>
    <w:rsid w:val="183C2571"/>
    <w:rsid w:val="184A4865"/>
    <w:rsid w:val="18E00334"/>
    <w:rsid w:val="1910462E"/>
    <w:rsid w:val="19193B45"/>
    <w:rsid w:val="191D0ED2"/>
    <w:rsid w:val="19254F16"/>
    <w:rsid w:val="194670C7"/>
    <w:rsid w:val="196C2D81"/>
    <w:rsid w:val="197C1B03"/>
    <w:rsid w:val="199A0CE9"/>
    <w:rsid w:val="199B08D0"/>
    <w:rsid w:val="19AC30A1"/>
    <w:rsid w:val="19C31523"/>
    <w:rsid w:val="19FB75B6"/>
    <w:rsid w:val="1A05162B"/>
    <w:rsid w:val="1A2A4D7A"/>
    <w:rsid w:val="1A2E1582"/>
    <w:rsid w:val="1A4646AB"/>
    <w:rsid w:val="1A4A782D"/>
    <w:rsid w:val="1A4F3CB5"/>
    <w:rsid w:val="1AB232EA"/>
    <w:rsid w:val="1ABC2028"/>
    <w:rsid w:val="1ABD715D"/>
    <w:rsid w:val="1AC64ECD"/>
    <w:rsid w:val="1B0A43E8"/>
    <w:rsid w:val="1B4E165A"/>
    <w:rsid w:val="1B531365"/>
    <w:rsid w:val="1B754A9E"/>
    <w:rsid w:val="1B942AC4"/>
    <w:rsid w:val="1BBA05FB"/>
    <w:rsid w:val="1BEB27DD"/>
    <w:rsid w:val="1C296EC1"/>
    <w:rsid w:val="1C79149A"/>
    <w:rsid w:val="1CA05783"/>
    <w:rsid w:val="1CB347A4"/>
    <w:rsid w:val="1CFE13A0"/>
    <w:rsid w:val="1D204952"/>
    <w:rsid w:val="1D3D4484"/>
    <w:rsid w:val="1D47148F"/>
    <w:rsid w:val="1D5B3210"/>
    <w:rsid w:val="1D6B1FBA"/>
    <w:rsid w:val="1D7C11BF"/>
    <w:rsid w:val="1D882867"/>
    <w:rsid w:val="1DB12306"/>
    <w:rsid w:val="1E2D0F6B"/>
    <w:rsid w:val="1E2E1A0C"/>
    <w:rsid w:val="1E630B22"/>
    <w:rsid w:val="1E6A24FD"/>
    <w:rsid w:val="1E9C30A0"/>
    <w:rsid w:val="1EC23461"/>
    <w:rsid w:val="1ECF0AC6"/>
    <w:rsid w:val="1EDD63E6"/>
    <w:rsid w:val="1F096E77"/>
    <w:rsid w:val="1F252A0B"/>
    <w:rsid w:val="1F3A2718"/>
    <w:rsid w:val="1F651895"/>
    <w:rsid w:val="1FA17E13"/>
    <w:rsid w:val="1FB069D3"/>
    <w:rsid w:val="1FB1638B"/>
    <w:rsid w:val="1FB27690"/>
    <w:rsid w:val="1FBC5A21"/>
    <w:rsid w:val="1FCB3B55"/>
    <w:rsid w:val="1FD93CCC"/>
    <w:rsid w:val="200A1289"/>
    <w:rsid w:val="200A48A2"/>
    <w:rsid w:val="209C06BA"/>
    <w:rsid w:val="20B15DE0"/>
    <w:rsid w:val="20BE0AC7"/>
    <w:rsid w:val="20ED05F3"/>
    <w:rsid w:val="21484FD5"/>
    <w:rsid w:val="216337D3"/>
    <w:rsid w:val="2170394F"/>
    <w:rsid w:val="21754D72"/>
    <w:rsid w:val="21A4413E"/>
    <w:rsid w:val="21A60DC4"/>
    <w:rsid w:val="21C34AF1"/>
    <w:rsid w:val="22026550"/>
    <w:rsid w:val="22081D62"/>
    <w:rsid w:val="2222290C"/>
    <w:rsid w:val="22345FE8"/>
    <w:rsid w:val="225264E8"/>
    <w:rsid w:val="228051EE"/>
    <w:rsid w:val="22CA1CC3"/>
    <w:rsid w:val="22F91017"/>
    <w:rsid w:val="23062896"/>
    <w:rsid w:val="230D2F92"/>
    <w:rsid w:val="23127C96"/>
    <w:rsid w:val="23160223"/>
    <w:rsid w:val="23454FED"/>
    <w:rsid w:val="234D1003"/>
    <w:rsid w:val="23531D85"/>
    <w:rsid w:val="2358620C"/>
    <w:rsid w:val="23676A65"/>
    <w:rsid w:val="23685B62"/>
    <w:rsid w:val="237A63C1"/>
    <w:rsid w:val="23936586"/>
    <w:rsid w:val="23A010C1"/>
    <w:rsid w:val="23E634F2"/>
    <w:rsid w:val="23F830F6"/>
    <w:rsid w:val="243D7784"/>
    <w:rsid w:val="244C354F"/>
    <w:rsid w:val="245E637A"/>
    <w:rsid w:val="248F0487"/>
    <w:rsid w:val="24B970CD"/>
    <w:rsid w:val="24D37C77"/>
    <w:rsid w:val="24F2272A"/>
    <w:rsid w:val="2542504B"/>
    <w:rsid w:val="258B7426"/>
    <w:rsid w:val="259C0B53"/>
    <w:rsid w:val="25A24170"/>
    <w:rsid w:val="25CB2332"/>
    <w:rsid w:val="25CB2B66"/>
    <w:rsid w:val="25CC5366"/>
    <w:rsid w:val="25DC1DBF"/>
    <w:rsid w:val="25EA2CC2"/>
    <w:rsid w:val="25F123BC"/>
    <w:rsid w:val="25FF66A0"/>
    <w:rsid w:val="2601616B"/>
    <w:rsid w:val="26527AE4"/>
    <w:rsid w:val="266B5BC0"/>
    <w:rsid w:val="267E3236"/>
    <w:rsid w:val="26A4794D"/>
    <w:rsid w:val="26B11406"/>
    <w:rsid w:val="26FE1506"/>
    <w:rsid w:val="27077C17"/>
    <w:rsid w:val="2741196B"/>
    <w:rsid w:val="274E2589"/>
    <w:rsid w:val="27524634"/>
    <w:rsid w:val="27704D52"/>
    <w:rsid w:val="27814FFE"/>
    <w:rsid w:val="27A83F1D"/>
    <w:rsid w:val="27B20DD0"/>
    <w:rsid w:val="27EC31AA"/>
    <w:rsid w:val="27F2564C"/>
    <w:rsid w:val="2811394C"/>
    <w:rsid w:val="28187F3A"/>
    <w:rsid w:val="28461D1E"/>
    <w:rsid w:val="284A5CA4"/>
    <w:rsid w:val="286F5693"/>
    <w:rsid w:val="287B1C74"/>
    <w:rsid w:val="28975A77"/>
    <w:rsid w:val="28A26DF4"/>
    <w:rsid w:val="28AE4F7B"/>
    <w:rsid w:val="28B43155"/>
    <w:rsid w:val="291458A5"/>
    <w:rsid w:val="29162DB0"/>
    <w:rsid w:val="292C7664"/>
    <w:rsid w:val="295F45B4"/>
    <w:rsid w:val="297C731B"/>
    <w:rsid w:val="297D3042"/>
    <w:rsid w:val="29991048"/>
    <w:rsid w:val="29A030C8"/>
    <w:rsid w:val="29C35511"/>
    <w:rsid w:val="29F47107"/>
    <w:rsid w:val="29FF4F9C"/>
    <w:rsid w:val="2A350574"/>
    <w:rsid w:val="2A3C3ED6"/>
    <w:rsid w:val="2A421663"/>
    <w:rsid w:val="2A67601F"/>
    <w:rsid w:val="2A9C0A77"/>
    <w:rsid w:val="2AA42601"/>
    <w:rsid w:val="2AA65046"/>
    <w:rsid w:val="2B135D68"/>
    <w:rsid w:val="2B1F3FEE"/>
    <w:rsid w:val="2B3B70DF"/>
    <w:rsid w:val="2B455A0D"/>
    <w:rsid w:val="2B46380C"/>
    <w:rsid w:val="2B4A59FC"/>
    <w:rsid w:val="2B505DE9"/>
    <w:rsid w:val="2B8B7CA9"/>
    <w:rsid w:val="2BC335E0"/>
    <w:rsid w:val="2BCA23E3"/>
    <w:rsid w:val="2BCA4992"/>
    <w:rsid w:val="2BDB1C7A"/>
    <w:rsid w:val="2BE45D67"/>
    <w:rsid w:val="2BE46810"/>
    <w:rsid w:val="2BE637B9"/>
    <w:rsid w:val="2BF702BE"/>
    <w:rsid w:val="2C0370C5"/>
    <w:rsid w:val="2C0F0059"/>
    <w:rsid w:val="2C216675"/>
    <w:rsid w:val="2C2F04C2"/>
    <w:rsid w:val="2C5703DA"/>
    <w:rsid w:val="2C61119C"/>
    <w:rsid w:val="2C6B57F0"/>
    <w:rsid w:val="2C833EFB"/>
    <w:rsid w:val="2C866800"/>
    <w:rsid w:val="2C9A4365"/>
    <w:rsid w:val="2CBD64F3"/>
    <w:rsid w:val="2CFF6C68"/>
    <w:rsid w:val="2D2C20F4"/>
    <w:rsid w:val="2D47660A"/>
    <w:rsid w:val="2E075211"/>
    <w:rsid w:val="2E0A0FB5"/>
    <w:rsid w:val="2E2B65F8"/>
    <w:rsid w:val="2E2D0FDE"/>
    <w:rsid w:val="2E330B73"/>
    <w:rsid w:val="2E4F4EF5"/>
    <w:rsid w:val="2E562171"/>
    <w:rsid w:val="2E7558EE"/>
    <w:rsid w:val="2E81332B"/>
    <w:rsid w:val="2EC0207F"/>
    <w:rsid w:val="2ED42644"/>
    <w:rsid w:val="2EF505EE"/>
    <w:rsid w:val="2EFD22A6"/>
    <w:rsid w:val="2F0A75E0"/>
    <w:rsid w:val="2F324900"/>
    <w:rsid w:val="2F660650"/>
    <w:rsid w:val="2F7566F2"/>
    <w:rsid w:val="2FD1644C"/>
    <w:rsid w:val="2FD67A0A"/>
    <w:rsid w:val="2FD920CE"/>
    <w:rsid w:val="2FE21193"/>
    <w:rsid w:val="2FE94AE6"/>
    <w:rsid w:val="300C7328"/>
    <w:rsid w:val="301E3593"/>
    <w:rsid w:val="30283F91"/>
    <w:rsid w:val="30334D3A"/>
    <w:rsid w:val="303E0609"/>
    <w:rsid w:val="306143E6"/>
    <w:rsid w:val="30665FF5"/>
    <w:rsid w:val="307A4C95"/>
    <w:rsid w:val="3087331D"/>
    <w:rsid w:val="30AB0CE7"/>
    <w:rsid w:val="30E5625A"/>
    <w:rsid w:val="30F976DE"/>
    <w:rsid w:val="31297C5D"/>
    <w:rsid w:val="31437F61"/>
    <w:rsid w:val="315B5608"/>
    <w:rsid w:val="316611F2"/>
    <w:rsid w:val="316C3324"/>
    <w:rsid w:val="317E1790"/>
    <w:rsid w:val="318040E7"/>
    <w:rsid w:val="31A00BA0"/>
    <w:rsid w:val="31B35D66"/>
    <w:rsid w:val="31C301B3"/>
    <w:rsid w:val="32081232"/>
    <w:rsid w:val="32437688"/>
    <w:rsid w:val="327C7DCA"/>
    <w:rsid w:val="32AE6E96"/>
    <w:rsid w:val="32B25BB9"/>
    <w:rsid w:val="32F86AD8"/>
    <w:rsid w:val="33085D8F"/>
    <w:rsid w:val="33230BCD"/>
    <w:rsid w:val="333D1C57"/>
    <w:rsid w:val="336042BE"/>
    <w:rsid w:val="33670322"/>
    <w:rsid w:val="33756366"/>
    <w:rsid w:val="338110EC"/>
    <w:rsid w:val="33CA2E03"/>
    <w:rsid w:val="33D42F82"/>
    <w:rsid w:val="33F16722"/>
    <w:rsid w:val="342C2EA8"/>
    <w:rsid w:val="34792FA7"/>
    <w:rsid w:val="3481114E"/>
    <w:rsid w:val="34887D3E"/>
    <w:rsid w:val="34927FEB"/>
    <w:rsid w:val="34F7270A"/>
    <w:rsid w:val="353F61E8"/>
    <w:rsid w:val="35476E77"/>
    <w:rsid w:val="35705F5D"/>
    <w:rsid w:val="3588511D"/>
    <w:rsid w:val="3596074D"/>
    <w:rsid w:val="359B5A27"/>
    <w:rsid w:val="35B74DB2"/>
    <w:rsid w:val="35D74881"/>
    <w:rsid w:val="35F333D7"/>
    <w:rsid w:val="3660217B"/>
    <w:rsid w:val="3697072A"/>
    <w:rsid w:val="36C33B8F"/>
    <w:rsid w:val="36DD4A88"/>
    <w:rsid w:val="36F41496"/>
    <w:rsid w:val="36FF1855"/>
    <w:rsid w:val="37327A80"/>
    <w:rsid w:val="373E372F"/>
    <w:rsid w:val="37DE5837"/>
    <w:rsid w:val="38176C95"/>
    <w:rsid w:val="3819249A"/>
    <w:rsid w:val="381B569C"/>
    <w:rsid w:val="381F1E2A"/>
    <w:rsid w:val="38384C69"/>
    <w:rsid w:val="384070C0"/>
    <w:rsid w:val="384C5E6B"/>
    <w:rsid w:val="38504871"/>
    <w:rsid w:val="385641FC"/>
    <w:rsid w:val="389925FA"/>
    <w:rsid w:val="38B2075A"/>
    <w:rsid w:val="38B421CF"/>
    <w:rsid w:val="38C44830"/>
    <w:rsid w:val="38DC65FD"/>
    <w:rsid w:val="38E31861"/>
    <w:rsid w:val="38E340BC"/>
    <w:rsid w:val="38E91ED7"/>
    <w:rsid w:val="392C2F5A"/>
    <w:rsid w:val="39384CB4"/>
    <w:rsid w:val="39487007"/>
    <w:rsid w:val="394D0C95"/>
    <w:rsid w:val="39500EA9"/>
    <w:rsid w:val="39AB4E08"/>
    <w:rsid w:val="39B72EE4"/>
    <w:rsid w:val="3A0B1AD7"/>
    <w:rsid w:val="3A2E6F37"/>
    <w:rsid w:val="3A3B1BDD"/>
    <w:rsid w:val="3A5307BE"/>
    <w:rsid w:val="3A8F2BA2"/>
    <w:rsid w:val="3AC62112"/>
    <w:rsid w:val="3AC810E9"/>
    <w:rsid w:val="3AD37E13"/>
    <w:rsid w:val="3AEA6A92"/>
    <w:rsid w:val="3B0E0EF1"/>
    <w:rsid w:val="3B162895"/>
    <w:rsid w:val="3B2A52E8"/>
    <w:rsid w:val="3B3223AB"/>
    <w:rsid w:val="3B331DA7"/>
    <w:rsid w:val="3B3E58E2"/>
    <w:rsid w:val="3B6B72FB"/>
    <w:rsid w:val="3B6E698C"/>
    <w:rsid w:val="3B765133"/>
    <w:rsid w:val="3B8A48B7"/>
    <w:rsid w:val="3BDD426E"/>
    <w:rsid w:val="3BF511EF"/>
    <w:rsid w:val="3C0038FB"/>
    <w:rsid w:val="3C2E6DCB"/>
    <w:rsid w:val="3C4F526B"/>
    <w:rsid w:val="3CBF08B8"/>
    <w:rsid w:val="3CD24055"/>
    <w:rsid w:val="3CD66E96"/>
    <w:rsid w:val="3CDC209E"/>
    <w:rsid w:val="3CDE3BF7"/>
    <w:rsid w:val="3CE242F0"/>
    <w:rsid w:val="3CE86652"/>
    <w:rsid w:val="3D153845"/>
    <w:rsid w:val="3D3056F4"/>
    <w:rsid w:val="3D615EC3"/>
    <w:rsid w:val="3DE71DF7"/>
    <w:rsid w:val="3E145244"/>
    <w:rsid w:val="3E343C9D"/>
    <w:rsid w:val="3E3948A1"/>
    <w:rsid w:val="3E3C1C7D"/>
    <w:rsid w:val="3E3F7640"/>
    <w:rsid w:val="3E5E076D"/>
    <w:rsid w:val="3E672375"/>
    <w:rsid w:val="3E6D3E98"/>
    <w:rsid w:val="3E725837"/>
    <w:rsid w:val="3E7E5396"/>
    <w:rsid w:val="3E82238B"/>
    <w:rsid w:val="3E9D570E"/>
    <w:rsid w:val="3EE20F80"/>
    <w:rsid w:val="3EFC7E62"/>
    <w:rsid w:val="3F0822E8"/>
    <w:rsid w:val="3F0A3BAA"/>
    <w:rsid w:val="3F412066"/>
    <w:rsid w:val="3F532740"/>
    <w:rsid w:val="3F571A1E"/>
    <w:rsid w:val="3F883318"/>
    <w:rsid w:val="3FC456AD"/>
    <w:rsid w:val="3FC76631"/>
    <w:rsid w:val="4006209D"/>
    <w:rsid w:val="400C38A3"/>
    <w:rsid w:val="401B5C20"/>
    <w:rsid w:val="40973445"/>
    <w:rsid w:val="40BC0B8F"/>
    <w:rsid w:val="40CC5100"/>
    <w:rsid w:val="40DF591F"/>
    <w:rsid w:val="41171D62"/>
    <w:rsid w:val="41232CE9"/>
    <w:rsid w:val="412A49C3"/>
    <w:rsid w:val="4134489A"/>
    <w:rsid w:val="4137558E"/>
    <w:rsid w:val="413F576C"/>
    <w:rsid w:val="417B5341"/>
    <w:rsid w:val="41850C97"/>
    <w:rsid w:val="418F4520"/>
    <w:rsid w:val="41B44B58"/>
    <w:rsid w:val="41C0096A"/>
    <w:rsid w:val="41C11C6F"/>
    <w:rsid w:val="41C44DF2"/>
    <w:rsid w:val="41CD5BBF"/>
    <w:rsid w:val="41CE5C9E"/>
    <w:rsid w:val="41D52A48"/>
    <w:rsid w:val="42004FD7"/>
    <w:rsid w:val="42063120"/>
    <w:rsid w:val="420F77F0"/>
    <w:rsid w:val="4229039A"/>
    <w:rsid w:val="42430F44"/>
    <w:rsid w:val="42670158"/>
    <w:rsid w:val="42685900"/>
    <w:rsid w:val="427C45A1"/>
    <w:rsid w:val="428D483B"/>
    <w:rsid w:val="42B13238"/>
    <w:rsid w:val="42C95A88"/>
    <w:rsid w:val="430A2F0B"/>
    <w:rsid w:val="432F0531"/>
    <w:rsid w:val="43577787"/>
    <w:rsid w:val="43585861"/>
    <w:rsid w:val="43C3013B"/>
    <w:rsid w:val="43C92044"/>
    <w:rsid w:val="43F4670C"/>
    <w:rsid w:val="43F76012"/>
    <w:rsid w:val="440453DF"/>
    <w:rsid w:val="440F7B1B"/>
    <w:rsid w:val="44112439"/>
    <w:rsid w:val="449917C2"/>
    <w:rsid w:val="44BA2C52"/>
    <w:rsid w:val="44C84166"/>
    <w:rsid w:val="44CE3011"/>
    <w:rsid w:val="44F6724F"/>
    <w:rsid w:val="454105AC"/>
    <w:rsid w:val="45414543"/>
    <w:rsid w:val="454F25E9"/>
    <w:rsid w:val="459F7CA4"/>
    <w:rsid w:val="45C83D08"/>
    <w:rsid w:val="45E83FDE"/>
    <w:rsid w:val="45EA2D19"/>
    <w:rsid w:val="45F57B2D"/>
    <w:rsid w:val="4605005E"/>
    <w:rsid w:val="46411941"/>
    <w:rsid w:val="46595A79"/>
    <w:rsid w:val="466C64C2"/>
    <w:rsid w:val="46810F38"/>
    <w:rsid w:val="468269BA"/>
    <w:rsid w:val="46837945"/>
    <w:rsid w:val="468616FB"/>
    <w:rsid w:val="46E1549F"/>
    <w:rsid w:val="46F21E9D"/>
    <w:rsid w:val="46F459F4"/>
    <w:rsid w:val="47100457"/>
    <w:rsid w:val="47431498"/>
    <w:rsid w:val="476E313F"/>
    <w:rsid w:val="47777D7A"/>
    <w:rsid w:val="47813031"/>
    <w:rsid w:val="4789756D"/>
    <w:rsid w:val="47BF63C2"/>
    <w:rsid w:val="47C714B4"/>
    <w:rsid w:val="47CB27DE"/>
    <w:rsid w:val="48470A7D"/>
    <w:rsid w:val="485C0789"/>
    <w:rsid w:val="48734F6C"/>
    <w:rsid w:val="48796D5B"/>
    <w:rsid w:val="48C17511"/>
    <w:rsid w:val="48D205F7"/>
    <w:rsid w:val="48D56FC7"/>
    <w:rsid w:val="48E40723"/>
    <w:rsid w:val="48EB7E40"/>
    <w:rsid w:val="48F11FB7"/>
    <w:rsid w:val="48F17A38"/>
    <w:rsid w:val="49264A0F"/>
    <w:rsid w:val="492A3415"/>
    <w:rsid w:val="49440CFD"/>
    <w:rsid w:val="499872CD"/>
    <w:rsid w:val="49BC48F7"/>
    <w:rsid w:val="49CD3F23"/>
    <w:rsid w:val="4AAD7BAC"/>
    <w:rsid w:val="4ABC4C8D"/>
    <w:rsid w:val="4AD83043"/>
    <w:rsid w:val="4AE40A60"/>
    <w:rsid w:val="4AEB69BB"/>
    <w:rsid w:val="4B107D4D"/>
    <w:rsid w:val="4B170D13"/>
    <w:rsid w:val="4B48598E"/>
    <w:rsid w:val="4B573A2A"/>
    <w:rsid w:val="4B7B4BC4"/>
    <w:rsid w:val="4B8557F3"/>
    <w:rsid w:val="4B89183E"/>
    <w:rsid w:val="4BB04DD2"/>
    <w:rsid w:val="4BB47D73"/>
    <w:rsid w:val="4BBA3DED"/>
    <w:rsid w:val="4BBD17BB"/>
    <w:rsid w:val="4BCD012F"/>
    <w:rsid w:val="4BF13D43"/>
    <w:rsid w:val="4C0360C1"/>
    <w:rsid w:val="4C372AA3"/>
    <w:rsid w:val="4C3F04A5"/>
    <w:rsid w:val="4C8E12DD"/>
    <w:rsid w:val="4C9246AB"/>
    <w:rsid w:val="4C982EF6"/>
    <w:rsid w:val="4D400DBC"/>
    <w:rsid w:val="4D99745C"/>
    <w:rsid w:val="4DC22F83"/>
    <w:rsid w:val="4DD31631"/>
    <w:rsid w:val="4DD90246"/>
    <w:rsid w:val="4E1216A5"/>
    <w:rsid w:val="4E2D7CD0"/>
    <w:rsid w:val="4E376061"/>
    <w:rsid w:val="4E43200E"/>
    <w:rsid w:val="4E434912"/>
    <w:rsid w:val="4E4C0585"/>
    <w:rsid w:val="4E790595"/>
    <w:rsid w:val="4E796954"/>
    <w:rsid w:val="4EA71B98"/>
    <w:rsid w:val="4EB3122E"/>
    <w:rsid w:val="4F105D44"/>
    <w:rsid w:val="4F1638C7"/>
    <w:rsid w:val="4F1B0BF6"/>
    <w:rsid w:val="4F1C2061"/>
    <w:rsid w:val="4F2961B5"/>
    <w:rsid w:val="4F3365AD"/>
    <w:rsid w:val="4F3B5484"/>
    <w:rsid w:val="4F5A60BF"/>
    <w:rsid w:val="4F6B62DD"/>
    <w:rsid w:val="4F753E8B"/>
    <w:rsid w:val="4FBC3C5F"/>
    <w:rsid w:val="4FDE7696"/>
    <w:rsid w:val="4FE84CDB"/>
    <w:rsid w:val="4FE87012"/>
    <w:rsid w:val="4FFC24CA"/>
    <w:rsid w:val="500F5145"/>
    <w:rsid w:val="500F7451"/>
    <w:rsid w:val="502A7696"/>
    <w:rsid w:val="503234EA"/>
    <w:rsid w:val="5043718E"/>
    <w:rsid w:val="505C0558"/>
    <w:rsid w:val="506A211C"/>
    <w:rsid w:val="50AB6165"/>
    <w:rsid w:val="51162C16"/>
    <w:rsid w:val="514D2197"/>
    <w:rsid w:val="516762C3"/>
    <w:rsid w:val="518B2B51"/>
    <w:rsid w:val="51B21E65"/>
    <w:rsid w:val="51CC1440"/>
    <w:rsid w:val="5220694C"/>
    <w:rsid w:val="52346D82"/>
    <w:rsid w:val="525B494D"/>
    <w:rsid w:val="526A2241"/>
    <w:rsid w:val="526D3D83"/>
    <w:rsid w:val="52812DD6"/>
    <w:rsid w:val="52E23187"/>
    <w:rsid w:val="52F24EE4"/>
    <w:rsid w:val="52FF19B9"/>
    <w:rsid w:val="53096AA5"/>
    <w:rsid w:val="536227DB"/>
    <w:rsid w:val="53741DFD"/>
    <w:rsid w:val="537B5903"/>
    <w:rsid w:val="538F23A6"/>
    <w:rsid w:val="53AF316E"/>
    <w:rsid w:val="53B50642"/>
    <w:rsid w:val="53E265AD"/>
    <w:rsid w:val="53E74889"/>
    <w:rsid w:val="542831FD"/>
    <w:rsid w:val="54416FA3"/>
    <w:rsid w:val="54CD5A23"/>
    <w:rsid w:val="54D166C9"/>
    <w:rsid w:val="551B53B0"/>
    <w:rsid w:val="55276C44"/>
    <w:rsid w:val="55286877"/>
    <w:rsid w:val="55692A56"/>
    <w:rsid w:val="55A037A5"/>
    <w:rsid w:val="55AD128A"/>
    <w:rsid w:val="55E8442A"/>
    <w:rsid w:val="55F366A8"/>
    <w:rsid w:val="55FF0EA5"/>
    <w:rsid w:val="560F1140"/>
    <w:rsid w:val="563C0166"/>
    <w:rsid w:val="565B5EA6"/>
    <w:rsid w:val="565C4D6F"/>
    <w:rsid w:val="567D320B"/>
    <w:rsid w:val="56940F2A"/>
    <w:rsid w:val="56983F1C"/>
    <w:rsid w:val="569D24EB"/>
    <w:rsid w:val="56E96D82"/>
    <w:rsid w:val="570872C3"/>
    <w:rsid w:val="571254EA"/>
    <w:rsid w:val="571B0378"/>
    <w:rsid w:val="572709E6"/>
    <w:rsid w:val="572F3796"/>
    <w:rsid w:val="574F0355"/>
    <w:rsid w:val="57517875"/>
    <w:rsid w:val="57597302"/>
    <w:rsid w:val="575C37B3"/>
    <w:rsid w:val="5774567D"/>
    <w:rsid w:val="57AC7959"/>
    <w:rsid w:val="57F112D5"/>
    <w:rsid w:val="57FF5DE3"/>
    <w:rsid w:val="58032874"/>
    <w:rsid w:val="58356453"/>
    <w:rsid w:val="584C0D8D"/>
    <w:rsid w:val="584E2FCE"/>
    <w:rsid w:val="586631C9"/>
    <w:rsid w:val="58835B3D"/>
    <w:rsid w:val="58AC1A08"/>
    <w:rsid w:val="58C928C8"/>
    <w:rsid w:val="58D10943"/>
    <w:rsid w:val="58E33397"/>
    <w:rsid w:val="58E440AA"/>
    <w:rsid w:val="58F23DBD"/>
    <w:rsid w:val="590256AC"/>
    <w:rsid w:val="5905591A"/>
    <w:rsid w:val="59116F27"/>
    <w:rsid w:val="59176EB9"/>
    <w:rsid w:val="591B1298"/>
    <w:rsid w:val="591F5ADE"/>
    <w:rsid w:val="592A00D8"/>
    <w:rsid w:val="59450902"/>
    <w:rsid w:val="599169D6"/>
    <w:rsid w:val="59AA3EAA"/>
    <w:rsid w:val="59BA08C1"/>
    <w:rsid w:val="59C7573A"/>
    <w:rsid w:val="59D92ED4"/>
    <w:rsid w:val="59DD370A"/>
    <w:rsid w:val="5A4E7576"/>
    <w:rsid w:val="5A6864BE"/>
    <w:rsid w:val="5A8717BB"/>
    <w:rsid w:val="5AA53C71"/>
    <w:rsid w:val="5AE76AC4"/>
    <w:rsid w:val="5B15697F"/>
    <w:rsid w:val="5B1E5F8A"/>
    <w:rsid w:val="5B263EFE"/>
    <w:rsid w:val="5B2E7E44"/>
    <w:rsid w:val="5B35442A"/>
    <w:rsid w:val="5B3D19D1"/>
    <w:rsid w:val="5B4311B8"/>
    <w:rsid w:val="5B59028A"/>
    <w:rsid w:val="5B813AB0"/>
    <w:rsid w:val="5BD422CE"/>
    <w:rsid w:val="5C0B0B9E"/>
    <w:rsid w:val="5C0F0D95"/>
    <w:rsid w:val="5C1129A1"/>
    <w:rsid w:val="5C3F18E4"/>
    <w:rsid w:val="5C57280E"/>
    <w:rsid w:val="5C61531C"/>
    <w:rsid w:val="5C6D381E"/>
    <w:rsid w:val="5C73039E"/>
    <w:rsid w:val="5C9F2779"/>
    <w:rsid w:val="5CAC2BA6"/>
    <w:rsid w:val="5CB141A2"/>
    <w:rsid w:val="5CBE7C34"/>
    <w:rsid w:val="5CDF4D19"/>
    <w:rsid w:val="5D2A4385"/>
    <w:rsid w:val="5D2F4A70"/>
    <w:rsid w:val="5D3B0A69"/>
    <w:rsid w:val="5D784A82"/>
    <w:rsid w:val="5D7C4B6F"/>
    <w:rsid w:val="5D857B67"/>
    <w:rsid w:val="5DA96381"/>
    <w:rsid w:val="5E66256E"/>
    <w:rsid w:val="5E743A82"/>
    <w:rsid w:val="5EA558D6"/>
    <w:rsid w:val="5EB44449"/>
    <w:rsid w:val="5ECA4D19"/>
    <w:rsid w:val="5ECF65D6"/>
    <w:rsid w:val="5EE26529"/>
    <w:rsid w:val="5F01496B"/>
    <w:rsid w:val="5F3B68E6"/>
    <w:rsid w:val="5F8A197C"/>
    <w:rsid w:val="5F9D6D19"/>
    <w:rsid w:val="5FA35F83"/>
    <w:rsid w:val="5FA4077F"/>
    <w:rsid w:val="5FC324AB"/>
    <w:rsid w:val="5FE771E7"/>
    <w:rsid w:val="60036F91"/>
    <w:rsid w:val="600A7965"/>
    <w:rsid w:val="600F55E5"/>
    <w:rsid w:val="601879B6"/>
    <w:rsid w:val="60441AFF"/>
    <w:rsid w:val="60610B1E"/>
    <w:rsid w:val="60635E44"/>
    <w:rsid w:val="606551DF"/>
    <w:rsid w:val="608337E2"/>
    <w:rsid w:val="608B5FA6"/>
    <w:rsid w:val="60996842"/>
    <w:rsid w:val="60BA26F7"/>
    <w:rsid w:val="60E42E01"/>
    <w:rsid w:val="60ED7696"/>
    <w:rsid w:val="610D6FCA"/>
    <w:rsid w:val="614111D2"/>
    <w:rsid w:val="61512CFA"/>
    <w:rsid w:val="61703AC6"/>
    <w:rsid w:val="61713311"/>
    <w:rsid w:val="61BC54B5"/>
    <w:rsid w:val="61D50F91"/>
    <w:rsid w:val="61F158C6"/>
    <w:rsid w:val="62007857"/>
    <w:rsid w:val="620826E5"/>
    <w:rsid w:val="620D6760"/>
    <w:rsid w:val="62195975"/>
    <w:rsid w:val="622C6E2B"/>
    <w:rsid w:val="623762BF"/>
    <w:rsid w:val="624F5057"/>
    <w:rsid w:val="625C216F"/>
    <w:rsid w:val="62695C01"/>
    <w:rsid w:val="626F338E"/>
    <w:rsid w:val="6271300E"/>
    <w:rsid w:val="6298167A"/>
    <w:rsid w:val="62AD1043"/>
    <w:rsid w:val="62E4334D"/>
    <w:rsid w:val="63013963"/>
    <w:rsid w:val="630828C2"/>
    <w:rsid w:val="630F015A"/>
    <w:rsid w:val="63845334"/>
    <w:rsid w:val="638C435E"/>
    <w:rsid w:val="63BE0663"/>
    <w:rsid w:val="63D66158"/>
    <w:rsid w:val="64006F9C"/>
    <w:rsid w:val="6430556D"/>
    <w:rsid w:val="64432C8B"/>
    <w:rsid w:val="64480A16"/>
    <w:rsid w:val="64646CC1"/>
    <w:rsid w:val="64744D5D"/>
    <w:rsid w:val="64757816"/>
    <w:rsid w:val="649030CC"/>
    <w:rsid w:val="649B41FB"/>
    <w:rsid w:val="64C57535"/>
    <w:rsid w:val="64DB5A06"/>
    <w:rsid w:val="6503621E"/>
    <w:rsid w:val="651C646F"/>
    <w:rsid w:val="65262602"/>
    <w:rsid w:val="653B34A1"/>
    <w:rsid w:val="656F0478"/>
    <w:rsid w:val="65853C99"/>
    <w:rsid w:val="65AF0E2B"/>
    <w:rsid w:val="66065A4A"/>
    <w:rsid w:val="66423214"/>
    <w:rsid w:val="664A51A0"/>
    <w:rsid w:val="666A3B93"/>
    <w:rsid w:val="666D5177"/>
    <w:rsid w:val="669D4593"/>
    <w:rsid w:val="66C45526"/>
    <w:rsid w:val="66D1483C"/>
    <w:rsid w:val="66D21205"/>
    <w:rsid w:val="66F40794"/>
    <w:rsid w:val="67027857"/>
    <w:rsid w:val="670801BC"/>
    <w:rsid w:val="67147F72"/>
    <w:rsid w:val="671C04C1"/>
    <w:rsid w:val="672273AD"/>
    <w:rsid w:val="672536DF"/>
    <w:rsid w:val="676705B3"/>
    <w:rsid w:val="67F4149B"/>
    <w:rsid w:val="680848B9"/>
    <w:rsid w:val="680A4C1B"/>
    <w:rsid w:val="68164ED3"/>
    <w:rsid w:val="681770D1"/>
    <w:rsid w:val="68471EC8"/>
    <w:rsid w:val="684F0A6B"/>
    <w:rsid w:val="685705C5"/>
    <w:rsid w:val="68702E7D"/>
    <w:rsid w:val="689C09B0"/>
    <w:rsid w:val="68C77275"/>
    <w:rsid w:val="68C86EF5"/>
    <w:rsid w:val="68CF2103"/>
    <w:rsid w:val="68F100BA"/>
    <w:rsid w:val="692228D2"/>
    <w:rsid w:val="692E211D"/>
    <w:rsid w:val="69936739"/>
    <w:rsid w:val="69CF7AA8"/>
    <w:rsid w:val="69D6653C"/>
    <w:rsid w:val="69E676CD"/>
    <w:rsid w:val="6A012416"/>
    <w:rsid w:val="6A1671CE"/>
    <w:rsid w:val="6A381C50"/>
    <w:rsid w:val="6AD8130D"/>
    <w:rsid w:val="6B02269B"/>
    <w:rsid w:val="6B0C16AE"/>
    <w:rsid w:val="6B1732C2"/>
    <w:rsid w:val="6B5E5C35"/>
    <w:rsid w:val="6B6A52CA"/>
    <w:rsid w:val="6B6A54C7"/>
    <w:rsid w:val="6B714C55"/>
    <w:rsid w:val="6B99719B"/>
    <w:rsid w:val="6BB17C3D"/>
    <w:rsid w:val="6BDF7488"/>
    <w:rsid w:val="6BED7D80"/>
    <w:rsid w:val="6BEF5524"/>
    <w:rsid w:val="6BF74B2E"/>
    <w:rsid w:val="6C293F1D"/>
    <w:rsid w:val="6C562949"/>
    <w:rsid w:val="6C5679F8"/>
    <w:rsid w:val="6C5B2654"/>
    <w:rsid w:val="6CA55F4C"/>
    <w:rsid w:val="6CD01FAD"/>
    <w:rsid w:val="6CDA5121"/>
    <w:rsid w:val="6CDC4D49"/>
    <w:rsid w:val="6D18628B"/>
    <w:rsid w:val="6D295CA4"/>
    <w:rsid w:val="6D5C6B05"/>
    <w:rsid w:val="6DE67BDD"/>
    <w:rsid w:val="6DF06D45"/>
    <w:rsid w:val="6DF922E6"/>
    <w:rsid w:val="6DFF2D05"/>
    <w:rsid w:val="6E997BA7"/>
    <w:rsid w:val="6EF63629"/>
    <w:rsid w:val="6F12734A"/>
    <w:rsid w:val="6F134180"/>
    <w:rsid w:val="6F2262E0"/>
    <w:rsid w:val="6F2B2472"/>
    <w:rsid w:val="6F3B71D0"/>
    <w:rsid w:val="6F796A94"/>
    <w:rsid w:val="6F7B0D59"/>
    <w:rsid w:val="6F8740C7"/>
    <w:rsid w:val="6FB85F4B"/>
    <w:rsid w:val="6FC729F9"/>
    <w:rsid w:val="6FE45CA4"/>
    <w:rsid w:val="6FE62D2E"/>
    <w:rsid w:val="700729E9"/>
    <w:rsid w:val="70100A0C"/>
    <w:rsid w:val="702E2F9A"/>
    <w:rsid w:val="70372D69"/>
    <w:rsid w:val="7086795C"/>
    <w:rsid w:val="708E6837"/>
    <w:rsid w:val="70963CF7"/>
    <w:rsid w:val="70CE5AF2"/>
    <w:rsid w:val="711B5D7A"/>
    <w:rsid w:val="7120158D"/>
    <w:rsid w:val="712A7022"/>
    <w:rsid w:val="713A5894"/>
    <w:rsid w:val="71885FD2"/>
    <w:rsid w:val="719C3171"/>
    <w:rsid w:val="71A208FD"/>
    <w:rsid w:val="71C1592F"/>
    <w:rsid w:val="71D25B29"/>
    <w:rsid w:val="71D73627"/>
    <w:rsid w:val="71DE1B0C"/>
    <w:rsid w:val="71F02FAE"/>
    <w:rsid w:val="71FA6D8D"/>
    <w:rsid w:val="71FF7992"/>
    <w:rsid w:val="72131EB6"/>
    <w:rsid w:val="72184CD5"/>
    <w:rsid w:val="723658ED"/>
    <w:rsid w:val="728124EA"/>
    <w:rsid w:val="7295118A"/>
    <w:rsid w:val="72A24EF5"/>
    <w:rsid w:val="72A94878"/>
    <w:rsid w:val="72F375B7"/>
    <w:rsid w:val="73017A45"/>
    <w:rsid w:val="73206B70"/>
    <w:rsid w:val="73613DC2"/>
    <w:rsid w:val="73E2727D"/>
    <w:rsid w:val="74041A81"/>
    <w:rsid w:val="742B0B6F"/>
    <w:rsid w:val="74321EB0"/>
    <w:rsid w:val="74327CB2"/>
    <w:rsid w:val="74447EC7"/>
    <w:rsid w:val="747A00A6"/>
    <w:rsid w:val="749C3ADE"/>
    <w:rsid w:val="74A931AC"/>
    <w:rsid w:val="74AE17FA"/>
    <w:rsid w:val="74B33703"/>
    <w:rsid w:val="74D35A45"/>
    <w:rsid w:val="750E271E"/>
    <w:rsid w:val="750E7112"/>
    <w:rsid w:val="75291143"/>
    <w:rsid w:val="75880A03"/>
    <w:rsid w:val="75A6343C"/>
    <w:rsid w:val="75D74ACD"/>
    <w:rsid w:val="75E33377"/>
    <w:rsid w:val="75F55337"/>
    <w:rsid w:val="76235FE9"/>
    <w:rsid w:val="762933BB"/>
    <w:rsid w:val="764F4A3D"/>
    <w:rsid w:val="76906716"/>
    <w:rsid w:val="769D276C"/>
    <w:rsid w:val="76EA0C27"/>
    <w:rsid w:val="7753021A"/>
    <w:rsid w:val="77633AE1"/>
    <w:rsid w:val="77694EF6"/>
    <w:rsid w:val="780505F7"/>
    <w:rsid w:val="786C3A85"/>
    <w:rsid w:val="78902AC5"/>
    <w:rsid w:val="789B74B6"/>
    <w:rsid w:val="78A67153"/>
    <w:rsid w:val="78BF14A3"/>
    <w:rsid w:val="78CD25BE"/>
    <w:rsid w:val="78F51804"/>
    <w:rsid w:val="791F45C7"/>
    <w:rsid w:val="79327E1D"/>
    <w:rsid w:val="79345466"/>
    <w:rsid w:val="7934697D"/>
    <w:rsid w:val="79602E32"/>
    <w:rsid w:val="79664D3B"/>
    <w:rsid w:val="797F0D22"/>
    <w:rsid w:val="7981223A"/>
    <w:rsid w:val="7990280D"/>
    <w:rsid w:val="7997084D"/>
    <w:rsid w:val="79A10018"/>
    <w:rsid w:val="79B36105"/>
    <w:rsid w:val="79E055B7"/>
    <w:rsid w:val="79F162A4"/>
    <w:rsid w:val="7A014C40"/>
    <w:rsid w:val="7A091FC6"/>
    <w:rsid w:val="7A8D259F"/>
    <w:rsid w:val="7A926E95"/>
    <w:rsid w:val="7AA73149"/>
    <w:rsid w:val="7AFB36CF"/>
    <w:rsid w:val="7B13027A"/>
    <w:rsid w:val="7B423C3D"/>
    <w:rsid w:val="7B45278E"/>
    <w:rsid w:val="7B5F77FF"/>
    <w:rsid w:val="7B660EC2"/>
    <w:rsid w:val="7B954FD0"/>
    <w:rsid w:val="7BC41BAA"/>
    <w:rsid w:val="7BCA338B"/>
    <w:rsid w:val="7BD14985"/>
    <w:rsid w:val="7BF97273"/>
    <w:rsid w:val="7BFC01F8"/>
    <w:rsid w:val="7C01179E"/>
    <w:rsid w:val="7C330351"/>
    <w:rsid w:val="7C350AE9"/>
    <w:rsid w:val="7C551B8B"/>
    <w:rsid w:val="7C732C63"/>
    <w:rsid w:val="7C746BBD"/>
    <w:rsid w:val="7CA601BC"/>
    <w:rsid w:val="7CA8171B"/>
    <w:rsid w:val="7CC31C44"/>
    <w:rsid w:val="7CEA082D"/>
    <w:rsid w:val="7CF65E91"/>
    <w:rsid w:val="7D0D1339"/>
    <w:rsid w:val="7D1A1476"/>
    <w:rsid w:val="7D245A1B"/>
    <w:rsid w:val="7D381436"/>
    <w:rsid w:val="7D7151B6"/>
    <w:rsid w:val="7D987C19"/>
    <w:rsid w:val="7D99781F"/>
    <w:rsid w:val="7DB47549"/>
    <w:rsid w:val="7DE83355"/>
    <w:rsid w:val="7DFA4AEF"/>
    <w:rsid w:val="7E102061"/>
    <w:rsid w:val="7E4756B8"/>
    <w:rsid w:val="7E676FEC"/>
    <w:rsid w:val="7E68119A"/>
    <w:rsid w:val="7E811ED9"/>
    <w:rsid w:val="7E8F61E4"/>
    <w:rsid w:val="7E957AB5"/>
    <w:rsid w:val="7E9B21EF"/>
    <w:rsid w:val="7EB70070"/>
    <w:rsid w:val="7EC10DAA"/>
    <w:rsid w:val="7ECD342B"/>
    <w:rsid w:val="7EE40DDB"/>
    <w:rsid w:val="7F0C55B8"/>
    <w:rsid w:val="7F4C77BA"/>
    <w:rsid w:val="7F53686D"/>
    <w:rsid w:val="7F572178"/>
    <w:rsid w:val="7F7C6B34"/>
    <w:rsid w:val="7F81683F"/>
    <w:rsid w:val="7FBE66A4"/>
    <w:rsid w:val="7FC13DA6"/>
    <w:rsid w:val="7FC478B4"/>
    <w:rsid w:val="7FDB01D3"/>
    <w:rsid w:val="7FF925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65"/>
    <w:qFormat/>
    <w:uiPriority w:val="9"/>
    <w:pPr>
      <w:keepNext/>
      <w:keepLines/>
      <w:spacing w:before="340" w:after="330" w:line="576" w:lineRule="auto"/>
      <w:outlineLvl w:val="0"/>
    </w:pPr>
    <w:rPr>
      <w:b/>
      <w:kern w:val="44"/>
      <w:sz w:val="44"/>
    </w:rPr>
  </w:style>
  <w:style w:type="paragraph" w:styleId="4">
    <w:name w:val="heading 2"/>
    <w:basedOn w:val="1"/>
    <w:next w:val="1"/>
    <w:link w:val="66"/>
    <w:qFormat/>
    <w:uiPriority w:val="9"/>
    <w:pPr>
      <w:keepNext/>
      <w:keepLines/>
      <w:spacing w:before="260" w:after="260" w:line="415" w:lineRule="auto"/>
      <w:outlineLvl w:val="1"/>
    </w:pPr>
    <w:rPr>
      <w:rFonts w:ascii="Arial" w:hAnsi="Arial" w:eastAsia="黑体"/>
      <w:b/>
      <w:sz w:val="32"/>
    </w:rPr>
  </w:style>
  <w:style w:type="paragraph" w:styleId="5">
    <w:name w:val="heading 3"/>
    <w:basedOn w:val="1"/>
    <w:next w:val="1"/>
    <w:link w:val="67"/>
    <w:qFormat/>
    <w:uiPriority w:val="9"/>
    <w:pPr>
      <w:keepNext/>
      <w:keepLines/>
      <w:spacing w:before="260" w:after="260" w:line="413" w:lineRule="auto"/>
      <w:outlineLvl w:val="2"/>
    </w:pPr>
    <w:rPr>
      <w:b/>
      <w:sz w:val="32"/>
    </w:rPr>
  </w:style>
  <w:style w:type="paragraph" w:styleId="6">
    <w:name w:val="heading 4"/>
    <w:basedOn w:val="1"/>
    <w:next w:val="1"/>
    <w:link w:val="68"/>
    <w:qFormat/>
    <w:uiPriority w:val="9"/>
    <w:pPr>
      <w:keepNext/>
      <w:keepLines/>
      <w:spacing w:before="280" w:after="290" w:line="374" w:lineRule="auto"/>
      <w:outlineLvl w:val="3"/>
    </w:pPr>
    <w:rPr>
      <w:rFonts w:ascii="Arial" w:hAnsi="Arial" w:eastAsia="黑体"/>
      <w:b/>
    </w:rPr>
  </w:style>
  <w:style w:type="paragraph" w:styleId="7">
    <w:name w:val="heading 5"/>
    <w:basedOn w:val="1"/>
    <w:next w:val="1"/>
    <w:link w:val="69"/>
    <w:qFormat/>
    <w:uiPriority w:val="9"/>
    <w:pPr>
      <w:keepNext/>
      <w:keepLines/>
      <w:spacing w:before="280" w:after="290" w:line="372" w:lineRule="auto"/>
      <w:outlineLvl w:val="4"/>
    </w:pPr>
    <w:rPr>
      <w:rFonts w:ascii="Calibri" w:hAnsi="Calibri"/>
      <w:b/>
      <w:bCs/>
      <w:szCs w:val="28"/>
    </w:rPr>
  </w:style>
  <w:style w:type="paragraph" w:styleId="8">
    <w:name w:val="heading 6"/>
    <w:basedOn w:val="1"/>
    <w:next w:val="1"/>
    <w:link w:val="70"/>
    <w:qFormat/>
    <w:uiPriority w:val="9"/>
    <w:pPr>
      <w:keepNext/>
      <w:keepLines/>
      <w:spacing w:before="240" w:after="64" w:line="316" w:lineRule="auto"/>
      <w:outlineLvl w:val="5"/>
    </w:pPr>
    <w:rPr>
      <w:rFonts w:ascii="Cambria" w:hAnsi="Cambria"/>
      <w:b/>
      <w:bCs/>
      <w:sz w:val="24"/>
      <w:szCs w:val="24"/>
    </w:rPr>
  </w:style>
  <w:style w:type="paragraph" w:styleId="9">
    <w:name w:val="heading 7"/>
    <w:basedOn w:val="1"/>
    <w:next w:val="1"/>
    <w:link w:val="71"/>
    <w:qFormat/>
    <w:uiPriority w:val="9"/>
    <w:pPr>
      <w:keepNext/>
      <w:keepLines/>
      <w:spacing w:before="240" w:after="64" w:line="316" w:lineRule="auto"/>
      <w:outlineLvl w:val="6"/>
    </w:pPr>
    <w:rPr>
      <w:rFonts w:ascii="Calibri" w:hAnsi="Calibri"/>
      <w:b/>
      <w:bCs/>
      <w:sz w:val="24"/>
      <w:szCs w:val="24"/>
    </w:rPr>
  </w:style>
  <w:style w:type="paragraph" w:styleId="10">
    <w:name w:val="heading 8"/>
    <w:basedOn w:val="1"/>
    <w:next w:val="1"/>
    <w:link w:val="72"/>
    <w:qFormat/>
    <w:uiPriority w:val="9"/>
    <w:pPr>
      <w:keepNext/>
      <w:keepLines/>
      <w:spacing w:before="240" w:after="64" w:line="316" w:lineRule="auto"/>
      <w:outlineLvl w:val="7"/>
    </w:pPr>
    <w:rPr>
      <w:rFonts w:ascii="Cambria" w:hAnsi="Cambria"/>
      <w:sz w:val="24"/>
      <w:szCs w:val="24"/>
    </w:rPr>
  </w:style>
  <w:style w:type="paragraph" w:styleId="11">
    <w:name w:val="heading 9"/>
    <w:basedOn w:val="1"/>
    <w:next w:val="1"/>
    <w:link w:val="73"/>
    <w:qFormat/>
    <w:uiPriority w:val="9"/>
    <w:pPr>
      <w:keepNext/>
      <w:keepLines/>
      <w:spacing w:before="240" w:after="64" w:line="316" w:lineRule="auto"/>
      <w:outlineLvl w:val="8"/>
    </w:pPr>
    <w:rPr>
      <w:rFonts w:ascii="Cambria" w:hAnsi="Cambria"/>
      <w:sz w:val="21"/>
      <w:szCs w:val="21"/>
    </w:rPr>
  </w:style>
  <w:style w:type="character" w:default="1" w:styleId="49">
    <w:name w:val="Default Paragraph Font"/>
    <w:semiHidden/>
    <w:qFormat/>
    <w:uiPriority w:val="0"/>
  </w:style>
  <w:style w:type="table" w:default="1" w:styleId="47">
    <w:name w:val="Normal Table"/>
    <w:semiHidden/>
    <w:qFormat/>
    <w:uiPriority w:val="0"/>
    <w:tblPr>
      <w:tblCellMar>
        <w:top w:w="0" w:type="dxa"/>
        <w:left w:w="108" w:type="dxa"/>
        <w:bottom w:w="0" w:type="dxa"/>
        <w:right w:w="108" w:type="dxa"/>
      </w:tblCellMar>
    </w:tblPr>
  </w:style>
  <w:style w:type="paragraph" w:styleId="2">
    <w:name w:val="Body Text"/>
    <w:basedOn w:val="1"/>
    <w:next w:val="1"/>
    <w:link w:val="64"/>
    <w:qFormat/>
    <w:uiPriority w:val="99"/>
    <w:pPr>
      <w:spacing w:line="300" w:lineRule="auto"/>
      <w:ind w:right="1787"/>
      <w:jc w:val="center"/>
      <w:outlineLvl w:val="0"/>
    </w:pPr>
    <w:rPr>
      <w:rFonts w:ascii="方正大标宋简体" w:eastAsia="方正大标宋简体"/>
      <w:sz w:val="52"/>
    </w:rPr>
  </w:style>
  <w:style w:type="paragraph" w:styleId="12">
    <w:name w:val="toc 7"/>
    <w:basedOn w:val="1"/>
    <w:next w:val="1"/>
    <w:qFormat/>
    <w:uiPriority w:val="39"/>
    <w:pPr>
      <w:ind w:left="2520" w:leftChars="1200"/>
    </w:pPr>
    <w:rPr>
      <w:sz w:val="21"/>
    </w:rPr>
  </w:style>
  <w:style w:type="paragraph" w:styleId="13">
    <w:name w:val="Normal Indent"/>
    <w:basedOn w:val="1"/>
    <w:link w:val="74"/>
    <w:qFormat/>
    <w:uiPriority w:val="0"/>
    <w:pPr>
      <w:ind w:firstLine="420" w:firstLineChars="200"/>
    </w:pPr>
  </w:style>
  <w:style w:type="paragraph" w:styleId="14">
    <w:name w:val="caption"/>
    <w:basedOn w:val="1"/>
    <w:next w:val="1"/>
    <w:qFormat/>
    <w:uiPriority w:val="35"/>
    <w:rPr>
      <w:rFonts w:ascii="Cambria" w:hAnsi="Cambria" w:eastAsia="黑体"/>
      <w:sz w:val="20"/>
    </w:rPr>
  </w:style>
  <w:style w:type="paragraph" w:styleId="15">
    <w:name w:val="Document Map"/>
    <w:basedOn w:val="1"/>
    <w:link w:val="75"/>
    <w:qFormat/>
    <w:uiPriority w:val="99"/>
    <w:pPr>
      <w:shd w:val="clear" w:color="auto" w:fill="000080"/>
    </w:pPr>
  </w:style>
  <w:style w:type="paragraph" w:styleId="16">
    <w:name w:val="annotation text"/>
    <w:basedOn w:val="1"/>
    <w:link w:val="76"/>
    <w:qFormat/>
    <w:uiPriority w:val="99"/>
    <w:pPr>
      <w:adjustRightInd w:val="0"/>
      <w:spacing w:line="360" w:lineRule="atLeast"/>
      <w:jc w:val="left"/>
      <w:textAlignment w:val="baseline"/>
    </w:pPr>
    <w:rPr>
      <w:kern w:val="0"/>
      <w:sz w:val="24"/>
    </w:rPr>
  </w:style>
  <w:style w:type="paragraph" w:styleId="17">
    <w:name w:val="Body Text 3"/>
    <w:basedOn w:val="1"/>
    <w:link w:val="287"/>
    <w:qFormat/>
    <w:uiPriority w:val="0"/>
    <w:rPr>
      <w:rFonts w:ascii="宋体" w:hAnsi="Courier New"/>
      <w:sz w:val="21"/>
      <w:szCs w:val="24"/>
    </w:rPr>
  </w:style>
  <w:style w:type="paragraph" w:styleId="18">
    <w:name w:val="Body Text Indent"/>
    <w:basedOn w:val="1"/>
    <w:link w:val="77"/>
    <w:qFormat/>
    <w:uiPriority w:val="0"/>
    <w:pPr>
      <w:spacing w:after="120"/>
      <w:ind w:left="420" w:leftChars="200"/>
    </w:pPr>
  </w:style>
  <w:style w:type="paragraph" w:styleId="19">
    <w:name w:val="List 2"/>
    <w:basedOn w:val="1"/>
    <w:qFormat/>
    <w:uiPriority w:val="0"/>
    <w:pPr>
      <w:ind w:left="840" w:hanging="420"/>
    </w:pPr>
    <w:rPr>
      <w:sz w:val="21"/>
    </w:rPr>
  </w:style>
  <w:style w:type="paragraph" w:styleId="20">
    <w:name w:val="index 4"/>
    <w:basedOn w:val="1"/>
    <w:next w:val="1"/>
    <w:unhideWhenUsed/>
    <w:qFormat/>
    <w:uiPriority w:val="99"/>
    <w:pPr>
      <w:ind w:left="600" w:leftChars="600"/>
    </w:pPr>
    <w:rPr>
      <w:sz w:val="21"/>
      <w:szCs w:val="24"/>
    </w:rPr>
  </w:style>
  <w:style w:type="paragraph" w:styleId="21">
    <w:name w:val="toc 5"/>
    <w:basedOn w:val="1"/>
    <w:next w:val="1"/>
    <w:qFormat/>
    <w:uiPriority w:val="39"/>
    <w:pPr>
      <w:ind w:left="1680" w:leftChars="800"/>
    </w:pPr>
    <w:rPr>
      <w:sz w:val="21"/>
    </w:rPr>
  </w:style>
  <w:style w:type="paragraph" w:styleId="22">
    <w:name w:val="toc 3"/>
    <w:basedOn w:val="1"/>
    <w:next w:val="1"/>
    <w:qFormat/>
    <w:uiPriority w:val="39"/>
    <w:pPr>
      <w:ind w:left="840" w:leftChars="400"/>
    </w:pPr>
  </w:style>
  <w:style w:type="paragraph" w:styleId="23">
    <w:name w:val="Plain Text"/>
    <w:basedOn w:val="1"/>
    <w:link w:val="78"/>
    <w:qFormat/>
    <w:uiPriority w:val="0"/>
    <w:rPr>
      <w:rFonts w:ascii="宋体" w:hAnsi="Courier New"/>
      <w:sz w:val="21"/>
    </w:rPr>
  </w:style>
  <w:style w:type="paragraph" w:styleId="24">
    <w:name w:val="toc 8"/>
    <w:basedOn w:val="1"/>
    <w:next w:val="1"/>
    <w:qFormat/>
    <w:uiPriority w:val="39"/>
    <w:pPr>
      <w:ind w:left="2940" w:leftChars="1400"/>
    </w:pPr>
    <w:rPr>
      <w:sz w:val="21"/>
    </w:rPr>
  </w:style>
  <w:style w:type="paragraph" w:styleId="25">
    <w:name w:val="Date"/>
    <w:basedOn w:val="1"/>
    <w:next w:val="1"/>
    <w:link w:val="79"/>
    <w:qFormat/>
    <w:uiPriority w:val="99"/>
  </w:style>
  <w:style w:type="paragraph" w:styleId="26">
    <w:name w:val="Body Text Indent 2"/>
    <w:basedOn w:val="1"/>
    <w:link w:val="80"/>
    <w:qFormat/>
    <w:uiPriority w:val="0"/>
    <w:pPr>
      <w:autoSpaceDE w:val="0"/>
      <w:autoSpaceDN w:val="0"/>
      <w:adjustRightInd w:val="0"/>
      <w:spacing w:line="480" w:lineRule="exact"/>
      <w:ind w:firstLine="480" w:firstLineChars="200"/>
      <w:jc w:val="left"/>
    </w:pPr>
    <w:rPr>
      <w:rFonts w:ascii="宋体"/>
      <w:sz w:val="24"/>
    </w:rPr>
  </w:style>
  <w:style w:type="paragraph" w:styleId="27">
    <w:name w:val="Balloon Text"/>
    <w:basedOn w:val="1"/>
    <w:link w:val="81"/>
    <w:qFormat/>
    <w:uiPriority w:val="99"/>
    <w:rPr>
      <w:sz w:val="18"/>
      <w:szCs w:val="18"/>
    </w:rPr>
  </w:style>
  <w:style w:type="paragraph" w:styleId="28">
    <w:name w:val="footer"/>
    <w:basedOn w:val="1"/>
    <w:link w:val="82"/>
    <w:qFormat/>
    <w:uiPriority w:val="99"/>
    <w:pPr>
      <w:tabs>
        <w:tab w:val="center" w:pos="4153"/>
        <w:tab w:val="right" w:pos="8306"/>
      </w:tabs>
      <w:snapToGrid w:val="0"/>
      <w:jc w:val="left"/>
    </w:pPr>
    <w:rPr>
      <w:sz w:val="18"/>
    </w:rPr>
  </w:style>
  <w:style w:type="paragraph" w:styleId="29">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39"/>
    <w:pPr>
      <w:ind w:left="1260" w:leftChars="600"/>
    </w:pPr>
    <w:rPr>
      <w:sz w:val="21"/>
    </w:rPr>
  </w:style>
  <w:style w:type="paragraph" w:styleId="32">
    <w:name w:val="Subtitle"/>
    <w:basedOn w:val="1"/>
    <w:next w:val="1"/>
    <w:link w:val="84"/>
    <w:qFormat/>
    <w:uiPriority w:val="11"/>
    <w:pPr>
      <w:spacing w:before="240" w:after="60" w:line="312" w:lineRule="auto"/>
      <w:jc w:val="center"/>
      <w:outlineLvl w:val="1"/>
    </w:pPr>
    <w:rPr>
      <w:rFonts w:ascii="Cambria" w:hAnsi="Cambria"/>
      <w:b/>
      <w:kern w:val="28"/>
      <w:sz w:val="32"/>
    </w:rPr>
  </w:style>
  <w:style w:type="paragraph" w:styleId="33">
    <w:name w:val="footnote text"/>
    <w:basedOn w:val="1"/>
    <w:link w:val="288"/>
    <w:qFormat/>
    <w:uiPriority w:val="0"/>
    <w:pPr>
      <w:snapToGrid w:val="0"/>
      <w:jc w:val="left"/>
    </w:pPr>
    <w:rPr>
      <w:sz w:val="18"/>
    </w:rPr>
  </w:style>
  <w:style w:type="paragraph" w:styleId="34">
    <w:name w:val="toc 6"/>
    <w:basedOn w:val="1"/>
    <w:next w:val="1"/>
    <w:qFormat/>
    <w:uiPriority w:val="39"/>
    <w:pPr>
      <w:ind w:left="2100" w:leftChars="1000"/>
    </w:pPr>
    <w:rPr>
      <w:sz w:val="21"/>
    </w:rPr>
  </w:style>
  <w:style w:type="paragraph" w:styleId="35">
    <w:name w:val="List 5"/>
    <w:basedOn w:val="1"/>
    <w:qFormat/>
    <w:uiPriority w:val="0"/>
    <w:pPr>
      <w:ind w:left="2100" w:hanging="420"/>
    </w:pPr>
    <w:rPr>
      <w:sz w:val="21"/>
    </w:rPr>
  </w:style>
  <w:style w:type="paragraph" w:styleId="36">
    <w:name w:val="Body Text Indent 3"/>
    <w:basedOn w:val="1"/>
    <w:link w:val="85"/>
    <w:qFormat/>
    <w:uiPriority w:val="0"/>
    <w:pPr>
      <w:spacing w:after="120"/>
      <w:ind w:left="420" w:leftChars="200"/>
    </w:pPr>
    <w:rPr>
      <w:sz w:val="16"/>
    </w:rPr>
  </w:style>
  <w:style w:type="paragraph" w:styleId="37">
    <w:name w:val="toc 2"/>
    <w:basedOn w:val="1"/>
    <w:next w:val="1"/>
    <w:qFormat/>
    <w:uiPriority w:val="39"/>
    <w:pPr>
      <w:ind w:left="420" w:leftChars="200"/>
    </w:pPr>
  </w:style>
  <w:style w:type="paragraph" w:styleId="38">
    <w:name w:val="toc 9"/>
    <w:basedOn w:val="1"/>
    <w:next w:val="1"/>
    <w:qFormat/>
    <w:uiPriority w:val="39"/>
    <w:pPr>
      <w:ind w:left="3360" w:leftChars="1600"/>
    </w:pPr>
    <w:rPr>
      <w:sz w:val="21"/>
    </w:rPr>
  </w:style>
  <w:style w:type="paragraph" w:styleId="39">
    <w:name w:val="Body Text 2"/>
    <w:basedOn w:val="1"/>
    <w:link w:val="289"/>
    <w:qFormat/>
    <w:uiPriority w:val="0"/>
    <w:pPr>
      <w:spacing w:after="120" w:line="480" w:lineRule="auto"/>
    </w:pPr>
    <w:rPr>
      <w:sz w:val="21"/>
    </w:rPr>
  </w:style>
  <w:style w:type="paragraph" w:styleId="40">
    <w:name w:val="HTML Preformatted"/>
    <w:basedOn w:val="1"/>
    <w:link w:val="2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paragraph" w:styleId="41">
    <w:name w:val="Normal (Web)"/>
    <w:basedOn w:val="1"/>
    <w:qFormat/>
    <w:uiPriority w:val="99"/>
    <w:pPr>
      <w:widowControl/>
      <w:spacing w:before="100" w:beforeAutospacing="1" w:after="100" w:afterAutospacing="1"/>
      <w:jc w:val="left"/>
    </w:pPr>
    <w:rPr>
      <w:rFonts w:ascii="宋体" w:hAnsi="宋体"/>
      <w:kern w:val="0"/>
      <w:sz w:val="24"/>
    </w:rPr>
  </w:style>
  <w:style w:type="paragraph" w:styleId="42">
    <w:name w:val="index 1"/>
    <w:basedOn w:val="1"/>
    <w:next w:val="1"/>
    <w:qFormat/>
    <w:uiPriority w:val="0"/>
    <w:rPr>
      <w:sz w:val="21"/>
    </w:rPr>
  </w:style>
  <w:style w:type="paragraph" w:styleId="43">
    <w:name w:val="Title"/>
    <w:basedOn w:val="1"/>
    <w:next w:val="1"/>
    <w:link w:val="86"/>
    <w:qFormat/>
    <w:uiPriority w:val="10"/>
    <w:pPr>
      <w:spacing w:before="240" w:after="60"/>
      <w:jc w:val="center"/>
      <w:outlineLvl w:val="0"/>
    </w:pPr>
    <w:rPr>
      <w:rFonts w:ascii="Cambria" w:hAnsi="Cambria"/>
      <w:b/>
      <w:kern w:val="0"/>
      <w:sz w:val="32"/>
    </w:rPr>
  </w:style>
  <w:style w:type="paragraph" w:styleId="44">
    <w:name w:val="annotation subject"/>
    <w:basedOn w:val="16"/>
    <w:next w:val="16"/>
    <w:link w:val="87"/>
    <w:unhideWhenUsed/>
    <w:qFormat/>
    <w:uiPriority w:val="0"/>
    <w:pPr>
      <w:adjustRightInd/>
      <w:spacing w:line="240" w:lineRule="auto"/>
      <w:textAlignment w:val="auto"/>
    </w:pPr>
    <w:rPr>
      <w:rFonts w:ascii="宋体" w:hAnsi="Calibri"/>
      <w:b/>
      <w:kern w:val="2"/>
      <w:sz w:val="28"/>
      <w:szCs w:val="22"/>
    </w:rPr>
  </w:style>
  <w:style w:type="paragraph" w:styleId="45">
    <w:name w:val="Body Text First Indent"/>
    <w:basedOn w:val="2"/>
    <w:next w:val="1"/>
    <w:qFormat/>
    <w:uiPriority w:val="0"/>
    <w:pPr>
      <w:spacing w:line="600" w:lineRule="exact"/>
      <w:ind w:firstLine="880" w:firstLineChars="200"/>
    </w:pPr>
    <w:rPr>
      <w:rFonts w:ascii="Times New Roman" w:hAnsi="Times New Roman" w:cs="Times New Roman"/>
    </w:rPr>
  </w:style>
  <w:style w:type="paragraph" w:styleId="46">
    <w:name w:val="Body Text First Indent 2"/>
    <w:basedOn w:val="1"/>
    <w:link w:val="286"/>
    <w:unhideWhenUsed/>
    <w:qFormat/>
    <w:uiPriority w:val="99"/>
    <w:pPr>
      <w:ind w:firstLine="420" w:firstLineChars="2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rPr>
  </w:style>
  <w:style w:type="character" w:styleId="51">
    <w:name w:val="page number"/>
    <w:qFormat/>
    <w:uiPriority w:val="99"/>
  </w:style>
  <w:style w:type="character" w:styleId="52">
    <w:name w:val="FollowedHyperlink"/>
    <w:qFormat/>
    <w:uiPriority w:val="0"/>
    <w:rPr>
      <w:color w:val="333333"/>
      <w:u w:val="none"/>
    </w:rPr>
  </w:style>
  <w:style w:type="character" w:styleId="53">
    <w:name w:val="Emphasis"/>
    <w:qFormat/>
    <w:uiPriority w:val="20"/>
    <w:rPr>
      <w:color w:val="CC0033"/>
    </w:rPr>
  </w:style>
  <w:style w:type="character" w:styleId="54">
    <w:name w:val="HTML Definition"/>
    <w:qFormat/>
    <w:uiPriority w:val="0"/>
  </w:style>
  <w:style w:type="character" w:styleId="55">
    <w:name w:val="HTML Typewriter"/>
    <w:qFormat/>
    <w:uiPriority w:val="0"/>
    <w:rPr>
      <w:rFonts w:hint="default" w:ascii="monospace" w:hAnsi="monospace" w:eastAsia="monospace" w:cs="monospace"/>
      <w:sz w:val="20"/>
    </w:rPr>
  </w:style>
  <w:style w:type="character" w:styleId="56">
    <w:name w:val="HTML Acronym"/>
    <w:qFormat/>
    <w:uiPriority w:val="0"/>
  </w:style>
  <w:style w:type="character" w:styleId="57">
    <w:name w:val="HTML Variable"/>
    <w:qFormat/>
    <w:uiPriority w:val="0"/>
  </w:style>
  <w:style w:type="character" w:styleId="58">
    <w:name w:val="Hyperlink"/>
    <w:qFormat/>
    <w:uiPriority w:val="99"/>
    <w:rPr>
      <w:color w:val="333333"/>
      <w:u w:val="none"/>
    </w:rPr>
  </w:style>
  <w:style w:type="character" w:styleId="59">
    <w:name w:val="HTML Code"/>
    <w:qFormat/>
    <w:uiPriority w:val="0"/>
    <w:rPr>
      <w:rFonts w:hint="default" w:ascii="monospace" w:hAnsi="monospace" w:eastAsia="monospace" w:cs="monospace"/>
      <w:sz w:val="20"/>
    </w:rPr>
  </w:style>
  <w:style w:type="character" w:styleId="60">
    <w:name w:val="annotation reference"/>
    <w:qFormat/>
    <w:uiPriority w:val="99"/>
    <w:rPr>
      <w:sz w:val="21"/>
      <w:szCs w:val="21"/>
    </w:rPr>
  </w:style>
  <w:style w:type="character" w:styleId="61">
    <w:name w:val="HTML Cite"/>
    <w:qFormat/>
    <w:uiPriority w:val="0"/>
  </w:style>
  <w:style w:type="character" w:styleId="62">
    <w:name w:val="HTML Keyboard"/>
    <w:qFormat/>
    <w:uiPriority w:val="0"/>
    <w:rPr>
      <w:rFonts w:hint="default" w:ascii="monospace" w:hAnsi="monospace" w:eastAsia="monospace" w:cs="monospace"/>
      <w:sz w:val="20"/>
    </w:rPr>
  </w:style>
  <w:style w:type="character" w:styleId="63">
    <w:name w:val="HTML Sample"/>
    <w:qFormat/>
    <w:uiPriority w:val="0"/>
    <w:rPr>
      <w:rFonts w:ascii="monospace" w:hAnsi="monospace" w:eastAsia="monospace" w:cs="monospace"/>
    </w:rPr>
  </w:style>
  <w:style w:type="character" w:customStyle="1" w:styleId="64">
    <w:name w:val="正文文本 Char"/>
    <w:link w:val="2"/>
    <w:qFormat/>
    <w:uiPriority w:val="99"/>
    <w:rPr>
      <w:rFonts w:ascii="方正大标宋简体" w:eastAsia="方正大标宋简体"/>
      <w:kern w:val="2"/>
      <w:sz w:val="52"/>
      <w:lang w:val="en-US" w:eastAsia="zh-CN" w:bidi="ar-SA"/>
    </w:rPr>
  </w:style>
  <w:style w:type="character" w:customStyle="1" w:styleId="65">
    <w:name w:val="标题 1 Char1"/>
    <w:link w:val="3"/>
    <w:qFormat/>
    <w:uiPriority w:val="9"/>
    <w:rPr>
      <w:b/>
      <w:kern w:val="44"/>
      <w:sz w:val="44"/>
    </w:rPr>
  </w:style>
  <w:style w:type="character" w:customStyle="1" w:styleId="66">
    <w:name w:val="标题 2 Char"/>
    <w:link w:val="4"/>
    <w:qFormat/>
    <w:uiPriority w:val="9"/>
    <w:rPr>
      <w:rFonts w:ascii="Arial" w:hAnsi="Arial" w:eastAsia="黑体"/>
      <w:b/>
      <w:kern w:val="2"/>
      <w:sz w:val="32"/>
    </w:rPr>
  </w:style>
  <w:style w:type="character" w:customStyle="1" w:styleId="67">
    <w:name w:val="标题 3 Char1"/>
    <w:link w:val="5"/>
    <w:qFormat/>
    <w:uiPriority w:val="9"/>
    <w:rPr>
      <w:rFonts w:eastAsia="宋体"/>
      <w:b/>
      <w:kern w:val="2"/>
      <w:sz w:val="32"/>
      <w:lang w:val="en-US" w:eastAsia="zh-CN" w:bidi="ar-SA"/>
    </w:rPr>
  </w:style>
  <w:style w:type="character" w:customStyle="1" w:styleId="68">
    <w:name w:val="标题 4 Char"/>
    <w:link w:val="6"/>
    <w:qFormat/>
    <w:uiPriority w:val="9"/>
    <w:rPr>
      <w:rFonts w:ascii="Arial" w:hAnsi="Arial" w:eastAsia="黑体"/>
      <w:b/>
      <w:kern w:val="2"/>
      <w:sz w:val="28"/>
    </w:rPr>
  </w:style>
  <w:style w:type="character" w:customStyle="1" w:styleId="69">
    <w:name w:val="标题 5 Char"/>
    <w:link w:val="7"/>
    <w:qFormat/>
    <w:uiPriority w:val="9"/>
    <w:rPr>
      <w:rFonts w:ascii="Calibri" w:hAnsi="Calibri" w:cs="宋体"/>
      <w:b/>
      <w:bCs/>
      <w:kern w:val="2"/>
      <w:sz w:val="28"/>
      <w:szCs w:val="28"/>
    </w:rPr>
  </w:style>
  <w:style w:type="character" w:customStyle="1" w:styleId="70">
    <w:name w:val="标题 6 Char"/>
    <w:link w:val="8"/>
    <w:qFormat/>
    <w:uiPriority w:val="9"/>
    <w:rPr>
      <w:rFonts w:ascii="Cambria" w:hAnsi="Cambria" w:cs="宋体"/>
      <w:b/>
      <w:bCs/>
      <w:kern w:val="2"/>
      <w:sz w:val="24"/>
      <w:szCs w:val="24"/>
    </w:rPr>
  </w:style>
  <w:style w:type="character" w:customStyle="1" w:styleId="71">
    <w:name w:val="标题 7 Char"/>
    <w:link w:val="9"/>
    <w:qFormat/>
    <w:uiPriority w:val="9"/>
    <w:rPr>
      <w:rFonts w:ascii="Calibri" w:hAnsi="Calibri"/>
      <w:b/>
      <w:bCs/>
      <w:kern w:val="2"/>
      <w:sz w:val="24"/>
      <w:szCs w:val="24"/>
    </w:rPr>
  </w:style>
  <w:style w:type="character" w:customStyle="1" w:styleId="72">
    <w:name w:val="标题 8 Char"/>
    <w:link w:val="10"/>
    <w:qFormat/>
    <w:uiPriority w:val="9"/>
    <w:rPr>
      <w:rFonts w:ascii="Cambria" w:hAnsi="Cambria"/>
      <w:kern w:val="2"/>
      <w:sz w:val="24"/>
      <w:szCs w:val="24"/>
    </w:rPr>
  </w:style>
  <w:style w:type="character" w:customStyle="1" w:styleId="73">
    <w:name w:val="标题 9 Char"/>
    <w:link w:val="11"/>
    <w:qFormat/>
    <w:uiPriority w:val="9"/>
    <w:rPr>
      <w:rFonts w:ascii="Cambria" w:hAnsi="Cambria"/>
      <w:kern w:val="2"/>
      <w:sz w:val="21"/>
      <w:szCs w:val="21"/>
    </w:rPr>
  </w:style>
  <w:style w:type="character" w:customStyle="1" w:styleId="74">
    <w:name w:val="正文缩进 Char"/>
    <w:link w:val="13"/>
    <w:qFormat/>
    <w:uiPriority w:val="0"/>
    <w:rPr>
      <w:kern w:val="2"/>
      <w:sz w:val="28"/>
    </w:rPr>
  </w:style>
  <w:style w:type="character" w:customStyle="1" w:styleId="75">
    <w:name w:val="文档结构图 Char"/>
    <w:link w:val="15"/>
    <w:qFormat/>
    <w:uiPriority w:val="99"/>
    <w:rPr>
      <w:kern w:val="2"/>
      <w:sz w:val="28"/>
      <w:shd w:val="clear" w:color="auto" w:fill="000080"/>
    </w:rPr>
  </w:style>
  <w:style w:type="character" w:customStyle="1" w:styleId="76">
    <w:name w:val="批注文字 Char1"/>
    <w:link w:val="16"/>
    <w:qFormat/>
    <w:uiPriority w:val="99"/>
    <w:rPr>
      <w:sz w:val="24"/>
    </w:rPr>
  </w:style>
  <w:style w:type="character" w:customStyle="1" w:styleId="77">
    <w:name w:val="正文文本缩进 Char"/>
    <w:link w:val="18"/>
    <w:qFormat/>
    <w:uiPriority w:val="0"/>
    <w:rPr>
      <w:rFonts w:eastAsia="宋体"/>
      <w:kern w:val="2"/>
      <w:sz w:val="28"/>
      <w:lang w:val="en-US" w:eastAsia="zh-CN" w:bidi="ar-SA"/>
    </w:rPr>
  </w:style>
  <w:style w:type="character" w:customStyle="1" w:styleId="78">
    <w:name w:val="纯文本 Char"/>
    <w:link w:val="23"/>
    <w:qFormat/>
    <w:uiPriority w:val="0"/>
    <w:rPr>
      <w:rFonts w:ascii="宋体" w:hAnsi="Courier New" w:eastAsia="宋体"/>
      <w:kern w:val="2"/>
      <w:sz w:val="21"/>
      <w:lang w:val="en-US" w:eastAsia="zh-CN" w:bidi="ar-SA"/>
    </w:rPr>
  </w:style>
  <w:style w:type="character" w:customStyle="1" w:styleId="79">
    <w:name w:val="日期 Char"/>
    <w:link w:val="25"/>
    <w:qFormat/>
    <w:uiPriority w:val="99"/>
    <w:rPr>
      <w:rFonts w:eastAsia="宋体"/>
      <w:kern w:val="2"/>
      <w:sz w:val="28"/>
      <w:lang w:val="en-US" w:eastAsia="zh-CN" w:bidi="ar-SA"/>
    </w:rPr>
  </w:style>
  <w:style w:type="character" w:customStyle="1" w:styleId="80">
    <w:name w:val="正文文本缩进 2 Char"/>
    <w:link w:val="26"/>
    <w:qFormat/>
    <w:uiPriority w:val="0"/>
    <w:rPr>
      <w:rFonts w:ascii="宋体"/>
      <w:kern w:val="2"/>
      <w:sz w:val="24"/>
    </w:rPr>
  </w:style>
  <w:style w:type="character" w:customStyle="1" w:styleId="81">
    <w:name w:val="批注框文本 Char"/>
    <w:link w:val="27"/>
    <w:qFormat/>
    <w:uiPriority w:val="99"/>
    <w:rPr>
      <w:rFonts w:eastAsia="宋体"/>
      <w:kern w:val="2"/>
      <w:sz w:val="18"/>
      <w:szCs w:val="18"/>
      <w:lang w:val="en-US" w:eastAsia="zh-CN" w:bidi="ar-SA"/>
    </w:rPr>
  </w:style>
  <w:style w:type="character" w:customStyle="1" w:styleId="82">
    <w:name w:val="页脚 Char"/>
    <w:link w:val="28"/>
    <w:qFormat/>
    <w:uiPriority w:val="99"/>
    <w:rPr>
      <w:rFonts w:eastAsia="宋体"/>
      <w:kern w:val="2"/>
      <w:sz w:val="18"/>
      <w:lang w:val="en-US" w:eastAsia="zh-CN" w:bidi="ar-SA"/>
    </w:rPr>
  </w:style>
  <w:style w:type="character" w:customStyle="1" w:styleId="83">
    <w:name w:val="页眉 Char"/>
    <w:link w:val="29"/>
    <w:qFormat/>
    <w:uiPriority w:val="99"/>
    <w:rPr>
      <w:rFonts w:eastAsia="宋体"/>
      <w:kern w:val="2"/>
      <w:sz w:val="18"/>
      <w:szCs w:val="18"/>
      <w:lang w:val="en-US" w:eastAsia="zh-CN" w:bidi="ar-SA"/>
    </w:rPr>
  </w:style>
  <w:style w:type="character" w:customStyle="1" w:styleId="84">
    <w:name w:val="副标题 Char"/>
    <w:link w:val="32"/>
    <w:qFormat/>
    <w:uiPriority w:val="11"/>
    <w:rPr>
      <w:rFonts w:ascii="Cambria" w:hAnsi="Cambria"/>
      <w:b/>
      <w:kern w:val="28"/>
      <w:sz w:val="32"/>
    </w:rPr>
  </w:style>
  <w:style w:type="character" w:customStyle="1" w:styleId="85">
    <w:name w:val="正文文本缩进 3 Char"/>
    <w:link w:val="36"/>
    <w:qFormat/>
    <w:uiPriority w:val="0"/>
    <w:rPr>
      <w:kern w:val="2"/>
      <w:sz w:val="16"/>
    </w:rPr>
  </w:style>
  <w:style w:type="character" w:customStyle="1" w:styleId="86">
    <w:name w:val="标题 Char"/>
    <w:link w:val="43"/>
    <w:qFormat/>
    <w:uiPriority w:val="10"/>
    <w:rPr>
      <w:rFonts w:ascii="Cambria" w:hAnsi="Cambria"/>
      <w:b/>
      <w:sz w:val="32"/>
    </w:rPr>
  </w:style>
  <w:style w:type="character" w:customStyle="1" w:styleId="87">
    <w:name w:val="批注主题 Char3"/>
    <w:link w:val="44"/>
    <w:qFormat/>
    <w:locked/>
    <w:uiPriority w:val="0"/>
    <w:rPr>
      <w:rFonts w:ascii="宋体" w:hAnsi="Calibri"/>
      <w:b/>
      <w:kern w:val="2"/>
      <w:sz w:val="28"/>
      <w:szCs w:val="22"/>
    </w:rPr>
  </w:style>
  <w:style w:type="character" w:customStyle="1" w:styleId="88">
    <w:name w:val="Subtitle Char1"/>
    <w:qFormat/>
    <w:uiPriority w:val="11"/>
    <w:rPr>
      <w:rFonts w:ascii="Cambria" w:hAnsi="Cambria" w:cs="Times New Roman"/>
      <w:b/>
      <w:bCs/>
      <w:kern w:val="28"/>
      <w:sz w:val="32"/>
      <w:szCs w:val="32"/>
    </w:rPr>
  </w:style>
  <w:style w:type="character" w:customStyle="1" w:styleId="89">
    <w:name w:val="日期 Char1"/>
    <w:qFormat/>
    <w:uiPriority w:val="0"/>
    <w:rPr>
      <w:kern w:val="2"/>
      <w:sz w:val="22"/>
    </w:rPr>
  </w:style>
  <w:style w:type="character" w:customStyle="1" w:styleId="90">
    <w:name w:val="正文文本 Char1"/>
    <w:qFormat/>
    <w:uiPriority w:val="0"/>
    <w:rPr>
      <w:kern w:val="2"/>
      <w:sz w:val="22"/>
    </w:rPr>
  </w:style>
  <w:style w:type="character" w:customStyle="1" w:styleId="91">
    <w:name w:val="font5 Char Char"/>
    <w:qFormat/>
    <w:uiPriority w:val="0"/>
    <w:rPr>
      <w:rFonts w:ascii="宋体" w:hAnsi="宋体" w:eastAsia="宋体"/>
      <w:sz w:val="24"/>
      <w:szCs w:val="24"/>
      <w:lang w:val="en-US" w:eastAsia="zh-CN" w:bidi="ar-SA"/>
    </w:rPr>
  </w:style>
  <w:style w:type="character" w:customStyle="1" w:styleId="92">
    <w:name w:val="_Style 90"/>
    <w:qFormat/>
    <w:uiPriority w:val="31"/>
    <w:rPr>
      <w:smallCaps/>
      <w:color w:val="C0504D"/>
      <w:u w:val="single"/>
    </w:rPr>
  </w:style>
  <w:style w:type="character" w:customStyle="1" w:styleId="93">
    <w:name w:val=" Char Char Char"/>
    <w:qFormat/>
    <w:uiPriority w:val="0"/>
    <w:rPr>
      <w:rFonts w:ascii="Cambria" w:hAnsi="Cambria"/>
      <w:b/>
      <w:bCs/>
      <w:kern w:val="2"/>
      <w:sz w:val="32"/>
      <w:szCs w:val="32"/>
      <w:lang w:bidi="ar-SA"/>
    </w:rPr>
  </w:style>
  <w:style w:type="character" w:customStyle="1" w:styleId="94">
    <w:name w:val="普通文字 Char Char1"/>
    <w:qFormat/>
    <w:uiPriority w:val="0"/>
    <w:rPr>
      <w:rFonts w:ascii="Courier New" w:hAnsi="Courier New" w:eastAsia="宋体"/>
      <w:kern w:val="2"/>
      <w:sz w:val="21"/>
      <w:lang w:val="en-US" w:eastAsia="zh-CN" w:bidi="ar-SA"/>
    </w:rPr>
  </w:style>
  <w:style w:type="character" w:customStyle="1" w:styleId="95">
    <w:name w:val="Document Map Char"/>
    <w:qFormat/>
    <w:locked/>
    <w:uiPriority w:val="0"/>
    <w:rPr>
      <w:rFonts w:ascii="Times New Roman" w:hAnsi="Times New Roman"/>
      <w:sz w:val="24"/>
      <w:shd w:val="clear" w:color="auto" w:fill="000080"/>
    </w:rPr>
  </w:style>
  <w:style w:type="character" w:customStyle="1" w:styleId="96">
    <w:name w:val="正文呀 Char Char"/>
    <w:link w:val="97"/>
    <w:qFormat/>
    <w:uiPriority w:val="0"/>
    <w:rPr>
      <w:rFonts w:ascii="宋体" w:hAnsi="宋体"/>
      <w:kern w:val="2"/>
      <w:sz w:val="21"/>
      <w:szCs w:val="21"/>
      <w:lang w:bidi="ar-SA"/>
    </w:rPr>
  </w:style>
  <w:style w:type="paragraph" w:customStyle="1" w:styleId="97">
    <w:name w:val="正文呀"/>
    <w:basedOn w:val="1"/>
    <w:link w:val="96"/>
    <w:qFormat/>
    <w:uiPriority w:val="0"/>
    <w:pPr>
      <w:spacing w:line="420" w:lineRule="exact"/>
      <w:ind w:firstLine="420" w:firstLineChars="200"/>
    </w:pPr>
    <w:rPr>
      <w:rFonts w:ascii="宋体" w:hAnsi="宋体"/>
      <w:sz w:val="21"/>
      <w:szCs w:val="21"/>
    </w:rPr>
  </w:style>
  <w:style w:type="character" w:customStyle="1" w:styleId="98">
    <w:name w:val=" Char Char29"/>
    <w:qFormat/>
    <w:uiPriority w:val="0"/>
    <w:rPr>
      <w:rFonts w:ascii="黑体" w:eastAsia="黑体"/>
      <w:sz w:val="52"/>
      <w:lang w:val="en-US" w:eastAsia="zh-CN" w:bidi="ar-SA"/>
    </w:rPr>
  </w:style>
  <w:style w:type="character" w:customStyle="1" w:styleId="99">
    <w:name w:val=" Char Char23"/>
    <w:qFormat/>
    <w:uiPriority w:val="0"/>
    <w:rPr>
      <w:rFonts w:ascii="Calibri" w:hAnsi="Calibri"/>
      <w:b/>
      <w:bCs/>
      <w:kern w:val="2"/>
      <w:sz w:val="24"/>
      <w:szCs w:val="24"/>
    </w:rPr>
  </w:style>
  <w:style w:type="character" w:customStyle="1" w:styleId="100">
    <w:name w:val="font5 Char"/>
    <w:qFormat/>
    <w:uiPriority w:val="0"/>
    <w:rPr>
      <w:rFonts w:ascii="宋体" w:hAnsi="宋体" w:eastAsia="宋体"/>
      <w:sz w:val="24"/>
      <w:szCs w:val="24"/>
      <w:lang w:val="en-US" w:eastAsia="zh-CN" w:bidi="ar-SA"/>
    </w:rPr>
  </w:style>
  <w:style w:type="character" w:customStyle="1" w:styleId="101">
    <w:name w:val="_Style 99"/>
    <w:qFormat/>
    <w:uiPriority w:val="19"/>
    <w:rPr>
      <w:i/>
      <w:color w:val="808080"/>
    </w:rPr>
  </w:style>
  <w:style w:type="character" w:customStyle="1" w:styleId="102">
    <w:name w:val="textcontents"/>
    <w:qFormat/>
    <w:uiPriority w:val="0"/>
  </w:style>
  <w:style w:type="character" w:customStyle="1" w:styleId="103">
    <w:name w:val="Title Char"/>
    <w:qFormat/>
    <w:locked/>
    <w:uiPriority w:val="0"/>
    <w:rPr>
      <w:rFonts w:ascii="Cambria" w:hAnsi="Cambria"/>
      <w:b/>
      <w:sz w:val="32"/>
    </w:rPr>
  </w:style>
  <w:style w:type="character" w:customStyle="1" w:styleId="104">
    <w:name w:val="Body Text Char1"/>
    <w:semiHidden/>
    <w:qFormat/>
    <w:uiPriority w:val="99"/>
    <w:rPr>
      <w:kern w:val="2"/>
      <w:sz w:val="21"/>
      <w:szCs w:val="22"/>
    </w:rPr>
  </w:style>
  <w:style w:type="character" w:customStyle="1" w:styleId="105">
    <w:name w:val="Subtitle Char"/>
    <w:qFormat/>
    <w:locked/>
    <w:uiPriority w:val="0"/>
    <w:rPr>
      <w:rFonts w:ascii="Cambria" w:hAnsi="Cambria"/>
      <w:b/>
      <w:kern w:val="28"/>
      <w:sz w:val="32"/>
    </w:rPr>
  </w:style>
  <w:style w:type="character" w:customStyle="1" w:styleId="106">
    <w:name w:val="Comment Subject Char1"/>
    <w:semiHidden/>
    <w:qFormat/>
    <w:uiPriority w:val="99"/>
    <w:rPr>
      <w:b/>
      <w:bCs/>
      <w:kern w:val="2"/>
      <w:sz w:val="21"/>
      <w:szCs w:val="22"/>
    </w:rPr>
  </w:style>
  <w:style w:type="character" w:customStyle="1" w:styleId="107">
    <w:name w:val="正文小标题 Char Char"/>
    <w:link w:val="108"/>
    <w:qFormat/>
    <w:uiPriority w:val="0"/>
    <w:rPr>
      <w:rFonts w:hAnsi="宋体"/>
      <w:b/>
      <w:bCs/>
      <w:kern w:val="44"/>
      <w:sz w:val="21"/>
      <w:szCs w:val="21"/>
      <w:lang w:bidi="ar-SA"/>
    </w:rPr>
  </w:style>
  <w:style w:type="paragraph" w:customStyle="1" w:styleId="108">
    <w:name w:val="正文小标题"/>
    <w:basedOn w:val="3"/>
    <w:link w:val="107"/>
    <w:qFormat/>
    <w:uiPriority w:val="0"/>
    <w:pPr>
      <w:spacing w:before="0" w:after="0" w:line="420" w:lineRule="exact"/>
    </w:pPr>
    <w:rPr>
      <w:rFonts w:hAnsi="宋体"/>
      <w:bCs/>
      <w:sz w:val="21"/>
      <w:szCs w:val="21"/>
    </w:rPr>
  </w:style>
  <w:style w:type="character" w:customStyle="1" w:styleId="109">
    <w:name w:val="引用 Char1"/>
    <w:qFormat/>
    <w:uiPriority w:val="29"/>
    <w:rPr>
      <w:i/>
      <w:iCs/>
      <w:color w:val="000000"/>
      <w:kern w:val="2"/>
      <w:sz w:val="28"/>
    </w:rPr>
  </w:style>
  <w:style w:type="character" w:customStyle="1" w:styleId="110">
    <w:name w:val="批注文字 Char Char"/>
    <w:qFormat/>
    <w:uiPriority w:val="0"/>
    <w:rPr>
      <w:rFonts w:ascii="宋体" w:hAnsi="Times New Roman" w:eastAsia="宋体"/>
      <w:sz w:val="20"/>
    </w:rPr>
  </w:style>
  <w:style w:type="character" w:customStyle="1" w:styleId="111">
    <w:name w:val="标题 1 Char"/>
    <w:qFormat/>
    <w:uiPriority w:val="0"/>
    <w:rPr>
      <w:rFonts w:eastAsia="宋体"/>
      <w:b/>
      <w:bCs/>
      <w:kern w:val="44"/>
      <w:sz w:val="44"/>
      <w:szCs w:val="44"/>
      <w:lang w:val="en-US" w:eastAsia="zh-CN" w:bidi="ar-SA"/>
    </w:rPr>
  </w:style>
  <w:style w:type="character" w:customStyle="1" w:styleId="112">
    <w:name w:val="Comment Text Char"/>
    <w:qFormat/>
    <w:uiPriority w:val="0"/>
    <w:rPr>
      <w:rFonts w:cs="Times New Roman"/>
      <w:sz w:val="24"/>
      <w:szCs w:val="24"/>
    </w:rPr>
  </w:style>
  <w:style w:type="character" w:customStyle="1" w:styleId="113">
    <w:name w:val="引用 Char"/>
    <w:link w:val="114"/>
    <w:qFormat/>
    <w:uiPriority w:val="29"/>
    <w:rPr>
      <w:rFonts w:ascii="Calibri" w:hAnsi="Calibri"/>
      <w:i/>
      <w:color w:val="000000"/>
    </w:rPr>
  </w:style>
  <w:style w:type="paragraph" w:styleId="114">
    <w:name w:val="Quote"/>
    <w:basedOn w:val="1"/>
    <w:next w:val="1"/>
    <w:link w:val="113"/>
    <w:qFormat/>
    <w:uiPriority w:val="29"/>
    <w:rPr>
      <w:rFonts w:ascii="Calibri" w:hAnsi="Calibri"/>
      <w:i/>
      <w:color w:val="000000"/>
      <w:kern w:val="0"/>
      <w:sz w:val="20"/>
    </w:rPr>
  </w:style>
  <w:style w:type="character" w:customStyle="1" w:styleId="115">
    <w:name w:val="副标题 Char1"/>
    <w:qFormat/>
    <w:uiPriority w:val="0"/>
    <w:rPr>
      <w:rFonts w:ascii="Cambria" w:hAnsi="Cambria" w:cs="Times New Roman"/>
      <w:b/>
      <w:bCs/>
      <w:kern w:val="28"/>
      <w:sz w:val="32"/>
      <w:szCs w:val="32"/>
    </w:rPr>
  </w:style>
  <w:style w:type="character" w:customStyle="1" w:styleId="116">
    <w:name w:val="Quote Char1"/>
    <w:qFormat/>
    <w:uiPriority w:val="29"/>
    <w:rPr>
      <w:i/>
      <w:iCs/>
      <w:color w:val="000000"/>
      <w:kern w:val="2"/>
      <w:sz w:val="21"/>
      <w:szCs w:val="22"/>
    </w:rPr>
  </w:style>
  <w:style w:type="character" w:customStyle="1" w:styleId="117">
    <w:name w:val="Date Char"/>
    <w:qFormat/>
    <w:locked/>
    <w:uiPriority w:val="0"/>
    <w:rPr>
      <w:rFonts w:ascii="宋体" w:hAnsi="Times New Roman"/>
      <w:sz w:val="28"/>
    </w:rPr>
  </w:style>
  <w:style w:type="character" w:customStyle="1" w:styleId="118">
    <w:name w:val="Intense Quote Char"/>
    <w:qFormat/>
    <w:locked/>
    <w:uiPriority w:val="0"/>
    <w:rPr>
      <w:b/>
      <w:i/>
      <w:color w:val="4F81BD"/>
    </w:rPr>
  </w:style>
  <w:style w:type="character" w:customStyle="1" w:styleId="119">
    <w:name w:val="Title Char1"/>
    <w:qFormat/>
    <w:uiPriority w:val="10"/>
    <w:rPr>
      <w:rFonts w:ascii="Cambria" w:hAnsi="Cambria" w:cs="Times New Roman"/>
      <w:b/>
      <w:bCs/>
      <w:kern w:val="2"/>
      <w:sz w:val="32"/>
      <w:szCs w:val="32"/>
    </w:rPr>
  </w:style>
  <w:style w:type="character" w:customStyle="1" w:styleId="120">
    <w:name w:val="Body Text Char"/>
    <w:qFormat/>
    <w:locked/>
    <w:uiPriority w:val="0"/>
    <w:rPr>
      <w:rFonts w:ascii="Times New Roman" w:hAnsi="Times New Roman"/>
    </w:rPr>
  </w:style>
  <w:style w:type="character" w:customStyle="1" w:styleId="121">
    <w:name w:val="Char Char1"/>
    <w:qFormat/>
    <w:uiPriority w:val="0"/>
    <w:rPr>
      <w:rFonts w:eastAsia="宋体"/>
      <w:b/>
      <w:bCs/>
      <w:kern w:val="44"/>
      <w:sz w:val="44"/>
      <w:szCs w:val="44"/>
      <w:lang w:val="en-US" w:eastAsia="zh-CN" w:bidi="ar-SA"/>
    </w:rPr>
  </w:style>
  <w:style w:type="character" w:customStyle="1" w:styleId="122">
    <w:name w:val=" Char Char28"/>
    <w:qFormat/>
    <w:uiPriority w:val="0"/>
    <w:rPr>
      <w:rFonts w:ascii="Arial" w:hAnsi="Arial" w:eastAsia="黑体"/>
      <w:b/>
      <w:bCs/>
      <w:kern w:val="2"/>
      <w:sz w:val="32"/>
      <w:szCs w:val="32"/>
    </w:rPr>
  </w:style>
  <w:style w:type="character" w:customStyle="1" w:styleId="123">
    <w:name w:val="_Style 121"/>
    <w:qFormat/>
    <w:uiPriority w:val="21"/>
    <w:rPr>
      <w:b/>
      <w:i/>
      <w:color w:val="4F81BD"/>
    </w:rPr>
  </w:style>
  <w:style w:type="character" w:customStyle="1" w:styleId="124">
    <w:name w:val="正文呀2 Char"/>
    <w:link w:val="125"/>
    <w:qFormat/>
    <w:uiPriority w:val="0"/>
    <w:rPr>
      <w:rFonts w:eastAsia="宋体"/>
      <w:kern w:val="2"/>
      <w:sz w:val="21"/>
      <w:szCs w:val="21"/>
      <w:lang w:val="en-US" w:eastAsia="zh-CN" w:bidi="ar-SA"/>
    </w:rPr>
  </w:style>
  <w:style w:type="paragraph" w:customStyle="1" w:styleId="125">
    <w:name w:val="正文呀2"/>
    <w:basedOn w:val="97"/>
    <w:link w:val="124"/>
    <w:qFormat/>
    <w:uiPriority w:val="0"/>
    <w:pPr>
      <w:spacing w:line="420" w:lineRule="exact"/>
      <w:ind w:firstLine="420" w:firstLineChars="200"/>
    </w:pPr>
    <w:rPr>
      <w:rFonts w:ascii="Times New Roman" w:hAnsi="Times New Roman"/>
      <w:lang w:val="en-US" w:eastAsia="zh-CN"/>
    </w:rPr>
  </w:style>
  <w:style w:type="character" w:customStyle="1" w:styleId="126">
    <w:name w:val="标题4 Char Char"/>
    <w:link w:val="127"/>
    <w:qFormat/>
    <w:locked/>
    <w:uiPriority w:val="0"/>
    <w:rPr>
      <w:rFonts w:ascii="Arial" w:hAnsi="Arial" w:cs="Arial"/>
      <w:b/>
      <w:sz w:val="32"/>
    </w:rPr>
  </w:style>
  <w:style w:type="paragraph" w:customStyle="1" w:styleId="127">
    <w:name w:val="标题4"/>
    <w:basedOn w:val="4"/>
    <w:next w:val="20"/>
    <w:link w:val="126"/>
    <w:qFormat/>
    <w:uiPriority w:val="0"/>
    <w:pPr>
      <w:spacing w:line="412" w:lineRule="auto"/>
    </w:pPr>
    <w:rPr>
      <w:rFonts w:eastAsia="宋体"/>
      <w:kern w:val="0"/>
    </w:rPr>
  </w:style>
  <w:style w:type="character" w:customStyle="1" w:styleId="128">
    <w:name w:val="_Style 126"/>
    <w:qFormat/>
    <w:uiPriority w:val="33"/>
    <w:rPr>
      <w:b/>
      <w:smallCaps/>
      <w:spacing w:val="5"/>
    </w:rPr>
  </w:style>
  <w:style w:type="character" w:customStyle="1" w:styleId="129">
    <w:name w:val="标题5 Char Char"/>
    <w:link w:val="130"/>
    <w:qFormat/>
    <w:locked/>
    <w:uiPriority w:val="0"/>
    <w:rPr>
      <w:rFonts w:ascii="Arial" w:hAnsi="Arial" w:cs="Arial"/>
      <w:b/>
      <w:sz w:val="32"/>
    </w:rPr>
  </w:style>
  <w:style w:type="paragraph" w:customStyle="1" w:styleId="130">
    <w:name w:val="标题5"/>
    <w:basedOn w:val="5"/>
    <w:link w:val="129"/>
    <w:qFormat/>
    <w:uiPriority w:val="0"/>
    <w:pPr>
      <w:spacing w:line="412" w:lineRule="auto"/>
    </w:pPr>
    <w:rPr>
      <w:rFonts w:ascii="Arial" w:hAnsi="Arial"/>
      <w:kern w:val="0"/>
    </w:rPr>
  </w:style>
  <w:style w:type="character" w:customStyle="1" w:styleId="131">
    <w:name w:val="标题 3 Char"/>
    <w:qFormat/>
    <w:uiPriority w:val="0"/>
    <w:rPr>
      <w:rFonts w:ascii="宋体" w:eastAsia="宋体"/>
      <w:b/>
      <w:bCs/>
      <w:kern w:val="2"/>
      <w:sz w:val="24"/>
      <w:szCs w:val="24"/>
      <w:lang w:val="en-US" w:eastAsia="zh-CN" w:bidi="ar-SA"/>
    </w:rPr>
  </w:style>
  <w:style w:type="character" w:customStyle="1" w:styleId="132">
    <w:name w:val="15"/>
    <w:qFormat/>
    <w:uiPriority w:val="0"/>
    <w:rPr>
      <w:rFonts w:hint="default" w:ascii="Times New Roman" w:hAnsi="Times New Roman" w:cs="Times New Roman"/>
      <w:color w:val="0000FF"/>
      <w:u w:val="single"/>
    </w:rPr>
  </w:style>
  <w:style w:type="character" w:customStyle="1" w:styleId="133">
    <w:name w:val="font161"/>
    <w:qFormat/>
    <w:uiPriority w:val="0"/>
    <w:rPr>
      <w:rFonts w:ascii="Arial" w:hAnsi="Arial" w:eastAsia="黑体"/>
      <w:b/>
      <w:bCs/>
      <w:kern w:val="2"/>
      <w:sz w:val="32"/>
      <w:szCs w:val="32"/>
      <w:lang w:val="en-US" w:eastAsia="zh-CN" w:bidi="ar-SA"/>
    </w:rPr>
  </w:style>
  <w:style w:type="character" w:customStyle="1" w:styleId="134">
    <w:name w:val="文档结构图 Char1"/>
    <w:qFormat/>
    <w:uiPriority w:val="0"/>
    <w:rPr>
      <w:rFonts w:ascii="宋体"/>
      <w:kern w:val="2"/>
      <w:sz w:val="18"/>
    </w:rPr>
  </w:style>
  <w:style w:type="character" w:customStyle="1" w:styleId="135">
    <w:name w:val="明显引用 Char1"/>
    <w:qFormat/>
    <w:uiPriority w:val="30"/>
    <w:rPr>
      <w:b/>
      <w:bCs/>
      <w:i/>
      <w:iCs/>
      <w:color w:val="4F81BD"/>
      <w:kern w:val="2"/>
      <w:sz w:val="28"/>
    </w:rPr>
  </w:style>
  <w:style w:type="character" w:customStyle="1" w:styleId="136">
    <w:name w:val="批注主题 Char2"/>
    <w:semiHidden/>
    <w:qFormat/>
    <w:locked/>
    <w:uiPriority w:val="99"/>
    <w:rPr>
      <w:rFonts w:ascii="Calibri" w:hAnsi="Calibri" w:eastAsia="宋体" w:cs="Times New Roman"/>
      <w:b/>
      <w:bCs/>
    </w:rPr>
  </w:style>
  <w:style w:type="character" w:customStyle="1" w:styleId="137">
    <w:name w:val="正文呀2 Char Char"/>
    <w:qFormat/>
    <w:uiPriority w:val="0"/>
    <w:rPr>
      <w:rFonts w:ascii="宋体" w:hAnsi="宋体"/>
      <w:kern w:val="2"/>
      <w:sz w:val="21"/>
      <w:szCs w:val="21"/>
      <w:lang w:bidi="ar-SA"/>
    </w:rPr>
  </w:style>
  <w:style w:type="character" w:customStyle="1" w:styleId="138">
    <w:name w:val="Balloon Text Char"/>
    <w:qFormat/>
    <w:locked/>
    <w:uiPriority w:val="0"/>
    <w:rPr>
      <w:rFonts w:ascii="宋体" w:hAnsi="Times New Roman"/>
      <w:sz w:val="18"/>
    </w:rPr>
  </w:style>
  <w:style w:type="character" w:customStyle="1" w:styleId="139">
    <w:name w:val=" Char Char26"/>
    <w:qFormat/>
    <w:uiPriority w:val="0"/>
    <w:rPr>
      <w:rFonts w:ascii="Arial" w:hAnsi="Arial" w:eastAsia="宋体"/>
      <w:b/>
      <w:bCs/>
      <w:kern w:val="2"/>
      <w:sz w:val="21"/>
      <w:szCs w:val="28"/>
      <w:lang w:val="en-US" w:eastAsia="zh-CN" w:bidi="ar-SA"/>
    </w:rPr>
  </w:style>
  <w:style w:type="character" w:customStyle="1" w:styleId="140">
    <w:name w:val="Date Char1"/>
    <w:semiHidden/>
    <w:qFormat/>
    <w:uiPriority w:val="99"/>
    <w:rPr>
      <w:kern w:val="2"/>
      <w:sz w:val="21"/>
      <w:szCs w:val="22"/>
    </w:rPr>
  </w:style>
  <w:style w:type="character" w:customStyle="1" w:styleId="141">
    <w:name w:val="批注文字 Char"/>
    <w:qFormat/>
    <w:uiPriority w:val="99"/>
    <w:rPr>
      <w:rFonts w:ascii="Calibri" w:hAnsi="Calibri"/>
      <w:kern w:val="2"/>
      <w:sz w:val="21"/>
      <w:szCs w:val="22"/>
    </w:rPr>
  </w:style>
  <w:style w:type="character" w:customStyle="1" w:styleId="142">
    <w:name w:val="Intense Quote Char1"/>
    <w:qFormat/>
    <w:uiPriority w:val="30"/>
    <w:rPr>
      <w:b/>
      <w:bCs/>
      <w:i/>
      <w:iCs/>
      <w:color w:val="4F81BD"/>
      <w:kern w:val="2"/>
      <w:sz w:val="21"/>
      <w:szCs w:val="22"/>
    </w:rPr>
  </w:style>
  <w:style w:type="character" w:customStyle="1" w:styleId="143">
    <w:name w:val=" Char Char"/>
    <w:qFormat/>
    <w:uiPriority w:val="0"/>
    <w:rPr>
      <w:rFonts w:ascii="宋体" w:hAnsi="Courier New" w:eastAsia="宋体"/>
      <w:kern w:val="2"/>
      <w:sz w:val="21"/>
      <w:lang w:val="en-US" w:eastAsia="zh-CN" w:bidi="ar-SA"/>
    </w:rPr>
  </w:style>
  <w:style w:type="character" w:customStyle="1" w:styleId="144">
    <w:name w:val="Char Char6"/>
    <w:qFormat/>
    <w:uiPriority w:val="0"/>
    <w:rPr>
      <w:rFonts w:eastAsia="宋体"/>
      <w:b/>
      <w:bCs/>
      <w:kern w:val="44"/>
      <w:sz w:val="32"/>
      <w:szCs w:val="44"/>
      <w:lang w:val="en-US" w:eastAsia="zh-CN" w:bidi="ar-SA"/>
    </w:rPr>
  </w:style>
  <w:style w:type="character" w:customStyle="1" w:styleId="145">
    <w:name w:val="Quote Char"/>
    <w:qFormat/>
    <w:locked/>
    <w:uiPriority w:val="0"/>
    <w:rPr>
      <w:i/>
      <w:color w:val="000000"/>
    </w:rPr>
  </w:style>
  <w:style w:type="character" w:customStyle="1" w:styleId="146">
    <w:name w:val="批注主题 Char1"/>
    <w:qFormat/>
    <w:uiPriority w:val="0"/>
    <w:rPr>
      <w:b/>
      <w:bCs/>
      <w:kern w:val="2"/>
      <w:sz w:val="21"/>
      <w:szCs w:val="22"/>
    </w:rPr>
  </w:style>
  <w:style w:type="character" w:customStyle="1" w:styleId="147">
    <w:name w:val="_Style 145"/>
    <w:qFormat/>
    <w:uiPriority w:val="32"/>
    <w:rPr>
      <w:b/>
      <w:smallCaps/>
      <w:color w:val="C0504D"/>
      <w:spacing w:val="5"/>
      <w:u w:val="single"/>
    </w:rPr>
  </w:style>
  <w:style w:type="character" w:customStyle="1" w:styleId="148">
    <w:name w:val="批注主题 Char"/>
    <w:qFormat/>
    <w:uiPriority w:val="0"/>
  </w:style>
  <w:style w:type="character" w:customStyle="1" w:styleId="149">
    <w:name w:val=" Char Char27"/>
    <w:qFormat/>
    <w:uiPriority w:val="0"/>
    <w:rPr>
      <w:rFonts w:ascii="宋体" w:hAnsi="宋体" w:eastAsia="宋体" w:cs="宋体"/>
      <w:b/>
      <w:bCs/>
      <w:sz w:val="27"/>
      <w:szCs w:val="27"/>
      <w:lang w:val="en-US" w:eastAsia="zh-CN" w:bidi="ar-SA"/>
    </w:rPr>
  </w:style>
  <w:style w:type="character" w:customStyle="1" w:styleId="150">
    <w:name w:val="标题 Char1"/>
    <w:qFormat/>
    <w:uiPriority w:val="0"/>
    <w:rPr>
      <w:rFonts w:ascii="Cambria" w:hAnsi="Cambria" w:cs="Times New Roman"/>
      <w:b/>
      <w:bCs/>
      <w:kern w:val="2"/>
      <w:sz w:val="32"/>
      <w:szCs w:val="32"/>
    </w:rPr>
  </w:style>
  <w:style w:type="character" w:customStyle="1" w:styleId="151">
    <w:name w:val="Heading 3 Char"/>
    <w:qFormat/>
    <w:uiPriority w:val="0"/>
    <w:rPr>
      <w:rFonts w:cs="Times New Roman"/>
      <w:b/>
      <w:bCs/>
      <w:kern w:val="2"/>
      <w:sz w:val="32"/>
      <w:szCs w:val="32"/>
    </w:rPr>
  </w:style>
  <w:style w:type="character" w:customStyle="1" w:styleId="152">
    <w:name w:val="Char Char"/>
    <w:qFormat/>
    <w:uiPriority w:val="0"/>
    <w:rPr>
      <w:rFonts w:ascii="Arial" w:hAnsi="Arial" w:eastAsia="黑体"/>
      <w:b/>
      <w:bCs/>
      <w:kern w:val="2"/>
      <w:sz w:val="32"/>
      <w:szCs w:val="32"/>
      <w:lang w:val="en-US" w:eastAsia="zh-CN" w:bidi="ar-SA"/>
    </w:rPr>
  </w:style>
  <w:style w:type="character" w:customStyle="1" w:styleId="153">
    <w:name w:val="Document Map Char1"/>
    <w:semiHidden/>
    <w:qFormat/>
    <w:uiPriority w:val="99"/>
    <w:rPr>
      <w:rFonts w:ascii="Times New Roman" w:hAnsi="Times New Roman"/>
      <w:kern w:val="2"/>
      <w:sz w:val="16"/>
      <w:szCs w:val="0"/>
    </w:rPr>
  </w:style>
  <w:style w:type="character" w:customStyle="1" w:styleId="154">
    <w:name w:val="小标题无样式 Char Char"/>
    <w:link w:val="155"/>
    <w:qFormat/>
    <w:uiPriority w:val="0"/>
    <w:rPr>
      <w:rFonts w:ascii="宋体" w:hAnsi="宋体"/>
      <w:b/>
      <w:kern w:val="2"/>
      <w:sz w:val="24"/>
      <w:szCs w:val="21"/>
      <w:lang w:bidi="ar-SA"/>
    </w:rPr>
  </w:style>
  <w:style w:type="paragraph" w:customStyle="1" w:styleId="155">
    <w:name w:val="小标题无样式"/>
    <w:basedOn w:val="97"/>
    <w:link w:val="154"/>
    <w:qFormat/>
    <w:uiPriority w:val="0"/>
    <w:pPr>
      <w:ind w:firstLine="0" w:firstLineChars="0"/>
    </w:pPr>
    <w:rPr>
      <w:b/>
      <w:sz w:val="24"/>
    </w:rPr>
  </w:style>
  <w:style w:type="character" w:customStyle="1" w:styleId="156">
    <w:name w:val="明显引用 Char"/>
    <w:link w:val="157"/>
    <w:qFormat/>
    <w:uiPriority w:val="30"/>
    <w:rPr>
      <w:rFonts w:ascii="Calibri" w:hAnsi="Calibri"/>
      <w:b/>
      <w:i/>
      <w:color w:val="4F81BD"/>
    </w:rPr>
  </w:style>
  <w:style w:type="paragraph" w:styleId="157">
    <w:name w:val="Intense Quote"/>
    <w:basedOn w:val="1"/>
    <w:next w:val="1"/>
    <w:link w:val="156"/>
    <w:qFormat/>
    <w:uiPriority w:val="30"/>
    <w:pPr>
      <w:pBdr>
        <w:bottom w:val="single" w:color="4F81BD" w:sz="4" w:space="4"/>
      </w:pBdr>
      <w:spacing w:before="200" w:after="280"/>
      <w:ind w:left="936" w:right="936"/>
    </w:pPr>
    <w:rPr>
      <w:rFonts w:ascii="Calibri" w:hAnsi="Calibri"/>
      <w:b/>
      <w:i/>
      <w:color w:val="4F81BD"/>
      <w:kern w:val="0"/>
      <w:sz w:val="20"/>
    </w:rPr>
  </w:style>
  <w:style w:type="character" w:customStyle="1" w:styleId="158">
    <w:name w:val="Balloon Text Char1"/>
    <w:semiHidden/>
    <w:qFormat/>
    <w:uiPriority w:val="99"/>
    <w:rPr>
      <w:kern w:val="2"/>
      <w:sz w:val="16"/>
      <w:szCs w:val="0"/>
    </w:rPr>
  </w:style>
  <w:style w:type="character" w:customStyle="1" w:styleId="159">
    <w:name w:val="批注框文本 Char1"/>
    <w:qFormat/>
    <w:uiPriority w:val="0"/>
    <w:rPr>
      <w:kern w:val="2"/>
      <w:sz w:val="18"/>
    </w:rPr>
  </w:style>
  <w:style w:type="paragraph" w:styleId="1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黑体" w:hAnsi="宋体" w:eastAsia="黑体" w:cs="宋体"/>
      <w:b/>
      <w:bCs/>
      <w:color w:val="080000"/>
      <w:kern w:val="0"/>
      <w:sz w:val="18"/>
      <w:szCs w:val="18"/>
    </w:rPr>
  </w:style>
  <w:style w:type="paragraph" w:customStyle="1" w:styleId="16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163">
    <w:name w:val="xl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b/>
      <w:bCs/>
      <w:color w:val="000000"/>
      <w:kern w:val="0"/>
      <w:sz w:val="24"/>
      <w:szCs w:val="24"/>
    </w:rPr>
  </w:style>
  <w:style w:type="paragraph" w:customStyle="1" w:styleId="164">
    <w:name w:val="_Style 0"/>
    <w:qFormat/>
    <w:uiPriority w:val="0"/>
    <w:rPr>
      <w:rFonts w:ascii="Times New Roman" w:hAnsi="Times New Roman" w:eastAsia="宋体" w:cs="Times New Roman"/>
      <w:sz w:val="22"/>
      <w:szCs w:val="22"/>
      <w:lang w:val="en-US" w:eastAsia="zh-CN" w:bidi="ar-SA"/>
    </w:rPr>
  </w:style>
  <w:style w:type="paragraph" w:customStyle="1" w:styleId="165">
    <w:name w:val="Char Char Char Char Char Char Char Char Char1 Char Char Char Char Char Char Char Char Char Char Char Char Char"/>
    <w:basedOn w:val="3"/>
    <w:qFormat/>
    <w:uiPriority w:val="0"/>
    <w:pPr>
      <w:snapToGrid w:val="0"/>
      <w:spacing w:before="240" w:after="240" w:line="348" w:lineRule="auto"/>
    </w:pPr>
    <w:rPr>
      <w:bCs/>
      <w:szCs w:val="44"/>
      <w:lang w:val="en-US" w:eastAsia="zh-CN"/>
    </w:rPr>
  </w:style>
  <w:style w:type="paragraph" w:customStyle="1" w:styleId="166">
    <w:name w:val=" Char Char Char Char Char Char Char Char Char Char"/>
    <w:basedOn w:val="1"/>
    <w:qFormat/>
    <w:uiPriority w:val="0"/>
    <w:rPr>
      <w:sz w:val="21"/>
      <w:szCs w:val="24"/>
    </w:rPr>
  </w:style>
  <w:style w:type="paragraph" w:customStyle="1" w:styleId="16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kern w:val="0"/>
      <w:sz w:val="28"/>
    </w:rPr>
  </w:style>
  <w:style w:type="paragraph" w:customStyle="1" w:styleId="168">
    <w:name w:val="_Style 166"/>
    <w:qFormat/>
    <w:uiPriority w:val="99"/>
    <w:rPr>
      <w:rFonts w:ascii="Times New Roman" w:hAnsi="Times New Roman" w:eastAsia="宋体" w:cs="Times New Roman"/>
      <w:kern w:val="2"/>
      <w:sz w:val="21"/>
      <w:szCs w:val="24"/>
      <w:lang w:val="en-US" w:eastAsia="zh-CN" w:bidi="ar-SA"/>
    </w:rPr>
  </w:style>
  <w:style w:type="paragraph" w:customStyle="1" w:styleId="169">
    <w:name w:val="6'"/>
    <w:basedOn w:val="1"/>
    <w:qFormat/>
    <w:uiPriority w:val="0"/>
    <w:pPr>
      <w:autoSpaceDE w:val="0"/>
      <w:autoSpaceDN w:val="0"/>
      <w:adjustRightInd w:val="0"/>
      <w:snapToGrid w:val="0"/>
      <w:spacing w:line="320" w:lineRule="exact"/>
      <w:jc w:val="center"/>
      <w:textAlignment w:val="baseline"/>
    </w:pPr>
    <w:rPr>
      <w:spacing w:val="20"/>
      <w:kern w:val="28"/>
      <w:sz w:val="21"/>
    </w:rPr>
  </w:style>
  <w:style w:type="paragraph" w:customStyle="1" w:styleId="170">
    <w:name w:val="xl3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171">
    <w:name w:val="font9"/>
    <w:basedOn w:val="1"/>
    <w:qFormat/>
    <w:uiPriority w:val="0"/>
    <w:pPr>
      <w:widowControl/>
      <w:spacing w:before="100" w:beforeAutospacing="1" w:after="100" w:afterAutospacing="1"/>
      <w:jc w:val="left"/>
    </w:pPr>
    <w:rPr>
      <w:kern w:val="0"/>
      <w:sz w:val="40"/>
      <w:szCs w:val="40"/>
    </w:rPr>
  </w:style>
  <w:style w:type="paragraph" w:customStyle="1" w:styleId="172">
    <w:name w:val="font1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73">
    <w:name w:val="5 Char Char Char Char Char Char Char Char Char Char"/>
    <w:basedOn w:val="1"/>
    <w:qFormat/>
    <w:uiPriority w:val="0"/>
    <w:rPr>
      <w:sz w:val="21"/>
      <w:szCs w:val="24"/>
    </w:rPr>
  </w:style>
  <w:style w:type="paragraph" w:customStyle="1" w:styleId="174">
    <w:name w:val="合同正文"/>
    <w:basedOn w:val="1"/>
    <w:qFormat/>
    <w:uiPriority w:val="0"/>
    <w:pPr>
      <w:adjustRightInd w:val="0"/>
      <w:spacing w:line="580" w:lineRule="exact"/>
    </w:pPr>
    <w:rPr>
      <w:b/>
      <w:sz w:val="24"/>
    </w:rPr>
  </w:style>
  <w:style w:type="paragraph" w:customStyle="1" w:styleId="175">
    <w:name w:val="表格2"/>
    <w:basedOn w:val="1"/>
    <w:qFormat/>
    <w:uiPriority w:val="0"/>
    <w:pPr>
      <w:adjustRightInd w:val="0"/>
      <w:spacing w:before="60" w:after="60"/>
      <w:jc w:val="center"/>
    </w:pPr>
    <w:rPr>
      <w:rFonts w:ascii="宋体"/>
      <w:color w:val="000000"/>
      <w:kern w:val="0"/>
      <w:sz w:val="24"/>
    </w:rPr>
  </w:style>
  <w:style w:type="paragraph" w:customStyle="1" w:styleId="176">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szCs w:val="24"/>
    </w:rPr>
  </w:style>
  <w:style w:type="paragraph" w:customStyle="1" w:styleId="177">
    <w:name w:val="表"/>
    <w:basedOn w:val="1"/>
    <w:qFormat/>
    <w:uiPriority w:val="0"/>
    <w:pPr>
      <w:spacing w:line="300" w:lineRule="auto"/>
    </w:pPr>
    <w:rPr>
      <w:color w:val="000000"/>
      <w:sz w:val="21"/>
      <w:szCs w:val="21"/>
    </w:rPr>
  </w:style>
  <w:style w:type="paragraph" w:customStyle="1" w:styleId="178">
    <w:name w:val="p16"/>
    <w:basedOn w:val="1"/>
    <w:qFormat/>
    <w:uiPriority w:val="0"/>
    <w:pPr>
      <w:widowControl/>
    </w:pPr>
    <w:rPr>
      <w:kern w:val="0"/>
      <w:sz w:val="21"/>
      <w:szCs w:val="21"/>
    </w:rPr>
  </w:style>
  <w:style w:type="paragraph" w:customStyle="1" w:styleId="17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80">
    <w:name w:val="xl54"/>
    <w:basedOn w:val="1"/>
    <w:qFormat/>
    <w:uiPriority w:val="0"/>
    <w:pPr>
      <w:widowControl/>
      <w:pBdr>
        <w:top w:val="single" w:color="auto" w:sz="4" w:space="0"/>
      </w:pBdr>
      <w:spacing w:before="100" w:beforeAutospacing="1" w:after="100" w:afterAutospacing="1"/>
      <w:jc w:val="center"/>
      <w:textAlignment w:val="center"/>
    </w:pPr>
    <w:rPr>
      <w:rFonts w:ascii="黑体" w:hAnsi="宋体" w:eastAsia="黑体" w:cs="宋体"/>
      <w:b/>
      <w:bCs/>
      <w:color w:val="000000"/>
      <w:kern w:val="0"/>
      <w:sz w:val="18"/>
      <w:szCs w:val="18"/>
    </w:rPr>
  </w:style>
  <w:style w:type="paragraph" w:customStyle="1" w:styleId="181">
    <w:name w:val="font6"/>
    <w:basedOn w:val="1"/>
    <w:qFormat/>
    <w:uiPriority w:val="0"/>
    <w:pPr>
      <w:widowControl/>
      <w:spacing w:before="100" w:beforeAutospacing="1" w:after="100" w:afterAutospacing="1"/>
      <w:jc w:val="left"/>
    </w:pPr>
    <w:rPr>
      <w:kern w:val="0"/>
      <w:sz w:val="24"/>
      <w:szCs w:val="24"/>
    </w:rPr>
  </w:style>
  <w:style w:type="paragraph" w:customStyle="1" w:styleId="18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90909"/>
      <w:kern w:val="0"/>
      <w:sz w:val="24"/>
      <w:szCs w:val="24"/>
    </w:rPr>
  </w:style>
  <w:style w:type="paragraph" w:customStyle="1" w:styleId="183">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184">
    <w:name w:val="xl4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185">
    <w:name w:val="xl51"/>
    <w:basedOn w:val="1"/>
    <w:qFormat/>
    <w:uiPriority w:val="0"/>
    <w:pPr>
      <w:widowControl/>
      <w:pBdr>
        <w:top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86">
    <w:name w:val="xl50"/>
    <w:basedOn w:val="1"/>
    <w:qFormat/>
    <w:uiPriority w:val="0"/>
    <w:pPr>
      <w:widowControl/>
      <w:pBdr>
        <w:top w:val="single" w:color="auto" w:sz="4" w:space="0"/>
      </w:pBdr>
      <w:spacing w:before="100" w:beforeAutospacing="1" w:after="100" w:afterAutospacing="1"/>
      <w:jc w:val="center"/>
      <w:textAlignment w:val="center"/>
    </w:pPr>
    <w:rPr>
      <w:rFonts w:ascii="黑体" w:hAnsi="宋体" w:eastAsia="黑体" w:cs="宋体"/>
      <w:b/>
      <w:bCs/>
      <w:color w:val="080000"/>
      <w:kern w:val="0"/>
      <w:sz w:val="18"/>
      <w:szCs w:val="18"/>
    </w:rPr>
  </w:style>
  <w:style w:type="paragraph" w:customStyle="1" w:styleId="187">
    <w:name w:val="xl4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8">
    <w:name w:val=" Char Char Char Char Char Char Char"/>
    <w:basedOn w:val="1"/>
    <w:qFormat/>
    <w:uiPriority w:val="0"/>
    <w:rPr>
      <w:sz w:val="21"/>
      <w:szCs w:val="24"/>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80000"/>
      <w:kern w:val="0"/>
      <w:sz w:val="18"/>
      <w:szCs w:val="18"/>
    </w:rPr>
  </w:style>
  <w:style w:type="paragraph" w:customStyle="1" w:styleId="190">
    <w:name w:val="Char"/>
    <w:basedOn w:val="1"/>
    <w:qFormat/>
    <w:uiPriority w:val="0"/>
    <w:pPr>
      <w:widowControl/>
      <w:spacing w:after="160" w:line="240" w:lineRule="exact"/>
      <w:jc w:val="left"/>
    </w:pPr>
    <w:rPr>
      <w:sz w:val="21"/>
    </w:rPr>
  </w:style>
  <w:style w:type="paragraph" w:customStyle="1" w:styleId="191">
    <w:name w:val="_Style 37"/>
    <w:basedOn w:val="1"/>
    <w:qFormat/>
    <w:uiPriority w:val="0"/>
    <w:rPr>
      <w:sz w:val="21"/>
      <w:szCs w:val="24"/>
    </w:rPr>
  </w:style>
  <w:style w:type="paragraph" w:customStyle="1" w:styleId="192">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19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94">
    <w:name w:val="xl60"/>
    <w:basedOn w:val="1"/>
    <w:qFormat/>
    <w:uiPriority w:val="0"/>
    <w:pPr>
      <w:widowControl/>
      <w:pBdr>
        <w:bottom w:val="single" w:color="auto" w:sz="4" w:space="0"/>
      </w:pBdr>
      <w:spacing w:before="100" w:beforeAutospacing="1" w:after="100" w:afterAutospacing="1"/>
      <w:jc w:val="right"/>
    </w:pPr>
    <w:rPr>
      <w:rFonts w:ascii="黑体" w:hAnsi="宋体" w:eastAsia="黑体" w:cs="宋体"/>
      <w:b/>
      <w:bCs/>
      <w:color w:val="000000"/>
      <w:kern w:val="0"/>
      <w:sz w:val="18"/>
      <w:szCs w:val="18"/>
    </w:rPr>
  </w:style>
  <w:style w:type="paragraph" w:customStyle="1" w:styleId="195">
    <w:name w:val="Char1"/>
    <w:basedOn w:val="1"/>
    <w:qFormat/>
    <w:uiPriority w:val="0"/>
    <w:rPr>
      <w:rFonts w:ascii="Tahoma" w:hAnsi="Tahoma"/>
      <w:sz w:val="24"/>
    </w:rPr>
  </w:style>
  <w:style w:type="paragraph" w:customStyle="1" w:styleId="196">
    <w:name w:val="表头"/>
    <w:basedOn w:val="1"/>
    <w:qFormat/>
    <w:uiPriority w:val="0"/>
    <w:pPr>
      <w:spacing w:line="300" w:lineRule="auto"/>
      <w:jc w:val="center"/>
    </w:pPr>
    <w:rPr>
      <w:rFonts w:eastAsia="黑体" w:cs="华文细黑"/>
      <w:color w:val="000000"/>
      <w:sz w:val="21"/>
      <w:szCs w:val="24"/>
    </w:rPr>
  </w:style>
  <w:style w:type="paragraph" w:customStyle="1" w:styleId="197">
    <w:name w:val="xl46"/>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198">
    <w:name w:val="文件标题"/>
    <w:basedOn w:val="1"/>
    <w:qFormat/>
    <w:uiPriority w:val="0"/>
    <w:pPr>
      <w:jc w:val="center"/>
    </w:pPr>
    <w:rPr>
      <w:b/>
      <w:sz w:val="36"/>
    </w:rPr>
  </w:style>
  <w:style w:type="paragraph" w:customStyle="1" w:styleId="199">
    <w:name w:val="表格文字"/>
    <w:basedOn w:val="1"/>
    <w:qFormat/>
    <w:uiPriority w:val="0"/>
    <w:pPr>
      <w:adjustRightInd w:val="0"/>
      <w:spacing w:line="420" w:lineRule="atLeast"/>
      <w:jc w:val="left"/>
      <w:textAlignment w:val="baseline"/>
    </w:pPr>
    <w:rPr>
      <w:kern w:val="0"/>
      <w:sz w:val="21"/>
    </w:rPr>
  </w:style>
  <w:style w:type="paragraph" w:customStyle="1" w:styleId="200">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201">
    <w:name w:val="纯文本1"/>
    <w:basedOn w:val="1"/>
    <w:qFormat/>
    <w:uiPriority w:val="0"/>
    <w:pPr>
      <w:adjustRightInd w:val="0"/>
      <w:jc w:val="left"/>
      <w:textAlignment w:val="baseline"/>
    </w:pPr>
    <w:rPr>
      <w:rFonts w:ascii="宋体" w:hAnsi="Courier New"/>
      <w:sz w:val="21"/>
    </w:rPr>
  </w:style>
  <w:style w:type="paragraph" w:customStyle="1" w:styleId="202">
    <w:name w:val="xl56"/>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0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0000"/>
      <w:kern w:val="0"/>
      <w:sz w:val="18"/>
      <w:szCs w:val="18"/>
    </w:rPr>
  </w:style>
  <w:style w:type="paragraph" w:styleId="204">
    <w:name w:val="List Paragraph"/>
    <w:basedOn w:val="1"/>
    <w:qFormat/>
    <w:uiPriority w:val="34"/>
    <w:pPr>
      <w:ind w:firstLine="420" w:firstLineChars="200"/>
    </w:pPr>
    <w:rPr>
      <w:rFonts w:ascii="Calibri" w:hAnsi="Calibri"/>
      <w:sz w:val="21"/>
      <w:szCs w:val="22"/>
    </w:rPr>
  </w:style>
  <w:style w:type="paragraph" w:customStyle="1" w:styleId="20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8"/>
    </w:rPr>
  </w:style>
  <w:style w:type="paragraph" w:customStyle="1" w:styleId="206">
    <w:name w:val=" Char"/>
    <w:basedOn w:val="1"/>
    <w:qFormat/>
    <w:uiPriority w:val="0"/>
    <w:pPr>
      <w:tabs>
        <w:tab w:val="left" w:pos="360"/>
      </w:tabs>
      <w:spacing w:line="360" w:lineRule="auto"/>
      <w:ind w:left="482" w:firstLine="200" w:firstLineChars="200"/>
    </w:pPr>
    <w:rPr>
      <w:rFonts w:ascii="宋体"/>
      <w:sz w:val="24"/>
    </w:rPr>
  </w:style>
  <w:style w:type="paragraph" w:customStyle="1" w:styleId="207">
    <w:name w:val="表格"/>
    <w:basedOn w:val="1"/>
    <w:qFormat/>
    <w:uiPriority w:val="0"/>
    <w:pPr>
      <w:jc w:val="center"/>
      <w:textAlignment w:val="center"/>
    </w:pPr>
    <w:rPr>
      <w:rFonts w:ascii="华文细黑" w:hAnsi="华文细黑"/>
      <w:kern w:val="0"/>
      <w:sz w:val="21"/>
    </w:rPr>
  </w:style>
  <w:style w:type="paragraph" w:customStyle="1" w:styleId="208">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9">
    <w:name w:val="Char Char Char Char Char Char Char"/>
    <w:basedOn w:val="1"/>
    <w:qFormat/>
    <w:uiPriority w:val="0"/>
    <w:pPr>
      <w:widowControl/>
      <w:spacing w:after="160" w:line="240" w:lineRule="exact"/>
      <w:jc w:val="left"/>
    </w:pPr>
    <w:rPr>
      <w:sz w:val="21"/>
      <w:szCs w:val="24"/>
    </w:rPr>
  </w:style>
  <w:style w:type="paragraph" w:customStyle="1" w:styleId="210">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211">
    <w:name w:val="xl65"/>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212">
    <w:name w:val="xl66"/>
    <w:basedOn w:val="1"/>
    <w:qFormat/>
    <w:uiPriority w:val="0"/>
    <w:pPr>
      <w:widowControl/>
      <w:pBdr>
        <w:bottom w:val="single" w:color="auto" w:sz="4" w:space="0"/>
      </w:pBdr>
      <w:spacing w:before="100" w:beforeAutospacing="1" w:after="100" w:afterAutospacing="1"/>
      <w:jc w:val="right"/>
    </w:pPr>
    <w:rPr>
      <w:rFonts w:ascii="黑体" w:hAnsi="宋体" w:eastAsia="黑体" w:cs="宋体"/>
      <w:b/>
      <w:bCs/>
      <w:color w:val="000000"/>
      <w:kern w:val="0"/>
      <w:sz w:val="18"/>
      <w:szCs w:val="18"/>
    </w:rPr>
  </w:style>
  <w:style w:type="paragraph" w:customStyle="1" w:styleId="213">
    <w:name w:val="1"/>
    <w:basedOn w:val="1"/>
    <w:qFormat/>
    <w:uiPriority w:val="0"/>
    <w:rPr>
      <w:sz w:val="21"/>
      <w:szCs w:val="24"/>
    </w:rPr>
  </w:style>
  <w:style w:type="paragraph" w:customStyle="1" w:styleId="2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15">
    <w:name w:val="p0"/>
    <w:basedOn w:val="1"/>
    <w:qFormat/>
    <w:uiPriority w:val="0"/>
    <w:pPr>
      <w:widowControl/>
    </w:pPr>
    <w:rPr>
      <w:rFonts w:ascii="Calibri" w:hAnsi="Calibri" w:cs="宋体"/>
      <w:kern w:val="0"/>
      <w:sz w:val="21"/>
      <w:szCs w:val="21"/>
    </w:rPr>
  </w:style>
  <w:style w:type="paragraph" w:customStyle="1" w:styleId="216">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szCs w:val="24"/>
    </w:rPr>
  </w:style>
  <w:style w:type="paragraph" w:customStyle="1" w:styleId="217">
    <w:name w:val="Char Char Char Char Char Char Char1"/>
    <w:basedOn w:val="1"/>
    <w:qFormat/>
    <w:uiPriority w:val="0"/>
    <w:rPr>
      <w:sz w:val="21"/>
      <w:szCs w:val="24"/>
    </w:rPr>
  </w:style>
  <w:style w:type="paragraph" w:customStyle="1" w:styleId="218">
    <w:name w:val="Char Char Char Char Char Char"/>
    <w:basedOn w:val="1"/>
    <w:qFormat/>
    <w:uiPriority w:val="0"/>
    <w:rPr>
      <w:rFonts w:ascii="Tahoma" w:hAnsi="Tahoma"/>
      <w:sz w:val="24"/>
    </w:rPr>
  </w:style>
  <w:style w:type="paragraph" w:customStyle="1" w:styleId="2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0000"/>
      <w:kern w:val="0"/>
      <w:sz w:val="24"/>
      <w:szCs w:val="24"/>
    </w:rPr>
  </w:style>
  <w:style w:type="paragraph" w:customStyle="1" w:styleId="220">
    <w:name w:val=" Char Char Char Char"/>
    <w:basedOn w:val="1"/>
    <w:qFormat/>
    <w:uiPriority w:val="0"/>
    <w:pPr>
      <w:widowControl/>
      <w:spacing w:after="160" w:line="240" w:lineRule="exact"/>
      <w:jc w:val="left"/>
    </w:pPr>
    <w:rPr>
      <w:sz w:val="21"/>
      <w:szCs w:val="24"/>
    </w:rPr>
  </w:style>
  <w:style w:type="paragraph" w:customStyle="1" w:styleId="22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22">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2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4">
    <w:name w:val="xl40"/>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宋体" w:hAnsi="宋体" w:cs="宋体"/>
      <w:color w:val="080000"/>
      <w:kern w:val="0"/>
      <w:sz w:val="18"/>
      <w:szCs w:val="18"/>
    </w:rPr>
  </w:style>
  <w:style w:type="paragraph" w:customStyle="1" w:styleId="225">
    <w:name w:val="样式2"/>
    <w:basedOn w:val="1"/>
    <w:qFormat/>
    <w:uiPriority w:val="0"/>
    <w:pPr>
      <w:tabs>
        <w:tab w:val="left" w:pos="780"/>
        <w:tab w:val="left" w:pos="4255"/>
      </w:tabs>
      <w:ind w:left="4255" w:hanging="1380"/>
    </w:pPr>
  </w:style>
  <w:style w:type="paragraph" w:customStyle="1" w:styleId="226">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27">
    <w:name w:val="Char Char Char Char"/>
    <w:basedOn w:val="1"/>
    <w:qFormat/>
    <w:uiPriority w:val="0"/>
    <w:pPr>
      <w:widowControl/>
      <w:spacing w:after="160" w:line="240" w:lineRule="exact"/>
      <w:jc w:val="left"/>
    </w:pPr>
    <w:rPr>
      <w:sz w:val="21"/>
      <w:szCs w:val="24"/>
    </w:rPr>
  </w:style>
  <w:style w:type="paragraph" w:customStyle="1" w:styleId="228">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0000"/>
      <w:kern w:val="0"/>
      <w:sz w:val="24"/>
      <w:szCs w:val="24"/>
    </w:rPr>
  </w:style>
  <w:style w:type="paragraph" w:customStyle="1" w:styleId="230">
    <w:name w:val="xl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31">
    <w:name w:val=" Char1"/>
    <w:basedOn w:val="15"/>
    <w:qFormat/>
    <w:uiPriority w:val="0"/>
    <w:rPr>
      <w:rFonts w:ascii="黑体" w:eastAsia="黑体"/>
      <w:bCs/>
      <w:kern w:val="0"/>
      <w:szCs w:val="28"/>
    </w:rPr>
  </w:style>
  <w:style w:type="paragraph" w:customStyle="1" w:styleId="232">
    <w:name w:val="2-2ji"/>
    <w:basedOn w:val="4"/>
    <w:qFormat/>
    <w:uiPriority w:val="0"/>
    <w:pPr>
      <w:spacing w:before="0" w:after="0" w:line="360" w:lineRule="auto"/>
      <w:jc w:val="center"/>
    </w:pPr>
    <w:rPr>
      <w:rFonts w:ascii="宋体" w:hAnsi="宋体" w:eastAsia="宋体"/>
      <w:bCs/>
      <w:sz w:val="36"/>
      <w:szCs w:val="24"/>
      <w:lang w:val="en-US" w:eastAsia="zh-CN"/>
    </w:rPr>
  </w:style>
  <w:style w:type="paragraph" w:customStyle="1" w:styleId="233">
    <w:name w:val="xl58"/>
    <w:basedOn w:val="1"/>
    <w:qFormat/>
    <w:uiPriority w:val="0"/>
    <w:pPr>
      <w:widowControl/>
      <w:pBdr>
        <w:bottom w:val="single" w:color="auto" w:sz="4" w:space="0"/>
      </w:pBdr>
      <w:spacing w:before="100" w:beforeAutospacing="1" w:after="100" w:afterAutospacing="1"/>
      <w:jc w:val="left"/>
    </w:pPr>
    <w:rPr>
      <w:rFonts w:ascii="黑体" w:hAnsi="宋体" w:eastAsia="黑体" w:cs="宋体"/>
      <w:b/>
      <w:bCs/>
      <w:color w:val="000000"/>
      <w:kern w:val="0"/>
      <w:sz w:val="24"/>
      <w:szCs w:val="24"/>
    </w:rPr>
  </w:style>
  <w:style w:type="paragraph" w:customStyle="1" w:styleId="234">
    <w:name w:val="简单回函地址"/>
    <w:basedOn w:val="1"/>
    <w:qFormat/>
    <w:uiPriority w:val="0"/>
    <w:rPr>
      <w:rFonts w:ascii="仿宋_GB2312" w:hAnsi="宋体" w:eastAsia="仿宋_GB2312"/>
      <w:bCs/>
      <w:sz w:val="30"/>
    </w:rPr>
  </w:style>
  <w:style w:type="paragraph" w:customStyle="1" w:styleId="235">
    <w:name w:val="Char Char Char Char Char Char Char Char Char Char"/>
    <w:basedOn w:val="1"/>
    <w:qFormat/>
    <w:uiPriority w:val="0"/>
    <w:rPr>
      <w:sz w:val="21"/>
      <w:szCs w:val="24"/>
    </w:rPr>
  </w:style>
  <w:style w:type="paragraph" w:customStyle="1" w:styleId="236">
    <w:name w:val="xl55"/>
    <w:basedOn w:val="1"/>
    <w:qFormat/>
    <w:uiPriority w:val="0"/>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237">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0000"/>
      <w:kern w:val="0"/>
      <w:sz w:val="24"/>
      <w:szCs w:val="24"/>
    </w:rPr>
  </w:style>
  <w:style w:type="paragraph" w:customStyle="1" w:styleId="238">
    <w:name w:val="Body Text 2"/>
    <w:basedOn w:val="1"/>
    <w:qFormat/>
    <w:uiPriority w:val="0"/>
    <w:pPr>
      <w:adjustRightInd w:val="0"/>
      <w:spacing w:line="460" w:lineRule="exact"/>
      <w:ind w:firstLine="635"/>
      <w:jc w:val="left"/>
      <w:textAlignment w:val="baseline"/>
    </w:pPr>
  </w:style>
  <w:style w:type="paragraph" w:customStyle="1" w:styleId="2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00000"/>
      <w:kern w:val="0"/>
      <w:sz w:val="24"/>
      <w:szCs w:val="24"/>
    </w:rPr>
  </w:style>
  <w:style w:type="paragraph" w:customStyle="1" w:styleId="240">
    <w:name w:val="正文文本 21"/>
    <w:basedOn w:val="1"/>
    <w:qFormat/>
    <w:uiPriority w:val="0"/>
    <w:pPr>
      <w:adjustRightInd w:val="0"/>
      <w:spacing w:line="460" w:lineRule="exact"/>
      <w:ind w:firstLine="635"/>
      <w:jc w:val="left"/>
      <w:textAlignment w:val="baseline"/>
    </w:pPr>
  </w:style>
  <w:style w:type="paragraph" w:customStyle="1" w:styleId="241">
    <w:name w:val="font7"/>
    <w:basedOn w:val="1"/>
    <w:qFormat/>
    <w:uiPriority w:val="0"/>
    <w:pPr>
      <w:widowControl/>
      <w:spacing w:before="100" w:beforeAutospacing="1" w:after="100" w:afterAutospacing="1"/>
      <w:jc w:val="left"/>
    </w:pPr>
    <w:rPr>
      <w:rFonts w:hint="eastAsia" w:ascii="宋体" w:hAnsi="宋体"/>
      <w:kern w:val="0"/>
      <w:szCs w:val="28"/>
    </w:rPr>
  </w:style>
  <w:style w:type="paragraph" w:customStyle="1" w:styleId="242">
    <w:name w:val="Char1 Char Char Char Char Char Char"/>
    <w:basedOn w:val="1"/>
    <w:qFormat/>
    <w:uiPriority w:val="0"/>
    <w:rPr>
      <w:rFonts w:ascii="Tahoma" w:hAnsi="Tahoma"/>
      <w:sz w:val="24"/>
    </w:rPr>
  </w:style>
  <w:style w:type="paragraph" w:customStyle="1" w:styleId="243">
    <w:name w:val="Plain Text"/>
    <w:basedOn w:val="1"/>
    <w:qFormat/>
    <w:uiPriority w:val="0"/>
    <w:pPr>
      <w:adjustRightInd w:val="0"/>
      <w:jc w:val="left"/>
      <w:textAlignment w:val="baseline"/>
    </w:pPr>
    <w:rPr>
      <w:rFonts w:ascii="宋体" w:hAnsi="Courier New"/>
      <w:sz w:val="21"/>
    </w:rPr>
  </w:style>
  <w:style w:type="paragraph" w:customStyle="1" w:styleId="244">
    <w:name w:val="标题2"/>
    <w:basedOn w:val="4"/>
    <w:next w:val="1"/>
    <w:qFormat/>
    <w:uiPriority w:val="0"/>
    <w:pPr>
      <w:snapToGrid w:val="0"/>
      <w:spacing w:before="120" w:after="120" w:line="240" w:lineRule="auto"/>
      <w:jc w:val="left"/>
    </w:pPr>
    <w:rPr>
      <w:b w:val="0"/>
      <w:sz w:val="21"/>
      <w:szCs w:val="21"/>
      <w:lang w:val="en-US" w:eastAsia="zh-CN"/>
    </w:rPr>
  </w:style>
  <w:style w:type="paragraph" w:customStyle="1" w:styleId="245">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246">
    <w:name w:val="font5"/>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7">
    <w:name w:val="xl64"/>
    <w:basedOn w:val="1"/>
    <w:qFormat/>
    <w:uiPriority w:val="0"/>
    <w:pPr>
      <w:widowControl/>
      <w:pBdr>
        <w:bottom w:val="single" w:color="auto" w:sz="4" w:space="0"/>
      </w:pBdr>
      <w:spacing w:before="100" w:beforeAutospacing="1" w:after="100" w:afterAutospacing="1"/>
      <w:jc w:val="left"/>
    </w:pPr>
    <w:rPr>
      <w:rFonts w:ascii="黑体" w:hAnsi="宋体" w:eastAsia="黑体" w:cs="宋体"/>
      <w:b/>
      <w:bCs/>
      <w:color w:val="000000"/>
      <w:kern w:val="0"/>
      <w:sz w:val="24"/>
      <w:szCs w:val="24"/>
    </w:rPr>
  </w:style>
  <w:style w:type="paragraph" w:customStyle="1" w:styleId="248">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49">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250">
    <w:name w:val="font8"/>
    <w:basedOn w:val="1"/>
    <w:qFormat/>
    <w:uiPriority w:val="0"/>
    <w:pPr>
      <w:widowControl/>
      <w:spacing w:before="100" w:beforeAutospacing="1" w:after="100" w:afterAutospacing="1"/>
      <w:jc w:val="left"/>
    </w:pPr>
    <w:rPr>
      <w:rFonts w:hint="eastAsia" w:ascii="宋体" w:hAnsi="宋体"/>
      <w:kern w:val="0"/>
      <w:sz w:val="40"/>
      <w:szCs w:val="40"/>
    </w:rPr>
  </w:style>
  <w:style w:type="paragraph" w:customStyle="1" w:styleId="251">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80000"/>
      <w:kern w:val="0"/>
      <w:sz w:val="18"/>
      <w:szCs w:val="18"/>
    </w:rPr>
  </w:style>
  <w:style w:type="paragraph" w:customStyle="1" w:styleId="2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3">
    <w:name w:val="样式 标题 3 + (中文) 黑体 小四 非加粗 段前: 7.8 磅 段后: 0 磅 行距: 固定值 20 磅"/>
    <w:basedOn w:val="5"/>
    <w:qFormat/>
    <w:uiPriority w:val="0"/>
    <w:pPr>
      <w:spacing w:before="0" w:after="0" w:line="400" w:lineRule="exact"/>
    </w:pPr>
    <w:rPr>
      <w:rFonts w:eastAsia="黑体" w:cs="宋体"/>
      <w:b w:val="0"/>
      <w:kern w:val="0"/>
      <w:sz w:val="24"/>
    </w:rPr>
  </w:style>
  <w:style w:type="paragraph" w:customStyle="1" w:styleId="254">
    <w:name w:val="默认段落字体 Para Char Char Char Char Char Char Char"/>
    <w:basedOn w:val="1"/>
    <w:qFormat/>
    <w:uiPriority w:val="0"/>
    <w:pPr>
      <w:adjustRightInd w:val="0"/>
      <w:spacing w:line="360" w:lineRule="auto"/>
      <w:ind w:left="200" w:hanging="200" w:hangingChars="200"/>
    </w:pPr>
    <w:rPr>
      <w:kern w:val="0"/>
      <w:sz w:val="24"/>
    </w:rPr>
  </w:style>
  <w:style w:type="paragraph" w:customStyle="1" w:styleId="255">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黑体" w:hAnsi="宋体" w:eastAsia="黑体" w:cs="宋体"/>
      <w:b/>
      <w:bCs/>
      <w:color w:val="000000"/>
      <w:kern w:val="0"/>
      <w:sz w:val="24"/>
      <w:szCs w:val="24"/>
    </w:rPr>
  </w:style>
  <w:style w:type="paragraph" w:customStyle="1" w:styleId="256">
    <w:name w:val="样式1"/>
    <w:basedOn w:val="1"/>
    <w:next w:val="6"/>
    <w:qFormat/>
    <w:uiPriority w:val="0"/>
    <w:pPr>
      <w:spacing w:line="360" w:lineRule="auto"/>
      <w:ind w:firstLine="420" w:firstLineChars="200"/>
    </w:pPr>
    <w:rPr>
      <w:rFonts w:ascii="宋体" w:hAnsi="宋体"/>
      <w:sz w:val="21"/>
      <w:szCs w:val="21"/>
    </w:rPr>
  </w:style>
  <w:style w:type="paragraph" w:customStyle="1" w:styleId="257">
    <w:name w:val="head1"/>
    <w:basedOn w:val="1"/>
    <w:qFormat/>
    <w:uiPriority w:val="0"/>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258">
    <w:name w:val="xl49"/>
    <w:basedOn w:val="1"/>
    <w:qFormat/>
    <w:uiPriority w:val="0"/>
    <w:pPr>
      <w:widowControl/>
      <w:pBdr>
        <w:top w:val="single" w:color="auto" w:sz="4" w:space="0"/>
      </w:pBdr>
      <w:spacing w:before="100" w:beforeAutospacing="1" w:after="100" w:afterAutospacing="1"/>
      <w:jc w:val="center"/>
      <w:textAlignment w:val="center"/>
    </w:pPr>
    <w:rPr>
      <w:rFonts w:ascii="宋体" w:hAnsi="宋体" w:cs="宋体"/>
      <w:color w:val="080000"/>
      <w:kern w:val="0"/>
      <w:sz w:val="24"/>
      <w:szCs w:val="24"/>
    </w:rPr>
  </w:style>
  <w:style w:type="paragraph" w:customStyle="1" w:styleId="2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b/>
      <w:bCs/>
      <w:color w:val="080000"/>
      <w:kern w:val="0"/>
      <w:sz w:val="18"/>
      <w:szCs w:val="18"/>
    </w:rPr>
  </w:style>
  <w:style w:type="paragraph" w:customStyle="1" w:styleId="260">
    <w:name w:val="文件目录"/>
    <w:basedOn w:val="1"/>
    <w:qFormat/>
    <w:uiPriority w:val="0"/>
    <w:pPr>
      <w:spacing w:line="600" w:lineRule="exact"/>
      <w:jc w:val="left"/>
    </w:pPr>
    <w:rPr>
      <w:b/>
      <w:sz w:val="30"/>
    </w:rPr>
  </w:style>
  <w:style w:type="paragraph" w:customStyle="1" w:styleId="261">
    <w:name w:val="_Style 259"/>
    <w:basedOn w:val="3"/>
    <w:next w:val="1"/>
    <w:qFormat/>
    <w:uiPriority w:val="39"/>
    <w:pPr>
      <w:outlineLvl w:val="9"/>
    </w:pPr>
    <w:rPr>
      <w:rFonts w:ascii="Calibri" w:hAnsi="Calibri"/>
      <w:bCs/>
      <w:szCs w:val="44"/>
    </w:rPr>
  </w:style>
  <w:style w:type="paragraph" w:customStyle="1" w:styleId="26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63">
    <w:name w:val="样式3"/>
    <w:basedOn w:val="1"/>
    <w:qFormat/>
    <w:uiPriority w:val="0"/>
    <w:pPr>
      <w:ind w:left="1065"/>
    </w:pPr>
  </w:style>
  <w:style w:type="paragraph" w:customStyle="1" w:styleId="264">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lang w:val="en-US" w:eastAsia="zh-CN"/>
    </w:rPr>
  </w:style>
  <w:style w:type="paragraph" w:customStyle="1" w:styleId="265">
    <w:name w:val="xl3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80000"/>
      <w:kern w:val="0"/>
      <w:sz w:val="18"/>
      <w:szCs w:val="18"/>
    </w:rPr>
  </w:style>
  <w:style w:type="paragraph" w:customStyle="1" w:styleId="266">
    <w:name w:val="样式 行距: 固定值 25 磅"/>
    <w:basedOn w:val="1"/>
    <w:qFormat/>
    <w:uiPriority w:val="0"/>
    <w:pPr>
      <w:spacing w:line="500" w:lineRule="exact"/>
    </w:pPr>
    <w:rPr>
      <w:rFonts w:cs="宋体"/>
    </w:rPr>
  </w:style>
  <w:style w:type="paragraph" w:customStyle="1" w:styleId="267">
    <w:name w:val="xl59"/>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26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269">
    <w:name w:val=" Char1 Char Char Char Char Char Char"/>
    <w:basedOn w:val="1"/>
    <w:qFormat/>
    <w:uiPriority w:val="0"/>
    <w:rPr>
      <w:rFonts w:ascii="Tahoma" w:hAnsi="Tahoma"/>
      <w:sz w:val="24"/>
    </w:rPr>
  </w:style>
  <w:style w:type="paragraph" w:customStyle="1" w:styleId="270">
    <w:name w:val="p15"/>
    <w:basedOn w:val="1"/>
    <w:qFormat/>
    <w:uiPriority w:val="0"/>
    <w:pPr>
      <w:widowControl/>
      <w:jc w:val="left"/>
    </w:pPr>
    <w:rPr>
      <w:kern w:val="0"/>
      <w:sz w:val="21"/>
      <w:szCs w:val="21"/>
    </w:rPr>
  </w:style>
  <w:style w:type="paragraph" w:customStyle="1" w:styleId="271">
    <w:name w:val="xl5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宋体" w:eastAsia="黑体" w:cs="宋体"/>
      <w:b/>
      <w:bCs/>
      <w:color w:val="080000"/>
      <w:kern w:val="0"/>
      <w:sz w:val="18"/>
      <w:szCs w:val="18"/>
    </w:rPr>
  </w:style>
  <w:style w:type="paragraph" w:customStyle="1" w:styleId="273">
    <w:name w:val="首行缩进"/>
    <w:basedOn w:val="1"/>
    <w:qFormat/>
    <w:uiPriority w:val="0"/>
    <w:pPr>
      <w:ind w:firstLine="480" w:firstLineChars="200"/>
    </w:pPr>
    <w:rPr>
      <w:rFonts w:ascii="Times New Roman" w:hAnsi="Times New Roman"/>
      <w:szCs w:val="24"/>
    </w:rPr>
  </w:style>
  <w:style w:type="paragraph" w:customStyle="1" w:styleId="274">
    <w:name w:val="Body text|1"/>
    <w:basedOn w:val="1"/>
    <w:qFormat/>
    <w:uiPriority w:val="99"/>
    <w:pPr>
      <w:spacing w:line="360" w:lineRule="auto"/>
      <w:ind w:firstLine="400"/>
    </w:pPr>
    <w:rPr>
      <w:rFonts w:ascii="宋体" w:hAnsi="宋体" w:cs="宋体"/>
      <w:szCs w:val="20"/>
      <w:lang w:val="zh-CN" w:eastAsia="zh-CN"/>
    </w:rPr>
  </w:style>
  <w:style w:type="character" w:customStyle="1" w:styleId="275">
    <w:name w:val="NormalCharacter"/>
    <w:semiHidden/>
    <w:qFormat/>
    <w:uiPriority w:val="0"/>
  </w:style>
  <w:style w:type="paragraph" w:customStyle="1" w:styleId="276">
    <w:name w:val="BodyText"/>
    <w:basedOn w:val="1"/>
    <w:qFormat/>
    <w:locked/>
    <w:uiPriority w:val="0"/>
    <w:pPr>
      <w:spacing w:after="60" w:line="360" w:lineRule="atLeast"/>
      <w:ind w:left="72" w:leftChars="30" w:right="30" w:rightChars="30"/>
      <w:jc w:val="center"/>
    </w:pPr>
    <w:rPr>
      <w:kern w:val="0"/>
      <w:sz w:val="20"/>
      <w:szCs w:val="20"/>
    </w:rPr>
  </w:style>
  <w:style w:type="paragraph" w:customStyle="1" w:styleId="277">
    <w:name w:val="PlainText"/>
    <w:basedOn w:val="1"/>
    <w:next w:val="278"/>
    <w:qFormat/>
    <w:locked/>
    <w:uiPriority w:val="0"/>
    <w:rPr>
      <w:rFonts w:ascii="宋体" w:hAnsi="Courier New"/>
      <w:szCs w:val="20"/>
    </w:rPr>
  </w:style>
  <w:style w:type="paragraph" w:customStyle="1" w:styleId="278">
    <w:name w:val="Index8"/>
    <w:basedOn w:val="1"/>
    <w:next w:val="1"/>
    <w:qFormat/>
    <w:locked/>
    <w:uiPriority w:val="0"/>
    <w:pPr>
      <w:ind w:left="2940"/>
    </w:pPr>
  </w:style>
  <w:style w:type="paragraph" w:customStyle="1" w:styleId="279">
    <w:name w:val="Table Paragraph"/>
    <w:basedOn w:val="1"/>
    <w:qFormat/>
    <w:uiPriority w:val="1"/>
    <w:pPr>
      <w:autoSpaceDE w:val="0"/>
      <w:autoSpaceDN w:val="0"/>
      <w:adjustRightInd w:val="0"/>
      <w:jc w:val="left"/>
    </w:pPr>
    <w:rPr>
      <w:rFonts w:ascii="宋体" w:cs="宋体"/>
      <w:kern w:val="0"/>
      <w:sz w:val="24"/>
      <w:szCs w:val="24"/>
    </w:rPr>
  </w:style>
  <w:style w:type="character" w:customStyle="1" w:styleId="280">
    <w:name w:val="纯文本 字符4"/>
    <w:qFormat/>
    <w:uiPriority w:val="0"/>
    <w:rPr>
      <w:rFonts w:ascii="宋体" w:hAnsi="Courier New" w:eastAsia="宋体"/>
      <w:kern w:val="2"/>
      <w:sz w:val="21"/>
      <w:szCs w:val="20"/>
      <w:lang w:val="en-US" w:eastAsia="zh-CN" w:bidi="ar-SA"/>
    </w:rPr>
  </w:style>
  <w:style w:type="table" w:customStyle="1" w:styleId="281">
    <w:name w:val="Table Normal"/>
    <w:semiHidden/>
    <w:unhideWhenUsed/>
    <w:qFormat/>
    <w:uiPriority w:val="0"/>
    <w:rPr>
      <w:lang w:val="en-US" w:eastAsia="zh-CN" w:bidi="ar-SA"/>
    </w:rPr>
    <w:tblPr>
      <w:tblCellMar>
        <w:top w:w="0" w:type="dxa"/>
        <w:left w:w="0" w:type="dxa"/>
        <w:bottom w:w="0" w:type="dxa"/>
        <w:right w:w="0" w:type="dxa"/>
      </w:tblCellMar>
    </w:tblPr>
  </w:style>
  <w:style w:type="paragraph" w:customStyle="1" w:styleId="282">
    <w:name w:val="WPSOffice手动目录 1"/>
    <w:qFormat/>
    <w:uiPriority w:val="0"/>
    <w:rPr>
      <w:rFonts w:ascii="Arial" w:hAnsi="Arial" w:eastAsia="Arial" w:cs="Arial"/>
      <w:lang w:val="en-US" w:eastAsia="zh-CN" w:bidi="ar-SA"/>
    </w:rPr>
  </w:style>
  <w:style w:type="paragraph" w:customStyle="1" w:styleId="283">
    <w:name w:val="Other|1"/>
    <w:basedOn w:val="1"/>
    <w:qFormat/>
    <w:uiPriority w:val="99"/>
    <w:pPr>
      <w:widowControl/>
      <w:kinsoku w:val="0"/>
      <w:autoSpaceDE w:val="0"/>
      <w:autoSpaceDN w:val="0"/>
      <w:adjustRightInd w:val="0"/>
      <w:snapToGrid w:val="0"/>
      <w:spacing w:line="360" w:lineRule="auto"/>
      <w:ind w:firstLine="400"/>
      <w:jc w:val="left"/>
      <w:textAlignment w:val="baseline"/>
    </w:pPr>
    <w:rPr>
      <w:rFonts w:ascii="宋体" w:hAnsi="宋体" w:eastAsia="Arial" w:cs="宋体"/>
      <w:snapToGrid w:val="0"/>
      <w:color w:val="000000"/>
      <w:kern w:val="0"/>
      <w:sz w:val="21"/>
      <w:lang w:val="zh-CN"/>
    </w:rPr>
  </w:style>
  <w:style w:type="paragraph" w:customStyle="1" w:styleId="284">
    <w:name w:val="Body text|3"/>
    <w:basedOn w:val="1"/>
    <w:qFormat/>
    <w:uiPriority w:val="99"/>
    <w:pPr>
      <w:widowControl/>
      <w:kinsoku w:val="0"/>
      <w:autoSpaceDE w:val="0"/>
      <w:autoSpaceDN w:val="0"/>
      <w:adjustRightInd w:val="0"/>
      <w:snapToGrid w:val="0"/>
      <w:spacing w:after="340"/>
      <w:jc w:val="left"/>
      <w:textAlignment w:val="baseline"/>
    </w:pPr>
    <w:rPr>
      <w:rFonts w:ascii="宋体" w:hAnsi="宋体" w:eastAsia="Arial" w:cs="宋体"/>
      <w:snapToGrid w:val="0"/>
      <w:color w:val="000000"/>
      <w:kern w:val="0"/>
      <w:sz w:val="24"/>
      <w:szCs w:val="21"/>
      <w:lang w:val="zh-CN"/>
    </w:rPr>
  </w:style>
  <w:style w:type="paragraph" w:customStyle="1" w:styleId="285">
    <w:name w:val="Header or footer|1"/>
    <w:basedOn w:val="1"/>
    <w:qFormat/>
    <w:uiPriority w:val="99"/>
    <w:pPr>
      <w:widowControl/>
      <w:kinsoku w:val="0"/>
      <w:autoSpaceDE w:val="0"/>
      <w:autoSpaceDN w:val="0"/>
      <w:adjustRightInd w:val="0"/>
      <w:snapToGrid w:val="0"/>
      <w:jc w:val="center"/>
      <w:textAlignment w:val="baseline"/>
    </w:pPr>
    <w:rPr>
      <w:rFonts w:ascii="Arial" w:hAnsi="Arial" w:eastAsia="Arial" w:cs="Arial"/>
      <w:snapToGrid w:val="0"/>
      <w:color w:val="000000"/>
      <w:kern w:val="0"/>
      <w:sz w:val="17"/>
      <w:szCs w:val="17"/>
      <w:lang w:val="zh-CN"/>
    </w:rPr>
  </w:style>
  <w:style w:type="character" w:customStyle="1" w:styleId="286">
    <w:name w:val="正文首行缩进 2 Char"/>
    <w:basedOn w:val="77"/>
    <w:link w:val="46"/>
    <w:qFormat/>
    <w:uiPriority w:val="99"/>
  </w:style>
  <w:style w:type="character" w:customStyle="1" w:styleId="287">
    <w:name w:val="正文文本 3 Char"/>
    <w:basedOn w:val="49"/>
    <w:link w:val="17"/>
    <w:qFormat/>
    <w:uiPriority w:val="0"/>
    <w:rPr>
      <w:rFonts w:ascii="宋体" w:hAnsi="Courier New"/>
      <w:kern w:val="2"/>
      <w:sz w:val="21"/>
      <w:szCs w:val="24"/>
    </w:rPr>
  </w:style>
  <w:style w:type="character" w:customStyle="1" w:styleId="288">
    <w:name w:val="脚注文本 Char"/>
    <w:basedOn w:val="49"/>
    <w:link w:val="33"/>
    <w:qFormat/>
    <w:uiPriority w:val="0"/>
    <w:rPr>
      <w:kern w:val="2"/>
      <w:sz w:val="18"/>
    </w:rPr>
  </w:style>
  <w:style w:type="character" w:customStyle="1" w:styleId="289">
    <w:name w:val="正文文本 2 Char"/>
    <w:basedOn w:val="49"/>
    <w:link w:val="39"/>
    <w:qFormat/>
    <w:uiPriority w:val="0"/>
    <w:rPr>
      <w:kern w:val="2"/>
      <w:sz w:val="21"/>
    </w:rPr>
  </w:style>
  <w:style w:type="character" w:customStyle="1" w:styleId="290">
    <w:name w:val="HTML 预设格式 Char"/>
    <w:basedOn w:val="49"/>
    <w:link w:val="40"/>
    <w:qFormat/>
    <w:uiPriority w:val="0"/>
    <w:rPr>
      <w:kern w:val="2"/>
      <w:sz w:val="18"/>
      <w:szCs w:val="18"/>
    </w:rPr>
  </w:style>
  <w:style w:type="character" w:customStyle="1" w:styleId="291">
    <w:name w:val="Char Char Char"/>
    <w:qFormat/>
    <w:uiPriority w:val="0"/>
    <w:rPr>
      <w:rFonts w:ascii="Cambria" w:hAnsi="Cambria"/>
      <w:b/>
      <w:bCs/>
      <w:kern w:val="2"/>
      <w:sz w:val="32"/>
      <w:szCs w:val="32"/>
      <w:lang w:bidi="ar-SA"/>
    </w:rPr>
  </w:style>
  <w:style w:type="character" w:customStyle="1" w:styleId="292">
    <w:name w:val="Char Char29"/>
    <w:qFormat/>
    <w:uiPriority w:val="0"/>
    <w:rPr>
      <w:rFonts w:ascii="黑体" w:eastAsia="黑体"/>
      <w:sz w:val="52"/>
      <w:lang w:val="en-US" w:eastAsia="zh-CN" w:bidi="ar-SA"/>
    </w:rPr>
  </w:style>
  <w:style w:type="character" w:customStyle="1" w:styleId="293">
    <w:name w:val="Char Char23"/>
    <w:qFormat/>
    <w:uiPriority w:val="0"/>
    <w:rPr>
      <w:rFonts w:ascii="Calibri" w:hAnsi="Calibri"/>
      <w:b/>
      <w:bCs/>
      <w:kern w:val="2"/>
      <w:sz w:val="24"/>
      <w:szCs w:val="24"/>
    </w:rPr>
  </w:style>
  <w:style w:type="character" w:customStyle="1" w:styleId="294">
    <w:name w:val="引用 Char2"/>
    <w:basedOn w:val="49"/>
    <w:qFormat/>
    <w:uiPriority w:val="29"/>
    <w:rPr>
      <w:i/>
      <w:iCs/>
      <w:color w:val="000000"/>
    </w:rPr>
  </w:style>
  <w:style w:type="character" w:customStyle="1" w:styleId="295">
    <w:name w:val="Char Char28"/>
    <w:qFormat/>
    <w:uiPriority w:val="0"/>
    <w:rPr>
      <w:rFonts w:ascii="Arial" w:hAnsi="Arial" w:eastAsia="黑体"/>
      <w:b/>
      <w:bCs/>
      <w:kern w:val="2"/>
      <w:sz w:val="32"/>
      <w:szCs w:val="32"/>
    </w:rPr>
  </w:style>
  <w:style w:type="character" w:customStyle="1" w:styleId="296">
    <w:name w:val="Char Char26"/>
    <w:qFormat/>
    <w:uiPriority w:val="0"/>
    <w:rPr>
      <w:rFonts w:ascii="Arial" w:hAnsi="Arial" w:eastAsia="宋体"/>
      <w:b/>
      <w:bCs/>
      <w:kern w:val="2"/>
      <w:sz w:val="21"/>
      <w:szCs w:val="28"/>
      <w:lang w:val="en-US" w:eastAsia="zh-CN" w:bidi="ar-SA"/>
    </w:rPr>
  </w:style>
  <w:style w:type="character" w:customStyle="1" w:styleId="297">
    <w:name w:val="Char Char27"/>
    <w:qFormat/>
    <w:uiPriority w:val="0"/>
    <w:rPr>
      <w:rFonts w:ascii="宋体" w:hAnsi="宋体" w:eastAsia="宋体" w:cs="宋体"/>
      <w:b/>
      <w:bCs/>
      <w:sz w:val="27"/>
      <w:szCs w:val="27"/>
      <w:lang w:val="en-US" w:eastAsia="zh-CN" w:bidi="ar-SA"/>
    </w:rPr>
  </w:style>
  <w:style w:type="character" w:customStyle="1" w:styleId="298">
    <w:name w:val="明显引用 Char2"/>
    <w:basedOn w:val="49"/>
    <w:qFormat/>
    <w:uiPriority w:val="30"/>
    <w:rPr>
      <w:b/>
      <w:bCs/>
      <w:i/>
      <w:iCs/>
      <w:color w:val="4F81BD"/>
    </w:rPr>
  </w:style>
  <w:style w:type="paragraph" w:customStyle="1" w:styleId="299">
    <w:name w:val="纯文本2"/>
    <w:basedOn w:val="1"/>
    <w:qFormat/>
    <w:uiPriority w:val="0"/>
    <w:pPr>
      <w:adjustRightInd w:val="0"/>
      <w:jc w:val="left"/>
      <w:textAlignment w:val="baseline"/>
    </w:pPr>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128</Pages>
  <Words>93444</Words>
  <Characters>98625</Characters>
  <Lines>784</Lines>
  <Paragraphs>221</Paragraphs>
  <TotalTime>4</TotalTime>
  <ScaleCrop>false</ScaleCrop>
  <LinksUpToDate>false</LinksUpToDate>
  <CharactersWithSpaces>104881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2022-08-12T11:27:00Z</dcterms:created>
  <dc:creator>周粥粥</dc:creator>
  <cp:lastModifiedBy>WPS_1658970982</cp:lastModifiedBy>
  <cp:lastPrinted>2023-08-10T03:47:00Z</cp:lastPrinted>
  <dcterms:modified xsi:type="dcterms:W3CDTF">2023-08-11T06:30:45Z</dcterms:modified>
  <dc:title>广西德正建设项目管理有限责任公司</dc:title>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9E7C516C31A84945AB0E9C0112283DA2_13</vt:lpwstr>
  </property>
</Properties>
</file>