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line="720" w:lineRule="auto"/>
        <w:jc w:val="center"/>
        <w:rPr>
          <w:rFonts w:hint="eastAsia" w:hAnsi="宋体" w:cs="宋体"/>
          <w:color w:val="000000" w:themeColor="text1"/>
          <w:sz w:val="20"/>
          <w:szCs w:val="18"/>
          <w14:textFill>
            <w14:solidFill>
              <w14:schemeClr w14:val="tx1"/>
            </w14:solidFill>
          </w14:textFill>
        </w:rPr>
      </w:pPr>
      <w:r>
        <w:rPr>
          <w:rFonts w:hint="eastAsia" w:hAnsi="宋体" w:cs="宋体"/>
          <w:b/>
          <w:bCs/>
          <w:color w:val="000000" w:themeColor="text1"/>
          <w:spacing w:val="80"/>
          <w:sz w:val="52"/>
          <w:szCs w:val="52"/>
          <w:lang w:eastAsia="zh-CN"/>
          <w14:textFill>
            <w14:solidFill>
              <w14:schemeClr w14:val="tx1"/>
            </w14:solidFill>
          </w14:textFill>
        </w:rPr>
        <w:t>广西朝华工程项目管理有限公司</w:t>
      </w:r>
    </w:p>
    <w:p>
      <w:pPr>
        <w:spacing w:line="720" w:lineRule="auto"/>
        <w:jc w:val="center"/>
        <w:rPr>
          <w:rFonts w:hint="eastAsia" w:ascii="宋体" w:hAnsi="宋体" w:cs="宋体"/>
          <w:b/>
          <w:color w:val="000000" w:themeColor="text1"/>
          <w:spacing w:val="60"/>
          <w:sz w:val="112"/>
          <w:szCs w:val="112"/>
          <w14:textFill>
            <w14:solidFill>
              <w14:schemeClr w14:val="tx1"/>
            </w14:solidFill>
          </w14:textFill>
        </w:rPr>
      </w:pPr>
    </w:p>
    <w:p>
      <w:pPr>
        <w:spacing w:line="720" w:lineRule="auto"/>
        <w:jc w:val="center"/>
        <w:rPr>
          <w:rFonts w:hint="eastAsia" w:ascii="宋体" w:hAnsi="宋体" w:cs="宋体"/>
          <w:b/>
          <w:color w:val="000000" w:themeColor="text1"/>
          <w:spacing w:val="60"/>
          <w:sz w:val="112"/>
          <w:szCs w:val="112"/>
          <w14:textFill>
            <w14:solidFill>
              <w14:schemeClr w14:val="tx1"/>
            </w14:solidFill>
          </w14:textFill>
        </w:rPr>
      </w:pPr>
      <w:r>
        <w:rPr>
          <w:rFonts w:hint="eastAsia" w:ascii="宋体" w:hAnsi="宋体" w:cs="宋体"/>
          <w:b/>
          <w:color w:val="000000" w:themeColor="text1"/>
          <w:spacing w:val="60"/>
          <w:sz w:val="112"/>
          <w:szCs w:val="112"/>
          <w14:textFill>
            <w14:solidFill>
              <w14:schemeClr w14:val="tx1"/>
            </w14:solidFill>
          </w14:textFill>
        </w:rPr>
        <w:t>招标文件</w:t>
      </w:r>
    </w:p>
    <w:p>
      <w:pPr>
        <w:pStyle w:val="20"/>
        <w:spacing w:line="720" w:lineRule="auto"/>
        <w:rPr>
          <w:rFonts w:hint="eastAsia" w:hAnsi="宋体" w:cs="宋体"/>
          <w:color w:val="000000" w:themeColor="text1"/>
          <w14:textFill>
            <w14:solidFill>
              <w14:schemeClr w14:val="tx1"/>
            </w14:solidFill>
          </w14:textFill>
        </w:rPr>
      </w:pPr>
    </w:p>
    <w:p>
      <w:pPr>
        <w:pStyle w:val="20"/>
        <w:spacing w:line="440" w:lineRule="exact"/>
        <w:ind w:firstLine="3885" w:firstLineChars="1850"/>
        <w:rPr>
          <w:rFonts w:hint="eastAsia" w:hAnsi="宋体" w:cs="宋体"/>
          <w:color w:val="000000" w:themeColor="text1"/>
          <w14:textFill>
            <w14:solidFill>
              <w14:schemeClr w14:val="tx1"/>
            </w14:solidFill>
          </w14:textFill>
        </w:rPr>
      </w:pPr>
    </w:p>
    <w:p>
      <w:pPr>
        <w:pStyle w:val="13"/>
        <w:rPr>
          <w:rFonts w:hint="eastAsia"/>
          <w:color w:val="000000" w:themeColor="text1"/>
          <w14:textFill>
            <w14:solidFill>
              <w14:schemeClr w14:val="tx1"/>
            </w14:solidFill>
          </w14:textFill>
        </w:rPr>
      </w:pPr>
    </w:p>
    <w:p>
      <w:pPr>
        <w:pStyle w:val="20"/>
        <w:spacing w:line="440" w:lineRule="exact"/>
        <w:rPr>
          <w:rFonts w:hint="eastAsia" w:hAnsi="宋体" w:cs="宋体"/>
          <w:color w:val="000000" w:themeColor="text1"/>
          <w14:textFill>
            <w14:solidFill>
              <w14:schemeClr w14:val="tx1"/>
            </w14:solidFill>
          </w14:textFill>
        </w:rPr>
      </w:pPr>
    </w:p>
    <w:p>
      <w:pPr>
        <w:spacing w:line="600" w:lineRule="auto"/>
        <w:ind w:firstLine="643" w:firstLineChars="200"/>
        <w:rPr>
          <w:rFonts w:hint="eastAsia" w:ascii="宋体" w:hAnsi="宋体" w:cs="宋体"/>
          <w:b/>
          <w:bCs/>
          <w:color w:val="000000" w:themeColor="text1"/>
          <w:spacing w:val="0"/>
          <w:sz w:val="32"/>
          <w:lang w:eastAsia="zh-CN"/>
          <w14:textFill>
            <w14:solidFill>
              <w14:schemeClr w14:val="tx1"/>
            </w14:solidFill>
          </w14:textFill>
        </w:rPr>
      </w:pPr>
      <w:r>
        <w:rPr>
          <w:rFonts w:hint="eastAsia" w:ascii="宋体" w:hAnsi="宋体" w:cs="宋体"/>
          <w:b/>
          <w:bCs/>
          <w:color w:val="000000" w:themeColor="text1"/>
          <w:spacing w:val="0"/>
          <w:sz w:val="32"/>
          <w14:textFill>
            <w14:solidFill>
              <w14:schemeClr w14:val="tx1"/>
            </w14:solidFill>
          </w14:textFill>
        </w:rPr>
        <w:t>项目名称：</w:t>
      </w:r>
      <w:r>
        <w:rPr>
          <w:rFonts w:hint="eastAsia" w:ascii="宋体" w:hAnsi="宋体" w:cs="宋体"/>
          <w:b/>
          <w:bCs/>
          <w:color w:val="000000" w:themeColor="text1"/>
          <w:spacing w:val="0"/>
          <w:sz w:val="32"/>
          <w:lang w:eastAsia="zh-CN"/>
          <w14:textFill>
            <w14:solidFill>
              <w14:schemeClr w14:val="tx1"/>
            </w14:solidFill>
          </w14:textFill>
        </w:rPr>
        <w:t>灵川县5个镇级污水处理厂统一社会化运营服务采购</w:t>
      </w:r>
    </w:p>
    <w:p>
      <w:pPr>
        <w:pStyle w:val="2"/>
        <w:rPr>
          <w:rFonts w:hint="eastAsia"/>
          <w:color w:val="000000" w:themeColor="text1"/>
          <w:lang w:eastAsia="zh-CN"/>
          <w14:textFill>
            <w14:solidFill>
              <w14:schemeClr w14:val="tx1"/>
            </w14:solidFill>
          </w14:textFill>
        </w:rPr>
      </w:pPr>
    </w:p>
    <w:p>
      <w:pPr>
        <w:spacing w:line="600" w:lineRule="auto"/>
        <w:ind w:firstLine="803" w:firstLineChars="200"/>
        <w:rPr>
          <w:rFonts w:hint="eastAsia" w:ascii="宋体" w:hAnsi="宋体" w:cs="宋体"/>
          <w:color w:val="000000" w:themeColor="text1"/>
          <w14:textFill>
            <w14:solidFill>
              <w14:schemeClr w14:val="tx1"/>
            </w14:solidFill>
          </w14:textFill>
        </w:rPr>
      </w:pPr>
      <w:r>
        <w:rPr>
          <w:rFonts w:hint="eastAsia" w:ascii="宋体" w:hAnsi="宋体" w:cs="宋体"/>
          <w:b/>
          <w:bCs/>
          <w:color w:val="000000" w:themeColor="text1"/>
          <w:spacing w:val="40"/>
          <w:sz w:val="32"/>
          <w14:textFill>
            <w14:solidFill>
              <w14:schemeClr w14:val="tx1"/>
            </w14:solidFill>
          </w14:textFill>
        </w:rPr>
        <w:t>项目编号：</w:t>
      </w:r>
      <w:r>
        <w:rPr>
          <w:rFonts w:hint="eastAsia" w:ascii="宋体" w:hAnsi="宋体" w:cs="宋体"/>
          <w:b/>
          <w:bCs/>
          <w:color w:val="000000" w:themeColor="text1"/>
          <w:spacing w:val="40"/>
          <w:sz w:val="32"/>
          <w:lang w:eastAsia="zh-CN"/>
          <w14:textFill>
            <w14:solidFill>
              <w14:schemeClr w14:val="tx1"/>
            </w14:solidFill>
          </w14:textFill>
        </w:rPr>
        <w:t xml:space="preserve">GLZC2023-G3-230010-GXCH </w:t>
      </w:r>
      <w:r>
        <w:rPr>
          <w:rFonts w:hint="eastAsia" w:ascii="宋体" w:hAnsi="宋体" w:cs="宋体"/>
          <w:color w:val="000000" w:themeColor="text1"/>
          <w14:textFill>
            <w14:solidFill>
              <w14:schemeClr w14:val="tx1"/>
            </w14:solidFill>
          </w14:textFill>
        </w:rPr>
        <w:cr/>
      </w:r>
    </w:p>
    <w:p>
      <w:pPr>
        <w:spacing w:line="600" w:lineRule="auto"/>
        <w:rPr>
          <w:rFonts w:hint="eastAsia" w:ascii="宋体" w:hAnsi="宋体" w:cs="宋体"/>
          <w:color w:val="000000" w:themeColor="text1"/>
          <w14:textFill>
            <w14:solidFill>
              <w14:schemeClr w14:val="tx1"/>
            </w14:solidFill>
          </w14:textFill>
        </w:rPr>
      </w:pPr>
    </w:p>
    <w:p>
      <w:pPr>
        <w:spacing w:line="600" w:lineRule="auto"/>
        <w:ind w:left="1680" w:leftChars="800"/>
        <w:rPr>
          <w:rFonts w:hint="eastAsia" w:ascii="宋体" w:hAnsi="宋体" w:cs="宋体"/>
          <w:b/>
          <w:bCs/>
          <w:color w:val="000000" w:themeColor="text1"/>
          <w:sz w:val="30"/>
          <w:szCs w:val="30"/>
          <w14:textFill>
            <w14:solidFill>
              <w14:schemeClr w14:val="tx1"/>
            </w14:solidFill>
          </w14:textFill>
        </w:rPr>
      </w:pPr>
    </w:p>
    <w:p>
      <w:pPr>
        <w:spacing w:line="600" w:lineRule="auto"/>
        <w:ind w:left="1680" w:leftChars="800"/>
        <w:rPr>
          <w:rFonts w:hint="eastAsia" w:ascii="宋体" w:hAnsi="宋体" w:cs="宋体"/>
          <w:b/>
          <w:bCs/>
          <w:color w:val="000000" w:themeColor="text1"/>
          <w:sz w:val="30"/>
          <w:szCs w:val="30"/>
          <w:lang w:val="en-US" w:eastAsia="zh-CN"/>
          <w14:textFill>
            <w14:solidFill>
              <w14:schemeClr w14:val="tx1"/>
            </w14:solidFill>
          </w14:textFill>
        </w:rPr>
      </w:pPr>
      <w:r>
        <w:rPr>
          <w:rFonts w:hint="eastAsia" w:ascii="宋体" w:hAnsi="宋体" w:cs="宋体"/>
          <w:b/>
          <w:bCs/>
          <w:color w:val="000000" w:themeColor="text1"/>
          <w:sz w:val="30"/>
          <w:szCs w:val="30"/>
          <w:lang w:val="en-US" w:eastAsia="zh-CN"/>
          <w14:textFill>
            <w14:solidFill>
              <w14:schemeClr w14:val="tx1"/>
            </w14:solidFill>
          </w14:textFill>
        </w:rPr>
        <w:t xml:space="preserve"> </w:t>
      </w:r>
    </w:p>
    <w:p>
      <w:pPr>
        <w:spacing w:line="600" w:lineRule="auto"/>
        <w:ind w:left="0" w:leftChars="0" w:firstLine="401" w:firstLineChars="100"/>
        <w:rPr>
          <w:rFonts w:hint="eastAsia" w:ascii="宋体" w:hAnsi="宋体" w:cs="宋体"/>
          <w:b/>
          <w:bCs/>
          <w:color w:val="000000" w:themeColor="text1"/>
          <w:spacing w:val="40"/>
          <w:sz w:val="32"/>
          <w:szCs w:val="32"/>
          <w:lang w:eastAsia="zh-CN"/>
          <w14:textFill>
            <w14:solidFill>
              <w14:schemeClr w14:val="tx1"/>
            </w14:solidFill>
          </w14:textFill>
        </w:rPr>
      </w:pPr>
      <w:r>
        <w:rPr>
          <w:rFonts w:hint="eastAsia" w:ascii="宋体" w:hAnsi="宋体" w:cs="宋体"/>
          <w:b/>
          <w:bCs/>
          <w:color w:val="000000" w:themeColor="text1"/>
          <w:spacing w:val="40"/>
          <w:sz w:val="32"/>
          <w:szCs w:val="32"/>
          <w14:textFill>
            <w14:solidFill>
              <w14:schemeClr w14:val="tx1"/>
            </w14:solidFill>
          </w14:textFill>
        </w:rPr>
        <w:t>采购代理机构：</w:t>
      </w:r>
      <w:r>
        <w:rPr>
          <w:rFonts w:hint="eastAsia" w:ascii="宋体" w:hAnsi="宋体" w:cs="宋体"/>
          <w:b/>
          <w:bCs/>
          <w:color w:val="000000" w:themeColor="text1"/>
          <w:spacing w:val="40"/>
          <w:sz w:val="32"/>
          <w:szCs w:val="32"/>
          <w:lang w:eastAsia="zh-CN"/>
          <w14:textFill>
            <w14:solidFill>
              <w14:schemeClr w14:val="tx1"/>
            </w14:solidFill>
          </w14:textFill>
        </w:rPr>
        <w:t>广西朝华工程项目管理有限公司</w:t>
      </w:r>
    </w:p>
    <w:p>
      <w:pPr>
        <w:pStyle w:val="2"/>
        <w:rPr>
          <w:rFonts w:hint="eastAsia"/>
          <w:color w:val="000000" w:themeColor="text1"/>
          <w:lang w:eastAsia="zh-CN"/>
          <w14:textFill>
            <w14:solidFill>
              <w14:schemeClr w14:val="tx1"/>
            </w14:solidFill>
          </w14:textFill>
        </w:rPr>
      </w:pPr>
    </w:p>
    <w:p>
      <w:pPr>
        <w:spacing w:line="600" w:lineRule="auto"/>
        <w:jc w:val="center"/>
        <w:rPr>
          <w:rFonts w:hint="eastAsia" w:ascii="宋体" w:hAnsi="宋体" w:eastAsia="宋体" w:cs="宋体"/>
          <w:b/>
          <w:bCs/>
          <w:color w:val="000000" w:themeColor="text1"/>
          <w:sz w:val="32"/>
          <w:lang w:eastAsia="zh-CN"/>
          <w14:textFill>
            <w14:solidFill>
              <w14:schemeClr w14:val="tx1"/>
            </w14:solidFill>
          </w14:textFill>
        </w:rPr>
      </w:pPr>
      <w:r>
        <w:rPr>
          <w:rFonts w:hint="eastAsia" w:ascii="宋体" w:hAnsi="宋体" w:cs="宋体"/>
          <w:b/>
          <w:bCs/>
          <w:color w:val="000000" w:themeColor="text1"/>
          <w:sz w:val="32"/>
          <w14:textFill>
            <w14:solidFill>
              <w14:schemeClr w14:val="tx1"/>
            </w14:solidFill>
          </w14:textFill>
        </w:rPr>
        <w:t xml:space="preserve">   </w:t>
      </w:r>
      <w:r>
        <w:rPr>
          <w:rFonts w:hint="eastAsia" w:ascii="宋体" w:hAnsi="宋体" w:cs="宋体"/>
          <w:b/>
          <w:bCs/>
          <w:color w:val="000000" w:themeColor="text1"/>
          <w:sz w:val="32"/>
          <w:lang w:val="en-US" w:eastAsia="zh-CN"/>
          <w14:textFill>
            <w14:solidFill>
              <w14:schemeClr w14:val="tx1"/>
            </w14:solidFill>
          </w14:textFill>
        </w:rPr>
        <w:t>2023年3</w:t>
      </w:r>
      <w:r>
        <w:rPr>
          <w:rFonts w:hint="eastAsia" w:ascii="宋体" w:hAnsi="宋体" w:cs="宋体"/>
          <w:b/>
          <w:bCs/>
          <w:color w:val="000000" w:themeColor="text1"/>
          <w:sz w:val="32"/>
          <w:lang w:eastAsia="zh-CN"/>
          <w14:textFill>
            <w14:solidFill>
              <w14:schemeClr w14:val="tx1"/>
            </w14:solidFill>
          </w14:textFill>
        </w:rPr>
        <w:t>月</w:t>
      </w:r>
    </w:p>
    <w:p>
      <w:pPr>
        <w:pStyle w:val="134"/>
        <w:spacing w:line="440" w:lineRule="exact"/>
        <w:jc w:val="center"/>
        <w:rPr>
          <w:rFonts w:hint="eastAsia" w:ascii="宋体" w:hAnsi="宋体" w:eastAsia="宋体" w:cs="宋体"/>
          <w:color w:val="000000" w:themeColor="text1"/>
          <w:lang w:val="zh-CN"/>
          <w14:textFill>
            <w14:solidFill>
              <w14:schemeClr w14:val="tx1"/>
            </w14:solidFill>
          </w14:textFill>
        </w:rPr>
        <w:sectPr>
          <w:headerReference r:id="rId3" w:type="default"/>
          <w:pgSz w:w="11906" w:h="16838"/>
          <w:pgMar w:top="1440" w:right="1080" w:bottom="1440" w:left="1080" w:header="851" w:footer="992" w:gutter="0"/>
          <w:pgNumType w:fmt="numberInDash"/>
          <w:cols w:space="720" w:num="1"/>
          <w:docGrid w:type="lines" w:linePitch="312" w:charSpace="0"/>
        </w:sectPr>
      </w:pPr>
    </w:p>
    <w:p>
      <w:pPr>
        <w:pStyle w:val="20"/>
        <w:tabs>
          <w:tab w:val="left" w:pos="1550"/>
          <w:tab w:val="center" w:pos="4787"/>
        </w:tabs>
        <w:spacing w:line="600" w:lineRule="auto"/>
        <w:jc w:val="center"/>
        <w:rPr>
          <w:rFonts w:hint="eastAsia" w:hAnsi="宋体" w:cs="宋体"/>
          <w:b/>
          <w:bCs/>
          <w:color w:val="000000" w:themeColor="text1"/>
          <w:sz w:val="44"/>
          <w14:textFill>
            <w14:solidFill>
              <w14:schemeClr w14:val="tx1"/>
            </w14:solidFill>
          </w14:textFill>
        </w:rPr>
      </w:pPr>
    </w:p>
    <w:p>
      <w:pPr>
        <w:pStyle w:val="20"/>
        <w:tabs>
          <w:tab w:val="left" w:pos="1550"/>
          <w:tab w:val="center" w:pos="4787"/>
        </w:tabs>
        <w:spacing w:line="600" w:lineRule="auto"/>
        <w:jc w:val="center"/>
        <w:rPr>
          <w:rFonts w:hAnsi="宋体" w:cs="宋体"/>
          <w:b/>
          <w:bCs/>
          <w:color w:val="000000" w:themeColor="text1"/>
          <w:sz w:val="44"/>
          <w14:textFill>
            <w14:solidFill>
              <w14:schemeClr w14:val="tx1"/>
            </w14:solidFill>
          </w14:textFill>
        </w:rPr>
      </w:pPr>
      <w:r>
        <w:rPr>
          <w:rFonts w:hint="eastAsia" w:hAnsi="宋体" w:cs="宋体"/>
          <w:b/>
          <w:bCs/>
          <w:color w:val="000000" w:themeColor="text1"/>
          <w:sz w:val="44"/>
          <w14:textFill>
            <w14:solidFill>
              <w14:schemeClr w14:val="tx1"/>
            </w14:solidFill>
          </w14:textFill>
        </w:rPr>
        <w:t>目     录</w:t>
      </w:r>
    </w:p>
    <w:p>
      <w:pPr>
        <w:pStyle w:val="20"/>
        <w:spacing w:line="600" w:lineRule="auto"/>
        <w:jc w:val="center"/>
        <w:rPr>
          <w:rFonts w:hAnsi="宋体" w:cs="宋体"/>
          <w:b/>
          <w:bCs/>
          <w:color w:val="000000" w:themeColor="text1"/>
          <w14:textFill>
            <w14:solidFill>
              <w14:schemeClr w14:val="tx1"/>
            </w14:solidFill>
          </w14:textFill>
        </w:rPr>
      </w:pPr>
    </w:p>
    <w:p>
      <w:pPr>
        <w:pStyle w:val="20"/>
        <w:tabs>
          <w:tab w:val="left" w:pos="8860"/>
          <w:tab w:val="left" w:pos="9140"/>
        </w:tabs>
        <w:spacing w:line="600" w:lineRule="auto"/>
        <w:ind w:firstLine="735"/>
        <w:rPr>
          <w:rFonts w:hAnsi="宋体" w:cs="宋体"/>
          <w:b/>
          <w:bCs/>
          <w:color w:val="000000" w:themeColor="text1"/>
          <w:sz w:val="32"/>
          <w14:textFill>
            <w14:solidFill>
              <w14:schemeClr w14:val="tx1"/>
            </w14:solidFill>
          </w14:textFill>
        </w:rPr>
      </w:pPr>
      <w:r>
        <w:rPr>
          <w:rFonts w:hint="eastAsia" w:hAnsi="宋体" w:cs="宋体"/>
          <w:b/>
          <w:bCs/>
          <w:color w:val="000000" w:themeColor="text1"/>
          <w:sz w:val="32"/>
          <w14:textFill>
            <w14:solidFill>
              <w14:schemeClr w14:val="tx1"/>
            </w14:solidFill>
          </w14:textFill>
        </w:rPr>
        <w:t>第一章：公开招标公告..............................1</w:t>
      </w:r>
    </w:p>
    <w:p>
      <w:pPr>
        <w:pStyle w:val="20"/>
        <w:tabs>
          <w:tab w:val="left" w:pos="8860"/>
          <w:tab w:val="left" w:pos="9140"/>
        </w:tabs>
        <w:spacing w:line="600" w:lineRule="auto"/>
        <w:ind w:firstLine="735"/>
        <w:rPr>
          <w:rFonts w:hint="eastAsia" w:hAnsi="宋体" w:eastAsia="宋体" w:cs="宋体"/>
          <w:b/>
          <w:bCs/>
          <w:color w:val="000000" w:themeColor="text1"/>
          <w:sz w:val="32"/>
          <w:lang w:eastAsia="zh-CN"/>
          <w14:textFill>
            <w14:solidFill>
              <w14:schemeClr w14:val="tx1"/>
            </w14:solidFill>
          </w14:textFill>
        </w:rPr>
      </w:pPr>
      <w:r>
        <w:rPr>
          <w:rFonts w:hint="eastAsia" w:hAnsi="宋体" w:cs="宋体"/>
          <w:b/>
          <w:bCs/>
          <w:color w:val="000000" w:themeColor="text1"/>
          <w:sz w:val="32"/>
          <w14:textFill>
            <w14:solidFill>
              <w14:schemeClr w14:val="tx1"/>
            </w14:solidFill>
          </w14:textFill>
        </w:rPr>
        <w:t>第二章：投标人须知................................</w:t>
      </w:r>
      <w:r>
        <w:rPr>
          <w:rFonts w:hint="eastAsia" w:hAnsi="宋体" w:cs="宋体"/>
          <w:b/>
          <w:bCs/>
          <w:color w:val="000000" w:themeColor="text1"/>
          <w:sz w:val="32"/>
          <w:lang w:val="en-US" w:eastAsia="zh-CN"/>
          <w14:textFill>
            <w14:solidFill>
              <w14:schemeClr w14:val="tx1"/>
            </w14:solidFill>
          </w14:textFill>
        </w:rPr>
        <w:t>4</w:t>
      </w:r>
    </w:p>
    <w:p>
      <w:pPr>
        <w:pStyle w:val="20"/>
        <w:spacing w:line="600" w:lineRule="auto"/>
        <w:ind w:firstLine="735"/>
        <w:rPr>
          <w:rFonts w:hint="eastAsia" w:hAnsi="宋体" w:eastAsia="宋体" w:cs="宋体"/>
          <w:b/>
          <w:bCs/>
          <w:color w:val="000000" w:themeColor="text1"/>
          <w:sz w:val="32"/>
          <w:lang w:eastAsia="zh-CN"/>
          <w14:textFill>
            <w14:solidFill>
              <w14:schemeClr w14:val="tx1"/>
            </w14:solidFill>
          </w14:textFill>
        </w:rPr>
      </w:pPr>
      <w:r>
        <w:rPr>
          <w:rFonts w:hint="eastAsia" w:hAnsi="宋体" w:cs="宋体"/>
          <w:b/>
          <w:bCs/>
          <w:color w:val="000000" w:themeColor="text1"/>
          <w:sz w:val="32"/>
          <w14:textFill>
            <w14:solidFill>
              <w14:schemeClr w14:val="tx1"/>
            </w14:solidFill>
          </w14:textFill>
        </w:rPr>
        <w:t>第三章：服务采购需求..............................2</w:t>
      </w:r>
      <w:r>
        <w:rPr>
          <w:rFonts w:hint="eastAsia" w:hAnsi="宋体" w:cs="宋体"/>
          <w:b/>
          <w:bCs/>
          <w:color w:val="000000" w:themeColor="text1"/>
          <w:sz w:val="32"/>
          <w:lang w:val="en-US" w:eastAsia="zh-CN"/>
          <w14:textFill>
            <w14:solidFill>
              <w14:schemeClr w14:val="tx1"/>
            </w14:solidFill>
          </w14:textFill>
        </w:rPr>
        <w:t>2</w:t>
      </w:r>
    </w:p>
    <w:p>
      <w:pPr>
        <w:pStyle w:val="20"/>
        <w:tabs>
          <w:tab w:val="left" w:pos="8930"/>
          <w:tab w:val="left" w:pos="9105"/>
        </w:tabs>
        <w:spacing w:line="600" w:lineRule="auto"/>
        <w:ind w:left="2016" w:leftChars="348" w:hanging="1285" w:hangingChars="400"/>
        <w:rPr>
          <w:rFonts w:hint="eastAsia" w:hAnsi="宋体" w:eastAsia="宋体" w:cs="宋体"/>
          <w:b/>
          <w:bCs/>
          <w:color w:val="000000" w:themeColor="text1"/>
          <w:sz w:val="32"/>
          <w:lang w:eastAsia="zh-CN"/>
          <w14:textFill>
            <w14:solidFill>
              <w14:schemeClr w14:val="tx1"/>
            </w14:solidFill>
          </w14:textFill>
        </w:rPr>
      </w:pPr>
      <w:r>
        <w:rPr>
          <w:rFonts w:hint="eastAsia" w:hAnsi="宋体" w:cs="宋体"/>
          <w:b/>
          <w:bCs/>
          <w:color w:val="000000" w:themeColor="text1"/>
          <w:sz w:val="32"/>
          <w14:textFill>
            <w14:solidFill>
              <w14:schemeClr w14:val="tx1"/>
            </w14:solidFill>
          </w14:textFill>
        </w:rPr>
        <w:t>第四章：评标办法..................................3</w:t>
      </w:r>
      <w:r>
        <w:rPr>
          <w:rFonts w:hint="eastAsia" w:hAnsi="宋体" w:cs="宋体"/>
          <w:b/>
          <w:bCs/>
          <w:color w:val="000000" w:themeColor="text1"/>
          <w:sz w:val="32"/>
          <w:lang w:val="en-US" w:eastAsia="zh-CN"/>
          <w14:textFill>
            <w14:solidFill>
              <w14:schemeClr w14:val="tx1"/>
            </w14:solidFill>
          </w14:textFill>
        </w:rPr>
        <w:t>3</w:t>
      </w:r>
    </w:p>
    <w:p>
      <w:pPr>
        <w:pStyle w:val="20"/>
        <w:spacing w:line="600" w:lineRule="auto"/>
        <w:ind w:firstLine="735"/>
        <w:rPr>
          <w:rFonts w:hint="eastAsia" w:hAnsi="宋体" w:eastAsia="宋体" w:cs="宋体"/>
          <w:b/>
          <w:bCs/>
          <w:color w:val="000000" w:themeColor="text1"/>
          <w:sz w:val="32"/>
          <w:lang w:eastAsia="zh-CN"/>
          <w14:textFill>
            <w14:solidFill>
              <w14:schemeClr w14:val="tx1"/>
            </w14:solidFill>
          </w14:textFill>
        </w:rPr>
      </w:pPr>
      <w:r>
        <w:rPr>
          <w:rFonts w:hint="eastAsia" w:hAnsi="宋体" w:cs="宋体"/>
          <w:b/>
          <w:bCs/>
          <w:color w:val="000000" w:themeColor="text1"/>
          <w:sz w:val="32"/>
          <w14:textFill>
            <w14:solidFill>
              <w14:schemeClr w14:val="tx1"/>
            </w14:solidFill>
          </w14:textFill>
        </w:rPr>
        <w:t>第五章：合同主要条款及格式........................3</w:t>
      </w:r>
      <w:r>
        <w:rPr>
          <w:rFonts w:hint="eastAsia" w:hAnsi="宋体" w:cs="宋体"/>
          <w:b/>
          <w:bCs/>
          <w:color w:val="000000" w:themeColor="text1"/>
          <w:sz w:val="32"/>
          <w:lang w:val="en-US" w:eastAsia="zh-CN"/>
          <w14:textFill>
            <w14:solidFill>
              <w14:schemeClr w14:val="tx1"/>
            </w14:solidFill>
          </w14:textFill>
        </w:rPr>
        <w:t>6</w:t>
      </w:r>
    </w:p>
    <w:p>
      <w:pPr>
        <w:pStyle w:val="20"/>
        <w:spacing w:line="600" w:lineRule="auto"/>
        <w:ind w:firstLine="735"/>
        <w:rPr>
          <w:rFonts w:hint="eastAsia" w:hAnsi="宋体" w:eastAsia="宋体" w:cs="宋体"/>
          <w:b/>
          <w:bCs/>
          <w:color w:val="000000" w:themeColor="text1"/>
          <w:sz w:val="32"/>
          <w:lang w:eastAsia="zh-CN"/>
          <w14:textFill>
            <w14:solidFill>
              <w14:schemeClr w14:val="tx1"/>
            </w14:solidFill>
          </w14:textFill>
        </w:rPr>
      </w:pPr>
      <w:r>
        <w:rPr>
          <w:rFonts w:hint="eastAsia" w:hAnsi="宋体" w:cs="宋体"/>
          <w:b/>
          <w:bCs/>
          <w:color w:val="000000" w:themeColor="text1"/>
          <w:sz w:val="32"/>
          <w14:textFill>
            <w14:solidFill>
              <w14:schemeClr w14:val="tx1"/>
            </w14:solidFill>
          </w14:textFill>
        </w:rPr>
        <w:t>第六章：投标文件格式............. ................4</w:t>
      </w:r>
      <w:r>
        <w:rPr>
          <w:rFonts w:hint="eastAsia" w:hAnsi="宋体" w:cs="宋体"/>
          <w:b/>
          <w:bCs/>
          <w:color w:val="000000" w:themeColor="text1"/>
          <w:sz w:val="32"/>
          <w:lang w:val="en-US" w:eastAsia="zh-CN"/>
          <w14:textFill>
            <w14:solidFill>
              <w14:schemeClr w14:val="tx1"/>
            </w14:solidFill>
          </w14:textFill>
        </w:rPr>
        <w:t>0</w:t>
      </w:r>
    </w:p>
    <w:p>
      <w:pPr>
        <w:spacing w:line="600" w:lineRule="auto"/>
        <w:rPr>
          <w:rFonts w:hint="eastAsia" w:ascii="宋体" w:hAnsi="宋体" w:cs="宋体"/>
          <w:color w:val="000000" w:themeColor="text1"/>
          <w:szCs w:val="21"/>
          <w14:textFill>
            <w14:solidFill>
              <w14:schemeClr w14:val="tx1"/>
            </w14:solidFill>
          </w14:textFill>
        </w:rPr>
      </w:pPr>
    </w:p>
    <w:p>
      <w:pPr>
        <w:spacing w:line="440" w:lineRule="exact"/>
        <w:jc w:val="center"/>
        <w:outlineLvl w:val="0"/>
        <w:rPr>
          <w:rFonts w:hint="eastAsia" w:ascii="宋体" w:hAnsi="宋体" w:cs="宋体"/>
          <w:color w:val="000000" w:themeColor="text1"/>
          <w:sz w:val="32"/>
          <w:szCs w:val="32"/>
          <w14:textFill>
            <w14:solidFill>
              <w14:schemeClr w14:val="tx1"/>
            </w14:solidFill>
          </w14:textFill>
        </w:rPr>
        <w:sectPr>
          <w:pgSz w:w="11906" w:h="16838"/>
          <w:pgMar w:top="1440" w:right="1080" w:bottom="1440" w:left="1080" w:header="851" w:footer="992" w:gutter="0"/>
          <w:pgNumType w:fmt="numberInDash" w:start="1"/>
          <w:cols w:space="720" w:num="1"/>
          <w:docGrid w:type="lines" w:linePitch="312" w:charSpace="0"/>
        </w:sectPr>
      </w:pPr>
    </w:p>
    <w:p>
      <w:pPr>
        <w:pStyle w:val="6"/>
        <w:numPr>
          <w:ilvl w:val="0"/>
          <w:numId w:val="1"/>
        </w:numPr>
        <w:tabs>
          <w:tab w:val="left" w:pos="0"/>
          <w:tab w:val="left" w:pos="3165"/>
          <w:tab w:val="center" w:pos="4153"/>
        </w:tabs>
        <w:autoSpaceDE w:val="0"/>
        <w:autoSpaceDN w:val="0"/>
        <w:adjustRightInd w:val="0"/>
        <w:spacing w:before="0" w:after="0" w:line="440" w:lineRule="exact"/>
        <w:jc w:val="center"/>
        <w:rPr>
          <w:rFonts w:hint="eastAsia" w:ascii="宋体" w:hAnsi="宋体" w:cs="宋体"/>
          <w:color w:val="000000" w:themeColor="text1"/>
          <w:sz w:val="32"/>
          <w:szCs w:val="32"/>
          <w14:textFill>
            <w14:solidFill>
              <w14:schemeClr w14:val="tx1"/>
            </w14:solidFill>
          </w14:textFill>
        </w:rPr>
      </w:pPr>
      <w:bookmarkStart w:id="0" w:name="_Toc35393789"/>
      <w:bookmarkStart w:id="1" w:name="_Toc28359001"/>
      <w:r>
        <w:rPr>
          <w:rFonts w:hint="eastAsia" w:ascii="宋体" w:hAnsi="宋体" w:cs="宋体"/>
          <w:color w:val="000000" w:themeColor="text1"/>
          <w:sz w:val="32"/>
          <w:szCs w:val="32"/>
          <w14:textFill>
            <w14:solidFill>
              <w14:schemeClr w14:val="tx1"/>
            </w14:solidFill>
          </w14:textFill>
        </w:rPr>
        <w:t xml:space="preserve"> </w:t>
      </w:r>
      <w:bookmarkStart w:id="2" w:name="_Toc29044"/>
      <w:r>
        <w:rPr>
          <w:rFonts w:hint="eastAsia" w:ascii="宋体" w:hAnsi="宋体" w:cs="宋体"/>
          <w:color w:val="000000" w:themeColor="text1"/>
          <w:sz w:val="32"/>
          <w:szCs w:val="32"/>
          <w14:textFill>
            <w14:solidFill>
              <w14:schemeClr w14:val="tx1"/>
            </w14:solidFill>
          </w14:textFill>
        </w:rPr>
        <w:t>公开招标公告</w:t>
      </w:r>
      <w:bookmarkEnd w:id="0"/>
      <w:bookmarkEnd w:id="1"/>
      <w:bookmarkEnd w:id="2"/>
    </w:p>
    <w:tbl>
      <w:tblPr>
        <w:tblStyle w:val="33"/>
        <w:tblpPr w:leftFromText="180" w:rightFromText="180" w:vertAnchor="text" w:tblpX="38" w:tblpY="134"/>
        <w:tblOverlap w:val="never"/>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9848" w:type="dxa"/>
          </w:tcPr>
          <w:p>
            <w:pPr>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项目概况</w:t>
            </w:r>
          </w:p>
          <w:p>
            <w:pPr>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lang w:eastAsia="zh-CN"/>
                <w14:textFill>
                  <w14:solidFill>
                    <w14:schemeClr w14:val="tx1"/>
                  </w14:solidFill>
                </w14:textFill>
              </w:rPr>
              <w:t xml:space="preserve">灵川县5个镇级污水处理厂统一社会化运营服务采购 </w:t>
            </w:r>
            <w:r>
              <w:rPr>
                <w:rFonts w:hint="eastAsia" w:ascii="宋体" w:hAnsi="宋体" w:cs="宋体"/>
                <w:color w:val="000000" w:themeColor="text1"/>
                <w:sz w:val="24"/>
                <w14:textFill>
                  <w14:solidFill>
                    <w14:schemeClr w14:val="tx1"/>
                  </w14:solidFill>
                </w14:textFill>
              </w:rPr>
              <w:t>项目的潜在投标人应在</w:t>
            </w:r>
            <w:r>
              <w:rPr>
                <w:rFonts w:hint="eastAsia" w:ascii="宋体" w:hAnsi="宋体" w:cs="宋体"/>
                <w:color w:val="000000" w:themeColor="text1"/>
                <w:sz w:val="24"/>
                <w:u w:val="single"/>
                <w14:textFill>
                  <w14:solidFill>
                    <w14:schemeClr w14:val="tx1"/>
                  </w14:solidFill>
                </w14:textFill>
              </w:rPr>
              <w:t>桂林市公共资源交易中心网（http://glggzy.org.cn）、桂林市政府采购网（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"http://zfcg.guilin.gov.cn"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u w:val="single"/>
                <w14:textFill>
                  <w14:solidFill>
                    <w14:schemeClr w14:val="tx1"/>
                  </w14:solidFill>
                </w14:textFill>
              </w:rPr>
              <w:t>http://zfcg.czj.guilin.gov.cn/</w:t>
            </w:r>
            <w:r>
              <w:rPr>
                <w:rFonts w:hint="eastAsia" w:ascii="宋体" w:hAnsi="宋体" w:cs="宋体"/>
                <w:color w:val="000000" w:themeColor="text1"/>
                <w:sz w:val="24"/>
                <w:u w:val="single"/>
                <w14:textFill>
                  <w14:solidFill>
                    <w14:schemeClr w14:val="tx1"/>
                  </w14:solidFill>
                </w14:textFill>
              </w:rPr>
              <w:fldChar w:fldCharType="end"/>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上获取招标文件，并于</w:t>
            </w:r>
            <w:r>
              <w:rPr>
                <w:rFonts w:hint="eastAsia" w:ascii="宋体" w:hAnsi="宋体" w:cs="宋体"/>
                <w:b/>
                <w:bCs/>
                <w:color w:val="000000" w:themeColor="text1"/>
                <w:sz w:val="24"/>
                <w:u w:val="single"/>
                <w14:textFill>
                  <w14:solidFill>
                    <w14:schemeClr w14:val="tx1"/>
                  </w14:solidFill>
                </w14:textFill>
              </w:rPr>
              <w:t xml:space="preserve"> </w:t>
            </w:r>
            <w:r>
              <w:rPr>
                <w:rFonts w:hint="eastAsia" w:ascii="宋体" w:hAnsi="宋体" w:cs="宋体"/>
                <w:b/>
                <w:bCs/>
                <w:color w:val="000000" w:themeColor="text1"/>
                <w:sz w:val="24"/>
                <w:u w:val="single"/>
                <w:lang w:eastAsia="zh-CN"/>
                <w14:textFill>
                  <w14:solidFill>
                    <w14:schemeClr w14:val="tx1"/>
                  </w14:solidFill>
                </w14:textFill>
              </w:rPr>
              <w:t xml:space="preserve"> </w:t>
            </w:r>
            <w:r>
              <w:rPr>
                <w:rFonts w:hint="eastAsia" w:ascii="宋体" w:hAnsi="宋体" w:cs="宋体"/>
                <w:b/>
                <w:bCs/>
                <w:color w:val="000000" w:themeColor="text1"/>
                <w:sz w:val="24"/>
                <w:u w:val="single"/>
                <w:lang w:val="en-US" w:eastAsia="zh-CN"/>
                <w14:textFill>
                  <w14:solidFill>
                    <w14:schemeClr w14:val="tx1"/>
                  </w14:solidFill>
                </w14:textFill>
              </w:rPr>
              <w:t>2023年4月17日</w:t>
            </w:r>
            <w:r>
              <w:rPr>
                <w:rFonts w:hint="eastAsia" w:ascii="宋体" w:hAnsi="宋体" w:cs="宋体"/>
                <w:b/>
                <w:bCs/>
                <w:color w:val="000000" w:themeColor="text1"/>
                <w:sz w:val="24"/>
                <w:u w:val="single"/>
                <w14:textFill>
                  <w14:solidFill>
                    <w14:schemeClr w14:val="tx1"/>
                  </w14:solidFill>
                </w14:textFill>
              </w:rPr>
              <w:t>9时30分</w:t>
            </w:r>
            <w:r>
              <w:rPr>
                <w:rFonts w:hint="eastAsia" w:ascii="宋体" w:hAnsi="宋体" w:cs="宋体"/>
                <w:bCs/>
                <w:color w:val="000000" w:themeColor="text1"/>
                <w:sz w:val="24"/>
                <w:u w:val="single"/>
                <w14:textFill>
                  <w14:solidFill>
                    <w14:schemeClr w14:val="tx1"/>
                  </w14:solidFill>
                </w14:textFill>
              </w:rPr>
              <w:t>（北京时间）</w:t>
            </w:r>
            <w:r>
              <w:rPr>
                <w:rFonts w:hint="eastAsia" w:ascii="宋体" w:hAnsi="宋体" w:cs="宋体"/>
                <w:bCs/>
                <w:color w:val="000000" w:themeColor="text1"/>
                <w:sz w:val="24"/>
                <w14:textFill>
                  <w14:solidFill>
                    <w14:schemeClr w14:val="tx1"/>
                  </w14:solidFill>
                </w14:textFill>
              </w:rPr>
              <w:t>前递交投标文件</w:t>
            </w:r>
            <w:r>
              <w:rPr>
                <w:rFonts w:hint="eastAsia" w:ascii="宋体" w:hAnsi="宋体" w:cs="宋体"/>
                <w:color w:val="000000" w:themeColor="text1"/>
                <w:sz w:val="24"/>
                <w14:textFill>
                  <w14:solidFill>
                    <w14:schemeClr w14:val="tx1"/>
                  </w14:solidFill>
                </w14:textFill>
              </w:rPr>
              <w:t>。</w:t>
            </w:r>
          </w:p>
        </w:tc>
      </w:tr>
    </w:tbl>
    <w:p>
      <w:pPr>
        <w:spacing w:line="380" w:lineRule="exact"/>
        <w:rPr>
          <w:rFonts w:hint="eastAsia" w:ascii="宋体" w:hAnsi="宋体" w:cs="宋体"/>
          <w:b/>
          <w:bCs/>
          <w:color w:val="000000" w:themeColor="text1"/>
          <w:sz w:val="24"/>
          <w14:textFill>
            <w14:solidFill>
              <w14:schemeClr w14:val="tx1"/>
            </w14:solidFill>
          </w14:textFill>
        </w:rPr>
      </w:pPr>
      <w:bookmarkStart w:id="3" w:name="_Toc28359079"/>
      <w:bookmarkStart w:id="4" w:name="_Toc35393621"/>
      <w:bookmarkStart w:id="5" w:name="_Toc35393790"/>
      <w:bookmarkStart w:id="6" w:name="_Toc28359002"/>
      <w:bookmarkStart w:id="7" w:name="_Hlk24379207"/>
      <w:r>
        <w:rPr>
          <w:rFonts w:hint="eastAsia" w:ascii="宋体" w:hAnsi="宋体" w:cs="宋体"/>
          <w:b/>
          <w:bCs/>
          <w:color w:val="000000" w:themeColor="text1"/>
          <w:sz w:val="24"/>
          <w14:textFill>
            <w14:solidFill>
              <w14:schemeClr w14:val="tx1"/>
            </w14:solidFill>
          </w14:textFill>
        </w:rPr>
        <w:t>一、项目基本情况</w:t>
      </w:r>
      <w:bookmarkEnd w:id="3"/>
      <w:bookmarkEnd w:id="4"/>
      <w:bookmarkEnd w:id="5"/>
      <w:bookmarkEnd w:id="6"/>
    </w:p>
    <w:p>
      <w:pPr>
        <w:spacing w:line="380" w:lineRule="exact"/>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项目编号：</w:t>
      </w:r>
      <w:r>
        <w:rPr>
          <w:rFonts w:hint="eastAsia" w:ascii="宋体" w:hAnsi="宋体" w:cs="宋体"/>
          <w:color w:val="000000" w:themeColor="text1"/>
          <w:sz w:val="24"/>
          <w:lang w:eastAsia="zh-CN"/>
          <w14:textFill>
            <w14:solidFill>
              <w14:schemeClr w14:val="tx1"/>
            </w14:solidFill>
          </w14:textFill>
        </w:rPr>
        <w:t xml:space="preserve">GLZC2023-G3-230010-GXCH </w:t>
      </w:r>
      <w:r>
        <w:rPr>
          <w:rFonts w:hint="eastAsia" w:ascii="宋体" w:hAnsi="宋体" w:cs="宋体"/>
          <w:color w:val="000000" w:themeColor="text1"/>
          <w:sz w:val="24"/>
          <w14:textFill>
            <w14:solidFill>
              <w14:schemeClr w14:val="tx1"/>
            </w14:solidFill>
          </w14:textFill>
        </w:rPr>
        <w:t xml:space="preserve"> </w:t>
      </w:r>
    </w:p>
    <w:p>
      <w:pPr>
        <w:spacing w:line="380" w:lineRule="exact"/>
        <w:ind w:firstLine="482"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项目名称：</w:t>
      </w:r>
      <w:bookmarkEnd w:id="7"/>
      <w:r>
        <w:rPr>
          <w:rFonts w:hint="eastAsia" w:ascii="宋体" w:hAnsi="宋体" w:cs="宋体"/>
          <w:color w:val="000000" w:themeColor="text1"/>
          <w:sz w:val="24"/>
          <w:lang w:eastAsia="zh-CN"/>
          <w14:textFill>
            <w14:solidFill>
              <w14:schemeClr w14:val="tx1"/>
            </w14:solidFill>
          </w14:textFill>
        </w:rPr>
        <w:t>灵川县5个镇级污水处理厂统一社会化运营服务采购</w:t>
      </w:r>
    </w:p>
    <w:p>
      <w:pPr>
        <w:spacing w:line="3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预算总金额：</w:t>
      </w:r>
      <w:r>
        <w:rPr>
          <w:rFonts w:hint="eastAsia" w:ascii="宋体" w:hAnsi="宋体" w:cs="宋体"/>
          <w:color w:val="000000" w:themeColor="text1"/>
          <w:sz w:val="24"/>
          <w14:textFill>
            <w14:solidFill>
              <w14:schemeClr w14:val="tx1"/>
            </w14:solidFill>
          </w14:textFill>
        </w:rPr>
        <w:t>人民币</w:t>
      </w:r>
      <w:r>
        <w:rPr>
          <w:rFonts w:hint="eastAsia" w:ascii="宋体" w:hAnsi="宋体" w:cs="宋体"/>
          <w:color w:val="000000" w:themeColor="text1"/>
          <w:sz w:val="24"/>
          <w:lang w:eastAsia="zh-CN"/>
          <w14:textFill>
            <w14:solidFill>
              <w14:schemeClr w14:val="tx1"/>
            </w14:solidFill>
          </w14:textFill>
        </w:rPr>
        <w:t>陆佰万元整</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6000000.00</w:t>
      </w:r>
      <w:r>
        <w:rPr>
          <w:rFonts w:hint="eastAsia" w:ascii="宋体" w:hAnsi="宋体" w:cs="宋体"/>
          <w:color w:val="000000" w:themeColor="text1"/>
          <w:sz w:val="24"/>
          <w14:textFill>
            <w14:solidFill>
              <w14:schemeClr w14:val="tx1"/>
            </w14:solidFill>
          </w14:textFill>
        </w:rPr>
        <w:t>）</w:t>
      </w:r>
    </w:p>
    <w:p>
      <w:pPr>
        <w:pStyle w:val="52"/>
        <w:spacing w:line="380" w:lineRule="exact"/>
        <w:ind w:firstLine="482" w:firstLineChars="200"/>
        <w:rPr>
          <w:rFonts w:hint="eastAsia" w:ascii="宋体" w:hAnsi="宋体" w:eastAsia="宋体" w:cs="宋体"/>
          <w:b/>
          <w:bCs/>
          <w:color w:val="000000" w:themeColor="text1"/>
          <w:kern w:val="2"/>
          <w:sz w:val="24"/>
          <w:vertAlign w:val="baseline"/>
          <w:lang w:eastAsia="zh-CN"/>
          <w14:textFill>
            <w14:solidFill>
              <w14:schemeClr w14:val="tx1"/>
            </w14:solidFill>
          </w14:textFill>
        </w:rPr>
      </w:pPr>
      <w:r>
        <w:rPr>
          <w:rFonts w:hint="eastAsia" w:ascii="宋体" w:hAnsi="宋体" w:eastAsia="宋体" w:cs="宋体"/>
          <w:b/>
          <w:bCs/>
          <w:color w:val="000000" w:themeColor="text1"/>
          <w:kern w:val="2"/>
          <w:sz w:val="24"/>
          <w:lang w:eastAsia="zh-CN"/>
          <w14:textFill>
            <w14:solidFill>
              <w14:schemeClr w14:val="tx1"/>
            </w14:solidFill>
          </w14:textFill>
        </w:rPr>
        <w:t>采购需求：</w:t>
      </w:r>
    </w:p>
    <w:tbl>
      <w:tblPr>
        <w:tblStyle w:val="34"/>
        <w:tblW w:w="9317"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3613"/>
        <w:gridCol w:w="812"/>
        <w:gridCol w:w="845"/>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69" w:type="dxa"/>
            <w:vAlign w:val="center"/>
          </w:tcPr>
          <w:p>
            <w:pPr>
              <w:spacing w:line="380" w:lineRule="exact"/>
              <w:jc w:val="center"/>
              <w:rPr>
                <w:rFonts w:hint="eastAsia" w:ascii="宋体" w:hAnsi="宋体" w:eastAsia="宋体" w:cs="宋体"/>
                <w:b/>
                <w:bCs/>
                <w:color w:val="000000" w:themeColor="text1"/>
                <w:kern w:val="2"/>
                <w:sz w:val="24"/>
                <w:vertAlign w:val="baseline"/>
                <w:lang w:eastAsia="zh-CN"/>
                <w14:textFill>
                  <w14:solidFill>
                    <w14:schemeClr w14:val="tx1"/>
                  </w14:solidFill>
                </w14:textFill>
              </w:rPr>
            </w:pPr>
            <w:r>
              <w:rPr>
                <w:rFonts w:hint="eastAsia"/>
                <w:b/>
                <w:bCs/>
                <w:color w:val="000000" w:themeColor="text1"/>
                <w:sz w:val="24"/>
                <w:szCs w:val="32"/>
                <w14:textFill>
                  <w14:solidFill>
                    <w14:schemeClr w14:val="tx1"/>
                  </w14:solidFill>
                </w14:textFill>
              </w:rPr>
              <w:t>序号</w:t>
            </w:r>
          </w:p>
        </w:tc>
        <w:tc>
          <w:tcPr>
            <w:tcW w:w="3613" w:type="dxa"/>
            <w:vAlign w:val="center"/>
          </w:tcPr>
          <w:p>
            <w:pPr>
              <w:spacing w:line="380" w:lineRule="exact"/>
              <w:jc w:val="center"/>
              <w:rPr>
                <w:rFonts w:hint="eastAsia" w:ascii="宋体" w:hAnsi="宋体" w:eastAsia="宋体" w:cs="宋体"/>
                <w:b/>
                <w:bCs/>
                <w:color w:val="000000" w:themeColor="text1"/>
                <w:kern w:val="2"/>
                <w:sz w:val="24"/>
                <w:vertAlign w:val="baseline"/>
                <w:lang w:eastAsia="zh-CN"/>
                <w14:textFill>
                  <w14:solidFill>
                    <w14:schemeClr w14:val="tx1"/>
                  </w14:solidFill>
                </w14:textFill>
              </w:rPr>
            </w:pPr>
            <w:r>
              <w:rPr>
                <w:rFonts w:hint="eastAsia"/>
                <w:b/>
                <w:bCs/>
                <w:color w:val="000000" w:themeColor="text1"/>
                <w:sz w:val="24"/>
                <w:szCs w:val="32"/>
                <w14:textFill>
                  <w14:solidFill>
                    <w14:schemeClr w14:val="tx1"/>
                  </w14:solidFill>
                </w14:textFill>
              </w:rPr>
              <w:t>服务名称</w:t>
            </w:r>
          </w:p>
        </w:tc>
        <w:tc>
          <w:tcPr>
            <w:tcW w:w="812" w:type="dxa"/>
            <w:vAlign w:val="center"/>
          </w:tcPr>
          <w:p>
            <w:pPr>
              <w:spacing w:line="380" w:lineRule="exact"/>
              <w:jc w:val="center"/>
              <w:rPr>
                <w:rFonts w:hint="eastAsia" w:ascii="宋体" w:hAnsi="宋体" w:eastAsia="宋体" w:cs="宋体"/>
                <w:b/>
                <w:bCs/>
                <w:color w:val="000000" w:themeColor="text1"/>
                <w:kern w:val="2"/>
                <w:sz w:val="24"/>
                <w:vertAlign w:val="baseline"/>
                <w:lang w:eastAsia="zh-CN"/>
                <w14:textFill>
                  <w14:solidFill>
                    <w14:schemeClr w14:val="tx1"/>
                  </w14:solidFill>
                </w14:textFill>
              </w:rPr>
            </w:pPr>
            <w:r>
              <w:rPr>
                <w:rFonts w:hint="eastAsia"/>
                <w:b/>
                <w:bCs/>
                <w:color w:val="000000" w:themeColor="text1"/>
                <w:sz w:val="24"/>
                <w:szCs w:val="32"/>
                <w14:textFill>
                  <w14:solidFill>
                    <w14:schemeClr w14:val="tx1"/>
                  </w14:solidFill>
                </w14:textFill>
              </w:rPr>
              <w:t>单位</w:t>
            </w:r>
          </w:p>
        </w:tc>
        <w:tc>
          <w:tcPr>
            <w:tcW w:w="845" w:type="dxa"/>
            <w:vAlign w:val="center"/>
          </w:tcPr>
          <w:p>
            <w:pPr>
              <w:spacing w:line="380" w:lineRule="exact"/>
              <w:jc w:val="center"/>
              <w:rPr>
                <w:rFonts w:hint="eastAsia" w:ascii="宋体" w:hAnsi="宋体" w:eastAsia="宋体" w:cs="宋体"/>
                <w:b/>
                <w:bCs/>
                <w:color w:val="000000" w:themeColor="text1"/>
                <w:kern w:val="2"/>
                <w:sz w:val="24"/>
                <w:vertAlign w:val="baseline"/>
                <w:lang w:eastAsia="zh-CN"/>
                <w14:textFill>
                  <w14:solidFill>
                    <w14:schemeClr w14:val="tx1"/>
                  </w14:solidFill>
                </w14:textFill>
              </w:rPr>
            </w:pPr>
            <w:r>
              <w:rPr>
                <w:rFonts w:hint="eastAsia"/>
                <w:b/>
                <w:bCs/>
                <w:color w:val="000000" w:themeColor="text1"/>
                <w:sz w:val="24"/>
                <w:szCs w:val="32"/>
                <w14:textFill>
                  <w14:solidFill>
                    <w14:schemeClr w14:val="tx1"/>
                  </w14:solidFill>
                </w14:textFill>
              </w:rPr>
              <w:t>数量</w:t>
            </w:r>
          </w:p>
        </w:tc>
        <w:tc>
          <w:tcPr>
            <w:tcW w:w="3278" w:type="dxa"/>
            <w:vAlign w:val="center"/>
          </w:tcPr>
          <w:p>
            <w:pPr>
              <w:spacing w:line="380" w:lineRule="exact"/>
              <w:jc w:val="center"/>
              <w:rPr>
                <w:rFonts w:hint="eastAsia" w:ascii="宋体" w:hAnsi="宋体" w:eastAsia="宋体" w:cs="宋体"/>
                <w:b/>
                <w:bCs/>
                <w:color w:val="000000" w:themeColor="text1"/>
                <w:kern w:val="2"/>
                <w:sz w:val="24"/>
                <w:vertAlign w:val="baseline"/>
                <w:lang w:eastAsia="zh-CN"/>
                <w14:textFill>
                  <w14:solidFill>
                    <w14:schemeClr w14:val="tx1"/>
                  </w14:solidFill>
                </w14:textFill>
              </w:rPr>
            </w:pPr>
            <w:r>
              <w:rPr>
                <w:rFonts w:hint="eastAsia"/>
                <w:b/>
                <w:bCs/>
                <w:color w:val="000000" w:themeColor="text1"/>
                <w:sz w:val="24"/>
                <w:szCs w:val="32"/>
                <w14:textFill>
                  <w14:solidFill>
                    <w14:schemeClr w14:val="tx1"/>
                  </w14:solidFill>
                </w14:textFill>
              </w:rPr>
              <w:t>简要技术需求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69" w:type="dxa"/>
            <w:vAlign w:val="center"/>
          </w:tcPr>
          <w:p>
            <w:pPr>
              <w:pStyle w:val="52"/>
              <w:spacing w:line="380" w:lineRule="exact"/>
              <w:jc w:val="center"/>
              <w:rPr>
                <w:rFonts w:hint="default" w:ascii="宋体" w:hAnsi="宋体" w:eastAsia="宋体" w:cs="宋体"/>
                <w:b/>
                <w:bCs/>
                <w:color w:val="000000" w:themeColor="text1"/>
                <w:kern w:val="2"/>
                <w:sz w:val="24"/>
                <w:vertAlign w:val="baseline"/>
                <w:lang w:val="en-US" w:eastAsia="zh-CN"/>
                <w14:textFill>
                  <w14:solidFill>
                    <w14:schemeClr w14:val="tx1"/>
                  </w14:solidFill>
                </w14:textFill>
              </w:rPr>
            </w:pPr>
            <w:r>
              <w:rPr>
                <w:rFonts w:hint="eastAsia" w:ascii="宋体" w:hAnsi="宋体" w:eastAsia="宋体" w:cs="宋体"/>
                <w:b/>
                <w:bCs/>
                <w:color w:val="000000" w:themeColor="text1"/>
                <w:kern w:val="2"/>
                <w:sz w:val="24"/>
                <w:vertAlign w:val="baseline"/>
                <w:lang w:val="en-US" w:eastAsia="zh-CN"/>
                <w14:textFill>
                  <w14:solidFill>
                    <w14:schemeClr w14:val="tx1"/>
                  </w14:solidFill>
                </w14:textFill>
              </w:rPr>
              <w:t>1</w:t>
            </w:r>
          </w:p>
        </w:tc>
        <w:tc>
          <w:tcPr>
            <w:tcW w:w="3613" w:type="dxa"/>
            <w:vAlign w:val="center"/>
          </w:tcPr>
          <w:p>
            <w:pPr>
              <w:pStyle w:val="52"/>
              <w:spacing w:line="380" w:lineRule="exact"/>
              <w:jc w:val="center"/>
              <w:rPr>
                <w:rFonts w:hint="eastAsia" w:ascii="宋体" w:hAnsi="宋体" w:eastAsia="宋体" w:cs="宋体"/>
                <w:b/>
                <w:bCs/>
                <w:color w:val="000000" w:themeColor="text1"/>
                <w:kern w:val="2"/>
                <w:sz w:val="24"/>
                <w:vertAlign w:val="baseline"/>
                <w:lang w:eastAsia="zh-CN"/>
                <w14:textFill>
                  <w14:solidFill>
                    <w14:schemeClr w14:val="tx1"/>
                  </w14:solidFill>
                </w14:textFill>
              </w:rPr>
            </w:pPr>
            <w:r>
              <w:rPr>
                <w:rFonts w:hint="eastAsia" w:ascii="宋体" w:hAnsi="宋体" w:eastAsia="宋体" w:cs="宋体"/>
                <w:color w:val="000000" w:themeColor="text1"/>
                <w:kern w:val="2"/>
                <w:sz w:val="24"/>
                <w:lang w:eastAsia="zh-CN"/>
                <w14:textFill>
                  <w14:solidFill>
                    <w14:schemeClr w14:val="tx1"/>
                  </w14:solidFill>
                </w14:textFill>
              </w:rPr>
              <w:t xml:space="preserve">灵川县5个镇级污水处理厂统一社会化运营服务采购 </w:t>
            </w:r>
          </w:p>
        </w:tc>
        <w:tc>
          <w:tcPr>
            <w:tcW w:w="812" w:type="dxa"/>
            <w:vAlign w:val="center"/>
          </w:tcPr>
          <w:p>
            <w:pPr>
              <w:spacing w:line="380" w:lineRule="exact"/>
              <w:jc w:val="center"/>
              <w:rPr>
                <w:rFonts w:hint="eastAsia" w:ascii="宋体" w:hAnsi="宋体" w:eastAsia="宋体" w:cs="宋体"/>
                <w:b/>
                <w:bCs/>
                <w:color w:val="000000" w:themeColor="text1"/>
                <w:kern w:val="2"/>
                <w:sz w:val="24"/>
                <w:vertAlign w:val="baseline"/>
                <w:lang w:eastAsia="zh-CN"/>
                <w14:textFill>
                  <w14:solidFill>
                    <w14:schemeClr w14:val="tx1"/>
                  </w14:solidFill>
                </w14:textFill>
              </w:rPr>
            </w:pPr>
            <w:r>
              <w:rPr>
                <w:rFonts w:ascii="宋体" w:hAnsi="宋体" w:cs="宋体"/>
                <w:color w:val="000000" w:themeColor="text1"/>
                <w:sz w:val="24"/>
                <w14:textFill>
                  <w14:solidFill>
                    <w14:schemeClr w14:val="tx1"/>
                  </w14:solidFill>
                </w14:textFill>
              </w:rPr>
              <w:t>1</w:t>
            </w:r>
          </w:p>
        </w:tc>
        <w:tc>
          <w:tcPr>
            <w:tcW w:w="845" w:type="dxa"/>
            <w:vAlign w:val="center"/>
          </w:tcPr>
          <w:p>
            <w:pPr>
              <w:spacing w:line="380" w:lineRule="exact"/>
              <w:jc w:val="center"/>
              <w:rPr>
                <w:rFonts w:hint="eastAsia" w:ascii="宋体" w:hAnsi="宋体" w:eastAsia="宋体" w:cs="宋体"/>
                <w:b/>
                <w:bCs/>
                <w:color w:val="000000" w:themeColor="text1"/>
                <w:kern w:val="2"/>
                <w:sz w:val="24"/>
                <w:vertAlign w:val="baselin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w:t>
            </w:r>
          </w:p>
        </w:tc>
        <w:tc>
          <w:tcPr>
            <w:tcW w:w="3278" w:type="dxa"/>
            <w:vAlign w:val="center"/>
          </w:tcPr>
          <w:p>
            <w:pPr>
              <w:spacing w:line="380" w:lineRule="exact"/>
              <w:jc w:val="center"/>
              <w:rPr>
                <w:rFonts w:hint="eastAsia" w:ascii="宋体" w:hAnsi="宋体" w:eastAsia="宋体" w:cs="宋体"/>
                <w:b/>
                <w:bCs/>
                <w:color w:val="000000" w:themeColor="text1"/>
                <w:kern w:val="2"/>
                <w:sz w:val="24"/>
                <w:vertAlign w:val="baselin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采购需求的详细内容，详见招标文件。</w:t>
            </w:r>
          </w:p>
        </w:tc>
      </w:tr>
    </w:tbl>
    <w:p>
      <w:pPr>
        <w:spacing w:line="380" w:lineRule="exact"/>
        <w:ind w:firstLine="482" w:firstLineChars="200"/>
        <w:outlineLvl w:val="9"/>
        <w:rPr>
          <w:rFonts w:hint="eastAsia"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合同履行期限（交付时间）</w:t>
      </w:r>
      <w:r>
        <w:rPr>
          <w:rFonts w:hint="eastAsia" w:ascii="宋体" w:hAnsi="宋体" w:cs="宋体"/>
          <w:color w:val="000000" w:themeColor="text1"/>
          <w:sz w:val="24"/>
          <w14:textFill>
            <w14:solidFill>
              <w14:schemeClr w14:val="tx1"/>
            </w14:solidFill>
          </w14:textFill>
        </w:rPr>
        <w:t>：自合同签订之日起</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w:t>
      </w:r>
    </w:p>
    <w:p>
      <w:pPr>
        <w:spacing w:line="3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w:t>
      </w:r>
      <w:r>
        <w:rPr>
          <w:rFonts w:hint="eastAsia" w:ascii="宋体" w:hAnsi="宋体" w:cs="宋体"/>
          <w:color w:val="000000" w:themeColor="text1"/>
          <w:sz w:val="24"/>
          <w:u w:val="single"/>
          <w14:textFill>
            <w14:solidFill>
              <w14:schemeClr w14:val="tx1"/>
            </w14:solidFill>
          </w14:textFill>
        </w:rPr>
        <w:t>不接受</w:t>
      </w:r>
      <w:r>
        <w:rPr>
          <w:rFonts w:hint="eastAsia" w:ascii="宋体" w:hAnsi="宋体" w:cs="宋体"/>
          <w:color w:val="000000" w:themeColor="text1"/>
          <w:sz w:val="24"/>
          <w14:textFill>
            <w14:solidFill>
              <w14:schemeClr w14:val="tx1"/>
            </w14:solidFill>
          </w14:textFill>
        </w:rPr>
        <w:t>联合体投标。</w:t>
      </w:r>
    </w:p>
    <w:p>
      <w:pPr>
        <w:spacing w:line="380" w:lineRule="exact"/>
        <w:rPr>
          <w:rFonts w:hint="eastAsia" w:ascii="宋体" w:hAnsi="宋体" w:cs="宋体"/>
          <w:b/>
          <w:bCs/>
          <w:color w:val="000000" w:themeColor="text1"/>
          <w:sz w:val="24"/>
          <w14:textFill>
            <w14:solidFill>
              <w14:schemeClr w14:val="tx1"/>
            </w14:solidFill>
          </w14:textFill>
        </w:rPr>
      </w:pPr>
      <w:bookmarkStart w:id="8" w:name="_Toc28359080"/>
      <w:bookmarkStart w:id="9" w:name="_Toc35393791"/>
      <w:bookmarkStart w:id="10" w:name="_Toc28359003"/>
      <w:bookmarkStart w:id="11" w:name="_Toc35393622"/>
      <w:r>
        <w:rPr>
          <w:rFonts w:hint="eastAsia" w:ascii="宋体" w:hAnsi="宋体" w:cs="宋体"/>
          <w:b/>
          <w:bCs/>
          <w:color w:val="000000" w:themeColor="text1"/>
          <w:sz w:val="24"/>
          <w14:textFill>
            <w14:solidFill>
              <w14:schemeClr w14:val="tx1"/>
            </w14:solidFill>
          </w14:textFill>
        </w:rPr>
        <w:t>二、申请人的资格要求：</w:t>
      </w:r>
      <w:bookmarkEnd w:id="8"/>
      <w:bookmarkEnd w:id="9"/>
      <w:bookmarkEnd w:id="10"/>
      <w:bookmarkEnd w:id="11"/>
    </w:p>
    <w:p>
      <w:pPr>
        <w:spacing w:line="380" w:lineRule="exact"/>
        <w:ind w:firstLine="480" w:firstLineChars="200"/>
        <w:rPr>
          <w:rFonts w:hint="eastAsia"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1.满足《中华人民共和国政府采购法》第二十二条规定和《中华人民共和国政府采购法实施条例》第十八条规定，具备合法资格的供应商。</w:t>
      </w:r>
    </w:p>
    <w:p>
      <w:pPr>
        <w:spacing w:line="380" w:lineRule="exact"/>
        <w:ind w:firstLine="480" w:firstLineChars="200"/>
        <w:rPr>
          <w:rFonts w:hint="eastAsia"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2.落实政府采购政策需满足的资格要求：无</w:t>
      </w:r>
    </w:p>
    <w:p>
      <w:pPr>
        <w:spacing w:line="380" w:lineRule="exact"/>
        <w:ind w:firstLine="480" w:firstLineChars="200"/>
        <w:rPr>
          <w:rFonts w:hint="eastAsia"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80" w:lineRule="exact"/>
        <w:ind w:firstLine="480" w:firstLineChars="200"/>
        <w:rPr>
          <w:rFonts w:hint="eastAsia"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4.单位负责人为同一人或者存在直接控股、管理关系的不同供应商，不得参加同一合同项下的政府采购活动。</w:t>
      </w:r>
    </w:p>
    <w:p>
      <w:pPr>
        <w:pStyle w:val="2"/>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5.本项目的特定资格要求：无。</w:t>
      </w:r>
    </w:p>
    <w:p>
      <w:pPr>
        <w:spacing w:line="380" w:lineRule="exact"/>
        <w:rPr>
          <w:rFonts w:hint="eastAsia" w:ascii="宋体" w:hAnsi="宋体" w:cs="宋体"/>
          <w:b/>
          <w:bCs/>
          <w:color w:val="000000" w:themeColor="text1"/>
          <w:sz w:val="24"/>
          <w14:textFill>
            <w14:solidFill>
              <w14:schemeClr w14:val="tx1"/>
            </w14:solidFill>
          </w14:textFill>
        </w:rPr>
      </w:pPr>
      <w:bookmarkStart w:id="12" w:name="_Toc28359004"/>
      <w:bookmarkStart w:id="13" w:name="_Toc35393792"/>
      <w:bookmarkStart w:id="14" w:name="_Toc35393623"/>
      <w:bookmarkStart w:id="15" w:name="_Toc28359081"/>
      <w:r>
        <w:rPr>
          <w:rFonts w:hint="eastAsia" w:ascii="宋体" w:hAnsi="宋体" w:cs="宋体"/>
          <w:b/>
          <w:bCs/>
          <w:color w:val="000000" w:themeColor="text1"/>
          <w:sz w:val="24"/>
          <w14:textFill>
            <w14:solidFill>
              <w14:schemeClr w14:val="tx1"/>
            </w14:solidFill>
          </w14:textFill>
        </w:rPr>
        <w:t>三、获取招标文件</w:t>
      </w:r>
      <w:bookmarkEnd w:id="12"/>
      <w:bookmarkEnd w:id="13"/>
      <w:bookmarkEnd w:id="14"/>
      <w:bookmarkEnd w:id="15"/>
    </w:p>
    <w:p>
      <w:pPr>
        <w:spacing w:line="380" w:lineRule="exact"/>
        <w:ind w:firstLine="54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1.招标文件获取时间：</w:t>
      </w:r>
      <w:r>
        <w:rPr>
          <w:rFonts w:hint="eastAsia" w:ascii="宋体" w:hAnsi="宋体" w:cs="宋体"/>
          <w:b/>
          <w:bCs/>
          <w:color w:val="000000" w:themeColor="text1"/>
          <w:sz w:val="24"/>
          <w:u w:val="single"/>
          <w:lang w:eastAsia="zh-CN"/>
          <w14:textFill>
            <w14:solidFill>
              <w14:schemeClr w14:val="tx1"/>
            </w14:solidFill>
          </w14:textFill>
        </w:rPr>
        <w:t xml:space="preserve"> </w:t>
      </w:r>
      <w:r>
        <w:rPr>
          <w:rFonts w:hint="eastAsia" w:ascii="宋体" w:hAnsi="宋体" w:cs="宋体"/>
          <w:b/>
          <w:bCs/>
          <w:color w:val="000000" w:themeColor="text1"/>
          <w:sz w:val="24"/>
          <w:u w:val="single"/>
          <w:lang w:val="en-US" w:eastAsia="zh-CN"/>
          <w14:textFill>
            <w14:solidFill>
              <w14:schemeClr w14:val="tx1"/>
            </w14:solidFill>
          </w14:textFill>
        </w:rPr>
        <w:t>2023年3月27日</w:t>
      </w:r>
      <w:r>
        <w:rPr>
          <w:rFonts w:hint="eastAsia" w:ascii="宋体" w:hAnsi="宋体" w:cs="宋体"/>
          <w:b/>
          <w:bCs/>
          <w:color w:val="000000" w:themeColor="text1"/>
          <w:sz w:val="24"/>
          <w:u w:val="single"/>
          <w:lang w:eastAsia="zh-CN"/>
          <w14:textFill>
            <w14:solidFill>
              <w14:schemeClr w14:val="tx1"/>
            </w14:solidFill>
          </w14:textFill>
        </w:rPr>
        <w:t>日</w:t>
      </w:r>
      <w:r>
        <w:rPr>
          <w:rFonts w:hint="eastAsia" w:ascii="宋体" w:hAnsi="宋体" w:cs="宋体"/>
          <w:b/>
          <w:bCs/>
          <w:color w:val="000000" w:themeColor="text1"/>
          <w:sz w:val="24"/>
          <w:u w:val="single"/>
          <w14:textFill>
            <w14:solidFill>
              <w14:schemeClr w14:val="tx1"/>
            </w14:solidFill>
          </w14:textFill>
        </w:rPr>
        <w:t>至</w:t>
      </w:r>
      <w:r>
        <w:rPr>
          <w:rFonts w:hint="eastAsia" w:ascii="宋体" w:hAnsi="宋体" w:cs="宋体"/>
          <w:b/>
          <w:bCs/>
          <w:color w:val="000000" w:themeColor="text1"/>
          <w:sz w:val="24"/>
          <w:u w:val="single"/>
          <w:lang w:val="en-US" w:eastAsia="zh-CN"/>
          <w14:textFill>
            <w14:solidFill>
              <w14:schemeClr w14:val="tx1"/>
            </w14:solidFill>
          </w14:textFill>
        </w:rPr>
        <w:t>2023年4月17日</w:t>
      </w:r>
      <w:r>
        <w:rPr>
          <w:rFonts w:hint="eastAsia" w:ascii="宋体" w:hAnsi="宋体" w:cs="宋体"/>
          <w:b/>
          <w:bCs/>
          <w:color w:val="000000" w:themeColor="text1"/>
          <w:sz w:val="24"/>
          <w14:textFill>
            <w14:solidFill>
              <w14:schemeClr w14:val="tx1"/>
            </w14:solidFill>
          </w14:textFill>
        </w:rPr>
        <w:t>9时30分。</w:t>
      </w:r>
    </w:p>
    <w:p>
      <w:pPr>
        <w:spacing w:line="380" w:lineRule="exact"/>
        <w:ind w:firstLine="54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2.地点及方式：潜在投标人请自行选择以下网站，在本公告附件处下载招标文件电子版。</w:t>
      </w:r>
    </w:p>
    <w:p>
      <w:pPr>
        <w:spacing w:line="3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桂林市公共资源交易中心网（glggzy.org.cn）、桂林市政府采购网（zfcg.czj.guilin.gov.cn）、广西壮族自治区政府采购网（zfcg.gxzf.gov.cn）；投标人登录政采云平台https://www.zcygov.cn/在线申请获取采购文件（进入“项目采购”应用，在获取采购文件菜单中选择项目，申请获取采购文件）</w:t>
      </w:r>
    </w:p>
    <w:p>
      <w:pPr>
        <w:spacing w:line="3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3.招标文件售价：本项目招标文件不收取费用。</w:t>
      </w:r>
    </w:p>
    <w:p>
      <w:pPr>
        <w:spacing w:line="380" w:lineRule="exact"/>
        <w:rPr>
          <w:rFonts w:hint="eastAsia" w:ascii="宋体" w:hAnsi="宋体" w:cs="宋体"/>
          <w:b/>
          <w:bCs/>
          <w:color w:val="000000" w:themeColor="text1"/>
          <w:sz w:val="24"/>
          <w14:textFill>
            <w14:solidFill>
              <w14:schemeClr w14:val="tx1"/>
            </w14:solidFill>
          </w14:textFill>
        </w:rPr>
      </w:pPr>
      <w:bookmarkStart w:id="16" w:name="_Toc28359005"/>
      <w:bookmarkStart w:id="17" w:name="_Toc28359082"/>
      <w:bookmarkStart w:id="18" w:name="_Toc35393793"/>
      <w:bookmarkStart w:id="19" w:name="_Toc35393624"/>
      <w:r>
        <w:rPr>
          <w:rFonts w:hint="eastAsia" w:ascii="宋体" w:hAnsi="宋体" w:cs="宋体"/>
          <w:b/>
          <w:bCs/>
          <w:color w:val="000000" w:themeColor="text1"/>
          <w:sz w:val="24"/>
          <w14:textFill>
            <w14:solidFill>
              <w14:schemeClr w14:val="tx1"/>
            </w14:solidFill>
          </w14:textFill>
        </w:rPr>
        <w:t>四、提交投标文件</w:t>
      </w:r>
      <w:bookmarkEnd w:id="16"/>
      <w:bookmarkEnd w:id="17"/>
      <w:r>
        <w:rPr>
          <w:rFonts w:hint="eastAsia" w:ascii="宋体" w:hAnsi="宋体" w:cs="宋体"/>
          <w:b/>
          <w:bCs/>
          <w:color w:val="000000" w:themeColor="text1"/>
          <w:sz w:val="24"/>
          <w14:textFill>
            <w14:solidFill>
              <w14:schemeClr w14:val="tx1"/>
            </w14:solidFill>
          </w14:textFill>
        </w:rPr>
        <w:t>截止时间、开标时间和地点</w:t>
      </w:r>
      <w:bookmarkEnd w:id="18"/>
      <w:bookmarkEnd w:id="19"/>
    </w:p>
    <w:p>
      <w:pPr>
        <w:spacing w:line="380" w:lineRule="exact"/>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截止时间：</w:t>
      </w:r>
      <w:r>
        <w:rPr>
          <w:rFonts w:hint="eastAsia" w:ascii="宋体" w:hAnsi="宋体" w:cs="宋体"/>
          <w:b/>
          <w:bCs/>
          <w:color w:val="000000" w:themeColor="text1"/>
          <w:sz w:val="24"/>
          <w:u w:val="single"/>
          <w:lang w:eastAsia="zh-CN"/>
          <w14:textFill>
            <w14:solidFill>
              <w14:schemeClr w14:val="tx1"/>
            </w14:solidFill>
          </w14:textFill>
        </w:rPr>
        <w:t xml:space="preserve"> </w:t>
      </w:r>
      <w:r>
        <w:rPr>
          <w:rFonts w:hint="eastAsia" w:ascii="宋体" w:hAnsi="宋体" w:cs="宋体"/>
          <w:b/>
          <w:bCs/>
          <w:color w:val="000000" w:themeColor="text1"/>
          <w:sz w:val="24"/>
          <w:u w:val="single"/>
          <w:lang w:val="en-US" w:eastAsia="zh-CN"/>
          <w14:textFill>
            <w14:solidFill>
              <w14:schemeClr w14:val="tx1"/>
            </w14:solidFill>
          </w14:textFill>
        </w:rPr>
        <w:t>2023年4月17日</w:t>
      </w:r>
      <w:r>
        <w:rPr>
          <w:rFonts w:hint="eastAsia" w:ascii="宋体" w:hAnsi="宋体" w:cs="宋体"/>
          <w:b/>
          <w:bCs/>
          <w:color w:val="000000" w:themeColor="text1"/>
          <w:sz w:val="24"/>
          <w14:textFill>
            <w14:solidFill>
              <w14:schemeClr w14:val="tx1"/>
            </w14:solidFill>
          </w14:textFill>
        </w:rPr>
        <w:t>9时30分</w:t>
      </w:r>
      <w:r>
        <w:rPr>
          <w:rFonts w:hint="eastAsia" w:ascii="宋体" w:hAnsi="宋体" w:cs="宋体"/>
          <w:bCs/>
          <w:color w:val="000000" w:themeColor="text1"/>
          <w:sz w:val="24"/>
          <w14:textFill>
            <w14:solidFill>
              <w14:schemeClr w14:val="tx1"/>
            </w14:solidFill>
          </w14:textFill>
        </w:rPr>
        <w:t>（北京时间）。</w:t>
      </w:r>
    </w:p>
    <w:p>
      <w:pPr>
        <w:spacing w:line="380" w:lineRule="exact"/>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点：通过政采云平台实行在线投标。</w:t>
      </w:r>
    </w:p>
    <w:p>
      <w:pPr>
        <w:spacing w:line="380" w:lineRule="exact"/>
        <w:ind w:firstLine="480" w:firstLineChars="200"/>
        <w:rPr>
          <w:rFonts w:hint="eastAsia" w:ascii="宋体" w:hAnsi="宋体" w:cs="宋体"/>
          <w:bCs/>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开标时间：</w:t>
      </w:r>
      <w:r>
        <w:rPr>
          <w:rFonts w:hint="eastAsia" w:ascii="宋体" w:hAnsi="宋体" w:cs="宋体"/>
          <w:b/>
          <w:bCs/>
          <w:color w:val="000000" w:themeColor="text1"/>
          <w:sz w:val="24"/>
          <w:u w:val="single"/>
          <w:lang w:eastAsia="zh-CN"/>
          <w14:textFill>
            <w14:solidFill>
              <w14:schemeClr w14:val="tx1"/>
            </w14:solidFill>
          </w14:textFill>
        </w:rPr>
        <w:t xml:space="preserve"> </w:t>
      </w:r>
      <w:r>
        <w:rPr>
          <w:rFonts w:hint="eastAsia" w:ascii="宋体" w:hAnsi="宋体" w:cs="宋体"/>
          <w:b/>
          <w:bCs/>
          <w:color w:val="000000" w:themeColor="text1"/>
          <w:sz w:val="24"/>
          <w:u w:val="single"/>
          <w:lang w:val="en-US" w:eastAsia="zh-CN"/>
          <w14:textFill>
            <w14:solidFill>
              <w14:schemeClr w14:val="tx1"/>
            </w14:solidFill>
          </w14:textFill>
        </w:rPr>
        <w:t>2023年4月17日</w:t>
      </w:r>
      <w:r>
        <w:rPr>
          <w:rFonts w:hint="eastAsia" w:ascii="宋体" w:hAnsi="宋体" w:cs="宋体"/>
          <w:b/>
          <w:bCs/>
          <w:color w:val="000000" w:themeColor="text1"/>
          <w:sz w:val="24"/>
          <w14:textFill>
            <w14:solidFill>
              <w14:schemeClr w14:val="tx1"/>
            </w14:solidFill>
          </w14:textFill>
        </w:rPr>
        <w:t>9时30分</w:t>
      </w:r>
      <w:r>
        <w:rPr>
          <w:rFonts w:hint="eastAsia" w:ascii="宋体" w:hAnsi="宋体" w:cs="宋体"/>
          <w:bCs/>
          <w:color w:val="000000" w:themeColor="text1"/>
          <w:sz w:val="24"/>
          <w14:textFill>
            <w14:solidFill>
              <w14:schemeClr w14:val="tx1"/>
            </w14:solidFill>
          </w14:textFill>
        </w:rPr>
        <w:t>（北京时间）</w:t>
      </w:r>
      <w:r>
        <w:rPr>
          <w:rFonts w:hint="eastAsia" w:ascii="宋体" w:hAnsi="宋体" w:cs="宋体"/>
          <w:color w:val="000000" w:themeColor="text1"/>
          <w:sz w:val="24"/>
          <w14:textFill>
            <w14:solidFill>
              <w14:schemeClr w14:val="tx1"/>
            </w14:solidFill>
          </w14:textFill>
        </w:rPr>
        <w:t>截标后。</w:t>
      </w:r>
    </w:p>
    <w:p>
      <w:pPr>
        <w:spacing w:line="380" w:lineRule="exact"/>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点：通过政采云平台实行在线解密开启。</w:t>
      </w:r>
    </w:p>
    <w:p>
      <w:pPr>
        <w:spacing w:line="380" w:lineRule="exact"/>
        <w:rPr>
          <w:rFonts w:hint="eastAsia" w:ascii="宋体" w:hAnsi="宋体" w:cs="宋体"/>
          <w:b/>
          <w:bCs/>
          <w:color w:val="000000" w:themeColor="text1"/>
          <w:sz w:val="24"/>
          <w14:textFill>
            <w14:solidFill>
              <w14:schemeClr w14:val="tx1"/>
            </w14:solidFill>
          </w14:textFill>
        </w:rPr>
      </w:pPr>
      <w:bookmarkStart w:id="20" w:name="_Toc28359084"/>
      <w:bookmarkStart w:id="21" w:name="_Toc35393625"/>
      <w:bookmarkStart w:id="22" w:name="_Toc28359007"/>
      <w:bookmarkStart w:id="23" w:name="_Toc35393794"/>
      <w:r>
        <w:rPr>
          <w:rFonts w:hint="eastAsia" w:ascii="宋体" w:hAnsi="宋体" w:cs="宋体"/>
          <w:b/>
          <w:bCs/>
          <w:color w:val="000000" w:themeColor="text1"/>
          <w:sz w:val="24"/>
          <w14:textFill>
            <w14:solidFill>
              <w14:schemeClr w14:val="tx1"/>
            </w14:solidFill>
          </w14:textFill>
        </w:rPr>
        <w:t>五、公告期限</w:t>
      </w:r>
      <w:bookmarkEnd w:id="20"/>
      <w:bookmarkEnd w:id="21"/>
      <w:bookmarkEnd w:id="22"/>
      <w:bookmarkEnd w:id="23"/>
    </w:p>
    <w:p>
      <w:pPr>
        <w:spacing w:line="3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自本公告发布之日起5个工作日。</w:t>
      </w:r>
    </w:p>
    <w:p>
      <w:pPr>
        <w:spacing w:line="380" w:lineRule="exact"/>
        <w:rPr>
          <w:rFonts w:hint="eastAsia" w:ascii="宋体" w:hAnsi="宋体" w:cs="宋体"/>
          <w:b/>
          <w:bCs/>
          <w:color w:val="000000" w:themeColor="text1"/>
          <w:sz w:val="24"/>
          <w14:textFill>
            <w14:solidFill>
              <w14:schemeClr w14:val="tx1"/>
            </w14:solidFill>
          </w14:textFill>
        </w:rPr>
      </w:pPr>
      <w:bookmarkStart w:id="24" w:name="_Toc35393795"/>
      <w:bookmarkStart w:id="25" w:name="_Toc35393626"/>
      <w:r>
        <w:rPr>
          <w:rFonts w:hint="eastAsia" w:ascii="宋体" w:hAnsi="宋体" w:cs="宋体"/>
          <w:b/>
          <w:bCs/>
          <w:color w:val="000000" w:themeColor="text1"/>
          <w:sz w:val="24"/>
          <w14:textFill>
            <w14:solidFill>
              <w14:schemeClr w14:val="tx1"/>
            </w14:solidFill>
          </w14:textFill>
        </w:rPr>
        <w:t>六、其他补充事宜</w:t>
      </w:r>
      <w:bookmarkEnd w:id="24"/>
      <w:bookmarkEnd w:id="25"/>
    </w:p>
    <w:p>
      <w:pPr>
        <w:spacing w:line="380" w:lineRule="exact"/>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1.投标文件解密时间：截标时间后30分钟内（</w:t>
      </w:r>
      <w:r>
        <w:rPr>
          <w:rFonts w:hint="eastAsia" w:ascii="宋体" w:hAnsi="宋体" w:cs="宋体"/>
          <w:b/>
          <w:bCs/>
          <w:color w:val="000000" w:themeColor="text1"/>
          <w:sz w:val="24"/>
          <w:u w:val="single"/>
          <w:lang w:eastAsia="zh-CN"/>
          <w14:textFill>
            <w14:solidFill>
              <w14:schemeClr w14:val="tx1"/>
            </w14:solidFill>
          </w14:textFill>
        </w:rPr>
        <w:t xml:space="preserve"> </w:t>
      </w:r>
      <w:r>
        <w:rPr>
          <w:rFonts w:hint="eastAsia" w:ascii="宋体" w:hAnsi="宋体" w:cs="宋体"/>
          <w:b/>
          <w:bCs/>
          <w:color w:val="000000" w:themeColor="text1"/>
          <w:sz w:val="24"/>
          <w:u w:val="single"/>
          <w:lang w:val="en-US" w:eastAsia="zh-CN"/>
          <w14:textFill>
            <w14:solidFill>
              <w14:schemeClr w14:val="tx1"/>
            </w14:solidFill>
          </w14:textFill>
        </w:rPr>
        <w:t>2023年4月17日</w:t>
      </w:r>
      <w:r>
        <w:rPr>
          <w:rFonts w:hint="eastAsia" w:ascii="宋体" w:hAnsi="宋体" w:cs="宋体"/>
          <w:b/>
          <w:bCs/>
          <w:color w:val="000000" w:themeColor="text1"/>
          <w:sz w:val="24"/>
          <w14:textFill>
            <w14:solidFill>
              <w14:schemeClr w14:val="tx1"/>
            </w14:solidFill>
          </w14:textFill>
        </w:rPr>
        <w:t>上午9时30分至10时00分)</w:t>
      </w:r>
      <w:r>
        <w:rPr>
          <w:rFonts w:hint="eastAsia" w:ascii="宋体" w:hAnsi="宋体" w:cs="宋体"/>
          <w:color w:val="000000" w:themeColor="text1"/>
          <w:sz w:val="24"/>
          <w14:textFill>
            <w14:solidFill>
              <w14:schemeClr w14:val="tx1"/>
            </w14:solidFill>
          </w14:textFill>
        </w:rPr>
        <w:t>投标人可以登录政采云平台，用“项目采购-开标评标”功能进行解密投标文件。若投标人在规定时间内无法解密或解密失败，可以以电子备份投标文件作为依据【在接到无法解密或解密失败的通知后，投标人可根据自身实际情况按通知时要求的时间到桂林市公共资源交易中心</w:t>
      </w:r>
      <w:r>
        <w:rPr>
          <w:rFonts w:hint="eastAsia" w:ascii="宋体" w:hAnsi="宋体" w:cs="宋体"/>
          <w:color w:val="000000" w:themeColor="text1"/>
          <w:sz w:val="24"/>
          <w:u w:val="single"/>
          <w:lang w:val="en-US" w:eastAsia="zh-CN"/>
          <w14:textFill>
            <w14:solidFill>
              <w14:schemeClr w14:val="tx1"/>
            </w14:solidFill>
          </w14:textFill>
        </w:rPr>
        <w:t>10</w:t>
      </w:r>
      <w:r>
        <w:rPr>
          <w:rFonts w:hint="eastAsia" w:ascii="宋体" w:hAnsi="宋体" w:cs="宋体"/>
          <w:color w:val="000000" w:themeColor="text1"/>
          <w:sz w:val="24"/>
          <w:u w:val="single"/>
          <w:lang w:eastAsia="zh-CN"/>
          <w14:textFill>
            <w14:solidFill>
              <w14:schemeClr w14:val="tx1"/>
            </w14:solidFill>
          </w14:textFill>
        </w:rPr>
        <w:t>号开标室</w:t>
      </w:r>
      <w:r>
        <w:rPr>
          <w:rFonts w:hint="eastAsia" w:ascii="宋体" w:hAnsi="宋体" w:cs="宋体"/>
          <w:color w:val="000000" w:themeColor="text1"/>
          <w:sz w:val="24"/>
          <w14:textFill>
            <w14:solidFill>
              <w14:schemeClr w14:val="tx1"/>
            </w14:solidFill>
          </w14:textFill>
        </w:rPr>
        <w:t>（广西桂林市临桂区西城中路69号创业大厦西辅楼4楼北区）现场提交或以电子邮件的形式（以通知时所告知的电子邮箱地址为准）提交电子备份投标文件】，若投标人在规定时间内无法解密或解密失败且未提供电子备份投标文件的(包含提供的电子备份文件无效或无法解密的情况)，视为投标无效。</w:t>
      </w:r>
    </w:p>
    <w:p>
      <w:pPr>
        <w:pStyle w:val="52"/>
        <w:spacing w:line="380" w:lineRule="exact"/>
        <w:ind w:firstLine="482" w:firstLineChars="200"/>
        <w:rPr>
          <w:rFonts w:hint="eastAsia" w:ascii="宋体" w:hAnsi="宋体" w:eastAsia="宋体" w:cs="宋体"/>
          <w:b/>
          <w:bCs/>
          <w:color w:val="000000" w:themeColor="text1"/>
          <w:kern w:val="2"/>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w:t>
      </w:r>
      <w:r>
        <w:rPr>
          <w:rFonts w:hint="eastAsia" w:ascii="宋体" w:hAnsi="宋体" w:eastAsia="宋体" w:cs="宋体"/>
          <w:b/>
          <w:bCs/>
          <w:color w:val="000000" w:themeColor="text1"/>
          <w:kern w:val="2"/>
          <w14:textFill>
            <w14:solidFill>
              <w14:schemeClr w14:val="tx1"/>
            </w14:solidFill>
          </w14:textFill>
        </w:rPr>
        <w:t>在线投标（电子投标）说明</w:t>
      </w:r>
    </w:p>
    <w:p>
      <w:pPr>
        <w:spacing w:line="3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本项目通过政采云平台实行在线投标响应（电子投标），投标人需要先安装“政采云电子交易客户端”，并按照本招标文件和政采云平台的要求，通过“政采云电子交易客户端”编制并加密投标文件。投标人未按规定编制并加密的投标文件，政采云平台将予以拒收。</w:t>
      </w:r>
    </w:p>
    <w:p>
      <w:pPr>
        <w:pStyle w:val="52"/>
        <w:spacing w:line="380" w:lineRule="exact"/>
        <w:ind w:firstLine="480" w:firstLineChars="200"/>
        <w:rPr>
          <w:rFonts w:hint="eastAsia"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400-881-7190。</w:t>
      </w:r>
    </w:p>
    <w:p>
      <w:pPr>
        <w:spacing w:line="3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为确保网上操作合法、有效和安全，投标人应当在投标截止时间前完成在“政府采购云平台”的身份认证，确保在电子投标过程中能够对相关数据电子文件进行加密和使用电子签章。使用“政采云电子交易客户端”需要提前申领CA数字证书，申领流程请自行前往政采云平台网站进行查阅；</w:t>
      </w:r>
      <w:r>
        <w:rPr>
          <w:rFonts w:hint="eastAsia" w:ascii="宋体" w:hAnsi="宋体" w:cs="宋体"/>
          <w:b/>
          <w:bCs/>
          <w:color w:val="000000" w:themeColor="text1"/>
          <w:sz w:val="24"/>
          <w14:textFill>
            <w14:solidFill>
              <w14:schemeClr w14:val="tx1"/>
            </w14:solidFill>
          </w14:textFill>
        </w:rPr>
        <w:t>（完成CA数字证书办理预计一周左右，建议供应商获取投标文件后立即办理。）</w:t>
      </w:r>
    </w:p>
    <w:p>
      <w:pPr>
        <w:spacing w:line="3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应当在投标截止时间前，将生成的“投标文件”上传递交至政采云平台。投标文件递交截止时间前可以撤回电子投标文件。补充或者修改电子投标文件的，应当先行撤回原文件，补充、修改后重新传输递交，投标文件递交截止时间前未完成传输的，视为撤回投标文件。</w:t>
      </w:r>
    </w:p>
    <w:p>
      <w:pPr>
        <w:spacing w:line="3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本采购项目为政采云全流程电子化操作，参与投标的供应商需自备计算机和网络设备（设备需可视频通话和读取政采云CA数字证书），确保投标过程顺利进行；因供应商自身设备或网络原因造成的一切后果，由供应商自行承担。</w:t>
      </w:r>
    </w:p>
    <w:p>
      <w:pPr>
        <w:spacing w:line="380" w:lineRule="exact"/>
        <w:ind w:firstLine="480" w:firstLineChars="200"/>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80" w:lineRule="exact"/>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4.本项目无需缴纳投标保证金。</w:t>
      </w:r>
    </w:p>
    <w:p>
      <w:pPr>
        <w:spacing w:line="380" w:lineRule="exact"/>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5.投标人可以由</w:t>
      </w:r>
      <w:r>
        <w:rPr>
          <w:rFonts w:hint="eastAsia" w:ascii="宋体" w:hAnsi="宋体" w:cs="宋体"/>
          <w:color w:val="000000" w:themeColor="text1"/>
          <w:sz w:val="24"/>
          <w14:textFill>
            <w14:solidFill>
              <w14:schemeClr w14:val="tx1"/>
            </w14:solidFill>
          </w14:textFill>
        </w:rPr>
        <w:t>法定代表人、负责人、自然人或其委托代理人出席开标会议（出席代表需携带本人身份证原件，未携带身份证所造成一切后果，由其自行承担）。</w:t>
      </w:r>
    </w:p>
    <w:p>
      <w:pPr>
        <w:spacing w:line="380" w:lineRule="exact"/>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6.本项目信息发布媒体：</w:t>
      </w:r>
      <w:bookmarkStart w:id="26" w:name="_Toc35393627"/>
      <w:bookmarkStart w:id="27" w:name="_Toc35393796"/>
      <w:bookmarkStart w:id="28" w:name="_Toc28359008"/>
      <w:bookmarkStart w:id="29" w:name="_Toc28359085"/>
      <w:r>
        <w:rPr>
          <w:rFonts w:hint="eastAsia" w:ascii="宋体" w:hAnsi="宋体" w:cs="宋体"/>
          <w:color w:val="000000" w:themeColor="text1"/>
          <w:sz w:val="24"/>
          <w14:textFill>
            <w14:solidFill>
              <w14:schemeClr w14:val="tx1"/>
            </w14:solidFill>
          </w14:textFill>
        </w:rPr>
        <w:t>http://www.ccgp.gov.cn（中国政府采购网）、zfcg.gxzf.gov.cn广西壮族自治区政府采购网（zfcg.gxzf.gov.cn）、桂林市政府采购网（zfcg.czj.guilin.gov.cn）、桂林市公共资源交易中心网（glggzy.org.cn）。</w:t>
      </w:r>
    </w:p>
    <w:p>
      <w:pPr>
        <w:spacing w:line="380" w:lineRule="exact"/>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7.本项目需要落实的政府采购政策：</w:t>
      </w:r>
    </w:p>
    <w:p>
      <w:pPr>
        <w:spacing w:line="3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（1）《政府采购促进中小企业发展管理办法》（财库（2020）46 号）；中小企业划分标准所属行业为：“</w:t>
      </w:r>
      <w:r>
        <w:rPr>
          <w:rFonts w:hint="eastAsia" w:ascii="宋体" w:hAnsi="宋体" w:cs="宋体"/>
          <w:color w:val="000000" w:themeColor="text1"/>
          <w:sz w:val="24"/>
          <w:u w:val="single"/>
          <w:lang w:eastAsia="zh-CN"/>
          <w14:textFill>
            <w14:solidFill>
              <w14:schemeClr w14:val="tx1"/>
            </w14:solidFill>
          </w14:textFill>
        </w:rPr>
        <w:t>其他未列明行业</w:t>
      </w:r>
      <w:r>
        <w:rPr>
          <w:rFonts w:hint="eastAsia" w:ascii="宋体" w:hAnsi="宋体" w:cs="宋体"/>
          <w:color w:val="000000" w:themeColor="text1"/>
          <w:sz w:val="24"/>
          <w14:textFill>
            <w14:solidFill>
              <w14:schemeClr w14:val="tx1"/>
            </w14:solidFill>
          </w14:textFill>
        </w:rPr>
        <w:t>；”</w:t>
      </w:r>
    </w:p>
    <w:p>
      <w:pPr>
        <w:spacing w:line="3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（2）《关于政府采购支持监狱企业发展有关问题的通知》（财库[2014]68号）。 </w:t>
      </w:r>
    </w:p>
    <w:p>
      <w:pPr>
        <w:spacing w:line="3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（3）《关于促进残疾人就业政府采购政策的通知》（财库[2017]141号）。</w:t>
      </w:r>
    </w:p>
    <w:p>
      <w:pPr>
        <w:spacing w:line="3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政府采购扶持不发达地区和少数民族地区。</w:t>
      </w:r>
    </w:p>
    <w:p>
      <w:pPr>
        <w:spacing w:line="3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（5）本项目为服务采购项目，执行相应政府采购政策。</w:t>
      </w:r>
    </w:p>
    <w:p>
      <w:pPr>
        <w:spacing w:line="3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 本项目非专门面向中小微企业采购。</w:t>
      </w:r>
    </w:p>
    <w:p>
      <w:pPr>
        <w:spacing w:line="380" w:lineRule="exac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七、对本次招标提出询问，请按以下方式联系</w:t>
      </w:r>
      <w:bookmarkEnd w:id="26"/>
      <w:bookmarkEnd w:id="27"/>
      <w:bookmarkEnd w:id="28"/>
      <w:bookmarkEnd w:id="29"/>
      <w:r>
        <w:rPr>
          <w:rFonts w:hint="eastAsia" w:ascii="宋体" w:hAnsi="宋体" w:cs="宋体"/>
          <w:b/>
          <w:bCs/>
          <w:color w:val="000000" w:themeColor="text1"/>
          <w:sz w:val="24"/>
          <w14:textFill>
            <w14:solidFill>
              <w14:schemeClr w14:val="tx1"/>
            </w14:solidFill>
          </w14:textFill>
        </w:rPr>
        <w:t>：</w:t>
      </w:r>
    </w:p>
    <w:p>
      <w:pPr>
        <w:widowControl/>
        <w:spacing w:line="38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1.采购人信息</w:t>
      </w:r>
    </w:p>
    <w:p>
      <w:pPr>
        <w:spacing w:line="380" w:lineRule="exact"/>
        <w:ind w:firstLine="480" w:firstLineChars="20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u w:val="single"/>
          <w:lang w:eastAsia="zh-CN"/>
          <w14:textFill>
            <w14:solidFill>
              <w14:schemeClr w14:val="tx1"/>
            </w14:solidFill>
          </w14:textFill>
        </w:rPr>
        <w:t>灵川县甘棠江排水有限公司</w:t>
      </w:r>
    </w:p>
    <w:p>
      <w:pPr>
        <w:spacing w:line="380" w:lineRule="exact"/>
        <w:ind w:firstLine="480" w:firstLineChars="200"/>
        <w:jc w:val="left"/>
        <w:rPr>
          <w:rFonts w:hint="eastAsia" w:ascii="宋体" w:hAnsi="宋体" w:cs="宋体"/>
          <w:color w:val="000000" w:themeColor="text1"/>
          <w:sz w:val="24"/>
          <w:u w:val="single"/>
          <w14:textFill>
            <w14:solidFill>
              <w14:schemeClr w14:val="tx1"/>
            </w14:solidFill>
          </w14:textFill>
        </w:rPr>
      </w:pPr>
      <w:bookmarkStart w:id="30" w:name="_Toc28359086"/>
      <w:bookmarkStart w:id="31" w:name="_Toc28359009"/>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lang w:eastAsia="zh-CN"/>
          <w14:textFill>
            <w14:solidFill>
              <w14:schemeClr w14:val="tx1"/>
            </w14:solidFill>
          </w14:textFill>
        </w:rPr>
        <w:t>灵川县灵川镇甘棠村委湘潭村</w:t>
      </w:r>
    </w:p>
    <w:p>
      <w:pPr>
        <w:spacing w:line="380" w:lineRule="exact"/>
        <w:ind w:firstLine="480" w:firstLineChars="200"/>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联系人及联系方式：</w:t>
      </w:r>
      <w:r>
        <w:rPr>
          <w:rFonts w:hint="eastAsia" w:ascii="宋体" w:hAnsi="宋体" w:cs="宋体"/>
          <w:color w:val="000000" w:themeColor="text1"/>
          <w:sz w:val="24"/>
          <w:u w:val="single"/>
          <w14:textFill>
            <w14:solidFill>
              <w14:schemeClr w14:val="tx1"/>
            </w14:solidFill>
          </w14:textFill>
        </w:rPr>
        <w:t xml:space="preserve">戴玉养 </w:t>
      </w:r>
      <w:r>
        <w:rPr>
          <w:rFonts w:hint="eastAsia" w:ascii="宋体" w:hAnsi="宋体" w:cs="宋体"/>
          <w:color w:val="000000" w:themeColor="text1"/>
          <w:sz w:val="24"/>
          <w14:textFill>
            <w14:solidFill>
              <w14:schemeClr w14:val="tx1"/>
            </w14:solidFill>
          </w14:textFill>
        </w:rPr>
        <w:t xml:space="preserve">   联系电话</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0773-</w:t>
      </w:r>
      <w:r>
        <w:rPr>
          <w:rFonts w:hint="eastAsia" w:ascii="宋体" w:hAnsi="宋体" w:cs="宋体"/>
          <w:color w:val="000000" w:themeColor="text1"/>
          <w:sz w:val="24"/>
          <w:u w:val="single"/>
          <w:lang w:val="en-US" w:eastAsia="zh-CN"/>
          <w14:textFill>
            <w14:solidFill>
              <w14:schemeClr w14:val="tx1"/>
            </w14:solidFill>
          </w14:textFill>
        </w:rPr>
        <w:t>6818612</w:t>
      </w:r>
    </w:p>
    <w:p>
      <w:pPr>
        <w:spacing w:line="38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2.采购代理机构信息</w:t>
      </w:r>
      <w:bookmarkEnd w:id="30"/>
      <w:bookmarkEnd w:id="31"/>
    </w:p>
    <w:p>
      <w:pPr>
        <w:spacing w:line="380" w:lineRule="exact"/>
        <w:ind w:firstLine="480" w:firstLineChars="200"/>
        <w:rPr>
          <w:rFonts w:hint="eastAsia" w:ascii="宋体" w:hAnsi="宋体" w:cs="宋体"/>
          <w:color w:val="000000" w:themeColor="text1"/>
          <w:sz w:val="24"/>
          <w:u w:val="singl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广西朝华工程项目管理有限公司</w:t>
      </w:r>
    </w:p>
    <w:p>
      <w:pPr>
        <w:spacing w:line="38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lang w:eastAsia="zh-CN"/>
          <w14:textFill>
            <w14:solidFill>
              <w14:schemeClr w14:val="tx1"/>
            </w14:solidFill>
          </w14:textFill>
        </w:rPr>
        <w:t>桂林市七星区朝阳路信息产业园创新大厦H座B区2幢4-1</w:t>
      </w:r>
    </w:p>
    <w:p>
      <w:pPr>
        <w:spacing w:line="380" w:lineRule="exact"/>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bookmarkStart w:id="32" w:name="_Toc28359087"/>
      <w:bookmarkStart w:id="33" w:name="_Toc28359010"/>
      <w:r>
        <w:rPr>
          <w:rFonts w:hint="eastAsia" w:ascii="宋体" w:hAnsi="宋体" w:cs="宋体"/>
          <w:color w:val="000000" w:themeColor="text1"/>
          <w:sz w:val="24"/>
          <w:u w:val="single"/>
          <w14:textFill>
            <w14:solidFill>
              <w14:schemeClr w14:val="tx1"/>
            </w14:solidFill>
          </w14:textFill>
        </w:rPr>
        <w:t xml:space="preserve"> 0773-</w:t>
      </w:r>
      <w:r>
        <w:rPr>
          <w:rFonts w:hint="eastAsia" w:ascii="宋体" w:hAnsi="宋体" w:cs="宋体"/>
          <w:color w:val="000000" w:themeColor="text1"/>
          <w:sz w:val="24"/>
          <w:u w:val="single"/>
          <w:lang w:val="en-US" w:eastAsia="zh-CN"/>
          <w14:textFill>
            <w14:solidFill>
              <w14:schemeClr w14:val="tx1"/>
            </w14:solidFill>
          </w14:textFill>
        </w:rPr>
        <w:t>8998955</w:t>
      </w:r>
    </w:p>
    <w:p>
      <w:pPr>
        <w:spacing w:line="380" w:lineRule="exact"/>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3.项目联系方式</w:t>
      </w:r>
      <w:bookmarkEnd w:id="32"/>
      <w:bookmarkEnd w:id="33"/>
    </w:p>
    <w:p>
      <w:pPr>
        <w:pStyle w:val="20"/>
        <w:spacing w:line="380" w:lineRule="exact"/>
        <w:ind w:firstLine="480" w:firstLineChars="200"/>
        <w:rPr>
          <w:rFonts w:hint="eastAsia" w:hAnsi="宋体" w:eastAsia="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项目联系人：</w:t>
      </w:r>
      <w:r>
        <w:rPr>
          <w:rFonts w:hint="eastAsia" w:hAnsi="宋体" w:cs="宋体"/>
          <w:color w:val="000000" w:themeColor="text1"/>
          <w:sz w:val="24"/>
          <w:szCs w:val="24"/>
          <w:u w:val="single"/>
          <w:lang w:eastAsia="zh-CN"/>
          <w14:textFill>
            <w14:solidFill>
              <w14:schemeClr w14:val="tx1"/>
            </w14:solidFill>
          </w14:textFill>
        </w:rPr>
        <w:t>秦新阳</w:t>
      </w:r>
    </w:p>
    <w:p>
      <w:pPr>
        <w:spacing w:line="380" w:lineRule="exact"/>
        <w:ind w:firstLine="480" w:firstLineChars="2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电  话：</w:t>
      </w:r>
      <w:r>
        <w:rPr>
          <w:rFonts w:hint="eastAsia" w:ascii="宋体" w:hAnsi="宋体" w:cs="宋体"/>
          <w:color w:val="000000" w:themeColor="text1"/>
          <w:sz w:val="24"/>
          <w:u w:val="single"/>
          <w14:textFill>
            <w14:solidFill>
              <w14:schemeClr w14:val="tx1"/>
            </w14:solidFill>
          </w14:textFill>
        </w:rPr>
        <w:t xml:space="preserve"> 0773-</w:t>
      </w:r>
      <w:r>
        <w:rPr>
          <w:rFonts w:hint="eastAsia" w:ascii="宋体" w:hAnsi="宋体" w:cs="宋体"/>
          <w:color w:val="000000" w:themeColor="text1"/>
          <w:sz w:val="24"/>
          <w:u w:val="single"/>
          <w:lang w:val="en-US" w:eastAsia="zh-CN"/>
          <w14:textFill>
            <w14:solidFill>
              <w14:schemeClr w14:val="tx1"/>
            </w14:solidFill>
          </w14:textFill>
        </w:rPr>
        <w:t>8998986</w:t>
      </w:r>
    </w:p>
    <w:p>
      <w:pPr>
        <w:spacing w:line="38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4.政府采购监督管理机构：</w:t>
      </w:r>
      <w:r>
        <w:rPr>
          <w:rFonts w:hint="eastAsia" w:ascii="宋体" w:hAnsi="宋体" w:cs="宋体"/>
          <w:color w:val="000000" w:themeColor="text1"/>
          <w:sz w:val="24"/>
          <w:u w:val="single"/>
          <w:lang w:eastAsia="zh-CN"/>
          <w14:textFill>
            <w14:solidFill>
              <w14:schemeClr w14:val="tx1"/>
            </w14:solidFill>
          </w14:textFill>
        </w:rPr>
        <w:t xml:space="preserve">灵川县政府采购管理办公室 </w:t>
      </w:r>
    </w:p>
    <w:p>
      <w:pPr>
        <w:spacing w:line="380" w:lineRule="exact"/>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0773-</w:t>
      </w:r>
      <w:r>
        <w:rPr>
          <w:rFonts w:hint="eastAsia" w:ascii="宋体" w:hAnsi="宋体" w:cs="宋体"/>
          <w:color w:val="000000" w:themeColor="text1"/>
          <w:sz w:val="24"/>
          <w:u w:val="single"/>
          <w:lang w:val="en-US" w:eastAsia="zh-CN"/>
          <w14:textFill>
            <w14:solidFill>
              <w14:schemeClr w14:val="tx1"/>
            </w14:solidFill>
          </w14:textFill>
        </w:rPr>
        <w:t>6812818</w:t>
      </w:r>
    </w:p>
    <w:p>
      <w:pPr>
        <w:spacing w:line="440" w:lineRule="exact"/>
        <w:jc w:val="center"/>
        <w:outlineLvl w:val="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br w:type="page"/>
      </w:r>
      <w:bookmarkStart w:id="34" w:name="_Toc7267"/>
      <w:bookmarkStart w:id="35" w:name="_Toc12553"/>
      <w:r>
        <w:rPr>
          <w:rFonts w:hint="eastAsia" w:ascii="宋体" w:hAnsi="宋体" w:cs="宋体"/>
          <w:b/>
          <w:bCs/>
          <w:color w:val="000000" w:themeColor="text1"/>
          <w:kern w:val="44"/>
          <w:sz w:val="32"/>
          <w:szCs w:val="32"/>
          <w14:textFill>
            <w14:solidFill>
              <w14:schemeClr w14:val="tx1"/>
            </w14:solidFill>
          </w14:textFill>
        </w:rPr>
        <w:t>第二章  投标人须知</w:t>
      </w:r>
      <w:bookmarkEnd w:id="34"/>
      <w:bookmarkEnd w:id="35"/>
    </w:p>
    <w:p>
      <w:pPr>
        <w:tabs>
          <w:tab w:val="left" w:pos="1065"/>
          <w:tab w:val="center" w:pos="4411"/>
        </w:tabs>
        <w:spacing w:line="440" w:lineRule="exact"/>
        <w:jc w:val="center"/>
        <w:outlineLvl w:val="1"/>
        <w:rPr>
          <w:rFonts w:hint="eastAsia" w:ascii="宋体" w:hAnsi="宋体" w:cs="宋体"/>
          <w:b/>
          <w:color w:val="000000" w:themeColor="text1"/>
          <w:sz w:val="28"/>
          <w:szCs w:val="28"/>
          <w14:textFill>
            <w14:solidFill>
              <w14:schemeClr w14:val="tx1"/>
            </w14:solidFill>
          </w14:textFill>
        </w:rPr>
      </w:pPr>
      <w:bookmarkStart w:id="36" w:name="_Toc15781"/>
      <w:bookmarkStart w:id="37" w:name="_Toc495841753"/>
      <w:bookmarkStart w:id="38" w:name="_Toc14222"/>
      <w:r>
        <w:rPr>
          <w:rFonts w:hint="eastAsia" w:ascii="宋体" w:hAnsi="宋体" w:cs="宋体"/>
          <w:b/>
          <w:color w:val="000000" w:themeColor="text1"/>
          <w:sz w:val="28"/>
          <w:szCs w:val="28"/>
          <w14:textFill>
            <w14:solidFill>
              <w14:schemeClr w14:val="tx1"/>
            </w14:solidFill>
          </w14:textFill>
        </w:rPr>
        <w:t>投标人须知前附表</w:t>
      </w:r>
      <w:bookmarkEnd w:id="36"/>
      <w:bookmarkEnd w:id="37"/>
      <w:bookmarkEnd w:id="38"/>
    </w:p>
    <w:tbl>
      <w:tblPr>
        <w:tblStyle w:val="33"/>
        <w:tblW w:w="10385"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969"/>
        <w:gridCol w:w="1443"/>
        <w:gridCol w:w="7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blHeader/>
        </w:trPr>
        <w:tc>
          <w:tcPr>
            <w:tcW w:w="750" w:type="dxa"/>
            <w:shd w:val="clear" w:color="auto" w:fill="FFFFFF"/>
            <w:vAlign w:val="center"/>
          </w:tcPr>
          <w:p>
            <w:pPr>
              <w:spacing w:line="400" w:lineRule="exac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969" w:type="dxa"/>
            <w:shd w:val="clear" w:color="auto" w:fill="FFFFFF"/>
            <w:vAlign w:val="center"/>
          </w:tcPr>
          <w:p>
            <w:pPr>
              <w:spacing w:line="400" w:lineRule="exac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条款号</w:t>
            </w:r>
          </w:p>
        </w:tc>
        <w:tc>
          <w:tcPr>
            <w:tcW w:w="1443" w:type="dxa"/>
            <w:shd w:val="clear" w:color="auto" w:fill="FFFFFF"/>
            <w:vAlign w:val="center"/>
          </w:tcPr>
          <w:p>
            <w:pPr>
              <w:spacing w:line="400" w:lineRule="exac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条款名称</w:t>
            </w:r>
          </w:p>
        </w:tc>
        <w:tc>
          <w:tcPr>
            <w:tcW w:w="7223" w:type="dxa"/>
            <w:shd w:val="clear" w:color="auto" w:fill="FFFFFF"/>
            <w:vAlign w:val="center"/>
          </w:tcPr>
          <w:p>
            <w:pPr>
              <w:spacing w:line="400" w:lineRule="exac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50"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969"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443"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项目名称及项目编号</w:t>
            </w:r>
          </w:p>
        </w:tc>
        <w:tc>
          <w:tcPr>
            <w:tcW w:w="7223" w:type="dxa"/>
            <w:vAlign w:val="center"/>
          </w:tcPr>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lang w:eastAsia="zh-CN"/>
                <w14:textFill>
                  <w14:solidFill>
                    <w14:schemeClr w14:val="tx1"/>
                  </w14:solidFill>
                </w14:textFill>
              </w:rPr>
              <w:t xml:space="preserve">灵川县5个镇级污水处理厂统一社会化运营服务采购 </w:t>
            </w:r>
            <w:r>
              <w:rPr>
                <w:rFonts w:hint="eastAsia" w:ascii="宋体" w:hAnsi="宋体" w:cs="宋体"/>
                <w:color w:val="000000" w:themeColor="text1"/>
                <w:sz w:val="24"/>
                <w14:textFill>
                  <w14:solidFill>
                    <w14:schemeClr w14:val="tx1"/>
                  </w14:solidFill>
                </w14:textFill>
              </w:rPr>
              <w:t xml:space="preserve">     </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r>
              <w:rPr>
                <w:rFonts w:hint="eastAsia" w:ascii="宋体" w:hAnsi="宋体" w:cs="宋体"/>
                <w:color w:val="000000" w:themeColor="text1"/>
                <w:sz w:val="24"/>
                <w:lang w:eastAsia="zh-CN"/>
                <w14:textFill>
                  <w14:solidFill>
                    <w14:schemeClr w14:val="tx1"/>
                  </w14:solidFill>
                </w14:textFill>
              </w:rPr>
              <w:t xml:space="preserve">GLZC2023-G3-230010-GXCH </w:t>
            </w:r>
            <w:r>
              <w:rPr>
                <w:rFonts w:hint="eastAsia" w:ascii="宋体" w:hAnsi="宋体" w:cs="宋体"/>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50"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969"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443"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投标人资格</w:t>
            </w:r>
          </w:p>
        </w:tc>
        <w:tc>
          <w:tcPr>
            <w:tcW w:w="7223" w:type="dxa"/>
            <w:vAlign w:val="center"/>
          </w:tcPr>
          <w:p>
            <w:pPr>
              <w:spacing w:line="400" w:lineRule="exact"/>
              <w:ind w:firstLine="0" w:firstLineChars="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lang w:eastAsia="zh-CN"/>
                <w14:textFill>
                  <w14:solidFill>
                    <w14:schemeClr w14:val="tx1"/>
                  </w14:solidFill>
                </w14:textFill>
              </w:rPr>
              <w:t>1.满足《中华人民共和国政府采购法》第二十二条规定和《中华人民共和国政府采购法实施条例》第十八条规定，具备合法资格的供应商。</w:t>
            </w:r>
          </w:p>
          <w:p>
            <w:pPr>
              <w:spacing w:line="400" w:lineRule="exact"/>
              <w:ind w:firstLine="0" w:firstLineChars="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lang w:eastAsia="zh-CN"/>
                <w14:textFill>
                  <w14:solidFill>
                    <w14:schemeClr w14:val="tx1"/>
                  </w14:solidFill>
                </w14:textFill>
              </w:rPr>
              <w:t>2.落实政府采购政策需满足的资格要求：无</w:t>
            </w:r>
          </w:p>
          <w:p>
            <w:pPr>
              <w:spacing w:line="400" w:lineRule="exact"/>
              <w:ind w:firstLine="0" w:firstLineChars="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lang w:eastAsia="zh-CN"/>
                <w14:textFill>
                  <w14:solidFill>
                    <w14:schemeClr w14:val="tx1"/>
                  </w14:solidFill>
                </w14:textFill>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0" w:firstLineChars="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lang w:eastAsia="zh-CN"/>
                <w14:textFill>
                  <w14:solidFill>
                    <w14:schemeClr w14:val="tx1"/>
                  </w14:solidFill>
                </w14:textFill>
              </w:rPr>
              <w:t>4.单位负责人为同一人或者存在直接控股、管理关系的不同供应商，不得参加同一合同项下的政府采购活动。</w:t>
            </w:r>
          </w:p>
          <w:p>
            <w:pPr>
              <w:spacing w:line="400" w:lineRule="exact"/>
              <w:ind w:firstLine="0" w:firstLineChars="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lang w:eastAsia="zh-CN"/>
                <w14:textFill>
                  <w14:solidFill>
                    <w14:schemeClr w14:val="tx1"/>
                  </w14:solidFill>
                </w14:textFill>
              </w:rPr>
              <w:t>5.本项目的特定资格要求：无。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50"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969"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443" w:type="dxa"/>
            <w:vAlign w:val="center"/>
          </w:tcPr>
          <w:p>
            <w:pPr>
              <w:spacing w:line="400" w:lineRule="exact"/>
              <w:jc w:val="center"/>
              <w:rPr>
                <w:rFonts w:hint="eastAsia" w:ascii="宋体" w:hAnsi="宋体" w:cs="宋体"/>
                <w:color w:val="000000" w:themeColor="text1"/>
                <w:position w:val="-2"/>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投标费用</w:t>
            </w:r>
          </w:p>
        </w:tc>
        <w:tc>
          <w:tcPr>
            <w:tcW w:w="7223" w:type="dxa"/>
            <w:vAlign w:val="center"/>
          </w:tcPr>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50"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969" w:type="dxa"/>
            <w:vAlign w:val="center"/>
          </w:tcPr>
          <w:p>
            <w:pPr>
              <w:spacing w:line="400" w:lineRule="exact"/>
              <w:jc w:val="center"/>
              <w:rPr>
                <w:rFonts w:hint="eastAsia" w:ascii="宋体" w:hAnsi="宋体" w:cs="宋体"/>
                <w:color w:val="000000" w:themeColor="text1"/>
                <w:position w:val="-2"/>
                <w:sz w:val="24"/>
                <w14:textFill>
                  <w14:solidFill>
                    <w14:schemeClr w14:val="tx1"/>
                  </w14:solidFill>
                </w14:textFill>
              </w:rPr>
            </w:pPr>
            <w:r>
              <w:rPr>
                <w:rFonts w:hint="eastAsia" w:ascii="宋体" w:hAnsi="宋体" w:cs="宋体"/>
                <w:color w:val="000000" w:themeColor="text1"/>
                <w:position w:val="-2"/>
                <w:sz w:val="24"/>
                <w14:textFill>
                  <w14:solidFill>
                    <w14:schemeClr w14:val="tx1"/>
                  </w14:solidFill>
                </w14:textFill>
              </w:rPr>
              <w:t>15</w:t>
            </w:r>
          </w:p>
        </w:tc>
        <w:tc>
          <w:tcPr>
            <w:tcW w:w="1443"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采购预算金额及投标报价</w:t>
            </w:r>
          </w:p>
        </w:tc>
        <w:tc>
          <w:tcPr>
            <w:tcW w:w="7223" w:type="dxa"/>
            <w:vAlign w:val="center"/>
          </w:tcPr>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15.1投标报价应按招标文件中第六章“投标文件（格式）”填写，</w:t>
            </w:r>
            <w:r>
              <w:rPr>
                <w:rFonts w:hint="eastAsia" w:ascii="宋体" w:hAnsi="宋体" w:cs="宋体"/>
                <w:b/>
                <w:bCs/>
                <w:color w:val="000000" w:themeColor="text1"/>
                <w:sz w:val="24"/>
                <w14:textFill>
                  <w14:solidFill>
                    <w14:schemeClr w14:val="tx1"/>
                  </w14:solidFill>
                </w14:textFill>
              </w:rPr>
              <w:t>本项目采购预算总金额：人民币</w:t>
            </w:r>
            <w:r>
              <w:rPr>
                <w:rFonts w:hint="eastAsia" w:ascii="宋体" w:hAnsi="宋体" w:cs="宋体"/>
                <w:b/>
                <w:bCs/>
                <w:color w:val="000000" w:themeColor="text1"/>
                <w:sz w:val="24"/>
                <w:lang w:eastAsia="zh-CN"/>
                <w14:textFill>
                  <w14:solidFill>
                    <w14:schemeClr w14:val="tx1"/>
                  </w14:solidFill>
                </w14:textFill>
              </w:rPr>
              <w:t>陆佰万元整</w:t>
            </w: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6000000.00</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，投标报价超过采购预算金额的，投标文件按无效处理。</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15.2投标人必须就“服务采购需求”中所投内容作完整唯一报价，否则，其投标将被拒绝；投标文件只允许有一个报价，有选择的或有条件的报价将不予接受。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50"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969"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16.1</w:t>
            </w:r>
          </w:p>
        </w:tc>
        <w:tc>
          <w:tcPr>
            <w:tcW w:w="1443"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投标有效期</w:t>
            </w:r>
          </w:p>
        </w:tc>
        <w:tc>
          <w:tcPr>
            <w:tcW w:w="7223" w:type="dxa"/>
            <w:vAlign w:val="center"/>
          </w:tcPr>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50"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969"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w:t>
            </w:r>
          </w:p>
        </w:tc>
        <w:tc>
          <w:tcPr>
            <w:tcW w:w="1443"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投标保证金</w:t>
            </w:r>
          </w:p>
        </w:tc>
        <w:tc>
          <w:tcPr>
            <w:tcW w:w="7223" w:type="dxa"/>
          </w:tcPr>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本项目无需缴纳投标保证金</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50"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969" w:type="dxa"/>
            <w:vAlign w:val="center"/>
          </w:tcPr>
          <w:p>
            <w:pPr>
              <w:spacing w:line="400" w:lineRule="exact"/>
              <w:jc w:val="center"/>
              <w:rPr>
                <w:rFonts w:hint="eastAsia" w:ascii="宋体" w:hAnsi="宋体" w:cs="宋体"/>
                <w:color w:val="000000" w:themeColor="text1"/>
                <w:position w:val="1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p>
        </w:tc>
        <w:tc>
          <w:tcPr>
            <w:tcW w:w="1443" w:type="dxa"/>
            <w:vAlign w:val="center"/>
          </w:tcPr>
          <w:p>
            <w:pPr>
              <w:spacing w:line="400" w:lineRule="exact"/>
              <w:jc w:val="center"/>
              <w:rPr>
                <w:rFonts w:hint="eastAsia" w:ascii="宋体" w:hAnsi="宋体" w:cs="宋体"/>
                <w:color w:val="000000" w:themeColor="text1"/>
                <w:position w:val="1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投标文件的制作</w:t>
            </w:r>
          </w:p>
        </w:tc>
        <w:tc>
          <w:tcPr>
            <w:tcW w:w="7223" w:type="dxa"/>
            <w:vAlign w:val="center"/>
          </w:tcPr>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18.2 供应商法人（负责人）或授权代表持有政采云个人CA签章的，应在投标文件中涉及到签字的位置使用个人CA签章，没有办理政采云个人CA签章的可在投标文件中涉及到签字的位置手写签字后扫描或者拍照做成 PDF 的格式上传即可。 </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 投标文件不得涂改，若有修改错漏处，须法定代表人（负责人）或授权委托人签字（或个人CA签章）。投标文件因字迹潦草或表达不清所引起的后果由供应商负责。</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18.4评审前准备 </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18.4.1本项目实行网上评审，采用电子投标文件；若供应商参与投标，自行承担投标一切费用。 </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18.4.2各供应商在截标前应确保成为政采云平台正式注册入库供应商，并完成CA数字证书申领。因未注册入库、未办理CA数字证书等原因造成无法投标或投标失败等后果由供应商自行承担。 </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18.4.3供应商将政采云电子交易客户端下载、安装完成后，可通过账号密码或CA登录客户端进行投标文件制作。客户端请至网站下载专区查看，如有问题可拨打政采云客户服务热线 400-881-7190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50"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969"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w:t>
            </w:r>
          </w:p>
        </w:tc>
        <w:tc>
          <w:tcPr>
            <w:tcW w:w="1443" w:type="dxa"/>
            <w:vAlign w:val="center"/>
          </w:tcPr>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投标文件的补充、修改和撤回</w:t>
            </w:r>
          </w:p>
        </w:tc>
        <w:tc>
          <w:tcPr>
            <w:tcW w:w="7223" w:type="dxa"/>
            <w:vAlign w:val="center"/>
          </w:tcPr>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19.1投标文件递交截止时间前可以撤回电子投标文件。补充或者修改电子投标文件的，应当先行撤回原文件，补充、修改后重新传输递交，投标文件递交截止时间前未完成传输的，视为撤回投标文件。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50"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969"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20.1</w:t>
            </w:r>
          </w:p>
        </w:tc>
        <w:tc>
          <w:tcPr>
            <w:tcW w:w="1443"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投标文件递交</w:t>
            </w:r>
          </w:p>
        </w:tc>
        <w:tc>
          <w:tcPr>
            <w:tcW w:w="7223" w:type="dxa"/>
            <w:vAlign w:val="center"/>
          </w:tcPr>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20.1投标文件递交截止时间：</w:t>
            </w:r>
            <w:r>
              <w:rPr>
                <w:rFonts w:hint="eastAsia" w:ascii="宋体" w:hAnsi="宋体" w:cs="宋体"/>
                <w:b/>
                <w:bCs/>
                <w:color w:val="000000" w:themeColor="text1"/>
                <w:sz w:val="24"/>
                <w14:textFill>
                  <w14:solidFill>
                    <w14:schemeClr w14:val="tx1"/>
                  </w14:solidFill>
                </w14:textFill>
              </w:rPr>
              <w:t>投标人于</w:t>
            </w:r>
            <w:r>
              <w:rPr>
                <w:rFonts w:hint="eastAsia" w:ascii="宋体" w:hAnsi="宋体" w:cs="宋体"/>
                <w:b/>
                <w:bCs/>
                <w:color w:val="000000" w:themeColor="text1"/>
                <w:sz w:val="24"/>
                <w:u w:val="single"/>
                <w:lang w:eastAsia="zh-CN"/>
                <w14:textFill>
                  <w14:solidFill>
                    <w14:schemeClr w14:val="tx1"/>
                  </w14:solidFill>
                </w14:textFill>
              </w:rPr>
              <w:t xml:space="preserve"> </w:t>
            </w:r>
            <w:r>
              <w:rPr>
                <w:rFonts w:hint="eastAsia" w:ascii="宋体" w:hAnsi="宋体" w:cs="宋体"/>
                <w:b/>
                <w:bCs/>
                <w:color w:val="000000" w:themeColor="text1"/>
                <w:sz w:val="24"/>
                <w:u w:val="single"/>
                <w:lang w:val="en-US" w:eastAsia="zh-CN"/>
                <w14:textFill>
                  <w14:solidFill>
                    <w14:schemeClr w14:val="tx1"/>
                  </w14:solidFill>
                </w14:textFill>
              </w:rPr>
              <w:t>2023年4月17日</w:t>
            </w:r>
            <w:r>
              <w:rPr>
                <w:rFonts w:hint="eastAsia" w:ascii="宋体" w:hAnsi="宋体" w:cs="宋体"/>
                <w:b/>
                <w:bCs/>
                <w:color w:val="000000" w:themeColor="text1"/>
                <w:sz w:val="24"/>
                <w14:textFill>
                  <w14:solidFill>
                    <w14:schemeClr w14:val="tx1"/>
                  </w14:solidFill>
                </w14:textFill>
              </w:rPr>
              <w:t>9时30分之前将电子投标文件上传到政采云平台。</w:t>
            </w:r>
            <w:r>
              <w:rPr>
                <w:rFonts w:hint="eastAsia" w:ascii="宋体" w:hAnsi="宋体" w:cs="宋体"/>
                <w:color w:val="000000" w:themeColor="text1"/>
                <w:sz w:val="24"/>
                <w14:textFill>
                  <w14:solidFill>
                    <w14:schemeClr w14:val="tx1"/>
                  </w14:solidFill>
                </w14:textFill>
              </w:rPr>
              <w:t>应按照本项目招标文件和政采云平台的要求编制、加密传输投标文件。供应商在使用系统进行投标的过程中遇到涉及平台使用的任何问题，可致电政采云平台技术支持热线咨询，联系方式：400-881-7190。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50"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969"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w:t>
            </w:r>
          </w:p>
        </w:tc>
        <w:tc>
          <w:tcPr>
            <w:tcW w:w="1443" w:type="dxa"/>
            <w:vAlign w:val="center"/>
          </w:tcPr>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投标文件解密</w:t>
            </w:r>
          </w:p>
        </w:tc>
        <w:tc>
          <w:tcPr>
            <w:tcW w:w="7223" w:type="dxa"/>
            <w:vAlign w:val="center"/>
          </w:tcPr>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20.2投标文件解密时间：截标时间后</w:t>
            </w:r>
            <w:r>
              <w:rPr>
                <w:rFonts w:hint="eastAsia" w:ascii="宋体" w:hAnsi="宋体" w:cs="宋体"/>
                <w:b/>
                <w:bCs/>
                <w:color w:val="000000" w:themeColor="text1"/>
                <w:sz w:val="24"/>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分钟内（</w:t>
            </w:r>
            <w:r>
              <w:rPr>
                <w:rFonts w:hint="eastAsia" w:ascii="宋体" w:hAnsi="宋体" w:cs="宋体"/>
                <w:b/>
                <w:bCs/>
                <w:color w:val="000000" w:themeColor="text1"/>
                <w:sz w:val="24"/>
                <w:lang w:eastAsia="zh-CN"/>
                <w14:textFill>
                  <w14:solidFill>
                    <w14:schemeClr w14:val="tx1"/>
                  </w14:solidFill>
                </w14:textFill>
              </w:rPr>
              <w:t xml:space="preserve"> 2023年</w:t>
            </w:r>
            <w:r>
              <w:rPr>
                <w:rFonts w:hint="eastAsia" w:ascii="宋体" w:hAnsi="宋体" w:cs="宋体"/>
                <w:b/>
                <w:bCs/>
                <w:color w:val="000000" w:themeColor="text1"/>
                <w:sz w:val="24"/>
                <w:lang w:val="en-US" w:eastAsia="zh-CN"/>
                <w14:textFill>
                  <w14:solidFill>
                    <w14:schemeClr w14:val="tx1"/>
                  </w14:solidFill>
                </w14:textFill>
              </w:rPr>
              <w:t>4月17日</w:t>
            </w:r>
            <w:r>
              <w:rPr>
                <w:rFonts w:hint="eastAsia" w:ascii="宋体" w:hAnsi="宋体" w:cs="宋体"/>
                <w:b/>
                <w:bCs/>
                <w:color w:val="000000" w:themeColor="text1"/>
                <w:sz w:val="24"/>
                <w14:textFill>
                  <w14:solidFill>
                    <w14:schemeClr w14:val="tx1"/>
                  </w14:solidFill>
                </w14:textFill>
              </w:rPr>
              <w:t>上午9时30分至10时00分</w:t>
            </w:r>
            <w:r>
              <w:rPr>
                <w:rFonts w:hint="eastAsia" w:ascii="宋体" w:hAnsi="宋体" w:cs="宋体"/>
                <w:color w:val="000000" w:themeColor="text1"/>
                <w:sz w:val="24"/>
                <w14:textFill>
                  <w14:solidFill>
                    <w14:schemeClr w14:val="tx1"/>
                  </w14:solidFill>
                </w14:textFill>
              </w:rPr>
              <w:t>)投标人可以登录政采云平台，用“项目采购-开标评标”功能进行解密投标文件。若投标人在规定时间内无法解密或解密失败，可以以电子备份投标文件作为依据【在接到无法解密或解密失败的通知后，投标人可根据自身实际情况按通知时要求的时间到桂林市公共资源交易中心</w:t>
            </w:r>
            <w:r>
              <w:rPr>
                <w:rFonts w:hint="eastAsia" w:ascii="宋体" w:hAnsi="宋体" w:cs="宋体"/>
                <w:color w:val="000000" w:themeColor="text1"/>
                <w:sz w:val="24"/>
                <w:u w:val="single"/>
                <w:lang w:val="en-US" w:eastAsia="zh-CN"/>
                <w14:textFill>
                  <w14:solidFill>
                    <w14:schemeClr w14:val="tx1"/>
                  </w14:solidFill>
                </w14:textFill>
              </w:rPr>
              <w:t>10号开标室</w:t>
            </w:r>
            <w:r>
              <w:rPr>
                <w:rFonts w:hint="eastAsia" w:ascii="宋体" w:hAnsi="宋体" w:cs="宋体"/>
                <w:color w:val="000000" w:themeColor="text1"/>
                <w:sz w:val="24"/>
                <w14:textFill>
                  <w14:solidFill>
                    <w14:schemeClr w14:val="tx1"/>
                  </w14:solidFill>
                </w14:textFill>
              </w:rPr>
              <w:t>（广西桂林市临桂区西城中路69号创业大厦西辅楼4楼北区）现场提交或以电子邮件的形式（以通知时所告知的电子邮箱地址为准）提交电子备份投标文件】，若投标人在规定时间内无法解密或解密失败且未提供电子备份投标文件的(包含提供的电子备份文件无效或无法解密的情况)，视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50"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969" w:type="dxa"/>
            <w:vAlign w:val="center"/>
          </w:tcPr>
          <w:p>
            <w:pPr>
              <w:spacing w:line="400" w:lineRule="exact"/>
              <w:jc w:val="center"/>
              <w:rPr>
                <w:rFonts w:hint="eastAsia" w:ascii="宋体" w:hAnsi="宋体" w:cs="宋体"/>
                <w:color w:val="000000" w:themeColor="text1"/>
                <w:position w:val="-2"/>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w:t>
            </w:r>
          </w:p>
        </w:tc>
        <w:tc>
          <w:tcPr>
            <w:tcW w:w="1443" w:type="dxa"/>
            <w:vAlign w:val="center"/>
          </w:tcPr>
          <w:p>
            <w:pPr>
              <w:spacing w:line="400" w:lineRule="exact"/>
              <w:jc w:val="center"/>
              <w:rPr>
                <w:rFonts w:hint="eastAsia" w:ascii="宋体" w:hAnsi="宋体" w:cs="宋体"/>
                <w:color w:val="000000" w:themeColor="text1"/>
                <w:position w:val="-2"/>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开标时间及地点</w:t>
            </w:r>
          </w:p>
        </w:tc>
        <w:tc>
          <w:tcPr>
            <w:tcW w:w="7223" w:type="dxa"/>
          </w:tcPr>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开标时间：</w:t>
            </w:r>
            <w:r>
              <w:rPr>
                <w:rFonts w:hint="eastAsia" w:ascii="宋体" w:hAnsi="宋体" w:cs="宋体"/>
                <w:b/>
                <w:bCs/>
                <w:color w:val="000000" w:themeColor="text1"/>
                <w:sz w:val="24"/>
                <w:u w:val="single"/>
                <w:lang w:eastAsia="zh-CN"/>
                <w14:textFill>
                  <w14:solidFill>
                    <w14:schemeClr w14:val="tx1"/>
                  </w14:solidFill>
                </w14:textFill>
              </w:rPr>
              <w:t xml:space="preserve"> 2023年</w:t>
            </w:r>
            <w:r>
              <w:rPr>
                <w:rFonts w:hint="eastAsia" w:ascii="宋体" w:hAnsi="宋体" w:cs="宋体"/>
                <w:b/>
                <w:bCs/>
                <w:color w:val="000000" w:themeColor="text1"/>
                <w:sz w:val="24"/>
                <w:u w:val="single"/>
                <w:lang w:val="en-US" w:eastAsia="zh-CN"/>
                <w14:textFill>
                  <w14:solidFill>
                    <w14:schemeClr w14:val="tx1"/>
                  </w14:solidFill>
                </w14:textFill>
              </w:rPr>
              <w:t>4月17日</w:t>
            </w:r>
            <w:r>
              <w:rPr>
                <w:rFonts w:hint="eastAsia" w:ascii="宋体" w:hAnsi="宋体" w:cs="宋体"/>
                <w:b/>
                <w:bCs/>
                <w:color w:val="000000" w:themeColor="text1"/>
                <w:sz w:val="24"/>
                <w:u w:val="single"/>
                <w14:textFill>
                  <w14:solidFill>
                    <w14:schemeClr w14:val="tx1"/>
                  </w14:solidFill>
                </w14:textFill>
              </w:rPr>
              <w:t>9时30分</w:t>
            </w:r>
            <w:r>
              <w:rPr>
                <w:rFonts w:hint="eastAsia" w:ascii="宋体" w:hAnsi="宋体" w:cs="宋体"/>
                <w:color w:val="000000" w:themeColor="text1"/>
                <w:sz w:val="24"/>
                <w:u w:val="single"/>
                <w14:textFill>
                  <w14:solidFill>
                    <w14:schemeClr w14:val="tx1"/>
                  </w14:solidFill>
                </w14:textFill>
              </w:rPr>
              <w:t>（北京时间）截标后</w:t>
            </w:r>
            <w:r>
              <w:rPr>
                <w:rFonts w:hint="eastAsia" w:ascii="宋体" w:hAnsi="宋体" w:cs="宋体"/>
                <w:color w:val="000000" w:themeColor="text1"/>
                <w:sz w:val="24"/>
                <w14:textFill>
                  <w14:solidFill>
                    <w14:schemeClr w14:val="tx1"/>
                  </w14:solidFill>
                </w14:textFill>
              </w:rPr>
              <w:t>。地点：通过政采云平台实行在线解密开启。</w:t>
            </w:r>
            <w:r>
              <w:rPr>
                <w:rFonts w:hint="eastAsia" w:ascii="宋体" w:hAnsi="宋体" w:cs="宋体"/>
                <w:b/>
                <w:bCs/>
                <w:color w:val="000000" w:themeColor="text1"/>
                <w:sz w:val="24"/>
                <w14:textFill>
                  <w14:solidFill>
                    <w14:schemeClr w14:val="tx1"/>
                  </w14:solidFill>
                </w14:textFill>
              </w:rPr>
              <w:t>提交电子备份投标文件方式：</w:t>
            </w:r>
            <w:r>
              <w:rPr>
                <w:rFonts w:hint="eastAsia" w:ascii="宋体" w:hAnsi="宋体" w:cs="宋体"/>
                <w:color w:val="000000" w:themeColor="text1"/>
                <w:sz w:val="24"/>
                <w14:textFill>
                  <w14:solidFill>
                    <w14:schemeClr w14:val="tx1"/>
                  </w14:solidFill>
                </w14:textFill>
              </w:rPr>
              <w:t>在接到无法解密或解密失败的通知后，投标人可根据自身实际情况按通知时要求的时间到桂林市公共资源交易中心</w:t>
            </w:r>
            <w:r>
              <w:rPr>
                <w:rFonts w:hint="eastAsia" w:ascii="宋体" w:hAnsi="宋体" w:cs="宋体"/>
                <w:color w:val="000000" w:themeColor="text1"/>
                <w:sz w:val="24"/>
                <w:u w:val="single"/>
                <w:lang w:val="en-US" w:eastAsia="zh-CN"/>
                <w14:textFill>
                  <w14:solidFill>
                    <w14:schemeClr w14:val="tx1"/>
                  </w14:solidFill>
                </w14:textFill>
              </w:rPr>
              <w:t>10号开标室</w:t>
            </w:r>
            <w:r>
              <w:rPr>
                <w:rFonts w:hint="eastAsia" w:ascii="宋体" w:hAnsi="宋体" w:cs="宋体"/>
                <w:color w:val="000000" w:themeColor="text1"/>
                <w:sz w:val="24"/>
                <w14:textFill>
                  <w14:solidFill>
                    <w14:schemeClr w14:val="tx1"/>
                  </w14:solidFill>
                </w14:textFill>
              </w:rPr>
              <w:t>（广西桂林市临桂区西城中路69号创业大厦西辅楼4楼北区）现场提交或以电子邮件的形式（以通知时所告知的电子邮箱地址为准）提交电子备份投标文件。投标人可以由法定代表人、负责人、自然人或其委托代理人出席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50"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969"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w:t>
            </w:r>
          </w:p>
        </w:tc>
        <w:tc>
          <w:tcPr>
            <w:tcW w:w="1443"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评标委员会组成</w:t>
            </w:r>
          </w:p>
        </w:tc>
        <w:tc>
          <w:tcPr>
            <w:tcW w:w="7223" w:type="dxa"/>
            <w:vAlign w:val="center"/>
          </w:tcPr>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评标委员会由采购人代表和有关技术、经济等方面的专家组成，成员人数共5人，其中采购人代表1人，技术、经济等专家 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50"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969"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w:t>
            </w:r>
          </w:p>
        </w:tc>
        <w:tc>
          <w:tcPr>
            <w:tcW w:w="1443"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评标办法</w:t>
            </w:r>
          </w:p>
        </w:tc>
        <w:tc>
          <w:tcPr>
            <w:tcW w:w="7223" w:type="dxa"/>
            <w:vAlign w:val="center"/>
          </w:tcPr>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综合评分法，具体评标内容及标准详见第四章。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50"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969"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w:t>
            </w:r>
          </w:p>
        </w:tc>
        <w:tc>
          <w:tcPr>
            <w:tcW w:w="1443" w:type="dxa"/>
            <w:vAlign w:val="center"/>
          </w:tcPr>
          <w:p>
            <w:pPr>
              <w:tabs>
                <w:tab w:val="left" w:pos="1140"/>
              </w:tabs>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信用查询</w:t>
            </w:r>
          </w:p>
        </w:tc>
        <w:tc>
          <w:tcPr>
            <w:tcW w:w="7223" w:type="dxa"/>
            <w:vAlign w:val="center"/>
          </w:tcPr>
          <w:p>
            <w:pPr>
              <w:autoSpaceDE w:val="0"/>
              <w:autoSpaceDN w:val="0"/>
              <w:snapToGrid w:val="0"/>
              <w:spacing w:line="400" w:lineRule="exact"/>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根据《关于做好政府采购有关信用主体标识码登记及在政府采购活动中查询使用信用记录有关问题的通知》桂财采〔2016〕37号，由采购代理机构对第一中标候选供应商进行信用查询：</w:t>
            </w:r>
          </w:p>
          <w:p>
            <w:pPr>
              <w:autoSpaceDE w:val="0"/>
              <w:autoSpaceDN w:val="0"/>
              <w:snapToGrid w:val="0"/>
              <w:spacing w:line="400" w:lineRule="exact"/>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⑴查询渠道：“信用中国”网站(www.creditchina.gov.cn)、中国政府采购网(www.ccgp.gov.cn)等；</w:t>
            </w:r>
          </w:p>
          <w:p>
            <w:pPr>
              <w:autoSpaceDE w:val="0"/>
              <w:autoSpaceDN w:val="0"/>
              <w:snapToGrid w:val="0"/>
              <w:spacing w:line="400" w:lineRule="exact"/>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⑵查询时间：中标通知书发出前；</w:t>
            </w:r>
          </w:p>
          <w:p>
            <w:pPr>
              <w:autoSpaceDE w:val="0"/>
              <w:autoSpaceDN w:val="0"/>
              <w:snapToGrid w:val="0"/>
              <w:spacing w:line="400" w:lineRule="exact"/>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⑶信用信息查询记录和证据留存方式：在查询网站中直接打印查询记录，打印材料作为采购活动资料保存；</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50"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969"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w:t>
            </w:r>
          </w:p>
        </w:tc>
        <w:tc>
          <w:tcPr>
            <w:tcW w:w="1443"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中标公告及中标通知书</w:t>
            </w:r>
          </w:p>
        </w:tc>
        <w:tc>
          <w:tcPr>
            <w:tcW w:w="7223" w:type="dxa"/>
            <w:vAlign w:val="center"/>
          </w:tcPr>
          <w:p>
            <w:pPr>
              <w:tabs>
                <w:tab w:val="left" w:pos="455"/>
              </w:tabs>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33.2中标公告发布的同时，采购代理机构向中标供应商发出中标通知书。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50"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w:t>
            </w:r>
          </w:p>
        </w:tc>
        <w:tc>
          <w:tcPr>
            <w:tcW w:w="969"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p>
        </w:tc>
        <w:tc>
          <w:tcPr>
            <w:tcW w:w="1443"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w:t>
            </w:r>
          </w:p>
        </w:tc>
        <w:tc>
          <w:tcPr>
            <w:tcW w:w="7223" w:type="dxa"/>
            <w:vAlign w:val="center"/>
          </w:tcPr>
          <w:p>
            <w:pPr>
              <w:pStyle w:val="20"/>
              <w:spacing w:line="400" w:lineRule="exact"/>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履约保证金金额按中标价的5%（人民币，四舍五入到元）提供，由中标供应商在签订合同前将履约保证金以转账、电汇等非现金形式转入采购人履约保证金账户，或出具保函、保险等相关证明材料。</w:t>
            </w:r>
          </w:p>
          <w:p>
            <w:pPr>
              <w:pStyle w:val="20"/>
              <w:spacing w:line="400" w:lineRule="exact"/>
              <w:rPr>
                <w:rFonts w:hint="eastAsia" w:hAnsi="宋体" w:cs="宋体"/>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注：根据《广西壮族自治区人民政府办公厅关于印发广西保障中小企业款项支付工作方案的通知》要求，降低小微企业参与政府采购费用，对小微企业免于收取履约保证金。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50"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w:t>
            </w:r>
          </w:p>
        </w:tc>
        <w:tc>
          <w:tcPr>
            <w:tcW w:w="969"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35.1</w:t>
            </w:r>
          </w:p>
        </w:tc>
        <w:tc>
          <w:tcPr>
            <w:tcW w:w="1443"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签订合同时间</w:t>
            </w:r>
          </w:p>
        </w:tc>
        <w:tc>
          <w:tcPr>
            <w:tcW w:w="7223" w:type="dxa"/>
            <w:vAlign w:val="center"/>
          </w:tcPr>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中标通知书发出之日起二十五内。中标供应商领取中标通知书后，应按规定与采购人签订合同。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50"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p>
        </w:tc>
        <w:tc>
          <w:tcPr>
            <w:tcW w:w="969"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35.4</w:t>
            </w:r>
          </w:p>
        </w:tc>
        <w:tc>
          <w:tcPr>
            <w:tcW w:w="1443"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合同备案存档</w:t>
            </w:r>
          </w:p>
        </w:tc>
        <w:tc>
          <w:tcPr>
            <w:tcW w:w="7223" w:type="dxa"/>
            <w:vAlign w:val="center"/>
          </w:tcPr>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政府采购合同双方自签订之日起1个工作日内将合同原件两份交采购代理机构。采购代理机构将政府采购合同在省级以上人民政府财政部门指定媒体上公告。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50"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w:t>
            </w:r>
          </w:p>
        </w:tc>
        <w:tc>
          <w:tcPr>
            <w:tcW w:w="969"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w:t>
            </w:r>
          </w:p>
        </w:tc>
        <w:tc>
          <w:tcPr>
            <w:tcW w:w="1443"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招标代理服务费</w:t>
            </w:r>
          </w:p>
        </w:tc>
        <w:tc>
          <w:tcPr>
            <w:tcW w:w="7223" w:type="dxa"/>
            <w:vAlign w:val="center"/>
          </w:tcPr>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本项目采购代理服务费按“计价格[2002]1980号《招标代理服务收费管理暂行办法》”中“服务类”收费标准计算，由中标单位在领取中标通知书前，向采购代理机构一次性支付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50"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w:t>
            </w:r>
          </w:p>
        </w:tc>
        <w:tc>
          <w:tcPr>
            <w:tcW w:w="969"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w:t>
            </w:r>
          </w:p>
        </w:tc>
        <w:tc>
          <w:tcPr>
            <w:tcW w:w="1443"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解释权</w:t>
            </w:r>
          </w:p>
        </w:tc>
        <w:tc>
          <w:tcPr>
            <w:tcW w:w="7223" w:type="dxa"/>
            <w:vAlign w:val="center"/>
          </w:tcPr>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本招标文件是根据《中华人民共和国政府采购法》《中华人民共和国政府采购法实施条例》及《政府采购货物和服务招标投标管理办法》（财政部令第87号）等相关规定编制，本招标文件的解释权属于代理机构。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50"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p>
        </w:tc>
        <w:tc>
          <w:tcPr>
            <w:tcW w:w="969"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38</w:t>
            </w:r>
          </w:p>
        </w:tc>
        <w:tc>
          <w:tcPr>
            <w:tcW w:w="1443"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监督管理机构</w:t>
            </w:r>
          </w:p>
        </w:tc>
        <w:tc>
          <w:tcPr>
            <w:tcW w:w="7223" w:type="dxa"/>
            <w:vAlign w:val="center"/>
          </w:tcPr>
          <w:p>
            <w:pPr>
              <w:spacing w:line="400" w:lineRule="exac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 xml:space="preserve">灵川县政府采购管理办公室 </w:t>
            </w:r>
            <w:r>
              <w:rPr>
                <w:rFonts w:hint="eastAsia" w:ascii="宋体" w:hAnsi="宋体" w:cs="宋体"/>
                <w:color w:val="000000" w:themeColor="text1"/>
                <w:sz w:val="24"/>
                <w14:textFill>
                  <w14:solidFill>
                    <w14:schemeClr w14:val="tx1"/>
                  </w14:solidFill>
                </w14:textFill>
              </w:rPr>
              <w:t xml:space="preserve">     电话：0773-</w:t>
            </w:r>
            <w:r>
              <w:rPr>
                <w:rFonts w:hint="eastAsia" w:ascii="宋体" w:hAnsi="宋体" w:cs="宋体"/>
                <w:color w:val="000000" w:themeColor="text1"/>
                <w:sz w:val="24"/>
                <w:lang w:val="en-US" w:eastAsia="zh-CN"/>
                <w14:textFill>
                  <w14:solidFill>
                    <w14:schemeClr w14:val="tx1"/>
                  </w14:solidFill>
                </w14:textFill>
              </w:rPr>
              <w:t>6812818</w:t>
            </w:r>
          </w:p>
        </w:tc>
      </w:tr>
    </w:tbl>
    <w:p>
      <w:pPr>
        <w:spacing w:line="440" w:lineRule="exact"/>
        <w:jc w:val="center"/>
        <w:outlineLvl w:val="1"/>
        <w:rPr>
          <w:rFonts w:hint="eastAsia" w:ascii="宋体" w:hAnsi="宋体" w:cs="宋体"/>
          <w:b/>
          <w:color w:val="000000" w:themeColor="text1"/>
          <w:sz w:val="28"/>
          <w:szCs w:val="28"/>
          <w14:textFill>
            <w14:solidFill>
              <w14:schemeClr w14:val="tx1"/>
            </w14:solidFill>
          </w14:textFill>
        </w:rPr>
      </w:pPr>
      <w:bookmarkStart w:id="39" w:name="_Toc3679"/>
      <w:bookmarkStart w:id="40" w:name="_Toc495841754"/>
      <w:r>
        <w:rPr>
          <w:rFonts w:hint="eastAsia" w:ascii="宋体" w:hAnsi="宋体" w:cs="宋体"/>
          <w:b/>
          <w:color w:val="000000" w:themeColor="text1"/>
          <w:sz w:val="28"/>
          <w:szCs w:val="28"/>
          <w14:textFill>
            <w14:solidFill>
              <w14:schemeClr w14:val="tx1"/>
            </w14:solidFill>
          </w14:textFill>
        </w:rPr>
        <w:br w:type="page"/>
      </w:r>
      <w:bookmarkStart w:id="41" w:name="_Toc17889"/>
      <w:r>
        <w:rPr>
          <w:rFonts w:hint="eastAsia" w:ascii="宋体" w:hAnsi="宋体" w:cs="宋体"/>
          <w:b/>
          <w:color w:val="000000" w:themeColor="text1"/>
          <w:sz w:val="28"/>
          <w:szCs w:val="28"/>
          <w14:textFill>
            <w14:solidFill>
              <w14:schemeClr w14:val="tx1"/>
            </w14:solidFill>
          </w14:textFill>
        </w:rPr>
        <w:t>一、总则</w:t>
      </w:r>
      <w:bookmarkEnd w:id="39"/>
      <w:bookmarkEnd w:id="40"/>
      <w:bookmarkEnd w:id="41"/>
    </w:p>
    <w:p>
      <w:pPr>
        <w:spacing w:line="440" w:lineRule="exact"/>
        <w:ind w:firstLine="482" w:firstLineChars="200"/>
        <w:outlineLvl w:val="2"/>
        <w:rPr>
          <w:rFonts w:hint="eastAsia" w:ascii="宋体" w:hAnsi="宋体" w:cs="宋体"/>
          <w:b/>
          <w:color w:val="000000" w:themeColor="text1"/>
          <w:sz w:val="24"/>
          <w14:textFill>
            <w14:solidFill>
              <w14:schemeClr w14:val="tx1"/>
            </w14:solidFill>
          </w14:textFill>
        </w:rPr>
      </w:pPr>
      <w:bookmarkStart w:id="42" w:name="_Toc12947"/>
      <w:bookmarkStart w:id="43" w:name="_Toc23807"/>
      <w:r>
        <w:rPr>
          <w:rFonts w:hint="eastAsia" w:ascii="宋体" w:hAnsi="宋体" w:cs="宋体"/>
          <w:b/>
          <w:color w:val="000000" w:themeColor="text1"/>
          <w:sz w:val="24"/>
          <w14:textFill>
            <w14:solidFill>
              <w14:schemeClr w14:val="tx1"/>
            </w14:solidFill>
          </w14:textFill>
        </w:rPr>
        <w:t>1. 项目名称及项目编号</w:t>
      </w:r>
      <w:bookmarkEnd w:id="42"/>
      <w:bookmarkEnd w:id="43"/>
    </w:p>
    <w:p>
      <w:pPr>
        <w:spacing w:line="440" w:lineRule="exact"/>
        <w:ind w:firstLine="480" w:firstLineChars="200"/>
        <w:rPr>
          <w:rFonts w:hint="eastAsia" w:ascii="宋体" w:hAnsi="宋体" w:cs="宋体"/>
          <w:color w:val="000000" w:themeColor="text1"/>
          <w:sz w:val="24"/>
          <w14:textFill>
            <w14:solidFill>
              <w14:schemeClr w14:val="tx1"/>
            </w14:solidFill>
          </w14:textFill>
        </w:rPr>
      </w:pPr>
      <w:bookmarkStart w:id="44" w:name="_Toc340"/>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lang w:eastAsia="zh-CN"/>
          <w14:textFill>
            <w14:solidFill>
              <w14:schemeClr w14:val="tx1"/>
            </w14:solidFill>
          </w14:textFill>
        </w:rPr>
        <w:t xml:space="preserve">灵川县5个镇级污水处理厂统一社会化运营服务采购 </w:t>
      </w:r>
      <w:r>
        <w:rPr>
          <w:rFonts w:hint="eastAsia" w:ascii="宋体" w:hAnsi="宋体" w:cs="宋体"/>
          <w:color w:val="000000" w:themeColor="text1"/>
          <w:sz w:val="24"/>
          <w14:textFill>
            <w14:solidFill>
              <w14:schemeClr w14:val="tx1"/>
            </w14:solidFill>
          </w14:textFill>
        </w:rPr>
        <w:t xml:space="preserve">  </w:t>
      </w:r>
    </w:p>
    <w:p>
      <w:pPr>
        <w:spacing w:line="44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r>
        <w:rPr>
          <w:rFonts w:hint="eastAsia" w:ascii="宋体" w:hAnsi="宋体" w:cs="宋体"/>
          <w:color w:val="000000" w:themeColor="text1"/>
          <w:sz w:val="24"/>
          <w:lang w:eastAsia="zh-CN"/>
          <w14:textFill>
            <w14:solidFill>
              <w14:schemeClr w14:val="tx1"/>
            </w14:solidFill>
          </w14:textFill>
        </w:rPr>
        <w:t xml:space="preserve">GLZC2023-G3-230010-GXCH </w:t>
      </w:r>
    </w:p>
    <w:p>
      <w:pPr>
        <w:spacing w:line="440" w:lineRule="exact"/>
        <w:ind w:firstLine="482" w:firstLineChars="200"/>
        <w:outlineLvl w:val="2"/>
        <w:rPr>
          <w:rFonts w:hint="eastAsia" w:ascii="宋体" w:hAnsi="宋体" w:cs="宋体"/>
          <w:b/>
          <w:color w:val="000000" w:themeColor="text1"/>
          <w:sz w:val="24"/>
          <w14:textFill>
            <w14:solidFill>
              <w14:schemeClr w14:val="tx1"/>
            </w14:solidFill>
          </w14:textFill>
        </w:rPr>
      </w:pPr>
      <w:bookmarkStart w:id="45" w:name="_Toc16382"/>
      <w:r>
        <w:rPr>
          <w:rFonts w:hint="eastAsia" w:ascii="宋体" w:hAnsi="宋体" w:cs="宋体"/>
          <w:b/>
          <w:color w:val="000000" w:themeColor="text1"/>
          <w:sz w:val="24"/>
          <w14:textFill>
            <w14:solidFill>
              <w14:schemeClr w14:val="tx1"/>
            </w14:solidFill>
          </w14:textFill>
        </w:rPr>
        <w:t>2. 适应范围</w:t>
      </w:r>
      <w:bookmarkEnd w:id="44"/>
      <w:bookmarkEnd w:id="45"/>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本招标文件适用本招标采购项目的招标、投标、评标、合同履约、验收、付款等行为（法律、法规另有规定的，从其规定）。</w:t>
      </w:r>
    </w:p>
    <w:p>
      <w:pPr>
        <w:spacing w:line="440" w:lineRule="exact"/>
        <w:ind w:firstLine="482" w:firstLineChars="200"/>
        <w:outlineLvl w:val="2"/>
        <w:rPr>
          <w:rFonts w:hint="eastAsia" w:ascii="宋体" w:hAnsi="宋体" w:cs="宋体"/>
          <w:b/>
          <w:color w:val="000000" w:themeColor="text1"/>
          <w:sz w:val="24"/>
          <w14:textFill>
            <w14:solidFill>
              <w14:schemeClr w14:val="tx1"/>
            </w14:solidFill>
          </w14:textFill>
        </w:rPr>
      </w:pPr>
      <w:bookmarkStart w:id="46" w:name="_Toc12841"/>
      <w:bookmarkStart w:id="47" w:name="_Toc1895"/>
      <w:r>
        <w:rPr>
          <w:rFonts w:hint="eastAsia" w:ascii="宋体" w:hAnsi="宋体" w:cs="宋体"/>
          <w:b/>
          <w:color w:val="000000" w:themeColor="text1"/>
          <w:sz w:val="24"/>
          <w14:textFill>
            <w14:solidFill>
              <w14:schemeClr w14:val="tx1"/>
            </w14:solidFill>
          </w14:textFill>
        </w:rPr>
        <w:t>3. 定义</w:t>
      </w:r>
      <w:bookmarkEnd w:id="46"/>
      <w:bookmarkEnd w:id="47"/>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3.1“投标人”系指响应招标、参加投标竞争的法人、其他组织或者自然人。</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3.2“货物”系指按招标文件规定，投标人须向采购人提供的一切设备、保险、税金、备品备件、工具、手册及其它有关技术资料和材料。</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3.3“服务”系指按招标文件规定，投标人须承担的安装、调试、技术协助、校准、培训、技术指导以及其他类似的义务。</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3.4“项目”系指投标人按招标文件规定向采购人提供的货物和服务。</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3.5“书面形式”包括信函、传真、电报等。</w:t>
      </w:r>
    </w:p>
    <w:p>
      <w:pPr>
        <w:spacing w:line="440" w:lineRule="exact"/>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3.6实质性要求：本招标文件“服务采购需求”中标注“★”号项的条款均为实质性要求。</w:t>
      </w:r>
    </w:p>
    <w:p>
      <w:pPr>
        <w:spacing w:line="440" w:lineRule="exact"/>
        <w:ind w:firstLine="482" w:firstLineChars="200"/>
        <w:outlineLvl w:val="2"/>
        <w:rPr>
          <w:rFonts w:hint="eastAsia" w:ascii="宋体" w:hAnsi="宋体" w:cs="宋体"/>
          <w:b/>
          <w:color w:val="000000" w:themeColor="text1"/>
          <w:sz w:val="24"/>
          <w14:textFill>
            <w14:solidFill>
              <w14:schemeClr w14:val="tx1"/>
            </w14:solidFill>
          </w14:textFill>
        </w:rPr>
      </w:pPr>
      <w:bookmarkStart w:id="48" w:name="_Toc28906"/>
      <w:bookmarkStart w:id="49" w:name="_Toc3469"/>
      <w:r>
        <w:rPr>
          <w:rFonts w:hint="eastAsia" w:ascii="宋体" w:hAnsi="宋体" w:cs="宋体"/>
          <w:b/>
          <w:color w:val="000000" w:themeColor="text1"/>
          <w:sz w:val="24"/>
          <w14:textFill>
            <w14:solidFill>
              <w14:schemeClr w14:val="tx1"/>
            </w14:solidFill>
          </w14:textFill>
        </w:rPr>
        <w:t>4. 招标方式、评分办法</w:t>
      </w:r>
      <w:bookmarkEnd w:id="48"/>
      <w:bookmarkEnd w:id="49"/>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公开招标、综合评分法</w:t>
      </w:r>
    </w:p>
    <w:p>
      <w:pPr>
        <w:spacing w:line="440" w:lineRule="exact"/>
        <w:ind w:firstLine="482" w:firstLineChars="200"/>
        <w:outlineLvl w:val="2"/>
        <w:rPr>
          <w:rFonts w:hint="eastAsia" w:ascii="宋体" w:hAnsi="宋体" w:cs="宋体"/>
          <w:b/>
          <w:color w:val="000000" w:themeColor="text1"/>
          <w:sz w:val="24"/>
          <w14:textFill>
            <w14:solidFill>
              <w14:schemeClr w14:val="tx1"/>
            </w14:solidFill>
          </w14:textFill>
        </w:rPr>
      </w:pPr>
      <w:bookmarkStart w:id="50" w:name="_Toc598"/>
      <w:bookmarkStart w:id="51" w:name="_Toc8742"/>
      <w:r>
        <w:rPr>
          <w:rFonts w:hint="eastAsia" w:ascii="宋体" w:hAnsi="宋体" w:cs="宋体"/>
          <w:b/>
          <w:color w:val="000000" w:themeColor="text1"/>
          <w:sz w:val="24"/>
          <w14:textFill>
            <w14:solidFill>
              <w14:schemeClr w14:val="tx1"/>
            </w14:solidFill>
          </w14:textFill>
        </w:rPr>
        <w:t>5. 投标人资格</w:t>
      </w:r>
      <w:bookmarkEnd w:id="50"/>
      <w:bookmarkEnd w:id="51"/>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详见“投标人须知前附表”。</w:t>
      </w:r>
    </w:p>
    <w:p>
      <w:pPr>
        <w:spacing w:line="440" w:lineRule="exact"/>
        <w:ind w:firstLine="482" w:firstLineChars="200"/>
        <w:outlineLvl w:val="2"/>
        <w:rPr>
          <w:rFonts w:hint="eastAsia" w:ascii="宋体" w:hAnsi="宋体" w:cs="宋体"/>
          <w:b/>
          <w:color w:val="000000" w:themeColor="text1"/>
          <w:sz w:val="24"/>
          <w14:textFill>
            <w14:solidFill>
              <w14:schemeClr w14:val="tx1"/>
            </w14:solidFill>
          </w14:textFill>
        </w:rPr>
      </w:pPr>
      <w:bookmarkStart w:id="52" w:name="_Toc24742"/>
      <w:bookmarkStart w:id="53" w:name="_Toc31425"/>
      <w:r>
        <w:rPr>
          <w:rFonts w:hint="eastAsia" w:ascii="宋体" w:hAnsi="宋体" w:cs="宋体"/>
          <w:b/>
          <w:color w:val="000000" w:themeColor="text1"/>
          <w:sz w:val="24"/>
          <w14:textFill>
            <w14:solidFill>
              <w14:schemeClr w14:val="tx1"/>
            </w14:solidFill>
          </w14:textFill>
        </w:rPr>
        <w:t>6. 投标费用</w:t>
      </w:r>
      <w:bookmarkEnd w:id="52"/>
      <w:bookmarkEnd w:id="53"/>
    </w:p>
    <w:p>
      <w:pPr>
        <w:spacing w:line="440" w:lineRule="exact"/>
        <w:ind w:firstLine="480"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不论投标结果如何，投标人均应自行承担所有与投标有关的全部费用。</w:t>
      </w:r>
    </w:p>
    <w:p>
      <w:pPr>
        <w:spacing w:line="440" w:lineRule="exact"/>
        <w:ind w:firstLine="482" w:firstLineChars="200"/>
        <w:outlineLvl w:val="2"/>
        <w:rPr>
          <w:rFonts w:hint="eastAsia" w:ascii="宋体" w:hAnsi="宋体" w:cs="宋体"/>
          <w:b/>
          <w:color w:val="000000" w:themeColor="text1"/>
          <w:sz w:val="24"/>
          <w14:textFill>
            <w14:solidFill>
              <w14:schemeClr w14:val="tx1"/>
            </w14:solidFill>
          </w14:textFill>
        </w:rPr>
      </w:pPr>
      <w:bookmarkStart w:id="54" w:name="_Toc19884"/>
      <w:bookmarkStart w:id="55" w:name="_Toc22702"/>
      <w:r>
        <w:rPr>
          <w:rFonts w:hint="eastAsia" w:ascii="宋体" w:hAnsi="宋体" w:cs="宋体"/>
          <w:b/>
          <w:color w:val="000000" w:themeColor="text1"/>
          <w:sz w:val="24"/>
          <w14:textFill>
            <w14:solidFill>
              <w14:schemeClr w14:val="tx1"/>
            </w14:solidFill>
          </w14:textFill>
        </w:rPr>
        <w:t>7. 联合体投标要求</w:t>
      </w:r>
      <w:bookmarkEnd w:id="54"/>
      <w:bookmarkEnd w:id="55"/>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本项目不接受联合体投标。</w:t>
      </w:r>
    </w:p>
    <w:p>
      <w:pPr>
        <w:spacing w:line="440" w:lineRule="exact"/>
        <w:ind w:firstLine="482" w:firstLineChars="200"/>
        <w:outlineLvl w:val="2"/>
        <w:rPr>
          <w:rFonts w:hint="eastAsia" w:ascii="宋体" w:hAnsi="宋体" w:cs="宋体"/>
          <w:b/>
          <w:color w:val="000000" w:themeColor="text1"/>
          <w:sz w:val="24"/>
          <w14:textFill>
            <w14:solidFill>
              <w14:schemeClr w14:val="tx1"/>
            </w14:solidFill>
          </w14:textFill>
        </w:rPr>
      </w:pPr>
      <w:bookmarkStart w:id="56" w:name="_Toc7916"/>
      <w:bookmarkStart w:id="57" w:name="_Toc6046"/>
      <w:r>
        <w:rPr>
          <w:rFonts w:hint="eastAsia" w:ascii="宋体" w:hAnsi="宋体" w:cs="宋体"/>
          <w:b/>
          <w:color w:val="000000" w:themeColor="text1"/>
          <w:sz w:val="24"/>
          <w14:textFill>
            <w14:solidFill>
              <w14:schemeClr w14:val="tx1"/>
            </w14:solidFill>
          </w14:textFill>
        </w:rPr>
        <w:t>8. 转包与分包</w:t>
      </w:r>
      <w:bookmarkEnd w:id="56"/>
      <w:bookmarkEnd w:id="57"/>
    </w:p>
    <w:p>
      <w:pPr>
        <w:tabs>
          <w:tab w:val="left" w:pos="1635"/>
        </w:tabs>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8.1本项目不允许转包。</w:t>
      </w:r>
    </w:p>
    <w:p>
      <w:pPr>
        <w:tabs>
          <w:tab w:val="left" w:pos="1635"/>
        </w:tabs>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8.2本项目不可以分包。</w:t>
      </w:r>
    </w:p>
    <w:p>
      <w:pPr>
        <w:spacing w:line="440" w:lineRule="exact"/>
        <w:ind w:firstLine="482" w:firstLineChars="200"/>
        <w:outlineLvl w:val="2"/>
        <w:rPr>
          <w:rFonts w:hint="eastAsia" w:ascii="宋体" w:hAnsi="宋体" w:cs="宋体"/>
          <w:b/>
          <w:color w:val="000000" w:themeColor="text1"/>
          <w:sz w:val="24"/>
          <w14:textFill>
            <w14:solidFill>
              <w14:schemeClr w14:val="tx1"/>
            </w14:solidFill>
          </w14:textFill>
        </w:rPr>
      </w:pPr>
      <w:bookmarkStart w:id="58" w:name="_Toc1504"/>
      <w:bookmarkStart w:id="59" w:name="_Toc27800"/>
      <w:r>
        <w:rPr>
          <w:rFonts w:hint="eastAsia" w:ascii="宋体" w:hAnsi="宋体" w:cs="宋体"/>
          <w:b/>
          <w:color w:val="000000" w:themeColor="text1"/>
          <w:sz w:val="24"/>
          <w14:textFill>
            <w14:solidFill>
              <w14:schemeClr w14:val="tx1"/>
            </w14:solidFill>
          </w14:textFill>
        </w:rPr>
        <w:t>9. 特别说明</w:t>
      </w:r>
      <w:bookmarkEnd w:id="58"/>
      <w:bookmarkEnd w:id="59"/>
    </w:p>
    <w:p>
      <w:pPr>
        <w:tabs>
          <w:tab w:val="left" w:pos="1635"/>
        </w:tabs>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9.1 关联供应商不得参加同一合同项下政府采购活动，否则投标文件将被视为无效：</w:t>
      </w:r>
    </w:p>
    <w:p>
      <w:pPr>
        <w:tabs>
          <w:tab w:val="left" w:pos="1635"/>
        </w:tabs>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（1）单位负责人为同一人或者存在直接控股、管理关系的不同供应商，不得参加同一合同项下的政府采购活动。</w:t>
      </w:r>
    </w:p>
    <w:p>
      <w:pPr>
        <w:tabs>
          <w:tab w:val="left" w:pos="1635"/>
        </w:tabs>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（2）为本采购项目提供整体设计、规范编制或者项目管理、监理、检测等服务的供应商，不得再参加本次采购活动。</w:t>
      </w:r>
    </w:p>
    <w:p>
      <w:pPr>
        <w:tabs>
          <w:tab w:val="left" w:pos="1635"/>
        </w:tabs>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9.2投标人投标所使用的资格、信誉、荣誉、业绩与企业认证必须为本法人所拥有，投标人投标所使用的采购项目实施人员必须为投标人员工。</w:t>
      </w:r>
    </w:p>
    <w:p>
      <w:pPr>
        <w:tabs>
          <w:tab w:val="left" w:pos="1635"/>
        </w:tabs>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9.3 投标人应仔细阅读招标文件的所有内容，按照招标文件的要求提交投标文件，并对所提供的全部资料的真实性承担法律责任。</w:t>
      </w:r>
    </w:p>
    <w:p>
      <w:pPr>
        <w:tabs>
          <w:tab w:val="left" w:pos="1635"/>
        </w:tabs>
        <w:spacing w:line="440" w:lineRule="exact"/>
        <w:ind w:firstLine="480"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9.4 投标人在投标活动中提供任何虚假材料，其投标无效，并报监管部门查处；中标后发现的，中标供应商须依照《中华人民共和国消费者权益保护法》赔偿采购人，且民事赔偿并不免除违法投标人的行政与刑事责任。</w:t>
      </w:r>
    </w:p>
    <w:p>
      <w:pPr>
        <w:spacing w:line="440" w:lineRule="exact"/>
        <w:ind w:firstLine="482" w:firstLineChars="200"/>
        <w:outlineLvl w:val="2"/>
        <w:rPr>
          <w:rFonts w:hint="eastAsia" w:ascii="宋体" w:hAnsi="宋体" w:cs="宋体"/>
          <w:b/>
          <w:color w:val="000000" w:themeColor="text1"/>
          <w:sz w:val="24"/>
          <w14:textFill>
            <w14:solidFill>
              <w14:schemeClr w14:val="tx1"/>
            </w14:solidFill>
          </w14:textFill>
        </w:rPr>
      </w:pPr>
      <w:bookmarkStart w:id="60" w:name="_Toc6489"/>
      <w:bookmarkStart w:id="61" w:name="_Toc8446"/>
      <w:r>
        <w:rPr>
          <w:rFonts w:hint="eastAsia" w:ascii="宋体" w:hAnsi="宋体" w:cs="宋体"/>
          <w:b/>
          <w:color w:val="000000" w:themeColor="text1"/>
          <w:sz w:val="24"/>
          <w14:textFill>
            <w14:solidFill>
              <w14:schemeClr w14:val="tx1"/>
            </w14:solidFill>
          </w14:textFill>
        </w:rPr>
        <w:t>10. 质疑和投诉</w:t>
      </w:r>
      <w:bookmarkEnd w:id="60"/>
      <w:bookmarkEnd w:id="61"/>
    </w:p>
    <w:p>
      <w:pPr>
        <w:tabs>
          <w:tab w:val="left" w:pos="2190"/>
        </w:tabs>
        <w:spacing w:line="440" w:lineRule="exact"/>
        <w:ind w:firstLine="435"/>
        <w:rPr>
          <w:rFonts w:ascii="宋体" w:hAnsi="宋体" w:cs="宋体"/>
          <w:b/>
          <w:color w:val="000000" w:themeColor="text1"/>
          <w:sz w:val="24"/>
          <w14:textFill>
            <w14:solidFill>
              <w14:schemeClr w14:val="tx1"/>
            </w14:solidFill>
          </w14:textFill>
        </w:rPr>
      </w:pPr>
      <w:bookmarkStart w:id="62" w:name="_Toc8195"/>
      <w:bookmarkStart w:id="63" w:name="_Toc26087"/>
      <w:r>
        <w:rPr>
          <w:rFonts w:hint="eastAsia" w:ascii="宋体" w:hAnsi="宋体" w:cs="宋体"/>
          <w:color w:val="000000" w:themeColor="text1"/>
          <w:sz w:val="24"/>
          <w14:textFill>
            <w14:solidFill>
              <w14:schemeClr w14:val="tx1"/>
            </w14:solidFill>
          </w14:textFill>
        </w:rPr>
        <w:t>10.1</w:t>
      </w:r>
      <w:bookmarkEnd w:id="62"/>
      <w:bookmarkEnd w:id="63"/>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投标人认为招标文件、采购过程或中标结果使自己的合法权益受到损害的，应当在知道或者应知其权益受到损害之日起七个工作日内，以</w:t>
      </w:r>
      <w:r>
        <w:rPr>
          <w:rFonts w:hint="eastAsia" w:ascii="宋体" w:hAnsi="宋体" w:cs="宋体"/>
          <w:color w:val="000000" w:themeColor="text1"/>
          <w:sz w:val="24"/>
          <w14:textFill>
            <w14:solidFill>
              <w14:schemeClr w14:val="tx1"/>
            </w14:solidFill>
          </w14:textFill>
        </w:rPr>
        <w:t>书面形式向采购人、采购代理机构提出质疑，采购代理机构应认真做好质疑处理工作。</w:t>
      </w:r>
      <w:r>
        <w:rPr>
          <w:rFonts w:hint="eastAsia" w:ascii="宋体" w:hAnsi="宋体" w:cs="宋体"/>
          <w:b/>
          <w:color w:val="000000" w:themeColor="text1"/>
          <w:sz w:val="24"/>
          <w14:textFill>
            <w14:solidFill>
              <w14:schemeClr w14:val="tx1"/>
            </w14:solidFill>
          </w14:textFill>
        </w:rPr>
        <w:t>权益受到损害之日是指：</w:t>
      </w:r>
    </w:p>
    <w:p>
      <w:pPr>
        <w:pStyle w:val="20"/>
        <w:snapToGrid w:val="0"/>
        <w:spacing w:line="440" w:lineRule="exact"/>
        <w:ind w:firstLine="482" w:firstLineChars="2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（1）对可以质疑的招标文件提出质疑的，为招标文件公告期限届满之日；</w:t>
      </w:r>
    </w:p>
    <w:p>
      <w:pPr>
        <w:pStyle w:val="20"/>
        <w:snapToGrid w:val="0"/>
        <w:spacing w:line="440" w:lineRule="exact"/>
        <w:ind w:firstLine="482" w:firstLineChars="2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（2）对采购过程提出质疑的，为各采购程序环节结束之日；</w:t>
      </w:r>
    </w:p>
    <w:p>
      <w:pPr>
        <w:pStyle w:val="20"/>
        <w:snapToGrid w:val="0"/>
        <w:spacing w:line="440" w:lineRule="exact"/>
        <w:ind w:firstLine="482" w:firstLineChars="200"/>
        <w:rPr>
          <w:rFonts w:hAnsi="宋体" w:cs="宋体"/>
          <w:bCs/>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（3）对中标结果提出质疑的，为中标结果公告期限届满之日。</w:t>
      </w:r>
    </w:p>
    <w:p>
      <w:pPr>
        <w:tabs>
          <w:tab w:val="left" w:pos="2190"/>
        </w:tabs>
        <w:spacing w:line="440" w:lineRule="exact"/>
        <w:ind w:firstLine="43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 投标人对采购代理机构的答复不满意或者采购代理机构未在规定的时间内作出答复的，可以在答复期满后十五个工作日内向灵川县政府采购管理办公室投诉。</w:t>
      </w:r>
    </w:p>
    <w:p>
      <w:pPr>
        <w:tabs>
          <w:tab w:val="left" w:pos="2190"/>
        </w:tabs>
        <w:spacing w:line="440" w:lineRule="exact"/>
        <w:ind w:firstLine="43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10.3 质疑、投诉应当采用书面形式，质疑书、投诉书实行实名制，均应明确阐述招标文件、招标过程或中标结果中使自己合法权益受到损害的实质性内容，并提供必要的证明材料。</w:t>
      </w:r>
    </w:p>
    <w:p>
      <w:pPr>
        <w:tabs>
          <w:tab w:val="left" w:pos="2190"/>
        </w:tabs>
        <w:spacing w:line="440" w:lineRule="exact"/>
        <w:ind w:firstLine="435"/>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投标人提出质疑应当提交质疑函和必要的证明材料，针对同一采购程序环节的质疑必须在法定质疑期内一次性提出。质疑函应当包括下列内容：</w:t>
      </w:r>
    </w:p>
    <w:p>
      <w:pPr>
        <w:tabs>
          <w:tab w:val="left" w:pos="2190"/>
        </w:tabs>
        <w:spacing w:line="440" w:lineRule="exact"/>
        <w:ind w:firstLine="43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（1）投标人的姓名或者名称、地址、邮编、联系人及联系电话；</w:t>
      </w:r>
    </w:p>
    <w:p>
      <w:pPr>
        <w:tabs>
          <w:tab w:val="left" w:pos="2190"/>
        </w:tabs>
        <w:spacing w:line="440" w:lineRule="exact"/>
        <w:ind w:firstLine="43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（2）质疑项目的名称、编号；</w:t>
      </w:r>
    </w:p>
    <w:p>
      <w:pPr>
        <w:tabs>
          <w:tab w:val="left" w:pos="2190"/>
        </w:tabs>
        <w:spacing w:line="440" w:lineRule="exact"/>
        <w:ind w:firstLine="43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（3）具体、明确的质疑事项和与质疑事项相关的请求；</w:t>
      </w:r>
    </w:p>
    <w:p>
      <w:pPr>
        <w:tabs>
          <w:tab w:val="left" w:pos="2190"/>
        </w:tabs>
        <w:spacing w:line="440" w:lineRule="exact"/>
        <w:ind w:firstLine="43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（4）事实依据；</w:t>
      </w:r>
    </w:p>
    <w:p>
      <w:pPr>
        <w:tabs>
          <w:tab w:val="left" w:pos="2190"/>
        </w:tabs>
        <w:spacing w:line="440" w:lineRule="exact"/>
        <w:ind w:firstLine="43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（5）必要的法律依据；</w:t>
      </w:r>
    </w:p>
    <w:p>
      <w:pPr>
        <w:tabs>
          <w:tab w:val="left" w:pos="2190"/>
        </w:tabs>
        <w:spacing w:line="440" w:lineRule="exact"/>
        <w:ind w:firstLine="43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（6）提出质疑的日期。</w:t>
      </w:r>
    </w:p>
    <w:p>
      <w:pPr>
        <w:tabs>
          <w:tab w:val="left" w:pos="2190"/>
        </w:tabs>
        <w:spacing w:line="440" w:lineRule="exact"/>
        <w:ind w:firstLine="43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投标人为自然人的，应当由本人签字；投标人为法人或者其他组织的，应当由法定代表人、主要负责人，或者其授权代表签字或者盖章，并加盖公章。</w:t>
      </w:r>
    </w:p>
    <w:p>
      <w:pPr>
        <w:tabs>
          <w:tab w:val="left" w:pos="2190"/>
        </w:tabs>
        <w:spacing w:line="440" w:lineRule="exact"/>
        <w:ind w:firstLine="435"/>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接收质疑函方式：以书面形式</w:t>
      </w:r>
    </w:p>
    <w:p>
      <w:pPr>
        <w:tabs>
          <w:tab w:val="left" w:pos="1635"/>
        </w:tabs>
        <w:spacing w:line="440" w:lineRule="exact"/>
        <w:ind w:firstLine="48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质疑联系部门及联系方式：</w:t>
      </w:r>
      <w:r>
        <w:rPr>
          <w:rFonts w:hint="eastAsia" w:ascii="宋体" w:hAnsi="宋体" w:cs="宋体"/>
          <w:color w:val="000000" w:themeColor="text1"/>
          <w:sz w:val="24"/>
          <w:lang w:eastAsia="zh-CN"/>
          <w14:textFill>
            <w14:solidFill>
              <w14:schemeClr w14:val="tx1"/>
            </w14:solidFill>
          </w14:textFill>
        </w:rPr>
        <w:t>广西朝华工程项目管理有限公司</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lang w:eastAsia="zh-CN"/>
          <w14:textFill>
            <w14:solidFill>
              <w14:schemeClr w14:val="tx1"/>
            </w14:solidFill>
          </w14:textFill>
        </w:rPr>
        <w:t>秦新阳</w:t>
      </w:r>
      <w:r>
        <w:rPr>
          <w:rFonts w:hint="eastAsia" w:ascii="宋体" w:hAnsi="宋体" w:cs="宋体"/>
          <w:color w:val="000000" w:themeColor="text1"/>
          <w:sz w:val="24"/>
          <w14:textFill>
            <w14:solidFill>
              <w14:schemeClr w14:val="tx1"/>
            </w14:solidFill>
          </w14:textFill>
        </w:rPr>
        <w:t>，联系电话：0773-</w:t>
      </w:r>
      <w:r>
        <w:rPr>
          <w:rFonts w:hint="eastAsia" w:ascii="宋体" w:hAnsi="宋体" w:cs="宋体"/>
          <w:color w:val="000000" w:themeColor="text1"/>
          <w:sz w:val="24"/>
          <w:lang w:val="en-US" w:eastAsia="zh-CN"/>
          <w14:textFill>
            <w14:solidFill>
              <w14:schemeClr w14:val="tx1"/>
            </w14:solidFill>
          </w14:textFill>
        </w:rPr>
        <w:t>8998986</w:t>
      </w:r>
      <w:r>
        <w:rPr>
          <w:rFonts w:hint="eastAsia" w:ascii="宋体" w:hAnsi="宋体" w:cs="宋体"/>
          <w:color w:val="000000" w:themeColor="text1"/>
          <w:sz w:val="24"/>
          <w14:textFill>
            <w14:solidFill>
              <w14:schemeClr w14:val="tx1"/>
            </w14:solidFill>
          </w14:textFill>
        </w:rPr>
        <w:t>。通讯地址：</w:t>
      </w:r>
      <w:r>
        <w:rPr>
          <w:rFonts w:hint="eastAsia" w:ascii="宋体" w:hAnsi="宋体" w:cs="宋体"/>
          <w:color w:val="000000" w:themeColor="text1"/>
          <w:sz w:val="24"/>
          <w:lang w:eastAsia="zh-CN"/>
          <w14:textFill>
            <w14:solidFill>
              <w14:schemeClr w14:val="tx1"/>
            </w14:solidFill>
          </w14:textFill>
        </w:rPr>
        <w:t>桂林市七星区朝阳路信息产业园创新大厦H座B区2幢4-1</w:t>
      </w:r>
      <w:r>
        <w:rPr>
          <w:rFonts w:hint="eastAsia" w:ascii="宋体" w:hAnsi="宋体" w:cs="宋体"/>
          <w:color w:val="000000" w:themeColor="text1"/>
          <w:sz w:val="24"/>
          <w14:textFill>
            <w14:solidFill>
              <w14:schemeClr w14:val="tx1"/>
            </w14:solidFill>
          </w14:textFill>
        </w:rPr>
        <w:t>。</w:t>
      </w:r>
    </w:p>
    <w:p>
      <w:pPr>
        <w:tabs>
          <w:tab w:val="left" w:pos="2190"/>
        </w:tabs>
        <w:spacing w:line="440" w:lineRule="exact"/>
        <w:ind w:firstLine="435"/>
        <w:rPr>
          <w:rFonts w:hint="eastAsia" w:ascii="宋体" w:hAnsi="宋体" w:cs="宋体"/>
          <w:b/>
          <w:color w:val="000000" w:themeColor="text1"/>
          <w:sz w:val="28"/>
          <w:szCs w:val="28"/>
          <w14:textFill>
            <w14:solidFill>
              <w14:schemeClr w14:val="tx1"/>
            </w14:solidFill>
          </w14:textFill>
        </w:rPr>
      </w:pPr>
    </w:p>
    <w:p>
      <w:pPr>
        <w:spacing w:line="440" w:lineRule="exact"/>
        <w:jc w:val="center"/>
        <w:outlineLvl w:val="1"/>
        <w:rPr>
          <w:rFonts w:hint="eastAsia" w:ascii="宋体" w:hAnsi="宋体" w:cs="宋体"/>
          <w:b/>
          <w:color w:val="000000" w:themeColor="text1"/>
          <w:sz w:val="28"/>
          <w:szCs w:val="28"/>
          <w14:textFill>
            <w14:solidFill>
              <w14:schemeClr w14:val="tx1"/>
            </w14:solidFill>
          </w14:textFill>
        </w:rPr>
      </w:pPr>
      <w:bookmarkStart w:id="64" w:name="_Toc26849"/>
      <w:bookmarkStart w:id="65" w:name="_Toc18046"/>
      <w:bookmarkStart w:id="66" w:name="_Toc495841755"/>
      <w:r>
        <w:rPr>
          <w:rFonts w:hint="eastAsia" w:ascii="宋体" w:hAnsi="宋体" w:cs="宋体"/>
          <w:b/>
          <w:color w:val="000000" w:themeColor="text1"/>
          <w:sz w:val="28"/>
          <w:szCs w:val="28"/>
          <w14:textFill>
            <w14:solidFill>
              <w14:schemeClr w14:val="tx1"/>
            </w14:solidFill>
          </w14:textFill>
        </w:rPr>
        <w:t>二、招标文件</w:t>
      </w:r>
      <w:bookmarkEnd w:id="64"/>
      <w:bookmarkEnd w:id="65"/>
      <w:bookmarkEnd w:id="66"/>
    </w:p>
    <w:p>
      <w:pPr>
        <w:spacing w:line="440" w:lineRule="exact"/>
        <w:ind w:firstLine="472" w:firstLineChars="196"/>
        <w:outlineLvl w:val="2"/>
        <w:rPr>
          <w:rFonts w:hint="eastAsia" w:ascii="宋体" w:hAnsi="宋体" w:cs="宋体"/>
          <w:b/>
          <w:color w:val="000000" w:themeColor="text1"/>
          <w:sz w:val="24"/>
          <w14:textFill>
            <w14:solidFill>
              <w14:schemeClr w14:val="tx1"/>
            </w14:solidFill>
          </w14:textFill>
        </w:rPr>
      </w:pPr>
      <w:bookmarkStart w:id="67" w:name="_Toc32024"/>
      <w:bookmarkStart w:id="68" w:name="_Toc3397"/>
      <w:r>
        <w:rPr>
          <w:rFonts w:hint="eastAsia" w:ascii="宋体" w:hAnsi="宋体" w:cs="宋体"/>
          <w:b/>
          <w:color w:val="000000" w:themeColor="text1"/>
          <w:sz w:val="24"/>
          <w14:textFill>
            <w14:solidFill>
              <w14:schemeClr w14:val="tx1"/>
            </w14:solidFill>
          </w14:textFill>
        </w:rPr>
        <w:t>11. 招标文件的构成</w:t>
      </w:r>
      <w:bookmarkEnd w:id="67"/>
      <w:bookmarkEnd w:id="68"/>
    </w:p>
    <w:p>
      <w:pPr>
        <w:spacing w:line="440" w:lineRule="exact"/>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（1）招标公告；</w:t>
      </w:r>
    </w:p>
    <w:p>
      <w:pPr>
        <w:spacing w:line="440" w:lineRule="exact"/>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（2）投标人须知；</w:t>
      </w:r>
    </w:p>
    <w:p>
      <w:pPr>
        <w:spacing w:line="440" w:lineRule="exact"/>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（3）服务采购需求；</w:t>
      </w:r>
    </w:p>
    <w:p>
      <w:pPr>
        <w:spacing w:line="440" w:lineRule="exact"/>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（4）评标办法；</w:t>
      </w:r>
    </w:p>
    <w:p>
      <w:pPr>
        <w:spacing w:line="440" w:lineRule="exact"/>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（5）采购合同（合同主要条款及格式）；</w:t>
      </w:r>
    </w:p>
    <w:p>
      <w:pPr>
        <w:spacing w:line="440" w:lineRule="exact"/>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（6）投标文件（格式）。</w:t>
      </w:r>
    </w:p>
    <w:p>
      <w:pPr>
        <w:spacing w:line="440" w:lineRule="exact"/>
        <w:ind w:firstLine="472" w:firstLineChars="196"/>
        <w:outlineLvl w:val="2"/>
        <w:rPr>
          <w:rFonts w:hint="eastAsia" w:ascii="宋体" w:hAnsi="宋体" w:cs="宋体"/>
          <w:b/>
          <w:color w:val="000000" w:themeColor="text1"/>
          <w:sz w:val="24"/>
          <w14:textFill>
            <w14:solidFill>
              <w14:schemeClr w14:val="tx1"/>
            </w14:solidFill>
          </w14:textFill>
        </w:rPr>
      </w:pPr>
      <w:bookmarkStart w:id="69" w:name="_Toc24191"/>
      <w:bookmarkStart w:id="70" w:name="_Toc22124"/>
      <w:r>
        <w:rPr>
          <w:rFonts w:hint="eastAsia" w:ascii="宋体" w:hAnsi="宋体" w:cs="宋体"/>
          <w:b/>
          <w:color w:val="000000" w:themeColor="text1"/>
          <w:sz w:val="24"/>
          <w14:textFill>
            <w14:solidFill>
              <w14:schemeClr w14:val="tx1"/>
            </w14:solidFill>
          </w14:textFill>
        </w:rPr>
        <w:t>12. 招标文件的澄清与修改</w:t>
      </w:r>
      <w:bookmarkEnd w:id="69"/>
      <w:bookmarkEnd w:id="70"/>
    </w:p>
    <w:p>
      <w:pPr>
        <w:spacing w:line="440" w:lineRule="exact"/>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12.1投标人应认真阅读招标文件，发现其中有误或有不合理要求的，投标人必须在招标公告期限届满之日起七个工作日内以书面形式要求采购代理机构澄清。</w:t>
      </w:r>
    </w:p>
    <w:p>
      <w:pPr>
        <w:spacing w:line="440" w:lineRule="exact"/>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spacing w:line="440" w:lineRule="exact"/>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12.3</w:t>
      </w:r>
      <w:r>
        <w:rPr>
          <w:rFonts w:hint="eastAsia" w:ascii="宋体" w:hAnsi="宋体" w:cs="宋体"/>
          <w:b/>
          <w:color w:val="000000" w:themeColor="text1"/>
          <w:sz w:val="24"/>
          <w14:textFill>
            <w14:solidFill>
              <w14:schemeClr w14:val="tx1"/>
            </w14:solidFill>
          </w14:textFill>
        </w:rPr>
        <w:t>投标人下载招标文件后应实时关注相关网站了解澄清、修改等与项目有关的内容，如因投标人未及时登录相关网站了解澄清、修改等与项目有关的内容，从而导致投标无效的，由投标人自行承担责任。</w:t>
      </w:r>
    </w:p>
    <w:p>
      <w:pPr>
        <w:spacing w:line="440" w:lineRule="exact"/>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12.4必要的澄清、修改的内容为招标文件的组成部分。当澄清、修改通知就同一内容的表述不一致时，以最后发出的书面文件为准。</w:t>
      </w:r>
    </w:p>
    <w:p>
      <w:pPr>
        <w:spacing w:line="440" w:lineRule="exact"/>
        <w:ind w:firstLine="470" w:firstLineChars="196"/>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12.5招标文件的澄清、修改都应该通过采购代理机构以法定形式发布，采购人非通过本机构，不得擅自澄清、修改招标文件。</w:t>
      </w:r>
    </w:p>
    <w:p>
      <w:pPr>
        <w:tabs>
          <w:tab w:val="left" w:pos="2190"/>
        </w:tabs>
        <w:spacing w:line="440" w:lineRule="exact"/>
        <w:ind w:firstLine="435"/>
        <w:rPr>
          <w:rFonts w:hint="eastAsia" w:ascii="宋体" w:hAnsi="宋体" w:cs="宋体"/>
          <w:color w:val="000000" w:themeColor="text1"/>
          <w:szCs w:val="21"/>
          <w14:textFill>
            <w14:solidFill>
              <w14:schemeClr w14:val="tx1"/>
            </w14:solidFill>
          </w14:textFill>
        </w:rPr>
      </w:pPr>
    </w:p>
    <w:p>
      <w:pPr>
        <w:spacing w:line="440" w:lineRule="exact"/>
        <w:jc w:val="center"/>
        <w:outlineLvl w:val="1"/>
        <w:rPr>
          <w:rFonts w:hint="eastAsia" w:ascii="宋体" w:hAnsi="宋体" w:cs="宋体"/>
          <w:b/>
          <w:color w:val="000000" w:themeColor="text1"/>
          <w:sz w:val="28"/>
          <w:szCs w:val="28"/>
          <w14:textFill>
            <w14:solidFill>
              <w14:schemeClr w14:val="tx1"/>
            </w14:solidFill>
          </w14:textFill>
        </w:rPr>
      </w:pPr>
      <w:bookmarkStart w:id="71" w:name="_Toc7631"/>
      <w:bookmarkStart w:id="72" w:name="_Toc495841756"/>
      <w:bookmarkStart w:id="73" w:name="_Toc15289"/>
      <w:r>
        <w:rPr>
          <w:rFonts w:hint="eastAsia" w:ascii="宋体" w:hAnsi="宋体" w:cs="宋体"/>
          <w:b/>
          <w:color w:val="000000" w:themeColor="text1"/>
          <w:sz w:val="28"/>
          <w:szCs w:val="28"/>
          <w14:textFill>
            <w14:solidFill>
              <w14:schemeClr w14:val="tx1"/>
            </w14:solidFill>
          </w14:textFill>
        </w:rPr>
        <w:t>三、投标文件的编制</w:t>
      </w:r>
      <w:bookmarkEnd w:id="71"/>
      <w:bookmarkEnd w:id="72"/>
      <w:bookmarkEnd w:id="73"/>
    </w:p>
    <w:p>
      <w:pPr>
        <w:spacing w:line="440" w:lineRule="exact"/>
        <w:ind w:firstLine="472" w:firstLineChars="196"/>
        <w:outlineLvl w:val="2"/>
        <w:rPr>
          <w:rFonts w:hint="eastAsia" w:ascii="宋体" w:hAnsi="宋体" w:cs="宋体"/>
          <w:b/>
          <w:color w:val="000000" w:themeColor="text1"/>
          <w:sz w:val="24"/>
          <w14:textFill>
            <w14:solidFill>
              <w14:schemeClr w14:val="tx1"/>
            </w14:solidFill>
          </w14:textFill>
        </w:rPr>
      </w:pPr>
      <w:bookmarkStart w:id="74" w:name="_Toc15847"/>
      <w:bookmarkStart w:id="75" w:name="_Toc15443"/>
      <w:r>
        <w:rPr>
          <w:rFonts w:hint="eastAsia" w:ascii="宋体" w:hAnsi="宋体" w:cs="宋体"/>
          <w:b/>
          <w:color w:val="000000" w:themeColor="text1"/>
          <w:sz w:val="24"/>
          <w14:textFill>
            <w14:solidFill>
              <w14:schemeClr w14:val="tx1"/>
            </w14:solidFill>
          </w14:textFill>
        </w:rPr>
        <w:t>13. 投标文件的组成及要求</w:t>
      </w:r>
      <w:bookmarkEnd w:id="74"/>
      <w:bookmarkEnd w:id="75"/>
    </w:p>
    <w:p>
      <w:pPr>
        <w:spacing w:line="440" w:lineRule="exact"/>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13.1 本项目实行电子投标，供应商应准备电子投标文件：</w:t>
      </w:r>
    </w:p>
    <w:p>
      <w:pPr>
        <w:spacing w:line="440" w:lineRule="exact"/>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13.1.1 电子投标文件按政采云平台要求及本招标文件要求制作、加密并递交。具体操作流程可参考《政府采购项目电子交易管理操作指南-供应商》，指南可在 “http://www.ccgp-guangxi.gov.cn/PurchaseAdvisory/ImportantNotice/2866753.html”下载。 </w:t>
      </w:r>
    </w:p>
    <w:p>
      <w:pPr>
        <w:tabs>
          <w:tab w:val="left" w:pos="2190"/>
        </w:tabs>
        <w:spacing w:line="440" w:lineRule="exact"/>
        <w:ind w:firstLine="435"/>
        <w:rPr>
          <w:rFonts w:hint="eastAsia"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13.2</w:t>
      </w:r>
      <w:r>
        <w:rPr>
          <w:rFonts w:hint="eastAsia" w:ascii="宋体" w:hAnsi="宋体" w:cs="宋体"/>
          <w:b/>
          <w:color w:val="000000" w:themeColor="text1"/>
          <w:sz w:val="24"/>
          <w14:textFill>
            <w14:solidFill>
              <w14:schemeClr w14:val="tx1"/>
            </w14:solidFill>
          </w14:textFill>
        </w:rPr>
        <w:t>投标文件组成【格式见第六章“投标文件（格式）”】</w:t>
      </w:r>
    </w:p>
    <w:p>
      <w:pPr>
        <w:spacing w:line="440" w:lineRule="exact"/>
        <w:ind w:firstLine="562" w:firstLineChars="200"/>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13.2.1资格性响应证明材料：</w:t>
      </w:r>
    </w:p>
    <w:p>
      <w:pPr>
        <w:spacing w:line="440" w:lineRule="exact"/>
        <w:ind w:firstLine="472" w:firstLineChars="196"/>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（1）投标人相应的法定代表人或负责人或自然人身份证正反面复印件（必须提供）；</w:t>
      </w:r>
    </w:p>
    <w:p>
      <w:pPr>
        <w:spacing w:line="440" w:lineRule="exact"/>
        <w:ind w:firstLine="472" w:firstLineChars="196"/>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（2）投标人的授权委托书原件、委托代理人身份证正反面复印件以及由县级以上（含县级）社会养老保险经办机构出具的投标人为委托代理人交纳的</w:t>
      </w:r>
      <w:r>
        <w:rPr>
          <w:rFonts w:hint="eastAsia" w:ascii="宋体" w:hAnsi="宋体" w:cs="宋体"/>
          <w:b/>
          <w:bCs/>
          <w:color w:val="000000" w:themeColor="text1"/>
          <w:sz w:val="24"/>
          <w:lang w:eastAsia="zh-CN"/>
          <w14:textFill>
            <w14:solidFill>
              <w14:schemeClr w14:val="tx1"/>
            </w14:solidFill>
          </w14:textFill>
        </w:rPr>
        <w:t>投标</w:t>
      </w:r>
      <w:r>
        <w:rPr>
          <w:rFonts w:hint="eastAsia" w:ascii="宋体" w:hAnsi="宋体" w:cs="宋体"/>
          <w:b/>
          <w:bCs/>
          <w:color w:val="000000" w:themeColor="text1"/>
          <w:sz w:val="24"/>
          <w14:textFill>
            <w14:solidFill>
              <w14:schemeClr w14:val="tx1"/>
            </w14:solidFill>
          </w14:textFill>
        </w:rPr>
        <w:t>文件递交截止时间前半年内连续三个月社保证明复印件；</w:t>
      </w:r>
      <w:r>
        <w:rPr>
          <w:rFonts w:hint="eastAsia" w:ascii="宋体" w:hAnsi="宋体" w:cs="宋体"/>
          <w:color w:val="000000" w:themeColor="text1"/>
          <w:sz w:val="24"/>
          <w14:textFill>
            <w14:solidFill>
              <w14:schemeClr w14:val="tx1"/>
            </w14:solidFill>
          </w14:textFill>
        </w:rPr>
        <w:t>（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w:t>
      </w:r>
      <w:r>
        <w:rPr>
          <w:rFonts w:hint="eastAsia" w:ascii="宋体" w:hAnsi="宋体" w:cs="宋体"/>
          <w:color w:val="000000" w:themeColor="text1"/>
          <w:sz w:val="24"/>
          <w:lang w:eastAsia="zh-CN"/>
          <w14:textFill>
            <w14:solidFill>
              <w14:schemeClr w14:val="tx1"/>
            </w14:solidFill>
          </w14:textFill>
        </w:rPr>
        <w:t>投标</w:t>
      </w:r>
      <w:r>
        <w:rPr>
          <w:rFonts w:hint="eastAsia" w:ascii="宋体" w:hAnsi="宋体" w:cs="宋体"/>
          <w:color w:val="000000" w:themeColor="text1"/>
          <w:sz w:val="24"/>
          <w14:textFill>
            <w14:solidFill>
              <w14:schemeClr w14:val="tx1"/>
            </w14:solidFill>
          </w14:textFill>
        </w:rPr>
        <w:t>文件递交截止时间前半年内连续三个月社保证明复印件】</w:t>
      </w:r>
      <w:r>
        <w:rPr>
          <w:rFonts w:hint="eastAsia" w:ascii="宋体" w:hAnsi="宋体" w:cs="宋体"/>
          <w:b/>
          <w:color w:val="000000" w:themeColor="text1"/>
          <w:sz w:val="24"/>
          <w14:textFill>
            <w14:solidFill>
              <w14:schemeClr w14:val="tx1"/>
            </w14:solidFill>
          </w14:textFill>
        </w:rPr>
        <w:t>（委托代理时必须提供）；</w:t>
      </w:r>
    </w:p>
    <w:p>
      <w:pPr>
        <w:spacing w:line="440" w:lineRule="exact"/>
        <w:ind w:firstLine="472" w:firstLineChars="196"/>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（3）投标人的法人或者其他组织营业执照等证明文件复印件（必须提供，自然人除外）；</w:t>
      </w:r>
    </w:p>
    <w:p>
      <w:pPr>
        <w:tabs>
          <w:tab w:val="left" w:pos="1305"/>
        </w:tabs>
        <w:spacing w:line="440" w:lineRule="exact"/>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pPr>
        <w:numPr>
          <w:ilvl w:val="0"/>
          <w:numId w:val="2"/>
        </w:numPr>
        <w:spacing w:line="440" w:lineRule="exact"/>
        <w:ind w:firstLine="472" w:firstLineChars="196"/>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投标人参加政府采购活动前3年内在经营活动中没有重大违法记录及有关信用信息的书面声明（必须提供）；</w:t>
      </w:r>
    </w:p>
    <w:p>
      <w:pPr>
        <w:tabs>
          <w:tab w:val="left" w:pos="1305"/>
        </w:tabs>
        <w:spacing w:line="440" w:lineRule="exact"/>
        <w:ind w:firstLine="562"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13.2.2</w:t>
      </w:r>
      <w:r>
        <w:rPr>
          <w:rFonts w:hint="eastAsia" w:ascii="宋体" w:hAnsi="宋体" w:cs="宋体"/>
          <w:b/>
          <w:color w:val="000000" w:themeColor="text1"/>
          <w:sz w:val="28"/>
          <w:szCs w:val="28"/>
          <w14:textFill>
            <w14:solidFill>
              <w14:schemeClr w14:val="tx1"/>
            </w14:solidFill>
          </w14:textFill>
        </w:rPr>
        <w:t>报价文件证明材料：</w:t>
      </w:r>
    </w:p>
    <w:p>
      <w:pPr>
        <w:tabs>
          <w:tab w:val="left" w:pos="1305"/>
        </w:tabs>
        <w:spacing w:line="440" w:lineRule="exact"/>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（1）投标报价表</w:t>
      </w:r>
      <w:r>
        <w:rPr>
          <w:rFonts w:hint="eastAsia" w:ascii="宋体" w:hAnsi="宋体" w:cs="宋体"/>
          <w:color w:val="000000" w:themeColor="text1"/>
          <w:sz w:val="24"/>
          <w14:textFill>
            <w14:solidFill>
              <w14:schemeClr w14:val="tx1"/>
            </w14:solidFill>
          </w14:textFill>
        </w:rPr>
        <w:t>（格式见附件）</w:t>
      </w:r>
      <w:r>
        <w:rPr>
          <w:rFonts w:hint="eastAsia" w:ascii="宋体" w:hAnsi="宋体" w:cs="宋体"/>
          <w:b/>
          <w:bCs/>
          <w:color w:val="000000" w:themeColor="text1"/>
          <w:sz w:val="24"/>
          <w14:textFill>
            <w14:solidFill>
              <w14:schemeClr w14:val="tx1"/>
            </w14:solidFill>
          </w14:textFill>
        </w:rPr>
        <w:t>（必须提供）</w:t>
      </w:r>
    </w:p>
    <w:p>
      <w:pPr>
        <w:tabs>
          <w:tab w:val="left" w:pos="1305"/>
        </w:tabs>
        <w:spacing w:line="440" w:lineRule="exact"/>
        <w:ind w:firstLine="562"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13.2.3</w:t>
      </w:r>
      <w:r>
        <w:rPr>
          <w:rFonts w:hint="eastAsia" w:ascii="宋体" w:hAnsi="宋体" w:cs="宋体"/>
          <w:b/>
          <w:color w:val="000000" w:themeColor="text1"/>
          <w:sz w:val="28"/>
          <w:szCs w:val="28"/>
          <w14:textFill>
            <w14:solidFill>
              <w14:schemeClr w14:val="tx1"/>
            </w14:solidFill>
          </w14:textFill>
        </w:rPr>
        <w:t>商务、技术性响应及其他证明材料：</w:t>
      </w:r>
    </w:p>
    <w:p>
      <w:pPr>
        <w:tabs>
          <w:tab w:val="left" w:pos="2190"/>
        </w:tabs>
        <w:spacing w:line="440" w:lineRule="exact"/>
        <w:ind w:firstLine="480" w:firstLineChars="200"/>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w:t>
      </w:r>
      <w:r>
        <w:rPr>
          <w:rFonts w:hint="eastAsia" w:ascii="宋体" w:hAnsi="宋体" w:cs="宋体"/>
          <w:b w:val="0"/>
          <w:bCs/>
          <w:color w:val="000000" w:themeColor="text1"/>
          <w:sz w:val="24"/>
          <w:lang w:val="en-US" w:eastAsia="zh-CN"/>
          <w14:textFill>
            <w14:solidFill>
              <w14:schemeClr w14:val="tx1"/>
            </w14:solidFill>
          </w14:textFill>
        </w:rPr>
        <w:t>1</w:t>
      </w:r>
      <w:r>
        <w:rPr>
          <w:rFonts w:hint="eastAsia" w:ascii="宋体" w:hAnsi="宋体" w:cs="宋体"/>
          <w:b w:val="0"/>
          <w:bCs/>
          <w:color w:val="000000" w:themeColor="text1"/>
          <w:sz w:val="24"/>
          <w14:textFill>
            <w14:solidFill>
              <w14:schemeClr w14:val="tx1"/>
            </w14:solidFill>
          </w14:textFill>
        </w:rPr>
        <w:t>）投标人的服务方案（根据采购需求包括但不限于</w:t>
      </w:r>
      <w:r>
        <w:rPr>
          <w:rFonts w:hint="eastAsia" w:ascii="宋体" w:hAnsi="宋体" w:cs="宋体"/>
          <w:b w:val="0"/>
          <w:bCs/>
          <w:color w:val="000000" w:themeColor="text1"/>
          <w:sz w:val="24"/>
          <w:lang w:eastAsia="zh-CN"/>
          <w14:textFill>
            <w14:solidFill>
              <w14:schemeClr w14:val="tx1"/>
            </w14:solidFill>
          </w14:textFill>
        </w:rPr>
        <w:t>污水处理厂经营管理方案、应急预案、达到服务质量标准的保证措施</w:t>
      </w:r>
      <w:r>
        <w:rPr>
          <w:rFonts w:hint="eastAsia" w:ascii="宋体" w:hAnsi="宋体" w:cs="宋体"/>
          <w:b w:val="0"/>
          <w:bCs/>
          <w:color w:val="000000" w:themeColor="text1"/>
          <w:sz w:val="24"/>
          <w14:textFill>
            <w14:solidFill>
              <w14:schemeClr w14:val="tx1"/>
            </w14:solidFill>
          </w14:textFill>
        </w:rPr>
        <w:t>等，格式自拟）</w:t>
      </w:r>
      <w:r>
        <w:rPr>
          <w:rFonts w:hint="eastAsia" w:ascii="宋体" w:hAnsi="宋体" w:cs="宋体"/>
          <w:bCs/>
          <w:color w:val="000000" w:themeColor="text1"/>
          <w:kern w:val="0"/>
          <w:sz w:val="24"/>
          <w14:textFill>
            <w14:solidFill>
              <w14:schemeClr w14:val="tx1"/>
            </w14:solidFill>
          </w14:textFill>
        </w:rPr>
        <w:t>(格式见附件)</w:t>
      </w:r>
      <w:r>
        <w:rPr>
          <w:rFonts w:hint="eastAsia" w:ascii="宋体" w:hAnsi="宋体" w:cs="宋体"/>
          <w:b/>
          <w:bCs w:val="0"/>
          <w:color w:val="000000" w:themeColor="text1"/>
          <w:kern w:val="0"/>
          <w:sz w:val="24"/>
          <w14:textFill>
            <w14:solidFill>
              <w14:schemeClr w14:val="tx1"/>
            </w14:solidFill>
          </w14:textFill>
        </w:rPr>
        <w:t>（</w:t>
      </w:r>
      <w:r>
        <w:rPr>
          <w:rFonts w:hint="eastAsia" w:ascii="宋体" w:hAnsi="宋体" w:cs="宋体"/>
          <w:b/>
          <w:bCs w:val="0"/>
          <w:color w:val="000000" w:themeColor="text1"/>
          <w:kern w:val="0"/>
          <w:sz w:val="24"/>
          <w:lang w:eastAsia="zh-CN"/>
          <w14:textFill>
            <w14:solidFill>
              <w14:schemeClr w14:val="tx1"/>
            </w14:solidFill>
          </w14:textFill>
        </w:rPr>
        <w:t>必须提供</w:t>
      </w:r>
      <w:r>
        <w:rPr>
          <w:rFonts w:hint="eastAsia" w:ascii="宋体" w:hAnsi="宋体" w:cs="宋体"/>
          <w:b/>
          <w:bCs w:val="0"/>
          <w:color w:val="000000" w:themeColor="text1"/>
          <w:kern w:val="0"/>
          <w:sz w:val="24"/>
          <w14:textFill>
            <w14:solidFill>
              <w14:schemeClr w14:val="tx1"/>
            </w14:solidFill>
          </w14:textFill>
        </w:rPr>
        <w:t>）</w:t>
      </w:r>
      <w:r>
        <w:rPr>
          <w:rStyle w:val="46"/>
          <w:rFonts w:hint="eastAsia" w:ascii="宋体" w:hAnsi="宋体" w:cs="宋体"/>
          <w:b w:val="0"/>
          <w:bCs/>
          <w:color w:val="000000" w:themeColor="text1"/>
          <w14:textFill>
            <w14:solidFill>
              <w14:schemeClr w14:val="tx1"/>
            </w14:solidFill>
          </w14:textFill>
        </w:rPr>
        <w:t>；</w:t>
      </w:r>
    </w:p>
    <w:p>
      <w:pPr>
        <w:tabs>
          <w:tab w:val="left" w:pos="1305"/>
        </w:tabs>
        <w:spacing w:line="440" w:lineRule="exact"/>
        <w:ind w:firstLine="480" w:firstLineChars="200"/>
        <w:rPr>
          <w:rFonts w:ascii="宋体" w:hAnsi="宋体" w:cs="宋体"/>
          <w:b w:val="0"/>
          <w:bCs/>
          <w:color w:val="000000" w:themeColor="text1"/>
          <w:kern w:val="0"/>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w:t>
      </w:r>
      <w:r>
        <w:rPr>
          <w:rFonts w:hint="eastAsia" w:ascii="宋体" w:hAnsi="宋体" w:cs="宋体"/>
          <w:b w:val="0"/>
          <w:bCs/>
          <w:color w:val="000000" w:themeColor="text1"/>
          <w:sz w:val="24"/>
          <w:lang w:val="en-US" w:eastAsia="zh-CN"/>
          <w14:textFill>
            <w14:solidFill>
              <w14:schemeClr w14:val="tx1"/>
            </w14:solidFill>
          </w14:textFill>
        </w:rPr>
        <w:t>2</w:t>
      </w:r>
      <w:r>
        <w:rPr>
          <w:rFonts w:hint="eastAsia" w:ascii="宋体" w:hAnsi="宋体" w:cs="宋体"/>
          <w:b w:val="0"/>
          <w:bCs/>
          <w:color w:val="000000" w:themeColor="text1"/>
          <w:sz w:val="24"/>
          <w14:textFill>
            <w14:solidFill>
              <w14:schemeClr w14:val="tx1"/>
            </w14:solidFill>
          </w14:textFill>
        </w:rPr>
        <w:t>）</w:t>
      </w:r>
      <w:r>
        <w:rPr>
          <w:rFonts w:hint="eastAsia" w:ascii="宋体" w:hAnsi="宋体" w:cs="宋体"/>
          <w:b w:val="0"/>
          <w:bCs/>
          <w:color w:val="000000" w:themeColor="text1"/>
          <w:kern w:val="0"/>
          <w:sz w:val="24"/>
          <w14:textFill>
            <w14:solidFill>
              <w14:schemeClr w14:val="tx1"/>
            </w14:solidFill>
          </w14:textFill>
        </w:rPr>
        <w:t>投标人的服务承诺书</w:t>
      </w:r>
      <w:r>
        <w:rPr>
          <w:rFonts w:hint="eastAsia" w:ascii="宋体" w:hAnsi="宋体" w:cs="宋体"/>
          <w:bCs/>
          <w:color w:val="000000" w:themeColor="text1"/>
          <w:kern w:val="0"/>
          <w:sz w:val="24"/>
          <w14:textFill>
            <w14:solidFill>
              <w14:schemeClr w14:val="tx1"/>
            </w14:solidFill>
          </w14:textFill>
        </w:rPr>
        <w:t>(格式见附件)</w:t>
      </w:r>
      <w:r>
        <w:rPr>
          <w:rFonts w:hint="eastAsia" w:hAnsi="宋体" w:cs="宋体"/>
          <w:b/>
          <w:bCs w:val="0"/>
          <w:color w:val="000000" w:themeColor="text1"/>
          <w:sz w:val="24"/>
          <w:szCs w:val="24"/>
          <w14:textFill>
            <w14:solidFill>
              <w14:schemeClr w14:val="tx1"/>
            </w14:solidFill>
          </w14:textFill>
        </w:rPr>
        <w:t>（</w:t>
      </w:r>
      <w:r>
        <w:rPr>
          <w:rFonts w:hint="eastAsia" w:hAnsi="宋体" w:cs="宋体"/>
          <w:b/>
          <w:bCs w:val="0"/>
          <w:color w:val="000000" w:themeColor="text1"/>
          <w:sz w:val="24"/>
          <w:szCs w:val="24"/>
          <w:lang w:eastAsia="zh-CN"/>
          <w14:textFill>
            <w14:solidFill>
              <w14:schemeClr w14:val="tx1"/>
            </w14:solidFill>
          </w14:textFill>
        </w:rPr>
        <w:t>必须提供</w:t>
      </w:r>
      <w:r>
        <w:rPr>
          <w:rFonts w:hint="eastAsia" w:hAnsi="宋体" w:cs="宋体"/>
          <w:b/>
          <w:bCs w:val="0"/>
          <w:color w:val="000000" w:themeColor="text1"/>
          <w:sz w:val="24"/>
          <w:szCs w:val="24"/>
          <w14:textFill>
            <w14:solidFill>
              <w14:schemeClr w14:val="tx1"/>
            </w14:solidFill>
          </w14:textFill>
        </w:rPr>
        <w:t>）</w:t>
      </w:r>
      <w:r>
        <w:rPr>
          <w:rFonts w:hint="eastAsia" w:ascii="宋体" w:hAnsi="宋体" w:cs="宋体"/>
          <w:b w:val="0"/>
          <w:bCs/>
          <w:color w:val="000000" w:themeColor="text1"/>
          <w:sz w:val="24"/>
          <w14:textFill>
            <w14:solidFill>
              <w14:schemeClr w14:val="tx1"/>
            </w14:solidFill>
          </w14:textFill>
        </w:rPr>
        <w:t>；</w:t>
      </w:r>
    </w:p>
    <w:p>
      <w:pPr>
        <w:spacing w:line="440" w:lineRule="exact"/>
        <w:ind w:firstLine="480" w:firstLineChars="200"/>
        <w:rPr>
          <w:rFonts w:hint="eastAsia" w:ascii="宋体" w:hAnsi="宋体" w:cs="宋体"/>
          <w:b w:val="0"/>
          <w:bCs/>
          <w:color w:val="000000" w:themeColor="text1"/>
          <w:kern w:val="0"/>
          <w:sz w:val="24"/>
          <w14:textFill>
            <w14:solidFill>
              <w14:schemeClr w14:val="tx1"/>
            </w14:solidFill>
          </w14:textFill>
        </w:rPr>
      </w:pPr>
      <w:r>
        <w:rPr>
          <w:rFonts w:hint="eastAsia" w:ascii="宋体" w:hAnsi="宋体" w:cs="宋体"/>
          <w:b w:val="0"/>
          <w:bCs/>
          <w:color w:val="000000" w:themeColor="text1"/>
          <w:kern w:val="0"/>
          <w:sz w:val="24"/>
          <w14:textFill>
            <w14:solidFill>
              <w14:schemeClr w14:val="tx1"/>
            </w14:solidFill>
          </w14:textFill>
        </w:rPr>
        <w:t>（</w:t>
      </w:r>
      <w:r>
        <w:rPr>
          <w:rFonts w:hint="eastAsia" w:ascii="宋体" w:hAnsi="宋体" w:cs="宋体"/>
          <w:b w:val="0"/>
          <w:bCs/>
          <w:color w:val="000000" w:themeColor="text1"/>
          <w:kern w:val="0"/>
          <w:sz w:val="24"/>
          <w:lang w:val="en-US" w:eastAsia="zh-CN"/>
          <w14:textFill>
            <w14:solidFill>
              <w14:schemeClr w14:val="tx1"/>
            </w14:solidFill>
          </w14:textFill>
        </w:rPr>
        <w:t>3</w:t>
      </w:r>
      <w:r>
        <w:rPr>
          <w:rFonts w:hint="eastAsia" w:ascii="宋体" w:hAnsi="宋体" w:cs="宋体"/>
          <w:b w:val="0"/>
          <w:bCs/>
          <w:color w:val="000000" w:themeColor="text1"/>
          <w:kern w:val="0"/>
          <w:sz w:val="24"/>
          <w14:textFill>
            <w14:solidFill>
              <w14:schemeClr w14:val="tx1"/>
            </w14:solidFill>
          </w14:textFill>
        </w:rPr>
        <w:t>）拟投入本项目的项目负责人简历表</w:t>
      </w:r>
      <w:r>
        <w:rPr>
          <w:rFonts w:hint="eastAsia" w:hAnsi="宋体" w:cs="宋体"/>
          <w:b w:val="0"/>
          <w:bCs/>
          <w:color w:val="000000" w:themeColor="text1"/>
          <w:sz w:val="24"/>
          <w14:textFill>
            <w14:solidFill>
              <w14:schemeClr w14:val="tx1"/>
            </w14:solidFill>
          </w14:textFill>
        </w:rPr>
        <w:t>（</w:t>
      </w:r>
      <w:r>
        <w:rPr>
          <w:rFonts w:hint="eastAsia" w:hAnsi="宋体" w:cs="宋体"/>
          <w:bCs/>
          <w:color w:val="000000" w:themeColor="text1"/>
          <w:kern w:val="0"/>
          <w:sz w:val="24"/>
          <w14:textFill>
            <w14:solidFill>
              <w14:schemeClr w14:val="tx1"/>
            </w14:solidFill>
          </w14:textFill>
        </w:rPr>
        <w:t>格式</w:t>
      </w:r>
      <w:r>
        <w:rPr>
          <w:rFonts w:hint="eastAsia" w:hAnsi="宋体" w:cs="宋体"/>
          <w:bCs/>
          <w:color w:val="000000" w:themeColor="text1"/>
          <w:kern w:val="0"/>
          <w:sz w:val="24"/>
          <w:lang w:eastAsia="zh-CN"/>
          <w14:textFill>
            <w14:solidFill>
              <w14:schemeClr w14:val="tx1"/>
            </w14:solidFill>
          </w14:textFill>
        </w:rPr>
        <w:t>自拟</w:t>
      </w:r>
      <w:bookmarkStart w:id="205" w:name="_GoBack"/>
      <w:bookmarkEnd w:id="205"/>
      <w:r>
        <w:rPr>
          <w:rFonts w:hint="eastAsia" w:hAnsi="宋体" w:cs="宋体"/>
          <w:b w:val="0"/>
          <w:bCs/>
          <w:color w:val="000000" w:themeColor="text1"/>
          <w:sz w:val="24"/>
          <w14:textFill>
            <w14:solidFill>
              <w14:schemeClr w14:val="tx1"/>
            </w14:solidFill>
          </w14:textFill>
        </w:rPr>
        <w:t>）</w:t>
      </w:r>
      <w:r>
        <w:rPr>
          <w:rFonts w:hint="eastAsia" w:ascii="宋体" w:hAnsi="宋体" w:cs="宋体"/>
          <w:b/>
          <w:bCs w:val="0"/>
          <w:color w:val="000000" w:themeColor="text1"/>
          <w:kern w:val="0"/>
          <w:sz w:val="24"/>
          <w14:textFill>
            <w14:solidFill>
              <w14:schemeClr w14:val="tx1"/>
            </w14:solidFill>
          </w14:textFill>
        </w:rPr>
        <w:t>（必须提供）；</w:t>
      </w:r>
    </w:p>
    <w:p>
      <w:pPr>
        <w:pStyle w:val="2"/>
        <w:ind w:firstLine="480" w:firstLineChars="200"/>
        <w:rPr>
          <w:rFonts w:hint="eastAsia" w:ascii="宋体" w:hAnsi="宋体" w:cs="宋体"/>
          <w:b w:val="0"/>
          <w:bCs/>
          <w:color w:val="000000" w:themeColor="text1"/>
          <w:szCs w:val="21"/>
          <w14:textFill>
            <w14:solidFill>
              <w14:schemeClr w14:val="tx1"/>
            </w14:solidFill>
          </w14:textFill>
        </w:rPr>
      </w:pPr>
      <w:r>
        <w:rPr>
          <w:rFonts w:hint="eastAsia" w:ascii="宋体" w:hAnsi="宋体" w:cs="宋体"/>
          <w:b w:val="0"/>
          <w:bCs/>
          <w:color w:val="000000" w:themeColor="text1"/>
          <w:kern w:val="0"/>
          <w:sz w:val="24"/>
          <w:lang w:eastAsia="zh-CN"/>
          <w14:textFill>
            <w14:solidFill>
              <w14:schemeClr w14:val="tx1"/>
            </w14:solidFill>
          </w14:textFill>
        </w:rPr>
        <w:t>（</w:t>
      </w:r>
      <w:r>
        <w:rPr>
          <w:rFonts w:hint="eastAsia" w:ascii="宋体" w:hAnsi="宋体" w:cs="宋体"/>
          <w:b w:val="0"/>
          <w:bCs/>
          <w:color w:val="000000" w:themeColor="text1"/>
          <w:kern w:val="0"/>
          <w:sz w:val="24"/>
          <w:lang w:val="en-US" w:eastAsia="zh-CN"/>
          <w14:textFill>
            <w14:solidFill>
              <w14:schemeClr w14:val="tx1"/>
            </w14:solidFill>
          </w14:textFill>
        </w:rPr>
        <w:t>4</w:t>
      </w:r>
      <w:r>
        <w:rPr>
          <w:rFonts w:hint="eastAsia" w:ascii="宋体" w:hAnsi="宋体" w:cs="宋体"/>
          <w:b w:val="0"/>
          <w:bCs/>
          <w:color w:val="000000" w:themeColor="text1"/>
          <w:kern w:val="0"/>
          <w:sz w:val="24"/>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项目拟投入人员承诺函</w:t>
      </w:r>
      <w:r>
        <w:rPr>
          <w:rFonts w:hint="eastAsia" w:ascii="宋体" w:hAnsi="宋体" w:cs="宋体"/>
          <w:b/>
          <w:bCs w:val="0"/>
          <w:color w:val="000000" w:themeColor="text1"/>
          <w:szCs w:val="21"/>
          <w14:textFill>
            <w14:solidFill>
              <w14:schemeClr w14:val="tx1"/>
            </w14:solidFill>
          </w14:textFill>
        </w:rPr>
        <w:t>（必须提供）；</w:t>
      </w:r>
    </w:p>
    <w:p>
      <w:pPr>
        <w:pStyle w:val="2"/>
        <w:ind w:firstLine="480" w:firstLineChars="200"/>
        <w:rPr>
          <w:rFonts w:hint="eastAsia" w:ascii="宋体" w:hAnsi="宋体" w:cs="宋体"/>
          <w:b w:val="0"/>
          <w:bCs/>
          <w:color w:val="000000" w:themeColor="text1"/>
          <w:szCs w:val="21"/>
          <w:lang w:eastAsia="zh-CN"/>
          <w14:textFill>
            <w14:solidFill>
              <w14:schemeClr w14:val="tx1"/>
            </w14:solidFill>
          </w14:textFill>
        </w:rPr>
      </w:pPr>
      <w:r>
        <w:rPr>
          <w:rFonts w:hint="eastAsia" w:ascii="宋体" w:hAnsi="宋体" w:cs="宋体"/>
          <w:b w:val="0"/>
          <w:bCs/>
          <w:color w:val="000000" w:themeColor="text1"/>
          <w:szCs w:val="21"/>
          <w:lang w:eastAsia="zh-CN"/>
          <w14:textFill>
            <w14:solidFill>
              <w14:schemeClr w14:val="tx1"/>
            </w14:solidFill>
          </w14:textFill>
        </w:rPr>
        <w:t>（</w:t>
      </w:r>
      <w:r>
        <w:rPr>
          <w:rFonts w:hint="eastAsia" w:ascii="宋体" w:hAnsi="宋体" w:cs="宋体"/>
          <w:b w:val="0"/>
          <w:bCs/>
          <w:color w:val="000000" w:themeColor="text1"/>
          <w:szCs w:val="21"/>
          <w:lang w:val="en-US" w:eastAsia="zh-CN"/>
          <w14:textFill>
            <w14:solidFill>
              <w14:schemeClr w14:val="tx1"/>
            </w14:solidFill>
          </w14:textFill>
        </w:rPr>
        <w:t>5</w:t>
      </w:r>
      <w:r>
        <w:rPr>
          <w:rFonts w:hint="eastAsia" w:ascii="宋体" w:hAnsi="宋体" w:cs="宋体"/>
          <w:b w:val="0"/>
          <w:bCs/>
          <w:color w:val="000000" w:themeColor="text1"/>
          <w:szCs w:val="21"/>
          <w:lang w:eastAsia="zh-CN"/>
          <w14:textFill>
            <w14:solidFill>
              <w14:schemeClr w14:val="tx1"/>
            </w14:solidFill>
          </w14:textFill>
        </w:rPr>
        <w:t>）投标人的服务需求响应表</w:t>
      </w:r>
      <w:r>
        <w:rPr>
          <w:rFonts w:hint="eastAsia" w:ascii="宋体" w:hAnsi="宋体" w:cs="宋体"/>
          <w:b/>
          <w:bCs w:val="0"/>
          <w:color w:val="000000" w:themeColor="text1"/>
          <w:szCs w:val="21"/>
          <w:lang w:eastAsia="zh-CN"/>
          <w14:textFill>
            <w14:solidFill>
              <w14:schemeClr w14:val="tx1"/>
            </w14:solidFill>
          </w14:textFill>
        </w:rPr>
        <w:t>（必须提供）；</w:t>
      </w:r>
    </w:p>
    <w:p>
      <w:pPr>
        <w:pStyle w:val="20"/>
        <w:spacing w:line="440" w:lineRule="exact"/>
        <w:ind w:firstLine="480" w:firstLineChars="200"/>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w:t>
      </w:r>
      <w:r>
        <w:rPr>
          <w:rFonts w:hint="eastAsia" w:hAnsi="宋体" w:cs="宋体"/>
          <w:bCs/>
          <w:color w:val="000000" w:themeColor="text1"/>
          <w:sz w:val="24"/>
          <w:szCs w:val="24"/>
          <w:lang w:val="en-US" w:eastAsia="zh-CN"/>
          <w14:textFill>
            <w14:solidFill>
              <w14:schemeClr w14:val="tx1"/>
            </w14:solidFill>
          </w14:textFill>
        </w:rPr>
        <w:t>6</w:t>
      </w:r>
      <w:r>
        <w:rPr>
          <w:rFonts w:hint="eastAsia" w:hAnsi="宋体" w:cs="宋体"/>
          <w:bCs/>
          <w:color w:val="000000" w:themeColor="text1"/>
          <w:sz w:val="24"/>
          <w:szCs w:val="24"/>
          <w14:textFill>
            <w14:solidFill>
              <w14:schemeClr w14:val="tx1"/>
            </w14:solidFill>
          </w14:textFill>
        </w:rPr>
        <w:t>）“服务采购需求”中要求必须提供的相关有效证明文件</w:t>
      </w:r>
      <w:r>
        <w:rPr>
          <w:rFonts w:hint="eastAsia" w:hAnsi="宋体" w:cs="宋体"/>
          <w:b w:val="0"/>
          <w:bCs/>
          <w:color w:val="000000" w:themeColor="text1"/>
          <w:sz w:val="24"/>
          <w:szCs w:val="24"/>
          <w14:textFill>
            <w14:solidFill>
              <w14:schemeClr w14:val="tx1"/>
            </w14:solidFill>
          </w14:textFill>
        </w:rPr>
        <w:t>（如有，请提供）；</w:t>
      </w:r>
    </w:p>
    <w:p>
      <w:pPr>
        <w:pStyle w:val="20"/>
        <w:spacing w:line="440" w:lineRule="exact"/>
        <w:ind w:firstLine="480" w:firstLineChars="200"/>
        <w:rPr>
          <w:rFonts w:hint="eastAsia" w:hAnsi="宋体" w:cs="宋体"/>
          <w:b w:val="0"/>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w:t>
      </w:r>
      <w:r>
        <w:rPr>
          <w:rFonts w:hint="eastAsia" w:hAnsi="宋体" w:cs="宋体"/>
          <w:bCs/>
          <w:color w:val="000000" w:themeColor="text1"/>
          <w:sz w:val="24"/>
          <w:szCs w:val="24"/>
          <w:lang w:val="en-US" w:eastAsia="zh-CN"/>
          <w14:textFill>
            <w14:solidFill>
              <w14:schemeClr w14:val="tx1"/>
            </w14:solidFill>
          </w14:textFill>
        </w:rPr>
        <w:t>7</w:t>
      </w:r>
      <w:r>
        <w:rPr>
          <w:rFonts w:hint="eastAsia" w:hAnsi="宋体" w:cs="宋体"/>
          <w:bCs/>
          <w:color w:val="000000" w:themeColor="text1"/>
          <w:sz w:val="24"/>
          <w:szCs w:val="24"/>
          <w14:textFill>
            <w14:solidFill>
              <w14:schemeClr w14:val="tx1"/>
            </w14:solidFill>
          </w14:textFill>
        </w:rPr>
        <w:t>）投标人201</w:t>
      </w:r>
      <w:r>
        <w:rPr>
          <w:rFonts w:hint="eastAsia" w:hAnsi="宋体" w:cs="宋体"/>
          <w:bCs/>
          <w:color w:val="000000" w:themeColor="text1"/>
          <w:sz w:val="24"/>
          <w:szCs w:val="24"/>
          <w:lang w:val="en-US" w:eastAsia="zh-CN"/>
          <w14:textFill>
            <w14:solidFill>
              <w14:schemeClr w14:val="tx1"/>
            </w14:solidFill>
          </w14:textFill>
        </w:rPr>
        <w:t>8</w:t>
      </w:r>
      <w:r>
        <w:rPr>
          <w:rFonts w:hint="eastAsia" w:hAnsi="宋体" w:cs="宋体"/>
          <w:bCs/>
          <w:color w:val="000000" w:themeColor="text1"/>
          <w:sz w:val="24"/>
          <w:szCs w:val="24"/>
          <w14:textFill>
            <w14:solidFill>
              <w14:schemeClr w14:val="tx1"/>
            </w14:solidFill>
          </w14:textFill>
        </w:rPr>
        <w:t>年1月1日</w:t>
      </w:r>
      <w:r>
        <w:rPr>
          <w:rFonts w:hint="eastAsia" w:hAnsi="宋体" w:cs="宋体"/>
          <w:bCs/>
          <w:color w:val="000000" w:themeColor="text1"/>
          <w:sz w:val="24"/>
          <w:szCs w:val="24"/>
          <w:lang w:val="en-US" w:eastAsia="zh-CN"/>
          <w14:textFill>
            <w14:solidFill>
              <w14:schemeClr w14:val="tx1"/>
            </w14:solidFill>
          </w14:textFill>
        </w:rPr>
        <w:t>以来</w:t>
      </w:r>
      <w:r>
        <w:rPr>
          <w:rFonts w:hint="eastAsia" w:hAnsi="宋体" w:cs="宋体"/>
          <w:bCs/>
          <w:color w:val="000000" w:themeColor="text1"/>
          <w:sz w:val="24"/>
          <w:szCs w:val="24"/>
          <w14:textFill>
            <w14:solidFill>
              <w14:schemeClr w14:val="tx1"/>
            </w14:solidFill>
          </w14:textFill>
        </w:rPr>
        <w:t>完成同类项目的业绩的相关证明材料（无不良记录，以提供的中标（成交）通知书</w:t>
      </w:r>
      <w:r>
        <w:rPr>
          <w:rFonts w:hint="eastAsia" w:hAnsi="宋体" w:cs="宋体"/>
          <w:bCs/>
          <w:color w:val="000000" w:themeColor="text1"/>
          <w:sz w:val="24"/>
          <w:szCs w:val="24"/>
          <w:lang w:eastAsia="zh-CN"/>
          <w14:textFill>
            <w14:solidFill>
              <w14:schemeClr w14:val="tx1"/>
            </w14:solidFill>
          </w14:textFill>
        </w:rPr>
        <w:t>或</w:t>
      </w:r>
      <w:r>
        <w:rPr>
          <w:rFonts w:hint="eastAsia" w:hAnsi="宋体" w:cs="宋体"/>
          <w:bCs/>
          <w:color w:val="000000" w:themeColor="text1"/>
          <w:sz w:val="24"/>
          <w:szCs w:val="24"/>
          <w14:textFill>
            <w14:solidFill>
              <w14:schemeClr w14:val="tx1"/>
            </w14:solidFill>
          </w14:textFill>
        </w:rPr>
        <w:t>签订的项目合同复印</w:t>
      </w:r>
      <w:r>
        <w:rPr>
          <w:rFonts w:hint="eastAsia" w:hAnsi="宋体" w:cs="宋体"/>
          <w:bCs/>
          <w:color w:val="000000" w:themeColor="text1"/>
          <w:sz w:val="24"/>
          <w:szCs w:val="24"/>
          <w:lang w:eastAsia="zh-CN"/>
          <w14:textFill>
            <w14:solidFill>
              <w14:schemeClr w14:val="tx1"/>
            </w14:solidFill>
          </w14:textFill>
        </w:rPr>
        <w:t>件</w:t>
      </w:r>
      <w:r>
        <w:rPr>
          <w:rFonts w:hint="eastAsia" w:hAnsi="宋体" w:cs="宋体"/>
          <w:bCs/>
          <w:color w:val="000000" w:themeColor="text1"/>
          <w:sz w:val="24"/>
          <w:szCs w:val="24"/>
          <w14:textFill>
            <w14:solidFill>
              <w14:schemeClr w14:val="tx1"/>
            </w14:solidFill>
          </w14:textFill>
        </w:rPr>
        <w:t>并加盖公章为准，并能清晰反映所项目得名称、种类，否则将不予评审，同一个编号的项目有两个或两个以上的分标中标的只算一个）</w:t>
      </w:r>
      <w:r>
        <w:rPr>
          <w:rFonts w:hint="eastAsia" w:hAnsi="宋体" w:cs="宋体"/>
          <w:b w:val="0"/>
          <w:bCs/>
          <w:color w:val="000000" w:themeColor="text1"/>
          <w:sz w:val="24"/>
          <w:szCs w:val="24"/>
          <w14:textFill>
            <w14:solidFill>
              <w14:schemeClr w14:val="tx1"/>
            </w14:solidFill>
          </w14:textFill>
        </w:rPr>
        <w:t>（如有，请提供）；</w:t>
      </w:r>
    </w:p>
    <w:p>
      <w:pPr>
        <w:pStyle w:val="20"/>
        <w:spacing w:line="440" w:lineRule="exact"/>
        <w:ind w:firstLine="480" w:firstLineChars="200"/>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w:t>
      </w:r>
      <w:r>
        <w:rPr>
          <w:rFonts w:hint="eastAsia" w:hAnsi="宋体" w:cs="宋体"/>
          <w:bCs/>
          <w:color w:val="000000" w:themeColor="text1"/>
          <w:sz w:val="24"/>
          <w:szCs w:val="24"/>
          <w:lang w:val="en-US" w:eastAsia="zh-CN"/>
          <w14:textFill>
            <w14:solidFill>
              <w14:schemeClr w14:val="tx1"/>
            </w14:solidFill>
          </w14:textFill>
        </w:rPr>
        <w:t>8</w:t>
      </w:r>
      <w:r>
        <w:rPr>
          <w:rFonts w:hint="eastAsia" w:hAnsi="宋体" w:cs="宋体"/>
          <w:bCs/>
          <w:color w:val="000000" w:themeColor="text1"/>
          <w:sz w:val="24"/>
          <w:szCs w:val="24"/>
          <w14:textFill>
            <w14:solidFill>
              <w14:schemeClr w14:val="tx1"/>
            </w14:solidFill>
          </w14:textFill>
        </w:rPr>
        <w:t>）</w:t>
      </w:r>
      <w:r>
        <w:rPr>
          <w:rFonts w:hint="eastAsia" w:hAnsi="宋体" w:cs="宋体"/>
          <w:bCs/>
          <w:color w:val="000000" w:themeColor="text1"/>
          <w:sz w:val="24"/>
          <w14:textFill>
            <w14:solidFill>
              <w14:schemeClr w14:val="tx1"/>
            </w14:solidFill>
          </w14:textFill>
        </w:rPr>
        <w:t>投标人相关获奖证书、认证证书等复印件</w:t>
      </w:r>
      <w:r>
        <w:rPr>
          <w:rFonts w:hint="eastAsia" w:hAnsi="宋体" w:cs="宋体"/>
          <w:b w:val="0"/>
          <w:bCs/>
          <w:color w:val="000000" w:themeColor="text1"/>
          <w:sz w:val="24"/>
          <w:szCs w:val="24"/>
          <w14:textFill>
            <w14:solidFill>
              <w14:schemeClr w14:val="tx1"/>
            </w14:solidFill>
          </w14:textFill>
        </w:rPr>
        <w:t>（如有，请提供）；</w:t>
      </w:r>
    </w:p>
    <w:p>
      <w:pPr>
        <w:tabs>
          <w:tab w:val="left" w:pos="1305"/>
        </w:tabs>
        <w:spacing w:line="44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9</w:t>
      </w:r>
      <w:r>
        <w:rPr>
          <w:rFonts w:hint="eastAsia" w:ascii="宋体" w:hAnsi="宋体" w:cs="宋体"/>
          <w:bCs/>
          <w:color w:val="000000" w:themeColor="text1"/>
          <w:sz w:val="24"/>
          <w14:textFill>
            <w14:solidFill>
              <w14:schemeClr w14:val="tx1"/>
            </w14:solidFill>
          </w14:textFill>
        </w:rPr>
        <w:t>）中小微企业或监狱企业或残疾人福利性单位的证明材料【①如属于中小企业在参加政府采购活动时，应当出具《中小企业声明函》（格式见附件），以提供的《中小企业声明函》为准，并对声明的真实性负责（中小微型企业划分标准按照《国家统计局关于印发《统计上大中小微型企业划分办法（2017）》的通知》（国统字[2017]213号）执行）；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w:t>
      </w:r>
      <w:r>
        <w:rPr>
          <w:rFonts w:hint="eastAsia" w:ascii="宋体" w:hAnsi="宋体" w:cs="宋体"/>
          <w:b w:val="0"/>
          <w:bCs/>
          <w:color w:val="000000" w:themeColor="text1"/>
          <w:sz w:val="24"/>
          <w14:textFill>
            <w14:solidFill>
              <w14:schemeClr w14:val="tx1"/>
            </w14:solidFill>
          </w14:textFill>
        </w:rPr>
        <w:t>（如有，请提供）</w:t>
      </w:r>
      <w:r>
        <w:rPr>
          <w:rFonts w:hint="eastAsia" w:ascii="宋体" w:hAnsi="宋体" w:cs="宋体"/>
          <w:bCs/>
          <w:color w:val="000000" w:themeColor="text1"/>
          <w:sz w:val="24"/>
          <w14:textFill>
            <w14:solidFill>
              <w14:schemeClr w14:val="tx1"/>
            </w14:solidFill>
          </w14:textFill>
        </w:rPr>
        <w:t>；</w:t>
      </w:r>
    </w:p>
    <w:p>
      <w:pPr>
        <w:snapToGrid w:val="0"/>
        <w:spacing w:line="440" w:lineRule="exact"/>
        <w:ind w:firstLine="480" w:firstLineChars="200"/>
        <w:outlineLvl w:val="4"/>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10</w:t>
      </w:r>
      <w:r>
        <w:rPr>
          <w:rFonts w:hint="eastAsia" w:ascii="宋体" w:hAnsi="宋体" w:cs="宋体"/>
          <w:bCs/>
          <w:color w:val="000000" w:themeColor="text1"/>
          <w:sz w:val="24"/>
          <w14:textFill>
            <w14:solidFill>
              <w14:schemeClr w14:val="tx1"/>
            </w14:solidFill>
          </w14:textFill>
        </w:rPr>
        <w:t>）投标人可结合本项目的评标办法视自身情况自行提交相关证明材料</w:t>
      </w:r>
      <w:r>
        <w:rPr>
          <w:rFonts w:hint="eastAsia" w:ascii="宋体" w:hAnsi="宋体" w:cs="宋体"/>
          <w:b w:val="0"/>
          <w:bCs/>
          <w:color w:val="000000" w:themeColor="text1"/>
          <w:sz w:val="24"/>
          <w14:textFill>
            <w14:solidFill>
              <w14:schemeClr w14:val="tx1"/>
            </w14:solidFill>
          </w14:textFill>
        </w:rPr>
        <w:t>（如有，请提供）</w:t>
      </w:r>
      <w:r>
        <w:rPr>
          <w:rFonts w:hint="eastAsia" w:ascii="宋体" w:hAnsi="宋体" w:cs="宋体"/>
          <w:bCs/>
          <w:color w:val="000000" w:themeColor="text1"/>
          <w:sz w:val="24"/>
          <w14:textFill>
            <w14:solidFill>
              <w14:schemeClr w14:val="tx1"/>
            </w14:solidFill>
          </w14:textFill>
        </w:rPr>
        <w:t>。</w:t>
      </w:r>
    </w:p>
    <w:p>
      <w:pPr>
        <w:spacing w:line="440" w:lineRule="exact"/>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投标人提供的以上相关证明材料属于“必须提供”的文件应加盖投标人公章（CA签章）/自然人签字或加盖个人CA签章，否则投标无效。</w:t>
      </w:r>
    </w:p>
    <w:p>
      <w:pPr>
        <w:spacing w:line="440" w:lineRule="exact"/>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13.3投标人应按招标文件第六章“投标文件（格式）”编制投标文件。</w:t>
      </w:r>
    </w:p>
    <w:p>
      <w:pPr>
        <w:spacing w:line="440" w:lineRule="exact"/>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13.4投标文件应当对招标文件提出的要求和条件作出明确响应。</w:t>
      </w:r>
    </w:p>
    <w:p>
      <w:pPr>
        <w:spacing w:line="440" w:lineRule="exact"/>
        <w:ind w:firstLine="42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特别说明：</w:t>
      </w:r>
    </w:p>
    <w:p>
      <w:pPr>
        <w:tabs>
          <w:tab w:val="left" w:pos="1305"/>
        </w:tabs>
        <w:spacing w:line="440" w:lineRule="exact"/>
        <w:ind w:firstLine="482" w:firstLineChars="200"/>
        <w:rPr>
          <w:rFonts w:hint="eastAsia" w:ascii="宋体" w:hAnsi="宋体" w:cs="宋体"/>
          <w:b/>
          <w:bCs/>
          <w:color w:val="000000" w:themeColor="text1"/>
          <w:sz w:val="24"/>
          <w14:textFill>
            <w14:solidFill>
              <w14:schemeClr w14:val="tx1"/>
            </w14:solidFill>
          </w14:textFill>
        </w:rPr>
      </w:pPr>
      <w:bookmarkStart w:id="76" w:name="_Toc11037"/>
      <w:r>
        <w:rPr>
          <w:rFonts w:hint="eastAsia" w:ascii="宋体" w:hAnsi="宋体" w:cs="宋体"/>
          <w:b/>
          <w:bCs/>
          <w:color w:val="000000" w:themeColor="text1"/>
          <w:sz w:val="24"/>
          <w14:textFill>
            <w14:solidFill>
              <w14:schemeClr w14:val="tx1"/>
            </w14:solidFill>
          </w14:textFill>
        </w:rPr>
        <w:t>（1）投标文件（电子投标文件），其中电子投标文件中所须加盖公章部分均采用CA签章。若投标文件中有专门标注的某关联点，并要求供应商在电子投标系统中作出投标响应的，如供应商未对关联点进行响应或者在投标文件其它内容中进行描述，造成电子评审不能查询的责任由供应商自行承担。</w:t>
      </w:r>
    </w:p>
    <w:p>
      <w:pPr>
        <w:tabs>
          <w:tab w:val="left" w:pos="1305"/>
        </w:tabs>
        <w:spacing w:line="440" w:lineRule="exact"/>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（2）招标文件要求法定代表人（负责人）或委托代理人签字的部分必须签字然后扫描或者拍照做成 pdf 格式上传（或加盖个人CA签章），无签字的视为投标无效。</w:t>
      </w:r>
    </w:p>
    <w:p>
      <w:pPr>
        <w:spacing w:line="440" w:lineRule="exact"/>
        <w:ind w:firstLine="472" w:firstLineChars="196"/>
        <w:outlineLvl w:val="2"/>
        <w:rPr>
          <w:rFonts w:hint="eastAsia" w:ascii="宋体" w:hAnsi="宋体" w:cs="宋体"/>
          <w:b/>
          <w:color w:val="000000" w:themeColor="text1"/>
          <w:sz w:val="24"/>
          <w14:textFill>
            <w14:solidFill>
              <w14:schemeClr w14:val="tx1"/>
            </w14:solidFill>
          </w14:textFill>
        </w:rPr>
      </w:pPr>
      <w:bookmarkStart w:id="77" w:name="_Toc20298"/>
      <w:r>
        <w:rPr>
          <w:rFonts w:hint="eastAsia" w:ascii="宋体" w:hAnsi="宋体" w:cs="宋体"/>
          <w:b/>
          <w:color w:val="000000" w:themeColor="text1"/>
          <w:sz w:val="24"/>
          <w14:textFill>
            <w14:solidFill>
              <w14:schemeClr w14:val="tx1"/>
            </w14:solidFill>
          </w14:textFill>
        </w:rPr>
        <w:t>14. 投标文件的语言及计量</w:t>
      </w:r>
      <w:bookmarkEnd w:id="76"/>
      <w:bookmarkEnd w:id="77"/>
    </w:p>
    <w:p>
      <w:pPr>
        <w:tabs>
          <w:tab w:val="left" w:pos="1305"/>
        </w:tabs>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14.2投标计量单位，招标文件已有明确规定的，使用招标文件规定的计量单位；招标文件没有规定的，应采用中华人民共和国法定计量单位（货币单位：元人民币），否则视同未响应。</w:t>
      </w:r>
    </w:p>
    <w:p>
      <w:pPr>
        <w:numPr>
          <w:ilvl w:val="0"/>
          <w:numId w:val="3"/>
        </w:numPr>
        <w:spacing w:line="440" w:lineRule="exact"/>
        <w:ind w:firstLine="472" w:firstLineChars="196"/>
        <w:outlineLvl w:val="2"/>
        <w:rPr>
          <w:rFonts w:hint="eastAsia" w:ascii="宋体" w:hAnsi="宋体" w:cs="宋体"/>
          <w:b/>
          <w:color w:val="000000" w:themeColor="text1"/>
          <w:sz w:val="24"/>
          <w14:textFill>
            <w14:solidFill>
              <w14:schemeClr w14:val="tx1"/>
            </w14:solidFill>
          </w14:textFill>
        </w:rPr>
      </w:pPr>
      <w:bookmarkStart w:id="78" w:name="_Toc8372"/>
      <w:bookmarkStart w:id="79" w:name="_Toc2246"/>
      <w:r>
        <w:rPr>
          <w:rFonts w:hint="eastAsia" w:ascii="宋体" w:hAnsi="宋体" w:cs="宋体"/>
          <w:b/>
          <w:color w:val="000000" w:themeColor="text1"/>
          <w:sz w:val="24"/>
          <w14:textFill>
            <w14:solidFill>
              <w14:schemeClr w14:val="tx1"/>
            </w14:solidFill>
          </w14:textFill>
        </w:rPr>
        <w:t>投标报价</w:t>
      </w:r>
      <w:bookmarkEnd w:id="78"/>
      <w:bookmarkEnd w:id="79"/>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15.1投标报价应按招标文件中第六章“投标文件（格式）”填写，</w:t>
      </w:r>
      <w:r>
        <w:rPr>
          <w:rFonts w:hint="eastAsia" w:ascii="宋体" w:hAnsi="宋体" w:cs="宋体"/>
          <w:b/>
          <w:bCs/>
          <w:color w:val="000000" w:themeColor="text1"/>
          <w:sz w:val="24"/>
          <w14:textFill>
            <w14:solidFill>
              <w14:schemeClr w14:val="tx1"/>
            </w14:solidFill>
          </w14:textFill>
        </w:rPr>
        <w:t>本项目采购预算总金额：人民币</w:t>
      </w:r>
      <w:r>
        <w:rPr>
          <w:rFonts w:hint="eastAsia" w:ascii="宋体" w:hAnsi="宋体" w:cs="宋体"/>
          <w:b/>
          <w:bCs/>
          <w:color w:val="000000" w:themeColor="text1"/>
          <w:sz w:val="24"/>
          <w:lang w:eastAsia="zh-CN"/>
          <w14:textFill>
            <w14:solidFill>
              <w14:schemeClr w14:val="tx1"/>
            </w14:solidFill>
          </w14:textFill>
        </w:rPr>
        <w:t>陆佰万元整</w:t>
      </w: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6000000.00</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，投标报价超过采购预算金额的，投标文件按无效处理。</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15.2投标人必须就“服务采购需求”中所投内容作完整唯一报价，否则，其投标将被拒绝；投标文件只允许有一个报价，有选择的或有条件的报价将不予接受。</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15.3投标报价应包括本次招标采购范围内货物价款、货物随配标准附件、包装、运输、装卸、保险、税金、货到位以及安装、安装所需辅材、调试、检验、售后服务、培训、保修</w:t>
      </w:r>
      <w:r>
        <w:rPr>
          <w:rFonts w:hint="eastAsia" w:ascii="宋体" w:hAnsi="宋体" w:cs="宋体"/>
          <w:color w:val="000000" w:themeColor="text1"/>
          <w:sz w:val="24"/>
          <w:lang w:eastAsia="zh-CN"/>
          <w14:textFill>
            <w14:solidFill>
              <w14:schemeClr w14:val="tx1"/>
            </w14:solidFill>
          </w14:textFill>
        </w:rPr>
        <w:t>、上一年度污水处理厂统一社会运营期止后至本项目开工前所产生的费用及</w:t>
      </w:r>
      <w:r>
        <w:rPr>
          <w:rFonts w:hint="eastAsia" w:ascii="宋体" w:hAnsi="宋体" w:cs="宋体"/>
          <w:color w:val="000000" w:themeColor="text1"/>
          <w:sz w:val="24"/>
          <w14:textFill>
            <w14:solidFill>
              <w14:schemeClr w14:val="tx1"/>
            </w14:solidFill>
          </w14:textFill>
        </w:rPr>
        <w:t>其他所有成本费用的总和，投标人应综合考虑在报价中。</w:t>
      </w:r>
    </w:p>
    <w:p>
      <w:pPr>
        <w:spacing w:line="440" w:lineRule="exact"/>
        <w:ind w:firstLine="472" w:firstLineChars="196"/>
        <w:outlineLvl w:val="2"/>
        <w:rPr>
          <w:rFonts w:hint="eastAsia" w:ascii="宋体" w:hAnsi="宋体" w:cs="宋体"/>
          <w:b/>
          <w:color w:val="000000" w:themeColor="text1"/>
          <w:sz w:val="24"/>
          <w14:textFill>
            <w14:solidFill>
              <w14:schemeClr w14:val="tx1"/>
            </w14:solidFill>
          </w14:textFill>
        </w:rPr>
      </w:pPr>
      <w:bookmarkStart w:id="80" w:name="_Toc22333"/>
      <w:bookmarkStart w:id="81" w:name="_Toc13079"/>
      <w:r>
        <w:rPr>
          <w:rFonts w:hint="eastAsia" w:ascii="宋体" w:hAnsi="宋体" w:cs="宋体"/>
          <w:b/>
          <w:color w:val="000000" w:themeColor="text1"/>
          <w:sz w:val="24"/>
          <w14:textFill>
            <w14:solidFill>
              <w14:schemeClr w14:val="tx1"/>
            </w14:solidFill>
          </w14:textFill>
        </w:rPr>
        <w:t>16. 投标有效期</w:t>
      </w:r>
      <w:bookmarkEnd w:id="80"/>
      <w:bookmarkEnd w:id="81"/>
    </w:p>
    <w:p>
      <w:pPr>
        <w:tabs>
          <w:tab w:val="left" w:pos="1305"/>
        </w:tabs>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16.1投标有效期：投标截止时间之日起90天。</w:t>
      </w:r>
    </w:p>
    <w:p>
      <w:pPr>
        <w:tabs>
          <w:tab w:val="left" w:pos="1305"/>
        </w:tabs>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16.2出现特殊情况下，需要延长投标有效期的，采购代理机构以书面形式通知投标人延长投标有效期。投标人同意延长的，原投标文件继续有效。投标人拒绝延长的，其投标无效。</w:t>
      </w:r>
    </w:p>
    <w:p>
      <w:pPr>
        <w:spacing w:line="440" w:lineRule="exact"/>
        <w:ind w:firstLine="472" w:firstLineChars="196"/>
        <w:outlineLvl w:val="2"/>
        <w:rPr>
          <w:rFonts w:hint="eastAsia" w:ascii="宋体" w:hAnsi="宋体" w:cs="宋体"/>
          <w:b/>
          <w:color w:val="000000" w:themeColor="text1"/>
          <w:sz w:val="24"/>
          <w14:textFill>
            <w14:solidFill>
              <w14:schemeClr w14:val="tx1"/>
            </w14:solidFill>
          </w14:textFill>
        </w:rPr>
      </w:pPr>
      <w:bookmarkStart w:id="82" w:name="_Toc4298"/>
      <w:bookmarkStart w:id="83" w:name="_Toc5668"/>
      <w:r>
        <w:rPr>
          <w:rFonts w:hint="eastAsia" w:ascii="宋体" w:hAnsi="宋体" w:cs="宋体"/>
          <w:b/>
          <w:color w:val="000000" w:themeColor="text1"/>
          <w:sz w:val="24"/>
          <w14:textFill>
            <w14:solidFill>
              <w14:schemeClr w14:val="tx1"/>
            </w14:solidFill>
          </w14:textFill>
        </w:rPr>
        <w:t>17. 投标保证金</w:t>
      </w:r>
      <w:bookmarkEnd w:id="82"/>
      <w:bookmarkEnd w:id="83"/>
    </w:p>
    <w:p>
      <w:pPr>
        <w:tabs>
          <w:tab w:val="left" w:pos="1305"/>
        </w:tabs>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本项目无需缴纳投标保证金。</w:t>
      </w:r>
    </w:p>
    <w:p>
      <w:pPr>
        <w:spacing w:line="440" w:lineRule="exact"/>
        <w:ind w:firstLine="472" w:firstLineChars="196"/>
        <w:outlineLvl w:val="2"/>
        <w:rPr>
          <w:rFonts w:hint="eastAsia" w:ascii="宋体" w:hAnsi="宋体" w:cs="宋体"/>
          <w:b/>
          <w:color w:val="000000" w:themeColor="text1"/>
          <w:sz w:val="24"/>
          <w14:textFill>
            <w14:solidFill>
              <w14:schemeClr w14:val="tx1"/>
            </w14:solidFill>
          </w14:textFill>
        </w:rPr>
      </w:pPr>
      <w:bookmarkStart w:id="84" w:name="_Toc6809"/>
      <w:bookmarkStart w:id="85" w:name="_Toc30873"/>
      <w:bookmarkStart w:id="86" w:name="_Toc32497"/>
      <w:bookmarkStart w:id="87" w:name="_Toc17461"/>
      <w:bookmarkStart w:id="88" w:name="_Toc24490"/>
      <w:r>
        <w:rPr>
          <w:rFonts w:hint="eastAsia" w:ascii="宋体" w:hAnsi="宋体" w:cs="宋体"/>
          <w:b/>
          <w:color w:val="000000" w:themeColor="text1"/>
          <w:sz w:val="24"/>
          <w14:textFill>
            <w14:solidFill>
              <w14:schemeClr w14:val="tx1"/>
            </w14:solidFill>
          </w14:textFill>
        </w:rPr>
        <w:t>18. 投标文件的</w:t>
      </w:r>
      <w:bookmarkEnd w:id="84"/>
      <w:bookmarkEnd w:id="85"/>
      <w:r>
        <w:rPr>
          <w:rFonts w:hint="eastAsia" w:ascii="宋体" w:hAnsi="宋体" w:cs="宋体"/>
          <w:b/>
          <w:color w:val="000000" w:themeColor="text1"/>
          <w:sz w:val="24"/>
          <w14:textFill>
            <w14:solidFill>
              <w14:schemeClr w14:val="tx1"/>
            </w14:solidFill>
          </w14:textFill>
        </w:rPr>
        <w:t>制作</w:t>
      </w:r>
      <w:bookmarkEnd w:id="86"/>
      <w:bookmarkEnd w:id="87"/>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18.2 供应商法人（负责人）或授权代表持有政采云个人CA签章的，应在投标文件中涉及到签字的位置使用个人CA签章，没有办理政采云个人CA签章的可在投标文件中涉及到签字的位置手写签字后扫描或者拍照做成PDF的格式上传即可。 </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 投标文件不得涂改，若有修改错漏处，须法定代表人（负责人）或授权委托人签字（或个人CA签章）。投标文件因字迹潦草或表达不清所引起的后果由供应商负责。</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18.4评审前准备 </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18.4.1本项目实行网上评审，采用电子投标文件；若供应商参与投标，自行承担投标一切费用。 </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18.4.2各供应商在截标前应确保成为政采云平台正式注册入库供应商，并完成CA数字证书申领。因未注册入库、未办理CA数字证书等原因造成无法投标或投标失败等后果由供应商自行承担。 </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18.4.3供应商将政采云电子交易客户端下载、安装完成后，可通过账号密码或 CA 登录客户端进行投标文件制作。客户端请至网站下载专区查看，如有问题可拨打政采云客户服务热线 400-881-7190 进行咨询。</w:t>
      </w:r>
    </w:p>
    <w:bookmarkEnd w:id="88"/>
    <w:p>
      <w:pPr>
        <w:spacing w:line="440" w:lineRule="exact"/>
        <w:ind w:firstLine="472" w:firstLineChars="196"/>
        <w:outlineLvl w:val="2"/>
        <w:rPr>
          <w:rFonts w:hint="eastAsia" w:ascii="宋体" w:hAnsi="宋体" w:cs="宋体"/>
          <w:b/>
          <w:color w:val="000000" w:themeColor="text1"/>
          <w:sz w:val="24"/>
          <w14:textFill>
            <w14:solidFill>
              <w14:schemeClr w14:val="tx1"/>
            </w14:solidFill>
          </w14:textFill>
        </w:rPr>
      </w:pPr>
      <w:bookmarkStart w:id="89" w:name="_Toc1837"/>
      <w:bookmarkStart w:id="90" w:name="_Toc12348"/>
      <w:bookmarkStart w:id="91" w:name="_Toc15098"/>
      <w:bookmarkStart w:id="92" w:name="_Toc31572"/>
      <w:r>
        <w:rPr>
          <w:rFonts w:hint="eastAsia" w:ascii="宋体" w:hAnsi="宋体" w:cs="宋体"/>
          <w:b/>
          <w:color w:val="000000" w:themeColor="text1"/>
          <w:sz w:val="24"/>
          <w14:textFill>
            <w14:solidFill>
              <w14:schemeClr w14:val="tx1"/>
            </w14:solidFill>
          </w14:textFill>
        </w:rPr>
        <w:t>19. 投标文件的补充、修改和撤回</w:t>
      </w:r>
      <w:bookmarkEnd w:id="89"/>
      <w:bookmarkEnd w:id="90"/>
      <w:bookmarkEnd w:id="91"/>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 投标文件递交截止时间前可以撤回电子投标文件。补充或者修改电子投标文件的，应当先行撤回原文件，补充、修改后重新传输递交，投标文件递交截止时间前未完成传输的，视为撤回投标文件。</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 在投标文件递交截止时间后的投标文件有效期内，供应商不得撤回其投标文件。</w:t>
      </w:r>
    </w:p>
    <w:bookmarkEnd w:id="92"/>
    <w:p>
      <w:pPr>
        <w:spacing w:line="440" w:lineRule="exact"/>
        <w:ind w:firstLine="472" w:firstLineChars="196"/>
        <w:outlineLvl w:val="2"/>
        <w:rPr>
          <w:rFonts w:hint="eastAsia" w:ascii="宋体" w:hAnsi="宋体" w:cs="宋体"/>
          <w:b/>
          <w:color w:val="000000" w:themeColor="text1"/>
          <w:sz w:val="24"/>
          <w14:textFill>
            <w14:solidFill>
              <w14:schemeClr w14:val="tx1"/>
            </w14:solidFill>
          </w14:textFill>
        </w:rPr>
      </w:pPr>
      <w:bookmarkStart w:id="93" w:name="_Toc13713"/>
      <w:bookmarkStart w:id="94" w:name="_Toc32019"/>
      <w:bookmarkStart w:id="95" w:name="_Toc16777"/>
      <w:r>
        <w:rPr>
          <w:rFonts w:hint="eastAsia" w:ascii="宋体" w:hAnsi="宋体" w:cs="宋体"/>
          <w:b/>
          <w:color w:val="000000" w:themeColor="text1"/>
          <w:sz w:val="24"/>
          <w14:textFill>
            <w14:solidFill>
              <w14:schemeClr w14:val="tx1"/>
            </w14:solidFill>
          </w14:textFill>
        </w:rPr>
        <w:t>20. 投标文件的递交</w:t>
      </w:r>
      <w:bookmarkEnd w:id="93"/>
      <w:r>
        <w:rPr>
          <w:rFonts w:hint="eastAsia" w:ascii="宋体" w:hAnsi="宋体" w:cs="宋体"/>
          <w:b/>
          <w:color w:val="000000" w:themeColor="text1"/>
          <w:sz w:val="24"/>
          <w14:textFill>
            <w14:solidFill>
              <w14:schemeClr w14:val="tx1"/>
            </w14:solidFill>
          </w14:textFill>
        </w:rPr>
        <w:t>和解密</w:t>
      </w:r>
      <w:bookmarkEnd w:id="94"/>
      <w:bookmarkEnd w:id="95"/>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20.1投标文件递交截止时间</w:t>
      </w:r>
      <w:r>
        <w:rPr>
          <w:rFonts w:hint="eastAsia" w:ascii="宋体" w:hAnsi="宋体" w:cs="宋体"/>
          <w:b/>
          <w:bCs/>
          <w:color w:val="000000" w:themeColor="text1"/>
          <w:sz w:val="24"/>
          <w14:textFill>
            <w14:solidFill>
              <w14:schemeClr w14:val="tx1"/>
            </w14:solidFill>
          </w14:textFill>
        </w:rPr>
        <w:t>：投标人于</w:t>
      </w:r>
      <w:r>
        <w:rPr>
          <w:rFonts w:hint="eastAsia" w:ascii="宋体" w:hAnsi="宋体" w:cs="宋体"/>
          <w:b/>
          <w:bCs/>
          <w:color w:val="000000" w:themeColor="text1"/>
          <w:sz w:val="24"/>
          <w:u w:val="single"/>
          <w:lang w:eastAsia="zh-CN"/>
          <w14:textFill>
            <w14:solidFill>
              <w14:schemeClr w14:val="tx1"/>
            </w14:solidFill>
          </w14:textFill>
        </w:rPr>
        <w:t xml:space="preserve"> 2023年</w:t>
      </w:r>
      <w:r>
        <w:rPr>
          <w:rFonts w:hint="eastAsia" w:ascii="宋体" w:hAnsi="宋体" w:cs="宋体"/>
          <w:b/>
          <w:bCs/>
          <w:color w:val="000000" w:themeColor="text1"/>
          <w:sz w:val="24"/>
          <w:u w:val="single"/>
          <w:lang w:val="en-US" w:eastAsia="zh-CN"/>
          <w14:textFill>
            <w14:solidFill>
              <w14:schemeClr w14:val="tx1"/>
            </w14:solidFill>
          </w14:textFill>
        </w:rPr>
        <w:t>4月17日</w:t>
      </w:r>
      <w:r>
        <w:rPr>
          <w:rFonts w:hint="eastAsia" w:ascii="宋体" w:hAnsi="宋体" w:cs="宋体"/>
          <w:b/>
          <w:bCs/>
          <w:color w:val="000000" w:themeColor="text1"/>
          <w:sz w:val="24"/>
          <w:u w:val="single"/>
          <w14:textFill>
            <w14:solidFill>
              <w14:schemeClr w14:val="tx1"/>
            </w14:solidFill>
          </w14:textFill>
        </w:rPr>
        <w:t>9时30分之前</w:t>
      </w:r>
      <w:r>
        <w:rPr>
          <w:rFonts w:hint="eastAsia" w:ascii="宋体" w:hAnsi="宋体" w:cs="宋体"/>
          <w:b/>
          <w:bCs/>
          <w:color w:val="000000" w:themeColor="text1"/>
          <w:sz w:val="24"/>
          <w14:textFill>
            <w14:solidFill>
              <w14:schemeClr w14:val="tx1"/>
            </w14:solidFill>
          </w14:textFill>
        </w:rPr>
        <w:t>将电子投标文件上传到政采云平台。</w:t>
      </w:r>
      <w:r>
        <w:rPr>
          <w:rFonts w:hint="eastAsia" w:ascii="宋体" w:hAnsi="宋体" w:cs="宋体"/>
          <w:color w:val="000000" w:themeColor="text1"/>
          <w:sz w:val="24"/>
          <w14:textFill>
            <w14:solidFill>
              <w14:schemeClr w14:val="tx1"/>
            </w14:solidFill>
          </w14:textFill>
        </w:rPr>
        <w:t>应按照本项目招标文件和政采云平台的要求编制、加密传输投标文件。供应商在使用系统进行投标的过程中遇到涉及平台使用的任何问题，可致电政采云平台技术支持热线咨询，联系方式：400-881-7190。</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20.2投标文件解密时间：截标时间后</w:t>
      </w:r>
      <w:r>
        <w:rPr>
          <w:rFonts w:hint="eastAsia" w:ascii="宋体" w:hAnsi="宋体" w:cs="宋体"/>
          <w:b/>
          <w:bCs/>
          <w:color w:val="000000" w:themeColor="text1"/>
          <w:sz w:val="24"/>
          <w:u w:val="single"/>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分钟内（</w:t>
      </w:r>
      <w:r>
        <w:rPr>
          <w:rFonts w:hint="eastAsia" w:ascii="宋体" w:hAnsi="宋体" w:cs="宋体"/>
          <w:b/>
          <w:bCs/>
          <w:color w:val="000000" w:themeColor="text1"/>
          <w:sz w:val="24"/>
          <w:u w:val="single"/>
          <w:lang w:eastAsia="zh-CN"/>
          <w14:textFill>
            <w14:solidFill>
              <w14:schemeClr w14:val="tx1"/>
            </w14:solidFill>
          </w14:textFill>
        </w:rPr>
        <w:t xml:space="preserve"> 2023年</w:t>
      </w:r>
      <w:r>
        <w:rPr>
          <w:rFonts w:hint="eastAsia" w:ascii="宋体" w:hAnsi="宋体" w:cs="宋体"/>
          <w:b/>
          <w:bCs/>
          <w:color w:val="000000" w:themeColor="text1"/>
          <w:sz w:val="24"/>
          <w:u w:val="single"/>
          <w:lang w:val="en-US" w:eastAsia="zh-CN"/>
          <w14:textFill>
            <w14:solidFill>
              <w14:schemeClr w14:val="tx1"/>
            </w14:solidFill>
          </w14:textFill>
        </w:rPr>
        <w:t>4月17日</w:t>
      </w:r>
      <w:r>
        <w:rPr>
          <w:rFonts w:hint="eastAsia" w:ascii="宋体" w:hAnsi="宋体" w:cs="宋体"/>
          <w:b/>
          <w:bCs/>
          <w:color w:val="000000" w:themeColor="text1"/>
          <w:sz w:val="24"/>
          <w:u w:val="single"/>
          <w14:textFill>
            <w14:solidFill>
              <w14:schemeClr w14:val="tx1"/>
            </w14:solidFill>
          </w14:textFill>
        </w:rPr>
        <w:t>9时30分至10时00分</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投标人可以登录政采云平台，用“项目采购-开标评标”功能进行解密投标文件。若投标人在规定时间内无法解密或解密失败，可以以电子备份投标文件作为依据【在接到无法解密或解密失败的通知后，投标人可根据自身实际情况按通知时要求的时间到桂林市公共资源交易中心</w:t>
      </w:r>
      <w:r>
        <w:rPr>
          <w:rFonts w:hint="eastAsia" w:ascii="宋体" w:hAnsi="宋体" w:cs="宋体"/>
          <w:color w:val="000000" w:themeColor="text1"/>
          <w:sz w:val="24"/>
          <w:u w:val="single"/>
          <w:lang w:val="en-US" w:eastAsia="zh-CN"/>
          <w14:textFill>
            <w14:solidFill>
              <w14:schemeClr w14:val="tx1"/>
            </w14:solidFill>
          </w14:textFill>
        </w:rPr>
        <w:t>10号开标室</w:t>
      </w:r>
      <w:r>
        <w:rPr>
          <w:rFonts w:hint="eastAsia" w:ascii="宋体" w:hAnsi="宋体" w:cs="宋体"/>
          <w:color w:val="000000" w:themeColor="text1"/>
          <w:sz w:val="24"/>
          <w14:textFill>
            <w14:solidFill>
              <w14:schemeClr w14:val="tx1"/>
            </w14:solidFill>
          </w14:textFill>
        </w:rPr>
        <w:t>（广西桂林市临桂区西城中路69号创业大厦西辅楼4楼北区）现场提交或以电子邮件的形式（以通知时所告知的电子邮箱地址为准）提交电子备份投标文件】，若投标人在规定时间内无法解密或解密失败且未提供电子备份投标文件的(包含提供的电子备份文件无效或无法解密的情况)，视为投标无效。</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20.3 除招标文件另有规定外，供应商所递交的投标文件不予退还。</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20.4 电子投标文件的相关说明</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 </w:t>
      </w:r>
    </w:p>
    <w:p>
      <w:pPr>
        <w:spacing w:line="440" w:lineRule="exact"/>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（2）如有特殊情况，采购代理机构延长截止时间和开标时间，采购代理机构和供应商的权利和义务将受到新的截止时间和开标时间的约束。</w:t>
      </w:r>
    </w:p>
    <w:p>
      <w:pPr>
        <w:pStyle w:val="52"/>
        <w:spacing w:line="440" w:lineRule="exact"/>
        <w:rPr>
          <w:rFonts w:hint="eastAsia" w:ascii="宋体" w:hAnsi="宋体" w:eastAsia="宋体" w:cs="宋体"/>
          <w:color w:val="000000" w:themeColor="text1"/>
          <w14:textFill>
            <w14:solidFill>
              <w14:schemeClr w14:val="tx1"/>
            </w14:solidFill>
          </w14:textFill>
        </w:rPr>
      </w:pPr>
    </w:p>
    <w:p>
      <w:pPr>
        <w:spacing w:line="440" w:lineRule="exact"/>
        <w:jc w:val="center"/>
        <w:outlineLvl w:val="1"/>
        <w:rPr>
          <w:rFonts w:hint="eastAsia" w:ascii="宋体" w:hAnsi="宋体" w:cs="宋体"/>
          <w:b/>
          <w:color w:val="000000" w:themeColor="text1"/>
          <w:sz w:val="28"/>
          <w:szCs w:val="28"/>
          <w14:textFill>
            <w14:solidFill>
              <w14:schemeClr w14:val="tx1"/>
            </w14:solidFill>
          </w14:textFill>
        </w:rPr>
      </w:pPr>
      <w:bookmarkStart w:id="96" w:name="_Toc307"/>
      <w:bookmarkStart w:id="97" w:name="_Toc7042"/>
      <w:bookmarkStart w:id="98" w:name="_Toc495841757"/>
      <w:r>
        <w:rPr>
          <w:rFonts w:hint="eastAsia" w:ascii="宋体" w:hAnsi="宋体" w:cs="宋体"/>
          <w:b/>
          <w:color w:val="000000" w:themeColor="text1"/>
          <w:sz w:val="28"/>
          <w:szCs w:val="28"/>
          <w14:textFill>
            <w14:solidFill>
              <w14:schemeClr w14:val="tx1"/>
            </w14:solidFill>
          </w14:textFill>
        </w:rPr>
        <w:t>四、开标</w:t>
      </w:r>
      <w:bookmarkEnd w:id="96"/>
      <w:bookmarkEnd w:id="97"/>
      <w:bookmarkEnd w:id="98"/>
    </w:p>
    <w:p>
      <w:pPr>
        <w:spacing w:line="440" w:lineRule="exact"/>
        <w:ind w:firstLine="472" w:firstLineChars="196"/>
        <w:outlineLvl w:val="2"/>
        <w:rPr>
          <w:rFonts w:hint="eastAsia" w:ascii="宋体" w:hAnsi="宋体" w:cs="宋体"/>
          <w:b/>
          <w:color w:val="000000" w:themeColor="text1"/>
          <w:sz w:val="24"/>
          <w14:textFill>
            <w14:solidFill>
              <w14:schemeClr w14:val="tx1"/>
            </w14:solidFill>
          </w14:textFill>
        </w:rPr>
      </w:pPr>
      <w:bookmarkStart w:id="99" w:name="_Toc17073"/>
      <w:bookmarkStart w:id="100" w:name="_Toc31745"/>
      <w:bookmarkStart w:id="101" w:name="_Toc19384"/>
      <w:bookmarkStart w:id="102" w:name="_Toc25198"/>
      <w:bookmarkStart w:id="103" w:name="_Toc13013"/>
      <w:bookmarkStart w:id="104" w:name="_Toc495841758"/>
      <w:r>
        <w:rPr>
          <w:rFonts w:hint="eastAsia" w:ascii="宋体" w:hAnsi="宋体" w:cs="宋体"/>
          <w:b/>
          <w:color w:val="000000" w:themeColor="text1"/>
          <w:sz w:val="24"/>
          <w14:textFill>
            <w14:solidFill>
              <w14:schemeClr w14:val="tx1"/>
            </w14:solidFill>
          </w14:textFill>
        </w:rPr>
        <w:t>21. 开标时间及地点</w:t>
      </w:r>
      <w:bookmarkEnd w:id="99"/>
      <w:bookmarkEnd w:id="100"/>
      <w:bookmarkEnd w:id="101"/>
      <w:bookmarkEnd w:id="102"/>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21.1开标时间及地点：</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开标时间：</w:t>
      </w:r>
      <w:r>
        <w:rPr>
          <w:rFonts w:hint="eastAsia" w:ascii="宋体" w:hAnsi="宋体" w:cs="宋体"/>
          <w:b/>
          <w:bCs/>
          <w:color w:val="000000" w:themeColor="text1"/>
          <w:sz w:val="24"/>
          <w:u w:val="single"/>
          <w:lang w:eastAsia="zh-CN"/>
          <w14:textFill>
            <w14:solidFill>
              <w14:schemeClr w14:val="tx1"/>
            </w14:solidFill>
          </w14:textFill>
        </w:rPr>
        <w:t xml:space="preserve"> 2023年</w:t>
      </w:r>
      <w:r>
        <w:rPr>
          <w:rFonts w:hint="eastAsia" w:ascii="宋体" w:hAnsi="宋体" w:cs="宋体"/>
          <w:b/>
          <w:bCs/>
          <w:color w:val="000000" w:themeColor="text1"/>
          <w:sz w:val="24"/>
          <w:u w:val="single"/>
          <w:lang w:val="en-US" w:eastAsia="zh-CN"/>
          <w14:textFill>
            <w14:solidFill>
              <w14:schemeClr w14:val="tx1"/>
            </w14:solidFill>
          </w14:textFill>
        </w:rPr>
        <w:t>4月17日</w:t>
      </w:r>
      <w:r>
        <w:rPr>
          <w:rFonts w:hint="eastAsia" w:ascii="宋体" w:hAnsi="宋体" w:cs="宋体"/>
          <w:b/>
          <w:bCs/>
          <w:color w:val="000000" w:themeColor="text1"/>
          <w:sz w:val="24"/>
          <w:u w:val="single"/>
          <w14:textFill>
            <w14:solidFill>
              <w14:schemeClr w14:val="tx1"/>
            </w14:solidFill>
          </w14:textFill>
        </w:rPr>
        <w:t>9时30分</w:t>
      </w:r>
      <w:r>
        <w:rPr>
          <w:rFonts w:hint="eastAsia" w:ascii="宋体" w:hAnsi="宋体" w:cs="宋体"/>
          <w:color w:val="000000" w:themeColor="text1"/>
          <w:sz w:val="24"/>
          <w14:textFill>
            <w14:solidFill>
              <w14:schemeClr w14:val="tx1"/>
            </w14:solidFill>
          </w14:textFill>
        </w:rPr>
        <w:t>（北京时间）截标后。</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点：通过政采云平台实行在线解密开启。</w:t>
      </w:r>
    </w:p>
    <w:p>
      <w:pPr>
        <w:spacing w:line="440" w:lineRule="exact"/>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提交电子备份投标文件方式：</w:t>
      </w:r>
      <w:r>
        <w:rPr>
          <w:rFonts w:hint="eastAsia" w:ascii="宋体" w:hAnsi="宋体" w:cs="宋体"/>
          <w:color w:val="000000" w:themeColor="text1"/>
          <w:sz w:val="24"/>
          <w14:textFill>
            <w14:solidFill>
              <w14:schemeClr w14:val="tx1"/>
            </w14:solidFill>
          </w14:textFill>
        </w:rPr>
        <w:t>在接到无法解密或解密失败的通知后，投标人可根据自身实际情况按通知时要求的时间到桂林市公共资源交易中心</w:t>
      </w:r>
      <w:r>
        <w:rPr>
          <w:rFonts w:hint="eastAsia" w:ascii="宋体" w:hAnsi="宋体" w:cs="宋体"/>
          <w:color w:val="000000" w:themeColor="text1"/>
          <w:sz w:val="24"/>
          <w:u w:val="single"/>
          <w:lang w:val="en-US" w:eastAsia="zh-CN"/>
          <w14:textFill>
            <w14:solidFill>
              <w14:schemeClr w14:val="tx1"/>
            </w14:solidFill>
          </w14:textFill>
        </w:rPr>
        <w:t>10号开标室</w:t>
      </w:r>
      <w:r>
        <w:rPr>
          <w:rFonts w:hint="eastAsia" w:ascii="宋体" w:hAnsi="宋体" w:cs="宋体"/>
          <w:color w:val="000000" w:themeColor="text1"/>
          <w:sz w:val="24"/>
          <w14:textFill>
            <w14:solidFill>
              <w14:schemeClr w14:val="tx1"/>
            </w14:solidFill>
          </w14:textFill>
        </w:rPr>
        <w:t>（广西桂林市临桂区西城中路69号创业大厦西辅楼4楼北区）现场提交或以电子邮件的形式（以通知时所告知的电子邮箱地址为准）提交电子备份投标文件。投标人可以由法定代表人、负责人、自然人或其委托代理人出席开标会议。</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21.2投标人不足3家的，不得开标，采购人或者采购代理机构应当重新组织采购。</w:t>
      </w:r>
    </w:p>
    <w:p>
      <w:pPr>
        <w:spacing w:line="440" w:lineRule="exact"/>
        <w:ind w:firstLine="482" w:firstLineChars="200"/>
        <w:rPr>
          <w:rFonts w:hint="eastAsia" w:ascii="宋体" w:hAnsi="宋体" w:cs="宋体"/>
          <w:b/>
          <w:bCs/>
          <w:color w:val="000000" w:themeColor="text1"/>
          <w:sz w:val="24"/>
          <w14:textFill>
            <w14:solidFill>
              <w14:schemeClr w14:val="tx1"/>
            </w14:solidFill>
          </w14:textFill>
        </w:rPr>
      </w:pPr>
      <w:bookmarkStart w:id="105" w:name="_Toc15515"/>
      <w:bookmarkStart w:id="106" w:name="_Toc8462"/>
      <w:bookmarkStart w:id="107" w:name="_Toc11217"/>
      <w:r>
        <w:rPr>
          <w:rFonts w:hint="eastAsia" w:ascii="宋体" w:hAnsi="宋体" w:cs="宋体"/>
          <w:b/>
          <w:bCs/>
          <w:color w:val="000000" w:themeColor="text1"/>
          <w:sz w:val="24"/>
          <w14:textFill>
            <w14:solidFill>
              <w14:schemeClr w14:val="tx1"/>
            </w14:solidFill>
          </w14:textFill>
        </w:rPr>
        <w:t>22. 开标程序</w:t>
      </w:r>
      <w:bookmarkEnd w:id="105"/>
      <w:bookmarkEnd w:id="106"/>
      <w:bookmarkEnd w:id="107"/>
    </w:p>
    <w:p>
      <w:pPr>
        <w:spacing w:line="440" w:lineRule="exact"/>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22.1开标准备</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22.1.1.开标的准备工作由采购代理机构负责落实；</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22.1.2.采购代理机构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pPr>
        <w:spacing w:line="440" w:lineRule="exact"/>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22.2开标程序</w:t>
      </w:r>
    </w:p>
    <w:p>
      <w:pPr>
        <w:spacing w:line="440" w:lineRule="exact"/>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22.2.1.向各投标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 30 分钟。</w:t>
      </w:r>
    </w:p>
    <w:p>
      <w:pPr>
        <w:spacing w:line="440" w:lineRule="exact"/>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22.2.2.投标文件解密结束后，开标活动组织人员在线开启投标文件。</w:t>
      </w:r>
    </w:p>
    <w:p>
      <w:pPr>
        <w:spacing w:line="440" w:lineRule="exact"/>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22.2.3.开启投标人报价文件，开标活动组织人员宣读开标（报价）一览表有关内容，投标人代表如果认为宣读有误，可以当场提出异议。</w:t>
      </w:r>
    </w:p>
    <w:p>
      <w:pPr>
        <w:spacing w:line="440" w:lineRule="exact"/>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开标结束后，如发现开标结果与报价文件不一致者，由评标委员会根据报价文件内容进行修正。</w:t>
      </w:r>
    </w:p>
    <w:p>
      <w:pPr>
        <w:spacing w:line="440" w:lineRule="exact"/>
        <w:ind w:firstLine="48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特别说明：如遇“政府采购云平台”电子化开标或评审程序调整的，按调整后程序执行。</w:t>
      </w:r>
    </w:p>
    <w:p>
      <w:pPr>
        <w:pStyle w:val="52"/>
        <w:spacing w:line="440" w:lineRule="exact"/>
        <w:rPr>
          <w:rFonts w:hint="eastAsia" w:ascii="宋体" w:hAnsi="宋体" w:eastAsia="宋体" w:cs="宋体"/>
          <w:color w:val="000000" w:themeColor="text1"/>
          <w14:textFill>
            <w14:solidFill>
              <w14:schemeClr w14:val="tx1"/>
            </w14:solidFill>
          </w14:textFill>
        </w:rPr>
      </w:pPr>
    </w:p>
    <w:p>
      <w:pPr>
        <w:spacing w:line="440" w:lineRule="exact"/>
        <w:jc w:val="center"/>
        <w:outlineLvl w:val="1"/>
        <w:rPr>
          <w:rFonts w:hint="eastAsia" w:ascii="宋体" w:hAnsi="宋体" w:cs="宋体"/>
          <w:b/>
          <w:color w:val="000000" w:themeColor="text1"/>
          <w:sz w:val="28"/>
          <w:szCs w:val="28"/>
          <w14:textFill>
            <w14:solidFill>
              <w14:schemeClr w14:val="tx1"/>
            </w14:solidFill>
          </w14:textFill>
        </w:rPr>
      </w:pPr>
      <w:bookmarkStart w:id="108" w:name="_Toc12943"/>
      <w:r>
        <w:rPr>
          <w:rFonts w:hint="eastAsia" w:ascii="宋体" w:hAnsi="宋体" w:cs="宋体"/>
          <w:b/>
          <w:color w:val="000000" w:themeColor="text1"/>
          <w:sz w:val="28"/>
          <w:szCs w:val="28"/>
          <w14:textFill>
            <w14:solidFill>
              <w14:schemeClr w14:val="tx1"/>
            </w14:solidFill>
          </w14:textFill>
        </w:rPr>
        <w:t>五、资格性审查</w:t>
      </w:r>
      <w:bookmarkEnd w:id="103"/>
      <w:bookmarkEnd w:id="104"/>
      <w:bookmarkEnd w:id="108"/>
    </w:p>
    <w:p>
      <w:pPr>
        <w:spacing w:line="440" w:lineRule="exact"/>
        <w:ind w:firstLine="472" w:firstLineChars="196"/>
        <w:outlineLvl w:val="2"/>
        <w:rPr>
          <w:rFonts w:hint="eastAsia" w:ascii="宋体" w:hAnsi="宋体" w:cs="宋体"/>
          <w:b/>
          <w:color w:val="000000" w:themeColor="text1"/>
          <w:sz w:val="24"/>
          <w14:textFill>
            <w14:solidFill>
              <w14:schemeClr w14:val="tx1"/>
            </w14:solidFill>
          </w14:textFill>
        </w:rPr>
      </w:pPr>
      <w:bookmarkStart w:id="109" w:name="_Toc13578"/>
      <w:bookmarkStart w:id="110" w:name="_Toc9331"/>
      <w:r>
        <w:rPr>
          <w:rFonts w:hint="eastAsia" w:ascii="宋体" w:hAnsi="宋体" w:cs="宋体"/>
          <w:b/>
          <w:color w:val="000000" w:themeColor="text1"/>
          <w:sz w:val="24"/>
          <w14:textFill>
            <w14:solidFill>
              <w14:schemeClr w14:val="tx1"/>
            </w14:solidFill>
          </w14:textFill>
        </w:rPr>
        <w:t>23. 资格性审查</w:t>
      </w:r>
      <w:bookmarkEnd w:id="109"/>
      <w:bookmarkEnd w:id="110"/>
    </w:p>
    <w:p>
      <w:pPr>
        <w:tabs>
          <w:tab w:val="left" w:pos="1305"/>
        </w:tabs>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 公开招标采购项目开标结束后，采购人应当依法对投标人的资格进行审查。合格投标人不足3家的，不得评标。</w:t>
      </w:r>
    </w:p>
    <w:p>
      <w:pPr>
        <w:spacing w:line="440" w:lineRule="exact"/>
        <w:ind w:firstLine="480"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23.2 </w:t>
      </w:r>
      <w:r>
        <w:rPr>
          <w:rFonts w:hint="eastAsia" w:ascii="宋体" w:hAnsi="宋体" w:cs="宋体"/>
          <w:b/>
          <w:bCs/>
          <w:color w:val="000000" w:themeColor="text1"/>
          <w:sz w:val="24"/>
          <w14:textFill>
            <w14:solidFill>
              <w14:schemeClr w14:val="tx1"/>
            </w14:solidFill>
          </w14:textFill>
        </w:rPr>
        <w:t>采购人或者采购代理机构</w:t>
      </w:r>
      <w:r>
        <w:rPr>
          <w:rFonts w:hint="eastAsia" w:ascii="宋体" w:hAnsi="宋体" w:cs="宋体"/>
          <w:b/>
          <w:color w:val="000000" w:themeColor="text1"/>
          <w:sz w:val="24"/>
          <w14:textFill>
            <w14:solidFill>
              <w14:schemeClr w14:val="tx1"/>
            </w14:solidFill>
          </w14:textFill>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查询渠道：《国家企业信用信息公示系统》（网址：www.gsxt.gov.cn/index.html）</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审查流程：</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（1）进入《国家企业信用信息公示系统》（网址：www.gsxt.gov.cn/index.html），输入企业名称，进入企业信息主页面；</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（2）查看主页“股东及出资信息”栏，或年报中的“股东及出资信息”栏信息；</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（3）将各投标人的股东及出资信息进行比对，得出审查结论；</w:t>
      </w:r>
    </w:p>
    <w:p>
      <w:pPr>
        <w:snapToGrid w:val="0"/>
        <w:spacing w:line="440" w:lineRule="exact"/>
        <w:ind w:firstLine="480" w:firstLineChars="200"/>
        <w:rPr>
          <w:rFonts w:hint="eastAsia" w:ascii="宋体" w:hAnsi="宋体" w:cs="宋体"/>
          <w:b/>
          <w:color w:val="000000" w:themeColor="text1"/>
          <w:sz w:val="28"/>
          <w:szCs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（4）将相关资料作为评审资料打印存档。</w:t>
      </w:r>
      <w:bookmarkStart w:id="111" w:name="_Toc495841759"/>
      <w:bookmarkStart w:id="112" w:name="_Toc3415"/>
    </w:p>
    <w:p>
      <w:pPr>
        <w:spacing w:line="440" w:lineRule="exact"/>
        <w:jc w:val="center"/>
        <w:outlineLvl w:val="1"/>
        <w:rPr>
          <w:rFonts w:hint="eastAsia" w:ascii="宋体" w:hAnsi="宋体" w:cs="宋体"/>
          <w:b/>
          <w:color w:val="000000" w:themeColor="text1"/>
          <w:sz w:val="24"/>
          <w14:textFill>
            <w14:solidFill>
              <w14:schemeClr w14:val="tx1"/>
            </w14:solidFill>
          </w14:textFill>
        </w:rPr>
      </w:pPr>
      <w:bookmarkStart w:id="113" w:name="_Toc29968"/>
    </w:p>
    <w:p>
      <w:pPr>
        <w:spacing w:line="440" w:lineRule="exact"/>
        <w:jc w:val="center"/>
        <w:outlineLvl w:val="1"/>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六、评标</w:t>
      </w:r>
      <w:bookmarkEnd w:id="111"/>
      <w:bookmarkEnd w:id="112"/>
      <w:bookmarkEnd w:id="113"/>
    </w:p>
    <w:p>
      <w:pPr>
        <w:spacing w:line="440" w:lineRule="exact"/>
        <w:ind w:firstLine="472" w:firstLineChars="196"/>
        <w:outlineLvl w:val="2"/>
        <w:rPr>
          <w:rFonts w:hint="eastAsia" w:ascii="宋体" w:hAnsi="宋体" w:cs="宋体"/>
          <w:b/>
          <w:color w:val="000000" w:themeColor="text1"/>
          <w:sz w:val="24"/>
          <w14:textFill>
            <w14:solidFill>
              <w14:schemeClr w14:val="tx1"/>
            </w14:solidFill>
          </w14:textFill>
        </w:rPr>
      </w:pPr>
      <w:bookmarkStart w:id="114" w:name="_Toc14749"/>
      <w:bookmarkStart w:id="115" w:name="_Toc7054"/>
      <w:r>
        <w:rPr>
          <w:rFonts w:hint="eastAsia" w:ascii="宋体" w:hAnsi="宋体" w:cs="宋体"/>
          <w:b/>
          <w:color w:val="000000" w:themeColor="text1"/>
          <w:sz w:val="24"/>
          <w14:textFill>
            <w14:solidFill>
              <w14:schemeClr w14:val="tx1"/>
            </w14:solidFill>
          </w14:textFill>
        </w:rPr>
        <w:t>24. 评标委员会组成</w:t>
      </w:r>
      <w:bookmarkEnd w:id="114"/>
      <w:bookmarkEnd w:id="115"/>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评标委员会由采购人代表和有关技术、经济等方面的专家组成，成员人数共5人，其中采购人代表1人，技术、经济等专家4人。</w:t>
      </w:r>
    </w:p>
    <w:p>
      <w:pPr>
        <w:spacing w:line="440" w:lineRule="exact"/>
        <w:ind w:firstLine="472" w:firstLineChars="196"/>
        <w:outlineLvl w:val="2"/>
        <w:rPr>
          <w:rFonts w:hint="eastAsia" w:ascii="宋体" w:hAnsi="宋体" w:cs="宋体"/>
          <w:b/>
          <w:color w:val="000000" w:themeColor="text1"/>
          <w:sz w:val="24"/>
          <w14:textFill>
            <w14:solidFill>
              <w14:schemeClr w14:val="tx1"/>
            </w14:solidFill>
          </w14:textFill>
        </w:rPr>
      </w:pPr>
      <w:bookmarkStart w:id="116" w:name="_Toc24437"/>
      <w:bookmarkStart w:id="117" w:name="_Toc32133"/>
      <w:r>
        <w:rPr>
          <w:rFonts w:hint="eastAsia" w:ascii="宋体" w:hAnsi="宋体" w:cs="宋体"/>
          <w:b/>
          <w:color w:val="000000" w:themeColor="text1"/>
          <w:sz w:val="24"/>
          <w14:textFill>
            <w14:solidFill>
              <w14:schemeClr w14:val="tx1"/>
            </w14:solidFill>
          </w14:textFill>
        </w:rPr>
        <w:t>25. 评标</w:t>
      </w:r>
      <w:bookmarkEnd w:id="116"/>
      <w:r>
        <w:rPr>
          <w:rFonts w:hint="eastAsia" w:ascii="宋体" w:hAnsi="宋体" w:cs="宋体"/>
          <w:b/>
          <w:color w:val="000000" w:themeColor="text1"/>
          <w:sz w:val="24"/>
          <w14:textFill>
            <w14:solidFill>
              <w14:schemeClr w14:val="tx1"/>
            </w14:solidFill>
          </w14:textFill>
        </w:rPr>
        <w:t>原则</w:t>
      </w:r>
      <w:bookmarkEnd w:id="117"/>
    </w:p>
    <w:p>
      <w:pPr>
        <w:tabs>
          <w:tab w:val="left" w:pos="1140"/>
        </w:tabs>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25.1评标办法：综合评分法，具体评标内容及标准详见第四章。</w:t>
      </w:r>
    </w:p>
    <w:p>
      <w:pPr>
        <w:tabs>
          <w:tab w:val="left" w:pos="1140"/>
        </w:tabs>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25.2评标委员会应按招标文件进行评标，不得擅自更改评标办法。</w:t>
      </w:r>
    </w:p>
    <w:p>
      <w:pPr>
        <w:spacing w:line="440" w:lineRule="exact"/>
        <w:ind w:firstLine="472" w:firstLineChars="196"/>
        <w:outlineLvl w:val="2"/>
        <w:rPr>
          <w:rFonts w:hint="eastAsia" w:ascii="宋体" w:hAnsi="宋体" w:cs="宋体"/>
          <w:b/>
          <w:color w:val="000000" w:themeColor="text1"/>
          <w:sz w:val="24"/>
          <w14:textFill>
            <w14:solidFill>
              <w14:schemeClr w14:val="tx1"/>
            </w14:solidFill>
          </w14:textFill>
        </w:rPr>
      </w:pPr>
      <w:bookmarkStart w:id="118" w:name="_Toc15354"/>
      <w:bookmarkStart w:id="119" w:name="_Toc20321"/>
      <w:r>
        <w:rPr>
          <w:rFonts w:hint="eastAsia" w:ascii="宋体" w:hAnsi="宋体" w:cs="宋体"/>
          <w:b/>
          <w:color w:val="000000" w:themeColor="text1"/>
          <w:sz w:val="24"/>
          <w14:textFill>
            <w14:solidFill>
              <w14:schemeClr w14:val="tx1"/>
            </w14:solidFill>
          </w14:textFill>
        </w:rPr>
        <w:t>26. 评标</w:t>
      </w:r>
      <w:bookmarkEnd w:id="118"/>
      <w:bookmarkEnd w:id="119"/>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26.1评标工作由专家评委组织，桂林市公共资源交易中心政府采购项目评审系统公布评标工作纪律、投标人名单及评审专家应当回避的情形；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审专家的倾向性言论或者违法违规行为；核对评标结果，有投标无效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26.2评标委员会负责具体评标事务；审查、评价投标文件是否符合招标文件的商务、技术等实质性要求；要求投标人对投标文件有关事项作出澄清或者说明；对投标文件进行比较和评价；确定中标候选供应商名单，以及根据采购人委托直接确定中标供应商；向采购人、采购代理机构或者有关部门报告评标中发现的违法行为。</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26.3在评标过程中，评标委员会任何人不得对某个投标人发表任何倾向性意见，不得向其他专家评委明示或者暗示自己的评审意见。</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26.4评标委员会应当对符合资格的投标人的投标文件进行符合性审查，以确定其是否满足招标文件的实质性要求。</w:t>
      </w:r>
      <w:bookmarkStart w:id="120" w:name="_Toc2952"/>
    </w:p>
    <w:p>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对未通过符合性审查的投标人，由评标委员会现场告知未通过符合性审查的投标人未通过的原因（投标人在评标现场或能及时赶到评标现场的应书面形式通知并签字确认；投标人未在评标现场或不能及时赶到评标现场的应以电话通知，并做相应记录）。</w:t>
      </w:r>
      <w:bookmarkEnd w:id="120"/>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26.5对于投标文件中含义不明确、同类问题表述不一致、有明显文字和计算错误或属于投标人疏忽、笔误所造成差错的内容，评标委员会应当以书面形式要求投标人作出必要的澄清、说明或者补正。</w:t>
      </w:r>
    </w:p>
    <w:p>
      <w:pPr>
        <w:tabs>
          <w:tab w:val="left" w:pos="1140"/>
        </w:tabs>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投标人的澄清、说明或者补正应当采用书面形式，并加盖公章</w:t>
      </w:r>
      <w:r>
        <w:rPr>
          <w:rFonts w:hint="eastAsia" w:ascii="宋体" w:hAnsi="宋体" w:cs="宋体"/>
          <w:bCs/>
          <w:color w:val="000000" w:themeColor="text1"/>
          <w:sz w:val="24"/>
          <w14:textFill>
            <w14:solidFill>
              <w14:schemeClr w14:val="tx1"/>
            </w14:solidFill>
          </w14:textFill>
        </w:rPr>
        <w:t>(CA签章)</w:t>
      </w:r>
      <w:r>
        <w:rPr>
          <w:rFonts w:hint="eastAsia" w:ascii="宋体" w:hAnsi="宋体" w:cs="宋体"/>
          <w:color w:val="000000" w:themeColor="text1"/>
          <w:sz w:val="24"/>
          <w14:textFill>
            <w14:solidFill>
              <w14:schemeClr w14:val="tx1"/>
            </w14:solidFill>
          </w14:textFill>
        </w:rPr>
        <w:t>，或者由法定代表人或其授权的代表签字（或个人CA签章）。投标人的澄清、说明或者补正不得超出投标文件的范围或者改变投标文件的实质性内容。</w:t>
      </w:r>
    </w:p>
    <w:p>
      <w:pPr>
        <w:spacing w:line="440" w:lineRule="exact"/>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26.6评标委员会应当按照招标文件中规定的评标方法和标准，对符合性审查合格的投标文件进行商务和技术评估，综合比较与评价。</w:t>
      </w:r>
    </w:p>
    <w:p>
      <w:pPr>
        <w:spacing w:line="440" w:lineRule="exact"/>
        <w:ind w:firstLine="472" w:firstLineChars="196"/>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26.7投标文件报价出现前后不一致的，除招标文件另有规定外，按照下列规定修正：</w:t>
      </w:r>
    </w:p>
    <w:p>
      <w:pPr>
        <w:spacing w:line="440" w:lineRule="exact"/>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（1）投标文件中投标报价表内容与投标文件中相应内容不一致的，以投标报价表为准；</w:t>
      </w:r>
    </w:p>
    <w:p>
      <w:pPr>
        <w:spacing w:line="440" w:lineRule="exact"/>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（2）大写金额和小写金额不一致的，以大写金额为准；</w:t>
      </w:r>
    </w:p>
    <w:p>
      <w:pPr>
        <w:spacing w:line="440" w:lineRule="exact"/>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（3）单价金额小数点或者百分比有明显错位的，以报价表的总价为准，并修改单价；</w:t>
      </w:r>
    </w:p>
    <w:p>
      <w:pPr>
        <w:spacing w:line="440" w:lineRule="exact"/>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（4）总价金额与按单价汇总金额不一致的，以单价金额计算结果为准。</w:t>
      </w:r>
    </w:p>
    <w:p>
      <w:pPr>
        <w:spacing w:line="440" w:lineRule="exact"/>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同时出现两种以上不一致的，按照前款规定的顺序修正。修正后的报价（不得超出投标文件的范围或者改变投标文件的实质性内容）经投标人确认后产生约束力，投标人不确认的，其投标无效。</w:t>
      </w:r>
    </w:p>
    <w:p>
      <w:pPr>
        <w:spacing w:line="440" w:lineRule="exact"/>
        <w:ind w:firstLine="472" w:firstLineChars="196"/>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26.9评标委员会成员对需要共同认定的事项存在争议的，应当按照少数服从多数的原则作出结论。持不同意见的评标委员会成员应当在评标报告上签署不同意见及理由，否则视为同意评标报告。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26.10评标结果汇总完成后，除下列情形外，任何人不得修改评标结果：</w:t>
      </w:r>
    </w:p>
    <w:p>
      <w:pPr>
        <w:snapToGrid w:val="0"/>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（一）分值汇总计算错误的；</w:t>
      </w:r>
    </w:p>
    <w:p>
      <w:pPr>
        <w:snapToGrid w:val="0"/>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（二）分项评分超出评分标准范围的；</w:t>
      </w:r>
    </w:p>
    <w:p>
      <w:pPr>
        <w:snapToGrid w:val="0"/>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（三）评标委员会成员对客观评审因素评分不一致的；</w:t>
      </w:r>
    </w:p>
    <w:p>
      <w:pPr>
        <w:snapToGrid w:val="0"/>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（四）经评标委员会认定评分畸高、畸低的。</w:t>
      </w:r>
    </w:p>
    <w:p>
      <w:pPr>
        <w:snapToGrid w:val="0"/>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投标人对本条第一款情形提出质疑的，采购人或者采购代理机构可以组织原评标委员会进行重新评审，重新评审改变评标结果的，应当书面报告本级财政部门。</w:t>
      </w:r>
    </w:p>
    <w:p>
      <w:pPr>
        <w:spacing w:line="440" w:lineRule="exact"/>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26.11采购代理机构发现评标委员会有明显的违规倾向或歧视现象，或不按评标办法进行，或其他不正常行为的，应当及时制止。如制止无效，应及时向本级财政部门报告。</w:t>
      </w:r>
    </w:p>
    <w:p>
      <w:pPr>
        <w:spacing w:line="440" w:lineRule="exact"/>
        <w:ind w:firstLine="472" w:firstLineChars="196"/>
        <w:outlineLvl w:val="2"/>
        <w:rPr>
          <w:rFonts w:hint="eastAsia" w:ascii="宋体" w:hAnsi="宋体" w:cs="宋体"/>
          <w:b/>
          <w:color w:val="000000" w:themeColor="text1"/>
          <w:sz w:val="24"/>
          <w14:textFill>
            <w14:solidFill>
              <w14:schemeClr w14:val="tx1"/>
            </w14:solidFill>
          </w14:textFill>
        </w:rPr>
      </w:pPr>
      <w:bookmarkStart w:id="121" w:name="_Toc30450"/>
      <w:bookmarkStart w:id="122" w:name="_Toc25976"/>
      <w:r>
        <w:rPr>
          <w:rFonts w:hint="eastAsia" w:ascii="宋体" w:hAnsi="宋体" w:cs="宋体"/>
          <w:b/>
          <w:color w:val="000000" w:themeColor="text1"/>
          <w:sz w:val="24"/>
          <w14:textFill>
            <w14:solidFill>
              <w14:schemeClr w14:val="tx1"/>
            </w14:solidFill>
          </w14:textFill>
        </w:rPr>
        <w:t>27. 推荐及确定中标候选供应商原则</w:t>
      </w:r>
      <w:bookmarkEnd w:id="121"/>
      <w:bookmarkEnd w:id="122"/>
    </w:p>
    <w:p>
      <w:pPr>
        <w:tabs>
          <w:tab w:val="left" w:pos="4214"/>
        </w:tabs>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标委员会根据综合得分由高到低排列次序，若得分相同时，按评标价由低到高顺序排列；若得分且投标报价相同并列的，则依次按技术方案及实施方案、人员配备分由高到低的原则排列并推荐中标候选人。</w:t>
      </w:r>
    </w:p>
    <w:p>
      <w:pPr>
        <w:tabs>
          <w:tab w:val="left" w:pos="4214"/>
        </w:tabs>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（2）评标委员会可推荐前三名为中标候选供应商，采购人应当确定评标委员会推荐排名第一的中标候选供应商为中标供应商。</w:t>
      </w:r>
    </w:p>
    <w:p>
      <w:pPr>
        <w:spacing w:line="440" w:lineRule="exact"/>
        <w:ind w:firstLine="511" w:firstLineChars="213"/>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排名第一的中标候选供应商放弃中标、因不可抗力提出不能履行合同，或者招标文件规定应当提交履约保证金而在规定的期限内未能提交的，或因失信行为被取消中标候选供应商资格的，采购人可以确定排名第二的中标候选供应商为中标供应商，并依此类推。</w:t>
      </w:r>
    </w:p>
    <w:p>
      <w:pPr>
        <w:spacing w:line="440" w:lineRule="exact"/>
        <w:ind w:firstLine="472" w:firstLineChars="196"/>
        <w:outlineLvl w:val="2"/>
        <w:rPr>
          <w:rFonts w:hint="eastAsia" w:ascii="宋体" w:hAnsi="宋体" w:cs="宋体"/>
          <w:b/>
          <w:color w:val="000000" w:themeColor="text1"/>
          <w:sz w:val="24"/>
          <w14:textFill>
            <w14:solidFill>
              <w14:schemeClr w14:val="tx1"/>
            </w14:solidFill>
          </w14:textFill>
        </w:rPr>
      </w:pPr>
      <w:bookmarkStart w:id="123" w:name="_Toc17561"/>
      <w:bookmarkStart w:id="124" w:name="_Toc1836"/>
      <w:r>
        <w:rPr>
          <w:rFonts w:hint="eastAsia" w:ascii="宋体" w:hAnsi="宋体" w:cs="宋体"/>
          <w:b/>
          <w:color w:val="000000" w:themeColor="text1"/>
          <w:sz w:val="24"/>
          <w14:textFill>
            <w14:solidFill>
              <w14:schemeClr w14:val="tx1"/>
            </w14:solidFill>
          </w14:textFill>
        </w:rPr>
        <w:t>28. 属于下列情况之一者，投标无效</w:t>
      </w:r>
      <w:bookmarkEnd w:id="123"/>
      <w:bookmarkEnd w:id="124"/>
    </w:p>
    <w:p>
      <w:pPr>
        <w:snapToGrid w:val="0"/>
        <w:spacing w:line="440" w:lineRule="exact"/>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（1）未按照招标文件规定要求签字、盖章的；</w:t>
      </w:r>
    </w:p>
    <w:p>
      <w:pPr>
        <w:snapToGrid w:val="0"/>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（2）报价超过招标文件中规定的预算金额的；</w:t>
      </w:r>
    </w:p>
    <w:p>
      <w:pPr>
        <w:snapToGrid w:val="0"/>
        <w:spacing w:line="440" w:lineRule="exact"/>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（3）不具备招标文件中规定的资格要求的；</w:t>
      </w:r>
    </w:p>
    <w:p>
      <w:pPr>
        <w:snapToGrid w:val="0"/>
        <w:spacing w:line="440" w:lineRule="exact"/>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（4）投标文件含有采购人不能接受的附加条件的；</w:t>
      </w:r>
    </w:p>
    <w:p>
      <w:pPr>
        <w:snapToGrid w:val="0"/>
        <w:spacing w:line="440" w:lineRule="exact"/>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（5）投标文件未按招标文件的内容和要求编制，或提供虚假材料的；</w:t>
      </w:r>
    </w:p>
    <w:p>
      <w:pPr>
        <w:snapToGrid w:val="0"/>
        <w:spacing w:line="440" w:lineRule="exact"/>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（6）投标人未就“服务采购需求”中的所有内容作完整唯一报价的；</w:t>
      </w:r>
    </w:p>
    <w:p>
      <w:pPr>
        <w:snapToGrid w:val="0"/>
        <w:spacing w:line="440" w:lineRule="exact"/>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（7）未完全响应招标文件实质性要求的；</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（8）法律、法规和招标文件规定的其他无效情形。</w:t>
      </w:r>
    </w:p>
    <w:p>
      <w:pPr>
        <w:spacing w:line="440" w:lineRule="exact"/>
        <w:ind w:firstLine="472" w:firstLineChars="196"/>
        <w:outlineLvl w:val="2"/>
        <w:rPr>
          <w:rFonts w:hint="eastAsia" w:ascii="宋体" w:hAnsi="宋体" w:cs="宋体"/>
          <w:b/>
          <w:color w:val="000000" w:themeColor="text1"/>
          <w:sz w:val="24"/>
          <w14:textFill>
            <w14:solidFill>
              <w14:schemeClr w14:val="tx1"/>
            </w14:solidFill>
          </w14:textFill>
        </w:rPr>
      </w:pPr>
      <w:bookmarkStart w:id="125" w:name="_Toc15081"/>
      <w:bookmarkStart w:id="126" w:name="_Toc13785"/>
      <w:r>
        <w:rPr>
          <w:rFonts w:hint="eastAsia" w:ascii="宋体" w:hAnsi="宋体" w:cs="宋体"/>
          <w:b/>
          <w:color w:val="000000" w:themeColor="text1"/>
          <w:sz w:val="24"/>
          <w14:textFill>
            <w14:solidFill>
              <w14:schemeClr w14:val="tx1"/>
            </w14:solidFill>
          </w14:textFill>
        </w:rPr>
        <w:t>29. 投标人有下列情形之一的，视为串通投标，投标文件将被视为无效</w:t>
      </w:r>
      <w:bookmarkEnd w:id="125"/>
      <w:bookmarkEnd w:id="126"/>
    </w:p>
    <w:p>
      <w:pPr>
        <w:snapToGrid w:val="0"/>
        <w:spacing w:line="440" w:lineRule="exact"/>
        <w:ind w:left="355" w:leftChars="169" w:firstLine="117" w:firstLineChars="4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（1）不同投标人的投标文件由同一单位或者个人编制；</w:t>
      </w:r>
    </w:p>
    <w:p>
      <w:pPr>
        <w:snapToGrid w:val="0"/>
        <w:spacing w:line="440" w:lineRule="exact"/>
        <w:ind w:left="355" w:leftChars="169" w:firstLine="117" w:firstLineChars="4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（2）不同投标人委托同一单位或者个人办理投标事宜；</w:t>
      </w:r>
    </w:p>
    <w:p>
      <w:pPr>
        <w:snapToGrid w:val="0"/>
        <w:spacing w:line="440" w:lineRule="exact"/>
        <w:ind w:left="355" w:leftChars="169" w:firstLine="117" w:firstLineChars="4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（3）不同的投标人的投标文件载明的项目管理员或者联系人员为同一个人；</w:t>
      </w:r>
    </w:p>
    <w:p>
      <w:pPr>
        <w:snapToGrid w:val="0"/>
        <w:spacing w:line="440" w:lineRule="exact"/>
        <w:ind w:left="355" w:leftChars="169" w:firstLine="117" w:firstLineChars="4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（4）不同投标人的投标文件异常一致或投标报价呈规律性差异； </w:t>
      </w:r>
    </w:p>
    <w:p>
      <w:pPr>
        <w:snapToGrid w:val="0"/>
        <w:spacing w:line="440" w:lineRule="exact"/>
        <w:ind w:left="355" w:leftChars="169" w:firstLine="117" w:firstLineChars="4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（5）不同投标人的投标文件相互混装；</w:t>
      </w:r>
    </w:p>
    <w:p>
      <w:pPr>
        <w:spacing w:line="440" w:lineRule="exact"/>
        <w:ind w:firstLine="472" w:firstLineChars="196"/>
        <w:outlineLvl w:val="2"/>
        <w:rPr>
          <w:rFonts w:hint="eastAsia" w:ascii="宋体" w:hAnsi="宋体" w:cs="宋体"/>
          <w:b/>
          <w:color w:val="000000" w:themeColor="text1"/>
          <w:sz w:val="24"/>
          <w14:textFill>
            <w14:solidFill>
              <w14:schemeClr w14:val="tx1"/>
            </w14:solidFill>
          </w14:textFill>
        </w:rPr>
      </w:pPr>
      <w:bookmarkStart w:id="127" w:name="_Toc18148"/>
      <w:bookmarkStart w:id="128" w:name="_Toc4576"/>
      <w:r>
        <w:rPr>
          <w:rFonts w:hint="eastAsia" w:ascii="宋体" w:hAnsi="宋体" w:cs="宋体"/>
          <w:b/>
          <w:color w:val="000000" w:themeColor="text1"/>
          <w:sz w:val="24"/>
          <w14:textFill>
            <w14:solidFill>
              <w14:schemeClr w14:val="tx1"/>
            </w14:solidFill>
          </w14:textFill>
        </w:rPr>
        <w:t>30. 属于下列情形之一的，应予废标</w:t>
      </w:r>
      <w:bookmarkEnd w:id="127"/>
      <w:bookmarkEnd w:id="128"/>
    </w:p>
    <w:p>
      <w:pPr>
        <w:tabs>
          <w:tab w:val="left" w:pos="840"/>
        </w:tabs>
        <w:snapToGrid w:val="0"/>
        <w:spacing w:line="440" w:lineRule="exact"/>
        <w:ind w:left="330" w:leftChars="157" w:firstLine="117" w:firstLineChars="4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（1）符合专业条件的供应商或者对招标文件作实质响应的供应商不足3家的；</w:t>
      </w:r>
    </w:p>
    <w:p>
      <w:pPr>
        <w:tabs>
          <w:tab w:val="left" w:pos="840"/>
        </w:tabs>
        <w:snapToGrid w:val="0"/>
        <w:spacing w:line="440" w:lineRule="exact"/>
        <w:ind w:left="330" w:leftChars="157" w:firstLine="120" w:firstLineChars="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（2）出现影响采购公正的违法、违规行为的；</w:t>
      </w:r>
    </w:p>
    <w:p>
      <w:pPr>
        <w:tabs>
          <w:tab w:val="left" w:pos="840"/>
        </w:tabs>
        <w:snapToGrid w:val="0"/>
        <w:spacing w:line="440" w:lineRule="exact"/>
        <w:ind w:left="330" w:leftChars="157" w:firstLine="120" w:firstLineChars="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（3）采购文件内容违反国家有关强制性规定的；</w:t>
      </w:r>
    </w:p>
    <w:p>
      <w:pPr>
        <w:tabs>
          <w:tab w:val="left" w:pos="840"/>
        </w:tabs>
        <w:snapToGrid w:val="0"/>
        <w:spacing w:line="440" w:lineRule="exact"/>
        <w:ind w:left="330" w:leftChars="157" w:firstLine="120" w:firstLineChars="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（4）因重大变故，采购任务取消的。</w:t>
      </w:r>
    </w:p>
    <w:p>
      <w:pPr>
        <w:spacing w:line="440" w:lineRule="exact"/>
        <w:ind w:firstLine="472" w:firstLineChars="196"/>
        <w:outlineLvl w:val="2"/>
        <w:rPr>
          <w:rFonts w:hint="eastAsia" w:ascii="宋体" w:hAnsi="宋体" w:cs="宋体"/>
          <w:b/>
          <w:color w:val="000000" w:themeColor="text1"/>
          <w:sz w:val="24"/>
          <w14:textFill>
            <w14:solidFill>
              <w14:schemeClr w14:val="tx1"/>
            </w14:solidFill>
          </w14:textFill>
        </w:rPr>
      </w:pPr>
      <w:bookmarkStart w:id="129" w:name="_Toc28686"/>
      <w:bookmarkStart w:id="130" w:name="_Toc7016"/>
      <w:r>
        <w:rPr>
          <w:rFonts w:hint="eastAsia" w:ascii="宋体" w:hAnsi="宋体" w:cs="宋体"/>
          <w:b/>
          <w:color w:val="000000" w:themeColor="text1"/>
          <w:sz w:val="24"/>
          <w14:textFill>
            <w14:solidFill>
              <w14:schemeClr w14:val="tx1"/>
            </w14:solidFill>
          </w14:textFill>
        </w:rPr>
        <w:t>31. 开标、评标过程的监控</w:t>
      </w:r>
      <w:bookmarkEnd w:id="129"/>
      <w:bookmarkEnd w:id="130"/>
    </w:p>
    <w:p>
      <w:pPr>
        <w:spacing w:line="440" w:lineRule="exact"/>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本项目开标、评标过程实行全程录音、录像监控，投标人在评标过程中所进行的试图影响评标结果的不公正活动，可能导致其投标被拒绝。</w:t>
      </w:r>
    </w:p>
    <w:p>
      <w:pPr>
        <w:spacing w:line="440" w:lineRule="exact"/>
        <w:ind w:firstLine="472" w:firstLineChars="196"/>
        <w:outlineLvl w:val="2"/>
        <w:rPr>
          <w:rFonts w:hint="eastAsia" w:ascii="宋体" w:hAnsi="宋体" w:cs="宋体"/>
          <w:b/>
          <w:color w:val="000000" w:themeColor="text1"/>
          <w:sz w:val="24"/>
          <w14:textFill>
            <w14:solidFill>
              <w14:schemeClr w14:val="tx1"/>
            </w14:solidFill>
          </w14:textFill>
        </w:rPr>
      </w:pPr>
      <w:bookmarkStart w:id="131" w:name="_Toc1321"/>
      <w:bookmarkStart w:id="132" w:name="_Toc24362"/>
      <w:r>
        <w:rPr>
          <w:rFonts w:hint="eastAsia" w:ascii="宋体" w:hAnsi="宋体" w:cs="宋体"/>
          <w:b/>
          <w:color w:val="000000" w:themeColor="text1"/>
          <w:sz w:val="24"/>
          <w14:textFill>
            <w14:solidFill>
              <w14:schemeClr w14:val="tx1"/>
            </w14:solidFill>
          </w14:textFill>
        </w:rPr>
        <w:t>32. 信用查询</w:t>
      </w:r>
      <w:bookmarkEnd w:id="131"/>
      <w:bookmarkEnd w:id="132"/>
    </w:p>
    <w:p>
      <w:pPr>
        <w:spacing w:line="440" w:lineRule="exact"/>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根据《关于做好政府采购有关信用主体标识码登记及在政府采购活动中查询使用信用记录有关问题的通知》桂财采〔2016〕37号，中标通知书发出前，由采购代理机构对第一中标候选供应商进行信用查询：</w:t>
      </w:r>
    </w:p>
    <w:p>
      <w:pPr>
        <w:spacing w:line="440" w:lineRule="exact"/>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⑴查询渠道：“信用中国”网站(www.creditchina.gov.cn)、中国政府采购网(www.ccgp.gov.cn)等；</w:t>
      </w:r>
    </w:p>
    <w:p>
      <w:pPr>
        <w:spacing w:line="440" w:lineRule="exact"/>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⑵查询时间：中标通知书发出前；</w:t>
      </w:r>
    </w:p>
    <w:p>
      <w:pPr>
        <w:spacing w:line="440" w:lineRule="exact"/>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⑶信用信息查询记录和证据留存方式：在查询网站中直接打印查询记录，打印材料作为采购活动资料保存；</w:t>
      </w:r>
    </w:p>
    <w:p>
      <w:pPr>
        <w:spacing w:line="440" w:lineRule="exact"/>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440" w:lineRule="exact"/>
        <w:ind w:firstLine="472" w:firstLineChars="196"/>
        <w:outlineLvl w:val="2"/>
        <w:rPr>
          <w:rFonts w:hint="eastAsia" w:ascii="宋体" w:hAnsi="宋体" w:cs="宋体"/>
          <w:b/>
          <w:color w:val="000000" w:themeColor="text1"/>
          <w:sz w:val="24"/>
          <w14:textFill>
            <w14:solidFill>
              <w14:schemeClr w14:val="tx1"/>
            </w14:solidFill>
          </w14:textFill>
        </w:rPr>
      </w:pPr>
      <w:bookmarkStart w:id="133" w:name="_Toc27712"/>
      <w:bookmarkStart w:id="134" w:name="_Toc1862"/>
      <w:r>
        <w:rPr>
          <w:rFonts w:hint="eastAsia" w:ascii="宋体" w:hAnsi="宋体" w:cs="宋体"/>
          <w:b/>
          <w:color w:val="000000" w:themeColor="text1"/>
          <w:sz w:val="24"/>
          <w14:textFill>
            <w14:solidFill>
              <w14:schemeClr w14:val="tx1"/>
            </w14:solidFill>
          </w14:textFill>
        </w:rPr>
        <w:t>33. 中标公告及中标通知书</w:t>
      </w:r>
      <w:bookmarkEnd w:id="133"/>
      <w:bookmarkEnd w:id="134"/>
    </w:p>
    <w:p>
      <w:pPr>
        <w:tabs>
          <w:tab w:val="left" w:pos="455"/>
        </w:tabs>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33.2中标公告发布的同时，采购代理机构向中标供应商发出中标通知书。</w:t>
      </w:r>
      <w:bookmarkStart w:id="135" w:name="_Toc495841760"/>
      <w:bookmarkStart w:id="136" w:name="_Toc31543"/>
    </w:p>
    <w:p>
      <w:pPr>
        <w:spacing w:line="440" w:lineRule="exact"/>
        <w:jc w:val="center"/>
        <w:outlineLvl w:val="1"/>
        <w:rPr>
          <w:rFonts w:hint="eastAsia" w:ascii="宋体" w:hAnsi="宋体" w:cs="宋体"/>
          <w:b/>
          <w:color w:val="000000" w:themeColor="text1"/>
          <w:sz w:val="28"/>
          <w:szCs w:val="28"/>
          <w14:textFill>
            <w14:solidFill>
              <w14:schemeClr w14:val="tx1"/>
            </w14:solidFill>
          </w14:textFill>
        </w:rPr>
      </w:pPr>
      <w:bookmarkStart w:id="137" w:name="_Toc14207"/>
      <w:r>
        <w:rPr>
          <w:rFonts w:hint="eastAsia" w:ascii="宋体" w:hAnsi="宋体" w:cs="宋体"/>
          <w:b/>
          <w:color w:val="000000" w:themeColor="text1"/>
          <w:sz w:val="28"/>
          <w:szCs w:val="28"/>
          <w14:textFill>
            <w14:solidFill>
              <w14:schemeClr w14:val="tx1"/>
            </w14:solidFill>
          </w14:textFill>
        </w:rPr>
        <w:t>七、履约保证金及签订合同</w:t>
      </w:r>
      <w:bookmarkEnd w:id="135"/>
      <w:bookmarkEnd w:id="136"/>
      <w:bookmarkEnd w:id="137"/>
    </w:p>
    <w:p>
      <w:pPr>
        <w:spacing w:line="440" w:lineRule="exact"/>
        <w:ind w:firstLine="472" w:firstLineChars="196"/>
        <w:outlineLvl w:val="2"/>
        <w:rPr>
          <w:rFonts w:hint="eastAsia" w:ascii="宋体" w:hAnsi="宋体" w:cs="宋体"/>
          <w:b/>
          <w:color w:val="000000" w:themeColor="text1"/>
          <w:sz w:val="24"/>
          <w14:textFill>
            <w14:solidFill>
              <w14:schemeClr w14:val="tx1"/>
            </w14:solidFill>
          </w14:textFill>
        </w:rPr>
      </w:pPr>
      <w:bookmarkStart w:id="138" w:name="_Toc6994"/>
      <w:bookmarkStart w:id="139" w:name="_Toc25883"/>
      <w:r>
        <w:rPr>
          <w:rFonts w:hint="eastAsia" w:ascii="宋体" w:hAnsi="宋体" w:cs="宋体"/>
          <w:b/>
          <w:color w:val="000000" w:themeColor="text1"/>
          <w:sz w:val="24"/>
          <w14:textFill>
            <w14:solidFill>
              <w14:schemeClr w14:val="tx1"/>
            </w14:solidFill>
          </w14:textFill>
        </w:rPr>
        <w:t>34. 履约保证金</w:t>
      </w:r>
      <w:bookmarkEnd w:id="138"/>
      <w:bookmarkEnd w:id="139"/>
    </w:p>
    <w:p>
      <w:pPr>
        <w:spacing w:line="440" w:lineRule="exact"/>
        <w:ind w:left="2" w:leftChars="1" w:firstLine="482" w:firstLineChars="200"/>
        <w:rPr>
          <w:rFonts w:hint="eastAsia" w:ascii="宋体" w:hAnsi="宋体" w:cs="宋体"/>
          <w:color w:val="000000" w:themeColor="text1"/>
          <w:sz w:val="24"/>
          <w14:textFill>
            <w14:solidFill>
              <w14:schemeClr w14:val="tx1"/>
            </w14:solidFill>
          </w14:textFill>
        </w:rPr>
      </w:pPr>
      <w:bookmarkStart w:id="140" w:name="_Toc18160"/>
      <w:bookmarkStart w:id="141" w:name="_Toc14751"/>
      <w:r>
        <w:rPr>
          <w:rFonts w:hint="eastAsia" w:ascii="宋体" w:hAnsi="宋体" w:cs="宋体"/>
          <w:b/>
          <w:bCs/>
          <w:color w:val="000000" w:themeColor="text1"/>
          <w:sz w:val="24"/>
          <w14:textFill>
            <w14:solidFill>
              <w14:schemeClr w14:val="tx1"/>
            </w14:solidFill>
          </w14:textFill>
        </w:rPr>
        <w:t>34.1</w:t>
      </w:r>
      <w:r>
        <w:rPr>
          <w:rFonts w:hint="eastAsia" w:ascii="宋体" w:hAnsi="宋体" w:cs="宋体"/>
          <w:color w:val="000000" w:themeColor="text1"/>
          <w:sz w:val="24"/>
          <w14:textFill>
            <w14:solidFill>
              <w14:schemeClr w14:val="tx1"/>
            </w14:solidFill>
          </w14:textFill>
        </w:rPr>
        <w:t>履约保证金金额按中标价的5%（人民币，四舍五入到元）提供，由中标供应商在签订合同前将履约保证金以转账、电汇等非现金形式转入采购人履约保证金账户，或出具保函、保险等相关证明材料。</w:t>
      </w:r>
    </w:p>
    <w:p>
      <w:pPr>
        <w:spacing w:line="440" w:lineRule="exact"/>
        <w:ind w:left="2" w:leftChars="1"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val="0"/>
          <w:bCs w:val="0"/>
          <w:color w:val="000000" w:themeColor="text1"/>
          <w:sz w:val="24"/>
          <w:szCs w:val="24"/>
          <w14:textFill>
            <w14:solidFill>
              <w14:schemeClr w14:val="tx1"/>
            </w14:solidFill>
          </w14:textFill>
        </w:rPr>
        <w:t>注：根据《广西壮族自治区人民政府办公厅关于印发广西保障中小企业款项支付工作方案的通知》要求，降低小微企业参与政府采购费用，对小微企业免于收取履约保证金。</w:t>
      </w:r>
    </w:p>
    <w:p>
      <w:pPr>
        <w:spacing w:line="440" w:lineRule="exact"/>
        <w:ind w:firstLine="472" w:firstLineChars="196"/>
        <w:outlineLvl w:val="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35. 签订合同</w:t>
      </w:r>
      <w:bookmarkEnd w:id="140"/>
      <w:bookmarkEnd w:id="141"/>
    </w:p>
    <w:p>
      <w:pPr>
        <w:spacing w:line="440" w:lineRule="exact"/>
        <w:ind w:left="2" w:leftChars="1"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35.1签订合同时间：中标通知书发出之日起二十五内。中标供应商领取中标通知书后，应按规定与采购人签订合同。</w:t>
      </w:r>
    </w:p>
    <w:p>
      <w:pPr>
        <w:spacing w:line="440" w:lineRule="exact"/>
        <w:ind w:left="2" w:leftChars="1"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35.2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spacing w:line="440" w:lineRule="exact"/>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（1）中标后不与采购人签订合同的（不可抗力除外）；</w:t>
      </w:r>
    </w:p>
    <w:p>
      <w:pPr>
        <w:spacing w:line="440" w:lineRule="exact"/>
        <w:ind w:left="2" w:leftChars="1"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（2）将中标项目转让给他人，或者在投标文件中未说明，且未经采购人同意，将中标项目分包给他人的；</w:t>
      </w:r>
    </w:p>
    <w:p>
      <w:pPr>
        <w:spacing w:line="440" w:lineRule="exact"/>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（3）拒绝履行合同义务的。</w:t>
      </w:r>
    </w:p>
    <w:p>
      <w:pPr>
        <w:spacing w:line="400" w:lineRule="exact"/>
        <w:ind w:left="2" w:leftChars="1"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35.3合同备案存档：政府采购合同双方自签订之日起1个工作日内将合同原件两份交采购代理机构。采购代理机构将政府采购合同在省级以上人民政府财政部门指定媒体上公告。</w:t>
      </w:r>
    </w:p>
    <w:p>
      <w:pPr>
        <w:pStyle w:val="2"/>
        <w:rPr>
          <w:rFonts w:hint="eastAsia"/>
        </w:rPr>
      </w:pPr>
    </w:p>
    <w:p>
      <w:pPr>
        <w:spacing w:line="400" w:lineRule="exact"/>
        <w:jc w:val="center"/>
        <w:outlineLvl w:val="1"/>
        <w:rPr>
          <w:rFonts w:hint="eastAsia" w:ascii="宋体" w:hAnsi="宋体" w:cs="宋体"/>
          <w:b/>
          <w:color w:val="000000" w:themeColor="text1"/>
          <w:sz w:val="28"/>
          <w:szCs w:val="28"/>
          <w14:textFill>
            <w14:solidFill>
              <w14:schemeClr w14:val="tx1"/>
            </w14:solidFill>
          </w14:textFill>
        </w:rPr>
      </w:pPr>
      <w:bookmarkStart w:id="142" w:name="_Toc1909"/>
      <w:bookmarkStart w:id="143" w:name="_Toc495841761"/>
      <w:bookmarkStart w:id="144" w:name="_Toc7038"/>
      <w:r>
        <w:rPr>
          <w:rFonts w:hint="eastAsia" w:ascii="宋体" w:hAnsi="宋体" w:cs="宋体"/>
          <w:b/>
          <w:color w:val="000000" w:themeColor="text1"/>
          <w:sz w:val="28"/>
          <w:szCs w:val="28"/>
          <w14:textFill>
            <w14:solidFill>
              <w14:schemeClr w14:val="tx1"/>
            </w14:solidFill>
          </w14:textFill>
        </w:rPr>
        <w:t>八、其他事项</w:t>
      </w:r>
      <w:bookmarkEnd w:id="142"/>
      <w:bookmarkEnd w:id="143"/>
      <w:bookmarkEnd w:id="144"/>
    </w:p>
    <w:p>
      <w:pPr>
        <w:spacing w:line="400" w:lineRule="exact"/>
        <w:ind w:firstLine="472" w:firstLineChars="196"/>
        <w:outlineLvl w:val="2"/>
        <w:rPr>
          <w:rFonts w:hint="eastAsia" w:ascii="宋体" w:hAnsi="宋体" w:cs="宋体"/>
          <w:b/>
          <w:color w:val="000000" w:themeColor="text1"/>
          <w:sz w:val="24"/>
          <w14:textFill>
            <w14:solidFill>
              <w14:schemeClr w14:val="tx1"/>
            </w14:solidFill>
          </w14:textFill>
        </w:rPr>
      </w:pPr>
      <w:bookmarkStart w:id="145" w:name="_Toc5655"/>
      <w:bookmarkStart w:id="146" w:name="_Toc12623"/>
      <w:bookmarkStart w:id="147" w:name="_Toc19503"/>
      <w:bookmarkStart w:id="148" w:name="_Toc2437"/>
      <w:bookmarkStart w:id="149" w:name="_Toc4309"/>
      <w:bookmarkStart w:id="150" w:name="_Toc32243"/>
      <w:r>
        <w:rPr>
          <w:rFonts w:hint="eastAsia" w:ascii="宋体" w:hAnsi="宋体" w:cs="宋体"/>
          <w:b/>
          <w:color w:val="000000" w:themeColor="text1"/>
          <w:sz w:val="24"/>
          <w14:textFill>
            <w14:solidFill>
              <w14:schemeClr w14:val="tx1"/>
            </w14:solidFill>
          </w14:textFill>
        </w:rPr>
        <w:t>36. 招标代理服务费</w:t>
      </w:r>
      <w:bookmarkEnd w:id="145"/>
      <w:bookmarkEnd w:id="146"/>
      <w:bookmarkEnd w:id="147"/>
      <w:bookmarkEnd w:id="148"/>
      <w:bookmarkEnd w:id="149"/>
    </w:p>
    <w:p>
      <w:pPr>
        <w:spacing w:line="400" w:lineRule="exact"/>
        <w:ind w:firstLine="480"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本项目采购代理服务费按“计价格[2002]1980号《招标代理服务收费管理暂行办法》”中“服务类”收费标准计算，由中标单位在领取中标通知书前，向采购代理机构一次性支付 。</w:t>
      </w:r>
    </w:p>
    <w:p>
      <w:pPr>
        <w:spacing w:line="400" w:lineRule="exact"/>
        <w:jc w:val="center"/>
        <w:rPr>
          <w:rFonts w:hint="eastAsia" w:ascii="宋体" w:hAnsi="宋体" w:cs="宋体"/>
          <w:b/>
          <w:bCs/>
          <w:color w:val="000000" w:themeColor="text1"/>
          <w:sz w:val="24"/>
          <w14:textFill>
            <w14:solidFill>
              <w14:schemeClr w14:val="tx1"/>
            </w14:solidFill>
          </w14:textFill>
        </w:rPr>
      </w:pPr>
      <w:bookmarkStart w:id="151" w:name="_Toc28797"/>
      <w:r>
        <w:rPr>
          <w:rFonts w:hint="eastAsia" w:ascii="宋体" w:hAnsi="宋体" w:cs="宋体"/>
          <w:b/>
          <w:bCs/>
          <w:color w:val="000000" w:themeColor="text1"/>
          <w:sz w:val="24"/>
          <w14:textFill>
            <w14:solidFill>
              <w14:schemeClr w14:val="tx1"/>
            </w14:solidFill>
          </w14:textFill>
        </w:rPr>
        <w:t>招标代理服务收费标准</w:t>
      </w:r>
    </w:p>
    <w:tbl>
      <w:tblPr>
        <w:tblStyle w:val="33"/>
        <w:tblW w:w="9883"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2"/>
        <w:gridCol w:w="2109"/>
        <w:gridCol w:w="2091"/>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592" w:type="dxa"/>
          </w:tcPr>
          <w:p>
            <w:pPr>
              <w:pStyle w:val="20"/>
              <w:spacing w:line="400" w:lineRule="exact"/>
              <w:ind w:left="25"/>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266700</wp:posOffset>
                      </wp:positionH>
                      <wp:positionV relativeFrom="paragraph">
                        <wp:posOffset>-635</wp:posOffset>
                      </wp:positionV>
                      <wp:extent cx="1910715" cy="524510"/>
                      <wp:effectExtent l="1270" t="4445" r="12065" b="4445"/>
                      <wp:wrapNone/>
                      <wp:docPr id="2" name="Line 109"/>
                      <wp:cNvGraphicFramePr/>
                      <a:graphic xmlns:a="http://schemas.openxmlformats.org/drawingml/2006/main">
                        <a:graphicData uri="http://schemas.microsoft.com/office/word/2010/wordprocessingShape">
                          <wps:wsp>
                            <wps:cNvCnPr/>
                            <wps:spPr>
                              <a:xfrm>
                                <a:off x="0" y="0"/>
                                <a:ext cx="1910715" cy="5245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Line 109" o:spid="_x0000_s1026" o:spt="32" type="#_x0000_t32" style="position:absolute;left:0pt;margin-left:21pt;margin-top:-0.05pt;height:41.3pt;width:150.45pt;z-index:251660288;mso-width-relative:page;mso-height-relative:page;" filled="f" stroked="t" coordsize="21600,21600" o:gfxdata="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AqIGfXAAAABwEA&#10;AA8AAAAAAAAAAQAgAAAAIgAAAGRycy9kb3ducmV2LnhtbFBLAQIUABQAAAAIAIdO4kBvK0sz4gEA&#10;AOIDAAAOAAAAAAAAAAEAIAAAACYBAABkcnMvZTJvRG9jLnhtbFBLBQYAAAAABgAGAFkBAAB6BQAA&#10;AAA=&#10;">
                      <v:fill on="f" focussize="0,0"/>
                      <v:stroke color="#000000" joinstyle="round"/>
                      <v:imagedata o:title=""/>
                      <o:lock v:ext="edit" aspectratio="f"/>
                    </v:shape>
                  </w:pict>
                </mc:Fallback>
              </mc:AlternateContent>
            </w:r>
            <w:r>
              <w:rPr>
                <w:rFonts w:hint="eastAsia" w:hAnsi="宋体" w:cs="宋体"/>
                <w:color w:val="000000" w:themeColor="text1"/>
                <w:sz w:val="24"/>
                <w:szCs w:val="24"/>
                <w14:textFill>
                  <w14:solidFill>
                    <w14:schemeClr w14:val="tx1"/>
                  </w14:solidFill>
                </w14:textFill>
              </w:rPr>
              <w:t>费率         服务类型</w:t>
            </w:r>
          </w:p>
          <w:p>
            <w:pPr>
              <w:pStyle w:val="20"/>
              <w:spacing w:line="400" w:lineRule="exact"/>
              <w:ind w:left="25"/>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-44450</wp:posOffset>
                      </wp:positionH>
                      <wp:positionV relativeFrom="paragraph">
                        <wp:posOffset>16510</wp:posOffset>
                      </wp:positionV>
                      <wp:extent cx="2190115" cy="187960"/>
                      <wp:effectExtent l="635" t="4445" r="0" b="17145"/>
                      <wp:wrapNone/>
                      <wp:docPr id="3" name="Line 110"/>
                      <wp:cNvGraphicFramePr/>
                      <a:graphic xmlns:a="http://schemas.openxmlformats.org/drawingml/2006/main">
                        <a:graphicData uri="http://schemas.microsoft.com/office/word/2010/wordprocessingShape">
                          <wps:wsp>
                            <wps:cNvCnPr/>
                            <wps:spPr>
                              <a:xfrm>
                                <a:off x="0" y="0"/>
                                <a:ext cx="2190115" cy="1879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Line 110" o:spid="_x0000_s1026" o:spt="32" type="#_x0000_t32" style="position:absolute;left:0pt;margin-left:-3.5pt;margin-top:1.3pt;height:14.8pt;width:172.45pt;z-index:251661312;mso-width-relative:page;mso-height-relative:page;" filled="f" stroked="t" coordsize="21600,21600" o:gfxdata="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CS2lTXAAAABwEA&#10;AA8AAAAAAAAAAQAgAAAAIgAAAGRycy9kb3ducmV2LnhtbFBLAQIUABQAAAAIAIdO4kBOcHeD4gEA&#10;AOIDAAAOAAAAAAAAAAEAIAAAACYBAABkcnMvZTJvRG9jLnhtbFBLBQYAAAAABgAGAFkBAAB6BQAA&#10;AAA=&#10;">
                      <v:fill on="f" focussize="0,0"/>
                      <v:stroke color="#000000" joinstyle="round"/>
                      <v:imagedata o:title=""/>
                      <o:lock v:ext="edit" aspectratio="f"/>
                    </v:shape>
                  </w:pict>
                </mc:Fallback>
              </mc:AlternateContent>
            </w:r>
          </w:p>
          <w:p>
            <w:pPr>
              <w:pStyle w:val="20"/>
              <w:spacing w:line="400" w:lineRule="exact"/>
              <w:ind w:left="25"/>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中标金额（万元）</w:t>
            </w:r>
          </w:p>
        </w:tc>
        <w:tc>
          <w:tcPr>
            <w:tcW w:w="2109" w:type="dxa"/>
            <w:vAlign w:val="center"/>
          </w:tcPr>
          <w:p>
            <w:pPr>
              <w:pStyle w:val="20"/>
              <w:spacing w:line="400" w:lineRule="exact"/>
              <w:ind w:left="25"/>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货物招标</w:t>
            </w:r>
          </w:p>
        </w:tc>
        <w:tc>
          <w:tcPr>
            <w:tcW w:w="2091" w:type="dxa"/>
            <w:vAlign w:val="center"/>
          </w:tcPr>
          <w:p>
            <w:pPr>
              <w:pStyle w:val="20"/>
              <w:spacing w:line="400" w:lineRule="exact"/>
              <w:ind w:left="25"/>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服务招标</w:t>
            </w:r>
          </w:p>
        </w:tc>
        <w:tc>
          <w:tcPr>
            <w:tcW w:w="2091" w:type="dxa"/>
            <w:vAlign w:val="center"/>
          </w:tcPr>
          <w:p>
            <w:pPr>
              <w:pStyle w:val="20"/>
              <w:spacing w:line="400" w:lineRule="exact"/>
              <w:ind w:left="25"/>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3592" w:type="dxa"/>
          </w:tcPr>
          <w:p>
            <w:pPr>
              <w:pStyle w:val="20"/>
              <w:spacing w:line="400" w:lineRule="exact"/>
              <w:ind w:left="25"/>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100以下</w:t>
            </w:r>
          </w:p>
        </w:tc>
        <w:tc>
          <w:tcPr>
            <w:tcW w:w="2109" w:type="dxa"/>
          </w:tcPr>
          <w:p>
            <w:pPr>
              <w:pStyle w:val="20"/>
              <w:spacing w:line="400" w:lineRule="exact"/>
              <w:ind w:left="25"/>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w:t>
            </w:r>
          </w:p>
        </w:tc>
        <w:tc>
          <w:tcPr>
            <w:tcW w:w="2091" w:type="dxa"/>
          </w:tcPr>
          <w:p>
            <w:pPr>
              <w:pStyle w:val="20"/>
              <w:spacing w:line="400" w:lineRule="exact"/>
              <w:ind w:left="25"/>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w:t>
            </w:r>
          </w:p>
        </w:tc>
        <w:tc>
          <w:tcPr>
            <w:tcW w:w="2091" w:type="dxa"/>
          </w:tcPr>
          <w:p>
            <w:pPr>
              <w:pStyle w:val="20"/>
              <w:spacing w:line="400" w:lineRule="exact"/>
              <w:ind w:left="25"/>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3592" w:type="dxa"/>
          </w:tcPr>
          <w:p>
            <w:pPr>
              <w:pStyle w:val="20"/>
              <w:spacing w:line="400" w:lineRule="exact"/>
              <w:ind w:left="25"/>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100-500</w:t>
            </w:r>
          </w:p>
        </w:tc>
        <w:tc>
          <w:tcPr>
            <w:tcW w:w="2109" w:type="dxa"/>
          </w:tcPr>
          <w:p>
            <w:pPr>
              <w:pStyle w:val="20"/>
              <w:spacing w:line="400" w:lineRule="exact"/>
              <w:ind w:left="25"/>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w:t>
            </w:r>
          </w:p>
        </w:tc>
        <w:tc>
          <w:tcPr>
            <w:tcW w:w="2091" w:type="dxa"/>
          </w:tcPr>
          <w:p>
            <w:pPr>
              <w:pStyle w:val="20"/>
              <w:spacing w:line="400" w:lineRule="exact"/>
              <w:ind w:left="25"/>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0.8%</w:t>
            </w:r>
          </w:p>
        </w:tc>
        <w:tc>
          <w:tcPr>
            <w:tcW w:w="2091" w:type="dxa"/>
          </w:tcPr>
          <w:p>
            <w:pPr>
              <w:pStyle w:val="20"/>
              <w:spacing w:line="400" w:lineRule="exact"/>
              <w:ind w:left="25"/>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592" w:type="dxa"/>
          </w:tcPr>
          <w:p>
            <w:pPr>
              <w:pStyle w:val="20"/>
              <w:spacing w:line="400" w:lineRule="exact"/>
              <w:ind w:left="25"/>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500-1000</w:t>
            </w:r>
          </w:p>
        </w:tc>
        <w:tc>
          <w:tcPr>
            <w:tcW w:w="2109" w:type="dxa"/>
          </w:tcPr>
          <w:p>
            <w:pPr>
              <w:pStyle w:val="20"/>
              <w:spacing w:line="400" w:lineRule="exact"/>
              <w:ind w:left="25"/>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0.8%</w:t>
            </w:r>
          </w:p>
        </w:tc>
        <w:tc>
          <w:tcPr>
            <w:tcW w:w="2091" w:type="dxa"/>
          </w:tcPr>
          <w:p>
            <w:pPr>
              <w:pStyle w:val="20"/>
              <w:spacing w:line="400" w:lineRule="exact"/>
              <w:ind w:left="25"/>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0.45%</w:t>
            </w:r>
          </w:p>
        </w:tc>
        <w:tc>
          <w:tcPr>
            <w:tcW w:w="2091" w:type="dxa"/>
          </w:tcPr>
          <w:p>
            <w:pPr>
              <w:pStyle w:val="20"/>
              <w:spacing w:line="400" w:lineRule="exact"/>
              <w:ind w:left="25"/>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592" w:type="dxa"/>
          </w:tcPr>
          <w:p>
            <w:pPr>
              <w:pStyle w:val="20"/>
              <w:spacing w:line="400" w:lineRule="exact"/>
              <w:ind w:left="25"/>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1000-5000</w:t>
            </w:r>
          </w:p>
        </w:tc>
        <w:tc>
          <w:tcPr>
            <w:tcW w:w="2109" w:type="dxa"/>
          </w:tcPr>
          <w:p>
            <w:pPr>
              <w:pStyle w:val="20"/>
              <w:spacing w:line="400" w:lineRule="exact"/>
              <w:ind w:left="25"/>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0.5%</w:t>
            </w:r>
          </w:p>
        </w:tc>
        <w:tc>
          <w:tcPr>
            <w:tcW w:w="2091" w:type="dxa"/>
          </w:tcPr>
          <w:p>
            <w:pPr>
              <w:pStyle w:val="20"/>
              <w:spacing w:line="400" w:lineRule="exact"/>
              <w:ind w:left="25"/>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0.25%</w:t>
            </w:r>
          </w:p>
        </w:tc>
        <w:tc>
          <w:tcPr>
            <w:tcW w:w="2091" w:type="dxa"/>
          </w:tcPr>
          <w:p>
            <w:pPr>
              <w:pStyle w:val="20"/>
              <w:spacing w:line="400" w:lineRule="exact"/>
              <w:ind w:left="25"/>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0.35%</w:t>
            </w:r>
          </w:p>
        </w:tc>
      </w:tr>
    </w:tbl>
    <w:p>
      <w:pPr>
        <w:pStyle w:val="20"/>
        <w:spacing w:line="400" w:lineRule="exact"/>
        <w:ind w:left="25"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注：招标代理服务收费按差额定率累进法计算。</w:t>
      </w:r>
    </w:p>
    <w:p>
      <w:pPr>
        <w:pStyle w:val="20"/>
        <w:snapToGrid w:val="0"/>
        <w:spacing w:line="400" w:lineRule="exact"/>
        <w:ind w:firstLine="482" w:firstLineChars="200"/>
        <w:rPr>
          <w:rFonts w:hint="eastAsia" w:hAnsi="宋体" w:cs="宋体"/>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36、</w:t>
      </w:r>
      <w:r>
        <w:rPr>
          <w:rFonts w:hint="eastAsia" w:hAnsi="宋体" w:cs="宋体"/>
          <w:color w:val="000000" w:themeColor="text1"/>
          <w:sz w:val="24"/>
          <w:szCs w:val="24"/>
          <w14:textFill>
            <w14:solidFill>
              <w14:schemeClr w14:val="tx1"/>
            </w14:solidFill>
          </w14:textFill>
        </w:rPr>
        <w:t>交纳采购代理机构银行账户：</w:t>
      </w:r>
    </w:p>
    <w:p>
      <w:pPr>
        <w:pStyle w:val="20"/>
        <w:snapToGrid w:val="0"/>
        <w:spacing w:line="400" w:lineRule="exact"/>
        <w:ind w:firstLine="482" w:firstLineChars="200"/>
        <w:rPr>
          <w:rFonts w:hint="eastAsia" w:hAnsi="宋体" w:cs="宋体"/>
          <w:b/>
          <w:color w:val="000000" w:themeColor="text1"/>
          <w:sz w:val="24"/>
          <w:szCs w:val="24"/>
          <w:u w:val="single"/>
          <w:lang w:eastAsia="zh-CN"/>
          <w14:textFill>
            <w14:solidFill>
              <w14:schemeClr w14:val="tx1"/>
            </w14:solidFill>
          </w14:textFill>
        </w:rPr>
      </w:pPr>
      <w:r>
        <w:rPr>
          <w:rFonts w:hint="eastAsia" w:hAnsi="宋体" w:cs="宋体"/>
          <w:b/>
          <w:color w:val="000000" w:themeColor="text1"/>
          <w:sz w:val="24"/>
          <w:szCs w:val="24"/>
          <w14:textFill>
            <w14:solidFill>
              <w14:schemeClr w14:val="tx1"/>
            </w14:solidFill>
          </w14:textFill>
        </w:rPr>
        <w:t>账户名称：</w:t>
      </w:r>
      <w:r>
        <w:rPr>
          <w:rFonts w:hint="eastAsia" w:hAnsi="宋体" w:cs="宋体"/>
          <w:b/>
          <w:color w:val="000000" w:themeColor="text1"/>
          <w:sz w:val="24"/>
          <w:szCs w:val="24"/>
          <w:u w:val="single"/>
          <w:lang w:eastAsia="zh-CN"/>
          <w14:textFill>
            <w14:solidFill>
              <w14:schemeClr w14:val="tx1"/>
            </w14:solidFill>
          </w14:textFill>
        </w:rPr>
        <w:t>广西朝华工程项目管理有限公司</w:t>
      </w:r>
    </w:p>
    <w:p>
      <w:pPr>
        <w:pStyle w:val="20"/>
        <w:snapToGrid w:val="0"/>
        <w:spacing w:line="400" w:lineRule="exact"/>
        <w:ind w:firstLine="482" w:firstLineChars="200"/>
        <w:rPr>
          <w:rFonts w:hint="eastAsia" w:hAnsi="宋体" w:cs="宋体"/>
          <w:b/>
          <w:color w:val="000000" w:themeColor="text1"/>
          <w:sz w:val="24"/>
          <w:szCs w:val="24"/>
          <w:u w:val="single"/>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开户银行：</w:t>
      </w:r>
      <w:r>
        <w:rPr>
          <w:rFonts w:hint="eastAsia" w:hAnsi="宋体" w:cs="宋体"/>
          <w:b/>
          <w:color w:val="000000" w:themeColor="text1"/>
          <w:sz w:val="24"/>
          <w:szCs w:val="24"/>
          <w:u w:val="single"/>
          <w14:textFill>
            <w14:solidFill>
              <w14:schemeClr w14:val="tx1"/>
            </w14:solidFill>
          </w14:textFill>
        </w:rPr>
        <w:t>桂林银行漓东支行</w:t>
      </w:r>
    </w:p>
    <w:p>
      <w:pPr>
        <w:spacing w:line="400" w:lineRule="exact"/>
        <w:ind w:firstLine="472" w:firstLineChars="196"/>
        <w:outlineLvl w:val="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银行账号：</w:t>
      </w:r>
      <w:r>
        <w:rPr>
          <w:rFonts w:hint="eastAsia" w:ascii="宋体" w:hAnsi="宋体" w:cs="宋体"/>
          <w:b/>
          <w:color w:val="000000" w:themeColor="text1"/>
          <w:sz w:val="24"/>
          <w:u w:val="single"/>
          <w14:textFill>
            <w14:solidFill>
              <w14:schemeClr w14:val="tx1"/>
            </w14:solidFill>
          </w14:textFill>
        </w:rPr>
        <w:t>660000012769800018</w:t>
      </w:r>
    </w:p>
    <w:p>
      <w:pPr>
        <w:spacing w:line="400" w:lineRule="exact"/>
        <w:ind w:firstLine="482" w:firstLineChars="200"/>
        <w:outlineLvl w:val="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37. 解释权</w:t>
      </w:r>
      <w:bookmarkEnd w:id="151"/>
    </w:p>
    <w:bookmarkEnd w:id="150"/>
    <w:p>
      <w:pPr>
        <w:spacing w:line="400" w:lineRule="exact"/>
        <w:ind w:firstLine="480" w:firstLineChars="200"/>
        <w:rPr>
          <w:rFonts w:hint="eastAsia" w:ascii="宋体" w:hAnsi="宋体" w:cs="宋体"/>
          <w:color w:val="000000" w:themeColor="text1"/>
          <w:sz w:val="24"/>
          <w14:textFill>
            <w14:solidFill>
              <w14:schemeClr w14:val="tx1"/>
            </w14:solidFill>
          </w14:textFill>
        </w:rPr>
      </w:pPr>
      <w:bookmarkStart w:id="152" w:name="_Toc13323"/>
      <w:bookmarkStart w:id="153" w:name="_Toc11077"/>
      <w:r>
        <w:rPr>
          <w:rFonts w:hint="eastAsia" w:ascii="宋体" w:hAnsi="宋体" w:cs="宋体"/>
          <w:color w:val="000000" w:themeColor="text1"/>
          <w:sz w:val="24"/>
          <w14:textFill>
            <w14:solidFill>
              <w14:schemeClr w14:val="tx1"/>
            </w14:solidFill>
          </w14:textFill>
        </w:rPr>
        <w:t>本招标文件是根据《中华人民共和国政府采购法》《中华人民共和国政府采购法实施条例》及《政府采购货物和服务招标投标管理办法》（财政部令第87号）等相关规定编制，本招标文件的解释权属于</w:t>
      </w:r>
      <w:r>
        <w:rPr>
          <w:rFonts w:hint="eastAsia" w:ascii="宋体" w:hAnsi="宋体" w:cs="宋体"/>
          <w:color w:val="000000" w:themeColor="text1"/>
          <w:sz w:val="24"/>
          <w:lang w:eastAsia="zh-CN"/>
          <w14:textFill>
            <w14:solidFill>
              <w14:schemeClr w14:val="tx1"/>
            </w14:solidFill>
          </w14:textFill>
        </w:rPr>
        <w:t>广西朝华工程项目管理有限公司</w:t>
      </w:r>
      <w:r>
        <w:rPr>
          <w:rFonts w:hint="eastAsia" w:ascii="宋体" w:hAnsi="宋体" w:cs="宋体"/>
          <w:color w:val="000000" w:themeColor="text1"/>
          <w:sz w:val="24"/>
          <w14:textFill>
            <w14:solidFill>
              <w14:schemeClr w14:val="tx1"/>
            </w14:solidFill>
          </w14:textFill>
        </w:rPr>
        <w:t>。</w:t>
      </w:r>
      <w:bookmarkEnd w:id="152"/>
    </w:p>
    <w:p>
      <w:pPr>
        <w:spacing w:line="400" w:lineRule="exact"/>
        <w:ind w:firstLine="482" w:firstLineChars="200"/>
        <w:outlineLvl w:val="2"/>
        <w:rPr>
          <w:rFonts w:hint="eastAsia" w:ascii="宋体" w:hAnsi="宋体" w:cs="宋体"/>
          <w:b/>
          <w:color w:val="000000" w:themeColor="text1"/>
          <w:sz w:val="24"/>
          <w14:textFill>
            <w14:solidFill>
              <w14:schemeClr w14:val="tx1"/>
            </w14:solidFill>
          </w14:textFill>
        </w:rPr>
      </w:pPr>
      <w:bookmarkStart w:id="154" w:name="_Toc22595"/>
      <w:r>
        <w:rPr>
          <w:rFonts w:hint="eastAsia" w:ascii="宋体" w:hAnsi="宋体" w:cs="宋体"/>
          <w:b/>
          <w:color w:val="000000" w:themeColor="text1"/>
          <w:sz w:val="24"/>
          <w14:textFill>
            <w14:solidFill>
              <w14:schemeClr w14:val="tx1"/>
            </w14:solidFill>
          </w14:textFill>
        </w:rPr>
        <w:t>38. 监督管理机构</w:t>
      </w:r>
      <w:bookmarkEnd w:id="154"/>
    </w:p>
    <w:bookmarkEnd w:id="153"/>
    <w:p>
      <w:pPr>
        <w:snapToGrid w:val="0"/>
        <w:spacing w:line="400" w:lineRule="exact"/>
        <w:ind w:firstLine="480" w:firstLineChars="200"/>
        <w:rPr>
          <w:rFonts w:hint="eastAsia" w:ascii="宋体" w:hAnsi="宋体" w:cs="宋体"/>
          <w:color w:val="000000" w:themeColor="text1"/>
          <w14:textFill>
            <w14:solidFill>
              <w14:schemeClr w14:val="tx1"/>
            </w14:solidFill>
          </w14:textFill>
        </w:rPr>
      </w:pPr>
      <w:bookmarkStart w:id="155" w:name="_Toc23297"/>
      <w:r>
        <w:rPr>
          <w:rFonts w:hint="eastAsia" w:ascii="宋体" w:hAnsi="宋体" w:cs="宋体"/>
          <w:color w:val="000000" w:themeColor="text1"/>
          <w:sz w:val="24"/>
          <w:lang w:eastAsia="zh-CN"/>
          <w14:textFill>
            <w14:solidFill>
              <w14:schemeClr w14:val="tx1"/>
            </w14:solidFill>
          </w14:textFill>
        </w:rPr>
        <w:t xml:space="preserve">灵川县政府采购管理办公室 </w:t>
      </w:r>
      <w:r>
        <w:rPr>
          <w:rFonts w:hint="eastAsia" w:ascii="宋体" w:hAnsi="宋体" w:cs="宋体"/>
          <w:color w:val="000000" w:themeColor="text1"/>
          <w:sz w:val="24"/>
          <w14:textFill>
            <w14:solidFill>
              <w14:schemeClr w14:val="tx1"/>
            </w14:solidFill>
          </w14:textFill>
        </w:rPr>
        <w:t xml:space="preserve">   电话：0773-6812818 </w:t>
      </w:r>
    </w:p>
    <w:p>
      <w:pPr>
        <w:rPr>
          <w:rFonts w:hint="eastAsia" w:ascii="宋体" w:hAnsi="宋体" w:cs="宋体"/>
          <w:color w:val="000000" w:themeColor="text1"/>
          <w:sz w:val="32"/>
          <w:szCs w:val="32"/>
          <w14:textFill>
            <w14:solidFill>
              <w14:schemeClr w14:val="tx1"/>
            </w14:solidFill>
          </w14:textFill>
        </w:rPr>
      </w:pPr>
      <w:bookmarkStart w:id="156" w:name="_Toc31602"/>
      <w:bookmarkStart w:id="157" w:name="_Toc20149"/>
      <w:bookmarkStart w:id="158" w:name="_Toc12929"/>
    </w:p>
    <w:bookmarkEnd w:id="156"/>
    <w:bookmarkEnd w:id="157"/>
    <w:bookmarkEnd w:id="158"/>
    <w:p>
      <w:pPr>
        <w:pStyle w:val="6"/>
        <w:spacing w:line="440" w:lineRule="exact"/>
        <w:jc w:val="center"/>
        <w:rPr>
          <w:rFonts w:hint="eastAsia" w:ascii="宋体" w:hAnsi="宋体" w:cs="宋体"/>
          <w:color w:val="000000" w:themeColor="text1"/>
          <w:sz w:val="32"/>
          <w:szCs w:val="32"/>
          <w14:textFill>
            <w14:solidFill>
              <w14:schemeClr w14:val="tx1"/>
            </w14:solidFill>
          </w14:textFill>
        </w:rPr>
      </w:pPr>
      <w:bookmarkStart w:id="159" w:name="_Hlk63248045"/>
      <w:r>
        <w:rPr>
          <w:rFonts w:hint="eastAsia" w:ascii="宋体" w:hAnsi="宋体" w:cs="宋体"/>
          <w:color w:val="000000" w:themeColor="text1"/>
          <w:sz w:val="32"/>
          <w:szCs w:val="32"/>
          <w14:textFill>
            <w14:solidFill>
              <w14:schemeClr w14:val="tx1"/>
            </w14:solidFill>
          </w14:textFill>
        </w:rPr>
        <w:t>第三章  服务采购需求</w:t>
      </w:r>
    </w:p>
    <w:tbl>
      <w:tblPr>
        <w:tblStyle w:val="33"/>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pPr>
              <w:ind w:right="-197" w:rightChars="-94"/>
              <w:jc w:val="center"/>
              <w:rPr>
                <w:rFonts w:ascii="宋体" w:hAnsi="宋体" w:cs="宋体"/>
                <w:b/>
                <w:color w:val="000000" w:themeColor="text1"/>
                <w:sz w:val="28"/>
                <w:szCs w:val="28"/>
                <w14:textFill>
                  <w14:solidFill>
                    <w14:schemeClr w14:val="tx1"/>
                  </w14:solidFill>
                </w14:textFill>
              </w:rPr>
            </w:pPr>
            <w:bookmarkStart w:id="160" w:name="_Toc25364"/>
            <w:r>
              <w:rPr>
                <w:rFonts w:eastAsia="仿宋_GB2312"/>
                <w:b/>
                <w:color w:val="000000" w:themeColor="text1"/>
                <w:sz w:val="28"/>
                <w:szCs w:val="28"/>
                <w14:textFill>
                  <w14:solidFill>
                    <w14:schemeClr w14:val="tx1"/>
                  </w14:solidFill>
                </w14:textFill>
              </w:rPr>
              <w:t>内容</w:t>
            </w:r>
          </w:p>
        </w:tc>
        <w:tc>
          <w:tcPr>
            <w:tcW w:w="8755" w:type="dxa"/>
            <w:vAlign w:val="center"/>
          </w:tcPr>
          <w:p>
            <w:pPr>
              <w:ind w:right="-197" w:rightChars="-94"/>
              <w:jc w:val="center"/>
              <w:rPr>
                <w:rFonts w:ascii="宋体" w:hAnsi="宋体" w:cs="宋体"/>
                <w:b/>
                <w:color w:val="000000" w:themeColor="text1"/>
                <w:sz w:val="28"/>
                <w:szCs w:val="28"/>
                <w14:textFill>
                  <w14:solidFill>
                    <w14:schemeClr w14:val="tx1"/>
                  </w14:solidFill>
                </w14:textFill>
              </w:rPr>
            </w:pPr>
            <w:r>
              <w:rPr>
                <w:rFonts w:eastAsia="仿宋_GB2312"/>
                <w:b/>
                <w:color w:val="000000" w:themeColor="text1"/>
                <w:sz w:val="28"/>
                <w:szCs w:val="28"/>
                <w14:textFill>
                  <w14:solidFill>
                    <w14:schemeClr w14:val="tx1"/>
                  </w14:solidFill>
                </w14:textFill>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pPr>
              <w:spacing w:line="400" w:lineRule="exact"/>
              <w:jc w:val="left"/>
              <w:rPr>
                <w:rFonts w:hint="eastAsia" w:ascii="Times New Roman" w:hAnsi="Times New Roman" w:cs="Times New Roman"/>
                <w:b w:val="0"/>
                <w:color w:val="000000" w:themeColor="text1"/>
                <w:szCs w:val="24"/>
                <w14:textFill>
                  <w14:solidFill>
                    <w14:schemeClr w14:val="tx1"/>
                  </w14:solidFill>
                </w14:textFill>
              </w:rPr>
            </w:pPr>
          </w:p>
          <w:p>
            <w:pPr>
              <w:spacing w:line="40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w:t>
            </w:r>
          </w:p>
          <w:p>
            <w:pPr>
              <w:spacing w:line="40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目</w:t>
            </w:r>
          </w:p>
          <w:p>
            <w:pPr>
              <w:spacing w:line="40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基</w:t>
            </w:r>
          </w:p>
          <w:p>
            <w:pPr>
              <w:spacing w:line="40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w:t>
            </w:r>
          </w:p>
          <w:p>
            <w:pPr>
              <w:spacing w:line="40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情</w:t>
            </w:r>
          </w:p>
          <w:p>
            <w:pPr>
              <w:spacing w:line="400" w:lineRule="exact"/>
              <w:jc w:val="center"/>
              <w:rPr>
                <w:rFonts w:hint="eastAsia" w:ascii="Times New Roman" w:hAnsi="Times New Roman" w:cs="Times New Roman"/>
                <w:b w:val="0"/>
                <w:color w:val="000000" w:themeColor="text1"/>
                <w:szCs w:val="24"/>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况</w:t>
            </w:r>
          </w:p>
        </w:tc>
        <w:tc>
          <w:tcPr>
            <w:tcW w:w="8755" w:type="dxa"/>
          </w:tcPr>
          <w:p>
            <w:pPr>
              <w:spacing w:line="40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项目概况：九屋镇、潭下镇、三街镇、灵田镇、大圩镇5座污水处理厂，总设计处理规模3000吨/天。进水为集镇区生活污水，其中大圩镇污水处理厂出水执行《城镇污水处理厂污染物排放标准》GB18918-2002一级B标准，其余4个镇污水处理厂出水执行《城镇污水处理厂污染物排放标准》GB18918-2002一级A标准。</w:t>
            </w:r>
          </w:p>
          <w:p>
            <w:pPr>
              <w:spacing w:line="40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各污水处理厂处理规模及工艺：（1）九屋镇污水处理厂，设计处理规模500吨/天，工艺：RPIR快速生化池+混凝沉淀池+纤维转盘+紫外消毒；（2）潭下镇污水处理厂，设计处理规模500吨/天，工艺：A/A/O工艺+紫外消毒；（3）三街镇污水处理厂，设计处理规模500吨/天，工艺：A/O+MBR膜；（4）灵田镇污水处理厂，设计处理规模500吨/天，工艺：缺氧池+MBR膜+二氧化氯消毒；（5）大圩镇污水处理厂，设计处理规1000吨/天，工艺：IBR综合池+紫外消毒。</w:t>
            </w:r>
          </w:p>
          <w:p>
            <w:pPr>
              <w:pStyle w:val="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3.合同履行期限（交付时间）：自合同签订之日起3年</w:t>
            </w:r>
          </w:p>
          <w:p>
            <w:pPr>
              <w:spacing w:line="400" w:lineRule="exact"/>
              <w:rPr>
                <w:rFonts w:hint="eastAsia" w:ascii="Times New Roman" w:hAnsi="Times New Roman" w:cs="Times New Roman"/>
                <w:color w:val="000000" w:themeColor="text1"/>
                <w14:textFill>
                  <w14:solidFill>
                    <w14:schemeClr w14:val="tx1"/>
                  </w14:solidFill>
                </w14:textFill>
              </w:rPr>
            </w:pPr>
            <w:r>
              <w:rPr>
                <w:rFonts w:hint="eastAsia" w:cs="Times New Roman"/>
                <w:bCs w:val="0"/>
                <w:color w:val="000000" w:themeColor="text1"/>
                <w:szCs w:val="24"/>
                <w:lang w:val="en-US" w:eastAsia="zh-CN"/>
                <w14:textFill>
                  <w14:solidFill>
                    <w14:schemeClr w14:val="tx1"/>
                  </w14:solidFill>
                </w14:textFill>
              </w:rPr>
              <w:t>4</w:t>
            </w:r>
            <w:r>
              <w:rPr>
                <w:rFonts w:hint="eastAsia" w:ascii="Times New Roman" w:hAnsi="Times New Roman" w:cs="Times New Roman"/>
                <w:bCs w:val="0"/>
                <w:color w:val="000000" w:themeColor="text1"/>
                <w:szCs w:val="24"/>
                <w14:textFill>
                  <w14:solidFill>
                    <w14:schemeClr w14:val="tx1"/>
                  </w14:solidFill>
                </w14:textFill>
              </w:rPr>
              <w:t>.本项目属于其他未列明行业。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Pr>
          <w:p>
            <w:pPr>
              <w:spacing w:line="400" w:lineRule="exact"/>
              <w:jc w:val="center"/>
              <w:rPr>
                <w:rFonts w:ascii="宋体" w:hAnsi="宋体" w:cs="宋体"/>
                <w:b/>
                <w:color w:val="000000" w:themeColor="text1"/>
                <w:szCs w:val="21"/>
                <w14:textFill>
                  <w14:solidFill>
                    <w14:schemeClr w14:val="tx1"/>
                  </w14:solidFill>
                </w14:textFill>
              </w:rPr>
            </w:pPr>
          </w:p>
          <w:p>
            <w:pPr>
              <w:spacing w:line="400" w:lineRule="exact"/>
              <w:jc w:val="center"/>
              <w:rPr>
                <w:rFonts w:ascii="宋体" w:hAnsi="宋体" w:cs="宋体"/>
                <w:b/>
                <w:color w:val="000000" w:themeColor="text1"/>
                <w:szCs w:val="21"/>
                <w14:textFill>
                  <w14:solidFill>
                    <w14:schemeClr w14:val="tx1"/>
                  </w14:solidFill>
                </w14:textFill>
              </w:rPr>
            </w:pPr>
          </w:p>
          <w:p>
            <w:pPr>
              <w:spacing w:line="400" w:lineRule="exact"/>
              <w:jc w:val="center"/>
              <w:rPr>
                <w:rFonts w:ascii="宋体" w:hAnsi="宋体" w:cs="宋体"/>
                <w:b/>
                <w:color w:val="000000" w:themeColor="text1"/>
                <w:szCs w:val="21"/>
                <w14:textFill>
                  <w14:solidFill>
                    <w14:schemeClr w14:val="tx1"/>
                  </w14:solidFill>
                </w14:textFill>
              </w:rPr>
            </w:pPr>
          </w:p>
          <w:p>
            <w:pPr>
              <w:spacing w:line="400" w:lineRule="exact"/>
              <w:jc w:val="center"/>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服</w:t>
            </w:r>
          </w:p>
          <w:p>
            <w:pPr>
              <w:spacing w:line="400" w:lineRule="exact"/>
              <w:jc w:val="center"/>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务</w:t>
            </w:r>
          </w:p>
          <w:p>
            <w:pPr>
              <w:spacing w:line="400" w:lineRule="exact"/>
              <w:jc w:val="center"/>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范</w:t>
            </w:r>
          </w:p>
          <w:p>
            <w:pPr>
              <w:spacing w:line="400" w:lineRule="exact"/>
              <w:jc w:val="center"/>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围</w:t>
            </w:r>
          </w:p>
          <w:p>
            <w:pPr>
              <w:spacing w:line="400" w:lineRule="exact"/>
              <w:jc w:val="center"/>
              <w:rPr>
                <w:rFonts w:ascii="宋体" w:hAnsi="宋体" w:cs="宋体"/>
                <w:b/>
                <w:color w:val="000000" w:themeColor="text1"/>
                <w:szCs w:val="21"/>
                <w14:textFill>
                  <w14:solidFill>
                    <w14:schemeClr w14:val="tx1"/>
                  </w14:solidFill>
                </w14:textFill>
              </w:rPr>
            </w:pPr>
          </w:p>
        </w:tc>
        <w:tc>
          <w:tcPr>
            <w:tcW w:w="8755" w:type="dxa"/>
          </w:tcPr>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1.负责5个镇（包括污水处理厂的提升泵站）污水处理厂厂区运营管理一切国有资产的管理及运营维护服务；负责截污口清理、负责厂外管网巡查并及时清理疏通主管道，如若有破损及时反馈采购人。</w:t>
            </w:r>
          </w:p>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2.负责污水处理厂的现有设备、给水排水、电器、建构筑物通风、照明等设施、设备的维护、维修及管理。</w:t>
            </w:r>
          </w:p>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3.负责厂区内污水处理相应的水电</w:t>
            </w:r>
            <w:r>
              <w:rPr>
                <w:rFonts w:hint="eastAsia" w:ascii="宋体" w:hAnsi="宋体" w:cs="宋体"/>
                <w:bCs/>
                <w:color w:val="000000" w:themeColor="text1"/>
                <w:szCs w:val="21"/>
                <w:lang w:eastAsia="zh-CN"/>
                <w14:textFill>
                  <w14:solidFill>
                    <w14:schemeClr w14:val="tx1"/>
                  </w14:solidFill>
                </w14:textFill>
              </w:rPr>
              <w:t>费</w:t>
            </w:r>
            <w:r>
              <w:rPr>
                <w:rFonts w:hint="eastAsia" w:ascii="宋体" w:hAnsi="宋体" w:cs="宋体"/>
                <w:bCs/>
                <w:color w:val="000000" w:themeColor="text1"/>
                <w:szCs w:val="21"/>
                <w14:textFill>
                  <w14:solidFill>
                    <w14:schemeClr w14:val="tx1"/>
                  </w14:solidFill>
                </w14:textFill>
              </w:rPr>
              <w:t>以及相应的药剂等费用。</w:t>
            </w:r>
          </w:p>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4.负责废水处理系统运行期间的各类数据采集、编制相应报表、台账等，按时向有关单位及职能部门上报数据。</w:t>
            </w:r>
          </w:p>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5.负责运营期到期后确保污水处理厂各设施设备完好，能正常继续运行。</w:t>
            </w:r>
          </w:p>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6.负责污水处理厂排污申报及污染物排放检测。</w:t>
            </w:r>
          </w:p>
          <w:p>
            <w:pPr>
              <w:spacing w:line="400" w:lineRule="exact"/>
              <w:rPr>
                <w:rFonts w:ascii="宋体" w:hAnsi="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7.承担因出现污水不达标排放、偷排、乱排、漏排等现象导致政府相关部门问责、处罚以及造成名誉损失的一切后果和损失。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93" w:type="dxa"/>
          </w:tcPr>
          <w:p>
            <w:pPr>
              <w:spacing w:line="400" w:lineRule="exact"/>
              <w:jc w:val="center"/>
              <w:rPr>
                <w:rFonts w:ascii="宋体" w:hAnsi="宋体" w:cs="宋体"/>
                <w:b/>
                <w:color w:val="000000" w:themeColor="text1"/>
                <w:szCs w:val="21"/>
                <w14:textFill>
                  <w14:solidFill>
                    <w14:schemeClr w14:val="tx1"/>
                  </w14:solidFill>
                </w14:textFill>
              </w:rPr>
            </w:pPr>
          </w:p>
          <w:p>
            <w:pPr>
              <w:spacing w:line="400" w:lineRule="exact"/>
              <w:rPr>
                <w:rFonts w:ascii="宋体" w:hAnsi="宋体" w:cs="宋体"/>
                <w:b/>
                <w:color w:val="000000" w:themeColor="text1"/>
                <w:szCs w:val="21"/>
                <w14:textFill>
                  <w14:solidFill>
                    <w14:schemeClr w14:val="tx1"/>
                  </w14:solidFill>
                </w14:textFill>
              </w:rPr>
            </w:pPr>
          </w:p>
          <w:p>
            <w:pPr>
              <w:spacing w:line="400" w:lineRule="exact"/>
              <w:rPr>
                <w:rFonts w:ascii="宋体" w:hAnsi="宋体" w:cs="宋体"/>
                <w:b/>
                <w:color w:val="000000" w:themeColor="text1"/>
                <w:szCs w:val="21"/>
                <w14:textFill>
                  <w14:solidFill>
                    <w14:schemeClr w14:val="tx1"/>
                  </w14:solidFill>
                </w14:textFill>
              </w:rPr>
            </w:pPr>
          </w:p>
          <w:p>
            <w:pPr>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服</w:t>
            </w:r>
          </w:p>
          <w:p>
            <w:pPr>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务</w:t>
            </w:r>
          </w:p>
          <w:p>
            <w:pPr>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要</w:t>
            </w:r>
          </w:p>
          <w:p>
            <w:pPr>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求</w:t>
            </w:r>
          </w:p>
          <w:p>
            <w:pPr>
              <w:spacing w:line="400" w:lineRule="exact"/>
              <w:jc w:val="center"/>
              <w:rPr>
                <w:rFonts w:ascii="宋体" w:hAnsi="宋体" w:cs="宋体"/>
                <w:b/>
                <w:color w:val="000000" w:themeColor="text1"/>
                <w:szCs w:val="21"/>
                <w14:textFill>
                  <w14:solidFill>
                    <w14:schemeClr w14:val="tx1"/>
                  </w14:solidFill>
                </w14:textFill>
              </w:rPr>
            </w:pPr>
          </w:p>
        </w:tc>
        <w:tc>
          <w:tcPr>
            <w:tcW w:w="8755" w:type="dxa"/>
          </w:tcPr>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1.拟投入每个污水处理厂的人员至少三名</w:t>
            </w:r>
            <w:r>
              <w:rPr>
                <w:rFonts w:hint="eastAsia" w:ascii="宋体" w:hAnsi="宋体" w:cs="宋体"/>
                <w:bCs/>
                <w:color w:val="000000" w:themeColor="text1"/>
                <w:szCs w:val="21"/>
                <w:lang w:eastAsia="zh-CN"/>
                <w14:textFill>
                  <w14:solidFill>
                    <w14:schemeClr w14:val="tx1"/>
                  </w14:solidFill>
                </w14:textFill>
              </w:rPr>
              <w:t>（项目负责人</w:t>
            </w:r>
            <w:r>
              <w:rPr>
                <w:rFonts w:hint="eastAsia" w:ascii="宋体" w:hAnsi="宋体" w:cs="宋体"/>
                <w:bCs/>
                <w:color w:val="000000" w:themeColor="text1"/>
                <w:szCs w:val="21"/>
                <w:lang w:val="en-US" w:eastAsia="zh-CN"/>
                <w14:textFill>
                  <w14:solidFill>
                    <w14:schemeClr w14:val="tx1"/>
                  </w14:solidFill>
                </w14:textFill>
              </w:rPr>
              <w:t>1名，</w:t>
            </w:r>
            <w:r>
              <w:rPr>
                <w:rFonts w:hint="eastAsia" w:ascii="宋体" w:hAnsi="宋体" w:cs="宋体"/>
                <w:bCs/>
                <w:color w:val="000000" w:themeColor="text1"/>
                <w:szCs w:val="21"/>
                <w14:textFill>
                  <w14:solidFill>
                    <w14:schemeClr w14:val="tx1"/>
                  </w14:solidFill>
                </w14:textFill>
              </w:rPr>
              <w:t>运行操作工</w:t>
            </w:r>
            <w:r>
              <w:rPr>
                <w:rFonts w:hint="eastAsia" w:ascii="宋体" w:hAnsi="宋体" w:cs="宋体"/>
                <w:bCs/>
                <w:color w:val="000000" w:themeColor="text1"/>
                <w:szCs w:val="21"/>
                <w:lang w:val="en-US" w:eastAsia="zh-CN"/>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名，技术员1名。</w:t>
            </w:r>
            <w:r>
              <w:rPr>
                <w:rFonts w:hint="eastAsia" w:ascii="宋体" w:hAnsi="宋体" w:cs="宋体"/>
                <w:bCs/>
                <w:color w:val="000000" w:themeColor="text1"/>
                <w:szCs w:val="21"/>
                <w:lang w:eastAsia="zh-CN"/>
                <w14:textFill>
                  <w14:solidFill>
                    <w14:schemeClr w14:val="tx1"/>
                  </w14:solidFill>
                </w14:textFill>
              </w:rPr>
              <w:t>）</w:t>
            </w:r>
          </w:p>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2.厂区设计水量</w:t>
            </w:r>
          </w:p>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依据该项目环境评估报告、相关批复及设计资料，该污水处理厂合计污水处理总量为3000m³/d，其中：三街镇500m³/d、大圩镇1000m³/d、九屋镇500m³/d、灵田镇500m³/d、潭下镇500m³/d。</w:t>
            </w:r>
          </w:p>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3.处理后水质</w:t>
            </w:r>
          </w:p>
          <w:p>
            <w:pPr>
              <w:numPr>
                <w:ilvl w:val="255"/>
                <w:numId w:val="0"/>
              </w:num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确保污水处理后出水指标达到按《城镇污水处理厂污染物排放标准》(GB18918-2002)设计的各乡镇污水处理厂的排放标准。</w:t>
            </w:r>
          </w:p>
          <w:p>
            <w:pPr>
              <w:numPr>
                <w:ilvl w:val="255"/>
                <w:numId w:val="0"/>
              </w:num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采购人于服务供应商进场服务前，向服务供应商提供厂区内现有的设备、物品等一切国有设备的移交清单明细以及设备使用维护说明书，并移交服务供应商，服务供应商须当场核对清单并检查相关设备、物品等完好情况，并由服务供应商相关负责人书面确认；服务期满后，采购人核对原移交的设备、物品等一切国有设备，若因服务供应商的操作失误等自身原因导致设备、物品等一切国有资产的损坏或遗失，一切经济损失由服务供应商负责。若服务供应商进场服务前，设备、物品已经损坏，由采购人落实该项设备、物品整改工作，服务供应商应当协助采购人。在进水水质超过《污水排入城市下水道水质标准》CJ_343-2010排放标准或水量超设计规模30%的情况下，服务供应商不对污水处理厂出水水质负责，因此产生的相</w:t>
            </w:r>
            <w:r>
              <w:rPr>
                <w:rFonts w:hint="eastAsia" w:ascii="宋体" w:hAnsi="宋体" w:cs="宋体"/>
                <w:bCs/>
                <w:color w:val="000000" w:themeColor="text1"/>
                <w:szCs w:val="21"/>
                <w:lang w:eastAsia="zh-CN"/>
                <w14:textFill>
                  <w14:solidFill>
                    <w14:schemeClr w14:val="tx1"/>
                  </w14:solidFill>
                </w14:textFill>
              </w:rPr>
              <w:t>关的环</w:t>
            </w:r>
            <w:r>
              <w:rPr>
                <w:rFonts w:hint="eastAsia" w:ascii="宋体" w:hAnsi="宋体" w:cs="宋体"/>
                <w:bCs/>
                <w:color w:val="000000" w:themeColor="text1"/>
                <w:szCs w:val="21"/>
                <w14:textFill>
                  <w14:solidFill>
                    <w14:schemeClr w14:val="tx1"/>
                  </w14:solidFill>
                </w14:textFill>
              </w:rPr>
              <w:t>保责任、经济处罚责任，由采购人自行承担。</w:t>
            </w:r>
          </w:p>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5</w:t>
            </w:r>
            <w:r>
              <w:rPr>
                <w:rFonts w:hint="eastAsia" w:ascii="宋体" w:hAnsi="宋体" w:cs="宋体"/>
                <w:bCs/>
                <w:color w:val="000000" w:themeColor="text1"/>
                <w:szCs w:val="21"/>
                <w14:textFill>
                  <w14:solidFill>
                    <w14:schemeClr w14:val="tx1"/>
                  </w14:solidFill>
                </w14:textFill>
              </w:rPr>
              <w:t>.服务供应商必须严格管理厂区设备、仪器、物品等一切国有资产，不得有所损害。</w:t>
            </w:r>
          </w:p>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6</w:t>
            </w:r>
            <w:r>
              <w:rPr>
                <w:rFonts w:hint="eastAsia" w:ascii="宋体" w:hAnsi="宋体" w:cs="宋体"/>
                <w:bCs/>
                <w:color w:val="000000" w:themeColor="text1"/>
                <w:szCs w:val="21"/>
                <w14:textFill>
                  <w14:solidFill>
                    <w14:schemeClr w14:val="tx1"/>
                  </w14:solidFill>
                </w14:textFill>
              </w:rPr>
              <w:t>.服务供应商在服务期内必须加强对所有生产设备的日常检修、维护，确保安全生产，若因日常检修存在疏漏导致设备、仪器等出现故障或发生安全事故，一切法律及经济责任由服务供应商承担。</w:t>
            </w:r>
          </w:p>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7</w:t>
            </w:r>
            <w:r>
              <w:rPr>
                <w:rFonts w:hint="eastAsia" w:ascii="宋体" w:hAnsi="宋体" w:cs="宋体"/>
                <w:bCs/>
                <w:color w:val="000000" w:themeColor="text1"/>
                <w:szCs w:val="21"/>
                <w14:textFill>
                  <w14:solidFill>
                    <w14:schemeClr w14:val="tx1"/>
                  </w14:solidFill>
                </w14:textFill>
              </w:rPr>
              <w:t>.服务供应商必须根据项目的实际情况制定合理管理制度（包括运营维护管理制度、人力资源管理制度等）及合理的工作计划，并向采购人报备。拟投入本项目的现场服务人员不得从事违纪违法行为（如偷盗、传销、打架斗殴等）等有损采购人利益和形象的其他行为。</w:t>
            </w:r>
          </w:p>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8</w:t>
            </w:r>
            <w:r>
              <w:rPr>
                <w:rFonts w:hint="eastAsia" w:ascii="宋体" w:hAnsi="宋体" w:cs="宋体"/>
                <w:bCs/>
                <w:color w:val="000000" w:themeColor="text1"/>
                <w:szCs w:val="21"/>
                <w14:textFill>
                  <w14:solidFill>
                    <w14:schemeClr w14:val="tx1"/>
                  </w14:solidFill>
                </w14:textFill>
              </w:rPr>
              <w:t>.服务供应商必须根据本项目的实际情况做好所有运行记录报表的齐全完整如进出水在线监测记录（1次/小时），处理工艺设备运行记录（如鼓风机、粗细格栅、提升泵开停时间等），设备维修台账，月统计生产报表，管网巡查记录，水质监测报告，药剂投加记录，电费缴纳单等，正确反映生产过程中的各项工况，做到有据可查。</w:t>
            </w:r>
          </w:p>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9</w:t>
            </w:r>
            <w:r>
              <w:rPr>
                <w:rFonts w:hint="eastAsia" w:ascii="宋体" w:hAnsi="宋体" w:cs="宋体"/>
                <w:bCs/>
                <w:color w:val="000000" w:themeColor="text1"/>
                <w:szCs w:val="21"/>
                <w14:textFill>
                  <w14:solidFill>
                    <w14:schemeClr w14:val="tx1"/>
                  </w14:solidFill>
                </w14:textFill>
              </w:rPr>
              <w:t xml:space="preserve">.服务供应商必须按时发放拟投入本项目人员的薪酬（含基本工资、绩效提成、五险、加班费、差旅费等），不得引起劳务纠纷，所引起的劳务纠纷由服务供应商负责承担处理，并保证不得影响项目的正常运行维护 。 </w:t>
            </w:r>
          </w:p>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10</w:t>
            </w:r>
            <w:r>
              <w:rPr>
                <w:rFonts w:hint="eastAsia" w:ascii="宋体" w:hAnsi="宋体" w:cs="宋体"/>
                <w:bCs/>
                <w:color w:val="000000" w:themeColor="text1"/>
                <w:szCs w:val="21"/>
                <w14:textFill>
                  <w14:solidFill>
                    <w14:schemeClr w14:val="tx1"/>
                  </w14:solidFill>
                </w14:textFill>
              </w:rPr>
              <w:t>.服务供应商须做好运行管理台账记录如进出水在线监测记录（1次/小时），处理工艺设备运行记录（如鼓风机、粗细格栅、提升泵开停时间等），设备维修台账，月统计生产报表，管网巡查记录，水质监测报告，药剂投加记录，电费缴纳单等，按要求完成污水处理、环境监测等相关在线监管平台信息填报工作，每月向采购方报送运行月报表，包括设施运行情况、每月用电量、设备维修情况等。</w:t>
            </w:r>
          </w:p>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lang w:val="en-US" w:eastAsia="zh-CN"/>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完善报告制度，不得擅自停止污水处理设施的运行，在遇到管网破坏、设备故障、民事纠纷、自然灾害等问题，应及时报告采购方及当地环保部门，限期整改，尽快恢复污水处理设施正常运行。污泥的处置规范，妥善处理污泥及恶臭，避免二次污染事故的发生。</w:t>
            </w:r>
          </w:p>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lang w:val="en-US" w:eastAsia="zh-CN"/>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.根据环保部门的要求，本项目的在线监测运营设备需要合法合规、稳定进行运行，要求服务供应商必须按环保部门的要求依法依规正常运行。</w:t>
            </w:r>
          </w:p>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lang w:val="en-US" w:eastAsia="zh-CN"/>
                <w14:textFill>
                  <w14:solidFill>
                    <w14:schemeClr w14:val="tx1"/>
                  </w14:solidFill>
                </w14:textFill>
              </w:rPr>
              <w:t>3</w:t>
            </w:r>
            <w:r>
              <w:rPr>
                <w:rFonts w:hint="eastAsia" w:ascii="宋体" w:hAnsi="宋体" w:cs="宋体"/>
                <w:bCs/>
                <w:color w:val="000000" w:themeColor="text1"/>
                <w:szCs w:val="21"/>
                <w14:textFill>
                  <w14:solidFill>
                    <w14:schemeClr w14:val="tx1"/>
                  </w14:solidFill>
                </w14:textFill>
              </w:rPr>
              <w:t>.服务供应商必须保证在服务期内的所有生产运营达到国家相关环保部门及相关监督管理部门的验收标准及考核要求，并由服务供应商承担验收的所有技术环节及与国家相关环保部门及相关监督管理部门协调沟通工作，采购人负责配合供应商的验收、检查工作，要求通过国家相关环保部门及相关监督管理部门验收；如在服务期内，由于供应商存在过错而受到国家相关环保部门或相关监督管理部门处罚的，由供应商承担一切责任及费用。</w:t>
            </w:r>
          </w:p>
          <w:p>
            <w:pPr>
              <w:spacing w:line="400" w:lineRule="exact"/>
              <w:rPr>
                <w:rFonts w:ascii="宋体" w:hAnsi="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lang w:val="en-US" w:eastAsia="zh-CN"/>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 因服务供应商管理问题造成国家相关环保部门的验收或检查不合格，责令停产2次及以上的，则按违约处理，</w:t>
            </w:r>
            <w:r>
              <w:rPr>
                <w:rFonts w:hint="eastAsia"/>
                <w:color w:val="000000" w:themeColor="text1"/>
                <w:szCs w:val="21"/>
                <w14:textFill>
                  <w14:solidFill>
                    <w14:schemeClr w14:val="tx1"/>
                  </w14:solidFill>
                </w14:textFill>
              </w:rPr>
              <w:t>服务供应商必须支付合同总金额的5%作为违约金。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093" w:type="dxa"/>
          </w:tcPr>
          <w:p>
            <w:pPr>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服</w:t>
            </w:r>
          </w:p>
          <w:p>
            <w:pPr>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务</w:t>
            </w:r>
          </w:p>
          <w:p>
            <w:pPr>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费</w:t>
            </w:r>
          </w:p>
          <w:p>
            <w:pPr>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用</w:t>
            </w:r>
          </w:p>
          <w:p>
            <w:pPr>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及</w:t>
            </w:r>
          </w:p>
          <w:p>
            <w:pPr>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付</w:t>
            </w:r>
          </w:p>
          <w:p>
            <w:pPr>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款</w:t>
            </w:r>
          </w:p>
          <w:p>
            <w:pPr>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方</w:t>
            </w:r>
          </w:p>
          <w:p>
            <w:pPr>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式</w:t>
            </w:r>
          </w:p>
          <w:p>
            <w:pPr>
              <w:spacing w:line="400" w:lineRule="exact"/>
              <w:jc w:val="center"/>
              <w:rPr>
                <w:rFonts w:ascii="宋体" w:hAnsi="宋体" w:cs="宋体"/>
                <w:b/>
                <w:color w:val="000000" w:themeColor="text1"/>
                <w:szCs w:val="21"/>
                <w14:textFill>
                  <w14:solidFill>
                    <w14:schemeClr w14:val="tx1"/>
                  </w14:solidFill>
                </w14:textFill>
              </w:rPr>
            </w:pPr>
          </w:p>
        </w:tc>
        <w:tc>
          <w:tcPr>
            <w:tcW w:w="8755" w:type="dxa"/>
          </w:tcPr>
          <w:p>
            <w:pPr>
              <w:spacing w:line="38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（一）污水处理厂的托管运营费包含以下费用：</w:t>
            </w:r>
          </w:p>
          <w:p>
            <w:pPr>
              <w:spacing w:line="38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1、运行人员费用；</w:t>
            </w:r>
          </w:p>
          <w:p>
            <w:pPr>
              <w:spacing w:line="38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2、污水厂日常运行水电费用；</w:t>
            </w:r>
          </w:p>
          <w:p>
            <w:pPr>
              <w:spacing w:line="38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3、污水处理厂日常运行设备、设施维修保养费用；</w:t>
            </w:r>
          </w:p>
          <w:p>
            <w:pPr>
              <w:spacing w:line="38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4、污水处理厂日常运行所需的化验药剂、水处理药剂等药剂费用；</w:t>
            </w:r>
          </w:p>
          <w:p>
            <w:pPr>
              <w:spacing w:line="38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5、污水处理厂委托运营所需的办公、项目管理、合理利润、税费等间接费用；</w:t>
            </w:r>
          </w:p>
          <w:p>
            <w:pPr>
              <w:spacing w:line="38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6、在线监测设施第三方运维费，排污申报委托第三方检测费。</w:t>
            </w:r>
          </w:p>
          <w:p>
            <w:pPr>
              <w:spacing w:line="38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（二）付款方式</w:t>
            </w:r>
          </w:p>
          <w:p>
            <w:pPr>
              <w:spacing w:line="380" w:lineRule="exact"/>
              <w:ind w:firstLine="420" w:firstLineChars="200"/>
              <w:rPr>
                <w:rFonts w:ascii="宋体" w:hAnsi="宋体" w:cs="宋体"/>
                <w:bCs/>
                <w:color w:val="000000" w:themeColor="text1"/>
                <w:szCs w:val="21"/>
                <w14:textFill>
                  <w14:solidFill>
                    <w14:schemeClr w14:val="tx1"/>
                  </w14:solidFill>
                </w14:textFill>
              </w:rPr>
            </w:pPr>
            <w:r>
              <w:rPr>
                <w:color w:val="000000" w:themeColor="text1"/>
                <w:szCs w:val="21"/>
                <w14:textFill>
                  <w14:solidFill>
                    <w14:schemeClr w14:val="tx1"/>
                  </w14:solidFill>
                </w14:textFill>
              </w:rPr>
              <w:t>按季等比支付，即每次付款前需经采购人按考核管理办法考核达标后方可支付。</w:t>
            </w:r>
            <w:r>
              <w:rPr>
                <w:rFonts w:hint="eastAsia" w:ascii="宋体" w:hAnsi="宋体"/>
                <w:color w:val="000000" w:themeColor="text1"/>
                <w:szCs w:val="21"/>
                <w14:textFill>
                  <w14:solidFill>
                    <w14:schemeClr w14:val="tx1"/>
                  </w14:solidFill>
                </w14:textFill>
              </w:rPr>
              <w:t>本项目款项以人民币转账方式支付。按季实行分期付款，即合同签订后，每季度考核结束后按合同额年平均运行费的25%支付运行费，余下每季度运行费在付款前需经采购人考核管理办法考核达标后，采购人按考核分值拨付运营方当季度的运营费用。（具体见</w:t>
            </w:r>
            <w:r>
              <w:rPr>
                <w:rFonts w:hint="eastAsia" w:ascii="宋体" w:hAnsi="宋体"/>
                <w:color w:val="000000" w:themeColor="text1"/>
                <w:szCs w:val="21"/>
                <w:lang w:eastAsia="zh-CN"/>
                <w14:textFill>
                  <w14:solidFill>
                    <w14:schemeClr w14:val="tx1"/>
                  </w14:solidFill>
                </w14:textFill>
              </w:rPr>
              <w:t xml:space="preserve">灵川县5个镇级污水处理厂统一社会化运营服务采购 </w:t>
            </w:r>
            <w:r>
              <w:rPr>
                <w:rFonts w:hint="eastAsia" w:ascii="宋体" w:hAnsi="宋体"/>
                <w:color w:val="000000" w:themeColor="text1"/>
                <w:szCs w:val="21"/>
                <w14:textFill>
                  <w14:solidFill>
                    <w14:schemeClr w14:val="tx1"/>
                  </w14:solidFill>
                </w14:textFill>
              </w:rPr>
              <w:t>项目运行维护管理考核办法、污水处理设施运行维护管理考核评分细则表。详见附件一、附件二）。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3" w:type="dxa"/>
          </w:tcPr>
          <w:p>
            <w:pPr>
              <w:spacing w:line="400" w:lineRule="exact"/>
              <w:jc w:val="center"/>
              <w:rPr>
                <w:rFonts w:ascii="宋体" w:hAnsi="宋体"/>
                <w:b/>
                <w:bCs/>
                <w:color w:val="000000" w:themeColor="text1"/>
                <w:szCs w:val="21"/>
                <w14:textFill>
                  <w14:solidFill>
                    <w14:schemeClr w14:val="tx1"/>
                  </w14:solidFill>
                </w14:textFill>
              </w:rPr>
            </w:pPr>
          </w:p>
          <w:p>
            <w:pPr>
              <w:spacing w:line="400" w:lineRule="exact"/>
              <w:jc w:val="center"/>
              <w:rPr>
                <w:rFonts w:ascii="宋体" w:hAnsi="宋体"/>
                <w:b/>
                <w:bCs/>
                <w:color w:val="000000" w:themeColor="text1"/>
                <w:szCs w:val="21"/>
                <w14:textFill>
                  <w14:solidFill>
                    <w14:schemeClr w14:val="tx1"/>
                  </w14:solidFill>
                </w14:textFill>
              </w:rPr>
            </w:pPr>
          </w:p>
          <w:p>
            <w:pPr>
              <w:spacing w:line="400" w:lineRule="exact"/>
              <w:jc w:val="center"/>
              <w:rPr>
                <w:rFonts w:ascii="宋体" w:hAnsi="宋体"/>
                <w:b/>
                <w:bCs/>
                <w:color w:val="000000" w:themeColor="text1"/>
                <w:szCs w:val="21"/>
                <w14:textFill>
                  <w14:solidFill>
                    <w14:schemeClr w14:val="tx1"/>
                  </w14:solidFill>
                </w14:textFill>
              </w:rPr>
            </w:pPr>
          </w:p>
          <w:p>
            <w:pPr>
              <w:spacing w:line="400" w:lineRule="exact"/>
              <w:jc w:val="center"/>
              <w:rPr>
                <w:rFonts w:ascii="宋体" w:hAnsi="宋体"/>
                <w:b/>
                <w:bCs/>
                <w:color w:val="000000" w:themeColor="text1"/>
                <w:szCs w:val="21"/>
                <w14:textFill>
                  <w14:solidFill>
                    <w14:schemeClr w14:val="tx1"/>
                  </w14:solidFill>
                </w14:textFill>
              </w:rPr>
            </w:pPr>
          </w:p>
          <w:p>
            <w:pPr>
              <w:spacing w:line="400" w:lineRule="exact"/>
              <w:jc w:val="center"/>
              <w:rPr>
                <w:rFonts w:ascii="宋体" w:hAnsi="宋体"/>
                <w:b/>
                <w:bCs/>
                <w:color w:val="000000" w:themeColor="text1"/>
                <w:szCs w:val="21"/>
                <w14:textFill>
                  <w14:solidFill>
                    <w14:schemeClr w14:val="tx1"/>
                  </w14:solidFill>
                </w14:textFill>
              </w:rPr>
            </w:pPr>
          </w:p>
          <w:p>
            <w:pPr>
              <w:spacing w:line="400" w:lineRule="exact"/>
              <w:jc w:val="center"/>
              <w:rPr>
                <w:rFonts w:ascii="宋体" w:hAnsi="宋体"/>
                <w:b/>
                <w:bCs/>
                <w:color w:val="000000" w:themeColor="text1"/>
                <w:szCs w:val="21"/>
                <w14:textFill>
                  <w14:solidFill>
                    <w14:schemeClr w14:val="tx1"/>
                  </w14:solidFill>
                </w14:textFill>
              </w:rPr>
            </w:pPr>
          </w:p>
          <w:p>
            <w:pPr>
              <w:spacing w:line="400" w:lineRule="exact"/>
              <w:jc w:val="center"/>
              <w:rPr>
                <w:rFonts w:ascii="宋体" w:hAnsi="宋体"/>
                <w:b/>
                <w:bCs/>
                <w:color w:val="000000" w:themeColor="text1"/>
                <w:szCs w:val="21"/>
                <w14:textFill>
                  <w14:solidFill>
                    <w14:schemeClr w14:val="tx1"/>
                  </w14:solidFill>
                </w14:textFill>
              </w:rPr>
            </w:pPr>
          </w:p>
          <w:p>
            <w:pPr>
              <w:spacing w:line="40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补</w:t>
            </w:r>
          </w:p>
          <w:p>
            <w:pPr>
              <w:spacing w:line="40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充</w:t>
            </w:r>
          </w:p>
          <w:p>
            <w:pPr>
              <w:spacing w:line="40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事</w:t>
            </w:r>
          </w:p>
          <w:p>
            <w:pPr>
              <w:spacing w:line="40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项</w:t>
            </w:r>
          </w:p>
          <w:p>
            <w:pPr>
              <w:spacing w:line="400" w:lineRule="exact"/>
              <w:jc w:val="center"/>
              <w:rPr>
                <w:rFonts w:ascii="宋体" w:hAnsi="宋体" w:cs="宋体"/>
                <w:b/>
                <w:color w:val="000000" w:themeColor="text1"/>
                <w:szCs w:val="21"/>
                <w14:textFill>
                  <w14:solidFill>
                    <w14:schemeClr w14:val="tx1"/>
                  </w14:solidFill>
                </w14:textFill>
              </w:rPr>
            </w:pPr>
          </w:p>
        </w:tc>
        <w:tc>
          <w:tcPr>
            <w:tcW w:w="8755" w:type="dxa"/>
          </w:tcPr>
          <w:p>
            <w:pPr>
              <w:pStyle w:val="2"/>
              <w:spacing w:line="288" w:lineRule="auto"/>
              <w:ind w:firstLine="403"/>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（一）注意事项</w:t>
            </w:r>
          </w:p>
          <w:p>
            <w:pPr>
              <w:spacing w:line="38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1、中标单位中标后需对每个污水设施运行点进行一一核对，在确认所有设施正常运行后，完成交接工作；若不属于中标单位原因引起的设施无法正常运行，由</w:t>
            </w:r>
            <w:r>
              <w:rPr>
                <w:rFonts w:hint="eastAsia" w:ascii="宋体" w:hAnsi="宋体" w:cs="宋体"/>
                <w:bCs/>
                <w:color w:val="000000" w:themeColor="text1"/>
                <w:szCs w:val="21"/>
                <w:lang w:eastAsia="zh-CN"/>
                <w14:textFill>
                  <w14:solidFill>
                    <w14:schemeClr w14:val="tx1"/>
                  </w14:solidFill>
                </w14:textFill>
              </w:rPr>
              <w:t>采购人</w:t>
            </w:r>
            <w:r>
              <w:rPr>
                <w:rFonts w:hint="eastAsia" w:ascii="宋体" w:hAnsi="宋体" w:cs="宋体"/>
                <w:bCs/>
                <w:color w:val="000000" w:themeColor="text1"/>
                <w:szCs w:val="21"/>
                <w14:textFill>
                  <w14:solidFill>
                    <w14:schemeClr w14:val="tx1"/>
                  </w14:solidFill>
                </w14:textFill>
              </w:rPr>
              <w:t>负责在双方协商的规定时间内将设施维修调整至正常使用后，交付中标单位开展运行维护管理工作，并根据中标价按时间按比例扣除维修期内的运行维护费用；若规定时间内无法将设施修复至正常状态，则自动免除中标单位对该处设施的运行维护责任，并按中标书中该处设施的中标价予以扣除支付费用。若服务供应商进场服务前，设备、物品已经损坏，由采购人落实该项设备、物品整改工作，在进水水质超过《污水排入城市下水道水质标准》CJ_343-2010排放标准或水量超设计规模30%情况下，服务供应商不对污水处理厂出水水质负责，因此产生的</w:t>
            </w:r>
            <w:r>
              <w:rPr>
                <w:rFonts w:hint="eastAsia" w:ascii="宋体" w:hAnsi="宋体" w:cs="宋体"/>
                <w:bCs/>
                <w:color w:val="000000" w:themeColor="text1"/>
                <w:szCs w:val="21"/>
                <w:lang w:eastAsia="zh-CN"/>
                <w14:textFill>
                  <w14:solidFill>
                    <w14:schemeClr w14:val="tx1"/>
                  </w14:solidFill>
                </w14:textFill>
              </w:rPr>
              <w:t>相关的环保责任</w:t>
            </w:r>
            <w:r>
              <w:rPr>
                <w:rFonts w:hint="eastAsia" w:ascii="宋体" w:hAnsi="宋体" w:cs="宋体"/>
                <w:bCs/>
                <w:color w:val="000000" w:themeColor="text1"/>
                <w:szCs w:val="21"/>
                <w14:textFill>
                  <w14:solidFill>
                    <w14:schemeClr w14:val="tx1"/>
                  </w14:solidFill>
                </w14:textFill>
              </w:rPr>
              <w:t>、经济处罚责任，由甲方自行承担。</w:t>
            </w:r>
          </w:p>
          <w:p>
            <w:pPr>
              <w:pStyle w:val="2"/>
              <w:spacing w:line="288" w:lineRule="auto"/>
              <w:ind w:firstLine="403"/>
              <w:rPr>
                <w:rFonts w:hint="eastAsia"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2、设备正常运行交付后，由于出现设备损坏或者中标方看护运行不当损坏设备出现故障或者出现设备遗失的，由中标单位自行负责维修或者自行购买，其余设备设施运行的相关维护等费用均由中标单位承担。</w:t>
            </w:r>
          </w:p>
          <w:p>
            <w:pPr>
              <w:pStyle w:val="2"/>
              <w:spacing w:line="288" w:lineRule="auto"/>
              <w:ind w:firstLine="403"/>
              <w:rPr>
                <w:rFonts w:hint="eastAsia"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3、因涉及多个乡镇污水处理厂，各投标单位在投标前需自行到现场对处理设施、管网等相关要求认真勘察现场。若不现场勘察的投标单位，须对文件中无法完全写明确的内容、偏差及损失自行承担相应责任。</w:t>
            </w:r>
          </w:p>
          <w:p>
            <w:pPr>
              <w:pStyle w:val="2"/>
              <w:spacing w:line="288" w:lineRule="auto"/>
              <w:ind w:firstLine="403"/>
              <w:rPr>
                <w:rFonts w:hint="eastAsia"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4、本次招标采购预算中已经包含部分污水处理点在试运行过程中已经产生的部分电费，在今后项目委托运营后，</w:t>
            </w:r>
            <w:r>
              <w:rPr>
                <w:rFonts w:hint="eastAsia" w:ascii="宋体" w:hAnsi="宋体" w:cs="宋体"/>
                <w:bCs/>
                <w:color w:val="000000" w:themeColor="text1"/>
                <w:sz w:val="21"/>
                <w:szCs w:val="21"/>
                <w:lang w:eastAsia="zh-CN"/>
                <w14:textFill>
                  <w14:solidFill>
                    <w14:schemeClr w14:val="tx1"/>
                  </w14:solidFill>
                </w14:textFill>
              </w:rPr>
              <w:t>采购人</w:t>
            </w:r>
            <w:r>
              <w:rPr>
                <w:rFonts w:hint="eastAsia" w:ascii="宋体" w:hAnsi="宋体" w:cs="宋体"/>
                <w:bCs/>
                <w:color w:val="000000" w:themeColor="text1"/>
                <w:sz w:val="21"/>
                <w:szCs w:val="21"/>
                <w14:textFill>
                  <w14:solidFill>
                    <w14:schemeClr w14:val="tx1"/>
                  </w14:solidFill>
                </w14:textFill>
              </w:rPr>
              <w:t>不再另行支付电费。</w:t>
            </w:r>
          </w:p>
          <w:p>
            <w:pPr>
              <w:pStyle w:val="2"/>
              <w:spacing w:line="288" w:lineRule="auto"/>
              <w:ind w:firstLine="403"/>
              <w:rPr>
                <w:rFonts w:hint="default" w:ascii="宋体" w:hAnsi="宋体" w:cs="宋体"/>
                <w:bCs/>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5、本项目同类项目指：同类项目是指镇（县）级及以上污水处理厂的运营项目。</w:t>
            </w:r>
          </w:p>
          <w:p>
            <w:pPr>
              <w:pStyle w:val="2"/>
              <w:spacing w:line="288" w:lineRule="auto"/>
              <w:ind w:firstLine="403"/>
              <w:rPr>
                <w:rFonts w:ascii="宋体" w:hAnsi="宋体"/>
                <w:color w:val="000000" w:themeColor="text1"/>
                <w:szCs w:val="21"/>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6</w:t>
            </w:r>
            <w:r>
              <w:rPr>
                <w:rFonts w:hint="eastAsia" w:ascii="宋体" w:hAnsi="宋体" w:cs="宋体"/>
                <w:b w:val="0"/>
                <w:bCs/>
                <w:color w:val="000000" w:themeColor="text1"/>
                <w:sz w:val="21"/>
                <w:szCs w:val="21"/>
                <w14:textFill>
                  <w14:solidFill>
                    <w14:schemeClr w14:val="tx1"/>
                  </w14:solidFill>
                </w14:textFill>
              </w:rPr>
              <w:t>、服务期限为</w:t>
            </w:r>
            <w:r>
              <w:rPr>
                <w:rFonts w:hint="eastAsia" w:ascii="宋体" w:hAnsi="宋体" w:cs="宋体"/>
                <w:b w:val="0"/>
                <w:bCs/>
                <w:color w:val="000000" w:themeColor="text1"/>
                <w:sz w:val="21"/>
                <w:szCs w:val="21"/>
                <w:lang w:eastAsia="zh-CN"/>
                <w14:textFill>
                  <w14:solidFill>
                    <w14:schemeClr w14:val="tx1"/>
                  </w14:solidFill>
                </w14:textFill>
              </w:rPr>
              <w:t>三</w:t>
            </w:r>
            <w:r>
              <w:rPr>
                <w:rFonts w:hint="eastAsia" w:ascii="宋体" w:hAnsi="宋体" w:cs="宋体"/>
                <w:b w:val="0"/>
                <w:bCs/>
                <w:color w:val="000000" w:themeColor="text1"/>
                <w:sz w:val="21"/>
                <w:szCs w:val="21"/>
                <w14:textFill>
                  <w14:solidFill>
                    <w14:schemeClr w14:val="tx1"/>
                  </w14:solidFill>
                </w14:textFill>
              </w:rPr>
              <w:t>年，每季度由采购人对中标的运营公司按照《</w:t>
            </w:r>
            <w:r>
              <w:rPr>
                <w:rFonts w:hint="eastAsia" w:ascii="宋体" w:hAnsi="宋体" w:cs="宋体"/>
                <w:b w:val="0"/>
                <w:bCs/>
                <w:color w:val="000000" w:themeColor="text1"/>
                <w:sz w:val="21"/>
                <w:szCs w:val="21"/>
                <w:lang w:eastAsia="zh-CN"/>
                <w14:textFill>
                  <w14:solidFill>
                    <w14:schemeClr w14:val="tx1"/>
                  </w14:solidFill>
                </w14:textFill>
              </w:rPr>
              <w:t xml:space="preserve">灵川县5个镇级污水处理厂统一社会化运营服务采购 </w:t>
            </w:r>
            <w:r>
              <w:rPr>
                <w:rFonts w:hint="eastAsia" w:ascii="宋体" w:hAnsi="宋体" w:cs="宋体"/>
                <w:b w:val="0"/>
                <w:bCs/>
                <w:color w:val="000000" w:themeColor="text1"/>
                <w:sz w:val="21"/>
                <w:szCs w:val="21"/>
                <w14:textFill>
                  <w14:solidFill>
                    <w14:schemeClr w14:val="tx1"/>
                  </w14:solidFill>
                </w14:textFill>
              </w:rPr>
              <w:t>项目运行维护管理考核办法》（见附件一、二）进行考核。</w:t>
            </w:r>
          </w:p>
        </w:tc>
      </w:tr>
    </w:tbl>
    <w:p>
      <w:pPr>
        <w:ind w:left="420" w:leftChars="200" w:right="420" w:rightChars="200"/>
        <w:rPr>
          <w:rFonts w:hint="eastAsia" w:ascii="微软雅黑" w:hAnsi="微软雅黑" w:eastAsia="微软雅黑" w:cs="微软雅黑"/>
          <w:b/>
          <w:color w:val="000000" w:themeColor="text1"/>
          <w:sz w:val="22"/>
          <w:szCs w:val="22"/>
          <w14:textFill>
            <w14:solidFill>
              <w14:schemeClr w14:val="tx1"/>
            </w14:solidFill>
          </w14:textFill>
        </w:rPr>
      </w:pPr>
      <w:r>
        <w:rPr>
          <w:rFonts w:hint="eastAsia" w:ascii="微软雅黑" w:hAnsi="微软雅黑" w:eastAsia="微软雅黑" w:cs="微软雅黑"/>
          <w:b/>
          <w:color w:val="000000" w:themeColor="text1"/>
          <w:sz w:val="22"/>
          <w:szCs w:val="22"/>
          <w14:textFill>
            <w14:solidFill>
              <w14:schemeClr w14:val="tx1"/>
            </w14:solidFill>
          </w14:textFill>
        </w:rPr>
        <w:t>注：本“项目需求”中的条款（“</w:t>
      </w:r>
      <w:r>
        <w:rPr>
          <w:rFonts w:hint="eastAsia" w:ascii="微软雅黑" w:hAnsi="微软雅黑" w:eastAsia="微软雅黑" w:cs="微软雅黑"/>
          <w:b/>
          <w:color w:val="000000" w:themeColor="text1"/>
          <w:sz w:val="22"/>
          <w:szCs w:val="22"/>
          <w:lang w:eastAsia="zh-CN"/>
          <w14:textFill>
            <w14:solidFill>
              <w14:schemeClr w14:val="tx1"/>
            </w14:solidFill>
          </w14:textFill>
        </w:rPr>
        <w:t>服务</w:t>
      </w:r>
      <w:r>
        <w:rPr>
          <w:rFonts w:hint="eastAsia" w:ascii="微软雅黑" w:hAnsi="微软雅黑" w:eastAsia="微软雅黑" w:cs="微软雅黑"/>
          <w:b/>
          <w:color w:val="000000" w:themeColor="text1"/>
          <w:sz w:val="22"/>
          <w:szCs w:val="22"/>
          <w14:textFill>
            <w14:solidFill>
              <w14:schemeClr w14:val="tx1"/>
            </w14:solidFill>
          </w14:textFill>
        </w:rPr>
        <w:t>方案”及“服务承诺”除外）及招标文件中要求“必须提供”的条款均为实质性要求，若有任意一项负偏离投标文件作无效处理。</w:t>
      </w:r>
    </w:p>
    <w:p>
      <w:pPr>
        <w:pStyle w:val="52"/>
        <w:spacing w:line="440" w:lineRule="exact"/>
        <w:jc w:val="center"/>
        <w:rPr>
          <w:rStyle w:val="53"/>
          <w:rFonts w:hint="eastAsia" w:ascii="宋体" w:hAnsi="宋体" w:eastAsia="宋体" w:cs="宋体"/>
          <w:color w:val="000000" w:themeColor="text1"/>
          <w:sz w:val="32"/>
          <w:szCs w:val="32"/>
          <w14:textFill>
            <w14:solidFill>
              <w14:schemeClr w14:val="tx1"/>
            </w14:solidFill>
          </w14:textFill>
        </w:rPr>
      </w:pPr>
    </w:p>
    <w:p>
      <w:pPr>
        <w:ind w:left="420" w:leftChars="200" w:right="420" w:rightChars="200"/>
        <w:rPr>
          <w:rFonts w:ascii="小标宋" w:eastAsia="小标宋" w:cs="小标宋"/>
          <w:color w:val="000000" w:themeColor="text1"/>
          <w:sz w:val="44"/>
          <w:szCs w:val="44"/>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附件一</w:t>
      </w:r>
      <w:r>
        <w:rPr>
          <w:rFonts w:ascii="黑体" w:eastAsia="黑体" w:cs="黑体"/>
          <w:color w:val="000000" w:themeColor="text1"/>
          <w:sz w:val="32"/>
          <w:szCs w:val="32"/>
          <w14:textFill>
            <w14:solidFill>
              <w14:schemeClr w14:val="tx1"/>
            </w14:solidFill>
          </w14:textFill>
        </w:rPr>
        <w:t>:</w:t>
      </w:r>
    </w:p>
    <w:p>
      <w:pPr>
        <w:spacing w:line="600" w:lineRule="exact"/>
        <w:ind w:right="420" w:rightChars="200"/>
        <w:jc w:val="center"/>
        <w:rPr>
          <w:rFonts w:ascii="小标宋" w:hAnsi="宋体" w:eastAsia="小标宋"/>
          <w:color w:val="000000" w:themeColor="text1"/>
          <w:sz w:val="30"/>
          <w:szCs w:val="30"/>
          <w14:textFill>
            <w14:solidFill>
              <w14:schemeClr w14:val="tx1"/>
            </w14:solidFill>
          </w14:textFill>
        </w:rPr>
      </w:pPr>
      <w:r>
        <w:rPr>
          <w:rFonts w:hint="eastAsia" w:ascii="小标宋" w:eastAsia="小标宋" w:cs="小标宋"/>
          <w:color w:val="000000" w:themeColor="text1"/>
          <w:sz w:val="30"/>
          <w:szCs w:val="30"/>
          <w14:textFill>
            <w14:solidFill>
              <w14:schemeClr w14:val="tx1"/>
            </w14:solidFill>
          </w14:textFill>
        </w:rPr>
        <w:t xml:space="preserve"> </w:t>
      </w:r>
      <w:r>
        <w:rPr>
          <w:rFonts w:hint="eastAsia" w:ascii="小标宋" w:eastAsia="小标宋" w:cs="小标宋"/>
          <w:color w:val="000000" w:themeColor="text1"/>
          <w:sz w:val="30"/>
          <w:szCs w:val="30"/>
          <w:lang w:eastAsia="zh-CN"/>
          <w14:textFill>
            <w14:solidFill>
              <w14:schemeClr w14:val="tx1"/>
            </w14:solidFill>
          </w14:textFill>
        </w:rPr>
        <w:t xml:space="preserve">灵川县5个镇级污水处理厂统一社会化运营服务采购 </w:t>
      </w:r>
      <w:r>
        <w:rPr>
          <w:rFonts w:hint="eastAsia" w:ascii="小标宋" w:eastAsia="小标宋" w:cs="小标宋"/>
          <w:color w:val="000000" w:themeColor="text1"/>
          <w:sz w:val="30"/>
          <w:szCs w:val="30"/>
          <w14:textFill>
            <w14:solidFill>
              <w14:schemeClr w14:val="tx1"/>
            </w14:solidFill>
          </w14:textFill>
        </w:rPr>
        <w:t>项目运行维护管理考核办法</w:t>
      </w:r>
    </w:p>
    <w:p>
      <w:pPr>
        <w:spacing w:line="560" w:lineRule="exact"/>
        <w:ind w:left="420" w:leftChars="200" w:right="420" w:rightChars="200" w:firstLine="645"/>
        <w:rPr>
          <w:rFonts w:ascii="仿宋_GB2312" w:hAnsi="宋体" w:eastAsia="仿宋_GB2312"/>
          <w:color w:val="000000" w:themeColor="text1"/>
          <w:sz w:val="24"/>
          <w14:textFill>
            <w14:solidFill>
              <w14:schemeClr w14:val="tx1"/>
            </w14:solidFill>
          </w14:textFill>
        </w:rPr>
      </w:pPr>
    </w:p>
    <w:p>
      <w:pPr>
        <w:spacing w:line="520" w:lineRule="exact"/>
        <w:ind w:left="420" w:leftChars="200" w:right="420" w:rightChars="200" w:firstLine="645"/>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为</w:t>
      </w:r>
      <w:r>
        <w:rPr>
          <w:rFonts w:hint="eastAsia" w:ascii="仿宋_GB2312" w:eastAsia="仿宋_GB2312" w:cs="仿宋_GB2312"/>
          <w:color w:val="000000" w:themeColor="text1"/>
          <w:sz w:val="24"/>
          <w14:textFill>
            <w14:solidFill>
              <w14:schemeClr w14:val="tx1"/>
            </w14:solidFill>
          </w14:textFill>
        </w:rPr>
        <w:t>切实</w:t>
      </w:r>
      <w:r>
        <w:rPr>
          <w:rFonts w:hint="eastAsia" w:ascii="仿宋_GB2312" w:hAnsi="宋体" w:eastAsia="仿宋_GB2312" w:cs="仿宋_GB2312"/>
          <w:color w:val="000000" w:themeColor="text1"/>
          <w:sz w:val="24"/>
          <w14:textFill>
            <w14:solidFill>
              <w14:schemeClr w14:val="tx1"/>
            </w14:solidFill>
          </w14:textFill>
        </w:rPr>
        <w:t>加强对灵川县乡镇生活污水处理项目的长效管理，确保</w:t>
      </w:r>
      <w:r>
        <w:rPr>
          <w:rFonts w:hint="eastAsia" w:ascii="仿宋_GB2312" w:eastAsia="仿宋_GB2312" w:cs="仿宋_GB2312"/>
          <w:color w:val="000000" w:themeColor="text1"/>
          <w:sz w:val="24"/>
          <w14:textFill>
            <w14:solidFill>
              <w14:schemeClr w14:val="tx1"/>
            </w14:solidFill>
          </w14:textFill>
        </w:rPr>
        <w:t>已建成项目的正常运行，达到设计</w:t>
      </w:r>
      <w:r>
        <w:rPr>
          <w:rFonts w:hint="eastAsia" w:ascii="仿宋_GB2312" w:hAnsi="宋体" w:eastAsia="仿宋_GB2312" w:cs="仿宋_GB2312"/>
          <w:color w:val="000000" w:themeColor="text1"/>
          <w:sz w:val="24"/>
          <w14:textFill>
            <w14:solidFill>
              <w14:schemeClr w14:val="tx1"/>
            </w14:solidFill>
          </w14:textFill>
        </w:rPr>
        <w:t>的</w:t>
      </w:r>
      <w:r>
        <w:rPr>
          <w:rFonts w:hint="eastAsia" w:ascii="仿宋_GB2312" w:eastAsia="仿宋_GB2312" w:cs="仿宋_GB2312"/>
          <w:color w:val="000000" w:themeColor="text1"/>
          <w:sz w:val="24"/>
          <w14:textFill>
            <w14:solidFill>
              <w14:schemeClr w14:val="tx1"/>
            </w14:solidFill>
          </w14:textFill>
        </w:rPr>
        <w:t>处理效果，实现</w:t>
      </w:r>
      <w:r>
        <w:rPr>
          <w:rFonts w:hint="eastAsia" w:ascii="仿宋_GB2312" w:hAnsi="宋体" w:eastAsia="仿宋_GB2312" w:cs="仿宋_GB2312"/>
          <w:color w:val="000000" w:themeColor="text1"/>
          <w:sz w:val="24"/>
          <w14:textFill>
            <w14:solidFill>
              <w14:schemeClr w14:val="tx1"/>
            </w14:solidFill>
          </w14:textFill>
        </w:rPr>
        <w:t>“污水净化、环境美化、村庄绿化”目标，</w:t>
      </w:r>
      <w:r>
        <w:rPr>
          <w:rFonts w:hint="eastAsia" w:ascii="仿宋_GB2312" w:eastAsia="仿宋_GB2312" w:cs="仿宋_GB2312"/>
          <w:color w:val="000000" w:themeColor="text1"/>
          <w:sz w:val="24"/>
          <w14:textFill>
            <w14:solidFill>
              <w14:schemeClr w14:val="tx1"/>
            </w14:solidFill>
          </w14:textFill>
        </w:rPr>
        <w:t>结合我县实际，特制定本办法。</w:t>
      </w:r>
    </w:p>
    <w:p>
      <w:pPr>
        <w:spacing w:line="520" w:lineRule="exact"/>
        <w:ind w:right="420" w:rightChars="200" w:firstLine="964" w:firstLineChars="400"/>
        <w:rPr>
          <w:rFonts w:ascii="仿宋_GB2312" w:eastAsia="仿宋_GB2312"/>
          <w:color w:val="000000" w:themeColor="text1"/>
          <w:sz w:val="24"/>
          <w14:textFill>
            <w14:solidFill>
              <w14:schemeClr w14:val="tx1"/>
            </w14:solidFill>
          </w14:textFill>
        </w:rPr>
      </w:pPr>
      <w:r>
        <w:rPr>
          <w:rFonts w:hint="eastAsia" w:ascii="仿宋_GB2312" w:eastAsia="仿宋_GB2312" w:cs="仿宋_GB2312"/>
          <w:b/>
          <w:bCs/>
          <w:color w:val="000000" w:themeColor="text1"/>
          <w:sz w:val="24"/>
          <w14:textFill>
            <w14:solidFill>
              <w14:schemeClr w14:val="tx1"/>
            </w14:solidFill>
          </w14:textFill>
        </w:rPr>
        <w:t>第一条</w:t>
      </w:r>
      <w:r>
        <w:rPr>
          <w:rFonts w:hint="eastAsia" w:ascii="仿宋_GB2312" w:eastAsia="仿宋_GB2312" w:cs="仿宋_GB2312"/>
          <w:color w:val="000000" w:themeColor="text1"/>
          <w:sz w:val="24"/>
          <w14:textFill>
            <w14:solidFill>
              <w14:schemeClr w14:val="tx1"/>
            </w14:solidFill>
          </w14:textFill>
        </w:rPr>
        <w:t>本办法的考核对象为受委托接管</w:t>
      </w:r>
      <w:r>
        <w:rPr>
          <w:rFonts w:hint="eastAsia" w:ascii="仿宋_GB2312" w:eastAsia="仿宋_GB2312" w:cs="仿宋_GB2312"/>
          <w:color w:val="000000" w:themeColor="text1"/>
          <w:sz w:val="24"/>
          <w:lang w:eastAsia="zh-CN"/>
          <w14:textFill>
            <w14:solidFill>
              <w14:schemeClr w14:val="tx1"/>
            </w14:solidFill>
          </w14:textFill>
        </w:rPr>
        <w:t xml:space="preserve">灵川县5个镇级污水处理厂统一社会化运营服务采购 </w:t>
      </w:r>
      <w:r>
        <w:rPr>
          <w:rFonts w:hint="eastAsia" w:ascii="仿宋_GB2312" w:eastAsia="仿宋_GB2312" w:cs="仿宋_GB2312"/>
          <w:color w:val="000000" w:themeColor="text1"/>
          <w:sz w:val="24"/>
          <w14:textFill>
            <w14:solidFill>
              <w14:schemeClr w14:val="tx1"/>
            </w14:solidFill>
          </w14:textFill>
        </w:rPr>
        <w:t>的公司，考核办法适用于所有已建成并交付接管的所有污水处理项目。</w:t>
      </w:r>
    </w:p>
    <w:p>
      <w:pPr>
        <w:spacing w:line="520" w:lineRule="exact"/>
        <w:ind w:left="420" w:leftChars="200" w:right="420" w:rightChars="200" w:firstLine="472" w:firstLineChars="196"/>
        <w:rPr>
          <w:rFonts w:ascii="仿宋_GB2312" w:eastAsia="仿宋_GB2312" w:cs="仿宋_GB2312"/>
          <w:color w:val="000000" w:themeColor="text1"/>
          <w:sz w:val="24"/>
          <w14:textFill>
            <w14:solidFill>
              <w14:schemeClr w14:val="tx1"/>
            </w14:solidFill>
          </w14:textFill>
        </w:rPr>
      </w:pPr>
      <w:r>
        <w:rPr>
          <w:rFonts w:hint="eastAsia" w:ascii="仿宋_GB2312" w:eastAsia="仿宋_GB2312" w:cs="仿宋_GB2312"/>
          <w:b/>
          <w:bCs/>
          <w:color w:val="000000" w:themeColor="text1"/>
          <w:sz w:val="24"/>
          <w14:textFill>
            <w14:solidFill>
              <w14:schemeClr w14:val="tx1"/>
            </w14:solidFill>
          </w14:textFill>
        </w:rPr>
        <w:t>第二条</w:t>
      </w:r>
      <w:r>
        <w:rPr>
          <w:rFonts w:hint="eastAsia" w:ascii="仿宋_GB2312" w:eastAsia="仿宋_GB2312" w:cs="仿宋_GB2312"/>
          <w:color w:val="000000" w:themeColor="text1"/>
          <w:sz w:val="24"/>
          <w14:textFill>
            <w14:solidFill>
              <w14:schemeClr w14:val="tx1"/>
            </w14:solidFill>
          </w14:textFill>
        </w:rPr>
        <w:t>考核采取百分制，其中</w:t>
      </w:r>
      <w:r>
        <w:rPr>
          <w:rFonts w:hint="eastAsia" w:ascii="仿宋_GB2312" w:eastAsia="仿宋_GB2312" w:cs="仿宋_GB2312"/>
          <w:color w:val="000000" w:themeColor="text1"/>
          <w:sz w:val="24"/>
          <w:lang w:eastAsia="zh-CN"/>
          <w14:textFill>
            <w14:solidFill>
              <w14:schemeClr w14:val="tx1"/>
            </w14:solidFill>
          </w14:textFill>
        </w:rPr>
        <w:t>有效处理量</w:t>
      </w:r>
      <w:r>
        <w:rPr>
          <w:rFonts w:hint="eastAsia" w:ascii="仿宋_GB2312" w:eastAsia="仿宋_GB2312" w:cs="仿宋_GB2312"/>
          <w:color w:val="000000" w:themeColor="text1"/>
          <w:sz w:val="24"/>
          <w14:textFill>
            <w14:solidFill>
              <w14:schemeClr w14:val="tx1"/>
            </w14:solidFill>
          </w14:textFill>
        </w:rPr>
        <w:t>占</w:t>
      </w:r>
      <w:r>
        <w:rPr>
          <w:rFonts w:hint="eastAsia" w:ascii="仿宋_GB2312" w:eastAsia="仿宋_GB2312" w:cs="仿宋_GB2312"/>
          <w:color w:val="000000" w:themeColor="text1"/>
          <w:sz w:val="24"/>
          <w:lang w:val="en-US" w:eastAsia="zh-CN"/>
          <w14:textFill>
            <w14:solidFill>
              <w14:schemeClr w14:val="tx1"/>
            </w14:solidFill>
          </w14:textFill>
        </w:rPr>
        <w:t>10</w:t>
      </w:r>
      <w:r>
        <w:rPr>
          <w:rFonts w:hint="eastAsia" w:ascii="仿宋_GB2312" w:eastAsia="仿宋_GB2312" w:cs="仿宋_GB2312"/>
          <w:color w:val="000000" w:themeColor="text1"/>
          <w:sz w:val="24"/>
          <w14:textFill>
            <w14:solidFill>
              <w14:schemeClr w14:val="tx1"/>
            </w14:solidFill>
          </w14:textFill>
        </w:rPr>
        <w:t>分，生产运行管理占13分，</w:t>
      </w:r>
      <w:r>
        <w:rPr>
          <w:rFonts w:hint="eastAsia" w:ascii="仿宋_GB2312" w:eastAsia="仿宋_GB2312" w:cs="仿宋_GB2312"/>
          <w:color w:val="000000" w:themeColor="text1"/>
          <w:sz w:val="24"/>
          <w:lang w:eastAsia="zh-CN"/>
          <w14:textFill>
            <w14:solidFill>
              <w14:schemeClr w14:val="tx1"/>
            </w14:solidFill>
          </w14:textFill>
        </w:rPr>
        <w:t>设备设施管理</w:t>
      </w:r>
      <w:r>
        <w:rPr>
          <w:rFonts w:hint="eastAsia" w:ascii="仿宋_GB2312" w:eastAsia="仿宋_GB2312" w:cs="仿宋_GB2312"/>
          <w:color w:val="000000" w:themeColor="text1"/>
          <w:sz w:val="24"/>
          <w14:textFill>
            <w14:solidFill>
              <w14:schemeClr w14:val="tx1"/>
            </w14:solidFill>
          </w14:textFill>
        </w:rPr>
        <w:t>占</w:t>
      </w:r>
      <w:r>
        <w:rPr>
          <w:rFonts w:hint="eastAsia" w:ascii="仿宋_GB2312" w:eastAsia="仿宋_GB2312" w:cs="仿宋_GB2312"/>
          <w:color w:val="000000" w:themeColor="text1"/>
          <w:sz w:val="24"/>
          <w:lang w:val="en-US" w:eastAsia="zh-CN"/>
          <w14:textFill>
            <w14:solidFill>
              <w14:schemeClr w14:val="tx1"/>
            </w14:solidFill>
          </w14:textFill>
        </w:rPr>
        <w:t>11</w:t>
      </w:r>
      <w:r>
        <w:rPr>
          <w:rFonts w:hint="eastAsia" w:ascii="仿宋_GB2312" w:eastAsia="仿宋_GB2312" w:cs="仿宋_GB2312"/>
          <w:color w:val="000000" w:themeColor="text1"/>
          <w:sz w:val="24"/>
          <w14:textFill>
            <w14:solidFill>
              <w14:schemeClr w14:val="tx1"/>
            </w14:solidFill>
          </w14:textFill>
        </w:rPr>
        <w:t>分，</w:t>
      </w:r>
      <w:r>
        <w:rPr>
          <w:rFonts w:hint="eastAsia" w:ascii="仿宋_GB2312" w:eastAsia="仿宋_GB2312" w:cs="仿宋_GB2312"/>
          <w:color w:val="000000" w:themeColor="text1"/>
          <w:sz w:val="24"/>
          <w:lang w:eastAsia="zh-CN"/>
          <w14:textFill>
            <w14:solidFill>
              <w14:schemeClr w14:val="tx1"/>
            </w14:solidFill>
          </w14:textFill>
        </w:rPr>
        <w:t>水质分析</w:t>
      </w:r>
      <w:r>
        <w:rPr>
          <w:rFonts w:hint="eastAsia" w:ascii="仿宋_GB2312" w:eastAsia="仿宋_GB2312" w:cs="仿宋_GB2312"/>
          <w:color w:val="000000" w:themeColor="text1"/>
          <w:sz w:val="24"/>
          <w14:textFill>
            <w14:solidFill>
              <w14:schemeClr w14:val="tx1"/>
            </w14:solidFill>
          </w14:textFill>
        </w:rPr>
        <w:t>占</w:t>
      </w:r>
      <w:r>
        <w:rPr>
          <w:rFonts w:hint="eastAsia" w:ascii="仿宋_GB2312" w:eastAsia="仿宋_GB2312" w:cs="仿宋_GB2312"/>
          <w:color w:val="000000" w:themeColor="text1"/>
          <w:sz w:val="24"/>
          <w:lang w:val="en-US" w:eastAsia="zh-CN"/>
          <w14:textFill>
            <w14:solidFill>
              <w14:schemeClr w14:val="tx1"/>
            </w14:solidFill>
          </w14:textFill>
        </w:rPr>
        <w:t>13</w:t>
      </w:r>
      <w:r>
        <w:rPr>
          <w:rFonts w:hint="eastAsia" w:ascii="仿宋_GB2312" w:eastAsia="仿宋_GB2312" w:cs="仿宋_GB2312"/>
          <w:color w:val="000000" w:themeColor="text1"/>
          <w:sz w:val="24"/>
          <w14:textFill>
            <w14:solidFill>
              <w14:schemeClr w14:val="tx1"/>
            </w14:solidFill>
          </w14:textFill>
        </w:rPr>
        <w:t>分，安全管理占</w:t>
      </w:r>
      <w:r>
        <w:rPr>
          <w:rFonts w:hint="eastAsia" w:ascii="仿宋_GB2312" w:eastAsia="仿宋_GB2312" w:cs="仿宋_GB2312"/>
          <w:color w:val="000000" w:themeColor="text1"/>
          <w:sz w:val="24"/>
          <w:lang w:val="en-US" w:eastAsia="zh-CN"/>
          <w14:textFill>
            <w14:solidFill>
              <w14:schemeClr w14:val="tx1"/>
            </w14:solidFill>
          </w14:textFill>
        </w:rPr>
        <w:t>9</w:t>
      </w:r>
      <w:r>
        <w:rPr>
          <w:rFonts w:hint="eastAsia" w:ascii="仿宋_GB2312" w:eastAsia="仿宋_GB2312" w:cs="仿宋_GB2312"/>
          <w:color w:val="000000" w:themeColor="text1"/>
          <w:sz w:val="24"/>
          <w14:textFill>
            <w14:solidFill>
              <w14:schemeClr w14:val="tx1"/>
            </w14:solidFill>
          </w14:textFill>
        </w:rPr>
        <w:t>分，</w:t>
      </w:r>
      <w:r>
        <w:rPr>
          <w:rFonts w:hint="eastAsia" w:ascii="仿宋_GB2312" w:eastAsia="仿宋_GB2312" w:cs="仿宋_GB2312"/>
          <w:color w:val="000000" w:themeColor="text1"/>
          <w:sz w:val="24"/>
          <w:lang w:eastAsia="zh-CN"/>
          <w14:textFill>
            <w14:solidFill>
              <w14:schemeClr w14:val="tx1"/>
            </w14:solidFill>
          </w14:textFill>
        </w:rPr>
        <w:t>能耗及成本</w:t>
      </w:r>
      <w:r>
        <w:rPr>
          <w:rFonts w:hint="eastAsia" w:ascii="仿宋_GB2312" w:eastAsia="仿宋_GB2312" w:cs="仿宋_GB2312"/>
          <w:color w:val="000000" w:themeColor="text1"/>
          <w:sz w:val="24"/>
          <w14:textFill>
            <w14:solidFill>
              <w14:schemeClr w14:val="tx1"/>
            </w14:solidFill>
          </w14:textFill>
        </w:rPr>
        <w:t>占</w:t>
      </w:r>
      <w:r>
        <w:rPr>
          <w:rFonts w:hint="eastAsia" w:ascii="仿宋_GB2312" w:eastAsia="仿宋_GB2312" w:cs="仿宋_GB2312"/>
          <w:color w:val="000000" w:themeColor="text1"/>
          <w:sz w:val="24"/>
          <w:lang w:val="en-US" w:eastAsia="zh-CN"/>
          <w14:textFill>
            <w14:solidFill>
              <w14:schemeClr w14:val="tx1"/>
            </w14:solidFill>
          </w14:textFill>
        </w:rPr>
        <w:t>5</w:t>
      </w:r>
      <w:r>
        <w:rPr>
          <w:rFonts w:hint="eastAsia" w:ascii="仿宋_GB2312" w:eastAsia="仿宋_GB2312" w:cs="仿宋_GB2312"/>
          <w:color w:val="000000" w:themeColor="text1"/>
          <w:sz w:val="24"/>
          <w14:textFill>
            <w14:solidFill>
              <w14:schemeClr w14:val="tx1"/>
            </w14:solidFill>
          </w14:textFill>
        </w:rPr>
        <w:t>分</w:t>
      </w:r>
      <w:r>
        <w:rPr>
          <w:rFonts w:hint="eastAsia" w:ascii="仿宋_GB2312" w:eastAsia="仿宋_GB2312" w:cs="仿宋_GB2312"/>
          <w:color w:val="000000" w:themeColor="text1"/>
          <w:sz w:val="24"/>
          <w:lang w:eastAsia="zh-CN"/>
          <w14:textFill>
            <w14:solidFill>
              <w14:schemeClr w14:val="tx1"/>
            </w14:solidFill>
          </w14:textFill>
        </w:rPr>
        <w:t>，其他方面</w:t>
      </w:r>
      <w:r>
        <w:rPr>
          <w:rFonts w:hint="eastAsia" w:ascii="仿宋_GB2312" w:eastAsia="仿宋_GB2312" w:cs="仿宋_GB2312"/>
          <w:color w:val="000000" w:themeColor="text1"/>
          <w:sz w:val="24"/>
          <w14:textFill>
            <w14:solidFill>
              <w14:schemeClr w14:val="tx1"/>
            </w14:solidFill>
          </w14:textFill>
        </w:rPr>
        <w:t>占</w:t>
      </w:r>
      <w:r>
        <w:rPr>
          <w:rFonts w:hint="eastAsia" w:ascii="仿宋_GB2312" w:eastAsia="仿宋_GB2312" w:cs="仿宋_GB2312"/>
          <w:color w:val="000000" w:themeColor="text1"/>
          <w:sz w:val="24"/>
          <w:lang w:val="en-US" w:eastAsia="zh-CN"/>
          <w14:textFill>
            <w14:solidFill>
              <w14:schemeClr w14:val="tx1"/>
            </w14:solidFill>
          </w14:textFill>
        </w:rPr>
        <w:t>9</w:t>
      </w:r>
      <w:r>
        <w:rPr>
          <w:rFonts w:hint="eastAsia" w:ascii="仿宋_GB2312" w:eastAsia="仿宋_GB2312" w:cs="仿宋_GB2312"/>
          <w:color w:val="000000" w:themeColor="text1"/>
          <w:sz w:val="24"/>
          <w14:textFill>
            <w14:solidFill>
              <w14:schemeClr w14:val="tx1"/>
            </w14:solidFill>
          </w14:textFill>
        </w:rPr>
        <w:t>分</w:t>
      </w:r>
      <w:r>
        <w:rPr>
          <w:rFonts w:hint="eastAsia" w:ascii="仿宋_GB2312" w:eastAsia="仿宋_GB2312" w:cs="仿宋_GB2312"/>
          <w:color w:val="000000" w:themeColor="text1"/>
          <w:sz w:val="24"/>
          <w:lang w:eastAsia="zh-CN"/>
          <w14:textFill>
            <w14:solidFill>
              <w14:schemeClr w14:val="tx1"/>
            </w14:solidFill>
          </w14:textFill>
        </w:rPr>
        <w:t>，污染源在线自动监控设施运行管理占</w:t>
      </w:r>
      <w:r>
        <w:rPr>
          <w:rFonts w:hint="eastAsia" w:ascii="仿宋_GB2312" w:eastAsia="仿宋_GB2312" w:cs="仿宋_GB2312"/>
          <w:color w:val="000000" w:themeColor="text1"/>
          <w:sz w:val="24"/>
          <w:lang w:val="en-US" w:eastAsia="zh-CN"/>
          <w14:textFill>
            <w14:solidFill>
              <w14:schemeClr w14:val="tx1"/>
            </w14:solidFill>
          </w14:textFill>
        </w:rPr>
        <w:t>30分</w:t>
      </w:r>
      <w:r>
        <w:rPr>
          <w:rFonts w:hint="eastAsia" w:ascii="仿宋_GB2312" w:eastAsia="仿宋_GB2312" w:cs="仿宋_GB2312"/>
          <w:color w:val="000000" w:themeColor="text1"/>
          <w:sz w:val="24"/>
          <w14:textFill>
            <w14:solidFill>
              <w14:schemeClr w14:val="tx1"/>
            </w14:solidFill>
          </w14:textFill>
        </w:rPr>
        <w:t>。（具体考核细则见</w:t>
      </w:r>
      <w:r>
        <w:rPr>
          <w:rFonts w:hint="eastAsia" w:ascii="仿宋_GB2312" w:eastAsia="仿宋_GB2312" w:cs="仿宋_GB2312"/>
          <w:color w:val="000000" w:themeColor="text1"/>
          <w:sz w:val="24"/>
          <w:lang w:eastAsia="zh-CN"/>
          <w14:textFill>
            <w14:solidFill>
              <w14:schemeClr w14:val="tx1"/>
            </w14:solidFill>
          </w14:textFill>
        </w:rPr>
        <w:t>附件</w:t>
      </w:r>
      <w:r>
        <w:rPr>
          <w:rFonts w:hint="eastAsia" w:ascii="仿宋_GB2312" w:eastAsia="仿宋_GB2312" w:cs="仿宋_GB2312"/>
          <w:color w:val="000000" w:themeColor="text1"/>
          <w:sz w:val="24"/>
          <w14:textFill>
            <w14:solidFill>
              <w14:schemeClr w14:val="tx1"/>
            </w14:solidFill>
          </w14:textFill>
        </w:rPr>
        <w:t>二）。</w:t>
      </w:r>
    </w:p>
    <w:p>
      <w:pPr>
        <w:spacing w:line="520" w:lineRule="exact"/>
        <w:ind w:left="420" w:leftChars="200" w:right="420" w:rightChars="200" w:firstLine="472" w:firstLineChars="196"/>
        <w:rPr>
          <w:rFonts w:ascii="仿宋_GB2312" w:eastAsia="仿宋_GB2312"/>
          <w:b/>
          <w:bCs/>
          <w:color w:val="000000" w:themeColor="text1"/>
          <w:sz w:val="24"/>
          <w14:textFill>
            <w14:solidFill>
              <w14:schemeClr w14:val="tx1"/>
            </w14:solidFill>
          </w14:textFill>
        </w:rPr>
      </w:pPr>
      <w:r>
        <w:rPr>
          <w:rFonts w:hint="eastAsia" w:ascii="仿宋_GB2312" w:eastAsia="仿宋_GB2312" w:cs="仿宋_GB2312"/>
          <w:b/>
          <w:bCs/>
          <w:color w:val="000000" w:themeColor="text1"/>
          <w:sz w:val="24"/>
          <w14:textFill>
            <w14:solidFill>
              <w14:schemeClr w14:val="tx1"/>
            </w14:solidFill>
          </w14:textFill>
        </w:rPr>
        <w:t>第三条</w:t>
      </w:r>
      <w:r>
        <w:rPr>
          <w:rFonts w:hint="eastAsia" w:ascii="仿宋_GB2312" w:eastAsia="仿宋_GB2312" w:cs="仿宋_GB2312"/>
          <w:color w:val="000000" w:themeColor="text1"/>
          <w:sz w:val="24"/>
          <w14:textFill>
            <w14:solidFill>
              <w14:schemeClr w14:val="tx1"/>
            </w14:solidFill>
          </w14:textFill>
        </w:rPr>
        <w:t>根据生活污水处理工程实际，进出水处理达到设计的处理效果。</w:t>
      </w:r>
    </w:p>
    <w:p>
      <w:pPr>
        <w:spacing w:line="520" w:lineRule="exact"/>
        <w:ind w:left="420" w:leftChars="200" w:right="420" w:rightChars="200" w:firstLine="472" w:firstLineChars="196"/>
        <w:rPr>
          <w:rFonts w:ascii="仿宋_GB2312" w:eastAsia="仿宋_GB2312"/>
          <w:color w:val="000000" w:themeColor="text1"/>
          <w:sz w:val="24"/>
          <w14:textFill>
            <w14:solidFill>
              <w14:schemeClr w14:val="tx1"/>
            </w14:solidFill>
          </w14:textFill>
        </w:rPr>
      </w:pPr>
      <w:r>
        <w:rPr>
          <w:rFonts w:hint="eastAsia" w:ascii="仿宋_GB2312" w:eastAsia="仿宋_GB2312" w:cs="仿宋_GB2312"/>
          <w:b/>
          <w:bCs/>
          <w:color w:val="000000" w:themeColor="text1"/>
          <w:sz w:val="24"/>
          <w14:textFill>
            <w14:solidFill>
              <w14:schemeClr w14:val="tx1"/>
            </w14:solidFill>
          </w14:textFill>
        </w:rPr>
        <w:t>第四条</w:t>
      </w:r>
      <w:r>
        <w:rPr>
          <w:rFonts w:hint="eastAsia" w:ascii="仿宋_GB2312" w:eastAsia="仿宋_GB2312" w:cs="仿宋_GB2312"/>
          <w:color w:val="000000" w:themeColor="text1"/>
          <w:sz w:val="24"/>
          <w14:textFill>
            <w14:solidFill>
              <w14:schemeClr w14:val="tx1"/>
            </w14:solidFill>
          </w14:textFill>
        </w:rPr>
        <w:t>污水运行维护资金额按实际考核成绩，根据考核成绩拨付运维费用。</w:t>
      </w:r>
    </w:p>
    <w:p>
      <w:pPr>
        <w:spacing w:line="520" w:lineRule="exact"/>
        <w:ind w:left="420" w:leftChars="200" w:right="420" w:rightChars="200" w:firstLine="472" w:firstLineChars="196"/>
        <w:rPr>
          <w:rFonts w:ascii="仿宋_GB2312" w:eastAsia="仿宋_GB2312" w:cs="仿宋_GB2312"/>
          <w:color w:val="000000" w:themeColor="text1"/>
          <w:sz w:val="24"/>
          <w14:textFill>
            <w14:solidFill>
              <w14:schemeClr w14:val="tx1"/>
            </w14:solidFill>
          </w14:textFill>
        </w:rPr>
      </w:pPr>
      <w:r>
        <w:rPr>
          <w:rFonts w:hint="eastAsia" w:ascii="仿宋_GB2312" w:eastAsia="仿宋_GB2312" w:cs="仿宋_GB2312"/>
          <w:b/>
          <w:bCs/>
          <w:color w:val="000000" w:themeColor="text1"/>
          <w:sz w:val="24"/>
          <w14:textFill>
            <w14:solidFill>
              <w14:schemeClr w14:val="tx1"/>
            </w14:solidFill>
          </w14:textFill>
        </w:rPr>
        <w:t>第五条</w:t>
      </w:r>
      <w:r>
        <w:rPr>
          <w:rFonts w:hint="eastAsia" w:ascii="仿宋_GB2312" w:eastAsia="仿宋_GB2312" w:cs="仿宋_GB2312"/>
          <w:color w:val="000000" w:themeColor="text1"/>
          <w:sz w:val="24"/>
          <w14:textFill>
            <w14:solidFill>
              <w14:schemeClr w14:val="tx1"/>
            </w14:solidFill>
          </w14:textFill>
        </w:rPr>
        <w:t xml:space="preserve">  考核以灵川县5个污水处理厂项目点为单位，根据考核成绩，对运营公司的运行资金予以相应扣减。</w:t>
      </w:r>
    </w:p>
    <w:p>
      <w:pPr>
        <w:spacing w:line="520" w:lineRule="exact"/>
        <w:ind w:left="420" w:leftChars="200" w:right="420" w:rightChars="200" w:firstLine="472" w:firstLineChars="196"/>
        <w:rPr>
          <w:rFonts w:ascii="仿宋_GB2312" w:eastAsia="仿宋_GB2312"/>
          <w:color w:val="000000" w:themeColor="text1"/>
          <w:sz w:val="24"/>
          <w14:textFill>
            <w14:solidFill>
              <w14:schemeClr w14:val="tx1"/>
            </w14:solidFill>
          </w14:textFill>
        </w:rPr>
      </w:pPr>
      <w:r>
        <w:rPr>
          <w:rFonts w:hint="eastAsia" w:ascii="仿宋_GB2312" w:eastAsia="仿宋_GB2312" w:cs="仿宋_GB2312"/>
          <w:b/>
          <w:bCs/>
          <w:color w:val="000000" w:themeColor="text1"/>
          <w:sz w:val="24"/>
          <w14:textFill>
            <w14:solidFill>
              <w14:schemeClr w14:val="tx1"/>
            </w14:solidFill>
          </w14:textFill>
        </w:rPr>
        <w:t>第六条</w:t>
      </w:r>
      <w:r>
        <w:rPr>
          <w:rFonts w:hint="eastAsia" w:ascii="仿宋_GB2312" w:eastAsia="仿宋_GB2312" w:cs="仿宋_GB2312"/>
          <w:color w:val="000000" w:themeColor="text1"/>
          <w:kern w:val="0"/>
          <w:sz w:val="24"/>
          <w14:textFill>
            <w14:solidFill>
              <w14:schemeClr w14:val="tx1"/>
            </w14:solidFill>
          </w14:textFill>
        </w:rPr>
        <w:t>考核采取对污水处理工程随机不定期抽检方式进行，每年抽检不少于</w:t>
      </w:r>
      <w:r>
        <w:rPr>
          <w:rFonts w:ascii="仿宋_GB2312" w:eastAsia="仿宋_GB2312" w:cs="仿宋_GB2312"/>
          <w:color w:val="000000" w:themeColor="text1"/>
          <w:kern w:val="0"/>
          <w:sz w:val="24"/>
          <w14:textFill>
            <w14:solidFill>
              <w14:schemeClr w14:val="tx1"/>
            </w14:solidFill>
          </w14:textFill>
        </w:rPr>
        <w:t>4</w:t>
      </w:r>
      <w:r>
        <w:rPr>
          <w:rFonts w:hint="eastAsia" w:ascii="仿宋_GB2312" w:eastAsia="仿宋_GB2312" w:cs="仿宋_GB2312"/>
          <w:color w:val="000000" w:themeColor="text1"/>
          <w:kern w:val="0"/>
          <w:sz w:val="24"/>
          <w14:textFill>
            <w14:solidFill>
              <w14:schemeClr w14:val="tx1"/>
            </w14:solidFill>
          </w14:textFill>
        </w:rPr>
        <w:t>次，上一次抽检不合格的项目点，属下一次必检的增加工程。由委托方按季度和年度进行考核。</w:t>
      </w:r>
    </w:p>
    <w:p>
      <w:pPr>
        <w:spacing w:line="520" w:lineRule="exact"/>
        <w:ind w:left="420" w:leftChars="200" w:right="420" w:rightChars="200" w:firstLine="630"/>
        <w:rPr>
          <w:rFonts w:ascii="仿宋_GB2312" w:eastAsia="仿宋_GB2312"/>
          <w:color w:val="000000" w:themeColor="text1"/>
          <w:spacing w:val="-4"/>
          <w:sz w:val="24"/>
          <w14:textFill>
            <w14:solidFill>
              <w14:schemeClr w14:val="tx1"/>
            </w14:solidFill>
          </w14:textFill>
        </w:rPr>
      </w:pPr>
      <w:r>
        <w:rPr>
          <w:rFonts w:hint="eastAsia" w:ascii="仿宋_GB2312" w:eastAsia="仿宋_GB2312" w:cs="仿宋_GB2312"/>
          <w:b/>
          <w:bCs/>
          <w:color w:val="000000" w:themeColor="text1"/>
          <w:kern w:val="0"/>
          <w:sz w:val="24"/>
          <w14:textFill>
            <w14:solidFill>
              <w14:schemeClr w14:val="tx1"/>
            </w14:solidFill>
          </w14:textFill>
        </w:rPr>
        <w:t>第七条</w:t>
      </w:r>
      <w:r>
        <w:rPr>
          <w:rFonts w:hint="eastAsia" w:ascii="仿宋_GB2312" w:eastAsia="仿宋_GB2312" w:cs="仿宋_GB2312"/>
          <w:color w:val="000000" w:themeColor="text1"/>
          <w:sz w:val="24"/>
          <w14:textFill>
            <w14:solidFill>
              <w14:schemeClr w14:val="tx1"/>
            </w14:solidFill>
          </w14:textFill>
        </w:rPr>
        <w:t>污水运行维护资金与季度考核结果相挂钩，各污水处理项目点季度考核分值按以下办法确定：全年四个季度考核，按季度考核分值拨付运营维护资金。季度考核分值在90分（含）以上的，全额拨付运行维护资金；考核分值在</w:t>
      </w:r>
      <w:r>
        <w:rPr>
          <w:rFonts w:ascii="仿宋_GB2312" w:eastAsia="仿宋_GB2312" w:cs="仿宋_GB2312"/>
          <w:color w:val="000000" w:themeColor="text1"/>
          <w:sz w:val="24"/>
          <w14:textFill>
            <w14:solidFill>
              <w14:schemeClr w14:val="tx1"/>
            </w14:solidFill>
          </w14:textFill>
        </w:rPr>
        <w:t>80</w:t>
      </w:r>
      <w:r>
        <w:rPr>
          <w:rFonts w:hint="eastAsia" w:ascii="仿宋_GB2312" w:eastAsia="仿宋_GB2312" w:cs="仿宋_GB2312"/>
          <w:color w:val="000000" w:themeColor="text1"/>
          <w:sz w:val="24"/>
          <w14:textFill>
            <w14:solidFill>
              <w14:schemeClr w14:val="tx1"/>
            </w14:solidFill>
          </w14:textFill>
        </w:rPr>
        <w:t>分（含）</w:t>
      </w:r>
      <w:r>
        <w:rPr>
          <w:rFonts w:ascii="仿宋_GB2312" w:eastAsia="仿宋_GB2312"/>
          <w:color w:val="000000" w:themeColor="text1"/>
          <w:sz w:val="24"/>
          <w14:textFill>
            <w14:solidFill>
              <w14:schemeClr w14:val="tx1"/>
            </w14:solidFill>
          </w14:textFill>
        </w:rPr>
        <w:t>—</w:t>
      </w:r>
      <w:r>
        <w:rPr>
          <w:rFonts w:ascii="仿宋_GB2312" w:eastAsia="仿宋_GB2312" w:cs="仿宋_GB2312"/>
          <w:color w:val="000000" w:themeColor="text1"/>
          <w:sz w:val="24"/>
          <w14:textFill>
            <w14:solidFill>
              <w14:schemeClr w14:val="tx1"/>
            </w14:solidFill>
          </w14:textFill>
        </w:rPr>
        <w:t>90</w:t>
      </w:r>
      <w:r>
        <w:rPr>
          <w:rFonts w:hint="eastAsia" w:ascii="仿宋_GB2312" w:eastAsia="仿宋_GB2312" w:cs="仿宋_GB2312"/>
          <w:color w:val="000000" w:themeColor="text1"/>
          <w:sz w:val="24"/>
          <w14:textFill>
            <w14:solidFill>
              <w14:schemeClr w14:val="tx1"/>
            </w14:solidFill>
          </w14:textFill>
        </w:rPr>
        <w:t>分的，拨付9</w:t>
      </w:r>
      <w:r>
        <w:rPr>
          <w:rFonts w:ascii="仿宋_GB2312" w:eastAsia="仿宋_GB2312" w:cs="仿宋_GB2312"/>
          <w:color w:val="000000" w:themeColor="text1"/>
          <w:sz w:val="24"/>
          <w14:textFill>
            <w14:solidFill>
              <w14:schemeClr w14:val="tx1"/>
            </w14:solidFill>
          </w14:textFill>
        </w:rPr>
        <w:t>0%</w:t>
      </w:r>
      <w:r>
        <w:rPr>
          <w:rFonts w:hint="eastAsia" w:ascii="仿宋_GB2312" w:eastAsia="仿宋_GB2312" w:cs="仿宋_GB2312"/>
          <w:color w:val="000000" w:themeColor="text1"/>
          <w:sz w:val="24"/>
          <w14:textFill>
            <w14:solidFill>
              <w14:schemeClr w14:val="tx1"/>
            </w14:solidFill>
          </w14:textFill>
        </w:rPr>
        <w:t>的运行维护资金；考核分值在70分（含）</w:t>
      </w:r>
      <w:r>
        <w:rPr>
          <w:rFonts w:ascii="仿宋_GB2312" w:eastAsia="仿宋_GB2312"/>
          <w:color w:val="000000" w:themeColor="text1"/>
          <w:sz w:val="24"/>
          <w14:textFill>
            <w14:solidFill>
              <w14:schemeClr w14:val="tx1"/>
            </w14:solidFill>
          </w14:textFill>
        </w:rPr>
        <w:t>—</w:t>
      </w:r>
      <w:r>
        <w:rPr>
          <w:rFonts w:ascii="仿宋_GB2312" w:eastAsia="仿宋_GB2312" w:cs="仿宋_GB2312"/>
          <w:color w:val="000000" w:themeColor="text1"/>
          <w:sz w:val="24"/>
          <w14:textFill>
            <w14:solidFill>
              <w14:schemeClr w14:val="tx1"/>
            </w14:solidFill>
          </w14:textFill>
        </w:rPr>
        <w:t>80</w:t>
      </w:r>
      <w:r>
        <w:rPr>
          <w:rFonts w:hint="eastAsia" w:ascii="仿宋_GB2312" w:eastAsia="仿宋_GB2312" w:cs="仿宋_GB2312"/>
          <w:color w:val="000000" w:themeColor="text1"/>
          <w:sz w:val="24"/>
          <w14:textFill>
            <w14:solidFill>
              <w14:schemeClr w14:val="tx1"/>
            </w14:solidFill>
          </w14:textFill>
        </w:rPr>
        <w:t>分的，拨付8</w:t>
      </w:r>
      <w:r>
        <w:rPr>
          <w:rFonts w:ascii="仿宋_GB2312" w:eastAsia="仿宋_GB2312" w:cs="仿宋_GB2312"/>
          <w:color w:val="000000" w:themeColor="text1"/>
          <w:sz w:val="24"/>
          <w14:textFill>
            <w14:solidFill>
              <w14:schemeClr w14:val="tx1"/>
            </w14:solidFill>
          </w14:textFill>
        </w:rPr>
        <w:t>0%</w:t>
      </w:r>
      <w:r>
        <w:rPr>
          <w:rFonts w:hint="eastAsia" w:ascii="仿宋_GB2312" w:eastAsia="仿宋_GB2312" w:cs="仿宋_GB2312"/>
          <w:color w:val="000000" w:themeColor="text1"/>
          <w:sz w:val="24"/>
          <w14:textFill>
            <w14:solidFill>
              <w14:schemeClr w14:val="tx1"/>
            </w14:solidFill>
          </w14:textFill>
        </w:rPr>
        <w:t>的补助资金；考核分值在60分（含）</w:t>
      </w:r>
      <w:r>
        <w:rPr>
          <w:rFonts w:ascii="仿宋_GB2312" w:eastAsia="仿宋_GB2312"/>
          <w:color w:val="000000" w:themeColor="text1"/>
          <w:sz w:val="24"/>
          <w14:textFill>
            <w14:solidFill>
              <w14:schemeClr w14:val="tx1"/>
            </w14:solidFill>
          </w14:textFill>
        </w:rPr>
        <w:t>—</w:t>
      </w:r>
      <w:r>
        <w:rPr>
          <w:rFonts w:hint="eastAsia" w:ascii="仿宋_GB2312" w:eastAsia="仿宋_GB2312" w:cs="仿宋_GB2312"/>
          <w:color w:val="000000" w:themeColor="text1"/>
          <w:sz w:val="24"/>
          <w14:textFill>
            <w14:solidFill>
              <w14:schemeClr w14:val="tx1"/>
            </w14:solidFill>
          </w14:textFill>
        </w:rPr>
        <w:t>7</w:t>
      </w:r>
      <w:r>
        <w:rPr>
          <w:rFonts w:ascii="仿宋_GB2312" w:eastAsia="仿宋_GB2312" w:cs="仿宋_GB2312"/>
          <w:color w:val="000000" w:themeColor="text1"/>
          <w:sz w:val="24"/>
          <w14:textFill>
            <w14:solidFill>
              <w14:schemeClr w14:val="tx1"/>
            </w14:solidFill>
          </w14:textFill>
        </w:rPr>
        <w:t>0</w:t>
      </w:r>
      <w:r>
        <w:rPr>
          <w:rFonts w:hint="eastAsia" w:ascii="仿宋_GB2312" w:eastAsia="仿宋_GB2312" w:cs="仿宋_GB2312"/>
          <w:color w:val="000000" w:themeColor="text1"/>
          <w:sz w:val="24"/>
          <w14:textFill>
            <w14:solidFill>
              <w14:schemeClr w14:val="tx1"/>
            </w14:solidFill>
          </w14:textFill>
        </w:rPr>
        <w:t>分的，拨付7</w:t>
      </w:r>
      <w:r>
        <w:rPr>
          <w:rFonts w:ascii="仿宋_GB2312" w:eastAsia="仿宋_GB2312" w:cs="仿宋_GB2312"/>
          <w:color w:val="000000" w:themeColor="text1"/>
          <w:sz w:val="24"/>
          <w14:textFill>
            <w14:solidFill>
              <w14:schemeClr w14:val="tx1"/>
            </w14:solidFill>
          </w14:textFill>
        </w:rPr>
        <w:t>0%</w:t>
      </w:r>
      <w:r>
        <w:rPr>
          <w:rFonts w:hint="eastAsia" w:ascii="仿宋_GB2312" w:eastAsia="仿宋_GB2312" w:cs="仿宋_GB2312"/>
          <w:color w:val="000000" w:themeColor="text1"/>
          <w:sz w:val="24"/>
          <w14:textFill>
            <w14:solidFill>
              <w14:schemeClr w14:val="tx1"/>
            </w14:solidFill>
          </w14:textFill>
        </w:rPr>
        <w:t>的补助资金；</w:t>
      </w:r>
      <w:r>
        <w:rPr>
          <w:rFonts w:ascii="仿宋_GB2312" w:eastAsia="仿宋_GB2312" w:cs="仿宋_GB2312"/>
          <w:color w:val="000000" w:themeColor="text1"/>
          <w:sz w:val="24"/>
          <w14:textFill>
            <w14:solidFill>
              <w14:schemeClr w14:val="tx1"/>
            </w14:solidFill>
          </w14:textFill>
        </w:rPr>
        <w:t>60</w:t>
      </w:r>
      <w:r>
        <w:rPr>
          <w:rFonts w:hint="eastAsia" w:ascii="仿宋_GB2312" w:eastAsia="仿宋_GB2312" w:cs="仿宋_GB2312"/>
          <w:color w:val="000000" w:themeColor="text1"/>
          <w:sz w:val="24"/>
          <w14:textFill>
            <w14:solidFill>
              <w14:schemeClr w14:val="tx1"/>
            </w14:solidFill>
          </w14:textFill>
        </w:rPr>
        <w:t>分以下的，拨付</w:t>
      </w:r>
      <w:r>
        <w:rPr>
          <w:rFonts w:ascii="仿宋_GB2312" w:eastAsia="仿宋_GB2312" w:cs="仿宋_GB2312"/>
          <w:color w:val="000000" w:themeColor="text1"/>
          <w:sz w:val="24"/>
          <w14:textFill>
            <w14:solidFill>
              <w14:schemeClr w14:val="tx1"/>
            </w14:solidFill>
          </w14:textFill>
        </w:rPr>
        <w:t>40%</w:t>
      </w:r>
      <w:r>
        <w:rPr>
          <w:rFonts w:hint="eastAsia" w:ascii="仿宋_GB2312" w:eastAsia="仿宋_GB2312" w:cs="仿宋_GB2312"/>
          <w:color w:val="000000" w:themeColor="text1"/>
          <w:sz w:val="24"/>
          <w14:textFill>
            <w14:solidFill>
              <w14:schemeClr w14:val="tx1"/>
            </w14:solidFill>
          </w14:textFill>
        </w:rPr>
        <w:t>的运行维护资金，</w:t>
      </w:r>
      <w:r>
        <w:rPr>
          <w:rFonts w:hint="eastAsia" w:ascii="仿宋_GB2312" w:eastAsia="仿宋_GB2312" w:cs="仿宋_GB2312"/>
          <w:color w:val="000000" w:themeColor="text1"/>
          <w:kern w:val="0"/>
          <w:sz w:val="24"/>
          <w14:textFill>
            <w14:solidFill>
              <w14:schemeClr w14:val="tx1"/>
            </w14:solidFill>
          </w14:textFill>
        </w:rPr>
        <w:t>同时，该季度考核视为不合格。</w:t>
      </w:r>
    </w:p>
    <w:p>
      <w:pPr>
        <w:pStyle w:val="6"/>
        <w:spacing w:line="340" w:lineRule="exact"/>
        <w:ind w:left="0" w:firstLine="964" w:firstLineChars="400"/>
        <w:jc w:val="both"/>
        <w:rPr>
          <w:rFonts w:ascii="宋体" w:hAnsi="宋体" w:cs="宋体"/>
          <w:b w:val="0"/>
          <w:bCs/>
          <w:color w:val="000000" w:themeColor="text1"/>
          <w14:textFill>
            <w14:solidFill>
              <w14:schemeClr w14:val="tx1"/>
            </w14:solidFill>
          </w14:textFill>
        </w:rPr>
      </w:pPr>
      <w:r>
        <w:rPr>
          <w:rFonts w:hint="eastAsia" w:ascii="仿宋_GB2312" w:eastAsia="仿宋_GB2312" w:cs="仿宋_GB2312"/>
          <w:bCs/>
          <w:color w:val="000000" w:themeColor="text1"/>
          <w:sz w:val="24"/>
          <w14:textFill>
            <w14:solidFill>
              <w14:schemeClr w14:val="tx1"/>
            </w14:solidFill>
          </w14:textFill>
        </w:rPr>
        <w:t>第八条</w:t>
      </w:r>
      <w:r>
        <w:rPr>
          <w:rFonts w:hint="eastAsia" w:ascii="仿宋_GB2312" w:eastAsia="仿宋_GB2312" w:cs="仿宋_GB2312"/>
          <w:b w:val="0"/>
          <w:bCs/>
          <w:color w:val="000000" w:themeColor="text1"/>
          <w:spacing w:val="-4"/>
          <w:sz w:val="24"/>
          <w14:textFill>
            <w14:solidFill>
              <w14:schemeClr w14:val="tx1"/>
            </w14:solidFill>
          </w14:textFill>
        </w:rPr>
        <w:t>本办法自合同签订之日起实行。</w:t>
      </w:r>
    </w:p>
    <w:p>
      <w:pPr>
        <w:ind w:firstLine="928" w:firstLineChars="400"/>
        <w:rPr>
          <w:rFonts w:ascii="仿宋_GB2312" w:eastAsia="仿宋_GB2312" w:cs="仿宋_GB2312"/>
          <w:color w:val="000000" w:themeColor="text1"/>
          <w:spacing w:val="-4"/>
          <w:sz w:val="24"/>
          <w14:textFill>
            <w14:solidFill>
              <w14:schemeClr w14:val="tx1"/>
            </w14:solidFill>
          </w14:textFill>
        </w:rPr>
      </w:pPr>
    </w:p>
    <w:p>
      <w:pPr>
        <w:pStyle w:val="2"/>
        <w:rPr>
          <w:color w:val="000000" w:themeColor="text1"/>
          <w14:textFill>
            <w14:solidFill>
              <w14:schemeClr w14:val="tx1"/>
            </w14:solidFill>
          </w14:textFill>
        </w:rPr>
        <w:sectPr>
          <w:footerReference r:id="rId4" w:type="default"/>
          <w:pgSz w:w="11900" w:h="16838"/>
          <w:pgMar w:top="1264" w:right="1128" w:bottom="680" w:left="1140" w:header="567" w:footer="510" w:gutter="0"/>
          <w:pgNumType w:start="1"/>
          <w:cols w:space="720" w:num="1"/>
        </w:sectPr>
      </w:pPr>
    </w:p>
    <w:p>
      <w:pPr>
        <w:pStyle w:val="22"/>
        <w:spacing w:line="400" w:lineRule="exact"/>
        <w:ind w:left="420" w:leftChars="200" w:firstLine="0" w:firstLineChars="0"/>
        <w:contextualSpacing/>
        <w:jc w:val="left"/>
        <w:rPr>
          <w:rFonts w:ascii="黑体" w:hAnsi="Times New Roman" w:eastAsia="黑体" w:cs="黑体"/>
          <w:color w:val="000000" w:themeColor="text1"/>
          <w:sz w:val="32"/>
          <w:szCs w:val="32"/>
          <w14:textFill>
            <w14:solidFill>
              <w14:schemeClr w14:val="tx1"/>
            </w14:solidFill>
          </w14:textFill>
        </w:rPr>
      </w:pPr>
      <w:r>
        <w:rPr>
          <w:rFonts w:hint="eastAsia" w:ascii="黑体" w:hAnsi="Times New Roman" w:eastAsia="黑体" w:cs="黑体"/>
          <w:color w:val="000000" w:themeColor="text1"/>
          <w:sz w:val="32"/>
          <w:szCs w:val="32"/>
          <w14:textFill>
            <w14:solidFill>
              <w14:schemeClr w14:val="tx1"/>
            </w14:solidFill>
          </w14:textFill>
        </w:rPr>
        <w:t>附件二：</w:t>
      </w:r>
    </w:p>
    <w:tbl>
      <w:tblPr>
        <w:tblStyle w:val="33"/>
        <w:tblW w:w="14640" w:type="dxa"/>
        <w:tblInd w:w="370" w:type="dxa"/>
        <w:tblLayout w:type="fixed"/>
        <w:tblCellMar>
          <w:top w:w="0" w:type="dxa"/>
          <w:left w:w="108" w:type="dxa"/>
          <w:bottom w:w="0" w:type="dxa"/>
          <w:right w:w="108" w:type="dxa"/>
        </w:tblCellMar>
      </w:tblPr>
      <w:tblGrid>
        <w:gridCol w:w="630"/>
        <w:gridCol w:w="1853"/>
        <w:gridCol w:w="1012"/>
        <w:gridCol w:w="6300"/>
        <w:gridCol w:w="3105"/>
        <w:gridCol w:w="1740"/>
      </w:tblGrid>
      <w:tr>
        <w:tblPrEx>
          <w:tblCellMar>
            <w:top w:w="0" w:type="dxa"/>
            <w:left w:w="108" w:type="dxa"/>
            <w:bottom w:w="0" w:type="dxa"/>
            <w:right w:w="108" w:type="dxa"/>
          </w:tblCellMar>
        </w:tblPrEx>
        <w:trPr>
          <w:trHeight w:val="1275" w:hRule="atLeast"/>
        </w:trPr>
        <w:tc>
          <w:tcPr>
            <w:tcW w:w="14640" w:type="dxa"/>
            <w:gridSpan w:val="6"/>
            <w:tcBorders>
              <w:top w:val="nil"/>
              <w:left w:val="nil"/>
              <w:bottom w:val="nil"/>
              <w:right w:val="nil"/>
            </w:tcBorders>
            <w:noWrap/>
            <w:vAlign w:val="center"/>
          </w:tcPr>
          <w:p>
            <w:pPr>
              <w:widowControl/>
              <w:jc w:val="center"/>
              <w:rPr>
                <w:rFonts w:ascii="宋体" w:hAnsi="宋体" w:cs="宋体"/>
                <w:b/>
                <w:bCs/>
                <w:color w:val="000000" w:themeColor="text1"/>
                <w:kern w:val="0"/>
                <w:sz w:val="40"/>
                <w:szCs w:val="40"/>
                <w14:textFill>
                  <w14:solidFill>
                    <w14:schemeClr w14:val="tx1"/>
                  </w14:solidFill>
                </w14:textFill>
              </w:rPr>
            </w:pPr>
            <w:r>
              <w:rPr>
                <w:rFonts w:hint="eastAsia" w:ascii="宋体" w:hAnsi="宋体" w:cs="宋体"/>
                <w:b/>
                <w:bCs/>
                <w:color w:val="000000" w:themeColor="text1"/>
                <w:kern w:val="0"/>
                <w:sz w:val="40"/>
                <w:szCs w:val="40"/>
                <w14:textFill>
                  <w14:solidFill>
                    <w14:schemeClr w14:val="tx1"/>
                  </w14:solidFill>
                </w14:textFill>
              </w:rPr>
              <w:t>污水处理设施运行维护管理考核评分细则表</w:t>
            </w:r>
          </w:p>
        </w:tc>
      </w:tr>
      <w:tr>
        <w:tblPrEx>
          <w:tblCellMar>
            <w:top w:w="0" w:type="dxa"/>
            <w:left w:w="108" w:type="dxa"/>
            <w:bottom w:w="0" w:type="dxa"/>
            <w:right w:w="108" w:type="dxa"/>
          </w:tblCellMar>
        </w:tblPrEx>
        <w:trPr>
          <w:trHeight w:val="600" w:hRule="atLeast"/>
        </w:trPr>
        <w:tc>
          <w:tcPr>
            <w:tcW w:w="14640" w:type="dxa"/>
            <w:gridSpan w:val="6"/>
            <w:tcBorders>
              <w:top w:val="nil"/>
              <w:left w:val="nil"/>
              <w:bottom w:val="single" w:color="auto" w:sz="4" w:space="0"/>
              <w:right w:val="nil"/>
            </w:tcBorders>
            <w:noWrap/>
            <w:vAlign w:val="center"/>
          </w:tcPr>
          <w:p>
            <w:pPr>
              <w:widowControl/>
              <w:jc w:val="left"/>
              <w:rPr>
                <w:rFonts w:ascii="宋体" w:hAnsi="宋体" w:cs="宋体"/>
                <w:color w:val="000000" w:themeColor="text1"/>
                <w:kern w:val="0"/>
                <w:sz w:val="36"/>
                <w:szCs w:val="36"/>
                <w14:textFill>
                  <w14:solidFill>
                    <w14:schemeClr w14:val="tx1"/>
                  </w14:solidFill>
                </w14:textFill>
              </w:rPr>
            </w:pPr>
            <w:r>
              <w:rPr>
                <w:rFonts w:hint="eastAsia" w:ascii="宋体" w:hAnsi="宋体" w:cs="宋体"/>
                <w:color w:val="000000" w:themeColor="text1"/>
                <w:kern w:val="0"/>
                <w:sz w:val="36"/>
                <w:szCs w:val="36"/>
                <w14:textFill>
                  <w14:solidFill>
                    <w14:schemeClr w14:val="tx1"/>
                  </w14:solidFill>
                </w14:textFill>
              </w:rPr>
              <w:t>一、有效处理量（10分）</w:t>
            </w:r>
          </w:p>
        </w:tc>
      </w:tr>
      <w:tr>
        <w:tblPrEx>
          <w:tblCellMar>
            <w:top w:w="0" w:type="dxa"/>
            <w:left w:w="108" w:type="dxa"/>
            <w:bottom w:w="0" w:type="dxa"/>
            <w:right w:w="108" w:type="dxa"/>
          </w:tblCellMar>
        </w:tblPrEx>
        <w:trPr>
          <w:trHeight w:val="340" w:hRule="atLeast"/>
        </w:trPr>
        <w:tc>
          <w:tcPr>
            <w:tcW w:w="6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序号</w:t>
            </w:r>
          </w:p>
        </w:tc>
        <w:tc>
          <w:tcPr>
            <w:tcW w:w="185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考核内容</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分值</w:t>
            </w:r>
          </w:p>
        </w:tc>
        <w:tc>
          <w:tcPr>
            <w:tcW w:w="630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评分标准</w:t>
            </w:r>
          </w:p>
        </w:tc>
        <w:tc>
          <w:tcPr>
            <w:tcW w:w="310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考核说明及依据</w:t>
            </w:r>
          </w:p>
        </w:tc>
        <w:tc>
          <w:tcPr>
            <w:tcW w:w="174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考核得分</w:t>
            </w:r>
          </w:p>
        </w:tc>
      </w:tr>
      <w:tr>
        <w:tblPrEx>
          <w:tblCellMar>
            <w:top w:w="0" w:type="dxa"/>
            <w:left w:w="108" w:type="dxa"/>
            <w:bottom w:w="0" w:type="dxa"/>
            <w:right w:w="108" w:type="dxa"/>
          </w:tblCellMar>
        </w:tblPrEx>
        <w:trPr>
          <w:trHeight w:val="842" w:hRule="atLeast"/>
        </w:trPr>
        <w:tc>
          <w:tcPr>
            <w:tcW w:w="6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185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完成设计处理水量</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w:t>
            </w:r>
          </w:p>
        </w:tc>
        <w:tc>
          <w:tcPr>
            <w:tcW w:w="630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投运1年以上三年以内：实际处理量≥设计水量的60%（负荷率）；投运三年以上：实际处理量≥设计水量的70%（负荷率），得满分，否则不得分</w:t>
            </w:r>
          </w:p>
        </w:tc>
        <w:tc>
          <w:tcPr>
            <w:tcW w:w="310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广西乡镇污水处理厂考核要求</w:t>
            </w:r>
          </w:p>
        </w:tc>
        <w:tc>
          <w:tcPr>
            <w:tcW w:w="174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rPr>
          <w:trHeight w:val="818" w:hRule="atLeast"/>
        </w:trPr>
        <w:tc>
          <w:tcPr>
            <w:tcW w:w="6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w:t>
            </w:r>
          </w:p>
        </w:tc>
        <w:tc>
          <w:tcPr>
            <w:tcW w:w="185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COD削减率</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w:t>
            </w:r>
          </w:p>
        </w:tc>
        <w:tc>
          <w:tcPr>
            <w:tcW w:w="630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得分=2×（COD年平均进水浓度－COD年平均出水浓度）/（COD设计进水浓度－COD设计出水浓度），最高分为2分</w:t>
            </w:r>
          </w:p>
        </w:tc>
        <w:tc>
          <w:tcPr>
            <w:tcW w:w="310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现场检查</w:t>
            </w:r>
          </w:p>
        </w:tc>
        <w:tc>
          <w:tcPr>
            <w:tcW w:w="174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1095" w:hRule="atLeast"/>
        </w:trPr>
        <w:tc>
          <w:tcPr>
            <w:tcW w:w="6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w:t>
            </w:r>
          </w:p>
        </w:tc>
        <w:tc>
          <w:tcPr>
            <w:tcW w:w="185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运行天数及停减产</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w:t>
            </w:r>
          </w:p>
        </w:tc>
        <w:tc>
          <w:tcPr>
            <w:tcW w:w="630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年运行天数不得少于350天。污水处理厂运行天数符合主管部门要求并保持连续运行，因故停减产程序符合要求得满分，否则每少一天扣0.2分，扣完为止。</w:t>
            </w:r>
          </w:p>
        </w:tc>
        <w:tc>
          <w:tcPr>
            <w:tcW w:w="310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74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2082" w:hRule="atLeast"/>
        </w:trPr>
        <w:tc>
          <w:tcPr>
            <w:tcW w:w="6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4</w:t>
            </w:r>
          </w:p>
        </w:tc>
        <w:tc>
          <w:tcPr>
            <w:tcW w:w="185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污泥处理、处置</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w:t>
            </w:r>
          </w:p>
        </w:tc>
        <w:tc>
          <w:tcPr>
            <w:tcW w:w="630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有污泥处置合同和科学、合理、不造成二次污染的污泥处置办法，污泥安全处置率100%得2分；不足100%的按2×污泥安全处置率计算；无污泥处置合同，不得分。 脱水后污泥含水率、污泥处置含水率一次不达标，扣0.1分；扣完1分为止。厂内处置应提供生产记录及含水率检测，厂外处置应出具厂外处置的合同、发票、含水率检测及生产记录等资料</w:t>
            </w:r>
          </w:p>
        </w:tc>
        <w:tc>
          <w:tcPr>
            <w:tcW w:w="310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城镇污水处理厂污染物排放标准</w:t>
            </w:r>
          </w:p>
        </w:tc>
        <w:tc>
          <w:tcPr>
            <w:tcW w:w="174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bl>
    <w:p>
      <w:pPr>
        <w:pStyle w:val="22"/>
        <w:spacing w:line="400" w:lineRule="exact"/>
        <w:ind w:firstLine="0" w:firstLineChars="0"/>
        <w:contextualSpacing/>
        <w:jc w:val="left"/>
        <w:rPr>
          <w:rFonts w:ascii="仿宋" w:hAnsi="仿宋" w:eastAsia="仿宋"/>
          <w:color w:val="000000" w:themeColor="text1"/>
          <w:sz w:val="24"/>
          <w14:textFill>
            <w14:solidFill>
              <w14:schemeClr w14:val="tx1"/>
            </w14:solidFill>
          </w14:textFill>
        </w:rPr>
      </w:pPr>
    </w:p>
    <w:p>
      <w:pPr>
        <w:pStyle w:val="22"/>
        <w:spacing w:line="400" w:lineRule="exact"/>
        <w:ind w:firstLine="0" w:firstLineChars="0"/>
        <w:contextualSpacing/>
        <w:jc w:val="left"/>
        <w:rPr>
          <w:rFonts w:ascii="仿宋" w:hAnsi="仿宋" w:eastAsia="仿宋"/>
          <w:color w:val="000000" w:themeColor="text1"/>
          <w:sz w:val="24"/>
          <w14:textFill>
            <w14:solidFill>
              <w14:schemeClr w14:val="tx1"/>
            </w14:solidFill>
          </w14:textFill>
        </w:rPr>
      </w:pPr>
    </w:p>
    <w:p>
      <w:pPr>
        <w:pStyle w:val="22"/>
        <w:spacing w:line="400" w:lineRule="exact"/>
        <w:ind w:firstLine="0" w:firstLineChars="0"/>
        <w:contextualSpacing/>
        <w:jc w:val="left"/>
        <w:rPr>
          <w:rFonts w:ascii="仿宋" w:hAnsi="仿宋" w:eastAsia="仿宋"/>
          <w:color w:val="000000" w:themeColor="text1"/>
          <w:sz w:val="24"/>
          <w14:textFill>
            <w14:solidFill>
              <w14:schemeClr w14:val="tx1"/>
            </w14:solidFill>
          </w14:textFill>
        </w:rPr>
      </w:pPr>
    </w:p>
    <w:p>
      <w:pPr>
        <w:pStyle w:val="22"/>
        <w:spacing w:line="400" w:lineRule="exact"/>
        <w:ind w:firstLine="0" w:firstLineChars="0"/>
        <w:contextualSpacing/>
        <w:jc w:val="left"/>
        <w:rPr>
          <w:rFonts w:ascii="仿宋" w:hAnsi="仿宋" w:eastAsia="仿宋"/>
          <w:color w:val="000000" w:themeColor="text1"/>
          <w:sz w:val="24"/>
          <w14:textFill>
            <w14:solidFill>
              <w14:schemeClr w14:val="tx1"/>
            </w14:solidFill>
          </w14:textFill>
        </w:rPr>
      </w:pPr>
    </w:p>
    <w:tbl>
      <w:tblPr>
        <w:tblStyle w:val="33"/>
        <w:tblW w:w="14360" w:type="dxa"/>
        <w:tblInd w:w="93" w:type="dxa"/>
        <w:tblLayout w:type="fixed"/>
        <w:tblCellMar>
          <w:top w:w="0" w:type="dxa"/>
          <w:left w:w="108" w:type="dxa"/>
          <w:bottom w:w="0" w:type="dxa"/>
          <w:right w:w="108" w:type="dxa"/>
        </w:tblCellMar>
      </w:tblPr>
      <w:tblGrid>
        <w:gridCol w:w="314"/>
        <w:gridCol w:w="75"/>
        <w:gridCol w:w="352"/>
        <w:gridCol w:w="772"/>
        <w:gridCol w:w="376"/>
        <w:gridCol w:w="86"/>
        <w:gridCol w:w="401"/>
        <w:gridCol w:w="5652"/>
        <w:gridCol w:w="193"/>
        <w:gridCol w:w="5005"/>
        <w:gridCol w:w="405"/>
        <w:gridCol w:w="44"/>
        <w:gridCol w:w="264"/>
        <w:gridCol w:w="297"/>
        <w:gridCol w:w="93"/>
        <w:gridCol w:w="31"/>
      </w:tblGrid>
      <w:tr>
        <w:tblPrEx>
          <w:tblCellMar>
            <w:top w:w="0" w:type="dxa"/>
            <w:left w:w="108" w:type="dxa"/>
            <w:bottom w:w="0" w:type="dxa"/>
            <w:right w:w="108" w:type="dxa"/>
          </w:tblCellMar>
        </w:tblPrEx>
        <w:trPr>
          <w:gridBefore w:val="1"/>
          <w:gridAfter w:val="3"/>
          <w:wBefore w:w="314" w:type="dxa"/>
          <w:wAfter w:w="421" w:type="dxa"/>
          <w:trHeight w:val="612" w:hRule="atLeast"/>
        </w:trPr>
        <w:tc>
          <w:tcPr>
            <w:tcW w:w="13625" w:type="dxa"/>
            <w:gridSpan w:val="12"/>
            <w:tcBorders>
              <w:top w:val="nil"/>
              <w:left w:val="nil"/>
              <w:bottom w:val="nil"/>
              <w:right w:val="nil"/>
            </w:tcBorders>
            <w:noWrap/>
            <w:vAlign w:val="center"/>
          </w:tcPr>
          <w:p>
            <w:pPr>
              <w:widowControl/>
              <w:spacing w:line="320" w:lineRule="exact"/>
              <w:jc w:val="left"/>
              <w:rPr>
                <w:rFonts w:ascii="宋体" w:hAnsi="宋体" w:cs="宋体"/>
                <w:color w:val="000000" w:themeColor="text1"/>
                <w:kern w:val="0"/>
                <w:sz w:val="36"/>
                <w:szCs w:val="36"/>
                <w14:textFill>
                  <w14:solidFill>
                    <w14:schemeClr w14:val="tx1"/>
                  </w14:solidFill>
                </w14:textFill>
              </w:rPr>
            </w:pPr>
            <w:r>
              <w:rPr>
                <w:rFonts w:hint="eastAsia" w:ascii="宋体" w:hAnsi="宋体" w:cs="宋体"/>
                <w:color w:val="000000" w:themeColor="text1"/>
                <w:kern w:val="0"/>
                <w:sz w:val="36"/>
                <w:szCs w:val="36"/>
                <w14:textFill>
                  <w14:solidFill>
                    <w14:schemeClr w14:val="tx1"/>
                  </w14:solidFill>
                </w14:textFill>
              </w:rPr>
              <w:t>二、生产运行管理（13分）</w:t>
            </w:r>
          </w:p>
        </w:tc>
      </w:tr>
      <w:tr>
        <w:tblPrEx>
          <w:tblCellMar>
            <w:top w:w="0" w:type="dxa"/>
            <w:left w:w="108" w:type="dxa"/>
            <w:bottom w:w="0" w:type="dxa"/>
            <w:right w:w="108" w:type="dxa"/>
          </w:tblCellMar>
        </w:tblPrEx>
        <w:trPr>
          <w:gridBefore w:val="1"/>
          <w:gridAfter w:val="3"/>
          <w:wBefore w:w="314" w:type="dxa"/>
          <w:wAfter w:w="421" w:type="dxa"/>
          <w:trHeight w:val="622" w:hRule="atLeast"/>
        </w:trPr>
        <w:tc>
          <w:tcPr>
            <w:tcW w:w="42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序号</w:t>
            </w:r>
          </w:p>
        </w:tc>
        <w:tc>
          <w:tcPr>
            <w:tcW w:w="11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考核内容</w:t>
            </w:r>
          </w:p>
        </w:tc>
        <w:tc>
          <w:tcPr>
            <w:tcW w:w="4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分值</w:t>
            </w:r>
          </w:p>
        </w:tc>
        <w:tc>
          <w:tcPr>
            <w:tcW w:w="56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评分标准</w:t>
            </w:r>
          </w:p>
        </w:tc>
        <w:tc>
          <w:tcPr>
            <w:tcW w:w="51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考核说明及依据</w:t>
            </w:r>
          </w:p>
        </w:tc>
        <w:tc>
          <w:tcPr>
            <w:tcW w:w="7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考核得分</w:t>
            </w:r>
          </w:p>
        </w:tc>
      </w:tr>
      <w:tr>
        <w:tblPrEx>
          <w:tblCellMar>
            <w:top w:w="0" w:type="dxa"/>
            <w:left w:w="108" w:type="dxa"/>
            <w:bottom w:w="0" w:type="dxa"/>
            <w:right w:w="108" w:type="dxa"/>
          </w:tblCellMar>
        </w:tblPrEx>
        <w:trPr>
          <w:gridBefore w:val="1"/>
          <w:gridAfter w:val="3"/>
          <w:wBefore w:w="314" w:type="dxa"/>
          <w:wAfter w:w="421" w:type="dxa"/>
          <w:trHeight w:val="653" w:hRule="atLeast"/>
        </w:trPr>
        <w:tc>
          <w:tcPr>
            <w:tcW w:w="427"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114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生产、工艺</w:t>
            </w:r>
          </w:p>
        </w:tc>
        <w:tc>
          <w:tcPr>
            <w:tcW w:w="4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56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未配有专（兼）职生产、工艺管理人员，扣1分；从岗一年以上的工艺管理人员无对应技术专业及职称，扣0.5分</w:t>
            </w:r>
          </w:p>
        </w:tc>
        <w:tc>
          <w:tcPr>
            <w:tcW w:w="51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查工艺管理人员专业技术、职称证书</w:t>
            </w:r>
          </w:p>
        </w:tc>
        <w:tc>
          <w:tcPr>
            <w:tcW w:w="713"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Before w:val="1"/>
          <w:gridAfter w:val="3"/>
          <w:wBefore w:w="314" w:type="dxa"/>
          <w:wAfter w:w="421" w:type="dxa"/>
          <w:trHeight w:val="622" w:hRule="atLeast"/>
        </w:trPr>
        <w:tc>
          <w:tcPr>
            <w:tcW w:w="427"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w:t>
            </w:r>
          </w:p>
        </w:tc>
        <w:tc>
          <w:tcPr>
            <w:tcW w:w="114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生产计划与任务</w:t>
            </w:r>
          </w:p>
        </w:tc>
        <w:tc>
          <w:tcPr>
            <w:tcW w:w="4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56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无月度、季度、年度生产及成本计划或不全，扣0.5分； 未按时、按量完成生产任务，扣0.5分</w:t>
            </w:r>
          </w:p>
        </w:tc>
        <w:tc>
          <w:tcPr>
            <w:tcW w:w="51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检查月度、季度、年度生产计划制定及完成情况</w:t>
            </w:r>
          </w:p>
        </w:tc>
        <w:tc>
          <w:tcPr>
            <w:tcW w:w="713"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Before w:val="1"/>
          <w:gridAfter w:val="3"/>
          <w:wBefore w:w="314" w:type="dxa"/>
          <w:wAfter w:w="421" w:type="dxa"/>
          <w:trHeight w:val="668" w:hRule="atLeast"/>
        </w:trPr>
        <w:tc>
          <w:tcPr>
            <w:tcW w:w="427"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w:t>
            </w:r>
          </w:p>
        </w:tc>
        <w:tc>
          <w:tcPr>
            <w:tcW w:w="114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管理制度及岗位责任制</w:t>
            </w:r>
          </w:p>
        </w:tc>
        <w:tc>
          <w:tcPr>
            <w:tcW w:w="4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56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无《运行与维护手册》，扣0.5分；无健全的管理制度及各岗位职责、岗位职责未贴示上墙、制度未执行，每处扣0.1分，扣完为止</w:t>
            </w:r>
          </w:p>
        </w:tc>
        <w:tc>
          <w:tcPr>
            <w:tcW w:w="51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p>
        </w:tc>
        <w:tc>
          <w:tcPr>
            <w:tcW w:w="713"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Before w:val="1"/>
          <w:gridAfter w:val="3"/>
          <w:wBefore w:w="314" w:type="dxa"/>
          <w:wAfter w:w="421" w:type="dxa"/>
          <w:trHeight w:val="1234" w:hRule="atLeast"/>
        </w:trPr>
        <w:tc>
          <w:tcPr>
            <w:tcW w:w="427"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4</w:t>
            </w:r>
          </w:p>
        </w:tc>
        <w:tc>
          <w:tcPr>
            <w:tcW w:w="114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工艺管理</w:t>
            </w:r>
          </w:p>
        </w:tc>
        <w:tc>
          <w:tcPr>
            <w:tcW w:w="4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56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有详细的工艺运行管理规定、工艺调度方案、工艺调度单、有年度、季度、月度工艺运行报告并分析到位，得满分；未对生产工艺各环节有明确规定的、各环节管理未量化、无责任人、无工艺单执行情况，少一项，扣0.5分，扣完为止</w:t>
            </w:r>
          </w:p>
        </w:tc>
        <w:tc>
          <w:tcPr>
            <w:tcW w:w="51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检查工艺运行管理规定制定情况、工艺月度及年度分析报告、工艺调度方案及调度单；工艺运行调控方案执行及工艺交接班记录情况</w:t>
            </w:r>
          </w:p>
        </w:tc>
        <w:tc>
          <w:tcPr>
            <w:tcW w:w="713"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Before w:val="1"/>
          <w:gridAfter w:val="3"/>
          <w:wBefore w:w="314" w:type="dxa"/>
          <w:wAfter w:w="421" w:type="dxa"/>
          <w:trHeight w:val="622" w:hRule="atLeast"/>
        </w:trPr>
        <w:tc>
          <w:tcPr>
            <w:tcW w:w="427"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5</w:t>
            </w:r>
          </w:p>
        </w:tc>
        <w:tc>
          <w:tcPr>
            <w:tcW w:w="114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操作规程</w:t>
            </w:r>
          </w:p>
        </w:tc>
        <w:tc>
          <w:tcPr>
            <w:tcW w:w="4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56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缺一项扣0.5分，扣完为止</w:t>
            </w:r>
          </w:p>
        </w:tc>
        <w:tc>
          <w:tcPr>
            <w:tcW w:w="51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各构筑物、设备、岗位、安全操作规程应健全、科学、完善；各工艺、工段有操作规程</w:t>
            </w:r>
          </w:p>
        </w:tc>
        <w:tc>
          <w:tcPr>
            <w:tcW w:w="713"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Before w:val="1"/>
          <w:gridAfter w:val="3"/>
          <w:wBefore w:w="314" w:type="dxa"/>
          <w:wAfter w:w="421" w:type="dxa"/>
          <w:trHeight w:val="2151" w:hRule="atLeast"/>
        </w:trPr>
        <w:tc>
          <w:tcPr>
            <w:tcW w:w="427"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6</w:t>
            </w:r>
          </w:p>
        </w:tc>
        <w:tc>
          <w:tcPr>
            <w:tcW w:w="114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生产运行台帐</w:t>
            </w:r>
          </w:p>
        </w:tc>
        <w:tc>
          <w:tcPr>
            <w:tcW w:w="4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w:t>
            </w:r>
          </w:p>
        </w:tc>
        <w:tc>
          <w:tcPr>
            <w:tcW w:w="56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生产运行台帐未按时填写、数据不真实，最高扣2分； 报表统计有误、不及时，扣0.5分；报表有缺失，扣0.5分</w:t>
            </w:r>
          </w:p>
        </w:tc>
        <w:tc>
          <w:tcPr>
            <w:tcW w:w="51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现场查看各岗位运行记录和统计报表，报表（含电子报表）台帐使用正常、准确；月报、年报的统计上报；数据应准确无误，字迹清晰，妥善保管，台帐整洁；台帐记录内容主要包括：水质、水量、水位、仪表、设施设备及自控仪表等运行记录和台帐；安全生产；主要工艺控制参数记录；值班过程中、交接班等记录；污泥产量、絮凝剂的配制及用量、污泥外运记录；各种能耗如水、电、气等记录；</w:t>
            </w:r>
          </w:p>
        </w:tc>
        <w:tc>
          <w:tcPr>
            <w:tcW w:w="713"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Before w:val="1"/>
          <w:gridAfter w:val="3"/>
          <w:wBefore w:w="314" w:type="dxa"/>
          <w:wAfter w:w="421" w:type="dxa"/>
          <w:trHeight w:val="535" w:hRule="atLeast"/>
        </w:trPr>
        <w:tc>
          <w:tcPr>
            <w:tcW w:w="427"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7</w:t>
            </w:r>
          </w:p>
        </w:tc>
        <w:tc>
          <w:tcPr>
            <w:tcW w:w="114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污水系统</w:t>
            </w:r>
          </w:p>
        </w:tc>
        <w:tc>
          <w:tcPr>
            <w:tcW w:w="4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w:t>
            </w:r>
          </w:p>
        </w:tc>
        <w:tc>
          <w:tcPr>
            <w:tcW w:w="56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污水处理设施运行状态、负荷、活性污泥浓度、污泥沉降比、回流比、二沉池状态等不符合要求，每项扣0.2分，扣完为止</w:t>
            </w:r>
          </w:p>
        </w:tc>
        <w:tc>
          <w:tcPr>
            <w:tcW w:w="51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根据设计对照检查，应基本符合设计要求</w:t>
            </w:r>
          </w:p>
        </w:tc>
        <w:tc>
          <w:tcPr>
            <w:tcW w:w="713"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Before w:val="1"/>
          <w:gridAfter w:val="3"/>
          <w:wBefore w:w="314" w:type="dxa"/>
          <w:wAfter w:w="421" w:type="dxa"/>
          <w:trHeight w:val="755" w:hRule="atLeast"/>
        </w:trPr>
        <w:tc>
          <w:tcPr>
            <w:tcW w:w="427"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8</w:t>
            </w:r>
          </w:p>
        </w:tc>
        <w:tc>
          <w:tcPr>
            <w:tcW w:w="114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污泥系统</w:t>
            </w:r>
          </w:p>
        </w:tc>
        <w:tc>
          <w:tcPr>
            <w:tcW w:w="4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w:t>
            </w:r>
          </w:p>
        </w:tc>
        <w:tc>
          <w:tcPr>
            <w:tcW w:w="56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污泥浓缩（调节）、脱水药剂、污泥脱水、污泥消化一处不正常，扣0.5分</w:t>
            </w:r>
          </w:p>
        </w:tc>
        <w:tc>
          <w:tcPr>
            <w:tcW w:w="51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现场查看，按照CJJ60-94《城市污水处理厂运行、维护及其安全技术规程》严格执行</w:t>
            </w:r>
          </w:p>
        </w:tc>
        <w:tc>
          <w:tcPr>
            <w:tcW w:w="713"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rPr>
          <w:gridBefore w:val="1"/>
          <w:gridAfter w:val="3"/>
          <w:wBefore w:w="314" w:type="dxa"/>
          <w:wAfter w:w="421" w:type="dxa"/>
          <w:trHeight w:val="937" w:hRule="atLeast"/>
        </w:trPr>
        <w:tc>
          <w:tcPr>
            <w:tcW w:w="427"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9</w:t>
            </w:r>
          </w:p>
        </w:tc>
        <w:tc>
          <w:tcPr>
            <w:tcW w:w="114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消毒系统</w:t>
            </w:r>
          </w:p>
        </w:tc>
        <w:tc>
          <w:tcPr>
            <w:tcW w:w="4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56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消毒设施正常运行，并有规范的安全运行场所和防护措施，得满分；消毒设施正常运行，但安全防护措施或安全防护措施不完善、消毒设施不能正常运行，不得分</w:t>
            </w:r>
          </w:p>
        </w:tc>
        <w:tc>
          <w:tcPr>
            <w:tcW w:w="51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臭氧、二氧化氯、紫外等消毒方式均应有安全运行场所和防护措施。采用液氯消毒，执行《氯气安全规程》GB11984-2008的有关规定</w:t>
            </w:r>
          </w:p>
        </w:tc>
        <w:tc>
          <w:tcPr>
            <w:tcW w:w="713"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1"/>
          <w:wAfter w:w="31" w:type="dxa"/>
          <w:trHeight w:val="622" w:hRule="atLeast"/>
        </w:trPr>
        <w:tc>
          <w:tcPr>
            <w:tcW w:w="14329" w:type="dxa"/>
            <w:gridSpan w:val="15"/>
            <w:tcBorders>
              <w:top w:val="nil"/>
              <w:left w:val="nil"/>
              <w:bottom w:val="nil"/>
              <w:right w:val="nil"/>
            </w:tcBorders>
            <w:noWrap/>
            <w:vAlign w:val="center"/>
          </w:tcPr>
          <w:p>
            <w:pPr>
              <w:widowControl/>
              <w:jc w:val="left"/>
              <w:rPr>
                <w:rFonts w:ascii="宋体" w:hAnsi="宋体" w:cs="宋体"/>
                <w:color w:val="000000" w:themeColor="text1"/>
                <w:kern w:val="0"/>
                <w:sz w:val="36"/>
                <w:szCs w:val="36"/>
                <w14:textFill>
                  <w14:solidFill>
                    <w14:schemeClr w14:val="tx1"/>
                  </w14:solidFill>
                </w14:textFill>
              </w:rPr>
            </w:pPr>
            <w:r>
              <w:rPr>
                <w:rFonts w:hint="eastAsia" w:ascii="宋体" w:hAnsi="宋体" w:cs="宋体"/>
                <w:color w:val="000000" w:themeColor="text1"/>
                <w:kern w:val="0"/>
                <w:sz w:val="36"/>
                <w:szCs w:val="36"/>
                <w14:textFill>
                  <w14:solidFill>
                    <w14:schemeClr w14:val="tx1"/>
                  </w14:solidFill>
                </w14:textFill>
              </w:rPr>
              <w:t>三、设施设备管理（11分）</w:t>
            </w:r>
          </w:p>
        </w:tc>
      </w:tr>
      <w:tr>
        <w:tblPrEx>
          <w:tblCellMar>
            <w:top w:w="0" w:type="dxa"/>
            <w:left w:w="108" w:type="dxa"/>
            <w:bottom w:w="0" w:type="dxa"/>
            <w:right w:w="108" w:type="dxa"/>
          </w:tblCellMar>
        </w:tblPrEx>
        <w:trPr>
          <w:gridAfter w:val="1"/>
          <w:wAfter w:w="31" w:type="dxa"/>
          <w:trHeight w:val="632" w:hRule="atLeast"/>
        </w:trPr>
        <w:tc>
          <w:tcPr>
            <w:tcW w:w="38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序号</w:t>
            </w:r>
          </w:p>
        </w:tc>
        <w:tc>
          <w:tcPr>
            <w:tcW w:w="11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考核内容</w:t>
            </w:r>
          </w:p>
        </w:tc>
        <w:tc>
          <w:tcPr>
            <w:tcW w:w="4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分值</w:t>
            </w:r>
          </w:p>
        </w:tc>
        <w:tc>
          <w:tcPr>
            <w:tcW w:w="624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评分标准</w:t>
            </w:r>
          </w:p>
        </w:tc>
        <w:tc>
          <w:tcPr>
            <w:tcW w:w="54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考核说明及依据</w:t>
            </w:r>
          </w:p>
        </w:tc>
        <w:tc>
          <w:tcPr>
            <w:tcW w:w="69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考核得分</w:t>
            </w:r>
          </w:p>
        </w:tc>
      </w:tr>
      <w:tr>
        <w:tblPrEx>
          <w:tblCellMar>
            <w:top w:w="0" w:type="dxa"/>
            <w:left w:w="108" w:type="dxa"/>
            <w:bottom w:w="0" w:type="dxa"/>
            <w:right w:w="108" w:type="dxa"/>
          </w:tblCellMar>
        </w:tblPrEx>
        <w:trPr>
          <w:gridAfter w:val="1"/>
          <w:wAfter w:w="31" w:type="dxa"/>
          <w:trHeight w:val="714" w:hRule="atLeast"/>
        </w:trPr>
        <w:tc>
          <w:tcPr>
            <w:tcW w:w="389"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112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spacing w:val="-11"/>
                <w:kern w:val="0"/>
                <w:sz w:val="20"/>
                <w14:textFill>
                  <w14:solidFill>
                    <w14:schemeClr w14:val="tx1"/>
                  </w14:solidFill>
                </w14:textFill>
              </w:rPr>
              <w:t>设备管理人员和设备润滑管理</w:t>
            </w:r>
          </w:p>
        </w:tc>
        <w:tc>
          <w:tcPr>
            <w:tcW w:w="46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62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未配有专（兼）职设备管理人员，扣0.5分；从岗一年以上设备管理人员无对应技术职称，扣0.25分。无设备润滑管理制度或方案，扣1.5分；无设备润滑记录表及加油记录，扣1分</w:t>
            </w:r>
          </w:p>
        </w:tc>
        <w:tc>
          <w:tcPr>
            <w:tcW w:w="54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查设备管理人员及专业技术、职称证书。查设备润滑管理方案、设备润滑周期记录表，检查维修记录单和现场</w:t>
            </w:r>
          </w:p>
        </w:tc>
        <w:tc>
          <w:tcPr>
            <w:tcW w:w="698"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1"/>
          <w:wAfter w:w="31" w:type="dxa"/>
          <w:trHeight w:val="1152" w:hRule="atLeast"/>
        </w:trPr>
        <w:tc>
          <w:tcPr>
            <w:tcW w:w="389"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w:t>
            </w:r>
          </w:p>
        </w:tc>
        <w:tc>
          <w:tcPr>
            <w:tcW w:w="112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设备运行状况</w:t>
            </w:r>
          </w:p>
        </w:tc>
        <w:tc>
          <w:tcPr>
            <w:tcW w:w="46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62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设备外观整洁；螺栓齐全牢固；油漆良好无锈蚀；设备无腐蚀，润滑充分；仪器仪表准确灵敏；附属设备工作正常；整机运行平稳可靠；使用高效节能设备；设施、设备的油箱、水泵、管道等无跑、冒、滴、漏现象；设备完好率应≥95%。设备完好率&lt;95%，扣0.5分。设备一处达不到要求扣0.1分，扣完为止</w:t>
            </w:r>
          </w:p>
        </w:tc>
        <w:tc>
          <w:tcPr>
            <w:tcW w:w="54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现场查看</w:t>
            </w:r>
          </w:p>
        </w:tc>
        <w:tc>
          <w:tcPr>
            <w:tcW w:w="698"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1"/>
          <w:wAfter w:w="31" w:type="dxa"/>
          <w:trHeight w:val="1150" w:hRule="atLeast"/>
        </w:trPr>
        <w:tc>
          <w:tcPr>
            <w:tcW w:w="389"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w:t>
            </w:r>
          </w:p>
        </w:tc>
        <w:tc>
          <w:tcPr>
            <w:tcW w:w="112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设施运行状况</w:t>
            </w:r>
          </w:p>
        </w:tc>
        <w:tc>
          <w:tcPr>
            <w:tcW w:w="46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w:t>
            </w:r>
          </w:p>
        </w:tc>
        <w:tc>
          <w:tcPr>
            <w:tcW w:w="62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污水、污泥处理单元运行正常，如遇特殊情况未生产，应有合理依据；建筑物外观整洁、无明显的破损、渗漏；池面、堰口、池壁保持清洁、完好、出水均匀；出现污水、污泥堵塞外溢时，应查找原因并立即清理；出现淤积应及时清淤。设施一处达不到要求扣0.1分，扣完为止</w:t>
            </w:r>
          </w:p>
        </w:tc>
        <w:tc>
          <w:tcPr>
            <w:tcW w:w="54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现场查看</w:t>
            </w:r>
          </w:p>
        </w:tc>
        <w:tc>
          <w:tcPr>
            <w:tcW w:w="698"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1"/>
          <w:wAfter w:w="31" w:type="dxa"/>
          <w:trHeight w:val="706" w:hRule="atLeast"/>
        </w:trPr>
        <w:tc>
          <w:tcPr>
            <w:tcW w:w="389"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4</w:t>
            </w:r>
          </w:p>
        </w:tc>
        <w:tc>
          <w:tcPr>
            <w:tcW w:w="112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自控及在线仪表运行状况</w:t>
            </w:r>
          </w:p>
        </w:tc>
        <w:tc>
          <w:tcPr>
            <w:tcW w:w="46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62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污水处理中控系统不能正常使用的不得分；控制操作、显示、数据管理、报警、打印、在线仪表等功能，一处不正常扣0.2分，扣完为止（设计中无自控及仪表的的，两年内不考核）</w:t>
            </w:r>
          </w:p>
        </w:tc>
        <w:tc>
          <w:tcPr>
            <w:tcW w:w="54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现场查看</w:t>
            </w:r>
          </w:p>
        </w:tc>
        <w:tc>
          <w:tcPr>
            <w:tcW w:w="698"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1"/>
          <w:wAfter w:w="31" w:type="dxa"/>
          <w:trHeight w:val="457" w:hRule="atLeast"/>
        </w:trPr>
        <w:tc>
          <w:tcPr>
            <w:tcW w:w="389"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5</w:t>
            </w:r>
          </w:p>
        </w:tc>
        <w:tc>
          <w:tcPr>
            <w:tcW w:w="112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大、中、小修管理</w:t>
            </w:r>
          </w:p>
        </w:tc>
        <w:tc>
          <w:tcPr>
            <w:tcW w:w="46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62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无大、中、小修管理制度及流程，不得分；大、中、小修项目台账不全，扣0.5分</w:t>
            </w:r>
          </w:p>
        </w:tc>
        <w:tc>
          <w:tcPr>
            <w:tcW w:w="54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大、中、小修要有规范的实施流程，台账完整（包括计划、审批、实施步骤、完成情况及相关验收台帐等）</w:t>
            </w:r>
          </w:p>
        </w:tc>
        <w:tc>
          <w:tcPr>
            <w:tcW w:w="698"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1"/>
          <w:wAfter w:w="31" w:type="dxa"/>
          <w:trHeight w:val="444" w:hRule="atLeast"/>
        </w:trPr>
        <w:tc>
          <w:tcPr>
            <w:tcW w:w="389"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6</w:t>
            </w:r>
          </w:p>
        </w:tc>
        <w:tc>
          <w:tcPr>
            <w:tcW w:w="112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设备档案管理</w:t>
            </w:r>
          </w:p>
        </w:tc>
        <w:tc>
          <w:tcPr>
            <w:tcW w:w="46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62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未建立详细的设备档案，不得分；设备档案资料不全，扣0.5分</w:t>
            </w:r>
          </w:p>
        </w:tc>
        <w:tc>
          <w:tcPr>
            <w:tcW w:w="54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设备建档、履历卡等齐全；有详细的设备采购、参数、使用、维修、管理等记录</w:t>
            </w:r>
          </w:p>
        </w:tc>
        <w:tc>
          <w:tcPr>
            <w:tcW w:w="698"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1"/>
          <w:wAfter w:w="31" w:type="dxa"/>
          <w:trHeight w:val="90" w:hRule="atLeast"/>
        </w:trPr>
        <w:tc>
          <w:tcPr>
            <w:tcW w:w="389"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7</w:t>
            </w:r>
          </w:p>
        </w:tc>
        <w:tc>
          <w:tcPr>
            <w:tcW w:w="112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变配电装置</w:t>
            </w:r>
          </w:p>
        </w:tc>
        <w:tc>
          <w:tcPr>
            <w:tcW w:w="46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62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供、配电装置的工作参数未在额定的允许变化范围内运行；变、配电设备未清楚标识主要开关状态；变、配电室无防潮、防雨、防小动物、门窗防护装置，每处扣0.1分，扣完为止</w:t>
            </w:r>
          </w:p>
        </w:tc>
        <w:tc>
          <w:tcPr>
            <w:tcW w:w="54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电气设备符合安全要求；变、配电装置的工作电压、工作负荷和控制温度应在额定值的允许变化范围内运行；根据具体情况和要求，选用含义相符的标示牌，并悬挂在适合的位置上；变、配电设备及其周围环境应保持安全、整洁、卫生，并应设有防小动物装置和自控设备降温措施；直流屏有定期检查记录；电气设备现场照明良好，通道通畅（参见DL408—91 《电业安全工作规程(发电厂和变电所电气部分) 》）</w:t>
            </w:r>
          </w:p>
        </w:tc>
        <w:tc>
          <w:tcPr>
            <w:tcW w:w="698"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1"/>
          <w:wAfter w:w="31" w:type="dxa"/>
          <w:trHeight w:val="940" w:hRule="atLeast"/>
        </w:trPr>
        <w:tc>
          <w:tcPr>
            <w:tcW w:w="389"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8</w:t>
            </w:r>
          </w:p>
        </w:tc>
        <w:tc>
          <w:tcPr>
            <w:tcW w:w="112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变压器状况</w:t>
            </w:r>
          </w:p>
        </w:tc>
        <w:tc>
          <w:tcPr>
            <w:tcW w:w="46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62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任一项不符合要求，扣0.2分，扣完为止</w:t>
            </w:r>
          </w:p>
        </w:tc>
        <w:tc>
          <w:tcPr>
            <w:tcW w:w="54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变压器负荷及冷却装置运行正常，散热器及风扇齐全功能正常；瓷套管完整、无裂痕、污垢及放电现象；油浸式变压器油量充足、不渗不漏、油枕及油式套管油位正常；变压器本身及周围环境整洁；工作接地和安全接地良好；定期检查有记录。</w:t>
            </w:r>
          </w:p>
        </w:tc>
        <w:tc>
          <w:tcPr>
            <w:tcW w:w="698"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1"/>
          <w:wAfter w:w="31" w:type="dxa"/>
          <w:trHeight w:val="173" w:hRule="atLeast"/>
        </w:trPr>
        <w:tc>
          <w:tcPr>
            <w:tcW w:w="389"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9</w:t>
            </w:r>
          </w:p>
        </w:tc>
        <w:tc>
          <w:tcPr>
            <w:tcW w:w="112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设施设备日常检查维护</w:t>
            </w:r>
          </w:p>
        </w:tc>
        <w:tc>
          <w:tcPr>
            <w:tcW w:w="46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w:t>
            </w:r>
          </w:p>
        </w:tc>
        <w:tc>
          <w:tcPr>
            <w:tcW w:w="62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无设备日常巡视检查维护记录，不得分；检查维护记录不全，扣0.5分</w:t>
            </w:r>
          </w:p>
        </w:tc>
        <w:tc>
          <w:tcPr>
            <w:tcW w:w="54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应做好设备设施的日常巡视检查工作，并有详细、真实的情况记录和设备缺陷管理</w:t>
            </w:r>
          </w:p>
        </w:tc>
        <w:tc>
          <w:tcPr>
            <w:tcW w:w="698"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2"/>
          <w:wAfter w:w="124" w:type="dxa"/>
          <w:trHeight w:val="632" w:hRule="atLeast"/>
        </w:trPr>
        <w:tc>
          <w:tcPr>
            <w:tcW w:w="14236" w:type="dxa"/>
            <w:gridSpan w:val="14"/>
            <w:tcBorders>
              <w:top w:val="nil"/>
              <w:left w:val="nil"/>
              <w:bottom w:val="nil"/>
              <w:right w:val="nil"/>
            </w:tcBorders>
            <w:noWrap/>
            <w:vAlign w:val="center"/>
          </w:tcPr>
          <w:p>
            <w:pPr>
              <w:widowControl/>
              <w:jc w:val="left"/>
              <w:rPr>
                <w:rFonts w:ascii="宋体" w:hAnsi="宋体" w:cs="宋体"/>
                <w:color w:val="000000" w:themeColor="text1"/>
                <w:kern w:val="0"/>
                <w:sz w:val="36"/>
                <w:szCs w:val="36"/>
                <w14:textFill>
                  <w14:solidFill>
                    <w14:schemeClr w14:val="tx1"/>
                  </w14:solidFill>
                </w14:textFill>
              </w:rPr>
            </w:pPr>
            <w:r>
              <w:rPr>
                <w:rFonts w:hint="eastAsia" w:ascii="宋体" w:hAnsi="宋体" w:cs="宋体"/>
                <w:color w:val="000000" w:themeColor="text1"/>
                <w:kern w:val="0"/>
                <w:sz w:val="36"/>
                <w:szCs w:val="36"/>
                <w14:textFill>
                  <w14:solidFill>
                    <w14:schemeClr w14:val="tx1"/>
                  </w14:solidFill>
                </w14:textFill>
              </w:rPr>
              <w:t>四、水质分析（13分）</w:t>
            </w:r>
          </w:p>
        </w:tc>
      </w:tr>
      <w:tr>
        <w:tblPrEx>
          <w:tblCellMar>
            <w:top w:w="0" w:type="dxa"/>
            <w:left w:w="108" w:type="dxa"/>
            <w:bottom w:w="0" w:type="dxa"/>
            <w:right w:w="108" w:type="dxa"/>
          </w:tblCellMar>
        </w:tblPrEx>
        <w:trPr>
          <w:gridAfter w:val="2"/>
          <w:wAfter w:w="124" w:type="dxa"/>
          <w:trHeight w:val="405" w:hRule="atLeast"/>
        </w:trPr>
        <w:tc>
          <w:tcPr>
            <w:tcW w:w="38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序号</w:t>
            </w:r>
          </w:p>
        </w:tc>
        <w:tc>
          <w:tcPr>
            <w:tcW w:w="112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考核内容</w:t>
            </w:r>
          </w:p>
        </w:tc>
        <w:tc>
          <w:tcPr>
            <w:tcW w:w="46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分值</w:t>
            </w:r>
          </w:p>
        </w:tc>
        <w:tc>
          <w:tcPr>
            <w:tcW w:w="624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评分标准</w:t>
            </w:r>
          </w:p>
        </w:tc>
        <w:tc>
          <w:tcPr>
            <w:tcW w:w="545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考核说明及依据</w:t>
            </w:r>
          </w:p>
        </w:tc>
        <w:tc>
          <w:tcPr>
            <w:tcW w:w="56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考核得分</w:t>
            </w:r>
          </w:p>
        </w:tc>
      </w:tr>
      <w:tr>
        <w:tblPrEx>
          <w:tblCellMar>
            <w:top w:w="0" w:type="dxa"/>
            <w:left w:w="108" w:type="dxa"/>
            <w:bottom w:w="0" w:type="dxa"/>
            <w:right w:w="108" w:type="dxa"/>
          </w:tblCellMar>
        </w:tblPrEx>
        <w:trPr>
          <w:gridAfter w:val="2"/>
          <w:wAfter w:w="124" w:type="dxa"/>
          <w:trHeight w:val="1156" w:hRule="atLeast"/>
        </w:trPr>
        <w:tc>
          <w:tcPr>
            <w:tcW w:w="38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112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水质综合合格率</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2.8</w:t>
            </w:r>
          </w:p>
        </w:tc>
        <w:tc>
          <w:tcPr>
            <w:tcW w:w="6246"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根据设计出水标准，CODCr、BOD5、总氮、氨氮、总磷、SS、粪大肠菌群各项综合合格率=100%，得满分，有一项不达标为一天不达标，一天不达标扣0.1分，扣完为止（设计中无消毒设备的，一年内不考核大肠菌群）</w:t>
            </w:r>
          </w:p>
        </w:tc>
        <w:tc>
          <w:tcPr>
            <w:tcW w:w="54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七项水质合格率=（自检合格次数/7项实际自检次数）×70%+（环保等部门抽检合格频次/7项实际抽检次数）×30%。进水水质超标时，该项评分应综合考虑（应有向环保主管部门和污水处理主管部门的相关报告和回复意见）</w:t>
            </w:r>
          </w:p>
        </w:tc>
        <w:tc>
          <w:tcPr>
            <w:tcW w:w="56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2"/>
          <w:wAfter w:w="124" w:type="dxa"/>
          <w:trHeight w:val="632" w:hRule="atLeast"/>
        </w:trPr>
        <w:tc>
          <w:tcPr>
            <w:tcW w:w="38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w:t>
            </w:r>
          </w:p>
        </w:tc>
        <w:tc>
          <w:tcPr>
            <w:tcW w:w="112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检测项目与周期</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lang w:val="en-US" w:eastAsia="zh-CN"/>
                <w14:textFill>
                  <w14:solidFill>
                    <w14:schemeClr w14:val="tx1"/>
                  </w14:solidFill>
                </w14:textFill>
              </w:rPr>
              <w:t>2</w:t>
            </w:r>
            <w:r>
              <w:rPr>
                <w:rFonts w:hint="eastAsia" w:ascii="宋体" w:hAnsi="宋体" w:cs="宋体"/>
                <w:color w:val="000000" w:themeColor="text1"/>
                <w:kern w:val="0"/>
                <w:sz w:val="20"/>
                <w14:textFill>
                  <w14:solidFill>
                    <w14:schemeClr w14:val="tx1"/>
                  </w14:solidFill>
                </w14:textFill>
              </w:rPr>
              <w:t>.2</w:t>
            </w:r>
          </w:p>
        </w:tc>
        <w:tc>
          <w:tcPr>
            <w:tcW w:w="6246"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化验检测分析项目及频次齐全，得满分；基本项目齐全，按附表一、二评分</w:t>
            </w:r>
          </w:p>
        </w:tc>
        <w:tc>
          <w:tcPr>
            <w:tcW w:w="54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城镇污水处理厂污染物排放标准及排污许可管理办法</w:t>
            </w:r>
          </w:p>
        </w:tc>
        <w:tc>
          <w:tcPr>
            <w:tcW w:w="56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2"/>
          <w:wAfter w:w="124" w:type="dxa"/>
          <w:trHeight w:val="943" w:hRule="atLeast"/>
        </w:trPr>
        <w:tc>
          <w:tcPr>
            <w:tcW w:w="38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w:t>
            </w:r>
          </w:p>
        </w:tc>
        <w:tc>
          <w:tcPr>
            <w:tcW w:w="112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化验室检测质量保证体系</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6246"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有完整的化验室分析质量保证体系，得1分，未建立不得分；化验室的精密分析仪器进行定期维护和有资质的定期校验，得1分，无维护校验记录不得分，记录不全，扣0.5分（无化验室，不得分）</w:t>
            </w:r>
          </w:p>
        </w:tc>
        <w:tc>
          <w:tcPr>
            <w:tcW w:w="54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参照CJJ60-94《城市污水处理厂运行、维护及其安全技术规程》20.3、20.1.3制定化验室水质分析质量保证体系</w:t>
            </w:r>
          </w:p>
        </w:tc>
        <w:tc>
          <w:tcPr>
            <w:tcW w:w="56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2"/>
          <w:wAfter w:w="124" w:type="dxa"/>
          <w:trHeight w:val="566" w:hRule="atLeast"/>
        </w:trPr>
        <w:tc>
          <w:tcPr>
            <w:tcW w:w="38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4</w:t>
            </w:r>
          </w:p>
        </w:tc>
        <w:tc>
          <w:tcPr>
            <w:tcW w:w="112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检测方法</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6246"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采用国家或行业标准检验分析方法，得1分；有一项不符合要求扣0.2分，扣完为止</w:t>
            </w:r>
          </w:p>
        </w:tc>
        <w:tc>
          <w:tcPr>
            <w:tcW w:w="54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检测方法符合CJ/T51-2004《城市污水水质检验方法标准》、GB 18918－2002城镇污水处理厂污染物排放标准</w:t>
            </w:r>
          </w:p>
        </w:tc>
        <w:tc>
          <w:tcPr>
            <w:tcW w:w="56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2"/>
          <w:wAfter w:w="124" w:type="dxa"/>
          <w:trHeight w:val="603" w:hRule="atLeast"/>
        </w:trPr>
        <w:tc>
          <w:tcPr>
            <w:tcW w:w="38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5</w:t>
            </w:r>
          </w:p>
        </w:tc>
        <w:tc>
          <w:tcPr>
            <w:tcW w:w="112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化验分析仪器</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6246"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应配备常规检测仪器，常规项缺1项扣0.2分，扣完为止；仪器已配备但不能正常工作的，常规项缺1项扣0.1分，扣完为止；</w:t>
            </w:r>
          </w:p>
        </w:tc>
        <w:tc>
          <w:tcPr>
            <w:tcW w:w="54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污水厂内用于常规化验项目的检测设备齐全，亦可采用及时、有效的委托方式解决（查委托书）</w:t>
            </w:r>
          </w:p>
        </w:tc>
        <w:tc>
          <w:tcPr>
            <w:tcW w:w="56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2"/>
          <w:wAfter w:w="124" w:type="dxa"/>
          <w:trHeight w:val="691" w:hRule="atLeast"/>
        </w:trPr>
        <w:tc>
          <w:tcPr>
            <w:tcW w:w="38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6</w:t>
            </w:r>
          </w:p>
        </w:tc>
        <w:tc>
          <w:tcPr>
            <w:tcW w:w="112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化验员岗位培训</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6246"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化验检测人员无培训合格证上岗，不得分；未定期接受培训和考核，扣0.5分</w:t>
            </w:r>
          </w:p>
        </w:tc>
        <w:tc>
          <w:tcPr>
            <w:tcW w:w="54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化验监测人员应经培训后，持证上岗，并应定期进行考核和抽验</w:t>
            </w:r>
          </w:p>
        </w:tc>
        <w:tc>
          <w:tcPr>
            <w:tcW w:w="56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2"/>
          <w:wAfter w:w="124" w:type="dxa"/>
          <w:trHeight w:val="943" w:hRule="atLeast"/>
        </w:trPr>
        <w:tc>
          <w:tcPr>
            <w:tcW w:w="38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7</w:t>
            </w:r>
          </w:p>
        </w:tc>
        <w:tc>
          <w:tcPr>
            <w:tcW w:w="112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水、泥质检测原始记录</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6246"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未保存完善的水、泥质检测原始记录，不得分</w:t>
            </w:r>
          </w:p>
        </w:tc>
        <w:tc>
          <w:tcPr>
            <w:tcW w:w="54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检测原始记录数据应真实、填写规范，与实际检测项目与频次一致，不出现缺少原始记录现象，实验室记录能够复现检测过程。</w:t>
            </w:r>
          </w:p>
        </w:tc>
        <w:tc>
          <w:tcPr>
            <w:tcW w:w="56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2"/>
          <w:wAfter w:w="124" w:type="dxa"/>
          <w:trHeight w:val="1565" w:hRule="atLeast"/>
        </w:trPr>
        <w:tc>
          <w:tcPr>
            <w:tcW w:w="38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8</w:t>
            </w:r>
          </w:p>
        </w:tc>
        <w:tc>
          <w:tcPr>
            <w:tcW w:w="112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在线监测水质</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w:t>
            </w:r>
          </w:p>
        </w:tc>
        <w:tc>
          <w:tcPr>
            <w:tcW w:w="6246"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排放口未安装COD 、总磷、、总氮、氨氮、pH、流量计主要水质指标的在线监测装置，不得分； 在线监测数据未与管理部门监控平台联通且未通过有效校核的，扣0.5分； 所抽查的在线监测装置记录数据与所汇报资料相差较大，扣0.5分； 无管理部门日常监督性监测数据和检查报告，扣0.3分</w:t>
            </w:r>
          </w:p>
        </w:tc>
        <w:tc>
          <w:tcPr>
            <w:tcW w:w="54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随机抽查在线监测装置记录，并进行现场检查</w:t>
            </w:r>
          </w:p>
        </w:tc>
        <w:tc>
          <w:tcPr>
            <w:tcW w:w="56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1"/>
          <w:wAfter w:w="31" w:type="dxa"/>
          <w:trHeight w:val="496" w:hRule="atLeast"/>
        </w:trPr>
        <w:tc>
          <w:tcPr>
            <w:tcW w:w="14329" w:type="dxa"/>
            <w:gridSpan w:val="15"/>
            <w:tcBorders>
              <w:top w:val="nil"/>
              <w:left w:val="nil"/>
              <w:bottom w:val="nil"/>
              <w:right w:val="nil"/>
            </w:tcBorders>
            <w:noWrap/>
            <w:vAlign w:val="center"/>
          </w:tcPr>
          <w:p>
            <w:pPr>
              <w:widowControl/>
              <w:jc w:val="left"/>
              <w:rPr>
                <w:rFonts w:ascii="宋体" w:hAnsi="宋体" w:cs="宋体"/>
                <w:color w:val="000000" w:themeColor="text1"/>
                <w:kern w:val="0"/>
                <w:sz w:val="36"/>
                <w:szCs w:val="36"/>
                <w14:textFill>
                  <w14:solidFill>
                    <w14:schemeClr w14:val="tx1"/>
                  </w14:solidFill>
                </w14:textFill>
              </w:rPr>
            </w:pPr>
            <w:r>
              <w:rPr>
                <w:rFonts w:hint="eastAsia" w:ascii="宋体" w:hAnsi="宋体" w:cs="宋体"/>
                <w:color w:val="000000" w:themeColor="text1"/>
                <w:kern w:val="0"/>
                <w:sz w:val="36"/>
                <w:szCs w:val="36"/>
                <w14:textFill>
                  <w14:solidFill>
                    <w14:schemeClr w14:val="tx1"/>
                  </w14:solidFill>
                </w14:textFill>
              </w:rPr>
              <w:t>五、安全管理（9分）</w:t>
            </w:r>
          </w:p>
        </w:tc>
      </w:tr>
      <w:tr>
        <w:tblPrEx>
          <w:tblCellMar>
            <w:top w:w="0" w:type="dxa"/>
            <w:left w:w="108" w:type="dxa"/>
            <w:bottom w:w="0" w:type="dxa"/>
            <w:right w:w="108" w:type="dxa"/>
          </w:tblCellMar>
        </w:tblPrEx>
        <w:trPr>
          <w:gridAfter w:val="1"/>
          <w:wAfter w:w="31" w:type="dxa"/>
          <w:trHeight w:val="632" w:hRule="atLeast"/>
        </w:trPr>
        <w:tc>
          <w:tcPr>
            <w:tcW w:w="38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序号</w:t>
            </w:r>
          </w:p>
        </w:tc>
        <w:tc>
          <w:tcPr>
            <w:tcW w:w="112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考核内容</w:t>
            </w:r>
          </w:p>
        </w:tc>
        <w:tc>
          <w:tcPr>
            <w:tcW w:w="46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分值</w:t>
            </w:r>
          </w:p>
        </w:tc>
        <w:tc>
          <w:tcPr>
            <w:tcW w:w="624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评分标准</w:t>
            </w:r>
          </w:p>
        </w:tc>
        <w:tc>
          <w:tcPr>
            <w:tcW w:w="545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考核说明及依据</w:t>
            </w:r>
          </w:p>
        </w:tc>
        <w:tc>
          <w:tcPr>
            <w:tcW w:w="654" w:type="dxa"/>
            <w:gridSpan w:val="3"/>
            <w:tcBorders>
              <w:top w:val="single" w:color="auto" w:sz="4" w:space="0"/>
              <w:left w:val="nil"/>
              <w:bottom w:val="single" w:color="auto" w:sz="4" w:space="0"/>
              <w:right w:val="single" w:color="auto" w:sz="4" w:space="0"/>
            </w:tcBorders>
            <w:vAlign w:val="center"/>
          </w:tcPr>
          <w:p>
            <w:pPr>
              <w:widowControl/>
              <w:jc w:val="both"/>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考核得分</w:t>
            </w:r>
          </w:p>
        </w:tc>
      </w:tr>
      <w:tr>
        <w:tblPrEx>
          <w:tblCellMar>
            <w:top w:w="0" w:type="dxa"/>
            <w:left w:w="108" w:type="dxa"/>
            <w:bottom w:w="0" w:type="dxa"/>
            <w:right w:w="108" w:type="dxa"/>
          </w:tblCellMar>
        </w:tblPrEx>
        <w:trPr>
          <w:gridAfter w:val="1"/>
          <w:wAfter w:w="31" w:type="dxa"/>
          <w:trHeight w:val="631" w:hRule="atLeast"/>
        </w:trPr>
        <w:tc>
          <w:tcPr>
            <w:tcW w:w="38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112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安全管理人员及管理机构</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6246"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未配有专（兼）职安全管理人员、未健全三级安全管理机构各扣1分</w:t>
            </w:r>
          </w:p>
        </w:tc>
        <w:tc>
          <w:tcPr>
            <w:tcW w:w="54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查安全管理人员工作岗位情况；要有健全的三级安全管理机构，各级均有明确的安全责任制</w:t>
            </w:r>
          </w:p>
        </w:tc>
        <w:tc>
          <w:tcPr>
            <w:tcW w:w="6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1"/>
          <w:wAfter w:w="31" w:type="dxa"/>
          <w:trHeight w:val="792" w:hRule="atLeast"/>
        </w:trPr>
        <w:tc>
          <w:tcPr>
            <w:tcW w:w="38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w:t>
            </w:r>
          </w:p>
        </w:tc>
        <w:tc>
          <w:tcPr>
            <w:tcW w:w="112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安全管理制度及规程</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6246"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安全管理制度任一项不符合要求，扣0.5分；安全台账不全，扣0.5分；安全隐患未及时整改，各扣1分；下井、室作业无安全管理规定及器材的扣1分</w:t>
            </w:r>
          </w:p>
        </w:tc>
        <w:tc>
          <w:tcPr>
            <w:tcW w:w="54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制定齐全、详细的安全规章制度及操作规程；安全检查台账、安全检查日志记录齐全；发现安全隐患有积极的响应措施、并能及时解决；下井、室作业规定、器材、记录符合要求</w:t>
            </w:r>
          </w:p>
        </w:tc>
        <w:tc>
          <w:tcPr>
            <w:tcW w:w="6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1"/>
          <w:wAfter w:w="31" w:type="dxa"/>
          <w:trHeight w:val="1876" w:hRule="atLeast"/>
        </w:trPr>
        <w:tc>
          <w:tcPr>
            <w:tcW w:w="38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w:t>
            </w:r>
          </w:p>
        </w:tc>
        <w:tc>
          <w:tcPr>
            <w:tcW w:w="112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应急预案</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6246"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建立完善的污水处理厂安全应急预案，并定期组织演练，得满分；未建立完善的污水处理厂应急预案，每个扣1分；有预案，但未针对预案组织职工定期演练，每个扣0.5分</w:t>
            </w:r>
          </w:p>
        </w:tc>
        <w:tc>
          <w:tcPr>
            <w:tcW w:w="54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专项应急预案应包括：主要工艺控制参数异常、主要设备故障、在线仪表等异常情况的工艺应急预案；化验室应制定各项安全技术规范及应急预案；管道、电气、停电、停水、雪灾、泄漏、主要设备故障、自控网络及在线仪表等突发事件、事故及火灾、水灾、爆炸、中毒等重大安全事故的预案，并根据实际情况，定期组织演练（检查安全预案内容及演练计划、记录和图片）</w:t>
            </w:r>
          </w:p>
        </w:tc>
        <w:tc>
          <w:tcPr>
            <w:tcW w:w="6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1"/>
          <w:wAfter w:w="31" w:type="dxa"/>
          <w:trHeight w:val="1181" w:hRule="atLeast"/>
        </w:trPr>
        <w:tc>
          <w:tcPr>
            <w:tcW w:w="38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4</w:t>
            </w:r>
          </w:p>
        </w:tc>
        <w:tc>
          <w:tcPr>
            <w:tcW w:w="112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安全及防护用品</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6246"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未定期检查和更换安全防护用品，扣0.5分；未配备急救物品，扣0.5分</w:t>
            </w:r>
          </w:p>
        </w:tc>
        <w:tc>
          <w:tcPr>
            <w:tcW w:w="54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岗位人员有必要的安全保护措施；应定期检查和更换高压绝缘工具、救生衣、救生圈、防中毒、防泄漏等防护救生用品；必要场所有安全警示牌；有毒、有害场所有安全防护仪器、仪表、器具配备</w:t>
            </w:r>
          </w:p>
        </w:tc>
        <w:tc>
          <w:tcPr>
            <w:tcW w:w="6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1"/>
          <w:wAfter w:w="31" w:type="dxa"/>
          <w:trHeight w:val="767" w:hRule="atLeast"/>
        </w:trPr>
        <w:tc>
          <w:tcPr>
            <w:tcW w:w="38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5</w:t>
            </w:r>
          </w:p>
        </w:tc>
        <w:tc>
          <w:tcPr>
            <w:tcW w:w="112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双回路供电（备用电源)</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6246"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有双回路供电（备用电源），得0.5分；否则不得分</w:t>
            </w:r>
          </w:p>
        </w:tc>
        <w:tc>
          <w:tcPr>
            <w:tcW w:w="54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查看现场</w:t>
            </w:r>
          </w:p>
        </w:tc>
        <w:tc>
          <w:tcPr>
            <w:tcW w:w="6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1"/>
          <w:wAfter w:w="31" w:type="dxa"/>
          <w:trHeight w:val="1254" w:hRule="atLeast"/>
        </w:trPr>
        <w:tc>
          <w:tcPr>
            <w:tcW w:w="38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6</w:t>
            </w:r>
          </w:p>
        </w:tc>
        <w:tc>
          <w:tcPr>
            <w:tcW w:w="112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操作人员防护</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6246"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操作人员在岗位期间未穿戴劳保用品，扣0.5分；未严格遵守安全操作规程，扣0.5分；在进行高空、池面、水下和受限空间等危险作业时，未采取有效保护措施，扣1分；从事危险作业无专人负责监护，扣1分</w:t>
            </w:r>
          </w:p>
        </w:tc>
        <w:tc>
          <w:tcPr>
            <w:tcW w:w="54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按照CJJ60-94《城市污水处理厂运行、维护及其安全技术规程》严格执行</w:t>
            </w:r>
          </w:p>
        </w:tc>
        <w:tc>
          <w:tcPr>
            <w:tcW w:w="6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1"/>
          <w:wAfter w:w="31" w:type="dxa"/>
          <w:trHeight w:val="1254" w:hRule="atLeast"/>
        </w:trPr>
        <w:tc>
          <w:tcPr>
            <w:tcW w:w="38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7</w:t>
            </w:r>
          </w:p>
        </w:tc>
        <w:tc>
          <w:tcPr>
            <w:tcW w:w="112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安全教育培训</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6246"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无具体的安全培训计划，扣0.5分；所有职工未进行或不完全进行三级安全培训，扣0.5分；未定期组织职工进行安全教育，扣0.5分；厂主管领导和安全责任人未接受过安全培训，扣0.5分</w:t>
            </w:r>
          </w:p>
        </w:tc>
        <w:tc>
          <w:tcPr>
            <w:tcW w:w="54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安全培训要有年度、月度计划；结合工作岗位对职工进行安全教育，并有安全教育台帐；三级安全培训要有培训内容及培训人员签字；厂主管领导和安全负责人要接受正规安全培训并具有上级颁发的安全培训证书</w:t>
            </w:r>
          </w:p>
        </w:tc>
        <w:tc>
          <w:tcPr>
            <w:tcW w:w="6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1"/>
          <w:wAfter w:w="31" w:type="dxa"/>
          <w:trHeight w:val="943" w:hRule="atLeast"/>
        </w:trPr>
        <w:tc>
          <w:tcPr>
            <w:tcW w:w="38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8</w:t>
            </w:r>
          </w:p>
        </w:tc>
        <w:tc>
          <w:tcPr>
            <w:tcW w:w="112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消防管理</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6246"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未按规定设置消防器材、定位图和逃生示意图，扣0.2分； 未按照相关规定定期对消防设施、避雷和防爆、防泄漏装置进行测试、维修，扣0.2分； </w:t>
            </w:r>
          </w:p>
        </w:tc>
        <w:tc>
          <w:tcPr>
            <w:tcW w:w="54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办公、生产、电气设备、易燃易爆的场所，应按消防部门的有关规定设置消防器材；构筑物、中控系统等的避雷、防爆、防泄漏装置的测试、维修及其周期应符合电业和消防等部门的规定</w:t>
            </w:r>
          </w:p>
        </w:tc>
        <w:tc>
          <w:tcPr>
            <w:tcW w:w="6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1"/>
          <w:wAfter w:w="31" w:type="dxa"/>
          <w:trHeight w:val="632" w:hRule="atLeast"/>
        </w:trPr>
        <w:tc>
          <w:tcPr>
            <w:tcW w:w="38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9</w:t>
            </w:r>
          </w:p>
        </w:tc>
        <w:tc>
          <w:tcPr>
            <w:tcW w:w="112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治安管理</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6246"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未建立完善的治安管理系统，扣1分</w:t>
            </w:r>
          </w:p>
        </w:tc>
        <w:tc>
          <w:tcPr>
            <w:tcW w:w="54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检查门卫管理记录、保安巡逻记录，安保月度、年度总结以及电子监控系统情况</w:t>
            </w:r>
          </w:p>
        </w:tc>
        <w:tc>
          <w:tcPr>
            <w:tcW w:w="6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632" w:hRule="atLeast"/>
        </w:trPr>
        <w:tc>
          <w:tcPr>
            <w:tcW w:w="14360" w:type="dxa"/>
            <w:gridSpan w:val="16"/>
            <w:tcBorders>
              <w:top w:val="nil"/>
              <w:left w:val="nil"/>
              <w:bottom w:val="single" w:color="auto" w:sz="4" w:space="0"/>
              <w:right w:val="nil"/>
            </w:tcBorders>
            <w:noWrap/>
            <w:vAlign w:val="center"/>
          </w:tcPr>
          <w:p>
            <w:pPr>
              <w:widowControl/>
              <w:jc w:val="left"/>
              <w:rPr>
                <w:rFonts w:ascii="宋体" w:hAnsi="宋体" w:cs="宋体"/>
                <w:color w:val="000000" w:themeColor="text1"/>
                <w:kern w:val="0"/>
                <w:sz w:val="36"/>
                <w:szCs w:val="36"/>
                <w14:textFill>
                  <w14:solidFill>
                    <w14:schemeClr w14:val="tx1"/>
                  </w14:solidFill>
                </w14:textFill>
              </w:rPr>
            </w:pPr>
            <w:r>
              <w:rPr>
                <w:rFonts w:hint="eastAsia" w:ascii="宋体" w:hAnsi="宋体" w:cs="宋体"/>
                <w:color w:val="000000" w:themeColor="text1"/>
                <w:kern w:val="0"/>
                <w:sz w:val="36"/>
                <w:szCs w:val="36"/>
                <w14:textFill>
                  <w14:solidFill>
                    <w14:schemeClr w14:val="tx1"/>
                  </w14:solidFill>
                </w14:textFill>
              </w:rPr>
              <w:t>六、能耗及成本（5分）</w:t>
            </w:r>
          </w:p>
        </w:tc>
      </w:tr>
      <w:tr>
        <w:tblPrEx>
          <w:tblCellMar>
            <w:top w:w="0" w:type="dxa"/>
            <w:left w:w="108" w:type="dxa"/>
            <w:bottom w:w="0" w:type="dxa"/>
            <w:right w:w="108" w:type="dxa"/>
          </w:tblCellMar>
        </w:tblPrEx>
        <w:trPr>
          <w:trHeight w:val="545" w:hRule="atLeast"/>
        </w:trPr>
        <w:tc>
          <w:tcPr>
            <w:tcW w:w="38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序号</w:t>
            </w:r>
          </w:p>
        </w:tc>
        <w:tc>
          <w:tcPr>
            <w:tcW w:w="112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考核内容</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分值</w:t>
            </w:r>
          </w:p>
        </w:tc>
        <w:tc>
          <w:tcPr>
            <w:tcW w:w="6246"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评分标准</w:t>
            </w:r>
          </w:p>
        </w:tc>
        <w:tc>
          <w:tcPr>
            <w:tcW w:w="54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考核说明及依据</w:t>
            </w:r>
          </w:p>
        </w:tc>
        <w:tc>
          <w:tcPr>
            <w:tcW w:w="685"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考核得分</w:t>
            </w:r>
          </w:p>
        </w:tc>
      </w:tr>
      <w:tr>
        <w:tblPrEx>
          <w:tblCellMar>
            <w:top w:w="0" w:type="dxa"/>
            <w:left w:w="108" w:type="dxa"/>
            <w:bottom w:w="0" w:type="dxa"/>
            <w:right w:w="108" w:type="dxa"/>
          </w:tblCellMar>
        </w:tblPrEx>
        <w:trPr>
          <w:trHeight w:val="1184" w:hRule="atLeast"/>
        </w:trPr>
        <w:tc>
          <w:tcPr>
            <w:tcW w:w="38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112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有效投诉</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w:t>
            </w:r>
          </w:p>
        </w:tc>
        <w:tc>
          <w:tcPr>
            <w:tcW w:w="6246"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发生1起投诉事件扣3分</w:t>
            </w:r>
          </w:p>
        </w:tc>
        <w:tc>
          <w:tcPr>
            <w:tcW w:w="5454" w:type="dxa"/>
            <w:gridSpan w:val="3"/>
            <w:tcBorders>
              <w:top w:val="nil"/>
              <w:left w:val="nil"/>
              <w:bottom w:val="nil"/>
              <w:right w:val="nil"/>
            </w:tcBorders>
            <w:vAlign w:val="center"/>
          </w:tcPr>
          <w:p>
            <w:pPr>
              <w:widowControl/>
              <w:jc w:val="center"/>
              <w:rPr>
                <w:rFonts w:hint="eastAsia" w:ascii="宋体" w:hAnsi="宋体" w:eastAsia="宋体" w:cs="宋体"/>
                <w:color w:val="000000" w:themeColor="text1"/>
                <w:kern w:val="0"/>
                <w:sz w:val="20"/>
                <w:lang w:eastAsia="zh-CN"/>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不被政府部门处罚；</w:t>
            </w:r>
          </w:p>
          <w:p>
            <w:pPr>
              <w:widowControl/>
              <w:jc w:val="center"/>
              <w:rPr>
                <w:rFonts w:hint="eastAsia" w:ascii="宋体" w:hAnsi="宋体" w:eastAsia="宋体" w:cs="宋体"/>
                <w:color w:val="000000" w:themeColor="text1"/>
                <w:kern w:val="0"/>
                <w:sz w:val="20"/>
                <w:lang w:eastAsia="zh-CN"/>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不被社会被公众媒体负面报道；</w:t>
            </w: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不被居民投诉</w:t>
            </w:r>
          </w:p>
        </w:tc>
        <w:tc>
          <w:tcPr>
            <w:tcW w:w="685" w:type="dxa"/>
            <w:gridSpan w:val="4"/>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1526" w:hRule="atLeast"/>
        </w:trPr>
        <w:tc>
          <w:tcPr>
            <w:tcW w:w="38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w:t>
            </w:r>
          </w:p>
        </w:tc>
        <w:tc>
          <w:tcPr>
            <w:tcW w:w="112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公众评价</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6246" w:type="dxa"/>
            <w:gridSpan w:val="3"/>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0"/>
                <w:lang w:eastAsia="zh-CN"/>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公众评价总体优良不扣分；</w:t>
            </w:r>
          </w:p>
          <w:p>
            <w:pPr>
              <w:widowControl/>
              <w:jc w:val="center"/>
              <w:rPr>
                <w:rFonts w:hint="eastAsia" w:ascii="宋体" w:hAnsi="宋体" w:eastAsia="宋体" w:cs="宋体"/>
                <w:color w:val="000000" w:themeColor="text1"/>
                <w:kern w:val="0"/>
                <w:sz w:val="20"/>
                <w:lang w:eastAsia="zh-CN"/>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公众评价总体一般扣0.5分；</w:t>
            </w:r>
          </w:p>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公众评价总体不合格扣1分；</w:t>
            </w:r>
          </w:p>
        </w:tc>
        <w:tc>
          <w:tcPr>
            <w:tcW w:w="545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政府或聘请第三方机构向居民实施调查，编写公众评价报告；</w:t>
            </w:r>
          </w:p>
        </w:tc>
        <w:tc>
          <w:tcPr>
            <w:tcW w:w="685"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1194" w:hRule="atLeast"/>
        </w:trPr>
        <w:tc>
          <w:tcPr>
            <w:tcW w:w="38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w:t>
            </w:r>
          </w:p>
        </w:tc>
        <w:tc>
          <w:tcPr>
            <w:tcW w:w="112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投诉渠道</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6246"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未建立投诉渠道扣1分；</w:t>
            </w:r>
          </w:p>
        </w:tc>
        <w:tc>
          <w:tcPr>
            <w:tcW w:w="54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鼓励居民对运行管理工作进行监督，应建议相关投诉渠道并保持有效；</w:t>
            </w:r>
          </w:p>
        </w:tc>
        <w:tc>
          <w:tcPr>
            <w:tcW w:w="685"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bl>
    <w:p>
      <w:pPr>
        <w:pStyle w:val="22"/>
        <w:spacing w:line="400" w:lineRule="exact"/>
        <w:ind w:firstLine="0" w:firstLineChars="0"/>
        <w:contextualSpacing/>
        <w:jc w:val="left"/>
        <w:rPr>
          <w:rFonts w:ascii="仿宋" w:hAnsi="仿宋" w:eastAsia="仿宋"/>
          <w:color w:val="000000" w:themeColor="text1"/>
          <w:sz w:val="24"/>
          <w14:textFill>
            <w14:solidFill>
              <w14:schemeClr w14:val="tx1"/>
            </w14:solidFill>
          </w14:textFill>
        </w:rPr>
      </w:pPr>
    </w:p>
    <w:p>
      <w:pPr>
        <w:pStyle w:val="22"/>
        <w:spacing w:line="400" w:lineRule="exact"/>
        <w:ind w:firstLine="0" w:firstLineChars="0"/>
        <w:contextualSpacing/>
        <w:jc w:val="left"/>
        <w:rPr>
          <w:rFonts w:ascii="仿宋" w:hAnsi="仿宋" w:eastAsia="仿宋"/>
          <w:color w:val="000000" w:themeColor="text1"/>
          <w:sz w:val="24"/>
          <w14:textFill>
            <w14:solidFill>
              <w14:schemeClr w14:val="tx1"/>
            </w14:solidFill>
          </w14:textFill>
        </w:rPr>
      </w:pPr>
    </w:p>
    <w:p>
      <w:pPr>
        <w:pStyle w:val="22"/>
        <w:spacing w:line="400" w:lineRule="exact"/>
        <w:ind w:firstLine="0" w:firstLineChars="0"/>
        <w:contextualSpacing/>
        <w:jc w:val="left"/>
        <w:rPr>
          <w:rFonts w:ascii="仿宋" w:hAnsi="仿宋" w:eastAsia="仿宋"/>
          <w:color w:val="000000" w:themeColor="text1"/>
          <w:sz w:val="24"/>
          <w14:textFill>
            <w14:solidFill>
              <w14:schemeClr w14:val="tx1"/>
            </w14:solidFill>
          </w14:textFill>
        </w:rPr>
      </w:pPr>
    </w:p>
    <w:tbl>
      <w:tblPr>
        <w:tblStyle w:val="33"/>
        <w:tblW w:w="14060" w:type="dxa"/>
        <w:tblInd w:w="93" w:type="dxa"/>
        <w:tblLayout w:type="fixed"/>
        <w:tblCellMar>
          <w:top w:w="0" w:type="dxa"/>
          <w:left w:w="108" w:type="dxa"/>
          <w:bottom w:w="0" w:type="dxa"/>
          <w:right w:w="108" w:type="dxa"/>
        </w:tblCellMar>
      </w:tblPr>
      <w:tblGrid>
        <w:gridCol w:w="722"/>
        <w:gridCol w:w="1264"/>
        <w:gridCol w:w="722"/>
        <w:gridCol w:w="5493"/>
        <w:gridCol w:w="5074"/>
        <w:gridCol w:w="785"/>
      </w:tblGrid>
      <w:tr>
        <w:tblPrEx>
          <w:tblCellMar>
            <w:top w:w="0" w:type="dxa"/>
            <w:left w:w="108" w:type="dxa"/>
            <w:bottom w:w="0" w:type="dxa"/>
            <w:right w:w="108" w:type="dxa"/>
          </w:tblCellMar>
        </w:tblPrEx>
        <w:trPr>
          <w:trHeight w:val="571" w:hRule="atLeast"/>
        </w:trPr>
        <w:tc>
          <w:tcPr>
            <w:tcW w:w="14060" w:type="dxa"/>
            <w:gridSpan w:val="6"/>
            <w:tcBorders>
              <w:top w:val="nil"/>
              <w:left w:val="nil"/>
              <w:bottom w:val="nil"/>
              <w:right w:val="nil"/>
            </w:tcBorders>
            <w:noWrap/>
            <w:vAlign w:val="center"/>
          </w:tcPr>
          <w:p>
            <w:pPr>
              <w:widowControl/>
              <w:jc w:val="left"/>
              <w:rPr>
                <w:rFonts w:ascii="宋体" w:hAnsi="宋体" w:cs="宋体"/>
                <w:color w:val="000000" w:themeColor="text1"/>
                <w:kern w:val="0"/>
                <w:sz w:val="36"/>
                <w:szCs w:val="36"/>
                <w14:textFill>
                  <w14:solidFill>
                    <w14:schemeClr w14:val="tx1"/>
                  </w14:solidFill>
                </w14:textFill>
              </w:rPr>
            </w:pPr>
            <w:r>
              <w:rPr>
                <w:rFonts w:hint="eastAsia" w:ascii="宋体" w:hAnsi="宋体" w:cs="宋体"/>
                <w:color w:val="000000" w:themeColor="text1"/>
                <w:kern w:val="0"/>
                <w:sz w:val="36"/>
                <w:szCs w:val="36"/>
                <w14:textFill>
                  <w14:solidFill>
                    <w14:schemeClr w14:val="tx1"/>
                  </w14:solidFill>
                </w14:textFill>
              </w:rPr>
              <w:t>七、其他方面（9分）</w:t>
            </w:r>
          </w:p>
        </w:tc>
      </w:tr>
      <w:tr>
        <w:tblPrEx>
          <w:tblCellMar>
            <w:top w:w="0" w:type="dxa"/>
            <w:left w:w="108" w:type="dxa"/>
            <w:bottom w:w="0" w:type="dxa"/>
            <w:right w:w="108" w:type="dxa"/>
          </w:tblCellMar>
        </w:tblPrEx>
        <w:trPr>
          <w:trHeight w:val="400" w:hRule="atLeast"/>
        </w:trPr>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序号</w:t>
            </w:r>
          </w:p>
        </w:tc>
        <w:tc>
          <w:tcPr>
            <w:tcW w:w="12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考核内容</w:t>
            </w:r>
          </w:p>
        </w:tc>
        <w:tc>
          <w:tcPr>
            <w:tcW w:w="7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分值</w:t>
            </w:r>
          </w:p>
        </w:tc>
        <w:tc>
          <w:tcPr>
            <w:tcW w:w="54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评分标准</w:t>
            </w:r>
          </w:p>
        </w:tc>
        <w:tc>
          <w:tcPr>
            <w:tcW w:w="507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考核说明及依据</w:t>
            </w: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考核得分</w:t>
            </w:r>
          </w:p>
        </w:tc>
      </w:tr>
      <w:tr>
        <w:tblPrEx>
          <w:tblCellMar>
            <w:top w:w="0" w:type="dxa"/>
            <w:left w:w="108" w:type="dxa"/>
            <w:bottom w:w="0" w:type="dxa"/>
            <w:right w:w="108" w:type="dxa"/>
          </w:tblCellMar>
        </w:tblPrEx>
        <w:trPr>
          <w:trHeight w:val="249" w:hRule="atLeast"/>
        </w:trPr>
        <w:tc>
          <w:tcPr>
            <w:tcW w:w="72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126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标准化管理</w:t>
            </w:r>
          </w:p>
        </w:tc>
        <w:tc>
          <w:tcPr>
            <w:tcW w:w="72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549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三园一基地：花园式、果园式、园林式、科普教育基地</w:t>
            </w:r>
          </w:p>
        </w:tc>
        <w:tc>
          <w:tcPr>
            <w:tcW w:w="5074" w:type="dxa"/>
            <w:tcBorders>
              <w:top w:val="nil"/>
              <w:left w:val="nil"/>
              <w:bottom w:val="nil"/>
              <w:right w:val="nil"/>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全区污水处理厂垃圾场建设“三园一基地”的要求</w:t>
            </w:r>
          </w:p>
        </w:tc>
        <w:tc>
          <w:tcPr>
            <w:tcW w:w="7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578" w:hRule="atLeast"/>
        </w:trPr>
        <w:tc>
          <w:tcPr>
            <w:tcW w:w="72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w:t>
            </w:r>
          </w:p>
        </w:tc>
        <w:tc>
          <w:tcPr>
            <w:tcW w:w="126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人员配备</w:t>
            </w:r>
          </w:p>
        </w:tc>
        <w:tc>
          <w:tcPr>
            <w:tcW w:w="72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549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人员配备满足处理规模要求，且生产人员＞65%</w:t>
            </w:r>
          </w:p>
        </w:tc>
        <w:tc>
          <w:tcPr>
            <w:tcW w:w="507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根据处理规模及岗位要求，提供职工名册和分工，持上岗证人员及各类人员比例</w:t>
            </w:r>
          </w:p>
        </w:tc>
        <w:tc>
          <w:tcPr>
            <w:tcW w:w="78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792" w:hRule="atLeast"/>
        </w:trPr>
        <w:tc>
          <w:tcPr>
            <w:tcW w:w="72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w:t>
            </w:r>
          </w:p>
        </w:tc>
        <w:tc>
          <w:tcPr>
            <w:tcW w:w="126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运行操作人员持证上岗</w:t>
            </w:r>
          </w:p>
        </w:tc>
        <w:tc>
          <w:tcPr>
            <w:tcW w:w="72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549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运行操作人员持证率得分=1×持证率</w:t>
            </w:r>
          </w:p>
        </w:tc>
        <w:tc>
          <w:tcPr>
            <w:tcW w:w="507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操作人员（含特殊工种）需经行业主管部门培训合格后持证上岗，需提供相关证书；持证率=（持证人员数/操作人员总数）×100%</w:t>
            </w:r>
          </w:p>
        </w:tc>
        <w:tc>
          <w:tcPr>
            <w:tcW w:w="78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1150" w:hRule="atLeast"/>
        </w:trPr>
        <w:tc>
          <w:tcPr>
            <w:tcW w:w="72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4</w:t>
            </w:r>
          </w:p>
        </w:tc>
        <w:tc>
          <w:tcPr>
            <w:tcW w:w="126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生产、办公档案管理</w:t>
            </w:r>
          </w:p>
        </w:tc>
        <w:tc>
          <w:tcPr>
            <w:tcW w:w="72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549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未配备专（兼）职档案管理人员，扣0.2分；未按要求建立有生产运行、水质、设备、材料管理、技术管理、安全、财务、文秘、人事等档案，每项扣0.1分，扣完0.3分为止； 档案保存期限未分类、未按时限保存，扣0.5分。</w:t>
            </w:r>
          </w:p>
        </w:tc>
        <w:tc>
          <w:tcPr>
            <w:tcW w:w="507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需配备专（兼）职档案管理人员；制定明确的档案管理制度；按规定建立有生产运行、水质、设备、材料管理、技术管理、安全、财务、文秘、人事等档案；档案资料应真实、无缺失；档案管理制度应明确各类档案保存期限</w:t>
            </w:r>
          </w:p>
        </w:tc>
        <w:tc>
          <w:tcPr>
            <w:tcW w:w="78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865" w:hRule="atLeast"/>
        </w:trPr>
        <w:tc>
          <w:tcPr>
            <w:tcW w:w="72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5</w:t>
            </w:r>
          </w:p>
        </w:tc>
        <w:tc>
          <w:tcPr>
            <w:tcW w:w="126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进入管理部门监控平台</w:t>
            </w:r>
          </w:p>
        </w:tc>
        <w:tc>
          <w:tcPr>
            <w:tcW w:w="72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549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应进入“全国城镇污水处理信息系统”或住建系统管理部门监控平台而未进入的、且不按通报要求整改的；未按时、按要求填报“全国城镇污水处理信息系统”数据，不得分</w:t>
            </w:r>
          </w:p>
        </w:tc>
        <w:tc>
          <w:tcPr>
            <w:tcW w:w="507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信息申报及时，数据填写真实、准确</w:t>
            </w:r>
          </w:p>
        </w:tc>
        <w:tc>
          <w:tcPr>
            <w:tcW w:w="78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1150" w:hRule="atLeast"/>
        </w:trPr>
        <w:tc>
          <w:tcPr>
            <w:tcW w:w="72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6</w:t>
            </w:r>
          </w:p>
        </w:tc>
        <w:tc>
          <w:tcPr>
            <w:tcW w:w="126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接受政府、上级和相关部门监督管理情况</w:t>
            </w:r>
          </w:p>
        </w:tc>
        <w:tc>
          <w:tcPr>
            <w:tcW w:w="72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549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拒绝接受政府或上级和相关部门监督管理，或不接受其整改要求的，不得分</w:t>
            </w:r>
          </w:p>
        </w:tc>
        <w:tc>
          <w:tcPr>
            <w:tcW w:w="507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接受政府、上级和相关部门监督管理的要求、意见及建议，并能及时整改</w:t>
            </w:r>
          </w:p>
        </w:tc>
        <w:tc>
          <w:tcPr>
            <w:tcW w:w="78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865" w:hRule="atLeast"/>
        </w:trPr>
        <w:tc>
          <w:tcPr>
            <w:tcW w:w="72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7</w:t>
            </w:r>
          </w:p>
        </w:tc>
        <w:tc>
          <w:tcPr>
            <w:tcW w:w="126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噪音及臭气控制</w:t>
            </w:r>
          </w:p>
        </w:tc>
        <w:tc>
          <w:tcPr>
            <w:tcW w:w="72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549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厂界噪音超过65分贝，扣0.5分；有除臭装置但未正常运行的扣0.5分</w:t>
            </w:r>
          </w:p>
        </w:tc>
        <w:tc>
          <w:tcPr>
            <w:tcW w:w="507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根据《中华人民共和国城市区域环境噪声标准》，工业生产区噪音排放应小于65分贝；除臭设备运行稳定，能有效控制臭气排放量；或根据排污许可证规定执行。</w:t>
            </w:r>
          </w:p>
        </w:tc>
        <w:tc>
          <w:tcPr>
            <w:tcW w:w="78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1435" w:hRule="atLeast"/>
        </w:trPr>
        <w:tc>
          <w:tcPr>
            <w:tcW w:w="72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8</w:t>
            </w:r>
          </w:p>
        </w:tc>
        <w:tc>
          <w:tcPr>
            <w:tcW w:w="126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室内</w:t>
            </w:r>
          </w:p>
        </w:tc>
        <w:tc>
          <w:tcPr>
            <w:tcW w:w="72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549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有一项不符合扣0.1分，扣完为止</w:t>
            </w:r>
          </w:p>
        </w:tc>
        <w:tc>
          <w:tcPr>
            <w:tcW w:w="507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办公室、值班室、操作室、机房内物品摆放整齐，卫生整洁，无烟头污渍等，照明齐全有效；门、窗、玻璃明亮无破损，墙壁整洁；办公桌椅、操作工具摆放整齐；淋浴室、卫生间设施齐全、无破损、无异味；操作人员着装整齐、干净、文明礼貌。</w:t>
            </w:r>
          </w:p>
        </w:tc>
        <w:tc>
          <w:tcPr>
            <w:tcW w:w="78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1729" w:hRule="atLeast"/>
        </w:trPr>
        <w:tc>
          <w:tcPr>
            <w:tcW w:w="72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9</w:t>
            </w:r>
          </w:p>
        </w:tc>
        <w:tc>
          <w:tcPr>
            <w:tcW w:w="126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室外</w:t>
            </w:r>
          </w:p>
        </w:tc>
        <w:tc>
          <w:tcPr>
            <w:tcW w:w="72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549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有一项不符合扣0.1分，扣完为止</w:t>
            </w:r>
          </w:p>
        </w:tc>
        <w:tc>
          <w:tcPr>
            <w:tcW w:w="507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厂内道路完好、通畅，无破损；所有车辆在固定场所停放有序；各种管道有色标、各种井盖整齐完好，井内无积水污物；厂内照明设施完好；厂内绿化、景观良好，且绿地植被无死亡缺损现象；生产区内无堆放与生产工作无关的杂物，保持清洁整齐；各项线路指示、安全标志，各设施、设备标牌、铭牌应齐备，且整齐有序，指示清晰</w:t>
            </w:r>
          </w:p>
        </w:tc>
        <w:tc>
          <w:tcPr>
            <w:tcW w:w="78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bl>
    <w:p>
      <w:pPr>
        <w:pStyle w:val="22"/>
        <w:spacing w:line="400" w:lineRule="exact"/>
        <w:ind w:firstLine="0" w:firstLineChars="0"/>
        <w:contextualSpacing/>
        <w:jc w:val="left"/>
        <w:rPr>
          <w:rFonts w:ascii="仿宋" w:hAnsi="仿宋" w:eastAsia="仿宋"/>
          <w:color w:val="000000" w:themeColor="text1"/>
          <w:sz w:val="24"/>
          <w14:textFill>
            <w14:solidFill>
              <w14:schemeClr w14:val="tx1"/>
            </w14:solidFill>
          </w14:textFill>
        </w:rPr>
      </w:pPr>
    </w:p>
    <w:p>
      <w:pPr>
        <w:pStyle w:val="22"/>
        <w:spacing w:line="400" w:lineRule="exact"/>
        <w:ind w:firstLine="0" w:firstLineChars="0"/>
        <w:contextualSpacing/>
        <w:jc w:val="left"/>
        <w:rPr>
          <w:rFonts w:ascii="仿宋" w:hAnsi="仿宋" w:eastAsia="仿宋"/>
          <w:color w:val="000000" w:themeColor="text1"/>
          <w:sz w:val="24"/>
          <w14:textFill>
            <w14:solidFill>
              <w14:schemeClr w14:val="tx1"/>
            </w14:solidFill>
          </w14:textFill>
        </w:rPr>
      </w:pPr>
    </w:p>
    <w:p>
      <w:pPr>
        <w:pStyle w:val="22"/>
        <w:spacing w:line="400" w:lineRule="exact"/>
        <w:ind w:firstLine="0" w:firstLineChars="0"/>
        <w:contextualSpacing/>
        <w:jc w:val="left"/>
        <w:rPr>
          <w:rFonts w:ascii="仿宋" w:hAnsi="仿宋" w:eastAsia="仿宋"/>
          <w:color w:val="000000" w:themeColor="text1"/>
          <w:sz w:val="24"/>
          <w14:textFill>
            <w14:solidFill>
              <w14:schemeClr w14:val="tx1"/>
            </w14:solidFill>
          </w14:textFill>
        </w:rPr>
      </w:pPr>
    </w:p>
    <w:p>
      <w:pPr>
        <w:pStyle w:val="22"/>
        <w:spacing w:line="400" w:lineRule="exact"/>
        <w:ind w:firstLine="0" w:firstLineChars="0"/>
        <w:contextualSpacing/>
        <w:jc w:val="left"/>
        <w:rPr>
          <w:rFonts w:ascii="仿宋" w:hAnsi="仿宋" w:eastAsia="仿宋"/>
          <w:color w:val="000000" w:themeColor="text1"/>
          <w:sz w:val="24"/>
          <w14:textFill>
            <w14:solidFill>
              <w14:schemeClr w14:val="tx1"/>
            </w14:solidFill>
          </w14:textFill>
        </w:rPr>
      </w:pPr>
    </w:p>
    <w:p>
      <w:pPr>
        <w:pStyle w:val="22"/>
        <w:spacing w:line="400" w:lineRule="exact"/>
        <w:ind w:firstLine="0" w:firstLineChars="0"/>
        <w:contextualSpacing/>
        <w:jc w:val="left"/>
        <w:rPr>
          <w:rFonts w:ascii="仿宋" w:hAnsi="仿宋" w:eastAsia="仿宋"/>
          <w:color w:val="000000" w:themeColor="text1"/>
          <w:sz w:val="24"/>
          <w14:textFill>
            <w14:solidFill>
              <w14:schemeClr w14:val="tx1"/>
            </w14:solidFill>
          </w14:textFill>
        </w:rPr>
      </w:pPr>
    </w:p>
    <w:p>
      <w:pPr>
        <w:pStyle w:val="22"/>
        <w:spacing w:line="400" w:lineRule="exact"/>
        <w:ind w:firstLine="0" w:firstLineChars="0"/>
        <w:contextualSpacing/>
        <w:jc w:val="left"/>
        <w:rPr>
          <w:rFonts w:ascii="仿宋" w:hAnsi="仿宋" w:eastAsia="仿宋"/>
          <w:color w:val="000000" w:themeColor="text1"/>
          <w:sz w:val="24"/>
          <w14:textFill>
            <w14:solidFill>
              <w14:schemeClr w14:val="tx1"/>
            </w14:solidFill>
          </w14:textFill>
        </w:rPr>
      </w:pPr>
    </w:p>
    <w:p>
      <w:pPr>
        <w:pStyle w:val="22"/>
        <w:spacing w:line="400" w:lineRule="exact"/>
        <w:ind w:firstLine="0" w:firstLineChars="0"/>
        <w:contextualSpacing/>
        <w:jc w:val="left"/>
        <w:rPr>
          <w:rFonts w:ascii="仿宋" w:hAnsi="仿宋" w:eastAsia="仿宋"/>
          <w:color w:val="000000" w:themeColor="text1"/>
          <w:sz w:val="24"/>
          <w14:textFill>
            <w14:solidFill>
              <w14:schemeClr w14:val="tx1"/>
            </w14:solidFill>
          </w14:textFill>
        </w:rPr>
      </w:pPr>
    </w:p>
    <w:p>
      <w:pPr>
        <w:pStyle w:val="22"/>
        <w:spacing w:line="400" w:lineRule="exact"/>
        <w:ind w:firstLine="0" w:firstLineChars="0"/>
        <w:contextualSpacing/>
        <w:jc w:val="left"/>
        <w:rPr>
          <w:rFonts w:ascii="仿宋" w:hAnsi="仿宋" w:eastAsia="仿宋"/>
          <w:color w:val="000000" w:themeColor="text1"/>
          <w:sz w:val="24"/>
          <w14:textFill>
            <w14:solidFill>
              <w14:schemeClr w14:val="tx1"/>
            </w14:solidFill>
          </w14:textFill>
        </w:rPr>
      </w:pPr>
    </w:p>
    <w:p>
      <w:pPr>
        <w:pStyle w:val="22"/>
        <w:spacing w:line="400" w:lineRule="exact"/>
        <w:ind w:firstLine="0" w:firstLineChars="0"/>
        <w:contextualSpacing/>
        <w:jc w:val="left"/>
        <w:rPr>
          <w:rFonts w:ascii="仿宋" w:hAnsi="仿宋" w:eastAsia="仿宋"/>
          <w:color w:val="000000" w:themeColor="text1"/>
          <w:sz w:val="24"/>
          <w14:textFill>
            <w14:solidFill>
              <w14:schemeClr w14:val="tx1"/>
            </w14:solidFill>
          </w14:textFill>
        </w:rPr>
      </w:pPr>
    </w:p>
    <w:p>
      <w:pPr>
        <w:pStyle w:val="22"/>
        <w:spacing w:line="400" w:lineRule="exact"/>
        <w:ind w:firstLine="0" w:firstLineChars="0"/>
        <w:contextualSpacing/>
        <w:jc w:val="left"/>
        <w:rPr>
          <w:rFonts w:ascii="仿宋" w:hAnsi="仿宋" w:eastAsia="仿宋"/>
          <w:color w:val="000000" w:themeColor="text1"/>
          <w:sz w:val="24"/>
          <w14:textFill>
            <w14:solidFill>
              <w14:schemeClr w14:val="tx1"/>
            </w14:solidFill>
          </w14:textFill>
        </w:rPr>
      </w:pPr>
    </w:p>
    <w:p>
      <w:pPr>
        <w:pStyle w:val="22"/>
        <w:spacing w:line="400" w:lineRule="exact"/>
        <w:ind w:firstLine="0" w:firstLineChars="0"/>
        <w:contextualSpacing/>
        <w:jc w:val="left"/>
        <w:rPr>
          <w:rFonts w:ascii="仿宋" w:hAnsi="仿宋" w:eastAsia="仿宋"/>
          <w:color w:val="000000" w:themeColor="text1"/>
          <w:sz w:val="24"/>
          <w14:textFill>
            <w14:solidFill>
              <w14:schemeClr w14:val="tx1"/>
            </w14:solidFill>
          </w14:textFill>
        </w:rPr>
      </w:pPr>
    </w:p>
    <w:p>
      <w:pPr>
        <w:pStyle w:val="22"/>
        <w:spacing w:line="400" w:lineRule="exact"/>
        <w:ind w:firstLine="0" w:firstLineChars="0"/>
        <w:contextualSpacing/>
        <w:jc w:val="left"/>
        <w:rPr>
          <w:rFonts w:ascii="仿宋" w:hAnsi="仿宋" w:eastAsia="仿宋"/>
          <w:color w:val="000000" w:themeColor="text1"/>
          <w:sz w:val="24"/>
          <w14:textFill>
            <w14:solidFill>
              <w14:schemeClr w14:val="tx1"/>
            </w14:solidFill>
          </w14:textFill>
        </w:rPr>
      </w:pPr>
    </w:p>
    <w:p>
      <w:pPr>
        <w:pStyle w:val="22"/>
        <w:spacing w:line="400" w:lineRule="exact"/>
        <w:ind w:firstLine="0" w:firstLineChars="0"/>
        <w:contextualSpacing/>
        <w:jc w:val="left"/>
        <w:rPr>
          <w:rFonts w:ascii="仿宋" w:hAnsi="仿宋" w:eastAsia="仿宋"/>
          <w:color w:val="000000" w:themeColor="text1"/>
          <w:sz w:val="24"/>
          <w14:textFill>
            <w14:solidFill>
              <w14:schemeClr w14:val="tx1"/>
            </w14:solidFill>
          </w14:textFill>
        </w:rPr>
      </w:pPr>
    </w:p>
    <w:p>
      <w:pPr>
        <w:pStyle w:val="22"/>
        <w:spacing w:line="400" w:lineRule="exact"/>
        <w:ind w:firstLine="0" w:firstLineChars="0"/>
        <w:contextualSpacing/>
        <w:jc w:val="left"/>
        <w:rPr>
          <w:rFonts w:ascii="仿宋" w:hAnsi="仿宋" w:eastAsia="仿宋"/>
          <w:color w:val="000000" w:themeColor="text1"/>
          <w:sz w:val="24"/>
          <w14:textFill>
            <w14:solidFill>
              <w14:schemeClr w14:val="tx1"/>
            </w14:solidFill>
          </w14:textFill>
        </w:rPr>
      </w:pPr>
    </w:p>
    <w:p>
      <w:pPr>
        <w:pStyle w:val="22"/>
        <w:spacing w:line="400" w:lineRule="exact"/>
        <w:ind w:firstLine="0" w:firstLineChars="0"/>
        <w:contextualSpacing/>
        <w:jc w:val="left"/>
        <w:rPr>
          <w:rFonts w:ascii="仿宋" w:hAnsi="仿宋" w:eastAsia="仿宋"/>
          <w:color w:val="000000" w:themeColor="text1"/>
          <w:sz w:val="24"/>
          <w14:textFill>
            <w14:solidFill>
              <w14:schemeClr w14:val="tx1"/>
            </w14:solidFill>
          </w14:textFill>
        </w:rPr>
      </w:pPr>
    </w:p>
    <w:p>
      <w:pPr>
        <w:pStyle w:val="22"/>
        <w:spacing w:line="400" w:lineRule="exact"/>
        <w:ind w:firstLine="0" w:firstLineChars="0"/>
        <w:contextualSpacing/>
        <w:jc w:val="left"/>
        <w:rPr>
          <w:rFonts w:ascii="仿宋" w:hAnsi="仿宋" w:eastAsia="仿宋"/>
          <w:color w:val="000000" w:themeColor="text1"/>
          <w:sz w:val="24"/>
          <w14:textFill>
            <w14:solidFill>
              <w14:schemeClr w14:val="tx1"/>
            </w14:solidFill>
          </w14:textFill>
        </w:rPr>
      </w:pPr>
    </w:p>
    <w:p>
      <w:pPr>
        <w:pStyle w:val="22"/>
        <w:spacing w:line="400" w:lineRule="exact"/>
        <w:ind w:firstLine="0" w:firstLineChars="0"/>
        <w:contextualSpacing/>
        <w:jc w:val="left"/>
        <w:rPr>
          <w:rFonts w:ascii="仿宋" w:hAnsi="仿宋" w:eastAsia="仿宋"/>
          <w:color w:val="000000" w:themeColor="text1"/>
          <w:sz w:val="24"/>
          <w14:textFill>
            <w14:solidFill>
              <w14:schemeClr w14:val="tx1"/>
            </w14:solidFill>
          </w14:textFill>
        </w:rPr>
      </w:pPr>
    </w:p>
    <w:p>
      <w:pPr>
        <w:pStyle w:val="22"/>
        <w:spacing w:line="400" w:lineRule="exact"/>
        <w:ind w:firstLine="0" w:firstLineChars="0"/>
        <w:contextualSpacing/>
        <w:jc w:val="left"/>
        <w:rPr>
          <w:rFonts w:ascii="仿宋" w:hAnsi="仿宋" w:eastAsia="仿宋"/>
          <w:color w:val="000000" w:themeColor="text1"/>
          <w:sz w:val="24"/>
          <w14:textFill>
            <w14:solidFill>
              <w14:schemeClr w14:val="tx1"/>
            </w14:solidFill>
          </w14:textFill>
        </w:rPr>
      </w:pPr>
    </w:p>
    <w:tbl>
      <w:tblPr>
        <w:tblStyle w:val="33"/>
        <w:tblW w:w="13580" w:type="dxa"/>
        <w:tblInd w:w="93" w:type="dxa"/>
        <w:tblLayout w:type="fixed"/>
        <w:tblCellMar>
          <w:top w:w="0" w:type="dxa"/>
          <w:left w:w="108" w:type="dxa"/>
          <w:bottom w:w="0" w:type="dxa"/>
          <w:right w:w="108" w:type="dxa"/>
        </w:tblCellMar>
      </w:tblPr>
      <w:tblGrid>
        <w:gridCol w:w="408"/>
        <w:gridCol w:w="342"/>
        <w:gridCol w:w="240"/>
        <w:gridCol w:w="536"/>
        <w:gridCol w:w="361"/>
        <w:gridCol w:w="361"/>
        <w:gridCol w:w="436"/>
        <w:gridCol w:w="263"/>
        <w:gridCol w:w="636"/>
        <w:gridCol w:w="377"/>
        <w:gridCol w:w="522"/>
        <w:gridCol w:w="457"/>
        <w:gridCol w:w="710"/>
        <w:gridCol w:w="71"/>
        <w:gridCol w:w="831"/>
        <w:gridCol w:w="249"/>
        <w:gridCol w:w="700"/>
        <w:gridCol w:w="131"/>
        <w:gridCol w:w="974"/>
        <w:gridCol w:w="145"/>
        <w:gridCol w:w="872"/>
        <w:gridCol w:w="28"/>
        <w:gridCol w:w="899"/>
        <w:gridCol w:w="43"/>
        <w:gridCol w:w="1048"/>
        <w:gridCol w:w="56"/>
        <w:gridCol w:w="944"/>
        <w:gridCol w:w="74"/>
        <w:gridCol w:w="866"/>
      </w:tblGrid>
      <w:tr>
        <w:tblPrEx>
          <w:tblCellMar>
            <w:top w:w="0" w:type="dxa"/>
            <w:left w:w="108" w:type="dxa"/>
            <w:bottom w:w="0" w:type="dxa"/>
            <w:right w:w="108" w:type="dxa"/>
          </w:tblCellMar>
        </w:tblPrEx>
        <w:trPr>
          <w:trHeight w:val="187" w:hRule="atLeast"/>
        </w:trPr>
        <w:tc>
          <w:tcPr>
            <w:tcW w:w="13580" w:type="dxa"/>
            <w:gridSpan w:val="29"/>
            <w:tcBorders>
              <w:top w:val="nil"/>
              <w:left w:val="nil"/>
              <w:bottom w:val="nil"/>
              <w:right w:val="nil"/>
            </w:tcBorders>
            <w:vAlign w:val="center"/>
          </w:tcPr>
          <w:p>
            <w:pPr>
              <w:widowControl/>
              <w:jc w:val="left"/>
              <w:rPr>
                <w:rFonts w:ascii="宋体" w:hAnsi="宋体" w:cs="宋体"/>
                <w:color w:val="000000" w:themeColor="text1"/>
                <w:kern w:val="0"/>
                <w:sz w:val="36"/>
                <w:szCs w:val="36"/>
                <w14:textFill>
                  <w14:solidFill>
                    <w14:schemeClr w14:val="tx1"/>
                  </w14:solidFill>
                </w14:textFill>
              </w:rPr>
            </w:pPr>
            <w:r>
              <w:rPr>
                <w:rFonts w:hint="eastAsia" w:ascii="宋体" w:hAnsi="宋体" w:cs="宋体"/>
                <w:color w:val="000000" w:themeColor="text1"/>
                <w:kern w:val="0"/>
                <w:sz w:val="36"/>
                <w:szCs w:val="36"/>
                <w14:textFill>
                  <w14:solidFill>
                    <w14:schemeClr w14:val="tx1"/>
                  </w14:solidFill>
                </w14:textFill>
              </w:rPr>
              <w:t>八、</w:t>
            </w:r>
            <w:r>
              <w:rPr>
                <w:rFonts w:hint="eastAsia" w:ascii="宋体" w:hAnsi="宋体" w:cs="宋体"/>
                <w:color w:val="000000" w:themeColor="text1"/>
                <w:kern w:val="0"/>
                <w:sz w:val="44"/>
                <w:szCs w:val="44"/>
                <w14:textFill>
                  <w14:solidFill>
                    <w14:schemeClr w14:val="tx1"/>
                  </w14:solidFill>
                </w14:textFill>
              </w:rPr>
              <w:t>污染源在线自动监控设施运行管理</w:t>
            </w:r>
            <w:r>
              <w:rPr>
                <w:rFonts w:hint="eastAsia" w:ascii="宋体" w:hAnsi="宋体" w:cs="宋体"/>
                <w:color w:val="000000" w:themeColor="text1"/>
                <w:kern w:val="0"/>
                <w:sz w:val="36"/>
                <w:szCs w:val="36"/>
                <w14:textFill>
                  <w14:solidFill>
                    <w14:schemeClr w14:val="tx1"/>
                  </w14:solidFill>
                </w14:textFill>
              </w:rPr>
              <w:t>（30分）</w:t>
            </w:r>
          </w:p>
        </w:tc>
      </w:tr>
      <w:tr>
        <w:tblPrEx>
          <w:tblCellMar>
            <w:top w:w="0" w:type="dxa"/>
            <w:left w:w="108" w:type="dxa"/>
            <w:bottom w:w="0" w:type="dxa"/>
            <w:right w:w="108" w:type="dxa"/>
          </w:tblCellMar>
        </w:tblPrEx>
        <w:trPr>
          <w:trHeight w:val="97" w:hRule="atLeast"/>
        </w:trPr>
        <w:tc>
          <w:tcPr>
            <w:tcW w:w="4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序号</w:t>
            </w:r>
          </w:p>
        </w:tc>
        <w:tc>
          <w:tcPr>
            <w:tcW w:w="58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监控点名称</w:t>
            </w:r>
          </w:p>
        </w:tc>
        <w:tc>
          <w:tcPr>
            <w:tcW w:w="5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监测因子</w:t>
            </w:r>
          </w:p>
        </w:tc>
        <w:tc>
          <w:tcPr>
            <w:tcW w:w="72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计划运行天数</w:t>
            </w:r>
          </w:p>
        </w:tc>
        <w:tc>
          <w:tcPr>
            <w:tcW w:w="6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实际运行天数</w:t>
            </w:r>
          </w:p>
        </w:tc>
        <w:tc>
          <w:tcPr>
            <w:tcW w:w="9767" w:type="dxa"/>
            <w:gridSpan w:val="20"/>
            <w:tcBorders>
              <w:top w:val="single" w:color="auto" w:sz="4" w:space="0"/>
              <w:left w:val="nil"/>
              <w:bottom w:val="single" w:color="auto" w:sz="4" w:space="0"/>
              <w:right w:val="nil"/>
            </w:tcBorders>
            <w:shd w:val="clear" w:color="000000" w:fill="FFFFFF"/>
            <w:vAlign w:val="center"/>
          </w:tcPr>
          <w:p>
            <w:pPr>
              <w:widowControl/>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考核内容</w:t>
            </w:r>
          </w:p>
        </w:tc>
        <w:tc>
          <w:tcPr>
            <w:tcW w:w="86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考核得分</w:t>
            </w:r>
          </w:p>
        </w:tc>
      </w:tr>
      <w:tr>
        <w:tblPrEx>
          <w:tblCellMar>
            <w:top w:w="0" w:type="dxa"/>
            <w:left w:w="108" w:type="dxa"/>
            <w:bottom w:w="0" w:type="dxa"/>
            <w:right w:w="108" w:type="dxa"/>
          </w:tblCellMar>
        </w:tblPrEx>
        <w:trPr>
          <w:trHeight w:val="97" w:hRule="atLeast"/>
        </w:trPr>
        <w:tc>
          <w:tcPr>
            <w:tcW w:w="4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 w:val="24"/>
                <w14:textFill>
                  <w14:solidFill>
                    <w14:schemeClr w14:val="tx1"/>
                  </w14:solidFill>
                </w14:textFill>
              </w:rPr>
            </w:pPr>
          </w:p>
        </w:tc>
        <w:tc>
          <w:tcPr>
            <w:tcW w:w="58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 w:val="24"/>
                <w14:textFill>
                  <w14:solidFill>
                    <w14:schemeClr w14:val="tx1"/>
                  </w14:solidFill>
                </w14:textFill>
              </w:rPr>
            </w:pPr>
          </w:p>
        </w:tc>
        <w:tc>
          <w:tcPr>
            <w:tcW w:w="5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14:textFill>
                  <w14:solidFill>
                    <w14:schemeClr w14:val="tx1"/>
                  </w14:solidFill>
                </w14:textFill>
              </w:rPr>
            </w:pPr>
          </w:p>
        </w:tc>
        <w:tc>
          <w:tcPr>
            <w:tcW w:w="72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 w:val="24"/>
                <w14:textFill>
                  <w14:solidFill>
                    <w14:schemeClr w14:val="tx1"/>
                  </w14:solidFill>
                </w14:textFill>
              </w:rPr>
            </w:pPr>
          </w:p>
        </w:tc>
        <w:tc>
          <w:tcPr>
            <w:tcW w:w="69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14:textFill>
                  <w14:solidFill>
                    <w14:schemeClr w14:val="tx1"/>
                  </w14:solidFill>
                </w14:textFill>
              </w:rPr>
            </w:pPr>
          </w:p>
        </w:tc>
        <w:tc>
          <w:tcPr>
            <w:tcW w:w="199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数据质量</w:t>
            </w:r>
          </w:p>
        </w:tc>
        <w:tc>
          <w:tcPr>
            <w:tcW w:w="5653" w:type="dxa"/>
            <w:gridSpan w:val="1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日常运维工作</w:t>
            </w:r>
          </w:p>
        </w:tc>
        <w:tc>
          <w:tcPr>
            <w:tcW w:w="212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日常监管情况</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71" w:hRule="atLeast"/>
        </w:trPr>
        <w:tc>
          <w:tcPr>
            <w:tcW w:w="4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 w:val="24"/>
                <w14:textFill>
                  <w14:solidFill>
                    <w14:schemeClr w14:val="tx1"/>
                  </w14:solidFill>
                </w14:textFill>
              </w:rPr>
            </w:pPr>
          </w:p>
        </w:tc>
        <w:tc>
          <w:tcPr>
            <w:tcW w:w="58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 w:val="24"/>
                <w14:textFill>
                  <w14:solidFill>
                    <w14:schemeClr w14:val="tx1"/>
                  </w14:solidFill>
                </w14:textFill>
              </w:rPr>
            </w:pPr>
          </w:p>
        </w:tc>
        <w:tc>
          <w:tcPr>
            <w:tcW w:w="5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14:textFill>
                  <w14:solidFill>
                    <w14:schemeClr w14:val="tx1"/>
                  </w14:solidFill>
                </w14:textFill>
              </w:rPr>
            </w:pPr>
          </w:p>
        </w:tc>
        <w:tc>
          <w:tcPr>
            <w:tcW w:w="72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 w:val="24"/>
                <w14:textFill>
                  <w14:solidFill>
                    <w14:schemeClr w14:val="tx1"/>
                  </w14:solidFill>
                </w14:textFill>
              </w:rPr>
            </w:pPr>
          </w:p>
        </w:tc>
        <w:tc>
          <w:tcPr>
            <w:tcW w:w="69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14:textFill>
                  <w14:solidFill>
                    <w14:schemeClr w14:val="tx1"/>
                  </w14:solidFill>
                </w14:textFill>
              </w:rPr>
            </w:pPr>
          </w:p>
        </w:tc>
        <w:tc>
          <w:tcPr>
            <w:tcW w:w="1013" w:type="dxa"/>
            <w:gridSpan w:val="2"/>
            <w:tcBorders>
              <w:top w:val="nil"/>
              <w:left w:val="nil"/>
              <w:bottom w:val="nil"/>
              <w:right w:val="single" w:color="auto" w:sz="4" w:space="0"/>
            </w:tcBorders>
            <w:shd w:val="clear" w:color="000000" w:fill="FFFFFF"/>
            <w:vAlign w:val="center"/>
          </w:tcPr>
          <w:p>
            <w:pPr>
              <w:widowControl/>
              <w:jc w:val="center"/>
              <w:rPr>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历史数据完整率</w:t>
            </w:r>
            <w:r>
              <w:rPr>
                <w:color w:val="000000" w:themeColor="text1"/>
                <w:kern w:val="0"/>
                <w:sz w:val="24"/>
                <w14:textFill>
                  <w14:solidFill>
                    <w14:schemeClr w14:val="tx1"/>
                  </w14:solidFill>
                </w14:textFill>
              </w:rPr>
              <w:t>(3')</w:t>
            </w:r>
          </w:p>
        </w:tc>
        <w:tc>
          <w:tcPr>
            <w:tcW w:w="979" w:type="dxa"/>
            <w:gridSpan w:val="2"/>
            <w:tcBorders>
              <w:top w:val="nil"/>
              <w:left w:val="nil"/>
              <w:bottom w:val="nil"/>
              <w:right w:val="single" w:color="auto" w:sz="4" w:space="0"/>
            </w:tcBorders>
            <w:shd w:val="clear" w:color="000000" w:fill="FFFFFF"/>
            <w:vAlign w:val="center"/>
          </w:tcPr>
          <w:p>
            <w:pPr>
              <w:widowControl/>
              <w:jc w:val="center"/>
              <w:rPr>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真实异常小时数据比例</w:t>
            </w:r>
            <w:r>
              <w:rPr>
                <w:color w:val="000000" w:themeColor="text1"/>
                <w:kern w:val="0"/>
                <w:sz w:val="24"/>
                <w14:textFill>
                  <w14:solidFill>
                    <w14:schemeClr w14:val="tx1"/>
                  </w14:solidFill>
                </w14:textFill>
              </w:rPr>
              <w:t>(2')</w:t>
            </w:r>
          </w:p>
        </w:tc>
        <w:tc>
          <w:tcPr>
            <w:tcW w:w="781" w:type="dxa"/>
            <w:gridSpan w:val="2"/>
            <w:tcBorders>
              <w:top w:val="nil"/>
              <w:left w:val="nil"/>
              <w:bottom w:val="nil"/>
              <w:right w:val="single" w:color="auto" w:sz="4" w:space="0"/>
            </w:tcBorders>
            <w:shd w:val="clear" w:color="000000" w:fill="FFFFFF"/>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异常任务处理率</w:t>
            </w:r>
            <w:r>
              <w:rPr>
                <w:color w:val="000000" w:themeColor="text1"/>
                <w:kern w:val="0"/>
                <w:sz w:val="24"/>
                <w14:textFill>
                  <w14:solidFill>
                    <w14:schemeClr w14:val="tx1"/>
                  </w14:solidFill>
                </w14:textFill>
              </w:rPr>
              <w:t>(2')</w:t>
            </w:r>
          </w:p>
        </w:tc>
        <w:tc>
          <w:tcPr>
            <w:tcW w:w="831" w:type="dxa"/>
            <w:tcBorders>
              <w:top w:val="nil"/>
              <w:left w:val="nil"/>
              <w:bottom w:val="nil"/>
              <w:right w:val="single" w:color="auto" w:sz="4" w:space="0"/>
            </w:tcBorders>
            <w:shd w:val="clear" w:color="000000" w:fill="FFFFFF"/>
            <w:vAlign w:val="center"/>
          </w:tcPr>
          <w:p>
            <w:pPr>
              <w:widowControl/>
              <w:jc w:val="center"/>
              <w:rPr>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异常任务按时完成率</w:t>
            </w:r>
            <w:r>
              <w:rPr>
                <w:color w:val="000000" w:themeColor="text1"/>
                <w:kern w:val="0"/>
                <w:sz w:val="24"/>
                <w14:textFill>
                  <w14:solidFill>
                    <w14:schemeClr w14:val="tx1"/>
                  </w14:solidFill>
                </w14:textFill>
              </w:rPr>
              <w:t>(2')</w:t>
            </w:r>
          </w:p>
        </w:tc>
        <w:tc>
          <w:tcPr>
            <w:tcW w:w="1080" w:type="dxa"/>
            <w:gridSpan w:val="3"/>
            <w:tcBorders>
              <w:top w:val="nil"/>
              <w:left w:val="nil"/>
              <w:bottom w:val="single" w:color="auto" w:sz="4" w:space="0"/>
              <w:right w:val="single" w:color="auto" w:sz="4" w:space="0"/>
            </w:tcBorders>
            <w:shd w:val="clear" w:color="000000" w:fill="FFFFFF"/>
            <w:vAlign w:val="center"/>
          </w:tcPr>
          <w:p>
            <w:pPr>
              <w:widowControl/>
              <w:jc w:val="center"/>
              <w:rPr>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运行维护频次</w:t>
            </w:r>
            <w:r>
              <w:rPr>
                <w:color w:val="000000" w:themeColor="text1"/>
                <w:kern w:val="0"/>
                <w:sz w:val="24"/>
                <w14:textFill>
                  <w14:solidFill>
                    <w14:schemeClr w14:val="tx1"/>
                  </w14:solidFill>
                </w14:textFill>
              </w:rPr>
              <w:t>(4')</w:t>
            </w:r>
          </w:p>
        </w:tc>
        <w:tc>
          <w:tcPr>
            <w:tcW w:w="974" w:type="dxa"/>
            <w:tcBorders>
              <w:top w:val="nil"/>
              <w:left w:val="nil"/>
              <w:bottom w:val="single" w:color="auto" w:sz="4" w:space="0"/>
              <w:right w:val="single" w:color="auto" w:sz="4" w:space="0"/>
            </w:tcBorders>
            <w:shd w:val="clear" w:color="000000" w:fill="FFFFFF"/>
            <w:vAlign w:val="center"/>
          </w:tcPr>
          <w:p>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仪器调试校准(4')</w:t>
            </w:r>
          </w:p>
        </w:tc>
        <w:tc>
          <w:tcPr>
            <w:tcW w:w="1017" w:type="dxa"/>
            <w:gridSpan w:val="2"/>
            <w:tcBorders>
              <w:top w:val="nil"/>
              <w:left w:val="nil"/>
              <w:bottom w:val="single" w:color="auto" w:sz="4" w:space="0"/>
              <w:right w:val="single" w:color="auto" w:sz="4" w:space="0"/>
            </w:tcBorders>
            <w:shd w:val="clear" w:color="000000" w:fill="FFFFFF"/>
            <w:vAlign w:val="center"/>
          </w:tcPr>
          <w:p>
            <w:pPr>
              <w:widowControl/>
              <w:jc w:val="center"/>
              <w:rPr>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运行台账记录</w:t>
            </w:r>
            <w:r>
              <w:rPr>
                <w:color w:val="000000" w:themeColor="text1"/>
                <w:kern w:val="0"/>
                <w:sz w:val="24"/>
                <w14:textFill>
                  <w14:solidFill>
                    <w14:schemeClr w14:val="tx1"/>
                  </w14:solidFill>
                </w14:textFill>
              </w:rPr>
              <w:t>(6')</w:t>
            </w:r>
          </w:p>
        </w:tc>
        <w:tc>
          <w:tcPr>
            <w:tcW w:w="970" w:type="dxa"/>
            <w:gridSpan w:val="3"/>
            <w:tcBorders>
              <w:top w:val="nil"/>
              <w:left w:val="nil"/>
              <w:bottom w:val="single" w:color="auto" w:sz="4" w:space="0"/>
              <w:right w:val="single" w:color="auto" w:sz="4" w:space="0"/>
            </w:tcBorders>
            <w:shd w:val="clear" w:color="000000" w:fill="FFFFFF"/>
            <w:vAlign w:val="center"/>
          </w:tcPr>
          <w:p>
            <w:pPr>
              <w:widowControl/>
              <w:jc w:val="center"/>
              <w:rPr>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其他问题</w:t>
            </w:r>
            <w:r>
              <w:rPr>
                <w:color w:val="000000" w:themeColor="text1"/>
                <w:kern w:val="0"/>
                <w:sz w:val="24"/>
                <w14:textFill>
                  <w14:solidFill>
                    <w14:schemeClr w14:val="tx1"/>
                  </w14:solidFill>
                </w14:textFill>
              </w:rPr>
              <w:t>(2')</w:t>
            </w:r>
          </w:p>
        </w:tc>
        <w:tc>
          <w:tcPr>
            <w:tcW w:w="1048" w:type="dxa"/>
            <w:tcBorders>
              <w:top w:val="nil"/>
              <w:left w:val="nil"/>
              <w:bottom w:val="single" w:color="auto" w:sz="4" w:space="0"/>
              <w:right w:val="single" w:color="auto" w:sz="4" w:space="0"/>
            </w:tcBorders>
            <w:shd w:val="clear" w:color="000000" w:fill="FFFFFF"/>
            <w:vAlign w:val="center"/>
          </w:tcPr>
          <w:p>
            <w:pPr>
              <w:widowControl/>
              <w:jc w:val="center"/>
              <w:rPr>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比对监测情况</w:t>
            </w:r>
            <w:r>
              <w:rPr>
                <w:color w:val="000000" w:themeColor="text1"/>
                <w:kern w:val="0"/>
                <w:sz w:val="24"/>
                <w14:textFill>
                  <w14:solidFill>
                    <w14:schemeClr w14:val="tx1"/>
                  </w14:solidFill>
                </w14:textFill>
              </w:rPr>
              <w:t>(2')</w:t>
            </w:r>
          </w:p>
        </w:tc>
        <w:tc>
          <w:tcPr>
            <w:tcW w:w="1074" w:type="dxa"/>
            <w:gridSpan w:val="3"/>
            <w:tcBorders>
              <w:top w:val="nil"/>
              <w:left w:val="nil"/>
              <w:bottom w:val="single" w:color="auto" w:sz="4" w:space="0"/>
              <w:right w:val="single" w:color="auto" w:sz="4" w:space="0"/>
            </w:tcBorders>
            <w:shd w:val="clear" w:color="000000" w:fill="FFFFFF"/>
            <w:vAlign w:val="center"/>
          </w:tcPr>
          <w:p>
            <w:pPr>
              <w:widowControl/>
              <w:jc w:val="center"/>
              <w:rPr>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点位违规被通报记录</w:t>
            </w:r>
            <w:r>
              <w:rPr>
                <w:color w:val="000000" w:themeColor="text1"/>
                <w:kern w:val="0"/>
                <w:sz w:val="24"/>
                <w14:textFill>
                  <w14:solidFill>
                    <w14:schemeClr w14:val="tx1"/>
                  </w14:solidFill>
                </w14:textFill>
              </w:rPr>
              <w:t>(3')</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1576" w:hRule="atLeast"/>
        </w:trPr>
        <w:tc>
          <w:tcPr>
            <w:tcW w:w="4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 w:val="24"/>
                <w14:textFill>
                  <w14:solidFill>
                    <w14:schemeClr w14:val="tx1"/>
                  </w14:solidFill>
                </w14:textFill>
              </w:rPr>
            </w:pPr>
          </w:p>
        </w:tc>
        <w:tc>
          <w:tcPr>
            <w:tcW w:w="58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 w:val="24"/>
                <w14:textFill>
                  <w14:solidFill>
                    <w14:schemeClr w14:val="tx1"/>
                  </w14:solidFill>
                </w14:textFill>
              </w:rPr>
            </w:pPr>
          </w:p>
        </w:tc>
        <w:tc>
          <w:tcPr>
            <w:tcW w:w="5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14:textFill>
                  <w14:solidFill>
                    <w14:schemeClr w14:val="tx1"/>
                  </w14:solidFill>
                </w14:textFill>
              </w:rPr>
            </w:pPr>
          </w:p>
        </w:tc>
        <w:tc>
          <w:tcPr>
            <w:tcW w:w="72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 w:val="24"/>
                <w14:textFill>
                  <w14:solidFill>
                    <w14:schemeClr w14:val="tx1"/>
                  </w14:solidFill>
                </w14:textFill>
              </w:rPr>
            </w:pPr>
          </w:p>
        </w:tc>
        <w:tc>
          <w:tcPr>
            <w:tcW w:w="69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14:textFill>
                  <w14:solidFill>
                    <w14:schemeClr w14:val="tx1"/>
                  </w14:solidFill>
                </w14:textFill>
              </w:rPr>
            </w:pPr>
          </w:p>
        </w:tc>
        <w:tc>
          <w:tcPr>
            <w:tcW w:w="1013" w:type="dxa"/>
            <w:gridSpan w:val="2"/>
            <w:tcBorders>
              <w:top w:val="single" w:color="auto" w:sz="4" w:space="0"/>
              <w:left w:val="nil"/>
              <w:bottom w:val="nil"/>
              <w:right w:val="single" w:color="auto" w:sz="4" w:space="0"/>
            </w:tcBorders>
            <w:shd w:val="clear" w:color="000000" w:fill="FFFFFF"/>
            <w:vAlign w:val="center"/>
          </w:tcPr>
          <w:p>
            <w:pPr>
              <w:widowControl/>
              <w:jc w:val="center"/>
              <w:rPr>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以管理平台统计为准。大于等于</w:t>
            </w:r>
            <w:r>
              <w:rPr>
                <w:color w:val="000000" w:themeColor="text1"/>
                <w:kern w:val="0"/>
                <w:sz w:val="18"/>
                <w:szCs w:val="18"/>
                <w14:textFill>
                  <w14:solidFill>
                    <w14:schemeClr w14:val="tx1"/>
                  </w14:solidFill>
                </w14:textFill>
              </w:rPr>
              <w:t>98%</w:t>
            </w:r>
            <w:r>
              <w:rPr>
                <w:rFonts w:hint="eastAsia" w:ascii="宋体" w:hAnsi="宋体"/>
                <w:color w:val="000000" w:themeColor="text1"/>
                <w:kern w:val="0"/>
                <w:sz w:val="18"/>
                <w:szCs w:val="18"/>
                <w14:textFill>
                  <w14:solidFill>
                    <w14:schemeClr w14:val="tx1"/>
                  </w14:solidFill>
                </w14:textFill>
              </w:rPr>
              <w:t>，得</w:t>
            </w:r>
            <w:r>
              <w:rPr>
                <w:color w:val="000000" w:themeColor="text1"/>
                <w:kern w:val="0"/>
                <w:sz w:val="18"/>
                <w:szCs w:val="18"/>
                <w14:textFill>
                  <w14:solidFill>
                    <w14:schemeClr w14:val="tx1"/>
                  </w14:solidFill>
                </w14:textFill>
              </w:rPr>
              <w:t>3</w:t>
            </w:r>
            <w:r>
              <w:rPr>
                <w:rFonts w:hint="eastAsia" w:ascii="宋体" w:hAnsi="宋体"/>
                <w:color w:val="000000" w:themeColor="text1"/>
                <w:kern w:val="0"/>
                <w:sz w:val="18"/>
                <w:szCs w:val="18"/>
                <w14:textFill>
                  <w14:solidFill>
                    <w14:schemeClr w14:val="tx1"/>
                  </w14:solidFill>
                </w14:textFill>
              </w:rPr>
              <w:t>分；小于</w:t>
            </w:r>
            <w:r>
              <w:rPr>
                <w:color w:val="000000" w:themeColor="text1"/>
                <w:kern w:val="0"/>
                <w:sz w:val="18"/>
                <w:szCs w:val="18"/>
                <w14:textFill>
                  <w14:solidFill>
                    <w14:schemeClr w14:val="tx1"/>
                  </w14:solidFill>
                </w14:textFill>
              </w:rPr>
              <w:t>98%</w:t>
            </w:r>
            <w:r>
              <w:rPr>
                <w:rFonts w:hint="eastAsia" w:ascii="宋体" w:hAnsi="宋体"/>
                <w:color w:val="000000" w:themeColor="text1"/>
                <w:kern w:val="0"/>
                <w:sz w:val="18"/>
                <w:szCs w:val="18"/>
                <w14:textFill>
                  <w14:solidFill>
                    <w14:schemeClr w14:val="tx1"/>
                  </w14:solidFill>
                </w14:textFill>
              </w:rPr>
              <w:t>，每下降</w:t>
            </w:r>
            <w:r>
              <w:rPr>
                <w:color w:val="000000" w:themeColor="text1"/>
                <w:kern w:val="0"/>
                <w:sz w:val="18"/>
                <w:szCs w:val="18"/>
                <w14:textFill>
                  <w14:solidFill>
                    <w14:schemeClr w14:val="tx1"/>
                  </w14:solidFill>
                </w14:textFill>
              </w:rPr>
              <w:t>1%</w:t>
            </w:r>
            <w:r>
              <w:rPr>
                <w:rFonts w:hint="eastAsia" w:ascii="宋体" w:hAnsi="宋体"/>
                <w:color w:val="000000" w:themeColor="text1"/>
                <w:kern w:val="0"/>
                <w:sz w:val="18"/>
                <w:szCs w:val="18"/>
                <w14:textFill>
                  <w14:solidFill>
                    <w14:schemeClr w14:val="tx1"/>
                  </w14:solidFill>
                </w14:textFill>
              </w:rPr>
              <w:t>扣</w:t>
            </w:r>
            <w:r>
              <w:rPr>
                <w:color w:val="000000" w:themeColor="text1"/>
                <w:kern w:val="0"/>
                <w:sz w:val="18"/>
                <w:szCs w:val="18"/>
                <w14:textFill>
                  <w14:solidFill>
                    <w14:schemeClr w14:val="tx1"/>
                  </w14:solidFill>
                </w14:textFill>
              </w:rPr>
              <w:t>0.1</w:t>
            </w:r>
            <w:r>
              <w:rPr>
                <w:rFonts w:hint="eastAsia" w:ascii="宋体" w:hAnsi="宋体"/>
                <w:color w:val="000000" w:themeColor="text1"/>
                <w:kern w:val="0"/>
                <w:sz w:val="18"/>
                <w:szCs w:val="18"/>
                <w14:textFill>
                  <w14:solidFill>
                    <w14:schemeClr w14:val="tx1"/>
                  </w14:solidFill>
                </w14:textFill>
              </w:rPr>
              <w:t>分，扣完该项分为止；大于</w:t>
            </w:r>
            <w:r>
              <w:rPr>
                <w:color w:val="000000" w:themeColor="text1"/>
                <w:kern w:val="0"/>
                <w:sz w:val="18"/>
                <w:szCs w:val="18"/>
                <w14:textFill>
                  <w14:solidFill>
                    <w14:schemeClr w14:val="tx1"/>
                  </w14:solidFill>
                </w14:textFill>
              </w:rPr>
              <w:t>100%</w:t>
            </w:r>
            <w:r>
              <w:rPr>
                <w:rFonts w:hint="eastAsia" w:ascii="宋体" w:hAnsi="宋体"/>
                <w:color w:val="000000" w:themeColor="text1"/>
                <w:kern w:val="0"/>
                <w:sz w:val="18"/>
                <w:szCs w:val="18"/>
                <w14:textFill>
                  <w14:solidFill>
                    <w14:schemeClr w14:val="tx1"/>
                  </w14:solidFill>
                </w14:textFill>
              </w:rPr>
              <w:t>不得分。</w:t>
            </w:r>
          </w:p>
        </w:tc>
        <w:tc>
          <w:tcPr>
            <w:tcW w:w="979" w:type="dxa"/>
            <w:gridSpan w:val="2"/>
            <w:tcBorders>
              <w:top w:val="single" w:color="auto" w:sz="4" w:space="0"/>
              <w:left w:val="nil"/>
              <w:bottom w:val="nil"/>
              <w:right w:val="single" w:color="auto" w:sz="4" w:space="0"/>
            </w:tcBorders>
            <w:shd w:val="clear" w:color="000000" w:fill="FFFFFF"/>
            <w:vAlign w:val="center"/>
          </w:tcPr>
          <w:p>
            <w:pPr>
              <w:widowControl/>
              <w:jc w:val="center"/>
              <w:rPr>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以管理平台统计为准。小于等于</w:t>
            </w:r>
            <w:r>
              <w:rPr>
                <w:color w:val="000000" w:themeColor="text1"/>
                <w:kern w:val="0"/>
                <w:sz w:val="18"/>
                <w:szCs w:val="18"/>
                <w14:textFill>
                  <w14:solidFill>
                    <w14:schemeClr w14:val="tx1"/>
                  </w14:solidFill>
                </w14:textFill>
              </w:rPr>
              <w:t>10%</w:t>
            </w:r>
            <w:r>
              <w:rPr>
                <w:rFonts w:hint="eastAsia" w:ascii="宋体" w:hAnsi="宋体"/>
                <w:color w:val="000000" w:themeColor="text1"/>
                <w:kern w:val="0"/>
                <w:sz w:val="18"/>
                <w:szCs w:val="18"/>
                <w14:textFill>
                  <w14:solidFill>
                    <w14:schemeClr w14:val="tx1"/>
                  </w14:solidFill>
                </w14:textFill>
              </w:rPr>
              <w:t>，得</w:t>
            </w:r>
            <w:r>
              <w:rPr>
                <w:color w:val="000000" w:themeColor="text1"/>
                <w:kern w:val="0"/>
                <w:sz w:val="18"/>
                <w:szCs w:val="18"/>
                <w14:textFill>
                  <w14:solidFill>
                    <w14:schemeClr w14:val="tx1"/>
                  </w14:solidFill>
                </w14:textFill>
              </w:rPr>
              <w:t>2</w:t>
            </w:r>
            <w:r>
              <w:rPr>
                <w:rFonts w:hint="eastAsia" w:ascii="宋体" w:hAnsi="宋体"/>
                <w:color w:val="000000" w:themeColor="text1"/>
                <w:kern w:val="0"/>
                <w:sz w:val="18"/>
                <w:szCs w:val="18"/>
                <w14:textFill>
                  <w14:solidFill>
                    <w14:schemeClr w14:val="tx1"/>
                  </w14:solidFill>
                </w14:textFill>
              </w:rPr>
              <w:t>分；大于</w:t>
            </w:r>
            <w:r>
              <w:rPr>
                <w:color w:val="000000" w:themeColor="text1"/>
                <w:kern w:val="0"/>
                <w:sz w:val="18"/>
                <w:szCs w:val="18"/>
                <w14:textFill>
                  <w14:solidFill>
                    <w14:schemeClr w14:val="tx1"/>
                  </w14:solidFill>
                </w14:textFill>
              </w:rPr>
              <w:t>10%</w:t>
            </w:r>
            <w:r>
              <w:rPr>
                <w:rFonts w:hint="eastAsia" w:ascii="宋体" w:hAnsi="宋体"/>
                <w:color w:val="000000" w:themeColor="text1"/>
                <w:kern w:val="0"/>
                <w:sz w:val="18"/>
                <w:szCs w:val="18"/>
                <w14:textFill>
                  <w14:solidFill>
                    <w14:schemeClr w14:val="tx1"/>
                  </w14:solidFill>
                </w14:textFill>
              </w:rPr>
              <w:t>，每上升</w:t>
            </w:r>
            <w:r>
              <w:rPr>
                <w:color w:val="000000" w:themeColor="text1"/>
                <w:kern w:val="0"/>
                <w:sz w:val="18"/>
                <w:szCs w:val="18"/>
                <w14:textFill>
                  <w14:solidFill>
                    <w14:schemeClr w14:val="tx1"/>
                  </w14:solidFill>
                </w14:textFill>
              </w:rPr>
              <w:t>1%</w:t>
            </w:r>
            <w:r>
              <w:rPr>
                <w:rFonts w:hint="eastAsia" w:ascii="宋体" w:hAnsi="宋体"/>
                <w:color w:val="000000" w:themeColor="text1"/>
                <w:kern w:val="0"/>
                <w:sz w:val="18"/>
                <w:szCs w:val="18"/>
                <w14:textFill>
                  <w14:solidFill>
                    <w14:schemeClr w14:val="tx1"/>
                  </w14:solidFill>
                </w14:textFill>
              </w:rPr>
              <w:t>扣</w:t>
            </w:r>
            <w:r>
              <w:rPr>
                <w:color w:val="000000" w:themeColor="text1"/>
                <w:kern w:val="0"/>
                <w:sz w:val="18"/>
                <w:szCs w:val="18"/>
                <w14:textFill>
                  <w14:solidFill>
                    <w14:schemeClr w14:val="tx1"/>
                  </w14:solidFill>
                </w14:textFill>
              </w:rPr>
              <w:t>0.2</w:t>
            </w:r>
            <w:r>
              <w:rPr>
                <w:rFonts w:hint="eastAsia" w:ascii="宋体" w:hAnsi="宋体"/>
                <w:color w:val="000000" w:themeColor="text1"/>
                <w:kern w:val="0"/>
                <w:sz w:val="18"/>
                <w:szCs w:val="18"/>
                <w14:textFill>
                  <w14:solidFill>
                    <w14:schemeClr w14:val="tx1"/>
                  </w14:solidFill>
                </w14:textFill>
              </w:rPr>
              <w:t>分，扣完该项分数为止。</w:t>
            </w:r>
          </w:p>
        </w:tc>
        <w:tc>
          <w:tcPr>
            <w:tcW w:w="781" w:type="dxa"/>
            <w:gridSpan w:val="2"/>
            <w:tcBorders>
              <w:top w:val="single" w:color="auto" w:sz="4" w:space="0"/>
              <w:left w:val="nil"/>
              <w:bottom w:val="nil"/>
              <w:right w:val="single" w:color="auto" w:sz="4" w:space="0"/>
            </w:tcBorders>
            <w:shd w:val="clear" w:color="000000" w:fill="FFFFFF"/>
            <w:vAlign w:val="center"/>
          </w:tcPr>
          <w:p>
            <w:pPr>
              <w:widowControl/>
              <w:jc w:val="center"/>
              <w:rPr>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以平台统计为准。大于等于</w:t>
            </w:r>
            <w:r>
              <w:rPr>
                <w:color w:val="000000" w:themeColor="text1"/>
                <w:kern w:val="0"/>
                <w:sz w:val="18"/>
                <w:szCs w:val="18"/>
                <w14:textFill>
                  <w14:solidFill>
                    <w14:schemeClr w14:val="tx1"/>
                  </w14:solidFill>
                </w14:textFill>
              </w:rPr>
              <w:t>98%</w:t>
            </w:r>
            <w:r>
              <w:rPr>
                <w:rFonts w:hint="eastAsia" w:ascii="宋体" w:hAnsi="宋体"/>
                <w:color w:val="000000" w:themeColor="text1"/>
                <w:kern w:val="0"/>
                <w:sz w:val="18"/>
                <w:szCs w:val="18"/>
                <w14:textFill>
                  <w14:solidFill>
                    <w14:schemeClr w14:val="tx1"/>
                  </w14:solidFill>
                </w14:textFill>
              </w:rPr>
              <w:t>，得</w:t>
            </w:r>
            <w:r>
              <w:rPr>
                <w:color w:val="000000" w:themeColor="text1"/>
                <w:kern w:val="0"/>
                <w:sz w:val="18"/>
                <w:szCs w:val="18"/>
                <w14:textFill>
                  <w14:solidFill>
                    <w14:schemeClr w14:val="tx1"/>
                  </w14:solidFill>
                </w14:textFill>
              </w:rPr>
              <w:t>2</w:t>
            </w:r>
            <w:r>
              <w:rPr>
                <w:rFonts w:hint="eastAsia" w:ascii="宋体" w:hAnsi="宋体"/>
                <w:color w:val="000000" w:themeColor="text1"/>
                <w:kern w:val="0"/>
                <w:sz w:val="18"/>
                <w:szCs w:val="18"/>
                <w14:textFill>
                  <w14:solidFill>
                    <w14:schemeClr w14:val="tx1"/>
                  </w14:solidFill>
                </w14:textFill>
              </w:rPr>
              <w:t>分；小于</w:t>
            </w:r>
            <w:r>
              <w:rPr>
                <w:color w:val="000000" w:themeColor="text1"/>
                <w:kern w:val="0"/>
                <w:sz w:val="18"/>
                <w:szCs w:val="18"/>
                <w14:textFill>
                  <w14:solidFill>
                    <w14:schemeClr w14:val="tx1"/>
                  </w14:solidFill>
                </w14:textFill>
              </w:rPr>
              <w:t>98%</w:t>
            </w:r>
            <w:r>
              <w:rPr>
                <w:rFonts w:hint="eastAsia" w:ascii="宋体" w:hAnsi="宋体"/>
                <w:color w:val="000000" w:themeColor="text1"/>
                <w:kern w:val="0"/>
                <w:sz w:val="18"/>
                <w:szCs w:val="18"/>
                <w14:textFill>
                  <w14:solidFill>
                    <w14:schemeClr w14:val="tx1"/>
                  </w14:solidFill>
                </w14:textFill>
              </w:rPr>
              <w:t>，每下降</w:t>
            </w:r>
            <w:r>
              <w:rPr>
                <w:color w:val="000000" w:themeColor="text1"/>
                <w:kern w:val="0"/>
                <w:sz w:val="18"/>
                <w:szCs w:val="18"/>
                <w14:textFill>
                  <w14:solidFill>
                    <w14:schemeClr w14:val="tx1"/>
                  </w14:solidFill>
                </w14:textFill>
              </w:rPr>
              <w:t>1%</w:t>
            </w:r>
            <w:r>
              <w:rPr>
                <w:rFonts w:hint="eastAsia" w:ascii="宋体" w:hAnsi="宋体"/>
                <w:color w:val="000000" w:themeColor="text1"/>
                <w:kern w:val="0"/>
                <w:sz w:val="18"/>
                <w:szCs w:val="18"/>
                <w14:textFill>
                  <w14:solidFill>
                    <w14:schemeClr w14:val="tx1"/>
                  </w14:solidFill>
                </w14:textFill>
              </w:rPr>
              <w:t>扣</w:t>
            </w:r>
            <w:r>
              <w:rPr>
                <w:color w:val="000000" w:themeColor="text1"/>
                <w:kern w:val="0"/>
                <w:sz w:val="18"/>
                <w:szCs w:val="18"/>
                <w14:textFill>
                  <w14:solidFill>
                    <w14:schemeClr w14:val="tx1"/>
                  </w14:solidFill>
                </w14:textFill>
              </w:rPr>
              <w:t>0.2</w:t>
            </w:r>
            <w:r>
              <w:rPr>
                <w:rFonts w:hint="eastAsia" w:ascii="宋体" w:hAnsi="宋体"/>
                <w:color w:val="000000" w:themeColor="text1"/>
                <w:kern w:val="0"/>
                <w:sz w:val="18"/>
                <w:szCs w:val="18"/>
                <w14:textFill>
                  <w14:solidFill>
                    <w14:schemeClr w14:val="tx1"/>
                  </w14:solidFill>
                </w14:textFill>
              </w:rPr>
              <w:t>分，扣完该项分为止。</w:t>
            </w:r>
          </w:p>
        </w:tc>
        <w:tc>
          <w:tcPr>
            <w:tcW w:w="831" w:type="dxa"/>
            <w:tcBorders>
              <w:top w:val="single" w:color="auto" w:sz="4" w:space="0"/>
              <w:left w:val="nil"/>
              <w:bottom w:val="nil"/>
              <w:right w:val="single" w:color="auto" w:sz="4" w:space="0"/>
            </w:tcBorders>
            <w:shd w:val="clear" w:color="000000" w:fill="FFFFFF"/>
            <w:vAlign w:val="center"/>
          </w:tcPr>
          <w:p>
            <w:pPr>
              <w:widowControl/>
              <w:jc w:val="center"/>
              <w:rPr>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以平台统计为准。大于等于</w:t>
            </w:r>
            <w:r>
              <w:rPr>
                <w:color w:val="000000" w:themeColor="text1"/>
                <w:kern w:val="0"/>
                <w:sz w:val="18"/>
                <w:szCs w:val="18"/>
                <w14:textFill>
                  <w14:solidFill>
                    <w14:schemeClr w14:val="tx1"/>
                  </w14:solidFill>
                </w14:textFill>
              </w:rPr>
              <w:t>90%</w:t>
            </w:r>
            <w:r>
              <w:rPr>
                <w:rFonts w:hint="eastAsia" w:ascii="宋体" w:hAnsi="宋体"/>
                <w:color w:val="000000" w:themeColor="text1"/>
                <w:kern w:val="0"/>
                <w:sz w:val="18"/>
                <w:szCs w:val="18"/>
                <w14:textFill>
                  <w14:solidFill>
                    <w14:schemeClr w14:val="tx1"/>
                  </w14:solidFill>
                </w14:textFill>
              </w:rPr>
              <w:t>，得</w:t>
            </w:r>
            <w:r>
              <w:rPr>
                <w:color w:val="000000" w:themeColor="text1"/>
                <w:kern w:val="0"/>
                <w:sz w:val="18"/>
                <w:szCs w:val="18"/>
                <w14:textFill>
                  <w14:solidFill>
                    <w14:schemeClr w14:val="tx1"/>
                  </w14:solidFill>
                </w14:textFill>
              </w:rPr>
              <w:t>2</w:t>
            </w:r>
            <w:r>
              <w:rPr>
                <w:rFonts w:hint="eastAsia" w:ascii="宋体" w:hAnsi="宋体"/>
                <w:color w:val="000000" w:themeColor="text1"/>
                <w:kern w:val="0"/>
                <w:sz w:val="18"/>
                <w:szCs w:val="18"/>
                <w14:textFill>
                  <w14:solidFill>
                    <w14:schemeClr w14:val="tx1"/>
                  </w14:solidFill>
                </w14:textFill>
              </w:rPr>
              <w:t>分；小于</w:t>
            </w:r>
            <w:r>
              <w:rPr>
                <w:color w:val="000000" w:themeColor="text1"/>
                <w:kern w:val="0"/>
                <w:sz w:val="18"/>
                <w:szCs w:val="18"/>
                <w14:textFill>
                  <w14:solidFill>
                    <w14:schemeClr w14:val="tx1"/>
                  </w14:solidFill>
                </w14:textFill>
              </w:rPr>
              <w:t>90%</w:t>
            </w:r>
            <w:r>
              <w:rPr>
                <w:rFonts w:hint="eastAsia" w:ascii="宋体" w:hAnsi="宋体"/>
                <w:color w:val="000000" w:themeColor="text1"/>
                <w:kern w:val="0"/>
                <w:sz w:val="18"/>
                <w:szCs w:val="18"/>
                <w14:textFill>
                  <w14:solidFill>
                    <w14:schemeClr w14:val="tx1"/>
                  </w14:solidFill>
                </w14:textFill>
              </w:rPr>
              <w:t>，每下降</w:t>
            </w:r>
            <w:r>
              <w:rPr>
                <w:color w:val="000000" w:themeColor="text1"/>
                <w:kern w:val="0"/>
                <w:sz w:val="18"/>
                <w:szCs w:val="18"/>
                <w14:textFill>
                  <w14:solidFill>
                    <w14:schemeClr w14:val="tx1"/>
                  </w14:solidFill>
                </w14:textFill>
              </w:rPr>
              <w:t>1%</w:t>
            </w:r>
            <w:r>
              <w:rPr>
                <w:rFonts w:hint="eastAsia" w:ascii="宋体" w:hAnsi="宋体"/>
                <w:color w:val="000000" w:themeColor="text1"/>
                <w:kern w:val="0"/>
                <w:sz w:val="18"/>
                <w:szCs w:val="18"/>
                <w14:textFill>
                  <w14:solidFill>
                    <w14:schemeClr w14:val="tx1"/>
                  </w14:solidFill>
                </w14:textFill>
              </w:rPr>
              <w:t>扣</w:t>
            </w:r>
            <w:r>
              <w:rPr>
                <w:color w:val="000000" w:themeColor="text1"/>
                <w:kern w:val="0"/>
                <w:sz w:val="18"/>
                <w:szCs w:val="18"/>
                <w14:textFill>
                  <w14:solidFill>
                    <w14:schemeClr w14:val="tx1"/>
                  </w14:solidFill>
                </w14:textFill>
              </w:rPr>
              <w:t>0.2</w:t>
            </w:r>
            <w:r>
              <w:rPr>
                <w:rFonts w:hint="eastAsia" w:ascii="宋体" w:hAnsi="宋体"/>
                <w:color w:val="000000" w:themeColor="text1"/>
                <w:kern w:val="0"/>
                <w:sz w:val="18"/>
                <w:szCs w:val="18"/>
                <w14:textFill>
                  <w14:solidFill>
                    <w14:schemeClr w14:val="tx1"/>
                  </w14:solidFill>
                </w14:textFill>
              </w:rPr>
              <w:t>分，扣完该项分为止。</w:t>
            </w:r>
          </w:p>
        </w:tc>
        <w:tc>
          <w:tcPr>
            <w:tcW w:w="1080" w:type="dxa"/>
            <w:gridSpan w:val="3"/>
            <w:tcBorders>
              <w:top w:val="nil"/>
              <w:left w:val="nil"/>
              <w:bottom w:val="nil"/>
              <w:right w:val="single" w:color="auto" w:sz="4" w:space="0"/>
            </w:tcBorders>
            <w:shd w:val="clear" w:color="000000" w:fill="FFFFFF"/>
            <w:vAlign w:val="center"/>
          </w:tcPr>
          <w:p>
            <w:pPr>
              <w:widowControl/>
              <w:jc w:val="center"/>
              <w:rPr>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每月至少</w:t>
            </w:r>
            <w:r>
              <w:rPr>
                <w:color w:val="000000" w:themeColor="text1"/>
                <w:kern w:val="0"/>
                <w:sz w:val="18"/>
                <w:szCs w:val="18"/>
                <w14:textFill>
                  <w14:solidFill>
                    <w14:schemeClr w14:val="tx1"/>
                  </w14:solidFill>
                </w14:textFill>
              </w:rPr>
              <w:t>4</w:t>
            </w:r>
            <w:r>
              <w:rPr>
                <w:rFonts w:hint="eastAsia" w:ascii="宋体" w:hAnsi="宋体"/>
                <w:color w:val="000000" w:themeColor="text1"/>
                <w:kern w:val="0"/>
                <w:sz w:val="18"/>
                <w:szCs w:val="18"/>
                <w14:textFill>
                  <w14:solidFill>
                    <w14:schemeClr w14:val="tx1"/>
                  </w14:solidFill>
                </w14:textFill>
              </w:rPr>
              <w:t>次，得</w:t>
            </w:r>
            <w:r>
              <w:rPr>
                <w:color w:val="000000" w:themeColor="text1"/>
                <w:kern w:val="0"/>
                <w:sz w:val="18"/>
                <w:szCs w:val="18"/>
                <w14:textFill>
                  <w14:solidFill>
                    <w14:schemeClr w14:val="tx1"/>
                  </w14:solidFill>
                </w14:textFill>
              </w:rPr>
              <w:t>4</w:t>
            </w:r>
            <w:r>
              <w:rPr>
                <w:rFonts w:hint="eastAsia" w:ascii="宋体" w:hAnsi="宋体"/>
                <w:color w:val="000000" w:themeColor="text1"/>
                <w:kern w:val="0"/>
                <w:sz w:val="18"/>
                <w:szCs w:val="18"/>
                <w14:textFill>
                  <w14:solidFill>
                    <w14:schemeClr w14:val="tx1"/>
                  </w14:solidFill>
                </w14:textFill>
              </w:rPr>
              <w:t>分；每少</w:t>
            </w:r>
            <w:r>
              <w:rPr>
                <w:color w:val="000000" w:themeColor="text1"/>
                <w:kern w:val="0"/>
                <w:sz w:val="18"/>
                <w:szCs w:val="18"/>
                <w14:textFill>
                  <w14:solidFill>
                    <w14:schemeClr w14:val="tx1"/>
                  </w14:solidFill>
                </w14:textFill>
              </w:rPr>
              <w:t>1</w:t>
            </w:r>
            <w:r>
              <w:rPr>
                <w:rFonts w:hint="eastAsia" w:ascii="宋体" w:hAnsi="宋体"/>
                <w:color w:val="000000" w:themeColor="text1"/>
                <w:kern w:val="0"/>
                <w:sz w:val="18"/>
                <w:szCs w:val="18"/>
                <w14:textFill>
                  <w14:solidFill>
                    <w14:schemeClr w14:val="tx1"/>
                  </w14:solidFill>
                </w14:textFill>
              </w:rPr>
              <w:t>次扣</w:t>
            </w:r>
            <w:r>
              <w:rPr>
                <w:color w:val="000000" w:themeColor="text1"/>
                <w:kern w:val="0"/>
                <w:sz w:val="18"/>
                <w:szCs w:val="18"/>
                <w14:textFill>
                  <w14:solidFill>
                    <w14:schemeClr w14:val="tx1"/>
                  </w14:solidFill>
                </w14:textFill>
              </w:rPr>
              <w:t>0.5</w:t>
            </w:r>
            <w:r>
              <w:rPr>
                <w:rFonts w:hint="eastAsia" w:ascii="宋体" w:hAnsi="宋体"/>
                <w:color w:val="000000" w:themeColor="text1"/>
                <w:kern w:val="0"/>
                <w:sz w:val="18"/>
                <w:szCs w:val="18"/>
                <w14:textFill>
                  <w14:solidFill>
                    <w14:schemeClr w14:val="tx1"/>
                  </w14:solidFill>
                </w14:textFill>
              </w:rPr>
              <w:t>分，扣完该项分为止；未按要求在平台巡检留痕，每少一次扣</w:t>
            </w:r>
            <w:r>
              <w:rPr>
                <w:color w:val="000000" w:themeColor="text1"/>
                <w:kern w:val="0"/>
                <w:sz w:val="18"/>
                <w:szCs w:val="18"/>
                <w14:textFill>
                  <w14:solidFill>
                    <w14:schemeClr w14:val="tx1"/>
                  </w14:solidFill>
                </w14:textFill>
              </w:rPr>
              <w:t>0.5</w:t>
            </w:r>
            <w:r>
              <w:rPr>
                <w:rFonts w:hint="eastAsia" w:ascii="宋体" w:hAnsi="宋体"/>
                <w:color w:val="000000" w:themeColor="text1"/>
                <w:kern w:val="0"/>
                <w:sz w:val="18"/>
                <w:szCs w:val="18"/>
                <w14:textFill>
                  <w14:solidFill>
                    <w14:schemeClr w14:val="tx1"/>
                  </w14:solidFill>
                </w14:textFill>
              </w:rPr>
              <w:t>分，扣完该项分为止。两次运维时间间隔不能超过</w:t>
            </w:r>
            <w:r>
              <w:rPr>
                <w:color w:val="000000" w:themeColor="text1"/>
                <w:kern w:val="0"/>
                <w:sz w:val="18"/>
                <w:szCs w:val="18"/>
                <w14:textFill>
                  <w14:solidFill>
                    <w14:schemeClr w14:val="tx1"/>
                  </w14:solidFill>
                </w14:textFill>
              </w:rPr>
              <w:t>10</w:t>
            </w:r>
            <w:r>
              <w:rPr>
                <w:rFonts w:hint="eastAsia" w:ascii="宋体" w:hAnsi="宋体"/>
                <w:color w:val="000000" w:themeColor="text1"/>
                <w:kern w:val="0"/>
                <w:sz w:val="18"/>
                <w:szCs w:val="18"/>
                <w14:textFill>
                  <w14:solidFill>
                    <w14:schemeClr w14:val="tx1"/>
                  </w14:solidFill>
                </w14:textFill>
              </w:rPr>
              <w:t>天，间隔超过</w:t>
            </w:r>
            <w:r>
              <w:rPr>
                <w:color w:val="000000" w:themeColor="text1"/>
                <w:kern w:val="0"/>
                <w:sz w:val="18"/>
                <w:szCs w:val="18"/>
                <w14:textFill>
                  <w14:solidFill>
                    <w14:schemeClr w14:val="tx1"/>
                  </w14:solidFill>
                </w14:textFill>
              </w:rPr>
              <w:t>10</w:t>
            </w:r>
            <w:r>
              <w:rPr>
                <w:rFonts w:hint="eastAsia" w:ascii="宋体" w:hAnsi="宋体"/>
                <w:color w:val="000000" w:themeColor="text1"/>
                <w:kern w:val="0"/>
                <w:sz w:val="18"/>
                <w:szCs w:val="18"/>
                <w14:textFill>
                  <w14:solidFill>
                    <w14:schemeClr w14:val="tx1"/>
                  </w14:solidFill>
                </w14:textFill>
              </w:rPr>
              <w:t>天的，每次扣</w:t>
            </w:r>
            <w:r>
              <w:rPr>
                <w:color w:val="000000" w:themeColor="text1"/>
                <w:kern w:val="0"/>
                <w:sz w:val="18"/>
                <w:szCs w:val="18"/>
                <w14:textFill>
                  <w14:solidFill>
                    <w14:schemeClr w14:val="tx1"/>
                  </w14:solidFill>
                </w14:textFill>
              </w:rPr>
              <w:t>0.5</w:t>
            </w:r>
            <w:r>
              <w:rPr>
                <w:rFonts w:hint="eastAsia" w:ascii="宋体" w:hAnsi="宋体"/>
                <w:color w:val="000000" w:themeColor="text1"/>
                <w:kern w:val="0"/>
                <w:sz w:val="18"/>
                <w:szCs w:val="18"/>
                <w14:textFill>
                  <w14:solidFill>
                    <w14:schemeClr w14:val="tx1"/>
                  </w14:solidFill>
                </w14:textFill>
              </w:rPr>
              <w:t>分，扣完该项分为止。（注：两次运维时间间隔小于</w:t>
            </w:r>
            <w:r>
              <w:rPr>
                <w:color w:val="000000" w:themeColor="text1"/>
                <w:kern w:val="0"/>
                <w:sz w:val="18"/>
                <w:szCs w:val="18"/>
                <w14:textFill>
                  <w14:solidFill>
                    <w14:schemeClr w14:val="tx1"/>
                  </w14:solidFill>
                </w14:textFill>
              </w:rPr>
              <w:t>3</w:t>
            </w:r>
            <w:r>
              <w:rPr>
                <w:rFonts w:hint="eastAsia" w:ascii="宋体" w:hAnsi="宋体"/>
                <w:color w:val="000000" w:themeColor="text1"/>
                <w:kern w:val="0"/>
                <w:sz w:val="18"/>
                <w:szCs w:val="18"/>
                <w14:textFill>
                  <w14:solidFill>
                    <w14:schemeClr w14:val="tx1"/>
                  </w14:solidFill>
                </w14:textFill>
              </w:rPr>
              <w:t>天的，算一次）。</w:t>
            </w:r>
          </w:p>
        </w:tc>
        <w:tc>
          <w:tcPr>
            <w:tcW w:w="974" w:type="dxa"/>
            <w:tcBorders>
              <w:top w:val="nil"/>
              <w:left w:val="nil"/>
              <w:bottom w:val="nil"/>
              <w:right w:val="single" w:color="auto" w:sz="4" w:space="0"/>
            </w:tcBorders>
            <w:shd w:val="clear" w:color="000000" w:fill="FFFFFF"/>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每月至少一次，得4</w:t>
            </w:r>
            <w:r>
              <w:rPr>
                <w:rFonts w:hint="eastAsia" w:ascii="宋体" w:hAnsi="宋体"/>
                <w:color w:val="000000" w:themeColor="text1"/>
                <w:kern w:val="0"/>
                <w:sz w:val="18"/>
                <w:szCs w:val="18"/>
                <w14:textFill>
                  <w14:solidFill>
                    <w14:schemeClr w14:val="tx1"/>
                  </w14:solidFill>
                </w14:textFill>
              </w:rPr>
              <w:t>分；需多次校准的设施点位每少</w:t>
            </w:r>
            <w:r>
              <w:rPr>
                <w:color w:val="000000" w:themeColor="text1"/>
                <w:kern w:val="0"/>
                <w:sz w:val="18"/>
                <w:szCs w:val="18"/>
                <w14:textFill>
                  <w14:solidFill>
                    <w14:schemeClr w14:val="tx1"/>
                  </w14:solidFill>
                </w14:textFill>
              </w:rPr>
              <w:t>1</w:t>
            </w:r>
            <w:r>
              <w:rPr>
                <w:rFonts w:hint="eastAsia" w:ascii="宋体" w:hAnsi="宋体"/>
                <w:color w:val="000000" w:themeColor="text1"/>
                <w:kern w:val="0"/>
                <w:sz w:val="18"/>
                <w:szCs w:val="18"/>
                <w14:textFill>
                  <w14:solidFill>
                    <w14:schemeClr w14:val="tx1"/>
                  </w14:solidFill>
                </w14:textFill>
              </w:rPr>
              <w:t>次扣</w:t>
            </w:r>
            <w:r>
              <w:rPr>
                <w:color w:val="000000" w:themeColor="text1"/>
                <w:kern w:val="0"/>
                <w:sz w:val="18"/>
                <w:szCs w:val="18"/>
                <w14:textFill>
                  <w14:solidFill>
                    <w14:schemeClr w14:val="tx1"/>
                  </w14:solidFill>
                </w14:textFill>
              </w:rPr>
              <w:t>1</w:t>
            </w:r>
            <w:r>
              <w:rPr>
                <w:rFonts w:hint="eastAsia" w:ascii="宋体" w:hAnsi="宋体"/>
                <w:color w:val="000000" w:themeColor="text1"/>
                <w:kern w:val="0"/>
                <w:sz w:val="18"/>
                <w:szCs w:val="18"/>
                <w14:textFill>
                  <w14:solidFill>
                    <w14:schemeClr w14:val="tx1"/>
                  </w14:solidFill>
                </w14:textFill>
              </w:rPr>
              <w:t>分，如该项分数被扣完，季度总分评</w:t>
            </w:r>
            <w:r>
              <w:rPr>
                <w:color w:val="000000" w:themeColor="text1"/>
                <w:kern w:val="0"/>
                <w:sz w:val="18"/>
                <w:szCs w:val="18"/>
                <w14:textFill>
                  <w14:solidFill>
                    <w14:schemeClr w14:val="tx1"/>
                  </w14:solidFill>
                </w14:textFill>
              </w:rPr>
              <w:t>0</w:t>
            </w:r>
            <w:r>
              <w:rPr>
                <w:rFonts w:hint="eastAsia" w:ascii="宋体" w:hAnsi="宋体"/>
                <w:color w:val="000000" w:themeColor="text1"/>
                <w:kern w:val="0"/>
                <w:sz w:val="18"/>
                <w:szCs w:val="18"/>
                <w14:textFill>
                  <w14:solidFill>
                    <w14:schemeClr w14:val="tx1"/>
                  </w14:solidFill>
                </w14:textFill>
              </w:rPr>
              <w:t>分；涉嫌造假的季度总评分</w:t>
            </w:r>
            <w:r>
              <w:rPr>
                <w:color w:val="000000" w:themeColor="text1"/>
                <w:kern w:val="0"/>
                <w:sz w:val="18"/>
                <w:szCs w:val="18"/>
                <w14:textFill>
                  <w14:solidFill>
                    <w14:schemeClr w14:val="tx1"/>
                  </w14:solidFill>
                </w14:textFill>
              </w:rPr>
              <w:t>0</w:t>
            </w:r>
            <w:r>
              <w:rPr>
                <w:rFonts w:hint="eastAsia" w:ascii="宋体" w:hAnsi="宋体"/>
                <w:color w:val="000000" w:themeColor="text1"/>
                <w:kern w:val="0"/>
                <w:sz w:val="18"/>
                <w:szCs w:val="18"/>
                <w14:textFill>
                  <w14:solidFill>
                    <w14:schemeClr w14:val="tx1"/>
                  </w14:solidFill>
                </w14:textFill>
              </w:rPr>
              <w:t>分。</w:t>
            </w:r>
          </w:p>
        </w:tc>
        <w:tc>
          <w:tcPr>
            <w:tcW w:w="1017" w:type="dxa"/>
            <w:gridSpan w:val="2"/>
            <w:tcBorders>
              <w:top w:val="nil"/>
              <w:left w:val="nil"/>
              <w:bottom w:val="nil"/>
              <w:right w:val="single" w:color="auto" w:sz="4" w:space="0"/>
            </w:tcBorders>
            <w:shd w:val="clear" w:color="000000" w:fill="FFFFFF"/>
            <w:vAlign w:val="center"/>
          </w:tcPr>
          <w:p>
            <w:pPr>
              <w:widowControl/>
              <w:jc w:val="center"/>
              <w:rPr>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未按规定保证运行维护记录、检修记录、易耗品更换记录、异常数据记录、校准记录等台账完整性的，每少一次记录扣</w:t>
            </w:r>
            <w:r>
              <w:rPr>
                <w:color w:val="000000" w:themeColor="text1"/>
                <w:kern w:val="0"/>
                <w:sz w:val="18"/>
                <w:szCs w:val="18"/>
                <w14:textFill>
                  <w14:solidFill>
                    <w14:schemeClr w14:val="tx1"/>
                  </w14:solidFill>
                </w14:textFill>
              </w:rPr>
              <w:t>1</w:t>
            </w:r>
            <w:r>
              <w:rPr>
                <w:rFonts w:hint="eastAsia" w:ascii="宋体" w:hAnsi="宋体"/>
                <w:color w:val="000000" w:themeColor="text1"/>
                <w:kern w:val="0"/>
                <w:sz w:val="18"/>
                <w:szCs w:val="18"/>
                <w14:textFill>
                  <w14:solidFill>
                    <w14:schemeClr w14:val="tx1"/>
                  </w14:solidFill>
                </w14:textFill>
              </w:rPr>
              <w:t>分，扣完该项分为止。　</w:t>
            </w:r>
          </w:p>
        </w:tc>
        <w:tc>
          <w:tcPr>
            <w:tcW w:w="970" w:type="dxa"/>
            <w:gridSpan w:val="3"/>
            <w:tcBorders>
              <w:top w:val="nil"/>
              <w:left w:val="nil"/>
              <w:bottom w:val="nil"/>
              <w:right w:val="single" w:color="auto" w:sz="4" w:space="0"/>
            </w:tcBorders>
            <w:shd w:val="clear" w:color="000000" w:fill="FFFFFF"/>
            <w:vAlign w:val="center"/>
          </w:tcPr>
          <w:p>
            <w:pPr>
              <w:widowControl/>
              <w:jc w:val="center"/>
              <w:rPr>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未按国家、广西相关规定做好仪器设备日常维护保养，及时发现处理各项问题、更换耗件试剂、清理管路等，保障仪器运行状态良好的，每发现一个问题扣</w:t>
            </w:r>
            <w:r>
              <w:rPr>
                <w:color w:val="000000" w:themeColor="text1"/>
                <w:kern w:val="0"/>
                <w:sz w:val="18"/>
                <w:szCs w:val="18"/>
                <w14:textFill>
                  <w14:solidFill>
                    <w14:schemeClr w14:val="tx1"/>
                  </w14:solidFill>
                </w14:textFill>
              </w:rPr>
              <w:t>1</w:t>
            </w:r>
            <w:r>
              <w:rPr>
                <w:rFonts w:hint="eastAsia" w:ascii="宋体" w:hAnsi="宋体"/>
                <w:color w:val="000000" w:themeColor="text1"/>
                <w:kern w:val="0"/>
                <w:sz w:val="18"/>
                <w:szCs w:val="18"/>
                <w14:textFill>
                  <w14:solidFill>
                    <w14:schemeClr w14:val="tx1"/>
                  </w14:solidFill>
                </w14:textFill>
              </w:rPr>
              <w:t>分，扣完该项分为止。</w:t>
            </w:r>
          </w:p>
        </w:tc>
        <w:tc>
          <w:tcPr>
            <w:tcW w:w="1048" w:type="dxa"/>
            <w:tcBorders>
              <w:top w:val="nil"/>
              <w:left w:val="nil"/>
              <w:bottom w:val="nil"/>
              <w:right w:val="single" w:color="auto" w:sz="4" w:space="0"/>
            </w:tcBorders>
            <w:shd w:val="clear" w:color="000000" w:fill="FFFFFF"/>
            <w:vAlign w:val="center"/>
          </w:tcPr>
          <w:p>
            <w:pPr>
              <w:widowControl/>
              <w:jc w:val="center"/>
              <w:rPr>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点位比对监测不合格的，每个不合格因子扣</w:t>
            </w:r>
            <w:r>
              <w:rPr>
                <w:color w:val="000000" w:themeColor="text1"/>
                <w:kern w:val="0"/>
                <w:sz w:val="18"/>
                <w:szCs w:val="18"/>
                <w14:textFill>
                  <w14:solidFill>
                    <w14:schemeClr w14:val="tx1"/>
                  </w14:solidFill>
                </w14:textFill>
              </w:rPr>
              <w:t>1</w:t>
            </w:r>
            <w:r>
              <w:rPr>
                <w:rFonts w:hint="eastAsia" w:ascii="宋体" w:hAnsi="宋体"/>
                <w:color w:val="000000" w:themeColor="text1"/>
                <w:kern w:val="0"/>
                <w:sz w:val="18"/>
                <w:szCs w:val="18"/>
                <w14:textFill>
                  <w14:solidFill>
                    <w14:schemeClr w14:val="tx1"/>
                  </w14:solidFill>
                </w14:textFill>
              </w:rPr>
              <w:t>分</w:t>
            </w:r>
            <w:r>
              <w:rPr>
                <w:color w:val="000000" w:themeColor="text1"/>
                <w:kern w:val="0"/>
                <w:sz w:val="18"/>
                <w:szCs w:val="18"/>
                <w14:textFill>
                  <w14:solidFill>
                    <w14:schemeClr w14:val="tx1"/>
                  </w14:solidFill>
                </w14:textFill>
              </w:rPr>
              <w:t>,</w:t>
            </w:r>
            <w:r>
              <w:rPr>
                <w:rFonts w:hint="eastAsia" w:ascii="宋体" w:hAnsi="宋体"/>
                <w:color w:val="000000" w:themeColor="text1"/>
                <w:kern w:val="0"/>
                <w:sz w:val="18"/>
                <w:szCs w:val="18"/>
                <w14:textFill>
                  <w14:solidFill>
                    <w14:schemeClr w14:val="tx1"/>
                  </w14:solidFill>
                </w14:textFill>
              </w:rPr>
              <w:t>同一季度多次比对不合格的，可累加，如该项分数被扣完，季度总分评</w:t>
            </w:r>
            <w:r>
              <w:rPr>
                <w:color w:val="000000" w:themeColor="text1"/>
                <w:kern w:val="0"/>
                <w:sz w:val="18"/>
                <w:szCs w:val="18"/>
                <w14:textFill>
                  <w14:solidFill>
                    <w14:schemeClr w14:val="tx1"/>
                  </w14:solidFill>
                </w14:textFill>
              </w:rPr>
              <w:t>0</w:t>
            </w:r>
            <w:r>
              <w:rPr>
                <w:rFonts w:hint="eastAsia" w:ascii="宋体" w:hAnsi="宋体"/>
                <w:color w:val="000000" w:themeColor="text1"/>
                <w:kern w:val="0"/>
                <w:sz w:val="18"/>
                <w:szCs w:val="18"/>
                <w14:textFill>
                  <w14:solidFill>
                    <w14:schemeClr w14:val="tx1"/>
                  </w14:solidFill>
                </w14:textFill>
              </w:rPr>
              <w:t>分。</w:t>
            </w:r>
          </w:p>
        </w:tc>
        <w:tc>
          <w:tcPr>
            <w:tcW w:w="1074" w:type="dxa"/>
            <w:gridSpan w:val="3"/>
            <w:tcBorders>
              <w:top w:val="nil"/>
              <w:left w:val="nil"/>
              <w:bottom w:val="nil"/>
              <w:right w:val="single" w:color="auto" w:sz="4" w:space="0"/>
            </w:tcBorders>
            <w:shd w:val="clear" w:color="000000" w:fill="FFFFFF"/>
            <w:vAlign w:val="center"/>
          </w:tcPr>
          <w:p>
            <w:pPr>
              <w:widowControl/>
              <w:jc w:val="center"/>
              <w:rPr>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因运维质量问题被点名通报的，每被通报</w:t>
            </w:r>
            <w:r>
              <w:rPr>
                <w:color w:val="000000" w:themeColor="text1"/>
                <w:kern w:val="0"/>
                <w:sz w:val="18"/>
                <w:szCs w:val="18"/>
                <w14:textFill>
                  <w14:solidFill>
                    <w14:schemeClr w14:val="tx1"/>
                  </w14:solidFill>
                </w14:textFill>
              </w:rPr>
              <w:t>1</w:t>
            </w:r>
            <w:r>
              <w:rPr>
                <w:rFonts w:hint="eastAsia" w:ascii="宋体" w:hAnsi="宋体"/>
                <w:color w:val="000000" w:themeColor="text1"/>
                <w:kern w:val="0"/>
                <w:sz w:val="18"/>
                <w:szCs w:val="18"/>
                <w14:textFill>
                  <w14:solidFill>
                    <w14:schemeClr w14:val="tx1"/>
                  </w14:solidFill>
                </w14:textFill>
              </w:rPr>
              <w:t>次扣</w:t>
            </w:r>
            <w:r>
              <w:rPr>
                <w:color w:val="000000" w:themeColor="text1"/>
                <w:kern w:val="0"/>
                <w:sz w:val="18"/>
                <w:szCs w:val="18"/>
                <w14:textFill>
                  <w14:solidFill>
                    <w14:schemeClr w14:val="tx1"/>
                  </w14:solidFill>
                </w14:textFill>
              </w:rPr>
              <w:t>1</w:t>
            </w:r>
            <w:r>
              <w:rPr>
                <w:rFonts w:hint="eastAsia" w:ascii="宋体" w:hAnsi="宋体"/>
                <w:color w:val="000000" w:themeColor="text1"/>
                <w:kern w:val="0"/>
                <w:sz w:val="18"/>
                <w:szCs w:val="18"/>
                <w14:textFill>
                  <w14:solidFill>
                    <w14:schemeClr w14:val="tx1"/>
                  </w14:solidFill>
                </w14:textFill>
              </w:rPr>
              <w:t>分，扣完该项分为止；存在弄虚作假行为或不正常运行的，季度总分评</w:t>
            </w:r>
            <w:r>
              <w:rPr>
                <w:color w:val="000000" w:themeColor="text1"/>
                <w:kern w:val="0"/>
                <w:sz w:val="18"/>
                <w:szCs w:val="18"/>
                <w14:textFill>
                  <w14:solidFill>
                    <w14:schemeClr w14:val="tx1"/>
                  </w14:solidFill>
                </w14:textFill>
              </w:rPr>
              <w:t>0</w:t>
            </w:r>
            <w:r>
              <w:rPr>
                <w:rFonts w:hint="eastAsia" w:ascii="宋体" w:hAnsi="宋体"/>
                <w:color w:val="000000" w:themeColor="text1"/>
                <w:kern w:val="0"/>
                <w:sz w:val="18"/>
                <w:szCs w:val="18"/>
                <w14:textFill>
                  <w14:solidFill>
                    <w14:schemeClr w14:val="tx1"/>
                  </w14:solidFill>
                </w14:textFill>
              </w:rPr>
              <w:t>分。</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71" w:hRule="atLeast"/>
        </w:trPr>
        <w:tc>
          <w:tcPr>
            <w:tcW w:w="40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58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进口出口</w:t>
            </w:r>
          </w:p>
        </w:tc>
        <w:tc>
          <w:tcPr>
            <w:tcW w:w="89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COD氨氮流量PH总磷总氮数采仪</w:t>
            </w:r>
          </w:p>
        </w:tc>
        <w:tc>
          <w:tcPr>
            <w:tcW w:w="3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69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01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97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7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8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08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97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0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97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04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07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86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gridAfter w:val="2"/>
          <w:wAfter w:w="940" w:type="dxa"/>
          <w:trHeight w:val="131" w:hRule="atLeast"/>
        </w:trPr>
        <w:tc>
          <w:tcPr>
            <w:tcW w:w="6551" w:type="dxa"/>
            <w:gridSpan w:val="15"/>
            <w:tcBorders>
              <w:top w:val="nil"/>
              <w:left w:val="nil"/>
              <w:bottom w:val="single" w:color="auto" w:sz="4" w:space="0"/>
              <w:right w:val="nil"/>
            </w:tcBorders>
            <w:noWrap/>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附表一、水质分析考核</w:t>
            </w:r>
          </w:p>
        </w:tc>
        <w:tc>
          <w:tcPr>
            <w:tcW w:w="249" w:type="dxa"/>
            <w:tcBorders>
              <w:top w:val="nil"/>
              <w:left w:val="nil"/>
              <w:bottom w:val="nil"/>
              <w:right w:val="nil"/>
            </w:tcBorders>
            <w:noWrap/>
            <w:vAlign w:val="center"/>
          </w:tcPr>
          <w:p>
            <w:pPr>
              <w:widowControl/>
              <w:jc w:val="center"/>
              <w:rPr>
                <w:rFonts w:ascii="宋体" w:hAnsi="宋体" w:cs="宋体"/>
                <w:b/>
                <w:bCs/>
                <w:color w:val="000000" w:themeColor="text1"/>
                <w:kern w:val="0"/>
                <w:sz w:val="24"/>
                <w14:textFill>
                  <w14:solidFill>
                    <w14:schemeClr w14:val="tx1"/>
                  </w14:solidFill>
                </w14:textFill>
              </w:rPr>
            </w:pPr>
          </w:p>
        </w:tc>
        <w:tc>
          <w:tcPr>
            <w:tcW w:w="5840" w:type="dxa"/>
            <w:gridSpan w:val="11"/>
            <w:tcBorders>
              <w:top w:val="nil"/>
              <w:left w:val="nil"/>
              <w:bottom w:val="single" w:color="auto" w:sz="4" w:space="0"/>
              <w:right w:val="nil"/>
            </w:tcBorders>
            <w:noWrap/>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附表二、泥质分析考核</w:t>
            </w:r>
          </w:p>
        </w:tc>
      </w:tr>
      <w:tr>
        <w:tblPrEx>
          <w:tblCellMar>
            <w:top w:w="0" w:type="dxa"/>
            <w:left w:w="108" w:type="dxa"/>
            <w:bottom w:w="0" w:type="dxa"/>
            <w:right w:w="108" w:type="dxa"/>
          </w:tblCellMar>
        </w:tblPrEx>
        <w:trPr>
          <w:gridAfter w:val="2"/>
          <w:wAfter w:w="940" w:type="dxa"/>
          <w:trHeight w:val="190" w:hRule="atLeast"/>
        </w:trPr>
        <w:tc>
          <w:tcPr>
            <w:tcW w:w="750" w:type="dxa"/>
            <w:gridSpan w:val="2"/>
            <w:tcBorders>
              <w:top w:val="nil"/>
              <w:left w:val="single" w:color="auto" w:sz="4" w:space="0"/>
              <w:bottom w:val="nil"/>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序号</w:t>
            </w:r>
          </w:p>
        </w:tc>
        <w:tc>
          <w:tcPr>
            <w:tcW w:w="1934" w:type="dxa"/>
            <w:gridSpan w:val="5"/>
            <w:tcBorders>
              <w:top w:val="nil"/>
              <w:left w:val="nil"/>
              <w:bottom w:val="nil"/>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项　目</w:t>
            </w:r>
          </w:p>
        </w:tc>
        <w:tc>
          <w:tcPr>
            <w:tcW w:w="899" w:type="dxa"/>
            <w:gridSpan w:val="2"/>
            <w:tcBorders>
              <w:top w:val="nil"/>
              <w:left w:val="nil"/>
              <w:bottom w:val="nil"/>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周　期</w:t>
            </w:r>
          </w:p>
        </w:tc>
        <w:tc>
          <w:tcPr>
            <w:tcW w:w="899" w:type="dxa"/>
            <w:gridSpan w:val="2"/>
            <w:tcBorders>
              <w:top w:val="nil"/>
              <w:left w:val="nil"/>
              <w:bottom w:val="nil"/>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满分</w:t>
            </w:r>
          </w:p>
        </w:tc>
        <w:tc>
          <w:tcPr>
            <w:tcW w:w="1167" w:type="dxa"/>
            <w:gridSpan w:val="2"/>
            <w:tcBorders>
              <w:top w:val="nil"/>
              <w:left w:val="nil"/>
              <w:bottom w:val="nil"/>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实际检测频率</w:t>
            </w:r>
          </w:p>
        </w:tc>
        <w:tc>
          <w:tcPr>
            <w:tcW w:w="902" w:type="dxa"/>
            <w:gridSpan w:val="2"/>
            <w:tcBorders>
              <w:top w:val="nil"/>
              <w:left w:val="nil"/>
              <w:bottom w:val="nil"/>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考核得分</w:t>
            </w:r>
          </w:p>
        </w:tc>
        <w:tc>
          <w:tcPr>
            <w:tcW w:w="249"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700" w:type="dxa"/>
            <w:tcBorders>
              <w:top w:val="nil"/>
              <w:left w:val="single" w:color="auto" w:sz="4" w:space="0"/>
              <w:bottom w:val="nil"/>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序号</w:t>
            </w:r>
          </w:p>
        </w:tc>
        <w:tc>
          <w:tcPr>
            <w:tcW w:w="1250" w:type="dxa"/>
            <w:gridSpan w:val="3"/>
            <w:tcBorders>
              <w:top w:val="nil"/>
              <w:left w:val="nil"/>
              <w:bottom w:val="nil"/>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项　目</w:t>
            </w:r>
          </w:p>
        </w:tc>
        <w:tc>
          <w:tcPr>
            <w:tcW w:w="900" w:type="dxa"/>
            <w:gridSpan w:val="2"/>
            <w:tcBorders>
              <w:top w:val="nil"/>
              <w:left w:val="nil"/>
              <w:bottom w:val="nil"/>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周　期</w:t>
            </w:r>
          </w:p>
        </w:tc>
        <w:tc>
          <w:tcPr>
            <w:tcW w:w="89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满分</w:t>
            </w:r>
          </w:p>
        </w:tc>
        <w:tc>
          <w:tcPr>
            <w:tcW w:w="1147"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实际检测频率</w:t>
            </w:r>
          </w:p>
        </w:tc>
        <w:tc>
          <w:tcPr>
            <w:tcW w:w="94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考核得分</w:t>
            </w:r>
          </w:p>
        </w:tc>
      </w:tr>
      <w:tr>
        <w:tblPrEx>
          <w:tblCellMar>
            <w:top w:w="0" w:type="dxa"/>
            <w:left w:w="108" w:type="dxa"/>
            <w:bottom w:w="0" w:type="dxa"/>
            <w:right w:w="108" w:type="dxa"/>
          </w:tblCellMar>
        </w:tblPrEx>
        <w:trPr>
          <w:gridAfter w:val="2"/>
          <w:wAfter w:w="940" w:type="dxa"/>
          <w:trHeight w:val="104" w:hRule="atLeast"/>
        </w:trPr>
        <w:tc>
          <w:tcPr>
            <w:tcW w:w="7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1934" w:type="dxa"/>
            <w:gridSpan w:val="5"/>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化学需氧量(COD)</w:t>
            </w:r>
          </w:p>
        </w:tc>
        <w:tc>
          <w:tcPr>
            <w:tcW w:w="899"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1次/季度</w:t>
            </w:r>
          </w:p>
        </w:tc>
        <w:tc>
          <w:tcPr>
            <w:tcW w:w="899"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0.1</w:t>
            </w:r>
          </w:p>
        </w:tc>
        <w:tc>
          <w:tcPr>
            <w:tcW w:w="1167"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02"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249"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125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含水率</w:t>
            </w:r>
          </w:p>
        </w:tc>
        <w:tc>
          <w:tcPr>
            <w:tcW w:w="90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一次/年</w:t>
            </w:r>
          </w:p>
        </w:tc>
        <w:tc>
          <w:tcPr>
            <w:tcW w:w="89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0.1</w:t>
            </w:r>
          </w:p>
        </w:tc>
        <w:tc>
          <w:tcPr>
            <w:tcW w:w="1147"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4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2"/>
          <w:wAfter w:w="940" w:type="dxa"/>
          <w:trHeight w:val="104" w:hRule="atLeast"/>
        </w:trPr>
        <w:tc>
          <w:tcPr>
            <w:tcW w:w="75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w:t>
            </w:r>
          </w:p>
        </w:tc>
        <w:tc>
          <w:tcPr>
            <w:tcW w:w="1934" w:type="dxa"/>
            <w:gridSpan w:val="5"/>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生化需氧量(BOD)</w:t>
            </w:r>
          </w:p>
        </w:tc>
        <w:tc>
          <w:tcPr>
            <w:tcW w:w="899"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color w:val="000000" w:themeColor="text1"/>
                <w:kern w:val="0"/>
                <w:sz w:val="20"/>
                <w14:textFill>
                  <w14:solidFill>
                    <w14:schemeClr w14:val="tx1"/>
                  </w14:solidFill>
                </w14:textFill>
              </w:rPr>
            </w:pPr>
          </w:p>
        </w:tc>
        <w:tc>
          <w:tcPr>
            <w:tcW w:w="899"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0.1</w:t>
            </w:r>
          </w:p>
        </w:tc>
        <w:tc>
          <w:tcPr>
            <w:tcW w:w="11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02"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249"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w:t>
            </w:r>
          </w:p>
        </w:tc>
        <w:tc>
          <w:tcPr>
            <w:tcW w:w="1250"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有机物</w:t>
            </w:r>
          </w:p>
        </w:tc>
        <w:tc>
          <w:tcPr>
            <w:tcW w:w="90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0"/>
                <w14:textFill>
                  <w14:solidFill>
                    <w14:schemeClr w14:val="tx1"/>
                  </w14:solidFill>
                </w14:textFill>
              </w:rPr>
            </w:pPr>
          </w:p>
        </w:tc>
        <w:tc>
          <w:tcPr>
            <w:tcW w:w="89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0.1</w:t>
            </w:r>
          </w:p>
        </w:tc>
        <w:tc>
          <w:tcPr>
            <w:tcW w:w="1147"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4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2"/>
          <w:wAfter w:w="940" w:type="dxa"/>
          <w:trHeight w:val="104" w:hRule="atLeast"/>
        </w:trPr>
        <w:tc>
          <w:tcPr>
            <w:tcW w:w="75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w:t>
            </w:r>
          </w:p>
        </w:tc>
        <w:tc>
          <w:tcPr>
            <w:tcW w:w="1934" w:type="dxa"/>
            <w:gridSpan w:val="5"/>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悬浮物(SS)</w:t>
            </w:r>
          </w:p>
        </w:tc>
        <w:tc>
          <w:tcPr>
            <w:tcW w:w="899"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color w:val="000000" w:themeColor="text1"/>
                <w:kern w:val="0"/>
                <w:sz w:val="20"/>
                <w14:textFill>
                  <w14:solidFill>
                    <w14:schemeClr w14:val="tx1"/>
                  </w14:solidFill>
                </w14:textFill>
              </w:rPr>
            </w:pPr>
          </w:p>
        </w:tc>
        <w:tc>
          <w:tcPr>
            <w:tcW w:w="899"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0.1</w:t>
            </w:r>
          </w:p>
        </w:tc>
        <w:tc>
          <w:tcPr>
            <w:tcW w:w="11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02"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249"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w:t>
            </w:r>
          </w:p>
        </w:tc>
        <w:tc>
          <w:tcPr>
            <w:tcW w:w="1250"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pH</w:t>
            </w:r>
          </w:p>
        </w:tc>
        <w:tc>
          <w:tcPr>
            <w:tcW w:w="90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0"/>
                <w14:textFill>
                  <w14:solidFill>
                    <w14:schemeClr w14:val="tx1"/>
                  </w14:solidFill>
                </w14:textFill>
              </w:rPr>
            </w:pPr>
          </w:p>
        </w:tc>
        <w:tc>
          <w:tcPr>
            <w:tcW w:w="89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0.1</w:t>
            </w:r>
          </w:p>
        </w:tc>
        <w:tc>
          <w:tcPr>
            <w:tcW w:w="1147"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4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2"/>
          <w:wAfter w:w="940" w:type="dxa"/>
          <w:trHeight w:val="104" w:hRule="atLeast"/>
        </w:trPr>
        <w:tc>
          <w:tcPr>
            <w:tcW w:w="75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4</w:t>
            </w:r>
          </w:p>
        </w:tc>
        <w:tc>
          <w:tcPr>
            <w:tcW w:w="1934" w:type="dxa"/>
            <w:gridSpan w:val="5"/>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动植物油</w:t>
            </w:r>
          </w:p>
        </w:tc>
        <w:tc>
          <w:tcPr>
            <w:tcW w:w="899"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color w:val="000000" w:themeColor="text1"/>
                <w:kern w:val="0"/>
                <w:sz w:val="20"/>
                <w14:textFill>
                  <w14:solidFill>
                    <w14:schemeClr w14:val="tx1"/>
                  </w14:solidFill>
                </w14:textFill>
              </w:rPr>
            </w:pPr>
          </w:p>
        </w:tc>
        <w:tc>
          <w:tcPr>
            <w:tcW w:w="899"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0.1</w:t>
            </w:r>
          </w:p>
        </w:tc>
        <w:tc>
          <w:tcPr>
            <w:tcW w:w="11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02"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249"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4</w:t>
            </w:r>
          </w:p>
        </w:tc>
        <w:tc>
          <w:tcPr>
            <w:tcW w:w="1250"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粪大肠菌群</w:t>
            </w:r>
          </w:p>
        </w:tc>
        <w:tc>
          <w:tcPr>
            <w:tcW w:w="90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0"/>
                <w14:textFill>
                  <w14:solidFill>
                    <w14:schemeClr w14:val="tx1"/>
                  </w14:solidFill>
                </w14:textFill>
              </w:rPr>
            </w:pPr>
          </w:p>
        </w:tc>
        <w:tc>
          <w:tcPr>
            <w:tcW w:w="89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0.1</w:t>
            </w:r>
          </w:p>
        </w:tc>
        <w:tc>
          <w:tcPr>
            <w:tcW w:w="1147"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4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2"/>
          <w:wAfter w:w="940" w:type="dxa"/>
          <w:trHeight w:val="104" w:hRule="atLeast"/>
        </w:trPr>
        <w:tc>
          <w:tcPr>
            <w:tcW w:w="75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5</w:t>
            </w:r>
          </w:p>
        </w:tc>
        <w:tc>
          <w:tcPr>
            <w:tcW w:w="1934" w:type="dxa"/>
            <w:gridSpan w:val="5"/>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石油类</w:t>
            </w:r>
          </w:p>
        </w:tc>
        <w:tc>
          <w:tcPr>
            <w:tcW w:w="899"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color w:val="000000" w:themeColor="text1"/>
                <w:kern w:val="0"/>
                <w:sz w:val="20"/>
                <w14:textFill>
                  <w14:solidFill>
                    <w14:schemeClr w14:val="tx1"/>
                  </w14:solidFill>
                </w14:textFill>
              </w:rPr>
            </w:pPr>
          </w:p>
        </w:tc>
        <w:tc>
          <w:tcPr>
            <w:tcW w:w="899"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0.1</w:t>
            </w:r>
          </w:p>
        </w:tc>
        <w:tc>
          <w:tcPr>
            <w:tcW w:w="11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02"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249"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5</w:t>
            </w:r>
          </w:p>
        </w:tc>
        <w:tc>
          <w:tcPr>
            <w:tcW w:w="1250"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汞</w:t>
            </w:r>
          </w:p>
        </w:tc>
        <w:tc>
          <w:tcPr>
            <w:tcW w:w="90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0"/>
                <w14:textFill>
                  <w14:solidFill>
                    <w14:schemeClr w14:val="tx1"/>
                  </w14:solidFill>
                </w14:textFill>
              </w:rPr>
            </w:pPr>
          </w:p>
        </w:tc>
        <w:tc>
          <w:tcPr>
            <w:tcW w:w="89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0.1</w:t>
            </w:r>
          </w:p>
        </w:tc>
        <w:tc>
          <w:tcPr>
            <w:tcW w:w="1147"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4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2"/>
          <w:wAfter w:w="940" w:type="dxa"/>
          <w:trHeight w:val="104" w:hRule="atLeast"/>
        </w:trPr>
        <w:tc>
          <w:tcPr>
            <w:tcW w:w="75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6</w:t>
            </w:r>
          </w:p>
        </w:tc>
        <w:tc>
          <w:tcPr>
            <w:tcW w:w="1934" w:type="dxa"/>
            <w:gridSpan w:val="5"/>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阴离子表面活性剂</w:t>
            </w:r>
          </w:p>
        </w:tc>
        <w:tc>
          <w:tcPr>
            <w:tcW w:w="899"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color w:val="000000" w:themeColor="text1"/>
                <w:kern w:val="0"/>
                <w:sz w:val="20"/>
                <w14:textFill>
                  <w14:solidFill>
                    <w14:schemeClr w14:val="tx1"/>
                  </w14:solidFill>
                </w14:textFill>
              </w:rPr>
            </w:pPr>
          </w:p>
        </w:tc>
        <w:tc>
          <w:tcPr>
            <w:tcW w:w="899"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0.1</w:t>
            </w:r>
          </w:p>
        </w:tc>
        <w:tc>
          <w:tcPr>
            <w:tcW w:w="11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02"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249"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6</w:t>
            </w:r>
          </w:p>
        </w:tc>
        <w:tc>
          <w:tcPr>
            <w:tcW w:w="1250"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镉</w:t>
            </w:r>
          </w:p>
        </w:tc>
        <w:tc>
          <w:tcPr>
            <w:tcW w:w="90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0"/>
                <w14:textFill>
                  <w14:solidFill>
                    <w14:schemeClr w14:val="tx1"/>
                  </w14:solidFill>
                </w14:textFill>
              </w:rPr>
            </w:pPr>
          </w:p>
        </w:tc>
        <w:tc>
          <w:tcPr>
            <w:tcW w:w="89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0.1</w:t>
            </w:r>
          </w:p>
        </w:tc>
        <w:tc>
          <w:tcPr>
            <w:tcW w:w="1147"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4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2"/>
          <w:wAfter w:w="940" w:type="dxa"/>
          <w:trHeight w:val="104" w:hRule="atLeast"/>
        </w:trPr>
        <w:tc>
          <w:tcPr>
            <w:tcW w:w="75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7</w:t>
            </w:r>
          </w:p>
        </w:tc>
        <w:tc>
          <w:tcPr>
            <w:tcW w:w="1934" w:type="dxa"/>
            <w:gridSpan w:val="5"/>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氨氮</w:t>
            </w:r>
          </w:p>
        </w:tc>
        <w:tc>
          <w:tcPr>
            <w:tcW w:w="899"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color w:val="000000" w:themeColor="text1"/>
                <w:kern w:val="0"/>
                <w:sz w:val="20"/>
                <w14:textFill>
                  <w14:solidFill>
                    <w14:schemeClr w14:val="tx1"/>
                  </w14:solidFill>
                </w14:textFill>
              </w:rPr>
            </w:pPr>
          </w:p>
        </w:tc>
        <w:tc>
          <w:tcPr>
            <w:tcW w:w="899"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0.1</w:t>
            </w:r>
          </w:p>
        </w:tc>
        <w:tc>
          <w:tcPr>
            <w:tcW w:w="11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02"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249"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7</w:t>
            </w:r>
          </w:p>
        </w:tc>
        <w:tc>
          <w:tcPr>
            <w:tcW w:w="1250"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铬</w:t>
            </w:r>
          </w:p>
        </w:tc>
        <w:tc>
          <w:tcPr>
            <w:tcW w:w="90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0"/>
                <w14:textFill>
                  <w14:solidFill>
                    <w14:schemeClr w14:val="tx1"/>
                  </w14:solidFill>
                </w14:textFill>
              </w:rPr>
            </w:pPr>
          </w:p>
        </w:tc>
        <w:tc>
          <w:tcPr>
            <w:tcW w:w="89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0.1</w:t>
            </w:r>
          </w:p>
        </w:tc>
        <w:tc>
          <w:tcPr>
            <w:tcW w:w="1147"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4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2"/>
          <w:wAfter w:w="940" w:type="dxa"/>
          <w:trHeight w:val="104" w:hRule="atLeast"/>
        </w:trPr>
        <w:tc>
          <w:tcPr>
            <w:tcW w:w="75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8</w:t>
            </w:r>
          </w:p>
        </w:tc>
        <w:tc>
          <w:tcPr>
            <w:tcW w:w="1934" w:type="dxa"/>
            <w:gridSpan w:val="5"/>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总氮</w:t>
            </w:r>
          </w:p>
        </w:tc>
        <w:tc>
          <w:tcPr>
            <w:tcW w:w="899"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color w:val="000000" w:themeColor="text1"/>
                <w:kern w:val="0"/>
                <w:sz w:val="20"/>
                <w14:textFill>
                  <w14:solidFill>
                    <w14:schemeClr w14:val="tx1"/>
                  </w14:solidFill>
                </w14:textFill>
              </w:rPr>
            </w:pPr>
          </w:p>
        </w:tc>
        <w:tc>
          <w:tcPr>
            <w:tcW w:w="899"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0.1</w:t>
            </w:r>
          </w:p>
        </w:tc>
        <w:tc>
          <w:tcPr>
            <w:tcW w:w="11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02"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249"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8</w:t>
            </w:r>
          </w:p>
        </w:tc>
        <w:tc>
          <w:tcPr>
            <w:tcW w:w="1250"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铅</w:t>
            </w:r>
          </w:p>
        </w:tc>
        <w:tc>
          <w:tcPr>
            <w:tcW w:w="90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0"/>
                <w14:textFill>
                  <w14:solidFill>
                    <w14:schemeClr w14:val="tx1"/>
                  </w14:solidFill>
                </w14:textFill>
              </w:rPr>
            </w:pPr>
          </w:p>
        </w:tc>
        <w:tc>
          <w:tcPr>
            <w:tcW w:w="89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0.1</w:t>
            </w:r>
          </w:p>
        </w:tc>
        <w:tc>
          <w:tcPr>
            <w:tcW w:w="1147"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4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2"/>
          <w:wAfter w:w="940" w:type="dxa"/>
          <w:trHeight w:val="104" w:hRule="atLeast"/>
        </w:trPr>
        <w:tc>
          <w:tcPr>
            <w:tcW w:w="75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9</w:t>
            </w:r>
          </w:p>
        </w:tc>
        <w:tc>
          <w:tcPr>
            <w:tcW w:w="1934" w:type="dxa"/>
            <w:gridSpan w:val="5"/>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总磷</w:t>
            </w:r>
          </w:p>
        </w:tc>
        <w:tc>
          <w:tcPr>
            <w:tcW w:w="899"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color w:val="000000" w:themeColor="text1"/>
                <w:kern w:val="0"/>
                <w:sz w:val="20"/>
                <w14:textFill>
                  <w14:solidFill>
                    <w14:schemeClr w14:val="tx1"/>
                  </w14:solidFill>
                </w14:textFill>
              </w:rPr>
            </w:pPr>
          </w:p>
        </w:tc>
        <w:tc>
          <w:tcPr>
            <w:tcW w:w="899"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0.1</w:t>
            </w:r>
          </w:p>
        </w:tc>
        <w:tc>
          <w:tcPr>
            <w:tcW w:w="11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02"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249"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9</w:t>
            </w:r>
          </w:p>
        </w:tc>
        <w:tc>
          <w:tcPr>
            <w:tcW w:w="1250"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铜</w:t>
            </w:r>
          </w:p>
        </w:tc>
        <w:tc>
          <w:tcPr>
            <w:tcW w:w="90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0"/>
                <w14:textFill>
                  <w14:solidFill>
                    <w14:schemeClr w14:val="tx1"/>
                  </w14:solidFill>
                </w14:textFill>
              </w:rPr>
            </w:pPr>
          </w:p>
        </w:tc>
        <w:tc>
          <w:tcPr>
            <w:tcW w:w="89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0.1</w:t>
            </w:r>
          </w:p>
        </w:tc>
        <w:tc>
          <w:tcPr>
            <w:tcW w:w="1147"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4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2"/>
          <w:wAfter w:w="940" w:type="dxa"/>
          <w:trHeight w:val="104" w:hRule="atLeast"/>
        </w:trPr>
        <w:tc>
          <w:tcPr>
            <w:tcW w:w="75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10</w:t>
            </w:r>
          </w:p>
        </w:tc>
        <w:tc>
          <w:tcPr>
            <w:tcW w:w="1934" w:type="dxa"/>
            <w:gridSpan w:val="5"/>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色度</w:t>
            </w:r>
          </w:p>
        </w:tc>
        <w:tc>
          <w:tcPr>
            <w:tcW w:w="899"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color w:val="000000" w:themeColor="text1"/>
                <w:kern w:val="0"/>
                <w:sz w:val="20"/>
                <w14:textFill>
                  <w14:solidFill>
                    <w14:schemeClr w14:val="tx1"/>
                  </w14:solidFill>
                </w14:textFill>
              </w:rPr>
            </w:pPr>
          </w:p>
        </w:tc>
        <w:tc>
          <w:tcPr>
            <w:tcW w:w="899"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0.1</w:t>
            </w:r>
          </w:p>
        </w:tc>
        <w:tc>
          <w:tcPr>
            <w:tcW w:w="11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02"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249"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10</w:t>
            </w:r>
          </w:p>
        </w:tc>
        <w:tc>
          <w:tcPr>
            <w:tcW w:w="1250"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镍</w:t>
            </w:r>
          </w:p>
        </w:tc>
        <w:tc>
          <w:tcPr>
            <w:tcW w:w="90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0"/>
                <w14:textFill>
                  <w14:solidFill>
                    <w14:schemeClr w14:val="tx1"/>
                  </w14:solidFill>
                </w14:textFill>
              </w:rPr>
            </w:pPr>
          </w:p>
        </w:tc>
        <w:tc>
          <w:tcPr>
            <w:tcW w:w="89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0.1</w:t>
            </w:r>
          </w:p>
        </w:tc>
        <w:tc>
          <w:tcPr>
            <w:tcW w:w="1147"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4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2"/>
          <w:wAfter w:w="940" w:type="dxa"/>
          <w:trHeight w:val="104" w:hRule="atLeast"/>
        </w:trPr>
        <w:tc>
          <w:tcPr>
            <w:tcW w:w="75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11</w:t>
            </w:r>
          </w:p>
        </w:tc>
        <w:tc>
          <w:tcPr>
            <w:tcW w:w="1934" w:type="dxa"/>
            <w:gridSpan w:val="5"/>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pH 值</w:t>
            </w:r>
          </w:p>
        </w:tc>
        <w:tc>
          <w:tcPr>
            <w:tcW w:w="899"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color w:val="000000" w:themeColor="text1"/>
                <w:kern w:val="0"/>
                <w:sz w:val="20"/>
                <w14:textFill>
                  <w14:solidFill>
                    <w14:schemeClr w14:val="tx1"/>
                  </w14:solidFill>
                </w14:textFill>
              </w:rPr>
            </w:pPr>
          </w:p>
        </w:tc>
        <w:tc>
          <w:tcPr>
            <w:tcW w:w="899"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0.1</w:t>
            </w:r>
          </w:p>
        </w:tc>
        <w:tc>
          <w:tcPr>
            <w:tcW w:w="11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02"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249"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11</w:t>
            </w:r>
          </w:p>
        </w:tc>
        <w:tc>
          <w:tcPr>
            <w:tcW w:w="1250"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总氮</w:t>
            </w:r>
          </w:p>
        </w:tc>
        <w:tc>
          <w:tcPr>
            <w:tcW w:w="90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0"/>
                <w14:textFill>
                  <w14:solidFill>
                    <w14:schemeClr w14:val="tx1"/>
                  </w14:solidFill>
                </w14:textFill>
              </w:rPr>
            </w:pPr>
          </w:p>
        </w:tc>
        <w:tc>
          <w:tcPr>
            <w:tcW w:w="89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0.1</w:t>
            </w:r>
          </w:p>
        </w:tc>
        <w:tc>
          <w:tcPr>
            <w:tcW w:w="1147"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4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2"/>
          <w:wAfter w:w="940" w:type="dxa"/>
          <w:trHeight w:val="104" w:hRule="atLeast"/>
        </w:trPr>
        <w:tc>
          <w:tcPr>
            <w:tcW w:w="75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12</w:t>
            </w:r>
          </w:p>
        </w:tc>
        <w:tc>
          <w:tcPr>
            <w:tcW w:w="1934" w:type="dxa"/>
            <w:gridSpan w:val="5"/>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粪大肠菌群数</w:t>
            </w:r>
          </w:p>
        </w:tc>
        <w:tc>
          <w:tcPr>
            <w:tcW w:w="899"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color w:val="000000" w:themeColor="text1"/>
                <w:kern w:val="0"/>
                <w:sz w:val="20"/>
                <w14:textFill>
                  <w14:solidFill>
                    <w14:schemeClr w14:val="tx1"/>
                  </w14:solidFill>
                </w14:textFill>
              </w:rPr>
            </w:pPr>
          </w:p>
        </w:tc>
        <w:tc>
          <w:tcPr>
            <w:tcW w:w="899"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0.1</w:t>
            </w:r>
          </w:p>
        </w:tc>
        <w:tc>
          <w:tcPr>
            <w:tcW w:w="11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02"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249"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12</w:t>
            </w:r>
          </w:p>
        </w:tc>
        <w:tc>
          <w:tcPr>
            <w:tcW w:w="1250"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总磷</w:t>
            </w:r>
          </w:p>
        </w:tc>
        <w:tc>
          <w:tcPr>
            <w:tcW w:w="90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0"/>
                <w14:textFill>
                  <w14:solidFill>
                    <w14:schemeClr w14:val="tx1"/>
                  </w14:solidFill>
                </w14:textFill>
              </w:rPr>
            </w:pPr>
          </w:p>
        </w:tc>
        <w:tc>
          <w:tcPr>
            <w:tcW w:w="89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0.1</w:t>
            </w:r>
          </w:p>
        </w:tc>
        <w:tc>
          <w:tcPr>
            <w:tcW w:w="1147"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4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2"/>
          <w:wAfter w:w="940" w:type="dxa"/>
          <w:trHeight w:val="104" w:hRule="atLeast"/>
        </w:trPr>
        <w:tc>
          <w:tcPr>
            <w:tcW w:w="75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13</w:t>
            </w:r>
          </w:p>
        </w:tc>
        <w:tc>
          <w:tcPr>
            <w:tcW w:w="1934" w:type="dxa"/>
            <w:gridSpan w:val="5"/>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总汞</w:t>
            </w:r>
          </w:p>
        </w:tc>
        <w:tc>
          <w:tcPr>
            <w:tcW w:w="899" w:type="dxa"/>
            <w:gridSpan w:val="2"/>
            <w:vMerge w:val="restart"/>
            <w:tcBorders>
              <w:top w:val="nil"/>
              <w:left w:val="single" w:color="auto" w:sz="4" w:space="0"/>
              <w:bottom w:val="single" w:color="000000"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1次/半年</w:t>
            </w:r>
          </w:p>
        </w:tc>
        <w:tc>
          <w:tcPr>
            <w:tcW w:w="899"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0.1</w:t>
            </w:r>
          </w:p>
        </w:tc>
        <w:tc>
          <w:tcPr>
            <w:tcW w:w="11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02"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249"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13</w:t>
            </w:r>
          </w:p>
        </w:tc>
        <w:tc>
          <w:tcPr>
            <w:tcW w:w="1250"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总钾</w:t>
            </w:r>
          </w:p>
        </w:tc>
        <w:tc>
          <w:tcPr>
            <w:tcW w:w="90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0"/>
                <w14:textFill>
                  <w14:solidFill>
                    <w14:schemeClr w14:val="tx1"/>
                  </w14:solidFill>
                </w14:textFill>
              </w:rPr>
            </w:pPr>
          </w:p>
        </w:tc>
        <w:tc>
          <w:tcPr>
            <w:tcW w:w="89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0.1</w:t>
            </w:r>
          </w:p>
        </w:tc>
        <w:tc>
          <w:tcPr>
            <w:tcW w:w="1147"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4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2"/>
          <w:wAfter w:w="940" w:type="dxa"/>
          <w:trHeight w:val="104" w:hRule="atLeast"/>
        </w:trPr>
        <w:tc>
          <w:tcPr>
            <w:tcW w:w="75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14</w:t>
            </w:r>
          </w:p>
        </w:tc>
        <w:tc>
          <w:tcPr>
            <w:tcW w:w="1934" w:type="dxa"/>
            <w:gridSpan w:val="5"/>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烷基汞</w:t>
            </w:r>
          </w:p>
        </w:tc>
        <w:tc>
          <w:tcPr>
            <w:tcW w:w="899" w:type="dxa"/>
            <w:gridSpan w:val="2"/>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color w:val="000000" w:themeColor="text1"/>
                <w:kern w:val="0"/>
                <w:sz w:val="20"/>
                <w14:textFill>
                  <w14:solidFill>
                    <w14:schemeClr w14:val="tx1"/>
                  </w14:solidFill>
                </w14:textFill>
              </w:rPr>
            </w:pPr>
          </w:p>
        </w:tc>
        <w:tc>
          <w:tcPr>
            <w:tcW w:w="899"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0.1</w:t>
            </w:r>
          </w:p>
        </w:tc>
        <w:tc>
          <w:tcPr>
            <w:tcW w:w="11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02"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249"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285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合计</w:t>
            </w:r>
          </w:p>
        </w:tc>
        <w:tc>
          <w:tcPr>
            <w:tcW w:w="89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1.3</w:t>
            </w:r>
          </w:p>
        </w:tc>
        <w:tc>
          <w:tcPr>
            <w:tcW w:w="1147"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4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gridAfter w:val="2"/>
          <w:wAfter w:w="940" w:type="dxa"/>
          <w:trHeight w:val="104" w:hRule="atLeast"/>
        </w:trPr>
        <w:tc>
          <w:tcPr>
            <w:tcW w:w="75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15</w:t>
            </w:r>
          </w:p>
        </w:tc>
        <w:tc>
          <w:tcPr>
            <w:tcW w:w="1934" w:type="dxa"/>
            <w:gridSpan w:val="5"/>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总镉</w:t>
            </w:r>
          </w:p>
        </w:tc>
        <w:tc>
          <w:tcPr>
            <w:tcW w:w="899" w:type="dxa"/>
            <w:gridSpan w:val="2"/>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color w:val="000000" w:themeColor="text1"/>
                <w:kern w:val="0"/>
                <w:sz w:val="20"/>
                <w14:textFill>
                  <w14:solidFill>
                    <w14:schemeClr w14:val="tx1"/>
                  </w14:solidFill>
                </w14:textFill>
              </w:rPr>
            </w:pPr>
          </w:p>
        </w:tc>
        <w:tc>
          <w:tcPr>
            <w:tcW w:w="899"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0.1</w:t>
            </w:r>
          </w:p>
        </w:tc>
        <w:tc>
          <w:tcPr>
            <w:tcW w:w="11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02"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249"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5840" w:type="dxa"/>
            <w:gridSpan w:val="11"/>
            <w:tcBorders>
              <w:top w:val="single" w:color="auto" w:sz="4" w:space="0"/>
              <w:left w:val="nil"/>
              <w:bottom w:val="nil"/>
              <w:right w:val="nil"/>
            </w:tcBorders>
            <w:noWrap/>
            <w:vAlign w:val="center"/>
          </w:tcPr>
          <w:p>
            <w:pPr>
              <w:widowControl/>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说明：得分=实际检测频率×满分</w:t>
            </w:r>
          </w:p>
        </w:tc>
      </w:tr>
      <w:tr>
        <w:tblPrEx>
          <w:tblCellMar>
            <w:top w:w="0" w:type="dxa"/>
            <w:left w:w="108" w:type="dxa"/>
            <w:bottom w:w="0" w:type="dxa"/>
            <w:right w:w="108" w:type="dxa"/>
          </w:tblCellMar>
        </w:tblPrEx>
        <w:trPr>
          <w:gridAfter w:val="2"/>
          <w:wAfter w:w="940" w:type="dxa"/>
          <w:trHeight w:val="104" w:hRule="atLeast"/>
        </w:trPr>
        <w:tc>
          <w:tcPr>
            <w:tcW w:w="75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16</w:t>
            </w:r>
          </w:p>
        </w:tc>
        <w:tc>
          <w:tcPr>
            <w:tcW w:w="1934" w:type="dxa"/>
            <w:gridSpan w:val="5"/>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总铬</w:t>
            </w:r>
          </w:p>
        </w:tc>
        <w:tc>
          <w:tcPr>
            <w:tcW w:w="899" w:type="dxa"/>
            <w:gridSpan w:val="2"/>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color w:val="000000" w:themeColor="text1"/>
                <w:kern w:val="0"/>
                <w:sz w:val="20"/>
                <w14:textFill>
                  <w14:solidFill>
                    <w14:schemeClr w14:val="tx1"/>
                  </w14:solidFill>
                </w14:textFill>
              </w:rPr>
            </w:pPr>
          </w:p>
        </w:tc>
        <w:tc>
          <w:tcPr>
            <w:tcW w:w="899"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0.1</w:t>
            </w:r>
          </w:p>
        </w:tc>
        <w:tc>
          <w:tcPr>
            <w:tcW w:w="11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02"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249"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700"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1250" w:type="dxa"/>
            <w:gridSpan w:val="3"/>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900" w:type="dxa"/>
            <w:gridSpan w:val="2"/>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899"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1147" w:type="dxa"/>
            <w:gridSpan w:val="3"/>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944"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gridAfter w:val="2"/>
          <w:wAfter w:w="940" w:type="dxa"/>
          <w:trHeight w:val="199" w:hRule="atLeast"/>
        </w:trPr>
        <w:tc>
          <w:tcPr>
            <w:tcW w:w="75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17</w:t>
            </w:r>
          </w:p>
        </w:tc>
        <w:tc>
          <w:tcPr>
            <w:tcW w:w="1934" w:type="dxa"/>
            <w:gridSpan w:val="5"/>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六价铬</w:t>
            </w:r>
          </w:p>
        </w:tc>
        <w:tc>
          <w:tcPr>
            <w:tcW w:w="899" w:type="dxa"/>
            <w:gridSpan w:val="2"/>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color w:val="000000" w:themeColor="text1"/>
                <w:kern w:val="0"/>
                <w:sz w:val="20"/>
                <w14:textFill>
                  <w14:solidFill>
                    <w14:schemeClr w14:val="tx1"/>
                  </w14:solidFill>
                </w14:textFill>
              </w:rPr>
            </w:pPr>
          </w:p>
        </w:tc>
        <w:tc>
          <w:tcPr>
            <w:tcW w:w="899"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0.1</w:t>
            </w:r>
          </w:p>
        </w:tc>
        <w:tc>
          <w:tcPr>
            <w:tcW w:w="11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02"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249"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700"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1250" w:type="dxa"/>
            <w:gridSpan w:val="3"/>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900" w:type="dxa"/>
            <w:gridSpan w:val="2"/>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899"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1147" w:type="dxa"/>
            <w:gridSpan w:val="3"/>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944"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gridAfter w:val="2"/>
          <w:wAfter w:w="940" w:type="dxa"/>
          <w:trHeight w:val="104" w:hRule="atLeast"/>
        </w:trPr>
        <w:tc>
          <w:tcPr>
            <w:tcW w:w="75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18</w:t>
            </w:r>
          </w:p>
        </w:tc>
        <w:tc>
          <w:tcPr>
            <w:tcW w:w="1934" w:type="dxa"/>
            <w:gridSpan w:val="5"/>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总砷</w:t>
            </w:r>
          </w:p>
        </w:tc>
        <w:tc>
          <w:tcPr>
            <w:tcW w:w="899" w:type="dxa"/>
            <w:gridSpan w:val="2"/>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color w:val="000000" w:themeColor="text1"/>
                <w:kern w:val="0"/>
                <w:sz w:val="20"/>
                <w14:textFill>
                  <w14:solidFill>
                    <w14:schemeClr w14:val="tx1"/>
                  </w14:solidFill>
                </w14:textFill>
              </w:rPr>
            </w:pPr>
          </w:p>
        </w:tc>
        <w:tc>
          <w:tcPr>
            <w:tcW w:w="899"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0.1</w:t>
            </w:r>
          </w:p>
        </w:tc>
        <w:tc>
          <w:tcPr>
            <w:tcW w:w="11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02"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249"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700"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1250" w:type="dxa"/>
            <w:gridSpan w:val="3"/>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900" w:type="dxa"/>
            <w:gridSpan w:val="2"/>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899"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1147" w:type="dxa"/>
            <w:gridSpan w:val="3"/>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944"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gridAfter w:val="2"/>
          <w:wAfter w:w="940" w:type="dxa"/>
          <w:trHeight w:val="104" w:hRule="atLeast"/>
        </w:trPr>
        <w:tc>
          <w:tcPr>
            <w:tcW w:w="75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19</w:t>
            </w:r>
          </w:p>
        </w:tc>
        <w:tc>
          <w:tcPr>
            <w:tcW w:w="1934" w:type="dxa"/>
            <w:gridSpan w:val="5"/>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总铅</w:t>
            </w:r>
          </w:p>
        </w:tc>
        <w:tc>
          <w:tcPr>
            <w:tcW w:w="899" w:type="dxa"/>
            <w:gridSpan w:val="2"/>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color w:val="000000" w:themeColor="text1"/>
                <w:kern w:val="0"/>
                <w:sz w:val="20"/>
                <w14:textFill>
                  <w14:solidFill>
                    <w14:schemeClr w14:val="tx1"/>
                  </w14:solidFill>
                </w14:textFill>
              </w:rPr>
            </w:pPr>
          </w:p>
        </w:tc>
        <w:tc>
          <w:tcPr>
            <w:tcW w:w="899"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0.1</w:t>
            </w:r>
          </w:p>
        </w:tc>
        <w:tc>
          <w:tcPr>
            <w:tcW w:w="11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02"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249"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700"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1250" w:type="dxa"/>
            <w:gridSpan w:val="3"/>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900" w:type="dxa"/>
            <w:gridSpan w:val="2"/>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899"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1147" w:type="dxa"/>
            <w:gridSpan w:val="3"/>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944"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gridAfter w:val="2"/>
          <w:wAfter w:w="940" w:type="dxa"/>
          <w:trHeight w:val="104" w:hRule="atLeast"/>
        </w:trPr>
        <w:tc>
          <w:tcPr>
            <w:tcW w:w="3583" w:type="dxa"/>
            <w:gridSpan w:val="9"/>
            <w:tcBorders>
              <w:top w:val="single" w:color="auto" w:sz="4" w:space="0"/>
              <w:left w:val="single" w:color="auto" w:sz="4" w:space="0"/>
              <w:bottom w:val="single" w:color="auto" w:sz="4" w:space="0"/>
              <w:right w:val="single" w:color="000000"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合 计</w:t>
            </w:r>
          </w:p>
        </w:tc>
        <w:tc>
          <w:tcPr>
            <w:tcW w:w="899"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1.9</w:t>
            </w:r>
          </w:p>
        </w:tc>
        <w:tc>
          <w:tcPr>
            <w:tcW w:w="1167"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902" w:type="dxa"/>
            <w:gridSpan w:val="2"/>
            <w:tcBorders>
              <w:top w:val="nil"/>
              <w:left w:val="nil"/>
              <w:bottom w:val="single" w:color="auto" w:sz="4" w:space="0"/>
              <w:right w:val="single" w:color="auto" w:sz="4" w:space="0"/>
            </w:tcBorders>
            <w:vAlign w:val="center"/>
          </w:tcPr>
          <w:p>
            <w:pPr>
              <w:widowControl/>
              <w:spacing w:line="200" w:lineRule="exact"/>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249"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700"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1250" w:type="dxa"/>
            <w:gridSpan w:val="3"/>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900" w:type="dxa"/>
            <w:gridSpan w:val="2"/>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899"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1147" w:type="dxa"/>
            <w:gridSpan w:val="3"/>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944"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gridAfter w:val="2"/>
          <w:wAfter w:w="940" w:type="dxa"/>
          <w:trHeight w:val="104" w:hRule="atLeast"/>
        </w:trPr>
        <w:tc>
          <w:tcPr>
            <w:tcW w:w="6551" w:type="dxa"/>
            <w:gridSpan w:val="15"/>
            <w:tcBorders>
              <w:top w:val="single" w:color="auto" w:sz="4" w:space="0"/>
              <w:left w:val="nil"/>
              <w:bottom w:val="nil"/>
              <w:right w:val="nil"/>
            </w:tcBorders>
            <w:noWrap/>
            <w:vAlign w:val="center"/>
          </w:tcPr>
          <w:p>
            <w:pPr>
              <w:widowControl/>
              <w:spacing w:line="200" w:lineRule="exact"/>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说明：得分=实际检测频率×满分</w:t>
            </w:r>
          </w:p>
        </w:tc>
        <w:tc>
          <w:tcPr>
            <w:tcW w:w="249"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700"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1250" w:type="dxa"/>
            <w:gridSpan w:val="3"/>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900" w:type="dxa"/>
            <w:gridSpan w:val="2"/>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899"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1147" w:type="dxa"/>
            <w:gridSpan w:val="3"/>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944" w:type="dxa"/>
            <w:tcBorders>
              <w:top w:val="nil"/>
              <w:left w:val="nil"/>
              <w:bottom w:val="nil"/>
              <w:right w:val="nil"/>
            </w:tcBorders>
            <w:noWrap/>
            <w:vAlign w:val="center"/>
          </w:tcPr>
          <w:p>
            <w:pPr>
              <w:widowControl/>
              <w:jc w:val="center"/>
              <w:rPr>
                <w:rFonts w:ascii="宋体" w:hAnsi="宋体" w:cs="宋体"/>
                <w:color w:val="000000" w:themeColor="text1"/>
                <w:kern w:val="0"/>
                <w:sz w:val="20"/>
                <w14:textFill>
                  <w14:solidFill>
                    <w14:schemeClr w14:val="tx1"/>
                  </w14:solidFill>
                </w14:textFill>
              </w:rPr>
            </w:pPr>
          </w:p>
        </w:tc>
      </w:tr>
    </w:tbl>
    <w:p>
      <w:pPr>
        <w:pStyle w:val="52"/>
        <w:spacing w:line="440" w:lineRule="exact"/>
        <w:jc w:val="center"/>
        <w:rPr>
          <w:rStyle w:val="53"/>
          <w:rFonts w:hint="eastAsia" w:ascii="宋体" w:hAnsi="宋体" w:eastAsia="宋体" w:cs="宋体"/>
          <w:color w:val="000000" w:themeColor="text1"/>
          <w:sz w:val="32"/>
          <w:szCs w:val="32"/>
          <w14:textFill>
            <w14:solidFill>
              <w14:schemeClr w14:val="tx1"/>
            </w14:solidFill>
          </w14:textFill>
        </w:rPr>
      </w:pPr>
    </w:p>
    <w:p>
      <w:pPr>
        <w:pStyle w:val="52"/>
        <w:spacing w:line="440" w:lineRule="exact"/>
        <w:jc w:val="center"/>
        <w:rPr>
          <w:rStyle w:val="53"/>
          <w:rFonts w:hint="eastAsia" w:ascii="宋体" w:hAnsi="宋体" w:eastAsia="宋体" w:cs="宋体"/>
          <w:color w:val="000000" w:themeColor="text1"/>
          <w:sz w:val="32"/>
          <w:szCs w:val="32"/>
          <w14:textFill>
            <w14:solidFill>
              <w14:schemeClr w14:val="tx1"/>
            </w14:solidFill>
          </w14:textFill>
        </w:rPr>
      </w:pPr>
    </w:p>
    <w:p>
      <w:pPr>
        <w:pStyle w:val="52"/>
        <w:spacing w:line="440" w:lineRule="exact"/>
        <w:jc w:val="center"/>
        <w:rPr>
          <w:rStyle w:val="53"/>
          <w:rFonts w:hint="eastAsia" w:ascii="宋体" w:hAnsi="宋体" w:eastAsia="宋体" w:cs="宋体"/>
          <w:color w:val="000000" w:themeColor="text1"/>
          <w:sz w:val="32"/>
          <w:szCs w:val="32"/>
          <w14:textFill>
            <w14:solidFill>
              <w14:schemeClr w14:val="tx1"/>
            </w14:solidFill>
          </w14:textFill>
        </w:rPr>
      </w:pPr>
    </w:p>
    <w:p>
      <w:pPr>
        <w:pStyle w:val="52"/>
        <w:spacing w:line="440" w:lineRule="exact"/>
        <w:jc w:val="center"/>
        <w:rPr>
          <w:rStyle w:val="53"/>
          <w:rFonts w:hint="eastAsia" w:ascii="宋体" w:hAnsi="宋体" w:eastAsia="宋体" w:cs="宋体"/>
          <w:color w:val="000000" w:themeColor="text1"/>
          <w:sz w:val="32"/>
          <w:szCs w:val="32"/>
          <w14:textFill>
            <w14:solidFill>
              <w14:schemeClr w14:val="tx1"/>
            </w14:solidFill>
          </w14:textFill>
        </w:rPr>
      </w:pPr>
    </w:p>
    <w:p>
      <w:pPr>
        <w:pStyle w:val="52"/>
        <w:spacing w:line="440" w:lineRule="exact"/>
        <w:jc w:val="center"/>
        <w:rPr>
          <w:rStyle w:val="53"/>
          <w:rFonts w:hint="eastAsia" w:ascii="宋体" w:hAnsi="宋体" w:eastAsia="宋体" w:cs="宋体"/>
          <w:color w:val="000000" w:themeColor="text1"/>
          <w:sz w:val="32"/>
          <w:szCs w:val="32"/>
          <w14:textFill>
            <w14:solidFill>
              <w14:schemeClr w14:val="tx1"/>
            </w14:solidFill>
          </w14:textFill>
        </w:rPr>
      </w:pPr>
    </w:p>
    <w:p>
      <w:pPr>
        <w:pStyle w:val="52"/>
        <w:spacing w:line="440" w:lineRule="exact"/>
        <w:jc w:val="center"/>
        <w:rPr>
          <w:rStyle w:val="53"/>
          <w:rFonts w:hint="eastAsia" w:ascii="宋体" w:hAnsi="宋体" w:eastAsia="宋体" w:cs="宋体"/>
          <w:color w:val="000000" w:themeColor="text1"/>
          <w:sz w:val="32"/>
          <w:szCs w:val="32"/>
          <w14:textFill>
            <w14:solidFill>
              <w14:schemeClr w14:val="tx1"/>
            </w14:solidFill>
          </w14:textFill>
        </w:rPr>
      </w:pPr>
    </w:p>
    <w:p>
      <w:pPr>
        <w:pStyle w:val="52"/>
        <w:spacing w:line="440" w:lineRule="exact"/>
        <w:jc w:val="center"/>
        <w:rPr>
          <w:rStyle w:val="53"/>
          <w:rFonts w:hint="eastAsia" w:ascii="宋体" w:hAnsi="宋体" w:eastAsia="宋体" w:cs="宋体"/>
          <w:color w:val="000000" w:themeColor="text1"/>
          <w:sz w:val="32"/>
          <w:szCs w:val="32"/>
          <w14:textFill>
            <w14:solidFill>
              <w14:schemeClr w14:val="tx1"/>
            </w14:solidFill>
          </w14:textFill>
        </w:rPr>
      </w:pPr>
    </w:p>
    <w:p>
      <w:pPr>
        <w:pStyle w:val="52"/>
        <w:spacing w:line="440" w:lineRule="exact"/>
        <w:jc w:val="center"/>
        <w:rPr>
          <w:rStyle w:val="53"/>
          <w:rFonts w:hint="eastAsia" w:ascii="宋体" w:hAnsi="宋体" w:eastAsia="宋体" w:cs="宋体"/>
          <w:color w:val="000000" w:themeColor="text1"/>
          <w:sz w:val="32"/>
          <w:szCs w:val="32"/>
          <w14:textFill>
            <w14:solidFill>
              <w14:schemeClr w14:val="tx1"/>
            </w14:solidFill>
          </w14:textFill>
        </w:rPr>
      </w:pPr>
    </w:p>
    <w:p>
      <w:pPr>
        <w:pStyle w:val="52"/>
        <w:spacing w:line="440" w:lineRule="exact"/>
        <w:jc w:val="center"/>
        <w:rPr>
          <w:rStyle w:val="53"/>
          <w:rFonts w:hint="eastAsia" w:ascii="宋体" w:hAnsi="宋体" w:eastAsia="宋体" w:cs="宋体"/>
          <w:color w:val="000000" w:themeColor="text1"/>
          <w:sz w:val="32"/>
          <w:szCs w:val="32"/>
          <w14:textFill>
            <w14:solidFill>
              <w14:schemeClr w14:val="tx1"/>
            </w14:solidFill>
          </w14:textFill>
        </w:rPr>
      </w:pPr>
    </w:p>
    <w:p>
      <w:pPr>
        <w:pStyle w:val="52"/>
        <w:spacing w:line="440" w:lineRule="exact"/>
        <w:jc w:val="center"/>
        <w:rPr>
          <w:rStyle w:val="53"/>
          <w:rFonts w:hint="eastAsia" w:ascii="宋体" w:hAnsi="宋体" w:eastAsia="宋体" w:cs="宋体"/>
          <w:color w:val="000000" w:themeColor="text1"/>
          <w:sz w:val="32"/>
          <w:szCs w:val="32"/>
          <w14:textFill>
            <w14:solidFill>
              <w14:schemeClr w14:val="tx1"/>
            </w14:solidFill>
          </w14:textFill>
        </w:rPr>
      </w:pPr>
    </w:p>
    <w:p>
      <w:pPr>
        <w:pStyle w:val="52"/>
        <w:spacing w:line="440" w:lineRule="exact"/>
        <w:jc w:val="center"/>
        <w:rPr>
          <w:rStyle w:val="53"/>
          <w:rFonts w:hint="eastAsia" w:ascii="宋体" w:hAnsi="宋体" w:eastAsia="宋体" w:cs="宋体"/>
          <w:color w:val="000000" w:themeColor="text1"/>
          <w:sz w:val="32"/>
          <w:szCs w:val="32"/>
          <w14:textFill>
            <w14:solidFill>
              <w14:schemeClr w14:val="tx1"/>
            </w14:solidFill>
          </w14:textFill>
        </w:rPr>
      </w:pPr>
    </w:p>
    <w:p>
      <w:pPr>
        <w:pStyle w:val="52"/>
        <w:spacing w:line="440" w:lineRule="exact"/>
        <w:jc w:val="center"/>
        <w:rPr>
          <w:rStyle w:val="53"/>
          <w:rFonts w:hint="eastAsia" w:ascii="宋体" w:hAnsi="宋体" w:eastAsia="宋体" w:cs="宋体"/>
          <w:color w:val="000000" w:themeColor="text1"/>
          <w:sz w:val="32"/>
          <w:szCs w:val="32"/>
          <w14:textFill>
            <w14:solidFill>
              <w14:schemeClr w14:val="tx1"/>
            </w14:solidFill>
          </w14:textFill>
        </w:rPr>
      </w:pPr>
    </w:p>
    <w:p>
      <w:pPr>
        <w:pStyle w:val="52"/>
        <w:spacing w:line="440" w:lineRule="exact"/>
        <w:jc w:val="center"/>
        <w:rPr>
          <w:rStyle w:val="53"/>
          <w:rFonts w:hint="eastAsia" w:ascii="宋体" w:hAnsi="宋体" w:eastAsia="宋体" w:cs="宋体"/>
          <w:color w:val="000000" w:themeColor="text1"/>
          <w:sz w:val="32"/>
          <w:szCs w:val="32"/>
          <w14:textFill>
            <w14:solidFill>
              <w14:schemeClr w14:val="tx1"/>
            </w14:solidFill>
          </w14:textFill>
        </w:rPr>
      </w:pPr>
    </w:p>
    <w:p>
      <w:pPr>
        <w:pStyle w:val="52"/>
        <w:spacing w:line="440" w:lineRule="exact"/>
        <w:jc w:val="center"/>
        <w:rPr>
          <w:rStyle w:val="53"/>
          <w:rFonts w:hint="eastAsia" w:ascii="宋体" w:hAnsi="宋体" w:eastAsia="宋体" w:cs="宋体"/>
          <w:color w:val="000000" w:themeColor="text1"/>
          <w:sz w:val="32"/>
          <w:szCs w:val="32"/>
          <w14:textFill>
            <w14:solidFill>
              <w14:schemeClr w14:val="tx1"/>
            </w14:solidFill>
          </w14:textFill>
        </w:rPr>
      </w:pPr>
    </w:p>
    <w:p>
      <w:pPr>
        <w:pStyle w:val="52"/>
        <w:spacing w:line="440" w:lineRule="exact"/>
        <w:jc w:val="center"/>
        <w:rPr>
          <w:rStyle w:val="53"/>
          <w:rFonts w:hint="eastAsia" w:ascii="宋体" w:hAnsi="宋体" w:eastAsia="宋体" w:cs="宋体"/>
          <w:color w:val="000000" w:themeColor="text1"/>
          <w:sz w:val="32"/>
          <w:szCs w:val="32"/>
          <w14:textFill>
            <w14:solidFill>
              <w14:schemeClr w14:val="tx1"/>
            </w14:solidFill>
          </w14:textFill>
        </w:rPr>
      </w:pPr>
    </w:p>
    <w:p>
      <w:pPr>
        <w:pStyle w:val="52"/>
        <w:spacing w:line="440" w:lineRule="exact"/>
        <w:jc w:val="center"/>
        <w:rPr>
          <w:rStyle w:val="53"/>
          <w:rFonts w:hint="eastAsia" w:ascii="宋体" w:hAnsi="宋体" w:eastAsia="宋体" w:cs="宋体"/>
          <w:color w:val="000000" w:themeColor="text1"/>
          <w:sz w:val="32"/>
          <w:szCs w:val="32"/>
          <w14:textFill>
            <w14:solidFill>
              <w14:schemeClr w14:val="tx1"/>
            </w14:solidFill>
          </w14:textFill>
        </w:rPr>
      </w:pPr>
    </w:p>
    <w:p>
      <w:pPr>
        <w:pStyle w:val="52"/>
        <w:spacing w:line="440" w:lineRule="exact"/>
        <w:jc w:val="center"/>
        <w:rPr>
          <w:rStyle w:val="53"/>
          <w:rFonts w:hint="eastAsia" w:ascii="宋体" w:hAnsi="宋体" w:eastAsia="宋体" w:cs="宋体"/>
          <w:color w:val="000000" w:themeColor="text1"/>
          <w:sz w:val="32"/>
          <w:szCs w:val="32"/>
          <w14:textFill>
            <w14:solidFill>
              <w14:schemeClr w14:val="tx1"/>
            </w14:solidFill>
          </w14:textFill>
        </w:rPr>
        <w:sectPr>
          <w:footerReference r:id="rId5" w:type="default"/>
          <w:pgSz w:w="16838" w:h="11906" w:orient="landscape"/>
          <w:pgMar w:top="1083" w:right="1440" w:bottom="1083" w:left="1440" w:header="851" w:footer="992" w:gutter="0"/>
          <w:cols w:space="0" w:num="1"/>
          <w:rtlGutter w:val="0"/>
          <w:docGrid w:type="lines" w:linePitch="314" w:charSpace="0"/>
        </w:sectPr>
      </w:pPr>
    </w:p>
    <w:p>
      <w:pPr>
        <w:pStyle w:val="52"/>
        <w:spacing w:line="440" w:lineRule="exact"/>
        <w:jc w:val="center"/>
        <w:rPr>
          <w:rFonts w:hint="eastAsia" w:ascii="宋体" w:hAnsi="宋体" w:eastAsia="宋体" w:cs="宋体"/>
          <w:color w:val="000000" w:themeColor="text1"/>
          <w14:textFill>
            <w14:solidFill>
              <w14:schemeClr w14:val="tx1"/>
            </w14:solidFill>
          </w14:textFill>
        </w:rPr>
      </w:pPr>
      <w:r>
        <w:rPr>
          <w:rStyle w:val="53"/>
          <w:rFonts w:hint="eastAsia" w:ascii="宋体" w:hAnsi="宋体" w:eastAsia="宋体" w:cs="宋体"/>
          <w:color w:val="000000" w:themeColor="text1"/>
          <w:sz w:val="32"/>
          <w:szCs w:val="32"/>
          <w14:textFill>
            <w14:solidFill>
              <w14:schemeClr w14:val="tx1"/>
            </w14:solidFill>
          </w14:textFill>
        </w:rPr>
        <w:t>第四章  评标办法</w:t>
      </w:r>
      <w:bookmarkEnd w:id="160"/>
    </w:p>
    <w:bookmarkEnd w:id="159"/>
    <w:p>
      <w:pPr>
        <w:widowControl/>
        <w:tabs>
          <w:tab w:val="left" w:pos="0"/>
          <w:tab w:val="center" w:pos="4153"/>
          <w:tab w:val="right" w:pos="8306"/>
        </w:tabs>
        <w:adjustRightInd w:val="0"/>
        <w:snapToGrid w:val="0"/>
        <w:spacing w:line="420" w:lineRule="exact"/>
        <w:ind w:firstLine="422" w:firstLineChars="200"/>
        <w:jc w:val="left"/>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bidi="ar"/>
          <w14:textFill>
            <w14:solidFill>
              <w14:schemeClr w14:val="tx1"/>
            </w14:solidFill>
          </w14:textFill>
        </w:rPr>
        <w:t xml:space="preserve">一、投标文件评审(初步评审)： </w:t>
      </w:r>
    </w:p>
    <w:p>
      <w:pPr>
        <w:widowControl/>
        <w:tabs>
          <w:tab w:val="left" w:pos="0"/>
          <w:tab w:val="center" w:pos="4153"/>
          <w:tab w:val="right" w:pos="8306"/>
        </w:tabs>
        <w:adjustRightInd w:val="0"/>
        <w:snapToGrid w:val="0"/>
        <w:spacing w:line="420" w:lineRule="exact"/>
        <w:ind w:firstLine="420" w:firstLineChars="20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bidi="ar"/>
          <w14:textFill>
            <w14:solidFill>
              <w14:schemeClr w14:val="tx1"/>
            </w14:solidFill>
          </w14:textFill>
        </w:rPr>
        <w:t xml:space="preserve">1、采购人或者采购代理机构依据法律法规和招标文件的规定，对投标文件中的资格证明进行资格性审查，以确定投标投标人是否具备投标资格。 </w:t>
      </w:r>
    </w:p>
    <w:p>
      <w:pPr>
        <w:widowControl/>
        <w:tabs>
          <w:tab w:val="left" w:pos="0"/>
          <w:tab w:val="center" w:pos="4153"/>
          <w:tab w:val="right" w:pos="8306"/>
        </w:tabs>
        <w:adjustRightInd w:val="0"/>
        <w:snapToGrid w:val="0"/>
        <w:spacing w:line="420" w:lineRule="exact"/>
        <w:ind w:firstLine="420" w:firstLineChars="20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bidi="ar"/>
          <w14:textFill>
            <w14:solidFill>
              <w14:schemeClr w14:val="tx1"/>
            </w14:solidFill>
          </w14:textFill>
        </w:rPr>
        <w:t xml:space="preserve">2、评标委员会依据招标文件的规定，从投标文件的有效性、完整性和对招标文件的响应程度进行符合性审查，以确定是否对招标文件的实质性要求作出响应。 </w:t>
      </w:r>
    </w:p>
    <w:p>
      <w:pPr>
        <w:spacing w:line="420" w:lineRule="exact"/>
        <w:ind w:firstLine="422" w:firstLineChars="200"/>
        <w:jc w:val="left"/>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二、</w:t>
      </w:r>
      <w:r>
        <w:rPr>
          <w:rFonts w:hint="eastAsia" w:ascii="宋体" w:hAnsi="宋体" w:cs="宋体"/>
          <w:b/>
          <w:color w:val="000000" w:themeColor="text1"/>
          <w:kern w:val="0"/>
          <w:sz w:val="21"/>
          <w:szCs w:val="21"/>
          <w:lang w:bidi="ar"/>
          <w14:textFill>
            <w14:solidFill>
              <w14:schemeClr w14:val="tx1"/>
            </w14:solidFill>
          </w14:textFill>
        </w:rPr>
        <w:t xml:space="preserve">投标文件评审（详细评审） </w:t>
      </w:r>
    </w:p>
    <w:p>
      <w:pPr>
        <w:pStyle w:val="20"/>
        <w:adjustRightInd w:val="0"/>
        <w:spacing w:line="420" w:lineRule="exact"/>
        <w:ind w:firstLine="420" w:firstLineChars="200"/>
        <w:contextualSpacing/>
        <w:rPr>
          <w:rFonts w:hint="eastAsia"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（一）对进入详评的，采用百分制综合评分法。</w:t>
      </w:r>
    </w:p>
    <w:p>
      <w:pPr>
        <w:pStyle w:val="20"/>
        <w:adjustRightInd w:val="0"/>
        <w:spacing w:line="420" w:lineRule="exact"/>
        <w:ind w:firstLine="420" w:firstLineChars="200"/>
        <w:contextualSpacing/>
        <w:rPr>
          <w:rFonts w:hint="eastAsia"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（二）计分办法（按四舍五入取至百分位）：</w:t>
      </w:r>
    </w:p>
    <w:p>
      <w:pPr>
        <w:pStyle w:val="20"/>
        <w:spacing w:line="420" w:lineRule="exact"/>
        <w:ind w:firstLine="422" w:firstLineChars="200"/>
        <w:rPr>
          <w:rFonts w:hint="eastAsia" w:hAnsi="宋体" w:cs="宋体"/>
          <w:b/>
          <w:bCs/>
          <w:color w:val="000000" w:themeColor="text1"/>
          <w:kern w:val="0"/>
          <w:sz w:val="21"/>
          <w:szCs w:val="21"/>
          <w14:textFill>
            <w14:solidFill>
              <w14:schemeClr w14:val="tx1"/>
            </w14:solidFill>
          </w14:textFill>
        </w:rPr>
      </w:pPr>
      <w:bookmarkStart w:id="161" w:name="_Toc7653"/>
      <w:r>
        <w:rPr>
          <w:rFonts w:hint="eastAsia" w:hAnsi="宋体" w:cs="宋体"/>
          <w:b/>
          <w:bCs/>
          <w:color w:val="000000" w:themeColor="text1"/>
          <w:kern w:val="0"/>
          <w:sz w:val="21"/>
          <w:szCs w:val="21"/>
          <w14:textFill>
            <w14:solidFill>
              <w14:schemeClr w14:val="tx1"/>
            </w14:solidFill>
          </w14:textFill>
        </w:rPr>
        <w:t>1、价格分…………………………………………………………………………………</w:t>
      </w:r>
      <w:r>
        <w:rPr>
          <w:rFonts w:hint="eastAsia" w:hAnsi="宋体" w:cs="宋体"/>
          <w:b/>
          <w:bCs/>
          <w:color w:val="000000" w:themeColor="text1"/>
          <w:kern w:val="0"/>
          <w:sz w:val="21"/>
          <w:szCs w:val="21"/>
          <w:lang w:val="en-US" w:eastAsia="zh-CN"/>
          <w14:textFill>
            <w14:solidFill>
              <w14:schemeClr w14:val="tx1"/>
            </w14:solidFill>
          </w14:textFill>
        </w:rPr>
        <w:t>30</w:t>
      </w:r>
      <w:r>
        <w:rPr>
          <w:rFonts w:hint="eastAsia" w:hAnsi="宋体" w:cs="宋体"/>
          <w:b/>
          <w:bCs/>
          <w:color w:val="000000" w:themeColor="text1"/>
          <w:kern w:val="0"/>
          <w:sz w:val="21"/>
          <w:szCs w:val="21"/>
          <w14:textFill>
            <w14:solidFill>
              <w14:schemeClr w14:val="tx1"/>
            </w14:solidFill>
          </w14:textFill>
        </w:rPr>
        <w:t>分</w:t>
      </w:r>
      <w:bookmarkEnd w:id="161"/>
    </w:p>
    <w:p>
      <w:pPr>
        <w:pStyle w:val="20"/>
        <w:spacing w:line="420" w:lineRule="exact"/>
        <w:ind w:firstLine="420" w:firstLineChars="200"/>
        <w:rPr>
          <w:rFonts w:hint="eastAsia" w:hAnsi="宋体" w:cs="宋体"/>
          <w:color w:val="000000" w:themeColor="text1"/>
          <w:kern w:val="0"/>
          <w:sz w:val="21"/>
          <w:szCs w:val="21"/>
          <w14:textFill>
            <w14:solidFill>
              <w14:schemeClr w14:val="tx1"/>
            </w14:solidFill>
          </w14:textFill>
        </w:rPr>
      </w:pPr>
      <w:r>
        <w:rPr>
          <w:rFonts w:hint="eastAsia" w:hAnsi="宋体" w:cs="宋体"/>
          <w:color w:val="000000" w:themeColor="text1"/>
          <w:kern w:val="0"/>
          <w:sz w:val="21"/>
          <w:szCs w:val="21"/>
          <w14:textFill>
            <w14:solidFill>
              <w14:schemeClr w14:val="tx1"/>
            </w14:solidFill>
          </w14:textFill>
        </w:rPr>
        <w:t>（1）按照《政府采购促进中小企业发展管理办法》（财库[2020]46号）规定：</w:t>
      </w:r>
    </w:p>
    <w:p>
      <w:pPr>
        <w:pStyle w:val="20"/>
        <w:spacing w:line="420" w:lineRule="exact"/>
        <w:ind w:firstLine="420" w:firstLineChars="200"/>
        <w:rPr>
          <w:rFonts w:hint="eastAsia" w:hAnsi="宋体" w:cs="宋体"/>
          <w:color w:val="000000" w:themeColor="text1"/>
          <w:kern w:val="0"/>
          <w:sz w:val="21"/>
          <w:szCs w:val="21"/>
          <w14:textFill>
            <w14:solidFill>
              <w14:schemeClr w14:val="tx1"/>
            </w14:solidFill>
          </w14:textFill>
        </w:rPr>
      </w:pPr>
      <w:r>
        <w:rPr>
          <w:rFonts w:hint="eastAsia" w:hAnsi="宋体" w:cs="宋体"/>
          <w:color w:val="000000" w:themeColor="text1"/>
          <w:kern w:val="0"/>
          <w:sz w:val="21"/>
          <w:szCs w:val="21"/>
          <w14:textFill>
            <w14:solidFill>
              <w14:schemeClr w14:val="tx1"/>
            </w14:solidFill>
          </w14:textFill>
        </w:rPr>
        <w:t>①投标人承接本项目的全部服务且供应商为符合政策要求的小型、微型企业的，其最后报价给予20%的扣除，扣除后的价格为评审报价，即供应商的评审报价=最后报价×（1-20%）；</w:t>
      </w:r>
    </w:p>
    <w:p>
      <w:pPr>
        <w:pStyle w:val="20"/>
        <w:spacing w:line="420" w:lineRule="exact"/>
        <w:ind w:firstLine="420" w:firstLineChars="200"/>
        <w:rPr>
          <w:rFonts w:hint="eastAsia" w:hAnsi="宋体" w:cs="宋体"/>
          <w:color w:val="000000" w:themeColor="text1"/>
          <w:kern w:val="0"/>
          <w:sz w:val="21"/>
          <w:szCs w:val="21"/>
          <w14:textFill>
            <w14:solidFill>
              <w14:schemeClr w14:val="tx1"/>
            </w14:solidFill>
          </w14:textFill>
        </w:rPr>
      </w:pPr>
      <w:r>
        <w:rPr>
          <w:rFonts w:hint="eastAsia" w:hAnsi="宋体" w:cs="宋体"/>
          <w:color w:val="000000" w:themeColor="text1"/>
          <w:kern w:val="0"/>
          <w:sz w:val="21"/>
          <w:szCs w:val="21"/>
          <w14:textFill>
            <w14:solidFill>
              <w14:schemeClr w14:val="tx1"/>
            </w14:solidFill>
          </w14:textFill>
        </w:rPr>
        <w:t>②投标人为大中型企业与小型、微型企业组成联合体投标的，其中小型、微型企业的协议合同金额占到联合体协议合同总金额 30%以上（含30%）的（投标人须于《联合投标协议书》中明确约定小型、微型企业的协议合同金额及所占比例，该金额应与投标报价表所报金额对应一致），联合体投标价给予6%的扣除，扣除后的价格为评标报价，即评标报价=投标报价×（1-6%）；</w:t>
      </w:r>
    </w:p>
    <w:p>
      <w:pPr>
        <w:pStyle w:val="20"/>
        <w:spacing w:line="420" w:lineRule="exact"/>
        <w:ind w:firstLine="420" w:firstLineChars="200"/>
        <w:rPr>
          <w:rFonts w:hint="eastAsia" w:hAnsi="宋体" w:cs="宋体"/>
          <w:color w:val="000000" w:themeColor="text1"/>
          <w:kern w:val="0"/>
          <w:sz w:val="21"/>
          <w:szCs w:val="21"/>
          <w14:textFill>
            <w14:solidFill>
              <w14:schemeClr w14:val="tx1"/>
            </w14:solidFill>
          </w14:textFill>
        </w:rPr>
      </w:pPr>
      <w:r>
        <w:rPr>
          <w:rFonts w:hint="eastAsia" w:hAnsi="宋体" w:cs="宋体"/>
          <w:color w:val="000000" w:themeColor="text1"/>
          <w:kern w:val="0"/>
          <w:sz w:val="21"/>
          <w:szCs w:val="21"/>
          <w14:textFill>
            <w14:solidFill>
              <w14:schemeClr w14:val="tx1"/>
            </w14:solidFill>
          </w14:textFill>
        </w:rPr>
        <w:t>③除上述情况外，评审报价=最后报价。</w:t>
      </w:r>
    </w:p>
    <w:p>
      <w:pPr>
        <w:pStyle w:val="20"/>
        <w:spacing w:line="420" w:lineRule="exact"/>
        <w:ind w:firstLine="420" w:firstLineChars="200"/>
        <w:rPr>
          <w:rFonts w:hint="eastAsia" w:hAnsi="宋体" w:cs="宋体"/>
          <w:color w:val="000000" w:themeColor="text1"/>
          <w:kern w:val="0"/>
          <w:sz w:val="21"/>
          <w:szCs w:val="21"/>
          <w14:textFill>
            <w14:solidFill>
              <w14:schemeClr w14:val="tx1"/>
            </w14:solidFill>
          </w14:textFill>
        </w:rPr>
      </w:pPr>
      <w:r>
        <w:rPr>
          <w:rFonts w:hint="eastAsia" w:hAnsi="宋体" w:cs="宋体"/>
          <w:color w:val="000000" w:themeColor="text1"/>
          <w:kern w:val="0"/>
          <w:sz w:val="21"/>
          <w:szCs w:val="21"/>
          <w14:textFill>
            <w14:solidFill>
              <w14:schemeClr w14:val="tx1"/>
            </w14:solidFill>
          </w14:textFill>
        </w:rPr>
        <w:t>注：评审报价为投标人的最后报价进行政策性扣除后的价格，评审报价只是作为评审时使用。最终中标供应商的成交金额＝最后报价。</w:t>
      </w:r>
    </w:p>
    <w:p>
      <w:pPr>
        <w:pStyle w:val="20"/>
        <w:spacing w:line="420" w:lineRule="exact"/>
        <w:ind w:firstLine="420" w:firstLineChars="200"/>
        <w:rPr>
          <w:rFonts w:hint="eastAsia" w:hAnsi="宋体" w:cs="宋体"/>
          <w:color w:val="000000" w:themeColor="text1"/>
          <w:kern w:val="0"/>
          <w:sz w:val="21"/>
          <w:szCs w:val="21"/>
          <w14:textFill>
            <w14:solidFill>
              <w14:schemeClr w14:val="tx1"/>
            </w14:solidFill>
          </w14:textFill>
        </w:rPr>
      </w:pPr>
      <w:r>
        <w:rPr>
          <w:rFonts w:hint="eastAsia" w:hAnsi="宋体" w:cs="宋体"/>
          <w:color w:val="000000" w:themeColor="text1"/>
          <w:kern w:val="0"/>
          <w:sz w:val="21"/>
          <w:szCs w:val="21"/>
          <w14:textFill>
            <w14:solidFill>
              <w14:schemeClr w14:val="tx1"/>
            </w14:solidFill>
          </w14:textFill>
        </w:rPr>
        <w:t>（2）根据《关于政府采购支持监狱企业发展有关问题的通知》（财库[2014]68号）和《关于促进残疾人就业政府采购政策的通知》（财库[2017]141号），监狱企业和符合条件的残疾人福利性单位视同小型、微型企业，享受小型、微型企业评审中价格扣除的政府采购政策。残疾人福利性单位属于小型、微型企业的，不重复享受政策。</w:t>
      </w:r>
    </w:p>
    <w:p>
      <w:pPr>
        <w:pStyle w:val="20"/>
        <w:spacing w:line="420" w:lineRule="exact"/>
        <w:ind w:firstLine="420" w:firstLineChars="200"/>
        <w:rPr>
          <w:rFonts w:hint="eastAsia" w:hAnsi="宋体" w:cs="宋体"/>
          <w:color w:val="000000" w:themeColor="text1"/>
          <w:kern w:val="0"/>
          <w:sz w:val="21"/>
          <w:szCs w:val="21"/>
          <w14:textFill>
            <w14:solidFill>
              <w14:schemeClr w14:val="tx1"/>
            </w14:solidFill>
          </w14:textFill>
        </w:rPr>
      </w:pPr>
      <w:r>
        <w:rPr>
          <w:rFonts w:hint="eastAsia" w:hAnsi="宋体" w:cs="宋体"/>
          <w:color w:val="000000" w:themeColor="text1"/>
          <w:kern w:val="0"/>
          <w:sz w:val="21"/>
          <w:szCs w:val="21"/>
          <w14:textFill>
            <w14:solidFill>
              <w14:schemeClr w14:val="tx1"/>
            </w14:solidFill>
          </w14:textFill>
        </w:rPr>
        <w:t>（3）以进入综合评分环节的最低的评审报价为基准价，基准价报价得分为</w:t>
      </w:r>
      <w:r>
        <w:rPr>
          <w:rFonts w:hint="eastAsia" w:hAnsi="宋体" w:cs="宋体"/>
          <w:color w:val="000000" w:themeColor="text1"/>
          <w:kern w:val="0"/>
          <w:sz w:val="21"/>
          <w:szCs w:val="21"/>
          <w:lang w:val="en-US" w:eastAsia="zh-CN"/>
          <w14:textFill>
            <w14:solidFill>
              <w14:schemeClr w14:val="tx1"/>
            </w14:solidFill>
          </w14:textFill>
        </w:rPr>
        <w:t>30</w:t>
      </w:r>
      <w:r>
        <w:rPr>
          <w:rFonts w:hint="eastAsia" w:hAnsi="宋体" w:cs="宋体"/>
          <w:color w:val="000000" w:themeColor="text1"/>
          <w:kern w:val="0"/>
          <w:sz w:val="21"/>
          <w:szCs w:val="21"/>
          <w14:textFill>
            <w14:solidFill>
              <w14:schemeClr w14:val="tx1"/>
            </w14:solidFill>
          </w14:textFill>
        </w:rPr>
        <w:t>分。</w:t>
      </w:r>
    </w:p>
    <w:p>
      <w:pPr>
        <w:pStyle w:val="20"/>
        <w:spacing w:line="420" w:lineRule="exact"/>
        <w:ind w:firstLine="420" w:firstLineChars="200"/>
        <w:rPr>
          <w:rFonts w:hint="eastAsia" w:hAnsi="宋体" w:cs="宋体"/>
          <w:color w:val="000000" w:themeColor="text1"/>
          <w:kern w:val="0"/>
          <w:sz w:val="21"/>
          <w:szCs w:val="21"/>
          <w14:textFill>
            <w14:solidFill>
              <w14:schemeClr w14:val="tx1"/>
            </w14:solidFill>
          </w14:textFill>
        </w:rPr>
      </w:pPr>
      <w:r>
        <w:rPr>
          <w:rFonts w:hint="eastAsia" w:hAnsi="宋体" w:cs="宋体"/>
          <w:color w:val="000000" w:themeColor="text1"/>
          <w:kern w:val="0"/>
          <w:sz w:val="21"/>
          <w:szCs w:val="21"/>
          <w14:textFill>
            <w14:solidFill>
              <w14:schemeClr w14:val="tx1"/>
            </w14:solidFill>
          </w14:textFill>
        </w:rPr>
        <w:t>（4）价格分采用低价优先法计算，即满足招标文件要求且评标报价最低的评标报价为评标基准价，其价格分为</w:t>
      </w:r>
      <w:r>
        <w:rPr>
          <w:rFonts w:hint="eastAsia" w:hAnsi="宋体" w:cs="宋体"/>
          <w:color w:val="000000" w:themeColor="text1"/>
          <w:kern w:val="0"/>
          <w:sz w:val="21"/>
          <w:szCs w:val="21"/>
          <w:lang w:val="en-US" w:eastAsia="zh-CN"/>
          <w14:textFill>
            <w14:solidFill>
              <w14:schemeClr w14:val="tx1"/>
            </w14:solidFill>
          </w14:textFill>
        </w:rPr>
        <w:t>30</w:t>
      </w:r>
      <w:r>
        <w:rPr>
          <w:rFonts w:hint="eastAsia" w:hAnsi="宋体" w:cs="宋体"/>
          <w:color w:val="000000" w:themeColor="text1"/>
          <w:kern w:val="0"/>
          <w:sz w:val="21"/>
          <w:szCs w:val="21"/>
          <w14:textFill>
            <w14:solidFill>
              <w14:schemeClr w14:val="tx1"/>
            </w14:solidFill>
          </w14:textFill>
        </w:rPr>
        <w:t>分。</w:t>
      </w:r>
    </w:p>
    <w:p>
      <w:pPr>
        <w:pStyle w:val="20"/>
        <w:spacing w:line="420" w:lineRule="exact"/>
        <w:ind w:firstLine="420" w:firstLineChars="200"/>
        <w:rPr>
          <w:rFonts w:hint="eastAsia" w:hAnsi="宋体" w:cs="宋体"/>
          <w:color w:val="000000" w:themeColor="text1"/>
          <w:kern w:val="0"/>
          <w:sz w:val="21"/>
          <w:szCs w:val="21"/>
          <w14:textFill>
            <w14:solidFill>
              <w14:schemeClr w14:val="tx1"/>
            </w14:solidFill>
          </w14:textFill>
        </w:rPr>
      </w:pPr>
      <w:r>
        <w:rPr>
          <w:rFonts w:hint="eastAsia" w:hAnsi="宋体" w:cs="宋体"/>
          <w:color w:val="000000" w:themeColor="text1"/>
          <w:kern w:val="0"/>
          <w:sz w:val="21"/>
          <w:szCs w:val="21"/>
          <w14:textFill>
            <w14:solidFill>
              <w14:schemeClr w14:val="tx1"/>
            </w14:solidFill>
          </w14:textFill>
        </w:rPr>
        <w:t>（5）价格分计算公式：</w:t>
      </w:r>
    </w:p>
    <w:p>
      <w:pPr>
        <w:pStyle w:val="20"/>
        <w:spacing w:line="440" w:lineRule="exact"/>
        <w:ind w:firstLine="3360" w:firstLineChars="1600"/>
        <w:rPr>
          <w:rFonts w:hint="eastAsia"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最低投标人</w:t>
      </w:r>
      <w:r>
        <w:rPr>
          <w:rFonts w:hint="eastAsia" w:hAnsi="宋体" w:cs="宋体"/>
          <w:color w:val="000000" w:themeColor="text1"/>
          <w:sz w:val="21"/>
          <w:szCs w:val="21"/>
          <w14:textFill>
            <w14:solidFill>
              <w14:schemeClr w14:val="tx1"/>
            </w14:solidFill>
          </w14:textFill>
        </w:rPr>
        <w:t>评标报价</w:t>
      </w:r>
      <w:r>
        <w:rPr>
          <w:rFonts w:hint="eastAsia" w:hAnsi="宋体" w:cs="宋体"/>
          <w:bCs/>
          <w:color w:val="000000" w:themeColor="text1"/>
          <w:sz w:val="21"/>
          <w:szCs w:val="21"/>
          <w14:textFill>
            <w14:solidFill>
              <w14:schemeClr w14:val="tx1"/>
            </w14:solidFill>
          </w14:textFill>
        </w:rPr>
        <w:t xml:space="preserve">金额          </w:t>
      </w:r>
    </w:p>
    <w:p>
      <w:pPr>
        <w:pStyle w:val="20"/>
        <w:spacing w:line="440" w:lineRule="exact"/>
        <w:ind w:firstLine="420" w:firstLineChars="200"/>
        <w:rPr>
          <w:rFonts w:hint="eastAsia"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1738630</wp:posOffset>
                </wp:positionH>
                <wp:positionV relativeFrom="paragraph">
                  <wp:posOffset>157480</wp:posOffset>
                </wp:positionV>
                <wp:extent cx="2237740" cy="15240"/>
                <wp:effectExtent l="0" t="4445" r="10160" b="8890"/>
                <wp:wrapNone/>
                <wp:docPr id="1" name="直接连接符 1"/>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6.9pt;margin-top:12.4pt;height:1.2pt;width:176.2pt;z-index:251659264;mso-width-relative:page;mso-height-relative:page;" filled="f" stroked="t" coordsize="21600,21600" o:gfxdata="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oRlsdYAAAAJAQAADwAAAAAAAAABACAAAAAiAAAAZHJzL2Rvd25yZXYueG1sUEsB&#10;AhQAFAAAAAgAh07iQIKZ16z3AQAA8gMAAA4AAAAAAAAAAQAgAAAAJQEAAGRycy9lMm9Eb2MueG1s&#10;UEsFBgAAAAAGAAYAWQEAAI4FAAAAAA==&#10;">
                <v:fill on="f" focussize="0,0"/>
                <v:stroke color="#000000" joinstyle="round"/>
                <v:imagedata o:title=""/>
                <o:lock v:ext="edit" aspectratio="f"/>
              </v:line>
            </w:pict>
          </mc:Fallback>
        </mc:AlternateContent>
      </w:r>
      <w:r>
        <w:rPr>
          <w:rFonts w:hint="eastAsia" w:hAnsi="宋体" w:cs="宋体"/>
          <w:bCs/>
          <w:color w:val="000000" w:themeColor="text1"/>
          <w:sz w:val="21"/>
          <w:szCs w:val="21"/>
          <w14:textFill>
            <w14:solidFill>
              <w14:schemeClr w14:val="tx1"/>
            </w14:solidFill>
          </w14:textFill>
        </w:rPr>
        <w:t xml:space="preserve">某投标人价格分 =                                 </w:t>
      </w:r>
      <w:r>
        <w:rPr>
          <w:rFonts w:hint="eastAsia" w:hAnsi="宋体" w:cs="宋体"/>
          <w:bCs/>
          <w:color w:val="000000" w:themeColor="text1"/>
          <w:sz w:val="21"/>
          <w:szCs w:val="21"/>
          <w:lang w:val="en-US" w:eastAsia="zh-CN"/>
          <w14:textFill>
            <w14:solidFill>
              <w14:schemeClr w14:val="tx1"/>
            </w14:solidFill>
          </w14:textFill>
        </w:rPr>
        <w:t xml:space="preserve">        </w:t>
      </w:r>
      <w:r>
        <w:rPr>
          <w:rFonts w:hint="eastAsia" w:hAnsi="宋体" w:cs="宋体"/>
          <w:bCs/>
          <w:color w:val="000000" w:themeColor="text1"/>
          <w:sz w:val="21"/>
          <w:szCs w:val="21"/>
          <w14:textFill>
            <w14:solidFill>
              <w14:schemeClr w14:val="tx1"/>
            </w14:solidFill>
          </w14:textFill>
        </w:rPr>
        <w:t>×</w:t>
      </w:r>
      <w:r>
        <w:rPr>
          <w:rFonts w:hint="eastAsia" w:hAnsi="宋体" w:cs="宋体"/>
          <w:bCs/>
          <w:color w:val="000000" w:themeColor="text1"/>
          <w:sz w:val="21"/>
          <w:szCs w:val="21"/>
          <w:lang w:val="en-US" w:eastAsia="zh-CN"/>
          <w14:textFill>
            <w14:solidFill>
              <w14:schemeClr w14:val="tx1"/>
            </w14:solidFill>
          </w14:textFill>
        </w:rPr>
        <w:t xml:space="preserve"> 30</w:t>
      </w:r>
      <w:r>
        <w:rPr>
          <w:rFonts w:hint="eastAsia" w:hAnsi="宋体" w:cs="宋体"/>
          <w:bCs/>
          <w:color w:val="000000" w:themeColor="text1"/>
          <w:sz w:val="21"/>
          <w:szCs w:val="21"/>
          <w14:textFill>
            <w14:solidFill>
              <w14:schemeClr w14:val="tx1"/>
            </w14:solidFill>
          </w14:textFill>
        </w:rPr>
        <w:t>分</w:t>
      </w:r>
    </w:p>
    <w:p>
      <w:pPr>
        <w:pStyle w:val="20"/>
        <w:spacing w:line="440" w:lineRule="exact"/>
        <w:ind w:firstLine="420" w:firstLineChars="200"/>
        <w:rPr>
          <w:rFonts w:hint="eastAsia" w:hAnsi="宋体" w:cs="宋体"/>
          <w:b/>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 xml:space="preserve">                       </w:t>
      </w:r>
      <w:r>
        <w:rPr>
          <w:rFonts w:hint="eastAsia" w:hAnsi="宋体" w:cs="宋体"/>
          <w:bCs/>
          <w:color w:val="000000" w:themeColor="text1"/>
          <w:sz w:val="21"/>
          <w:szCs w:val="21"/>
          <w:lang w:val="en-US" w:eastAsia="zh-CN"/>
          <w14:textFill>
            <w14:solidFill>
              <w14:schemeClr w14:val="tx1"/>
            </w14:solidFill>
          </w14:textFill>
        </w:rPr>
        <w:t xml:space="preserve">    </w:t>
      </w:r>
      <w:r>
        <w:rPr>
          <w:rFonts w:hint="eastAsia" w:hAnsi="宋体" w:cs="宋体"/>
          <w:bCs/>
          <w:color w:val="000000" w:themeColor="text1"/>
          <w:sz w:val="21"/>
          <w:szCs w:val="21"/>
          <w14:textFill>
            <w14:solidFill>
              <w14:schemeClr w14:val="tx1"/>
            </w14:solidFill>
          </w14:textFill>
        </w:rPr>
        <w:t>某投标人</w:t>
      </w:r>
      <w:r>
        <w:rPr>
          <w:rFonts w:hint="eastAsia" w:hAnsi="宋体" w:cs="宋体"/>
          <w:color w:val="000000" w:themeColor="text1"/>
          <w:sz w:val="21"/>
          <w:szCs w:val="21"/>
          <w14:textFill>
            <w14:solidFill>
              <w14:schemeClr w14:val="tx1"/>
            </w14:solidFill>
          </w14:textFill>
        </w:rPr>
        <w:t>评标报价</w:t>
      </w:r>
      <w:r>
        <w:rPr>
          <w:rFonts w:hint="eastAsia" w:hAnsi="宋体" w:cs="宋体"/>
          <w:bCs/>
          <w:color w:val="000000" w:themeColor="text1"/>
          <w:sz w:val="21"/>
          <w:szCs w:val="21"/>
          <w14:textFill>
            <w14:solidFill>
              <w14:schemeClr w14:val="tx1"/>
            </w14:solidFill>
          </w14:textFill>
        </w:rPr>
        <w:t xml:space="preserve">金额  </w:t>
      </w:r>
    </w:p>
    <w:p>
      <w:pPr>
        <w:pStyle w:val="20"/>
        <w:tabs>
          <w:tab w:val="left" w:pos="8820"/>
        </w:tabs>
        <w:spacing w:line="420" w:lineRule="exact"/>
        <w:ind w:firstLine="482" w:firstLineChars="200"/>
        <w:outlineLvl w:val="0"/>
        <w:rPr>
          <w:rFonts w:hint="eastAsia" w:hAnsi="宋体" w:cs="宋体"/>
          <w:b/>
          <w:bCs/>
          <w:color w:val="000000" w:themeColor="text1"/>
          <w:sz w:val="24"/>
          <w:szCs w:val="24"/>
          <w14:textFill>
            <w14:solidFill>
              <w14:schemeClr w14:val="tx1"/>
            </w14:solidFill>
          </w14:textFill>
        </w:rPr>
        <w:sectPr>
          <w:pgSz w:w="11906" w:h="16838"/>
          <w:pgMar w:top="1440" w:right="1083" w:bottom="1440" w:left="1083" w:header="851" w:footer="992" w:gutter="0"/>
          <w:cols w:space="0" w:num="1"/>
          <w:rtlGutter w:val="0"/>
          <w:docGrid w:type="lines" w:linePitch="317" w:charSpace="0"/>
        </w:sectPr>
      </w:pPr>
    </w:p>
    <w:p>
      <w:pPr>
        <w:pStyle w:val="20"/>
        <w:spacing w:line="400" w:lineRule="exact"/>
        <w:ind w:firstLine="422" w:firstLineChars="200"/>
        <w:outlineLvl w:val="0"/>
        <w:rPr>
          <w:rFonts w:hAnsi="宋体" w:cs="宋体"/>
          <w:b/>
          <w:color w:val="000000" w:themeColor="text1"/>
          <w14:textFill>
            <w14:solidFill>
              <w14:schemeClr w14:val="tx1"/>
            </w14:solidFill>
          </w14:textFill>
        </w:rPr>
      </w:pPr>
      <w:r>
        <w:rPr>
          <w:rFonts w:hint="eastAsia" w:hAnsi="宋体" w:cs="宋体"/>
          <w:b/>
          <w:bCs/>
          <w:color w:val="000000" w:themeColor="text1"/>
          <w:szCs w:val="21"/>
          <w14:textFill>
            <w14:solidFill>
              <w14:schemeClr w14:val="tx1"/>
            </w14:solidFill>
          </w14:textFill>
        </w:rPr>
        <w:t>2.服务</w:t>
      </w:r>
      <w:r>
        <w:rPr>
          <w:rFonts w:hint="eastAsia" w:hAnsi="宋体" w:cs="宋体"/>
          <w:b/>
          <w:bCs/>
          <w:color w:val="000000" w:themeColor="text1"/>
          <w:szCs w:val="21"/>
          <w:lang w:eastAsia="zh-CN"/>
          <w14:textFill>
            <w14:solidFill>
              <w14:schemeClr w14:val="tx1"/>
            </w14:solidFill>
          </w14:textFill>
        </w:rPr>
        <w:t>方案</w:t>
      </w:r>
      <w:r>
        <w:rPr>
          <w:rFonts w:hint="eastAsia" w:hAnsi="宋体" w:cs="宋体"/>
          <w:b/>
          <w:color w:val="000000" w:themeColor="text1"/>
          <w14:textFill>
            <w14:solidFill>
              <w14:schemeClr w14:val="tx1"/>
            </w14:solidFill>
          </w14:textFill>
        </w:rPr>
        <w:t>………………………………………………………………………（满分</w:t>
      </w:r>
      <w:r>
        <w:rPr>
          <w:rFonts w:hint="eastAsia" w:hAnsi="宋体" w:cs="宋体"/>
          <w:b/>
          <w:color w:val="000000" w:themeColor="text1"/>
          <w:lang w:val="en-US" w:eastAsia="zh-CN"/>
          <w14:textFill>
            <w14:solidFill>
              <w14:schemeClr w14:val="tx1"/>
            </w14:solidFill>
          </w14:textFill>
        </w:rPr>
        <w:t>42</w:t>
      </w:r>
      <w:r>
        <w:rPr>
          <w:rFonts w:hint="eastAsia" w:hAnsi="宋体" w:cs="宋体"/>
          <w:b/>
          <w:color w:val="000000" w:themeColor="text1"/>
          <w14:textFill>
            <w14:solidFill>
              <w14:schemeClr w14:val="tx1"/>
            </w14:solidFill>
          </w14:textFill>
        </w:rPr>
        <w:t>分）</w:t>
      </w:r>
    </w:p>
    <w:p>
      <w:pPr>
        <w:spacing w:line="353" w:lineRule="exact"/>
        <w:ind w:left="7" w:right="100" w:firstLine="420"/>
        <w:rPr>
          <w:rFonts w:hAnsi="宋体" w:cs="宋体"/>
          <w:b/>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由评委在打分前根据各投标人提供的</w:t>
      </w:r>
      <w:r>
        <w:rPr>
          <w:rFonts w:hint="eastAsia" w:ascii="宋体" w:hAnsi="宋体" w:cs="宋体"/>
          <w:color w:val="000000" w:themeColor="text1"/>
          <w:szCs w:val="21"/>
          <w14:textFill>
            <w14:solidFill>
              <w14:schemeClr w14:val="tx1"/>
            </w14:solidFill>
          </w14:textFill>
        </w:rPr>
        <w:t>服务</w:t>
      </w:r>
      <w:r>
        <w:rPr>
          <w:rFonts w:ascii="宋体" w:hAnsi="宋体" w:cs="宋体"/>
          <w:color w:val="000000" w:themeColor="text1"/>
          <w:szCs w:val="21"/>
          <w14:textFill>
            <w14:solidFill>
              <w14:schemeClr w14:val="tx1"/>
            </w14:solidFill>
          </w14:textFill>
        </w:rPr>
        <w:t>方案（包含：</w:t>
      </w:r>
      <w:r>
        <w:rPr>
          <w:rFonts w:hint="eastAsia" w:ascii="宋体" w:hAnsi="宋体" w:cs="宋体"/>
          <w:color w:val="000000" w:themeColor="text1"/>
          <w:szCs w:val="21"/>
          <w:lang w:eastAsia="zh-CN"/>
          <w14:textFill>
            <w14:solidFill>
              <w14:schemeClr w14:val="tx1"/>
            </w14:solidFill>
          </w14:textFill>
        </w:rPr>
        <w:t>污水处理厂经营管理方案、应急预案、达到服务质量标准的保证措施</w:t>
      </w:r>
      <w:r>
        <w:rPr>
          <w:rFonts w:ascii="宋体" w:hAnsi="宋体" w:cs="宋体"/>
          <w:color w:val="000000" w:themeColor="text1"/>
          <w:szCs w:val="21"/>
          <w14:textFill>
            <w14:solidFill>
              <w14:schemeClr w14:val="tx1"/>
            </w14:solidFill>
          </w14:textFill>
        </w:rPr>
        <w:t>等）的内容进行集体讨论确定投标人各所属档次并形成书面材料（等级评定表），并按确定后的各投标人所属档次以及等级评定说明内容，在相应档次内独立打分。</w:t>
      </w:r>
    </w:p>
    <w:p>
      <w:pPr>
        <w:pStyle w:val="20"/>
        <w:numPr>
          <w:ilvl w:val="0"/>
          <w:numId w:val="0"/>
        </w:numPr>
        <w:spacing w:line="400" w:lineRule="exact"/>
        <w:ind w:firstLine="420" w:firstLineChars="200"/>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lang w:eastAsia="zh-CN"/>
          <w14:textFill>
            <w14:solidFill>
              <w14:schemeClr w14:val="tx1"/>
            </w14:solidFill>
          </w14:textFill>
        </w:rPr>
        <w:t>（</w:t>
      </w:r>
      <w:r>
        <w:rPr>
          <w:rFonts w:hint="eastAsia" w:hAnsi="宋体" w:cs="宋体"/>
          <w:color w:val="000000" w:themeColor="text1"/>
          <w:kern w:val="0"/>
          <w:szCs w:val="21"/>
          <w:lang w:val="en-US" w:eastAsia="zh-CN"/>
          <w14:textFill>
            <w14:solidFill>
              <w14:schemeClr w14:val="tx1"/>
            </w14:solidFill>
          </w14:textFill>
        </w:rPr>
        <w:t>1</w:t>
      </w:r>
      <w:r>
        <w:rPr>
          <w:rFonts w:hint="eastAsia" w:hAnsi="宋体" w:cs="宋体"/>
          <w:color w:val="000000" w:themeColor="text1"/>
          <w:kern w:val="0"/>
          <w:szCs w:val="21"/>
          <w:lang w:eastAsia="zh-CN"/>
          <w14:textFill>
            <w14:solidFill>
              <w14:schemeClr w14:val="tx1"/>
            </w14:solidFill>
          </w14:textFill>
        </w:rPr>
        <w:t>）</w:t>
      </w:r>
      <w:r>
        <w:rPr>
          <w:rFonts w:hint="eastAsia" w:hAnsi="宋体" w:cs="宋体"/>
          <w:color w:val="000000" w:themeColor="text1"/>
          <w:kern w:val="0"/>
          <w:szCs w:val="21"/>
          <w14:textFill>
            <w14:solidFill>
              <w14:schemeClr w14:val="tx1"/>
            </w14:solidFill>
          </w14:textFill>
        </w:rPr>
        <w:t xml:space="preserve">污水处理厂经营管理方案 </w:t>
      </w:r>
      <w:r>
        <w:rPr>
          <w:rFonts w:hint="eastAsia" w:hAnsi="宋体" w:cs="宋体"/>
          <w:color w:val="000000" w:themeColor="text1"/>
          <w14:textFill>
            <w14:solidFill>
              <w14:schemeClr w14:val="tx1"/>
            </w14:solidFill>
          </w14:textFill>
        </w:rPr>
        <w:t>…………………………………………………………………（</w:t>
      </w:r>
      <w:r>
        <w:rPr>
          <w:rFonts w:hint="eastAsia" w:hAnsi="宋体" w:cs="宋体"/>
          <w:color w:val="000000" w:themeColor="text1"/>
          <w:kern w:val="0"/>
          <w:szCs w:val="21"/>
          <w14:textFill>
            <w14:solidFill>
              <w14:schemeClr w14:val="tx1"/>
            </w14:solidFill>
          </w14:textFill>
        </w:rPr>
        <w:t>满分</w:t>
      </w:r>
      <w:r>
        <w:rPr>
          <w:rFonts w:hint="eastAsia" w:hAnsi="宋体" w:cs="宋体"/>
          <w:color w:val="000000" w:themeColor="text1"/>
          <w:kern w:val="0"/>
          <w:szCs w:val="21"/>
          <w:lang w:val="en-US" w:eastAsia="zh-CN"/>
          <w14:textFill>
            <w14:solidFill>
              <w14:schemeClr w14:val="tx1"/>
            </w14:solidFill>
          </w14:textFill>
        </w:rPr>
        <w:t>14</w:t>
      </w:r>
      <w:r>
        <w:rPr>
          <w:rFonts w:hint="eastAsia" w:hAnsi="宋体" w:cs="宋体"/>
          <w:color w:val="000000" w:themeColor="text1"/>
          <w:kern w:val="0"/>
          <w:szCs w:val="21"/>
          <w14:textFill>
            <w14:solidFill>
              <w14:schemeClr w14:val="tx1"/>
            </w14:solidFill>
          </w14:textFill>
        </w:rPr>
        <w:t>分）</w:t>
      </w:r>
    </w:p>
    <w:p>
      <w:pPr>
        <w:pStyle w:val="20"/>
        <w:spacing w:line="40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一档：（1 分）运营实施方案简单，阐述基本完整、但不详细，内容缺失较多，条理不清晰；</w:t>
      </w:r>
    </w:p>
    <w:p>
      <w:pPr>
        <w:pStyle w:val="20"/>
        <w:spacing w:line="40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二档：（</w:t>
      </w:r>
      <w:r>
        <w:rPr>
          <w:rFonts w:hint="eastAsia" w:hAnsi="宋体" w:cs="宋体"/>
          <w:color w:val="000000" w:themeColor="text1"/>
          <w:lang w:val="en-US" w:eastAsia="zh-CN"/>
          <w14:textFill>
            <w14:solidFill>
              <w14:schemeClr w14:val="tx1"/>
            </w14:solidFill>
          </w14:textFill>
        </w:rPr>
        <w:t>4</w:t>
      </w:r>
      <w:r>
        <w:rPr>
          <w:rFonts w:hint="eastAsia" w:hAnsi="宋体" w:cs="宋体"/>
          <w:color w:val="000000" w:themeColor="text1"/>
          <w14:textFill>
            <w14:solidFill>
              <w14:schemeClr w14:val="tx1"/>
            </w14:solidFill>
          </w14:textFill>
        </w:rPr>
        <w:t xml:space="preserve"> 分）运营实施方案基本完整、针对性一般</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但不够全面，方案包含有人员培训、管理制度、应急保障方案、薪酬管理方案、年度费用预算方案，陈述不详细；</w:t>
      </w:r>
    </w:p>
    <w:p>
      <w:pPr>
        <w:pStyle w:val="20"/>
        <w:spacing w:line="40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三档：（</w:t>
      </w:r>
      <w:r>
        <w:rPr>
          <w:rFonts w:hint="eastAsia" w:hAnsi="宋体" w:cs="宋体"/>
          <w:color w:val="000000" w:themeColor="text1"/>
          <w:lang w:val="en-US" w:eastAsia="zh-CN"/>
          <w14:textFill>
            <w14:solidFill>
              <w14:schemeClr w14:val="tx1"/>
            </w14:solidFill>
          </w14:textFill>
        </w:rPr>
        <w:t>7</w:t>
      </w:r>
      <w:r>
        <w:rPr>
          <w:rFonts w:hint="eastAsia" w:hAnsi="宋体" w:cs="宋体"/>
          <w:color w:val="000000" w:themeColor="text1"/>
          <w14:textFill>
            <w14:solidFill>
              <w14:schemeClr w14:val="tx1"/>
            </w14:solidFill>
          </w14:textFill>
        </w:rPr>
        <w:t>分）运营实施方案基本完整、基本全面、有针对性但不强</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lang w:val="en-US" w:eastAsia="zh-CN"/>
          <w14:textFill>
            <w14:solidFill>
              <w14:schemeClr w14:val="tx1"/>
            </w14:solidFill>
          </w14:textFill>
        </w:rPr>
        <w:t>可行性一般</w:t>
      </w:r>
      <w:r>
        <w:rPr>
          <w:rFonts w:hint="eastAsia" w:hAnsi="宋体" w:cs="宋体"/>
          <w:color w:val="000000" w:themeColor="text1"/>
          <w14:textFill>
            <w14:solidFill>
              <w14:schemeClr w14:val="tx1"/>
            </w14:solidFill>
          </w14:textFill>
        </w:rPr>
        <w:t>，方案包含有人员培训、管理制度、薪酬管理方案、年度费用预算方案等，但陈述基本详细、具体，基本可行；</w:t>
      </w:r>
    </w:p>
    <w:p>
      <w:pPr>
        <w:pStyle w:val="20"/>
        <w:spacing w:line="40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四档：（</w:t>
      </w:r>
      <w:r>
        <w:rPr>
          <w:rFonts w:hint="eastAsia" w:hAnsi="宋体" w:cs="宋体"/>
          <w:color w:val="000000" w:themeColor="text1"/>
          <w:lang w:val="en-US" w:eastAsia="zh-CN"/>
          <w14:textFill>
            <w14:solidFill>
              <w14:schemeClr w14:val="tx1"/>
            </w14:solidFill>
          </w14:textFill>
        </w:rPr>
        <w:t>10</w:t>
      </w:r>
      <w:r>
        <w:rPr>
          <w:rFonts w:hint="eastAsia" w:hAnsi="宋体" w:cs="宋体"/>
          <w:color w:val="000000" w:themeColor="text1"/>
          <w14:textFill>
            <w14:solidFill>
              <w14:schemeClr w14:val="tx1"/>
            </w14:solidFill>
          </w14:textFill>
        </w:rPr>
        <w:t>分）运营实施方案较完整、较全面、较有针对性，可行性</w:t>
      </w:r>
      <w:r>
        <w:rPr>
          <w:rFonts w:hint="eastAsia" w:hAnsi="宋体" w:cs="宋体"/>
          <w:color w:val="000000" w:themeColor="text1"/>
          <w:lang w:val="en-US" w:eastAsia="zh-CN"/>
          <w14:textFill>
            <w14:solidFill>
              <w14:schemeClr w14:val="tx1"/>
            </w14:solidFill>
          </w14:textFill>
        </w:rPr>
        <w:t>较好</w:t>
      </w:r>
      <w:r>
        <w:rPr>
          <w:rFonts w:hint="eastAsia" w:hAnsi="宋体" w:cs="宋体"/>
          <w:color w:val="000000" w:themeColor="text1"/>
          <w14:textFill>
            <w14:solidFill>
              <w14:schemeClr w14:val="tx1"/>
            </w14:solidFill>
          </w14:textFill>
        </w:rPr>
        <w:t>，方案包含有人员培训、管理制度、应急保障方案、薪酬管理方案、年度费用预算方案，保密承诺及廉洁承诺等，陈述基本详细、具体，服务承诺和保障措施考虑</w:t>
      </w:r>
      <w:r>
        <w:rPr>
          <w:rFonts w:hint="eastAsia" w:hAnsi="宋体" w:cs="宋体"/>
          <w:color w:val="000000" w:themeColor="text1"/>
          <w:lang w:val="en-US" w:eastAsia="zh-CN"/>
          <w14:textFill>
            <w14:solidFill>
              <w14:schemeClr w14:val="tx1"/>
            </w14:solidFill>
          </w14:textFill>
        </w:rPr>
        <w:t>基本</w:t>
      </w:r>
      <w:r>
        <w:rPr>
          <w:rFonts w:hint="eastAsia" w:hAnsi="宋体" w:cs="宋体"/>
          <w:color w:val="000000" w:themeColor="text1"/>
          <w14:textFill>
            <w14:solidFill>
              <w14:schemeClr w14:val="tx1"/>
            </w14:solidFill>
          </w14:textFill>
        </w:rPr>
        <w:t>周全；</w:t>
      </w:r>
    </w:p>
    <w:p>
      <w:pPr>
        <w:pStyle w:val="20"/>
        <w:spacing w:line="400" w:lineRule="exact"/>
        <w:ind w:firstLine="420" w:firstLineChars="200"/>
        <w:rPr>
          <w:rFonts w:hint="eastAsia" w:hAnsi="宋体" w:eastAsia="宋体" w:cs="宋体"/>
          <w:color w:val="000000" w:themeColor="text1"/>
          <w:lang w:eastAsia="zh-CN"/>
          <w14:textFill>
            <w14:solidFill>
              <w14:schemeClr w14:val="tx1"/>
            </w14:solidFill>
          </w14:textFill>
        </w:rPr>
      </w:pPr>
      <w:r>
        <w:rPr>
          <w:rFonts w:hint="eastAsia" w:hAnsi="宋体" w:cs="宋体"/>
          <w:color w:val="000000" w:themeColor="text1"/>
          <w14:textFill>
            <w14:solidFill>
              <w14:schemeClr w14:val="tx1"/>
            </w14:solidFill>
          </w14:textFill>
        </w:rPr>
        <w:t>五档（1</w:t>
      </w:r>
      <w:r>
        <w:rPr>
          <w:rFonts w:hint="eastAsia" w:hAnsi="宋体" w:cs="宋体"/>
          <w:color w:val="000000" w:themeColor="text1"/>
          <w:lang w:val="en-US" w:eastAsia="zh-CN"/>
          <w14:textFill>
            <w14:solidFill>
              <w14:schemeClr w14:val="tx1"/>
            </w14:solidFill>
          </w14:textFill>
        </w:rPr>
        <w:t>4</w:t>
      </w:r>
      <w:r>
        <w:rPr>
          <w:rFonts w:hint="eastAsia" w:hAnsi="宋体" w:cs="宋体"/>
          <w:color w:val="000000" w:themeColor="text1"/>
          <w14:textFill>
            <w14:solidFill>
              <w14:schemeClr w14:val="tx1"/>
            </w14:solidFill>
          </w14:textFill>
        </w:rPr>
        <w:t xml:space="preserve"> 分）：运营实施方案完整、全面、有针对性，可行性强，方案包含有人员培训、管理制度、应急保障方案、薪酬管理方案、年度费用预算方案，保密承诺及廉洁承诺等，服务承诺和保障措施考虑周全完整到位。</w:t>
      </w:r>
    </w:p>
    <w:p>
      <w:pPr>
        <w:pStyle w:val="20"/>
        <w:spacing w:line="400" w:lineRule="exact"/>
        <w:ind w:firstLine="210" w:firstLineChars="100"/>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w:t>
      </w:r>
      <w:r>
        <w:rPr>
          <w:rFonts w:hint="eastAsia" w:hAnsi="宋体" w:cs="宋体"/>
          <w:color w:val="000000" w:themeColor="text1"/>
          <w:kern w:val="0"/>
          <w:szCs w:val="21"/>
          <w:lang w:val="en-US" w:eastAsia="zh-CN"/>
          <w14:textFill>
            <w14:solidFill>
              <w14:schemeClr w14:val="tx1"/>
            </w14:solidFill>
          </w14:textFill>
        </w:rPr>
        <w:t>2</w:t>
      </w:r>
      <w:r>
        <w:rPr>
          <w:rFonts w:hint="eastAsia" w:hAnsi="宋体" w:cs="宋体"/>
          <w:color w:val="000000" w:themeColor="text1"/>
          <w:kern w:val="0"/>
          <w:szCs w:val="21"/>
          <w14:textFill>
            <w14:solidFill>
              <w14:schemeClr w14:val="tx1"/>
            </w14:solidFill>
          </w14:textFill>
        </w:rPr>
        <w:t>）应急预案分………………………………………………………………………………（满分</w:t>
      </w:r>
      <w:r>
        <w:rPr>
          <w:rFonts w:hint="eastAsia" w:hAnsi="宋体" w:cs="宋体"/>
          <w:color w:val="000000" w:themeColor="text1"/>
          <w:kern w:val="0"/>
          <w:szCs w:val="21"/>
          <w:lang w:val="en-US" w:eastAsia="zh-CN"/>
          <w14:textFill>
            <w14:solidFill>
              <w14:schemeClr w14:val="tx1"/>
            </w14:solidFill>
          </w14:textFill>
        </w:rPr>
        <w:t>14</w:t>
      </w:r>
      <w:r>
        <w:rPr>
          <w:rFonts w:hint="eastAsia" w:hAnsi="宋体" w:cs="宋体"/>
          <w:color w:val="000000" w:themeColor="text1"/>
          <w:kern w:val="0"/>
          <w:szCs w:val="21"/>
          <w14:textFill>
            <w14:solidFill>
              <w14:schemeClr w14:val="tx1"/>
            </w14:solidFill>
          </w14:textFill>
        </w:rPr>
        <w:t>分）</w:t>
      </w:r>
    </w:p>
    <w:p>
      <w:pPr>
        <w:pStyle w:val="20"/>
        <w:spacing w:line="400" w:lineRule="exact"/>
        <w:ind w:firstLine="420" w:firstLineChars="200"/>
        <w:rPr>
          <w:rFonts w:hint="eastAsia"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一档（1</w:t>
      </w:r>
      <w:r>
        <w:rPr>
          <w:rFonts w:hint="eastAsia" w:hAnsi="宋体" w:cs="宋体"/>
          <w:color w:val="000000" w:themeColor="text1"/>
          <w:kern w:val="0"/>
          <w:szCs w:val="21"/>
          <w:lang w:eastAsia="zh-CN"/>
          <w14:textFill>
            <w14:solidFill>
              <w14:schemeClr w14:val="tx1"/>
            </w14:solidFill>
          </w14:textFill>
        </w:rPr>
        <w:t>分</w:t>
      </w:r>
      <w:r>
        <w:rPr>
          <w:rFonts w:hint="eastAsia" w:hAnsi="宋体" w:cs="宋体"/>
          <w:color w:val="000000" w:themeColor="text1"/>
          <w:kern w:val="0"/>
          <w:szCs w:val="21"/>
          <w14:textFill>
            <w14:solidFill>
              <w14:schemeClr w14:val="tx1"/>
            </w14:solidFill>
          </w14:textFill>
        </w:rPr>
        <w:t>）：所提供的方案内容</w:t>
      </w:r>
      <w:r>
        <w:rPr>
          <w:rFonts w:hint="eastAsia" w:hAnsi="宋体" w:cs="宋体"/>
          <w:color w:val="000000" w:themeColor="text1"/>
          <w:kern w:val="0"/>
          <w:szCs w:val="21"/>
          <w:lang w:eastAsia="zh-CN"/>
          <w14:textFill>
            <w14:solidFill>
              <w14:schemeClr w14:val="tx1"/>
            </w14:solidFill>
          </w14:textFill>
        </w:rPr>
        <w:t>非常简单，不够详细</w:t>
      </w:r>
      <w:r>
        <w:rPr>
          <w:rFonts w:hint="eastAsia" w:hAnsi="宋体" w:cs="宋体"/>
          <w:color w:val="000000" w:themeColor="text1"/>
          <w:kern w:val="0"/>
          <w:szCs w:val="21"/>
          <w14:textFill>
            <w14:solidFill>
              <w14:schemeClr w14:val="tx1"/>
            </w14:solidFill>
          </w14:textFill>
        </w:rPr>
        <w:t>；</w:t>
      </w:r>
    </w:p>
    <w:p>
      <w:pPr>
        <w:pStyle w:val="20"/>
        <w:spacing w:line="400" w:lineRule="exact"/>
        <w:ind w:left="420" w:leftChars="200" w:firstLine="0" w:firstLineChars="0"/>
        <w:rPr>
          <w:rFonts w:hint="eastAsia"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二档（</w:t>
      </w:r>
      <w:r>
        <w:rPr>
          <w:rFonts w:hint="eastAsia" w:hAnsi="宋体" w:cs="宋体"/>
          <w:color w:val="000000" w:themeColor="text1"/>
          <w:kern w:val="0"/>
          <w:szCs w:val="21"/>
          <w:lang w:val="en-US" w:eastAsia="zh-CN"/>
          <w14:textFill>
            <w14:solidFill>
              <w14:schemeClr w14:val="tx1"/>
            </w14:solidFill>
          </w14:textFill>
        </w:rPr>
        <w:t>4</w:t>
      </w:r>
      <w:r>
        <w:rPr>
          <w:rFonts w:hint="eastAsia" w:hAnsi="宋体" w:cs="宋体"/>
          <w:color w:val="000000" w:themeColor="text1"/>
          <w:kern w:val="0"/>
          <w:szCs w:val="21"/>
          <w14:textFill>
            <w14:solidFill>
              <w14:schemeClr w14:val="tx1"/>
            </w14:solidFill>
          </w14:textFill>
        </w:rPr>
        <w:t>分）：机械故障、停电事故、自然灾害突发的应急方案简单不具体，承诺应急服务响应时间30 分钟内人员及设备能按采购人通知要求到达事故现场，并能按采购人指定的时间内完成事故处理的；</w:t>
      </w:r>
    </w:p>
    <w:p>
      <w:pPr>
        <w:pStyle w:val="20"/>
        <w:spacing w:line="400" w:lineRule="exact"/>
        <w:ind w:left="420" w:leftChars="200" w:firstLine="0" w:firstLineChars="0"/>
        <w:rPr>
          <w:rFonts w:hint="eastAsia"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三档（</w:t>
      </w:r>
      <w:r>
        <w:rPr>
          <w:rFonts w:hint="eastAsia" w:hAnsi="宋体" w:cs="宋体"/>
          <w:color w:val="000000" w:themeColor="text1"/>
          <w:kern w:val="0"/>
          <w:szCs w:val="21"/>
          <w:lang w:val="en-US" w:eastAsia="zh-CN"/>
          <w14:textFill>
            <w14:solidFill>
              <w14:schemeClr w14:val="tx1"/>
            </w14:solidFill>
          </w14:textFill>
        </w:rPr>
        <w:t>7</w:t>
      </w:r>
      <w:r>
        <w:rPr>
          <w:rFonts w:hint="eastAsia" w:hAnsi="宋体" w:cs="宋体"/>
          <w:color w:val="000000" w:themeColor="text1"/>
          <w:kern w:val="0"/>
          <w:szCs w:val="21"/>
          <w14:textFill>
            <w14:solidFill>
              <w14:schemeClr w14:val="tx1"/>
            </w14:solidFill>
          </w14:textFill>
        </w:rPr>
        <w:t>分）：机械故障、停电事故、自然灾害突发的应急方案</w:t>
      </w:r>
      <w:r>
        <w:rPr>
          <w:rFonts w:hint="eastAsia" w:hAnsi="宋体" w:cs="宋体"/>
          <w:color w:val="000000" w:themeColor="text1"/>
          <w:kern w:val="0"/>
          <w:szCs w:val="21"/>
          <w:lang w:val="en-US" w:eastAsia="zh-CN"/>
          <w14:textFill>
            <w14:solidFill>
              <w14:schemeClr w14:val="tx1"/>
            </w14:solidFill>
          </w14:textFill>
        </w:rPr>
        <w:t>基本详细</w:t>
      </w:r>
      <w:r>
        <w:rPr>
          <w:rFonts w:hint="eastAsia" w:hAnsi="宋体" w:cs="宋体"/>
          <w:color w:val="000000" w:themeColor="text1"/>
          <w:kern w:val="0"/>
          <w:szCs w:val="21"/>
          <w14:textFill>
            <w14:solidFill>
              <w14:schemeClr w14:val="tx1"/>
            </w14:solidFill>
          </w14:textFill>
        </w:rPr>
        <w:t>，承诺应急服务响应时间25 分钟内人员及设备能按通知要求到达事故现场，并能按采购人指定的时间内完成事故处理的；</w:t>
      </w:r>
    </w:p>
    <w:p>
      <w:pPr>
        <w:pStyle w:val="20"/>
        <w:spacing w:line="400" w:lineRule="exact"/>
        <w:ind w:left="420" w:leftChars="200" w:firstLine="0" w:firstLineChars="0"/>
        <w:rPr>
          <w:rFonts w:hint="eastAsia"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四档（</w:t>
      </w:r>
      <w:r>
        <w:rPr>
          <w:rFonts w:hint="eastAsia" w:hAnsi="宋体" w:cs="宋体"/>
          <w:color w:val="000000" w:themeColor="text1"/>
          <w:kern w:val="0"/>
          <w:szCs w:val="21"/>
          <w:lang w:val="en-US" w:eastAsia="zh-CN"/>
          <w14:textFill>
            <w14:solidFill>
              <w14:schemeClr w14:val="tx1"/>
            </w14:solidFill>
          </w14:textFill>
        </w:rPr>
        <w:t>10</w:t>
      </w:r>
      <w:r>
        <w:rPr>
          <w:rFonts w:hint="eastAsia" w:hAnsi="宋体" w:cs="宋体"/>
          <w:color w:val="000000" w:themeColor="text1"/>
          <w:kern w:val="0"/>
          <w:szCs w:val="21"/>
          <w14:textFill>
            <w14:solidFill>
              <w14:schemeClr w14:val="tx1"/>
            </w14:solidFill>
          </w14:textFill>
        </w:rPr>
        <w:t xml:space="preserve"> 分）：机械故障、停电事故、自然灾害突发的应急方案详细、具体、可行，预案处置场地合理、预案处置能力强，承诺应急服务响应时间 20 分钟内人员及设备能按通知要求到达事故现场，并能按采购人指定的时间内完成事故处理的；</w:t>
      </w:r>
    </w:p>
    <w:p>
      <w:pPr>
        <w:pStyle w:val="20"/>
        <w:spacing w:line="400" w:lineRule="exact"/>
        <w:ind w:left="420" w:leftChars="200" w:firstLine="0" w:firstLineChars="0"/>
        <w:rPr>
          <w:rFonts w:hint="eastAsia"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五档（</w:t>
      </w:r>
      <w:r>
        <w:rPr>
          <w:rFonts w:hint="eastAsia" w:hAnsi="宋体" w:cs="宋体"/>
          <w:color w:val="000000" w:themeColor="text1"/>
          <w:kern w:val="0"/>
          <w:szCs w:val="21"/>
          <w:lang w:val="en-US" w:eastAsia="zh-CN"/>
          <w14:textFill>
            <w14:solidFill>
              <w14:schemeClr w14:val="tx1"/>
            </w14:solidFill>
          </w14:textFill>
        </w:rPr>
        <w:t>14</w:t>
      </w:r>
      <w:r>
        <w:rPr>
          <w:rFonts w:hint="eastAsia" w:hAnsi="宋体" w:cs="宋体"/>
          <w:color w:val="000000" w:themeColor="text1"/>
          <w:kern w:val="0"/>
          <w:szCs w:val="21"/>
          <w14:textFill>
            <w14:solidFill>
              <w14:schemeClr w14:val="tx1"/>
            </w14:solidFill>
          </w14:textFill>
        </w:rPr>
        <w:t>分）：机械故障、停电事故、自然灾害突发的应急方案详细、具体、可行、针对性强，预案处置场地合理、预案处置能力强，承诺应急服务响应时间 10 分钟内人员及设备能按通知要求到达事故现场，并能按采购人指定的时间内完成事故处理的。</w:t>
      </w:r>
    </w:p>
    <w:p>
      <w:pPr>
        <w:pStyle w:val="20"/>
        <w:spacing w:line="400" w:lineRule="exact"/>
        <w:ind w:firstLine="210" w:firstLineChars="100"/>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w:t>
      </w:r>
      <w:r>
        <w:rPr>
          <w:rFonts w:hint="eastAsia" w:hAnsi="宋体" w:cs="宋体"/>
          <w:color w:val="000000" w:themeColor="text1"/>
          <w:kern w:val="0"/>
          <w:szCs w:val="21"/>
          <w:lang w:val="en-US" w:eastAsia="zh-CN"/>
          <w14:textFill>
            <w14:solidFill>
              <w14:schemeClr w14:val="tx1"/>
            </w14:solidFill>
          </w14:textFill>
        </w:rPr>
        <w:t>3</w:t>
      </w:r>
      <w:r>
        <w:rPr>
          <w:rFonts w:hint="eastAsia" w:hAnsi="宋体" w:cs="宋体"/>
          <w:color w:val="000000" w:themeColor="text1"/>
          <w:kern w:val="0"/>
          <w:szCs w:val="21"/>
          <w14:textFill>
            <w14:solidFill>
              <w14:schemeClr w14:val="tx1"/>
            </w14:solidFill>
          </w14:textFill>
        </w:rPr>
        <w:t>）达到服务质量标准的保证措施分</w:t>
      </w:r>
      <w:r>
        <w:rPr>
          <w:rFonts w:hint="eastAsia" w:hAnsi="宋体" w:cs="宋体"/>
          <w:color w:val="000000" w:themeColor="text1"/>
          <w14:textFill>
            <w14:solidFill>
              <w14:schemeClr w14:val="tx1"/>
            </w14:solidFill>
          </w14:textFill>
        </w:rPr>
        <w:t>…………………………………………………</w:t>
      </w:r>
      <w:r>
        <w:rPr>
          <w:rFonts w:hint="eastAsia" w:hAnsi="宋体" w:cs="宋体"/>
          <w:color w:val="000000" w:themeColor="text1"/>
          <w:kern w:val="0"/>
          <w:szCs w:val="21"/>
          <w14:textFill>
            <w14:solidFill>
              <w14:schemeClr w14:val="tx1"/>
            </w14:solidFill>
          </w14:textFill>
        </w:rPr>
        <w:t>（满分</w:t>
      </w:r>
      <w:r>
        <w:rPr>
          <w:rFonts w:hint="eastAsia" w:hAnsi="宋体" w:cs="宋体"/>
          <w:color w:val="000000" w:themeColor="text1"/>
          <w:kern w:val="0"/>
          <w:szCs w:val="21"/>
          <w:lang w:val="en-US" w:eastAsia="zh-CN"/>
          <w14:textFill>
            <w14:solidFill>
              <w14:schemeClr w14:val="tx1"/>
            </w14:solidFill>
          </w14:textFill>
        </w:rPr>
        <w:t>14</w:t>
      </w:r>
      <w:r>
        <w:rPr>
          <w:rFonts w:hint="eastAsia" w:hAnsi="宋体" w:cs="宋体"/>
          <w:color w:val="000000" w:themeColor="text1"/>
          <w:kern w:val="0"/>
          <w:szCs w:val="21"/>
          <w14:textFill>
            <w14:solidFill>
              <w14:schemeClr w14:val="tx1"/>
            </w14:solidFill>
          </w14:textFill>
        </w:rPr>
        <w:t>分）</w:t>
      </w:r>
    </w:p>
    <w:p>
      <w:pPr>
        <w:pStyle w:val="20"/>
        <w:spacing w:line="400" w:lineRule="exact"/>
        <w:ind w:firstLine="420" w:firstLineChars="200"/>
        <w:rPr>
          <w:rFonts w:hint="eastAsia"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一档（</w:t>
      </w:r>
      <w:r>
        <w:rPr>
          <w:rFonts w:hint="eastAsia" w:hAnsi="宋体" w:cs="宋体"/>
          <w:color w:val="000000" w:themeColor="text1"/>
          <w:kern w:val="0"/>
          <w:szCs w:val="21"/>
          <w:lang w:val="en-US" w:eastAsia="zh-CN"/>
          <w14:textFill>
            <w14:solidFill>
              <w14:schemeClr w14:val="tx1"/>
            </w14:solidFill>
          </w14:textFill>
        </w:rPr>
        <w:t>1</w:t>
      </w:r>
      <w:r>
        <w:rPr>
          <w:rFonts w:hint="eastAsia" w:hAnsi="宋体" w:cs="宋体"/>
          <w:color w:val="000000" w:themeColor="text1"/>
          <w:kern w:val="0"/>
          <w:szCs w:val="21"/>
          <w14:textFill>
            <w14:solidFill>
              <w14:schemeClr w14:val="tx1"/>
            </w14:solidFill>
          </w14:textFill>
        </w:rPr>
        <w:t xml:space="preserve"> 分）：质量保障措施描述简单，有质量总目标</w:t>
      </w:r>
      <w:r>
        <w:rPr>
          <w:rFonts w:hint="eastAsia" w:hAnsi="宋体" w:cs="宋体"/>
          <w:color w:val="000000" w:themeColor="text1"/>
          <w:kern w:val="0"/>
          <w:szCs w:val="21"/>
          <w:lang w:eastAsia="zh-CN"/>
          <w14:textFill>
            <w14:solidFill>
              <w14:schemeClr w14:val="tx1"/>
            </w14:solidFill>
          </w14:textFill>
        </w:rPr>
        <w:t>、</w:t>
      </w:r>
      <w:r>
        <w:rPr>
          <w:rFonts w:hint="eastAsia" w:hAnsi="宋体" w:cs="宋体"/>
          <w:color w:val="000000" w:themeColor="text1"/>
          <w:kern w:val="0"/>
          <w:szCs w:val="21"/>
          <w14:textFill>
            <w14:solidFill>
              <w14:schemeClr w14:val="tx1"/>
            </w14:solidFill>
          </w14:textFill>
        </w:rPr>
        <w:t>质量控制的基本程序不明确；</w:t>
      </w:r>
    </w:p>
    <w:p>
      <w:pPr>
        <w:pStyle w:val="20"/>
        <w:spacing w:line="400" w:lineRule="exact"/>
        <w:ind w:firstLine="420" w:firstLineChars="200"/>
        <w:rPr>
          <w:rFonts w:hint="eastAsia"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二档（</w:t>
      </w:r>
      <w:r>
        <w:rPr>
          <w:rFonts w:hint="eastAsia" w:hAnsi="宋体" w:cs="宋体"/>
          <w:color w:val="000000" w:themeColor="text1"/>
          <w:kern w:val="0"/>
          <w:szCs w:val="21"/>
          <w:lang w:val="en-US" w:eastAsia="zh-CN"/>
          <w14:textFill>
            <w14:solidFill>
              <w14:schemeClr w14:val="tx1"/>
            </w14:solidFill>
          </w14:textFill>
        </w:rPr>
        <w:t>4</w:t>
      </w:r>
      <w:r>
        <w:rPr>
          <w:rFonts w:hint="eastAsia" w:hAnsi="宋体" w:cs="宋体"/>
          <w:color w:val="000000" w:themeColor="text1"/>
          <w:kern w:val="0"/>
          <w:szCs w:val="21"/>
          <w14:textFill>
            <w14:solidFill>
              <w14:schemeClr w14:val="tx1"/>
            </w14:solidFill>
          </w14:textFill>
        </w:rPr>
        <w:t>分）：质量保障措施描述简单，有质量总目标</w:t>
      </w:r>
      <w:r>
        <w:rPr>
          <w:rFonts w:hint="eastAsia" w:hAnsi="宋体" w:cs="宋体"/>
          <w:color w:val="000000" w:themeColor="text1"/>
          <w:kern w:val="0"/>
          <w:szCs w:val="21"/>
          <w:lang w:eastAsia="zh-CN"/>
          <w14:textFill>
            <w14:solidFill>
              <w14:schemeClr w14:val="tx1"/>
            </w14:solidFill>
          </w14:textFill>
        </w:rPr>
        <w:t>、</w:t>
      </w:r>
      <w:r>
        <w:rPr>
          <w:rFonts w:hint="eastAsia" w:hAnsi="宋体" w:cs="宋体"/>
          <w:color w:val="000000" w:themeColor="text1"/>
          <w:kern w:val="0"/>
          <w:szCs w:val="21"/>
          <w14:textFill>
            <w14:solidFill>
              <w14:schemeClr w14:val="tx1"/>
            </w14:solidFill>
          </w14:textFill>
        </w:rPr>
        <w:t>质量控制的基本程序</w:t>
      </w:r>
      <w:r>
        <w:rPr>
          <w:rFonts w:hint="eastAsia" w:hAnsi="宋体" w:cs="宋体"/>
          <w:color w:val="000000" w:themeColor="text1"/>
          <w:kern w:val="0"/>
          <w:szCs w:val="21"/>
          <w:lang w:val="en-US" w:eastAsia="zh-CN"/>
          <w14:textFill>
            <w14:solidFill>
              <w14:schemeClr w14:val="tx1"/>
            </w14:solidFill>
          </w14:textFill>
        </w:rPr>
        <w:t>基本明确</w:t>
      </w:r>
      <w:r>
        <w:rPr>
          <w:rFonts w:hint="eastAsia" w:hAnsi="宋体" w:cs="宋体"/>
          <w:color w:val="000000" w:themeColor="text1"/>
          <w:kern w:val="0"/>
          <w:szCs w:val="21"/>
          <w14:textFill>
            <w14:solidFill>
              <w14:schemeClr w14:val="tx1"/>
            </w14:solidFill>
          </w14:textFill>
        </w:rPr>
        <w:t>；</w:t>
      </w:r>
    </w:p>
    <w:p>
      <w:pPr>
        <w:pStyle w:val="20"/>
        <w:spacing w:line="400" w:lineRule="exact"/>
        <w:ind w:firstLine="420" w:firstLineChars="200"/>
        <w:rPr>
          <w:rFonts w:hint="eastAsia"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三档（</w:t>
      </w:r>
      <w:r>
        <w:rPr>
          <w:rFonts w:hint="eastAsia" w:hAnsi="宋体" w:cs="宋体"/>
          <w:color w:val="000000" w:themeColor="text1"/>
          <w:kern w:val="0"/>
          <w:szCs w:val="21"/>
          <w:lang w:val="en-US" w:eastAsia="zh-CN"/>
          <w14:textFill>
            <w14:solidFill>
              <w14:schemeClr w14:val="tx1"/>
            </w14:solidFill>
          </w14:textFill>
        </w:rPr>
        <w:t>7</w:t>
      </w:r>
      <w:r>
        <w:rPr>
          <w:rFonts w:hint="eastAsia" w:hAnsi="宋体" w:cs="宋体"/>
          <w:color w:val="000000" w:themeColor="text1"/>
          <w:kern w:val="0"/>
          <w:szCs w:val="21"/>
          <w14:textFill>
            <w14:solidFill>
              <w14:schemeClr w14:val="tx1"/>
            </w14:solidFill>
          </w14:textFill>
        </w:rPr>
        <w:t xml:space="preserve"> 分）：质量保障措施描述较完整，有质量总目标且进行了目标分解，质量控制的基本程序（包</w:t>
      </w:r>
    </w:p>
    <w:p>
      <w:pPr>
        <w:pStyle w:val="20"/>
        <w:spacing w:line="400" w:lineRule="exact"/>
        <w:ind w:firstLine="420" w:firstLineChars="200"/>
        <w:rPr>
          <w:rFonts w:hint="eastAsia"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括质量事故的处理程序）及预防控制措施较为完整；</w:t>
      </w:r>
    </w:p>
    <w:p>
      <w:pPr>
        <w:pStyle w:val="20"/>
        <w:spacing w:line="400" w:lineRule="exact"/>
        <w:ind w:firstLine="420" w:firstLineChars="200"/>
        <w:rPr>
          <w:rFonts w:hint="eastAsia"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四档（</w:t>
      </w:r>
      <w:r>
        <w:rPr>
          <w:rFonts w:hint="eastAsia" w:hAnsi="宋体" w:cs="宋体"/>
          <w:color w:val="000000" w:themeColor="text1"/>
          <w:kern w:val="0"/>
          <w:szCs w:val="21"/>
          <w:lang w:val="en-US" w:eastAsia="zh-CN"/>
          <w14:textFill>
            <w14:solidFill>
              <w14:schemeClr w14:val="tx1"/>
            </w14:solidFill>
          </w14:textFill>
        </w:rPr>
        <w:t>10</w:t>
      </w:r>
      <w:r>
        <w:rPr>
          <w:rFonts w:hint="eastAsia" w:hAnsi="宋体" w:cs="宋体"/>
          <w:color w:val="000000" w:themeColor="text1"/>
          <w:kern w:val="0"/>
          <w:szCs w:val="21"/>
          <w14:textFill>
            <w14:solidFill>
              <w14:schemeClr w14:val="tx1"/>
            </w14:solidFill>
          </w14:textFill>
        </w:rPr>
        <w:t xml:space="preserve"> 分）：质量保障措施描述完整、有针对性、有合理性，有质量总目标且进行了目标分解，质</w:t>
      </w:r>
    </w:p>
    <w:p>
      <w:pPr>
        <w:pStyle w:val="20"/>
        <w:spacing w:line="400" w:lineRule="exact"/>
        <w:ind w:firstLine="420" w:firstLineChars="200"/>
        <w:rPr>
          <w:rFonts w:hint="eastAsia"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量控制的详细程序（包括质量事故的处理程序）及预防控制措</w:t>
      </w:r>
      <w:r>
        <w:rPr>
          <w:rFonts w:hint="eastAsia" w:hAnsi="宋体" w:cs="宋体"/>
          <w:color w:val="000000" w:themeColor="text1"/>
          <w:kern w:val="0"/>
          <w:szCs w:val="21"/>
          <w:lang w:val="en-US" w:eastAsia="zh-CN"/>
          <w14:textFill>
            <w14:solidFill>
              <w14:schemeClr w14:val="tx1"/>
            </w14:solidFill>
          </w14:textFill>
        </w:rPr>
        <w:t>详细</w:t>
      </w:r>
      <w:r>
        <w:rPr>
          <w:rFonts w:hint="eastAsia" w:hAnsi="宋体" w:cs="宋体"/>
          <w:color w:val="000000" w:themeColor="text1"/>
          <w:kern w:val="0"/>
          <w:szCs w:val="21"/>
          <w14:textFill>
            <w14:solidFill>
              <w14:schemeClr w14:val="tx1"/>
            </w14:solidFill>
          </w14:textFill>
        </w:rPr>
        <w:t>；</w:t>
      </w:r>
    </w:p>
    <w:p>
      <w:pPr>
        <w:pStyle w:val="20"/>
        <w:spacing w:line="400" w:lineRule="exact"/>
        <w:ind w:firstLine="420" w:firstLineChars="200"/>
        <w:rPr>
          <w:rFonts w:hint="eastAsia"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五档（</w:t>
      </w:r>
      <w:r>
        <w:rPr>
          <w:rFonts w:hint="eastAsia" w:hAnsi="宋体" w:cs="宋体"/>
          <w:color w:val="000000" w:themeColor="text1"/>
          <w:kern w:val="0"/>
          <w:szCs w:val="21"/>
          <w:lang w:val="en-US" w:eastAsia="zh-CN"/>
          <w14:textFill>
            <w14:solidFill>
              <w14:schemeClr w14:val="tx1"/>
            </w14:solidFill>
          </w14:textFill>
        </w:rPr>
        <w:t>14</w:t>
      </w:r>
      <w:r>
        <w:rPr>
          <w:rFonts w:hint="eastAsia" w:hAnsi="宋体" w:cs="宋体"/>
          <w:color w:val="000000" w:themeColor="text1"/>
          <w:kern w:val="0"/>
          <w:szCs w:val="21"/>
          <w14:textFill>
            <w14:solidFill>
              <w14:schemeClr w14:val="tx1"/>
            </w14:solidFill>
          </w14:textFill>
        </w:rPr>
        <w:t>分）：质量保障措施描述完整，有较强的针对性和合理性，有质量总目标且进行了目标分</w:t>
      </w:r>
    </w:p>
    <w:p>
      <w:pPr>
        <w:pStyle w:val="20"/>
        <w:spacing w:line="400" w:lineRule="exact"/>
        <w:ind w:firstLine="420" w:firstLineChars="200"/>
        <w:rPr>
          <w:rFonts w:hint="eastAsia" w:hAnsi="宋体" w:eastAsia="宋体" w:cs="宋体"/>
          <w:color w:val="000000" w:themeColor="text1"/>
          <w:kern w:val="0"/>
          <w:szCs w:val="21"/>
          <w:lang w:eastAsia="zh-CN"/>
          <w14:textFill>
            <w14:solidFill>
              <w14:schemeClr w14:val="tx1"/>
            </w14:solidFill>
          </w14:textFill>
        </w:rPr>
      </w:pPr>
      <w:r>
        <w:rPr>
          <w:rFonts w:hint="eastAsia" w:hAnsi="宋体" w:cs="宋体"/>
          <w:color w:val="000000" w:themeColor="text1"/>
          <w:kern w:val="0"/>
          <w:szCs w:val="21"/>
          <w14:textFill>
            <w14:solidFill>
              <w14:schemeClr w14:val="tx1"/>
            </w14:solidFill>
          </w14:textFill>
        </w:rPr>
        <w:t>解，质量控制的详细程序（包括质量事故的处理程序）及预防控制措施</w:t>
      </w:r>
      <w:r>
        <w:rPr>
          <w:rFonts w:hint="eastAsia" w:hAnsi="宋体" w:cs="宋体"/>
          <w:color w:val="000000" w:themeColor="text1"/>
          <w:kern w:val="0"/>
          <w:szCs w:val="21"/>
          <w:lang w:val="en-US" w:eastAsia="zh-CN"/>
          <w14:textFill>
            <w14:solidFill>
              <w14:schemeClr w14:val="tx1"/>
            </w14:solidFill>
          </w14:textFill>
        </w:rPr>
        <w:t>完整详细，有较强可行性</w:t>
      </w:r>
      <w:r>
        <w:rPr>
          <w:rFonts w:hint="eastAsia" w:hAnsi="宋体" w:cs="宋体"/>
          <w:color w:val="000000" w:themeColor="text1"/>
          <w:kern w:val="0"/>
          <w:szCs w:val="21"/>
          <w:lang w:eastAsia="zh-CN"/>
          <w14:textFill>
            <w14:solidFill>
              <w14:schemeClr w14:val="tx1"/>
            </w14:solidFill>
          </w14:textFill>
        </w:rPr>
        <w:t>。</w:t>
      </w:r>
    </w:p>
    <w:p>
      <w:pPr>
        <w:pStyle w:val="20"/>
        <w:spacing w:line="400" w:lineRule="exact"/>
        <w:ind w:firstLine="211" w:firstLineChars="100"/>
        <w:rPr>
          <w:rFonts w:hAnsi="宋体" w:cs="宋体"/>
          <w:color w:val="000000" w:themeColor="text1"/>
          <w:kern w:val="0"/>
          <w:szCs w:val="21"/>
          <w14:textFill>
            <w14:solidFill>
              <w14:schemeClr w14:val="tx1"/>
            </w14:solidFill>
          </w14:textFill>
        </w:rPr>
      </w:pPr>
      <w:r>
        <w:rPr>
          <w:rFonts w:hint="eastAsia" w:hAnsi="宋体" w:cs="宋体"/>
          <w:b/>
          <w:bCs/>
          <w:color w:val="000000" w:themeColor="text1"/>
          <w14:textFill>
            <w14:solidFill>
              <w14:schemeClr w14:val="tx1"/>
            </w14:solidFill>
          </w14:textFill>
        </w:rPr>
        <w:t>3、服务承诺分……………………………………………………………</w:t>
      </w:r>
      <w:r>
        <w:rPr>
          <w:rFonts w:hint="eastAsia" w:hAnsi="宋体" w:cs="宋体"/>
          <w:b/>
          <w:color w:val="000000" w:themeColor="text1"/>
          <w14:textFill>
            <w14:solidFill>
              <w14:schemeClr w14:val="tx1"/>
            </w14:solidFill>
          </w14:textFill>
        </w:rPr>
        <w:t>………………</w:t>
      </w:r>
      <w:r>
        <w:rPr>
          <w:rFonts w:hint="eastAsia" w:hAnsi="宋体" w:cs="宋体"/>
          <w:b/>
          <w:bCs/>
          <w:color w:val="000000" w:themeColor="text1"/>
          <w:kern w:val="0"/>
          <w:szCs w:val="21"/>
          <w14:textFill>
            <w14:solidFill>
              <w14:schemeClr w14:val="tx1"/>
            </w14:solidFill>
          </w14:textFill>
        </w:rPr>
        <w:t>（满分</w:t>
      </w:r>
      <w:r>
        <w:rPr>
          <w:rFonts w:hint="eastAsia" w:hAnsi="宋体" w:cs="宋体"/>
          <w:b/>
          <w:bCs/>
          <w:color w:val="000000" w:themeColor="text1"/>
          <w:kern w:val="0"/>
          <w:szCs w:val="21"/>
          <w:lang w:val="en-US" w:eastAsia="zh-CN"/>
          <w14:textFill>
            <w14:solidFill>
              <w14:schemeClr w14:val="tx1"/>
            </w14:solidFill>
          </w14:textFill>
        </w:rPr>
        <w:t>10</w:t>
      </w:r>
      <w:r>
        <w:rPr>
          <w:rFonts w:hint="eastAsia" w:hAnsi="宋体" w:cs="宋体"/>
          <w:b/>
          <w:bCs/>
          <w:color w:val="000000" w:themeColor="text1"/>
          <w:kern w:val="0"/>
          <w:szCs w:val="21"/>
          <w14:textFill>
            <w14:solidFill>
              <w14:schemeClr w14:val="tx1"/>
            </w14:solidFill>
          </w14:textFill>
        </w:rPr>
        <w:t>分）</w:t>
      </w:r>
    </w:p>
    <w:p>
      <w:pPr>
        <w:pStyle w:val="20"/>
        <w:spacing w:line="400" w:lineRule="exact"/>
        <w:ind w:firstLine="420" w:firstLineChars="200"/>
        <w:rPr>
          <w:rFonts w:hAnsi="宋体" w:cs="宋体"/>
          <w:b/>
          <w:bCs/>
          <w:color w:val="000000" w:themeColor="text1"/>
          <w:kern w:val="0"/>
          <w:szCs w:val="21"/>
          <w14:textFill>
            <w14:solidFill>
              <w14:schemeClr w14:val="tx1"/>
            </w14:solidFill>
          </w14:textFill>
        </w:rPr>
      </w:pPr>
      <w:r>
        <w:rPr>
          <w:rFonts w:hAnsi="宋体" w:cs="宋体"/>
          <w:color w:val="000000" w:themeColor="text1"/>
          <w:szCs w:val="21"/>
          <w14:textFill>
            <w14:solidFill>
              <w14:schemeClr w14:val="tx1"/>
            </w14:solidFill>
          </w14:textFill>
        </w:rPr>
        <w:t>由评委在打分前根据各投标人提供服务承诺书，对比各投标人投标文件中服务承诺方案的优劣程度进行集体讨论确定投标人各所属档次并形成书面材料（等级评定表），并按确定后的各投标人所属档次以及等级评定说明内容，在相应档次内独立打分。</w:t>
      </w:r>
    </w:p>
    <w:p>
      <w:pPr>
        <w:pStyle w:val="20"/>
        <w:spacing w:line="400" w:lineRule="exact"/>
        <w:ind w:firstLine="420" w:firstLineChars="200"/>
        <w:rPr>
          <w:rFonts w:hint="eastAsia"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一档（1 分）：服务承诺方案非常简单，不完全满足采购需求全部要求；</w:t>
      </w:r>
    </w:p>
    <w:p>
      <w:pPr>
        <w:pStyle w:val="20"/>
        <w:spacing w:line="400" w:lineRule="exact"/>
        <w:ind w:firstLine="420" w:firstLineChars="200"/>
        <w:rPr>
          <w:rFonts w:hint="eastAsia"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二档（</w:t>
      </w:r>
      <w:r>
        <w:rPr>
          <w:rFonts w:hint="eastAsia" w:hAnsi="宋体" w:cs="宋体"/>
          <w:color w:val="000000" w:themeColor="text1"/>
          <w:kern w:val="0"/>
          <w:szCs w:val="21"/>
          <w:lang w:val="en-US" w:eastAsia="zh-CN"/>
          <w14:textFill>
            <w14:solidFill>
              <w14:schemeClr w14:val="tx1"/>
            </w14:solidFill>
          </w14:textFill>
        </w:rPr>
        <w:t>3</w:t>
      </w:r>
      <w:r>
        <w:rPr>
          <w:rFonts w:hint="eastAsia" w:hAnsi="宋体" w:cs="宋体"/>
          <w:color w:val="000000" w:themeColor="text1"/>
          <w:kern w:val="0"/>
          <w:szCs w:val="21"/>
          <w14:textFill>
            <w14:solidFill>
              <w14:schemeClr w14:val="tx1"/>
            </w14:solidFill>
          </w14:textFill>
        </w:rPr>
        <w:t>分）：服务承诺方案内容</w:t>
      </w:r>
      <w:r>
        <w:rPr>
          <w:rFonts w:hint="eastAsia" w:hAnsi="宋体" w:cs="宋体"/>
          <w:color w:val="000000" w:themeColor="text1"/>
          <w:kern w:val="0"/>
          <w:szCs w:val="21"/>
          <w:lang w:val="en-US" w:eastAsia="zh-CN"/>
          <w14:textFill>
            <w14:solidFill>
              <w14:schemeClr w14:val="tx1"/>
            </w14:solidFill>
          </w14:textFill>
        </w:rPr>
        <w:t>简单</w:t>
      </w:r>
      <w:r>
        <w:rPr>
          <w:rFonts w:hint="eastAsia" w:hAnsi="宋体" w:cs="宋体"/>
          <w:color w:val="000000" w:themeColor="text1"/>
          <w:kern w:val="0"/>
          <w:szCs w:val="21"/>
          <w14:textFill>
            <w14:solidFill>
              <w14:schemeClr w14:val="tx1"/>
            </w14:solidFill>
          </w14:textFill>
        </w:rPr>
        <w:t>，基本满足采购需求要求；</w:t>
      </w:r>
    </w:p>
    <w:p>
      <w:pPr>
        <w:pStyle w:val="20"/>
        <w:spacing w:line="400" w:lineRule="exact"/>
        <w:ind w:firstLine="420" w:firstLineChars="200"/>
        <w:rPr>
          <w:rFonts w:hint="eastAsia"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三档（5 分）：服务承诺方案内容</w:t>
      </w:r>
      <w:r>
        <w:rPr>
          <w:rFonts w:hint="eastAsia" w:hAnsi="宋体" w:cs="宋体"/>
          <w:color w:val="000000" w:themeColor="text1"/>
          <w:kern w:val="0"/>
          <w:szCs w:val="21"/>
          <w:lang w:val="en-US" w:eastAsia="zh-CN"/>
          <w14:textFill>
            <w14:solidFill>
              <w14:schemeClr w14:val="tx1"/>
            </w14:solidFill>
          </w14:textFill>
        </w:rPr>
        <w:t>一般，能</w:t>
      </w:r>
      <w:r>
        <w:rPr>
          <w:rFonts w:hint="eastAsia" w:hAnsi="宋体" w:cs="宋体"/>
          <w:color w:val="000000" w:themeColor="text1"/>
          <w:kern w:val="0"/>
          <w:szCs w:val="21"/>
          <w14:textFill>
            <w14:solidFill>
              <w14:schemeClr w14:val="tx1"/>
            </w14:solidFill>
          </w14:textFill>
        </w:rPr>
        <w:t>满足采购需求要求；</w:t>
      </w:r>
    </w:p>
    <w:p>
      <w:pPr>
        <w:pStyle w:val="20"/>
        <w:spacing w:line="400" w:lineRule="exact"/>
        <w:ind w:firstLine="420" w:firstLineChars="200"/>
        <w:rPr>
          <w:rFonts w:hint="eastAsia"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四档（7 分）：服务承诺方案良好，方案对本项目处理量、时间，出水水质达标排放，处理设施设备</w:t>
      </w:r>
    </w:p>
    <w:p>
      <w:pPr>
        <w:pStyle w:val="20"/>
        <w:spacing w:line="400" w:lineRule="exact"/>
        <w:ind w:firstLine="420" w:firstLineChars="200"/>
        <w:rPr>
          <w:rFonts w:hint="eastAsia"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维护管理、服务完成时间、验收、协调关系等内容</w:t>
      </w:r>
      <w:r>
        <w:rPr>
          <w:rFonts w:hint="eastAsia" w:hAnsi="宋体" w:cs="宋体"/>
          <w:color w:val="000000" w:themeColor="text1"/>
          <w:kern w:val="0"/>
          <w:szCs w:val="21"/>
          <w:lang w:val="en-US" w:eastAsia="zh-CN"/>
          <w14:textFill>
            <w14:solidFill>
              <w14:schemeClr w14:val="tx1"/>
            </w14:solidFill>
          </w14:textFill>
        </w:rPr>
        <w:t>较</w:t>
      </w:r>
      <w:r>
        <w:rPr>
          <w:rFonts w:hint="eastAsia" w:hAnsi="宋体" w:cs="宋体"/>
          <w:color w:val="000000" w:themeColor="text1"/>
          <w:kern w:val="0"/>
          <w:szCs w:val="21"/>
          <w14:textFill>
            <w14:solidFill>
              <w14:schemeClr w14:val="tx1"/>
            </w14:solidFill>
          </w14:textFill>
        </w:rPr>
        <w:t>完整，陈述详细；</w:t>
      </w:r>
      <w:r>
        <w:rPr>
          <w:rFonts w:hint="eastAsia" w:hAnsi="宋体" w:cs="宋体"/>
          <w:color w:val="000000" w:themeColor="text1"/>
          <w:kern w:val="0"/>
          <w:szCs w:val="21"/>
          <w:lang w:val="en-US" w:eastAsia="zh-CN"/>
          <w14:textFill>
            <w14:solidFill>
              <w14:schemeClr w14:val="tx1"/>
            </w14:solidFill>
          </w14:textFill>
        </w:rPr>
        <w:t>较好</w:t>
      </w:r>
      <w:r>
        <w:rPr>
          <w:rFonts w:hint="eastAsia" w:hAnsi="宋体" w:cs="宋体"/>
          <w:color w:val="000000" w:themeColor="text1"/>
          <w:kern w:val="0"/>
          <w:szCs w:val="21"/>
          <w14:textFill>
            <w14:solidFill>
              <w14:schemeClr w14:val="tx1"/>
            </w14:solidFill>
          </w14:textFill>
        </w:rPr>
        <w:t>满足采购需求的要求；</w:t>
      </w:r>
    </w:p>
    <w:p>
      <w:pPr>
        <w:pStyle w:val="20"/>
        <w:spacing w:line="400" w:lineRule="exact"/>
        <w:ind w:firstLine="420" w:firstLineChars="200"/>
        <w:rPr>
          <w:rFonts w:hint="eastAsia"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五档（</w:t>
      </w:r>
      <w:r>
        <w:rPr>
          <w:rFonts w:hint="eastAsia" w:hAnsi="宋体" w:cs="宋体"/>
          <w:color w:val="000000" w:themeColor="text1"/>
          <w:kern w:val="0"/>
          <w:szCs w:val="21"/>
          <w:lang w:val="en-US" w:eastAsia="zh-CN"/>
          <w14:textFill>
            <w14:solidFill>
              <w14:schemeClr w14:val="tx1"/>
            </w14:solidFill>
          </w14:textFill>
        </w:rPr>
        <w:t>10</w:t>
      </w:r>
      <w:r>
        <w:rPr>
          <w:rFonts w:hint="eastAsia" w:hAnsi="宋体" w:cs="宋体"/>
          <w:color w:val="000000" w:themeColor="text1"/>
          <w:kern w:val="0"/>
          <w:szCs w:val="21"/>
          <w14:textFill>
            <w14:solidFill>
              <w14:schemeClr w14:val="tx1"/>
            </w14:solidFill>
          </w14:textFill>
        </w:rPr>
        <w:t xml:space="preserve"> 分）：服务承诺方案优秀，方案对本项目处理量、时间，出水水质达标排放，处理设施设备</w:t>
      </w:r>
    </w:p>
    <w:p>
      <w:pPr>
        <w:pStyle w:val="20"/>
        <w:spacing w:line="400" w:lineRule="exact"/>
        <w:ind w:firstLine="420" w:firstLineChars="200"/>
        <w:rPr>
          <w:rFonts w:hint="eastAsia"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维护管理、服务完成时间、验收、协调关系等内容完整，陈述详尽；完全满足采购需求的要求。</w:t>
      </w:r>
    </w:p>
    <w:p>
      <w:pPr>
        <w:pStyle w:val="20"/>
        <w:spacing w:line="400" w:lineRule="exact"/>
        <w:ind w:firstLine="211" w:firstLineChars="100"/>
        <w:rPr>
          <w:rFonts w:hAnsi="宋体" w:cs="宋体"/>
          <w:b/>
          <w:bCs/>
          <w:color w:val="000000" w:themeColor="text1"/>
          <w:kern w:val="0"/>
          <w:szCs w:val="21"/>
          <w14:textFill>
            <w14:solidFill>
              <w14:schemeClr w14:val="tx1"/>
            </w14:solidFill>
          </w14:textFill>
        </w:rPr>
      </w:pPr>
      <w:r>
        <w:rPr>
          <w:rFonts w:hint="eastAsia" w:hAnsi="宋体" w:cs="宋体"/>
          <w:b/>
          <w:bCs/>
          <w:color w:val="000000" w:themeColor="text1"/>
          <w:kern w:val="0"/>
          <w:szCs w:val="21"/>
          <w14:textFill>
            <w14:solidFill>
              <w14:schemeClr w14:val="tx1"/>
            </w14:solidFill>
          </w14:textFill>
        </w:rPr>
        <w:t>4、拟投入人员配备分………………………………………………………………………（满分</w:t>
      </w:r>
      <w:r>
        <w:rPr>
          <w:rFonts w:hint="eastAsia" w:hAnsi="宋体" w:cs="宋体"/>
          <w:b/>
          <w:bCs/>
          <w:color w:val="000000" w:themeColor="text1"/>
          <w:kern w:val="0"/>
          <w:szCs w:val="21"/>
          <w:lang w:val="en-US" w:eastAsia="zh-CN"/>
          <w14:textFill>
            <w14:solidFill>
              <w14:schemeClr w14:val="tx1"/>
            </w14:solidFill>
          </w14:textFill>
        </w:rPr>
        <w:t>6</w:t>
      </w:r>
      <w:r>
        <w:rPr>
          <w:rFonts w:hint="eastAsia" w:hAnsi="宋体" w:cs="宋体"/>
          <w:b/>
          <w:bCs/>
          <w:color w:val="000000" w:themeColor="text1"/>
          <w:kern w:val="0"/>
          <w:szCs w:val="21"/>
          <w14:textFill>
            <w14:solidFill>
              <w14:schemeClr w14:val="tx1"/>
            </w14:solidFill>
          </w14:textFill>
        </w:rPr>
        <w:t xml:space="preserve"> 分）</w:t>
      </w:r>
    </w:p>
    <w:p>
      <w:pPr>
        <w:pStyle w:val="20"/>
        <w:spacing w:line="400" w:lineRule="exact"/>
        <w:ind w:left="168" w:leftChars="80" w:firstLine="210" w:firstLineChars="100"/>
        <w:jc w:val="left"/>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拟投入本项目的人员具备污废水处理工</w:t>
      </w:r>
      <w:r>
        <w:rPr>
          <w:rFonts w:hint="eastAsia" w:hAnsi="宋体" w:cs="宋体"/>
          <w:color w:val="000000" w:themeColor="text1"/>
          <w:kern w:val="0"/>
          <w:szCs w:val="21"/>
          <w:lang w:val="en-US" w:eastAsia="zh-CN"/>
          <w14:textFill>
            <w14:solidFill>
              <w14:schemeClr w14:val="tx1"/>
            </w14:solidFill>
          </w14:textFill>
        </w:rPr>
        <w:t>专业</w:t>
      </w:r>
      <w:r>
        <w:rPr>
          <w:rFonts w:hint="eastAsia" w:hAnsi="宋体" w:cs="宋体"/>
          <w:color w:val="000000" w:themeColor="text1"/>
          <w:kern w:val="0"/>
          <w:szCs w:val="21"/>
          <w:lang w:eastAsia="zh-CN"/>
          <w14:textFill>
            <w14:solidFill>
              <w14:schemeClr w14:val="tx1"/>
            </w14:solidFill>
          </w14:textFill>
        </w:rPr>
        <w:t>或</w:t>
      </w:r>
      <w:r>
        <w:rPr>
          <w:rFonts w:hint="eastAsia" w:hAnsi="宋体" w:cs="宋体"/>
          <w:color w:val="000000" w:themeColor="text1"/>
          <w:kern w:val="0"/>
          <w:szCs w:val="21"/>
          <w:lang w:val="en-US" w:eastAsia="zh-CN"/>
          <w14:textFill>
            <w14:solidFill>
              <w14:schemeClr w14:val="tx1"/>
            </w14:solidFill>
          </w14:textFill>
        </w:rPr>
        <w:t>市政给排水专业或环境工程专业</w:t>
      </w:r>
      <w:r>
        <w:rPr>
          <w:rFonts w:hint="eastAsia" w:hAnsi="宋体" w:cs="宋体"/>
          <w:color w:val="000000" w:themeColor="text1"/>
          <w:kern w:val="0"/>
          <w:szCs w:val="21"/>
          <w14:textFill>
            <w14:solidFill>
              <w14:schemeClr w14:val="tx1"/>
            </w14:solidFill>
          </w14:textFill>
        </w:rPr>
        <w:t>的</w:t>
      </w:r>
      <w:r>
        <w:rPr>
          <w:rFonts w:hint="eastAsia" w:hAnsi="宋体" w:cs="宋体"/>
          <w:color w:val="000000" w:themeColor="text1"/>
          <w:kern w:val="0"/>
          <w:szCs w:val="21"/>
          <w:lang w:val="en-US" w:eastAsia="zh-CN"/>
          <w14:textFill>
            <w14:solidFill>
              <w14:schemeClr w14:val="tx1"/>
            </w14:solidFill>
          </w14:textFill>
        </w:rPr>
        <w:t>学历证书或者</w:t>
      </w:r>
      <w:r>
        <w:rPr>
          <w:rFonts w:hint="eastAsia" w:hAnsi="宋体" w:cs="宋体"/>
          <w:color w:val="000000" w:themeColor="text1"/>
          <w:kern w:val="0"/>
          <w:szCs w:val="21"/>
          <w14:textFill>
            <w14:solidFill>
              <w14:schemeClr w14:val="tx1"/>
            </w14:solidFill>
          </w14:textFill>
        </w:rPr>
        <w:t>职业</w:t>
      </w:r>
      <w:r>
        <w:rPr>
          <w:rFonts w:hint="eastAsia" w:hAnsi="宋体" w:cs="宋体"/>
          <w:color w:val="000000" w:themeColor="text1"/>
          <w:kern w:val="0"/>
          <w:szCs w:val="21"/>
          <w:lang w:eastAsia="zh-CN"/>
          <w14:textFill>
            <w14:solidFill>
              <w14:schemeClr w14:val="tx1"/>
            </w14:solidFill>
          </w14:textFill>
        </w:rPr>
        <w:t>、</w:t>
      </w:r>
      <w:r>
        <w:rPr>
          <w:rFonts w:hint="eastAsia" w:hAnsi="宋体" w:cs="宋体"/>
          <w:color w:val="000000" w:themeColor="text1"/>
          <w:kern w:val="0"/>
          <w:szCs w:val="21"/>
          <w:lang w:val="en-US" w:eastAsia="zh-CN"/>
          <w14:textFill>
            <w14:solidFill>
              <w14:schemeClr w14:val="tx1"/>
            </w14:solidFill>
          </w14:textFill>
        </w:rPr>
        <w:t>职称证书的</w:t>
      </w:r>
      <w:r>
        <w:rPr>
          <w:rFonts w:hint="eastAsia" w:hAnsi="宋体" w:cs="宋体"/>
          <w:color w:val="000000" w:themeColor="text1"/>
          <w:kern w:val="0"/>
          <w:szCs w:val="21"/>
          <w14:textFill>
            <w14:solidFill>
              <w14:schemeClr w14:val="tx1"/>
            </w14:solidFill>
          </w14:textFill>
        </w:rPr>
        <w:t>每人得</w:t>
      </w:r>
      <w:r>
        <w:rPr>
          <w:rFonts w:hint="eastAsia" w:hAnsi="宋体" w:cs="宋体"/>
          <w:b/>
          <w:bCs/>
          <w:color w:val="000000" w:themeColor="text1"/>
          <w:kern w:val="0"/>
          <w:szCs w:val="21"/>
          <w:lang w:eastAsia="zh-CN"/>
          <w14:textFill>
            <w14:solidFill>
              <w14:schemeClr w14:val="tx1"/>
            </w14:solidFill>
          </w14:textFill>
        </w:rPr>
        <w:t>1</w:t>
      </w:r>
      <w:r>
        <w:rPr>
          <w:rFonts w:hint="eastAsia" w:hAnsi="宋体" w:cs="宋体"/>
          <w:b/>
          <w:bCs/>
          <w:color w:val="000000" w:themeColor="text1"/>
          <w:kern w:val="0"/>
          <w:szCs w:val="21"/>
          <w:lang w:val="en-US" w:eastAsia="zh-CN"/>
          <w14:textFill>
            <w14:solidFill>
              <w14:schemeClr w14:val="tx1"/>
            </w14:solidFill>
          </w14:textFill>
        </w:rPr>
        <w:t>.5</w:t>
      </w:r>
      <w:r>
        <w:rPr>
          <w:rFonts w:hint="eastAsia" w:hAnsi="宋体" w:cs="宋体"/>
          <w:b/>
          <w:bCs/>
          <w:color w:val="000000" w:themeColor="text1"/>
          <w:kern w:val="0"/>
          <w:szCs w:val="21"/>
          <w14:textFill>
            <w14:solidFill>
              <w14:schemeClr w14:val="tx1"/>
            </w14:solidFill>
          </w14:textFill>
        </w:rPr>
        <w:t>分，最高</w:t>
      </w:r>
      <w:r>
        <w:rPr>
          <w:rFonts w:hint="eastAsia" w:hAnsi="宋体" w:cs="宋体"/>
          <w:b/>
          <w:bCs/>
          <w:color w:val="000000" w:themeColor="text1"/>
          <w:kern w:val="0"/>
          <w:szCs w:val="21"/>
          <w:lang w:val="en-US" w:eastAsia="zh-CN"/>
          <w14:textFill>
            <w14:solidFill>
              <w14:schemeClr w14:val="tx1"/>
            </w14:solidFill>
          </w14:textFill>
        </w:rPr>
        <w:t>6</w:t>
      </w:r>
      <w:r>
        <w:rPr>
          <w:rFonts w:hint="eastAsia" w:hAnsi="宋体" w:cs="宋体"/>
          <w:b/>
          <w:bCs/>
          <w:color w:val="000000" w:themeColor="text1"/>
          <w:kern w:val="0"/>
          <w:szCs w:val="21"/>
          <w14:textFill>
            <w14:solidFill>
              <w14:schemeClr w14:val="tx1"/>
            </w14:solidFill>
          </w14:textFill>
        </w:rPr>
        <w:t>分</w:t>
      </w:r>
      <w:r>
        <w:rPr>
          <w:rFonts w:hint="eastAsia" w:hAnsi="宋体" w:cs="宋体"/>
          <w:color w:val="000000" w:themeColor="text1"/>
          <w:kern w:val="0"/>
          <w:szCs w:val="21"/>
          <w14:textFill>
            <w14:solidFill>
              <w14:schemeClr w14:val="tx1"/>
            </w14:solidFill>
          </w14:textFill>
        </w:rPr>
        <w:t>。</w:t>
      </w:r>
    </w:p>
    <w:p>
      <w:pPr>
        <w:pStyle w:val="2"/>
        <w:kinsoku w:val="0"/>
        <w:overflowPunct w:val="0"/>
        <w:spacing w:line="360" w:lineRule="auto"/>
        <w:ind w:firstLine="450" w:firstLineChars="200"/>
        <w:rPr>
          <w:rFonts w:hAnsi="宋体" w:cs="宋体"/>
          <w:color w:val="000000" w:themeColor="text1"/>
          <w:szCs w:val="21"/>
          <w14:textFill>
            <w14:solidFill>
              <w14:schemeClr w14:val="tx1"/>
            </w14:solidFill>
          </w14:textFill>
        </w:rPr>
      </w:pPr>
      <w:r>
        <w:rPr>
          <w:rFonts w:hint="eastAsia" w:ascii="宋体" w:hAnsi="宋体" w:cs="宋体"/>
          <w:b/>
          <w:color w:val="000000" w:themeColor="text1"/>
          <w:spacing w:val="2"/>
          <w:sz w:val="22"/>
          <w:szCs w:val="22"/>
          <w14:textFill>
            <w14:solidFill>
              <w14:schemeClr w14:val="tx1"/>
            </w14:solidFill>
          </w14:textFill>
        </w:rPr>
        <w:t>注：需提供拟投入人员有效期内相关行业的</w:t>
      </w:r>
      <w:r>
        <w:rPr>
          <w:rFonts w:hint="eastAsia" w:ascii="宋体" w:hAnsi="宋体" w:cs="宋体"/>
          <w:b/>
          <w:color w:val="000000" w:themeColor="text1"/>
          <w:spacing w:val="2"/>
          <w:sz w:val="22"/>
          <w:szCs w:val="22"/>
          <w:lang w:val="en-US" w:eastAsia="zh-CN"/>
          <w14:textFill>
            <w14:solidFill>
              <w14:schemeClr w14:val="tx1"/>
            </w14:solidFill>
          </w14:textFill>
        </w:rPr>
        <w:t>学历证书</w:t>
      </w:r>
      <w:r>
        <w:rPr>
          <w:rFonts w:hint="eastAsia" w:ascii="宋体" w:hAnsi="宋体" w:cs="宋体"/>
          <w:b/>
          <w:color w:val="000000" w:themeColor="text1"/>
          <w:spacing w:val="2"/>
          <w:sz w:val="22"/>
          <w:szCs w:val="22"/>
          <w14:textFill>
            <w14:solidFill>
              <w14:schemeClr w14:val="tx1"/>
            </w14:solidFill>
          </w14:textFill>
        </w:rPr>
        <w:t>复印件</w:t>
      </w:r>
      <w:r>
        <w:rPr>
          <w:rFonts w:hint="eastAsia" w:ascii="宋体" w:hAnsi="宋体" w:cs="宋体"/>
          <w:b/>
          <w:color w:val="000000" w:themeColor="text1"/>
          <w:spacing w:val="2"/>
          <w:sz w:val="22"/>
          <w:szCs w:val="22"/>
          <w:lang w:val="en-US" w:eastAsia="zh-CN"/>
          <w14:textFill>
            <w14:solidFill>
              <w14:schemeClr w14:val="tx1"/>
            </w14:solidFill>
          </w14:textFill>
        </w:rPr>
        <w:t>或职称证书</w:t>
      </w:r>
      <w:r>
        <w:rPr>
          <w:rFonts w:hint="eastAsia" w:ascii="宋体" w:hAnsi="宋体" w:cs="宋体"/>
          <w:b/>
          <w:color w:val="000000" w:themeColor="text1"/>
          <w:spacing w:val="2"/>
          <w:sz w:val="22"/>
          <w:szCs w:val="22"/>
          <w14:textFill>
            <w14:solidFill>
              <w14:schemeClr w14:val="tx1"/>
            </w14:solidFill>
          </w14:textFill>
        </w:rPr>
        <w:t>复印件</w:t>
      </w:r>
      <w:r>
        <w:rPr>
          <w:rFonts w:hint="eastAsia" w:ascii="宋体" w:hAnsi="宋体" w:cs="宋体"/>
          <w:b/>
          <w:color w:val="000000" w:themeColor="text1"/>
          <w:spacing w:val="2"/>
          <w:sz w:val="22"/>
          <w:szCs w:val="22"/>
          <w:lang w:val="en-US" w:eastAsia="zh-CN"/>
          <w14:textFill>
            <w14:solidFill>
              <w14:schemeClr w14:val="tx1"/>
            </w14:solidFill>
          </w14:textFill>
        </w:rPr>
        <w:t>或</w:t>
      </w:r>
      <w:r>
        <w:rPr>
          <w:rFonts w:hint="eastAsia" w:ascii="宋体" w:hAnsi="宋体" w:cs="宋体"/>
          <w:b/>
          <w:color w:val="000000" w:themeColor="text1"/>
          <w:spacing w:val="2"/>
          <w:sz w:val="22"/>
          <w:szCs w:val="22"/>
          <w14:textFill>
            <w14:solidFill>
              <w14:schemeClr w14:val="tx1"/>
            </w14:solidFill>
          </w14:textFill>
        </w:rPr>
        <w:t>职业证书复印件并加盖投标单位公章，否则不予认定</w:t>
      </w:r>
      <w:r>
        <w:rPr>
          <w:rFonts w:hint="eastAsia" w:ascii="宋体" w:hAnsi="宋体" w:cs="宋体"/>
          <w:b/>
          <w:color w:val="000000" w:themeColor="text1"/>
          <w:spacing w:val="-12"/>
          <w:sz w:val="22"/>
          <w:szCs w:val="22"/>
          <w14:textFill>
            <w14:solidFill>
              <w14:schemeClr w14:val="tx1"/>
            </w14:solidFill>
          </w14:textFill>
        </w:rPr>
        <w:t>。</w:t>
      </w:r>
    </w:p>
    <w:p>
      <w:pPr>
        <w:pStyle w:val="20"/>
        <w:spacing w:line="400" w:lineRule="exact"/>
        <w:ind w:firstLine="211" w:firstLineChars="100"/>
        <w:outlineLvl w:val="0"/>
        <w:rPr>
          <w:rFonts w:hAnsi="宋体" w:cs="宋体"/>
          <w:b/>
          <w:color w:val="000000" w:themeColor="text1"/>
          <w:szCs w:val="21"/>
          <w14:textFill>
            <w14:solidFill>
              <w14:schemeClr w14:val="tx1"/>
            </w14:solidFill>
          </w14:textFill>
        </w:rPr>
      </w:pPr>
      <w:r>
        <w:rPr>
          <w:rFonts w:hint="eastAsia" w:hAnsi="宋体" w:cs="宋体"/>
          <w:b/>
          <w:color w:val="000000" w:themeColor="text1"/>
          <w:lang w:val="en-US" w:eastAsia="zh-CN"/>
          <w14:textFill>
            <w14:solidFill>
              <w14:schemeClr w14:val="tx1"/>
            </w14:solidFill>
          </w14:textFill>
        </w:rPr>
        <w:t>5</w:t>
      </w:r>
      <w:r>
        <w:rPr>
          <w:rFonts w:hint="eastAsia" w:hAnsi="宋体" w:cs="宋体"/>
          <w:b/>
          <w:color w:val="000000" w:themeColor="text1"/>
          <w14:textFill>
            <w14:solidFill>
              <w14:schemeClr w14:val="tx1"/>
            </w14:solidFill>
          </w14:textFill>
        </w:rPr>
        <w:t>、企业实力</w:t>
      </w:r>
      <w:r>
        <w:rPr>
          <w:rFonts w:hint="eastAsia" w:hAnsi="宋体" w:cs="宋体"/>
          <w:b/>
          <w:color w:val="000000" w:themeColor="text1"/>
          <w:szCs w:val="21"/>
          <w14:textFill>
            <w14:solidFill>
              <w14:schemeClr w14:val="tx1"/>
            </w14:solidFill>
          </w14:textFill>
        </w:rPr>
        <w:t>分</w:t>
      </w:r>
      <w:r>
        <w:rPr>
          <w:rFonts w:hint="eastAsia" w:hAnsi="宋体" w:cs="宋体"/>
          <w:b/>
          <w:color w:val="000000" w:themeColor="text1"/>
          <w14:textFill>
            <w14:solidFill>
              <w14:schemeClr w14:val="tx1"/>
            </w14:solidFill>
          </w14:textFill>
        </w:rPr>
        <w:t>………………………………………………………………………………（满分</w:t>
      </w:r>
      <w:r>
        <w:rPr>
          <w:rFonts w:hint="eastAsia" w:hAnsi="宋体" w:cs="宋体"/>
          <w:b/>
          <w:color w:val="000000" w:themeColor="text1"/>
          <w:lang w:val="en-US" w:eastAsia="zh-CN"/>
          <w14:textFill>
            <w14:solidFill>
              <w14:schemeClr w14:val="tx1"/>
            </w14:solidFill>
          </w14:textFill>
        </w:rPr>
        <w:t>12</w:t>
      </w:r>
      <w:r>
        <w:rPr>
          <w:rFonts w:hint="eastAsia" w:hAnsi="宋体" w:cs="宋体"/>
          <w:b/>
          <w:color w:val="000000" w:themeColor="text1"/>
          <w:szCs w:val="21"/>
          <w14:textFill>
            <w14:solidFill>
              <w14:schemeClr w14:val="tx1"/>
            </w14:solidFill>
          </w14:textFill>
        </w:rPr>
        <w:t>分）</w:t>
      </w:r>
    </w:p>
    <w:p>
      <w:pPr>
        <w:pStyle w:val="20"/>
        <w:spacing w:line="400" w:lineRule="exact"/>
        <w:ind w:firstLine="420" w:firstLineChars="200"/>
        <w:outlineLvl w:val="0"/>
        <w:rPr>
          <w:rFonts w:hint="eastAsia" w:hAnsi="宋体" w:eastAsia="宋体" w:cs="宋体"/>
          <w:color w:val="000000" w:themeColor="text1"/>
          <w:szCs w:val="21"/>
          <w:lang w:val="en-US" w:eastAsia="zh-CN"/>
          <w14:textFill>
            <w14:solidFill>
              <w14:schemeClr w14:val="tx1"/>
            </w14:solidFill>
          </w14:textFill>
        </w:rPr>
      </w:pPr>
      <w:r>
        <w:rPr>
          <w:rFonts w:hAnsi="宋体" w:cs="宋体"/>
          <w:color w:val="000000" w:themeColor="text1"/>
          <w:szCs w:val="21"/>
          <w14:textFill>
            <w14:solidFill>
              <w14:schemeClr w14:val="tx1"/>
            </w14:solidFill>
          </w14:textFill>
        </w:rPr>
        <w:t>1.</w:t>
      </w:r>
      <w:r>
        <w:rPr>
          <w:rFonts w:hint="eastAsia" w:hAnsi="宋体" w:cs="宋体"/>
          <w:color w:val="000000" w:themeColor="text1"/>
          <w:szCs w:val="21"/>
          <w:lang w:eastAsia="zh-CN"/>
          <w14:textFill>
            <w14:solidFill>
              <w14:schemeClr w14:val="tx1"/>
            </w14:solidFill>
          </w14:textFill>
        </w:rPr>
        <w:t>投标人</w:t>
      </w:r>
      <w:r>
        <w:rPr>
          <w:rFonts w:hAnsi="宋体" w:cs="宋体"/>
          <w:color w:val="000000" w:themeColor="text1"/>
          <w:szCs w:val="21"/>
          <w14:textFill>
            <w14:solidFill>
              <w14:schemeClr w14:val="tx1"/>
            </w14:solidFill>
          </w14:textFill>
        </w:rPr>
        <w:t>201</w:t>
      </w:r>
      <w:r>
        <w:rPr>
          <w:rFonts w:hint="eastAsia" w:hAnsi="宋体" w:cs="宋体"/>
          <w:color w:val="000000" w:themeColor="text1"/>
          <w:szCs w:val="21"/>
          <w:lang w:val="en-US" w:eastAsia="zh-CN"/>
          <w14:textFill>
            <w14:solidFill>
              <w14:schemeClr w14:val="tx1"/>
            </w14:solidFill>
          </w14:textFill>
        </w:rPr>
        <w:t>8</w:t>
      </w:r>
      <w:r>
        <w:rPr>
          <w:rFonts w:hAnsi="宋体" w:cs="宋体"/>
          <w:color w:val="000000" w:themeColor="text1"/>
          <w:szCs w:val="21"/>
          <w14:textFill>
            <w14:solidFill>
              <w14:schemeClr w14:val="tx1"/>
            </w14:solidFill>
          </w14:textFill>
        </w:rPr>
        <w:t>年以来同类项目的业绩 [</w:t>
      </w:r>
      <w:r>
        <w:rPr>
          <w:rFonts w:hint="eastAsia" w:hAnsi="宋体" w:cs="宋体"/>
          <w:color w:val="000000" w:themeColor="text1"/>
          <w:szCs w:val="21"/>
          <w14:textFill>
            <w14:solidFill>
              <w14:schemeClr w14:val="tx1"/>
            </w14:solidFill>
          </w14:textFill>
        </w:rPr>
        <w:t>以提供的中标（成交）通知书</w:t>
      </w:r>
      <w:r>
        <w:rPr>
          <w:rFonts w:hint="eastAsia" w:hAnsi="宋体" w:cs="宋体"/>
          <w:color w:val="000000" w:themeColor="text1"/>
          <w:szCs w:val="21"/>
          <w:lang w:eastAsia="zh-CN"/>
          <w14:textFill>
            <w14:solidFill>
              <w14:schemeClr w14:val="tx1"/>
            </w14:solidFill>
          </w14:textFill>
        </w:rPr>
        <w:t>或</w:t>
      </w:r>
      <w:r>
        <w:rPr>
          <w:rFonts w:hint="eastAsia" w:hAnsi="宋体" w:cs="宋体"/>
          <w:color w:val="000000" w:themeColor="text1"/>
          <w:szCs w:val="21"/>
          <w14:textFill>
            <w14:solidFill>
              <w14:schemeClr w14:val="tx1"/>
            </w14:solidFill>
          </w14:textFill>
        </w:rPr>
        <w:t>签订的项目合同复印</w:t>
      </w:r>
      <w:r>
        <w:rPr>
          <w:rFonts w:hint="eastAsia" w:hAnsi="宋体" w:cs="宋体"/>
          <w:color w:val="000000" w:themeColor="text1"/>
          <w:szCs w:val="21"/>
          <w:lang w:eastAsia="zh-CN"/>
          <w14:textFill>
            <w14:solidFill>
              <w14:schemeClr w14:val="tx1"/>
            </w14:solidFill>
          </w14:textFill>
        </w:rPr>
        <w:t>件</w:t>
      </w:r>
      <w:r>
        <w:rPr>
          <w:rFonts w:hint="eastAsia" w:hAnsi="宋体" w:cs="宋体"/>
          <w:color w:val="000000" w:themeColor="text1"/>
          <w:szCs w:val="21"/>
          <w14:textFill>
            <w14:solidFill>
              <w14:schemeClr w14:val="tx1"/>
            </w14:solidFill>
          </w14:textFill>
        </w:rPr>
        <w:t>并加盖公章为准，并能清晰反映所项目得名称、种类，否则将不予评审，同一个编号的项目有两个或两个以上的分标中标的只算一个</w:t>
      </w:r>
      <w:r>
        <w:rPr>
          <w:rFonts w:hAnsi="宋体" w:cs="宋体"/>
          <w:color w:val="000000" w:themeColor="text1"/>
          <w:szCs w:val="21"/>
          <w14:textFill>
            <w14:solidFill>
              <w14:schemeClr w14:val="tx1"/>
            </w14:solidFill>
          </w14:textFill>
        </w:rPr>
        <w:t>]，每提供一业绩得</w:t>
      </w:r>
      <w:r>
        <w:rPr>
          <w:rFonts w:hint="eastAsia" w:hAnsi="宋体" w:cs="宋体"/>
          <w:b w:val="0"/>
          <w:bCs w:val="0"/>
          <w:color w:val="000000" w:themeColor="text1"/>
          <w:szCs w:val="21"/>
          <w:lang w:val="en-US" w:eastAsia="zh-CN"/>
          <w14:textFill>
            <w14:solidFill>
              <w14:schemeClr w14:val="tx1"/>
            </w14:solidFill>
          </w14:textFill>
        </w:rPr>
        <w:t>1.5</w:t>
      </w:r>
      <w:r>
        <w:rPr>
          <w:rFonts w:hAnsi="宋体" w:cs="宋体"/>
          <w:b w:val="0"/>
          <w:bCs w:val="0"/>
          <w:color w:val="000000" w:themeColor="text1"/>
          <w:szCs w:val="21"/>
          <w14:textFill>
            <w14:solidFill>
              <w14:schemeClr w14:val="tx1"/>
            </w14:solidFill>
          </w14:textFill>
        </w:rPr>
        <w:t>分，最多得</w:t>
      </w:r>
      <w:r>
        <w:rPr>
          <w:rFonts w:hint="eastAsia" w:hAnsi="宋体" w:cs="宋体"/>
          <w:b w:val="0"/>
          <w:bCs w:val="0"/>
          <w:color w:val="000000" w:themeColor="text1"/>
          <w:szCs w:val="21"/>
          <w:lang w:val="en-US" w:eastAsia="zh-CN"/>
          <w14:textFill>
            <w14:solidFill>
              <w14:schemeClr w14:val="tx1"/>
            </w14:solidFill>
          </w14:textFill>
        </w:rPr>
        <w:t>9</w:t>
      </w:r>
      <w:r>
        <w:rPr>
          <w:rFonts w:hAnsi="宋体" w:cs="宋体"/>
          <w:b w:val="0"/>
          <w:bCs w:val="0"/>
          <w:color w:val="000000" w:themeColor="text1"/>
          <w:szCs w:val="21"/>
          <w14:textFill>
            <w14:solidFill>
              <w14:schemeClr w14:val="tx1"/>
            </w14:solidFill>
          </w14:textFill>
        </w:rPr>
        <w:t>分</w:t>
      </w:r>
      <w:r>
        <w:rPr>
          <w:rFonts w:hint="eastAsia" w:hAnsi="宋体" w:cs="宋体"/>
          <w:b w:val="0"/>
          <w:bCs w:val="0"/>
          <w:color w:val="000000" w:themeColor="text1"/>
          <w:szCs w:val="21"/>
          <w:lang w:eastAsia="zh-CN"/>
          <w14:textFill>
            <w14:solidFill>
              <w14:schemeClr w14:val="tx1"/>
            </w14:solidFill>
          </w14:textFill>
        </w:rPr>
        <w:t>。</w:t>
      </w:r>
    </w:p>
    <w:p>
      <w:pPr>
        <w:pStyle w:val="20"/>
        <w:spacing w:line="400" w:lineRule="exact"/>
        <w:ind w:firstLine="420" w:firstLineChars="200"/>
        <w:outlineLvl w:val="0"/>
        <w:rPr>
          <w:rFonts w:hAnsi="宋体" w:cs="宋体"/>
          <w:color w:val="000000" w:themeColor="text1"/>
          <w:szCs w:val="21"/>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2</w:t>
      </w:r>
      <w:r>
        <w:rPr>
          <w:rFonts w:hAnsi="宋体" w:cs="宋体"/>
          <w:color w:val="000000" w:themeColor="text1"/>
          <w:szCs w:val="21"/>
          <w14:textFill>
            <w14:solidFill>
              <w14:schemeClr w14:val="tx1"/>
            </w14:solidFill>
          </w14:textFill>
        </w:rPr>
        <w:t>.</w:t>
      </w:r>
      <w:r>
        <w:rPr>
          <w:rFonts w:hint="eastAsia" w:hAnsi="宋体" w:cs="宋体"/>
          <w:color w:val="000000" w:themeColor="text1"/>
          <w:szCs w:val="21"/>
          <w:lang w:eastAsia="zh-CN"/>
          <w14:textFill>
            <w14:solidFill>
              <w14:schemeClr w14:val="tx1"/>
            </w14:solidFill>
          </w14:textFill>
        </w:rPr>
        <w:t>投标人</w:t>
      </w:r>
      <w:r>
        <w:rPr>
          <w:rFonts w:hAnsi="宋体" w:cs="宋体"/>
          <w:color w:val="000000" w:themeColor="text1"/>
          <w:szCs w:val="21"/>
          <w14:textFill>
            <w14:solidFill>
              <w14:schemeClr w14:val="tx1"/>
            </w14:solidFill>
          </w14:textFill>
        </w:rPr>
        <w:t>具有国际标准认证证书，职业健康安全体系体系符合ISO45001，该体系覆盖范围</w:t>
      </w:r>
      <w:r>
        <w:rPr>
          <w:rFonts w:hint="eastAsia" w:hAnsi="宋体" w:cs="宋体"/>
          <w:color w:val="000000" w:themeColor="text1"/>
          <w:szCs w:val="21"/>
          <w14:textFill>
            <w14:solidFill>
              <w14:schemeClr w14:val="tx1"/>
            </w14:solidFill>
          </w14:textFill>
        </w:rPr>
        <w:t>含有</w:t>
      </w:r>
      <w:r>
        <w:rPr>
          <w:rFonts w:hAnsi="宋体" w:cs="宋体"/>
          <w:color w:val="000000" w:themeColor="text1"/>
          <w:szCs w:val="21"/>
          <w14:textFill>
            <w14:solidFill>
              <w14:schemeClr w14:val="tx1"/>
            </w14:solidFill>
          </w14:textFill>
        </w:rPr>
        <w:t>水资源综合治理工程技术服务</w:t>
      </w:r>
      <w:r>
        <w:rPr>
          <w:rFonts w:hint="eastAsia" w:hAnsi="宋体" w:cs="宋体"/>
          <w:color w:val="000000" w:themeColor="text1"/>
          <w:szCs w:val="21"/>
          <w14:textFill>
            <w14:solidFill>
              <w14:schemeClr w14:val="tx1"/>
            </w14:solidFill>
          </w14:textFill>
        </w:rPr>
        <w:t>或</w:t>
      </w:r>
      <w:r>
        <w:rPr>
          <w:rFonts w:hAnsi="宋体" w:cs="宋体"/>
          <w:color w:val="000000" w:themeColor="text1"/>
          <w:szCs w:val="21"/>
          <w14:textFill>
            <w14:solidFill>
              <w14:schemeClr w14:val="tx1"/>
            </w14:solidFill>
          </w14:textFill>
        </w:rPr>
        <w:t>污水处理，得</w:t>
      </w:r>
      <w:r>
        <w:rPr>
          <w:rFonts w:hint="eastAsia" w:hAnsi="宋体" w:cs="宋体"/>
          <w:color w:val="000000" w:themeColor="text1"/>
          <w:szCs w:val="21"/>
          <w:lang w:val="en-US" w:eastAsia="zh-CN"/>
          <w14:textFill>
            <w14:solidFill>
              <w14:schemeClr w14:val="tx1"/>
            </w14:solidFill>
          </w14:textFill>
        </w:rPr>
        <w:t>1</w:t>
      </w:r>
      <w:r>
        <w:rPr>
          <w:rFonts w:hAnsi="宋体" w:cs="宋体"/>
          <w:color w:val="000000" w:themeColor="text1"/>
          <w:szCs w:val="21"/>
          <w14:textFill>
            <w14:solidFill>
              <w14:schemeClr w14:val="tx1"/>
            </w14:solidFill>
          </w14:textFill>
        </w:rPr>
        <w:t>分</w:t>
      </w:r>
      <w:r>
        <w:rPr>
          <w:rFonts w:hint="eastAsia" w:hAnsi="宋体" w:cs="宋体"/>
          <w:color w:val="000000" w:themeColor="text1"/>
          <w:szCs w:val="21"/>
          <w14:textFill>
            <w14:solidFill>
              <w14:schemeClr w14:val="tx1"/>
            </w14:solidFill>
          </w14:textFill>
        </w:rPr>
        <w:t>。</w:t>
      </w:r>
    </w:p>
    <w:p>
      <w:pPr>
        <w:pStyle w:val="20"/>
        <w:spacing w:line="400" w:lineRule="exact"/>
        <w:ind w:firstLine="420" w:firstLineChars="200"/>
        <w:outlineLvl w:val="0"/>
        <w:rPr>
          <w:rFonts w:hAnsi="宋体" w:cs="宋体"/>
          <w:color w:val="000000" w:themeColor="text1"/>
          <w:szCs w:val="21"/>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3</w:t>
      </w:r>
      <w:r>
        <w:rPr>
          <w:rFonts w:hAnsi="宋体" w:cs="宋体"/>
          <w:color w:val="000000" w:themeColor="text1"/>
          <w:szCs w:val="21"/>
          <w14:textFill>
            <w14:solidFill>
              <w14:schemeClr w14:val="tx1"/>
            </w14:solidFill>
          </w14:textFill>
        </w:rPr>
        <w:t>.</w:t>
      </w:r>
      <w:r>
        <w:rPr>
          <w:rFonts w:hint="eastAsia" w:hAnsi="宋体" w:cs="宋体"/>
          <w:color w:val="000000" w:themeColor="text1"/>
          <w:szCs w:val="21"/>
          <w:lang w:eastAsia="zh-CN"/>
          <w14:textFill>
            <w14:solidFill>
              <w14:schemeClr w14:val="tx1"/>
            </w14:solidFill>
          </w14:textFill>
        </w:rPr>
        <w:t>投标人</w:t>
      </w:r>
      <w:r>
        <w:rPr>
          <w:rFonts w:hAnsi="宋体" w:cs="宋体"/>
          <w:color w:val="000000" w:themeColor="text1"/>
          <w:szCs w:val="21"/>
          <w14:textFill>
            <w14:solidFill>
              <w14:schemeClr w14:val="tx1"/>
            </w14:solidFill>
          </w14:textFill>
        </w:rPr>
        <w:t>具有国际标准认证证书，质量管理体系体系符合ISO9001，该体系覆盖范围</w:t>
      </w:r>
      <w:r>
        <w:rPr>
          <w:rFonts w:hint="eastAsia" w:hAnsi="宋体" w:cs="宋体"/>
          <w:color w:val="000000" w:themeColor="text1"/>
          <w:szCs w:val="21"/>
          <w14:textFill>
            <w14:solidFill>
              <w14:schemeClr w14:val="tx1"/>
            </w14:solidFill>
          </w14:textFill>
        </w:rPr>
        <w:t>含</w:t>
      </w:r>
      <w:r>
        <w:rPr>
          <w:rFonts w:hAnsi="宋体" w:cs="宋体"/>
          <w:color w:val="000000" w:themeColor="text1"/>
          <w:szCs w:val="21"/>
          <w14:textFill>
            <w14:solidFill>
              <w14:schemeClr w14:val="tx1"/>
            </w14:solidFill>
          </w14:textFill>
        </w:rPr>
        <w:t>有水资源综合治理工程技术服务</w:t>
      </w:r>
      <w:r>
        <w:rPr>
          <w:rFonts w:hint="eastAsia" w:hAnsi="宋体" w:cs="宋体"/>
          <w:color w:val="000000" w:themeColor="text1"/>
          <w:szCs w:val="21"/>
          <w14:textFill>
            <w14:solidFill>
              <w14:schemeClr w14:val="tx1"/>
            </w14:solidFill>
          </w14:textFill>
        </w:rPr>
        <w:t>或</w:t>
      </w:r>
      <w:r>
        <w:rPr>
          <w:rFonts w:hAnsi="宋体" w:cs="宋体"/>
          <w:color w:val="000000" w:themeColor="text1"/>
          <w:szCs w:val="21"/>
          <w14:textFill>
            <w14:solidFill>
              <w14:schemeClr w14:val="tx1"/>
            </w14:solidFill>
          </w14:textFill>
        </w:rPr>
        <w:t>污水处理，得</w:t>
      </w:r>
      <w:r>
        <w:rPr>
          <w:rFonts w:hint="eastAsia" w:hAnsi="宋体" w:cs="宋体"/>
          <w:color w:val="000000" w:themeColor="text1"/>
          <w:szCs w:val="21"/>
          <w:lang w:val="en-US" w:eastAsia="zh-CN"/>
          <w14:textFill>
            <w14:solidFill>
              <w14:schemeClr w14:val="tx1"/>
            </w14:solidFill>
          </w14:textFill>
        </w:rPr>
        <w:t>1</w:t>
      </w:r>
      <w:r>
        <w:rPr>
          <w:rFonts w:hAnsi="宋体" w:cs="宋体"/>
          <w:color w:val="000000" w:themeColor="text1"/>
          <w:szCs w:val="21"/>
          <w14:textFill>
            <w14:solidFill>
              <w14:schemeClr w14:val="tx1"/>
            </w14:solidFill>
          </w14:textFill>
        </w:rPr>
        <w:t>分</w:t>
      </w:r>
      <w:r>
        <w:rPr>
          <w:rFonts w:hint="eastAsia" w:hAnsi="宋体" w:cs="宋体"/>
          <w:color w:val="000000" w:themeColor="text1"/>
          <w:szCs w:val="21"/>
          <w14:textFill>
            <w14:solidFill>
              <w14:schemeClr w14:val="tx1"/>
            </w14:solidFill>
          </w14:textFill>
        </w:rPr>
        <w:t>。</w:t>
      </w:r>
    </w:p>
    <w:p>
      <w:pPr>
        <w:pStyle w:val="20"/>
        <w:spacing w:line="400" w:lineRule="exact"/>
        <w:ind w:firstLine="420" w:firstLineChars="200"/>
        <w:outlineLvl w:val="0"/>
        <w:rPr>
          <w:rFonts w:hAnsi="宋体" w:cs="宋体"/>
          <w:color w:val="000000" w:themeColor="text1"/>
          <w:szCs w:val="21"/>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4</w:t>
      </w:r>
      <w:r>
        <w:rPr>
          <w:rFonts w:hAnsi="宋体" w:cs="宋体"/>
          <w:color w:val="000000" w:themeColor="text1"/>
          <w:szCs w:val="21"/>
          <w14:textFill>
            <w14:solidFill>
              <w14:schemeClr w14:val="tx1"/>
            </w14:solidFill>
          </w14:textFill>
        </w:rPr>
        <w:t>.</w:t>
      </w:r>
      <w:r>
        <w:rPr>
          <w:rFonts w:hint="eastAsia" w:hAnsi="宋体" w:cs="宋体"/>
          <w:color w:val="000000" w:themeColor="text1"/>
          <w:szCs w:val="21"/>
          <w:lang w:eastAsia="zh-CN"/>
          <w14:textFill>
            <w14:solidFill>
              <w14:schemeClr w14:val="tx1"/>
            </w14:solidFill>
          </w14:textFill>
        </w:rPr>
        <w:t>投标人</w:t>
      </w:r>
      <w:r>
        <w:rPr>
          <w:rFonts w:hAnsi="宋体" w:cs="宋体"/>
          <w:color w:val="000000" w:themeColor="text1"/>
          <w:szCs w:val="21"/>
          <w14:textFill>
            <w14:solidFill>
              <w14:schemeClr w14:val="tx1"/>
            </w14:solidFill>
          </w14:textFill>
        </w:rPr>
        <w:t>具有国际标准认证证书，环境管理体系体系符合ISO14001,该体系覆盖范围</w:t>
      </w:r>
      <w:r>
        <w:rPr>
          <w:rFonts w:hint="eastAsia" w:hAnsi="宋体" w:cs="宋体"/>
          <w:color w:val="000000" w:themeColor="text1"/>
          <w:szCs w:val="21"/>
          <w14:textFill>
            <w14:solidFill>
              <w14:schemeClr w14:val="tx1"/>
            </w14:solidFill>
          </w14:textFill>
        </w:rPr>
        <w:t>含有</w:t>
      </w:r>
      <w:r>
        <w:rPr>
          <w:rFonts w:hAnsi="宋体" w:cs="宋体"/>
          <w:color w:val="000000" w:themeColor="text1"/>
          <w:szCs w:val="21"/>
          <w14:textFill>
            <w14:solidFill>
              <w14:schemeClr w14:val="tx1"/>
            </w14:solidFill>
          </w14:textFill>
        </w:rPr>
        <w:t>有水资源综合治理工程技术服务</w:t>
      </w:r>
      <w:r>
        <w:rPr>
          <w:rFonts w:hint="eastAsia" w:hAnsi="宋体" w:cs="宋体"/>
          <w:color w:val="000000" w:themeColor="text1"/>
          <w:szCs w:val="21"/>
          <w14:textFill>
            <w14:solidFill>
              <w14:schemeClr w14:val="tx1"/>
            </w14:solidFill>
          </w14:textFill>
        </w:rPr>
        <w:t>或</w:t>
      </w:r>
      <w:r>
        <w:rPr>
          <w:rFonts w:hAnsi="宋体" w:cs="宋体"/>
          <w:color w:val="000000" w:themeColor="text1"/>
          <w:szCs w:val="21"/>
          <w14:textFill>
            <w14:solidFill>
              <w14:schemeClr w14:val="tx1"/>
            </w14:solidFill>
          </w14:textFill>
        </w:rPr>
        <w:t>污水处理，得</w:t>
      </w:r>
      <w:r>
        <w:rPr>
          <w:rFonts w:hint="eastAsia" w:hAnsi="宋体" w:cs="宋体"/>
          <w:color w:val="000000" w:themeColor="text1"/>
          <w:szCs w:val="21"/>
          <w:lang w:val="en-US" w:eastAsia="zh-CN"/>
          <w14:textFill>
            <w14:solidFill>
              <w14:schemeClr w14:val="tx1"/>
            </w14:solidFill>
          </w14:textFill>
        </w:rPr>
        <w:t>1</w:t>
      </w:r>
      <w:r>
        <w:rPr>
          <w:rFonts w:hAnsi="宋体" w:cs="宋体"/>
          <w:color w:val="000000" w:themeColor="text1"/>
          <w:szCs w:val="21"/>
          <w14:textFill>
            <w14:solidFill>
              <w14:schemeClr w14:val="tx1"/>
            </w14:solidFill>
          </w14:textFill>
        </w:rPr>
        <w:t>分</w:t>
      </w:r>
      <w:r>
        <w:rPr>
          <w:rFonts w:hint="eastAsia" w:hAnsi="宋体" w:cs="宋体"/>
          <w:color w:val="000000" w:themeColor="text1"/>
          <w:szCs w:val="21"/>
          <w14:textFill>
            <w14:solidFill>
              <w14:schemeClr w14:val="tx1"/>
            </w14:solidFill>
          </w14:textFill>
        </w:rPr>
        <w:t>。</w:t>
      </w:r>
    </w:p>
    <w:p>
      <w:pPr>
        <w:pStyle w:val="20"/>
        <w:spacing w:line="400" w:lineRule="exact"/>
        <w:ind w:firstLine="421"/>
        <w:outlineLvl w:val="0"/>
        <w:rPr>
          <w:rFonts w:hAnsi="宋体" w:cs="宋体"/>
          <w:b/>
          <w:color w:val="000000" w:themeColor="text1"/>
          <w14:textFill>
            <w14:solidFill>
              <w14:schemeClr w14:val="tx1"/>
            </w14:solidFill>
          </w14:textFill>
        </w:rPr>
      </w:pPr>
      <w:r>
        <w:rPr>
          <w:rFonts w:hint="eastAsia" w:hAnsi="宋体" w:cs="宋体"/>
          <w:b/>
          <w:color w:val="000000" w:themeColor="text1"/>
          <w:lang w:val="en-US" w:eastAsia="zh-CN"/>
          <w14:textFill>
            <w14:solidFill>
              <w14:schemeClr w14:val="tx1"/>
            </w14:solidFill>
          </w14:textFill>
        </w:rPr>
        <w:t>6</w:t>
      </w:r>
      <w:r>
        <w:rPr>
          <w:rFonts w:hint="eastAsia" w:hAnsi="宋体" w:cs="宋体"/>
          <w:b/>
          <w:color w:val="000000" w:themeColor="text1"/>
          <w14:textFill>
            <w14:solidFill>
              <w14:schemeClr w14:val="tx1"/>
            </w14:solidFill>
          </w14:textFill>
        </w:rPr>
        <w:t>.综合得分＝1+2+3+4+5</w:t>
      </w:r>
    </w:p>
    <w:p>
      <w:pPr>
        <w:pStyle w:val="20"/>
        <w:tabs>
          <w:tab w:val="left" w:pos="4214"/>
        </w:tabs>
        <w:spacing w:line="400" w:lineRule="exact"/>
        <w:ind w:firstLine="422" w:firstLineChars="200"/>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三、推荐中标候选投标人原则</w:t>
      </w:r>
    </w:p>
    <w:p>
      <w:pPr>
        <w:pStyle w:val="20"/>
        <w:tabs>
          <w:tab w:val="left" w:pos="4214"/>
        </w:tabs>
        <w:spacing w:line="38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1）评标委员会根据综合得分由高到低排列次序，若得分相同时，以评标报价由低到高顺序排列；若得分相同且评标报价相同的，以投标报价由低到高顺序排列；若仍相同的，按综合性能分由高到低顺序排列并推荐中标候选投标人。</w:t>
      </w:r>
    </w:p>
    <w:p>
      <w:pPr>
        <w:pStyle w:val="20"/>
        <w:tabs>
          <w:tab w:val="left" w:pos="4214"/>
        </w:tabs>
        <w:spacing w:line="380" w:lineRule="exact"/>
        <w:ind w:firstLine="420" w:firstLineChars="200"/>
        <w:rPr>
          <w:rFonts w:hAnsi="宋体" w:cs="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（2）评标委员会可推荐前三名为中标候选人，采购人应当确定评标委员会推荐排名第一的中标候选人为中标人。</w:t>
      </w:r>
    </w:p>
    <w:p>
      <w:pPr>
        <w:pStyle w:val="20"/>
        <w:spacing w:line="380" w:lineRule="exact"/>
        <w:ind w:firstLine="447" w:firstLineChars="213"/>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排名第一的中标候选投标人放弃中标、因不可抗力提出不能履行合同，或者招标文件规定应当提交履约保证金而在规定的期限内未能提交的，招标采购单位可以确定排名第二的中标候选投标人为中标供应商。</w:t>
      </w:r>
    </w:p>
    <w:p>
      <w:pPr>
        <w:pStyle w:val="20"/>
        <w:spacing w:line="38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（4）第二中标候选投标人因前款规定的同样原因不能签订合同的，招标采购单位可以确定排名第三的中标候选投标人为中标供应商。</w:t>
      </w:r>
    </w:p>
    <w:p>
      <w:pPr>
        <w:pStyle w:val="20"/>
        <w:spacing w:line="380" w:lineRule="exact"/>
        <w:ind w:firstLine="535" w:firstLineChars="255"/>
        <w:rPr>
          <w:rFonts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(5) 评标委员会认为，某投标人的最低投标价或者某些分项报价明显不合理或者低于成本，有可能影响服务质量和不能诚信履约的，应当要求其在规定的期限内提供书面文件予以解释说明，并提交相关证明材料，否则，评标委员会可以取消该投标人的中标候选投标人资格，按顺序由排在后面的中标候选投标人递补，以此类推。</w:t>
      </w:r>
    </w:p>
    <w:p>
      <w:pPr>
        <w:spacing w:line="440" w:lineRule="exact"/>
        <w:ind w:firstLine="422" w:firstLineChars="200"/>
        <w:jc w:val="left"/>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四、特别说明</w:t>
      </w:r>
    </w:p>
    <w:p>
      <w:pPr>
        <w:widowControl/>
        <w:spacing w:line="44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中小企业在政府采购活动过程中，请根据自己的真实情况出具《中小企业声明函》或《残疾人福利性单位声明函》或属于监狱企业的证明文件复印件。依法享受中小企业优惠政策的，采购人或采购代理机构在公告中标结果时，同时公告其《中小企业声明函》或《残疾人福利性单位声明函》或属于监狱企业的证明文件复印件，接受社会监督。</w:t>
      </w:r>
    </w:p>
    <w:p>
      <w:pPr>
        <w:pStyle w:val="52"/>
        <w:spacing w:line="440" w:lineRule="exact"/>
        <w:rPr>
          <w:rFonts w:hint="eastAsia" w:ascii="宋体" w:hAnsi="宋体" w:eastAsia="宋体" w:cs="宋体"/>
          <w:color w:val="000000" w:themeColor="text1"/>
          <w14:textFill>
            <w14:solidFill>
              <w14:schemeClr w14:val="tx1"/>
            </w14:solidFill>
          </w14:textFill>
        </w:rPr>
      </w:pPr>
    </w:p>
    <w:p>
      <w:pPr>
        <w:pStyle w:val="52"/>
        <w:spacing w:line="440" w:lineRule="exact"/>
        <w:rPr>
          <w:rFonts w:hint="eastAsia" w:ascii="宋体" w:hAnsi="宋体" w:eastAsia="宋体" w:cs="宋体"/>
          <w:color w:val="000000" w:themeColor="text1"/>
          <w14:textFill>
            <w14:solidFill>
              <w14:schemeClr w14:val="tx1"/>
            </w14:solidFill>
          </w14:textFill>
        </w:rPr>
      </w:pPr>
    </w:p>
    <w:bookmarkEnd w:id="155"/>
    <w:p>
      <w:pPr>
        <w:spacing w:line="440" w:lineRule="exact"/>
        <w:jc w:val="center"/>
        <w:outlineLvl w:val="0"/>
        <w:rPr>
          <w:rFonts w:hint="eastAsia" w:ascii="宋体" w:hAnsi="宋体" w:cs="宋体"/>
          <w:b/>
          <w:bCs/>
          <w:color w:val="000000" w:themeColor="text1"/>
          <w:kern w:val="44"/>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br w:type="page"/>
      </w:r>
      <w:bookmarkStart w:id="162" w:name="_Toc22160"/>
      <w:bookmarkStart w:id="163" w:name="_Toc14595"/>
      <w:r>
        <w:rPr>
          <w:rFonts w:hint="eastAsia" w:ascii="宋体" w:hAnsi="宋体" w:cs="宋体"/>
          <w:b/>
          <w:bCs/>
          <w:color w:val="000000" w:themeColor="text1"/>
          <w:kern w:val="44"/>
          <w:sz w:val="32"/>
          <w:szCs w:val="32"/>
          <w14:textFill>
            <w14:solidFill>
              <w14:schemeClr w14:val="tx1"/>
            </w14:solidFill>
          </w14:textFill>
        </w:rPr>
        <w:t>第五章  采购合同（合同主要条款及格式）</w:t>
      </w:r>
      <w:bookmarkEnd w:id="162"/>
      <w:bookmarkEnd w:id="163"/>
    </w:p>
    <w:p>
      <w:pPr>
        <w:spacing w:line="360" w:lineRule="auto"/>
        <w:ind w:right="86" w:firstLine="420" w:firstLineChars="200"/>
        <w:rPr>
          <w:color w:val="000000" w:themeColor="text1"/>
          <w:sz w:val="20"/>
          <w:szCs w:val="20"/>
          <w14:textFill>
            <w14:solidFill>
              <w14:schemeClr w14:val="tx1"/>
            </w14:solidFill>
          </w14:textFill>
        </w:rPr>
      </w:pPr>
      <w:r>
        <w:rPr>
          <w:rFonts w:ascii="宋体" w:hAnsi="宋体" w:cs="宋体"/>
          <w:color w:val="000000" w:themeColor="text1"/>
          <w:szCs w:val="21"/>
          <w14:textFill>
            <w14:solidFill>
              <w14:schemeClr w14:val="tx1"/>
            </w14:solidFill>
          </w14:textFill>
        </w:rPr>
        <w:t>注：本合同仅为合同的参考文本，合同签订双方可根据项目的具体要求进行修订，但不得改变投标文件及响应文件的实质性内容。</w:t>
      </w:r>
    </w:p>
    <w:p>
      <w:pPr>
        <w:spacing w:line="360" w:lineRule="auto"/>
        <w:ind w:right="86"/>
        <w:rPr>
          <w:rFonts w:ascii="宋体" w:hAnsi="宋体" w:cs="宋体"/>
          <w:color w:val="000000" w:themeColor="text1"/>
          <w:szCs w:val="2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项目名称：</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项目编号：</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甲方：（采购人）</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乙方：（</w:t>
      </w:r>
      <w:r>
        <w:rPr>
          <w:rFonts w:hint="eastAsia"/>
          <w:color w:val="000000" w:themeColor="text1"/>
          <w14:textFill>
            <w14:solidFill>
              <w14:schemeClr w14:val="tx1"/>
            </w14:solidFill>
          </w14:textFill>
        </w:rPr>
        <w:t>中标</w:t>
      </w:r>
      <w:r>
        <w:rPr>
          <w:color w:val="000000" w:themeColor="text1"/>
          <w14:textFill>
            <w14:solidFill>
              <w14:schemeClr w14:val="tx1"/>
            </w14:solidFill>
          </w14:textFill>
        </w:rPr>
        <w:t>供应商）</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根据《中华人民共和国政府采购法》、《中华人民共和国</w:t>
      </w:r>
      <w:r>
        <w:rPr>
          <w:rFonts w:hint="eastAsia"/>
          <w:color w:val="000000" w:themeColor="text1"/>
          <w14:textFill>
            <w14:solidFill>
              <w14:schemeClr w14:val="tx1"/>
            </w14:solidFill>
          </w14:textFill>
        </w:rPr>
        <w:t>民法典</w:t>
      </w:r>
      <w:r>
        <w:rPr>
          <w:color w:val="000000" w:themeColor="text1"/>
          <w14:textFill>
            <w14:solidFill>
              <w14:schemeClr w14:val="tx1"/>
            </w14:solidFill>
          </w14:textFill>
        </w:rPr>
        <w:t>》等法律、法规规定，按照</w:t>
      </w:r>
      <w:r>
        <w:rPr>
          <w:rFonts w:hint="eastAsia"/>
          <w:color w:val="000000" w:themeColor="text1"/>
          <w14:textFill>
            <w14:solidFill>
              <w14:schemeClr w14:val="tx1"/>
            </w14:solidFill>
          </w14:textFill>
        </w:rPr>
        <w:t>招标</w:t>
      </w:r>
      <w:r>
        <w:rPr>
          <w:color w:val="000000" w:themeColor="text1"/>
          <w14:textFill>
            <w14:solidFill>
              <w14:schemeClr w14:val="tx1"/>
            </w14:solidFill>
          </w14:textFill>
        </w:rPr>
        <w:t>文件（以下简称</w:t>
      </w:r>
      <w:r>
        <w:rPr>
          <w:rFonts w:hint="eastAsia"/>
          <w:color w:val="000000" w:themeColor="text1"/>
          <w14:textFill>
            <w14:solidFill>
              <w14:schemeClr w14:val="tx1"/>
            </w14:solidFill>
          </w14:textFill>
        </w:rPr>
        <w:t>招标</w:t>
      </w:r>
      <w:r>
        <w:rPr>
          <w:color w:val="000000" w:themeColor="text1"/>
          <w14:textFill>
            <w14:solidFill>
              <w14:schemeClr w14:val="tx1"/>
            </w14:solidFill>
          </w14:textFill>
        </w:rPr>
        <w:t>文件）、</w:t>
      </w:r>
      <w:r>
        <w:rPr>
          <w:rFonts w:hint="eastAsia"/>
          <w:color w:val="000000" w:themeColor="text1"/>
          <w14:textFill>
            <w14:solidFill>
              <w14:schemeClr w14:val="tx1"/>
            </w14:solidFill>
          </w14:textFill>
        </w:rPr>
        <w:t>投标</w:t>
      </w:r>
      <w:r>
        <w:rPr>
          <w:color w:val="000000" w:themeColor="text1"/>
          <w14:textFill>
            <w14:solidFill>
              <w14:schemeClr w14:val="tx1"/>
            </w14:solidFill>
          </w14:textFill>
        </w:rPr>
        <w:t>响应文件（以下简称响应文件）规定条款和</w:t>
      </w:r>
      <w:r>
        <w:rPr>
          <w:rFonts w:hint="eastAsia"/>
          <w:color w:val="000000" w:themeColor="text1"/>
          <w14:textFill>
            <w14:solidFill>
              <w14:schemeClr w14:val="tx1"/>
            </w14:solidFill>
          </w14:textFill>
        </w:rPr>
        <w:t>中标</w:t>
      </w:r>
      <w:r>
        <w:rPr>
          <w:color w:val="000000" w:themeColor="text1"/>
          <w14:textFill>
            <w14:solidFill>
              <w14:schemeClr w14:val="tx1"/>
            </w14:solidFill>
          </w14:textFill>
        </w:rPr>
        <w:t>供应商的承诺、甲乙双方签订本合同。</w:t>
      </w:r>
    </w:p>
    <w:p>
      <w:pPr>
        <w:spacing w:line="360" w:lineRule="auto"/>
        <w:ind w:firstLine="316" w:firstLineChars="150"/>
        <w:rPr>
          <w:b/>
          <w:color w:val="000000" w:themeColor="text1"/>
          <w14:textFill>
            <w14:solidFill>
              <w14:schemeClr w14:val="tx1"/>
            </w14:solidFill>
          </w14:textFill>
        </w:rPr>
      </w:pPr>
      <w:r>
        <w:rPr>
          <w:b/>
          <w:color w:val="000000" w:themeColor="text1"/>
          <w14:textFill>
            <w14:solidFill>
              <w14:schemeClr w14:val="tx1"/>
            </w14:solidFill>
          </w14:textFill>
        </w:rPr>
        <w:t>第一条 合同文件</w:t>
      </w:r>
    </w:p>
    <w:p>
      <w:pPr>
        <w:spacing w:line="360" w:lineRule="auto"/>
        <w:ind w:firstLine="525" w:firstLineChars="250"/>
        <w:rPr>
          <w:color w:val="000000" w:themeColor="text1"/>
          <w14:textFill>
            <w14:solidFill>
              <w14:schemeClr w14:val="tx1"/>
            </w14:solidFill>
          </w14:textFill>
        </w:rPr>
      </w:pPr>
      <w:r>
        <w:rPr>
          <w:color w:val="000000" w:themeColor="text1"/>
          <w14:textFill>
            <w14:solidFill>
              <w14:schemeClr w14:val="tx1"/>
            </w14:solidFill>
          </w14:textFill>
        </w:rPr>
        <w:t>1、本合同所附下列文件是构成本合同不可分割的部分：</w:t>
      </w:r>
    </w:p>
    <w:p>
      <w:pPr>
        <w:spacing w:line="360" w:lineRule="auto"/>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乙方</w:t>
      </w:r>
      <w:r>
        <w:rPr>
          <w:color w:val="000000" w:themeColor="text1"/>
          <w14:textFill>
            <w14:solidFill>
              <w14:schemeClr w14:val="tx1"/>
            </w14:solidFill>
          </w14:textFill>
        </w:rPr>
        <w:t>提交的</w:t>
      </w:r>
      <w:r>
        <w:rPr>
          <w:rFonts w:hint="eastAsia"/>
          <w:color w:val="000000" w:themeColor="text1"/>
          <w14:textFill>
            <w14:solidFill>
              <w14:schemeClr w14:val="tx1"/>
            </w14:solidFill>
          </w14:textFill>
        </w:rPr>
        <w:t>投标</w:t>
      </w:r>
      <w:r>
        <w:rPr>
          <w:color w:val="000000" w:themeColor="text1"/>
          <w14:textFill>
            <w14:solidFill>
              <w14:schemeClr w14:val="tx1"/>
            </w14:solidFill>
          </w14:textFill>
        </w:rPr>
        <w:t>报价表、</w:t>
      </w:r>
      <w:r>
        <w:rPr>
          <w:color w:val="000000" w:themeColor="text1"/>
          <w:szCs w:val="21"/>
          <w14:textFill>
            <w14:solidFill>
              <w14:schemeClr w14:val="tx1"/>
            </w14:solidFill>
          </w14:textFill>
        </w:rPr>
        <w:t>针对本项目的服务项目编制方案</w:t>
      </w:r>
      <w:r>
        <w:rPr>
          <w:color w:val="000000" w:themeColor="text1"/>
          <w14:textFill>
            <w14:solidFill>
              <w14:schemeClr w14:val="tx1"/>
            </w14:solidFill>
          </w14:textFill>
        </w:rPr>
        <w:t>；</w:t>
      </w:r>
    </w:p>
    <w:p>
      <w:pPr>
        <w:spacing w:line="360" w:lineRule="auto"/>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中标</w:t>
      </w:r>
      <w:r>
        <w:rPr>
          <w:color w:val="000000" w:themeColor="text1"/>
          <w14:textFill>
            <w14:solidFill>
              <w14:schemeClr w14:val="tx1"/>
            </w14:solidFill>
          </w14:textFill>
        </w:rPr>
        <w:t>通知书；</w:t>
      </w:r>
    </w:p>
    <w:p>
      <w:pPr>
        <w:spacing w:line="360" w:lineRule="auto"/>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（3）本合同协议书及有关补充资料；</w:t>
      </w:r>
    </w:p>
    <w:p>
      <w:pPr>
        <w:spacing w:line="360" w:lineRule="auto"/>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招标</w:t>
      </w:r>
      <w:r>
        <w:rPr>
          <w:color w:val="000000" w:themeColor="text1"/>
          <w14:textFill>
            <w14:solidFill>
              <w14:schemeClr w14:val="tx1"/>
            </w14:solidFill>
          </w14:textFill>
        </w:rPr>
        <w:t>文件的条款要求。</w:t>
      </w:r>
    </w:p>
    <w:p>
      <w:pPr>
        <w:tabs>
          <w:tab w:val="left" w:pos="1305"/>
        </w:tabs>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2、合同价金额包括：服务过程中相关的一切费用。</w:t>
      </w:r>
    </w:p>
    <w:p>
      <w:pPr>
        <w:spacing w:line="360" w:lineRule="auto"/>
        <w:ind w:firstLine="413" w:firstLineChars="19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第二条　合同金额</w:t>
      </w:r>
    </w:p>
    <w:p>
      <w:pPr>
        <w:spacing w:line="360" w:lineRule="auto"/>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根据《</w:t>
      </w:r>
      <w:r>
        <w:rPr>
          <w:rFonts w:hint="eastAsia"/>
          <w:color w:val="000000" w:themeColor="text1"/>
          <w:szCs w:val="21"/>
          <w14:textFill>
            <w14:solidFill>
              <w14:schemeClr w14:val="tx1"/>
            </w14:solidFill>
          </w14:textFill>
        </w:rPr>
        <w:t>中标</w:t>
      </w:r>
      <w:r>
        <w:rPr>
          <w:color w:val="000000" w:themeColor="text1"/>
          <w:szCs w:val="21"/>
          <w14:textFill>
            <w14:solidFill>
              <w14:schemeClr w14:val="tx1"/>
            </w14:solidFill>
          </w14:textFill>
        </w:rPr>
        <w:t>通知书》的</w:t>
      </w:r>
      <w:r>
        <w:rPr>
          <w:rFonts w:hint="eastAsia"/>
          <w:color w:val="000000" w:themeColor="text1"/>
          <w:szCs w:val="21"/>
          <w14:textFill>
            <w14:solidFill>
              <w14:schemeClr w14:val="tx1"/>
            </w14:solidFill>
          </w14:textFill>
        </w:rPr>
        <w:t>中标</w:t>
      </w:r>
      <w:r>
        <w:rPr>
          <w:color w:val="000000" w:themeColor="text1"/>
          <w:szCs w:val="21"/>
          <w14:textFill>
            <w14:solidFill>
              <w14:schemeClr w14:val="tx1"/>
            </w14:solidFill>
          </w14:textFill>
        </w:rPr>
        <w:t>内容，合同的总金额为：（大写）人民币（</w:t>
      </w:r>
      <w:r>
        <w:rPr>
          <w:color w:val="000000" w:themeColor="text1"/>
          <w14:textFill>
            <w14:solidFill>
              <w14:schemeClr w14:val="tx1"/>
            </w14:solidFill>
          </w14:textFill>
        </w:rPr>
        <w:t>￥</w:t>
      </w:r>
      <w:r>
        <w:rPr>
          <w:color w:val="000000" w:themeColor="text1"/>
          <w:szCs w:val="21"/>
          <w14:textFill>
            <w14:solidFill>
              <w14:schemeClr w14:val="tx1"/>
            </w14:solidFill>
          </w14:textFill>
        </w:rPr>
        <w:t>元）</w:t>
      </w:r>
    </w:p>
    <w:p>
      <w:pPr>
        <w:numPr>
          <w:ilvl w:val="0"/>
          <w:numId w:val="4"/>
        </w:numPr>
        <w:spacing w:line="360" w:lineRule="auto"/>
        <w:ind w:firstLine="413" w:firstLineChars="19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 质量保证</w:t>
      </w:r>
    </w:p>
    <w:p>
      <w:pPr>
        <w:spacing w:line="360" w:lineRule="auto"/>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乙方应按响应文件规定的服务范围向甲方提供相应服务。</w:t>
      </w:r>
    </w:p>
    <w:p>
      <w:pPr>
        <w:spacing w:line="360" w:lineRule="auto"/>
        <w:ind w:firstLine="413" w:firstLineChars="19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第四条  交付</w:t>
      </w:r>
    </w:p>
    <w:p>
      <w:pPr>
        <w:spacing w:line="360" w:lineRule="auto"/>
        <w:ind w:firstLine="405"/>
        <w:rPr>
          <w:color w:val="000000" w:themeColor="text1"/>
          <w:szCs w:val="21"/>
          <w14:textFill>
            <w14:solidFill>
              <w14:schemeClr w14:val="tx1"/>
            </w14:solidFill>
          </w14:textFill>
        </w:rPr>
      </w:pPr>
      <w:r>
        <w:rPr>
          <w:color w:val="000000" w:themeColor="text1"/>
          <w:szCs w:val="21"/>
          <w14:textFill>
            <w14:solidFill>
              <w14:schemeClr w14:val="tx1"/>
            </w14:solidFill>
          </w14:textFill>
        </w:rPr>
        <w:t>1、服务时间：</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u w:val="single"/>
          <w:lang w:eastAsia="zh-CN"/>
          <w14:textFill>
            <w14:solidFill>
              <w14:schemeClr w14:val="tx1"/>
            </w14:solidFill>
          </w14:textFill>
        </w:rPr>
        <w:t>三</w:t>
      </w:r>
      <w:r>
        <w:rPr>
          <w:rFonts w:hint="eastAsia"/>
          <w:color w:val="000000" w:themeColor="text1"/>
          <w:szCs w:val="21"/>
          <w:u w:val="single"/>
          <w14:textFill>
            <w14:solidFill>
              <w14:schemeClr w14:val="tx1"/>
            </w14:solidFill>
          </w14:textFill>
        </w:rPr>
        <w:t xml:space="preserve">年   </w:t>
      </w:r>
      <w:r>
        <w:rPr>
          <w:color w:val="000000" w:themeColor="text1"/>
          <w:szCs w:val="21"/>
          <w14:textFill>
            <w14:solidFill>
              <w14:schemeClr w14:val="tx1"/>
            </w14:solidFill>
          </w14:textFill>
        </w:rPr>
        <w:t xml:space="preserve"> 、地点：</w:t>
      </w:r>
      <w:r>
        <w:rPr>
          <w:rFonts w:hint="eastAsia"/>
          <w:color w:val="000000" w:themeColor="text1"/>
          <w:szCs w:val="21"/>
          <w:u w:val="single"/>
          <w14:textFill>
            <w14:solidFill>
              <w14:schemeClr w14:val="tx1"/>
            </w14:solidFill>
          </w14:textFill>
        </w:rPr>
        <w:t>甲方</w:t>
      </w:r>
      <w:r>
        <w:rPr>
          <w:color w:val="000000" w:themeColor="text1"/>
          <w:szCs w:val="21"/>
          <w:u w:val="single"/>
          <w14:textFill>
            <w14:solidFill>
              <w14:schemeClr w14:val="tx1"/>
            </w14:solidFill>
          </w14:textFill>
        </w:rPr>
        <w:t>指定地点</w:t>
      </w:r>
      <w:r>
        <w:rPr>
          <w:color w:val="000000" w:themeColor="text1"/>
          <w:szCs w:val="21"/>
          <w14:textFill>
            <w14:solidFill>
              <w14:schemeClr w14:val="tx1"/>
            </w14:solidFill>
          </w14:textFill>
        </w:rPr>
        <w:t>。</w:t>
      </w:r>
    </w:p>
    <w:p>
      <w:pPr>
        <w:pStyle w:val="2"/>
        <w:spacing w:line="360" w:lineRule="auto"/>
        <w:ind w:firstLine="405"/>
        <w:rPr>
          <w:color w:val="000000" w:themeColor="text1"/>
          <w:szCs w:val="21"/>
          <w:highlight w:val="yellow"/>
          <w14:textFill>
            <w14:solidFill>
              <w14:schemeClr w14:val="tx1"/>
            </w14:solidFill>
          </w14:textFill>
        </w:rPr>
      </w:pPr>
      <w:r>
        <w:rPr>
          <w:b/>
          <w:color w:val="000000" w:themeColor="text1"/>
          <w:szCs w:val="21"/>
          <w14:textFill>
            <w14:solidFill>
              <w14:schemeClr w14:val="tx1"/>
            </w14:solidFill>
          </w14:textFill>
        </w:rPr>
        <w:t>服务时间为</w:t>
      </w:r>
      <w:r>
        <w:rPr>
          <w:rFonts w:hint="eastAsia"/>
          <w:b/>
          <w:color w:val="000000" w:themeColor="text1"/>
          <w:szCs w:val="21"/>
          <w:lang w:eastAsia="zh-CN"/>
          <w14:textFill>
            <w14:solidFill>
              <w14:schemeClr w14:val="tx1"/>
            </w14:solidFill>
          </w14:textFill>
        </w:rPr>
        <w:t>三</w:t>
      </w:r>
      <w:r>
        <w:rPr>
          <w:b/>
          <w:color w:val="000000" w:themeColor="text1"/>
          <w:szCs w:val="21"/>
          <w14:textFill>
            <w14:solidFill>
              <w14:schemeClr w14:val="tx1"/>
            </w14:solidFill>
          </w14:textFill>
        </w:rPr>
        <w:t>年，每</w:t>
      </w:r>
      <w:r>
        <w:rPr>
          <w:rFonts w:hint="eastAsia"/>
          <w:b/>
          <w:color w:val="000000" w:themeColor="text1"/>
          <w:szCs w:val="21"/>
          <w14:textFill>
            <w14:solidFill>
              <w14:schemeClr w14:val="tx1"/>
            </w14:solidFill>
          </w14:textFill>
        </w:rPr>
        <w:t>季度</w:t>
      </w:r>
      <w:r>
        <w:rPr>
          <w:b/>
          <w:color w:val="000000" w:themeColor="text1"/>
          <w:szCs w:val="21"/>
          <w14:textFill>
            <w14:solidFill>
              <w14:schemeClr w14:val="tx1"/>
            </w14:solidFill>
          </w14:textFill>
        </w:rPr>
        <w:t>由采购人对中标的运营公司按照《灵川县5个污水处理厂项目运行维护管理考核办法》（见附件一、二）进行考核。</w:t>
      </w:r>
    </w:p>
    <w:p>
      <w:pPr>
        <w:spacing w:line="360" w:lineRule="auto"/>
        <w:ind w:firstLine="405"/>
        <w:rPr>
          <w:color w:val="000000" w:themeColor="text1"/>
          <w:szCs w:val="21"/>
          <w14:textFill>
            <w14:solidFill>
              <w14:schemeClr w14:val="tx1"/>
            </w14:solidFill>
          </w14:textFill>
        </w:rPr>
      </w:pPr>
      <w:r>
        <w:rPr>
          <w:color w:val="000000" w:themeColor="text1"/>
          <w:szCs w:val="21"/>
          <w14:textFill>
            <w14:solidFill>
              <w14:schemeClr w14:val="tx1"/>
            </w14:solidFill>
          </w14:textFill>
        </w:rPr>
        <w:t>2、乙方提供不符合</w:t>
      </w:r>
      <w:r>
        <w:rPr>
          <w:rFonts w:hint="eastAsia"/>
          <w:color w:val="000000" w:themeColor="text1"/>
          <w:szCs w:val="21"/>
          <w14:textFill>
            <w14:solidFill>
              <w14:schemeClr w14:val="tx1"/>
            </w14:solidFill>
          </w14:textFill>
        </w:rPr>
        <w:t>招标</w:t>
      </w:r>
      <w:r>
        <w:rPr>
          <w:color w:val="000000" w:themeColor="text1"/>
          <w:szCs w:val="21"/>
          <w14:textFill>
            <w14:solidFill>
              <w14:schemeClr w14:val="tx1"/>
            </w14:solidFill>
          </w14:textFill>
        </w:rPr>
        <w:t>文件和本合同规定的服务，甲方有权拒绝接受。</w:t>
      </w:r>
    </w:p>
    <w:p>
      <w:pPr>
        <w:spacing w:line="360" w:lineRule="auto"/>
        <w:ind w:firstLine="405"/>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第五条  污水处理运营管理要求</w:t>
      </w:r>
    </w:p>
    <w:p>
      <w:pPr>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1、甲方于乙方进场服务前，向乙方提供厂区内现有的设备、物品等一切国有设备的移交清单明细，并移交乙方，乙方须当场核对清单并检查相关设备、物品等完好情况，并由乙方相关负责人书面确认；服务期满后，甲方核对原移交的设备、物品等一切国有设备，若因乙方的操作失误等自身原因导致原移交的设备、物品等的损坏或遗失，一切直接经济损失由乙方负责。 </w:t>
      </w:r>
      <w:r>
        <w:rPr>
          <w:rFonts w:hint="eastAsia" w:ascii="宋体" w:hAnsi="宋体" w:cs="宋体"/>
          <w:bCs/>
          <w:color w:val="000000" w:themeColor="text1"/>
          <w:szCs w:val="21"/>
          <w14:textFill>
            <w14:solidFill>
              <w14:schemeClr w14:val="tx1"/>
            </w14:solidFill>
          </w14:textFill>
        </w:rPr>
        <w:t>若乙方服务前，设备、物品已经损坏，由甲方落实该项设备、物品维修、整改工作，乙方应当协助甲方。在进水水质超过《污水排入城市下水道水质标准》CJ_343-2010排放标准或水量超设计规模30%的情况下，乙方不对污水处理厂出水水质负责，因此产生的</w:t>
      </w:r>
      <w:r>
        <w:rPr>
          <w:rFonts w:hint="eastAsia" w:ascii="宋体" w:hAnsi="宋体" w:cs="宋体"/>
          <w:bCs/>
          <w:color w:val="000000" w:themeColor="text1"/>
          <w:szCs w:val="21"/>
          <w:lang w:eastAsia="zh-CN"/>
          <w14:textFill>
            <w14:solidFill>
              <w14:schemeClr w14:val="tx1"/>
            </w14:solidFill>
          </w14:textFill>
        </w:rPr>
        <w:t>相关的环保责任</w:t>
      </w:r>
      <w:r>
        <w:rPr>
          <w:rFonts w:hint="eastAsia" w:ascii="宋体" w:hAnsi="宋体" w:cs="宋体"/>
          <w:bCs/>
          <w:color w:val="000000" w:themeColor="text1"/>
          <w:szCs w:val="21"/>
          <w14:textFill>
            <w14:solidFill>
              <w14:schemeClr w14:val="tx1"/>
            </w14:solidFill>
          </w14:textFill>
        </w:rPr>
        <w:t>、经济处罚责任由甲方自行承担。</w:t>
      </w:r>
    </w:p>
    <w:p>
      <w:pPr>
        <w:pStyle w:val="2"/>
        <w:spacing w:line="360" w:lineRule="auto"/>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2、乙方负责设备运营的电费、第三方具备相关资质的机构针对排污许可证发放要求进行的例行监测费用及污水处理厂在线监测设备的第三方运营费。</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3、甲方将现有设备设施问题整改并满足各污水厂污染物排放指标达到排污许可证排放标准后，乙方确保污水处理设施的正常运行，污染物排放指标达到各污水处理厂排污许可证排放标准。</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污水处理设施的日常维护管理，包括设备调试、检查，完成正常运行的所有工作程序，并对厂区内所有设备、道路绿化、排水排污管道、给水消防管道设施及厂区内所有公用附属设施进行检测管理维护，做好检查记录；制定运行管理制度，制度上墙，运行时间上墙，明确管理责任。</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5、做好运行管理台帐记录，按要求完成污水处理、环境监测等相关在线监管平台信息填报工作，每月向甲方报送运行月报表，包括设施运行情况、每月用电量、设备维修情况及群众投诉情况等，以备相关单位核查和考核。 </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6、完善报告制度，不得擅自停止污水处理设施的运行，在遇到管网破坏、设备故障、民事纠纷、自然灾害等问题，应及时报告甲方及县生态环境局，限期整改，尽快恢复污水处理设施的正常运行。</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7、乙方在服务期内必须加强对所有生产设备的检修、维护，确保安全生产，若出现设备、仪器等故障或发生安全事故，一切法律及经济责任由供应商承担。</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8、有稳定的专门运行维护人员，并定期开展相关培训工作。自行负责污水处理设施运行中相关的对内、对外联系，对污水设施的安全消防负全责，并承担赔偿损失。</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乙方必须根据本项目的实际情况制定合理管理制度（包括运营维护管理制度、人力资源管理制度等）及合理的工作计划，并向甲方报备。拟投入本项目的现场服务人员不得从事违纪违法行为（如偷盗、传销、打架斗殴等等）等有损甲方利益和形象的其他行为。</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10、乙方必须按时发放拟投入本项目人员的薪酬（含基本工资、绩效工资、员工社保等），不得引起劳务纠纷，所引起的劳务纠纷由乙方负责承担处理，并保证不得影响项目的正常运行维护。</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11、因国家相关环保部门的验收不合格或其他原因导致责令停产2次及以上的，则按违约处理，乙方必须支付合同总金额的5%作为违约金。</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服务期内，甲方认为乙方实际投入的人员不足以满足项目需要或认为人员不称职时，可向乙方发出要求增加或更换人员的通知，乙方在收到通知后的5个工作日内应增加或更换相应的人员，由此产生的费用由乙方自行承担。</w:t>
      </w:r>
    </w:p>
    <w:p>
      <w:pPr>
        <w:spacing w:afterLines="50" w:line="360" w:lineRule="auto"/>
        <w:ind w:firstLine="316" w:firstLineChars="15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第六条</w:t>
      </w:r>
      <w:r>
        <w:rPr>
          <w:rFonts w:hint="eastAsia"/>
          <w:b/>
          <w:color w:val="000000" w:themeColor="text1"/>
          <w:szCs w:val="21"/>
          <w:lang w:val="en-US" w:eastAsia="zh-CN"/>
          <w14:textFill>
            <w14:solidFill>
              <w14:schemeClr w14:val="tx1"/>
            </w14:solidFill>
          </w14:textFill>
        </w:rPr>
        <w:t xml:space="preserve">  </w:t>
      </w:r>
      <w:r>
        <w:rPr>
          <w:b/>
          <w:color w:val="000000" w:themeColor="text1"/>
          <w:szCs w:val="21"/>
          <w14:textFill>
            <w14:solidFill>
              <w14:schemeClr w14:val="tx1"/>
            </w14:solidFill>
          </w14:textFill>
        </w:rPr>
        <w:t>安全生产和环境保护</w:t>
      </w:r>
    </w:p>
    <w:p>
      <w:pPr>
        <w:spacing w:line="360" w:lineRule="auto"/>
        <w:ind w:firstLine="405"/>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乙方应始终遵守有关公共卫生和安全的适用法律法规基本协议的规定。</w:t>
      </w:r>
    </w:p>
    <w:p>
      <w:pPr>
        <w:spacing w:line="360" w:lineRule="auto"/>
        <w:ind w:firstLine="405"/>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乙方不应因项目的设施的运营和维护不到位而造成污水处理场地和排水干管（如果有）土地（包括土壤，地下水或表水及空气）或周围的污染。</w:t>
      </w:r>
    </w:p>
    <w:p>
      <w:pPr>
        <w:spacing w:line="360" w:lineRule="auto"/>
        <w:ind w:firstLine="405"/>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乙方在项目设施的运营和维护期间应采取一切合理措施来避免或尽量减少对项目设施周围建筑物和居民的干扰。</w:t>
      </w:r>
    </w:p>
    <w:p>
      <w:pPr>
        <w:spacing w:line="360" w:lineRule="auto"/>
        <w:ind w:firstLine="405"/>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但乙方对于以下任何一种情形不承担责任；</w:t>
      </w:r>
    </w:p>
    <w:p>
      <w:pPr>
        <w:spacing w:line="360" w:lineRule="auto"/>
        <w:ind w:firstLine="405"/>
        <w:rPr>
          <w:color w:val="000000" w:themeColor="text1"/>
          <w:szCs w:val="21"/>
          <w14:textFill>
            <w14:solidFill>
              <w14:schemeClr w14:val="tx1"/>
            </w14:solidFill>
          </w14:textFill>
        </w:rPr>
      </w:pPr>
      <w:r>
        <w:rPr>
          <w:color w:val="000000" w:themeColor="text1"/>
          <w:szCs w:val="21"/>
          <w14:textFill>
            <w14:solidFill>
              <w14:schemeClr w14:val="tx1"/>
            </w14:solidFill>
          </w14:textFill>
        </w:rPr>
        <w:t>（1）因第三方的作为或者</w:t>
      </w:r>
      <w:r>
        <w:rPr>
          <w:rFonts w:hint="eastAsia"/>
          <w:color w:val="000000" w:themeColor="text1"/>
          <w:szCs w:val="21"/>
          <w14:textFill>
            <w14:solidFill>
              <w14:schemeClr w14:val="tx1"/>
            </w14:solidFill>
          </w14:textFill>
        </w:rPr>
        <w:t>甲方</w:t>
      </w:r>
      <w:r>
        <w:rPr>
          <w:color w:val="000000" w:themeColor="text1"/>
          <w:szCs w:val="21"/>
          <w14:textFill>
            <w14:solidFill>
              <w14:schemeClr w14:val="tx1"/>
            </w14:solidFill>
          </w14:textFill>
        </w:rPr>
        <w:t>不作为引起的；</w:t>
      </w:r>
    </w:p>
    <w:p>
      <w:pPr>
        <w:spacing w:line="360" w:lineRule="auto"/>
        <w:ind w:firstLine="405"/>
        <w:rPr>
          <w:color w:val="000000" w:themeColor="text1"/>
          <w:szCs w:val="21"/>
          <w14:textFill>
            <w14:solidFill>
              <w14:schemeClr w14:val="tx1"/>
            </w14:solidFill>
          </w14:textFill>
        </w:rPr>
      </w:pPr>
      <w:r>
        <w:rPr>
          <w:color w:val="000000" w:themeColor="text1"/>
          <w:szCs w:val="21"/>
          <w14:textFill>
            <w14:solidFill>
              <w14:schemeClr w14:val="tx1"/>
            </w14:solidFill>
          </w14:textFill>
        </w:rPr>
        <w:t>（2）甲方导致的环境污染及安全隐患。</w:t>
      </w:r>
    </w:p>
    <w:p>
      <w:pPr>
        <w:spacing w:afterLines="50" w:line="360" w:lineRule="auto"/>
        <w:ind w:firstLine="316" w:firstLineChars="15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w:t>
      </w:r>
      <w:r>
        <w:rPr>
          <w:rFonts w:hint="eastAsia"/>
          <w:b/>
          <w:color w:val="000000" w:themeColor="text1"/>
          <w:szCs w:val="21"/>
          <w:lang w:eastAsia="zh-CN"/>
          <w14:textFill>
            <w14:solidFill>
              <w14:schemeClr w14:val="tx1"/>
            </w14:solidFill>
          </w14:textFill>
        </w:rPr>
        <w:t>七</w:t>
      </w:r>
      <w:r>
        <w:rPr>
          <w:b/>
          <w:color w:val="000000" w:themeColor="text1"/>
          <w:szCs w:val="21"/>
          <w14:textFill>
            <w14:solidFill>
              <w14:schemeClr w14:val="tx1"/>
            </w14:solidFill>
          </w14:textFill>
        </w:rPr>
        <w:t>条 双方权利与义务</w:t>
      </w:r>
    </w:p>
    <w:p>
      <w:pPr>
        <w:spacing w:line="360" w:lineRule="auto"/>
        <w:ind w:firstLine="405"/>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乙方在托管运营期满时须将完好的项目设施设备移交给甲方，并保证整个污水处理</w:t>
      </w:r>
      <w:r>
        <w:rPr>
          <w:rFonts w:hint="eastAsia"/>
          <w:color w:val="000000" w:themeColor="text1"/>
          <w:szCs w:val="21"/>
          <w14:textFill>
            <w14:solidFill>
              <w14:schemeClr w14:val="tx1"/>
            </w14:solidFill>
          </w14:textFill>
        </w:rPr>
        <w:t>厂</w:t>
      </w:r>
      <w:r>
        <w:rPr>
          <w:color w:val="000000" w:themeColor="text1"/>
          <w:szCs w:val="21"/>
          <w14:textFill>
            <w14:solidFill>
              <w14:schemeClr w14:val="tx1"/>
            </w14:solidFill>
          </w14:textFill>
        </w:rPr>
        <w:t>能正常运营；如乙方不能在托管运营期满时将完好的项目设施设备移交给甲方，甲方有权将其维修交由第三方进行，所产生的的费用由乙方承担。</w:t>
      </w:r>
    </w:p>
    <w:p>
      <w:pPr>
        <w:spacing w:line="360" w:lineRule="auto"/>
        <w:ind w:firstLine="405"/>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乙方运营期间，应确保对委托管理的设备设施完好无损，正常运行，严格按照处理工艺执行，保证污水处理达标。如由乙方原因造成损坏，必须在甲方规定的时间内彻底整改，相关费用由乙方承担。</w:t>
      </w:r>
    </w:p>
    <w:p>
      <w:pPr>
        <w:spacing w:line="360" w:lineRule="auto"/>
        <w:ind w:firstLine="405"/>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乙方在运营期间，必须严格按污水处理站各项操作规程进行操作，保证人身安全。如果在合同期内发生安全责任事故，事故责任完全由乙方负责。</w:t>
      </w:r>
    </w:p>
    <w:p>
      <w:pPr>
        <w:spacing w:line="360" w:lineRule="auto"/>
        <w:ind w:firstLine="405"/>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污水处理</w:t>
      </w:r>
      <w:r>
        <w:rPr>
          <w:rFonts w:hint="eastAsia"/>
          <w:color w:val="000000" w:themeColor="text1"/>
          <w:szCs w:val="21"/>
          <w14:textFill>
            <w14:solidFill>
              <w14:schemeClr w14:val="tx1"/>
            </w14:solidFill>
          </w14:textFill>
        </w:rPr>
        <w:t>厂</w:t>
      </w:r>
      <w:r>
        <w:rPr>
          <w:color w:val="000000" w:themeColor="text1"/>
          <w:szCs w:val="21"/>
          <w14:textFill>
            <w14:solidFill>
              <w14:schemeClr w14:val="tx1"/>
            </w14:solidFill>
          </w14:textFill>
        </w:rPr>
        <w:t>的运行电费缴费凭证、运行记录、维修记录、监测报告、固体废弃物处理台账等由乙方妥善保存。在运营期内，乙方有义务配合甲方做好上级部门的监督检查工作，并提供相关材料。</w:t>
      </w:r>
    </w:p>
    <w:p>
      <w:pPr>
        <w:spacing w:line="360" w:lineRule="auto"/>
        <w:ind w:firstLine="405"/>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乙方运营期间，为保证污水的达标排放，需按照双方约定的次数做好自行检测，以掌握污水处理设施的进出水口的水质，由乙方承担检测费用。</w:t>
      </w:r>
    </w:p>
    <w:p>
      <w:pPr>
        <w:spacing w:line="360" w:lineRule="auto"/>
        <w:ind w:firstLine="405"/>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污水处理站水质监测，甲方按照相关要求不定期随机抽取污水处理设施的进出水口的水质进行采样监测，每次采样均需有甲乙方人员在场，确保采集水样的真实性（监测费用由甲方责任）；</w:t>
      </w:r>
    </w:p>
    <w:p>
      <w:pPr>
        <w:spacing w:line="360" w:lineRule="auto"/>
        <w:ind w:firstLine="405"/>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污水管网及设施设备</w:t>
      </w:r>
      <w:r>
        <w:rPr>
          <w:rFonts w:hint="eastAsia"/>
          <w:color w:val="000000" w:themeColor="text1"/>
          <w:szCs w:val="21"/>
          <w14:textFill>
            <w14:solidFill>
              <w14:schemeClr w14:val="tx1"/>
            </w14:solidFill>
          </w14:textFill>
        </w:rPr>
        <w:t>因不可抗因素</w:t>
      </w:r>
      <w:r>
        <w:rPr>
          <w:color w:val="000000" w:themeColor="text1"/>
          <w:szCs w:val="21"/>
          <w14:textFill>
            <w14:solidFill>
              <w14:schemeClr w14:val="tx1"/>
            </w14:solidFill>
          </w14:textFill>
        </w:rPr>
        <w:t>需要大修，由乙方以书面形式向甲方提出维修方案，待甲方审核批复后按维修方案执行并拨付维修费用。</w:t>
      </w:r>
    </w:p>
    <w:p>
      <w:pPr>
        <w:spacing w:line="360" w:lineRule="auto"/>
        <w:ind w:firstLine="405"/>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在合同有效期内，甲方发现乙方若有污水未经处理偷排及固体废物未按规范处理后运往政府指定消纳地点，造成重大事故的，乙方将承担相应的法律责任。</w:t>
      </w:r>
    </w:p>
    <w:p>
      <w:pPr>
        <w:pStyle w:val="2"/>
        <w:spacing w:line="360" w:lineRule="auto"/>
        <w:ind w:firstLine="420"/>
        <w:rPr>
          <w:rFonts w:hint="eastAsia" w:eastAsia="宋体"/>
          <w:color w:val="000000" w:themeColor="text1"/>
          <w:sz w:val="21"/>
          <w:szCs w:val="21"/>
          <w:lang w:eastAsia="zh-CN"/>
          <w14:textFill>
            <w14:solidFill>
              <w14:schemeClr w14:val="tx1"/>
            </w14:solidFill>
          </w14:textFill>
        </w:rPr>
      </w:pPr>
      <w:r>
        <w:rPr>
          <w:rFonts w:hint="default"/>
          <w:color w:val="000000" w:themeColor="text1"/>
          <w:sz w:val="21"/>
          <w:szCs w:val="21"/>
          <w14:textFill>
            <w14:solidFill>
              <w14:schemeClr w14:val="tx1"/>
            </w14:solidFill>
          </w14:textFill>
        </w:rPr>
        <w:t>9、甲方确保本项目的服务费纳入年度财政预算和中期财政规划，按照本合同约定开展绩效评价，并根据绩效评价结果及时、足额向乙方支付服务费。甲方委托第三方（如有）定期监测项目产出绩效指标，编制季报和年报报县财政局备案，所需费用由县财政列入年初预算</w:t>
      </w:r>
      <w:r>
        <w:rPr>
          <w:rFonts w:hint="eastAsia"/>
          <w:color w:val="000000" w:themeColor="text1"/>
          <w:sz w:val="21"/>
          <w:szCs w:val="21"/>
          <w:lang w:eastAsia="zh-CN"/>
          <w14:textFill>
            <w14:solidFill>
              <w14:schemeClr w14:val="tx1"/>
            </w14:solidFill>
          </w14:textFill>
        </w:rPr>
        <w:t>。</w:t>
      </w:r>
    </w:p>
    <w:p>
      <w:pPr>
        <w:spacing w:afterLines="50" w:line="360" w:lineRule="auto"/>
        <w:ind w:firstLine="403"/>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第八条  运营方职责</w:t>
      </w:r>
    </w:p>
    <w:p>
      <w:pPr>
        <w:spacing w:line="360" w:lineRule="auto"/>
        <w:ind w:firstLine="405"/>
        <w:rPr>
          <w:color w:val="000000" w:themeColor="text1"/>
          <w:szCs w:val="21"/>
          <w14:textFill>
            <w14:solidFill>
              <w14:schemeClr w14:val="tx1"/>
            </w14:solidFill>
          </w14:textFill>
        </w:rPr>
      </w:pPr>
      <w:r>
        <w:rPr>
          <w:color w:val="000000" w:themeColor="text1"/>
          <w:szCs w:val="21"/>
          <w14:textFill>
            <w14:solidFill>
              <w14:schemeClr w14:val="tx1"/>
            </w14:solidFill>
          </w14:textFill>
        </w:rPr>
        <w:t>1、污水处理设施的管理维护及正常运行，包括格网井、调节池、生物接触氧化池、二沉池、</w:t>
      </w:r>
      <w:r>
        <w:rPr>
          <w:rFonts w:hint="eastAsia"/>
          <w:color w:val="000000" w:themeColor="text1"/>
          <w:szCs w:val="21"/>
          <w14:textFill>
            <w14:solidFill>
              <w14:schemeClr w14:val="tx1"/>
            </w14:solidFill>
          </w14:textFill>
        </w:rPr>
        <w:t>厂区</w:t>
      </w:r>
      <w:r>
        <w:rPr>
          <w:color w:val="000000" w:themeColor="text1"/>
          <w:szCs w:val="21"/>
          <w14:textFill>
            <w14:solidFill>
              <w14:schemeClr w14:val="tx1"/>
            </w14:solidFill>
          </w14:textFill>
        </w:rPr>
        <w:t>监测井等构筑物，工艺污水管线及机房、围栏、绿化草坪、宣传牌、标志标识等附属设施。</w:t>
      </w:r>
    </w:p>
    <w:p>
      <w:pPr>
        <w:spacing w:line="360" w:lineRule="auto"/>
        <w:ind w:firstLine="405"/>
        <w:rPr>
          <w:color w:val="000000" w:themeColor="text1"/>
          <w:szCs w:val="21"/>
          <w14:textFill>
            <w14:solidFill>
              <w14:schemeClr w14:val="tx1"/>
            </w14:solidFill>
          </w14:textFill>
        </w:rPr>
      </w:pPr>
      <w:r>
        <w:rPr>
          <w:color w:val="000000" w:themeColor="text1"/>
          <w:szCs w:val="21"/>
          <w14:textFill>
            <w14:solidFill>
              <w14:schemeClr w14:val="tx1"/>
            </w14:solidFill>
          </w14:textFill>
        </w:rPr>
        <w:t>2、污水处理工作的所有供电、电气设备、机械设备的管理维护及正常运行，包括电杆、电缆线、电控柜、风机、水泵、曝气器、填料、斜管等。</w:t>
      </w:r>
    </w:p>
    <w:p>
      <w:pPr>
        <w:spacing w:line="360" w:lineRule="auto"/>
        <w:ind w:firstLine="405"/>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w:t>
      </w:r>
      <w:r>
        <w:rPr>
          <w:rFonts w:hint="eastAsia"/>
          <w:b/>
          <w:color w:val="000000" w:themeColor="text1"/>
          <w:szCs w:val="21"/>
          <w14:textFill>
            <w14:solidFill>
              <w14:schemeClr w14:val="tx1"/>
            </w14:solidFill>
          </w14:textFill>
        </w:rPr>
        <w:t>九</w:t>
      </w:r>
      <w:r>
        <w:rPr>
          <w:b/>
          <w:color w:val="000000" w:themeColor="text1"/>
          <w:szCs w:val="21"/>
          <w14:textFill>
            <w14:solidFill>
              <w14:schemeClr w14:val="tx1"/>
            </w14:solidFill>
          </w14:textFill>
        </w:rPr>
        <w:t>条  税费</w:t>
      </w:r>
    </w:p>
    <w:p>
      <w:pPr>
        <w:spacing w:line="360" w:lineRule="auto"/>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本合同执行中相关的税费均由</w:t>
      </w:r>
      <w:r>
        <w:rPr>
          <w:rFonts w:hint="eastAsia"/>
          <w:color w:val="000000" w:themeColor="text1"/>
          <w:szCs w:val="21"/>
          <w14:textFill>
            <w14:solidFill>
              <w14:schemeClr w14:val="tx1"/>
            </w14:solidFill>
          </w14:textFill>
        </w:rPr>
        <w:t>各纳税义务主体</w:t>
      </w:r>
      <w:r>
        <w:rPr>
          <w:color w:val="000000" w:themeColor="text1"/>
          <w:szCs w:val="21"/>
          <w14:textFill>
            <w14:solidFill>
              <w14:schemeClr w14:val="tx1"/>
            </w14:solidFill>
          </w14:textFill>
        </w:rPr>
        <w:t>负担。</w:t>
      </w:r>
    </w:p>
    <w:p>
      <w:pPr>
        <w:spacing w:line="360" w:lineRule="auto"/>
        <w:ind w:firstLine="413" w:firstLineChars="19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w:t>
      </w:r>
      <w:r>
        <w:rPr>
          <w:rFonts w:hint="eastAsia"/>
          <w:b/>
          <w:color w:val="000000" w:themeColor="text1"/>
          <w:szCs w:val="21"/>
          <w14:textFill>
            <w14:solidFill>
              <w14:schemeClr w14:val="tx1"/>
            </w14:solidFill>
          </w14:textFill>
        </w:rPr>
        <w:t>十</w:t>
      </w:r>
      <w:r>
        <w:rPr>
          <w:b/>
          <w:color w:val="000000" w:themeColor="text1"/>
          <w:szCs w:val="21"/>
          <w14:textFill>
            <w14:solidFill>
              <w14:schemeClr w14:val="tx1"/>
            </w14:solidFill>
          </w14:textFill>
        </w:rPr>
        <w:t>条  付款方式</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按季等比支付，即每次付款前需经</w:t>
      </w:r>
      <w:r>
        <w:rPr>
          <w:rFonts w:hint="eastAsia"/>
          <w:color w:val="000000" w:themeColor="text1"/>
          <w:szCs w:val="21"/>
          <w14:textFill>
            <w14:solidFill>
              <w14:schemeClr w14:val="tx1"/>
            </w14:solidFill>
          </w14:textFill>
        </w:rPr>
        <w:t>甲方</w:t>
      </w:r>
      <w:r>
        <w:rPr>
          <w:color w:val="000000" w:themeColor="text1"/>
          <w:szCs w:val="21"/>
          <w14:textFill>
            <w14:solidFill>
              <w14:schemeClr w14:val="tx1"/>
            </w14:solidFill>
          </w14:textFill>
        </w:rPr>
        <w:t>按考核管理办法考核达标后方可支付。</w:t>
      </w:r>
      <w:r>
        <w:rPr>
          <w:rFonts w:hint="eastAsia" w:ascii="宋体" w:hAnsi="宋体"/>
          <w:color w:val="000000" w:themeColor="text1"/>
          <w:szCs w:val="21"/>
          <w14:textFill>
            <w14:solidFill>
              <w14:schemeClr w14:val="tx1"/>
            </w14:solidFill>
          </w14:textFill>
        </w:rPr>
        <w:t>本项目款项以人民币转账方式支付。按季实行分期付款，即合同签订后，每季度考核结束后按合同额年平均运行费的25%支付运行费，余下每季度运行费在付款前需经甲方考核管理办法考核达标后，甲方人按考核分值拨付运营方当季度的运营费用。（具体见</w:t>
      </w:r>
      <w:r>
        <w:rPr>
          <w:rFonts w:hint="eastAsia" w:ascii="宋体" w:hAnsi="宋体"/>
          <w:color w:val="000000" w:themeColor="text1"/>
          <w:szCs w:val="21"/>
          <w:lang w:eastAsia="zh-CN"/>
          <w14:textFill>
            <w14:solidFill>
              <w14:schemeClr w14:val="tx1"/>
            </w14:solidFill>
          </w14:textFill>
        </w:rPr>
        <w:t xml:space="preserve">灵川县5个镇级污水处理厂统一社会化运营服务采购 </w:t>
      </w:r>
      <w:r>
        <w:rPr>
          <w:rFonts w:hint="eastAsia" w:ascii="宋体" w:hAnsi="宋体"/>
          <w:color w:val="000000" w:themeColor="text1"/>
          <w:szCs w:val="21"/>
          <w14:textFill>
            <w14:solidFill>
              <w14:schemeClr w14:val="tx1"/>
            </w14:solidFill>
          </w14:textFill>
        </w:rPr>
        <w:t>项目运行维护管理考核办法、污水处理设施运行维护管理考核评分细则表。详见附件一、附件二）</w:t>
      </w:r>
    </w:p>
    <w:p>
      <w:pPr>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w:t>
      </w:r>
      <w:r>
        <w:rPr>
          <w:rFonts w:hint="eastAsia"/>
          <w:b/>
          <w:color w:val="000000" w:themeColor="text1"/>
          <w:szCs w:val="21"/>
          <w14:textFill>
            <w14:solidFill>
              <w14:schemeClr w14:val="tx1"/>
            </w14:solidFill>
          </w14:textFill>
        </w:rPr>
        <w:t>十一</w:t>
      </w:r>
      <w:r>
        <w:rPr>
          <w:b/>
          <w:color w:val="000000" w:themeColor="text1"/>
          <w:szCs w:val="21"/>
          <w14:textFill>
            <w14:solidFill>
              <w14:schemeClr w14:val="tx1"/>
            </w14:solidFill>
          </w14:textFill>
        </w:rPr>
        <w:t>条  违约责任</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1、乙方所提供的服务质量不合格</w:t>
      </w:r>
      <w:r>
        <w:rPr>
          <w:rFonts w:hint="eastAsia"/>
          <w:color w:val="000000" w:themeColor="text1"/>
          <w:szCs w:val="21"/>
          <w14:textFill>
            <w14:solidFill>
              <w14:schemeClr w14:val="tx1"/>
            </w14:solidFill>
          </w14:textFill>
        </w:rPr>
        <w:t>（绩效考核低于60分）</w:t>
      </w:r>
      <w:r>
        <w:rPr>
          <w:color w:val="000000" w:themeColor="text1"/>
          <w:szCs w:val="21"/>
          <w14:textFill>
            <w14:solidFill>
              <w14:schemeClr w14:val="tx1"/>
            </w14:solidFill>
          </w14:textFill>
        </w:rPr>
        <w:t>的，应及时调整，调整不及时的按</w:t>
      </w:r>
      <w:r>
        <w:rPr>
          <w:rFonts w:hint="eastAsia"/>
          <w:color w:val="000000" w:themeColor="text1"/>
          <w:szCs w:val="21"/>
          <w14:textFill>
            <w14:solidFill>
              <w14:schemeClr w14:val="tx1"/>
            </w14:solidFill>
          </w14:textFill>
        </w:rPr>
        <w:t>绩效考核结果予以扣减运营费用</w:t>
      </w:r>
      <w:r>
        <w:rPr>
          <w:color w:val="000000" w:themeColor="text1"/>
          <w:szCs w:val="21"/>
          <w14:textFill>
            <w14:solidFill>
              <w14:schemeClr w14:val="tx1"/>
            </w14:solidFill>
          </w14:textFill>
        </w:rPr>
        <w:t>。</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2、乙方提供的服务如果侵犯了第三方合法权益而引发的任何纠纷或诉讼，均由乙方负责交涉并承担全部责任。</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3、乙方未按本合同和响应文件中规定的服务承诺提供服务的，</w:t>
      </w:r>
      <w:r>
        <w:rPr>
          <w:rFonts w:hint="eastAsia"/>
          <w:color w:val="000000" w:themeColor="text1"/>
          <w:szCs w:val="21"/>
          <w14:textFill>
            <w14:solidFill>
              <w14:schemeClr w14:val="tx1"/>
            </w14:solidFill>
          </w14:textFill>
        </w:rPr>
        <w:t>经第三方机构认定后，</w:t>
      </w:r>
      <w:r>
        <w:rPr>
          <w:color w:val="000000" w:themeColor="text1"/>
          <w:szCs w:val="21"/>
          <w14:textFill>
            <w14:solidFill>
              <w14:schemeClr w14:val="tx1"/>
            </w14:solidFill>
          </w14:textFill>
        </w:rPr>
        <w:t>乙方应按本合同金额</w:t>
      </w:r>
      <w:r>
        <w:rPr>
          <w:color w:val="000000" w:themeColor="text1"/>
          <w:szCs w:val="21"/>
          <w:u w:val="single"/>
          <w14:textFill>
            <w14:solidFill>
              <w14:schemeClr w14:val="tx1"/>
            </w14:solidFill>
          </w14:textFill>
        </w:rPr>
        <w:t xml:space="preserve"> 5</w:t>
      </w:r>
      <w:r>
        <w:rPr>
          <w:color w:val="000000" w:themeColor="text1"/>
          <w:szCs w:val="21"/>
          <w14:textFill>
            <w14:solidFill>
              <w14:schemeClr w14:val="tx1"/>
            </w14:solidFill>
          </w14:textFill>
        </w:rPr>
        <w:t>%向甲方支付违约金。</w:t>
      </w:r>
    </w:p>
    <w:p>
      <w:pPr>
        <w:pStyle w:val="2"/>
        <w:spacing w:line="360" w:lineRule="auto"/>
        <w:ind w:firstLine="420"/>
        <w:rPr>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4、甲方未能按照本合同约定支付服务费，甲方应按应付而未付金额的万分之五每日向乙方支付延期付款的利息；</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5、在不可预见的自然灾害等极端环境下，乙方为了做好防灾减灾等相关工作影响到其绩效考核的，则甲方应按照乙方已履行完毕对应的绩效指标来对待，且不应视为乙方违约。</w:t>
      </w:r>
    </w:p>
    <w:p>
      <w:pPr>
        <w:spacing w:line="360" w:lineRule="auto"/>
        <w:ind w:firstLine="411" w:firstLineChars="19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、其他</w:t>
      </w:r>
      <w:r>
        <w:rPr>
          <w:rFonts w:hint="eastAsia"/>
          <w:color w:val="000000" w:themeColor="text1"/>
          <w:szCs w:val="21"/>
          <w14:textFill>
            <w14:solidFill>
              <w14:schemeClr w14:val="tx1"/>
            </w14:solidFill>
          </w14:textFill>
        </w:rPr>
        <w:t xml:space="preserve">情形：                       </w:t>
      </w:r>
    </w:p>
    <w:p>
      <w:pPr>
        <w:spacing w:line="360" w:lineRule="auto"/>
        <w:ind w:firstLine="411" w:firstLineChars="196"/>
        <w:rPr>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上述违约行为</w:t>
      </w:r>
      <w:r>
        <w:rPr>
          <w:color w:val="000000" w:themeColor="text1"/>
          <w:szCs w:val="21"/>
          <w14:textFill>
            <w14:solidFill>
              <w14:schemeClr w14:val="tx1"/>
            </w14:solidFill>
          </w14:textFill>
        </w:rPr>
        <w:t>按</w:t>
      </w:r>
      <w:r>
        <w:rPr>
          <w:rFonts w:hint="eastAsia"/>
          <w:color w:val="000000" w:themeColor="text1"/>
          <w:szCs w:val="21"/>
          <w14:textFill>
            <w14:solidFill>
              <w14:schemeClr w14:val="tx1"/>
            </w14:solidFill>
          </w14:textFill>
        </w:rPr>
        <w:t>合同总</w:t>
      </w:r>
      <w:r>
        <w:rPr>
          <w:color w:val="000000" w:themeColor="text1"/>
          <w:szCs w:val="21"/>
          <w14:textFill>
            <w14:solidFill>
              <w14:schemeClr w14:val="tx1"/>
            </w14:solidFill>
          </w14:textFill>
        </w:rPr>
        <w:t>额</w:t>
      </w:r>
      <w:r>
        <w:rPr>
          <w:color w:val="000000" w:themeColor="text1"/>
          <w:szCs w:val="21"/>
          <w:u w:val="single"/>
          <w14:textFill>
            <w14:solidFill>
              <w14:schemeClr w14:val="tx1"/>
            </w14:solidFill>
          </w14:textFill>
        </w:rPr>
        <w:t xml:space="preserve"> 5%</w:t>
      </w:r>
      <w:r>
        <w:rPr>
          <w:color w:val="000000" w:themeColor="text1"/>
          <w:szCs w:val="21"/>
          <w14:textFill>
            <w14:solidFill>
              <w14:schemeClr w14:val="tx1"/>
            </w14:solidFill>
          </w14:textFill>
        </w:rPr>
        <w:t>收取违约金并赔偿</w:t>
      </w:r>
      <w:r>
        <w:rPr>
          <w:rFonts w:hint="eastAsia"/>
          <w:color w:val="000000" w:themeColor="text1"/>
          <w:szCs w:val="21"/>
          <w14:textFill>
            <w14:solidFill>
              <w14:schemeClr w14:val="tx1"/>
            </w14:solidFill>
          </w14:textFill>
        </w:rPr>
        <w:t>直接</w:t>
      </w:r>
      <w:r>
        <w:rPr>
          <w:color w:val="000000" w:themeColor="text1"/>
          <w:szCs w:val="21"/>
          <w14:textFill>
            <w14:solidFill>
              <w14:schemeClr w14:val="tx1"/>
            </w14:solidFill>
          </w14:textFill>
        </w:rPr>
        <w:t>经济损失。</w:t>
      </w:r>
    </w:p>
    <w:p>
      <w:pPr>
        <w:spacing w:line="360" w:lineRule="auto"/>
        <w:ind w:firstLine="413" w:firstLineChars="19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第十</w:t>
      </w:r>
      <w:r>
        <w:rPr>
          <w:rFonts w:hint="eastAsia"/>
          <w:b/>
          <w:color w:val="000000" w:themeColor="text1"/>
          <w:szCs w:val="21"/>
          <w14:textFill>
            <w14:solidFill>
              <w14:schemeClr w14:val="tx1"/>
            </w14:solidFill>
          </w14:textFill>
        </w:rPr>
        <w:t>二</w:t>
      </w:r>
      <w:r>
        <w:rPr>
          <w:b/>
          <w:color w:val="000000" w:themeColor="text1"/>
          <w:szCs w:val="21"/>
          <w14:textFill>
            <w14:solidFill>
              <w14:schemeClr w14:val="tx1"/>
            </w14:solidFill>
          </w14:textFill>
        </w:rPr>
        <w:t>条  不可抗力事件处理</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1、在合同有效期内，乙方因不可抗力事件导致不能履行合同，则合同履行期可延长，其延长期</w:t>
      </w:r>
      <w:r>
        <w:rPr>
          <w:rFonts w:hint="eastAsia"/>
          <w:color w:val="000000" w:themeColor="text1"/>
          <w:szCs w:val="21"/>
          <w14:textFill>
            <w14:solidFill>
              <w14:schemeClr w14:val="tx1"/>
            </w14:solidFill>
          </w14:textFill>
        </w:rPr>
        <w:t>限</w:t>
      </w:r>
      <w:r>
        <w:rPr>
          <w:color w:val="000000" w:themeColor="text1"/>
          <w:szCs w:val="21"/>
          <w14:textFill>
            <w14:solidFill>
              <w14:schemeClr w14:val="tx1"/>
            </w14:solidFill>
          </w14:textFill>
        </w:rPr>
        <w:t>与不可抗力影响期相同。</w:t>
      </w:r>
    </w:p>
    <w:p>
      <w:pPr>
        <w:numPr>
          <w:ilvl w:val="0"/>
          <w:numId w:val="5"/>
        </w:num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不可抗力事件发生后，应立即通知对方。</w:t>
      </w:r>
    </w:p>
    <w:p>
      <w:pPr>
        <w:numPr>
          <w:ilvl w:val="0"/>
          <w:numId w:val="5"/>
        </w:num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不可抗力事件延续一百二十天以上，双方应通过友好协商，确定是否继续履行合同。</w:t>
      </w:r>
    </w:p>
    <w:p>
      <w:pPr>
        <w:spacing w:afterLines="50" w:line="360" w:lineRule="auto"/>
        <w:ind w:firstLine="413" w:firstLineChars="19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第十</w:t>
      </w:r>
      <w:r>
        <w:rPr>
          <w:rFonts w:hint="eastAsia"/>
          <w:b/>
          <w:color w:val="000000" w:themeColor="text1"/>
          <w:szCs w:val="21"/>
          <w14:textFill>
            <w14:solidFill>
              <w14:schemeClr w14:val="tx1"/>
            </w14:solidFill>
          </w14:textFill>
        </w:rPr>
        <w:t>三</w:t>
      </w:r>
      <w:r>
        <w:rPr>
          <w:b/>
          <w:color w:val="000000" w:themeColor="text1"/>
          <w:szCs w:val="21"/>
          <w14:textFill>
            <w14:solidFill>
              <w14:schemeClr w14:val="tx1"/>
            </w14:solidFill>
          </w14:textFill>
        </w:rPr>
        <w:t>条  合同争议解决</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1、因服务问题发生争议的，应邀请国家认可的相关机构进行鉴定。服务符合要求的，鉴定费由甲方承担；服务不符合要求的，鉴定费由乙方承担。</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2、因履行本合同引起的或与本合同有关的争议，甲乙双方应首先通过友好协商解决，如果协商不能解决，可向</w:t>
      </w:r>
      <w:r>
        <w:rPr>
          <w:rFonts w:hint="eastAsia"/>
          <w:color w:val="000000" w:themeColor="text1"/>
          <w:szCs w:val="21"/>
          <w14:textFill>
            <w14:solidFill>
              <w14:schemeClr w14:val="tx1"/>
            </w14:solidFill>
          </w14:textFill>
        </w:rPr>
        <w:t>灵川县</w:t>
      </w:r>
      <w:r>
        <w:rPr>
          <w:color w:val="000000" w:themeColor="text1"/>
          <w:szCs w:val="21"/>
          <w14:textFill>
            <w14:solidFill>
              <w14:schemeClr w14:val="tx1"/>
            </w14:solidFill>
          </w14:textFill>
        </w:rPr>
        <w:t>人民法院提起诉讼。</w:t>
      </w:r>
    </w:p>
    <w:p>
      <w:pPr>
        <w:spacing w:line="360" w:lineRule="auto"/>
        <w:ind w:left="435"/>
        <w:rPr>
          <w:color w:val="000000" w:themeColor="text1"/>
          <w:szCs w:val="21"/>
          <w14:textFill>
            <w14:solidFill>
              <w14:schemeClr w14:val="tx1"/>
            </w14:solidFill>
          </w14:textFill>
        </w:rPr>
      </w:pPr>
      <w:r>
        <w:rPr>
          <w:color w:val="000000" w:themeColor="text1"/>
          <w:szCs w:val="21"/>
          <w14:textFill>
            <w14:solidFill>
              <w14:schemeClr w14:val="tx1"/>
            </w14:solidFill>
          </w14:textFill>
        </w:rPr>
        <w:t>3、诉讼期间，本合同继续履行。</w:t>
      </w:r>
    </w:p>
    <w:p>
      <w:pPr>
        <w:spacing w:afterLines="50" w:line="360" w:lineRule="auto"/>
        <w:ind w:firstLine="413" w:firstLineChars="19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第十</w:t>
      </w:r>
      <w:r>
        <w:rPr>
          <w:rFonts w:hint="eastAsia"/>
          <w:b/>
          <w:color w:val="000000" w:themeColor="text1"/>
          <w:szCs w:val="21"/>
          <w14:textFill>
            <w14:solidFill>
              <w14:schemeClr w14:val="tx1"/>
            </w14:solidFill>
          </w14:textFill>
        </w:rPr>
        <w:t>四</w:t>
      </w:r>
      <w:r>
        <w:rPr>
          <w:b/>
          <w:color w:val="000000" w:themeColor="text1"/>
          <w:szCs w:val="21"/>
          <w14:textFill>
            <w14:solidFill>
              <w14:schemeClr w14:val="tx1"/>
            </w14:solidFill>
          </w14:textFill>
        </w:rPr>
        <w:t>条  合同生效及其它</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1、合同经甲乙双方法定代表人或授权代表签字并加盖单位公章后生效。</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2、合同执行中涉及采购资金和采购内容修改或补充的，需</w:t>
      </w:r>
      <w:r>
        <w:rPr>
          <w:rFonts w:hint="eastAsia"/>
          <w:color w:val="000000" w:themeColor="text1"/>
          <w:szCs w:val="21"/>
          <w14:textFill>
            <w14:solidFill>
              <w14:schemeClr w14:val="tx1"/>
            </w14:solidFill>
          </w14:textFill>
        </w:rPr>
        <w:t>灵川县</w:t>
      </w:r>
      <w:r>
        <w:rPr>
          <w:color w:val="000000" w:themeColor="text1"/>
          <w:szCs w:val="21"/>
          <w14:textFill>
            <w14:solidFill>
              <w14:schemeClr w14:val="tx1"/>
            </w14:solidFill>
          </w14:textFill>
        </w:rPr>
        <w:t>财政部门审批，并签订书面补充协议报</w:t>
      </w:r>
      <w:r>
        <w:rPr>
          <w:rFonts w:hint="eastAsia"/>
          <w:color w:val="000000" w:themeColor="text1"/>
          <w:szCs w:val="21"/>
          <w14:textFill>
            <w14:solidFill>
              <w14:schemeClr w14:val="tx1"/>
            </w14:solidFill>
          </w14:textFill>
        </w:rPr>
        <w:t>灵川县</w:t>
      </w:r>
      <w:r>
        <w:rPr>
          <w:color w:val="000000" w:themeColor="text1"/>
          <w14:textFill>
            <w14:solidFill>
              <w14:schemeClr w14:val="tx1"/>
            </w14:solidFill>
          </w14:textFill>
        </w:rPr>
        <w:t>人民政府采购管理办公室</w:t>
      </w:r>
      <w:r>
        <w:rPr>
          <w:color w:val="000000" w:themeColor="text1"/>
          <w:szCs w:val="21"/>
          <w14:textFill>
            <w14:solidFill>
              <w14:schemeClr w14:val="tx1"/>
            </w14:solidFill>
          </w14:textFill>
        </w:rPr>
        <w:t>备案，方可作为主合同不可分割的一部分。</w:t>
      </w:r>
    </w:p>
    <w:p>
      <w:pPr>
        <w:spacing w:line="360" w:lineRule="auto"/>
        <w:ind w:left="435"/>
        <w:rPr>
          <w:color w:val="000000" w:themeColor="text1"/>
          <w:szCs w:val="21"/>
          <w14:textFill>
            <w14:solidFill>
              <w14:schemeClr w14:val="tx1"/>
            </w14:solidFill>
          </w14:textFill>
        </w:rPr>
      </w:pPr>
      <w:r>
        <w:rPr>
          <w:color w:val="000000" w:themeColor="text1"/>
          <w:szCs w:val="21"/>
          <w14:textFill>
            <w14:solidFill>
              <w14:schemeClr w14:val="tx1"/>
            </w14:solidFill>
          </w14:textFill>
        </w:rPr>
        <w:t>3、本合同未尽事宜，遵照《合同法》有关条文执行。</w:t>
      </w:r>
    </w:p>
    <w:p>
      <w:pPr>
        <w:spacing w:afterLines="50" w:line="360" w:lineRule="auto"/>
        <w:ind w:firstLine="413" w:firstLineChars="19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第十</w:t>
      </w:r>
      <w:r>
        <w:rPr>
          <w:rFonts w:hint="eastAsia"/>
          <w:b/>
          <w:color w:val="000000" w:themeColor="text1"/>
          <w:szCs w:val="21"/>
          <w14:textFill>
            <w14:solidFill>
              <w14:schemeClr w14:val="tx1"/>
            </w14:solidFill>
          </w14:textFill>
        </w:rPr>
        <w:t>五</w:t>
      </w:r>
      <w:r>
        <w:rPr>
          <w:b/>
          <w:color w:val="000000" w:themeColor="text1"/>
          <w:szCs w:val="21"/>
          <w14:textFill>
            <w14:solidFill>
              <w14:schemeClr w14:val="tx1"/>
            </w14:solidFill>
          </w14:textFill>
        </w:rPr>
        <w:t>条  合同的变更、终止与转让</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1、除《中华人民共和国政府采购法》第五十条规定的情形外，本合同一经签订，甲乙双方不得擅自变更，中止或终止。</w:t>
      </w:r>
    </w:p>
    <w:p>
      <w:pPr>
        <w:numPr>
          <w:ilvl w:val="0"/>
          <w:numId w:val="6"/>
        </w:num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乙方不得擅自转让其应履行的合同义务。</w:t>
      </w:r>
    </w:p>
    <w:p>
      <w:pPr>
        <w:spacing w:line="360" w:lineRule="auto"/>
        <w:ind w:firstLine="413" w:firstLineChars="19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第十</w:t>
      </w:r>
      <w:r>
        <w:rPr>
          <w:rFonts w:hint="eastAsia"/>
          <w:b/>
          <w:color w:val="000000" w:themeColor="text1"/>
          <w:szCs w:val="21"/>
          <w14:textFill>
            <w14:solidFill>
              <w14:schemeClr w14:val="tx1"/>
            </w14:solidFill>
          </w14:textFill>
        </w:rPr>
        <w:t>六</w:t>
      </w:r>
      <w:r>
        <w:rPr>
          <w:b/>
          <w:color w:val="000000" w:themeColor="text1"/>
          <w:szCs w:val="21"/>
          <w14:textFill>
            <w14:solidFill>
              <w14:schemeClr w14:val="tx1"/>
            </w14:solidFill>
          </w14:textFill>
        </w:rPr>
        <w:t>条  签订本合同依据</w:t>
      </w:r>
    </w:p>
    <w:p>
      <w:pPr>
        <w:spacing w:line="360" w:lineRule="auto"/>
        <w:ind w:left="42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招标</w:t>
      </w:r>
      <w:r>
        <w:rPr>
          <w:color w:val="000000" w:themeColor="text1"/>
          <w:szCs w:val="21"/>
          <w14:textFill>
            <w14:solidFill>
              <w14:schemeClr w14:val="tx1"/>
            </w14:solidFill>
          </w14:textFill>
        </w:rPr>
        <w:t>文件；</w:t>
      </w:r>
    </w:p>
    <w:p>
      <w:pPr>
        <w:spacing w:line="360" w:lineRule="auto"/>
        <w:ind w:left="225" w:leftChars="107" w:firstLine="210" w:firstLineChars="100"/>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中标</w:t>
      </w:r>
      <w:r>
        <w:rPr>
          <w:color w:val="000000" w:themeColor="text1"/>
          <w:szCs w:val="21"/>
          <w14:textFill>
            <w14:solidFill>
              <w14:schemeClr w14:val="tx1"/>
            </w14:solidFill>
          </w14:textFill>
        </w:rPr>
        <w:t>供应商的</w:t>
      </w:r>
      <w:r>
        <w:rPr>
          <w:rFonts w:hint="eastAsia"/>
          <w:color w:val="000000" w:themeColor="text1"/>
          <w:szCs w:val="21"/>
          <w14:textFill>
            <w14:solidFill>
              <w14:schemeClr w14:val="tx1"/>
            </w14:solidFill>
          </w14:textFill>
        </w:rPr>
        <w:t>投标</w:t>
      </w:r>
      <w:r>
        <w:rPr>
          <w:color w:val="000000" w:themeColor="text1"/>
          <w14:textFill>
            <w14:solidFill>
              <w14:schemeClr w14:val="tx1"/>
            </w14:solidFill>
          </w14:textFill>
        </w:rPr>
        <w:t>报价</w:t>
      </w:r>
      <w:r>
        <w:rPr>
          <w:rFonts w:hint="eastAsia"/>
          <w:color w:val="000000" w:themeColor="text1"/>
          <w14:textFill>
            <w14:solidFill>
              <w14:schemeClr w14:val="tx1"/>
            </w14:solidFill>
          </w14:textFill>
        </w:rPr>
        <w:t>函</w:t>
      </w:r>
      <w:r>
        <w:rPr>
          <w:color w:val="000000" w:themeColor="text1"/>
          <w:szCs w:val="21"/>
          <w14:textFill>
            <w14:solidFill>
              <w14:schemeClr w14:val="tx1"/>
            </w14:solidFill>
          </w14:textFill>
        </w:rPr>
        <w:t>；</w:t>
      </w:r>
    </w:p>
    <w:p>
      <w:pPr>
        <w:spacing w:line="360" w:lineRule="auto"/>
        <w:ind w:left="225" w:leftChars="107" w:firstLine="210" w:firstLineChars="100"/>
        <w:rPr>
          <w:color w:val="000000" w:themeColor="text1"/>
          <w:szCs w:val="21"/>
          <w14:textFill>
            <w14:solidFill>
              <w14:schemeClr w14:val="tx1"/>
            </w14:solidFill>
          </w14:textFill>
        </w:rPr>
      </w:pPr>
      <w:r>
        <w:rPr>
          <w:color w:val="000000" w:themeColor="text1"/>
          <w:szCs w:val="21"/>
          <w14:textFill>
            <w14:solidFill>
              <w14:schemeClr w14:val="tx1"/>
            </w14:solidFill>
          </w14:textFill>
        </w:rPr>
        <w:t>3、服务方案及</w:t>
      </w:r>
      <w:r>
        <w:rPr>
          <w:rFonts w:hint="eastAsia"/>
          <w:color w:val="000000" w:themeColor="text1"/>
          <w:szCs w:val="21"/>
          <w14:textFill>
            <w14:solidFill>
              <w14:schemeClr w14:val="tx1"/>
            </w14:solidFill>
          </w14:textFill>
        </w:rPr>
        <w:t>服务</w:t>
      </w:r>
      <w:r>
        <w:rPr>
          <w:color w:val="000000" w:themeColor="text1"/>
          <w:szCs w:val="21"/>
          <w14:textFill>
            <w14:solidFill>
              <w14:schemeClr w14:val="tx1"/>
            </w14:solidFill>
          </w14:textFill>
        </w:rPr>
        <w:t>承诺；</w:t>
      </w:r>
    </w:p>
    <w:p>
      <w:pPr>
        <w:spacing w:line="360" w:lineRule="auto"/>
        <w:ind w:left="225" w:leftChars="107" w:firstLine="210" w:firstLineChars="100"/>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中标</w:t>
      </w:r>
      <w:r>
        <w:rPr>
          <w:color w:val="000000" w:themeColor="text1"/>
          <w:szCs w:val="21"/>
          <w14:textFill>
            <w14:solidFill>
              <w14:schemeClr w14:val="tx1"/>
            </w14:solidFill>
          </w14:textFill>
        </w:rPr>
        <w:t>通知书。</w:t>
      </w:r>
    </w:p>
    <w:p>
      <w:pPr>
        <w:spacing w:line="360" w:lineRule="auto"/>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本合同甲乙双方签字盖章后生效，一式四份，具有同等法律效力，甲、乙双方各一份。政府采购合同双方自签订之日起1个工作日内将合同原件两份交采购代理机构。采购代理机构将政府采购合同在省级以上人民政府财政部门指定媒体上公告并于合同签订之日起7个工作日内将一份合同原件送</w:t>
      </w:r>
      <w:r>
        <w:rPr>
          <w:rFonts w:hint="eastAsia"/>
          <w:color w:val="000000" w:themeColor="text1"/>
          <w:szCs w:val="21"/>
          <w14:textFill>
            <w14:solidFill>
              <w14:schemeClr w14:val="tx1"/>
            </w14:solidFill>
          </w14:textFill>
        </w:rPr>
        <w:t>灵川县</w:t>
      </w:r>
      <w:r>
        <w:rPr>
          <w:color w:val="000000" w:themeColor="text1"/>
          <w:szCs w:val="21"/>
          <w14:textFill>
            <w14:solidFill>
              <w14:schemeClr w14:val="tx1"/>
            </w14:solidFill>
          </w14:textFill>
        </w:rPr>
        <w:t>人民政府采购管理办公室备案，一份由采购代理机构存档。</w:t>
      </w: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tabs>
          <w:tab w:val="left" w:pos="4320"/>
          <w:tab w:val="left" w:pos="4500"/>
        </w:tabs>
        <w:spacing w:line="360" w:lineRule="auto"/>
        <w:rPr>
          <w:rFonts w:hint="default" w:eastAsia="宋体"/>
          <w:color w:val="000000" w:themeColor="text1"/>
          <w:szCs w:val="21"/>
          <w:u w:val="single"/>
          <w:lang w:val="en-US" w:eastAsia="zh-CN"/>
          <w14:textFill>
            <w14:solidFill>
              <w14:schemeClr w14:val="tx1"/>
            </w14:solidFill>
          </w14:textFill>
        </w:rPr>
      </w:pPr>
      <w:r>
        <w:rPr>
          <w:color w:val="000000" w:themeColor="text1"/>
          <w:szCs w:val="21"/>
          <w14:textFill>
            <w14:solidFill>
              <w14:schemeClr w14:val="tx1"/>
            </w14:solidFill>
          </w14:textFill>
        </w:rPr>
        <w:t>甲方名称（公章）：</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乙方名称（公章，自然人除外）：</w:t>
      </w:r>
      <w:r>
        <w:rPr>
          <w:rFonts w:hint="eastAsia"/>
          <w:color w:val="000000" w:themeColor="text1"/>
          <w:szCs w:val="21"/>
          <w:u w:val="single"/>
          <w:lang w:val="en-US" w:eastAsia="zh-CN"/>
          <w14:textFill>
            <w14:solidFill>
              <w14:schemeClr w14:val="tx1"/>
            </w14:solidFill>
          </w14:textFill>
        </w:rPr>
        <w:t xml:space="preserve">             </w:t>
      </w:r>
    </w:p>
    <w:p>
      <w:pPr>
        <w:spacing w:line="360" w:lineRule="auto"/>
        <w:rPr>
          <w:rFonts w:hint="default" w:eastAsia="宋体"/>
          <w:color w:val="000000" w:themeColor="text1"/>
          <w:szCs w:val="21"/>
          <w:u w:val="single"/>
          <w:lang w:val="en-US" w:eastAsia="zh-CN"/>
          <w14:textFill>
            <w14:solidFill>
              <w14:schemeClr w14:val="tx1"/>
            </w14:solidFill>
          </w14:textFill>
        </w:rPr>
      </w:pPr>
      <w:r>
        <w:rPr>
          <w:color w:val="000000" w:themeColor="text1"/>
          <w:szCs w:val="21"/>
          <w14:textFill>
            <w14:solidFill>
              <w14:schemeClr w14:val="tx1"/>
            </w14:solidFill>
          </w14:textFill>
        </w:rPr>
        <w:t>法定代表人签字或盖章：</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法定代表人签字或盖章：</w:t>
      </w:r>
      <w:r>
        <w:rPr>
          <w:color w:val="000000" w:themeColor="text1"/>
          <w:szCs w:val="21"/>
          <w:u w:val="single"/>
          <w14:textFill>
            <w14:solidFill>
              <w14:schemeClr w14:val="tx1"/>
            </w14:solidFill>
          </w14:textFill>
        </w:rPr>
        <w:t xml:space="preserve">                     </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地址</w:t>
      </w:r>
      <w:r>
        <w:rPr>
          <w:color w:val="000000" w:themeColor="text1"/>
          <w:szCs w:val="21"/>
          <w:u w:val="none"/>
          <w14:textFill>
            <w14:solidFill>
              <w14:schemeClr w14:val="tx1"/>
            </w14:solidFill>
          </w14:textFill>
        </w:rPr>
        <w:t>：</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地址：</w:t>
      </w:r>
      <w:r>
        <w:rPr>
          <w:color w:val="000000" w:themeColor="text1"/>
          <w:szCs w:val="21"/>
          <w:u w:val="single"/>
          <w14:textFill>
            <w14:solidFill>
              <w14:schemeClr w14:val="tx1"/>
            </w14:solidFill>
          </w14:textFill>
        </w:rPr>
        <w:t xml:space="preserve">                                     </w:t>
      </w:r>
    </w:p>
    <w:p>
      <w:pPr>
        <w:tabs>
          <w:tab w:val="left" w:pos="4680"/>
        </w:tabs>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委托代理人：</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委托代理人：</w:t>
      </w:r>
      <w:r>
        <w:rPr>
          <w:color w:val="000000" w:themeColor="text1"/>
          <w:szCs w:val="21"/>
          <w:u w:val="single"/>
          <w14:textFill>
            <w14:solidFill>
              <w14:schemeClr w14:val="tx1"/>
            </w14:solidFill>
          </w14:textFill>
        </w:rPr>
        <w:t xml:space="preserve">                               </w:t>
      </w:r>
    </w:p>
    <w:p>
      <w:pPr>
        <w:tabs>
          <w:tab w:val="left" w:pos="5040"/>
        </w:tabs>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电  话：</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 xml:space="preserve"> 电   话： </w:t>
      </w:r>
      <w:r>
        <w:rPr>
          <w:color w:val="000000" w:themeColor="text1"/>
          <w:szCs w:val="21"/>
          <w:u w:val="single"/>
          <w14:textFill>
            <w14:solidFill>
              <w14:schemeClr w14:val="tx1"/>
            </w14:solidFill>
          </w14:textFill>
        </w:rPr>
        <w:t xml:space="preserve">                                 </w:t>
      </w:r>
    </w:p>
    <w:p>
      <w:pPr>
        <w:tabs>
          <w:tab w:val="left" w:pos="5040"/>
        </w:tabs>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开户名称：</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 xml:space="preserve"> 开户名称：</w:t>
      </w:r>
      <w:r>
        <w:rPr>
          <w:color w:val="000000" w:themeColor="text1"/>
          <w:szCs w:val="21"/>
          <w:u w:val="single"/>
          <w14:textFill>
            <w14:solidFill>
              <w14:schemeClr w14:val="tx1"/>
            </w14:solidFill>
          </w14:textFill>
        </w:rPr>
        <w:t xml:space="preserve">                                 </w:t>
      </w:r>
    </w:p>
    <w:p>
      <w:pPr>
        <w:tabs>
          <w:tab w:val="left" w:pos="5040"/>
        </w:tabs>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开户银行：</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 xml:space="preserve"> 开户银行：</w:t>
      </w:r>
      <w:r>
        <w:rPr>
          <w:color w:val="000000" w:themeColor="text1"/>
          <w:szCs w:val="21"/>
          <w:u w:val="single"/>
          <w14:textFill>
            <w14:solidFill>
              <w14:schemeClr w14:val="tx1"/>
            </w14:solidFill>
          </w14:textFill>
        </w:rPr>
        <w:t xml:space="preserve">                                 </w:t>
      </w:r>
    </w:p>
    <w:p>
      <w:pPr>
        <w:tabs>
          <w:tab w:val="left" w:pos="5040"/>
        </w:tabs>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银行账号：</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银行账号：</w:t>
      </w:r>
      <w:r>
        <w:rPr>
          <w:color w:val="000000" w:themeColor="text1"/>
          <w:szCs w:val="21"/>
          <w:u w:val="single"/>
          <w14:textFill>
            <w14:solidFill>
              <w14:schemeClr w14:val="tx1"/>
            </w14:solidFill>
          </w14:textFill>
        </w:rPr>
        <w:t xml:space="preserve">                                  </w:t>
      </w:r>
    </w:p>
    <w:p>
      <w:pPr>
        <w:tabs>
          <w:tab w:val="left" w:pos="5040"/>
        </w:tabs>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日    期：</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 xml:space="preserve"> 日    期：</w:t>
      </w:r>
      <w:r>
        <w:rPr>
          <w:color w:val="000000" w:themeColor="text1"/>
          <w:szCs w:val="21"/>
          <w:u w:val="single"/>
          <w14:textFill>
            <w14:solidFill>
              <w14:schemeClr w14:val="tx1"/>
            </w14:solidFill>
          </w14:textFill>
        </w:rPr>
        <w:t xml:space="preserve">                                  </w:t>
      </w:r>
    </w:p>
    <w:p>
      <w:pPr>
        <w:numPr>
          <w:ilvl w:val="0"/>
          <w:numId w:val="7"/>
        </w:numPr>
        <w:spacing w:line="440" w:lineRule="exact"/>
        <w:jc w:val="center"/>
        <w:outlineLvl w:val="0"/>
        <w:rPr>
          <w:rFonts w:hint="eastAsia" w:ascii="宋体" w:hAnsi="宋体" w:cs="宋体"/>
          <w:b/>
          <w:bCs/>
          <w:color w:val="000000" w:themeColor="text1"/>
          <w:kern w:val="44"/>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br w:type="page"/>
      </w:r>
      <w:bookmarkStart w:id="164" w:name="_Toc24269"/>
      <w:bookmarkStart w:id="165" w:name="_Toc5948"/>
      <w:r>
        <w:rPr>
          <w:rFonts w:hint="eastAsia" w:ascii="宋体" w:hAnsi="宋体" w:cs="宋体"/>
          <w:b/>
          <w:bCs/>
          <w:color w:val="000000" w:themeColor="text1"/>
          <w:kern w:val="44"/>
          <w:sz w:val="36"/>
          <w:szCs w:val="36"/>
          <w14:textFill>
            <w14:solidFill>
              <w14:schemeClr w14:val="tx1"/>
            </w14:solidFill>
          </w14:textFill>
        </w:rPr>
        <w:t xml:space="preserve"> 投标文件（格式）</w:t>
      </w:r>
      <w:bookmarkEnd w:id="164"/>
      <w:bookmarkEnd w:id="165"/>
    </w:p>
    <w:p>
      <w:pPr>
        <w:pStyle w:val="2"/>
        <w:numPr>
          <w:ilvl w:val="-1"/>
          <w:numId w:val="0"/>
        </w:numPr>
        <w:rPr>
          <w:rFonts w:hint="eastAsia"/>
          <w:color w:val="000000" w:themeColor="text1"/>
          <w14:textFill>
            <w14:solidFill>
              <w14:schemeClr w14:val="tx1"/>
            </w14:solidFill>
          </w14:textFill>
        </w:rPr>
      </w:pPr>
    </w:p>
    <w:p>
      <w:pPr>
        <w:spacing w:line="440" w:lineRule="exact"/>
        <w:rPr>
          <w:rFonts w:hint="eastAsia" w:ascii="宋体" w:hAnsi="宋体" w:cs="宋体"/>
          <w:b/>
          <w:bCs/>
          <w:color w:val="000000" w:themeColor="text1"/>
          <w:sz w:val="30"/>
          <w:szCs w:val="30"/>
          <w14:textFill>
            <w14:solidFill>
              <w14:schemeClr w14:val="tx1"/>
            </w14:solidFill>
          </w14:textFill>
        </w:rPr>
      </w:pPr>
      <w:bookmarkStart w:id="166" w:name="_Toc486867150"/>
      <w:bookmarkStart w:id="167" w:name="_Toc498698226"/>
      <w:bookmarkStart w:id="168" w:name="_Toc478137727"/>
      <w:bookmarkStart w:id="169" w:name="_Toc498627082"/>
      <w:bookmarkStart w:id="170" w:name="_Toc486695806"/>
      <w:bookmarkStart w:id="171" w:name="_Toc31410"/>
      <w:bookmarkStart w:id="172" w:name="_Toc1762"/>
      <w:r>
        <w:rPr>
          <w:rFonts w:hint="eastAsia" w:ascii="宋体" w:hAnsi="宋体" w:cs="宋体"/>
          <w:b/>
          <w:bCs/>
          <w:color w:val="000000" w:themeColor="text1"/>
          <w:sz w:val="30"/>
          <w:szCs w:val="30"/>
          <w14:textFill>
            <w14:solidFill>
              <w14:schemeClr w14:val="tx1"/>
            </w14:solidFill>
          </w14:textFill>
        </w:rPr>
        <w:t>投标文件封面格式</w:t>
      </w:r>
      <w:bookmarkEnd w:id="166"/>
      <w:bookmarkEnd w:id="167"/>
      <w:bookmarkEnd w:id="168"/>
      <w:bookmarkEnd w:id="169"/>
      <w:bookmarkEnd w:id="170"/>
      <w:r>
        <w:rPr>
          <w:rFonts w:hint="eastAsia" w:ascii="宋体" w:hAnsi="宋体" w:cs="宋体"/>
          <w:b/>
          <w:bCs/>
          <w:color w:val="000000" w:themeColor="text1"/>
          <w:sz w:val="30"/>
          <w:szCs w:val="30"/>
          <w14:textFill>
            <w14:solidFill>
              <w14:schemeClr w14:val="tx1"/>
            </w14:solidFill>
          </w14:textFill>
        </w:rPr>
        <w:t>：</w:t>
      </w:r>
      <w:bookmarkEnd w:id="171"/>
      <w:bookmarkEnd w:id="172"/>
    </w:p>
    <w:p>
      <w:pPr>
        <w:adjustRightInd w:val="0"/>
        <w:snapToGrid w:val="0"/>
        <w:spacing w:line="440" w:lineRule="exact"/>
        <w:rPr>
          <w:rFonts w:hint="eastAsia" w:ascii="宋体" w:hAnsi="宋体" w:cs="宋体"/>
          <w:b/>
          <w:color w:val="000000" w:themeColor="text1"/>
          <w:sz w:val="44"/>
          <w:szCs w:val="44"/>
          <w14:textFill>
            <w14:solidFill>
              <w14:schemeClr w14:val="tx1"/>
            </w14:solidFill>
          </w14:textFill>
        </w:rPr>
      </w:pPr>
    </w:p>
    <w:p>
      <w:pPr>
        <w:spacing w:line="440" w:lineRule="exact"/>
        <w:rPr>
          <w:rFonts w:hint="eastAsia" w:ascii="宋体" w:hAnsi="宋体" w:cs="宋体"/>
          <w:color w:val="000000" w:themeColor="text1"/>
          <w14:textFill>
            <w14:solidFill>
              <w14:schemeClr w14:val="tx1"/>
            </w14:solidFill>
          </w14:textFill>
        </w:rPr>
      </w:pPr>
    </w:p>
    <w:p>
      <w:pPr>
        <w:adjustRightInd w:val="0"/>
        <w:snapToGrid w:val="0"/>
        <w:spacing w:line="600" w:lineRule="auto"/>
        <w:jc w:val="center"/>
        <w:rPr>
          <w:rFonts w:hint="eastAsia" w:ascii="宋体" w:hAnsi="宋体" w:cs="宋体"/>
          <w:bCs/>
          <w:color w:val="000000" w:themeColor="text1"/>
          <w:sz w:val="72"/>
          <w:szCs w:val="72"/>
          <w14:textFill>
            <w14:solidFill>
              <w14:schemeClr w14:val="tx1"/>
            </w14:solidFill>
          </w14:textFill>
        </w:rPr>
      </w:pPr>
      <w:bookmarkStart w:id="173" w:name="_Toc3441_WPSOffice_Level1"/>
      <w:bookmarkStart w:id="174" w:name="_Toc13659_WPSOffice_Level1"/>
      <w:r>
        <w:rPr>
          <w:rFonts w:hint="eastAsia" w:ascii="宋体" w:hAnsi="宋体" w:cs="宋体"/>
          <w:bCs/>
          <w:color w:val="000000" w:themeColor="text1"/>
          <w:sz w:val="72"/>
          <w:szCs w:val="72"/>
          <w14:textFill>
            <w14:solidFill>
              <w14:schemeClr w14:val="tx1"/>
            </w14:solidFill>
          </w14:textFill>
        </w:rPr>
        <w:t>投标文件</w:t>
      </w:r>
      <w:bookmarkEnd w:id="173"/>
      <w:bookmarkEnd w:id="174"/>
    </w:p>
    <w:p>
      <w:pPr>
        <w:adjustRightInd w:val="0"/>
        <w:snapToGrid w:val="0"/>
        <w:spacing w:line="600" w:lineRule="auto"/>
        <w:jc w:val="center"/>
        <w:rPr>
          <w:rFonts w:hint="eastAsia" w:ascii="宋体" w:hAnsi="宋体" w:cs="宋体"/>
          <w:bCs/>
          <w:color w:val="000000" w:themeColor="text1"/>
          <w:sz w:val="30"/>
          <w:szCs w:val="30"/>
          <w:u w:val="single"/>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项目名称：</w:t>
      </w:r>
      <w:r>
        <w:rPr>
          <w:rFonts w:hint="eastAsia" w:ascii="宋体" w:hAnsi="宋体" w:cs="宋体"/>
          <w:bCs/>
          <w:color w:val="000000" w:themeColor="text1"/>
          <w:sz w:val="30"/>
          <w:szCs w:val="30"/>
          <w:u w:val="single"/>
          <w:lang w:eastAsia="zh-CN"/>
          <w14:textFill>
            <w14:solidFill>
              <w14:schemeClr w14:val="tx1"/>
            </w14:solidFill>
          </w14:textFill>
        </w:rPr>
        <w:t xml:space="preserve">灵川县5个镇级污水处理厂统一社会化运营服务采购 </w:t>
      </w:r>
      <w:r>
        <w:rPr>
          <w:rFonts w:hint="eastAsia" w:ascii="宋体" w:hAnsi="宋体" w:cs="宋体"/>
          <w:bCs/>
          <w:color w:val="000000" w:themeColor="text1"/>
          <w:sz w:val="30"/>
          <w:szCs w:val="30"/>
          <w:u w:val="single"/>
          <w14:textFill>
            <w14:solidFill>
              <w14:schemeClr w14:val="tx1"/>
            </w14:solidFill>
          </w14:textFill>
        </w:rPr>
        <w:t xml:space="preserve"> </w:t>
      </w:r>
    </w:p>
    <w:p>
      <w:pPr>
        <w:spacing w:line="360" w:lineRule="auto"/>
        <w:ind w:firstLine="2108" w:firstLineChars="700"/>
        <w:rPr>
          <w:rFonts w:hint="eastAsia" w:ascii="宋体" w:hAnsi="宋体" w:eastAsia="宋体" w:cs="宋体"/>
          <w:bCs/>
          <w:color w:val="000000" w:themeColor="text1"/>
          <w:sz w:val="30"/>
          <w:szCs w:val="30"/>
          <w:u w:val="single"/>
          <w:lang w:eastAsia="zh-CN"/>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项目编号：</w:t>
      </w:r>
      <w:r>
        <w:rPr>
          <w:rFonts w:hint="eastAsia" w:ascii="宋体" w:hAnsi="宋体" w:cs="宋体"/>
          <w:bCs/>
          <w:color w:val="000000" w:themeColor="text1"/>
          <w:sz w:val="30"/>
          <w:szCs w:val="30"/>
          <w:u w:val="single"/>
          <w:lang w:eastAsia="zh-CN"/>
          <w14:textFill>
            <w14:solidFill>
              <w14:schemeClr w14:val="tx1"/>
            </w14:solidFill>
          </w14:textFill>
        </w:rPr>
        <w:t xml:space="preserve">GLZC2023-G3-230010-GXCH </w:t>
      </w:r>
    </w:p>
    <w:p>
      <w:pPr>
        <w:pStyle w:val="2"/>
        <w:rPr>
          <w:rFonts w:hint="eastAsia"/>
          <w:color w:val="000000" w:themeColor="text1"/>
          <w14:textFill>
            <w14:solidFill>
              <w14:schemeClr w14:val="tx1"/>
            </w14:solidFill>
          </w14:textFill>
        </w:rPr>
      </w:pPr>
    </w:p>
    <w:p>
      <w:pPr>
        <w:pStyle w:val="4"/>
        <w:spacing w:line="440" w:lineRule="exact"/>
        <w:ind w:firstLine="1405" w:firstLineChars="500"/>
        <w:rPr>
          <w:rFonts w:hint="eastAsia" w:ascii="宋体" w:hAnsi="宋体" w:eastAsia="宋体" w:cs="宋体"/>
          <w:bCs/>
          <w:color w:val="000000" w:themeColor="text1"/>
          <w:sz w:val="28"/>
          <w:szCs w:val="28"/>
          <w:u w:val="single"/>
          <w:lang w:eastAsia="zh-CN"/>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采购代理机构：</w:t>
      </w:r>
      <w:r>
        <w:rPr>
          <w:rFonts w:hint="eastAsia" w:ascii="宋体" w:hAnsi="宋体" w:cs="宋体"/>
          <w:bCs/>
          <w:color w:val="000000" w:themeColor="text1"/>
          <w:sz w:val="28"/>
          <w:szCs w:val="28"/>
          <w:u w:val="single"/>
          <w:lang w:eastAsia="zh-CN"/>
          <w14:textFill>
            <w14:solidFill>
              <w14:schemeClr w14:val="tx1"/>
            </w14:solidFill>
          </w14:textFill>
        </w:rPr>
        <w:t>广西朝华工程项目管理有限公司</w:t>
      </w:r>
    </w:p>
    <w:p>
      <w:pPr>
        <w:pStyle w:val="4"/>
        <w:spacing w:line="440" w:lineRule="exact"/>
        <w:rPr>
          <w:rFonts w:hint="eastAsia" w:ascii="宋体" w:hAnsi="宋体" w:cs="宋体"/>
          <w:bCs/>
          <w:color w:val="000000" w:themeColor="text1"/>
          <w:sz w:val="28"/>
          <w:szCs w:val="28"/>
          <w:u w:val="single"/>
          <w14:textFill>
            <w14:solidFill>
              <w14:schemeClr w14:val="tx1"/>
            </w14:solidFill>
          </w14:textFill>
        </w:rPr>
      </w:pPr>
    </w:p>
    <w:p>
      <w:pPr>
        <w:pStyle w:val="4"/>
        <w:spacing w:line="440" w:lineRule="exact"/>
        <w:rPr>
          <w:rFonts w:hint="eastAsia" w:ascii="宋体" w:hAnsi="宋体" w:cs="宋体"/>
          <w:bCs/>
          <w:color w:val="000000" w:themeColor="text1"/>
          <w:sz w:val="28"/>
          <w:szCs w:val="28"/>
          <w:u w:val="single"/>
          <w14:textFill>
            <w14:solidFill>
              <w14:schemeClr w14:val="tx1"/>
            </w14:solidFill>
          </w14:textFill>
        </w:rPr>
      </w:pPr>
    </w:p>
    <w:p>
      <w:pPr>
        <w:pStyle w:val="4"/>
        <w:spacing w:line="360" w:lineRule="auto"/>
        <w:ind w:left="982" w:hanging="562" w:hangingChars="200"/>
        <w:rPr>
          <w:rFonts w:hint="eastAsia" w:ascii="宋体" w:hAnsi="宋体" w:cs="宋体"/>
          <w:bCs/>
          <w:color w:val="000000" w:themeColor="text1"/>
          <w:sz w:val="28"/>
          <w:szCs w:val="28"/>
          <w14:textFill>
            <w14:solidFill>
              <w14:schemeClr w14:val="tx1"/>
            </w14:solidFill>
          </w14:textFill>
        </w:rPr>
      </w:pPr>
      <w:bookmarkStart w:id="175" w:name="_Toc20319_WPSOffice_Level2"/>
      <w:bookmarkStart w:id="176" w:name="_Toc4932_WPSOffice_Level2"/>
      <w:r>
        <w:rPr>
          <w:rFonts w:hint="eastAsia" w:ascii="宋体" w:hAnsi="宋体" w:cs="宋体"/>
          <w:b/>
          <w:color w:val="000000" w:themeColor="text1"/>
          <w:sz w:val="28"/>
          <w:szCs w:val="28"/>
          <w14:textFill>
            <w14:solidFill>
              <w14:schemeClr w14:val="tx1"/>
            </w14:solidFill>
          </w14:textFill>
        </w:rPr>
        <w:t>投标人[公章(CA签章)、自然人除外]：</w:t>
      </w:r>
      <w:r>
        <w:rPr>
          <w:rFonts w:hint="eastAsia" w:ascii="宋体" w:hAnsi="宋体" w:cs="宋体"/>
          <w:bCs/>
          <w:color w:val="000000" w:themeColor="text1"/>
          <w:sz w:val="28"/>
          <w:szCs w:val="28"/>
          <w:u w:val="single"/>
          <w14:textFill>
            <w14:solidFill>
              <w14:schemeClr w14:val="tx1"/>
            </w14:solidFill>
          </w14:textFill>
        </w:rPr>
        <w:t xml:space="preserve">                       </w:t>
      </w:r>
      <w:bookmarkEnd w:id="175"/>
      <w:bookmarkEnd w:id="176"/>
      <w:r>
        <w:rPr>
          <w:rFonts w:hint="eastAsia" w:ascii="宋体" w:hAnsi="宋体" w:cs="宋体"/>
          <w:bCs/>
          <w:color w:val="000000" w:themeColor="text1"/>
          <w:sz w:val="28"/>
          <w:szCs w:val="28"/>
          <w:u w:val="single"/>
          <w14:textFill>
            <w14:solidFill>
              <w14:schemeClr w14:val="tx1"/>
            </w14:solidFill>
          </w14:textFill>
        </w:rPr>
        <w:t xml:space="preserve">       </w:t>
      </w:r>
    </w:p>
    <w:p>
      <w:pPr>
        <w:pStyle w:val="20"/>
        <w:spacing w:line="360" w:lineRule="auto"/>
        <w:ind w:firstLine="420"/>
        <w:rPr>
          <w:rFonts w:hint="eastAsia" w:hAnsi="宋体" w:cs="宋体"/>
          <w:b/>
          <w:bCs/>
          <w:color w:val="000000" w:themeColor="text1"/>
          <w:sz w:val="28"/>
          <w:szCs w:val="28"/>
          <w14:textFill>
            <w14:solidFill>
              <w14:schemeClr w14:val="tx1"/>
            </w14:solidFill>
          </w14:textFill>
        </w:rPr>
      </w:pPr>
      <w:bookmarkStart w:id="177" w:name="_Toc32056_WPSOffice_Level2"/>
      <w:bookmarkStart w:id="178" w:name="_Toc9622_WPSOffice_Level2"/>
      <w:r>
        <w:rPr>
          <w:rFonts w:hint="eastAsia" w:hAnsi="宋体" w:cs="宋体"/>
          <w:b/>
          <w:bCs/>
          <w:color w:val="000000" w:themeColor="text1"/>
          <w:sz w:val="28"/>
          <w:szCs w:val="28"/>
          <w14:textFill>
            <w14:solidFill>
              <w14:schemeClr w14:val="tx1"/>
            </w14:solidFill>
          </w14:textFill>
        </w:rPr>
        <w:t>法定代表人、负责人、自然人或相应的委托代理人签字[或盖章(CA签章)]</w:t>
      </w:r>
    </w:p>
    <w:p>
      <w:pPr>
        <w:pStyle w:val="4"/>
        <w:spacing w:line="360" w:lineRule="auto"/>
        <w:ind w:left="982" w:hanging="562" w:hangingChars="200"/>
        <w:rPr>
          <w:rFonts w:hint="eastAsia" w:ascii="宋体" w:hAnsi="宋体" w:cs="宋体"/>
          <w:color w:val="000000" w:themeColor="text1"/>
          <w:sz w:val="28"/>
          <w:szCs w:val="28"/>
          <w:u w:val="single"/>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（属自然人的应在签名处加盖大拇指指印或个人CA签章）：</w:t>
      </w:r>
      <w:r>
        <w:rPr>
          <w:rFonts w:hint="eastAsia" w:ascii="宋体" w:hAnsi="宋体" w:cs="宋体"/>
          <w:color w:val="000000" w:themeColor="text1"/>
          <w:sz w:val="28"/>
          <w:szCs w:val="28"/>
          <w:u w:val="single"/>
          <w14:textFill>
            <w14:solidFill>
              <w14:schemeClr w14:val="tx1"/>
            </w14:solidFill>
          </w14:textFill>
        </w:rPr>
        <w:t xml:space="preserve">              </w:t>
      </w:r>
    </w:p>
    <w:p>
      <w:pPr>
        <w:pStyle w:val="4"/>
        <w:spacing w:line="360" w:lineRule="auto"/>
        <w:ind w:left="982" w:hanging="562" w:hangingChars="200"/>
        <w:rPr>
          <w:rFonts w:hint="eastAsia" w:ascii="宋体" w:hAnsi="宋体" w:cs="宋体"/>
          <w:bCs/>
          <w:color w:val="000000" w:themeColor="text1"/>
          <w:sz w:val="28"/>
          <w:szCs w:val="28"/>
          <w:u w:val="single"/>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联系电话：</w:t>
      </w:r>
      <w:bookmarkEnd w:id="177"/>
      <w:bookmarkEnd w:id="178"/>
      <w:r>
        <w:rPr>
          <w:rFonts w:hint="eastAsia" w:ascii="宋体" w:hAnsi="宋体" w:cs="宋体"/>
          <w:bCs/>
          <w:color w:val="000000" w:themeColor="text1"/>
          <w:sz w:val="28"/>
          <w:szCs w:val="28"/>
          <w:u w:val="single"/>
          <w14:textFill>
            <w14:solidFill>
              <w14:schemeClr w14:val="tx1"/>
            </w14:solidFill>
          </w14:textFill>
        </w:rPr>
        <w:t xml:space="preserve">                            </w:t>
      </w:r>
    </w:p>
    <w:p>
      <w:pPr>
        <w:pStyle w:val="4"/>
        <w:spacing w:line="360" w:lineRule="auto"/>
        <w:ind w:left="982" w:hanging="562" w:hangingChars="200"/>
        <w:rPr>
          <w:rFonts w:hint="eastAsia" w:ascii="宋体" w:hAnsi="宋体" w:cs="宋体"/>
          <w:bCs/>
          <w:color w:val="000000" w:themeColor="text1"/>
          <w:sz w:val="28"/>
          <w:szCs w:val="28"/>
          <w14:textFill>
            <w14:solidFill>
              <w14:schemeClr w14:val="tx1"/>
            </w14:solidFill>
          </w14:textFill>
        </w:rPr>
      </w:pPr>
      <w:bookmarkStart w:id="179" w:name="_Toc26465_WPSOffice_Level2"/>
      <w:bookmarkStart w:id="180" w:name="_Toc15933_WPSOffice_Level2"/>
      <w:r>
        <w:rPr>
          <w:rFonts w:hint="eastAsia" w:ascii="宋体" w:hAnsi="宋体" w:cs="宋体"/>
          <w:b/>
          <w:color w:val="000000" w:themeColor="text1"/>
          <w:sz w:val="28"/>
          <w:szCs w:val="28"/>
          <w14:textFill>
            <w14:solidFill>
              <w14:schemeClr w14:val="tx1"/>
            </w14:solidFill>
          </w14:textFill>
        </w:rPr>
        <w:t>日期：</w:t>
      </w:r>
      <w:r>
        <w:rPr>
          <w:rFonts w:hint="eastAsia" w:ascii="宋体" w:hAnsi="宋体" w:cs="宋体"/>
          <w:bCs/>
          <w:color w:val="000000" w:themeColor="text1"/>
          <w:sz w:val="28"/>
          <w:szCs w:val="28"/>
          <w:u w:val="single"/>
          <w14:textFill>
            <w14:solidFill>
              <w14:schemeClr w14:val="tx1"/>
            </w14:solidFill>
          </w14:textFill>
        </w:rPr>
        <w:t xml:space="preserve">         </w:t>
      </w:r>
      <w:r>
        <w:rPr>
          <w:rFonts w:hint="eastAsia" w:ascii="宋体" w:hAnsi="宋体" w:cs="宋体"/>
          <w:bCs/>
          <w:color w:val="000000" w:themeColor="text1"/>
          <w:sz w:val="28"/>
          <w:szCs w:val="28"/>
          <w14:textFill>
            <w14:solidFill>
              <w14:schemeClr w14:val="tx1"/>
            </w14:solidFill>
          </w14:textFill>
        </w:rPr>
        <w:t>年</w:t>
      </w:r>
      <w:r>
        <w:rPr>
          <w:rFonts w:hint="eastAsia" w:ascii="宋体" w:hAnsi="宋体" w:cs="宋体"/>
          <w:bCs/>
          <w:color w:val="000000" w:themeColor="text1"/>
          <w:sz w:val="28"/>
          <w:szCs w:val="28"/>
          <w:u w:val="single"/>
          <w14:textFill>
            <w14:solidFill>
              <w14:schemeClr w14:val="tx1"/>
            </w14:solidFill>
          </w14:textFill>
        </w:rPr>
        <w:t xml:space="preserve">        </w:t>
      </w:r>
      <w:r>
        <w:rPr>
          <w:rFonts w:hint="eastAsia" w:ascii="宋体" w:hAnsi="宋体" w:cs="宋体"/>
          <w:bCs/>
          <w:color w:val="000000" w:themeColor="text1"/>
          <w:sz w:val="28"/>
          <w:szCs w:val="28"/>
          <w14:textFill>
            <w14:solidFill>
              <w14:schemeClr w14:val="tx1"/>
            </w14:solidFill>
          </w14:textFill>
        </w:rPr>
        <w:t>月</w:t>
      </w:r>
      <w:r>
        <w:rPr>
          <w:rFonts w:hint="eastAsia" w:ascii="宋体" w:hAnsi="宋体" w:cs="宋体"/>
          <w:bCs/>
          <w:color w:val="000000" w:themeColor="text1"/>
          <w:sz w:val="28"/>
          <w:szCs w:val="28"/>
          <w:u w:val="single"/>
          <w14:textFill>
            <w14:solidFill>
              <w14:schemeClr w14:val="tx1"/>
            </w14:solidFill>
          </w14:textFill>
        </w:rPr>
        <w:t xml:space="preserve">       </w:t>
      </w:r>
      <w:r>
        <w:rPr>
          <w:rFonts w:hint="eastAsia" w:ascii="宋体" w:hAnsi="宋体" w:cs="宋体"/>
          <w:bCs/>
          <w:color w:val="000000" w:themeColor="text1"/>
          <w:sz w:val="28"/>
          <w:szCs w:val="28"/>
          <w14:textFill>
            <w14:solidFill>
              <w14:schemeClr w14:val="tx1"/>
            </w14:solidFill>
          </w14:textFill>
        </w:rPr>
        <w:t>日</w:t>
      </w:r>
      <w:bookmarkEnd w:id="179"/>
      <w:bookmarkEnd w:id="180"/>
    </w:p>
    <w:p>
      <w:pPr>
        <w:spacing w:line="440" w:lineRule="exact"/>
        <w:rPr>
          <w:rFonts w:hint="eastAsia" w:ascii="宋体" w:hAnsi="宋体" w:cs="宋体"/>
          <w:b/>
          <w:bCs/>
          <w:color w:val="000000" w:themeColor="text1"/>
          <w:sz w:val="32"/>
          <w:szCs w:val="32"/>
          <w14:textFill>
            <w14:solidFill>
              <w14:schemeClr w14:val="tx1"/>
            </w14:solidFill>
          </w14:textFill>
        </w:rPr>
      </w:pPr>
    </w:p>
    <w:p>
      <w:pPr>
        <w:pStyle w:val="50"/>
        <w:rPr>
          <w:rFonts w:hint="eastAsia" w:ascii="宋体" w:hAnsi="宋体" w:cs="宋体"/>
          <w:b/>
          <w:bCs/>
          <w:color w:val="000000" w:themeColor="text1"/>
          <w:sz w:val="32"/>
          <w:szCs w:val="32"/>
          <w14:textFill>
            <w14:solidFill>
              <w14:schemeClr w14:val="tx1"/>
            </w14:solidFill>
          </w14:textFill>
        </w:rPr>
      </w:pPr>
    </w:p>
    <w:p>
      <w:pPr>
        <w:pStyle w:val="50"/>
        <w:rPr>
          <w:rFonts w:hint="eastAsia" w:ascii="宋体" w:hAnsi="宋体" w:cs="宋体"/>
          <w:b/>
          <w:bCs/>
          <w:color w:val="000000" w:themeColor="text1"/>
          <w:sz w:val="32"/>
          <w:szCs w:val="32"/>
          <w14:textFill>
            <w14:solidFill>
              <w14:schemeClr w14:val="tx1"/>
            </w14:solidFill>
          </w14:textFill>
        </w:rPr>
      </w:pPr>
    </w:p>
    <w:p>
      <w:pPr>
        <w:spacing w:line="440" w:lineRule="exact"/>
        <w:jc w:val="center"/>
        <w:rPr>
          <w:rFonts w:hint="eastAsia" w:ascii="宋体" w:hAnsi="宋体" w:cs="宋体"/>
          <w:b/>
          <w:bCs/>
          <w:color w:val="000000" w:themeColor="text1"/>
          <w:sz w:val="32"/>
          <w:szCs w:val="32"/>
          <w14:textFill>
            <w14:solidFill>
              <w14:schemeClr w14:val="tx1"/>
            </w14:solidFill>
          </w14:textFill>
        </w:rPr>
      </w:pPr>
    </w:p>
    <w:p>
      <w:pPr>
        <w:spacing w:line="440" w:lineRule="exact"/>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投标文件目录</w:t>
      </w:r>
    </w:p>
    <w:p>
      <w:pPr>
        <w:tabs>
          <w:tab w:val="left" w:pos="1305"/>
        </w:tabs>
        <w:spacing w:line="440" w:lineRule="exact"/>
        <w:ind w:firstLine="422" w:firstLineChars="15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一、资格性响应证明材料：</w:t>
      </w:r>
    </w:p>
    <w:p>
      <w:pPr>
        <w:spacing w:line="440" w:lineRule="exact"/>
        <w:ind w:firstLine="472" w:firstLineChars="196"/>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（1）投标人相应的法定代表人或负责人或自然人身份证正反面复印件（必须提供）；</w:t>
      </w:r>
    </w:p>
    <w:p>
      <w:pPr>
        <w:spacing w:line="440" w:lineRule="exact"/>
        <w:ind w:firstLine="472" w:firstLineChars="196"/>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（2）投标人的授权委托书原件、委托代理人身份证正反面复印件以及由县级以上（含县级）社会养老保险经办机构出具的投标人为委托代理人交纳的</w:t>
      </w:r>
      <w:r>
        <w:rPr>
          <w:rFonts w:hint="eastAsia" w:ascii="宋体" w:hAnsi="宋体" w:cs="宋体"/>
          <w:b/>
          <w:bCs/>
          <w:color w:val="000000" w:themeColor="text1"/>
          <w:sz w:val="24"/>
          <w:lang w:eastAsia="zh-CN"/>
          <w14:textFill>
            <w14:solidFill>
              <w14:schemeClr w14:val="tx1"/>
            </w14:solidFill>
          </w14:textFill>
        </w:rPr>
        <w:t>投标</w:t>
      </w:r>
      <w:r>
        <w:rPr>
          <w:rFonts w:hint="eastAsia" w:ascii="宋体" w:hAnsi="宋体" w:cs="宋体"/>
          <w:b/>
          <w:bCs/>
          <w:color w:val="000000" w:themeColor="text1"/>
          <w:sz w:val="24"/>
          <w14:textFill>
            <w14:solidFill>
              <w14:schemeClr w14:val="tx1"/>
            </w14:solidFill>
          </w14:textFill>
        </w:rPr>
        <w:t>文件递交截止时间前半年内连续三个月社保证明复印件；</w:t>
      </w:r>
      <w:r>
        <w:rPr>
          <w:rFonts w:hint="eastAsia" w:ascii="宋体" w:hAnsi="宋体" w:cs="宋体"/>
          <w:color w:val="000000" w:themeColor="text1"/>
          <w:sz w:val="24"/>
          <w14:textFill>
            <w14:solidFill>
              <w14:schemeClr w14:val="tx1"/>
            </w14:solidFill>
          </w14:textFill>
        </w:rPr>
        <w:t>（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w:t>
      </w:r>
      <w:r>
        <w:rPr>
          <w:rFonts w:hint="eastAsia" w:ascii="宋体" w:hAnsi="宋体" w:cs="宋体"/>
          <w:color w:val="000000" w:themeColor="text1"/>
          <w:sz w:val="24"/>
          <w:lang w:eastAsia="zh-CN"/>
          <w14:textFill>
            <w14:solidFill>
              <w14:schemeClr w14:val="tx1"/>
            </w14:solidFill>
          </w14:textFill>
        </w:rPr>
        <w:t>投标</w:t>
      </w:r>
      <w:r>
        <w:rPr>
          <w:rFonts w:hint="eastAsia" w:ascii="宋体" w:hAnsi="宋体" w:cs="宋体"/>
          <w:color w:val="000000" w:themeColor="text1"/>
          <w:sz w:val="24"/>
          <w14:textFill>
            <w14:solidFill>
              <w14:schemeClr w14:val="tx1"/>
            </w14:solidFill>
          </w14:textFill>
        </w:rPr>
        <w:t>文件递交截止时间前半年内连续三个月社保证明复印件】</w:t>
      </w:r>
      <w:r>
        <w:rPr>
          <w:rFonts w:hint="eastAsia" w:ascii="宋体" w:hAnsi="宋体" w:cs="宋体"/>
          <w:b/>
          <w:color w:val="000000" w:themeColor="text1"/>
          <w:sz w:val="24"/>
          <w14:textFill>
            <w14:solidFill>
              <w14:schemeClr w14:val="tx1"/>
            </w14:solidFill>
          </w14:textFill>
        </w:rPr>
        <w:t>（委托代理时必须提供）；</w:t>
      </w:r>
    </w:p>
    <w:p>
      <w:pPr>
        <w:spacing w:line="440" w:lineRule="exact"/>
        <w:ind w:firstLine="472" w:firstLineChars="196"/>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（3）投标人的法人或者其他组织营业执照等证明文件复印件（必须提供，自然人除外）；</w:t>
      </w:r>
    </w:p>
    <w:p>
      <w:pPr>
        <w:tabs>
          <w:tab w:val="left" w:pos="1305"/>
        </w:tabs>
        <w:spacing w:line="440" w:lineRule="exact"/>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pPr>
        <w:numPr>
          <w:ilvl w:val="0"/>
          <w:numId w:val="2"/>
        </w:numPr>
        <w:spacing w:line="440" w:lineRule="exact"/>
        <w:ind w:firstLine="472" w:firstLineChars="196"/>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投标人参加政府采购活动前3年内在经营活动中没有重大违法记录及有关信用信息的书面声明（必须提供）；</w:t>
      </w:r>
    </w:p>
    <w:p>
      <w:pPr>
        <w:tabs>
          <w:tab w:val="left" w:pos="1305"/>
        </w:tabs>
        <w:spacing w:line="440" w:lineRule="exact"/>
        <w:ind w:firstLine="562"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二、</w:t>
      </w:r>
      <w:r>
        <w:rPr>
          <w:rFonts w:hint="eastAsia" w:ascii="宋体" w:hAnsi="宋体" w:cs="宋体"/>
          <w:b/>
          <w:color w:val="000000" w:themeColor="text1"/>
          <w:sz w:val="28"/>
          <w:szCs w:val="28"/>
          <w14:textFill>
            <w14:solidFill>
              <w14:schemeClr w14:val="tx1"/>
            </w14:solidFill>
          </w14:textFill>
        </w:rPr>
        <w:t>报价文件证明材料：</w:t>
      </w:r>
    </w:p>
    <w:p>
      <w:pPr>
        <w:tabs>
          <w:tab w:val="left" w:pos="1305"/>
        </w:tabs>
        <w:spacing w:line="440" w:lineRule="exact"/>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（1）投标报价表</w:t>
      </w:r>
      <w:r>
        <w:rPr>
          <w:rFonts w:hint="eastAsia" w:ascii="宋体" w:hAnsi="宋体" w:cs="宋体"/>
          <w:color w:val="000000" w:themeColor="text1"/>
          <w:sz w:val="24"/>
          <w14:textFill>
            <w14:solidFill>
              <w14:schemeClr w14:val="tx1"/>
            </w14:solidFill>
          </w14:textFill>
        </w:rPr>
        <w:t>（格式见附件）</w:t>
      </w:r>
      <w:r>
        <w:rPr>
          <w:rFonts w:hint="eastAsia" w:ascii="宋体" w:hAnsi="宋体" w:cs="宋体"/>
          <w:b/>
          <w:bCs/>
          <w:color w:val="000000" w:themeColor="text1"/>
          <w:sz w:val="24"/>
          <w14:textFill>
            <w14:solidFill>
              <w14:schemeClr w14:val="tx1"/>
            </w14:solidFill>
          </w14:textFill>
        </w:rPr>
        <w:t>（必须提供）</w:t>
      </w:r>
    </w:p>
    <w:p>
      <w:pPr>
        <w:tabs>
          <w:tab w:val="left" w:pos="1305"/>
        </w:tabs>
        <w:spacing w:line="440" w:lineRule="exact"/>
        <w:ind w:firstLine="562"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三、</w:t>
      </w:r>
      <w:r>
        <w:rPr>
          <w:rFonts w:hint="eastAsia" w:ascii="宋体" w:hAnsi="宋体" w:cs="宋体"/>
          <w:b/>
          <w:color w:val="000000" w:themeColor="text1"/>
          <w:sz w:val="28"/>
          <w:szCs w:val="28"/>
          <w14:textFill>
            <w14:solidFill>
              <w14:schemeClr w14:val="tx1"/>
            </w14:solidFill>
          </w14:textFill>
        </w:rPr>
        <w:t>商务、技术性响应及其他证明材料：</w:t>
      </w:r>
    </w:p>
    <w:p>
      <w:pPr>
        <w:tabs>
          <w:tab w:val="left" w:pos="2190"/>
        </w:tabs>
        <w:spacing w:line="440" w:lineRule="exact"/>
        <w:ind w:firstLine="480" w:firstLineChars="200"/>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w:t>
      </w:r>
      <w:r>
        <w:rPr>
          <w:rFonts w:hint="eastAsia" w:ascii="宋体" w:hAnsi="宋体" w:cs="宋体"/>
          <w:b w:val="0"/>
          <w:bCs/>
          <w:color w:val="000000" w:themeColor="text1"/>
          <w:sz w:val="24"/>
          <w:lang w:val="en-US" w:eastAsia="zh-CN"/>
          <w14:textFill>
            <w14:solidFill>
              <w14:schemeClr w14:val="tx1"/>
            </w14:solidFill>
          </w14:textFill>
        </w:rPr>
        <w:t>1</w:t>
      </w:r>
      <w:r>
        <w:rPr>
          <w:rFonts w:hint="eastAsia" w:ascii="宋体" w:hAnsi="宋体" w:cs="宋体"/>
          <w:b w:val="0"/>
          <w:bCs/>
          <w:color w:val="000000" w:themeColor="text1"/>
          <w:sz w:val="24"/>
          <w14:textFill>
            <w14:solidFill>
              <w14:schemeClr w14:val="tx1"/>
            </w14:solidFill>
          </w14:textFill>
        </w:rPr>
        <w:t>）投标人的服务方案（根据采购需求包括但不限于</w:t>
      </w:r>
      <w:r>
        <w:rPr>
          <w:rFonts w:hint="eastAsia" w:ascii="宋体" w:hAnsi="宋体" w:cs="宋体"/>
          <w:b w:val="0"/>
          <w:bCs/>
          <w:color w:val="000000" w:themeColor="text1"/>
          <w:sz w:val="24"/>
          <w:lang w:eastAsia="zh-CN"/>
          <w14:textFill>
            <w14:solidFill>
              <w14:schemeClr w14:val="tx1"/>
            </w14:solidFill>
          </w14:textFill>
        </w:rPr>
        <w:t>污水处理厂经营管理方案、应急预案、达到服务质量标准的保证措施</w:t>
      </w:r>
      <w:r>
        <w:rPr>
          <w:rFonts w:hint="eastAsia" w:ascii="宋体" w:hAnsi="宋体" w:cs="宋体"/>
          <w:b w:val="0"/>
          <w:bCs/>
          <w:color w:val="000000" w:themeColor="text1"/>
          <w:sz w:val="24"/>
          <w14:textFill>
            <w14:solidFill>
              <w14:schemeClr w14:val="tx1"/>
            </w14:solidFill>
          </w14:textFill>
        </w:rPr>
        <w:t>等，格式自拟）</w:t>
      </w:r>
      <w:r>
        <w:rPr>
          <w:rFonts w:hint="eastAsia" w:ascii="宋体" w:hAnsi="宋体" w:cs="宋体"/>
          <w:bCs/>
          <w:color w:val="000000" w:themeColor="text1"/>
          <w:kern w:val="0"/>
          <w:sz w:val="24"/>
          <w14:textFill>
            <w14:solidFill>
              <w14:schemeClr w14:val="tx1"/>
            </w14:solidFill>
          </w14:textFill>
        </w:rPr>
        <w:t>(格式见附件)</w:t>
      </w:r>
      <w:r>
        <w:rPr>
          <w:rFonts w:hint="eastAsia" w:ascii="宋体" w:hAnsi="宋体" w:cs="宋体"/>
          <w:b/>
          <w:bCs w:val="0"/>
          <w:color w:val="000000" w:themeColor="text1"/>
          <w:sz w:val="24"/>
          <w14:textFill>
            <w14:solidFill>
              <w14:schemeClr w14:val="tx1"/>
            </w14:solidFill>
          </w14:textFill>
        </w:rPr>
        <w:t>（必须提供）</w:t>
      </w:r>
      <w:r>
        <w:rPr>
          <w:rStyle w:val="46"/>
          <w:rFonts w:hint="eastAsia" w:ascii="宋体" w:hAnsi="宋体" w:cs="宋体"/>
          <w:b/>
          <w:bCs w:val="0"/>
          <w:color w:val="000000" w:themeColor="text1"/>
          <w14:textFill>
            <w14:solidFill>
              <w14:schemeClr w14:val="tx1"/>
            </w14:solidFill>
          </w14:textFill>
        </w:rPr>
        <w:t>；</w:t>
      </w:r>
    </w:p>
    <w:p>
      <w:pPr>
        <w:tabs>
          <w:tab w:val="left" w:pos="1305"/>
        </w:tabs>
        <w:spacing w:line="440" w:lineRule="exact"/>
        <w:ind w:firstLine="480" w:firstLineChars="200"/>
        <w:rPr>
          <w:rFonts w:ascii="宋体" w:hAnsi="宋体" w:cs="宋体"/>
          <w:b w:val="0"/>
          <w:bCs/>
          <w:color w:val="000000" w:themeColor="text1"/>
          <w:kern w:val="0"/>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w:t>
      </w:r>
      <w:r>
        <w:rPr>
          <w:rFonts w:hint="eastAsia" w:ascii="宋体" w:hAnsi="宋体" w:cs="宋体"/>
          <w:b w:val="0"/>
          <w:bCs/>
          <w:color w:val="000000" w:themeColor="text1"/>
          <w:sz w:val="24"/>
          <w:lang w:val="en-US" w:eastAsia="zh-CN"/>
          <w14:textFill>
            <w14:solidFill>
              <w14:schemeClr w14:val="tx1"/>
            </w14:solidFill>
          </w14:textFill>
        </w:rPr>
        <w:t>2</w:t>
      </w:r>
      <w:r>
        <w:rPr>
          <w:rFonts w:hint="eastAsia" w:ascii="宋体" w:hAnsi="宋体" w:cs="宋体"/>
          <w:b w:val="0"/>
          <w:bCs/>
          <w:color w:val="000000" w:themeColor="text1"/>
          <w:sz w:val="24"/>
          <w14:textFill>
            <w14:solidFill>
              <w14:schemeClr w14:val="tx1"/>
            </w14:solidFill>
          </w14:textFill>
        </w:rPr>
        <w:t>）</w:t>
      </w:r>
      <w:r>
        <w:rPr>
          <w:rFonts w:hint="eastAsia" w:ascii="宋体" w:hAnsi="宋体" w:cs="宋体"/>
          <w:b w:val="0"/>
          <w:bCs/>
          <w:color w:val="000000" w:themeColor="text1"/>
          <w:kern w:val="0"/>
          <w:sz w:val="24"/>
          <w14:textFill>
            <w14:solidFill>
              <w14:schemeClr w14:val="tx1"/>
            </w14:solidFill>
          </w14:textFill>
        </w:rPr>
        <w:t>投标人的服务承诺书</w:t>
      </w:r>
      <w:r>
        <w:rPr>
          <w:rFonts w:hint="eastAsia" w:ascii="宋体" w:hAnsi="宋体" w:cs="宋体"/>
          <w:bCs/>
          <w:color w:val="000000" w:themeColor="text1"/>
          <w:kern w:val="0"/>
          <w:sz w:val="24"/>
          <w14:textFill>
            <w14:solidFill>
              <w14:schemeClr w14:val="tx1"/>
            </w14:solidFill>
          </w14:textFill>
        </w:rPr>
        <w:t>(格式见附件)</w:t>
      </w:r>
      <w:r>
        <w:rPr>
          <w:rFonts w:hint="eastAsia" w:ascii="宋体" w:hAnsi="宋体" w:cs="宋体"/>
          <w:b/>
          <w:bCs w:val="0"/>
          <w:color w:val="000000" w:themeColor="text1"/>
          <w:sz w:val="24"/>
          <w14:textFill>
            <w14:solidFill>
              <w14:schemeClr w14:val="tx1"/>
            </w14:solidFill>
          </w14:textFill>
        </w:rPr>
        <w:t>（必须提供）；</w:t>
      </w:r>
    </w:p>
    <w:p>
      <w:pPr>
        <w:spacing w:line="440" w:lineRule="exact"/>
        <w:ind w:firstLine="480" w:firstLineChars="200"/>
        <w:rPr>
          <w:rFonts w:hint="eastAsia" w:ascii="宋体" w:hAnsi="宋体" w:cs="宋体"/>
          <w:b w:val="0"/>
          <w:bCs/>
          <w:color w:val="000000" w:themeColor="text1"/>
          <w:kern w:val="0"/>
          <w:sz w:val="24"/>
          <w14:textFill>
            <w14:solidFill>
              <w14:schemeClr w14:val="tx1"/>
            </w14:solidFill>
          </w14:textFill>
        </w:rPr>
      </w:pPr>
      <w:r>
        <w:rPr>
          <w:rFonts w:hint="eastAsia" w:ascii="宋体" w:hAnsi="宋体" w:cs="宋体"/>
          <w:b w:val="0"/>
          <w:bCs/>
          <w:color w:val="000000" w:themeColor="text1"/>
          <w:kern w:val="0"/>
          <w:sz w:val="24"/>
          <w14:textFill>
            <w14:solidFill>
              <w14:schemeClr w14:val="tx1"/>
            </w14:solidFill>
          </w14:textFill>
        </w:rPr>
        <w:t>（</w:t>
      </w:r>
      <w:r>
        <w:rPr>
          <w:rFonts w:hint="eastAsia" w:ascii="宋体" w:hAnsi="宋体" w:cs="宋体"/>
          <w:b w:val="0"/>
          <w:bCs/>
          <w:color w:val="000000" w:themeColor="text1"/>
          <w:kern w:val="0"/>
          <w:sz w:val="24"/>
          <w:lang w:val="en-US" w:eastAsia="zh-CN"/>
          <w14:textFill>
            <w14:solidFill>
              <w14:schemeClr w14:val="tx1"/>
            </w14:solidFill>
          </w14:textFill>
        </w:rPr>
        <w:t>3</w:t>
      </w:r>
      <w:r>
        <w:rPr>
          <w:rFonts w:hint="eastAsia" w:ascii="宋体" w:hAnsi="宋体" w:cs="宋体"/>
          <w:b w:val="0"/>
          <w:bCs/>
          <w:color w:val="000000" w:themeColor="text1"/>
          <w:kern w:val="0"/>
          <w:sz w:val="24"/>
          <w14:textFill>
            <w14:solidFill>
              <w14:schemeClr w14:val="tx1"/>
            </w14:solidFill>
          </w14:textFill>
        </w:rPr>
        <w:t>）拟投入本项目的项目负责人简历表</w:t>
      </w:r>
      <w:r>
        <w:rPr>
          <w:rFonts w:hint="eastAsia" w:hAnsi="宋体" w:cs="宋体"/>
          <w:b w:val="0"/>
          <w:bCs/>
          <w:color w:val="000000" w:themeColor="text1"/>
          <w:sz w:val="24"/>
          <w14:textFill>
            <w14:solidFill>
              <w14:schemeClr w14:val="tx1"/>
            </w14:solidFill>
          </w14:textFill>
        </w:rPr>
        <w:t>（</w:t>
      </w:r>
      <w:r>
        <w:rPr>
          <w:rFonts w:hint="eastAsia" w:hAnsi="宋体" w:cs="宋体"/>
          <w:bCs/>
          <w:color w:val="000000" w:themeColor="text1"/>
          <w:kern w:val="0"/>
          <w:sz w:val="24"/>
          <w14:textFill>
            <w14:solidFill>
              <w14:schemeClr w14:val="tx1"/>
            </w14:solidFill>
          </w14:textFill>
        </w:rPr>
        <w:t>格式见附件</w:t>
      </w:r>
      <w:r>
        <w:rPr>
          <w:rFonts w:hint="eastAsia" w:hAnsi="宋体" w:cs="宋体"/>
          <w:b w:val="0"/>
          <w:bCs/>
          <w:color w:val="000000" w:themeColor="text1"/>
          <w:sz w:val="24"/>
          <w14:textFill>
            <w14:solidFill>
              <w14:schemeClr w14:val="tx1"/>
            </w14:solidFill>
          </w14:textFill>
        </w:rPr>
        <w:t>）</w:t>
      </w:r>
      <w:r>
        <w:rPr>
          <w:rFonts w:hint="eastAsia" w:ascii="宋体" w:hAnsi="宋体" w:cs="宋体"/>
          <w:b/>
          <w:bCs w:val="0"/>
          <w:color w:val="000000" w:themeColor="text1"/>
          <w:kern w:val="0"/>
          <w:sz w:val="24"/>
          <w14:textFill>
            <w14:solidFill>
              <w14:schemeClr w14:val="tx1"/>
            </w14:solidFill>
          </w14:textFill>
        </w:rPr>
        <w:t>（必须提供）；</w:t>
      </w:r>
    </w:p>
    <w:p>
      <w:pPr>
        <w:pStyle w:val="2"/>
        <w:ind w:firstLine="480" w:firstLineChars="200"/>
        <w:rPr>
          <w:rFonts w:hint="eastAsia" w:ascii="宋体" w:hAnsi="宋体" w:cs="宋体"/>
          <w:b w:val="0"/>
          <w:bCs/>
          <w:color w:val="000000" w:themeColor="text1"/>
          <w:szCs w:val="21"/>
          <w14:textFill>
            <w14:solidFill>
              <w14:schemeClr w14:val="tx1"/>
            </w14:solidFill>
          </w14:textFill>
        </w:rPr>
      </w:pPr>
      <w:r>
        <w:rPr>
          <w:rFonts w:hint="eastAsia" w:ascii="宋体" w:hAnsi="宋体" w:cs="宋体"/>
          <w:b w:val="0"/>
          <w:bCs/>
          <w:color w:val="000000" w:themeColor="text1"/>
          <w:kern w:val="0"/>
          <w:sz w:val="24"/>
          <w:lang w:eastAsia="zh-CN"/>
          <w14:textFill>
            <w14:solidFill>
              <w14:schemeClr w14:val="tx1"/>
            </w14:solidFill>
          </w14:textFill>
        </w:rPr>
        <w:t>（</w:t>
      </w:r>
      <w:r>
        <w:rPr>
          <w:rFonts w:hint="eastAsia" w:ascii="宋体" w:hAnsi="宋体" w:cs="宋体"/>
          <w:b w:val="0"/>
          <w:bCs/>
          <w:color w:val="000000" w:themeColor="text1"/>
          <w:kern w:val="0"/>
          <w:sz w:val="24"/>
          <w:lang w:val="en-US" w:eastAsia="zh-CN"/>
          <w14:textFill>
            <w14:solidFill>
              <w14:schemeClr w14:val="tx1"/>
            </w14:solidFill>
          </w14:textFill>
        </w:rPr>
        <w:t>4</w:t>
      </w:r>
      <w:r>
        <w:rPr>
          <w:rFonts w:hint="eastAsia" w:ascii="宋体" w:hAnsi="宋体" w:cs="宋体"/>
          <w:b w:val="0"/>
          <w:bCs/>
          <w:color w:val="000000" w:themeColor="text1"/>
          <w:kern w:val="0"/>
          <w:sz w:val="24"/>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项目拟投入人员承诺函</w:t>
      </w:r>
      <w:r>
        <w:rPr>
          <w:rFonts w:hint="eastAsia" w:ascii="宋体" w:hAnsi="宋体" w:cs="宋体"/>
          <w:b/>
          <w:bCs w:val="0"/>
          <w:color w:val="000000" w:themeColor="text1"/>
          <w:szCs w:val="21"/>
          <w14:textFill>
            <w14:solidFill>
              <w14:schemeClr w14:val="tx1"/>
            </w14:solidFill>
          </w14:textFill>
        </w:rPr>
        <w:t>（必须提供）；</w:t>
      </w:r>
    </w:p>
    <w:p>
      <w:pPr>
        <w:pStyle w:val="2"/>
        <w:ind w:firstLine="480" w:firstLineChars="200"/>
        <w:rPr>
          <w:rFonts w:hint="eastAsia" w:ascii="宋体" w:hAnsi="宋体" w:cs="宋体"/>
          <w:b w:val="0"/>
          <w:bCs/>
          <w:color w:val="000000" w:themeColor="text1"/>
          <w:szCs w:val="21"/>
          <w:lang w:eastAsia="zh-CN"/>
          <w14:textFill>
            <w14:solidFill>
              <w14:schemeClr w14:val="tx1"/>
            </w14:solidFill>
          </w14:textFill>
        </w:rPr>
      </w:pPr>
      <w:r>
        <w:rPr>
          <w:rFonts w:hint="eastAsia" w:ascii="宋体" w:hAnsi="宋体" w:cs="宋体"/>
          <w:b w:val="0"/>
          <w:bCs/>
          <w:color w:val="000000" w:themeColor="text1"/>
          <w:szCs w:val="21"/>
          <w:lang w:eastAsia="zh-CN"/>
          <w14:textFill>
            <w14:solidFill>
              <w14:schemeClr w14:val="tx1"/>
            </w14:solidFill>
          </w14:textFill>
        </w:rPr>
        <w:t>（</w:t>
      </w:r>
      <w:r>
        <w:rPr>
          <w:rFonts w:hint="eastAsia" w:ascii="宋体" w:hAnsi="宋体" w:cs="宋体"/>
          <w:b w:val="0"/>
          <w:bCs/>
          <w:color w:val="000000" w:themeColor="text1"/>
          <w:szCs w:val="21"/>
          <w:lang w:val="en-US" w:eastAsia="zh-CN"/>
          <w14:textFill>
            <w14:solidFill>
              <w14:schemeClr w14:val="tx1"/>
            </w14:solidFill>
          </w14:textFill>
        </w:rPr>
        <w:t>5</w:t>
      </w:r>
      <w:r>
        <w:rPr>
          <w:rFonts w:hint="eastAsia" w:ascii="宋体" w:hAnsi="宋体" w:cs="宋体"/>
          <w:b w:val="0"/>
          <w:bCs/>
          <w:color w:val="000000" w:themeColor="text1"/>
          <w:szCs w:val="21"/>
          <w:lang w:eastAsia="zh-CN"/>
          <w14:textFill>
            <w14:solidFill>
              <w14:schemeClr w14:val="tx1"/>
            </w14:solidFill>
          </w14:textFill>
        </w:rPr>
        <w:t>）投标人的服务需求响应表</w:t>
      </w:r>
      <w:r>
        <w:rPr>
          <w:rFonts w:hint="eastAsia" w:ascii="宋体" w:hAnsi="宋体" w:cs="宋体"/>
          <w:b/>
          <w:bCs w:val="0"/>
          <w:color w:val="000000" w:themeColor="text1"/>
          <w:szCs w:val="21"/>
          <w:lang w:eastAsia="zh-CN"/>
          <w14:textFill>
            <w14:solidFill>
              <w14:schemeClr w14:val="tx1"/>
            </w14:solidFill>
          </w14:textFill>
        </w:rPr>
        <w:t>（必须提供）；</w:t>
      </w:r>
    </w:p>
    <w:p>
      <w:pPr>
        <w:pStyle w:val="20"/>
        <w:spacing w:line="440" w:lineRule="exact"/>
        <w:ind w:firstLine="480" w:firstLineChars="200"/>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w:t>
      </w:r>
      <w:r>
        <w:rPr>
          <w:rFonts w:hint="eastAsia" w:hAnsi="宋体" w:cs="宋体"/>
          <w:bCs/>
          <w:color w:val="000000" w:themeColor="text1"/>
          <w:sz w:val="24"/>
          <w:szCs w:val="24"/>
          <w:lang w:val="en-US" w:eastAsia="zh-CN"/>
          <w14:textFill>
            <w14:solidFill>
              <w14:schemeClr w14:val="tx1"/>
            </w14:solidFill>
          </w14:textFill>
        </w:rPr>
        <w:t>6</w:t>
      </w:r>
      <w:r>
        <w:rPr>
          <w:rFonts w:hint="eastAsia" w:hAnsi="宋体" w:cs="宋体"/>
          <w:bCs/>
          <w:color w:val="000000" w:themeColor="text1"/>
          <w:sz w:val="24"/>
          <w:szCs w:val="24"/>
          <w14:textFill>
            <w14:solidFill>
              <w14:schemeClr w14:val="tx1"/>
            </w14:solidFill>
          </w14:textFill>
        </w:rPr>
        <w:t>）“服务采购需求”中要求必须提供的相关有效证明文件</w:t>
      </w:r>
      <w:r>
        <w:rPr>
          <w:rFonts w:hint="eastAsia" w:hAnsi="宋体" w:cs="宋体"/>
          <w:b w:val="0"/>
          <w:bCs/>
          <w:color w:val="000000" w:themeColor="text1"/>
          <w:sz w:val="24"/>
          <w:szCs w:val="24"/>
          <w14:textFill>
            <w14:solidFill>
              <w14:schemeClr w14:val="tx1"/>
            </w14:solidFill>
          </w14:textFill>
        </w:rPr>
        <w:t>（如有，请提供）；</w:t>
      </w:r>
    </w:p>
    <w:p>
      <w:pPr>
        <w:pStyle w:val="20"/>
        <w:spacing w:line="440" w:lineRule="exact"/>
        <w:ind w:firstLine="480" w:firstLineChars="200"/>
        <w:rPr>
          <w:rFonts w:hint="eastAsia" w:hAnsi="宋体" w:cs="宋体"/>
          <w:b w:val="0"/>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w:t>
      </w:r>
      <w:r>
        <w:rPr>
          <w:rFonts w:hint="eastAsia" w:hAnsi="宋体" w:cs="宋体"/>
          <w:bCs/>
          <w:color w:val="000000" w:themeColor="text1"/>
          <w:sz w:val="24"/>
          <w:szCs w:val="24"/>
          <w:lang w:val="en-US" w:eastAsia="zh-CN"/>
          <w14:textFill>
            <w14:solidFill>
              <w14:schemeClr w14:val="tx1"/>
            </w14:solidFill>
          </w14:textFill>
        </w:rPr>
        <w:t>7</w:t>
      </w:r>
      <w:r>
        <w:rPr>
          <w:rFonts w:hint="eastAsia" w:hAnsi="宋体" w:cs="宋体"/>
          <w:bCs/>
          <w:color w:val="000000" w:themeColor="text1"/>
          <w:sz w:val="24"/>
          <w:szCs w:val="24"/>
          <w14:textFill>
            <w14:solidFill>
              <w14:schemeClr w14:val="tx1"/>
            </w14:solidFill>
          </w14:textFill>
        </w:rPr>
        <w:t>）投标人201</w:t>
      </w:r>
      <w:r>
        <w:rPr>
          <w:rFonts w:hint="eastAsia" w:hAnsi="宋体" w:cs="宋体"/>
          <w:bCs/>
          <w:color w:val="000000" w:themeColor="text1"/>
          <w:sz w:val="24"/>
          <w:szCs w:val="24"/>
          <w:lang w:val="en-US" w:eastAsia="zh-CN"/>
          <w14:textFill>
            <w14:solidFill>
              <w14:schemeClr w14:val="tx1"/>
            </w14:solidFill>
          </w14:textFill>
        </w:rPr>
        <w:t>8</w:t>
      </w:r>
      <w:r>
        <w:rPr>
          <w:rFonts w:hint="eastAsia" w:hAnsi="宋体" w:cs="宋体"/>
          <w:bCs/>
          <w:color w:val="000000" w:themeColor="text1"/>
          <w:sz w:val="24"/>
          <w:szCs w:val="24"/>
          <w14:textFill>
            <w14:solidFill>
              <w14:schemeClr w14:val="tx1"/>
            </w14:solidFill>
          </w14:textFill>
        </w:rPr>
        <w:t>年1月1日</w:t>
      </w:r>
      <w:r>
        <w:rPr>
          <w:rFonts w:hint="eastAsia" w:hAnsi="宋体" w:cs="宋体"/>
          <w:bCs/>
          <w:color w:val="000000" w:themeColor="text1"/>
          <w:sz w:val="24"/>
          <w:szCs w:val="24"/>
          <w:lang w:val="en-US" w:eastAsia="zh-CN"/>
          <w14:textFill>
            <w14:solidFill>
              <w14:schemeClr w14:val="tx1"/>
            </w14:solidFill>
          </w14:textFill>
        </w:rPr>
        <w:t>以来</w:t>
      </w:r>
      <w:r>
        <w:rPr>
          <w:rFonts w:hint="eastAsia" w:hAnsi="宋体" w:cs="宋体"/>
          <w:bCs/>
          <w:color w:val="000000" w:themeColor="text1"/>
          <w:sz w:val="24"/>
          <w:szCs w:val="24"/>
          <w14:textFill>
            <w14:solidFill>
              <w14:schemeClr w14:val="tx1"/>
            </w14:solidFill>
          </w14:textFill>
        </w:rPr>
        <w:t>完成同类项目的业绩的相关证明材料（无不良记录，以提供的中标（成交）通知书</w:t>
      </w:r>
      <w:r>
        <w:rPr>
          <w:rFonts w:hint="eastAsia" w:hAnsi="宋体" w:cs="宋体"/>
          <w:bCs/>
          <w:color w:val="000000" w:themeColor="text1"/>
          <w:sz w:val="24"/>
          <w:szCs w:val="24"/>
          <w:lang w:eastAsia="zh-CN"/>
          <w14:textFill>
            <w14:solidFill>
              <w14:schemeClr w14:val="tx1"/>
            </w14:solidFill>
          </w14:textFill>
        </w:rPr>
        <w:t>或</w:t>
      </w:r>
      <w:r>
        <w:rPr>
          <w:rFonts w:hint="eastAsia" w:hAnsi="宋体" w:cs="宋体"/>
          <w:bCs/>
          <w:color w:val="000000" w:themeColor="text1"/>
          <w:sz w:val="24"/>
          <w:szCs w:val="24"/>
          <w14:textFill>
            <w14:solidFill>
              <w14:schemeClr w14:val="tx1"/>
            </w14:solidFill>
          </w14:textFill>
        </w:rPr>
        <w:t>签订的项目合同复印</w:t>
      </w:r>
      <w:r>
        <w:rPr>
          <w:rFonts w:hint="eastAsia" w:hAnsi="宋体" w:cs="宋体"/>
          <w:bCs/>
          <w:color w:val="000000" w:themeColor="text1"/>
          <w:sz w:val="24"/>
          <w:szCs w:val="24"/>
          <w:lang w:eastAsia="zh-CN"/>
          <w14:textFill>
            <w14:solidFill>
              <w14:schemeClr w14:val="tx1"/>
            </w14:solidFill>
          </w14:textFill>
        </w:rPr>
        <w:t>件</w:t>
      </w:r>
      <w:r>
        <w:rPr>
          <w:rFonts w:hint="eastAsia" w:hAnsi="宋体" w:cs="宋体"/>
          <w:bCs/>
          <w:color w:val="000000" w:themeColor="text1"/>
          <w:sz w:val="24"/>
          <w:szCs w:val="24"/>
          <w14:textFill>
            <w14:solidFill>
              <w14:schemeClr w14:val="tx1"/>
            </w14:solidFill>
          </w14:textFill>
        </w:rPr>
        <w:t>并加盖公章为准，并能清晰反映所项目得名称、种类，否则将不予评审，同一个编号的项目有两个或两个以上的分标中标的只算一个）</w:t>
      </w:r>
      <w:r>
        <w:rPr>
          <w:rFonts w:hint="eastAsia" w:hAnsi="宋体" w:cs="宋体"/>
          <w:b w:val="0"/>
          <w:bCs/>
          <w:color w:val="000000" w:themeColor="text1"/>
          <w:sz w:val="24"/>
          <w:szCs w:val="24"/>
          <w14:textFill>
            <w14:solidFill>
              <w14:schemeClr w14:val="tx1"/>
            </w14:solidFill>
          </w14:textFill>
        </w:rPr>
        <w:t>（如有，请提供）；</w:t>
      </w:r>
    </w:p>
    <w:p>
      <w:pPr>
        <w:pStyle w:val="20"/>
        <w:spacing w:line="440" w:lineRule="exact"/>
        <w:ind w:firstLine="480" w:firstLineChars="200"/>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w:t>
      </w:r>
      <w:r>
        <w:rPr>
          <w:rFonts w:hint="eastAsia" w:hAnsi="宋体" w:cs="宋体"/>
          <w:bCs/>
          <w:color w:val="000000" w:themeColor="text1"/>
          <w:sz w:val="24"/>
          <w:szCs w:val="24"/>
          <w:lang w:val="en-US" w:eastAsia="zh-CN"/>
          <w14:textFill>
            <w14:solidFill>
              <w14:schemeClr w14:val="tx1"/>
            </w14:solidFill>
          </w14:textFill>
        </w:rPr>
        <w:t>8</w:t>
      </w:r>
      <w:r>
        <w:rPr>
          <w:rFonts w:hint="eastAsia" w:hAnsi="宋体" w:cs="宋体"/>
          <w:bCs/>
          <w:color w:val="000000" w:themeColor="text1"/>
          <w:sz w:val="24"/>
          <w:szCs w:val="24"/>
          <w14:textFill>
            <w14:solidFill>
              <w14:schemeClr w14:val="tx1"/>
            </w14:solidFill>
          </w14:textFill>
        </w:rPr>
        <w:t>）</w:t>
      </w:r>
      <w:r>
        <w:rPr>
          <w:rFonts w:hint="eastAsia" w:hAnsi="宋体" w:cs="宋体"/>
          <w:bCs/>
          <w:color w:val="000000" w:themeColor="text1"/>
          <w:sz w:val="24"/>
          <w14:textFill>
            <w14:solidFill>
              <w14:schemeClr w14:val="tx1"/>
            </w14:solidFill>
          </w14:textFill>
        </w:rPr>
        <w:t>投标人相关获奖证书、认证证书等复印件</w:t>
      </w:r>
      <w:r>
        <w:rPr>
          <w:rFonts w:hint="eastAsia" w:hAnsi="宋体" w:cs="宋体"/>
          <w:b w:val="0"/>
          <w:bCs/>
          <w:color w:val="000000" w:themeColor="text1"/>
          <w:sz w:val="24"/>
          <w:szCs w:val="24"/>
          <w14:textFill>
            <w14:solidFill>
              <w14:schemeClr w14:val="tx1"/>
            </w14:solidFill>
          </w14:textFill>
        </w:rPr>
        <w:t>（如有，请提供）；</w:t>
      </w:r>
    </w:p>
    <w:p>
      <w:pPr>
        <w:tabs>
          <w:tab w:val="left" w:pos="1305"/>
        </w:tabs>
        <w:spacing w:line="44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9</w:t>
      </w:r>
      <w:r>
        <w:rPr>
          <w:rFonts w:hint="eastAsia" w:ascii="宋体" w:hAnsi="宋体" w:cs="宋体"/>
          <w:bCs/>
          <w:color w:val="000000" w:themeColor="text1"/>
          <w:sz w:val="24"/>
          <w14:textFill>
            <w14:solidFill>
              <w14:schemeClr w14:val="tx1"/>
            </w14:solidFill>
          </w14:textFill>
        </w:rPr>
        <w:t>）中小微企业或监狱企业或残疾人福利性单位的证明材料【①如属于中小企业在参加政府采购活动时，应当出具《中小企业声明函》（格式见附件），以提供的《中小企业声明函》为准，并对声明的真实性负责（中小微型企业划分标准按照《国家统计局关于印发《统计上大中小微型企业划分办法（2017）》的通知》（国统字[2017]213号）执行）；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w:t>
      </w:r>
      <w:r>
        <w:rPr>
          <w:rFonts w:hint="eastAsia" w:ascii="宋体" w:hAnsi="宋体" w:cs="宋体"/>
          <w:b w:val="0"/>
          <w:bCs/>
          <w:color w:val="000000" w:themeColor="text1"/>
          <w:sz w:val="24"/>
          <w14:textFill>
            <w14:solidFill>
              <w14:schemeClr w14:val="tx1"/>
            </w14:solidFill>
          </w14:textFill>
        </w:rPr>
        <w:t>（如有，请提供）</w:t>
      </w:r>
      <w:r>
        <w:rPr>
          <w:rFonts w:hint="eastAsia" w:ascii="宋体" w:hAnsi="宋体" w:cs="宋体"/>
          <w:bCs/>
          <w:color w:val="000000" w:themeColor="text1"/>
          <w:sz w:val="24"/>
          <w14:textFill>
            <w14:solidFill>
              <w14:schemeClr w14:val="tx1"/>
            </w14:solidFill>
          </w14:textFill>
        </w:rPr>
        <w:t>；</w:t>
      </w:r>
    </w:p>
    <w:p>
      <w:pPr>
        <w:snapToGrid w:val="0"/>
        <w:spacing w:line="440" w:lineRule="exact"/>
        <w:ind w:firstLine="480" w:firstLineChars="200"/>
        <w:outlineLvl w:val="4"/>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10</w:t>
      </w:r>
      <w:r>
        <w:rPr>
          <w:rFonts w:hint="eastAsia" w:ascii="宋体" w:hAnsi="宋体" w:cs="宋体"/>
          <w:bCs/>
          <w:color w:val="000000" w:themeColor="text1"/>
          <w:sz w:val="24"/>
          <w14:textFill>
            <w14:solidFill>
              <w14:schemeClr w14:val="tx1"/>
            </w14:solidFill>
          </w14:textFill>
        </w:rPr>
        <w:t>）投标人可结合本项目的评标办法视自身情况自行提交相关证明材料</w:t>
      </w:r>
      <w:r>
        <w:rPr>
          <w:rFonts w:hint="eastAsia" w:ascii="宋体" w:hAnsi="宋体" w:cs="宋体"/>
          <w:b w:val="0"/>
          <w:bCs/>
          <w:color w:val="000000" w:themeColor="text1"/>
          <w:sz w:val="24"/>
          <w14:textFill>
            <w14:solidFill>
              <w14:schemeClr w14:val="tx1"/>
            </w14:solidFill>
          </w14:textFill>
        </w:rPr>
        <w:t>（如有，请提供）</w:t>
      </w:r>
      <w:r>
        <w:rPr>
          <w:rFonts w:hint="eastAsia" w:ascii="宋体" w:hAnsi="宋体" w:cs="宋体"/>
          <w:bCs/>
          <w:color w:val="000000" w:themeColor="text1"/>
          <w:sz w:val="24"/>
          <w14:textFill>
            <w14:solidFill>
              <w14:schemeClr w14:val="tx1"/>
            </w14:solidFill>
          </w14:textFill>
        </w:rPr>
        <w:t>。</w:t>
      </w:r>
    </w:p>
    <w:p>
      <w:pPr>
        <w:pStyle w:val="2"/>
        <w:spacing w:line="440" w:lineRule="exact"/>
        <w:ind w:firstLine="48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14:textFill>
            <w14:solidFill>
              <w14:schemeClr w14:val="tx1"/>
            </w14:solidFill>
          </w14:textFill>
        </w:rPr>
        <w:t>投标人提供的以上相关证明材料属于“必须提供”的文件应加盖投标人公章（CA签章）/自然人签字或加盖个人CA签章，否则投标无效。</w:t>
      </w:r>
    </w:p>
    <w:p>
      <w:pPr>
        <w:pStyle w:val="2"/>
        <w:spacing w:line="440" w:lineRule="exact"/>
        <w:rPr>
          <w:rFonts w:hint="eastAsia" w:ascii="宋体" w:hAnsi="宋体" w:cs="宋体"/>
          <w:color w:val="000000" w:themeColor="text1"/>
          <w:szCs w:val="21"/>
          <w14:textFill>
            <w14:solidFill>
              <w14:schemeClr w14:val="tx1"/>
            </w14:solidFill>
          </w14:textFill>
        </w:rPr>
      </w:pPr>
    </w:p>
    <w:p>
      <w:pPr>
        <w:pStyle w:val="2"/>
        <w:spacing w:line="440" w:lineRule="exact"/>
        <w:rPr>
          <w:rFonts w:hint="eastAsia" w:ascii="宋体" w:hAnsi="宋体" w:cs="宋体"/>
          <w:color w:val="000000" w:themeColor="text1"/>
          <w:szCs w:val="21"/>
          <w14:textFill>
            <w14:solidFill>
              <w14:schemeClr w14:val="tx1"/>
            </w14:solidFill>
          </w14:textFill>
        </w:rPr>
      </w:pPr>
    </w:p>
    <w:p>
      <w:pPr>
        <w:spacing w:line="440" w:lineRule="exact"/>
        <w:rPr>
          <w:rFonts w:hint="eastAsia" w:ascii="宋体" w:hAnsi="宋体" w:cs="宋体"/>
          <w:b/>
          <w:bCs/>
          <w:color w:val="000000" w:themeColor="text1"/>
          <w:sz w:val="32"/>
          <w:szCs w:val="32"/>
          <w14:textFill>
            <w14:solidFill>
              <w14:schemeClr w14:val="tx1"/>
            </w14:solidFill>
          </w14:textFill>
        </w:rPr>
        <w:sectPr>
          <w:pgSz w:w="11906" w:h="16838"/>
          <w:pgMar w:top="1440" w:right="1083" w:bottom="1440" w:left="1083" w:header="851" w:footer="992" w:gutter="0"/>
          <w:cols w:space="0" w:num="1"/>
          <w:rtlGutter w:val="0"/>
          <w:docGrid w:type="lines" w:linePitch="317" w:charSpace="0"/>
        </w:sectPr>
      </w:pPr>
      <w:bookmarkStart w:id="181" w:name="_Toc495841787"/>
      <w:bookmarkStart w:id="182" w:name="_Toc27290"/>
    </w:p>
    <w:p>
      <w:pPr>
        <w:numPr>
          <w:ilvl w:val="0"/>
          <w:numId w:val="8"/>
        </w:numPr>
        <w:spacing w:line="440" w:lineRule="exact"/>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资格性响应证明材料（格式）</w:t>
      </w:r>
      <w:bookmarkEnd w:id="181"/>
      <w:bookmarkEnd w:id="182"/>
      <w:r>
        <w:rPr>
          <w:rFonts w:hint="eastAsia" w:ascii="宋体" w:hAnsi="宋体" w:cs="宋体"/>
          <w:b/>
          <w:bCs/>
          <w:color w:val="000000" w:themeColor="text1"/>
          <w:sz w:val="36"/>
          <w:szCs w:val="36"/>
          <w14:textFill>
            <w14:solidFill>
              <w14:schemeClr w14:val="tx1"/>
            </w14:solidFill>
          </w14:textFill>
        </w:rPr>
        <w:t>：</w:t>
      </w: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spacing w:line="440" w:lineRule="exact"/>
        <w:rPr>
          <w:rFonts w:hint="eastAsia" w:ascii="宋体" w:hAnsi="宋体" w:cs="宋体"/>
          <w:b/>
          <w:bCs/>
          <w:color w:val="000000" w:themeColor="text1"/>
          <w:sz w:val="32"/>
          <w:szCs w:val="32"/>
          <w14:textFill>
            <w14:solidFill>
              <w14:schemeClr w14:val="tx1"/>
            </w14:solidFill>
          </w14:textFill>
        </w:rPr>
      </w:pPr>
      <w:bookmarkStart w:id="183" w:name="_Toc495841788"/>
      <w:bookmarkStart w:id="184" w:name="_Toc11828"/>
      <w:r>
        <w:rPr>
          <w:rFonts w:hint="eastAsia" w:ascii="宋体" w:hAnsi="宋体" w:cs="宋体"/>
          <w:b/>
          <w:bCs/>
          <w:color w:val="000000" w:themeColor="text1"/>
          <w:sz w:val="32"/>
          <w:szCs w:val="32"/>
          <w14:textFill>
            <w14:solidFill>
              <w14:schemeClr w14:val="tx1"/>
            </w14:solidFill>
          </w14:textFill>
        </w:rPr>
        <w:t>1.投标人相应的法定代表人或负责人或自然人身份证正反面复印件（必须提供）</w:t>
      </w:r>
      <w:bookmarkEnd w:id="183"/>
      <w:bookmarkEnd w:id="184"/>
      <w:r>
        <w:rPr>
          <w:rFonts w:hint="eastAsia" w:ascii="宋体" w:hAnsi="宋体" w:cs="宋体"/>
          <w:b/>
          <w:bCs/>
          <w:color w:val="000000" w:themeColor="text1"/>
          <w:sz w:val="32"/>
          <w:szCs w:val="32"/>
          <w14:textFill>
            <w14:solidFill>
              <w14:schemeClr w14:val="tx1"/>
            </w14:solidFill>
          </w14:textFill>
        </w:rPr>
        <w:t>；</w:t>
      </w:r>
    </w:p>
    <w:p>
      <w:pPr>
        <w:spacing w:line="440" w:lineRule="exact"/>
        <w:rPr>
          <w:rFonts w:hint="eastAsia" w:ascii="宋体" w:hAnsi="宋体" w:cs="宋体"/>
          <w:b/>
          <w:bCs/>
          <w:color w:val="000000" w:themeColor="text1"/>
          <w:sz w:val="32"/>
          <w:szCs w:val="32"/>
          <w14:textFill>
            <w14:solidFill>
              <w14:schemeClr w14:val="tx1"/>
            </w14:solidFill>
          </w14:textFill>
        </w:rPr>
      </w:pPr>
    </w:p>
    <w:p>
      <w:pPr>
        <w:spacing w:line="440" w:lineRule="exact"/>
        <w:rPr>
          <w:rFonts w:hint="eastAsia" w:ascii="宋体" w:hAnsi="宋体" w:cs="宋体"/>
          <w:b/>
          <w:bCs/>
          <w:color w:val="000000" w:themeColor="text1"/>
          <w:sz w:val="32"/>
          <w:szCs w:val="32"/>
          <w14:textFill>
            <w14:solidFill>
              <w14:schemeClr w14:val="tx1"/>
            </w14:solidFill>
          </w14:textFill>
        </w:rPr>
      </w:pPr>
    </w:p>
    <w:p>
      <w:pPr>
        <w:pStyle w:val="2"/>
        <w:spacing w:line="440" w:lineRule="exact"/>
        <w:rPr>
          <w:rFonts w:hint="eastAsia" w:ascii="宋体" w:hAnsi="宋体" w:cs="宋体"/>
          <w:b/>
          <w:bCs/>
          <w:color w:val="000000" w:themeColor="text1"/>
          <w:sz w:val="32"/>
          <w:szCs w:val="32"/>
          <w14:textFill>
            <w14:solidFill>
              <w14:schemeClr w14:val="tx1"/>
            </w14:solidFill>
          </w14:textFill>
        </w:rPr>
      </w:pPr>
      <w:bookmarkStart w:id="185" w:name="_Toc11623"/>
      <w:bookmarkStart w:id="186" w:name="_Toc495841789"/>
    </w:p>
    <w:p>
      <w:pPr>
        <w:rPr>
          <w:rFonts w:hint="eastAsia"/>
          <w:color w:val="000000" w:themeColor="text1"/>
          <w14:textFill>
            <w14:solidFill>
              <w14:schemeClr w14:val="tx1"/>
            </w14:solidFill>
          </w14:textFill>
        </w:rPr>
      </w:pPr>
    </w:p>
    <w:p>
      <w:pPr>
        <w:pStyle w:val="2"/>
        <w:spacing w:line="440" w:lineRule="exact"/>
        <w:rPr>
          <w:rFonts w:hint="eastAsia" w:ascii="宋体" w:hAnsi="宋体" w:cs="宋体"/>
          <w:b/>
          <w:bCs/>
          <w:color w:val="000000" w:themeColor="text1"/>
          <w:sz w:val="32"/>
          <w:szCs w:val="32"/>
          <w14:textFill>
            <w14:solidFill>
              <w14:schemeClr w14:val="tx1"/>
            </w14:solidFill>
          </w14:textFill>
        </w:rPr>
      </w:pPr>
    </w:p>
    <w:p>
      <w:pPr>
        <w:pStyle w:val="52"/>
        <w:spacing w:line="44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2.</w:t>
      </w:r>
      <w:bookmarkEnd w:id="185"/>
      <w:bookmarkEnd w:id="186"/>
      <w:r>
        <w:rPr>
          <w:rFonts w:hint="eastAsia" w:ascii="宋体" w:hAnsi="宋体" w:eastAsia="宋体" w:cs="宋体"/>
          <w:b/>
          <w:bCs/>
          <w:color w:val="000000" w:themeColor="text1"/>
          <w:sz w:val="32"/>
          <w:szCs w:val="32"/>
          <w14:textFill>
            <w14:solidFill>
              <w14:schemeClr w14:val="tx1"/>
            </w14:solidFill>
          </w14:textFill>
        </w:rPr>
        <w:t>投标人的授权委托书原件、委托代理人身份证正反面复印件以及由县级以上（含县级）社会养老保险经办机构出具的投标人为委托代理人交纳的</w:t>
      </w:r>
      <w:r>
        <w:rPr>
          <w:rFonts w:hint="eastAsia" w:ascii="宋体" w:hAnsi="宋体" w:eastAsia="宋体" w:cs="宋体"/>
          <w:b/>
          <w:bCs/>
          <w:color w:val="000000" w:themeColor="text1"/>
          <w:sz w:val="32"/>
          <w:szCs w:val="32"/>
          <w:lang w:eastAsia="zh-CN"/>
          <w14:textFill>
            <w14:solidFill>
              <w14:schemeClr w14:val="tx1"/>
            </w14:solidFill>
          </w14:textFill>
        </w:rPr>
        <w:t>投标</w:t>
      </w:r>
      <w:r>
        <w:rPr>
          <w:rFonts w:hint="eastAsia" w:ascii="宋体" w:hAnsi="宋体" w:eastAsia="宋体" w:cs="宋体"/>
          <w:b/>
          <w:bCs/>
          <w:color w:val="000000" w:themeColor="text1"/>
          <w:sz w:val="32"/>
          <w:szCs w:val="32"/>
          <w14:textFill>
            <w14:solidFill>
              <w14:schemeClr w14:val="tx1"/>
            </w14:solidFill>
          </w14:textFill>
        </w:rPr>
        <w:t>文件递交截止时间前半年内连续三个月社保证明复印件；</w:t>
      </w:r>
      <w:r>
        <w:rPr>
          <w:rFonts w:hint="eastAsia" w:ascii="宋体" w:hAnsi="宋体" w:eastAsia="宋体" w:cs="宋体"/>
          <w:b w:val="0"/>
          <w:bCs w:val="0"/>
          <w:color w:val="000000" w:themeColor="text1"/>
          <w:sz w:val="32"/>
          <w:szCs w:val="32"/>
          <w14:textFill>
            <w14:solidFill>
              <w14:schemeClr w14:val="tx1"/>
            </w14:solidFill>
          </w14:textFill>
        </w:rPr>
        <w:t>（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w:t>
      </w:r>
      <w:r>
        <w:rPr>
          <w:rFonts w:hint="eastAsia" w:ascii="宋体" w:hAnsi="宋体" w:eastAsia="宋体" w:cs="宋体"/>
          <w:b w:val="0"/>
          <w:bCs w:val="0"/>
          <w:color w:val="000000" w:themeColor="text1"/>
          <w:sz w:val="32"/>
          <w:szCs w:val="32"/>
          <w:lang w:eastAsia="zh-CN"/>
          <w14:textFill>
            <w14:solidFill>
              <w14:schemeClr w14:val="tx1"/>
            </w14:solidFill>
          </w14:textFill>
        </w:rPr>
        <w:t>投标</w:t>
      </w:r>
      <w:r>
        <w:rPr>
          <w:rFonts w:hint="eastAsia" w:ascii="宋体" w:hAnsi="宋体" w:eastAsia="宋体" w:cs="宋体"/>
          <w:b w:val="0"/>
          <w:bCs w:val="0"/>
          <w:color w:val="000000" w:themeColor="text1"/>
          <w:sz w:val="32"/>
          <w:szCs w:val="32"/>
          <w14:textFill>
            <w14:solidFill>
              <w14:schemeClr w14:val="tx1"/>
            </w14:solidFill>
          </w14:textFill>
        </w:rPr>
        <w:t>文件递交截止时间前半年内连续三个月社保证明复印件】</w:t>
      </w:r>
      <w:r>
        <w:rPr>
          <w:rFonts w:hint="eastAsia" w:ascii="宋体" w:hAnsi="宋体" w:eastAsia="宋体" w:cs="宋体"/>
          <w:b/>
          <w:bCs/>
          <w:color w:val="000000" w:themeColor="text1"/>
          <w:sz w:val="32"/>
          <w:szCs w:val="32"/>
          <w14:textFill>
            <w14:solidFill>
              <w14:schemeClr w14:val="tx1"/>
            </w14:solidFill>
          </w14:textFill>
        </w:rPr>
        <w:t>（委托代理时必须提供）；</w:t>
      </w:r>
    </w:p>
    <w:p>
      <w:pPr>
        <w:pStyle w:val="52"/>
        <w:spacing w:line="440" w:lineRule="exact"/>
        <w:rPr>
          <w:rFonts w:hint="eastAsia" w:ascii="宋体" w:hAnsi="宋体" w:eastAsia="宋体" w:cs="宋体"/>
          <w:color w:val="000000" w:themeColor="text1"/>
          <w14:textFill>
            <w14:solidFill>
              <w14:schemeClr w14:val="tx1"/>
            </w14:solidFill>
          </w14:textFill>
        </w:rPr>
      </w:pPr>
    </w:p>
    <w:p>
      <w:pPr>
        <w:pStyle w:val="52"/>
        <w:spacing w:line="440" w:lineRule="exact"/>
        <w:rPr>
          <w:rFonts w:hint="eastAsia" w:ascii="宋体" w:hAnsi="宋体" w:eastAsia="宋体" w:cs="宋体"/>
          <w:color w:val="000000" w:themeColor="text1"/>
          <w14:textFill>
            <w14:solidFill>
              <w14:schemeClr w14:val="tx1"/>
            </w14:solidFill>
          </w14:textFill>
        </w:rPr>
      </w:pPr>
    </w:p>
    <w:p>
      <w:pPr>
        <w:pStyle w:val="52"/>
        <w:spacing w:line="440" w:lineRule="exact"/>
        <w:rPr>
          <w:rFonts w:hint="eastAsia" w:ascii="宋体" w:hAnsi="宋体" w:eastAsia="宋体" w:cs="宋体"/>
          <w:color w:val="000000" w:themeColor="text1"/>
          <w14:textFill>
            <w14:solidFill>
              <w14:schemeClr w14:val="tx1"/>
            </w14:solidFill>
          </w14:textFill>
        </w:rPr>
      </w:pPr>
    </w:p>
    <w:p>
      <w:pPr>
        <w:pStyle w:val="52"/>
        <w:spacing w:line="440" w:lineRule="exact"/>
        <w:rPr>
          <w:rFonts w:hint="eastAsia" w:ascii="宋体" w:hAnsi="宋体" w:eastAsia="宋体" w:cs="宋体"/>
          <w:color w:val="000000" w:themeColor="text1"/>
          <w14:textFill>
            <w14:solidFill>
              <w14:schemeClr w14:val="tx1"/>
            </w14:solidFill>
          </w14:textFill>
        </w:rPr>
      </w:pPr>
    </w:p>
    <w:p>
      <w:pPr>
        <w:pStyle w:val="52"/>
        <w:spacing w:line="440" w:lineRule="exact"/>
        <w:rPr>
          <w:rFonts w:hint="eastAsia" w:ascii="宋体" w:hAnsi="宋体" w:eastAsia="宋体" w:cs="宋体"/>
          <w:color w:val="000000" w:themeColor="text1"/>
          <w14:textFill>
            <w14:solidFill>
              <w14:schemeClr w14:val="tx1"/>
            </w14:solidFill>
          </w14:textFill>
        </w:rPr>
      </w:pPr>
    </w:p>
    <w:p>
      <w:pPr>
        <w:pStyle w:val="52"/>
        <w:spacing w:line="440" w:lineRule="exact"/>
        <w:rPr>
          <w:rFonts w:hint="eastAsia" w:ascii="宋体" w:hAnsi="宋体" w:eastAsia="宋体" w:cs="宋体"/>
          <w:color w:val="000000" w:themeColor="text1"/>
          <w14:textFill>
            <w14:solidFill>
              <w14:schemeClr w14:val="tx1"/>
            </w14:solidFill>
          </w14:textFill>
        </w:rPr>
      </w:pPr>
    </w:p>
    <w:p>
      <w:pPr>
        <w:pStyle w:val="52"/>
        <w:spacing w:line="440" w:lineRule="exact"/>
        <w:rPr>
          <w:rFonts w:hint="eastAsia" w:ascii="宋体" w:hAnsi="宋体" w:eastAsia="宋体" w:cs="宋体"/>
          <w:color w:val="000000" w:themeColor="text1"/>
          <w14:textFill>
            <w14:solidFill>
              <w14:schemeClr w14:val="tx1"/>
            </w14:solidFill>
          </w14:textFill>
        </w:rPr>
      </w:pPr>
    </w:p>
    <w:p>
      <w:pPr>
        <w:pStyle w:val="52"/>
        <w:spacing w:line="440" w:lineRule="exact"/>
        <w:rPr>
          <w:rFonts w:hint="eastAsia" w:ascii="宋体" w:hAnsi="宋体" w:eastAsia="宋体" w:cs="宋体"/>
          <w:color w:val="000000" w:themeColor="text1"/>
          <w14:textFill>
            <w14:solidFill>
              <w14:schemeClr w14:val="tx1"/>
            </w14:solidFill>
          </w14:textFill>
        </w:rPr>
      </w:pPr>
    </w:p>
    <w:p>
      <w:pPr>
        <w:pStyle w:val="52"/>
        <w:spacing w:line="440" w:lineRule="exact"/>
        <w:rPr>
          <w:rFonts w:hint="eastAsia" w:ascii="宋体" w:hAnsi="宋体" w:eastAsia="宋体" w:cs="宋体"/>
          <w:color w:val="000000" w:themeColor="text1"/>
          <w14:textFill>
            <w14:solidFill>
              <w14:schemeClr w14:val="tx1"/>
            </w14:solidFill>
          </w14:textFill>
        </w:rPr>
      </w:pPr>
    </w:p>
    <w:p>
      <w:pPr>
        <w:pStyle w:val="52"/>
        <w:spacing w:line="440" w:lineRule="exact"/>
        <w:rPr>
          <w:rFonts w:hint="eastAsia" w:ascii="宋体" w:hAnsi="宋体" w:eastAsia="宋体" w:cs="宋体"/>
          <w:color w:val="000000" w:themeColor="text1"/>
          <w14:textFill>
            <w14:solidFill>
              <w14:schemeClr w14:val="tx1"/>
            </w14:solidFill>
          </w14:textFill>
        </w:rPr>
      </w:pPr>
    </w:p>
    <w:p>
      <w:pPr>
        <w:spacing w:line="440" w:lineRule="exact"/>
        <w:jc w:val="center"/>
        <w:rPr>
          <w:rFonts w:hint="eastAsia" w:ascii="宋体" w:hAnsi="宋体" w:cs="宋体"/>
          <w:b/>
          <w:color w:val="000000" w:themeColor="text1"/>
          <w:sz w:val="32"/>
          <w14:textFill>
            <w14:solidFill>
              <w14:schemeClr w14:val="tx1"/>
            </w14:solidFill>
          </w14:textFill>
        </w:rPr>
      </w:pPr>
      <w:bookmarkStart w:id="187" w:name="_Toc12280"/>
      <w:bookmarkStart w:id="188" w:name="_Toc495841790"/>
      <w:r>
        <w:rPr>
          <w:rFonts w:hint="eastAsia" w:ascii="宋体" w:hAnsi="宋体" w:cs="宋体"/>
          <w:b/>
          <w:color w:val="000000" w:themeColor="text1"/>
          <w:sz w:val="32"/>
          <w14:textFill>
            <w14:solidFill>
              <w14:schemeClr w14:val="tx1"/>
            </w14:solidFill>
          </w14:textFill>
        </w:rPr>
        <w:t>授权委托书（格式一）</w:t>
      </w:r>
    </w:p>
    <w:p>
      <w:pPr>
        <w:snapToGrid w:val="0"/>
        <w:spacing w:line="440" w:lineRule="exac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致</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lang w:eastAsia="zh-CN"/>
          <w14:textFill>
            <w14:solidFill>
              <w14:schemeClr w14:val="tx1"/>
            </w14:solidFill>
          </w14:textFill>
        </w:rPr>
        <w:t>广西朝华工程项目管理有限公司</w:t>
      </w:r>
    </w:p>
    <w:p>
      <w:pPr>
        <w:spacing w:line="440" w:lineRule="exact"/>
        <w:ind w:firstLine="600" w:firstLineChars="2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（姓名）系</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（投标人名称）的法定代表人（负责人），现授权委托本单位在职职工</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（姓名），身份证号码：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以我公司名义参加</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（项目名称及项目编号）    </w:t>
      </w:r>
      <w:r>
        <w:rPr>
          <w:rFonts w:hint="eastAsia" w:ascii="宋体" w:hAnsi="宋体" w:cs="宋体"/>
          <w:color w:val="000000" w:themeColor="text1"/>
          <w:sz w:val="24"/>
          <w14:textFill>
            <w14:solidFill>
              <w14:schemeClr w14:val="tx1"/>
            </w14:solidFill>
          </w14:textFill>
        </w:rPr>
        <w:t>项目的投标活动，并代表我方全权办理针对上述项目的投标、开标、评标、签约等具体事务和签署相关文件。</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我方对被授权人的签字事项负全部责任。</w:t>
      </w:r>
    </w:p>
    <w:p>
      <w:pPr>
        <w:spacing w:line="440" w:lineRule="exact"/>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授权委托代理期限：自即日起至该项目政府采购活动结束。</w:t>
      </w:r>
    </w:p>
    <w:p>
      <w:pPr>
        <w:spacing w:line="440" w:lineRule="exac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44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代理人无转委托权,特此委托。 </w:t>
      </w:r>
    </w:p>
    <w:p>
      <w:pPr>
        <w:snapToGrid w:val="0"/>
        <w:spacing w:line="440" w:lineRule="exact"/>
        <w:ind w:firstLine="525"/>
        <w:rPr>
          <w:rFonts w:hint="eastAsia" w:ascii="宋体" w:hAnsi="宋体" w:cs="宋体"/>
          <w:color w:val="000000" w:themeColor="text1"/>
          <w:sz w:val="24"/>
          <w14:textFill>
            <w14:solidFill>
              <w14:schemeClr w14:val="tx1"/>
            </w14:solidFill>
          </w14:textFill>
        </w:rPr>
      </w:pPr>
    </w:p>
    <w:p>
      <w:pPr>
        <w:snapToGrid w:val="0"/>
        <w:spacing w:line="440" w:lineRule="exact"/>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我已在下面签字，以资证明。</w:t>
      </w:r>
    </w:p>
    <w:p>
      <w:pPr>
        <w:snapToGrid w:val="0"/>
        <w:spacing w:line="440" w:lineRule="exact"/>
        <w:ind w:firstLine="420"/>
        <w:rPr>
          <w:rFonts w:hint="eastAsia" w:ascii="宋体" w:hAnsi="宋体" w:cs="宋体"/>
          <w:color w:val="000000" w:themeColor="text1"/>
          <w:sz w:val="24"/>
          <w14:textFill>
            <w14:solidFill>
              <w14:schemeClr w14:val="tx1"/>
            </w14:solidFill>
          </w14:textFill>
        </w:rPr>
      </w:pPr>
    </w:p>
    <w:p>
      <w:pPr>
        <w:snapToGrid w:val="0"/>
        <w:spacing w:line="440" w:lineRule="exact"/>
        <w:ind w:firstLine="42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投标人[公章（CA签章）]：</w:t>
      </w:r>
      <w:r>
        <w:rPr>
          <w:rFonts w:hint="eastAsia" w:ascii="宋体" w:hAnsi="宋体" w:cs="宋体"/>
          <w:color w:val="000000" w:themeColor="text1"/>
          <w:sz w:val="24"/>
          <w:u w:val="single"/>
          <w14:textFill>
            <w14:solidFill>
              <w14:schemeClr w14:val="tx1"/>
            </w14:solidFill>
          </w14:textFill>
        </w:rPr>
        <w:t xml:space="preserve">                                   </w:t>
      </w:r>
    </w:p>
    <w:p>
      <w:pPr>
        <w:snapToGrid w:val="0"/>
        <w:spacing w:line="440" w:lineRule="exact"/>
        <w:ind w:firstLine="420"/>
        <w:rPr>
          <w:rFonts w:hint="eastAsia" w:ascii="宋体" w:hAnsi="宋体" w:cs="宋体"/>
          <w:color w:val="000000" w:themeColor="text1"/>
          <w:sz w:val="24"/>
          <w14:textFill>
            <w14:solidFill>
              <w14:schemeClr w14:val="tx1"/>
            </w14:solidFill>
          </w14:textFill>
        </w:rPr>
      </w:pPr>
    </w:p>
    <w:p>
      <w:pPr>
        <w:snapToGrid w:val="0"/>
        <w:spacing w:line="440" w:lineRule="exact"/>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法定代表人（负责人）签字（或个人CA签章）：</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napToGrid w:val="0"/>
        <w:spacing w:line="440" w:lineRule="exact"/>
        <w:ind w:firstLine="420"/>
        <w:rPr>
          <w:rFonts w:hint="eastAsia" w:ascii="宋体" w:hAnsi="宋体" w:cs="宋体"/>
          <w:color w:val="000000" w:themeColor="text1"/>
          <w:szCs w:val="21"/>
          <w14:textFill>
            <w14:solidFill>
              <w14:schemeClr w14:val="tx1"/>
            </w14:solidFill>
          </w14:textFill>
        </w:rPr>
      </w:pPr>
    </w:p>
    <w:p>
      <w:pPr>
        <w:spacing w:line="440" w:lineRule="exact"/>
        <w:ind w:firstLine="602" w:firstLineChars="25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w:t>
      </w:r>
      <w:r>
        <w:rPr>
          <w:rFonts w:hint="eastAsia" w:hAnsi="宋体" w:cs="宋体"/>
          <w:b/>
          <w:color w:val="000000" w:themeColor="text1"/>
          <w:sz w:val="24"/>
          <w14:textFill>
            <w14:solidFill>
              <w14:schemeClr w14:val="tx1"/>
            </w14:solidFill>
          </w14:textFill>
        </w:rPr>
        <w:t>委托代理人身份证正反面复印件以及由县级以上（含县级）社会养老保险经办机构出具的投标人为委托代理人交纳</w:t>
      </w:r>
      <w:r>
        <w:rPr>
          <w:rFonts w:hint="eastAsia" w:hAnsi="宋体" w:cs="宋体"/>
          <w:b/>
          <w:color w:val="000000" w:themeColor="text1"/>
          <w:sz w:val="24"/>
          <w:lang w:eastAsia="zh-CN"/>
          <w14:textFill>
            <w14:solidFill>
              <w14:schemeClr w14:val="tx1"/>
            </w14:solidFill>
          </w14:textFill>
        </w:rPr>
        <w:t>的</w:t>
      </w:r>
      <w:r>
        <w:rPr>
          <w:rFonts w:hint="eastAsia" w:ascii="宋体" w:hAnsi="宋体" w:cs="宋体"/>
          <w:b/>
          <w:bCs/>
          <w:color w:val="000000" w:themeColor="text1"/>
          <w:sz w:val="24"/>
          <w:lang w:eastAsia="zh-CN"/>
          <w14:textFill>
            <w14:solidFill>
              <w14:schemeClr w14:val="tx1"/>
            </w14:solidFill>
          </w14:textFill>
        </w:rPr>
        <w:t>投标</w:t>
      </w:r>
      <w:r>
        <w:rPr>
          <w:rFonts w:hint="eastAsia" w:ascii="宋体" w:hAnsi="宋体" w:cs="宋体"/>
          <w:b/>
          <w:bCs/>
          <w:color w:val="000000" w:themeColor="text1"/>
          <w:sz w:val="24"/>
          <w14:textFill>
            <w14:solidFill>
              <w14:schemeClr w14:val="tx1"/>
            </w14:solidFill>
          </w14:textFill>
        </w:rPr>
        <w:t>文件递交截止时间前半年内连续三个月社保证明复印件</w:t>
      </w:r>
      <w:r>
        <w:rPr>
          <w:rFonts w:hint="eastAsia" w:hAnsi="宋体" w:cs="宋体"/>
          <w:b/>
          <w:color w:val="000000" w:themeColor="text1"/>
          <w:sz w:val="24"/>
          <w14:textFill>
            <w14:solidFill>
              <w14:schemeClr w14:val="tx1"/>
            </w14:solidFill>
          </w14:textFill>
        </w:rPr>
        <w:t>（委托代理时必须提供）。</w:t>
      </w:r>
    </w:p>
    <w:p>
      <w:pPr>
        <w:pStyle w:val="20"/>
        <w:spacing w:line="440" w:lineRule="exact"/>
        <w:jc w:val="center"/>
        <w:rPr>
          <w:rFonts w:hint="eastAsia" w:hAnsi="宋体" w:cs="宋体"/>
          <w:b/>
          <w:color w:val="000000" w:themeColor="text1"/>
          <w:sz w:val="32"/>
          <w14:textFill>
            <w14:solidFill>
              <w14:schemeClr w14:val="tx1"/>
            </w14:solidFill>
          </w14:textFill>
        </w:rPr>
      </w:pPr>
    </w:p>
    <w:p>
      <w:pPr>
        <w:pStyle w:val="20"/>
        <w:spacing w:line="440" w:lineRule="exact"/>
        <w:jc w:val="center"/>
        <w:rPr>
          <w:rFonts w:hint="eastAsia" w:hAnsi="宋体" w:cs="宋体"/>
          <w:b/>
          <w:color w:val="000000" w:themeColor="text1"/>
          <w:sz w:val="32"/>
          <w14:textFill>
            <w14:solidFill>
              <w14:schemeClr w14:val="tx1"/>
            </w14:solidFill>
          </w14:textFill>
        </w:rPr>
      </w:pPr>
    </w:p>
    <w:p>
      <w:pPr>
        <w:pStyle w:val="20"/>
        <w:spacing w:line="440" w:lineRule="exact"/>
        <w:jc w:val="center"/>
        <w:rPr>
          <w:rFonts w:hint="eastAsia" w:hAnsi="宋体" w:cs="宋体"/>
          <w:b/>
          <w:color w:val="000000" w:themeColor="text1"/>
          <w:sz w:val="32"/>
          <w14:textFill>
            <w14:solidFill>
              <w14:schemeClr w14:val="tx1"/>
            </w14:solidFill>
          </w14:textFill>
        </w:rPr>
      </w:pPr>
    </w:p>
    <w:p>
      <w:pPr>
        <w:pStyle w:val="20"/>
        <w:spacing w:line="440" w:lineRule="exact"/>
        <w:jc w:val="center"/>
        <w:rPr>
          <w:rFonts w:hint="eastAsia" w:hAnsi="宋体" w:cs="宋体"/>
          <w:b/>
          <w:color w:val="000000" w:themeColor="text1"/>
          <w:sz w:val="32"/>
          <w14:textFill>
            <w14:solidFill>
              <w14:schemeClr w14:val="tx1"/>
            </w14:solidFill>
          </w14:textFill>
        </w:rPr>
      </w:pPr>
    </w:p>
    <w:p>
      <w:pPr>
        <w:pStyle w:val="20"/>
        <w:spacing w:line="440" w:lineRule="exact"/>
        <w:jc w:val="center"/>
        <w:rPr>
          <w:rFonts w:hint="eastAsia" w:hAnsi="宋体" w:cs="宋体"/>
          <w:b/>
          <w:color w:val="000000" w:themeColor="text1"/>
          <w:sz w:val="32"/>
          <w14:textFill>
            <w14:solidFill>
              <w14:schemeClr w14:val="tx1"/>
            </w14:solidFill>
          </w14:textFill>
        </w:rPr>
      </w:pPr>
    </w:p>
    <w:p>
      <w:pPr>
        <w:pStyle w:val="20"/>
        <w:spacing w:line="440" w:lineRule="exact"/>
        <w:jc w:val="center"/>
        <w:rPr>
          <w:rFonts w:hint="eastAsia" w:hAnsi="宋体" w:cs="宋体"/>
          <w:b/>
          <w:color w:val="000000" w:themeColor="text1"/>
          <w:sz w:val="32"/>
          <w14:textFill>
            <w14:solidFill>
              <w14:schemeClr w14:val="tx1"/>
            </w14:solidFill>
          </w14:textFill>
        </w:rPr>
      </w:pPr>
    </w:p>
    <w:p>
      <w:pPr>
        <w:pStyle w:val="20"/>
        <w:spacing w:line="440" w:lineRule="exact"/>
        <w:jc w:val="center"/>
        <w:rPr>
          <w:rFonts w:hint="eastAsia" w:hAnsi="宋体" w:cs="宋体"/>
          <w:b/>
          <w:color w:val="000000" w:themeColor="text1"/>
          <w:sz w:val="32"/>
          <w14:textFill>
            <w14:solidFill>
              <w14:schemeClr w14:val="tx1"/>
            </w14:solidFill>
          </w14:textFill>
        </w:rPr>
        <w:sectPr>
          <w:pgSz w:w="11906" w:h="16838"/>
          <w:pgMar w:top="1440" w:right="1083" w:bottom="1440" w:left="1083" w:header="851" w:footer="992" w:gutter="0"/>
          <w:cols w:space="0" w:num="1"/>
          <w:rtlGutter w:val="0"/>
          <w:docGrid w:type="lines" w:linePitch="317" w:charSpace="0"/>
        </w:sectPr>
      </w:pPr>
    </w:p>
    <w:p>
      <w:pPr>
        <w:pStyle w:val="20"/>
        <w:spacing w:line="440" w:lineRule="exact"/>
        <w:jc w:val="center"/>
        <w:rPr>
          <w:rFonts w:hint="eastAsia" w:hAnsi="宋体" w:cs="宋体"/>
          <w:b/>
          <w:color w:val="000000" w:themeColor="text1"/>
          <w:sz w:val="32"/>
          <w14:textFill>
            <w14:solidFill>
              <w14:schemeClr w14:val="tx1"/>
            </w14:solidFill>
          </w14:textFill>
        </w:rPr>
      </w:pPr>
      <w:r>
        <w:rPr>
          <w:rFonts w:hint="eastAsia" w:hAnsi="宋体" w:cs="宋体"/>
          <w:b/>
          <w:color w:val="000000" w:themeColor="text1"/>
          <w:sz w:val="32"/>
          <w14:textFill>
            <w14:solidFill>
              <w14:schemeClr w14:val="tx1"/>
            </w14:solidFill>
          </w14:textFill>
        </w:rPr>
        <w:t>授权委托书（格式二）</w:t>
      </w:r>
    </w:p>
    <w:p>
      <w:pPr>
        <w:snapToGrid w:val="0"/>
        <w:spacing w:line="440" w:lineRule="exact"/>
        <w:rPr>
          <w:rFonts w:hint="eastAsia" w:ascii="宋体" w:hAnsi="宋体" w:eastAsia="宋体" w:cs="宋体"/>
          <w:color w:val="000000" w:themeColor="text1"/>
          <w:sz w:val="24"/>
          <w:u w:val="single"/>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致</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lang w:eastAsia="zh-CN"/>
          <w14:textFill>
            <w14:solidFill>
              <w14:schemeClr w14:val="tx1"/>
            </w14:solidFill>
          </w14:textFill>
        </w:rPr>
        <w:t>广西朝华工程项目管理有限公司</w:t>
      </w:r>
    </w:p>
    <w:p>
      <w:pPr>
        <w:pStyle w:val="20"/>
        <w:spacing w:line="44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我</w:t>
      </w:r>
      <w:r>
        <w:rPr>
          <w:rFonts w:hint="eastAsia" w:hAnsi="宋体" w:cs="宋体"/>
          <w:color w:val="000000" w:themeColor="text1"/>
          <w:kern w:val="0"/>
          <w:sz w:val="24"/>
          <w:szCs w:val="24"/>
          <w:u w:val="single"/>
          <w14:textFill>
            <w14:solidFill>
              <w14:schemeClr w14:val="tx1"/>
            </w14:solidFill>
          </w14:textFill>
        </w:rPr>
        <w:t xml:space="preserve">      </w:t>
      </w:r>
      <w:r>
        <w:rPr>
          <w:rFonts w:hint="eastAsia" w:hAnsi="宋体" w:cs="宋体"/>
          <w:color w:val="000000" w:themeColor="text1"/>
          <w:kern w:val="0"/>
          <w:sz w:val="24"/>
          <w:szCs w:val="24"/>
          <w14:textFill>
            <w14:solidFill>
              <w14:schemeClr w14:val="tx1"/>
            </w14:solidFill>
          </w14:textFill>
        </w:rPr>
        <w:t>（姓名）系自然人，现授权委托</w:t>
      </w:r>
      <w:r>
        <w:rPr>
          <w:rFonts w:hint="eastAsia" w:hAnsi="宋体" w:cs="宋体"/>
          <w:color w:val="000000" w:themeColor="text1"/>
          <w:kern w:val="0"/>
          <w:sz w:val="24"/>
          <w:szCs w:val="24"/>
          <w:u w:val="single"/>
          <w14:textFill>
            <w14:solidFill>
              <w14:schemeClr w14:val="tx1"/>
            </w14:solidFill>
          </w14:textFill>
        </w:rPr>
        <w:t xml:space="preserve">       </w:t>
      </w:r>
      <w:r>
        <w:rPr>
          <w:rFonts w:hint="eastAsia" w:hAnsi="宋体" w:cs="宋体"/>
          <w:color w:val="000000" w:themeColor="text1"/>
          <w:kern w:val="0"/>
          <w:sz w:val="24"/>
          <w:szCs w:val="24"/>
          <w14:textFill>
            <w14:solidFill>
              <w14:schemeClr w14:val="tx1"/>
            </w14:solidFill>
          </w14:textFill>
        </w:rPr>
        <w:t>（姓 名），身份证号码：</w:t>
      </w:r>
      <w:r>
        <w:rPr>
          <w:rFonts w:hint="eastAsia" w:hAnsi="宋体" w:cs="宋体"/>
          <w:color w:val="000000" w:themeColor="text1"/>
          <w:kern w:val="0"/>
          <w:sz w:val="24"/>
          <w:szCs w:val="24"/>
          <w:u w:val="single"/>
          <w14:textFill>
            <w14:solidFill>
              <w14:schemeClr w14:val="tx1"/>
            </w14:solidFill>
          </w14:textFill>
        </w:rPr>
        <w:t xml:space="preserve">              </w:t>
      </w:r>
      <w:r>
        <w:rPr>
          <w:rFonts w:hint="eastAsia" w:hAnsi="宋体" w:cs="宋体"/>
          <w:color w:val="000000" w:themeColor="text1"/>
          <w:kern w:val="0"/>
          <w:sz w:val="24"/>
          <w:szCs w:val="24"/>
          <w14:textFill>
            <w14:solidFill>
              <w14:schemeClr w14:val="tx1"/>
            </w14:solidFill>
          </w14:textFill>
        </w:rPr>
        <w:t>以本人名义参加</w:t>
      </w:r>
      <w:r>
        <w:rPr>
          <w:rFonts w:hint="eastAsia" w:hAnsi="宋体" w:cs="宋体"/>
          <w:color w:val="000000" w:themeColor="text1"/>
          <w:kern w:val="0"/>
          <w:sz w:val="24"/>
          <w:szCs w:val="24"/>
          <w:u w:val="single"/>
          <w14:textFill>
            <w14:solidFill>
              <w14:schemeClr w14:val="tx1"/>
            </w14:solidFill>
          </w14:textFill>
        </w:rPr>
        <w:t xml:space="preserve">      </w:t>
      </w:r>
      <w:r>
        <w:rPr>
          <w:rFonts w:hint="eastAsia" w:hAnsi="宋体" w:cs="宋体"/>
          <w:color w:val="000000" w:themeColor="text1"/>
          <w:sz w:val="24"/>
          <w:szCs w:val="24"/>
          <w:u w:val="single"/>
          <w14:textFill>
            <w14:solidFill>
              <w14:schemeClr w14:val="tx1"/>
            </w14:solidFill>
          </w14:textFill>
        </w:rPr>
        <w:t xml:space="preserve">（项目名称及项目编号）        </w:t>
      </w:r>
      <w:r>
        <w:rPr>
          <w:rFonts w:hint="eastAsia" w:hAnsi="宋体" w:cs="宋体"/>
          <w:color w:val="000000" w:themeColor="text1"/>
          <w:sz w:val="24"/>
          <w:szCs w:val="24"/>
          <w14:textFill>
            <w14:solidFill>
              <w14:schemeClr w14:val="tx1"/>
            </w14:solidFill>
          </w14:textFill>
        </w:rPr>
        <w:t>项目的投标活动，并代表本人全权办理针对上述项目的投标、开标、评标、签约等具体事务和签署相关文件。</w:t>
      </w:r>
    </w:p>
    <w:p>
      <w:pPr>
        <w:pStyle w:val="20"/>
        <w:spacing w:line="44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本人对被授权人的签字事项负全部责任。</w:t>
      </w:r>
    </w:p>
    <w:p>
      <w:pPr>
        <w:pStyle w:val="20"/>
        <w:spacing w:line="440" w:lineRule="exact"/>
        <w:ind w:firstLine="480" w:firstLineChars="200"/>
        <w:rPr>
          <w:rFonts w:hint="eastAsia"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授权委托代理期限：自即日起至该项目政府采购活动结束。</w:t>
      </w:r>
    </w:p>
    <w:p>
      <w:pPr>
        <w:pStyle w:val="20"/>
        <w:spacing w:line="440" w:lineRule="exact"/>
        <w:ind w:firstLine="480" w:firstLineChars="200"/>
        <w:rPr>
          <w:rFonts w:hint="eastAsia" w:hAnsi="宋体" w:cs="宋体"/>
          <w:color w:val="000000" w:themeColor="text1"/>
          <w:sz w:val="24"/>
          <w:szCs w:val="24"/>
          <w:u w:val="single"/>
          <w14:textFill>
            <w14:solidFill>
              <w14:schemeClr w14:val="tx1"/>
            </w14:solidFill>
          </w14:textFill>
        </w:rPr>
      </w:pPr>
    </w:p>
    <w:p>
      <w:pPr>
        <w:pStyle w:val="20"/>
        <w:spacing w:line="440" w:lineRule="exact"/>
        <w:rPr>
          <w:rFonts w:hint="eastAsia"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w:t>
      </w:r>
    </w:p>
    <w:p>
      <w:pPr>
        <w:spacing w:line="44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代理人无转委托权,特此委托。 </w:t>
      </w:r>
    </w:p>
    <w:p>
      <w:pPr>
        <w:snapToGrid w:val="0"/>
        <w:spacing w:line="440" w:lineRule="exact"/>
        <w:ind w:firstLine="525"/>
        <w:rPr>
          <w:rFonts w:hint="eastAsia" w:ascii="宋体" w:hAnsi="宋体" w:cs="宋体"/>
          <w:color w:val="000000" w:themeColor="text1"/>
          <w:sz w:val="24"/>
          <w14:textFill>
            <w14:solidFill>
              <w14:schemeClr w14:val="tx1"/>
            </w14:solidFill>
          </w14:textFill>
        </w:rPr>
      </w:pPr>
    </w:p>
    <w:p>
      <w:pPr>
        <w:snapToGrid w:val="0"/>
        <w:spacing w:line="440" w:lineRule="exact"/>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我已在下面签字，以资证明。</w:t>
      </w:r>
    </w:p>
    <w:p>
      <w:pPr>
        <w:snapToGrid w:val="0"/>
        <w:spacing w:line="440" w:lineRule="exact"/>
        <w:ind w:firstLine="420"/>
        <w:rPr>
          <w:rFonts w:hint="eastAsia" w:ascii="宋体" w:hAnsi="宋体" w:cs="宋体"/>
          <w:color w:val="000000" w:themeColor="text1"/>
          <w:sz w:val="24"/>
          <w14:textFill>
            <w14:solidFill>
              <w14:schemeClr w14:val="tx1"/>
            </w14:solidFill>
          </w14:textFill>
        </w:rPr>
      </w:pPr>
    </w:p>
    <w:p>
      <w:pPr>
        <w:snapToGrid w:val="0"/>
        <w:spacing w:line="440" w:lineRule="exact"/>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自然人签字并在签名处加盖大拇指指印或个人CA签章：</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napToGrid w:val="0"/>
        <w:spacing w:line="440" w:lineRule="exact"/>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napToGrid w:val="0"/>
        <w:spacing w:line="440" w:lineRule="exact"/>
        <w:ind w:firstLine="420"/>
        <w:rPr>
          <w:rFonts w:hint="eastAsia" w:ascii="宋体" w:hAnsi="宋体" w:cs="宋体"/>
          <w:color w:val="000000" w:themeColor="text1"/>
          <w:szCs w:val="21"/>
          <w14:textFill>
            <w14:solidFill>
              <w14:schemeClr w14:val="tx1"/>
            </w14:solidFill>
          </w14:textFill>
        </w:rPr>
      </w:pPr>
    </w:p>
    <w:p>
      <w:pPr>
        <w:spacing w:line="440" w:lineRule="exact"/>
        <w:ind w:firstLine="602" w:firstLineChars="25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附：委托代理人身份证正反面复印件以及由县级以上（含县级）社会养老保险经办机构出具的投标人为委托代理人交纳</w:t>
      </w:r>
      <w:r>
        <w:rPr>
          <w:rFonts w:hint="eastAsia" w:ascii="宋体" w:hAnsi="宋体" w:cs="宋体"/>
          <w:b/>
          <w:color w:val="000000" w:themeColor="text1"/>
          <w:sz w:val="24"/>
          <w:lang w:eastAsia="zh-CN"/>
          <w14:textFill>
            <w14:solidFill>
              <w14:schemeClr w14:val="tx1"/>
            </w14:solidFill>
          </w14:textFill>
        </w:rPr>
        <w:t>的</w:t>
      </w:r>
      <w:r>
        <w:rPr>
          <w:rFonts w:hint="eastAsia" w:ascii="宋体" w:hAnsi="宋体" w:cs="宋体"/>
          <w:b/>
          <w:bCs/>
          <w:color w:val="000000" w:themeColor="text1"/>
          <w:sz w:val="24"/>
          <w:lang w:eastAsia="zh-CN"/>
          <w14:textFill>
            <w14:solidFill>
              <w14:schemeClr w14:val="tx1"/>
            </w14:solidFill>
          </w14:textFill>
        </w:rPr>
        <w:t>投标</w:t>
      </w:r>
      <w:r>
        <w:rPr>
          <w:rFonts w:hint="eastAsia" w:ascii="宋体" w:hAnsi="宋体" w:cs="宋体"/>
          <w:b/>
          <w:bCs/>
          <w:color w:val="000000" w:themeColor="text1"/>
          <w:sz w:val="24"/>
          <w14:textFill>
            <w14:solidFill>
              <w14:schemeClr w14:val="tx1"/>
            </w14:solidFill>
          </w14:textFill>
        </w:rPr>
        <w:t>文件递交截止时间前半年内连续三个月社保证明复印件</w:t>
      </w:r>
      <w:r>
        <w:rPr>
          <w:rFonts w:hint="eastAsia" w:ascii="宋体" w:hAnsi="宋体" w:cs="宋体"/>
          <w:b/>
          <w:color w:val="000000" w:themeColor="text1"/>
          <w:sz w:val="24"/>
          <w14:textFill>
            <w14:solidFill>
              <w14:schemeClr w14:val="tx1"/>
            </w14:solidFill>
          </w14:textFill>
        </w:rPr>
        <w:t>社保证明复印件（委托代理时必须提供）。</w:t>
      </w:r>
    </w:p>
    <w:p>
      <w:pPr>
        <w:spacing w:line="440" w:lineRule="exact"/>
        <w:rPr>
          <w:rFonts w:hint="eastAsia" w:ascii="宋体" w:hAnsi="宋体" w:cs="宋体"/>
          <w:b/>
          <w:bCs/>
          <w:color w:val="000000" w:themeColor="text1"/>
          <w:sz w:val="32"/>
          <w:szCs w:val="32"/>
          <w14:textFill>
            <w14:solidFill>
              <w14:schemeClr w14:val="tx1"/>
            </w14:solidFill>
          </w14:textFill>
        </w:rPr>
      </w:pPr>
    </w:p>
    <w:p>
      <w:pPr>
        <w:spacing w:line="440" w:lineRule="exact"/>
        <w:rPr>
          <w:rFonts w:hint="eastAsia" w:ascii="宋体" w:hAnsi="宋体" w:cs="宋体"/>
          <w:b/>
          <w:bCs/>
          <w:color w:val="000000" w:themeColor="text1"/>
          <w:sz w:val="32"/>
          <w:szCs w:val="32"/>
          <w14:textFill>
            <w14:solidFill>
              <w14:schemeClr w14:val="tx1"/>
            </w14:solidFill>
          </w14:textFill>
        </w:rPr>
      </w:pPr>
    </w:p>
    <w:p>
      <w:pPr>
        <w:spacing w:line="440" w:lineRule="exact"/>
        <w:rPr>
          <w:rFonts w:hint="eastAsia" w:ascii="宋体" w:hAnsi="宋体" w:cs="宋体"/>
          <w:color w:val="000000" w:themeColor="text1"/>
          <w14:textFill>
            <w14:solidFill>
              <w14:schemeClr w14:val="tx1"/>
            </w14:solidFill>
          </w14:textFill>
        </w:rPr>
      </w:pPr>
    </w:p>
    <w:p>
      <w:pPr>
        <w:spacing w:line="440" w:lineRule="exact"/>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3.投标人的法人或者其他组织营业执照等证明文件复印件（必须提供，自然人除外）</w:t>
      </w:r>
      <w:bookmarkEnd w:id="187"/>
      <w:bookmarkEnd w:id="188"/>
    </w:p>
    <w:p>
      <w:pPr>
        <w:tabs>
          <w:tab w:val="left" w:pos="1305"/>
        </w:tabs>
        <w:spacing w:line="44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pacing w:line="440" w:lineRule="exact"/>
        <w:rPr>
          <w:rFonts w:hint="eastAsia" w:ascii="宋体" w:hAnsi="宋体" w:cs="宋体"/>
          <w:b/>
          <w:color w:val="000000" w:themeColor="text1"/>
          <w:sz w:val="32"/>
          <w:szCs w:val="32"/>
          <w14:textFill>
            <w14:solidFill>
              <w14:schemeClr w14:val="tx1"/>
            </w14:solidFill>
          </w14:textFill>
        </w:rPr>
      </w:pPr>
    </w:p>
    <w:p>
      <w:pPr>
        <w:spacing w:line="440" w:lineRule="exact"/>
        <w:rPr>
          <w:rFonts w:hint="eastAsia" w:ascii="宋体" w:hAnsi="宋体" w:cs="宋体"/>
          <w:color w:val="000000" w:themeColor="text1"/>
          <w14:textFill>
            <w14:solidFill>
              <w14:schemeClr w14:val="tx1"/>
            </w14:solidFill>
          </w14:textFill>
        </w:rPr>
      </w:pPr>
    </w:p>
    <w:p>
      <w:pPr>
        <w:pStyle w:val="52"/>
        <w:spacing w:line="440" w:lineRule="exact"/>
        <w:rPr>
          <w:rFonts w:hint="eastAsia" w:ascii="宋体" w:hAnsi="宋体" w:eastAsia="宋体" w:cs="宋体"/>
          <w:color w:val="000000" w:themeColor="text1"/>
          <w14:textFill>
            <w14:solidFill>
              <w14:schemeClr w14:val="tx1"/>
            </w14:solidFill>
          </w14:textFill>
        </w:rPr>
      </w:pPr>
    </w:p>
    <w:p>
      <w:pPr>
        <w:pStyle w:val="52"/>
        <w:spacing w:line="440" w:lineRule="exact"/>
        <w:rPr>
          <w:rFonts w:hint="eastAsia" w:ascii="宋体" w:hAnsi="宋体" w:eastAsia="宋体" w:cs="宋体"/>
          <w:color w:val="000000" w:themeColor="text1"/>
          <w14:textFill>
            <w14:solidFill>
              <w14:schemeClr w14:val="tx1"/>
            </w14:solidFill>
          </w14:textFill>
        </w:rPr>
      </w:pPr>
    </w:p>
    <w:p>
      <w:pPr>
        <w:spacing w:line="440" w:lineRule="exact"/>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4.</w:t>
      </w:r>
      <w:bookmarkStart w:id="189" w:name="_Toc26950"/>
      <w:bookmarkStart w:id="190" w:name="_Toc495841793"/>
      <w:r>
        <w:rPr>
          <w:rFonts w:hint="eastAsia" w:ascii="宋体" w:hAnsi="宋体" w:cs="宋体"/>
          <w:b/>
          <w:bCs/>
          <w:color w:val="000000" w:themeColor="text1"/>
          <w:sz w:val="32"/>
          <w:szCs w:val="32"/>
          <w14:textFill>
            <w14:solidFill>
              <w14:schemeClr w14:val="tx1"/>
            </w14:solidFill>
          </w14:textFill>
        </w:rPr>
        <w:t>投标人参加政府采购活动前3年内在经营活动中没有重大违法记录及有关信用信息的书面声明（必须提供）</w:t>
      </w:r>
      <w:bookmarkEnd w:id="189"/>
      <w:bookmarkEnd w:id="190"/>
    </w:p>
    <w:p>
      <w:pPr>
        <w:pStyle w:val="97"/>
        <w:spacing w:line="440" w:lineRule="exact"/>
        <w:ind w:firstLine="643"/>
        <w:rPr>
          <w:rFonts w:hint="eastAsia" w:ascii="宋体" w:hAnsi="宋体" w:cs="宋体"/>
          <w:b/>
          <w:bCs/>
          <w:color w:val="000000" w:themeColor="text1"/>
          <w:sz w:val="32"/>
          <w:szCs w:val="32"/>
          <w14:textFill>
            <w14:solidFill>
              <w14:schemeClr w14:val="tx1"/>
            </w14:solidFill>
          </w14:textFill>
        </w:rPr>
      </w:pPr>
    </w:p>
    <w:p>
      <w:pPr>
        <w:pStyle w:val="97"/>
        <w:spacing w:line="440" w:lineRule="exact"/>
        <w:ind w:firstLine="643"/>
        <w:rPr>
          <w:rFonts w:hint="eastAsia" w:ascii="宋体" w:hAnsi="宋体" w:cs="宋体"/>
          <w:b/>
          <w:bCs/>
          <w:color w:val="000000" w:themeColor="text1"/>
          <w:sz w:val="32"/>
          <w:szCs w:val="32"/>
          <w14:textFill>
            <w14:solidFill>
              <w14:schemeClr w14:val="tx1"/>
            </w14:solidFill>
          </w14:textFill>
        </w:rPr>
      </w:pPr>
    </w:p>
    <w:p>
      <w:pPr>
        <w:spacing w:line="440" w:lineRule="exact"/>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声   明</w:t>
      </w:r>
    </w:p>
    <w:p>
      <w:pPr>
        <w:snapToGrid w:val="0"/>
        <w:spacing w:line="440" w:lineRule="exact"/>
        <w:rPr>
          <w:rFonts w:hint="eastAsia" w:ascii="宋体" w:hAnsi="宋体" w:eastAsia="宋体" w:cs="宋体"/>
          <w:color w:val="000000" w:themeColor="text1"/>
          <w:sz w:val="24"/>
          <w:u w:val="single"/>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致</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lang w:eastAsia="zh-CN"/>
          <w14:textFill>
            <w14:solidFill>
              <w14:schemeClr w14:val="tx1"/>
            </w14:solidFill>
          </w14:textFill>
        </w:rPr>
        <w:t>广西朝华工程项目管理有限公司</w:t>
      </w:r>
    </w:p>
    <w:p>
      <w:pPr>
        <w:pStyle w:val="20"/>
        <w:spacing w:line="44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40" w:lineRule="exact"/>
        <w:ind w:firstLine="5160" w:firstLineChars="2150"/>
        <w:rPr>
          <w:rFonts w:hint="eastAsia" w:ascii="宋体" w:hAnsi="宋体" w:cs="宋体"/>
          <w:color w:val="000000" w:themeColor="text1"/>
          <w:sz w:val="24"/>
          <w14:textFill>
            <w14:solidFill>
              <w14:schemeClr w14:val="tx1"/>
            </w14:solidFill>
          </w14:textFill>
        </w:rPr>
      </w:pPr>
    </w:p>
    <w:p>
      <w:pPr>
        <w:snapToGrid w:val="0"/>
        <w:spacing w:line="440" w:lineRule="exact"/>
        <w:ind w:firstLine="2160" w:firstLineChars="9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投标人[公章(CA签章)，自然人签字或个人CA签章]：</w:t>
      </w:r>
      <w:r>
        <w:rPr>
          <w:rFonts w:hint="eastAsia" w:ascii="宋体" w:hAnsi="宋体" w:cs="宋体"/>
          <w:color w:val="000000" w:themeColor="text1"/>
          <w:sz w:val="24"/>
          <w:u w:val="single"/>
          <w14:textFill>
            <w14:solidFill>
              <w14:schemeClr w14:val="tx1"/>
            </w14:solidFill>
          </w14:textFill>
        </w:rPr>
        <w:t xml:space="preserve">                            </w:t>
      </w:r>
    </w:p>
    <w:p>
      <w:pPr>
        <w:snapToGrid w:val="0"/>
        <w:spacing w:line="440" w:lineRule="exact"/>
        <w:ind w:firstLine="2160" w:firstLineChars="9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napToGrid w:val="0"/>
        <w:spacing w:line="440" w:lineRule="exact"/>
        <w:ind w:firstLine="3120" w:firstLineChars="13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2"/>
        <w:spacing w:line="440" w:lineRule="exact"/>
        <w:rPr>
          <w:rFonts w:hint="eastAsia" w:ascii="宋体" w:hAnsi="宋体" w:cs="宋体"/>
          <w:color w:val="000000" w:themeColor="text1"/>
          <w:u w:val="single"/>
          <w14:textFill>
            <w14:solidFill>
              <w14:schemeClr w14:val="tx1"/>
            </w14:solidFill>
          </w14:textFill>
        </w:rPr>
      </w:pPr>
    </w:p>
    <w:p>
      <w:pPr>
        <w:pStyle w:val="2"/>
        <w:spacing w:line="440" w:lineRule="exact"/>
        <w:rPr>
          <w:rFonts w:hint="eastAsia" w:ascii="宋体" w:hAnsi="宋体" w:cs="宋体"/>
          <w:color w:val="000000" w:themeColor="text1"/>
          <w:u w:val="single"/>
          <w14:textFill>
            <w14:solidFill>
              <w14:schemeClr w14:val="tx1"/>
            </w14:solidFill>
          </w14:textFill>
        </w:rPr>
      </w:pPr>
    </w:p>
    <w:p>
      <w:pPr>
        <w:pStyle w:val="2"/>
        <w:spacing w:line="440" w:lineRule="exact"/>
        <w:rPr>
          <w:rFonts w:hint="eastAsia" w:ascii="宋体" w:hAnsi="宋体" w:cs="宋体"/>
          <w:color w:val="000000" w:themeColor="text1"/>
          <w:u w:val="single"/>
          <w14:textFill>
            <w14:solidFill>
              <w14:schemeClr w14:val="tx1"/>
            </w14:solidFill>
          </w14:textFill>
        </w:rPr>
      </w:pPr>
    </w:p>
    <w:p>
      <w:pPr>
        <w:pStyle w:val="2"/>
        <w:spacing w:line="440" w:lineRule="exact"/>
        <w:rPr>
          <w:rFonts w:hint="eastAsia" w:ascii="宋体" w:hAnsi="宋体" w:cs="宋体"/>
          <w:color w:val="000000" w:themeColor="text1"/>
          <w:u w:val="single"/>
          <w14:textFill>
            <w14:solidFill>
              <w14:schemeClr w14:val="tx1"/>
            </w14:solidFill>
          </w14:textFill>
        </w:rPr>
      </w:pPr>
    </w:p>
    <w:p>
      <w:pPr>
        <w:pStyle w:val="2"/>
        <w:spacing w:line="440" w:lineRule="exact"/>
        <w:rPr>
          <w:rFonts w:hint="eastAsia" w:ascii="宋体" w:hAnsi="宋体" w:cs="宋体"/>
          <w:color w:val="000000" w:themeColor="text1"/>
          <w:u w:val="single"/>
          <w14:textFill>
            <w14:solidFill>
              <w14:schemeClr w14:val="tx1"/>
            </w14:solidFill>
          </w14:textFill>
        </w:rPr>
      </w:pPr>
    </w:p>
    <w:p>
      <w:pPr>
        <w:pStyle w:val="2"/>
        <w:spacing w:line="440" w:lineRule="exact"/>
        <w:rPr>
          <w:rFonts w:hint="eastAsia" w:ascii="宋体" w:hAnsi="宋体" w:cs="宋体"/>
          <w:color w:val="000000" w:themeColor="text1"/>
          <w:u w:val="single"/>
          <w14:textFill>
            <w14:solidFill>
              <w14:schemeClr w14:val="tx1"/>
            </w14:solidFill>
          </w14:textFill>
        </w:rPr>
      </w:pPr>
    </w:p>
    <w:p>
      <w:pPr>
        <w:pStyle w:val="2"/>
        <w:spacing w:line="440" w:lineRule="exact"/>
        <w:rPr>
          <w:rFonts w:ascii="宋体" w:hAnsi="宋体" w:cs="宋体"/>
          <w:b/>
          <w:color w:val="000000" w:themeColor="text1"/>
          <w:sz w:val="30"/>
          <w:szCs w:val="30"/>
          <w14:textFill>
            <w14:solidFill>
              <w14:schemeClr w14:val="tx1"/>
            </w14:solidFill>
          </w14:textFill>
        </w:rPr>
      </w:pPr>
    </w:p>
    <w:p>
      <w:pPr>
        <w:pStyle w:val="2"/>
        <w:spacing w:line="440" w:lineRule="exact"/>
        <w:rPr>
          <w:rFonts w:hint="eastAsia" w:ascii="宋体" w:hAnsi="宋体" w:cs="宋体"/>
          <w:color w:val="000000" w:themeColor="text1"/>
          <w14:textFill>
            <w14:solidFill>
              <w14:schemeClr w14:val="tx1"/>
            </w14:solidFill>
          </w14:textFill>
        </w:rPr>
      </w:pPr>
    </w:p>
    <w:p>
      <w:pPr>
        <w:spacing w:line="440" w:lineRule="exact"/>
        <w:rPr>
          <w:rFonts w:hint="eastAsia" w:ascii="宋体" w:hAnsi="宋体" w:cs="宋体"/>
          <w:color w:val="000000" w:themeColor="text1"/>
          <w14:textFill>
            <w14:solidFill>
              <w14:schemeClr w14:val="tx1"/>
            </w14:solidFill>
          </w14:textFill>
        </w:rPr>
      </w:pPr>
    </w:p>
    <w:p>
      <w:pPr>
        <w:pStyle w:val="52"/>
        <w:spacing w:line="440" w:lineRule="exact"/>
        <w:rPr>
          <w:rFonts w:hint="eastAsia" w:ascii="宋体" w:hAnsi="宋体" w:eastAsia="宋体" w:cs="宋体"/>
          <w:color w:val="000000" w:themeColor="text1"/>
          <w14:textFill>
            <w14:solidFill>
              <w14:schemeClr w14:val="tx1"/>
            </w14:solidFill>
          </w14:textFill>
        </w:rPr>
      </w:pPr>
    </w:p>
    <w:p>
      <w:pPr>
        <w:pStyle w:val="52"/>
        <w:spacing w:line="440" w:lineRule="exact"/>
        <w:rPr>
          <w:rFonts w:hint="eastAsia" w:ascii="宋体" w:hAnsi="宋体" w:eastAsia="宋体" w:cs="宋体"/>
          <w:color w:val="000000" w:themeColor="text1"/>
          <w14:textFill>
            <w14:solidFill>
              <w14:schemeClr w14:val="tx1"/>
            </w14:solidFill>
          </w14:textFill>
        </w:rPr>
      </w:pPr>
    </w:p>
    <w:p>
      <w:pPr>
        <w:pStyle w:val="52"/>
        <w:spacing w:line="440" w:lineRule="exact"/>
        <w:rPr>
          <w:rFonts w:hint="eastAsia" w:ascii="宋体" w:hAnsi="宋体" w:eastAsia="宋体" w:cs="宋体"/>
          <w:color w:val="000000" w:themeColor="text1"/>
          <w14:textFill>
            <w14:solidFill>
              <w14:schemeClr w14:val="tx1"/>
            </w14:solidFill>
          </w14:textFill>
        </w:rPr>
      </w:pPr>
    </w:p>
    <w:p>
      <w:pPr>
        <w:pStyle w:val="52"/>
        <w:spacing w:line="440" w:lineRule="exact"/>
        <w:rPr>
          <w:rFonts w:hint="eastAsia" w:ascii="宋体" w:hAnsi="宋体" w:eastAsia="宋体" w:cs="宋体"/>
          <w:color w:val="000000" w:themeColor="text1"/>
          <w14:textFill>
            <w14:solidFill>
              <w14:schemeClr w14:val="tx1"/>
            </w14:solidFill>
          </w14:textFill>
        </w:rPr>
      </w:pPr>
    </w:p>
    <w:p>
      <w:pPr>
        <w:pStyle w:val="52"/>
        <w:spacing w:line="440" w:lineRule="exact"/>
        <w:rPr>
          <w:rFonts w:hint="eastAsia" w:ascii="宋体" w:hAnsi="宋体" w:eastAsia="宋体" w:cs="宋体"/>
          <w:color w:val="000000" w:themeColor="text1"/>
          <w14:textFill>
            <w14:solidFill>
              <w14:schemeClr w14:val="tx1"/>
            </w14:solidFill>
          </w14:textFill>
        </w:rPr>
      </w:pPr>
    </w:p>
    <w:p>
      <w:pPr>
        <w:pStyle w:val="52"/>
        <w:spacing w:line="440" w:lineRule="exact"/>
        <w:rPr>
          <w:rFonts w:hint="eastAsia" w:ascii="宋体" w:hAnsi="宋体" w:eastAsia="宋体" w:cs="宋体"/>
          <w:color w:val="000000" w:themeColor="text1"/>
          <w14:textFill>
            <w14:solidFill>
              <w14:schemeClr w14:val="tx1"/>
            </w14:solidFill>
          </w14:textFill>
        </w:rPr>
      </w:pPr>
    </w:p>
    <w:p>
      <w:pPr>
        <w:pStyle w:val="52"/>
        <w:spacing w:line="440" w:lineRule="exact"/>
        <w:rPr>
          <w:rFonts w:hint="eastAsia" w:ascii="宋体" w:hAnsi="宋体" w:eastAsia="宋体" w:cs="宋体"/>
          <w:color w:val="000000" w:themeColor="text1"/>
          <w14:textFill>
            <w14:solidFill>
              <w14:schemeClr w14:val="tx1"/>
            </w14:solidFill>
          </w14:textFill>
        </w:rPr>
      </w:pPr>
    </w:p>
    <w:p>
      <w:pPr>
        <w:numPr>
          <w:ilvl w:val="0"/>
          <w:numId w:val="8"/>
        </w:numPr>
        <w:spacing w:line="440" w:lineRule="exact"/>
        <w:rPr>
          <w:rFonts w:hint="eastAsia" w:ascii="宋体" w:hAnsi="宋体" w:cs="宋体"/>
          <w:b/>
          <w:bCs/>
          <w:color w:val="000000" w:themeColor="text1"/>
          <w:sz w:val="32"/>
          <w:szCs w:val="32"/>
          <w14:textFill>
            <w14:solidFill>
              <w14:schemeClr w14:val="tx1"/>
            </w14:solidFill>
          </w14:textFill>
        </w:rPr>
      </w:pPr>
      <w:bookmarkStart w:id="191" w:name="_Toc26652"/>
      <w:r>
        <w:rPr>
          <w:rFonts w:hint="eastAsia" w:ascii="宋体" w:hAnsi="宋体" w:cs="宋体"/>
          <w:b/>
          <w:bCs/>
          <w:color w:val="000000" w:themeColor="text1"/>
          <w:sz w:val="32"/>
          <w:szCs w:val="32"/>
          <w14:textFill>
            <w14:solidFill>
              <w14:schemeClr w14:val="tx1"/>
            </w14:solidFill>
          </w14:textFill>
        </w:rPr>
        <w:t>报价文件证明材料（格式）</w:t>
      </w:r>
      <w:bookmarkEnd w:id="191"/>
      <w:r>
        <w:rPr>
          <w:rFonts w:hint="eastAsia" w:ascii="宋体" w:hAnsi="宋体" w:cs="宋体"/>
          <w:b/>
          <w:bCs/>
          <w:color w:val="000000" w:themeColor="text1"/>
          <w:sz w:val="32"/>
          <w:szCs w:val="32"/>
          <w14:textFill>
            <w14:solidFill>
              <w14:schemeClr w14:val="tx1"/>
            </w14:solidFill>
          </w14:textFill>
        </w:rPr>
        <w:t>：</w:t>
      </w:r>
    </w:p>
    <w:p>
      <w:pPr>
        <w:pStyle w:val="2"/>
        <w:rPr>
          <w:rFonts w:hint="eastAsia"/>
          <w:color w:val="000000" w:themeColor="text1"/>
          <w14:textFill>
            <w14:solidFill>
              <w14:schemeClr w14:val="tx1"/>
            </w14:solidFill>
          </w14:textFill>
        </w:rPr>
      </w:pPr>
    </w:p>
    <w:p>
      <w:pPr>
        <w:pStyle w:val="20"/>
        <w:spacing w:line="440" w:lineRule="exact"/>
        <w:jc w:val="left"/>
        <w:rPr>
          <w:rFonts w:hint="eastAsia" w:hAnsi="宋体" w:cs="宋体"/>
          <w:b/>
          <w:bCs/>
          <w:color w:val="000000" w:themeColor="text1"/>
          <w:sz w:val="32"/>
          <w:szCs w:val="32"/>
          <w14:textFill>
            <w14:solidFill>
              <w14:schemeClr w14:val="tx1"/>
            </w14:solidFill>
          </w14:textFill>
        </w:rPr>
      </w:pPr>
      <w:bookmarkStart w:id="192" w:name="_Toc2409"/>
      <w:bookmarkStart w:id="193" w:name="_Toc495841795"/>
      <w:r>
        <w:rPr>
          <w:rFonts w:hint="eastAsia" w:hAnsi="宋体" w:cs="宋体"/>
          <w:b/>
          <w:bCs/>
          <w:color w:val="000000" w:themeColor="text1"/>
          <w:sz w:val="32"/>
          <w:szCs w:val="32"/>
          <w14:textFill>
            <w14:solidFill>
              <w14:schemeClr w14:val="tx1"/>
            </w14:solidFill>
          </w14:textFill>
        </w:rPr>
        <w:t>1.投标报价表（格式见附件）（必须提供）</w:t>
      </w:r>
    </w:p>
    <w:p>
      <w:pPr>
        <w:spacing w:line="440" w:lineRule="exact"/>
        <w:ind w:firstLine="602" w:firstLineChars="200"/>
        <w:jc w:val="center"/>
        <w:rPr>
          <w:rFonts w:hint="eastAsia" w:hAnsi="宋体" w:cs="宋体"/>
          <w:b/>
          <w:color w:val="000000" w:themeColor="text1"/>
          <w:sz w:val="30"/>
          <w:szCs w:val="30"/>
          <w14:textFill>
            <w14:solidFill>
              <w14:schemeClr w14:val="tx1"/>
            </w14:solidFill>
          </w14:textFill>
        </w:rPr>
      </w:pPr>
      <w:r>
        <w:rPr>
          <w:rFonts w:hint="eastAsia" w:hAnsi="宋体" w:cs="宋体"/>
          <w:b/>
          <w:color w:val="000000" w:themeColor="text1"/>
          <w:sz w:val="30"/>
          <w:szCs w:val="30"/>
          <w14:textFill>
            <w14:solidFill>
              <w14:schemeClr w14:val="tx1"/>
            </w14:solidFill>
          </w14:textFill>
        </w:rPr>
        <w:t>投 标 报 价 表 （格 式）</w:t>
      </w:r>
    </w:p>
    <w:p>
      <w:pPr>
        <w:spacing w:line="340" w:lineRule="exact"/>
        <w:rPr>
          <w:rFonts w:hint="eastAsia" w:ascii="宋体" w:hAnsi="宋体" w:eastAsia="宋体"/>
          <w:color w:val="000000" w:themeColor="text1"/>
          <w:sz w:val="24"/>
          <w:szCs w:val="32"/>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致：</w:t>
      </w:r>
      <w:r>
        <w:rPr>
          <w:rFonts w:hint="eastAsia" w:ascii="宋体" w:hAnsi="宋体"/>
          <w:color w:val="000000" w:themeColor="text1"/>
          <w:sz w:val="24"/>
          <w:u w:val="single"/>
          <w:lang w:eastAsia="zh-CN"/>
          <w14:textFill>
            <w14:solidFill>
              <w14:schemeClr w14:val="tx1"/>
            </w14:solidFill>
          </w14:textFill>
        </w:rPr>
        <w:t>广西朝华工程项目管理有限公司</w:t>
      </w:r>
    </w:p>
    <w:p>
      <w:pPr>
        <w:pStyle w:val="20"/>
        <w:spacing w:line="340" w:lineRule="exact"/>
        <w:ind w:firstLine="480" w:firstLineChars="200"/>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根据贵方</w:t>
      </w:r>
      <w:r>
        <w:rPr>
          <w:rFonts w:hint="eastAsia" w:hAnsi="宋体"/>
          <w:color w:val="000000" w:themeColor="text1"/>
          <w:sz w:val="24"/>
          <w:szCs w:val="22"/>
          <w:u w:val="single"/>
          <w14:textFill>
            <w14:solidFill>
              <w14:schemeClr w14:val="tx1"/>
            </w14:solidFill>
          </w14:textFill>
        </w:rPr>
        <w:t xml:space="preserve">           </w:t>
      </w:r>
      <w:r>
        <w:rPr>
          <w:rFonts w:hint="eastAsia" w:hAnsi="宋体"/>
          <w:color w:val="000000" w:themeColor="text1"/>
          <w:sz w:val="24"/>
          <w:szCs w:val="22"/>
          <w14:textFill>
            <w14:solidFill>
              <w14:schemeClr w14:val="tx1"/>
            </w14:solidFill>
          </w14:textFill>
        </w:rPr>
        <w:t>项目招标文件，项目编号</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，签字代表</w:t>
      </w:r>
      <w:r>
        <w:rPr>
          <w:rFonts w:hint="eastAsia" w:hAnsi="宋体"/>
          <w:color w:val="000000" w:themeColor="text1"/>
          <w:sz w:val="24"/>
          <w:szCs w:val="22"/>
          <w:u w:val="single"/>
          <w14:textFill>
            <w14:solidFill>
              <w14:schemeClr w14:val="tx1"/>
            </w14:solidFill>
          </w14:textFill>
        </w:rPr>
        <w:t xml:space="preserve">         </w:t>
      </w:r>
      <w:r>
        <w:rPr>
          <w:rFonts w:hint="eastAsia" w:hAnsi="宋体"/>
          <w:color w:val="000000" w:themeColor="text1"/>
          <w:sz w:val="24"/>
          <w:szCs w:val="22"/>
          <w14:textFill>
            <w14:solidFill>
              <w14:schemeClr w14:val="tx1"/>
            </w14:solidFill>
          </w14:textFill>
        </w:rPr>
        <w:t xml:space="preserve">（姓名）经正式授权并代表投标人 </w:t>
      </w:r>
      <w:r>
        <w:rPr>
          <w:rFonts w:hint="eastAsia" w:hAnsi="宋体"/>
          <w:color w:val="000000" w:themeColor="text1"/>
          <w:sz w:val="24"/>
          <w:szCs w:val="22"/>
          <w:u w:val="single"/>
          <w14:textFill>
            <w14:solidFill>
              <w14:schemeClr w14:val="tx1"/>
            </w14:solidFill>
          </w14:textFill>
        </w:rPr>
        <w:t xml:space="preserve">                                   （</w:t>
      </w:r>
      <w:r>
        <w:rPr>
          <w:rFonts w:hint="eastAsia" w:hAnsi="宋体"/>
          <w:color w:val="000000" w:themeColor="text1"/>
          <w:sz w:val="24"/>
          <w:szCs w:val="22"/>
          <w14:textFill>
            <w14:solidFill>
              <w14:schemeClr w14:val="tx1"/>
            </w14:solidFill>
          </w14:textFill>
        </w:rPr>
        <w:t>投标单位名称）。</w:t>
      </w:r>
    </w:p>
    <w:p>
      <w:pPr>
        <w:pStyle w:val="20"/>
        <w:spacing w:line="340" w:lineRule="exact"/>
        <w:ind w:firstLine="480" w:firstLineChars="200"/>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据此</w:t>
      </w:r>
      <w:r>
        <w:rPr>
          <w:rFonts w:hint="eastAsia" w:hAnsi="宋体"/>
          <w:color w:val="000000" w:themeColor="text1"/>
          <w:sz w:val="24"/>
          <w:szCs w:val="22"/>
          <w:lang w:eastAsia="zh-CN"/>
          <w14:textFill>
            <w14:solidFill>
              <w14:schemeClr w14:val="tx1"/>
            </w14:solidFill>
          </w14:textFill>
        </w:rPr>
        <w:t>表</w:t>
      </w:r>
      <w:r>
        <w:rPr>
          <w:rFonts w:hint="eastAsia" w:hAnsi="宋体"/>
          <w:color w:val="000000" w:themeColor="text1"/>
          <w:sz w:val="24"/>
          <w:szCs w:val="22"/>
          <w14:textFill>
            <w14:solidFill>
              <w14:schemeClr w14:val="tx1"/>
            </w14:solidFill>
          </w14:textFill>
        </w:rPr>
        <w:t>，签字代表宣布同意如下：</w:t>
      </w:r>
    </w:p>
    <w:p>
      <w:pPr>
        <w:pStyle w:val="20"/>
        <w:numPr>
          <w:ilvl w:val="0"/>
          <w:numId w:val="9"/>
        </w:numPr>
        <w:spacing w:line="340" w:lineRule="exact"/>
        <w:ind w:firstLine="480" w:firstLineChars="200"/>
        <w:rPr>
          <w:rFonts w:hint="eastAsia"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按招标文件服务采购需求，并做出如下报价：</w:t>
      </w:r>
    </w:p>
    <w:tbl>
      <w:tblPr>
        <w:tblStyle w:val="33"/>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4489"/>
        <w:gridCol w:w="1337"/>
        <w:gridCol w:w="1959"/>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66" w:type="dxa"/>
            <w:vAlign w:val="center"/>
          </w:tcPr>
          <w:p>
            <w:pPr>
              <w:spacing w:line="34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项号</w:t>
            </w:r>
          </w:p>
        </w:tc>
        <w:tc>
          <w:tcPr>
            <w:tcW w:w="4489" w:type="dxa"/>
            <w:vAlign w:val="center"/>
          </w:tcPr>
          <w:p>
            <w:pPr>
              <w:spacing w:line="34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服务项目</w:t>
            </w:r>
          </w:p>
        </w:tc>
        <w:tc>
          <w:tcPr>
            <w:tcW w:w="1337" w:type="dxa"/>
            <w:vAlign w:val="center"/>
          </w:tcPr>
          <w:p>
            <w:pPr>
              <w:spacing w:line="34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数量</w:t>
            </w:r>
          </w:p>
        </w:tc>
        <w:tc>
          <w:tcPr>
            <w:tcW w:w="1959" w:type="dxa"/>
            <w:vAlign w:val="center"/>
          </w:tcPr>
          <w:p>
            <w:pPr>
              <w:spacing w:line="34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单位</w:t>
            </w:r>
          </w:p>
        </w:tc>
        <w:tc>
          <w:tcPr>
            <w:tcW w:w="1047" w:type="dxa"/>
            <w:vAlign w:val="center"/>
          </w:tcPr>
          <w:p>
            <w:pPr>
              <w:spacing w:line="34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66" w:type="dxa"/>
            <w:vAlign w:val="center"/>
          </w:tcPr>
          <w:p>
            <w:pPr>
              <w:spacing w:line="340" w:lineRule="exact"/>
              <w:jc w:val="center"/>
              <w:rPr>
                <w:rFonts w:hint="eastAsia"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1</w:t>
            </w:r>
          </w:p>
        </w:tc>
        <w:tc>
          <w:tcPr>
            <w:tcW w:w="4489" w:type="dxa"/>
            <w:vAlign w:val="center"/>
          </w:tcPr>
          <w:p>
            <w:pPr>
              <w:spacing w:line="340" w:lineRule="exact"/>
              <w:jc w:val="center"/>
              <w:rPr>
                <w:rFonts w:hint="eastAsia" w:ascii="宋体" w:hAnsi="宋体" w:eastAsia="宋体"/>
                <w:color w:val="000000" w:themeColor="text1"/>
                <w:sz w:val="24"/>
                <w:szCs w:val="22"/>
                <w:lang w:eastAsia="zh-CN"/>
                <w14:textFill>
                  <w14:solidFill>
                    <w14:schemeClr w14:val="tx1"/>
                  </w14:solidFill>
                </w14:textFill>
              </w:rPr>
            </w:pPr>
            <w:r>
              <w:rPr>
                <w:rFonts w:hint="eastAsia" w:ascii="宋体" w:hAnsi="宋体"/>
                <w:color w:val="000000" w:themeColor="text1"/>
                <w:sz w:val="24"/>
                <w:szCs w:val="22"/>
                <w:lang w:eastAsia="zh-CN"/>
                <w14:textFill>
                  <w14:solidFill>
                    <w14:schemeClr w14:val="tx1"/>
                  </w14:solidFill>
                </w14:textFill>
              </w:rPr>
              <w:t xml:space="preserve">灵川县5个镇级污水处理厂统一社会化运营服务采购 </w:t>
            </w:r>
          </w:p>
        </w:tc>
        <w:tc>
          <w:tcPr>
            <w:tcW w:w="1337" w:type="dxa"/>
            <w:vAlign w:val="center"/>
          </w:tcPr>
          <w:p>
            <w:pPr>
              <w:spacing w:line="340" w:lineRule="exact"/>
              <w:jc w:val="center"/>
              <w:rPr>
                <w:rFonts w:hint="eastAsia" w:ascii="宋体" w:hAnsi="宋体"/>
                <w:color w:val="000000" w:themeColor="text1"/>
                <w:sz w:val="24"/>
                <w:szCs w:val="22"/>
                <w:u w:val="none"/>
                <w14:textFill>
                  <w14:solidFill>
                    <w14:schemeClr w14:val="tx1"/>
                  </w14:solidFill>
                </w14:textFill>
              </w:rPr>
            </w:pPr>
            <w:r>
              <w:rPr>
                <w:rFonts w:hint="eastAsia" w:ascii="宋体" w:hAnsi="宋体"/>
                <w:color w:val="000000" w:themeColor="text1"/>
                <w:sz w:val="24"/>
                <w:szCs w:val="22"/>
                <w14:textFill>
                  <w14:solidFill>
                    <w14:schemeClr w14:val="tx1"/>
                  </w14:solidFill>
                </w14:textFill>
              </w:rPr>
              <w:t xml:space="preserve">1 </w:t>
            </w:r>
          </w:p>
        </w:tc>
        <w:tc>
          <w:tcPr>
            <w:tcW w:w="1959" w:type="dxa"/>
            <w:vAlign w:val="center"/>
          </w:tcPr>
          <w:p>
            <w:pPr>
              <w:spacing w:line="340" w:lineRule="exact"/>
              <w:jc w:val="center"/>
              <w:rPr>
                <w:rFonts w:hint="eastAsia" w:ascii="宋体" w:hAnsi="宋体"/>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项</w:t>
            </w:r>
          </w:p>
        </w:tc>
        <w:tc>
          <w:tcPr>
            <w:tcW w:w="1047" w:type="dxa"/>
            <w:vAlign w:val="center"/>
          </w:tcPr>
          <w:p>
            <w:pPr>
              <w:spacing w:line="340" w:lineRule="exact"/>
              <w:jc w:val="center"/>
              <w:rPr>
                <w:rFonts w:hint="eastAsia" w:ascii="宋体" w:hAnsi="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155" w:type="dxa"/>
            <w:gridSpan w:val="2"/>
            <w:vAlign w:val="center"/>
          </w:tcPr>
          <w:p>
            <w:pPr>
              <w:spacing w:line="340" w:lineRule="exact"/>
              <w:jc w:val="center"/>
              <w:rPr>
                <w:rFonts w:hint="eastAsia"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投标总报价（元）</w:t>
            </w:r>
          </w:p>
        </w:tc>
        <w:tc>
          <w:tcPr>
            <w:tcW w:w="4343" w:type="dxa"/>
            <w:gridSpan w:val="3"/>
            <w:vAlign w:val="center"/>
          </w:tcPr>
          <w:p>
            <w:pPr>
              <w:spacing w:line="340" w:lineRule="exact"/>
              <w:jc w:val="center"/>
              <w:rPr>
                <w:rFonts w:hint="eastAsia"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（大写）</w:t>
            </w:r>
            <w:r>
              <w:rPr>
                <w:rFonts w:hint="eastAsia" w:ascii="宋体" w:hAnsi="宋体"/>
                <w:color w:val="000000" w:themeColor="text1"/>
                <w:sz w:val="24"/>
                <w:szCs w:val="22"/>
                <w:u w:val="none"/>
                <w14:textFill>
                  <w14:solidFill>
                    <w14:schemeClr w14:val="tx1"/>
                  </w14:solidFill>
                </w14:textFill>
              </w:rPr>
              <w:t xml:space="preserve">              </w:t>
            </w:r>
            <w:r>
              <w:rPr>
                <w:rFonts w:hint="eastAsia" w:ascii="宋体" w:hAnsi="宋体"/>
                <w:color w:val="000000" w:themeColor="text1"/>
                <w:sz w:val="24"/>
                <w:szCs w:val="22"/>
                <w14:textFill>
                  <w14:solidFill>
                    <w14:schemeClr w14:val="tx1"/>
                  </w14:solidFill>
                </w14:textFill>
              </w:rPr>
              <w:t>元人民币(￥</w:t>
            </w:r>
            <w:r>
              <w:rPr>
                <w:rFonts w:hint="eastAsia" w:ascii="宋体" w:hAnsi="宋体"/>
                <w:color w:val="000000" w:themeColor="text1"/>
                <w:sz w:val="24"/>
                <w:szCs w:val="22"/>
                <w:u w:val="none"/>
                <w14:textFill>
                  <w14:solidFill>
                    <w14:schemeClr w14:val="tx1"/>
                  </w14:solidFill>
                </w14:textFill>
              </w:rPr>
              <w:t xml:space="preserve">           </w:t>
            </w:r>
            <w:r>
              <w:rPr>
                <w:rFonts w:hint="eastAsia" w:ascii="宋体" w:hAnsi="宋体"/>
                <w:color w:val="000000" w:themeColor="text1"/>
                <w:sz w:val="24"/>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498" w:type="dxa"/>
            <w:gridSpan w:val="5"/>
            <w:vAlign w:val="center"/>
          </w:tcPr>
          <w:p>
            <w:pPr>
              <w:pStyle w:val="2"/>
              <w:spacing w:line="3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注：</w:t>
            </w:r>
            <w:r>
              <w:rPr>
                <w:rFonts w:hint="eastAsia" w:hAnsi="宋体"/>
                <w:color w:val="000000" w:themeColor="text1"/>
                <w:lang w:eastAsia="zh-CN"/>
                <w14:textFill>
                  <w14:solidFill>
                    <w14:schemeClr w14:val="tx1"/>
                  </w14:solidFill>
                </w14:textFill>
              </w:rPr>
              <w:t>投标人</w:t>
            </w:r>
            <w:r>
              <w:rPr>
                <w:rFonts w:hint="eastAsia" w:hAnsi="宋体"/>
                <w:color w:val="000000" w:themeColor="text1"/>
                <w14:textFill>
                  <w14:solidFill>
                    <w14:schemeClr w14:val="tx1"/>
                  </w14:solidFill>
                </w14:textFill>
              </w:rPr>
              <w:t>的报价不得超过本项目上限控制价，否则，</w:t>
            </w:r>
            <w:r>
              <w:rPr>
                <w:rFonts w:hint="eastAsia" w:hAnsi="宋体"/>
                <w:color w:val="000000" w:themeColor="text1"/>
                <w:lang w:eastAsia="zh-CN"/>
                <w14:textFill>
                  <w14:solidFill>
                    <w14:schemeClr w14:val="tx1"/>
                  </w14:solidFill>
                </w14:textFill>
              </w:rPr>
              <w:t>投标</w:t>
            </w:r>
            <w:r>
              <w:rPr>
                <w:rFonts w:hint="eastAsia" w:hAnsi="宋体"/>
                <w:color w:val="000000" w:themeColor="text1"/>
                <w14:textFill>
                  <w14:solidFill>
                    <w14:schemeClr w14:val="tx1"/>
                  </w14:solidFill>
                </w14:textFill>
              </w:rPr>
              <w:t>无效；</w:t>
            </w:r>
            <w:r>
              <w:rPr>
                <w:rFonts w:hint="eastAsia" w:hAnsi="宋体"/>
                <w:color w:val="000000" w:themeColor="text1"/>
                <w:lang w:eastAsia="zh-CN"/>
                <w14:textFill>
                  <w14:solidFill>
                    <w14:schemeClr w14:val="tx1"/>
                  </w14:solidFill>
                </w14:textFill>
              </w:rPr>
              <w:t>投标人</w:t>
            </w:r>
            <w:r>
              <w:rPr>
                <w:rFonts w:hint="eastAsia" w:hAnsi="宋体"/>
                <w:color w:val="000000" w:themeColor="text1"/>
                <w14:textFill>
                  <w14:solidFill>
                    <w14:schemeClr w14:val="tx1"/>
                  </w14:solidFill>
                </w14:textFill>
              </w:rPr>
              <w:t>的报价表必须加盖公章并签字，无签字盖章的</w:t>
            </w:r>
            <w:r>
              <w:rPr>
                <w:rFonts w:hint="eastAsia" w:hAnsi="宋体"/>
                <w:color w:val="000000" w:themeColor="text1"/>
                <w:lang w:eastAsia="zh-CN"/>
                <w14:textFill>
                  <w14:solidFill>
                    <w14:schemeClr w14:val="tx1"/>
                  </w14:solidFill>
                </w14:textFill>
              </w:rPr>
              <w:t>投标</w:t>
            </w:r>
            <w:r>
              <w:rPr>
                <w:rFonts w:hint="eastAsia" w:hAnsi="宋体"/>
                <w:color w:val="000000" w:themeColor="text1"/>
                <w14:textFill>
                  <w14:solidFill>
                    <w14:schemeClr w14:val="tx1"/>
                  </w14:solidFill>
                </w14:textFill>
              </w:rPr>
              <w:t>无效。</w:t>
            </w:r>
          </w:p>
        </w:tc>
      </w:tr>
    </w:tbl>
    <w:p>
      <w:pPr>
        <w:pStyle w:val="20"/>
        <w:spacing w:line="340" w:lineRule="exact"/>
        <w:ind w:firstLine="480" w:firstLineChars="200"/>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2、我方承诺已具备招标文件规定的投标人资格条件。</w:t>
      </w:r>
    </w:p>
    <w:p>
      <w:pPr>
        <w:pStyle w:val="20"/>
        <w:spacing w:line="340" w:lineRule="exact"/>
        <w:ind w:firstLine="480" w:firstLineChars="200"/>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3、我方已详细审核招标文件，包括修改文件（如有的话）和有关附件，将自行承担因对全部招标文件理解不正确或误解而产生的相应后果。</w:t>
      </w:r>
    </w:p>
    <w:p>
      <w:pPr>
        <w:pStyle w:val="20"/>
        <w:spacing w:line="340" w:lineRule="exact"/>
        <w:ind w:firstLine="480" w:firstLineChars="200"/>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4、如我方中标：</w:t>
      </w:r>
    </w:p>
    <w:p>
      <w:pPr>
        <w:pStyle w:val="20"/>
        <w:spacing w:line="340" w:lineRule="exact"/>
        <w:ind w:firstLine="480" w:firstLineChars="200"/>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（1）我方承诺在收到中标通知书后，在中标通知书规定的期限内与采购人签订合同。</w:t>
      </w:r>
    </w:p>
    <w:p>
      <w:pPr>
        <w:pStyle w:val="20"/>
        <w:spacing w:line="340" w:lineRule="exact"/>
        <w:ind w:firstLine="480" w:firstLineChars="200"/>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（2）我方承诺按照招标文件规定递交</w:t>
      </w:r>
      <w:r>
        <w:rPr>
          <w:rFonts w:hint="eastAsia" w:hAnsi="宋体"/>
          <w:color w:val="000000" w:themeColor="text1"/>
          <w:sz w:val="24"/>
          <w:szCs w:val="24"/>
          <w14:textFill>
            <w14:solidFill>
              <w14:schemeClr w14:val="tx1"/>
            </w14:solidFill>
          </w14:textFill>
        </w:rPr>
        <w:t>履约保证金</w:t>
      </w:r>
      <w:r>
        <w:rPr>
          <w:rFonts w:hint="eastAsia" w:hAnsi="宋体"/>
          <w:color w:val="000000" w:themeColor="text1"/>
          <w:sz w:val="24"/>
          <w:szCs w:val="22"/>
          <w14:textFill>
            <w14:solidFill>
              <w14:schemeClr w14:val="tx1"/>
            </w14:solidFill>
          </w14:textFill>
        </w:rPr>
        <w:t>。</w:t>
      </w:r>
    </w:p>
    <w:p>
      <w:pPr>
        <w:pStyle w:val="20"/>
        <w:spacing w:line="340" w:lineRule="exact"/>
        <w:ind w:firstLine="480" w:firstLineChars="200"/>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（3）我方承诺本投标文件至本项目合同履行完毕止均保持有效，按招标文件及政府采购法律、法规的规定履行合同责任和义务。</w:t>
      </w:r>
    </w:p>
    <w:p>
      <w:pPr>
        <w:pStyle w:val="20"/>
        <w:spacing w:line="340" w:lineRule="exact"/>
        <w:ind w:firstLine="482" w:firstLineChars="200"/>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与本投标有关的正式通讯地址为：</w:t>
      </w:r>
    </w:p>
    <w:p>
      <w:pPr>
        <w:pStyle w:val="20"/>
        <w:spacing w:line="340" w:lineRule="exact"/>
        <w:ind w:firstLine="480" w:firstLineChars="200"/>
        <w:rPr>
          <w:rFonts w:hAnsi="宋体"/>
          <w:color w:val="000000" w:themeColor="text1"/>
          <w:sz w:val="24"/>
          <w:szCs w:val="22"/>
          <w:u w:val="single"/>
          <w14:textFill>
            <w14:solidFill>
              <w14:schemeClr w14:val="tx1"/>
            </w14:solidFill>
          </w14:textFill>
        </w:rPr>
      </w:pPr>
      <w:r>
        <w:rPr>
          <w:rFonts w:hint="eastAsia" w:hAnsi="宋体"/>
          <w:color w:val="000000" w:themeColor="text1"/>
          <w:sz w:val="24"/>
          <w:szCs w:val="22"/>
          <w14:textFill>
            <w14:solidFill>
              <w14:schemeClr w14:val="tx1"/>
            </w14:solidFill>
          </w14:textFill>
        </w:rPr>
        <w:t>地址：</w:t>
      </w:r>
      <w:r>
        <w:rPr>
          <w:rFonts w:hint="eastAsia" w:hAnsi="宋体"/>
          <w:color w:val="000000" w:themeColor="text1"/>
          <w:sz w:val="24"/>
          <w:szCs w:val="22"/>
          <w:u w:val="single"/>
          <w14:textFill>
            <w14:solidFill>
              <w14:schemeClr w14:val="tx1"/>
            </w14:solidFill>
          </w14:textFill>
        </w:rPr>
        <w:t xml:space="preserve">                                   </w:t>
      </w:r>
      <w:r>
        <w:rPr>
          <w:rFonts w:hint="eastAsia" w:hAnsi="宋体"/>
          <w:color w:val="000000" w:themeColor="text1"/>
          <w:sz w:val="24"/>
          <w:szCs w:val="22"/>
          <w14:textFill>
            <w14:solidFill>
              <w14:schemeClr w14:val="tx1"/>
            </w14:solidFill>
          </w14:textFill>
        </w:rPr>
        <w:t xml:space="preserve"> 邮编：</w:t>
      </w:r>
      <w:r>
        <w:rPr>
          <w:rFonts w:hint="eastAsia" w:hAnsi="宋体"/>
          <w:color w:val="000000" w:themeColor="text1"/>
          <w:sz w:val="24"/>
          <w:szCs w:val="22"/>
          <w:u w:val="single"/>
          <w14:textFill>
            <w14:solidFill>
              <w14:schemeClr w14:val="tx1"/>
            </w14:solidFill>
          </w14:textFill>
        </w:rPr>
        <w:t xml:space="preserve">          </w:t>
      </w:r>
      <w:r>
        <w:rPr>
          <w:rFonts w:hint="eastAsia" w:hAnsi="宋体"/>
          <w:color w:val="000000" w:themeColor="text1"/>
          <w:sz w:val="24"/>
          <w:szCs w:val="22"/>
          <w14:textFill>
            <w14:solidFill>
              <w14:schemeClr w14:val="tx1"/>
            </w14:solidFill>
          </w14:textFill>
        </w:rPr>
        <w:t xml:space="preserve">  电话、传真：</w:t>
      </w:r>
      <w:r>
        <w:rPr>
          <w:rFonts w:hint="eastAsia" w:hAnsi="宋体"/>
          <w:color w:val="000000" w:themeColor="text1"/>
          <w:sz w:val="24"/>
          <w:szCs w:val="22"/>
          <w:u w:val="single"/>
          <w14:textFill>
            <w14:solidFill>
              <w14:schemeClr w14:val="tx1"/>
            </w14:solidFill>
          </w14:textFill>
        </w:rPr>
        <w:t xml:space="preserve">            </w:t>
      </w:r>
    </w:p>
    <w:p>
      <w:pPr>
        <w:pStyle w:val="20"/>
        <w:spacing w:line="340" w:lineRule="exact"/>
        <w:ind w:firstLine="480" w:firstLineChars="200"/>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开户名称：</w:t>
      </w:r>
      <w:r>
        <w:rPr>
          <w:rFonts w:hint="eastAsia" w:hAnsi="宋体"/>
          <w:color w:val="000000" w:themeColor="text1"/>
          <w:sz w:val="24"/>
          <w:szCs w:val="22"/>
          <w:u w:val="single"/>
          <w14:textFill>
            <w14:solidFill>
              <w14:schemeClr w14:val="tx1"/>
            </w14:solidFill>
          </w14:textFill>
        </w:rPr>
        <w:t xml:space="preserve">                                        </w:t>
      </w:r>
    </w:p>
    <w:p>
      <w:pPr>
        <w:pStyle w:val="20"/>
        <w:spacing w:line="340" w:lineRule="exact"/>
        <w:ind w:firstLine="480" w:firstLineChars="200"/>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开户银行：</w:t>
      </w:r>
      <w:r>
        <w:rPr>
          <w:rFonts w:hint="eastAsia" w:hAnsi="宋体"/>
          <w:color w:val="000000" w:themeColor="text1"/>
          <w:sz w:val="24"/>
          <w:szCs w:val="22"/>
          <w:u w:val="single"/>
          <w14:textFill>
            <w14:solidFill>
              <w14:schemeClr w14:val="tx1"/>
            </w14:solidFill>
          </w14:textFill>
        </w:rPr>
        <w:t xml:space="preserve">                               　       </w:t>
      </w:r>
    </w:p>
    <w:p>
      <w:pPr>
        <w:pStyle w:val="20"/>
        <w:spacing w:line="340" w:lineRule="exact"/>
        <w:ind w:firstLine="480" w:firstLineChars="200"/>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账号：</w:t>
      </w:r>
      <w:r>
        <w:rPr>
          <w:rFonts w:hint="eastAsia" w:hAnsi="宋体"/>
          <w:color w:val="000000" w:themeColor="text1"/>
          <w:sz w:val="24"/>
          <w:szCs w:val="22"/>
          <w:u w:val="single"/>
          <w14:textFill>
            <w14:solidFill>
              <w14:schemeClr w14:val="tx1"/>
            </w14:solidFill>
          </w14:textFill>
        </w:rPr>
        <w:t xml:space="preserve">                                   　　　   </w:t>
      </w:r>
    </w:p>
    <w:p>
      <w:pPr>
        <w:spacing w:line="340" w:lineRule="exact"/>
        <w:ind w:firstLine="482"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投标人（CA签章，自然人除外）：</w:t>
      </w:r>
      <w:r>
        <w:rPr>
          <w:rFonts w:hint="eastAsia" w:ascii="宋体" w:hAnsi="宋体" w:cs="宋体"/>
          <w:color w:val="000000" w:themeColor="text1"/>
          <w:sz w:val="24"/>
          <w:u w:val="single"/>
          <w14:textFill>
            <w14:solidFill>
              <w14:schemeClr w14:val="tx1"/>
            </w14:solidFill>
          </w14:textFill>
        </w:rPr>
        <w:t xml:space="preserve">                                        </w:t>
      </w:r>
    </w:p>
    <w:p>
      <w:pPr>
        <w:spacing w:line="340" w:lineRule="exact"/>
        <w:ind w:firstLine="482"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法定代表人、负责人、自然人或相应的委托代理人签字或个人CA签章（属自然人的应在签名处加盖食指指印或个人CA签章）：</w:t>
      </w:r>
      <w:r>
        <w:rPr>
          <w:rFonts w:hint="eastAsia" w:ascii="宋体" w:hAnsi="宋体" w:cs="宋体"/>
          <w:color w:val="000000" w:themeColor="text1"/>
          <w:sz w:val="24"/>
          <w:u w:val="single"/>
          <w14:textFill>
            <w14:solidFill>
              <w14:schemeClr w14:val="tx1"/>
            </w14:solidFill>
          </w14:textFill>
        </w:rPr>
        <w:t xml:space="preserve">                                    </w:t>
      </w:r>
    </w:p>
    <w:p>
      <w:pPr>
        <w:tabs>
          <w:tab w:val="left" w:pos="1305"/>
        </w:tabs>
        <w:spacing w:line="340" w:lineRule="exact"/>
        <w:ind w:firstLine="482" w:firstLineChars="200"/>
        <w:rPr>
          <w:rFonts w:hint="eastAsia" w:ascii="宋体" w:hAnsi="宋体" w:cs="宋体"/>
          <w:bCs/>
          <w:color w:val="000000" w:themeColor="text1"/>
          <w:sz w:val="24"/>
          <w14:textFill>
            <w14:solidFill>
              <w14:schemeClr w14:val="tx1"/>
            </w14:solidFill>
          </w14:textFill>
        </w:rPr>
      </w:pPr>
      <w:r>
        <w:rPr>
          <w:rFonts w:hint="eastAsia" w:hAnsi="宋体"/>
          <w:b/>
          <w:bCs/>
          <w:color w:val="000000" w:themeColor="text1"/>
          <w:sz w:val="24"/>
          <w:szCs w:val="22"/>
          <w14:textFill>
            <w14:solidFill>
              <w14:schemeClr w14:val="tx1"/>
            </w14:solidFill>
          </w14:textFill>
        </w:rPr>
        <w:t>投标日期：</w:t>
      </w:r>
      <w:r>
        <w:rPr>
          <w:rFonts w:hint="eastAsia" w:hAnsi="宋体"/>
          <w:color w:val="000000" w:themeColor="text1"/>
          <w:sz w:val="24"/>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年</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月</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日</w:t>
      </w:r>
    </w:p>
    <w:p>
      <w:pPr>
        <w:tabs>
          <w:tab w:val="left" w:pos="1305"/>
        </w:tabs>
        <w:spacing w:line="340" w:lineRule="exact"/>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注</w:t>
      </w:r>
      <w:r>
        <w:rPr>
          <w:rFonts w:hint="eastAsia" w:ascii="宋体" w:hAnsi="宋体" w:cs="宋体"/>
          <w:b/>
          <w:bCs/>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1.各投标人</w:t>
      </w:r>
      <w:r>
        <w:rPr>
          <w:rFonts w:hint="eastAsia" w:ascii="宋体" w:hAnsi="宋体" w:cs="宋体"/>
          <w:color w:val="000000" w:themeColor="text1"/>
          <w:sz w:val="24"/>
          <w14:textFill>
            <w14:solidFill>
              <w14:schemeClr w14:val="tx1"/>
            </w14:solidFill>
          </w14:textFill>
        </w:rPr>
        <w:t>必须就“服务采购需求”中所投所有内容作完整唯一报价，否则，其投标将被拒绝。投标文件只允许有一个报价。</w:t>
      </w:r>
    </w:p>
    <w:p>
      <w:pPr>
        <w:pStyle w:val="20"/>
        <w:spacing w:line="34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2.投标人应根据所投项目如实填写投标报价表</w:t>
      </w:r>
      <w:r>
        <w:rPr>
          <w:rFonts w:hint="eastAsia" w:hAnsi="宋体" w:cs="宋体"/>
          <w:bCs/>
          <w:color w:val="000000" w:themeColor="text1"/>
          <w:sz w:val="24"/>
          <w:szCs w:val="24"/>
          <w14:textFill>
            <w14:solidFill>
              <w14:schemeClr w14:val="tx1"/>
            </w14:solidFill>
          </w14:textFill>
        </w:rPr>
        <w:t>的各项内容。</w:t>
      </w:r>
    </w:p>
    <w:p>
      <w:pPr>
        <w:spacing w:line="340" w:lineRule="exact"/>
        <w:ind w:firstLine="480"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3.投标报价表须由法定代表人负责人、自然人或相应的委托代理人签字或个人CA签章（属自然人的应在签名处加盖食指指印或个人CA签章）并加盖投标人CA签章（自然人除外）。</w:t>
      </w:r>
      <w:r>
        <w:rPr>
          <w:rFonts w:hint="eastAsia" w:ascii="宋体" w:hAnsi="宋体" w:cs="宋体"/>
          <w:b/>
          <w:color w:val="000000" w:themeColor="text1"/>
          <w:sz w:val="24"/>
          <w14:textFill>
            <w14:solidFill>
              <w14:schemeClr w14:val="tx1"/>
            </w14:solidFill>
          </w14:textFill>
        </w:rPr>
        <w:t>当本表由多页构成时，需逐页加盖投标人公章（属自然人的须逐页签字或个人CA签章）</w:t>
      </w:r>
    </w:p>
    <w:p>
      <w:pPr>
        <w:spacing w:line="440" w:lineRule="exact"/>
        <w:rPr>
          <w:rFonts w:hint="eastAsia"/>
          <w:color w:val="000000" w:themeColor="text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三、商务、技术性响应及其他有效证明材料（格式）：</w:t>
      </w:r>
    </w:p>
    <w:p>
      <w:pPr>
        <w:spacing w:line="440" w:lineRule="exact"/>
        <w:rPr>
          <w:rFonts w:hint="eastAsia" w:ascii="宋体" w:hAnsi="宋体" w:cs="宋体"/>
          <w:b/>
          <w:bCs/>
          <w:color w:val="000000" w:themeColor="text1"/>
          <w:sz w:val="32"/>
          <w:szCs w:val="32"/>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spacing w:line="440" w:lineRule="exact"/>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1.</w:t>
      </w:r>
      <w:r>
        <w:rPr>
          <w:rFonts w:hint="eastAsia" w:ascii="宋体" w:hAnsi="宋体" w:cs="宋体"/>
          <w:b/>
          <w:bCs/>
          <w:color w:val="000000" w:themeColor="text1"/>
          <w:sz w:val="32"/>
          <w:szCs w:val="32"/>
          <w14:textFill>
            <w14:solidFill>
              <w14:schemeClr w14:val="tx1"/>
            </w14:solidFill>
          </w14:textFill>
        </w:rPr>
        <w:t>投标人的服务方案（根据采购需求包括但不限于</w:t>
      </w:r>
      <w:r>
        <w:rPr>
          <w:rFonts w:hint="eastAsia" w:ascii="宋体" w:hAnsi="宋体" w:cs="宋体"/>
          <w:b/>
          <w:bCs/>
          <w:color w:val="000000" w:themeColor="text1"/>
          <w:sz w:val="32"/>
          <w:szCs w:val="32"/>
          <w:lang w:eastAsia="zh-CN"/>
          <w14:textFill>
            <w14:solidFill>
              <w14:schemeClr w14:val="tx1"/>
            </w14:solidFill>
          </w14:textFill>
        </w:rPr>
        <w:t>污水处理厂经营管理方案、应急预案、达到服务质量标准的保证措施</w:t>
      </w:r>
      <w:r>
        <w:rPr>
          <w:rFonts w:hint="eastAsia" w:ascii="宋体" w:hAnsi="宋体" w:cs="宋体"/>
          <w:b/>
          <w:bCs/>
          <w:color w:val="000000" w:themeColor="text1"/>
          <w:sz w:val="32"/>
          <w:szCs w:val="32"/>
          <w14:textFill>
            <w14:solidFill>
              <w14:schemeClr w14:val="tx1"/>
            </w14:solidFill>
          </w14:textFill>
        </w:rPr>
        <w:t>等，格式自拟）(格式见附件)（必须提供）；</w:t>
      </w:r>
    </w:p>
    <w:bookmarkEnd w:id="192"/>
    <w:bookmarkEnd w:id="193"/>
    <w:p>
      <w:pPr>
        <w:pStyle w:val="13"/>
        <w:spacing w:line="440" w:lineRule="exact"/>
        <w:rPr>
          <w:rFonts w:hint="eastAsia" w:ascii="宋体" w:hAnsi="宋体" w:cs="宋体"/>
          <w:b/>
          <w:color w:val="000000" w:themeColor="text1"/>
          <w:sz w:val="32"/>
          <w14:textFill>
            <w14:solidFill>
              <w14:schemeClr w14:val="tx1"/>
            </w14:solidFill>
          </w14:textFill>
        </w:rPr>
      </w:pPr>
    </w:p>
    <w:p>
      <w:pPr>
        <w:spacing w:line="440" w:lineRule="exact"/>
        <w:ind w:firstLine="2570" w:firstLineChars="800"/>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投标人的服务方案(格式)；</w:t>
      </w:r>
    </w:p>
    <w:p>
      <w:pPr>
        <w:pStyle w:val="20"/>
        <w:spacing w:line="440" w:lineRule="exact"/>
        <w:ind w:firstLine="3012" w:firstLineChars="1000"/>
        <w:rPr>
          <w:rFonts w:hint="eastAsia" w:hAnsi="宋体" w:cs="宋体"/>
          <w:b/>
          <w:color w:val="000000" w:themeColor="text1"/>
          <w:sz w:val="30"/>
          <w:szCs w:val="30"/>
          <w14:textFill>
            <w14:solidFill>
              <w14:schemeClr w14:val="tx1"/>
            </w14:solidFill>
          </w14:textFill>
        </w:rPr>
      </w:pPr>
    </w:p>
    <w:p>
      <w:pPr>
        <w:snapToGrid w:val="0"/>
        <w:spacing w:before="50" w:after="50" w:line="440" w:lineRule="exact"/>
        <w:rPr>
          <w:rFonts w:hint="eastAsia" w:ascii="宋体" w:hAnsi="宋体" w:cs="宋体"/>
          <w:color w:val="000000" w:themeColor="text1"/>
          <w:spacing w:val="20"/>
          <w:sz w:val="24"/>
          <w14:textFill>
            <w14:solidFill>
              <w14:schemeClr w14:val="tx1"/>
            </w14:solidFill>
          </w14:textFill>
        </w:rPr>
      </w:pPr>
    </w:p>
    <w:p>
      <w:pPr>
        <w:pStyle w:val="2"/>
        <w:rPr>
          <w:rFonts w:hint="eastAsia" w:ascii="宋体" w:hAnsi="宋体" w:cs="宋体"/>
          <w:color w:val="000000" w:themeColor="text1"/>
          <w:spacing w:val="20"/>
          <w14:textFill>
            <w14:solidFill>
              <w14:schemeClr w14:val="tx1"/>
            </w14:solidFill>
          </w14:textFill>
        </w:rPr>
      </w:pPr>
    </w:p>
    <w:p>
      <w:pPr>
        <w:rPr>
          <w:rFonts w:hint="eastAsia"/>
          <w:color w:val="000000" w:themeColor="text1"/>
          <w14:textFill>
            <w14:solidFill>
              <w14:schemeClr w14:val="tx1"/>
            </w14:solidFill>
          </w14:textFill>
        </w:rPr>
      </w:pPr>
    </w:p>
    <w:p>
      <w:pPr>
        <w:snapToGrid w:val="0"/>
        <w:spacing w:line="440" w:lineRule="exact"/>
        <w:ind w:firstLine="2160" w:firstLineChars="9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投标人[公章(CA签章)，自然人签字或个人CA签章]：</w:t>
      </w:r>
      <w:r>
        <w:rPr>
          <w:rFonts w:hint="eastAsia" w:ascii="宋体" w:hAnsi="宋体" w:cs="宋体"/>
          <w:color w:val="000000" w:themeColor="text1"/>
          <w:sz w:val="24"/>
          <w:u w:val="single"/>
          <w14:textFill>
            <w14:solidFill>
              <w14:schemeClr w14:val="tx1"/>
            </w14:solidFill>
          </w14:textFill>
        </w:rPr>
        <w:t xml:space="preserve">                                </w:t>
      </w:r>
    </w:p>
    <w:p>
      <w:pPr>
        <w:spacing w:line="440" w:lineRule="exact"/>
        <w:rPr>
          <w:rFonts w:hint="eastAsia" w:ascii="宋体" w:hAnsi="宋体" w:cs="宋体"/>
          <w:color w:val="000000" w:themeColor="text1"/>
          <w:sz w:val="24"/>
          <w14:textFill>
            <w14:solidFill>
              <w14:schemeClr w14:val="tx1"/>
            </w14:solidFill>
          </w14:textFill>
        </w:rPr>
      </w:pPr>
    </w:p>
    <w:p>
      <w:pPr>
        <w:snapToGrid w:val="0"/>
        <w:spacing w:line="440" w:lineRule="exact"/>
        <w:ind w:firstLine="2160" w:firstLineChars="9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r>
        <w:rPr>
          <w:rFonts w:hint="eastAsia" w:ascii="宋体" w:hAnsi="宋体" w:cs="宋体"/>
          <w:color w:val="000000" w:themeColor="text1"/>
          <w:sz w:val="24"/>
          <w:u w:val="single"/>
          <w14:textFill>
            <w14:solidFill>
              <w14:schemeClr w14:val="tx1"/>
            </w14:solidFill>
          </w14:textFill>
        </w:rPr>
        <w:t xml:space="preserve">             年   月     日  </w:t>
      </w:r>
    </w:p>
    <w:p>
      <w:pPr>
        <w:spacing w:line="440" w:lineRule="exact"/>
        <w:ind w:firstLine="1890" w:firstLineChars="900"/>
        <w:rPr>
          <w:rFonts w:hint="eastAsia" w:ascii="宋体" w:hAnsi="宋体" w:cs="宋体"/>
          <w:color w:val="000000" w:themeColor="text1"/>
          <w:u w:val="single"/>
          <w14:textFill>
            <w14:solidFill>
              <w14:schemeClr w14:val="tx1"/>
            </w14:solidFill>
          </w14:textFill>
        </w:rPr>
      </w:pPr>
    </w:p>
    <w:p>
      <w:pPr>
        <w:spacing w:line="440" w:lineRule="exact"/>
        <w:ind w:firstLine="1890" w:firstLineChars="900"/>
        <w:rPr>
          <w:rFonts w:hint="eastAsia" w:ascii="宋体" w:hAnsi="宋体" w:cs="宋体"/>
          <w:color w:val="000000" w:themeColor="text1"/>
          <w:u w:val="single"/>
          <w14:textFill>
            <w14:solidFill>
              <w14:schemeClr w14:val="tx1"/>
            </w14:solidFill>
          </w14:textFill>
        </w:rPr>
      </w:pPr>
    </w:p>
    <w:p>
      <w:pPr>
        <w:pStyle w:val="2"/>
        <w:spacing w:line="440" w:lineRule="exact"/>
        <w:ind w:firstLine="960" w:firstLineChars="400"/>
        <w:rPr>
          <w:rFonts w:hint="eastAsia" w:ascii="宋体" w:hAnsi="宋体" w:cs="宋体"/>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spacing w:line="440" w:lineRule="exact"/>
        <w:rPr>
          <w:rFonts w:hint="eastAsia" w:ascii="宋体" w:hAnsi="宋体" w:cs="宋体"/>
          <w:b/>
          <w:bCs/>
          <w:color w:val="000000" w:themeColor="text1"/>
          <w:sz w:val="32"/>
          <w:szCs w:val="32"/>
          <w14:textFill>
            <w14:solidFill>
              <w14:schemeClr w14:val="tx1"/>
            </w14:solidFill>
          </w14:textFill>
        </w:rPr>
      </w:pPr>
    </w:p>
    <w:p>
      <w:pPr>
        <w:pStyle w:val="20"/>
        <w:spacing w:line="440" w:lineRule="exact"/>
        <w:rPr>
          <w:rFonts w:hAnsi="宋体" w:cs="宋体"/>
          <w:b/>
          <w:color w:val="000000" w:themeColor="text1"/>
          <w:sz w:val="30"/>
          <w:szCs w:val="30"/>
          <w14:textFill>
            <w14:solidFill>
              <w14:schemeClr w14:val="tx1"/>
            </w14:solidFill>
          </w14:textFill>
        </w:rPr>
      </w:pPr>
      <w:bookmarkStart w:id="194" w:name="_Toc12988"/>
      <w:bookmarkStart w:id="195" w:name="_Toc495841797"/>
      <w:r>
        <w:rPr>
          <w:rFonts w:hint="eastAsia" w:hAnsi="宋体" w:cs="宋体"/>
          <w:b/>
          <w:bCs/>
          <w:color w:val="000000" w:themeColor="text1"/>
          <w:sz w:val="32"/>
          <w:szCs w:val="32"/>
          <w:lang w:val="en-US" w:eastAsia="zh-CN"/>
          <w14:textFill>
            <w14:solidFill>
              <w14:schemeClr w14:val="tx1"/>
            </w14:solidFill>
          </w14:textFill>
        </w:rPr>
        <w:t>2</w:t>
      </w:r>
      <w:r>
        <w:rPr>
          <w:rFonts w:hint="eastAsia" w:hAnsi="宋体" w:cs="宋体"/>
          <w:b/>
          <w:bCs/>
          <w:color w:val="000000" w:themeColor="text1"/>
          <w:sz w:val="32"/>
          <w:szCs w:val="32"/>
          <w14:textFill>
            <w14:solidFill>
              <w14:schemeClr w14:val="tx1"/>
            </w14:solidFill>
          </w14:textFill>
        </w:rPr>
        <w:t>.</w:t>
      </w:r>
      <w:bookmarkEnd w:id="194"/>
      <w:bookmarkEnd w:id="195"/>
      <w:r>
        <w:rPr>
          <w:rFonts w:hint="eastAsia" w:hAnsi="宋体" w:cs="宋体"/>
          <w:b/>
          <w:color w:val="000000" w:themeColor="text1"/>
          <w:sz w:val="30"/>
          <w:szCs w:val="30"/>
          <w14:textFill>
            <w14:solidFill>
              <w14:schemeClr w14:val="tx1"/>
            </w14:solidFill>
          </w14:textFill>
        </w:rPr>
        <w:t>投标人的服务承诺书(格式见附件)（必须提供）；</w:t>
      </w:r>
    </w:p>
    <w:p>
      <w:pPr>
        <w:pStyle w:val="20"/>
        <w:spacing w:line="440" w:lineRule="exact"/>
        <w:jc w:val="center"/>
        <w:rPr>
          <w:rFonts w:hint="eastAsia" w:hAnsi="宋体" w:cs="宋体"/>
          <w:b/>
          <w:color w:val="000000" w:themeColor="text1"/>
          <w:sz w:val="30"/>
          <w:szCs w:val="30"/>
          <w14:textFill>
            <w14:solidFill>
              <w14:schemeClr w14:val="tx1"/>
            </w14:solidFill>
          </w14:textFill>
        </w:rPr>
      </w:pPr>
    </w:p>
    <w:p>
      <w:pPr>
        <w:pStyle w:val="20"/>
        <w:spacing w:line="440" w:lineRule="exact"/>
        <w:jc w:val="center"/>
        <w:rPr>
          <w:rFonts w:hAnsi="宋体" w:cs="宋体"/>
          <w:b/>
          <w:color w:val="000000" w:themeColor="text1"/>
          <w:sz w:val="30"/>
          <w:szCs w:val="30"/>
          <w14:textFill>
            <w14:solidFill>
              <w14:schemeClr w14:val="tx1"/>
            </w14:solidFill>
          </w14:textFill>
        </w:rPr>
      </w:pPr>
      <w:r>
        <w:rPr>
          <w:rFonts w:hint="eastAsia" w:hAnsi="宋体" w:cs="宋体"/>
          <w:b/>
          <w:color w:val="000000" w:themeColor="text1"/>
          <w:sz w:val="30"/>
          <w:szCs w:val="30"/>
          <w14:textFill>
            <w14:solidFill>
              <w14:schemeClr w14:val="tx1"/>
            </w14:solidFill>
          </w14:textFill>
        </w:rPr>
        <w:t>服务承诺书（格式）</w:t>
      </w:r>
    </w:p>
    <w:p>
      <w:pPr>
        <w:pStyle w:val="52"/>
        <w:spacing w:line="440" w:lineRule="exact"/>
        <w:rPr>
          <w:rFonts w:hint="eastAsia" w:ascii="宋体" w:hAnsi="宋体" w:eastAsia="宋体" w:cs="宋体"/>
          <w:color w:val="000000" w:themeColor="text1"/>
          <w14:textFill>
            <w14:solidFill>
              <w14:schemeClr w14:val="tx1"/>
            </w14:solidFill>
          </w14:textFill>
        </w:rPr>
      </w:pPr>
    </w:p>
    <w:p>
      <w:pPr>
        <w:spacing w:line="440" w:lineRule="exact"/>
        <w:rPr>
          <w:rFonts w:hint="eastAsia" w:ascii="宋体" w:hAnsi="宋体" w:cs="宋体"/>
          <w:color w:val="000000" w:themeColor="text1"/>
          <w:sz w:val="32"/>
          <w:szCs w:val="32"/>
          <w14:textFill>
            <w14:solidFill>
              <w14:schemeClr w14:val="tx1"/>
            </w14:solidFill>
          </w14:textFill>
        </w:rPr>
      </w:pPr>
    </w:p>
    <w:p>
      <w:pPr>
        <w:spacing w:line="440" w:lineRule="exact"/>
        <w:rPr>
          <w:rFonts w:hint="eastAsia" w:ascii="宋体" w:hAnsi="宋体" w:cs="宋体"/>
          <w:color w:val="000000" w:themeColor="text1"/>
          <w:sz w:val="32"/>
          <w:szCs w:val="32"/>
          <w14:textFill>
            <w14:solidFill>
              <w14:schemeClr w14:val="tx1"/>
            </w14:solidFill>
          </w14:textFill>
        </w:rPr>
      </w:pPr>
    </w:p>
    <w:p>
      <w:pPr>
        <w:snapToGrid w:val="0"/>
        <w:spacing w:line="440" w:lineRule="exact"/>
        <w:ind w:firstLine="2160" w:firstLineChars="9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投标人[公章(CA签章)，自然人签字或个人CA签章]：</w:t>
      </w:r>
      <w:r>
        <w:rPr>
          <w:rFonts w:hint="eastAsia" w:ascii="宋体" w:hAnsi="宋体" w:cs="宋体"/>
          <w:color w:val="000000" w:themeColor="text1"/>
          <w:sz w:val="24"/>
          <w:u w:val="single"/>
          <w14:textFill>
            <w14:solidFill>
              <w14:schemeClr w14:val="tx1"/>
            </w14:solidFill>
          </w14:textFill>
        </w:rPr>
        <w:t xml:space="preserve">                           </w:t>
      </w:r>
    </w:p>
    <w:p>
      <w:pPr>
        <w:snapToGrid w:val="0"/>
        <w:spacing w:line="440" w:lineRule="exact"/>
        <w:rPr>
          <w:rFonts w:hint="eastAsia" w:ascii="宋体" w:hAnsi="宋体" w:cs="宋体"/>
          <w:color w:val="000000" w:themeColor="text1"/>
          <w:sz w:val="24"/>
          <w:u w:val="single"/>
          <w14:textFill>
            <w14:solidFill>
              <w14:schemeClr w14:val="tx1"/>
            </w14:solidFill>
          </w14:textFill>
        </w:rPr>
      </w:pPr>
    </w:p>
    <w:p>
      <w:pPr>
        <w:spacing w:line="440" w:lineRule="exact"/>
        <w:ind w:left="1890" w:leftChars="900"/>
        <w:rPr>
          <w:rFonts w:hint="eastAsia" w:ascii="宋体" w:hAnsi="宋体" w:cs="宋体"/>
          <w:color w:val="000000" w:themeColor="text1"/>
          <w:sz w:val="24"/>
          <w14:textFill>
            <w14:solidFill>
              <w14:schemeClr w14:val="tx1"/>
            </w14:solidFill>
          </w14:textFill>
        </w:rPr>
      </w:pPr>
    </w:p>
    <w:p>
      <w:pPr>
        <w:snapToGrid w:val="0"/>
        <w:spacing w:line="440" w:lineRule="exact"/>
        <w:ind w:firstLine="1920" w:firstLineChars="8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年   月     日  </w:t>
      </w:r>
    </w:p>
    <w:p>
      <w:pPr>
        <w:snapToGrid w:val="0"/>
        <w:spacing w:line="440" w:lineRule="exact"/>
        <w:ind w:firstLine="1680" w:firstLineChars="800"/>
        <w:rPr>
          <w:rFonts w:hint="eastAsia" w:ascii="宋体" w:hAnsi="宋体" w:cs="宋体"/>
          <w:color w:val="000000" w:themeColor="text1"/>
          <w14:textFill>
            <w14:solidFill>
              <w14:schemeClr w14:val="tx1"/>
            </w14:solidFill>
          </w14:textFill>
        </w:rPr>
      </w:pPr>
    </w:p>
    <w:p>
      <w:pPr>
        <w:pStyle w:val="2"/>
        <w:spacing w:line="440" w:lineRule="exact"/>
        <w:rPr>
          <w:rFonts w:hint="eastAsia" w:ascii="宋体" w:hAnsi="宋体" w:cs="宋体"/>
          <w:color w:val="000000" w:themeColor="text1"/>
          <w14:textFill>
            <w14:solidFill>
              <w14:schemeClr w14:val="tx1"/>
            </w14:solidFill>
          </w14:textFill>
        </w:rPr>
      </w:pPr>
    </w:p>
    <w:p>
      <w:pPr>
        <w:pStyle w:val="20"/>
        <w:spacing w:line="440" w:lineRule="exact"/>
        <w:rPr>
          <w:rFonts w:hAnsi="宋体" w:cs="宋体"/>
          <w:b/>
          <w:color w:val="000000" w:themeColor="text1"/>
          <w:sz w:val="30"/>
          <w:szCs w:val="30"/>
          <w14:textFill>
            <w14:solidFill>
              <w14:schemeClr w14:val="tx1"/>
            </w14:solidFill>
          </w14:textFill>
        </w:rPr>
      </w:pPr>
      <w:bookmarkStart w:id="196" w:name="_Toc495841798"/>
      <w:bookmarkStart w:id="197" w:name="_Toc7840"/>
      <w:r>
        <w:rPr>
          <w:rFonts w:hint="eastAsia" w:hAnsi="宋体" w:cs="宋体"/>
          <w:b/>
          <w:bCs/>
          <w:color w:val="000000" w:themeColor="text1"/>
          <w:sz w:val="32"/>
          <w:szCs w:val="32"/>
          <w:lang w:val="en-US" w:eastAsia="zh-CN"/>
          <w14:textFill>
            <w14:solidFill>
              <w14:schemeClr w14:val="tx1"/>
            </w14:solidFill>
          </w14:textFill>
        </w:rPr>
        <w:t>3</w:t>
      </w:r>
      <w:r>
        <w:rPr>
          <w:rFonts w:hint="eastAsia" w:hAnsi="宋体" w:cs="宋体"/>
          <w:b/>
          <w:bCs/>
          <w:color w:val="000000" w:themeColor="text1"/>
          <w:sz w:val="32"/>
          <w:szCs w:val="32"/>
          <w14:textFill>
            <w14:solidFill>
              <w14:schemeClr w14:val="tx1"/>
            </w14:solidFill>
          </w14:textFill>
        </w:rPr>
        <w:t>.拟投入本项目的项目负责人简历表（必须提供）；</w:t>
      </w:r>
    </w:p>
    <w:p>
      <w:pPr>
        <w:pStyle w:val="13"/>
        <w:rPr>
          <w:color w:val="000000" w:themeColor="text1"/>
          <w14:textFill>
            <w14:solidFill>
              <w14:schemeClr w14:val="tx1"/>
            </w14:solidFill>
          </w14:textFill>
        </w:rPr>
      </w:pPr>
    </w:p>
    <w:p>
      <w:pPr>
        <w:pStyle w:val="50"/>
        <w:rPr>
          <w:rFonts w:hint="eastAsia" w:eastAsia="宋体"/>
          <w:color w:val="000000" w:themeColor="text1"/>
          <w:lang w:val="en-US" w:eastAsia="zh-CN"/>
          <w14:textFill>
            <w14:solidFill>
              <w14:schemeClr w14:val="tx1"/>
            </w14:solidFill>
          </w14:textFill>
        </w:rPr>
      </w:pPr>
    </w:p>
    <w:p>
      <w:pPr>
        <w:spacing w:line="440" w:lineRule="exact"/>
        <w:rPr>
          <w:rFonts w:hint="eastAsia" w:ascii="宋体" w:hAnsi="宋体" w:cs="宋体"/>
          <w:b/>
          <w:bCs/>
          <w:color w:val="000000" w:themeColor="text1"/>
          <w:sz w:val="32"/>
          <w:szCs w:val="32"/>
          <w14:textFill>
            <w14:solidFill>
              <w14:schemeClr w14:val="tx1"/>
            </w14:solidFill>
          </w14:textFill>
        </w:rPr>
      </w:pPr>
    </w:p>
    <w:p>
      <w:pPr>
        <w:pStyle w:val="2"/>
        <w:rPr>
          <w:rFonts w:hint="eastAsia"/>
          <w:color w:val="000000" w:themeColor="text1"/>
          <w14:textFill>
            <w14:solidFill>
              <w14:schemeClr w14:val="tx1"/>
            </w14:solidFill>
          </w14:textFill>
        </w:rPr>
      </w:pPr>
    </w:p>
    <w:p>
      <w:pPr>
        <w:snapToGrid w:val="0"/>
        <w:spacing w:line="440" w:lineRule="exact"/>
        <w:ind w:firstLine="2160" w:firstLineChars="9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投标人[公章(CA签章)，自然人签字或个人CA签章]：</w:t>
      </w:r>
      <w:r>
        <w:rPr>
          <w:rFonts w:hint="eastAsia" w:ascii="宋体" w:hAnsi="宋体" w:cs="宋体"/>
          <w:color w:val="000000" w:themeColor="text1"/>
          <w:sz w:val="24"/>
          <w:u w:val="single"/>
          <w14:textFill>
            <w14:solidFill>
              <w14:schemeClr w14:val="tx1"/>
            </w14:solidFill>
          </w14:textFill>
        </w:rPr>
        <w:t xml:space="preserve">                           </w:t>
      </w:r>
    </w:p>
    <w:p>
      <w:pPr>
        <w:snapToGrid w:val="0"/>
        <w:spacing w:line="440" w:lineRule="exact"/>
        <w:rPr>
          <w:rFonts w:hint="eastAsia" w:ascii="宋体" w:hAnsi="宋体" w:cs="宋体"/>
          <w:color w:val="000000" w:themeColor="text1"/>
          <w:sz w:val="24"/>
          <w:u w:val="single"/>
          <w14:textFill>
            <w14:solidFill>
              <w14:schemeClr w14:val="tx1"/>
            </w14:solidFill>
          </w14:textFill>
        </w:rPr>
      </w:pPr>
    </w:p>
    <w:p>
      <w:pPr>
        <w:snapToGrid w:val="0"/>
        <w:spacing w:line="440" w:lineRule="exact"/>
        <w:ind w:firstLine="1920" w:firstLineChars="8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年   月     日  </w:t>
      </w:r>
    </w:p>
    <w:p>
      <w:pPr>
        <w:pStyle w:val="2"/>
        <w:spacing w:line="440" w:lineRule="exact"/>
        <w:rPr>
          <w:rFonts w:hint="default" w:ascii="宋体" w:hAnsi="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 xml:space="preserve"> </w:t>
      </w:r>
    </w:p>
    <w:p>
      <w:pPr>
        <w:pStyle w:val="2"/>
        <w:spacing w:line="440" w:lineRule="exact"/>
        <w:rPr>
          <w:rFonts w:hint="eastAsia" w:ascii="宋体" w:hAnsi="宋体" w:cs="宋体"/>
          <w:b/>
          <w:bCs/>
          <w:color w:val="000000" w:themeColor="text1"/>
          <w:sz w:val="32"/>
          <w:szCs w:val="32"/>
          <w:lang w:val="en-US" w:eastAsia="zh-CN"/>
          <w14:textFill>
            <w14:solidFill>
              <w14:schemeClr w14:val="tx1"/>
            </w14:solidFill>
          </w14:textFill>
        </w:rPr>
      </w:pPr>
    </w:p>
    <w:p>
      <w:pPr>
        <w:pStyle w:val="2"/>
        <w:spacing w:line="440" w:lineRule="exact"/>
        <w:rPr>
          <w:rFonts w:hint="eastAsia" w:ascii="宋体" w:hAnsi="宋体" w:cs="宋体"/>
          <w:b/>
          <w:bCs/>
          <w:color w:val="000000" w:themeColor="text1"/>
          <w:sz w:val="32"/>
          <w:szCs w:val="32"/>
          <w:lang w:val="en-US" w:eastAsia="zh-CN"/>
          <w14:textFill>
            <w14:solidFill>
              <w14:schemeClr w14:val="tx1"/>
            </w14:solidFill>
          </w14:textFill>
        </w:rPr>
      </w:pPr>
    </w:p>
    <w:p>
      <w:pPr>
        <w:pStyle w:val="2"/>
        <w:spacing w:line="440" w:lineRule="exact"/>
        <w:rPr>
          <w:rFonts w:hint="default"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4.项目拟投入人员承诺函（必须提供）；</w:t>
      </w:r>
    </w:p>
    <w:p>
      <w:pPr>
        <w:pStyle w:val="2"/>
        <w:spacing w:line="440" w:lineRule="exact"/>
        <w:rPr>
          <w:rFonts w:hint="eastAsia" w:ascii="宋体" w:hAnsi="宋体" w:cs="宋体"/>
          <w:b/>
          <w:bCs/>
          <w:color w:val="000000" w:themeColor="text1"/>
          <w:sz w:val="32"/>
          <w:szCs w:val="32"/>
          <w14:textFill>
            <w14:solidFill>
              <w14:schemeClr w14:val="tx1"/>
            </w14:solidFill>
          </w14:textFill>
        </w:rPr>
      </w:pPr>
    </w:p>
    <w:p>
      <w:pPr>
        <w:rPr>
          <w:rFonts w:hAnsi="宋体"/>
          <w:b w:val="0"/>
          <w:bCs/>
          <w:color w:val="000000" w:themeColor="text1"/>
          <w:sz w:val="24"/>
          <w14:textFill>
            <w14:solidFill>
              <w14:schemeClr w14:val="tx1"/>
            </w14:solidFill>
          </w14:textFill>
        </w:rPr>
      </w:pPr>
      <w:r>
        <w:rPr>
          <w:rFonts w:hint="eastAsia" w:hAnsi="宋体"/>
          <w:b w:val="0"/>
          <w:bCs/>
          <w:color w:val="000000" w:themeColor="text1"/>
          <w:sz w:val="24"/>
          <w14:textFill>
            <w14:solidFill>
              <w14:schemeClr w14:val="tx1"/>
            </w14:solidFill>
          </w14:textFill>
        </w:rPr>
        <w:t>致：（</w:t>
      </w:r>
      <w:r>
        <w:rPr>
          <w:rFonts w:hint="eastAsia" w:hAnsi="宋体"/>
          <w:b w:val="0"/>
          <w:bCs/>
          <w:color w:val="000000" w:themeColor="text1"/>
          <w:sz w:val="24"/>
          <w:lang w:eastAsia="zh-CN"/>
          <w14:textFill>
            <w14:solidFill>
              <w14:schemeClr w14:val="tx1"/>
            </w14:solidFill>
          </w14:textFill>
        </w:rPr>
        <w:t>招标人</w:t>
      </w:r>
      <w:r>
        <w:rPr>
          <w:rFonts w:hint="eastAsia" w:hAnsi="宋体"/>
          <w:b w:val="0"/>
          <w:bCs/>
          <w:color w:val="000000" w:themeColor="text1"/>
          <w:sz w:val="24"/>
          <w14:textFill>
            <w14:solidFill>
              <w14:schemeClr w14:val="tx1"/>
            </w14:solidFill>
          </w14:textFill>
        </w:rPr>
        <w:t>）</w:t>
      </w:r>
    </w:p>
    <w:p>
      <w:pPr>
        <w:ind w:firstLine="640" w:firstLineChars="200"/>
        <w:rPr>
          <w:rFonts w:hAnsi="宋体"/>
          <w:b w:val="0"/>
          <w:bCs/>
          <w:color w:val="000000" w:themeColor="text1"/>
          <w:sz w:val="32"/>
          <w:szCs w:val="32"/>
          <w14:textFill>
            <w14:solidFill>
              <w14:schemeClr w14:val="tx1"/>
            </w14:solidFill>
          </w14:textFill>
        </w:rPr>
      </w:pPr>
    </w:p>
    <w:p>
      <w:pPr>
        <w:spacing w:after="120"/>
        <w:ind w:firstLine="480" w:firstLineChars="200"/>
        <w:rPr>
          <w:rFonts w:hAnsi="宋体"/>
          <w:b w:val="0"/>
          <w:bCs/>
          <w:color w:val="000000" w:themeColor="text1"/>
          <w:sz w:val="24"/>
          <w14:textFill>
            <w14:solidFill>
              <w14:schemeClr w14:val="tx1"/>
            </w14:solidFill>
          </w14:textFill>
        </w:rPr>
      </w:pPr>
      <w:r>
        <w:rPr>
          <w:rFonts w:hint="eastAsia" w:hAnsi="宋体"/>
          <w:b w:val="0"/>
          <w:bCs/>
          <w:color w:val="000000" w:themeColor="text1"/>
          <w:sz w:val="24"/>
          <w14:textFill>
            <w14:solidFill>
              <w14:schemeClr w14:val="tx1"/>
            </w14:solidFill>
          </w14:textFill>
        </w:rPr>
        <w:t>我公司参加（项目名称，项目编号）投标郑重承诺如下：</w:t>
      </w:r>
    </w:p>
    <w:p>
      <w:pPr>
        <w:spacing w:after="120"/>
        <w:ind w:firstLine="480" w:firstLineChars="200"/>
        <w:rPr>
          <w:rFonts w:hAnsi="宋体"/>
          <w:b w:val="0"/>
          <w:bCs/>
          <w:color w:val="000000" w:themeColor="text1"/>
          <w:sz w:val="24"/>
          <w14:textFill>
            <w14:solidFill>
              <w14:schemeClr w14:val="tx1"/>
            </w14:solidFill>
          </w14:textFill>
        </w:rPr>
      </w:pPr>
      <w:r>
        <w:rPr>
          <w:rFonts w:hint="eastAsia" w:hAnsi="宋体"/>
          <w:b w:val="0"/>
          <w:bCs/>
          <w:color w:val="000000" w:themeColor="text1"/>
          <w:sz w:val="24"/>
          <w14:textFill>
            <w14:solidFill>
              <w14:schemeClr w14:val="tx1"/>
            </w14:solidFill>
          </w14:textFill>
        </w:rPr>
        <w:t>我公司承诺，若我公司有幸中标，将在合同签订前按照项目采购需求配备管理和技术人员并向</w:t>
      </w:r>
      <w:r>
        <w:rPr>
          <w:rFonts w:hint="eastAsia" w:hAnsi="宋体"/>
          <w:b w:val="0"/>
          <w:bCs/>
          <w:color w:val="000000" w:themeColor="text1"/>
          <w:sz w:val="24"/>
          <w:lang w:eastAsia="zh-CN"/>
          <w14:textFill>
            <w14:solidFill>
              <w14:schemeClr w14:val="tx1"/>
            </w14:solidFill>
          </w14:textFill>
        </w:rPr>
        <w:t>招标人</w:t>
      </w:r>
      <w:r>
        <w:rPr>
          <w:rFonts w:hint="eastAsia" w:hAnsi="宋体"/>
          <w:b w:val="0"/>
          <w:bCs/>
          <w:color w:val="000000" w:themeColor="text1"/>
          <w:sz w:val="24"/>
          <w14:textFill>
            <w14:solidFill>
              <w14:schemeClr w14:val="tx1"/>
            </w14:solidFill>
          </w14:textFill>
        </w:rPr>
        <w:t>递交《拟投入人员一览表》，且保证内容的真实性和准确性，拟投入人员不低于“采购需求”对人员的最低要求，同时，拟投入人员有资格证书</w:t>
      </w:r>
      <w:r>
        <w:rPr>
          <w:rFonts w:hint="eastAsia" w:hAnsi="宋体"/>
          <w:b w:val="0"/>
          <w:bCs/>
          <w:color w:val="000000" w:themeColor="text1"/>
          <w:sz w:val="24"/>
          <w:lang w:eastAsia="zh-CN"/>
          <w14:textFill>
            <w14:solidFill>
              <w14:schemeClr w14:val="tx1"/>
            </w14:solidFill>
          </w14:textFill>
        </w:rPr>
        <w:t>或职称证书</w:t>
      </w:r>
      <w:r>
        <w:rPr>
          <w:rFonts w:hint="eastAsia" w:hAnsi="宋体"/>
          <w:b w:val="0"/>
          <w:bCs/>
          <w:color w:val="000000" w:themeColor="text1"/>
          <w:sz w:val="24"/>
          <w14:textFill>
            <w14:solidFill>
              <w14:schemeClr w14:val="tx1"/>
            </w14:solidFill>
          </w14:textFill>
        </w:rPr>
        <w:t>的，将提供相应证明予</w:t>
      </w:r>
      <w:r>
        <w:rPr>
          <w:rFonts w:hint="eastAsia" w:hAnsi="宋体"/>
          <w:b w:val="0"/>
          <w:bCs/>
          <w:color w:val="000000" w:themeColor="text1"/>
          <w:sz w:val="24"/>
          <w:lang w:eastAsia="zh-CN"/>
          <w14:textFill>
            <w14:solidFill>
              <w14:schemeClr w14:val="tx1"/>
            </w14:solidFill>
          </w14:textFill>
        </w:rPr>
        <w:t>采购人</w:t>
      </w:r>
      <w:r>
        <w:rPr>
          <w:rFonts w:hint="eastAsia" w:hAnsi="宋体"/>
          <w:b w:val="0"/>
          <w:bCs/>
          <w:color w:val="000000" w:themeColor="text1"/>
          <w:sz w:val="24"/>
          <w14:textFill>
            <w14:solidFill>
              <w14:schemeClr w14:val="tx1"/>
            </w14:solidFill>
          </w14:textFill>
        </w:rPr>
        <w:t>核实。</w:t>
      </w:r>
    </w:p>
    <w:p>
      <w:pPr>
        <w:spacing w:after="120"/>
        <w:ind w:firstLine="480" w:firstLineChars="200"/>
        <w:rPr>
          <w:rFonts w:hAnsi="宋体"/>
          <w:b w:val="0"/>
          <w:bCs/>
          <w:color w:val="000000" w:themeColor="text1"/>
          <w:sz w:val="24"/>
          <w14:textFill>
            <w14:solidFill>
              <w14:schemeClr w14:val="tx1"/>
            </w14:solidFill>
          </w14:textFill>
        </w:rPr>
      </w:pPr>
    </w:p>
    <w:p>
      <w:pPr>
        <w:spacing w:after="120"/>
        <w:ind w:firstLine="480" w:firstLineChars="200"/>
        <w:rPr>
          <w:rFonts w:hAnsi="宋体"/>
          <w:b w:val="0"/>
          <w:bCs/>
          <w:color w:val="000000" w:themeColor="text1"/>
          <w:sz w:val="24"/>
          <w14:textFill>
            <w14:solidFill>
              <w14:schemeClr w14:val="tx1"/>
            </w14:solidFill>
          </w14:textFill>
        </w:rPr>
      </w:pPr>
      <w:r>
        <w:rPr>
          <w:rFonts w:hint="eastAsia" w:hAnsi="宋体"/>
          <w:b w:val="0"/>
          <w:bCs/>
          <w:color w:val="000000" w:themeColor="text1"/>
          <w:sz w:val="24"/>
          <w14:textFill>
            <w14:solidFill>
              <w14:schemeClr w14:val="tx1"/>
            </w14:solidFill>
          </w14:textFill>
        </w:rPr>
        <w:t>如我公司违反上述承诺，我公司自愿放弃本项目中标资格。</w:t>
      </w:r>
    </w:p>
    <w:p>
      <w:pPr>
        <w:rPr>
          <w:rFonts w:hint="eastAsia" w:ascii="宋体" w:hAnsi="宋体" w:cs="宋体"/>
          <w:b/>
          <w:bCs/>
          <w:color w:val="000000" w:themeColor="text1"/>
          <w:sz w:val="32"/>
          <w:szCs w:val="32"/>
          <w14:textFill>
            <w14:solidFill>
              <w14:schemeClr w14:val="tx1"/>
            </w14:solidFill>
          </w14:textFill>
        </w:rPr>
      </w:pPr>
    </w:p>
    <w:p>
      <w:pPr>
        <w:snapToGrid w:val="0"/>
        <w:spacing w:line="440" w:lineRule="exact"/>
        <w:ind w:firstLine="2160" w:firstLineChars="9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投标人[公章(CA签章)，自然人签字或个人CA签章]：</w:t>
      </w:r>
      <w:r>
        <w:rPr>
          <w:rFonts w:hint="eastAsia" w:ascii="宋体" w:hAnsi="宋体" w:cs="宋体"/>
          <w:color w:val="000000" w:themeColor="text1"/>
          <w:sz w:val="24"/>
          <w:u w:val="single"/>
          <w14:textFill>
            <w14:solidFill>
              <w14:schemeClr w14:val="tx1"/>
            </w14:solidFill>
          </w14:textFill>
        </w:rPr>
        <w:t xml:space="preserve">                           </w:t>
      </w:r>
    </w:p>
    <w:p>
      <w:pPr>
        <w:snapToGrid w:val="0"/>
        <w:spacing w:line="440" w:lineRule="exact"/>
        <w:rPr>
          <w:rFonts w:hint="eastAsia" w:ascii="宋体" w:hAnsi="宋体" w:cs="宋体"/>
          <w:color w:val="000000" w:themeColor="text1"/>
          <w:sz w:val="24"/>
          <w:u w:val="single"/>
          <w14:textFill>
            <w14:solidFill>
              <w14:schemeClr w14:val="tx1"/>
            </w14:solidFill>
          </w14:textFill>
        </w:rPr>
      </w:pPr>
    </w:p>
    <w:p>
      <w:pPr>
        <w:snapToGrid w:val="0"/>
        <w:spacing w:line="440" w:lineRule="exact"/>
        <w:ind w:firstLine="1920" w:firstLineChars="8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年   月     日  </w:t>
      </w:r>
    </w:p>
    <w:p>
      <w:pPr>
        <w:pStyle w:val="2"/>
        <w:rPr>
          <w:rFonts w:hint="eastAsia" w:ascii="宋体" w:hAnsi="宋体" w:cs="宋体"/>
          <w:b/>
          <w:bCs/>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spacing w:line="440" w:lineRule="exact"/>
        <w:rPr>
          <w:rFonts w:hint="eastAsia" w:ascii="宋体" w:hAnsi="宋体" w:cs="宋体"/>
          <w:b/>
          <w:bCs/>
          <w:color w:val="000000" w:themeColor="text1"/>
          <w:sz w:val="32"/>
          <w:szCs w:val="32"/>
          <w14:textFill>
            <w14:solidFill>
              <w14:schemeClr w14:val="tx1"/>
            </w14:solidFill>
          </w14:textFill>
        </w:rPr>
      </w:pPr>
    </w:p>
    <w:p>
      <w:pPr>
        <w:pStyle w:val="2"/>
        <w:spacing w:line="440" w:lineRule="exact"/>
        <w:rPr>
          <w:rFonts w:hint="default" w:ascii="宋体" w:hAnsi="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5.投标人的服务需求响应表（必须提供）；</w:t>
      </w:r>
    </w:p>
    <w:tbl>
      <w:tblPr>
        <w:tblStyle w:val="33"/>
        <w:tblpPr w:leftFromText="180" w:rightFromText="180" w:vertAnchor="text" w:horzAnchor="page" w:tblpX="740" w:tblpY="160"/>
        <w:tblOverlap w:val="never"/>
        <w:tblW w:w="1040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0"/>
        <w:gridCol w:w="4200"/>
        <w:gridCol w:w="3110"/>
        <w:gridCol w:w="19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130" w:type="dxa"/>
            <w:tcBorders>
              <w:top w:val="single" w:color="auto" w:sz="4" w:space="0"/>
              <w:left w:val="single" w:color="auto" w:sz="4" w:space="0"/>
              <w:bottom w:val="single" w:color="auto" w:sz="4" w:space="0"/>
              <w:right w:val="single" w:color="auto" w:sz="4" w:space="0"/>
            </w:tcBorders>
            <w:noWrap/>
          </w:tcPr>
          <w:p>
            <w:pPr>
              <w:snapToGrid w:val="0"/>
              <w:spacing w:beforeLines="50"/>
              <w:jc w:val="center"/>
              <w:rPr>
                <w:rFonts w:ascii="宋体" w:hAnsi="宋体" w:cs="宋体"/>
                <w:color w:val="000000" w:themeColor="text1"/>
                <w:sz w:val="24"/>
                <w:szCs w:val="20"/>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w:t>
            </w:r>
          </w:p>
        </w:tc>
        <w:tc>
          <w:tcPr>
            <w:tcW w:w="420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color w:val="000000" w:themeColor="text1"/>
                <w:sz w:val="24"/>
                <w:szCs w:val="20"/>
                <w14:textFill>
                  <w14:solidFill>
                    <w14:schemeClr w14:val="tx1"/>
                  </w14:solidFill>
                </w14:textFill>
              </w:rPr>
            </w:pPr>
            <w:r>
              <w:rPr>
                <w:rFonts w:hint="eastAsia" w:ascii="宋体" w:hAnsi="宋体" w:cs="宋体"/>
                <w:b/>
                <w:bCs/>
                <w:color w:val="000000" w:themeColor="text1"/>
                <w14:textFill>
                  <w14:solidFill>
                    <w14:schemeClr w14:val="tx1"/>
                  </w14:solidFill>
                </w14:textFill>
              </w:rPr>
              <w:t>招标文件的服务需求</w:t>
            </w:r>
          </w:p>
        </w:tc>
        <w:tc>
          <w:tcPr>
            <w:tcW w:w="311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color w:val="000000" w:themeColor="text1"/>
                <w:sz w:val="24"/>
                <w:szCs w:val="20"/>
                <w14:textFill>
                  <w14:solidFill>
                    <w14:schemeClr w14:val="tx1"/>
                  </w14:solidFill>
                </w14:textFill>
              </w:rPr>
            </w:pPr>
            <w:r>
              <w:rPr>
                <w:rFonts w:hint="eastAsia" w:ascii="宋体" w:hAnsi="宋体" w:cs="宋体"/>
                <w:b/>
                <w:bCs/>
                <w:color w:val="000000" w:themeColor="text1"/>
                <w14:textFill>
                  <w14:solidFill>
                    <w14:schemeClr w14:val="tx1"/>
                  </w14:solidFill>
                </w14:textFill>
              </w:rPr>
              <w:t>投标文件承诺的服务需求</w:t>
            </w:r>
          </w:p>
        </w:tc>
        <w:tc>
          <w:tcPr>
            <w:tcW w:w="196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color w:val="000000" w:themeColor="text1"/>
                <w:sz w:val="24"/>
                <w:szCs w:val="20"/>
                <w14:textFill>
                  <w14:solidFill>
                    <w14:schemeClr w14:val="tx1"/>
                  </w14:solidFill>
                </w14:textFill>
              </w:rPr>
            </w:pPr>
            <w:r>
              <w:rPr>
                <w:rFonts w:hint="eastAsia" w:ascii="宋体" w:hAnsi="宋体" w:cs="宋体"/>
                <w:b/>
                <w:bCs/>
                <w:color w:val="000000" w:themeColor="text1"/>
                <w14:textFill>
                  <w14:solidFill>
                    <w14:schemeClr w14:val="tx1"/>
                  </w14:solidFill>
                </w14:textFill>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130" w:type="dxa"/>
            <w:tcBorders>
              <w:top w:val="single" w:color="auto" w:sz="4" w:space="0"/>
              <w:left w:val="single" w:color="auto" w:sz="4" w:space="0"/>
              <w:bottom w:val="single" w:color="auto" w:sz="4" w:space="0"/>
              <w:right w:val="single" w:color="auto" w:sz="4" w:space="0"/>
            </w:tcBorders>
            <w:noWrap/>
          </w:tcPr>
          <w:p>
            <w:pPr>
              <w:pStyle w:val="10"/>
              <w:snapToGrid w:val="0"/>
              <w:spacing w:beforeLines="50"/>
              <w:ind w:left="0"/>
              <w:jc w:val="center"/>
              <w:rPr>
                <w:color w:val="000000" w:themeColor="text1"/>
                <w14:textFill>
                  <w14:solidFill>
                    <w14:schemeClr w14:val="tx1"/>
                  </w14:solidFill>
                </w14:textFill>
              </w:rPr>
            </w:pPr>
          </w:p>
        </w:tc>
        <w:tc>
          <w:tcPr>
            <w:tcW w:w="4200" w:type="dxa"/>
            <w:tcBorders>
              <w:top w:val="single" w:color="auto" w:sz="4" w:space="0"/>
              <w:left w:val="single" w:color="auto" w:sz="4" w:space="0"/>
              <w:bottom w:val="single" w:color="auto" w:sz="4" w:space="0"/>
              <w:right w:val="single" w:color="auto" w:sz="4" w:space="0"/>
            </w:tcBorders>
            <w:noWrap/>
            <w:vAlign w:val="center"/>
          </w:tcPr>
          <w:p>
            <w:pPr>
              <w:pStyle w:val="10"/>
              <w:widowControl/>
              <w:spacing w:line="400" w:lineRule="exact"/>
              <w:ind w:left="0"/>
              <w:jc w:val="left"/>
              <w:rPr>
                <w:color w:val="000000" w:themeColor="text1"/>
                <w14:textFill>
                  <w14:solidFill>
                    <w14:schemeClr w14:val="tx1"/>
                  </w14:solidFill>
                </w14:textFill>
              </w:rPr>
            </w:pPr>
          </w:p>
        </w:tc>
        <w:tc>
          <w:tcPr>
            <w:tcW w:w="3110" w:type="dxa"/>
            <w:tcBorders>
              <w:top w:val="single" w:color="auto" w:sz="4" w:space="0"/>
              <w:left w:val="single" w:color="auto" w:sz="4" w:space="0"/>
              <w:bottom w:val="single" w:color="auto" w:sz="4" w:space="0"/>
              <w:right w:val="single" w:color="auto" w:sz="4" w:space="0"/>
            </w:tcBorders>
            <w:noWrap/>
            <w:vAlign w:val="center"/>
          </w:tcPr>
          <w:p>
            <w:pPr>
              <w:pStyle w:val="10"/>
              <w:spacing w:line="360" w:lineRule="exact"/>
              <w:ind w:left="0"/>
              <w:jc w:val="center"/>
              <w:rPr>
                <w:color w:val="000000" w:themeColor="text1"/>
                <w14:textFill>
                  <w14:solidFill>
                    <w14:schemeClr w14:val="tx1"/>
                  </w14:solidFill>
                </w14:textFill>
              </w:rPr>
            </w:pPr>
          </w:p>
        </w:tc>
        <w:tc>
          <w:tcPr>
            <w:tcW w:w="1963" w:type="dxa"/>
            <w:tcBorders>
              <w:top w:val="single" w:color="auto" w:sz="4" w:space="0"/>
              <w:left w:val="single" w:color="auto" w:sz="4" w:space="0"/>
              <w:bottom w:val="single" w:color="auto" w:sz="4" w:space="0"/>
              <w:right w:val="single" w:color="auto" w:sz="4" w:space="0"/>
            </w:tcBorders>
            <w:noWrap/>
            <w:vAlign w:val="center"/>
          </w:tcPr>
          <w:p>
            <w:pPr>
              <w:pStyle w:val="10"/>
              <w:spacing w:line="360" w:lineRule="exact"/>
              <w:ind w:left="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130" w:type="dxa"/>
            <w:tcBorders>
              <w:top w:val="single" w:color="auto" w:sz="4" w:space="0"/>
              <w:left w:val="single" w:color="auto" w:sz="4" w:space="0"/>
              <w:bottom w:val="single" w:color="auto" w:sz="4" w:space="0"/>
              <w:right w:val="single" w:color="auto" w:sz="4" w:space="0"/>
            </w:tcBorders>
            <w:noWrap/>
          </w:tcPr>
          <w:p>
            <w:pPr>
              <w:snapToGrid w:val="0"/>
              <w:spacing w:beforeLines="50"/>
              <w:jc w:val="center"/>
              <w:rPr>
                <w:rFonts w:ascii="宋体" w:hAnsi="宋体" w:cs="宋体"/>
                <w:b/>
                <w:bCs/>
                <w:color w:val="000000" w:themeColor="text1"/>
                <w:sz w:val="24"/>
                <w14:textFill>
                  <w14:solidFill>
                    <w14:schemeClr w14:val="tx1"/>
                  </w14:solidFill>
                </w14:textFill>
              </w:rPr>
            </w:pPr>
          </w:p>
        </w:tc>
        <w:tc>
          <w:tcPr>
            <w:tcW w:w="420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ascii="宋体" w:hAnsi="宋体" w:cs="宋体"/>
                <w:b/>
                <w:bCs/>
                <w:color w:val="000000" w:themeColor="text1"/>
                <w14:textFill>
                  <w14:solidFill>
                    <w14:schemeClr w14:val="tx1"/>
                  </w14:solidFill>
                </w14:textFill>
              </w:rPr>
            </w:pPr>
          </w:p>
        </w:tc>
        <w:tc>
          <w:tcPr>
            <w:tcW w:w="311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b/>
                <w:bCs/>
                <w:color w:val="000000" w:themeColor="text1"/>
                <w14:textFill>
                  <w14:solidFill>
                    <w14:schemeClr w14:val="tx1"/>
                  </w14:solidFill>
                </w14:textFill>
              </w:rPr>
            </w:pPr>
          </w:p>
        </w:tc>
        <w:tc>
          <w:tcPr>
            <w:tcW w:w="196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130" w:type="dxa"/>
            <w:tcBorders>
              <w:top w:val="single" w:color="auto" w:sz="4" w:space="0"/>
              <w:left w:val="single" w:color="auto" w:sz="4" w:space="0"/>
              <w:bottom w:val="single" w:color="auto" w:sz="4" w:space="0"/>
              <w:right w:val="single" w:color="auto" w:sz="4" w:space="0"/>
            </w:tcBorders>
            <w:noWrap/>
          </w:tcPr>
          <w:p>
            <w:pPr>
              <w:snapToGrid w:val="0"/>
              <w:spacing w:beforeLines="50"/>
              <w:jc w:val="center"/>
              <w:rPr>
                <w:rFonts w:ascii="宋体" w:hAnsi="宋体" w:cs="宋体"/>
                <w:b/>
                <w:bCs/>
                <w:color w:val="000000" w:themeColor="text1"/>
                <w:sz w:val="24"/>
                <w14:textFill>
                  <w14:solidFill>
                    <w14:schemeClr w14:val="tx1"/>
                  </w14:solidFill>
                </w14:textFill>
              </w:rPr>
            </w:pPr>
          </w:p>
        </w:tc>
        <w:tc>
          <w:tcPr>
            <w:tcW w:w="420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ascii="宋体" w:hAnsi="宋体" w:cs="宋体"/>
                <w:bCs/>
                <w:color w:val="000000" w:themeColor="text1"/>
                <w:szCs w:val="21"/>
                <w14:textFill>
                  <w14:solidFill>
                    <w14:schemeClr w14:val="tx1"/>
                  </w14:solidFill>
                </w14:textFill>
              </w:rPr>
            </w:pPr>
          </w:p>
        </w:tc>
        <w:tc>
          <w:tcPr>
            <w:tcW w:w="311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b/>
                <w:bCs/>
                <w:color w:val="000000" w:themeColor="text1"/>
                <w14:textFill>
                  <w14:solidFill>
                    <w14:schemeClr w14:val="tx1"/>
                  </w14:solidFill>
                </w14:textFill>
              </w:rPr>
            </w:pPr>
          </w:p>
        </w:tc>
        <w:tc>
          <w:tcPr>
            <w:tcW w:w="196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130" w:type="dxa"/>
            <w:tcBorders>
              <w:top w:val="single" w:color="auto" w:sz="4" w:space="0"/>
              <w:left w:val="single" w:color="auto" w:sz="4" w:space="0"/>
              <w:bottom w:val="single" w:color="auto" w:sz="4" w:space="0"/>
              <w:right w:val="single" w:color="auto" w:sz="4" w:space="0"/>
            </w:tcBorders>
            <w:noWrap/>
          </w:tcPr>
          <w:p>
            <w:pPr>
              <w:snapToGrid w:val="0"/>
              <w:spacing w:beforeLines="50"/>
              <w:jc w:val="center"/>
              <w:rPr>
                <w:rFonts w:ascii="宋体" w:hAnsi="宋体" w:cs="宋体"/>
                <w:b/>
                <w:bCs/>
                <w:color w:val="000000" w:themeColor="text1"/>
                <w:sz w:val="24"/>
                <w14:textFill>
                  <w14:solidFill>
                    <w14:schemeClr w14:val="tx1"/>
                  </w14:solidFill>
                </w14:textFill>
              </w:rPr>
            </w:pPr>
          </w:p>
        </w:tc>
        <w:tc>
          <w:tcPr>
            <w:tcW w:w="420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color w:val="000000" w:themeColor="text1"/>
                <w:szCs w:val="21"/>
                <w14:textFill>
                  <w14:solidFill>
                    <w14:schemeClr w14:val="tx1"/>
                  </w14:solidFill>
                </w14:textFill>
              </w:rPr>
            </w:pPr>
          </w:p>
        </w:tc>
        <w:tc>
          <w:tcPr>
            <w:tcW w:w="311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b/>
                <w:bCs/>
                <w:color w:val="000000" w:themeColor="text1"/>
                <w14:textFill>
                  <w14:solidFill>
                    <w14:schemeClr w14:val="tx1"/>
                  </w14:solidFill>
                </w14:textFill>
              </w:rPr>
            </w:pPr>
          </w:p>
        </w:tc>
        <w:tc>
          <w:tcPr>
            <w:tcW w:w="196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b/>
                <w:bCs/>
                <w:color w:val="000000" w:themeColor="text1"/>
                <w14:textFill>
                  <w14:solidFill>
                    <w14:schemeClr w14:val="tx1"/>
                  </w14:solidFill>
                </w14:textFill>
              </w:rPr>
            </w:pPr>
          </w:p>
        </w:tc>
      </w:tr>
    </w:tbl>
    <w:p>
      <w:pPr>
        <w:pStyle w:val="20"/>
        <w:rPr>
          <w:rFonts w:hAnsi="宋体"/>
          <w:b/>
          <w:color w:val="000000" w:themeColor="text1"/>
          <w:sz w:val="24"/>
          <w:szCs w:val="24"/>
          <w14:textFill>
            <w14:solidFill>
              <w14:schemeClr w14:val="tx1"/>
            </w14:solidFill>
          </w14:textFill>
        </w:rPr>
      </w:pPr>
    </w:p>
    <w:p>
      <w:pPr>
        <w:snapToGrid w:val="0"/>
        <w:spacing w:line="440" w:lineRule="exact"/>
        <w:ind w:firstLine="2160" w:firstLineChars="9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投标人[公章(CA签章)，自然人签字或个人CA签章]：</w:t>
      </w:r>
      <w:r>
        <w:rPr>
          <w:rFonts w:hint="eastAsia" w:ascii="宋体" w:hAnsi="宋体" w:cs="宋体"/>
          <w:color w:val="000000" w:themeColor="text1"/>
          <w:sz w:val="24"/>
          <w:u w:val="single"/>
          <w14:textFill>
            <w14:solidFill>
              <w14:schemeClr w14:val="tx1"/>
            </w14:solidFill>
          </w14:textFill>
        </w:rPr>
        <w:t xml:space="preserve">                           </w:t>
      </w:r>
    </w:p>
    <w:p>
      <w:pPr>
        <w:snapToGrid w:val="0"/>
        <w:spacing w:line="440" w:lineRule="exact"/>
        <w:rPr>
          <w:rFonts w:hint="eastAsia" w:ascii="宋体" w:hAnsi="宋体" w:cs="宋体"/>
          <w:color w:val="000000" w:themeColor="text1"/>
          <w:sz w:val="24"/>
          <w:u w:val="single"/>
          <w14:textFill>
            <w14:solidFill>
              <w14:schemeClr w14:val="tx1"/>
            </w14:solidFill>
          </w14:textFill>
        </w:rPr>
      </w:pPr>
    </w:p>
    <w:p>
      <w:pPr>
        <w:snapToGrid w:val="0"/>
        <w:spacing w:line="440" w:lineRule="exact"/>
        <w:ind w:firstLine="1920" w:firstLineChars="8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年   月     日  </w:t>
      </w:r>
    </w:p>
    <w:p>
      <w:pPr>
        <w:pStyle w:val="20"/>
        <w:ind w:firstLine="472" w:firstLineChars="147"/>
        <w:rPr>
          <w:rFonts w:hAnsi="宋体"/>
          <w:b/>
          <w:color w:val="000000" w:themeColor="text1"/>
          <w:sz w:val="32"/>
          <w:szCs w:val="32"/>
          <w14:textFill>
            <w14:solidFill>
              <w14:schemeClr w14:val="tx1"/>
            </w14:solidFill>
          </w14:textFill>
        </w:rPr>
      </w:pPr>
    </w:p>
    <w:p>
      <w:pPr>
        <w:snapToGrid w:val="0"/>
        <w:spacing w:line="400" w:lineRule="exact"/>
        <w:ind w:firstLine="0" w:firstLineChars="0"/>
        <w:outlineLvl w:val="4"/>
        <w:rPr>
          <w:rFonts w:hint="eastAsia" w:ascii="宋体" w:hAnsi="宋体"/>
          <w:color w:val="000000" w:themeColor="text1"/>
          <w:szCs w:val="20"/>
          <w:u w:val="none"/>
          <w14:textFill>
            <w14:solidFill>
              <w14:schemeClr w14:val="tx1"/>
            </w14:solidFill>
          </w14:textFill>
        </w:rPr>
      </w:pPr>
      <w:r>
        <w:rPr>
          <w:rFonts w:hint="eastAsia" w:ascii="宋体" w:hAnsi="宋体"/>
          <w:color w:val="000000" w:themeColor="text1"/>
          <w:szCs w:val="20"/>
          <w:u w:val="none"/>
          <w14:textFill>
            <w14:solidFill>
              <w14:schemeClr w14:val="tx1"/>
            </w14:solidFill>
          </w14:textFill>
        </w:rPr>
        <w:t>注：</w:t>
      </w:r>
      <w:r>
        <w:rPr>
          <w:rFonts w:hint="eastAsia" w:ascii="宋体" w:hAnsi="宋体"/>
          <w:color w:val="000000" w:themeColor="text1"/>
          <w:szCs w:val="20"/>
          <w:u w:val="none"/>
          <w:lang w:val="en-US" w:eastAsia="zh-CN"/>
          <w14:textFill>
            <w14:solidFill>
              <w14:schemeClr w14:val="tx1"/>
            </w14:solidFill>
          </w14:textFill>
        </w:rPr>
        <w:t>1.</w:t>
      </w:r>
      <w:r>
        <w:rPr>
          <w:rFonts w:hint="eastAsia" w:ascii="宋体" w:hAnsi="宋体"/>
          <w:color w:val="000000" w:themeColor="text1"/>
          <w:szCs w:val="20"/>
          <w:u w:val="none"/>
          <w14:textFill>
            <w14:solidFill>
              <w14:schemeClr w14:val="tx1"/>
            </w14:solidFill>
          </w14:textFill>
        </w:rPr>
        <w:t>投标人应对照招标文件中</w:t>
      </w:r>
      <w:r>
        <w:rPr>
          <w:rFonts w:hint="eastAsia" w:ascii="宋体" w:hAnsi="宋体"/>
          <w:color w:val="000000" w:themeColor="text1"/>
          <w:szCs w:val="20"/>
          <w:u w:val="none"/>
          <w:lang w:eastAsia="zh-CN"/>
          <w14:textFill>
            <w14:solidFill>
              <w14:schemeClr w14:val="tx1"/>
            </w14:solidFill>
          </w14:textFill>
        </w:rPr>
        <w:t>采购</w:t>
      </w:r>
      <w:r>
        <w:rPr>
          <w:rFonts w:hint="eastAsia" w:ascii="宋体" w:hAnsi="宋体"/>
          <w:color w:val="000000" w:themeColor="text1"/>
          <w:szCs w:val="20"/>
          <w:u w:val="none"/>
          <w14:textFill>
            <w14:solidFill>
              <w14:schemeClr w14:val="tx1"/>
            </w14:solidFill>
          </w14:textFill>
        </w:rPr>
        <w:t>要求的</w:t>
      </w:r>
      <w:r>
        <w:rPr>
          <w:rFonts w:hint="eastAsia" w:ascii="宋体" w:hAnsi="宋体"/>
          <w:color w:val="000000" w:themeColor="text1"/>
          <w:szCs w:val="20"/>
          <w:u w:val="none"/>
          <w:lang w:eastAsia="zh-CN"/>
          <w14:textFill>
            <w14:solidFill>
              <w14:schemeClr w14:val="tx1"/>
            </w14:solidFill>
          </w14:textFill>
        </w:rPr>
        <w:t>所有</w:t>
      </w:r>
      <w:r>
        <w:rPr>
          <w:rFonts w:hint="eastAsia" w:ascii="宋体" w:hAnsi="宋体"/>
          <w:color w:val="000000" w:themeColor="text1"/>
          <w:szCs w:val="20"/>
          <w:u w:val="none"/>
          <w14:textFill>
            <w14:solidFill>
              <w14:schemeClr w14:val="tx1"/>
            </w14:solidFill>
          </w14:textFill>
        </w:rPr>
        <w:t>内容逐条响应，并在“偏离情况说明”栏注明“正偏离”、“负偏离”或“无偏离”</w:t>
      </w:r>
    </w:p>
    <w:p>
      <w:pPr>
        <w:snapToGrid w:val="0"/>
        <w:spacing w:line="400" w:lineRule="exact"/>
        <w:ind w:firstLine="420" w:firstLineChars="200"/>
        <w:outlineLvl w:val="4"/>
        <w:rPr>
          <w:rFonts w:hint="eastAsia" w:ascii="宋体" w:hAnsi="宋体"/>
          <w:color w:val="000000" w:themeColor="text1"/>
          <w:szCs w:val="20"/>
          <w:u w:val="none"/>
          <w:lang w:val="en-US" w:eastAsia="zh-CN"/>
          <w14:textFill>
            <w14:solidFill>
              <w14:schemeClr w14:val="tx1"/>
            </w14:solidFill>
          </w14:textFill>
        </w:rPr>
      </w:pPr>
      <w:r>
        <w:rPr>
          <w:rFonts w:hint="eastAsia" w:ascii="宋体" w:hAnsi="宋体" w:cs="Times New Roman"/>
          <w:color w:val="000000" w:themeColor="text1"/>
          <w:szCs w:val="20"/>
          <w:u w:val="none"/>
          <w:lang w:val="en-US" w:eastAsia="zh-CN"/>
          <w14:textFill>
            <w14:solidFill>
              <w14:schemeClr w14:val="tx1"/>
            </w14:solidFill>
          </w14:textFill>
        </w:rPr>
        <w:t>2.</w:t>
      </w:r>
      <w:r>
        <w:rPr>
          <w:rFonts w:hint="eastAsia" w:ascii="宋体" w:hAnsi="宋体"/>
          <w:color w:val="000000" w:themeColor="text1"/>
          <w:szCs w:val="20"/>
          <w:u w:val="none"/>
          <w:lang w:val="en-US" w:eastAsia="zh-CN"/>
          <w14:textFill>
            <w14:solidFill>
              <w14:schemeClr w14:val="tx1"/>
            </w14:solidFill>
          </w14:textFill>
        </w:rPr>
        <w:t>“服务需求响应表”各项内容必须如实填写。</w:t>
      </w:r>
    </w:p>
    <w:p>
      <w:pPr>
        <w:snapToGrid w:val="0"/>
        <w:spacing w:line="400" w:lineRule="exact"/>
        <w:ind w:firstLine="420" w:firstLineChars="200"/>
        <w:outlineLvl w:val="4"/>
        <w:rPr>
          <w:rFonts w:hint="eastAsia" w:ascii="宋体" w:hAnsi="宋体" w:cs="Times New Roman"/>
          <w:color w:val="000000" w:themeColor="text1"/>
          <w:szCs w:val="20"/>
          <w:u w:val="none"/>
          <w:lang w:val="en-US" w:eastAsia="zh-CN"/>
          <w14:textFill>
            <w14:solidFill>
              <w14:schemeClr w14:val="tx1"/>
            </w14:solidFill>
          </w14:textFill>
        </w:rPr>
      </w:pPr>
      <w:r>
        <w:rPr>
          <w:rFonts w:hint="eastAsia" w:ascii="宋体" w:hAnsi="宋体" w:cs="Times New Roman"/>
          <w:color w:val="000000" w:themeColor="text1"/>
          <w:szCs w:val="20"/>
          <w:u w:val="none"/>
          <w:lang w:val="en-US" w:eastAsia="zh-CN"/>
          <w14:textFill>
            <w14:solidFill>
              <w14:schemeClr w14:val="tx1"/>
            </w14:solidFill>
          </w14:textFill>
        </w:rPr>
        <w:t>3.当本表由多页构成时，需逐页加盖投标人公章（CA签章）（属自然人的须逐页签字或个人CA签章）。</w:t>
      </w:r>
    </w:p>
    <w:p>
      <w:pPr>
        <w:pStyle w:val="2"/>
        <w:spacing w:line="440" w:lineRule="exact"/>
        <w:rPr>
          <w:rFonts w:hint="eastAsia" w:ascii="宋体" w:hAnsi="宋体" w:cs="宋体"/>
          <w:b/>
          <w:bCs/>
          <w:color w:val="000000" w:themeColor="text1"/>
          <w:sz w:val="32"/>
          <w:szCs w:val="32"/>
          <w:lang w:val="en-US" w:eastAsia="zh-CN"/>
          <w14:textFill>
            <w14:solidFill>
              <w14:schemeClr w14:val="tx1"/>
            </w14:solidFill>
          </w14:textFill>
        </w:rPr>
      </w:pPr>
    </w:p>
    <w:p>
      <w:pPr>
        <w:pStyle w:val="2"/>
        <w:spacing w:line="440" w:lineRule="exact"/>
        <w:rPr>
          <w:rFonts w:hint="default" w:ascii="宋体" w:hAnsi="宋体" w:cs="宋体"/>
          <w:b/>
          <w:bCs/>
          <w:color w:val="000000" w:themeColor="text1"/>
          <w:sz w:val="32"/>
          <w:szCs w:val="32"/>
          <w:lang w:val="en-US" w:eastAsia="zh-CN"/>
          <w14:textFill>
            <w14:solidFill>
              <w14:schemeClr w14:val="tx1"/>
            </w14:solidFill>
          </w14:textFill>
        </w:rPr>
      </w:pPr>
    </w:p>
    <w:p>
      <w:pPr>
        <w:pStyle w:val="2"/>
        <w:spacing w:line="440" w:lineRule="exact"/>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6</w:t>
      </w:r>
      <w:r>
        <w:rPr>
          <w:rFonts w:hint="eastAsia" w:ascii="宋体" w:hAnsi="宋体" w:cs="宋体"/>
          <w:b/>
          <w:bCs/>
          <w:color w:val="000000" w:themeColor="text1"/>
          <w:sz w:val="32"/>
          <w:szCs w:val="32"/>
          <w14:textFill>
            <w14:solidFill>
              <w14:schemeClr w14:val="tx1"/>
            </w14:solidFill>
          </w14:textFill>
        </w:rPr>
        <w:t>.“服务采购需求”中要求必须提供的相关有效证明文件 （如有，请提供）；</w:t>
      </w:r>
    </w:p>
    <w:p>
      <w:pPr>
        <w:spacing w:line="440" w:lineRule="exact"/>
        <w:rPr>
          <w:rFonts w:hint="eastAsia" w:ascii="宋体" w:hAnsi="宋体" w:cs="宋体"/>
          <w:color w:val="000000" w:themeColor="text1"/>
          <w14:textFill>
            <w14:solidFill>
              <w14:schemeClr w14:val="tx1"/>
            </w14:solidFill>
          </w14:textFill>
        </w:rPr>
      </w:pPr>
    </w:p>
    <w:p>
      <w:pPr>
        <w:pStyle w:val="2"/>
        <w:spacing w:line="440" w:lineRule="exact"/>
        <w:rPr>
          <w:rFonts w:hint="eastAsia" w:ascii="宋体" w:hAnsi="宋体" w:cs="宋体"/>
          <w:color w:val="000000" w:themeColor="text1"/>
          <w14:textFill>
            <w14:solidFill>
              <w14:schemeClr w14:val="tx1"/>
            </w14:solidFill>
          </w14:textFill>
        </w:rPr>
      </w:pPr>
    </w:p>
    <w:bookmarkEnd w:id="196"/>
    <w:p>
      <w:pPr>
        <w:spacing w:line="440" w:lineRule="exact"/>
        <w:rPr>
          <w:rFonts w:hint="eastAsia" w:ascii="宋体" w:hAnsi="宋体" w:cs="宋体"/>
          <w:b/>
          <w:bCs/>
          <w:color w:val="000000" w:themeColor="text1"/>
          <w:sz w:val="32"/>
          <w:szCs w:val="32"/>
          <w14:textFill>
            <w14:solidFill>
              <w14:schemeClr w14:val="tx1"/>
            </w14:solidFill>
          </w14:textFill>
        </w:rPr>
      </w:pPr>
    </w:p>
    <w:p>
      <w:pPr>
        <w:spacing w:line="440" w:lineRule="exact"/>
        <w:rPr>
          <w:rFonts w:hint="eastAsia" w:ascii="宋体" w:hAnsi="宋体" w:cs="宋体"/>
          <w:color w:val="000000" w:themeColor="text1"/>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7</w:t>
      </w:r>
      <w:r>
        <w:rPr>
          <w:rFonts w:hint="eastAsia" w:ascii="宋体" w:hAnsi="宋体" w:cs="宋体"/>
          <w:b/>
          <w:bCs/>
          <w:color w:val="000000" w:themeColor="text1"/>
          <w:sz w:val="32"/>
          <w:szCs w:val="32"/>
          <w14:textFill>
            <w14:solidFill>
              <w14:schemeClr w14:val="tx1"/>
            </w14:solidFill>
          </w14:textFill>
        </w:rPr>
        <w:t>.</w:t>
      </w:r>
      <w:bookmarkEnd w:id="197"/>
      <w:r>
        <w:rPr>
          <w:rFonts w:hint="eastAsia" w:ascii="宋体" w:hAnsi="宋体" w:cs="宋体"/>
          <w:b/>
          <w:bCs/>
          <w:color w:val="000000" w:themeColor="text1"/>
          <w:sz w:val="32"/>
          <w:szCs w:val="32"/>
          <w14:textFill>
            <w14:solidFill>
              <w14:schemeClr w14:val="tx1"/>
            </w14:solidFill>
          </w14:textFill>
        </w:rPr>
        <w:t>投标人投标人201</w:t>
      </w:r>
      <w:r>
        <w:rPr>
          <w:rFonts w:hint="eastAsia" w:ascii="宋体" w:hAnsi="宋体" w:cs="宋体"/>
          <w:b/>
          <w:bCs/>
          <w:color w:val="000000" w:themeColor="text1"/>
          <w:sz w:val="32"/>
          <w:szCs w:val="32"/>
          <w:lang w:val="en-US" w:eastAsia="zh-CN"/>
          <w14:textFill>
            <w14:solidFill>
              <w14:schemeClr w14:val="tx1"/>
            </w14:solidFill>
          </w14:textFill>
        </w:rPr>
        <w:t>8</w:t>
      </w:r>
      <w:r>
        <w:rPr>
          <w:rFonts w:hint="eastAsia" w:ascii="宋体" w:hAnsi="宋体" w:cs="宋体"/>
          <w:b/>
          <w:bCs/>
          <w:color w:val="000000" w:themeColor="text1"/>
          <w:sz w:val="32"/>
          <w:szCs w:val="32"/>
          <w14:textFill>
            <w14:solidFill>
              <w14:schemeClr w14:val="tx1"/>
            </w14:solidFill>
          </w14:textFill>
        </w:rPr>
        <w:t>年1月1日</w:t>
      </w:r>
      <w:r>
        <w:rPr>
          <w:rFonts w:hint="eastAsia" w:ascii="宋体" w:hAnsi="宋体" w:cs="宋体"/>
          <w:b/>
          <w:bCs/>
          <w:color w:val="000000" w:themeColor="text1"/>
          <w:sz w:val="32"/>
          <w:szCs w:val="32"/>
          <w:lang w:val="en-US" w:eastAsia="zh-CN"/>
          <w14:textFill>
            <w14:solidFill>
              <w14:schemeClr w14:val="tx1"/>
            </w14:solidFill>
          </w14:textFill>
        </w:rPr>
        <w:t>以来</w:t>
      </w:r>
      <w:r>
        <w:rPr>
          <w:rFonts w:hint="eastAsia" w:ascii="宋体" w:hAnsi="宋体" w:cs="宋体"/>
          <w:b/>
          <w:bCs/>
          <w:color w:val="000000" w:themeColor="text1"/>
          <w:sz w:val="32"/>
          <w:szCs w:val="32"/>
          <w14:textFill>
            <w14:solidFill>
              <w14:schemeClr w14:val="tx1"/>
            </w14:solidFill>
          </w14:textFill>
        </w:rPr>
        <w:t>完成同类项目的业绩的相关证明材料（无不良记录，以提供的中标（成交）通知书</w:t>
      </w:r>
      <w:r>
        <w:rPr>
          <w:rFonts w:hint="eastAsia" w:ascii="宋体" w:hAnsi="宋体" w:cs="宋体"/>
          <w:b/>
          <w:bCs/>
          <w:color w:val="000000" w:themeColor="text1"/>
          <w:sz w:val="32"/>
          <w:szCs w:val="32"/>
          <w:lang w:eastAsia="zh-CN"/>
          <w14:textFill>
            <w14:solidFill>
              <w14:schemeClr w14:val="tx1"/>
            </w14:solidFill>
          </w14:textFill>
        </w:rPr>
        <w:t>或</w:t>
      </w:r>
      <w:r>
        <w:rPr>
          <w:rFonts w:hint="eastAsia" w:ascii="宋体" w:hAnsi="宋体" w:cs="宋体"/>
          <w:b/>
          <w:bCs/>
          <w:color w:val="000000" w:themeColor="text1"/>
          <w:sz w:val="32"/>
          <w:szCs w:val="32"/>
          <w14:textFill>
            <w14:solidFill>
              <w14:schemeClr w14:val="tx1"/>
            </w14:solidFill>
          </w14:textFill>
        </w:rPr>
        <w:t>签订的项目合同复印</w:t>
      </w:r>
      <w:r>
        <w:rPr>
          <w:rFonts w:hint="eastAsia" w:ascii="宋体" w:hAnsi="宋体" w:cs="宋体"/>
          <w:b/>
          <w:bCs/>
          <w:color w:val="000000" w:themeColor="text1"/>
          <w:sz w:val="32"/>
          <w:szCs w:val="32"/>
          <w:lang w:eastAsia="zh-CN"/>
          <w14:textFill>
            <w14:solidFill>
              <w14:schemeClr w14:val="tx1"/>
            </w14:solidFill>
          </w14:textFill>
        </w:rPr>
        <w:t>件</w:t>
      </w:r>
      <w:r>
        <w:rPr>
          <w:rFonts w:hint="eastAsia" w:ascii="宋体" w:hAnsi="宋体" w:cs="宋体"/>
          <w:b/>
          <w:bCs/>
          <w:color w:val="000000" w:themeColor="text1"/>
          <w:sz w:val="32"/>
          <w:szCs w:val="32"/>
          <w14:textFill>
            <w14:solidFill>
              <w14:schemeClr w14:val="tx1"/>
            </w14:solidFill>
          </w14:textFill>
        </w:rPr>
        <w:t>并加盖公章为准，并能清晰反映所项目得名称、种类，否则将不予评审，同一个编号的项目有两个或两个以上的分标中标的只算一个）（如有，请提供）；</w:t>
      </w:r>
    </w:p>
    <w:p>
      <w:pPr>
        <w:spacing w:line="440" w:lineRule="exact"/>
        <w:ind w:left="840" w:leftChars="400" w:firstLine="181" w:firstLineChars="75"/>
        <w:rPr>
          <w:rFonts w:hint="eastAsia" w:ascii="宋体" w:hAnsi="宋体" w:cs="宋体"/>
          <w:b/>
          <w:color w:val="000000" w:themeColor="text1"/>
          <w:sz w:val="24"/>
          <w14:textFill>
            <w14:solidFill>
              <w14:schemeClr w14:val="tx1"/>
            </w14:solidFill>
          </w14:textFill>
        </w:rPr>
      </w:pPr>
      <w:bookmarkStart w:id="198" w:name="_Toc5317"/>
      <w:bookmarkStart w:id="199" w:name="_Toc495841804"/>
    </w:p>
    <w:bookmarkEnd w:id="198"/>
    <w:bookmarkEnd w:id="199"/>
    <w:p>
      <w:pPr>
        <w:spacing w:line="440" w:lineRule="exact"/>
        <w:rPr>
          <w:rFonts w:hint="eastAsia" w:ascii="宋体" w:hAnsi="宋体" w:cs="宋体"/>
          <w:b/>
          <w:bCs/>
          <w:color w:val="000000" w:themeColor="text1"/>
          <w:sz w:val="32"/>
          <w:szCs w:val="32"/>
          <w14:textFill>
            <w14:solidFill>
              <w14:schemeClr w14:val="tx1"/>
            </w14:solidFill>
          </w14:textFill>
        </w:rPr>
      </w:pPr>
      <w:bookmarkStart w:id="200" w:name="_Toc495841799"/>
      <w:bookmarkStart w:id="201" w:name="_Toc10856"/>
    </w:p>
    <w:p>
      <w:pPr>
        <w:spacing w:line="440" w:lineRule="exact"/>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8</w:t>
      </w:r>
      <w:r>
        <w:rPr>
          <w:rFonts w:hint="eastAsia" w:ascii="宋体" w:hAnsi="宋体" w:cs="宋体"/>
          <w:b/>
          <w:bCs/>
          <w:color w:val="000000" w:themeColor="text1"/>
          <w:sz w:val="32"/>
          <w:szCs w:val="32"/>
          <w14:textFill>
            <w14:solidFill>
              <w14:schemeClr w14:val="tx1"/>
            </w14:solidFill>
          </w14:textFill>
        </w:rPr>
        <w:t>.投标人相关获奖证书、认证证书等复印件（如有，请提供）</w:t>
      </w:r>
      <w:bookmarkEnd w:id="200"/>
      <w:bookmarkEnd w:id="201"/>
      <w:r>
        <w:rPr>
          <w:rFonts w:hint="eastAsia" w:ascii="宋体" w:hAnsi="宋体" w:cs="宋体"/>
          <w:b/>
          <w:bCs/>
          <w:color w:val="000000" w:themeColor="text1"/>
          <w:sz w:val="32"/>
          <w:szCs w:val="32"/>
          <w14:textFill>
            <w14:solidFill>
              <w14:schemeClr w14:val="tx1"/>
            </w14:solidFill>
          </w14:textFill>
        </w:rPr>
        <w:t>;</w:t>
      </w:r>
    </w:p>
    <w:p>
      <w:pPr>
        <w:spacing w:line="440" w:lineRule="exact"/>
        <w:rPr>
          <w:rFonts w:hint="eastAsia" w:ascii="宋体" w:hAnsi="宋体" w:cs="宋体"/>
          <w:b/>
          <w:bCs/>
          <w:color w:val="000000" w:themeColor="text1"/>
          <w:sz w:val="32"/>
          <w:szCs w:val="32"/>
          <w14:textFill>
            <w14:solidFill>
              <w14:schemeClr w14:val="tx1"/>
            </w14:solidFill>
          </w14:textFill>
        </w:rPr>
      </w:pPr>
      <w:bookmarkStart w:id="202" w:name="_Toc495841802"/>
      <w:bookmarkStart w:id="203" w:name="_Toc6517"/>
    </w:p>
    <w:p>
      <w:pPr>
        <w:spacing w:line="440" w:lineRule="exact"/>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9</w:t>
      </w:r>
      <w:r>
        <w:rPr>
          <w:rFonts w:hint="eastAsia" w:ascii="宋体" w:hAnsi="宋体" w:cs="宋体"/>
          <w:b/>
          <w:bCs/>
          <w:color w:val="000000" w:themeColor="text1"/>
          <w:sz w:val="32"/>
          <w:szCs w:val="32"/>
          <w14:textFill>
            <w14:solidFill>
              <w14:schemeClr w14:val="tx1"/>
            </w14:solidFill>
          </w14:textFill>
        </w:rPr>
        <w:t>.</w:t>
      </w:r>
      <w:bookmarkEnd w:id="202"/>
      <w:bookmarkEnd w:id="203"/>
      <w:r>
        <w:rPr>
          <w:rFonts w:hint="eastAsia" w:ascii="宋体" w:hAnsi="宋体" w:cs="宋体"/>
          <w:b/>
          <w:color w:val="000000" w:themeColor="text1"/>
          <w:sz w:val="30"/>
          <w:szCs w:val="30"/>
          <w14:textFill>
            <w14:solidFill>
              <w14:schemeClr w14:val="tx1"/>
            </w14:solidFill>
          </w14:textFill>
        </w:rPr>
        <w:t>中小微企业或监狱企业或残疾人福利性单位的证明材料【①如属于中小企业在参加政府采购活动时，应当出具《中小企业声明函》（格式见附件），以提供的《中小企业声明函》为准，并对声明的真实性负责（中小微型企业划分标准按照《国家统计局关于印发《统计上大中小微型企业划分办法（2017）》的通知》（国统字[2017]213号）执行）；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如有，请提供）；</w:t>
      </w:r>
    </w:p>
    <w:p>
      <w:pPr>
        <w:spacing w:line="440" w:lineRule="exact"/>
        <w:jc w:val="center"/>
        <w:rPr>
          <w:rFonts w:hint="eastAsia" w:ascii="宋体" w:hAnsi="宋体" w:cs="宋体"/>
          <w:b/>
          <w:color w:val="000000" w:themeColor="text1"/>
          <w:kern w:val="0"/>
          <w:sz w:val="30"/>
          <w:szCs w:val="30"/>
          <w14:textFill>
            <w14:solidFill>
              <w14:schemeClr w14:val="tx1"/>
            </w14:solidFill>
          </w14:textFill>
        </w:rPr>
      </w:pPr>
      <w:bookmarkStart w:id="204" w:name="_Toc24169_WPSOffice_Level1"/>
    </w:p>
    <w:p>
      <w:pPr>
        <w:spacing w:line="440" w:lineRule="exact"/>
        <w:jc w:val="center"/>
        <w:rPr>
          <w:rFonts w:hint="eastAsia" w:ascii="宋体" w:hAnsi="宋体" w:cs="宋体"/>
          <w:b/>
          <w:color w:val="000000" w:themeColor="text1"/>
          <w:kern w:val="0"/>
          <w:sz w:val="30"/>
          <w:szCs w:val="30"/>
          <w14:textFill>
            <w14:solidFill>
              <w14:schemeClr w14:val="tx1"/>
            </w14:solidFill>
          </w14:textFill>
        </w:rPr>
      </w:pPr>
    </w:p>
    <w:p>
      <w:pPr>
        <w:spacing w:line="440" w:lineRule="exact"/>
        <w:jc w:val="center"/>
        <w:rPr>
          <w:rFonts w:hint="eastAsia" w:ascii="宋体" w:hAnsi="宋体" w:cs="宋体"/>
          <w:b/>
          <w:color w:val="000000" w:themeColor="text1"/>
          <w:kern w:val="0"/>
          <w:sz w:val="30"/>
          <w:szCs w:val="30"/>
          <w14:textFill>
            <w14:solidFill>
              <w14:schemeClr w14:val="tx1"/>
            </w14:solidFill>
          </w14:textFill>
        </w:rPr>
      </w:pPr>
    </w:p>
    <w:p>
      <w:pPr>
        <w:spacing w:line="440" w:lineRule="exact"/>
        <w:jc w:val="center"/>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color w:val="000000" w:themeColor="text1"/>
          <w:kern w:val="0"/>
          <w:sz w:val="30"/>
          <w:szCs w:val="30"/>
          <w14:textFill>
            <w14:solidFill>
              <w14:schemeClr w14:val="tx1"/>
            </w14:solidFill>
          </w14:textFill>
        </w:rPr>
        <w:t>【格式见附件】</w:t>
      </w:r>
    </w:p>
    <w:p>
      <w:pPr>
        <w:spacing w:line="440" w:lineRule="exact"/>
        <w:rPr>
          <w:rFonts w:hint="eastAsia" w:ascii="宋体" w:hAnsi="宋体" w:cs="宋体"/>
          <w:b/>
          <w:bCs/>
          <w:color w:val="000000" w:themeColor="text1"/>
          <w:sz w:val="28"/>
          <w:szCs w:val="28"/>
          <w14:textFill>
            <w14:solidFill>
              <w14:schemeClr w14:val="tx1"/>
            </w14:solidFill>
          </w14:textFill>
        </w:rPr>
        <w:sectPr>
          <w:pgSz w:w="11906" w:h="16838"/>
          <w:pgMar w:top="1440" w:right="1083" w:bottom="1440" w:left="1083" w:header="851" w:footer="992" w:gutter="0"/>
          <w:cols w:space="0" w:num="1"/>
          <w:rtlGutter w:val="0"/>
          <w:docGrid w:type="lines" w:linePitch="317" w:charSpace="0"/>
        </w:sectPr>
      </w:pPr>
    </w:p>
    <w:bookmarkEnd w:id="204"/>
    <w:p>
      <w:pPr>
        <w:pStyle w:val="108"/>
        <w:spacing w:line="440" w:lineRule="exact"/>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①如属于中小企业在参加政府采购活动时，应当出具《中小企业声明函》（格式见附件），以提供的《中小企业声明函》为准，并对声明的真实性负责（中小微型企业划分标准按照《国家统计局关于印发《统计上大中小微型企业划分办法（2017）》的通知》（国统字[2017]213号）执行）。</w:t>
      </w:r>
    </w:p>
    <w:p>
      <w:pPr>
        <w:tabs>
          <w:tab w:val="left" w:pos="1305"/>
        </w:tabs>
        <w:spacing w:line="440" w:lineRule="exact"/>
        <w:ind w:firstLine="2891" w:firstLineChars="900"/>
        <w:rPr>
          <w:rFonts w:ascii="宋体" w:hAnsi="宋体" w:cs="宋体"/>
          <w:b/>
          <w:bCs/>
          <w:color w:val="000000" w:themeColor="text1"/>
          <w:sz w:val="32"/>
          <w:szCs w:val="32"/>
          <w14:textFill>
            <w14:solidFill>
              <w14:schemeClr w14:val="tx1"/>
            </w14:solidFill>
          </w14:textFill>
        </w:rPr>
      </w:pPr>
    </w:p>
    <w:p>
      <w:pPr>
        <w:tabs>
          <w:tab w:val="left" w:pos="1305"/>
        </w:tabs>
        <w:spacing w:line="440" w:lineRule="exact"/>
        <w:ind w:firstLine="2891" w:firstLineChars="9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中小企业声明函（格式）</w:t>
      </w:r>
    </w:p>
    <w:p>
      <w:pPr>
        <w:tabs>
          <w:tab w:val="left" w:pos="1305"/>
        </w:tabs>
        <w:spacing w:line="440" w:lineRule="exact"/>
        <w:ind w:firstLine="422" w:firstLineChars="200"/>
        <w:rPr>
          <w:rFonts w:ascii="宋体" w:hAnsi="宋体" w:cs="宋体"/>
          <w:b/>
          <w:bCs/>
          <w:color w:val="000000" w:themeColor="text1"/>
          <w:szCs w:val="20"/>
          <w14:textFill>
            <w14:solidFill>
              <w14:schemeClr w14:val="tx1"/>
            </w14:solidFill>
          </w14:textFill>
        </w:rPr>
      </w:pPr>
    </w:p>
    <w:p>
      <w:pPr>
        <w:pStyle w:val="12"/>
        <w:spacing w:line="360" w:lineRule="auto"/>
        <w:ind w:left="-199" w:leftChars="-95"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本公司（联合体）郑重声明，根据《政府采购促进中小企业发展管理办法》（财库﹝2020﹞46号）的规定，本公司（联合体）参加</w:t>
      </w:r>
      <w:r>
        <w:rPr>
          <w:rFonts w:hint="eastAsia" w:ascii="宋体" w:hAnsi="宋体" w:cs="宋体"/>
          <w:color w:val="000000" w:themeColor="text1"/>
          <w:kern w:val="0"/>
          <w:sz w:val="28"/>
          <w:szCs w:val="28"/>
          <w:u w:val="single"/>
          <w14:textFill>
            <w14:solidFill>
              <w14:schemeClr w14:val="tx1"/>
            </w14:solidFill>
          </w14:textFill>
        </w:rPr>
        <w:t xml:space="preserve"> （单位名称） </w:t>
      </w:r>
      <w:r>
        <w:rPr>
          <w:rFonts w:hint="eastAsia" w:ascii="宋体" w:hAnsi="宋体" w:cs="宋体"/>
          <w:color w:val="000000" w:themeColor="text1"/>
          <w:kern w:val="0"/>
          <w:sz w:val="28"/>
          <w:szCs w:val="28"/>
          <w14:textFill>
            <w14:solidFill>
              <w14:schemeClr w14:val="tx1"/>
            </w14:solidFill>
          </w14:textFill>
        </w:rPr>
        <w:t>的</w:t>
      </w:r>
      <w:r>
        <w:rPr>
          <w:rFonts w:hint="eastAsia" w:ascii="宋体" w:hAnsi="宋体" w:cs="宋体"/>
          <w:color w:val="000000" w:themeColor="text1"/>
          <w:kern w:val="0"/>
          <w:sz w:val="28"/>
          <w:szCs w:val="28"/>
          <w:u w:val="single"/>
          <w14:textFill>
            <w14:solidFill>
              <w14:schemeClr w14:val="tx1"/>
            </w14:solidFill>
          </w14:textFill>
        </w:rPr>
        <w:t xml:space="preserve"> （项目名称） </w:t>
      </w:r>
      <w:r>
        <w:rPr>
          <w:rFonts w:hint="eastAsia" w:ascii="宋体" w:hAnsi="宋体" w:cs="宋体"/>
          <w:color w:val="000000" w:themeColor="text1"/>
          <w:kern w:val="0"/>
          <w:sz w:val="28"/>
          <w:szCs w:val="28"/>
          <w14:textFill>
            <w14:solidFill>
              <w14:schemeClr w14:val="tx1"/>
            </w14:solidFill>
          </w14:textFill>
        </w:rPr>
        <w:t>采购活动，服务全部由符合政策要求的中小企业承接。相关企业（含联合体中的中小企业（如有）、签订分包意向协议的中小企业（如有））的具体情况如下：</w:t>
      </w:r>
    </w:p>
    <w:p>
      <w:pPr>
        <w:pStyle w:val="12"/>
        <w:spacing w:line="360" w:lineRule="auto"/>
        <w:ind w:left="-199" w:leftChars="-95" w:firstLine="618" w:firstLineChars="221"/>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w:t>
      </w:r>
      <w:r>
        <w:rPr>
          <w:rFonts w:hint="eastAsia" w:ascii="宋体" w:hAnsi="宋体" w:cs="宋体"/>
          <w:color w:val="000000" w:themeColor="text1"/>
          <w:kern w:val="0"/>
          <w:sz w:val="28"/>
          <w:szCs w:val="28"/>
          <w:u w:val="single"/>
          <w14:textFill>
            <w14:solidFill>
              <w14:schemeClr w14:val="tx1"/>
            </w14:solidFill>
          </w14:textFill>
        </w:rPr>
        <w:t xml:space="preserve"> （标的名称） </w:t>
      </w:r>
      <w:r>
        <w:rPr>
          <w:rFonts w:hint="eastAsia" w:ascii="宋体" w:hAnsi="宋体" w:cs="宋体"/>
          <w:color w:val="000000" w:themeColor="text1"/>
          <w:kern w:val="0"/>
          <w:sz w:val="28"/>
          <w:szCs w:val="28"/>
          <w14:textFill>
            <w14:solidFill>
              <w14:schemeClr w14:val="tx1"/>
            </w14:solidFill>
          </w14:textFill>
        </w:rPr>
        <w:t>，属于</w:t>
      </w:r>
      <w:r>
        <w:rPr>
          <w:rFonts w:hint="eastAsia" w:ascii="宋体" w:hAnsi="宋体" w:cs="宋体"/>
          <w:color w:val="000000" w:themeColor="text1"/>
          <w:kern w:val="0"/>
          <w:sz w:val="28"/>
          <w:szCs w:val="28"/>
          <w:u w:val="single"/>
          <w14:textFill>
            <w14:solidFill>
              <w14:schemeClr w14:val="tx1"/>
            </w14:solidFill>
          </w14:textFill>
        </w:rPr>
        <w:t xml:space="preserve"> （采购文件中明确的行业）</w:t>
      </w:r>
      <w:r>
        <w:rPr>
          <w:rFonts w:hint="eastAsia" w:ascii="宋体" w:hAnsi="宋体" w:cs="宋体"/>
          <w:color w:val="000000" w:themeColor="text1"/>
          <w:kern w:val="0"/>
          <w:sz w:val="28"/>
          <w:szCs w:val="28"/>
          <w14:textFill>
            <w14:solidFill>
              <w14:schemeClr w14:val="tx1"/>
            </w14:solidFill>
          </w14:textFill>
        </w:rPr>
        <w:t xml:space="preserve"> ；承建（承接）企业为</w:t>
      </w:r>
      <w:r>
        <w:rPr>
          <w:rFonts w:hint="eastAsia" w:ascii="宋体" w:hAnsi="宋体" w:cs="宋体"/>
          <w:color w:val="000000" w:themeColor="text1"/>
          <w:kern w:val="0"/>
          <w:sz w:val="28"/>
          <w:szCs w:val="28"/>
          <w:u w:val="single"/>
          <w14:textFill>
            <w14:solidFill>
              <w14:schemeClr w14:val="tx1"/>
            </w14:solidFill>
          </w14:textFill>
        </w:rPr>
        <w:t xml:space="preserve"> （企业名称） </w:t>
      </w:r>
      <w:r>
        <w:rPr>
          <w:rFonts w:hint="eastAsia" w:ascii="宋体" w:hAnsi="宋体" w:cs="宋体"/>
          <w:color w:val="000000" w:themeColor="text1"/>
          <w:kern w:val="0"/>
          <w:sz w:val="28"/>
          <w:szCs w:val="28"/>
          <w14:textFill>
            <w14:solidFill>
              <w14:schemeClr w14:val="tx1"/>
            </w14:solidFill>
          </w14:textFill>
        </w:rPr>
        <w:t xml:space="preserve"> ，从业人员</w:t>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人，营业收入为</w:t>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万元，资产总额为</w:t>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 xml:space="preserve"> 万元</w:t>
      </w:r>
      <w:r>
        <w:rPr>
          <w:rFonts w:hint="eastAsia" w:ascii="宋体" w:hAnsi="宋体" w:cs="宋体"/>
          <w:color w:val="000000" w:themeColor="text1"/>
          <w:kern w:val="0"/>
          <w:sz w:val="28"/>
          <w:szCs w:val="28"/>
          <w:vertAlign w:val="superscript"/>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。属于</w:t>
      </w:r>
      <w:r>
        <w:rPr>
          <w:rFonts w:hint="eastAsia" w:ascii="宋体" w:hAnsi="宋体" w:cs="宋体"/>
          <w:color w:val="000000" w:themeColor="text1"/>
          <w:kern w:val="0"/>
          <w:sz w:val="28"/>
          <w:szCs w:val="28"/>
          <w:u w:val="single"/>
          <w14:textFill>
            <w14:solidFill>
              <w14:schemeClr w14:val="tx1"/>
            </w14:solidFill>
          </w14:textFill>
        </w:rPr>
        <w:t xml:space="preserve"> （中型企业、小型企业、微型企业） </w:t>
      </w:r>
      <w:r>
        <w:rPr>
          <w:rFonts w:hint="eastAsia" w:ascii="宋体" w:hAnsi="宋体" w:cs="宋体"/>
          <w:color w:val="000000" w:themeColor="text1"/>
          <w:kern w:val="0"/>
          <w:sz w:val="28"/>
          <w:szCs w:val="28"/>
          <w14:textFill>
            <w14:solidFill>
              <w14:schemeClr w14:val="tx1"/>
            </w14:solidFill>
          </w14:textFill>
        </w:rPr>
        <w:t>；</w:t>
      </w:r>
    </w:p>
    <w:p>
      <w:pPr>
        <w:pStyle w:val="12"/>
        <w:spacing w:line="360" w:lineRule="auto"/>
        <w:ind w:left="-199" w:leftChars="-95" w:firstLine="618" w:firstLineChars="221"/>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以上企业，不属于大企业的分支机构，不存在控股股东为大企业的情形，也不存在与大企业的负责人为同一人的情形。</w:t>
      </w:r>
    </w:p>
    <w:p>
      <w:pPr>
        <w:pStyle w:val="100"/>
        <w:spacing w:after="40" w:line="360" w:lineRule="auto"/>
        <w:ind w:firstLine="640"/>
        <w:jc w:val="both"/>
        <w:rPr>
          <w:rFonts w:hint="eastAsia"/>
          <w:color w:val="000000" w:themeColor="text1"/>
          <w:sz w:val="24"/>
          <w:szCs w:val="24"/>
          <w14:textFill>
            <w14:solidFill>
              <w14:schemeClr w14:val="tx1"/>
            </w14:solidFill>
          </w14:textFill>
        </w:rPr>
      </w:pPr>
      <w:r>
        <w:rPr>
          <w:rFonts w:hint="eastAsia"/>
          <w:color w:val="000000" w:themeColor="text1"/>
          <w:sz w:val="28"/>
          <w:szCs w:val="28"/>
          <w14:textFill>
            <w14:solidFill>
              <w14:schemeClr w14:val="tx1"/>
            </w14:solidFill>
          </w14:textFill>
        </w:rPr>
        <w:t>本企业对上述声明内容的真实性负责。如有虚假，将依法承担相应责任。</w:t>
      </w:r>
    </w:p>
    <w:p>
      <w:pPr>
        <w:pStyle w:val="100"/>
        <w:spacing w:after="40" w:line="360" w:lineRule="auto"/>
        <w:ind w:firstLine="640"/>
        <w:jc w:val="both"/>
        <w:rPr>
          <w:rFonts w:hint="eastAsia"/>
          <w:color w:val="000000" w:themeColor="text1"/>
          <w:sz w:val="24"/>
          <w:szCs w:val="24"/>
          <w14:textFill>
            <w14:solidFill>
              <w14:schemeClr w14:val="tx1"/>
            </w14:solidFill>
          </w14:textFill>
        </w:rPr>
      </w:pPr>
    </w:p>
    <w:p>
      <w:pPr>
        <w:pStyle w:val="100"/>
        <w:spacing w:line="360" w:lineRule="auto"/>
        <w:ind w:firstLine="640"/>
        <w:jc w:val="both"/>
        <w:rPr>
          <w:rFonts w:hint="eastAsia"/>
          <w:color w:val="000000" w:themeColor="text1"/>
          <w:sz w:val="28"/>
          <w:szCs w:val="28"/>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rFonts w:hint="eastAsia"/>
          <w:color w:val="000000" w:themeColor="text1"/>
          <w:sz w:val="28"/>
          <w:szCs w:val="28"/>
          <w14:textFill>
            <w14:solidFill>
              <w14:schemeClr w14:val="tx1"/>
            </w14:solidFill>
          </w14:textFill>
        </w:rPr>
        <w:t>企业名称[盖公章（CA签章）]：</w:t>
      </w:r>
    </w:p>
    <w:p>
      <w:pPr>
        <w:pStyle w:val="100"/>
        <w:spacing w:line="360" w:lineRule="auto"/>
        <w:ind w:firstLine="640"/>
        <w:jc w:val="both"/>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日期：</w:t>
      </w:r>
      <w:r>
        <w:rPr>
          <w:rFonts w:hint="eastAsia"/>
          <w:color w:val="000000" w:themeColor="text1"/>
          <w:sz w:val="24"/>
          <w:szCs w:val="24"/>
          <w:u w:val="single"/>
          <w14:textFill>
            <w14:solidFill>
              <w14:schemeClr w14:val="tx1"/>
            </w14:solidFill>
          </w14:textFill>
        </w:rPr>
        <w:t xml:space="preserve">      年   月     日  </w:t>
      </w:r>
    </w:p>
    <w:p>
      <w:pPr>
        <w:pStyle w:val="101"/>
        <w:spacing w:after="0" w:line="440" w:lineRule="exact"/>
        <w:rPr>
          <w:rFonts w:hint="eastAsia"/>
          <w:color w:val="000000" w:themeColor="text1"/>
          <w:sz w:val="24"/>
          <w:szCs w:val="24"/>
          <w14:textFill>
            <w14:solidFill>
              <w14:schemeClr w14:val="tx1"/>
            </w14:solidFill>
          </w14:textFill>
        </w:rPr>
      </w:pPr>
    </w:p>
    <w:p>
      <w:pPr>
        <w:pStyle w:val="101"/>
        <w:adjustRightInd w:val="0"/>
        <w:snapToGrid w:val="0"/>
        <w:spacing w:after="0" w:line="440" w:lineRule="exact"/>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备注：</w:t>
      </w:r>
    </w:p>
    <w:p>
      <w:pPr>
        <w:pStyle w:val="52"/>
        <w:spacing w:line="44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从业人员、营业收入、资产总额填报上一年度数据，无上一年度数据的新成立企业可不填报。</w:t>
      </w:r>
    </w:p>
    <w:p>
      <w:pPr>
        <w:widowControl/>
        <w:spacing w:line="440" w:lineRule="exact"/>
        <w:jc w:val="left"/>
        <w:rPr>
          <w:rFonts w:hint="eastAsia" w:ascii="宋体" w:hAnsi="宋体" w:cs="宋体"/>
          <w:color w:val="000000" w:themeColor="text1"/>
          <w:kern w:val="0"/>
          <w:sz w:val="32"/>
          <w:szCs w:val="32"/>
          <w14:textFill>
            <w14:solidFill>
              <w14:schemeClr w14:val="tx1"/>
            </w14:solidFill>
          </w14:textFill>
        </w:rPr>
        <w:sectPr>
          <w:pgSz w:w="11906" w:h="16838"/>
          <w:pgMar w:top="1440" w:right="1083" w:bottom="1440" w:left="1083" w:header="851" w:footer="992" w:gutter="0"/>
          <w:cols w:space="0" w:num="1"/>
          <w:rtlGutter w:val="0"/>
          <w:docGrid w:type="lines" w:linePitch="317" w:charSpace="0"/>
        </w:sectPr>
      </w:pPr>
    </w:p>
    <w:p>
      <w:pPr>
        <w:widowControl/>
        <w:spacing w:line="440" w:lineRule="exact"/>
        <w:jc w:val="left"/>
        <w:rPr>
          <w:rFonts w:hint="eastAsia" w:ascii="宋体" w:hAnsi="宋体" w:cs="宋体"/>
          <w:color w:val="000000" w:themeColor="text1"/>
          <w:kern w:val="0"/>
          <w:sz w:val="32"/>
          <w:szCs w:val="32"/>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附表:</w:t>
      </w:r>
    </w:p>
    <w:p>
      <w:pPr>
        <w:pStyle w:val="52"/>
        <w:spacing w:line="440" w:lineRule="exact"/>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 w:val="36"/>
          <w:szCs w:val="32"/>
          <w14:textFill>
            <w14:solidFill>
              <w14:schemeClr w14:val="tx1"/>
            </w14:solidFill>
          </w14:textFill>
        </w:rPr>
        <w:t>统计上大中小微型企业划分标准</w:t>
      </w:r>
    </w:p>
    <w:tbl>
      <w:tblPr>
        <w:tblStyle w:val="33"/>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523"/>
        <w:gridCol w:w="957"/>
        <w:gridCol w:w="1154"/>
        <w:gridCol w:w="1731"/>
        <w:gridCol w:w="1454"/>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826" w:type="dxa"/>
            <w:vAlign w:val="center"/>
          </w:tcPr>
          <w:p>
            <w:pPr>
              <w:widowControl/>
              <w:spacing w:line="440" w:lineRule="exact"/>
              <w:jc w:val="center"/>
              <w:rPr>
                <w:rFonts w:ascii="宋体" w:hAnsi="宋体" w:cs="宋体"/>
                <w:b/>
                <w:bCs/>
                <w:color w:val="000000" w:themeColor="text1"/>
                <w:kern w:val="0"/>
                <w:sz w:val="18"/>
                <w:szCs w:val="21"/>
                <w14:textFill>
                  <w14:solidFill>
                    <w14:schemeClr w14:val="tx1"/>
                  </w14:solidFill>
                </w14:textFill>
              </w:rPr>
            </w:pPr>
            <w:r>
              <w:rPr>
                <w:rFonts w:hint="eastAsia" w:ascii="宋体" w:hAnsi="宋体" w:cs="宋体"/>
                <w:b/>
                <w:bCs/>
                <w:color w:val="000000" w:themeColor="text1"/>
                <w:kern w:val="0"/>
                <w:sz w:val="18"/>
                <w:szCs w:val="21"/>
                <w14:textFill>
                  <w14:solidFill>
                    <w14:schemeClr w14:val="tx1"/>
                  </w14:solidFill>
                </w14:textFill>
              </w:rPr>
              <w:t>行业名称</w:t>
            </w:r>
          </w:p>
        </w:tc>
        <w:tc>
          <w:tcPr>
            <w:tcW w:w="1523" w:type="dxa"/>
            <w:vAlign w:val="center"/>
          </w:tcPr>
          <w:p>
            <w:pPr>
              <w:widowControl/>
              <w:spacing w:line="44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指标名称</w:t>
            </w:r>
          </w:p>
        </w:tc>
        <w:tc>
          <w:tcPr>
            <w:tcW w:w="957" w:type="dxa"/>
            <w:vAlign w:val="center"/>
          </w:tcPr>
          <w:p>
            <w:pPr>
              <w:widowControl/>
              <w:spacing w:line="440" w:lineRule="exact"/>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计量单位</w:t>
            </w:r>
          </w:p>
        </w:tc>
        <w:tc>
          <w:tcPr>
            <w:tcW w:w="1154" w:type="dxa"/>
            <w:vAlign w:val="center"/>
          </w:tcPr>
          <w:p>
            <w:pPr>
              <w:widowControl/>
              <w:spacing w:line="44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大型</w:t>
            </w:r>
          </w:p>
        </w:tc>
        <w:tc>
          <w:tcPr>
            <w:tcW w:w="1731" w:type="dxa"/>
            <w:vAlign w:val="center"/>
          </w:tcPr>
          <w:p>
            <w:pPr>
              <w:widowControl/>
              <w:spacing w:line="44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中型</w:t>
            </w:r>
          </w:p>
        </w:tc>
        <w:tc>
          <w:tcPr>
            <w:tcW w:w="1454" w:type="dxa"/>
            <w:vAlign w:val="center"/>
          </w:tcPr>
          <w:p>
            <w:pPr>
              <w:widowControl/>
              <w:spacing w:line="44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小型</w:t>
            </w:r>
          </w:p>
        </w:tc>
        <w:tc>
          <w:tcPr>
            <w:tcW w:w="1106" w:type="dxa"/>
            <w:vAlign w:val="center"/>
          </w:tcPr>
          <w:p>
            <w:pPr>
              <w:widowControl/>
              <w:spacing w:line="44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26"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农、林、牧、渔业</w:t>
            </w:r>
          </w:p>
        </w:tc>
        <w:tc>
          <w:tcPr>
            <w:tcW w:w="1523"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957"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Y≥20000</w:t>
            </w:r>
          </w:p>
        </w:tc>
        <w:tc>
          <w:tcPr>
            <w:tcW w:w="1731"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500≤Y＜20000</w:t>
            </w:r>
          </w:p>
        </w:tc>
        <w:tc>
          <w:tcPr>
            <w:tcW w:w="14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50≤Y＜500</w:t>
            </w:r>
          </w:p>
        </w:tc>
        <w:tc>
          <w:tcPr>
            <w:tcW w:w="1106"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26" w:type="dxa"/>
            <w:vMerge w:val="restart"/>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工业 *</w:t>
            </w:r>
          </w:p>
        </w:tc>
        <w:tc>
          <w:tcPr>
            <w:tcW w:w="1523"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957"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X≥1000</w:t>
            </w:r>
          </w:p>
        </w:tc>
        <w:tc>
          <w:tcPr>
            <w:tcW w:w="1731"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300≤X＜1000</w:t>
            </w:r>
          </w:p>
        </w:tc>
        <w:tc>
          <w:tcPr>
            <w:tcW w:w="14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20≤X＜300</w:t>
            </w:r>
          </w:p>
        </w:tc>
        <w:tc>
          <w:tcPr>
            <w:tcW w:w="1106"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26" w:type="dxa"/>
            <w:vMerge w:val="continue"/>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p>
        </w:tc>
        <w:tc>
          <w:tcPr>
            <w:tcW w:w="1523"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957"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Y≥40000</w:t>
            </w:r>
          </w:p>
        </w:tc>
        <w:tc>
          <w:tcPr>
            <w:tcW w:w="1731"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2000≤Y＜40000</w:t>
            </w:r>
          </w:p>
        </w:tc>
        <w:tc>
          <w:tcPr>
            <w:tcW w:w="14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300≤Y＜2000</w:t>
            </w:r>
          </w:p>
        </w:tc>
        <w:tc>
          <w:tcPr>
            <w:tcW w:w="1106"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26" w:type="dxa"/>
            <w:vMerge w:val="restart"/>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建筑业</w:t>
            </w:r>
          </w:p>
        </w:tc>
        <w:tc>
          <w:tcPr>
            <w:tcW w:w="1523"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957"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Y≥80000</w:t>
            </w:r>
          </w:p>
        </w:tc>
        <w:tc>
          <w:tcPr>
            <w:tcW w:w="1731"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6000≤Y＜80000</w:t>
            </w:r>
          </w:p>
        </w:tc>
        <w:tc>
          <w:tcPr>
            <w:tcW w:w="14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300≤Y＜6000</w:t>
            </w:r>
          </w:p>
        </w:tc>
        <w:tc>
          <w:tcPr>
            <w:tcW w:w="1106"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26" w:type="dxa"/>
            <w:vMerge w:val="continue"/>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p>
        </w:tc>
        <w:tc>
          <w:tcPr>
            <w:tcW w:w="1523"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资产总额(Z)</w:t>
            </w:r>
          </w:p>
        </w:tc>
        <w:tc>
          <w:tcPr>
            <w:tcW w:w="957"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Z≥80000</w:t>
            </w:r>
          </w:p>
        </w:tc>
        <w:tc>
          <w:tcPr>
            <w:tcW w:w="1731"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5000≤Z＜80000</w:t>
            </w:r>
          </w:p>
        </w:tc>
        <w:tc>
          <w:tcPr>
            <w:tcW w:w="14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300≤Z＜5000</w:t>
            </w:r>
          </w:p>
        </w:tc>
        <w:tc>
          <w:tcPr>
            <w:tcW w:w="1106"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26" w:type="dxa"/>
            <w:vMerge w:val="restart"/>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批发业</w:t>
            </w:r>
          </w:p>
        </w:tc>
        <w:tc>
          <w:tcPr>
            <w:tcW w:w="1523"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957"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X≥200</w:t>
            </w:r>
          </w:p>
        </w:tc>
        <w:tc>
          <w:tcPr>
            <w:tcW w:w="1731"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20≤X＜200</w:t>
            </w:r>
          </w:p>
        </w:tc>
        <w:tc>
          <w:tcPr>
            <w:tcW w:w="14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5≤X＜20</w:t>
            </w:r>
          </w:p>
        </w:tc>
        <w:tc>
          <w:tcPr>
            <w:tcW w:w="1106"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26" w:type="dxa"/>
            <w:vMerge w:val="continue"/>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p>
        </w:tc>
        <w:tc>
          <w:tcPr>
            <w:tcW w:w="1523"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957"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Y≥40000</w:t>
            </w:r>
          </w:p>
        </w:tc>
        <w:tc>
          <w:tcPr>
            <w:tcW w:w="1731"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5000≤Y＜40000</w:t>
            </w:r>
          </w:p>
        </w:tc>
        <w:tc>
          <w:tcPr>
            <w:tcW w:w="1454" w:type="dxa"/>
            <w:vAlign w:val="center"/>
          </w:tcPr>
          <w:p>
            <w:pPr>
              <w:widowControl/>
              <w:spacing w:line="440" w:lineRule="exact"/>
              <w:ind w:left="-1" w:leftChars="-1" w:hang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1000≤Y＜5000</w:t>
            </w:r>
          </w:p>
        </w:tc>
        <w:tc>
          <w:tcPr>
            <w:tcW w:w="1106"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26" w:type="dxa"/>
            <w:vMerge w:val="restart"/>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零售业</w:t>
            </w:r>
          </w:p>
        </w:tc>
        <w:tc>
          <w:tcPr>
            <w:tcW w:w="1523"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957"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X≥300</w:t>
            </w:r>
          </w:p>
        </w:tc>
        <w:tc>
          <w:tcPr>
            <w:tcW w:w="1731"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50≤X＜300</w:t>
            </w:r>
          </w:p>
        </w:tc>
        <w:tc>
          <w:tcPr>
            <w:tcW w:w="1454" w:type="dxa"/>
            <w:vAlign w:val="center"/>
          </w:tcPr>
          <w:p>
            <w:pPr>
              <w:widowControl/>
              <w:spacing w:line="440" w:lineRule="exact"/>
              <w:ind w:left="-1" w:leftChars="-1" w:hang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10≤X＜50</w:t>
            </w:r>
          </w:p>
        </w:tc>
        <w:tc>
          <w:tcPr>
            <w:tcW w:w="1106"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26" w:type="dxa"/>
            <w:vMerge w:val="continue"/>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p>
        </w:tc>
        <w:tc>
          <w:tcPr>
            <w:tcW w:w="1523"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957"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Y≥20000</w:t>
            </w:r>
          </w:p>
        </w:tc>
        <w:tc>
          <w:tcPr>
            <w:tcW w:w="1731"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500≤Y＜20000</w:t>
            </w:r>
          </w:p>
        </w:tc>
        <w:tc>
          <w:tcPr>
            <w:tcW w:w="1454" w:type="dxa"/>
            <w:vAlign w:val="center"/>
          </w:tcPr>
          <w:p>
            <w:pPr>
              <w:widowControl/>
              <w:spacing w:line="440" w:lineRule="exact"/>
              <w:ind w:left="-1" w:leftChars="-1" w:hang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100≤Y＜500</w:t>
            </w:r>
          </w:p>
        </w:tc>
        <w:tc>
          <w:tcPr>
            <w:tcW w:w="1106"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26" w:type="dxa"/>
            <w:vMerge w:val="restart"/>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交通运输业 *</w:t>
            </w:r>
          </w:p>
        </w:tc>
        <w:tc>
          <w:tcPr>
            <w:tcW w:w="1523"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957"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X≥1000</w:t>
            </w:r>
          </w:p>
        </w:tc>
        <w:tc>
          <w:tcPr>
            <w:tcW w:w="1731"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300≤X＜1000</w:t>
            </w:r>
          </w:p>
        </w:tc>
        <w:tc>
          <w:tcPr>
            <w:tcW w:w="14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20≤X＜300</w:t>
            </w:r>
          </w:p>
        </w:tc>
        <w:tc>
          <w:tcPr>
            <w:tcW w:w="1106"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26" w:type="dxa"/>
            <w:vMerge w:val="continue"/>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p>
        </w:tc>
        <w:tc>
          <w:tcPr>
            <w:tcW w:w="1523"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957"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Y≥30000</w:t>
            </w:r>
          </w:p>
        </w:tc>
        <w:tc>
          <w:tcPr>
            <w:tcW w:w="1731"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3000≤Y＜30000</w:t>
            </w:r>
          </w:p>
        </w:tc>
        <w:tc>
          <w:tcPr>
            <w:tcW w:w="14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200≤Y＜3000</w:t>
            </w:r>
          </w:p>
        </w:tc>
        <w:tc>
          <w:tcPr>
            <w:tcW w:w="1106"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26" w:type="dxa"/>
            <w:vMerge w:val="restart"/>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仓储业*</w:t>
            </w:r>
          </w:p>
        </w:tc>
        <w:tc>
          <w:tcPr>
            <w:tcW w:w="1523"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957"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X≥200</w:t>
            </w:r>
          </w:p>
        </w:tc>
        <w:tc>
          <w:tcPr>
            <w:tcW w:w="1731" w:type="dxa"/>
            <w:vAlign w:val="center"/>
          </w:tcPr>
          <w:p>
            <w:pPr>
              <w:widowControl/>
              <w:spacing w:line="440" w:lineRule="exact"/>
              <w:ind w:left="1" w:leftChars="-51" w:hanging="108" w:hangingChars="6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100≤X＜200</w:t>
            </w:r>
          </w:p>
        </w:tc>
        <w:tc>
          <w:tcPr>
            <w:tcW w:w="14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20≤X＜100</w:t>
            </w:r>
          </w:p>
        </w:tc>
        <w:tc>
          <w:tcPr>
            <w:tcW w:w="1106"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26" w:type="dxa"/>
            <w:vMerge w:val="continue"/>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p>
        </w:tc>
        <w:tc>
          <w:tcPr>
            <w:tcW w:w="1523"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957"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Y≥30000</w:t>
            </w:r>
          </w:p>
        </w:tc>
        <w:tc>
          <w:tcPr>
            <w:tcW w:w="1731"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1000≤Y＜30000</w:t>
            </w:r>
          </w:p>
        </w:tc>
        <w:tc>
          <w:tcPr>
            <w:tcW w:w="14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100≤Y＜1000</w:t>
            </w:r>
          </w:p>
        </w:tc>
        <w:tc>
          <w:tcPr>
            <w:tcW w:w="1106"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26" w:type="dxa"/>
            <w:vMerge w:val="restart"/>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邮政业</w:t>
            </w:r>
          </w:p>
        </w:tc>
        <w:tc>
          <w:tcPr>
            <w:tcW w:w="1523"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957"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X≥1000</w:t>
            </w:r>
          </w:p>
        </w:tc>
        <w:tc>
          <w:tcPr>
            <w:tcW w:w="1731"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300≤X＜1000</w:t>
            </w:r>
          </w:p>
        </w:tc>
        <w:tc>
          <w:tcPr>
            <w:tcW w:w="14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20≤X＜300</w:t>
            </w:r>
          </w:p>
        </w:tc>
        <w:tc>
          <w:tcPr>
            <w:tcW w:w="1106"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26" w:type="dxa"/>
            <w:vMerge w:val="continue"/>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p>
        </w:tc>
        <w:tc>
          <w:tcPr>
            <w:tcW w:w="1523"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957"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Y≥30000</w:t>
            </w:r>
          </w:p>
        </w:tc>
        <w:tc>
          <w:tcPr>
            <w:tcW w:w="1731"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2000≤Y＜30000</w:t>
            </w:r>
          </w:p>
        </w:tc>
        <w:tc>
          <w:tcPr>
            <w:tcW w:w="14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100≤Y＜2000</w:t>
            </w:r>
          </w:p>
        </w:tc>
        <w:tc>
          <w:tcPr>
            <w:tcW w:w="1106"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26" w:type="dxa"/>
            <w:vMerge w:val="restart"/>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住宿业</w:t>
            </w:r>
          </w:p>
        </w:tc>
        <w:tc>
          <w:tcPr>
            <w:tcW w:w="1523"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957"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X≥300</w:t>
            </w:r>
          </w:p>
        </w:tc>
        <w:tc>
          <w:tcPr>
            <w:tcW w:w="1731" w:type="dxa"/>
            <w:vAlign w:val="center"/>
          </w:tcPr>
          <w:p>
            <w:pPr>
              <w:widowControl/>
              <w:spacing w:line="440" w:lineRule="exact"/>
              <w:ind w:left="1" w:leftChars="-51" w:hanging="108" w:hangingChars="6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100≤X＜300</w:t>
            </w:r>
          </w:p>
        </w:tc>
        <w:tc>
          <w:tcPr>
            <w:tcW w:w="14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1106"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26" w:type="dxa"/>
            <w:vMerge w:val="continue"/>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p>
        </w:tc>
        <w:tc>
          <w:tcPr>
            <w:tcW w:w="1523"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957"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Y≥10000</w:t>
            </w:r>
          </w:p>
        </w:tc>
        <w:tc>
          <w:tcPr>
            <w:tcW w:w="1731"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2000≤Y＜10000</w:t>
            </w:r>
          </w:p>
        </w:tc>
        <w:tc>
          <w:tcPr>
            <w:tcW w:w="14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100≤Y＜2000</w:t>
            </w:r>
          </w:p>
        </w:tc>
        <w:tc>
          <w:tcPr>
            <w:tcW w:w="1106"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26" w:type="dxa"/>
            <w:vMerge w:val="restart"/>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餐饮业</w:t>
            </w:r>
          </w:p>
        </w:tc>
        <w:tc>
          <w:tcPr>
            <w:tcW w:w="1523"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957"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X≥300</w:t>
            </w:r>
          </w:p>
        </w:tc>
        <w:tc>
          <w:tcPr>
            <w:tcW w:w="1731" w:type="dxa"/>
            <w:vAlign w:val="center"/>
          </w:tcPr>
          <w:p>
            <w:pPr>
              <w:widowControl/>
              <w:spacing w:line="440" w:lineRule="exact"/>
              <w:ind w:left="1" w:leftChars="-51" w:hanging="108" w:hangingChars="6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100≤X＜300</w:t>
            </w:r>
          </w:p>
        </w:tc>
        <w:tc>
          <w:tcPr>
            <w:tcW w:w="14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1106"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26" w:type="dxa"/>
            <w:vMerge w:val="continue"/>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p>
        </w:tc>
        <w:tc>
          <w:tcPr>
            <w:tcW w:w="1523"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957"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Y≥10000</w:t>
            </w:r>
          </w:p>
        </w:tc>
        <w:tc>
          <w:tcPr>
            <w:tcW w:w="1731"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2000≤Y＜10000</w:t>
            </w:r>
          </w:p>
        </w:tc>
        <w:tc>
          <w:tcPr>
            <w:tcW w:w="14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100≤Y＜2000</w:t>
            </w:r>
          </w:p>
        </w:tc>
        <w:tc>
          <w:tcPr>
            <w:tcW w:w="1106"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26" w:type="dxa"/>
            <w:vMerge w:val="restart"/>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信息传输业 *</w:t>
            </w:r>
          </w:p>
        </w:tc>
        <w:tc>
          <w:tcPr>
            <w:tcW w:w="1523"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957"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X≥2000</w:t>
            </w:r>
          </w:p>
        </w:tc>
        <w:tc>
          <w:tcPr>
            <w:tcW w:w="1731"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100≤X＜2000</w:t>
            </w:r>
          </w:p>
        </w:tc>
        <w:tc>
          <w:tcPr>
            <w:tcW w:w="14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1106"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26" w:type="dxa"/>
            <w:vMerge w:val="continue"/>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p>
        </w:tc>
        <w:tc>
          <w:tcPr>
            <w:tcW w:w="1523"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957"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Y≥100000</w:t>
            </w:r>
          </w:p>
        </w:tc>
        <w:tc>
          <w:tcPr>
            <w:tcW w:w="1731"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1000≤Y＜100000</w:t>
            </w:r>
          </w:p>
        </w:tc>
        <w:tc>
          <w:tcPr>
            <w:tcW w:w="14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100≤Y＜1000</w:t>
            </w:r>
          </w:p>
        </w:tc>
        <w:tc>
          <w:tcPr>
            <w:tcW w:w="1106"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26" w:type="dxa"/>
            <w:vMerge w:val="restart"/>
            <w:vAlign w:val="center"/>
          </w:tcPr>
          <w:p>
            <w:pPr>
              <w:widowControl/>
              <w:spacing w:line="440" w:lineRule="exact"/>
              <w:jc w:val="center"/>
              <w:rPr>
                <w:rFonts w:ascii="宋体" w:hAnsi="宋体" w:cs="宋体"/>
                <w:color w:val="000000" w:themeColor="text1"/>
                <w:spacing w:val="-12"/>
                <w:kern w:val="0"/>
                <w:sz w:val="18"/>
                <w:szCs w:val="18"/>
                <w14:textFill>
                  <w14:solidFill>
                    <w14:schemeClr w14:val="tx1"/>
                  </w14:solidFill>
                </w14:textFill>
              </w:rPr>
            </w:pPr>
            <w:r>
              <w:rPr>
                <w:rFonts w:hint="eastAsia" w:ascii="宋体" w:hAnsi="宋体" w:cs="宋体"/>
                <w:color w:val="000000" w:themeColor="text1"/>
                <w:spacing w:val="-12"/>
                <w:kern w:val="0"/>
                <w:sz w:val="18"/>
                <w:szCs w:val="18"/>
                <w14:textFill>
                  <w14:solidFill>
                    <w14:schemeClr w14:val="tx1"/>
                  </w14:solidFill>
                </w14:textFill>
              </w:rPr>
              <w:t>软件和信息技术服</w:t>
            </w:r>
            <w:r>
              <w:rPr>
                <w:rFonts w:hint="eastAsia" w:ascii="宋体" w:hAnsi="宋体" w:cs="宋体"/>
                <w:color w:val="000000" w:themeColor="text1"/>
                <w:kern w:val="0"/>
                <w:sz w:val="18"/>
                <w:szCs w:val="18"/>
                <w14:textFill>
                  <w14:solidFill>
                    <w14:schemeClr w14:val="tx1"/>
                  </w14:solidFill>
                </w14:textFill>
              </w:rPr>
              <w:t>务业</w:t>
            </w:r>
          </w:p>
        </w:tc>
        <w:tc>
          <w:tcPr>
            <w:tcW w:w="1523"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957"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X≥300</w:t>
            </w:r>
          </w:p>
        </w:tc>
        <w:tc>
          <w:tcPr>
            <w:tcW w:w="1731" w:type="dxa"/>
            <w:vAlign w:val="center"/>
          </w:tcPr>
          <w:p>
            <w:pPr>
              <w:widowControl/>
              <w:spacing w:line="440" w:lineRule="exact"/>
              <w:ind w:left="1" w:leftChars="-51" w:hanging="108" w:hangingChars="6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100≤X＜300</w:t>
            </w:r>
          </w:p>
        </w:tc>
        <w:tc>
          <w:tcPr>
            <w:tcW w:w="14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1106"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26" w:type="dxa"/>
            <w:vMerge w:val="continue"/>
            <w:vAlign w:val="center"/>
          </w:tcPr>
          <w:p>
            <w:pPr>
              <w:widowControl/>
              <w:spacing w:line="440" w:lineRule="exact"/>
              <w:jc w:val="center"/>
              <w:rPr>
                <w:rFonts w:ascii="宋体" w:hAnsi="宋体" w:cs="宋体"/>
                <w:color w:val="000000" w:themeColor="text1"/>
                <w:spacing w:val="-12"/>
                <w:kern w:val="0"/>
                <w:sz w:val="18"/>
                <w:szCs w:val="18"/>
                <w14:textFill>
                  <w14:solidFill>
                    <w14:schemeClr w14:val="tx1"/>
                  </w14:solidFill>
                </w14:textFill>
              </w:rPr>
            </w:pPr>
          </w:p>
        </w:tc>
        <w:tc>
          <w:tcPr>
            <w:tcW w:w="1523"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957"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Y≥10000</w:t>
            </w:r>
          </w:p>
        </w:tc>
        <w:tc>
          <w:tcPr>
            <w:tcW w:w="1731"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1000≤Y＜10000</w:t>
            </w:r>
          </w:p>
        </w:tc>
        <w:tc>
          <w:tcPr>
            <w:tcW w:w="14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50≤Y＜1000</w:t>
            </w:r>
          </w:p>
        </w:tc>
        <w:tc>
          <w:tcPr>
            <w:tcW w:w="1106"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26" w:type="dxa"/>
            <w:vMerge w:val="restart"/>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房地产开发经营</w:t>
            </w:r>
          </w:p>
        </w:tc>
        <w:tc>
          <w:tcPr>
            <w:tcW w:w="1523"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957"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Y≥200000</w:t>
            </w:r>
          </w:p>
        </w:tc>
        <w:tc>
          <w:tcPr>
            <w:tcW w:w="1731"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1000≤Y＜200000</w:t>
            </w:r>
          </w:p>
        </w:tc>
        <w:tc>
          <w:tcPr>
            <w:tcW w:w="14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100≤Y＜1000</w:t>
            </w:r>
          </w:p>
        </w:tc>
        <w:tc>
          <w:tcPr>
            <w:tcW w:w="1106"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26" w:type="dxa"/>
            <w:vMerge w:val="continue"/>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p>
        </w:tc>
        <w:tc>
          <w:tcPr>
            <w:tcW w:w="1523"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资产总额(Z)</w:t>
            </w:r>
          </w:p>
        </w:tc>
        <w:tc>
          <w:tcPr>
            <w:tcW w:w="957"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Z≥10000</w:t>
            </w:r>
          </w:p>
        </w:tc>
        <w:tc>
          <w:tcPr>
            <w:tcW w:w="1731"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5000≤Z＜10000</w:t>
            </w:r>
          </w:p>
        </w:tc>
        <w:tc>
          <w:tcPr>
            <w:tcW w:w="14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2000≤Z＜5000</w:t>
            </w:r>
          </w:p>
        </w:tc>
        <w:tc>
          <w:tcPr>
            <w:tcW w:w="1106"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26" w:type="dxa"/>
            <w:vMerge w:val="restart"/>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物业管理</w:t>
            </w:r>
          </w:p>
        </w:tc>
        <w:tc>
          <w:tcPr>
            <w:tcW w:w="1523"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957"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X≥1000</w:t>
            </w:r>
          </w:p>
        </w:tc>
        <w:tc>
          <w:tcPr>
            <w:tcW w:w="1731"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300≤X＜1000</w:t>
            </w:r>
          </w:p>
        </w:tc>
        <w:tc>
          <w:tcPr>
            <w:tcW w:w="14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100≤X＜300</w:t>
            </w:r>
          </w:p>
        </w:tc>
        <w:tc>
          <w:tcPr>
            <w:tcW w:w="1106"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26" w:type="dxa"/>
            <w:vMerge w:val="continue"/>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p>
        </w:tc>
        <w:tc>
          <w:tcPr>
            <w:tcW w:w="1523"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957"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Y≥5000</w:t>
            </w:r>
          </w:p>
        </w:tc>
        <w:tc>
          <w:tcPr>
            <w:tcW w:w="1731" w:type="dxa"/>
            <w:vAlign w:val="center"/>
          </w:tcPr>
          <w:p>
            <w:pPr>
              <w:widowControl/>
              <w:spacing w:line="440" w:lineRule="exact"/>
              <w:ind w:left="1" w:leftChars="-51" w:hanging="108" w:hangingChars="6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1000≤Y＜5000</w:t>
            </w:r>
          </w:p>
        </w:tc>
        <w:tc>
          <w:tcPr>
            <w:tcW w:w="14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500≤Y＜1000</w:t>
            </w:r>
          </w:p>
        </w:tc>
        <w:tc>
          <w:tcPr>
            <w:tcW w:w="1106"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26" w:type="dxa"/>
            <w:vMerge w:val="restart"/>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租赁和商务服务业</w:t>
            </w:r>
          </w:p>
        </w:tc>
        <w:tc>
          <w:tcPr>
            <w:tcW w:w="1523"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957"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X≥300</w:t>
            </w:r>
          </w:p>
        </w:tc>
        <w:tc>
          <w:tcPr>
            <w:tcW w:w="1731" w:type="dxa"/>
            <w:vAlign w:val="center"/>
          </w:tcPr>
          <w:p>
            <w:pPr>
              <w:widowControl/>
              <w:spacing w:line="440" w:lineRule="exact"/>
              <w:ind w:left="1" w:leftChars="-51" w:hanging="108" w:hangingChars="6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100≤X＜300</w:t>
            </w:r>
          </w:p>
        </w:tc>
        <w:tc>
          <w:tcPr>
            <w:tcW w:w="14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1106"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26" w:type="dxa"/>
            <w:vMerge w:val="continue"/>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p>
        </w:tc>
        <w:tc>
          <w:tcPr>
            <w:tcW w:w="1523"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资产总额(Z)</w:t>
            </w:r>
          </w:p>
        </w:tc>
        <w:tc>
          <w:tcPr>
            <w:tcW w:w="957"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Z≥120000</w:t>
            </w:r>
          </w:p>
        </w:tc>
        <w:tc>
          <w:tcPr>
            <w:tcW w:w="1731"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8000≤Z＜120000</w:t>
            </w:r>
          </w:p>
        </w:tc>
        <w:tc>
          <w:tcPr>
            <w:tcW w:w="14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100≤Z＜8000</w:t>
            </w:r>
          </w:p>
        </w:tc>
        <w:tc>
          <w:tcPr>
            <w:tcW w:w="1106"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26"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其他未列明行业 *</w:t>
            </w:r>
          </w:p>
        </w:tc>
        <w:tc>
          <w:tcPr>
            <w:tcW w:w="1523"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957"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X≥300</w:t>
            </w:r>
          </w:p>
        </w:tc>
        <w:tc>
          <w:tcPr>
            <w:tcW w:w="1731" w:type="dxa"/>
            <w:vAlign w:val="center"/>
          </w:tcPr>
          <w:p>
            <w:pPr>
              <w:widowControl/>
              <w:spacing w:line="440" w:lineRule="exact"/>
              <w:ind w:left="1" w:leftChars="-51" w:hanging="108" w:hangingChars="6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100≤X＜300</w:t>
            </w:r>
          </w:p>
        </w:tc>
        <w:tc>
          <w:tcPr>
            <w:tcW w:w="1454"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1106" w:type="dxa"/>
            <w:vAlign w:val="center"/>
          </w:tcPr>
          <w:p>
            <w:pPr>
              <w:widowControl/>
              <w:spacing w:line="4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bl>
    <w:p>
      <w:pPr>
        <w:pStyle w:val="52"/>
        <w:spacing w:line="440" w:lineRule="exact"/>
        <w:rPr>
          <w:rFonts w:hint="eastAsia" w:ascii="宋体" w:hAnsi="宋体" w:eastAsia="宋体" w:cs="宋体"/>
          <w:color w:val="000000" w:themeColor="text1"/>
          <w14:textFill>
            <w14:solidFill>
              <w14:schemeClr w14:val="tx1"/>
            </w14:solidFill>
          </w14:textFill>
        </w:rPr>
      </w:pPr>
    </w:p>
    <w:p>
      <w:pPr>
        <w:widowControl/>
        <w:spacing w:line="440" w:lineRule="exact"/>
        <w:rPr>
          <w:rFonts w:ascii="仿宋_GB2312" w:hAnsi="宋体" w:eastAsia="仿宋_GB2312" w:cs="宋体"/>
          <w:b/>
          <w:bCs/>
          <w:color w:val="000000" w:themeColor="text1"/>
          <w:spacing w:val="8"/>
          <w:kern w:val="0"/>
          <w:sz w:val="32"/>
          <w:szCs w:val="32"/>
          <w14:textFill>
            <w14:solidFill>
              <w14:schemeClr w14:val="tx1"/>
            </w14:solidFill>
          </w14:textFill>
        </w:rPr>
      </w:pPr>
      <w:r>
        <w:rPr>
          <w:rFonts w:hint="eastAsia" w:ascii="仿宋_GB2312" w:eastAsia="仿宋_GB2312" w:cs="宋体"/>
          <w:b/>
          <w:bCs/>
          <w:color w:val="000000" w:themeColor="text1"/>
          <w:spacing w:val="8"/>
          <w:kern w:val="0"/>
          <w:sz w:val="32"/>
          <w:szCs w:val="32"/>
          <w14:textFill>
            <w14:solidFill>
              <w14:schemeClr w14:val="tx1"/>
            </w14:solidFill>
          </w14:textFill>
        </w:rPr>
        <w:t>说明：</w:t>
      </w:r>
    </w:p>
    <w:p>
      <w:pPr>
        <w:spacing w:line="440" w:lineRule="exact"/>
        <w:rPr>
          <w:rFonts w:ascii="仿宋_GB2312" w:hAnsi="宋体" w:eastAsia="仿宋_GB2312" w:cs="宋体"/>
          <w:color w:val="000000" w:themeColor="text1"/>
          <w:spacing w:val="8"/>
          <w:kern w:val="0"/>
          <w:sz w:val="32"/>
          <w:szCs w:val="32"/>
          <w14:textFill>
            <w14:solidFill>
              <w14:schemeClr w14:val="tx1"/>
            </w14:solidFill>
          </w14:textFill>
        </w:rPr>
      </w:pPr>
      <w:r>
        <w:rPr>
          <w:rFonts w:hint="eastAsia" w:ascii="仿宋_GB2312" w:eastAsia="仿宋_GB2312" w:cs="宋体"/>
          <w:color w:val="000000" w:themeColor="text1"/>
          <w:spacing w:val="8"/>
          <w:kern w:val="0"/>
          <w:sz w:val="32"/>
          <w:szCs w:val="32"/>
          <w14:textFill>
            <w14:solidFill>
              <w14:schemeClr w14:val="tx1"/>
            </w14:solidFill>
          </w14:textFill>
        </w:rPr>
        <w:t>　　</w:t>
      </w:r>
      <w:r>
        <w:rPr>
          <w:rFonts w:hint="eastAsia" w:ascii="仿宋_GB2312" w:eastAsia="仿宋_GB2312"/>
          <w:color w:val="000000" w:themeColor="text1"/>
          <w:spacing w:val="8"/>
          <w:kern w:val="0"/>
          <w:sz w:val="32"/>
          <w:szCs w:val="32"/>
          <w14:textFill>
            <w14:solidFill>
              <w14:schemeClr w14:val="tx1"/>
            </w14:solidFill>
          </w14:textFill>
        </w:rPr>
        <w:t>1.</w:t>
      </w:r>
      <w:r>
        <w:rPr>
          <w:rFonts w:hint="eastAsia" w:ascii="仿宋_GB2312" w:eastAsia="仿宋_GB2312" w:cs="宋体"/>
          <w:color w:val="000000" w:themeColor="text1"/>
          <w:spacing w:val="8"/>
          <w:kern w:val="0"/>
          <w:sz w:val="32"/>
          <w:szCs w:val="32"/>
          <w14:textFill>
            <w14:solidFill>
              <w14:schemeClr w14:val="tx1"/>
            </w14:solidFill>
          </w14:textFill>
        </w:rPr>
        <w:t>大型、中型和小型企业须同时满足所列指标的下限，否则下划一档；微型企业只须满足所列指标中的一项即可。</w:t>
      </w:r>
    </w:p>
    <w:p>
      <w:pPr>
        <w:spacing w:line="440" w:lineRule="exact"/>
        <w:rPr>
          <w:rFonts w:ascii="仿宋_GB2312" w:hAnsi="宋体" w:eastAsia="仿宋_GB2312" w:cs="宋体"/>
          <w:color w:val="000000" w:themeColor="text1"/>
          <w:spacing w:val="8"/>
          <w:kern w:val="0"/>
          <w:sz w:val="32"/>
          <w:szCs w:val="32"/>
          <w14:textFill>
            <w14:solidFill>
              <w14:schemeClr w14:val="tx1"/>
            </w14:solidFill>
          </w14:textFill>
        </w:rPr>
      </w:pPr>
      <w:r>
        <w:rPr>
          <w:rFonts w:hint="eastAsia" w:ascii="仿宋_GB2312" w:eastAsia="仿宋_GB2312" w:cs="宋体"/>
          <w:color w:val="000000" w:themeColor="text1"/>
          <w:spacing w:val="8"/>
          <w:kern w:val="0"/>
          <w:sz w:val="32"/>
          <w:szCs w:val="32"/>
          <w14:textFill>
            <w14:solidFill>
              <w14:schemeClr w14:val="tx1"/>
            </w14:solidFill>
          </w14:textFill>
        </w:rPr>
        <w:t>　　</w:t>
      </w:r>
      <w:r>
        <w:rPr>
          <w:rFonts w:hint="eastAsia" w:ascii="仿宋_GB2312" w:eastAsia="仿宋_GB2312"/>
          <w:b/>
          <w:bCs/>
          <w:color w:val="000000" w:themeColor="text1"/>
          <w:spacing w:val="8"/>
          <w:kern w:val="0"/>
          <w:sz w:val="32"/>
          <w:szCs w:val="32"/>
          <w14:textFill>
            <w14:solidFill>
              <w14:schemeClr w14:val="tx1"/>
            </w14:solidFill>
          </w14:textFill>
        </w:rPr>
        <w:t>2.</w:t>
      </w:r>
      <w:r>
        <w:rPr>
          <w:rFonts w:hint="eastAsia" w:ascii="仿宋_GB2312" w:eastAsia="仿宋_GB2312" w:cs="宋体"/>
          <w:b/>
          <w:bCs/>
          <w:color w:val="000000" w:themeColor="text1"/>
          <w:spacing w:val="8"/>
          <w:kern w:val="0"/>
          <w:sz w:val="32"/>
          <w:szCs w:val="32"/>
          <w14:textFill>
            <w14:solidFill>
              <w14:schemeClr w14:val="tx1"/>
            </w14:solidFill>
          </w14:textFill>
        </w:rPr>
        <w:t>附表中各行业的范围以《国民经济行业分类》（</w:t>
      </w:r>
      <w:r>
        <w:rPr>
          <w:rFonts w:hint="eastAsia" w:ascii="仿宋_GB2312" w:eastAsia="仿宋_GB2312"/>
          <w:b/>
          <w:bCs/>
          <w:color w:val="000000" w:themeColor="text1"/>
          <w:spacing w:val="8"/>
          <w:kern w:val="0"/>
          <w:sz w:val="32"/>
          <w:szCs w:val="32"/>
          <w14:textFill>
            <w14:solidFill>
              <w14:schemeClr w14:val="tx1"/>
            </w14:solidFill>
          </w14:textFill>
        </w:rPr>
        <w:t>GB/T4754-2017</w:t>
      </w:r>
      <w:r>
        <w:rPr>
          <w:rFonts w:hint="eastAsia" w:ascii="仿宋_GB2312" w:eastAsia="仿宋_GB2312" w:cs="宋体"/>
          <w:b/>
          <w:bCs/>
          <w:color w:val="000000" w:themeColor="text1"/>
          <w:spacing w:val="8"/>
          <w:kern w:val="0"/>
          <w:sz w:val="32"/>
          <w:szCs w:val="32"/>
          <w14:textFill>
            <w14:solidFill>
              <w14:schemeClr w14:val="tx1"/>
            </w14:solidFill>
          </w14:textFill>
        </w:rPr>
        <w:t>）为准。</w:t>
      </w:r>
      <w:r>
        <w:rPr>
          <w:rFonts w:hint="eastAsia" w:ascii="仿宋_GB2312" w:eastAsia="仿宋_GB2312" w:cs="宋体"/>
          <w:color w:val="000000" w:themeColor="text1"/>
          <w:spacing w:val="8"/>
          <w:kern w:val="0"/>
          <w:sz w:val="32"/>
          <w:szCs w:val="32"/>
          <w14:textFill>
            <w14:solidFill>
              <w14:schemeClr w14:val="tx1"/>
            </w14:solidFill>
          </w14:textFill>
        </w:rPr>
        <w:t>带</w:t>
      </w:r>
      <w:r>
        <w:rPr>
          <w:rFonts w:hint="eastAsia" w:ascii="仿宋_GB2312" w:eastAsia="仿宋_GB2312"/>
          <w:color w:val="000000" w:themeColor="text1"/>
          <w:spacing w:val="8"/>
          <w:kern w:val="0"/>
          <w:sz w:val="32"/>
          <w:szCs w:val="32"/>
          <w14:textFill>
            <w14:solidFill>
              <w14:schemeClr w14:val="tx1"/>
            </w14:solidFill>
          </w14:textFill>
        </w:rPr>
        <w:t>*</w:t>
      </w:r>
      <w:r>
        <w:rPr>
          <w:rFonts w:hint="eastAsia" w:ascii="仿宋_GB2312" w:eastAsia="仿宋_GB2312" w:cs="宋体"/>
          <w:color w:val="000000" w:themeColor="text1"/>
          <w:spacing w:val="8"/>
          <w:kern w:val="0"/>
          <w:sz w:val="32"/>
          <w:szCs w:val="32"/>
          <w14:textFill>
            <w14:solidFill>
              <w14:schemeClr w14:val="tx1"/>
            </w14:solidFill>
          </w14:textFill>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440" w:lineRule="exact"/>
        <w:rPr>
          <w:rFonts w:hint="eastAsia" w:ascii="宋体" w:hAnsi="宋体" w:cs="宋体"/>
          <w:b/>
          <w:bCs/>
          <w:color w:val="000000" w:themeColor="text1"/>
          <w:sz w:val="32"/>
          <w:szCs w:val="32"/>
          <w14:textFill>
            <w14:solidFill>
              <w14:schemeClr w14:val="tx1"/>
            </w14:solidFill>
          </w14:textFill>
        </w:rPr>
      </w:pPr>
      <w:r>
        <w:rPr>
          <w:rFonts w:hint="eastAsia" w:ascii="仿宋_GB2312" w:eastAsia="仿宋_GB2312" w:cs="宋体"/>
          <w:color w:val="000000" w:themeColor="text1"/>
          <w:spacing w:val="8"/>
          <w:kern w:val="0"/>
          <w:sz w:val="32"/>
          <w:szCs w:val="32"/>
          <w14:textFill>
            <w14:solidFill>
              <w14:schemeClr w14:val="tx1"/>
            </w14:solidFill>
          </w14:textFill>
        </w:rPr>
        <w:t>　　</w:t>
      </w:r>
      <w:r>
        <w:rPr>
          <w:rFonts w:hint="eastAsia" w:ascii="仿宋_GB2312" w:eastAsia="仿宋_GB2312"/>
          <w:color w:val="000000" w:themeColor="text1"/>
          <w:spacing w:val="8"/>
          <w:kern w:val="0"/>
          <w:sz w:val="32"/>
          <w:szCs w:val="32"/>
          <w14:textFill>
            <w14:solidFill>
              <w14:schemeClr w14:val="tx1"/>
            </w14:solidFill>
          </w14:textFill>
        </w:rPr>
        <w:t>3.</w:t>
      </w:r>
      <w:r>
        <w:rPr>
          <w:rFonts w:hint="eastAsia" w:ascii="仿宋_GB2312" w:eastAsia="仿宋_GB2312" w:cs="宋体"/>
          <w:color w:val="000000" w:themeColor="text1"/>
          <w:spacing w:val="8"/>
          <w:kern w:val="0"/>
          <w:sz w:val="32"/>
          <w:szCs w:val="32"/>
          <w14:textFill>
            <w14:solidFill>
              <w14:schemeClr w14:val="tx1"/>
            </w14:solidFill>
          </w14:textFill>
        </w:rPr>
        <w:t>企业划分指标以现行统计制度为准。（</w:t>
      </w:r>
      <w:r>
        <w:rPr>
          <w:rFonts w:hint="eastAsia" w:ascii="仿宋_GB2312" w:eastAsia="仿宋_GB2312"/>
          <w:color w:val="000000" w:themeColor="text1"/>
          <w:spacing w:val="8"/>
          <w:kern w:val="0"/>
          <w:sz w:val="32"/>
          <w:szCs w:val="32"/>
          <w14:textFill>
            <w14:solidFill>
              <w14:schemeClr w14:val="tx1"/>
            </w14:solidFill>
          </w14:textFill>
        </w:rPr>
        <w:t>1</w:t>
      </w:r>
      <w:r>
        <w:rPr>
          <w:rFonts w:hint="eastAsia" w:ascii="仿宋_GB2312" w:eastAsia="仿宋_GB2312" w:cs="宋体"/>
          <w:color w:val="000000" w:themeColor="text1"/>
          <w:spacing w:val="8"/>
          <w:kern w:val="0"/>
          <w:sz w:val="32"/>
          <w:szCs w:val="32"/>
          <w14:textFill>
            <w14:solidFill>
              <w14:schemeClr w14:val="tx1"/>
            </w14:solidFill>
          </w14:textFill>
        </w:rPr>
        <w:t>）从业人员，是指期末从业人员数，没有期末从业人员数的，采用全年平均人员数代替。（</w:t>
      </w:r>
      <w:r>
        <w:rPr>
          <w:rFonts w:hint="eastAsia" w:ascii="仿宋_GB2312" w:eastAsia="仿宋_GB2312"/>
          <w:color w:val="000000" w:themeColor="text1"/>
          <w:spacing w:val="8"/>
          <w:kern w:val="0"/>
          <w:sz w:val="32"/>
          <w:szCs w:val="32"/>
          <w14:textFill>
            <w14:solidFill>
              <w14:schemeClr w14:val="tx1"/>
            </w14:solidFill>
          </w14:textFill>
        </w:rPr>
        <w:t>2</w:t>
      </w:r>
      <w:r>
        <w:rPr>
          <w:rFonts w:hint="eastAsia" w:ascii="仿宋_GB2312" w:eastAsia="仿宋_GB2312" w:cs="宋体"/>
          <w:color w:val="000000" w:themeColor="text1"/>
          <w:spacing w:val="8"/>
          <w:kern w:val="0"/>
          <w:sz w:val="32"/>
          <w:szCs w:val="32"/>
          <w14:textFill>
            <w14:solidFill>
              <w14:schemeClr w14:val="tx1"/>
            </w14:solidFill>
          </w14:textFill>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仿宋_GB2312" w:eastAsia="仿宋_GB2312"/>
          <w:color w:val="000000" w:themeColor="text1"/>
          <w:spacing w:val="8"/>
          <w:kern w:val="0"/>
          <w:sz w:val="32"/>
          <w:szCs w:val="32"/>
          <w14:textFill>
            <w14:solidFill>
              <w14:schemeClr w14:val="tx1"/>
            </w14:solidFill>
          </w14:textFill>
        </w:rPr>
        <w:t>3</w:t>
      </w:r>
      <w:r>
        <w:rPr>
          <w:rFonts w:hint="eastAsia" w:ascii="仿宋_GB2312" w:eastAsia="仿宋_GB2312" w:cs="宋体"/>
          <w:color w:val="000000" w:themeColor="text1"/>
          <w:spacing w:val="8"/>
          <w:kern w:val="0"/>
          <w:sz w:val="32"/>
          <w:szCs w:val="32"/>
          <w14:textFill>
            <w14:solidFill>
              <w14:schemeClr w14:val="tx1"/>
            </w14:solidFill>
          </w14:textFill>
        </w:rPr>
        <w:t>）资产总额，采用资产总计代替。</w:t>
      </w:r>
    </w:p>
    <w:p>
      <w:pPr>
        <w:spacing w:line="440" w:lineRule="exact"/>
        <w:rPr>
          <w:rFonts w:hint="eastAsia" w:ascii="宋体" w:hAnsi="宋体" w:cs="宋体"/>
          <w:b/>
          <w:bCs/>
          <w:color w:val="000000" w:themeColor="text1"/>
          <w:sz w:val="32"/>
          <w:szCs w:val="32"/>
          <w14:textFill>
            <w14:solidFill>
              <w14:schemeClr w14:val="tx1"/>
            </w14:solidFill>
          </w14:textFill>
        </w:rPr>
        <w:sectPr>
          <w:pgSz w:w="11906" w:h="16838"/>
          <w:pgMar w:top="1440" w:right="1083" w:bottom="1440" w:left="1083" w:header="851" w:footer="992" w:gutter="0"/>
          <w:cols w:space="0" w:num="1"/>
          <w:rtlGutter w:val="0"/>
          <w:docGrid w:type="lines" w:linePitch="317" w:charSpace="0"/>
        </w:sectPr>
      </w:pPr>
    </w:p>
    <w:p>
      <w:pPr>
        <w:spacing w:line="440" w:lineRule="exact"/>
        <w:rPr>
          <w:rFonts w:hint="eastAsia" w:ascii="宋体" w:hAnsi="宋体" w:cs="宋体"/>
          <w:b/>
          <w:bCs/>
          <w:color w:val="000000" w:themeColor="text1"/>
          <w:sz w:val="32"/>
          <w:szCs w:val="32"/>
          <w14:textFill>
            <w14:solidFill>
              <w14:schemeClr w14:val="tx1"/>
            </w14:solidFill>
          </w14:textFill>
        </w:rPr>
      </w:pPr>
      <w:r>
        <w:rPr>
          <w:rFonts w:hint="eastAsia" w:hAnsi="宋体" w:cs="宋体"/>
          <w:b/>
          <w:color w:val="000000" w:themeColor="text1"/>
          <w:kern w:val="0"/>
          <w:sz w:val="32"/>
          <w:szCs w:val="32"/>
          <w14:textFill>
            <w14:solidFill>
              <w14:schemeClr w14:val="tx1"/>
            </w14:solidFill>
          </w14:textFill>
        </w:rPr>
        <w:t>②如属于监狱企业的，应当提供由省级以上监狱管理局、戒毒管理局(含新疆生产建设兵团)出具的属于监狱企业的证明文件复印件；</w:t>
      </w:r>
    </w:p>
    <w:p>
      <w:pPr>
        <w:pStyle w:val="52"/>
        <w:spacing w:line="440" w:lineRule="exact"/>
        <w:rPr>
          <w:rFonts w:hint="eastAsia" w:ascii="宋体" w:hAnsi="宋体" w:eastAsia="宋体" w:cs="宋体"/>
          <w:color w:val="000000" w:themeColor="text1"/>
          <w14:textFill>
            <w14:solidFill>
              <w14:schemeClr w14:val="tx1"/>
            </w14:solidFill>
          </w14:textFill>
        </w:rPr>
      </w:pPr>
    </w:p>
    <w:p>
      <w:pPr>
        <w:pStyle w:val="52"/>
        <w:spacing w:line="440" w:lineRule="exact"/>
        <w:rPr>
          <w:rFonts w:hint="eastAsia" w:ascii="宋体" w:hAnsi="宋体" w:eastAsia="宋体" w:cs="宋体"/>
          <w:color w:val="000000" w:themeColor="text1"/>
          <w14:textFill>
            <w14:solidFill>
              <w14:schemeClr w14:val="tx1"/>
            </w14:solidFill>
          </w14:textFill>
        </w:rPr>
      </w:pPr>
    </w:p>
    <w:p>
      <w:pPr>
        <w:spacing w:line="440" w:lineRule="exact"/>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③如符合条件的残疾人福利性单位在参加政府采购活动时，应当提供《残疾人福利性单位声明函》（格式见附件），并对声明的真实性负责。</w:t>
      </w:r>
    </w:p>
    <w:p>
      <w:pPr>
        <w:pStyle w:val="2"/>
        <w:spacing w:line="440" w:lineRule="exact"/>
        <w:rPr>
          <w:rFonts w:hint="eastAsia" w:ascii="宋体" w:hAnsi="宋体" w:cs="宋体"/>
          <w:color w:val="000000" w:themeColor="text1"/>
          <w14:textFill>
            <w14:solidFill>
              <w14:schemeClr w14:val="tx1"/>
            </w14:solidFill>
          </w14:textFill>
        </w:rPr>
      </w:pPr>
    </w:p>
    <w:p>
      <w:pPr>
        <w:spacing w:line="440" w:lineRule="exact"/>
        <w:jc w:val="center"/>
        <w:rPr>
          <w:rFonts w:hint="eastAsia" w:ascii="宋体" w:hAnsi="宋体" w:cs="宋体"/>
          <w:b/>
          <w:color w:val="000000" w:themeColor="text1"/>
          <w:spacing w:val="6"/>
          <w:sz w:val="30"/>
          <w:szCs w:val="30"/>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残疾人福利性单位声明函</w:t>
      </w:r>
    </w:p>
    <w:p>
      <w:pPr>
        <w:spacing w:line="440" w:lineRule="exact"/>
        <w:ind w:firstLine="624" w:firstLineChars="200"/>
        <w:rPr>
          <w:rFonts w:hint="eastAsia" w:ascii="宋体" w:hAnsi="宋体" w:cs="宋体"/>
          <w:color w:val="000000" w:themeColor="text1"/>
          <w:spacing w:val="6"/>
          <w:sz w:val="30"/>
          <w:szCs w:val="30"/>
          <w14:textFill>
            <w14:solidFill>
              <w14:schemeClr w14:val="tx1"/>
            </w14:solidFill>
          </w14:textFill>
        </w:rPr>
      </w:pPr>
      <w:r>
        <w:rPr>
          <w:rFonts w:hint="eastAsia" w:ascii="宋体" w:hAnsi="宋体" w:cs="宋体"/>
          <w:color w:val="000000" w:themeColor="text1"/>
          <w:spacing w:val="6"/>
          <w:sz w:val="30"/>
          <w:szCs w:val="30"/>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40" w:lineRule="exact"/>
        <w:ind w:firstLine="624" w:firstLineChars="200"/>
        <w:rPr>
          <w:rFonts w:hint="eastAsia" w:ascii="宋体" w:hAnsi="宋体" w:cs="宋体"/>
          <w:color w:val="000000" w:themeColor="text1"/>
          <w:spacing w:val="6"/>
          <w:sz w:val="30"/>
          <w:szCs w:val="30"/>
          <w14:textFill>
            <w14:solidFill>
              <w14:schemeClr w14:val="tx1"/>
            </w14:solidFill>
          </w14:textFill>
        </w:rPr>
      </w:pPr>
      <w:r>
        <w:rPr>
          <w:rFonts w:hint="eastAsia" w:ascii="宋体" w:hAnsi="宋体" w:cs="宋体"/>
          <w:color w:val="000000" w:themeColor="text1"/>
          <w:spacing w:val="6"/>
          <w:sz w:val="30"/>
          <w:szCs w:val="30"/>
          <w14:textFill>
            <w14:solidFill>
              <w14:schemeClr w14:val="tx1"/>
            </w14:solidFill>
          </w14:textFill>
        </w:rPr>
        <w:t>本单位对上述声明的真实性负责。如有虚假，将依法承担相应责任。</w:t>
      </w:r>
    </w:p>
    <w:p>
      <w:pPr>
        <w:spacing w:line="440" w:lineRule="exact"/>
        <w:rPr>
          <w:rFonts w:hint="eastAsia" w:ascii="宋体" w:hAnsi="宋体" w:cs="宋体"/>
          <w:color w:val="000000" w:themeColor="text1"/>
          <w:spacing w:val="6"/>
          <w:sz w:val="30"/>
          <w:szCs w:val="30"/>
          <w14:textFill>
            <w14:solidFill>
              <w14:schemeClr w14:val="tx1"/>
            </w14:solidFill>
          </w14:textFill>
        </w:rPr>
      </w:pPr>
    </w:p>
    <w:p>
      <w:pPr>
        <w:spacing w:line="440" w:lineRule="exact"/>
        <w:ind w:firstLine="624" w:firstLineChars="200"/>
        <w:rPr>
          <w:rFonts w:hint="eastAsia" w:ascii="宋体" w:hAnsi="宋体" w:cs="宋体"/>
          <w:color w:val="000000" w:themeColor="text1"/>
          <w:spacing w:val="6"/>
          <w:sz w:val="30"/>
          <w:szCs w:val="30"/>
          <w14:textFill>
            <w14:solidFill>
              <w14:schemeClr w14:val="tx1"/>
            </w14:solidFill>
          </w14:textFill>
        </w:rPr>
      </w:pPr>
      <w:r>
        <w:rPr>
          <w:rFonts w:hint="eastAsia" w:ascii="宋体" w:hAnsi="宋体" w:cs="宋体"/>
          <w:color w:val="000000" w:themeColor="text1"/>
          <w:spacing w:val="6"/>
          <w:sz w:val="30"/>
          <w:szCs w:val="30"/>
          <w14:textFill>
            <w14:solidFill>
              <w14:schemeClr w14:val="tx1"/>
            </w14:solidFill>
          </w14:textFill>
        </w:rPr>
        <w:t xml:space="preserve"> </w:t>
      </w:r>
    </w:p>
    <w:p>
      <w:pPr>
        <w:tabs>
          <w:tab w:val="left" w:pos="4860"/>
        </w:tabs>
        <w:spacing w:line="440" w:lineRule="exact"/>
        <w:ind w:right="1560" w:firstLine="624" w:firstLineChars="200"/>
        <w:jc w:val="center"/>
        <w:rPr>
          <w:rFonts w:hint="eastAsia" w:ascii="宋体" w:hAnsi="宋体" w:cs="宋体"/>
          <w:color w:val="000000" w:themeColor="text1"/>
          <w:spacing w:val="6"/>
          <w:sz w:val="30"/>
          <w:szCs w:val="30"/>
          <w14:textFill>
            <w14:solidFill>
              <w14:schemeClr w14:val="tx1"/>
            </w14:solidFill>
          </w14:textFill>
        </w:rPr>
      </w:pPr>
      <w:r>
        <w:rPr>
          <w:rFonts w:hint="eastAsia" w:ascii="宋体" w:hAnsi="宋体" w:cs="宋体"/>
          <w:color w:val="000000" w:themeColor="text1"/>
          <w:spacing w:val="6"/>
          <w:sz w:val="30"/>
          <w:szCs w:val="30"/>
          <w14:textFill>
            <w14:solidFill>
              <w14:schemeClr w14:val="tx1"/>
            </w14:solidFill>
          </w14:textFill>
        </w:rPr>
        <w:t xml:space="preserve">       单位名称[盖公章(CA签章)]：</w:t>
      </w:r>
    </w:p>
    <w:p>
      <w:pPr>
        <w:tabs>
          <w:tab w:val="left" w:pos="4860"/>
        </w:tabs>
        <w:spacing w:line="440" w:lineRule="exact"/>
        <w:ind w:right="1560" w:firstLine="624" w:firstLineChars="200"/>
        <w:jc w:val="center"/>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spacing w:val="6"/>
          <w:sz w:val="30"/>
          <w:szCs w:val="30"/>
          <w14:textFill>
            <w14:solidFill>
              <w14:schemeClr w14:val="tx1"/>
            </w14:solidFill>
          </w14:textFill>
        </w:rPr>
        <w:t xml:space="preserve">                         日  期：  </w:t>
      </w:r>
      <w:r>
        <w:rPr>
          <w:rFonts w:hint="eastAsia" w:ascii="宋体" w:hAnsi="宋体" w:cs="宋体"/>
          <w:color w:val="000000" w:themeColor="text1"/>
          <w:kern w:val="0"/>
          <w:sz w:val="28"/>
          <w:szCs w:val="28"/>
          <w14:textFill>
            <w14:solidFill>
              <w14:schemeClr w14:val="tx1"/>
            </w14:solidFill>
          </w14:textFill>
        </w:rPr>
        <w:t>年   月   日</w:t>
      </w:r>
    </w:p>
    <w:p>
      <w:pPr>
        <w:pStyle w:val="2"/>
        <w:rPr>
          <w:rFonts w:hint="eastAsia"/>
          <w:color w:val="000000" w:themeColor="text1"/>
          <w14:textFill>
            <w14:solidFill>
              <w14:schemeClr w14:val="tx1"/>
            </w14:solidFill>
          </w14:textFill>
        </w:rPr>
      </w:pPr>
    </w:p>
    <w:p>
      <w:pPr>
        <w:spacing w:line="440" w:lineRule="exact"/>
        <w:rPr>
          <w:rFonts w:hint="eastAsia" w:ascii="宋体" w:hAnsi="宋体" w:cs="宋体"/>
          <w:b/>
          <w:bCs/>
          <w:color w:val="000000" w:themeColor="text1"/>
          <w:sz w:val="32"/>
          <w:szCs w:val="32"/>
          <w14:textFill>
            <w14:solidFill>
              <w14:schemeClr w14:val="tx1"/>
            </w14:solidFill>
          </w14:textFill>
        </w:rPr>
      </w:pPr>
    </w:p>
    <w:p>
      <w:pPr>
        <w:pStyle w:val="52"/>
        <w:spacing w:line="44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10</w:t>
      </w:r>
      <w:r>
        <w:rPr>
          <w:rFonts w:hint="eastAsia" w:ascii="宋体" w:hAnsi="宋体" w:eastAsia="宋体" w:cs="宋体"/>
          <w:b/>
          <w:bCs/>
          <w:color w:val="000000" w:themeColor="text1"/>
          <w:sz w:val="32"/>
          <w:szCs w:val="32"/>
          <w14:textFill>
            <w14:solidFill>
              <w14:schemeClr w14:val="tx1"/>
            </w14:solidFill>
          </w14:textFill>
        </w:rPr>
        <w:t>.投标人可结合本项目的评标办法视自身情况自行提交相关证明材料（如有，请提供）</w:t>
      </w:r>
    </w:p>
    <w:sectPr>
      <w:pgSz w:w="11906" w:h="16838"/>
      <w:pgMar w:top="1440" w:right="1083" w:bottom="1440" w:left="1083"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monospace">
    <w:altName w:val="微软雅黑"/>
    <w:panose1 w:val="00000000000000000000"/>
    <w:charset w:val="00"/>
    <w:family w:val="auto"/>
    <w:pitch w:val="default"/>
    <w:sig w:usb0="00000000" w:usb1="00000000" w:usb2="00000000" w:usb3="00000000" w:csb0="00040001" w:csb1="00000000"/>
  </w:font>
  <w:font w:name="Ђ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Sim Sun">
    <w:altName w:val="宋体"/>
    <w:panose1 w:val="00000000000000000000"/>
    <w:charset w:val="86"/>
    <w:family w:val="auto"/>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小标宋">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24"/>
                          </w:pPr>
                          <w:r>
                            <w:fldChar w:fldCharType="begin"/>
                          </w:r>
                          <w:r>
                            <w:instrText xml:space="preserve"> PAGE  \* MERGEFORMAT </w:instrText>
                          </w:r>
                          <w:r>
                            <w:fldChar w:fldCharType="separate"/>
                          </w:r>
                          <w:r>
                            <w:t>21</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OStCkskBAACdAwAADgAAAAAAAAABACAAAAAfAQAAZHJzL2Uyb0Rv&#10;Yy54bWxQSwUGAAAAAAYABgBZAQAAWgU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21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t xml:space="preserve">第 </w:t>
                          </w:r>
                          <w:r>
                            <w:fldChar w:fldCharType="begin"/>
                          </w:r>
                          <w:r>
                            <w:instrText xml:space="preserve"> PAGE  \* MERGEFORMAT </w:instrText>
                          </w:r>
                          <w:r>
                            <w:fldChar w:fldCharType="separate"/>
                          </w:r>
                          <w:r>
                            <w:t>- 3 -</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&#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sD1lTIAQAAmQMAAA4AAAAAAAAAAQAgAAAAHgEAAGRycy9lMm9Eb2Mu&#10;eG1sUEsFBgAAAAAGAAYAWQEAAFgFAAAAAA==&#10;">
              <v:fill on="f" focussize="0,0"/>
              <v:stroke on="f"/>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- 3 -</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EBBE8"/>
    <w:multiLevelType w:val="singleLevel"/>
    <w:tmpl w:val="AE8EBBE8"/>
    <w:lvl w:ilvl="0" w:tentative="0">
      <w:start w:val="15"/>
      <w:numFmt w:val="decimal"/>
      <w:suff w:val="space"/>
      <w:lvlText w:val="%1."/>
      <w:lvlJc w:val="left"/>
    </w:lvl>
  </w:abstractNum>
  <w:abstractNum w:abstractNumId="1">
    <w:nsid w:val="00000003"/>
    <w:multiLevelType w:val="singleLevel"/>
    <w:tmpl w:val="00000003"/>
    <w:lvl w:ilvl="0" w:tentative="0">
      <w:start w:val="3"/>
      <w:numFmt w:val="chineseCounting"/>
      <w:suff w:val="space"/>
      <w:lvlText w:val="第%1条"/>
      <w:lvlJc w:val="left"/>
      <w:rPr>
        <w:rFonts w:hint="eastAsia"/>
      </w:rPr>
    </w:lvl>
  </w:abstractNum>
  <w:abstractNum w:abstractNumId="2">
    <w:nsid w:val="00000005"/>
    <w:multiLevelType w:val="multilevel"/>
    <w:tmpl w:val="00000005"/>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8"/>
    <w:multiLevelType w:val="multilevel"/>
    <w:tmpl w:val="00000008"/>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14C96AE9"/>
    <w:multiLevelType w:val="singleLevel"/>
    <w:tmpl w:val="14C96AE9"/>
    <w:lvl w:ilvl="0" w:tentative="0">
      <w:start w:val="1"/>
      <w:numFmt w:val="decimal"/>
      <w:suff w:val="nothing"/>
      <w:lvlText w:val="%1、"/>
      <w:lvlJc w:val="left"/>
    </w:lvl>
  </w:abstractNum>
  <w:abstractNum w:abstractNumId="5">
    <w:nsid w:val="179A9516"/>
    <w:multiLevelType w:val="singleLevel"/>
    <w:tmpl w:val="179A9516"/>
    <w:lvl w:ilvl="0" w:tentative="0">
      <w:start w:val="4"/>
      <w:numFmt w:val="decimal"/>
      <w:suff w:val="nothing"/>
      <w:lvlText w:val="（%1）"/>
      <w:lvlJc w:val="left"/>
    </w:lvl>
  </w:abstractNum>
  <w:abstractNum w:abstractNumId="6">
    <w:nsid w:val="262694A4"/>
    <w:multiLevelType w:val="singleLevel"/>
    <w:tmpl w:val="262694A4"/>
    <w:lvl w:ilvl="0" w:tentative="0">
      <w:start w:val="1"/>
      <w:numFmt w:val="chineseCounting"/>
      <w:suff w:val="space"/>
      <w:lvlText w:val="第%1章"/>
      <w:lvlJc w:val="left"/>
      <w:rPr>
        <w:rFonts w:hint="eastAsia"/>
      </w:rPr>
    </w:lvl>
  </w:abstractNum>
  <w:abstractNum w:abstractNumId="7">
    <w:nsid w:val="5BA1BD46"/>
    <w:multiLevelType w:val="singleLevel"/>
    <w:tmpl w:val="5BA1BD46"/>
    <w:lvl w:ilvl="0" w:tentative="0">
      <w:start w:val="6"/>
      <w:numFmt w:val="chineseCounting"/>
      <w:suff w:val="space"/>
      <w:lvlText w:val="第%1章"/>
      <w:lvlJc w:val="left"/>
      <w:rPr>
        <w:rFonts w:hint="eastAsia"/>
      </w:rPr>
    </w:lvl>
  </w:abstractNum>
  <w:abstractNum w:abstractNumId="8">
    <w:nsid w:val="67E5A469"/>
    <w:multiLevelType w:val="singleLevel"/>
    <w:tmpl w:val="67E5A469"/>
    <w:lvl w:ilvl="0" w:tentative="0">
      <w:start w:val="1"/>
      <w:numFmt w:val="chineseCounting"/>
      <w:suff w:val="nothing"/>
      <w:lvlText w:val="%1、"/>
      <w:lvlJc w:val="left"/>
      <w:rPr>
        <w:rFonts w:hint="eastAsia"/>
      </w:rPr>
    </w:lvl>
  </w:abstractNum>
  <w:num w:numId="1">
    <w:abstractNumId w:val="6"/>
  </w:num>
  <w:num w:numId="2">
    <w:abstractNumId w:val="5"/>
  </w:num>
  <w:num w:numId="3">
    <w:abstractNumId w:val="0"/>
  </w:num>
  <w:num w:numId="4">
    <w:abstractNumId w:val="1"/>
  </w:num>
  <w:num w:numId="5">
    <w:abstractNumId w:val="3"/>
    <w:lvlOverride w:ilvl="0">
      <w:startOverride w:val="2"/>
    </w:lvlOverride>
  </w:num>
  <w:num w:numId="6">
    <w:abstractNumId w:val="2"/>
    <w:lvlOverride w:ilvl="0">
      <w:startOverride w:val="2"/>
    </w:lvlOverride>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Y2NkN2NjMWUyNDVkYWU2ZjU5M2Q2YjQ3MWVhOTgifQ=="/>
  </w:docVars>
  <w:rsids>
    <w:rsidRoot w:val="00F92138"/>
    <w:rsid w:val="0000012A"/>
    <w:rsid w:val="000004C3"/>
    <w:rsid w:val="000007B3"/>
    <w:rsid w:val="000012F4"/>
    <w:rsid w:val="000013C5"/>
    <w:rsid w:val="0000245C"/>
    <w:rsid w:val="00002511"/>
    <w:rsid w:val="00002604"/>
    <w:rsid w:val="00002682"/>
    <w:rsid w:val="00002789"/>
    <w:rsid w:val="00003EA2"/>
    <w:rsid w:val="00004D43"/>
    <w:rsid w:val="00004D70"/>
    <w:rsid w:val="000064D3"/>
    <w:rsid w:val="000066AE"/>
    <w:rsid w:val="0000694B"/>
    <w:rsid w:val="00007562"/>
    <w:rsid w:val="00007A12"/>
    <w:rsid w:val="00007F96"/>
    <w:rsid w:val="00010484"/>
    <w:rsid w:val="00010630"/>
    <w:rsid w:val="0001073E"/>
    <w:rsid w:val="00010A38"/>
    <w:rsid w:val="00010C20"/>
    <w:rsid w:val="00010EAD"/>
    <w:rsid w:val="00011006"/>
    <w:rsid w:val="00011968"/>
    <w:rsid w:val="00012CDC"/>
    <w:rsid w:val="00012E89"/>
    <w:rsid w:val="0001389F"/>
    <w:rsid w:val="000139C8"/>
    <w:rsid w:val="000139E0"/>
    <w:rsid w:val="00013C53"/>
    <w:rsid w:val="000147E9"/>
    <w:rsid w:val="00014897"/>
    <w:rsid w:val="000154C2"/>
    <w:rsid w:val="00015616"/>
    <w:rsid w:val="00016164"/>
    <w:rsid w:val="000161E6"/>
    <w:rsid w:val="000168D8"/>
    <w:rsid w:val="00016CCE"/>
    <w:rsid w:val="00016DFC"/>
    <w:rsid w:val="00016E25"/>
    <w:rsid w:val="00016F9A"/>
    <w:rsid w:val="000171D6"/>
    <w:rsid w:val="00020282"/>
    <w:rsid w:val="000204F7"/>
    <w:rsid w:val="00020654"/>
    <w:rsid w:val="000206E4"/>
    <w:rsid w:val="00020A3D"/>
    <w:rsid w:val="00020C2E"/>
    <w:rsid w:val="00020C93"/>
    <w:rsid w:val="00020DFC"/>
    <w:rsid w:val="00021802"/>
    <w:rsid w:val="00021DAE"/>
    <w:rsid w:val="000226EF"/>
    <w:rsid w:val="00022A04"/>
    <w:rsid w:val="00022F6B"/>
    <w:rsid w:val="0002300B"/>
    <w:rsid w:val="00023496"/>
    <w:rsid w:val="00023CCC"/>
    <w:rsid w:val="00024D1C"/>
    <w:rsid w:val="000250DF"/>
    <w:rsid w:val="000253B5"/>
    <w:rsid w:val="000255CC"/>
    <w:rsid w:val="00025BFA"/>
    <w:rsid w:val="00026487"/>
    <w:rsid w:val="00026761"/>
    <w:rsid w:val="00026815"/>
    <w:rsid w:val="00026A9C"/>
    <w:rsid w:val="00026BD0"/>
    <w:rsid w:val="00026E89"/>
    <w:rsid w:val="00026FAA"/>
    <w:rsid w:val="00027726"/>
    <w:rsid w:val="00027F50"/>
    <w:rsid w:val="00030259"/>
    <w:rsid w:val="00031CD3"/>
    <w:rsid w:val="00031D23"/>
    <w:rsid w:val="000320DB"/>
    <w:rsid w:val="00032419"/>
    <w:rsid w:val="0003258D"/>
    <w:rsid w:val="00033233"/>
    <w:rsid w:val="00033A28"/>
    <w:rsid w:val="00033C3A"/>
    <w:rsid w:val="00033C62"/>
    <w:rsid w:val="00034267"/>
    <w:rsid w:val="00034581"/>
    <w:rsid w:val="00034D30"/>
    <w:rsid w:val="00034E5F"/>
    <w:rsid w:val="000353B8"/>
    <w:rsid w:val="000357BE"/>
    <w:rsid w:val="00035820"/>
    <w:rsid w:val="00035C6F"/>
    <w:rsid w:val="00036348"/>
    <w:rsid w:val="00036425"/>
    <w:rsid w:val="00036594"/>
    <w:rsid w:val="00037242"/>
    <w:rsid w:val="000373A3"/>
    <w:rsid w:val="00037991"/>
    <w:rsid w:val="000404A8"/>
    <w:rsid w:val="00040678"/>
    <w:rsid w:val="00040706"/>
    <w:rsid w:val="00040C08"/>
    <w:rsid w:val="000425C4"/>
    <w:rsid w:val="00042F69"/>
    <w:rsid w:val="000433E9"/>
    <w:rsid w:val="00043717"/>
    <w:rsid w:val="00043BC9"/>
    <w:rsid w:val="00044162"/>
    <w:rsid w:val="00044210"/>
    <w:rsid w:val="0004422A"/>
    <w:rsid w:val="00044409"/>
    <w:rsid w:val="000447E7"/>
    <w:rsid w:val="00044C3F"/>
    <w:rsid w:val="00044E0C"/>
    <w:rsid w:val="00044E5F"/>
    <w:rsid w:val="000457ED"/>
    <w:rsid w:val="00045A4C"/>
    <w:rsid w:val="00045FA3"/>
    <w:rsid w:val="0004657B"/>
    <w:rsid w:val="00047190"/>
    <w:rsid w:val="000473C1"/>
    <w:rsid w:val="00047877"/>
    <w:rsid w:val="000479BB"/>
    <w:rsid w:val="000479E2"/>
    <w:rsid w:val="000500EE"/>
    <w:rsid w:val="0005043F"/>
    <w:rsid w:val="000517CE"/>
    <w:rsid w:val="00052295"/>
    <w:rsid w:val="00052409"/>
    <w:rsid w:val="00053E02"/>
    <w:rsid w:val="0005424F"/>
    <w:rsid w:val="00054CFF"/>
    <w:rsid w:val="00055A2B"/>
    <w:rsid w:val="000561BD"/>
    <w:rsid w:val="00056276"/>
    <w:rsid w:val="0005641F"/>
    <w:rsid w:val="0005650A"/>
    <w:rsid w:val="00056832"/>
    <w:rsid w:val="00057D96"/>
    <w:rsid w:val="00057FA8"/>
    <w:rsid w:val="000606D6"/>
    <w:rsid w:val="0006095D"/>
    <w:rsid w:val="00061342"/>
    <w:rsid w:val="000617D3"/>
    <w:rsid w:val="00061A7B"/>
    <w:rsid w:val="0006269C"/>
    <w:rsid w:val="000629C0"/>
    <w:rsid w:val="00062EB9"/>
    <w:rsid w:val="0006313B"/>
    <w:rsid w:val="00063580"/>
    <w:rsid w:val="00063621"/>
    <w:rsid w:val="0006377B"/>
    <w:rsid w:val="00063C67"/>
    <w:rsid w:val="000645BF"/>
    <w:rsid w:val="00064792"/>
    <w:rsid w:val="00064E88"/>
    <w:rsid w:val="00064E8B"/>
    <w:rsid w:val="00065C6C"/>
    <w:rsid w:val="0006602F"/>
    <w:rsid w:val="00066231"/>
    <w:rsid w:val="00066254"/>
    <w:rsid w:val="0006630F"/>
    <w:rsid w:val="000663F2"/>
    <w:rsid w:val="00066927"/>
    <w:rsid w:val="000675B5"/>
    <w:rsid w:val="00070648"/>
    <w:rsid w:val="0007072F"/>
    <w:rsid w:val="000707BA"/>
    <w:rsid w:val="00070B84"/>
    <w:rsid w:val="000712BA"/>
    <w:rsid w:val="00072AF3"/>
    <w:rsid w:val="000731E0"/>
    <w:rsid w:val="0007321D"/>
    <w:rsid w:val="00073EB9"/>
    <w:rsid w:val="00074060"/>
    <w:rsid w:val="000740EE"/>
    <w:rsid w:val="00074441"/>
    <w:rsid w:val="000746A6"/>
    <w:rsid w:val="000746D3"/>
    <w:rsid w:val="00074890"/>
    <w:rsid w:val="00074AAC"/>
    <w:rsid w:val="00075405"/>
    <w:rsid w:val="000759B4"/>
    <w:rsid w:val="00075AC6"/>
    <w:rsid w:val="000763B8"/>
    <w:rsid w:val="00080266"/>
    <w:rsid w:val="00080A97"/>
    <w:rsid w:val="00080C72"/>
    <w:rsid w:val="00080FD4"/>
    <w:rsid w:val="00081197"/>
    <w:rsid w:val="000815D9"/>
    <w:rsid w:val="0008283C"/>
    <w:rsid w:val="00082B33"/>
    <w:rsid w:val="00082F26"/>
    <w:rsid w:val="000834F3"/>
    <w:rsid w:val="00083AFC"/>
    <w:rsid w:val="000840AE"/>
    <w:rsid w:val="00084236"/>
    <w:rsid w:val="000844B3"/>
    <w:rsid w:val="00085194"/>
    <w:rsid w:val="000858A2"/>
    <w:rsid w:val="00085993"/>
    <w:rsid w:val="00085EE0"/>
    <w:rsid w:val="00086806"/>
    <w:rsid w:val="000870A4"/>
    <w:rsid w:val="00087492"/>
    <w:rsid w:val="00087C2E"/>
    <w:rsid w:val="00087C30"/>
    <w:rsid w:val="00087D46"/>
    <w:rsid w:val="000900BE"/>
    <w:rsid w:val="0009120F"/>
    <w:rsid w:val="0009192D"/>
    <w:rsid w:val="00091A92"/>
    <w:rsid w:val="00091ADC"/>
    <w:rsid w:val="00091F7B"/>
    <w:rsid w:val="000921D6"/>
    <w:rsid w:val="00093502"/>
    <w:rsid w:val="0009423E"/>
    <w:rsid w:val="0009439C"/>
    <w:rsid w:val="0009450E"/>
    <w:rsid w:val="0009583E"/>
    <w:rsid w:val="00095D3B"/>
    <w:rsid w:val="0009609B"/>
    <w:rsid w:val="00096254"/>
    <w:rsid w:val="0009629E"/>
    <w:rsid w:val="0009657E"/>
    <w:rsid w:val="00096B3D"/>
    <w:rsid w:val="0009733E"/>
    <w:rsid w:val="00097B00"/>
    <w:rsid w:val="000A1985"/>
    <w:rsid w:val="000A1B2D"/>
    <w:rsid w:val="000A1C5C"/>
    <w:rsid w:val="000A22E4"/>
    <w:rsid w:val="000A2348"/>
    <w:rsid w:val="000A482E"/>
    <w:rsid w:val="000A507F"/>
    <w:rsid w:val="000A5F1C"/>
    <w:rsid w:val="000A6BCA"/>
    <w:rsid w:val="000A6E55"/>
    <w:rsid w:val="000A7020"/>
    <w:rsid w:val="000A715A"/>
    <w:rsid w:val="000A7BC1"/>
    <w:rsid w:val="000B005F"/>
    <w:rsid w:val="000B0082"/>
    <w:rsid w:val="000B0948"/>
    <w:rsid w:val="000B147E"/>
    <w:rsid w:val="000B14E2"/>
    <w:rsid w:val="000B1865"/>
    <w:rsid w:val="000B25AB"/>
    <w:rsid w:val="000B27B0"/>
    <w:rsid w:val="000B2E07"/>
    <w:rsid w:val="000B3350"/>
    <w:rsid w:val="000B3403"/>
    <w:rsid w:val="000B3F43"/>
    <w:rsid w:val="000B414E"/>
    <w:rsid w:val="000B420E"/>
    <w:rsid w:val="000B517B"/>
    <w:rsid w:val="000B599B"/>
    <w:rsid w:val="000B6149"/>
    <w:rsid w:val="000B6464"/>
    <w:rsid w:val="000B6616"/>
    <w:rsid w:val="000B67FF"/>
    <w:rsid w:val="000B6D4B"/>
    <w:rsid w:val="000B7280"/>
    <w:rsid w:val="000B775D"/>
    <w:rsid w:val="000B7B41"/>
    <w:rsid w:val="000B7B6B"/>
    <w:rsid w:val="000C042D"/>
    <w:rsid w:val="000C16C7"/>
    <w:rsid w:val="000C17B3"/>
    <w:rsid w:val="000C18B9"/>
    <w:rsid w:val="000C1C14"/>
    <w:rsid w:val="000C1C47"/>
    <w:rsid w:val="000C1E87"/>
    <w:rsid w:val="000C1FFE"/>
    <w:rsid w:val="000C278F"/>
    <w:rsid w:val="000C3182"/>
    <w:rsid w:val="000C3627"/>
    <w:rsid w:val="000C3D7C"/>
    <w:rsid w:val="000C3EBF"/>
    <w:rsid w:val="000C3EF9"/>
    <w:rsid w:val="000C4226"/>
    <w:rsid w:val="000C46A7"/>
    <w:rsid w:val="000C4B4A"/>
    <w:rsid w:val="000C577C"/>
    <w:rsid w:val="000C5EBC"/>
    <w:rsid w:val="000C6007"/>
    <w:rsid w:val="000C62B4"/>
    <w:rsid w:val="000C63C1"/>
    <w:rsid w:val="000C6487"/>
    <w:rsid w:val="000C66D5"/>
    <w:rsid w:val="000C671D"/>
    <w:rsid w:val="000C6905"/>
    <w:rsid w:val="000C726B"/>
    <w:rsid w:val="000C79D7"/>
    <w:rsid w:val="000C7DC0"/>
    <w:rsid w:val="000C7E03"/>
    <w:rsid w:val="000D04B5"/>
    <w:rsid w:val="000D07D7"/>
    <w:rsid w:val="000D0A2A"/>
    <w:rsid w:val="000D197F"/>
    <w:rsid w:val="000D1F8E"/>
    <w:rsid w:val="000D2C99"/>
    <w:rsid w:val="000D3131"/>
    <w:rsid w:val="000D317E"/>
    <w:rsid w:val="000D3499"/>
    <w:rsid w:val="000D35D0"/>
    <w:rsid w:val="000D3ADD"/>
    <w:rsid w:val="000D416D"/>
    <w:rsid w:val="000D4271"/>
    <w:rsid w:val="000D565B"/>
    <w:rsid w:val="000D5A69"/>
    <w:rsid w:val="000D5C45"/>
    <w:rsid w:val="000D6183"/>
    <w:rsid w:val="000D6249"/>
    <w:rsid w:val="000D663D"/>
    <w:rsid w:val="000D713C"/>
    <w:rsid w:val="000D7241"/>
    <w:rsid w:val="000D7491"/>
    <w:rsid w:val="000D761D"/>
    <w:rsid w:val="000D7811"/>
    <w:rsid w:val="000E0233"/>
    <w:rsid w:val="000E07EE"/>
    <w:rsid w:val="000E1051"/>
    <w:rsid w:val="000E125D"/>
    <w:rsid w:val="000E17A5"/>
    <w:rsid w:val="000E1EA9"/>
    <w:rsid w:val="000E20CC"/>
    <w:rsid w:val="000E221C"/>
    <w:rsid w:val="000E2C59"/>
    <w:rsid w:val="000E2D2A"/>
    <w:rsid w:val="000E2D3C"/>
    <w:rsid w:val="000E3086"/>
    <w:rsid w:val="000E3A00"/>
    <w:rsid w:val="000E4218"/>
    <w:rsid w:val="000E4714"/>
    <w:rsid w:val="000E477C"/>
    <w:rsid w:val="000E4A2E"/>
    <w:rsid w:val="000E4AA0"/>
    <w:rsid w:val="000E5032"/>
    <w:rsid w:val="000E551D"/>
    <w:rsid w:val="000E6BBF"/>
    <w:rsid w:val="000E7078"/>
    <w:rsid w:val="000E75B1"/>
    <w:rsid w:val="000F07E0"/>
    <w:rsid w:val="000F0927"/>
    <w:rsid w:val="000F09EA"/>
    <w:rsid w:val="000F0AEC"/>
    <w:rsid w:val="000F0DF2"/>
    <w:rsid w:val="000F1BF2"/>
    <w:rsid w:val="000F1C7B"/>
    <w:rsid w:val="000F2448"/>
    <w:rsid w:val="000F25B0"/>
    <w:rsid w:val="000F2B3A"/>
    <w:rsid w:val="000F3291"/>
    <w:rsid w:val="000F33D3"/>
    <w:rsid w:val="000F3E81"/>
    <w:rsid w:val="000F4D92"/>
    <w:rsid w:val="000F512C"/>
    <w:rsid w:val="000F5A14"/>
    <w:rsid w:val="000F6137"/>
    <w:rsid w:val="000F6477"/>
    <w:rsid w:val="000F660D"/>
    <w:rsid w:val="000F72C5"/>
    <w:rsid w:val="000F7404"/>
    <w:rsid w:val="000F7D5B"/>
    <w:rsid w:val="001002A5"/>
    <w:rsid w:val="0010101A"/>
    <w:rsid w:val="0010113E"/>
    <w:rsid w:val="00101C2F"/>
    <w:rsid w:val="0010220C"/>
    <w:rsid w:val="001023DA"/>
    <w:rsid w:val="00103B1E"/>
    <w:rsid w:val="00103D34"/>
    <w:rsid w:val="001043E8"/>
    <w:rsid w:val="001051FB"/>
    <w:rsid w:val="00105E7C"/>
    <w:rsid w:val="00106635"/>
    <w:rsid w:val="0010772D"/>
    <w:rsid w:val="00107AAB"/>
    <w:rsid w:val="00107DBE"/>
    <w:rsid w:val="001100AC"/>
    <w:rsid w:val="00110BD9"/>
    <w:rsid w:val="0011171E"/>
    <w:rsid w:val="00111A1E"/>
    <w:rsid w:val="00111A2D"/>
    <w:rsid w:val="00111CA9"/>
    <w:rsid w:val="00112548"/>
    <w:rsid w:val="00112720"/>
    <w:rsid w:val="00112F5B"/>
    <w:rsid w:val="00113A0E"/>
    <w:rsid w:val="00113A99"/>
    <w:rsid w:val="00113AF4"/>
    <w:rsid w:val="00114B86"/>
    <w:rsid w:val="00115442"/>
    <w:rsid w:val="00115FBC"/>
    <w:rsid w:val="0011635D"/>
    <w:rsid w:val="00116CBB"/>
    <w:rsid w:val="0011747F"/>
    <w:rsid w:val="001174AE"/>
    <w:rsid w:val="00117D20"/>
    <w:rsid w:val="00117DC0"/>
    <w:rsid w:val="00117E74"/>
    <w:rsid w:val="00120547"/>
    <w:rsid w:val="00120802"/>
    <w:rsid w:val="0012191A"/>
    <w:rsid w:val="001231A6"/>
    <w:rsid w:val="001234BD"/>
    <w:rsid w:val="001235F0"/>
    <w:rsid w:val="001236EF"/>
    <w:rsid w:val="001239B2"/>
    <w:rsid w:val="00123B65"/>
    <w:rsid w:val="001240C4"/>
    <w:rsid w:val="00124323"/>
    <w:rsid w:val="00124ACB"/>
    <w:rsid w:val="001255C6"/>
    <w:rsid w:val="0012638B"/>
    <w:rsid w:val="00130193"/>
    <w:rsid w:val="0013024C"/>
    <w:rsid w:val="001303EA"/>
    <w:rsid w:val="0013041D"/>
    <w:rsid w:val="00130436"/>
    <w:rsid w:val="00130EFA"/>
    <w:rsid w:val="00131BB7"/>
    <w:rsid w:val="00131C08"/>
    <w:rsid w:val="00131D21"/>
    <w:rsid w:val="0013248D"/>
    <w:rsid w:val="00132F97"/>
    <w:rsid w:val="00133180"/>
    <w:rsid w:val="00133205"/>
    <w:rsid w:val="001333DB"/>
    <w:rsid w:val="00133450"/>
    <w:rsid w:val="001335B1"/>
    <w:rsid w:val="00133C3B"/>
    <w:rsid w:val="00133F22"/>
    <w:rsid w:val="0013449B"/>
    <w:rsid w:val="001344C7"/>
    <w:rsid w:val="001346D2"/>
    <w:rsid w:val="00134862"/>
    <w:rsid w:val="00134BD1"/>
    <w:rsid w:val="00134CC0"/>
    <w:rsid w:val="00135E46"/>
    <w:rsid w:val="00136517"/>
    <w:rsid w:val="00140213"/>
    <w:rsid w:val="0014047C"/>
    <w:rsid w:val="0014115B"/>
    <w:rsid w:val="00141AE7"/>
    <w:rsid w:val="00141E3C"/>
    <w:rsid w:val="00142784"/>
    <w:rsid w:val="00142C09"/>
    <w:rsid w:val="00143102"/>
    <w:rsid w:val="0014329A"/>
    <w:rsid w:val="001433F1"/>
    <w:rsid w:val="00143861"/>
    <w:rsid w:val="001440A4"/>
    <w:rsid w:val="00144815"/>
    <w:rsid w:val="00144F89"/>
    <w:rsid w:val="00145537"/>
    <w:rsid w:val="00145D1C"/>
    <w:rsid w:val="00146021"/>
    <w:rsid w:val="00146ED7"/>
    <w:rsid w:val="00150049"/>
    <w:rsid w:val="00150055"/>
    <w:rsid w:val="001502A2"/>
    <w:rsid w:val="00150373"/>
    <w:rsid w:val="00150AE6"/>
    <w:rsid w:val="00150C40"/>
    <w:rsid w:val="00150D03"/>
    <w:rsid w:val="00151F58"/>
    <w:rsid w:val="00151F67"/>
    <w:rsid w:val="0015285A"/>
    <w:rsid w:val="0015299C"/>
    <w:rsid w:val="0015313E"/>
    <w:rsid w:val="001531B4"/>
    <w:rsid w:val="001533BA"/>
    <w:rsid w:val="00153787"/>
    <w:rsid w:val="0015396D"/>
    <w:rsid w:val="00153BBF"/>
    <w:rsid w:val="001543DB"/>
    <w:rsid w:val="0015440E"/>
    <w:rsid w:val="001552FB"/>
    <w:rsid w:val="00155B83"/>
    <w:rsid w:val="00155E4D"/>
    <w:rsid w:val="00156262"/>
    <w:rsid w:val="001563CA"/>
    <w:rsid w:val="00156979"/>
    <w:rsid w:val="00156A19"/>
    <w:rsid w:val="00156D43"/>
    <w:rsid w:val="00157103"/>
    <w:rsid w:val="00157320"/>
    <w:rsid w:val="00157C06"/>
    <w:rsid w:val="00157CF4"/>
    <w:rsid w:val="001600D7"/>
    <w:rsid w:val="0016036D"/>
    <w:rsid w:val="001608AE"/>
    <w:rsid w:val="00160D3E"/>
    <w:rsid w:val="001610F5"/>
    <w:rsid w:val="00161375"/>
    <w:rsid w:val="001613B7"/>
    <w:rsid w:val="00162D4C"/>
    <w:rsid w:val="00163584"/>
    <w:rsid w:val="001635A4"/>
    <w:rsid w:val="001638BE"/>
    <w:rsid w:val="00163AF5"/>
    <w:rsid w:val="00163FCD"/>
    <w:rsid w:val="00164003"/>
    <w:rsid w:val="00164249"/>
    <w:rsid w:val="00164902"/>
    <w:rsid w:val="00164B0A"/>
    <w:rsid w:val="00164B7B"/>
    <w:rsid w:val="00165240"/>
    <w:rsid w:val="00165735"/>
    <w:rsid w:val="00166390"/>
    <w:rsid w:val="001666A4"/>
    <w:rsid w:val="00166AF1"/>
    <w:rsid w:val="00166B91"/>
    <w:rsid w:val="00166CED"/>
    <w:rsid w:val="00167F1C"/>
    <w:rsid w:val="00170706"/>
    <w:rsid w:val="00170B25"/>
    <w:rsid w:val="00170BD1"/>
    <w:rsid w:val="001718C5"/>
    <w:rsid w:val="00171A3B"/>
    <w:rsid w:val="00171CE9"/>
    <w:rsid w:val="00171F84"/>
    <w:rsid w:val="0017246C"/>
    <w:rsid w:val="00173282"/>
    <w:rsid w:val="001734B9"/>
    <w:rsid w:val="00173F97"/>
    <w:rsid w:val="00173FCF"/>
    <w:rsid w:val="00174754"/>
    <w:rsid w:val="00175739"/>
    <w:rsid w:val="00175FAB"/>
    <w:rsid w:val="001760DA"/>
    <w:rsid w:val="001769B1"/>
    <w:rsid w:val="00177096"/>
    <w:rsid w:val="001771F7"/>
    <w:rsid w:val="00180926"/>
    <w:rsid w:val="0018107F"/>
    <w:rsid w:val="00181CCB"/>
    <w:rsid w:val="00181D44"/>
    <w:rsid w:val="00181DE6"/>
    <w:rsid w:val="00181F65"/>
    <w:rsid w:val="001821F4"/>
    <w:rsid w:val="00183599"/>
    <w:rsid w:val="00183DF4"/>
    <w:rsid w:val="001841FA"/>
    <w:rsid w:val="00185480"/>
    <w:rsid w:val="001857E0"/>
    <w:rsid w:val="0018632C"/>
    <w:rsid w:val="001863AB"/>
    <w:rsid w:val="00186697"/>
    <w:rsid w:val="001866AB"/>
    <w:rsid w:val="001867C4"/>
    <w:rsid w:val="00186855"/>
    <w:rsid w:val="00186A0B"/>
    <w:rsid w:val="00186B2C"/>
    <w:rsid w:val="00186DB1"/>
    <w:rsid w:val="001870BC"/>
    <w:rsid w:val="001872B9"/>
    <w:rsid w:val="0018738A"/>
    <w:rsid w:val="00187BD2"/>
    <w:rsid w:val="00187CB1"/>
    <w:rsid w:val="00187CDD"/>
    <w:rsid w:val="00190215"/>
    <w:rsid w:val="001902E5"/>
    <w:rsid w:val="001904B0"/>
    <w:rsid w:val="00190ED8"/>
    <w:rsid w:val="001914DA"/>
    <w:rsid w:val="00191864"/>
    <w:rsid w:val="001919E8"/>
    <w:rsid w:val="00191DC4"/>
    <w:rsid w:val="0019308B"/>
    <w:rsid w:val="001934E3"/>
    <w:rsid w:val="001938D1"/>
    <w:rsid w:val="00194200"/>
    <w:rsid w:val="001942EB"/>
    <w:rsid w:val="00194589"/>
    <w:rsid w:val="00194761"/>
    <w:rsid w:val="001948C3"/>
    <w:rsid w:val="00194924"/>
    <w:rsid w:val="0019500A"/>
    <w:rsid w:val="0019565F"/>
    <w:rsid w:val="001958CA"/>
    <w:rsid w:val="00195D31"/>
    <w:rsid w:val="00195E63"/>
    <w:rsid w:val="00196835"/>
    <w:rsid w:val="00196FFE"/>
    <w:rsid w:val="00197957"/>
    <w:rsid w:val="00197DF4"/>
    <w:rsid w:val="001A0E8A"/>
    <w:rsid w:val="001A16A9"/>
    <w:rsid w:val="001A1A33"/>
    <w:rsid w:val="001A1AEE"/>
    <w:rsid w:val="001A1C41"/>
    <w:rsid w:val="001A2E4E"/>
    <w:rsid w:val="001A301F"/>
    <w:rsid w:val="001A3D9F"/>
    <w:rsid w:val="001A415B"/>
    <w:rsid w:val="001A43DB"/>
    <w:rsid w:val="001A4BAE"/>
    <w:rsid w:val="001A5377"/>
    <w:rsid w:val="001A5641"/>
    <w:rsid w:val="001A58E7"/>
    <w:rsid w:val="001A5C92"/>
    <w:rsid w:val="001A5EEF"/>
    <w:rsid w:val="001A612C"/>
    <w:rsid w:val="001A62A0"/>
    <w:rsid w:val="001A62BA"/>
    <w:rsid w:val="001A68C1"/>
    <w:rsid w:val="001A6B02"/>
    <w:rsid w:val="001A6F5F"/>
    <w:rsid w:val="001A714B"/>
    <w:rsid w:val="001A71C3"/>
    <w:rsid w:val="001A74B6"/>
    <w:rsid w:val="001A7D50"/>
    <w:rsid w:val="001B02BF"/>
    <w:rsid w:val="001B0531"/>
    <w:rsid w:val="001B0DD6"/>
    <w:rsid w:val="001B0E49"/>
    <w:rsid w:val="001B16EB"/>
    <w:rsid w:val="001B1A2F"/>
    <w:rsid w:val="001B1ACB"/>
    <w:rsid w:val="001B213D"/>
    <w:rsid w:val="001B2294"/>
    <w:rsid w:val="001B3238"/>
    <w:rsid w:val="001B3D61"/>
    <w:rsid w:val="001B4946"/>
    <w:rsid w:val="001B4A8B"/>
    <w:rsid w:val="001B5976"/>
    <w:rsid w:val="001B5ACC"/>
    <w:rsid w:val="001B5C67"/>
    <w:rsid w:val="001B7730"/>
    <w:rsid w:val="001C0110"/>
    <w:rsid w:val="001C0AF7"/>
    <w:rsid w:val="001C0C1A"/>
    <w:rsid w:val="001C0C6B"/>
    <w:rsid w:val="001C0E3E"/>
    <w:rsid w:val="001C0E71"/>
    <w:rsid w:val="001C1D54"/>
    <w:rsid w:val="001C256D"/>
    <w:rsid w:val="001C27CF"/>
    <w:rsid w:val="001C27DF"/>
    <w:rsid w:val="001C34BA"/>
    <w:rsid w:val="001C3AF1"/>
    <w:rsid w:val="001C4E4F"/>
    <w:rsid w:val="001C51B8"/>
    <w:rsid w:val="001C58F2"/>
    <w:rsid w:val="001C6458"/>
    <w:rsid w:val="001C6B56"/>
    <w:rsid w:val="001C701F"/>
    <w:rsid w:val="001C71B5"/>
    <w:rsid w:val="001D0D38"/>
    <w:rsid w:val="001D0F2A"/>
    <w:rsid w:val="001D120F"/>
    <w:rsid w:val="001D1E46"/>
    <w:rsid w:val="001D20A4"/>
    <w:rsid w:val="001D23BC"/>
    <w:rsid w:val="001D23F2"/>
    <w:rsid w:val="001D2E28"/>
    <w:rsid w:val="001D355E"/>
    <w:rsid w:val="001D3AB6"/>
    <w:rsid w:val="001D3AC0"/>
    <w:rsid w:val="001D3CDE"/>
    <w:rsid w:val="001D3F44"/>
    <w:rsid w:val="001D4377"/>
    <w:rsid w:val="001D465D"/>
    <w:rsid w:val="001D4C8D"/>
    <w:rsid w:val="001D55BB"/>
    <w:rsid w:val="001D5D94"/>
    <w:rsid w:val="001D5E08"/>
    <w:rsid w:val="001D5E18"/>
    <w:rsid w:val="001D5FED"/>
    <w:rsid w:val="001D6030"/>
    <w:rsid w:val="001D60FE"/>
    <w:rsid w:val="001D684F"/>
    <w:rsid w:val="001D6BA3"/>
    <w:rsid w:val="001E02D1"/>
    <w:rsid w:val="001E0C63"/>
    <w:rsid w:val="001E10B5"/>
    <w:rsid w:val="001E12CD"/>
    <w:rsid w:val="001E148F"/>
    <w:rsid w:val="001E1CC1"/>
    <w:rsid w:val="001E2128"/>
    <w:rsid w:val="001E267B"/>
    <w:rsid w:val="001E2BF6"/>
    <w:rsid w:val="001E3014"/>
    <w:rsid w:val="001E355A"/>
    <w:rsid w:val="001E3645"/>
    <w:rsid w:val="001E3AEC"/>
    <w:rsid w:val="001E40F0"/>
    <w:rsid w:val="001E4584"/>
    <w:rsid w:val="001E539D"/>
    <w:rsid w:val="001E59FB"/>
    <w:rsid w:val="001E5A19"/>
    <w:rsid w:val="001E696A"/>
    <w:rsid w:val="001E6A68"/>
    <w:rsid w:val="001E6C10"/>
    <w:rsid w:val="001E6C70"/>
    <w:rsid w:val="001E75C5"/>
    <w:rsid w:val="001E784D"/>
    <w:rsid w:val="001F02D9"/>
    <w:rsid w:val="001F0617"/>
    <w:rsid w:val="001F0875"/>
    <w:rsid w:val="001F0C4F"/>
    <w:rsid w:val="001F0D48"/>
    <w:rsid w:val="001F0D4F"/>
    <w:rsid w:val="001F0DB7"/>
    <w:rsid w:val="001F10E4"/>
    <w:rsid w:val="001F14D8"/>
    <w:rsid w:val="001F1853"/>
    <w:rsid w:val="001F1982"/>
    <w:rsid w:val="001F1B4F"/>
    <w:rsid w:val="001F22E7"/>
    <w:rsid w:val="001F2B87"/>
    <w:rsid w:val="001F2FC9"/>
    <w:rsid w:val="001F32A9"/>
    <w:rsid w:val="001F352D"/>
    <w:rsid w:val="001F3734"/>
    <w:rsid w:val="001F388F"/>
    <w:rsid w:val="001F50A7"/>
    <w:rsid w:val="001F50E9"/>
    <w:rsid w:val="001F542B"/>
    <w:rsid w:val="001F562A"/>
    <w:rsid w:val="001F565A"/>
    <w:rsid w:val="001F56EE"/>
    <w:rsid w:val="001F5959"/>
    <w:rsid w:val="001F5CA6"/>
    <w:rsid w:val="001F606B"/>
    <w:rsid w:val="001F662E"/>
    <w:rsid w:val="001F6B44"/>
    <w:rsid w:val="001F732C"/>
    <w:rsid w:val="001F75C1"/>
    <w:rsid w:val="001F7977"/>
    <w:rsid w:val="001F7A84"/>
    <w:rsid w:val="001F7EC3"/>
    <w:rsid w:val="0020050E"/>
    <w:rsid w:val="00200830"/>
    <w:rsid w:val="0020115A"/>
    <w:rsid w:val="00201F52"/>
    <w:rsid w:val="0020234A"/>
    <w:rsid w:val="00202DFC"/>
    <w:rsid w:val="00204142"/>
    <w:rsid w:val="00205FBE"/>
    <w:rsid w:val="00206225"/>
    <w:rsid w:val="00206463"/>
    <w:rsid w:val="00206878"/>
    <w:rsid w:val="00206D6A"/>
    <w:rsid w:val="00206DF4"/>
    <w:rsid w:val="002103F2"/>
    <w:rsid w:val="002106DB"/>
    <w:rsid w:val="002109BF"/>
    <w:rsid w:val="00210B4E"/>
    <w:rsid w:val="00210F83"/>
    <w:rsid w:val="00210FA9"/>
    <w:rsid w:val="0021128A"/>
    <w:rsid w:val="00211891"/>
    <w:rsid w:val="00211CED"/>
    <w:rsid w:val="00212153"/>
    <w:rsid w:val="00212499"/>
    <w:rsid w:val="002125D6"/>
    <w:rsid w:val="00212626"/>
    <w:rsid w:val="0021325E"/>
    <w:rsid w:val="002133B5"/>
    <w:rsid w:val="002135A1"/>
    <w:rsid w:val="00214CC2"/>
    <w:rsid w:val="00216381"/>
    <w:rsid w:val="00216D6C"/>
    <w:rsid w:val="0021787D"/>
    <w:rsid w:val="00217EC4"/>
    <w:rsid w:val="00217EDD"/>
    <w:rsid w:val="002201F5"/>
    <w:rsid w:val="00220601"/>
    <w:rsid w:val="0022092C"/>
    <w:rsid w:val="00220BB9"/>
    <w:rsid w:val="002210A3"/>
    <w:rsid w:val="00221704"/>
    <w:rsid w:val="00221C61"/>
    <w:rsid w:val="0022348B"/>
    <w:rsid w:val="002239A4"/>
    <w:rsid w:val="00223DBA"/>
    <w:rsid w:val="002248DF"/>
    <w:rsid w:val="00224E71"/>
    <w:rsid w:val="002253D1"/>
    <w:rsid w:val="00225858"/>
    <w:rsid w:val="00225AE7"/>
    <w:rsid w:val="00225E92"/>
    <w:rsid w:val="00226073"/>
    <w:rsid w:val="0022635C"/>
    <w:rsid w:val="00226B69"/>
    <w:rsid w:val="00226F25"/>
    <w:rsid w:val="002277F1"/>
    <w:rsid w:val="0023032D"/>
    <w:rsid w:val="00230D05"/>
    <w:rsid w:val="00230DF5"/>
    <w:rsid w:val="00230EDB"/>
    <w:rsid w:val="002312B3"/>
    <w:rsid w:val="00231C91"/>
    <w:rsid w:val="002323B1"/>
    <w:rsid w:val="00233414"/>
    <w:rsid w:val="002336EB"/>
    <w:rsid w:val="002339C1"/>
    <w:rsid w:val="00233BD9"/>
    <w:rsid w:val="0023410C"/>
    <w:rsid w:val="002346BF"/>
    <w:rsid w:val="00234B7A"/>
    <w:rsid w:val="00234C7A"/>
    <w:rsid w:val="00234DC8"/>
    <w:rsid w:val="00235085"/>
    <w:rsid w:val="0023591C"/>
    <w:rsid w:val="00235AD7"/>
    <w:rsid w:val="00235C84"/>
    <w:rsid w:val="00236898"/>
    <w:rsid w:val="00236F5D"/>
    <w:rsid w:val="00237617"/>
    <w:rsid w:val="00237D7B"/>
    <w:rsid w:val="00237DD4"/>
    <w:rsid w:val="002402FB"/>
    <w:rsid w:val="002403AB"/>
    <w:rsid w:val="0024086C"/>
    <w:rsid w:val="00240CCC"/>
    <w:rsid w:val="00241A5C"/>
    <w:rsid w:val="00241F12"/>
    <w:rsid w:val="00242092"/>
    <w:rsid w:val="00242709"/>
    <w:rsid w:val="0024302E"/>
    <w:rsid w:val="002433E8"/>
    <w:rsid w:val="0024369D"/>
    <w:rsid w:val="00243C1C"/>
    <w:rsid w:val="00243F0E"/>
    <w:rsid w:val="002441BE"/>
    <w:rsid w:val="002447C1"/>
    <w:rsid w:val="002451AA"/>
    <w:rsid w:val="002453BE"/>
    <w:rsid w:val="002458F3"/>
    <w:rsid w:val="00245F50"/>
    <w:rsid w:val="0024622C"/>
    <w:rsid w:val="00246238"/>
    <w:rsid w:val="0024656D"/>
    <w:rsid w:val="00246836"/>
    <w:rsid w:val="002468E5"/>
    <w:rsid w:val="00246B28"/>
    <w:rsid w:val="00246BC2"/>
    <w:rsid w:val="00246CF3"/>
    <w:rsid w:val="0024723E"/>
    <w:rsid w:val="002501A4"/>
    <w:rsid w:val="002502A8"/>
    <w:rsid w:val="0025120C"/>
    <w:rsid w:val="00251283"/>
    <w:rsid w:val="002513DE"/>
    <w:rsid w:val="00251C4A"/>
    <w:rsid w:val="00251E7B"/>
    <w:rsid w:val="002522E4"/>
    <w:rsid w:val="002527AC"/>
    <w:rsid w:val="002528CC"/>
    <w:rsid w:val="00252D16"/>
    <w:rsid w:val="00252F49"/>
    <w:rsid w:val="00253376"/>
    <w:rsid w:val="00253443"/>
    <w:rsid w:val="00253667"/>
    <w:rsid w:val="00253715"/>
    <w:rsid w:val="0025374C"/>
    <w:rsid w:val="00253ADA"/>
    <w:rsid w:val="00253C52"/>
    <w:rsid w:val="002544BE"/>
    <w:rsid w:val="00254BEC"/>
    <w:rsid w:val="0025555E"/>
    <w:rsid w:val="0025597E"/>
    <w:rsid w:val="00255BF6"/>
    <w:rsid w:val="00255DC5"/>
    <w:rsid w:val="00255E37"/>
    <w:rsid w:val="00256A19"/>
    <w:rsid w:val="00256D6E"/>
    <w:rsid w:val="00257100"/>
    <w:rsid w:val="00257272"/>
    <w:rsid w:val="00257557"/>
    <w:rsid w:val="00257747"/>
    <w:rsid w:val="002600ED"/>
    <w:rsid w:val="0026041B"/>
    <w:rsid w:val="00260586"/>
    <w:rsid w:val="00260593"/>
    <w:rsid w:val="002609CA"/>
    <w:rsid w:val="002616F3"/>
    <w:rsid w:val="00261726"/>
    <w:rsid w:val="00261A24"/>
    <w:rsid w:val="00262050"/>
    <w:rsid w:val="00262145"/>
    <w:rsid w:val="00262313"/>
    <w:rsid w:val="00262804"/>
    <w:rsid w:val="00262F55"/>
    <w:rsid w:val="002630F3"/>
    <w:rsid w:val="0026318C"/>
    <w:rsid w:val="002634B7"/>
    <w:rsid w:val="002637C6"/>
    <w:rsid w:val="00263CDC"/>
    <w:rsid w:val="00263D17"/>
    <w:rsid w:val="002645AA"/>
    <w:rsid w:val="002647D1"/>
    <w:rsid w:val="00264E2B"/>
    <w:rsid w:val="00264FFE"/>
    <w:rsid w:val="0026598F"/>
    <w:rsid w:val="0026658D"/>
    <w:rsid w:val="002674B7"/>
    <w:rsid w:val="0026774F"/>
    <w:rsid w:val="0026776F"/>
    <w:rsid w:val="00267B04"/>
    <w:rsid w:val="00270115"/>
    <w:rsid w:val="002704A0"/>
    <w:rsid w:val="0027076D"/>
    <w:rsid w:val="002709A1"/>
    <w:rsid w:val="00270AFF"/>
    <w:rsid w:val="00270EEB"/>
    <w:rsid w:val="00271456"/>
    <w:rsid w:val="00272CD9"/>
    <w:rsid w:val="00273516"/>
    <w:rsid w:val="00273FCE"/>
    <w:rsid w:val="00274B4D"/>
    <w:rsid w:val="00275110"/>
    <w:rsid w:val="002755BC"/>
    <w:rsid w:val="00275B61"/>
    <w:rsid w:val="0027652D"/>
    <w:rsid w:val="00276D77"/>
    <w:rsid w:val="00276EBC"/>
    <w:rsid w:val="0027768C"/>
    <w:rsid w:val="002778E6"/>
    <w:rsid w:val="00277CA8"/>
    <w:rsid w:val="00277EC2"/>
    <w:rsid w:val="002804B6"/>
    <w:rsid w:val="0028059E"/>
    <w:rsid w:val="002808EF"/>
    <w:rsid w:val="00280E4B"/>
    <w:rsid w:val="00280E9D"/>
    <w:rsid w:val="00280EB0"/>
    <w:rsid w:val="00281541"/>
    <w:rsid w:val="00281F87"/>
    <w:rsid w:val="002820E1"/>
    <w:rsid w:val="002824CA"/>
    <w:rsid w:val="00282762"/>
    <w:rsid w:val="0028343A"/>
    <w:rsid w:val="00283845"/>
    <w:rsid w:val="002839D5"/>
    <w:rsid w:val="00283A86"/>
    <w:rsid w:val="002846FC"/>
    <w:rsid w:val="00284FD0"/>
    <w:rsid w:val="0028552C"/>
    <w:rsid w:val="002874EA"/>
    <w:rsid w:val="00287CD3"/>
    <w:rsid w:val="00287E74"/>
    <w:rsid w:val="00290204"/>
    <w:rsid w:val="002903D6"/>
    <w:rsid w:val="002906A6"/>
    <w:rsid w:val="00290D12"/>
    <w:rsid w:val="00291DB8"/>
    <w:rsid w:val="002922EE"/>
    <w:rsid w:val="002923E8"/>
    <w:rsid w:val="002926ED"/>
    <w:rsid w:val="00292897"/>
    <w:rsid w:val="002928D7"/>
    <w:rsid w:val="00293034"/>
    <w:rsid w:val="002938C6"/>
    <w:rsid w:val="00293F65"/>
    <w:rsid w:val="00293FD7"/>
    <w:rsid w:val="002940BC"/>
    <w:rsid w:val="00295200"/>
    <w:rsid w:val="00295925"/>
    <w:rsid w:val="00295B4E"/>
    <w:rsid w:val="00296A2C"/>
    <w:rsid w:val="00296A4D"/>
    <w:rsid w:val="00296F7D"/>
    <w:rsid w:val="002973ED"/>
    <w:rsid w:val="002A1849"/>
    <w:rsid w:val="002A1EF2"/>
    <w:rsid w:val="002A22AA"/>
    <w:rsid w:val="002A2715"/>
    <w:rsid w:val="002A3296"/>
    <w:rsid w:val="002A39A3"/>
    <w:rsid w:val="002A3A57"/>
    <w:rsid w:val="002A3BA3"/>
    <w:rsid w:val="002A3CB1"/>
    <w:rsid w:val="002A3FF4"/>
    <w:rsid w:val="002A425F"/>
    <w:rsid w:val="002A44C2"/>
    <w:rsid w:val="002A46B7"/>
    <w:rsid w:val="002A4A83"/>
    <w:rsid w:val="002A4ADF"/>
    <w:rsid w:val="002A503D"/>
    <w:rsid w:val="002A541A"/>
    <w:rsid w:val="002A6A6B"/>
    <w:rsid w:val="002A6EBA"/>
    <w:rsid w:val="002A72EE"/>
    <w:rsid w:val="002A79A9"/>
    <w:rsid w:val="002A7A32"/>
    <w:rsid w:val="002B0292"/>
    <w:rsid w:val="002B02BA"/>
    <w:rsid w:val="002B055D"/>
    <w:rsid w:val="002B0D7C"/>
    <w:rsid w:val="002B1057"/>
    <w:rsid w:val="002B1200"/>
    <w:rsid w:val="002B1B23"/>
    <w:rsid w:val="002B1B61"/>
    <w:rsid w:val="002B1C8D"/>
    <w:rsid w:val="002B1F6E"/>
    <w:rsid w:val="002B2466"/>
    <w:rsid w:val="002B270F"/>
    <w:rsid w:val="002B27BC"/>
    <w:rsid w:val="002B330D"/>
    <w:rsid w:val="002B3F99"/>
    <w:rsid w:val="002B40BA"/>
    <w:rsid w:val="002B41E2"/>
    <w:rsid w:val="002B42FF"/>
    <w:rsid w:val="002B45E2"/>
    <w:rsid w:val="002B4AD8"/>
    <w:rsid w:val="002B4AF1"/>
    <w:rsid w:val="002B4FA8"/>
    <w:rsid w:val="002B519B"/>
    <w:rsid w:val="002B59CC"/>
    <w:rsid w:val="002B5F9F"/>
    <w:rsid w:val="002B673E"/>
    <w:rsid w:val="002B6870"/>
    <w:rsid w:val="002B6B4B"/>
    <w:rsid w:val="002B7E97"/>
    <w:rsid w:val="002C0149"/>
    <w:rsid w:val="002C0295"/>
    <w:rsid w:val="002C0B4C"/>
    <w:rsid w:val="002C1004"/>
    <w:rsid w:val="002C1375"/>
    <w:rsid w:val="002C15D0"/>
    <w:rsid w:val="002C1E19"/>
    <w:rsid w:val="002C209E"/>
    <w:rsid w:val="002C2153"/>
    <w:rsid w:val="002C2224"/>
    <w:rsid w:val="002C2536"/>
    <w:rsid w:val="002C2B29"/>
    <w:rsid w:val="002C2B67"/>
    <w:rsid w:val="002C4099"/>
    <w:rsid w:val="002C424A"/>
    <w:rsid w:val="002C4580"/>
    <w:rsid w:val="002C4D0A"/>
    <w:rsid w:val="002C5383"/>
    <w:rsid w:val="002C555C"/>
    <w:rsid w:val="002C612B"/>
    <w:rsid w:val="002C6B47"/>
    <w:rsid w:val="002C6D53"/>
    <w:rsid w:val="002C6E0E"/>
    <w:rsid w:val="002C6E3A"/>
    <w:rsid w:val="002C6F79"/>
    <w:rsid w:val="002C73F6"/>
    <w:rsid w:val="002C7C68"/>
    <w:rsid w:val="002D0323"/>
    <w:rsid w:val="002D063F"/>
    <w:rsid w:val="002D0CC4"/>
    <w:rsid w:val="002D12C2"/>
    <w:rsid w:val="002D15A4"/>
    <w:rsid w:val="002D1988"/>
    <w:rsid w:val="002D19C1"/>
    <w:rsid w:val="002D232A"/>
    <w:rsid w:val="002D27C9"/>
    <w:rsid w:val="002D2C47"/>
    <w:rsid w:val="002D2CAE"/>
    <w:rsid w:val="002D2E7E"/>
    <w:rsid w:val="002D35BD"/>
    <w:rsid w:val="002D36C7"/>
    <w:rsid w:val="002D370A"/>
    <w:rsid w:val="002D3821"/>
    <w:rsid w:val="002D3DCC"/>
    <w:rsid w:val="002D3F19"/>
    <w:rsid w:val="002D42A0"/>
    <w:rsid w:val="002D52F6"/>
    <w:rsid w:val="002D55DE"/>
    <w:rsid w:val="002D5F03"/>
    <w:rsid w:val="002D624B"/>
    <w:rsid w:val="002D695F"/>
    <w:rsid w:val="002D6981"/>
    <w:rsid w:val="002D6CAE"/>
    <w:rsid w:val="002D713F"/>
    <w:rsid w:val="002D73C9"/>
    <w:rsid w:val="002D78F5"/>
    <w:rsid w:val="002E0209"/>
    <w:rsid w:val="002E045E"/>
    <w:rsid w:val="002E0470"/>
    <w:rsid w:val="002E04F8"/>
    <w:rsid w:val="002E051A"/>
    <w:rsid w:val="002E0AA5"/>
    <w:rsid w:val="002E0DE0"/>
    <w:rsid w:val="002E120D"/>
    <w:rsid w:val="002E1416"/>
    <w:rsid w:val="002E1DDD"/>
    <w:rsid w:val="002E2C4C"/>
    <w:rsid w:val="002E32B8"/>
    <w:rsid w:val="002E3507"/>
    <w:rsid w:val="002E39C5"/>
    <w:rsid w:val="002E3FE4"/>
    <w:rsid w:val="002E430C"/>
    <w:rsid w:val="002E46BB"/>
    <w:rsid w:val="002E4723"/>
    <w:rsid w:val="002E4DFF"/>
    <w:rsid w:val="002E5870"/>
    <w:rsid w:val="002E5B4C"/>
    <w:rsid w:val="002E5BA0"/>
    <w:rsid w:val="002E5DE0"/>
    <w:rsid w:val="002E77B5"/>
    <w:rsid w:val="002E7F0A"/>
    <w:rsid w:val="002F066C"/>
    <w:rsid w:val="002F096F"/>
    <w:rsid w:val="002F0B8A"/>
    <w:rsid w:val="002F0E87"/>
    <w:rsid w:val="002F0F77"/>
    <w:rsid w:val="002F111C"/>
    <w:rsid w:val="002F1331"/>
    <w:rsid w:val="002F13E6"/>
    <w:rsid w:val="002F148C"/>
    <w:rsid w:val="002F1590"/>
    <w:rsid w:val="002F1BB3"/>
    <w:rsid w:val="002F1E2E"/>
    <w:rsid w:val="002F1FB4"/>
    <w:rsid w:val="002F2042"/>
    <w:rsid w:val="002F25EC"/>
    <w:rsid w:val="002F2C27"/>
    <w:rsid w:val="002F375C"/>
    <w:rsid w:val="002F3C9C"/>
    <w:rsid w:val="002F3E7D"/>
    <w:rsid w:val="002F43A6"/>
    <w:rsid w:val="002F4F60"/>
    <w:rsid w:val="002F51D4"/>
    <w:rsid w:val="002F5420"/>
    <w:rsid w:val="002F5A67"/>
    <w:rsid w:val="002F5FBD"/>
    <w:rsid w:val="002F6488"/>
    <w:rsid w:val="002F6D0E"/>
    <w:rsid w:val="002F73A0"/>
    <w:rsid w:val="003000B4"/>
    <w:rsid w:val="0030097B"/>
    <w:rsid w:val="00300A97"/>
    <w:rsid w:val="00300F4A"/>
    <w:rsid w:val="00301C9A"/>
    <w:rsid w:val="00301F57"/>
    <w:rsid w:val="003026B8"/>
    <w:rsid w:val="003026EB"/>
    <w:rsid w:val="00302969"/>
    <w:rsid w:val="003039DF"/>
    <w:rsid w:val="0030413D"/>
    <w:rsid w:val="003049C0"/>
    <w:rsid w:val="00304DAD"/>
    <w:rsid w:val="00304DF1"/>
    <w:rsid w:val="0030566A"/>
    <w:rsid w:val="003056F9"/>
    <w:rsid w:val="00305979"/>
    <w:rsid w:val="00305B81"/>
    <w:rsid w:val="00305DE0"/>
    <w:rsid w:val="00305FAC"/>
    <w:rsid w:val="0030646F"/>
    <w:rsid w:val="00306CE9"/>
    <w:rsid w:val="00306FE1"/>
    <w:rsid w:val="003071FE"/>
    <w:rsid w:val="00307420"/>
    <w:rsid w:val="003074F7"/>
    <w:rsid w:val="003103CE"/>
    <w:rsid w:val="0031074F"/>
    <w:rsid w:val="00310792"/>
    <w:rsid w:val="00310AB1"/>
    <w:rsid w:val="00310F5E"/>
    <w:rsid w:val="00310FED"/>
    <w:rsid w:val="0031115B"/>
    <w:rsid w:val="00311566"/>
    <w:rsid w:val="00311611"/>
    <w:rsid w:val="00311690"/>
    <w:rsid w:val="00313FF8"/>
    <w:rsid w:val="003146F7"/>
    <w:rsid w:val="0031474F"/>
    <w:rsid w:val="00314B45"/>
    <w:rsid w:val="00315142"/>
    <w:rsid w:val="0031603C"/>
    <w:rsid w:val="0031651E"/>
    <w:rsid w:val="00316F1B"/>
    <w:rsid w:val="00317092"/>
    <w:rsid w:val="003177C2"/>
    <w:rsid w:val="00317C22"/>
    <w:rsid w:val="00320A25"/>
    <w:rsid w:val="00321001"/>
    <w:rsid w:val="00321248"/>
    <w:rsid w:val="00321946"/>
    <w:rsid w:val="00321A1F"/>
    <w:rsid w:val="00321D92"/>
    <w:rsid w:val="00321EF8"/>
    <w:rsid w:val="003224C5"/>
    <w:rsid w:val="00322660"/>
    <w:rsid w:val="003226FF"/>
    <w:rsid w:val="003233C4"/>
    <w:rsid w:val="00323436"/>
    <w:rsid w:val="00323A96"/>
    <w:rsid w:val="003241F6"/>
    <w:rsid w:val="003248ED"/>
    <w:rsid w:val="00325256"/>
    <w:rsid w:val="00325C7F"/>
    <w:rsid w:val="0032622F"/>
    <w:rsid w:val="0032654A"/>
    <w:rsid w:val="00326855"/>
    <w:rsid w:val="00326936"/>
    <w:rsid w:val="00326FA8"/>
    <w:rsid w:val="003301C6"/>
    <w:rsid w:val="00330263"/>
    <w:rsid w:val="00330618"/>
    <w:rsid w:val="00330821"/>
    <w:rsid w:val="00331A3D"/>
    <w:rsid w:val="0033238F"/>
    <w:rsid w:val="00333A93"/>
    <w:rsid w:val="00334507"/>
    <w:rsid w:val="00335404"/>
    <w:rsid w:val="00335C87"/>
    <w:rsid w:val="003360CD"/>
    <w:rsid w:val="0033692A"/>
    <w:rsid w:val="00336D41"/>
    <w:rsid w:val="0033701B"/>
    <w:rsid w:val="0033794F"/>
    <w:rsid w:val="00337F00"/>
    <w:rsid w:val="003405CA"/>
    <w:rsid w:val="003408D2"/>
    <w:rsid w:val="00340A08"/>
    <w:rsid w:val="00340B21"/>
    <w:rsid w:val="00340DAB"/>
    <w:rsid w:val="00341BF9"/>
    <w:rsid w:val="003421BD"/>
    <w:rsid w:val="00342429"/>
    <w:rsid w:val="00342823"/>
    <w:rsid w:val="00342F51"/>
    <w:rsid w:val="00343144"/>
    <w:rsid w:val="00343C25"/>
    <w:rsid w:val="00343D34"/>
    <w:rsid w:val="00344781"/>
    <w:rsid w:val="00344D1A"/>
    <w:rsid w:val="00344DD0"/>
    <w:rsid w:val="00344F5E"/>
    <w:rsid w:val="00344FAF"/>
    <w:rsid w:val="003452DA"/>
    <w:rsid w:val="00345F66"/>
    <w:rsid w:val="003467A1"/>
    <w:rsid w:val="00347096"/>
    <w:rsid w:val="0034752B"/>
    <w:rsid w:val="003476A1"/>
    <w:rsid w:val="003501E5"/>
    <w:rsid w:val="0035045F"/>
    <w:rsid w:val="00350EBD"/>
    <w:rsid w:val="00350FAD"/>
    <w:rsid w:val="003513E3"/>
    <w:rsid w:val="003514CF"/>
    <w:rsid w:val="00351506"/>
    <w:rsid w:val="003516E4"/>
    <w:rsid w:val="00351731"/>
    <w:rsid w:val="00351A7E"/>
    <w:rsid w:val="00351BD6"/>
    <w:rsid w:val="003524B0"/>
    <w:rsid w:val="003527E7"/>
    <w:rsid w:val="00352D65"/>
    <w:rsid w:val="00352D90"/>
    <w:rsid w:val="00353588"/>
    <w:rsid w:val="0035368D"/>
    <w:rsid w:val="003537F1"/>
    <w:rsid w:val="00353F78"/>
    <w:rsid w:val="003557B7"/>
    <w:rsid w:val="0035744C"/>
    <w:rsid w:val="00360EC2"/>
    <w:rsid w:val="00361164"/>
    <w:rsid w:val="00362045"/>
    <w:rsid w:val="003621AD"/>
    <w:rsid w:val="00362353"/>
    <w:rsid w:val="0036262E"/>
    <w:rsid w:val="00362EF5"/>
    <w:rsid w:val="0036300A"/>
    <w:rsid w:val="003633B0"/>
    <w:rsid w:val="00363A57"/>
    <w:rsid w:val="00363E53"/>
    <w:rsid w:val="00363F68"/>
    <w:rsid w:val="003649E9"/>
    <w:rsid w:val="00364F4C"/>
    <w:rsid w:val="00365079"/>
    <w:rsid w:val="00365530"/>
    <w:rsid w:val="00366A02"/>
    <w:rsid w:val="00366B46"/>
    <w:rsid w:val="0036768B"/>
    <w:rsid w:val="00367B1F"/>
    <w:rsid w:val="003705F2"/>
    <w:rsid w:val="0037078C"/>
    <w:rsid w:val="00370E22"/>
    <w:rsid w:val="0037132A"/>
    <w:rsid w:val="00371991"/>
    <w:rsid w:val="00371BB4"/>
    <w:rsid w:val="00372AE6"/>
    <w:rsid w:val="00373063"/>
    <w:rsid w:val="00373080"/>
    <w:rsid w:val="003736CA"/>
    <w:rsid w:val="00373911"/>
    <w:rsid w:val="00373A66"/>
    <w:rsid w:val="00373ABC"/>
    <w:rsid w:val="00373E25"/>
    <w:rsid w:val="00373FCA"/>
    <w:rsid w:val="0037418D"/>
    <w:rsid w:val="003746AC"/>
    <w:rsid w:val="003747C9"/>
    <w:rsid w:val="00375873"/>
    <w:rsid w:val="0037610F"/>
    <w:rsid w:val="00376A71"/>
    <w:rsid w:val="003770CE"/>
    <w:rsid w:val="00380D09"/>
    <w:rsid w:val="00380F4E"/>
    <w:rsid w:val="00380F81"/>
    <w:rsid w:val="0038170D"/>
    <w:rsid w:val="00381D7C"/>
    <w:rsid w:val="0038203B"/>
    <w:rsid w:val="0038255D"/>
    <w:rsid w:val="003828BA"/>
    <w:rsid w:val="00384555"/>
    <w:rsid w:val="003845EF"/>
    <w:rsid w:val="00384BF3"/>
    <w:rsid w:val="00384D6A"/>
    <w:rsid w:val="0038519E"/>
    <w:rsid w:val="003853FB"/>
    <w:rsid w:val="0038615B"/>
    <w:rsid w:val="00386BDE"/>
    <w:rsid w:val="00386CBF"/>
    <w:rsid w:val="003870D7"/>
    <w:rsid w:val="00387253"/>
    <w:rsid w:val="003873DE"/>
    <w:rsid w:val="003906D3"/>
    <w:rsid w:val="00391BBA"/>
    <w:rsid w:val="0039272A"/>
    <w:rsid w:val="00392D7B"/>
    <w:rsid w:val="00392F64"/>
    <w:rsid w:val="00392FAA"/>
    <w:rsid w:val="003934E6"/>
    <w:rsid w:val="003936FE"/>
    <w:rsid w:val="0039391E"/>
    <w:rsid w:val="00393A8D"/>
    <w:rsid w:val="00393D55"/>
    <w:rsid w:val="00393EA4"/>
    <w:rsid w:val="00394061"/>
    <w:rsid w:val="003940DF"/>
    <w:rsid w:val="0039450B"/>
    <w:rsid w:val="0039469E"/>
    <w:rsid w:val="00394CA6"/>
    <w:rsid w:val="00394F18"/>
    <w:rsid w:val="003956A2"/>
    <w:rsid w:val="00395754"/>
    <w:rsid w:val="00395C8D"/>
    <w:rsid w:val="00396890"/>
    <w:rsid w:val="00397264"/>
    <w:rsid w:val="0039736F"/>
    <w:rsid w:val="00397F46"/>
    <w:rsid w:val="003A0AA5"/>
    <w:rsid w:val="003A0D83"/>
    <w:rsid w:val="003A1464"/>
    <w:rsid w:val="003A1A07"/>
    <w:rsid w:val="003A1E87"/>
    <w:rsid w:val="003A20AA"/>
    <w:rsid w:val="003A2173"/>
    <w:rsid w:val="003A2EF8"/>
    <w:rsid w:val="003A3447"/>
    <w:rsid w:val="003A3513"/>
    <w:rsid w:val="003A3C7F"/>
    <w:rsid w:val="003A3D3F"/>
    <w:rsid w:val="003A3D9F"/>
    <w:rsid w:val="003A3DC3"/>
    <w:rsid w:val="003A440C"/>
    <w:rsid w:val="003A44F5"/>
    <w:rsid w:val="003A4B57"/>
    <w:rsid w:val="003A51C6"/>
    <w:rsid w:val="003A587E"/>
    <w:rsid w:val="003A6A55"/>
    <w:rsid w:val="003A75A9"/>
    <w:rsid w:val="003A75F5"/>
    <w:rsid w:val="003A78E6"/>
    <w:rsid w:val="003B00EA"/>
    <w:rsid w:val="003B0263"/>
    <w:rsid w:val="003B038F"/>
    <w:rsid w:val="003B0B27"/>
    <w:rsid w:val="003B126D"/>
    <w:rsid w:val="003B153B"/>
    <w:rsid w:val="003B1E6B"/>
    <w:rsid w:val="003B1FA4"/>
    <w:rsid w:val="003B22E9"/>
    <w:rsid w:val="003B243A"/>
    <w:rsid w:val="003B248C"/>
    <w:rsid w:val="003B2494"/>
    <w:rsid w:val="003B39F0"/>
    <w:rsid w:val="003B3A2A"/>
    <w:rsid w:val="003B3E70"/>
    <w:rsid w:val="003B4980"/>
    <w:rsid w:val="003B4F2D"/>
    <w:rsid w:val="003B558E"/>
    <w:rsid w:val="003B5799"/>
    <w:rsid w:val="003B7721"/>
    <w:rsid w:val="003B773D"/>
    <w:rsid w:val="003B77DA"/>
    <w:rsid w:val="003B78E1"/>
    <w:rsid w:val="003C09A2"/>
    <w:rsid w:val="003C1032"/>
    <w:rsid w:val="003C1C19"/>
    <w:rsid w:val="003C1CFC"/>
    <w:rsid w:val="003C234A"/>
    <w:rsid w:val="003C23CA"/>
    <w:rsid w:val="003C27A2"/>
    <w:rsid w:val="003C2C05"/>
    <w:rsid w:val="003C35B8"/>
    <w:rsid w:val="003C380A"/>
    <w:rsid w:val="003C3850"/>
    <w:rsid w:val="003C3963"/>
    <w:rsid w:val="003C3B73"/>
    <w:rsid w:val="003C3E20"/>
    <w:rsid w:val="003C4323"/>
    <w:rsid w:val="003C4683"/>
    <w:rsid w:val="003C554A"/>
    <w:rsid w:val="003C5635"/>
    <w:rsid w:val="003C57F6"/>
    <w:rsid w:val="003C5C5B"/>
    <w:rsid w:val="003C6664"/>
    <w:rsid w:val="003C66C2"/>
    <w:rsid w:val="003C681E"/>
    <w:rsid w:val="003C7323"/>
    <w:rsid w:val="003C76A1"/>
    <w:rsid w:val="003C7BBC"/>
    <w:rsid w:val="003C7E0E"/>
    <w:rsid w:val="003D06F5"/>
    <w:rsid w:val="003D0EDD"/>
    <w:rsid w:val="003D173E"/>
    <w:rsid w:val="003D1882"/>
    <w:rsid w:val="003D1E17"/>
    <w:rsid w:val="003D22D5"/>
    <w:rsid w:val="003D24D7"/>
    <w:rsid w:val="003D2B4B"/>
    <w:rsid w:val="003D2BAD"/>
    <w:rsid w:val="003D2DA4"/>
    <w:rsid w:val="003D2E71"/>
    <w:rsid w:val="003D39BC"/>
    <w:rsid w:val="003D3D3A"/>
    <w:rsid w:val="003D3DF6"/>
    <w:rsid w:val="003D3E02"/>
    <w:rsid w:val="003D3F4C"/>
    <w:rsid w:val="003D3FE8"/>
    <w:rsid w:val="003D4218"/>
    <w:rsid w:val="003D42CA"/>
    <w:rsid w:val="003D43DA"/>
    <w:rsid w:val="003D43E0"/>
    <w:rsid w:val="003D47CC"/>
    <w:rsid w:val="003D5083"/>
    <w:rsid w:val="003D5264"/>
    <w:rsid w:val="003D6201"/>
    <w:rsid w:val="003D6DFF"/>
    <w:rsid w:val="003D7979"/>
    <w:rsid w:val="003D7BB8"/>
    <w:rsid w:val="003D7E78"/>
    <w:rsid w:val="003E03FF"/>
    <w:rsid w:val="003E0B58"/>
    <w:rsid w:val="003E15FC"/>
    <w:rsid w:val="003E1B37"/>
    <w:rsid w:val="003E1E28"/>
    <w:rsid w:val="003E2189"/>
    <w:rsid w:val="003E2231"/>
    <w:rsid w:val="003E2D16"/>
    <w:rsid w:val="003E3495"/>
    <w:rsid w:val="003E37ED"/>
    <w:rsid w:val="003E37F4"/>
    <w:rsid w:val="003E386F"/>
    <w:rsid w:val="003E4245"/>
    <w:rsid w:val="003E465D"/>
    <w:rsid w:val="003E4D0E"/>
    <w:rsid w:val="003E4F71"/>
    <w:rsid w:val="003E522B"/>
    <w:rsid w:val="003E5530"/>
    <w:rsid w:val="003E55A9"/>
    <w:rsid w:val="003E5938"/>
    <w:rsid w:val="003E61DA"/>
    <w:rsid w:val="003E6558"/>
    <w:rsid w:val="003E6756"/>
    <w:rsid w:val="003E6F05"/>
    <w:rsid w:val="003E6F32"/>
    <w:rsid w:val="003E7809"/>
    <w:rsid w:val="003E7A46"/>
    <w:rsid w:val="003E7C5C"/>
    <w:rsid w:val="003E7ECA"/>
    <w:rsid w:val="003F0C9D"/>
    <w:rsid w:val="003F0D84"/>
    <w:rsid w:val="003F18E5"/>
    <w:rsid w:val="003F1A29"/>
    <w:rsid w:val="003F2356"/>
    <w:rsid w:val="003F2424"/>
    <w:rsid w:val="003F2A5C"/>
    <w:rsid w:val="003F33C6"/>
    <w:rsid w:val="003F3855"/>
    <w:rsid w:val="003F3900"/>
    <w:rsid w:val="003F3BD0"/>
    <w:rsid w:val="003F3C25"/>
    <w:rsid w:val="003F3DB1"/>
    <w:rsid w:val="003F3DE2"/>
    <w:rsid w:val="003F4366"/>
    <w:rsid w:val="003F4884"/>
    <w:rsid w:val="003F4D86"/>
    <w:rsid w:val="003F4D9D"/>
    <w:rsid w:val="003F4DBF"/>
    <w:rsid w:val="003F52AD"/>
    <w:rsid w:val="003F62E3"/>
    <w:rsid w:val="003F6983"/>
    <w:rsid w:val="003F6DFE"/>
    <w:rsid w:val="003F7ABB"/>
    <w:rsid w:val="003F7AE7"/>
    <w:rsid w:val="003F7B0B"/>
    <w:rsid w:val="003F7D3A"/>
    <w:rsid w:val="0040015F"/>
    <w:rsid w:val="00400725"/>
    <w:rsid w:val="0040077A"/>
    <w:rsid w:val="00401210"/>
    <w:rsid w:val="00401ABB"/>
    <w:rsid w:val="00401EFC"/>
    <w:rsid w:val="004024B0"/>
    <w:rsid w:val="0040258E"/>
    <w:rsid w:val="00402723"/>
    <w:rsid w:val="00402DE3"/>
    <w:rsid w:val="00403474"/>
    <w:rsid w:val="004037D1"/>
    <w:rsid w:val="0040385D"/>
    <w:rsid w:val="00403F22"/>
    <w:rsid w:val="0040446F"/>
    <w:rsid w:val="004050A6"/>
    <w:rsid w:val="004050CC"/>
    <w:rsid w:val="00405529"/>
    <w:rsid w:val="00405958"/>
    <w:rsid w:val="004059E8"/>
    <w:rsid w:val="00405E9A"/>
    <w:rsid w:val="004062C0"/>
    <w:rsid w:val="004067A3"/>
    <w:rsid w:val="0040696A"/>
    <w:rsid w:val="00406EB0"/>
    <w:rsid w:val="0040790E"/>
    <w:rsid w:val="004103DB"/>
    <w:rsid w:val="00410F1F"/>
    <w:rsid w:val="00410F7D"/>
    <w:rsid w:val="00411200"/>
    <w:rsid w:val="004112AA"/>
    <w:rsid w:val="0041155F"/>
    <w:rsid w:val="0041191B"/>
    <w:rsid w:val="00411B47"/>
    <w:rsid w:val="00411B8A"/>
    <w:rsid w:val="00411C4A"/>
    <w:rsid w:val="0041220C"/>
    <w:rsid w:val="004124FE"/>
    <w:rsid w:val="00412D71"/>
    <w:rsid w:val="0041354D"/>
    <w:rsid w:val="00414152"/>
    <w:rsid w:val="004143A8"/>
    <w:rsid w:val="00414990"/>
    <w:rsid w:val="00414E56"/>
    <w:rsid w:val="004155C6"/>
    <w:rsid w:val="00416B07"/>
    <w:rsid w:val="00416C5B"/>
    <w:rsid w:val="00416E6C"/>
    <w:rsid w:val="00416F0A"/>
    <w:rsid w:val="004175EE"/>
    <w:rsid w:val="00417AFB"/>
    <w:rsid w:val="00417DA3"/>
    <w:rsid w:val="00417FF2"/>
    <w:rsid w:val="00420294"/>
    <w:rsid w:val="004205B3"/>
    <w:rsid w:val="004212E8"/>
    <w:rsid w:val="00421A4C"/>
    <w:rsid w:val="00421C9C"/>
    <w:rsid w:val="00421CEE"/>
    <w:rsid w:val="00422A2D"/>
    <w:rsid w:val="00422E10"/>
    <w:rsid w:val="00423387"/>
    <w:rsid w:val="004233B7"/>
    <w:rsid w:val="00423497"/>
    <w:rsid w:val="00423650"/>
    <w:rsid w:val="00423A79"/>
    <w:rsid w:val="0042472C"/>
    <w:rsid w:val="00424A37"/>
    <w:rsid w:val="00424FD0"/>
    <w:rsid w:val="00425056"/>
    <w:rsid w:val="0042506C"/>
    <w:rsid w:val="00425533"/>
    <w:rsid w:val="00425B44"/>
    <w:rsid w:val="00425B55"/>
    <w:rsid w:val="00425E95"/>
    <w:rsid w:val="00425F38"/>
    <w:rsid w:val="00425FCD"/>
    <w:rsid w:val="00426D48"/>
    <w:rsid w:val="004272E1"/>
    <w:rsid w:val="00427443"/>
    <w:rsid w:val="00427A97"/>
    <w:rsid w:val="00427B53"/>
    <w:rsid w:val="004302B8"/>
    <w:rsid w:val="0043080A"/>
    <w:rsid w:val="00431B0D"/>
    <w:rsid w:val="00431CEB"/>
    <w:rsid w:val="00432C69"/>
    <w:rsid w:val="00432DD6"/>
    <w:rsid w:val="0043340C"/>
    <w:rsid w:val="00433727"/>
    <w:rsid w:val="0043374C"/>
    <w:rsid w:val="00433D2C"/>
    <w:rsid w:val="00433ECD"/>
    <w:rsid w:val="0043411B"/>
    <w:rsid w:val="00434D61"/>
    <w:rsid w:val="00434F6A"/>
    <w:rsid w:val="00435054"/>
    <w:rsid w:val="004354D5"/>
    <w:rsid w:val="00435E77"/>
    <w:rsid w:val="00436E4B"/>
    <w:rsid w:val="004374CD"/>
    <w:rsid w:val="004376E7"/>
    <w:rsid w:val="00437E34"/>
    <w:rsid w:val="00441527"/>
    <w:rsid w:val="004417ED"/>
    <w:rsid w:val="00442FC0"/>
    <w:rsid w:val="0044391B"/>
    <w:rsid w:val="00443C2C"/>
    <w:rsid w:val="00443F66"/>
    <w:rsid w:val="0044435C"/>
    <w:rsid w:val="004443F4"/>
    <w:rsid w:val="004448C6"/>
    <w:rsid w:val="00444917"/>
    <w:rsid w:val="0044491E"/>
    <w:rsid w:val="00444D0E"/>
    <w:rsid w:val="00445DFA"/>
    <w:rsid w:val="004466E0"/>
    <w:rsid w:val="00447F91"/>
    <w:rsid w:val="0045013F"/>
    <w:rsid w:val="00450651"/>
    <w:rsid w:val="0045158A"/>
    <w:rsid w:val="00452259"/>
    <w:rsid w:val="00452DCC"/>
    <w:rsid w:val="00453477"/>
    <w:rsid w:val="00453B89"/>
    <w:rsid w:val="00454507"/>
    <w:rsid w:val="00454640"/>
    <w:rsid w:val="00454F85"/>
    <w:rsid w:val="0045554E"/>
    <w:rsid w:val="004563B7"/>
    <w:rsid w:val="004575E6"/>
    <w:rsid w:val="004575F0"/>
    <w:rsid w:val="00457A30"/>
    <w:rsid w:val="00457E27"/>
    <w:rsid w:val="004601EB"/>
    <w:rsid w:val="00461079"/>
    <w:rsid w:val="004611DD"/>
    <w:rsid w:val="00462981"/>
    <w:rsid w:val="0046298E"/>
    <w:rsid w:val="004629AB"/>
    <w:rsid w:val="0046326D"/>
    <w:rsid w:val="004634A3"/>
    <w:rsid w:val="00463DD3"/>
    <w:rsid w:val="0046410B"/>
    <w:rsid w:val="00464D5E"/>
    <w:rsid w:val="00465395"/>
    <w:rsid w:val="004657C4"/>
    <w:rsid w:val="0046650C"/>
    <w:rsid w:val="00467115"/>
    <w:rsid w:val="00467468"/>
    <w:rsid w:val="0046760E"/>
    <w:rsid w:val="00467E36"/>
    <w:rsid w:val="0047031F"/>
    <w:rsid w:val="00470AB7"/>
    <w:rsid w:val="004710B8"/>
    <w:rsid w:val="0047123D"/>
    <w:rsid w:val="004719E8"/>
    <w:rsid w:val="00472B8D"/>
    <w:rsid w:val="00473868"/>
    <w:rsid w:val="004740B1"/>
    <w:rsid w:val="004747D7"/>
    <w:rsid w:val="00474A04"/>
    <w:rsid w:val="00475897"/>
    <w:rsid w:val="0047610D"/>
    <w:rsid w:val="004767AE"/>
    <w:rsid w:val="00476940"/>
    <w:rsid w:val="00476A0C"/>
    <w:rsid w:val="00476B9B"/>
    <w:rsid w:val="00476EA1"/>
    <w:rsid w:val="00477661"/>
    <w:rsid w:val="00477A6A"/>
    <w:rsid w:val="0048054C"/>
    <w:rsid w:val="0048057C"/>
    <w:rsid w:val="00480FDF"/>
    <w:rsid w:val="00481171"/>
    <w:rsid w:val="004811E0"/>
    <w:rsid w:val="004819DB"/>
    <w:rsid w:val="00481A39"/>
    <w:rsid w:val="00481B41"/>
    <w:rsid w:val="00481D3F"/>
    <w:rsid w:val="00481E5B"/>
    <w:rsid w:val="00482561"/>
    <w:rsid w:val="00483199"/>
    <w:rsid w:val="004847DC"/>
    <w:rsid w:val="00484FB0"/>
    <w:rsid w:val="004855BF"/>
    <w:rsid w:val="00486272"/>
    <w:rsid w:val="00486433"/>
    <w:rsid w:val="00486DC2"/>
    <w:rsid w:val="004873D3"/>
    <w:rsid w:val="004876F8"/>
    <w:rsid w:val="0048793E"/>
    <w:rsid w:val="00487B07"/>
    <w:rsid w:val="00490807"/>
    <w:rsid w:val="004917DE"/>
    <w:rsid w:val="00491835"/>
    <w:rsid w:val="00491AD2"/>
    <w:rsid w:val="004928B0"/>
    <w:rsid w:val="00492F33"/>
    <w:rsid w:val="004930CC"/>
    <w:rsid w:val="00493C82"/>
    <w:rsid w:val="00493EEF"/>
    <w:rsid w:val="00493F3B"/>
    <w:rsid w:val="00494185"/>
    <w:rsid w:val="00494A95"/>
    <w:rsid w:val="00495870"/>
    <w:rsid w:val="00495A89"/>
    <w:rsid w:val="00496795"/>
    <w:rsid w:val="00496ACA"/>
    <w:rsid w:val="00496C5B"/>
    <w:rsid w:val="004970AD"/>
    <w:rsid w:val="004974CF"/>
    <w:rsid w:val="004974FF"/>
    <w:rsid w:val="004978C1"/>
    <w:rsid w:val="004A01CF"/>
    <w:rsid w:val="004A03AD"/>
    <w:rsid w:val="004A06D9"/>
    <w:rsid w:val="004A0BFD"/>
    <w:rsid w:val="004A146A"/>
    <w:rsid w:val="004A14E9"/>
    <w:rsid w:val="004A2B6E"/>
    <w:rsid w:val="004A312D"/>
    <w:rsid w:val="004A3329"/>
    <w:rsid w:val="004A3E75"/>
    <w:rsid w:val="004A4188"/>
    <w:rsid w:val="004A4D99"/>
    <w:rsid w:val="004A4E60"/>
    <w:rsid w:val="004A4EC7"/>
    <w:rsid w:val="004A51D4"/>
    <w:rsid w:val="004A5483"/>
    <w:rsid w:val="004A5C74"/>
    <w:rsid w:val="004A6327"/>
    <w:rsid w:val="004A681E"/>
    <w:rsid w:val="004A7053"/>
    <w:rsid w:val="004A73E3"/>
    <w:rsid w:val="004A7602"/>
    <w:rsid w:val="004A76DC"/>
    <w:rsid w:val="004B058F"/>
    <w:rsid w:val="004B08B2"/>
    <w:rsid w:val="004B1166"/>
    <w:rsid w:val="004B1267"/>
    <w:rsid w:val="004B19B1"/>
    <w:rsid w:val="004B1E9E"/>
    <w:rsid w:val="004B2029"/>
    <w:rsid w:val="004B20D1"/>
    <w:rsid w:val="004B2145"/>
    <w:rsid w:val="004B2642"/>
    <w:rsid w:val="004B2CFD"/>
    <w:rsid w:val="004B3181"/>
    <w:rsid w:val="004B382E"/>
    <w:rsid w:val="004B459B"/>
    <w:rsid w:val="004B4DBB"/>
    <w:rsid w:val="004B56F9"/>
    <w:rsid w:val="004B5D69"/>
    <w:rsid w:val="004B5E42"/>
    <w:rsid w:val="004B5ED6"/>
    <w:rsid w:val="004B5F11"/>
    <w:rsid w:val="004B605A"/>
    <w:rsid w:val="004B6742"/>
    <w:rsid w:val="004B67EA"/>
    <w:rsid w:val="004B69B2"/>
    <w:rsid w:val="004B7476"/>
    <w:rsid w:val="004B7849"/>
    <w:rsid w:val="004B7AD8"/>
    <w:rsid w:val="004B7BDF"/>
    <w:rsid w:val="004B7DDC"/>
    <w:rsid w:val="004C0BFB"/>
    <w:rsid w:val="004C1309"/>
    <w:rsid w:val="004C15DC"/>
    <w:rsid w:val="004C1985"/>
    <w:rsid w:val="004C287D"/>
    <w:rsid w:val="004C30F0"/>
    <w:rsid w:val="004C39E7"/>
    <w:rsid w:val="004C3F22"/>
    <w:rsid w:val="004C3FDD"/>
    <w:rsid w:val="004C42C7"/>
    <w:rsid w:val="004C4C13"/>
    <w:rsid w:val="004C50AB"/>
    <w:rsid w:val="004C518F"/>
    <w:rsid w:val="004C5C54"/>
    <w:rsid w:val="004C615B"/>
    <w:rsid w:val="004C6341"/>
    <w:rsid w:val="004C6857"/>
    <w:rsid w:val="004C6BA0"/>
    <w:rsid w:val="004C7106"/>
    <w:rsid w:val="004C7810"/>
    <w:rsid w:val="004C7AD9"/>
    <w:rsid w:val="004D0354"/>
    <w:rsid w:val="004D0729"/>
    <w:rsid w:val="004D08AF"/>
    <w:rsid w:val="004D0E53"/>
    <w:rsid w:val="004D12E8"/>
    <w:rsid w:val="004D1770"/>
    <w:rsid w:val="004D1965"/>
    <w:rsid w:val="004D1A88"/>
    <w:rsid w:val="004D26B2"/>
    <w:rsid w:val="004D2DED"/>
    <w:rsid w:val="004D2E45"/>
    <w:rsid w:val="004D37A1"/>
    <w:rsid w:val="004D3A05"/>
    <w:rsid w:val="004D4166"/>
    <w:rsid w:val="004D439C"/>
    <w:rsid w:val="004D497D"/>
    <w:rsid w:val="004D4C48"/>
    <w:rsid w:val="004D53AC"/>
    <w:rsid w:val="004D5C94"/>
    <w:rsid w:val="004D640C"/>
    <w:rsid w:val="004D67F9"/>
    <w:rsid w:val="004D699D"/>
    <w:rsid w:val="004D69B4"/>
    <w:rsid w:val="004D7989"/>
    <w:rsid w:val="004D7B8D"/>
    <w:rsid w:val="004D7C30"/>
    <w:rsid w:val="004D7CD2"/>
    <w:rsid w:val="004E00A3"/>
    <w:rsid w:val="004E04BE"/>
    <w:rsid w:val="004E0623"/>
    <w:rsid w:val="004E0896"/>
    <w:rsid w:val="004E08DC"/>
    <w:rsid w:val="004E1230"/>
    <w:rsid w:val="004E12FF"/>
    <w:rsid w:val="004E1DA8"/>
    <w:rsid w:val="004E2CF7"/>
    <w:rsid w:val="004E2F97"/>
    <w:rsid w:val="004E3A1A"/>
    <w:rsid w:val="004E4111"/>
    <w:rsid w:val="004E4285"/>
    <w:rsid w:val="004E4AFF"/>
    <w:rsid w:val="004E5069"/>
    <w:rsid w:val="004E5213"/>
    <w:rsid w:val="004E5735"/>
    <w:rsid w:val="004E57B0"/>
    <w:rsid w:val="004E5816"/>
    <w:rsid w:val="004E6542"/>
    <w:rsid w:val="004E66DE"/>
    <w:rsid w:val="004E678D"/>
    <w:rsid w:val="004E7556"/>
    <w:rsid w:val="004E7913"/>
    <w:rsid w:val="004E7F54"/>
    <w:rsid w:val="004F01B1"/>
    <w:rsid w:val="004F075B"/>
    <w:rsid w:val="004F0C0D"/>
    <w:rsid w:val="004F1BD4"/>
    <w:rsid w:val="004F1FA2"/>
    <w:rsid w:val="004F2886"/>
    <w:rsid w:val="004F31EC"/>
    <w:rsid w:val="004F3AFA"/>
    <w:rsid w:val="004F3EA0"/>
    <w:rsid w:val="004F419B"/>
    <w:rsid w:val="004F4518"/>
    <w:rsid w:val="004F4D91"/>
    <w:rsid w:val="004F4EA1"/>
    <w:rsid w:val="004F5297"/>
    <w:rsid w:val="004F5CA2"/>
    <w:rsid w:val="004F6397"/>
    <w:rsid w:val="004F69B7"/>
    <w:rsid w:val="004F6B45"/>
    <w:rsid w:val="004F6E93"/>
    <w:rsid w:val="004F760C"/>
    <w:rsid w:val="004F79BB"/>
    <w:rsid w:val="004F7D9D"/>
    <w:rsid w:val="00500568"/>
    <w:rsid w:val="00501300"/>
    <w:rsid w:val="0050135C"/>
    <w:rsid w:val="00501383"/>
    <w:rsid w:val="00501897"/>
    <w:rsid w:val="00501DCF"/>
    <w:rsid w:val="00501E7B"/>
    <w:rsid w:val="00502228"/>
    <w:rsid w:val="005023DC"/>
    <w:rsid w:val="00502560"/>
    <w:rsid w:val="0050276C"/>
    <w:rsid w:val="00502D82"/>
    <w:rsid w:val="005040F2"/>
    <w:rsid w:val="0050467C"/>
    <w:rsid w:val="005046F6"/>
    <w:rsid w:val="00504E44"/>
    <w:rsid w:val="00504F8D"/>
    <w:rsid w:val="0050585D"/>
    <w:rsid w:val="00505880"/>
    <w:rsid w:val="00505AED"/>
    <w:rsid w:val="005069FB"/>
    <w:rsid w:val="005070CD"/>
    <w:rsid w:val="0050727D"/>
    <w:rsid w:val="00507462"/>
    <w:rsid w:val="00507530"/>
    <w:rsid w:val="00507D4E"/>
    <w:rsid w:val="005107EB"/>
    <w:rsid w:val="00510ACD"/>
    <w:rsid w:val="00511852"/>
    <w:rsid w:val="005118AF"/>
    <w:rsid w:val="00511C78"/>
    <w:rsid w:val="00512227"/>
    <w:rsid w:val="00512435"/>
    <w:rsid w:val="00512C8A"/>
    <w:rsid w:val="005130AB"/>
    <w:rsid w:val="005137F0"/>
    <w:rsid w:val="00513B89"/>
    <w:rsid w:val="00513D09"/>
    <w:rsid w:val="005140F2"/>
    <w:rsid w:val="00514815"/>
    <w:rsid w:val="0051481C"/>
    <w:rsid w:val="00514C92"/>
    <w:rsid w:val="0051574E"/>
    <w:rsid w:val="0051588A"/>
    <w:rsid w:val="00516056"/>
    <w:rsid w:val="00516680"/>
    <w:rsid w:val="0051694B"/>
    <w:rsid w:val="00517089"/>
    <w:rsid w:val="005178D5"/>
    <w:rsid w:val="00517A1E"/>
    <w:rsid w:val="00517AAB"/>
    <w:rsid w:val="005204F3"/>
    <w:rsid w:val="00520692"/>
    <w:rsid w:val="00520E32"/>
    <w:rsid w:val="00521117"/>
    <w:rsid w:val="00521419"/>
    <w:rsid w:val="005217C0"/>
    <w:rsid w:val="00521861"/>
    <w:rsid w:val="00521AC1"/>
    <w:rsid w:val="0052273E"/>
    <w:rsid w:val="005230C3"/>
    <w:rsid w:val="0052331B"/>
    <w:rsid w:val="0052340C"/>
    <w:rsid w:val="00523956"/>
    <w:rsid w:val="00523CAB"/>
    <w:rsid w:val="00523FAC"/>
    <w:rsid w:val="0052423E"/>
    <w:rsid w:val="005245A2"/>
    <w:rsid w:val="005246D4"/>
    <w:rsid w:val="005252CC"/>
    <w:rsid w:val="0052555D"/>
    <w:rsid w:val="005255F2"/>
    <w:rsid w:val="00525636"/>
    <w:rsid w:val="005256DD"/>
    <w:rsid w:val="00526021"/>
    <w:rsid w:val="0052752C"/>
    <w:rsid w:val="00527A07"/>
    <w:rsid w:val="00527E60"/>
    <w:rsid w:val="0053000B"/>
    <w:rsid w:val="00530AC7"/>
    <w:rsid w:val="00530CE0"/>
    <w:rsid w:val="00530DE8"/>
    <w:rsid w:val="00530F9F"/>
    <w:rsid w:val="00531101"/>
    <w:rsid w:val="00531919"/>
    <w:rsid w:val="00532187"/>
    <w:rsid w:val="005331A5"/>
    <w:rsid w:val="005339B1"/>
    <w:rsid w:val="00533D16"/>
    <w:rsid w:val="0053435F"/>
    <w:rsid w:val="0053477E"/>
    <w:rsid w:val="0053509C"/>
    <w:rsid w:val="00535170"/>
    <w:rsid w:val="00535513"/>
    <w:rsid w:val="005358B2"/>
    <w:rsid w:val="00535A8C"/>
    <w:rsid w:val="00536365"/>
    <w:rsid w:val="0053649C"/>
    <w:rsid w:val="005369C1"/>
    <w:rsid w:val="00537015"/>
    <w:rsid w:val="00537138"/>
    <w:rsid w:val="005372C9"/>
    <w:rsid w:val="00537577"/>
    <w:rsid w:val="00537934"/>
    <w:rsid w:val="0053796A"/>
    <w:rsid w:val="00537FFB"/>
    <w:rsid w:val="0054046A"/>
    <w:rsid w:val="00540509"/>
    <w:rsid w:val="0054053A"/>
    <w:rsid w:val="00541674"/>
    <w:rsid w:val="00541894"/>
    <w:rsid w:val="005418EE"/>
    <w:rsid w:val="00541C50"/>
    <w:rsid w:val="00541E39"/>
    <w:rsid w:val="0054236F"/>
    <w:rsid w:val="00542C2C"/>
    <w:rsid w:val="00542E32"/>
    <w:rsid w:val="00542ECA"/>
    <w:rsid w:val="00542F5F"/>
    <w:rsid w:val="0054322B"/>
    <w:rsid w:val="00543651"/>
    <w:rsid w:val="00543A3F"/>
    <w:rsid w:val="00543BDB"/>
    <w:rsid w:val="0054450E"/>
    <w:rsid w:val="00544685"/>
    <w:rsid w:val="005447B3"/>
    <w:rsid w:val="0054495C"/>
    <w:rsid w:val="00544AC1"/>
    <w:rsid w:val="00544D90"/>
    <w:rsid w:val="00544F17"/>
    <w:rsid w:val="00544F86"/>
    <w:rsid w:val="00545A48"/>
    <w:rsid w:val="00546369"/>
    <w:rsid w:val="0054659E"/>
    <w:rsid w:val="005465F1"/>
    <w:rsid w:val="00546751"/>
    <w:rsid w:val="005467ED"/>
    <w:rsid w:val="00546813"/>
    <w:rsid w:val="005468BC"/>
    <w:rsid w:val="0054690F"/>
    <w:rsid w:val="00547B3C"/>
    <w:rsid w:val="00550E1C"/>
    <w:rsid w:val="00551CC8"/>
    <w:rsid w:val="00552075"/>
    <w:rsid w:val="00552F88"/>
    <w:rsid w:val="00553377"/>
    <w:rsid w:val="00553943"/>
    <w:rsid w:val="00553A9A"/>
    <w:rsid w:val="0055406E"/>
    <w:rsid w:val="00554341"/>
    <w:rsid w:val="00554617"/>
    <w:rsid w:val="00554C0C"/>
    <w:rsid w:val="00554C29"/>
    <w:rsid w:val="0055516F"/>
    <w:rsid w:val="00555A02"/>
    <w:rsid w:val="00555C37"/>
    <w:rsid w:val="00556140"/>
    <w:rsid w:val="00556555"/>
    <w:rsid w:val="0055672C"/>
    <w:rsid w:val="00556B24"/>
    <w:rsid w:val="005571C1"/>
    <w:rsid w:val="005571DC"/>
    <w:rsid w:val="0055733F"/>
    <w:rsid w:val="0055749F"/>
    <w:rsid w:val="005574F9"/>
    <w:rsid w:val="00557553"/>
    <w:rsid w:val="005575C1"/>
    <w:rsid w:val="00557718"/>
    <w:rsid w:val="005578A4"/>
    <w:rsid w:val="00557C91"/>
    <w:rsid w:val="00557EB5"/>
    <w:rsid w:val="00557FD7"/>
    <w:rsid w:val="00561067"/>
    <w:rsid w:val="00561140"/>
    <w:rsid w:val="00562131"/>
    <w:rsid w:val="005625D1"/>
    <w:rsid w:val="00562DAB"/>
    <w:rsid w:val="00562E2C"/>
    <w:rsid w:val="0056425D"/>
    <w:rsid w:val="0056478C"/>
    <w:rsid w:val="00564E7A"/>
    <w:rsid w:val="00565215"/>
    <w:rsid w:val="00565970"/>
    <w:rsid w:val="00565D2A"/>
    <w:rsid w:val="00566020"/>
    <w:rsid w:val="00566713"/>
    <w:rsid w:val="00566852"/>
    <w:rsid w:val="00566DE1"/>
    <w:rsid w:val="0056766B"/>
    <w:rsid w:val="00567C8C"/>
    <w:rsid w:val="00570365"/>
    <w:rsid w:val="0057112A"/>
    <w:rsid w:val="005712CD"/>
    <w:rsid w:val="00571ED7"/>
    <w:rsid w:val="005725D7"/>
    <w:rsid w:val="0057268E"/>
    <w:rsid w:val="005728A9"/>
    <w:rsid w:val="005733B0"/>
    <w:rsid w:val="005735F4"/>
    <w:rsid w:val="0057372A"/>
    <w:rsid w:val="00573EE5"/>
    <w:rsid w:val="00574139"/>
    <w:rsid w:val="005743DE"/>
    <w:rsid w:val="00574524"/>
    <w:rsid w:val="00574930"/>
    <w:rsid w:val="0057566E"/>
    <w:rsid w:val="005758EA"/>
    <w:rsid w:val="00575F6E"/>
    <w:rsid w:val="005760F0"/>
    <w:rsid w:val="005761F8"/>
    <w:rsid w:val="005765F3"/>
    <w:rsid w:val="00576B47"/>
    <w:rsid w:val="00577202"/>
    <w:rsid w:val="005773A7"/>
    <w:rsid w:val="00577497"/>
    <w:rsid w:val="00577D54"/>
    <w:rsid w:val="00580971"/>
    <w:rsid w:val="0058099B"/>
    <w:rsid w:val="005809BA"/>
    <w:rsid w:val="00580E49"/>
    <w:rsid w:val="0058108C"/>
    <w:rsid w:val="005813A0"/>
    <w:rsid w:val="00581798"/>
    <w:rsid w:val="00581A18"/>
    <w:rsid w:val="0058236B"/>
    <w:rsid w:val="00582E32"/>
    <w:rsid w:val="005837C9"/>
    <w:rsid w:val="005837D7"/>
    <w:rsid w:val="0058404F"/>
    <w:rsid w:val="005844F5"/>
    <w:rsid w:val="00584D94"/>
    <w:rsid w:val="00584F6E"/>
    <w:rsid w:val="00585EFC"/>
    <w:rsid w:val="005861F5"/>
    <w:rsid w:val="00586448"/>
    <w:rsid w:val="00586936"/>
    <w:rsid w:val="00587590"/>
    <w:rsid w:val="0058760A"/>
    <w:rsid w:val="00587971"/>
    <w:rsid w:val="00587DB7"/>
    <w:rsid w:val="00590C13"/>
    <w:rsid w:val="00591771"/>
    <w:rsid w:val="005918CE"/>
    <w:rsid w:val="0059190C"/>
    <w:rsid w:val="00591C40"/>
    <w:rsid w:val="00591C8D"/>
    <w:rsid w:val="0059259D"/>
    <w:rsid w:val="0059296C"/>
    <w:rsid w:val="00593A00"/>
    <w:rsid w:val="005940EB"/>
    <w:rsid w:val="00595308"/>
    <w:rsid w:val="005954A7"/>
    <w:rsid w:val="00595902"/>
    <w:rsid w:val="005959AF"/>
    <w:rsid w:val="00595B9C"/>
    <w:rsid w:val="00596858"/>
    <w:rsid w:val="00596D1C"/>
    <w:rsid w:val="00596D54"/>
    <w:rsid w:val="00597674"/>
    <w:rsid w:val="00597884"/>
    <w:rsid w:val="00597EC7"/>
    <w:rsid w:val="005A0212"/>
    <w:rsid w:val="005A0479"/>
    <w:rsid w:val="005A098A"/>
    <w:rsid w:val="005A0F7E"/>
    <w:rsid w:val="005A128F"/>
    <w:rsid w:val="005A229B"/>
    <w:rsid w:val="005A24D7"/>
    <w:rsid w:val="005A25DE"/>
    <w:rsid w:val="005A2B76"/>
    <w:rsid w:val="005A32DD"/>
    <w:rsid w:val="005A33CD"/>
    <w:rsid w:val="005A392A"/>
    <w:rsid w:val="005A3A50"/>
    <w:rsid w:val="005A3C44"/>
    <w:rsid w:val="005A3C83"/>
    <w:rsid w:val="005A3E4B"/>
    <w:rsid w:val="005A3FF5"/>
    <w:rsid w:val="005A45AB"/>
    <w:rsid w:val="005A4BEE"/>
    <w:rsid w:val="005A4DC0"/>
    <w:rsid w:val="005A5D6E"/>
    <w:rsid w:val="005A6226"/>
    <w:rsid w:val="005A6407"/>
    <w:rsid w:val="005A641F"/>
    <w:rsid w:val="005A6DA4"/>
    <w:rsid w:val="005A794E"/>
    <w:rsid w:val="005B04AD"/>
    <w:rsid w:val="005B0652"/>
    <w:rsid w:val="005B0A14"/>
    <w:rsid w:val="005B0FEE"/>
    <w:rsid w:val="005B1134"/>
    <w:rsid w:val="005B1267"/>
    <w:rsid w:val="005B1379"/>
    <w:rsid w:val="005B160A"/>
    <w:rsid w:val="005B1935"/>
    <w:rsid w:val="005B1BB2"/>
    <w:rsid w:val="005B1C83"/>
    <w:rsid w:val="005B2238"/>
    <w:rsid w:val="005B2242"/>
    <w:rsid w:val="005B2569"/>
    <w:rsid w:val="005B2E8F"/>
    <w:rsid w:val="005B312A"/>
    <w:rsid w:val="005B398E"/>
    <w:rsid w:val="005B3E44"/>
    <w:rsid w:val="005B3F2A"/>
    <w:rsid w:val="005B3F3B"/>
    <w:rsid w:val="005B4128"/>
    <w:rsid w:val="005B4208"/>
    <w:rsid w:val="005B434C"/>
    <w:rsid w:val="005B46BC"/>
    <w:rsid w:val="005B5018"/>
    <w:rsid w:val="005B5808"/>
    <w:rsid w:val="005B5B6C"/>
    <w:rsid w:val="005B5E35"/>
    <w:rsid w:val="005B668C"/>
    <w:rsid w:val="005B68BA"/>
    <w:rsid w:val="005B6E9D"/>
    <w:rsid w:val="005B70C6"/>
    <w:rsid w:val="005B7314"/>
    <w:rsid w:val="005C01B7"/>
    <w:rsid w:val="005C123A"/>
    <w:rsid w:val="005C2CC2"/>
    <w:rsid w:val="005C33E6"/>
    <w:rsid w:val="005C4558"/>
    <w:rsid w:val="005C46DF"/>
    <w:rsid w:val="005C4A36"/>
    <w:rsid w:val="005C4C15"/>
    <w:rsid w:val="005C4C84"/>
    <w:rsid w:val="005C5D23"/>
    <w:rsid w:val="005C5E4E"/>
    <w:rsid w:val="005C6579"/>
    <w:rsid w:val="005C6741"/>
    <w:rsid w:val="005C76DF"/>
    <w:rsid w:val="005C7843"/>
    <w:rsid w:val="005C7A51"/>
    <w:rsid w:val="005C7A73"/>
    <w:rsid w:val="005C7F8F"/>
    <w:rsid w:val="005D0F72"/>
    <w:rsid w:val="005D14EA"/>
    <w:rsid w:val="005D15CD"/>
    <w:rsid w:val="005D1830"/>
    <w:rsid w:val="005D1876"/>
    <w:rsid w:val="005D1B12"/>
    <w:rsid w:val="005D2653"/>
    <w:rsid w:val="005D29BD"/>
    <w:rsid w:val="005D2C7C"/>
    <w:rsid w:val="005D2E4B"/>
    <w:rsid w:val="005D2FFB"/>
    <w:rsid w:val="005D3056"/>
    <w:rsid w:val="005D32ED"/>
    <w:rsid w:val="005D3AC8"/>
    <w:rsid w:val="005D41D6"/>
    <w:rsid w:val="005D435C"/>
    <w:rsid w:val="005D4A70"/>
    <w:rsid w:val="005D4FBC"/>
    <w:rsid w:val="005D508A"/>
    <w:rsid w:val="005D551F"/>
    <w:rsid w:val="005D583D"/>
    <w:rsid w:val="005D589F"/>
    <w:rsid w:val="005D5E97"/>
    <w:rsid w:val="005D6D72"/>
    <w:rsid w:val="005D6EC0"/>
    <w:rsid w:val="005E00BF"/>
    <w:rsid w:val="005E04E8"/>
    <w:rsid w:val="005E0538"/>
    <w:rsid w:val="005E079D"/>
    <w:rsid w:val="005E0E84"/>
    <w:rsid w:val="005E13A7"/>
    <w:rsid w:val="005E17D9"/>
    <w:rsid w:val="005E1BD3"/>
    <w:rsid w:val="005E2013"/>
    <w:rsid w:val="005E250F"/>
    <w:rsid w:val="005E3604"/>
    <w:rsid w:val="005E3AF0"/>
    <w:rsid w:val="005E43F2"/>
    <w:rsid w:val="005E4FBB"/>
    <w:rsid w:val="005E5412"/>
    <w:rsid w:val="005E595D"/>
    <w:rsid w:val="005E5A3A"/>
    <w:rsid w:val="005E5C20"/>
    <w:rsid w:val="005E5CC2"/>
    <w:rsid w:val="005E62B7"/>
    <w:rsid w:val="005E6630"/>
    <w:rsid w:val="005E6B1F"/>
    <w:rsid w:val="005E7BD0"/>
    <w:rsid w:val="005E7F3F"/>
    <w:rsid w:val="005F2018"/>
    <w:rsid w:val="005F2164"/>
    <w:rsid w:val="005F22FA"/>
    <w:rsid w:val="005F3150"/>
    <w:rsid w:val="005F4069"/>
    <w:rsid w:val="005F44A2"/>
    <w:rsid w:val="005F46FC"/>
    <w:rsid w:val="005F489D"/>
    <w:rsid w:val="005F49EC"/>
    <w:rsid w:val="005F4AD7"/>
    <w:rsid w:val="005F4C7B"/>
    <w:rsid w:val="005F504A"/>
    <w:rsid w:val="005F5AFE"/>
    <w:rsid w:val="005F5D65"/>
    <w:rsid w:val="005F5F8C"/>
    <w:rsid w:val="005F62EB"/>
    <w:rsid w:val="005F697D"/>
    <w:rsid w:val="005F6ED6"/>
    <w:rsid w:val="005F7102"/>
    <w:rsid w:val="005F757C"/>
    <w:rsid w:val="005F7952"/>
    <w:rsid w:val="005F7A25"/>
    <w:rsid w:val="005F7B74"/>
    <w:rsid w:val="006002E9"/>
    <w:rsid w:val="00600D04"/>
    <w:rsid w:val="006023B9"/>
    <w:rsid w:val="006023E9"/>
    <w:rsid w:val="00602441"/>
    <w:rsid w:val="00602864"/>
    <w:rsid w:val="00603BE1"/>
    <w:rsid w:val="00603CD7"/>
    <w:rsid w:val="00603CEE"/>
    <w:rsid w:val="006044D5"/>
    <w:rsid w:val="00604532"/>
    <w:rsid w:val="00604756"/>
    <w:rsid w:val="00604AA1"/>
    <w:rsid w:val="00605D73"/>
    <w:rsid w:val="006063F1"/>
    <w:rsid w:val="00606724"/>
    <w:rsid w:val="00606896"/>
    <w:rsid w:val="00607018"/>
    <w:rsid w:val="006074A5"/>
    <w:rsid w:val="00607E6C"/>
    <w:rsid w:val="0061022E"/>
    <w:rsid w:val="0061027F"/>
    <w:rsid w:val="00610D73"/>
    <w:rsid w:val="0061134F"/>
    <w:rsid w:val="0061187E"/>
    <w:rsid w:val="00611E3B"/>
    <w:rsid w:val="006121FC"/>
    <w:rsid w:val="006122A8"/>
    <w:rsid w:val="0061230C"/>
    <w:rsid w:val="006125B8"/>
    <w:rsid w:val="006144AF"/>
    <w:rsid w:val="006145E8"/>
    <w:rsid w:val="006151A2"/>
    <w:rsid w:val="00615839"/>
    <w:rsid w:val="006159D1"/>
    <w:rsid w:val="00615D51"/>
    <w:rsid w:val="0061740D"/>
    <w:rsid w:val="00617C09"/>
    <w:rsid w:val="00620181"/>
    <w:rsid w:val="006203C0"/>
    <w:rsid w:val="00620E0D"/>
    <w:rsid w:val="0062148A"/>
    <w:rsid w:val="00621628"/>
    <w:rsid w:val="00621AB5"/>
    <w:rsid w:val="00622769"/>
    <w:rsid w:val="00622AFF"/>
    <w:rsid w:val="00622D94"/>
    <w:rsid w:val="00622E50"/>
    <w:rsid w:val="006235AB"/>
    <w:rsid w:val="00623683"/>
    <w:rsid w:val="00623D92"/>
    <w:rsid w:val="0062461B"/>
    <w:rsid w:val="00624E95"/>
    <w:rsid w:val="0062516A"/>
    <w:rsid w:val="006255FD"/>
    <w:rsid w:val="00625F5B"/>
    <w:rsid w:val="006262FF"/>
    <w:rsid w:val="006263A1"/>
    <w:rsid w:val="0062658D"/>
    <w:rsid w:val="00626B4D"/>
    <w:rsid w:val="00626EF5"/>
    <w:rsid w:val="00627084"/>
    <w:rsid w:val="00627838"/>
    <w:rsid w:val="00627A52"/>
    <w:rsid w:val="00627F99"/>
    <w:rsid w:val="006308E3"/>
    <w:rsid w:val="006309FC"/>
    <w:rsid w:val="00631859"/>
    <w:rsid w:val="00631864"/>
    <w:rsid w:val="00631BC3"/>
    <w:rsid w:val="00632639"/>
    <w:rsid w:val="00632D60"/>
    <w:rsid w:val="00633057"/>
    <w:rsid w:val="0063374D"/>
    <w:rsid w:val="00635063"/>
    <w:rsid w:val="006356A1"/>
    <w:rsid w:val="006359FD"/>
    <w:rsid w:val="00635A8A"/>
    <w:rsid w:val="006362B8"/>
    <w:rsid w:val="00636579"/>
    <w:rsid w:val="006370CE"/>
    <w:rsid w:val="0063760A"/>
    <w:rsid w:val="006379B2"/>
    <w:rsid w:val="00637ED1"/>
    <w:rsid w:val="00637F05"/>
    <w:rsid w:val="00640460"/>
    <w:rsid w:val="0064060A"/>
    <w:rsid w:val="006409AE"/>
    <w:rsid w:val="00641228"/>
    <w:rsid w:val="00641694"/>
    <w:rsid w:val="00641999"/>
    <w:rsid w:val="00641C8B"/>
    <w:rsid w:val="00642817"/>
    <w:rsid w:val="00642F2D"/>
    <w:rsid w:val="0064311E"/>
    <w:rsid w:val="00643D31"/>
    <w:rsid w:val="00643DFF"/>
    <w:rsid w:val="00643E73"/>
    <w:rsid w:val="00644870"/>
    <w:rsid w:val="00644B86"/>
    <w:rsid w:val="00645087"/>
    <w:rsid w:val="0064534A"/>
    <w:rsid w:val="00645869"/>
    <w:rsid w:val="00646166"/>
    <w:rsid w:val="0064683D"/>
    <w:rsid w:val="00646AD0"/>
    <w:rsid w:val="00647317"/>
    <w:rsid w:val="00647539"/>
    <w:rsid w:val="00647A91"/>
    <w:rsid w:val="00650154"/>
    <w:rsid w:val="006502F5"/>
    <w:rsid w:val="006504BE"/>
    <w:rsid w:val="006508C5"/>
    <w:rsid w:val="00650AFF"/>
    <w:rsid w:val="00651095"/>
    <w:rsid w:val="006511B5"/>
    <w:rsid w:val="006513F2"/>
    <w:rsid w:val="006523D5"/>
    <w:rsid w:val="00652470"/>
    <w:rsid w:val="00652B04"/>
    <w:rsid w:val="00652E0D"/>
    <w:rsid w:val="006530DA"/>
    <w:rsid w:val="00654B7B"/>
    <w:rsid w:val="0065539D"/>
    <w:rsid w:val="00655818"/>
    <w:rsid w:val="006558B6"/>
    <w:rsid w:val="00655DE1"/>
    <w:rsid w:val="00655E5D"/>
    <w:rsid w:val="006562E6"/>
    <w:rsid w:val="00656BFC"/>
    <w:rsid w:val="00656DFD"/>
    <w:rsid w:val="00656FD7"/>
    <w:rsid w:val="00656FD9"/>
    <w:rsid w:val="006572D9"/>
    <w:rsid w:val="006576CE"/>
    <w:rsid w:val="00657FBA"/>
    <w:rsid w:val="00661087"/>
    <w:rsid w:val="00661CD8"/>
    <w:rsid w:val="00663203"/>
    <w:rsid w:val="00663220"/>
    <w:rsid w:val="0066327F"/>
    <w:rsid w:val="006635F1"/>
    <w:rsid w:val="0066402C"/>
    <w:rsid w:val="0066410F"/>
    <w:rsid w:val="006641AF"/>
    <w:rsid w:val="006644DD"/>
    <w:rsid w:val="00664998"/>
    <w:rsid w:val="00664C26"/>
    <w:rsid w:val="00664C37"/>
    <w:rsid w:val="00665802"/>
    <w:rsid w:val="00665C41"/>
    <w:rsid w:val="00665CFD"/>
    <w:rsid w:val="00665DEB"/>
    <w:rsid w:val="00665E30"/>
    <w:rsid w:val="00666C39"/>
    <w:rsid w:val="00667A4B"/>
    <w:rsid w:val="006705BF"/>
    <w:rsid w:val="00670987"/>
    <w:rsid w:val="00670ACB"/>
    <w:rsid w:val="00671190"/>
    <w:rsid w:val="006716A2"/>
    <w:rsid w:val="0067176F"/>
    <w:rsid w:val="00671A3F"/>
    <w:rsid w:val="00671D00"/>
    <w:rsid w:val="006720F0"/>
    <w:rsid w:val="006722E8"/>
    <w:rsid w:val="00672918"/>
    <w:rsid w:val="00672A6F"/>
    <w:rsid w:val="00673030"/>
    <w:rsid w:val="0067394F"/>
    <w:rsid w:val="00673F46"/>
    <w:rsid w:val="006748B7"/>
    <w:rsid w:val="00674944"/>
    <w:rsid w:val="00674A91"/>
    <w:rsid w:val="00674F17"/>
    <w:rsid w:val="006753B7"/>
    <w:rsid w:val="006753C7"/>
    <w:rsid w:val="0067560C"/>
    <w:rsid w:val="00675964"/>
    <w:rsid w:val="00675EC1"/>
    <w:rsid w:val="00675FAE"/>
    <w:rsid w:val="00676862"/>
    <w:rsid w:val="00676ABE"/>
    <w:rsid w:val="006778DF"/>
    <w:rsid w:val="00677BD3"/>
    <w:rsid w:val="00680435"/>
    <w:rsid w:val="006804B0"/>
    <w:rsid w:val="006807EF"/>
    <w:rsid w:val="00680B69"/>
    <w:rsid w:val="00680C9D"/>
    <w:rsid w:val="006810DF"/>
    <w:rsid w:val="00681407"/>
    <w:rsid w:val="006818FD"/>
    <w:rsid w:val="00681DF3"/>
    <w:rsid w:val="0068211F"/>
    <w:rsid w:val="006822B4"/>
    <w:rsid w:val="006824F3"/>
    <w:rsid w:val="00682C98"/>
    <w:rsid w:val="00683A0A"/>
    <w:rsid w:val="00683BEE"/>
    <w:rsid w:val="00683C1B"/>
    <w:rsid w:val="00684689"/>
    <w:rsid w:val="006846C9"/>
    <w:rsid w:val="00684829"/>
    <w:rsid w:val="00684F89"/>
    <w:rsid w:val="00685218"/>
    <w:rsid w:val="00686142"/>
    <w:rsid w:val="00686573"/>
    <w:rsid w:val="006872CE"/>
    <w:rsid w:val="00687C63"/>
    <w:rsid w:val="00687FDD"/>
    <w:rsid w:val="0069015E"/>
    <w:rsid w:val="0069096E"/>
    <w:rsid w:val="00691709"/>
    <w:rsid w:val="00692AD5"/>
    <w:rsid w:val="00692D80"/>
    <w:rsid w:val="006931DF"/>
    <w:rsid w:val="006933AA"/>
    <w:rsid w:val="006936F8"/>
    <w:rsid w:val="0069393C"/>
    <w:rsid w:val="00693BD8"/>
    <w:rsid w:val="00693F24"/>
    <w:rsid w:val="006940BF"/>
    <w:rsid w:val="00694A83"/>
    <w:rsid w:val="00694AA9"/>
    <w:rsid w:val="00694BF3"/>
    <w:rsid w:val="00694F10"/>
    <w:rsid w:val="00694FFD"/>
    <w:rsid w:val="00695177"/>
    <w:rsid w:val="00695563"/>
    <w:rsid w:val="006956E6"/>
    <w:rsid w:val="00695FF9"/>
    <w:rsid w:val="00696977"/>
    <w:rsid w:val="00696B9B"/>
    <w:rsid w:val="00696C44"/>
    <w:rsid w:val="00696F55"/>
    <w:rsid w:val="00697721"/>
    <w:rsid w:val="00697754"/>
    <w:rsid w:val="00697832"/>
    <w:rsid w:val="006A09DF"/>
    <w:rsid w:val="006A0B64"/>
    <w:rsid w:val="006A10BB"/>
    <w:rsid w:val="006A11CB"/>
    <w:rsid w:val="006A1C6C"/>
    <w:rsid w:val="006A1DF3"/>
    <w:rsid w:val="006A1EC1"/>
    <w:rsid w:val="006A20A8"/>
    <w:rsid w:val="006A22A5"/>
    <w:rsid w:val="006A242B"/>
    <w:rsid w:val="006A260F"/>
    <w:rsid w:val="006A30F5"/>
    <w:rsid w:val="006A3C70"/>
    <w:rsid w:val="006A3FF8"/>
    <w:rsid w:val="006A50D7"/>
    <w:rsid w:val="006A538A"/>
    <w:rsid w:val="006A5597"/>
    <w:rsid w:val="006A5B14"/>
    <w:rsid w:val="006A6C81"/>
    <w:rsid w:val="006A736C"/>
    <w:rsid w:val="006A7BB0"/>
    <w:rsid w:val="006B1255"/>
    <w:rsid w:val="006B3007"/>
    <w:rsid w:val="006B346D"/>
    <w:rsid w:val="006B37D0"/>
    <w:rsid w:val="006B3B7F"/>
    <w:rsid w:val="006B4328"/>
    <w:rsid w:val="006B4612"/>
    <w:rsid w:val="006B483E"/>
    <w:rsid w:val="006B4898"/>
    <w:rsid w:val="006B4E0D"/>
    <w:rsid w:val="006B4E91"/>
    <w:rsid w:val="006B5041"/>
    <w:rsid w:val="006B5720"/>
    <w:rsid w:val="006B5C3C"/>
    <w:rsid w:val="006B6027"/>
    <w:rsid w:val="006B6119"/>
    <w:rsid w:val="006B656A"/>
    <w:rsid w:val="006B7203"/>
    <w:rsid w:val="006B73AB"/>
    <w:rsid w:val="006B773E"/>
    <w:rsid w:val="006B7F1F"/>
    <w:rsid w:val="006C069D"/>
    <w:rsid w:val="006C06BB"/>
    <w:rsid w:val="006C098D"/>
    <w:rsid w:val="006C09B1"/>
    <w:rsid w:val="006C0BB6"/>
    <w:rsid w:val="006C0D1B"/>
    <w:rsid w:val="006C1A3C"/>
    <w:rsid w:val="006C1A99"/>
    <w:rsid w:val="006C2CA0"/>
    <w:rsid w:val="006C2D85"/>
    <w:rsid w:val="006C30F8"/>
    <w:rsid w:val="006C33AA"/>
    <w:rsid w:val="006C3563"/>
    <w:rsid w:val="006C3813"/>
    <w:rsid w:val="006C3862"/>
    <w:rsid w:val="006C3B01"/>
    <w:rsid w:val="006C3D0F"/>
    <w:rsid w:val="006C3F83"/>
    <w:rsid w:val="006C4893"/>
    <w:rsid w:val="006C4D46"/>
    <w:rsid w:val="006C5312"/>
    <w:rsid w:val="006C5E76"/>
    <w:rsid w:val="006C6D52"/>
    <w:rsid w:val="006C7184"/>
    <w:rsid w:val="006C7D8E"/>
    <w:rsid w:val="006D07D0"/>
    <w:rsid w:val="006D07FB"/>
    <w:rsid w:val="006D0EE7"/>
    <w:rsid w:val="006D1073"/>
    <w:rsid w:val="006D10F8"/>
    <w:rsid w:val="006D128B"/>
    <w:rsid w:val="006D14E7"/>
    <w:rsid w:val="006D150B"/>
    <w:rsid w:val="006D1641"/>
    <w:rsid w:val="006D18B7"/>
    <w:rsid w:val="006D1A62"/>
    <w:rsid w:val="006D2287"/>
    <w:rsid w:val="006D292A"/>
    <w:rsid w:val="006D29F5"/>
    <w:rsid w:val="006D3520"/>
    <w:rsid w:val="006D37BB"/>
    <w:rsid w:val="006D43AB"/>
    <w:rsid w:val="006D443F"/>
    <w:rsid w:val="006D52CB"/>
    <w:rsid w:val="006D614C"/>
    <w:rsid w:val="006D67EE"/>
    <w:rsid w:val="006D714F"/>
    <w:rsid w:val="006D71A1"/>
    <w:rsid w:val="006D7B45"/>
    <w:rsid w:val="006D7F2D"/>
    <w:rsid w:val="006D7F93"/>
    <w:rsid w:val="006E0298"/>
    <w:rsid w:val="006E15CD"/>
    <w:rsid w:val="006E1754"/>
    <w:rsid w:val="006E1767"/>
    <w:rsid w:val="006E1BE1"/>
    <w:rsid w:val="006E1E53"/>
    <w:rsid w:val="006E25B1"/>
    <w:rsid w:val="006E263E"/>
    <w:rsid w:val="006E284A"/>
    <w:rsid w:val="006E2BA8"/>
    <w:rsid w:val="006E30B7"/>
    <w:rsid w:val="006E36A7"/>
    <w:rsid w:val="006E36FB"/>
    <w:rsid w:val="006E37ED"/>
    <w:rsid w:val="006E3923"/>
    <w:rsid w:val="006E3C10"/>
    <w:rsid w:val="006E41F3"/>
    <w:rsid w:val="006E439C"/>
    <w:rsid w:val="006E45E5"/>
    <w:rsid w:val="006E4977"/>
    <w:rsid w:val="006E4C6A"/>
    <w:rsid w:val="006E4CA6"/>
    <w:rsid w:val="006E4EDC"/>
    <w:rsid w:val="006E50AB"/>
    <w:rsid w:val="006E5AC1"/>
    <w:rsid w:val="006E5EAB"/>
    <w:rsid w:val="006E66EE"/>
    <w:rsid w:val="006E6C62"/>
    <w:rsid w:val="006E72E4"/>
    <w:rsid w:val="006E738A"/>
    <w:rsid w:val="006E757B"/>
    <w:rsid w:val="006E790F"/>
    <w:rsid w:val="006F0153"/>
    <w:rsid w:val="006F039F"/>
    <w:rsid w:val="006F08F4"/>
    <w:rsid w:val="006F1804"/>
    <w:rsid w:val="006F1F90"/>
    <w:rsid w:val="006F2453"/>
    <w:rsid w:val="006F25F1"/>
    <w:rsid w:val="006F2891"/>
    <w:rsid w:val="006F2E8D"/>
    <w:rsid w:val="006F31EC"/>
    <w:rsid w:val="006F3B36"/>
    <w:rsid w:val="006F3D82"/>
    <w:rsid w:val="006F3E78"/>
    <w:rsid w:val="006F454C"/>
    <w:rsid w:val="006F49D8"/>
    <w:rsid w:val="006F4ED1"/>
    <w:rsid w:val="006F57A3"/>
    <w:rsid w:val="006F5A64"/>
    <w:rsid w:val="006F5E90"/>
    <w:rsid w:val="006F6209"/>
    <w:rsid w:val="006F646B"/>
    <w:rsid w:val="006F6472"/>
    <w:rsid w:val="006F69EC"/>
    <w:rsid w:val="006F705E"/>
    <w:rsid w:val="006F7301"/>
    <w:rsid w:val="006F7597"/>
    <w:rsid w:val="006F7F39"/>
    <w:rsid w:val="00700997"/>
    <w:rsid w:val="00700D85"/>
    <w:rsid w:val="007010EB"/>
    <w:rsid w:val="0070139F"/>
    <w:rsid w:val="00701A21"/>
    <w:rsid w:val="00701AFE"/>
    <w:rsid w:val="00701C5B"/>
    <w:rsid w:val="0070223D"/>
    <w:rsid w:val="0070260F"/>
    <w:rsid w:val="00702B67"/>
    <w:rsid w:val="00702C36"/>
    <w:rsid w:val="00702E9A"/>
    <w:rsid w:val="00703448"/>
    <w:rsid w:val="007036D4"/>
    <w:rsid w:val="00704603"/>
    <w:rsid w:val="00704BC1"/>
    <w:rsid w:val="00704E93"/>
    <w:rsid w:val="00705B67"/>
    <w:rsid w:val="00705DE6"/>
    <w:rsid w:val="00706119"/>
    <w:rsid w:val="00706623"/>
    <w:rsid w:val="00706C7B"/>
    <w:rsid w:val="007072DE"/>
    <w:rsid w:val="00707ADB"/>
    <w:rsid w:val="00707EB4"/>
    <w:rsid w:val="00710566"/>
    <w:rsid w:val="00710933"/>
    <w:rsid w:val="00710E5A"/>
    <w:rsid w:val="00710F4D"/>
    <w:rsid w:val="00711521"/>
    <w:rsid w:val="00711A3A"/>
    <w:rsid w:val="00711C7A"/>
    <w:rsid w:val="00711DB8"/>
    <w:rsid w:val="00711F37"/>
    <w:rsid w:val="0071272D"/>
    <w:rsid w:val="007130FC"/>
    <w:rsid w:val="0071325D"/>
    <w:rsid w:val="007135FD"/>
    <w:rsid w:val="00713E89"/>
    <w:rsid w:val="00714590"/>
    <w:rsid w:val="007147C3"/>
    <w:rsid w:val="0071540A"/>
    <w:rsid w:val="00715EDF"/>
    <w:rsid w:val="00716AA3"/>
    <w:rsid w:val="00716FE1"/>
    <w:rsid w:val="0071721D"/>
    <w:rsid w:val="00717676"/>
    <w:rsid w:val="007177CC"/>
    <w:rsid w:val="00717F73"/>
    <w:rsid w:val="00720143"/>
    <w:rsid w:val="00720751"/>
    <w:rsid w:val="00720BDD"/>
    <w:rsid w:val="00720CB5"/>
    <w:rsid w:val="00720E00"/>
    <w:rsid w:val="00720E47"/>
    <w:rsid w:val="007214AD"/>
    <w:rsid w:val="007219A3"/>
    <w:rsid w:val="007219A6"/>
    <w:rsid w:val="00721DE0"/>
    <w:rsid w:val="00721E46"/>
    <w:rsid w:val="00722130"/>
    <w:rsid w:val="0072247E"/>
    <w:rsid w:val="0072278A"/>
    <w:rsid w:val="00722CA2"/>
    <w:rsid w:val="00722CE1"/>
    <w:rsid w:val="00723A2C"/>
    <w:rsid w:val="007241BB"/>
    <w:rsid w:val="00724A2F"/>
    <w:rsid w:val="00725001"/>
    <w:rsid w:val="00725B83"/>
    <w:rsid w:val="00725E63"/>
    <w:rsid w:val="007267B8"/>
    <w:rsid w:val="00726B61"/>
    <w:rsid w:val="00726C1B"/>
    <w:rsid w:val="007270C9"/>
    <w:rsid w:val="007276E6"/>
    <w:rsid w:val="0073018B"/>
    <w:rsid w:val="0073055A"/>
    <w:rsid w:val="00730FC2"/>
    <w:rsid w:val="0073104F"/>
    <w:rsid w:val="007314DA"/>
    <w:rsid w:val="0073176A"/>
    <w:rsid w:val="00731D2F"/>
    <w:rsid w:val="0073220A"/>
    <w:rsid w:val="00732F5E"/>
    <w:rsid w:val="007332CA"/>
    <w:rsid w:val="007336B7"/>
    <w:rsid w:val="00733CC2"/>
    <w:rsid w:val="00733F5A"/>
    <w:rsid w:val="00734ACE"/>
    <w:rsid w:val="00734D59"/>
    <w:rsid w:val="007352D8"/>
    <w:rsid w:val="00735CBF"/>
    <w:rsid w:val="00736281"/>
    <w:rsid w:val="0073679E"/>
    <w:rsid w:val="007367B2"/>
    <w:rsid w:val="007368C6"/>
    <w:rsid w:val="007368FB"/>
    <w:rsid w:val="00736BD8"/>
    <w:rsid w:val="00736CC4"/>
    <w:rsid w:val="007379C2"/>
    <w:rsid w:val="007379C4"/>
    <w:rsid w:val="00741112"/>
    <w:rsid w:val="0074146D"/>
    <w:rsid w:val="00741887"/>
    <w:rsid w:val="00742098"/>
    <w:rsid w:val="0074296C"/>
    <w:rsid w:val="00742974"/>
    <w:rsid w:val="00742CA6"/>
    <w:rsid w:val="007431DC"/>
    <w:rsid w:val="007434B9"/>
    <w:rsid w:val="00743846"/>
    <w:rsid w:val="00743966"/>
    <w:rsid w:val="00743B89"/>
    <w:rsid w:val="00744423"/>
    <w:rsid w:val="0074457E"/>
    <w:rsid w:val="00744E8D"/>
    <w:rsid w:val="00745422"/>
    <w:rsid w:val="00745A50"/>
    <w:rsid w:val="00745E97"/>
    <w:rsid w:val="00746595"/>
    <w:rsid w:val="00746D08"/>
    <w:rsid w:val="00746E8E"/>
    <w:rsid w:val="0074711F"/>
    <w:rsid w:val="0074741C"/>
    <w:rsid w:val="00747531"/>
    <w:rsid w:val="00747705"/>
    <w:rsid w:val="0074799E"/>
    <w:rsid w:val="00747DBC"/>
    <w:rsid w:val="00747E05"/>
    <w:rsid w:val="00747F0C"/>
    <w:rsid w:val="00750C86"/>
    <w:rsid w:val="00750F87"/>
    <w:rsid w:val="007510CA"/>
    <w:rsid w:val="00751111"/>
    <w:rsid w:val="007511CE"/>
    <w:rsid w:val="00751E3B"/>
    <w:rsid w:val="007521A1"/>
    <w:rsid w:val="00752361"/>
    <w:rsid w:val="007525CC"/>
    <w:rsid w:val="00752702"/>
    <w:rsid w:val="0075283F"/>
    <w:rsid w:val="0075291C"/>
    <w:rsid w:val="0075301F"/>
    <w:rsid w:val="0075362B"/>
    <w:rsid w:val="00753D75"/>
    <w:rsid w:val="00754354"/>
    <w:rsid w:val="00754F9B"/>
    <w:rsid w:val="007551C6"/>
    <w:rsid w:val="00755CA9"/>
    <w:rsid w:val="00756225"/>
    <w:rsid w:val="00756549"/>
    <w:rsid w:val="00756560"/>
    <w:rsid w:val="00756B64"/>
    <w:rsid w:val="00756CC6"/>
    <w:rsid w:val="00756F61"/>
    <w:rsid w:val="00756FDD"/>
    <w:rsid w:val="0075700F"/>
    <w:rsid w:val="007571FA"/>
    <w:rsid w:val="0075794B"/>
    <w:rsid w:val="00757CED"/>
    <w:rsid w:val="00757D41"/>
    <w:rsid w:val="0076060F"/>
    <w:rsid w:val="00760761"/>
    <w:rsid w:val="007609D0"/>
    <w:rsid w:val="00760F0D"/>
    <w:rsid w:val="00761651"/>
    <w:rsid w:val="0076186C"/>
    <w:rsid w:val="00761CF1"/>
    <w:rsid w:val="00762511"/>
    <w:rsid w:val="00762842"/>
    <w:rsid w:val="00762A25"/>
    <w:rsid w:val="00762C7F"/>
    <w:rsid w:val="00762F9F"/>
    <w:rsid w:val="0076325C"/>
    <w:rsid w:val="00763D08"/>
    <w:rsid w:val="00763DCB"/>
    <w:rsid w:val="0076469B"/>
    <w:rsid w:val="00764ADF"/>
    <w:rsid w:val="00764F42"/>
    <w:rsid w:val="00765074"/>
    <w:rsid w:val="00765A63"/>
    <w:rsid w:val="00765CCC"/>
    <w:rsid w:val="00765E44"/>
    <w:rsid w:val="00766737"/>
    <w:rsid w:val="0076691D"/>
    <w:rsid w:val="00766DA3"/>
    <w:rsid w:val="00767507"/>
    <w:rsid w:val="00767BF9"/>
    <w:rsid w:val="00770A5D"/>
    <w:rsid w:val="00770C3B"/>
    <w:rsid w:val="00770DFE"/>
    <w:rsid w:val="00770F75"/>
    <w:rsid w:val="0077130F"/>
    <w:rsid w:val="00771B30"/>
    <w:rsid w:val="00771F9B"/>
    <w:rsid w:val="00772248"/>
    <w:rsid w:val="0077260A"/>
    <w:rsid w:val="00772D3F"/>
    <w:rsid w:val="00772D64"/>
    <w:rsid w:val="00772D6D"/>
    <w:rsid w:val="007742FA"/>
    <w:rsid w:val="0077490F"/>
    <w:rsid w:val="0077502F"/>
    <w:rsid w:val="0077504B"/>
    <w:rsid w:val="00775546"/>
    <w:rsid w:val="00775620"/>
    <w:rsid w:val="00775F70"/>
    <w:rsid w:val="00776048"/>
    <w:rsid w:val="0077770F"/>
    <w:rsid w:val="00777B93"/>
    <w:rsid w:val="00777C40"/>
    <w:rsid w:val="007800DA"/>
    <w:rsid w:val="007801DD"/>
    <w:rsid w:val="00780437"/>
    <w:rsid w:val="007808B1"/>
    <w:rsid w:val="00780DBF"/>
    <w:rsid w:val="00780E46"/>
    <w:rsid w:val="00781095"/>
    <w:rsid w:val="00781CCB"/>
    <w:rsid w:val="00781FA8"/>
    <w:rsid w:val="007822BA"/>
    <w:rsid w:val="0078284E"/>
    <w:rsid w:val="00782EC7"/>
    <w:rsid w:val="0078334B"/>
    <w:rsid w:val="00783818"/>
    <w:rsid w:val="00783A40"/>
    <w:rsid w:val="0078418B"/>
    <w:rsid w:val="007846AF"/>
    <w:rsid w:val="00784C1F"/>
    <w:rsid w:val="00784C39"/>
    <w:rsid w:val="00785A21"/>
    <w:rsid w:val="00785FBD"/>
    <w:rsid w:val="00786515"/>
    <w:rsid w:val="0078660B"/>
    <w:rsid w:val="0078684F"/>
    <w:rsid w:val="00786F5E"/>
    <w:rsid w:val="007874B0"/>
    <w:rsid w:val="007876AF"/>
    <w:rsid w:val="00787AC1"/>
    <w:rsid w:val="00787F9E"/>
    <w:rsid w:val="007910A5"/>
    <w:rsid w:val="00791CBB"/>
    <w:rsid w:val="00792046"/>
    <w:rsid w:val="00792302"/>
    <w:rsid w:val="007927D6"/>
    <w:rsid w:val="00792AEC"/>
    <w:rsid w:val="00792B27"/>
    <w:rsid w:val="00792FFC"/>
    <w:rsid w:val="007933F3"/>
    <w:rsid w:val="0079343F"/>
    <w:rsid w:val="00793E86"/>
    <w:rsid w:val="00794031"/>
    <w:rsid w:val="007941C7"/>
    <w:rsid w:val="0079515A"/>
    <w:rsid w:val="007953DE"/>
    <w:rsid w:val="007957A3"/>
    <w:rsid w:val="0079588F"/>
    <w:rsid w:val="00795AD0"/>
    <w:rsid w:val="00795D31"/>
    <w:rsid w:val="00795DC9"/>
    <w:rsid w:val="00795EA6"/>
    <w:rsid w:val="007963AE"/>
    <w:rsid w:val="00797013"/>
    <w:rsid w:val="0079718C"/>
    <w:rsid w:val="00797A00"/>
    <w:rsid w:val="007A0EAE"/>
    <w:rsid w:val="007A17C0"/>
    <w:rsid w:val="007A1AA8"/>
    <w:rsid w:val="007A25CB"/>
    <w:rsid w:val="007A28EA"/>
    <w:rsid w:val="007A2D0F"/>
    <w:rsid w:val="007A31A4"/>
    <w:rsid w:val="007A3529"/>
    <w:rsid w:val="007A3E11"/>
    <w:rsid w:val="007A4779"/>
    <w:rsid w:val="007A4BB4"/>
    <w:rsid w:val="007A5016"/>
    <w:rsid w:val="007A606B"/>
    <w:rsid w:val="007A66AA"/>
    <w:rsid w:val="007A6897"/>
    <w:rsid w:val="007A6B2B"/>
    <w:rsid w:val="007A6B6C"/>
    <w:rsid w:val="007A7262"/>
    <w:rsid w:val="007A7395"/>
    <w:rsid w:val="007A7AA0"/>
    <w:rsid w:val="007A7ACE"/>
    <w:rsid w:val="007A7FA7"/>
    <w:rsid w:val="007B0593"/>
    <w:rsid w:val="007B0B2F"/>
    <w:rsid w:val="007B0B46"/>
    <w:rsid w:val="007B0BF1"/>
    <w:rsid w:val="007B14F1"/>
    <w:rsid w:val="007B1F92"/>
    <w:rsid w:val="007B1FAC"/>
    <w:rsid w:val="007B1FAD"/>
    <w:rsid w:val="007B20F2"/>
    <w:rsid w:val="007B20FF"/>
    <w:rsid w:val="007B2321"/>
    <w:rsid w:val="007B2492"/>
    <w:rsid w:val="007B2B95"/>
    <w:rsid w:val="007B2CC5"/>
    <w:rsid w:val="007B31BE"/>
    <w:rsid w:val="007B516F"/>
    <w:rsid w:val="007B5B51"/>
    <w:rsid w:val="007B62BF"/>
    <w:rsid w:val="007B745D"/>
    <w:rsid w:val="007B7664"/>
    <w:rsid w:val="007B79EF"/>
    <w:rsid w:val="007B7CCC"/>
    <w:rsid w:val="007B7CE2"/>
    <w:rsid w:val="007B7F9C"/>
    <w:rsid w:val="007C00F9"/>
    <w:rsid w:val="007C0AA1"/>
    <w:rsid w:val="007C20C2"/>
    <w:rsid w:val="007C2288"/>
    <w:rsid w:val="007C2432"/>
    <w:rsid w:val="007C2A61"/>
    <w:rsid w:val="007C371C"/>
    <w:rsid w:val="007C3C43"/>
    <w:rsid w:val="007C3F58"/>
    <w:rsid w:val="007C440F"/>
    <w:rsid w:val="007C4577"/>
    <w:rsid w:val="007C4A58"/>
    <w:rsid w:val="007C541C"/>
    <w:rsid w:val="007C55E0"/>
    <w:rsid w:val="007C5635"/>
    <w:rsid w:val="007C5697"/>
    <w:rsid w:val="007C608B"/>
    <w:rsid w:val="007C6335"/>
    <w:rsid w:val="007C671A"/>
    <w:rsid w:val="007C6D8E"/>
    <w:rsid w:val="007C6E8A"/>
    <w:rsid w:val="007C6F8E"/>
    <w:rsid w:val="007C72CB"/>
    <w:rsid w:val="007C7787"/>
    <w:rsid w:val="007C785C"/>
    <w:rsid w:val="007C79A6"/>
    <w:rsid w:val="007C7F63"/>
    <w:rsid w:val="007C7FF9"/>
    <w:rsid w:val="007D0295"/>
    <w:rsid w:val="007D053C"/>
    <w:rsid w:val="007D0EBF"/>
    <w:rsid w:val="007D0F0E"/>
    <w:rsid w:val="007D129C"/>
    <w:rsid w:val="007D1728"/>
    <w:rsid w:val="007D228F"/>
    <w:rsid w:val="007D34EB"/>
    <w:rsid w:val="007D380E"/>
    <w:rsid w:val="007D3AC7"/>
    <w:rsid w:val="007D4FF3"/>
    <w:rsid w:val="007D50AD"/>
    <w:rsid w:val="007D5254"/>
    <w:rsid w:val="007D54C4"/>
    <w:rsid w:val="007D5772"/>
    <w:rsid w:val="007D6579"/>
    <w:rsid w:val="007D682F"/>
    <w:rsid w:val="007D688E"/>
    <w:rsid w:val="007D68E9"/>
    <w:rsid w:val="007D6E20"/>
    <w:rsid w:val="007D7557"/>
    <w:rsid w:val="007D77FD"/>
    <w:rsid w:val="007D79ED"/>
    <w:rsid w:val="007E17F4"/>
    <w:rsid w:val="007E1F10"/>
    <w:rsid w:val="007E24C5"/>
    <w:rsid w:val="007E2859"/>
    <w:rsid w:val="007E2AFC"/>
    <w:rsid w:val="007E3E65"/>
    <w:rsid w:val="007E46E8"/>
    <w:rsid w:val="007E4A5B"/>
    <w:rsid w:val="007E4B91"/>
    <w:rsid w:val="007E4BDB"/>
    <w:rsid w:val="007E5796"/>
    <w:rsid w:val="007E5B71"/>
    <w:rsid w:val="007E621F"/>
    <w:rsid w:val="007E6444"/>
    <w:rsid w:val="007E676C"/>
    <w:rsid w:val="007E6FA4"/>
    <w:rsid w:val="007E7C24"/>
    <w:rsid w:val="007F0004"/>
    <w:rsid w:val="007F097E"/>
    <w:rsid w:val="007F107C"/>
    <w:rsid w:val="007F1363"/>
    <w:rsid w:val="007F1A76"/>
    <w:rsid w:val="007F275D"/>
    <w:rsid w:val="007F2A76"/>
    <w:rsid w:val="007F330E"/>
    <w:rsid w:val="007F34D4"/>
    <w:rsid w:val="007F355F"/>
    <w:rsid w:val="007F35EC"/>
    <w:rsid w:val="007F39FD"/>
    <w:rsid w:val="007F496A"/>
    <w:rsid w:val="007F49D8"/>
    <w:rsid w:val="007F5CE9"/>
    <w:rsid w:val="007F67E1"/>
    <w:rsid w:val="007F6A45"/>
    <w:rsid w:val="007F6A50"/>
    <w:rsid w:val="007F6F21"/>
    <w:rsid w:val="007F7655"/>
    <w:rsid w:val="007F7ED5"/>
    <w:rsid w:val="0080033E"/>
    <w:rsid w:val="0080072A"/>
    <w:rsid w:val="008009D0"/>
    <w:rsid w:val="00800AA6"/>
    <w:rsid w:val="008012A6"/>
    <w:rsid w:val="008014A8"/>
    <w:rsid w:val="00802352"/>
    <w:rsid w:val="008023E1"/>
    <w:rsid w:val="00802513"/>
    <w:rsid w:val="008029E0"/>
    <w:rsid w:val="00802AEF"/>
    <w:rsid w:val="0080335D"/>
    <w:rsid w:val="0080381C"/>
    <w:rsid w:val="00803C64"/>
    <w:rsid w:val="008044BE"/>
    <w:rsid w:val="008048D4"/>
    <w:rsid w:val="008049CB"/>
    <w:rsid w:val="008049D5"/>
    <w:rsid w:val="00804B01"/>
    <w:rsid w:val="0080507A"/>
    <w:rsid w:val="00805E7E"/>
    <w:rsid w:val="0080624F"/>
    <w:rsid w:val="00806805"/>
    <w:rsid w:val="00806953"/>
    <w:rsid w:val="00806B2A"/>
    <w:rsid w:val="00806B77"/>
    <w:rsid w:val="0080742F"/>
    <w:rsid w:val="0080769F"/>
    <w:rsid w:val="00810012"/>
    <w:rsid w:val="00810E2C"/>
    <w:rsid w:val="008115A1"/>
    <w:rsid w:val="00811B37"/>
    <w:rsid w:val="00811C59"/>
    <w:rsid w:val="008137A7"/>
    <w:rsid w:val="0081411A"/>
    <w:rsid w:val="00814305"/>
    <w:rsid w:val="00814D15"/>
    <w:rsid w:val="0081510C"/>
    <w:rsid w:val="008159D3"/>
    <w:rsid w:val="00815F70"/>
    <w:rsid w:val="00816013"/>
    <w:rsid w:val="008167E6"/>
    <w:rsid w:val="00816A4E"/>
    <w:rsid w:val="008173A8"/>
    <w:rsid w:val="0081747E"/>
    <w:rsid w:val="0081769E"/>
    <w:rsid w:val="00817816"/>
    <w:rsid w:val="00817870"/>
    <w:rsid w:val="00817A97"/>
    <w:rsid w:val="00817CB6"/>
    <w:rsid w:val="00817FA3"/>
    <w:rsid w:val="00820138"/>
    <w:rsid w:val="00820522"/>
    <w:rsid w:val="008208E5"/>
    <w:rsid w:val="008208F6"/>
    <w:rsid w:val="0082095E"/>
    <w:rsid w:val="008209E6"/>
    <w:rsid w:val="00821402"/>
    <w:rsid w:val="00822A24"/>
    <w:rsid w:val="008233CE"/>
    <w:rsid w:val="00823635"/>
    <w:rsid w:val="008237A2"/>
    <w:rsid w:val="00824497"/>
    <w:rsid w:val="00825A65"/>
    <w:rsid w:val="00825CAA"/>
    <w:rsid w:val="0082644D"/>
    <w:rsid w:val="00827148"/>
    <w:rsid w:val="0082728A"/>
    <w:rsid w:val="0082745B"/>
    <w:rsid w:val="00827A5F"/>
    <w:rsid w:val="00830495"/>
    <w:rsid w:val="00830FAC"/>
    <w:rsid w:val="008314FE"/>
    <w:rsid w:val="00831695"/>
    <w:rsid w:val="0083201D"/>
    <w:rsid w:val="00832403"/>
    <w:rsid w:val="00832546"/>
    <w:rsid w:val="00832F24"/>
    <w:rsid w:val="00833083"/>
    <w:rsid w:val="00833CFD"/>
    <w:rsid w:val="00833DB2"/>
    <w:rsid w:val="008343B2"/>
    <w:rsid w:val="00836130"/>
    <w:rsid w:val="00836316"/>
    <w:rsid w:val="0083700E"/>
    <w:rsid w:val="0083711E"/>
    <w:rsid w:val="008371B9"/>
    <w:rsid w:val="00837442"/>
    <w:rsid w:val="008374EB"/>
    <w:rsid w:val="00837E15"/>
    <w:rsid w:val="008400F6"/>
    <w:rsid w:val="00840315"/>
    <w:rsid w:val="00840ED6"/>
    <w:rsid w:val="0084143F"/>
    <w:rsid w:val="00841DD8"/>
    <w:rsid w:val="00842317"/>
    <w:rsid w:val="00842FBE"/>
    <w:rsid w:val="00844B7E"/>
    <w:rsid w:val="00845035"/>
    <w:rsid w:val="00845221"/>
    <w:rsid w:val="008455D8"/>
    <w:rsid w:val="0084597C"/>
    <w:rsid w:val="008462BD"/>
    <w:rsid w:val="0084663B"/>
    <w:rsid w:val="00846B66"/>
    <w:rsid w:val="00846C07"/>
    <w:rsid w:val="00846C7F"/>
    <w:rsid w:val="008470ED"/>
    <w:rsid w:val="00847D1D"/>
    <w:rsid w:val="008500CB"/>
    <w:rsid w:val="00850154"/>
    <w:rsid w:val="00850155"/>
    <w:rsid w:val="00850A55"/>
    <w:rsid w:val="00851A9A"/>
    <w:rsid w:val="00852604"/>
    <w:rsid w:val="00852DC6"/>
    <w:rsid w:val="00853210"/>
    <w:rsid w:val="00854212"/>
    <w:rsid w:val="00854CFA"/>
    <w:rsid w:val="00854DE5"/>
    <w:rsid w:val="00854EBF"/>
    <w:rsid w:val="00855433"/>
    <w:rsid w:val="008558A5"/>
    <w:rsid w:val="008572B6"/>
    <w:rsid w:val="00860414"/>
    <w:rsid w:val="00860490"/>
    <w:rsid w:val="008606E5"/>
    <w:rsid w:val="00861575"/>
    <w:rsid w:val="008623ED"/>
    <w:rsid w:val="00862F26"/>
    <w:rsid w:val="008632DB"/>
    <w:rsid w:val="008634FC"/>
    <w:rsid w:val="008635AF"/>
    <w:rsid w:val="008638F1"/>
    <w:rsid w:val="008643DE"/>
    <w:rsid w:val="00864FF9"/>
    <w:rsid w:val="00865653"/>
    <w:rsid w:val="00865735"/>
    <w:rsid w:val="0086595F"/>
    <w:rsid w:val="00865F1B"/>
    <w:rsid w:val="00865FEB"/>
    <w:rsid w:val="008667DC"/>
    <w:rsid w:val="00866A88"/>
    <w:rsid w:val="0086702A"/>
    <w:rsid w:val="0086726B"/>
    <w:rsid w:val="008673E0"/>
    <w:rsid w:val="00867D97"/>
    <w:rsid w:val="008703FE"/>
    <w:rsid w:val="008706EE"/>
    <w:rsid w:val="008708A7"/>
    <w:rsid w:val="00871000"/>
    <w:rsid w:val="0087221D"/>
    <w:rsid w:val="008724DA"/>
    <w:rsid w:val="00872AD4"/>
    <w:rsid w:val="00872E7E"/>
    <w:rsid w:val="008742DD"/>
    <w:rsid w:val="008750C2"/>
    <w:rsid w:val="00876168"/>
    <w:rsid w:val="00876451"/>
    <w:rsid w:val="00876B2A"/>
    <w:rsid w:val="00877020"/>
    <w:rsid w:val="0087761B"/>
    <w:rsid w:val="00877AF4"/>
    <w:rsid w:val="00877D2D"/>
    <w:rsid w:val="00880B87"/>
    <w:rsid w:val="008816BA"/>
    <w:rsid w:val="00881D51"/>
    <w:rsid w:val="00882301"/>
    <w:rsid w:val="008827C0"/>
    <w:rsid w:val="00883328"/>
    <w:rsid w:val="00883AD3"/>
    <w:rsid w:val="00884A55"/>
    <w:rsid w:val="00884E7C"/>
    <w:rsid w:val="0088559D"/>
    <w:rsid w:val="0088562B"/>
    <w:rsid w:val="008856DB"/>
    <w:rsid w:val="008857EF"/>
    <w:rsid w:val="00885BA3"/>
    <w:rsid w:val="00885D8F"/>
    <w:rsid w:val="008861E0"/>
    <w:rsid w:val="00886762"/>
    <w:rsid w:val="00886CCF"/>
    <w:rsid w:val="00886E72"/>
    <w:rsid w:val="00886F2D"/>
    <w:rsid w:val="0088758A"/>
    <w:rsid w:val="00887B34"/>
    <w:rsid w:val="00887D59"/>
    <w:rsid w:val="008906EC"/>
    <w:rsid w:val="0089088B"/>
    <w:rsid w:val="00890F9F"/>
    <w:rsid w:val="008910B1"/>
    <w:rsid w:val="00891FBC"/>
    <w:rsid w:val="008922EE"/>
    <w:rsid w:val="00892561"/>
    <w:rsid w:val="00892A88"/>
    <w:rsid w:val="00893086"/>
    <w:rsid w:val="008937F2"/>
    <w:rsid w:val="008941B1"/>
    <w:rsid w:val="008941FD"/>
    <w:rsid w:val="0089472A"/>
    <w:rsid w:val="008947EA"/>
    <w:rsid w:val="00894DE7"/>
    <w:rsid w:val="00895C54"/>
    <w:rsid w:val="00895C99"/>
    <w:rsid w:val="0089606C"/>
    <w:rsid w:val="00896323"/>
    <w:rsid w:val="008963EB"/>
    <w:rsid w:val="00896590"/>
    <w:rsid w:val="0089665B"/>
    <w:rsid w:val="00896B83"/>
    <w:rsid w:val="00896C23"/>
    <w:rsid w:val="00896DC6"/>
    <w:rsid w:val="008975DD"/>
    <w:rsid w:val="008976DB"/>
    <w:rsid w:val="00897F88"/>
    <w:rsid w:val="00897FEF"/>
    <w:rsid w:val="008A019A"/>
    <w:rsid w:val="008A0267"/>
    <w:rsid w:val="008A05F3"/>
    <w:rsid w:val="008A0C86"/>
    <w:rsid w:val="008A125F"/>
    <w:rsid w:val="008A12C9"/>
    <w:rsid w:val="008A209D"/>
    <w:rsid w:val="008A29D2"/>
    <w:rsid w:val="008A2AA7"/>
    <w:rsid w:val="008A33A0"/>
    <w:rsid w:val="008A3710"/>
    <w:rsid w:val="008A3C73"/>
    <w:rsid w:val="008A4368"/>
    <w:rsid w:val="008A4668"/>
    <w:rsid w:val="008A4759"/>
    <w:rsid w:val="008A5BE5"/>
    <w:rsid w:val="008A6085"/>
    <w:rsid w:val="008A60BE"/>
    <w:rsid w:val="008A6542"/>
    <w:rsid w:val="008A66C1"/>
    <w:rsid w:val="008A756A"/>
    <w:rsid w:val="008B07EB"/>
    <w:rsid w:val="008B0EC5"/>
    <w:rsid w:val="008B1176"/>
    <w:rsid w:val="008B12E9"/>
    <w:rsid w:val="008B17C8"/>
    <w:rsid w:val="008B22B5"/>
    <w:rsid w:val="008B2400"/>
    <w:rsid w:val="008B304B"/>
    <w:rsid w:val="008B3317"/>
    <w:rsid w:val="008B3678"/>
    <w:rsid w:val="008B3A3C"/>
    <w:rsid w:val="008B453B"/>
    <w:rsid w:val="008B51D8"/>
    <w:rsid w:val="008B5674"/>
    <w:rsid w:val="008B621A"/>
    <w:rsid w:val="008B6568"/>
    <w:rsid w:val="008B6D1A"/>
    <w:rsid w:val="008B7023"/>
    <w:rsid w:val="008B713C"/>
    <w:rsid w:val="008B7890"/>
    <w:rsid w:val="008B7C67"/>
    <w:rsid w:val="008C0784"/>
    <w:rsid w:val="008C0BF8"/>
    <w:rsid w:val="008C0DAE"/>
    <w:rsid w:val="008C1B85"/>
    <w:rsid w:val="008C22D6"/>
    <w:rsid w:val="008C22E8"/>
    <w:rsid w:val="008C26CE"/>
    <w:rsid w:val="008C2827"/>
    <w:rsid w:val="008C31B1"/>
    <w:rsid w:val="008C37BB"/>
    <w:rsid w:val="008C3AC2"/>
    <w:rsid w:val="008C4217"/>
    <w:rsid w:val="008C50AB"/>
    <w:rsid w:val="008C52E6"/>
    <w:rsid w:val="008C57D7"/>
    <w:rsid w:val="008C597D"/>
    <w:rsid w:val="008C626E"/>
    <w:rsid w:val="008C6476"/>
    <w:rsid w:val="008C671C"/>
    <w:rsid w:val="008C6BD1"/>
    <w:rsid w:val="008C729D"/>
    <w:rsid w:val="008C78E2"/>
    <w:rsid w:val="008C7AA2"/>
    <w:rsid w:val="008C7DEF"/>
    <w:rsid w:val="008C7E0E"/>
    <w:rsid w:val="008D1D42"/>
    <w:rsid w:val="008D1D87"/>
    <w:rsid w:val="008D2120"/>
    <w:rsid w:val="008D219F"/>
    <w:rsid w:val="008D266F"/>
    <w:rsid w:val="008D26D7"/>
    <w:rsid w:val="008D275B"/>
    <w:rsid w:val="008D2BE3"/>
    <w:rsid w:val="008D2E4D"/>
    <w:rsid w:val="008D497C"/>
    <w:rsid w:val="008D555A"/>
    <w:rsid w:val="008D5D70"/>
    <w:rsid w:val="008D6298"/>
    <w:rsid w:val="008D6DFA"/>
    <w:rsid w:val="008D70EE"/>
    <w:rsid w:val="008D71A2"/>
    <w:rsid w:val="008D7350"/>
    <w:rsid w:val="008E10AA"/>
    <w:rsid w:val="008E1388"/>
    <w:rsid w:val="008E1648"/>
    <w:rsid w:val="008E1704"/>
    <w:rsid w:val="008E1C76"/>
    <w:rsid w:val="008E1D39"/>
    <w:rsid w:val="008E1DAC"/>
    <w:rsid w:val="008E233E"/>
    <w:rsid w:val="008E233F"/>
    <w:rsid w:val="008E236F"/>
    <w:rsid w:val="008E23BD"/>
    <w:rsid w:val="008E26F5"/>
    <w:rsid w:val="008E28E3"/>
    <w:rsid w:val="008E3055"/>
    <w:rsid w:val="008E3210"/>
    <w:rsid w:val="008E392A"/>
    <w:rsid w:val="008E3F13"/>
    <w:rsid w:val="008E4176"/>
    <w:rsid w:val="008E4489"/>
    <w:rsid w:val="008E454D"/>
    <w:rsid w:val="008E4FE5"/>
    <w:rsid w:val="008E5728"/>
    <w:rsid w:val="008E6291"/>
    <w:rsid w:val="008E75E0"/>
    <w:rsid w:val="008F0BBF"/>
    <w:rsid w:val="008F0C29"/>
    <w:rsid w:val="008F0EC9"/>
    <w:rsid w:val="008F12C2"/>
    <w:rsid w:val="008F14F2"/>
    <w:rsid w:val="008F1870"/>
    <w:rsid w:val="008F1BB4"/>
    <w:rsid w:val="008F2409"/>
    <w:rsid w:val="008F2426"/>
    <w:rsid w:val="008F2754"/>
    <w:rsid w:val="008F30A8"/>
    <w:rsid w:val="008F38BC"/>
    <w:rsid w:val="008F3988"/>
    <w:rsid w:val="008F3E0D"/>
    <w:rsid w:val="008F3F8D"/>
    <w:rsid w:val="008F4222"/>
    <w:rsid w:val="008F4406"/>
    <w:rsid w:val="008F4BC0"/>
    <w:rsid w:val="008F4EB9"/>
    <w:rsid w:val="008F4FEC"/>
    <w:rsid w:val="008F5A86"/>
    <w:rsid w:val="008F5B8C"/>
    <w:rsid w:val="008F6BA0"/>
    <w:rsid w:val="008F6CED"/>
    <w:rsid w:val="008F7027"/>
    <w:rsid w:val="008F762E"/>
    <w:rsid w:val="008F770B"/>
    <w:rsid w:val="008F7C1D"/>
    <w:rsid w:val="009007F0"/>
    <w:rsid w:val="00900CD8"/>
    <w:rsid w:val="0090102C"/>
    <w:rsid w:val="00901433"/>
    <w:rsid w:val="0090224A"/>
    <w:rsid w:val="009023F8"/>
    <w:rsid w:val="00902655"/>
    <w:rsid w:val="00903036"/>
    <w:rsid w:val="009030CD"/>
    <w:rsid w:val="00903798"/>
    <w:rsid w:val="00903CF7"/>
    <w:rsid w:val="00903DFE"/>
    <w:rsid w:val="009040F1"/>
    <w:rsid w:val="00904C10"/>
    <w:rsid w:val="00904EE1"/>
    <w:rsid w:val="00905012"/>
    <w:rsid w:val="009052E3"/>
    <w:rsid w:val="009067DE"/>
    <w:rsid w:val="009068F7"/>
    <w:rsid w:val="009075C4"/>
    <w:rsid w:val="009079DE"/>
    <w:rsid w:val="00907BA0"/>
    <w:rsid w:val="009104A4"/>
    <w:rsid w:val="00910B09"/>
    <w:rsid w:val="00912AC1"/>
    <w:rsid w:val="0091300F"/>
    <w:rsid w:val="009130C6"/>
    <w:rsid w:val="0091355F"/>
    <w:rsid w:val="009142DA"/>
    <w:rsid w:val="00914F85"/>
    <w:rsid w:val="009150AC"/>
    <w:rsid w:val="009158CE"/>
    <w:rsid w:val="00915B45"/>
    <w:rsid w:val="009160D0"/>
    <w:rsid w:val="00916130"/>
    <w:rsid w:val="00916911"/>
    <w:rsid w:val="009170D0"/>
    <w:rsid w:val="00917371"/>
    <w:rsid w:val="009174F5"/>
    <w:rsid w:val="00920D3B"/>
    <w:rsid w:val="00921137"/>
    <w:rsid w:val="0092128E"/>
    <w:rsid w:val="0092133D"/>
    <w:rsid w:val="00921696"/>
    <w:rsid w:val="00921A86"/>
    <w:rsid w:val="00921DEE"/>
    <w:rsid w:val="00921F51"/>
    <w:rsid w:val="009226B3"/>
    <w:rsid w:val="00923B82"/>
    <w:rsid w:val="00923CFC"/>
    <w:rsid w:val="0092425A"/>
    <w:rsid w:val="009244E6"/>
    <w:rsid w:val="009249EA"/>
    <w:rsid w:val="00925422"/>
    <w:rsid w:val="00925711"/>
    <w:rsid w:val="00925918"/>
    <w:rsid w:val="00925C18"/>
    <w:rsid w:val="0092603B"/>
    <w:rsid w:val="009260F8"/>
    <w:rsid w:val="0092659B"/>
    <w:rsid w:val="00927BAC"/>
    <w:rsid w:val="0093032D"/>
    <w:rsid w:val="00930CB7"/>
    <w:rsid w:val="009312C6"/>
    <w:rsid w:val="009313A1"/>
    <w:rsid w:val="00931AA4"/>
    <w:rsid w:val="00931CA4"/>
    <w:rsid w:val="00931DCA"/>
    <w:rsid w:val="00931F56"/>
    <w:rsid w:val="00932649"/>
    <w:rsid w:val="0093285E"/>
    <w:rsid w:val="0093286F"/>
    <w:rsid w:val="00932CB0"/>
    <w:rsid w:val="009330F9"/>
    <w:rsid w:val="009336FA"/>
    <w:rsid w:val="00933A6F"/>
    <w:rsid w:val="00933BE3"/>
    <w:rsid w:val="009348D7"/>
    <w:rsid w:val="00934E07"/>
    <w:rsid w:val="00935912"/>
    <w:rsid w:val="0093660E"/>
    <w:rsid w:val="009366BF"/>
    <w:rsid w:val="00936838"/>
    <w:rsid w:val="00936A8A"/>
    <w:rsid w:val="00937482"/>
    <w:rsid w:val="009402DA"/>
    <w:rsid w:val="009411B9"/>
    <w:rsid w:val="0094122F"/>
    <w:rsid w:val="0094129C"/>
    <w:rsid w:val="00941B71"/>
    <w:rsid w:val="00941C8B"/>
    <w:rsid w:val="0094264B"/>
    <w:rsid w:val="009427E5"/>
    <w:rsid w:val="009432DD"/>
    <w:rsid w:val="009434F1"/>
    <w:rsid w:val="009439A2"/>
    <w:rsid w:val="009445BB"/>
    <w:rsid w:val="00944900"/>
    <w:rsid w:val="009449ED"/>
    <w:rsid w:val="00945418"/>
    <w:rsid w:val="009456D4"/>
    <w:rsid w:val="009461DC"/>
    <w:rsid w:val="0094686C"/>
    <w:rsid w:val="009473FE"/>
    <w:rsid w:val="00947B90"/>
    <w:rsid w:val="00947EBC"/>
    <w:rsid w:val="00950063"/>
    <w:rsid w:val="00950379"/>
    <w:rsid w:val="00950551"/>
    <w:rsid w:val="00950A77"/>
    <w:rsid w:val="00951B39"/>
    <w:rsid w:val="0095374C"/>
    <w:rsid w:val="0095387D"/>
    <w:rsid w:val="00953B1D"/>
    <w:rsid w:val="009544BE"/>
    <w:rsid w:val="0095469E"/>
    <w:rsid w:val="009548CA"/>
    <w:rsid w:val="0095515C"/>
    <w:rsid w:val="009551A9"/>
    <w:rsid w:val="00955C70"/>
    <w:rsid w:val="009566C7"/>
    <w:rsid w:val="00956D6E"/>
    <w:rsid w:val="00957999"/>
    <w:rsid w:val="00957AAC"/>
    <w:rsid w:val="00957E9B"/>
    <w:rsid w:val="00957FF7"/>
    <w:rsid w:val="00960165"/>
    <w:rsid w:val="009603AE"/>
    <w:rsid w:val="00961E59"/>
    <w:rsid w:val="00961FCA"/>
    <w:rsid w:val="0096274F"/>
    <w:rsid w:val="009627E1"/>
    <w:rsid w:val="0096283B"/>
    <w:rsid w:val="00962F22"/>
    <w:rsid w:val="0096308D"/>
    <w:rsid w:val="009644DE"/>
    <w:rsid w:val="009645C6"/>
    <w:rsid w:val="009645D8"/>
    <w:rsid w:val="00964802"/>
    <w:rsid w:val="00964BFE"/>
    <w:rsid w:val="00965C63"/>
    <w:rsid w:val="00965CED"/>
    <w:rsid w:val="0096610A"/>
    <w:rsid w:val="0096644E"/>
    <w:rsid w:val="00966645"/>
    <w:rsid w:val="009668EB"/>
    <w:rsid w:val="00966F47"/>
    <w:rsid w:val="0096754D"/>
    <w:rsid w:val="00970195"/>
    <w:rsid w:val="009702B3"/>
    <w:rsid w:val="009704BB"/>
    <w:rsid w:val="00970997"/>
    <w:rsid w:val="00970A2A"/>
    <w:rsid w:val="00970ADE"/>
    <w:rsid w:val="00970E76"/>
    <w:rsid w:val="00971024"/>
    <w:rsid w:val="00971A53"/>
    <w:rsid w:val="00971B5C"/>
    <w:rsid w:val="00971E4A"/>
    <w:rsid w:val="0097223A"/>
    <w:rsid w:val="00972395"/>
    <w:rsid w:val="0097268F"/>
    <w:rsid w:val="0097287C"/>
    <w:rsid w:val="00973164"/>
    <w:rsid w:val="0097378B"/>
    <w:rsid w:val="009745AE"/>
    <w:rsid w:val="009746ED"/>
    <w:rsid w:val="00974B1E"/>
    <w:rsid w:val="00974C73"/>
    <w:rsid w:val="00975926"/>
    <w:rsid w:val="00976376"/>
    <w:rsid w:val="009764A0"/>
    <w:rsid w:val="0097664A"/>
    <w:rsid w:val="00976669"/>
    <w:rsid w:val="00977579"/>
    <w:rsid w:val="00977875"/>
    <w:rsid w:val="00977C30"/>
    <w:rsid w:val="00977D01"/>
    <w:rsid w:val="00977DEB"/>
    <w:rsid w:val="0098002B"/>
    <w:rsid w:val="00980CC9"/>
    <w:rsid w:val="00980E62"/>
    <w:rsid w:val="00981897"/>
    <w:rsid w:val="009818B5"/>
    <w:rsid w:val="00982BDE"/>
    <w:rsid w:val="00982EBB"/>
    <w:rsid w:val="00982F44"/>
    <w:rsid w:val="00983903"/>
    <w:rsid w:val="00983956"/>
    <w:rsid w:val="00983E2E"/>
    <w:rsid w:val="009843C9"/>
    <w:rsid w:val="0098505F"/>
    <w:rsid w:val="00985485"/>
    <w:rsid w:val="00985511"/>
    <w:rsid w:val="00985554"/>
    <w:rsid w:val="009857EB"/>
    <w:rsid w:val="00985F9B"/>
    <w:rsid w:val="00986192"/>
    <w:rsid w:val="00986319"/>
    <w:rsid w:val="009867A3"/>
    <w:rsid w:val="0098698A"/>
    <w:rsid w:val="00986AAA"/>
    <w:rsid w:val="0098752F"/>
    <w:rsid w:val="00987933"/>
    <w:rsid w:val="00987987"/>
    <w:rsid w:val="00987995"/>
    <w:rsid w:val="009879D2"/>
    <w:rsid w:val="00987F1A"/>
    <w:rsid w:val="00987FDE"/>
    <w:rsid w:val="00990577"/>
    <w:rsid w:val="009905BC"/>
    <w:rsid w:val="00990B19"/>
    <w:rsid w:val="00990B38"/>
    <w:rsid w:val="00990B6B"/>
    <w:rsid w:val="00990FE4"/>
    <w:rsid w:val="00991777"/>
    <w:rsid w:val="009925C9"/>
    <w:rsid w:val="009928DB"/>
    <w:rsid w:val="00992A29"/>
    <w:rsid w:val="0099375D"/>
    <w:rsid w:val="009941F6"/>
    <w:rsid w:val="009942E0"/>
    <w:rsid w:val="00994832"/>
    <w:rsid w:val="0099496D"/>
    <w:rsid w:val="00994AB3"/>
    <w:rsid w:val="009951FC"/>
    <w:rsid w:val="009958CF"/>
    <w:rsid w:val="00995C7F"/>
    <w:rsid w:val="009961EC"/>
    <w:rsid w:val="0099625A"/>
    <w:rsid w:val="00996D1D"/>
    <w:rsid w:val="00996D6A"/>
    <w:rsid w:val="00996E07"/>
    <w:rsid w:val="009972B9"/>
    <w:rsid w:val="00997475"/>
    <w:rsid w:val="00997DB7"/>
    <w:rsid w:val="00997F99"/>
    <w:rsid w:val="009A01B9"/>
    <w:rsid w:val="009A0233"/>
    <w:rsid w:val="009A063D"/>
    <w:rsid w:val="009A0920"/>
    <w:rsid w:val="009A0BA4"/>
    <w:rsid w:val="009A1054"/>
    <w:rsid w:val="009A17EA"/>
    <w:rsid w:val="009A1821"/>
    <w:rsid w:val="009A25F5"/>
    <w:rsid w:val="009A2ADB"/>
    <w:rsid w:val="009A3D7C"/>
    <w:rsid w:val="009A3F33"/>
    <w:rsid w:val="009A3FE1"/>
    <w:rsid w:val="009A4923"/>
    <w:rsid w:val="009A4DDF"/>
    <w:rsid w:val="009A4EC6"/>
    <w:rsid w:val="009A54AB"/>
    <w:rsid w:val="009A5917"/>
    <w:rsid w:val="009A60AD"/>
    <w:rsid w:val="009A65CE"/>
    <w:rsid w:val="009A6958"/>
    <w:rsid w:val="009A6EDA"/>
    <w:rsid w:val="009A6F73"/>
    <w:rsid w:val="009A72B7"/>
    <w:rsid w:val="009A75DD"/>
    <w:rsid w:val="009A76F8"/>
    <w:rsid w:val="009A7FA3"/>
    <w:rsid w:val="009B0433"/>
    <w:rsid w:val="009B0665"/>
    <w:rsid w:val="009B0A5A"/>
    <w:rsid w:val="009B17E1"/>
    <w:rsid w:val="009B1CAB"/>
    <w:rsid w:val="009B1CCC"/>
    <w:rsid w:val="009B1E92"/>
    <w:rsid w:val="009B286D"/>
    <w:rsid w:val="009B2C2A"/>
    <w:rsid w:val="009B352A"/>
    <w:rsid w:val="009B35F1"/>
    <w:rsid w:val="009B3691"/>
    <w:rsid w:val="009B3917"/>
    <w:rsid w:val="009B3A05"/>
    <w:rsid w:val="009B46DE"/>
    <w:rsid w:val="009B49A9"/>
    <w:rsid w:val="009B5047"/>
    <w:rsid w:val="009B50C1"/>
    <w:rsid w:val="009B578F"/>
    <w:rsid w:val="009B6287"/>
    <w:rsid w:val="009B6333"/>
    <w:rsid w:val="009B793A"/>
    <w:rsid w:val="009B7B18"/>
    <w:rsid w:val="009C1004"/>
    <w:rsid w:val="009C23D5"/>
    <w:rsid w:val="009C279E"/>
    <w:rsid w:val="009C3F0D"/>
    <w:rsid w:val="009C4015"/>
    <w:rsid w:val="009C4048"/>
    <w:rsid w:val="009C43FF"/>
    <w:rsid w:val="009C4AD0"/>
    <w:rsid w:val="009C5017"/>
    <w:rsid w:val="009C51B3"/>
    <w:rsid w:val="009C566D"/>
    <w:rsid w:val="009C59E6"/>
    <w:rsid w:val="009C5D62"/>
    <w:rsid w:val="009C652D"/>
    <w:rsid w:val="009C67AC"/>
    <w:rsid w:val="009C6C69"/>
    <w:rsid w:val="009C7B74"/>
    <w:rsid w:val="009C7DB9"/>
    <w:rsid w:val="009C7E15"/>
    <w:rsid w:val="009D0308"/>
    <w:rsid w:val="009D03C3"/>
    <w:rsid w:val="009D0414"/>
    <w:rsid w:val="009D079B"/>
    <w:rsid w:val="009D0A37"/>
    <w:rsid w:val="009D0C9C"/>
    <w:rsid w:val="009D0D14"/>
    <w:rsid w:val="009D10B0"/>
    <w:rsid w:val="009D2493"/>
    <w:rsid w:val="009D338F"/>
    <w:rsid w:val="009D33E7"/>
    <w:rsid w:val="009D44D1"/>
    <w:rsid w:val="009D4DD5"/>
    <w:rsid w:val="009D506C"/>
    <w:rsid w:val="009D6FA9"/>
    <w:rsid w:val="009E0024"/>
    <w:rsid w:val="009E037D"/>
    <w:rsid w:val="009E050C"/>
    <w:rsid w:val="009E1C60"/>
    <w:rsid w:val="009E2590"/>
    <w:rsid w:val="009E2D94"/>
    <w:rsid w:val="009E31DC"/>
    <w:rsid w:val="009E364A"/>
    <w:rsid w:val="009E3745"/>
    <w:rsid w:val="009E4360"/>
    <w:rsid w:val="009E493F"/>
    <w:rsid w:val="009E5184"/>
    <w:rsid w:val="009E547B"/>
    <w:rsid w:val="009E5F69"/>
    <w:rsid w:val="009E6070"/>
    <w:rsid w:val="009E6A4B"/>
    <w:rsid w:val="009E6D16"/>
    <w:rsid w:val="009E71E1"/>
    <w:rsid w:val="009F02B3"/>
    <w:rsid w:val="009F03DF"/>
    <w:rsid w:val="009F0967"/>
    <w:rsid w:val="009F0A2E"/>
    <w:rsid w:val="009F0BD2"/>
    <w:rsid w:val="009F1176"/>
    <w:rsid w:val="009F2EB3"/>
    <w:rsid w:val="009F2FDF"/>
    <w:rsid w:val="009F3440"/>
    <w:rsid w:val="009F3474"/>
    <w:rsid w:val="009F4BBA"/>
    <w:rsid w:val="009F4D49"/>
    <w:rsid w:val="009F4D6C"/>
    <w:rsid w:val="009F4D71"/>
    <w:rsid w:val="009F6027"/>
    <w:rsid w:val="009F6B6B"/>
    <w:rsid w:val="009F6EBE"/>
    <w:rsid w:val="00A0011C"/>
    <w:rsid w:val="00A0083D"/>
    <w:rsid w:val="00A00988"/>
    <w:rsid w:val="00A00E35"/>
    <w:rsid w:val="00A01528"/>
    <w:rsid w:val="00A01BBC"/>
    <w:rsid w:val="00A01C31"/>
    <w:rsid w:val="00A01F61"/>
    <w:rsid w:val="00A021F7"/>
    <w:rsid w:val="00A0243C"/>
    <w:rsid w:val="00A0248E"/>
    <w:rsid w:val="00A0269F"/>
    <w:rsid w:val="00A02837"/>
    <w:rsid w:val="00A049DB"/>
    <w:rsid w:val="00A04B65"/>
    <w:rsid w:val="00A04FAB"/>
    <w:rsid w:val="00A0503F"/>
    <w:rsid w:val="00A05089"/>
    <w:rsid w:val="00A05141"/>
    <w:rsid w:val="00A0542F"/>
    <w:rsid w:val="00A055B2"/>
    <w:rsid w:val="00A05E90"/>
    <w:rsid w:val="00A0631C"/>
    <w:rsid w:val="00A0635C"/>
    <w:rsid w:val="00A0637F"/>
    <w:rsid w:val="00A06509"/>
    <w:rsid w:val="00A06848"/>
    <w:rsid w:val="00A068CE"/>
    <w:rsid w:val="00A069B4"/>
    <w:rsid w:val="00A06BB8"/>
    <w:rsid w:val="00A07221"/>
    <w:rsid w:val="00A07A4E"/>
    <w:rsid w:val="00A07D41"/>
    <w:rsid w:val="00A07FBD"/>
    <w:rsid w:val="00A1040F"/>
    <w:rsid w:val="00A104AC"/>
    <w:rsid w:val="00A10AE0"/>
    <w:rsid w:val="00A114E3"/>
    <w:rsid w:val="00A114F1"/>
    <w:rsid w:val="00A11B60"/>
    <w:rsid w:val="00A11D0D"/>
    <w:rsid w:val="00A124EC"/>
    <w:rsid w:val="00A12694"/>
    <w:rsid w:val="00A128B0"/>
    <w:rsid w:val="00A12B60"/>
    <w:rsid w:val="00A12ED5"/>
    <w:rsid w:val="00A13083"/>
    <w:rsid w:val="00A136F6"/>
    <w:rsid w:val="00A13A77"/>
    <w:rsid w:val="00A13F04"/>
    <w:rsid w:val="00A14E6F"/>
    <w:rsid w:val="00A14F11"/>
    <w:rsid w:val="00A15543"/>
    <w:rsid w:val="00A16A5F"/>
    <w:rsid w:val="00A16C3E"/>
    <w:rsid w:val="00A17558"/>
    <w:rsid w:val="00A2000D"/>
    <w:rsid w:val="00A20926"/>
    <w:rsid w:val="00A21C0B"/>
    <w:rsid w:val="00A21CDB"/>
    <w:rsid w:val="00A21D9F"/>
    <w:rsid w:val="00A223A5"/>
    <w:rsid w:val="00A230C4"/>
    <w:rsid w:val="00A231CC"/>
    <w:rsid w:val="00A23698"/>
    <w:rsid w:val="00A238ED"/>
    <w:rsid w:val="00A244EE"/>
    <w:rsid w:val="00A24799"/>
    <w:rsid w:val="00A252B8"/>
    <w:rsid w:val="00A25C70"/>
    <w:rsid w:val="00A26556"/>
    <w:rsid w:val="00A275FA"/>
    <w:rsid w:val="00A30415"/>
    <w:rsid w:val="00A30FAE"/>
    <w:rsid w:val="00A31748"/>
    <w:rsid w:val="00A3206C"/>
    <w:rsid w:val="00A3257A"/>
    <w:rsid w:val="00A328B9"/>
    <w:rsid w:val="00A328CA"/>
    <w:rsid w:val="00A32AD3"/>
    <w:rsid w:val="00A32C54"/>
    <w:rsid w:val="00A32D66"/>
    <w:rsid w:val="00A32F32"/>
    <w:rsid w:val="00A33102"/>
    <w:rsid w:val="00A33D95"/>
    <w:rsid w:val="00A34013"/>
    <w:rsid w:val="00A340AF"/>
    <w:rsid w:val="00A340EB"/>
    <w:rsid w:val="00A34B8F"/>
    <w:rsid w:val="00A35133"/>
    <w:rsid w:val="00A3528E"/>
    <w:rsid w:val="00A353B0"/>
    <w:rsid w:val="00A354DA"/>
    <w:rsid w:val="00A35738"/>
    <w:rsid w:val="00A3575C"/>
    <w:rsid w:val="00A35824"/>
    <w:rsid w:val="00A366AA"/>
    <w:rsid w:val="00A37078"/>
    <w:rsid w:val="00A37375"/>
    <w:rsid w:val="00A37B2B"/>
    <w:rsid w:val="00A40098"/>
    <w:rsid w:val="00A4012C"/>
    <w:rsid w:val="00A422C0"/>
    <w:rsid w:val="00A42716"/>
    <w:rsid w:val="00A42A30"/>
    <w:rsid w:val="00A42CEC"/>
    <w:rsid w:val="00A42E1E"/>
    <w:rsid w:val="00A44042"/>
    <w:rsid w:val="00A4416D"/>
    <w:rsid w:val="00A4448F"/>
    <w:rsid w:val="00A4455F"/>
    <w:rsid w:val="00A44841"/>
    <w:rsid w:val="00A44F21"/>
    <w:rsid w:val="00A45399"/>
    <w:rsid w:val="00A4565F"/>
    <w:rsid w:val="00A45C55"/>
    <w:rsid w:val="00A45FB0"/>
    <w:rsid w:val="00A4632A"/>
    <w:rsid w:val="00A46611"/>
    <w:rsid w:val="00A46810"/>
    <w:rsid w:val="00A46E8F"/>
    <w:rsid w:val="00A4714A"/>
    <w:rsid w:val="00A474A1"/>
    <w:rsid w:val="00A50081"/>
    <w:rsid w:val="00A503A0"/>
    <w:rsid w:val="00A503F7"/>
    <w:rsid w:val="00A50CD3"/>
    <w:rsid w:val="00A5201D"/>
    <w:rsid w:val="00A52525"/>
    <w:rsid w:val="00A525B8"/>
    <w:rsid w:val="00A5293B"/>
    <w:rsid w:val="00A52C3C"/>
    <w:rsid w:val="00A5391C"/>
    <w:rsid w:val="00A54237"/>
    <w:rsid w:val="00A543B5"/>
    <w:rsid w:val="00A543D9"/>
    <w:rsid w:val="00A54912"/>
    <w:rsid w:val="00A5582F"/>
    <w:rsid w:val="00A559B9"/>
    <w:rsid w:val="00A55A71"/>
    <w:rsid w:val="00A55BE8"/>
    <w:rsid w:val="00A560AF"/>
    <w:rsid w:val="00A5696A"/>
    <w:rsid w:val="00A56C25"/>
    <w:rsid w:val="00A57157"/>
    <w:rsid w:val="00A573BA"/>
    <w:rsid w:val="00A57B80"/>
    <w:rsid w:val="00A60244"/>
    <w:rsid w:val="00A60CD0"/>
    <w:rsid w:val="00A60EED"/>
    <w:rsid w:val="00A610C5"/>
    <w:rsid w:val="00A61885"/>
    <w:rsid w:val="00A62724"/>
    <w:rsid w:val="00A62BA8"/>
    <w:rsid w:val="00A62CEB"/>
    <w:rsid w:val="00A63CDA"/>
    <w:rsid w:val="00A63EB2"/>
    <w:rsid w:val="00A641E3"/>
    <w:rsid w:val="00A64E3A"/>
    <w:rsid w:val="00A6515A"/>
    <w:rsid w:val="00A652E5"/>
    <w:rsid w:val="00A658AD"/>
    <w:rsid w:val="00A659EF"/>
    <w:rsid w:val="00A65DB0"/>
    <w:rsid w:val="00A66483"/>
    <w:rsid w:val="00A66721"/>
    <w:rsid w:val="00A7043A"/>
    <w:rsid w:val="00A70CAB"/>
    <w:rsid w:val="00A710F5"/>
    <w:rsid w:val="00A71199"/>
    <w:rsid w:val="00A714B2"/>
    <w:rsid w:val="00A71C01"/>
    <w:rsid w:val="00A72324"/>
    <w:rsid w:val="00A7254A"/>
    <w:rsid w:val="00A726ED"/>
    <w:rsid w:val="00A738B1"/>
    <w:rsid w:val="00A7435B"/>
    <w:rsid w:val="00A749FD"/>
    <w:rsid w:val="00A74B13"/>
    <w:rsid w:val="00A74B5C"/>
    <w:rsid w:val="00A74EB0"/>
    <w:rsid w:val="00A755AD"/>
    <w:rsid w:val="00A76292"/>
    <w:rsid w:val="00A7666B"/>
    <w:rsid w:val="00A766F2"/>
    <w:rsid w:val="00A770BB"/>
    <w:rsid w:val="00A778D7"/>
    <w:rsid w:val="00A801C4"/>
    <w:rsid w:val="00A80710"/>
    <w:rsid w:val="00A809C0"/>
    <w:rsid w:val="00A80F86"/>
    <w:rsid w:val="00A812E7"/>
    <w:rsid w:val="00A82378"/>
    <w:rsid w:val="00A825EE"/>
    <w:rsid w:val="00A829FF"/>
    <w:rsid w:val="00A83C4D"/>
    <w:rsid w:val="00A83F31"/>
    <w:rsid w:val="00A8422D"/>
    <w:rsid w:val="00A84644"/>
    <w:rsid w:val="00A846BB"/>
    <w:rsid w:val="00A84B77"/>
    <w:rsid w:val="00A854BF"/>
    <w:rsid w:val="00A85935"/>
    <w:rsid w:val="00A859CD"/>
    <w:rsid w:val="00A85D67"/>
    <w:rsid w:val="00A866BC"/>
    <w:rsid w:val="00A8739B"/>
    <w:rsid w:val="00A87B27"/>
    <w:rsid w:val="00A87FFA"/>
    <w:rsid w:val="00A90249"/>
    <w:rsid w:val="00A90409"/>
    <w:rsid w:val="00A9045D"/>
    <w:rsid w:val="00A904AD"/>
    <w:rsid w:val="00A90972"/>
    <w:rsid w:val="00A90F1E"/>
    <w:rsid w:val="00A90FE2"/>
    <w:rsid w:val="00A91038"/>
    <w:rsid w:val="00A91BAD"/>
    <w:rsid w:val="00A91D2D"/>
    <w:rsid w:val="00A9290F"/>
    <w:rsid w:val="00A9310F"/>
    <w:rsid w:val="00A93B61"/>
    <w:rsid w:val="00A93F15"/>
    <w:rsid w:val="00A941EF"/>
    <w:rsid w:val="00A94905"/>
    <w:rsid w:val="00A9492E"/>
    <w:rsid w:val="00A94E7A"/>
    <w:rsid w:val="00A94EBE"/>
    <w:rsid w:val="00A95A66"/>
    <w:rsid w:val="00A95BA1"/>
    <w:rsid w:val="00A95E4B"/>
    <w:rsid w:val="00A9616C"/>
    <w:rsid w:val="00A96508"/>
    <w:rsid w:val="00A96DF1"/>
    <w:rsid w:val="00A9748A"/>
    <w:rsid w:val="00A977AC"/>
    <w:rsid w:val="00AA0AF7"/>
    <w:rsid w:val="00AA0FBC"/>
    <w:rsid w:val="00AA1174"/>
    <w:rsid w:val="00AA124B"/>
    <w:rsid w:val="00AA17F8"/>
    <w:rsid w:val="00AA1D3E"/>
    <w:rsid w:val="00AA1F6B"/>
    <w:rsid w:val="00AA262C"/>
    <w:rsid w:val="00AA2D5A"/>
    <w:rsid w:val="00AA31C5"/>
    <w:rsid w:val="00AA397B"/>
    <w:rsid w:val="00AA39C8"/>
    <w:rsid w:val="00AA51B8"/>
    <w:rsid w:val="00AA58B8"/>
    <w:rsid w:val="00AA5D08"/>
    <w:rsid w:val="00AA6922"/>
    <w:rsid w:val="00AA78B5"/>
    <w:rsid w:val="00AB05BD"/>
    <w:rsid w:val="00AB0724"/>
    <w:rsid w:val="00AB19C8"/>
    <w:rsid w:val="00AB1B6F"/>
    <w:rsid w:val="00AB22E6"/>
    <w:rsid w:val="00AB23D7"/>
    <w:rsid w:val="00AB2843"/>
    <w:rsid w:val="00AB351B"/>
    <w:rsid w:val="00AB39DA"/>
    <w:rsid w:val="00AB3AF5"/>
    <w:rsid w:val="00AB41D3"/>
    <w:rsid w:val="00AB467E"/>
    <w:rsid w:val="00AB4B6C"/>
    <w:rsid w:val="00AB50D0"/>
    <w:rsid w:val="00AB536C"/>
    <w:rsid w:val="00AB5D62"/>
    <w:rsid w:val="00AB5E5D"/>
    <w:rsid w:val="00AB6A3B"/>
    <w:rsid w:val="00AB6E33"/>
    <w:rsid w:val="00AB7587"/>
    <w:rsid w:val="00AC14A0"/>
    <w:rsid w:val="00AC1508"/>
    <w:rsid w:val="00AC165D"/>
    <w:rsid w:val="00AC23A8"/>
    <w:rsid w:val="00AC2440"/>
    <w:rsid w:val="00AC25F2"/>
    <w:rsid w:val="00AC2D98"/>
    <w:rsid w:val="00AC2DFC"/>
    <w:rsid w:val="00AC3009"/>
    <w:rsid w:val="00AC3035"/>
    <w:rsid w:val="00AC3401"/>
    <w:rsid w:val="00AC36A0"/>
    <w:rsid w:val="00AC3E40"/>
    <w:rsid w:val="00AC45DA"/>
    <w:rsid w:val="00AC53B7"/>
    <w:rsid w:val="00AC5CE9"/>
    <w:rsid w:val="00AC5D93"/>
    <w:rsid w:val="00AC61A2"/>
    <w:rsid w:val="00AC61AD"/>
    <w:rsid w:val="00AC6554"/>
    <w:rsid w:val="00AC65C3"/>
    <w:rsid w:val="00AC6BAB"/>
    <w:rsid w:val="00AC7190"/>
    <w:rsid w:val="00AC76A0"/>
    <w:rsid w:val="00AC784C"/>
    <w:rsid w:val="00AC7BB3"/>
    <w:rsid w:val="00AC7D5B"/>
    <w:rsid w:val="00AD0800"/>
    <w:rsid w:val="00AD12F8"/>
    <w:rsid w:val="00AD1BF6"/>
    <w:rsid w:val="00AD269E"/>
    <w:rsid w:val="00AD2DB6"/>
    <w:rsid w:val="00AD35EE"/>
    <w:rsid w:val="00AD5329"/>
    <w:rsid w:val="00AD632C"/>
    <w:rsid w:val="00AD632F"/>
    <w:rsid w:val="00AD6477"/>
    <w:rsid w:val="00AD6B94"/>
    <w:rsid w:val="00AD6D99"/>
    <w:rsid w:val="00AD6F66"/>
    <w:rsid w:val="00AD7438"/>
    <w:rsid w:val="00AE004A"/>
    <w:rsid w:val="00AE086E"/>
    <w:rsid w:val="00AE18FB"/>
    <w:rsid w:val="00AE1D6D"/>
    <w:rsid w:val="00AE1F65"/>
    <w:rsid w:val="00AE2812"/>
    <w:rsid w:val="00AE2DE0"/>
    <w:rsid w:val="00AE329C"/>
    <w:rsid w:val="00AE3E59"/>
    <w:rsid w:val="00AE3F8C"/>
    <w:rsid w:val="00AE46BC"/>
    <w:rsid w:val="00AE4838"/>
    <w:rsid w:val="00AE5179"/>
    <w:rsid w:val="00AE5CD8"/>
    <w:rsid w:val="00AE6F6A"/>
    <w:rsid w:val="00AE73B8"/>
    <w:rsid w:val="00AE73D2"/>
    <w:rsid w:val="00AE7455"/>
    <w:rsid w:val="00AE7CA1"/>
    <w:rsid w:val="00AF0EAA"/>
    <w:rsid w:val="00AF1113"/>
    <w:rsid w:val="00AF1303"/>
    <w:rsid w:val="00AF1733"/>
    <w:rsid w:val="00AF190F"/>
    <w:rsid w:val="00AF26FA"/>
    <w:rsid w:val="00AF2927"/>
    <w:rsid w:val="00AF2C5B"/>
    <w:rsid w:val="00AF316C"/>
    <w:rsid w:val="00AF3BE2"/>
    <w:rsid w:val="00AF41DA"/>
    <w:rsid w:val="00AF47BC"/>
    <w:rsid w:val="00AF4D8D"/>
    <w:rsid w:val="00AF52A9"/>
    <w:rsid w:val="00AF5599"/>
    <w:rsid w:val="00AF59AE"/>
    <w:rsid w:val="00AF5C3B"/>
    <w:rsid w:val="00AF625A"/>
    <w:rsid w:val="00AF6BE0"/>
    <w:rsid w:val="00B00AD6"/>
    <w:rsid w:val="00B019F6"/>
    <w:rsid w:val="00B01C4B"/>
    <w:rsid w:val="00B01CE3"/>
    <w:rsid w:val="00B020A8"/>
    <w:rsid w:val="00B02525"/>
    <w:rsid w:val="00B02F24"/>
    <w:rsid w:val="00B02FD2"/>
    <w:rsid w:val="00B030E2"/>
    <w:rsid w:val="00B032A5"/>
    <w:rsid w:val="00B03341"/>
    <w:rsid w:val="00B03C17"/>
    <w:rsid w:val="00B03F8F"/>
    <w:rsid w:val="00B03FAC"/>
    <w:rsid w:val="00B046D0"/>
    <w:rsid w:val="00B047DC"/>
    <w:rsid w:val="00B04ABA"/>
    <w:rsid w:val="00B04B6B"/>
    <w:rsid w:val="00B04BAF"/>
    <w:rsid w:val="00B04F1E"/>
    <w:rsid w:val="00B0506C"/>
    <w:rsid w:val="00B05994"/>
    <w:rsid w:val="00B062F6"/>
    <w:rsid w:val="00B0652F"/>
    <w:rsid w:val="00B067F5"/>
    <w:rsid w:val="00B06BFE"/>
    <w:rsid w:val="00B07556"/>
    <w:rsid w:val="00B076BD"/>
    <w:rsid w:val="00B104B0"/>
    <w:rsid w:val="00B106EB"/>
    <w:rsid w:val="00B10B2B"/>
    <w:rsid w:val="00B10B32"/>
    <w:rsid w:val="00B11221"/>
    <w:rsid w:val="00B12688"/>
    <w:rsid w:val="00B1277A"/>
    <w:rsid w:val="00B12B7F"/>
    <w:rsid w:val="00B12C4F"/>
    <w:rsid w:val="00B12F70"/>
    <w:rsid w:val="00B1399D"/>
    <w:rsid w:val="00B13CA3"/>
    <w:rsid w:val="00B13DCC"/>
    <w:rsid w:val="00B14402"/>
    <w:rsid w:val="00B15C30"/>
    <w:rsid w:val="00B16A34"/>
    <w:rsid w:val="00B16AAD"/>
    <w:rsid w:val="00B1736C"/>
    <w:rsid w:val="00B1778B"/>
    <w:rsid w:val="00B178F1"/>
    <w:rsid w:val="00B17BD2"/>
    <w:rsid w:val="00B20536"/>
    <w:rsid w:val="00B20A46"/>
    <w:rsid w:val="00B20A6E"/>
    <w:rsid w:val="00B218FC"/>
    <w:rsid w:val="00B21976"/>
    <w:rsid w:val="00B221E0"/>
    <w:rsid w:val="00B22473"/>
    <w:rsid w:val="00B22EBE"/>
    <w:rsid w:val="00B23062"/>
    <w:rsid w:val="00B238F8"/>
    <w:rsid w:val="00B23A13"/>
    <w:rsid w:val="00B23EB4"/>
    <w:rsid w:val="00B241D3"/>
    <w:rsid w:val="00B24F7B"/>
    <w:rsid w:val="00B254DE"/>
    <w:rsid w:val="00B2578A"/>
    <w:rsid w:val="00B25813"/>
    <w:rsid w:val="00B265CF"/>
    <w:rsid w:val="00B272C7"/>
    <w:rsid w:val="00B27711"/>
    <w:rsid w:val="00B30327"/>
    <w:rsid w:val="00B304BA"/>
    <w:rsid w:val="00B31932"/>
    <w:rsid w:val="00B31DAC"/>
    <w:rsid w:val="00B325BE"/>
    <w:rsid w:val="00B32E33"/>
    <w:rsid w:val="00B33018"/>
    <w:rsid w:val="00B34257"/>
    <w:rsid w:val="00B34925"/>
    <w:rsid w:val="00B34A76"/>
    <w:rsid w:val="00B34ADB"/>
    <w:rsid w:val="00B34B9B"/>
    <w:rsid w:val="00B34BA7"/>
    <w:rsid w:val="00B3544D"/>
    <w:rsid w:val="00B35A03"/>
    <w:rsid w:val="00B360F8"/>
    <w:rsid w:val="00B3680A"/>
    <w:rsid w:val="00B3683C"/>
    <w:rsid w:val="00B371B9"/>
    <w:rsid w:val="00B4024C"/>
    <w:rsid w:val="00B40E65"/>
    <w:rsid w:val="00B414A9"/>
    <w:rsid w:val="00B41C17"/>
    <w:rsid w:val="00B41D60"/>
    <w:rsid w:val="00B42585"/>
    <w:rsid w:val="00B431C7"/>
    <w:rsid w:val="00B4343C"/>
    <w:rsid w:val="00B44181"/>
    <w:rsid w:val="00B44DF0"/>
    <w:rsid w:val="00B461F3"/>
    <w:rsid w:val="00B46331"/>
    <w:rsid w:val="00B47005"/>
    <w:rsid w:val="00B4714D"/>
    <w:rsid w:val="00B47475"/>
    <w:rsid w:val="00B47A93"/>
    <w:rsid w:val="00B47D65"/>
    <w:rsid w:val="00B5024A"/>
    <w:rsid w:val="00B50397"/>
    <w:rsid w:val="00B50762"/>
    <w:rsid w:val="00B50FA7"/>
    <w:rsid w:val="00B510B0"/>
    <w:rsid w:val="00B517CC"/>
    <w:rsid w:val="00B51DAE"/>
    <w:rsid w:val="00B52561"/>
    <w:rsid w:val="00B5290D"/>
    <w:rsid w:val="00B530FD"/>
    <w:rsid w:val="00B5330C"/>
    <w:rsid w:val="00B53423"/>
    <w:rsid w:val="00B535F3"/>
    <w:rsid w:val="00B53927"/>
    <w:rsid w:val="00B539C5"/>
    <w:rsid w:val="00B55108"/>
    <w:rsid w:val="00B55C77"/>
    <w:rsid w:val="00B560A8"/>
    <w:rsid w:val="00B5643A"/>
    <w:rsid w:val="00B56515"/>
    <w:rsid w:val="00B5714C"/>
    <w:rsid w:val="00B5759C"/>
    <w:rsid w:val="00B60309"/>
    <w:rsid w:val="00B606AA"/>
    <w:rsid w:val="00B616B9"/>
    <w:rsid w:val="00B618F6"/>
    <w:rsid w:val="00B61DC7"/>
    <w:rsid w:val="00B62106"/>
    <w:rsid w:val="00B62177"/>
    <w:rsid w:val="00B6323C"/>
    <w:rsid w:val="00B639DE"/>
    <w:rsid w:val="00B63DB3"/>
    <w:rsid w:val="00B641ED"/>
    <w:rsid w:val="00B6497C"/>
    <w:rsid w:val="00B64BD1"/>
    <w:rsid w:val="00B65517"/>
    <w:rsid w:val="00B65D15"/>
    <w:rsid w:val="00B65E18"/>
    <w:rsid w:val="00B6641D"/>
    <w:rsid w:val="00B6685A"/>
    <w:rsid w:val="00B66B54"/>
    <w:rsid w:val="00B66F0C"/>
    <w:rsid w:val="00B678B1"/>
    <w:rsid w:val="00B71039"/>
    <w:rsid w:val="00B71860"/>
    <w:rsid w:val="00B71892"/>
    <w:rsid w:val="00B71936"/>
    <w:rsid w:val="00B71B2B"/>
    <w:rsid w:val="00B722A4"/>
    <w:rsid w:val="00B7270E"/>
    <w:rsid w:val="00B73933"/>
    <w:rsid w:val="00B73C86"/>
    <w:rsid w:val="00B73EB7"/>
    <w:rsid w:val="00B75B5D"/>
    <w:rsid w:val="00B75C1C"/>
    <w:rsid w:val="00B75FBB"/>
    <w:rsid w:val="00B761B3"/>
    <w:rsid w:val="00B763D7"/>
    <w:rsid w:val="00B76CFD"/>
    <w:rsid w:val="00B7753A"/>
    <w:rsid w:val="00B77904"/>
    <w:rsid w:val="00B77F88"/>
    <w:rsid w:val="00B80144"/>
    <w:rsid w:val="00B805DF"/>
    <w:rsid w:val="00B80705"/>
    <w:rsid w:val="00B80803"/>
    <w:rsid w:val="00B80B25"/>
    <w:rsid w:val="00B80C80"/>
    <w:rsid w:val="00B80E32"/>
    <w:rsid w:val="00B80F19"/>
    <w:rsid w:val="00B81004"/>
    <w:rsid w:val="00B815F5"/>
    <w:rsid w:val="00B81D66"/>
    <w:rsid w:val="00B825FC"/>
    <w:rsid w:val="00B82BE7"/>
    <w:rsid w:val="00B82D6C"/>
    <w:rsid w:val="00B83011"/>
    <w:rsid w:val="00B8301C"/>
    <w:rsid w:val="00B840DC"/>
    <w:rsid w:val="00B84667"/>
    <w:rsid w:val="00B84980"/>
    <w:rsid w:val="00B8533F"/>
    <w:rsid w:val="00B853B4"/>
    <w:rsid w:val="00B877B3"/>
    <w:rsid w:val="00B878EA"/>
    <w:rsid w:val="00B900BD"/>
    <w:rsid w:val="00B90146"/>
    <w:rsid w:val="00B901F8"/>
    <w:rsid w:val="00B90998"/>
    <w:rsid w:val="00B911D4"/>
    <w:rsid w:val="00B9172E"/>
    <w:rsid w:val="00B91E87"/>
    <w:rsid w:val="00B920BE"/>
    <w:rsid w:val="00B923F2"/>
    <w:rsid w:val="00B92F3E"/>
    <w:rsid w:val="00B932E4"/>
    <w:rsid w:val="00B93F9A"/>
    <w:rsid w:val="00B95175"/>
    <w:rsid w:val="00B957D6"/>
    <w:rsid w:val="00B95BA7"/>
    <w:rsid w:val="00B95E3A"/>
    <w:rsid w:val="00B960DB"/>
    <w:rsid w:val="00B96381"/>
    <w:rsid w:val="00B96586"/>
    <w:rsid w:val="00B96744"/>
    <w:rsid w:val="00B97492"/>
    <w:rsid w:val="00B97693"/>
    <w:rsid w:val="00B97864"/>
    <w:rsid w:val="00B9786A"/>
    <w:rsid w:val="00B9790D"/>
    <w:rsid w:val="00B97B23"/>
    <w:rsid w:val="00BA0C41"/>
    <w:rsid w:val="00BA0FA6"/>
    <w:rsid w:val="00BA13CD"/>
    <w:rsid w:val="00BA1440"/>
    <w:rsid w:val="00BA2B8A"/>
    <w:rsid w:val="00BA3053"/>
    <w:rsid w:val="00BA3295"/>
    <w:rsid w:val="00BA3B53"/>
    <w:rsid w:val="00BA40BB"/>
    <w:rsid w:val="00BA4C9F"/>
    <w:rsid w:val="00BA4F82"/>
    <w:rsid w:val="00BA505D"/>
    <w:rsid w:val="00BA52FA"/>
    <w:rsid w:val="00BA5573"/>
    <w:rsid w:val="00BA577F"/>
    <w:rsid w:val="00BA5C2D"/>
    <w:rsid w:val="00BA61ED"/>
    <w:rsid w:val="00BA6556"/>
    <w:rsid w:val="00BA754A"/>
    <w:rsid w:val="00BA7790"/>
    <w:rsid w:val="00BA7A07"/>
    <w:rsid w:val="00BA7E73"/>
    <w:rsid w:val="00BA7F13"/>
    <w:rsid w:val="00BB00F5"/>
    <w:rsid w:val="00BB0126"/>
    <w:rsid w:val="00BB037C"/>
    <w:rsid w:val="00BB0523"/>
    <w:rsid w:val="00BB1D25"/>
    <w:rsid w:val="00BB1E8D"/>
    <w:rsid w:val="00BB1F86"/>
    <w:rsid w:val="00BB2257"/>
    <w:rsid w:val="00BB2C9B"/>
    <w:rsid w:val="00BB2CCA"/>
    <w:rsid w:val="00BB2E0D"/>
    <w:rsid w:val="00BB331E"/>
    <w:rsid w:val="00BB3706"/>
    <w:rsid w:val="00BB3723"/>
    <w:rsid w:val="00BB37BB"/>
    <w:rsid w:val="00BB38DF"/>
    <w:rsid w:val="00BB3A53"/>
    <w:rsid w:val="00BB3F38"/>
    <w:rsid w:val="00BB43F1"/>
    <w:rsid w:val="00BB4441"/>
    <w:rsid w:val="00BB4534"/>
    <w:rsid w:val="00BB4634"/>
    <w:rsid w:val="00BB4680"/>
    <w:rsid w:val="00BB490D"/>
    <w:rsid w:val="00BB4EB8"/>
    <w:rsid w:val="00BB4EC4"/>
    <w:rsid w:val="00BB527B"/>
    <w:rsid w:val="00BB5486"/>
    <w:rsid w:val="00BB551F"/>
    <w:rsid w:val="00BB5DB8"/>
    <w:rsid w:val="00BB61C8"/>
    <w:rsid w:val="00BB647C"/>
    <w:rsid w:val="00BB6BA3"/>
    <w:rsid w:val="00BB6EA6"/>
    <w:rsid w:val="00BB739E"/>
    <w:rsid w:val="00BB7FB9"/>
    <w:rsid w:val="00BC006C"/>
    <w:rsid w:val="00BC08F9"/>
    <w:rsid w:val="00BC097D"/>
    <w:rsid w:val="00BC0B4E"/>
    <w:rsid w:val="00BC0BDE"/>
    <w:rsid w:val="00BC103B"/>
    <w:rsid w:val="00BC154D"/>
    <w:rsid w:val="00BC1FB9"/>
    <w:rsid w:val="00BC210E"/>
    <w:rsid w:val="00BC23D1"/>
    <w:rsid w:val="00BC3107"/>
    <w:rsid w:val="00BC3948"/>
    <w:rsid w:val="00BC45AD"/>
    <w:rsid w:val="00BC4744"/>
    <w:rsid w:val="00BC549D"/>
    <w:rsid w:val="00BC567F"/>
    <w:rsid w:val="00BC570E"/>
    <w:rsid w:val="00BC64AB"/>
    <w:rsid w:val="00BC65CB"/>
    <w:rsid w:val="00BC66CE"/>
    <w:rsid w:val="00BC6ADD"/>
    <w:rsid w:val="00BC6E15"/>
    <w:rsid w:val="00BC71F8"/>
    <w:rsid w:val="00BC796E"/>
    <w:rsid w:val="00BC7DF5"/>
    <w:rsid w:val="00BC7E41"/>
    <w:rsid w:val="00BC7FED"/>
    <w:rsid w:val="00BD061B"/>
    <w:rsid w:val="00BD07D4"/>
    <w:rsid w:val="00BD0F61"/>
    <w:rsid w:val="00BD1B03"/>
    <w:rsid w:val="00BD1E78"/>
    <w:rsid w:val="00BD23DF"/>
    <w:rsid w:val="00BD291B"/>
    <w:rsid w:val="00BD2CBE"/>
    <w:rsid w:val="00BD4748"/>
    <w:rsid w:val="00BD4CCA"/>
    <w:rsid w:val="00BD4E00"/>
    <w:rsid w:val="00BD5A38"/>
    <w:rsid w:val="00BD5FA9"/>
    <w:rsid w:val="00BD6406"/>
    <w:rsid w:val="00BD7538"/>
    <w:rsid w:val="00BD76F4"/>
    <w:rsid w:val="00BD7C01"/>
    <w:rsid w:val="00BD7EAC"/>
    <w:rsid w:val="00BE0648"/>
    <w:rsid w:val="00BE0E42"/>
    <w:rsid w:val="00BE1275"/>
    <w:rsid w:val="00BE1513"/>
    <w:rsid w:val="00BE226A"/>
    <w:rsid w:val="00BE2BA6"/>
    <w:rsid w:val="00BE2FF6"/>
    <w:rsid w:val="00BE32BD"/>
    <w:rsid w:val="00BE3671"/>
    <w:rsid w:val="00BE56F4"/>
    <w:rsid w:val="00BE57A8"/>
    <w:rsid w:val="00BE5AF8"/>
    <w:rsid w:val="00BE5CFA"/>
    <w:rsid w:val="00BE60DF"/>
    <w:rsid w:val="00BE6123"/>
    <w:rsid w:val="00BE6202"/>
    <w:rsid w:val="00BE6F4C"/>
    <w:rsid w:val="00BE7A5E"/>
    <w:rsid w:val="00BF0756"/>
    <w:rsid w:val="00BF0E89"/>
    <w:rsid w:val="00BF1352"/>
    <w:rsid w:val="00BF18D0"/>
    <w:rsid w:val="00BF1B6D"/>
    <w:rsid w:val="00BF2731"/>
    <w:rsid w:val="00BF28F4"/>
    <w:rsid w:val="00BF3340"/>
    <w:rsid w:val="00BF359E"/>
    <w:rsid w:val="00BF3C66"/>
    <w:rsid w:val="00BF3FB4"/>
    <w:rsid w:val="00BF4E05"/>
    <w:rsid w:val="00BF63BF"/>
    <w:rsid w:val="00BF6705"/>
    <w:rsid w:val="00BF7186"/>
    <w:rsid w:val="00BF72E6"/>
    <w:rsid w:val="00BF74F9"/>
    <w:rsid w:val="00BF765A"/>
    <w:rsid w:val="00C005D3"/>
    <w:rsid w:val="00C00BEC"/>
    <w:rsid w:val="00C00FF7"/>
    <w:rsid w:val="00C0127C"/>
    <w:rsid w:val="00C01B4F"/>
    <w:rsid w:val="00C01F12"/>
    <w:rsid w:val="00C01F75"/>
    <w:rsid w:val="00C02BE6"/>
    <w:rsid w:val="00C02FC6"/>
    <w:rsid w:val="00C03733"/>
    <w:rsid w:val="00C03753"/>
    <w:rsid w:val="00C03869"/>
    <w:rsid w:val="00C04A1F"/>
    <w:rsid w:val="00C05032"/>
    <w:rsid w:val="00C0549D"/>
    <w:rsid w:val="00C06197"/>
    <w:rsid w:val="00C06738"/>
    <w:rsid w:val="00C07F97"/>
    <w:rsid w:val="00C101FB"/>
    <w:rsid w:val="00C1036A"/>
    <w:rsid w:val="00C103A4"/>
    <w:rsid w:val="00C1054F"/>
    <w:rsid w:val="00C1079D"/>
    <w:rsid w:val="00C10B9A"/>
    <w:rsid w:val="00C10DAC"/>
    <w:rsid w:val="00C10DE1"/>
    <w:rsid w:val="00C10F67"/>
    <w:rsid w:val="00C11712"/>
    <w:rsid w:val="00C11F21"/>
    <w:rsid w:val="00C1230B"/>
    <w:rsid w:val="00C12322"/>
    <w:rsid w:val="00C12391"/>
    <w:rsid w:val="00C12F25"/>
    <w:rsid w:val="00C1339D"/>
    <w:rsid w:val="00C1371A"/>
    <w:rsid w:val="00C14007"/>
    <w:rsid w:val="00C151D3"/>
    <w:rsid w:val="00C1550F"/>
    <w:rsid w:val="00C158E4"/>
    <w:rsid w:val="00C15CF2"/>
    <w:rsid w:val="00C15FEB"/>
    <w:rsid w:val="00C16358"/>
    <w:rsid w:val="00C16550"/>
    <w:rsid w:val="00C174D3"/>
    <w:rsid w:val="00C179F5"/>
    <w:rsid w:val="00C17C0F"/>
    <w:rsid w:val="00C2024C"/>
    <w:rsid w:val="00C20E42"/>
    <w:rsid w:val="00C2121B"/>
    <w:rsid w:val="00C21605"/>
    <w:rsid w:val="00C223B7"/>
    <w:rsid w:val="00C23542"/>
    <w:rsid w:val="00C23A48"/>
    <w:rsid w:val="00C23A66"/>
    <w:rsid w:val="00C23B11"/>
    <w:rsid w:val="00C23B2F"/>
    <w:rsid w:val="00C23CAC"/>
    <w:rsid w:val="00C23FE5"/>
    <w:rsid w:val="00C2448C"/>
    <w:rsid w:val="00C248E1"/>
    <w:rsid w:val="00C24904"/>
    <w:rsid w:val="00C252FE"/>
    <w:rsid w:val="00C25DC2"/>
    <w:rsid w:val="00C25FB5"/>
    <w:rsid w:val="00C26206"/>
    <w:rsid w:val="00C2754F"/>
    <w:rsid w:val="00C27556"/>
    <w:rsid w:val="00C27D76"/>
    <w:rsid w:val="00C301C1"/>
    <w:rsid w:val="00C30D91"/>
    <w:rsid w:val="00C30FA2"/>
    <w:rsid w:val="00C318A9"/>
    <w:rsid w:val="00C31C89"/>
    <w:rsid w:val="00C3278E"/>
    <w:rsid w:val="00C32B32"/>
    <w:rsid w:val="00C32FFE"/>
    <w:rsid w:val="00C33167"/>
    <w:rsid w:val="00C33E2C"/>
    <w:rsid w:val="00C33E9F"/>
    <w:rsid w:val="00C33FF6"/>
    <w:rsid w:val="00C34119"/>
    <w:rsid w:val="00C342C7"/>
    <w:rsid w:val="00C345B2"/>
    <w:rsid w:val="00C34739"/>
    <w:rsid w:val="00C3473E"/>
    <w:rsid w:val="00C347B3"/>
    <w:rsid w:val="00C355B0"/>
    <w:rsid w:val="00C355DD"/>
    <w:rsid w:val="00C35659"/>
    <w:rsid w:val="00C3628B"/>
    <w:rsid w:val="00C3693D"/>
    <w:rsid w:val="00C36B14"/>
    <w:rsid w:val="00C3766B"/>
    <w:rsid w:val="00C37A29"/>
    <w:rsid w:val="00C37CDE"/>
    <w:rsid w:val="00C37CF7"/>
    <w:rsid w:val="00C37D28"/>
    <w:rsid w:val="00C37D9E"/>
    <w:rsid w:val="00C40331"/>
    <w:rsid w:val="00C406E6"/>
    <w:rsid w:val="00C409FD"/>
    <w:rsid w:val="00C4220B"/>
    <w:rsid w:val="00C427A9"/>
    <w:rsid w:val="00C42B40"/>
    <w:rsid w:val="00C432AE"/>
    <w:rsid w:val="00C4379F"/>
    <w:rsid w:val="00C444F6"/>
    <w:rsid w:val="00C4478A"/>
    <w:rsid w:val="00C4485B"/>
    <w:rsid w:val="00C44C33"/>
    <w:rsid w:val="00C452CB"/>
    <w:rsid w:val="00C456AC"/>
    <w:rsid w:val="00C456C5"/>
    <w:rsid w:val="00C45B61"/>
    <w:rsid w:val="00C45BF3"/>
    <w:rsid w:val="00C45D76"/>
    <w:rsid w:val="00C466C6"/>
    <w:rsid w:val="00C46879"/>
    <w:rsid w:val="00C47726"/>
    <w:rsid w:val="00C47C39"/>
    <w:rsid w:val="00C50570"/>
    <w:rsid w:val="00C50574"/>
    <w:rsid w:val="00C50D7F"/>
    <w:rsid w:val="00C51471"/>
    <w:rsid w:val="00C51610"/>
    <w:rsid w:val="00C51BD2"/>
    <w:rsid w:val="00C52026"/>
    <w:rsid w:val="00C528CD"/>
    <w:rsid w:val="00C52C49"/>
    <w:rsid w:val="00C52F66"/>
    <w:rsid w:val="00C538F3"/>
    <w:rsid w:val="00C54366"/>
    <w:rsid w:val="00C547CA"/>
    <w:rsid w:val="00C549CE"/>
    <w:rsid w:val="00C54F38"/>
    <w:rsid w:val="00C55DD1"/>
    <w:rsid w:val="00C56736"/>
    <w:rsid w:val="00C56D72"/>
    <w:rsid w:val="00C57214"/>
    <w:rsid w:val="00C57B78"/>
    <w:rsid w:val="00C57E44"/>
    <w:rsid w:val="00C606E8"/>
    <w:rsid w:val="00C60709"/>
    <w:rsid w:val="00C613B6"/>
    <w:rsid w:val="00C614A2"/>
    <w:rsid w:val="00C61B18"/>
    <w:rsid w:val="00C61B67"/>
    <w:rsid w:val="00C61EEC"/>
    <w:rsid w:val="00C620A4"/>
    <w:rsid w:val="00C62287"/>
    <w:rsid w:val="00C626E5"/>
    <w:rsid w:val="00C627E0"/>
    <w:rsid w:val="00C633E3"/>
    <w:rsid w:val="00C63443"/>
    <w:rsid w:val="00C634FE"/>
    <w:rsid w:val="00C63803"/>
    <w:rsid w:val="00C63E68"/>
    <w:rsid w:val="00C64240"/>
    <w:rsid w:val="00C64D3A"/>
    <w:rsid w:val="00C655C3"/>
    <w:rsid w:val="00C65C59"/>
    <w:rsid w:val="00C65CCB"/>
    <w:rsid w:val="00C65DFC"/>
    <w:rsid w:val="00C66763"/>
    <w:rsid w:val="00C66822"/>
    <w:rsid w:val="00C66C99"/>
    <w:rsid w:val="00C66EBF"/>
    <w:rsid w:val="00C6718D"/>
    <w:rsid w:val="00C677F5"/>
    <w:rsid w:val="00C70450"/>
    <w:rsid w:val="00C70A6A"/>
    <w:rsid w:val="00C70C4D"/>
    <w:rsid w:val="00C71239"/>
    <w:rsid w:val="00C712FD"/>
    <w:rsid w:val="00C71566"/>
    <w:rsid w:val="00C71EF4"/>
    <w:rsid w:val="00C73057"/>
    <w:rsid w:val="00C732ED"/>
    <w:rsid w:val="00C73370"/>
    <w:rsid w:val="00C7357C"/>
    <w:rsid w:val="00C73A49"/>
    <w:rsid w:val="00C7464F"/>
    <w:rsid w:val="00C748E3"/>
    <w:rsid w:val="00C74BA5"/>
    <w:rsid w:val="00C74BED"/>
    <w:rsid w:val="00C74C61"/>
    <w:rsid w:val="00C7554E"/>
    <w:rsid w:val="00C75683"/>
    <w:rsid w:val="00C75B36"/>
    <w:rsid w:val="00C7651D"/>
    <w:rsid w:val="00C767F8"/>
    <w:rsid w:val="00C76CA8"/>
    <w:rsid w:val="00C76E8D"/>
    <w:rsid w:val="00C771B0"/>
    <w:rsid w:val="00C772AE"/>
    <w:rsid w:val="00C77F3F"/>
    <w:rsid w:val="00C800B3"/>
    <w:rsid w:val="00C80165"/>
    <w:rsid w:val="00C80C46"/>
    <w:rsid w:val="00C813AC"/>
    <w:rsid w:val="00C81709"/>
    <w:rsid w:val="00C81730"/>
    <w:rsid w:val="00C81A8D"/>
    <w:rsid w:val="00C823E3"/>
    <w:rsid w:val="00C825B3"/>
    <w:rsid w:val="00C82A06"/>
    <w:rsid w:val="00C82DF4"/>
    <w:rsid w:val="00C8329C"/>
    <w:rsid w:val="00C84359"/>
    <w:rsid w:val="00C8453A"/>
    <w:rsid w:val="00C84716"/>
    <w:rsid w:val="00C85355"/>
    <w:rsid w:val="00C8558C"/>
    <w:rsid w:val="00C8592A"/>
    <w:rsid w:val="00C8603F"/>
    <w:rsid w:val="00C86281"/>
    <w:rsid w:val="00C866B2"/>
    <w:rsid w:val="00C869FA"/>
    <w:rsid w:val="00C90416"/>
    <w:rsid w:val="00C90CEA"/>
    <w:rsid w:val="00C9123D"/>
    <w:rsid w:val="00C9134C"/>
    <w:rsid w:val="00C9184E"/>
    <w:rsid w:val="00C91926"/>
    <w:rsid w:val="00C91A26"/>
    <w:rsid w:val="00C92125"/>
    <w:rsid w:val="00C9310F"/>
    <w:rsid w:val="00C93141"/>
    <w:rsid w:val="00C931BE"/>
    <w:rsid w:val="00C93A41"/>
    <w:rsid w:val="00C93C1A"/>
    <w:rsid w:val="00C93D32"/>
    <w:rsid w:val="00C95136"/>
    <w:rsid w:val="00C95324"/>
    <w:rsid w:val="00C95519"/>
    <w:rsid w:val="00C95610"/>
    <w:rsid w:val="00C9570A"/>
    <w:rsid w:val="00C95E23"/>
    <w:rsid w:val="00C96715"/>
    <w:rsid w:val="00C969E9"/>
    <w:rsid w:val="00C96FC2"/>
    <w:rsid w:val="00C97882"/>
    <w:rsid w:val="00C97A31"/>
    <w:rsid w:val="00CA059D"/>
    <w:rsid w:val="00CA07CE"/>
    <w:rsid w:val="00CA0CB0"/>
    <w:rsid w:val="00CA0DC5"/>
    <w:rsid w:val="00CA0EC8"/>
    <w:rsid w:val="00CA26D6"/>
    <w:rsid w:val="00CA28C7"/>
    <w:rsid w:val="00CA2E66"/>
    <w:rsid w:val="00CA363E"/>
    <w:rsid w:val="00CA3BAE"/>
    <w:rsid w:val="00CA49E1"/>
    <w:rsid w:val="00CA4CF1"/>
    <w:rsid w:val="00CA4CF2"/>
    <w:rsid w:val="00CA5043"/>
    <w:rsid w:val="00CA59BB"/>
    <w:rsid w:val="00CA6FE6"/>
    <w:rsid w:val="00CA745D"/>
    <w:rsid w:val="00CB054B"/>
    <w:rsid w:val="00CB0AEB"/>
    <w:rsid w:val="00CB0C30"/>
    <w:rsid w:val="00CB0D8F"/>
    <w:rsid w:val="00CB1571"/>
    <w:rsid w:val="00CB1A9F"/>
    <w:rsid w:val="00CB1DE9"/>
    <w:rsid w:val="00CB26DA"/>
    <w:rsid w:val="00CB3AF4"/>
    <w:rsid w:val="00CB42C0"/>
    <w:rsid w:val="00CB45B7"/>
    <w:rsid w:val="00CB49C5"/>
    <w:rsid w:val="00CB4B70"/>
    <w:rsid w:val="00CB5217"/>
    <w:rsid w:val="00CB56B7"/>
    <w:rsid w:val="00CB5DF7"/>
    <w:rsid w:val="00CB5F5D"/>
    <w:rsid w:val="00CB6122"/>
    <w:rsid w:val="00CB6385"/>
    <w:rsid w:val="00CB6DD8"/>
    <w:rsid w:val="00CB76B9"/>
    <w:rsid w:val="00CB77D0"/>
    <w:rsid w:val="00CB7B09"/>
    <w:rsid w:val="00CB7CCB"/>
    <w:rsid w:val="00CC008A"/>
    <w:rsid w:val="00CC12CD"/>
    <w:rsid w:val="00CC13A6"/>
    <w:rsid w:val="00CC1C10"/>
    <w:rsid w:val="00CC1D26"/>
    <w:rsid w:val="00CC22AD"/>
    <w:rsid w:val="00CC2598"/>
    <w:rsid w:val="00CC2CF3"/>
    <w:rsid w:val="00CC2D3A"/>
    <w:rsid w:val="00CC3001"/>
    <w:rsid w:val="00CC3032"/>
    <w:rsid w:val="00CC308F"/>
    <w:rsid w:val="00CC40AD"/>
    <w:rsid w:val="00CC47DD"/>
    <w:rsid w:val="00CC66C1"/>
    <w:rsid w:val="00CC73A7"/>
    <w:rsid w:val="00CC7972"/>
    <w:rsid w:val="00CC79A2"/>
    <w:rsid w:val="00CC7B22"/>
    <w:rsid w:val="00CC7D01"/>
    <w:rsid w:val="00CC7E01"/>
    <w:rsid w:val="00CD0029"/>
    <w:rsid w:val="00CD05F4"/>
    <w:rsid w:val="00CD0974"/>
    <w:rsid w:val="00CD0B23"/>
    <w:rsid w:val="00CD0E2B"/>
    <w:rsid w:val="00CD0ECA"/>
    <w:rsid w:val="00CD0F66"/>
    <w:rsid w:val="00CD1280"/>
    <w:rsid w:val="00CD18D6"/>
    <w:rsid w:val="00CD1B16"/>
    <w:rsid w:val="00CD2506"/>
    <w:rsid w:val="00CD2698"/>
    <w:rsid w:val="00CD3850"/>
    <w:rsid w:val="00CD3C96"/>
    <w:rsid w:val="00CD5136"/>
    <w:rsid w:val="00CD5CA5"/>
    <w:rsid w:val="00CD5D68"/>
    <w:rsid w:val="00CD5F97"/>
    <w:rsid w:val="00CD6579"/>
    <w:rsid w:val="00CD6666"/>
    <w:rsid w:val="00CD6B62"/>
    <w:rsid w:val="00CD6BBB"/>
    <w:rsid w:val="00CD73B5"/>
    <w:rsid w:val="00CD7D7A"/>
    <w:rsid w:val="00CE0291"/>
    <w:rsid w:val="00CE0BE2"/>
    <w:rsid w:val="00CE151A"/>
    <w:rsid w:val="00CE1533"/>
    <w:rsid w:val="00CE1ECF"/>
    <w:rsid w:val="00CE1F19"/>
    <w:rsid w:val="00CE23A4"/>
    <w:rsid w:val="00CE3421"/>
    <w:rsid w:val="00CE3659"/>
    <w:rsid w:val="00CE3B93"/>
    <w:rsid w:val="00CE452F"/>
    <w:rsid w:val="00CE4BB8"/>
    <w:rsid w:val="00CE4D9A"/>
    <w:rsid w:val="00CE5171"/>
    <w:rsid w:val="00CE543D"/>
    <w:rsid w:val="00CE54FD"/>
    <w:rsid w:val="00CE6269"/>
    <w:rsid w:val="00CE640A"/>
    <w:rsid w:val="00CE7277"/>
    <w:rsid w:val="00CE7AF8"/>
    <w:rsid w:val="00CF0032"/>
    <w:rsid w:val="00CF00F1"/>
    <w:rsid w:val="00CF0141"/>
    <w:rsid w:val="00CF014F"/>
    <w:rsid w:val="00CF087E"/>
    <w:rsid w:val="00CF0AE4"/>
    <w:rsid w:val="00CF0C13"/>
    <w:rsid w:val="00CF14F3"/>
    <w:rsid w:val="00CF19F7"/>
    <w:rsid w:val="00CF2511"/>
    <w:rsid w:val="00CF2692"/>
    <w:rsid w:val="00CF31A5"/>
    <w:rsid w:val="00CF3CB2"/>
    <w:rsid w:val="00CF425A"/>
    <w:rsid w:val="00CF42DD"/>
    <w:rsid w:val="00CF43F4"/>
    <w:rsid w:val="00CF4FB5"/>
    <w:rsid w:val="00CF5B34"/>
    <w:rsid w:val="00CF6749"/>
    <w:rsid w:val="00CF739E"/>
    <w:rsid w:val="00CF7D8A"/>
    <w:rsid w:val="00CF7D94"/>
    <w:rsid w:val="00CF7EA2"/>
    <w:rsid w:val="00CF7F79"/>
    <w:rsid w:val="00D00C88"/>
    <w:rsid w:val="00D00F33"/>
    <w:rsid w:val="00D01159"/>
    <w:rsid w:val="00D01248"/>
    <w:rsid w:val="00D01942"/>
    <w:rsid w:val="00D021F0"/>
    <w:rsid w:val="00D02686"/>
    <w:rsid w:val="00D027D9"/>
    <w:rsid w:val="00D02EA1"/>
    <w:rsid w:val="00D03332"/>
    <w:rsid w:val="00D034FE"/>
    <w:rsid w:val="00D0498A"/>
    <w:rsid w:val="00D05257"/>
    <w:rsid w:val="00D053F9"/>
    <w:rsid w:val="00D0561D"/>
    <w:rsid w:val="00D05AC6"/>
    <w:rsid w:val="00D06351"/>
    <w:rsid w:val="00D06C0D"/>
    <w:rsid w:val="00D0755B"/>
    <w:rsid w:val="00D07573"/>
    <w:rsid w:val="00D10113"/>
    <w:rsid w:val="00D101E9"/>
    <w:rsid w:val="00D1054C"/>
    <w:rsid w:val="00D122ED"/>
    <w:rsid w:val="00D127F2"/>
    <w:rsid w:val="00D1286E"/>
    <w:rsid w:val="00D12A92"/>
    <w:rsid w:val="00D12AA5"/>
    <w:rsid w:val="00D134CA"/>
    <w:rsid w:val="00D136B6"/>
    <w:rsid w:val="00D1406E"/>
    <w:rsid w:val="00D14759"/>
    <w:rsid w:val="00D14762"/>
    <w:rsid w:val="00D1550E"/>
    <w:rsid w:val="00D1563C"/>
    <w:rsid w:val="00D158D0"/>
    <w:rsid w:val="00D15B33"/>
    <w:rsid w:val="00D15C89"/>
    <w:rsid w:val="00D16B8F"/>
    <w:rsid w:val="00D17429"/>
    <w:rsid w:val="00D1796B"/>
    <w:rsid w:val="00D17C4D"/>
    <w:rsid w:val="00D20001"/>
    <w:rsid w:val="00D200F7"/>
    <w:rsid w:val="00D202BD"/>
    <w:rsid w:val="00D20342"/>
    <w:rsid w:val="00D20A32"/>
    <w:rsid w:val="00D212B6"/>
    <w:rsid w:val="00D219B6"/>
    <w:rsid w:val="00D22CFF"/>
    <w:rsid w:val="00D23921"/>
    <w:rsid w:val="00D23CA0"/>
    <w:rsid w:val="00D24372"/>
    <w:rsid w:val="00D244F0"/>
    <w:rsid w:val="00D24911"/>
    <w:rsid w:val="00D25BAA"/>
    <w:rsid w:val="00D26897"/>
    <w:rsid w:val="00D26C86"/>
    <w:rsid w:val="00D2725E"/>
    <w:rsid w:val="00D27CDB"/>
    <w:rsid w:val="00D27D7E"/>
    <w:rsid w:val="00D30678"/>
    <w:rsid w:val="00D30B00"/>
    <w:rsid w:val="00D315F4"/>
    <w:rsid w:val="00D316A3"/>
    <w:rsid w:val="00D31705"/>
    <w:rsid w:val="00D3183C"/>
    <w:rsid w:val="00D31AA0"/>
    <w:rsid w:val="00D32F92"/>
    <w:rsid w:val="00D33490"/>
    <w:rsid w:val="00D33916"/>
    <w:rsid w:val="00D33DFA"/>
    <w:rsid w:val="00D33EC3"/>
    <w:rsid w:val="00D33ED3"/>
    <w:rsid w:val="00D34675"/>
    <w:rsid w:val="00D356BE"/>
    <w:rsid w:val="00D356DE"/>
    <w:rsid w:val="00D3617B"/>
    <w:rsid w:val="00D3628C"/>
    <w:rsid w:val="00D362C9"/>
    <w:rsid w:val="00D36364"/>
    <w:rsid w:val="00D36410"/>
    <w:rsid w:val="00D36518"/>
    <w:rsid w:val="00D3683E"/>
    <w:rsid w:val="00D369CB"/>
    <w:rsid w:val="00D374CA"/>
    <w:rsid w:val="00D407F3"/>
    <w:rsid w:val="00D408A3"/>
    <w:rsid w:val="00D40FB7"/>
    <w:rsid w:val="00D41086"/>
    <w:rsid w:val="00D41636"/>
    <w:rsid w:val="00D41BE7"/>
    <w:rsid w:val="00D420F1"/>
    <w:rsid w:val="00D429D7"/>
    <w:rsid w:val="00D42F55"/>
    <w:rsid w:val="00D42FCA"/>
    <w:rsid w:val="00D4353F"/>
    <w:rsid w:val="00D435E4"/>
    <w:rsid w:val="00D4372B"/>
    <w:rsid w:val="00D437AF"/>
    <w:rsid w:val="00D43B4D"/>
    <w:rsid w:val="00D43D58"/>
    <w:rsid w:val="00D441BC"/>
    <w:rsid w:val="00D441D8"/>
    <w:rsid w:val="00D44582"/>
    <w:rsid w:val="00D45715"/>
    <w:rsid w:val="00D45C81"/>
    <w:rsid w:val="00D46080"/>
    <w:rsid w:val="00D4622E"/>
    <w:rsid w:val="00D466B5"/>
    <w:rsid w:val="00D4731E"/>
    <w:rsid w:val="00D501AE"/>
    <w:rsid w:val="00D50AEC"/>
    <w:rsid w:val="00D50B7A"/>
    <w:rsid w:val="00D50BAB"/>
    <w:rsid w:val="00D5224A"/>
    <w:rsid w:val="00D524B0"/>
    <w:rsid w:val="00D527F0"/>
    <w:rsid w:val="00D52CC7"/>
    <w:rsid w:val="00D52D40"/>
    <w:rsid w:val="00D53571"/>
    <w:rsid w:val="00D5385E"/>
    <w:rsid w:val="00D53CC7"/>
    <w:rsid w:val="00D548EA"/>
    <w:rsid w:val="00D54928"/>
    <w:rsid w:val="00D556FE"/>
    <w:rsid w:val="00D5576D"/>
    <w:rsid w:val="00D56385"/>
    <w:rsid w:val="00D563E5"/>
    <w:rsid w:val="00D56529"/>
    <w:rsid w:val="00D56E50"/>
    <w:rsid w:val="00D571DB"/>
    <w:rsid w:val="00D603A4"/>
    <w:rsid w:val="00D60D6F"/>
    <w:rsid w:val="00D610E2"/>
    <w:rsid w:val="00D61240"/>
    <w:rsid w:val="00D617A6"/>
    <w:rsid w:val="00D61D52"/>
    <w:rsid w:val="00D625E7"/>
    <w:rsid w:val="00D62762"/>
    <w:rsid w:val="00D62D8D"/>
    <w:rsid w:val="00D631A3"/>
    <w:rsid w:val="00D63323"/>
    <w:rsid w:val="00D63848"/>
    <w:rsid w:val="00D63D21"/>
    <w:rsid w:val="00D64451"/>
    <w:rsid w:val="00D644A3"/>
    <w:rsid w:val="00D6461B"/>
    <w:rsid w:val="00D65C1A"/>
    <w:rsid w:val="00D65C61"/>
    <w:rsid w:val="00D65EF7"/>
    <w:rsid w:val="00D66088"/>
    <w:rsid w:val="00D676F4"/>
    <w:rsid w:val="00D679CC"/>
    <w:rsid w:val="00D703C1"/>
    <w:rsid w:val="00D70FAD"/>
    <w:rsid w:val="00D716E2"/>
    <w:rsid w:val="00D7266D"/>
    <w:rsid w:val="00D72FA1"/>
    <w:rsid w:val="00D7335C"/>
    <w:rsid w:val="00D73C43"/>
    <w:rsid w:val="00D740D8"/>
    <w:rsid w:val="00D742DB"/>
    <w:rsid w:val="00D748B7"/>
    <w:rsid w:val="00D77325"/>
    <w:rsid w:val="00D809FF"/>
    <w:rsid w:val="00D81E37"/>
    <w:rsid w:val="00D821A2"/>
    <w:rsid w:val="00D8261B"/>
    <w:rsid w:val="00D8272B"/>
    <w:rsid w:val="00D83B96"/>
    <w:rsid w:val="00D844D4"/>
    <w:rsid w:val="00D848A7"/>
    <w:rsid w:val="00D85511"/>
    <w:rsid w:val="00D86726"/>
    <w:rsid w:val="00D875B3"/>
    <w:rsid w:val="00D901A3"/>
    <w:rsid w:val="00D915A4"/>
    <w:rsid w:val="00D92701"/>
    <w:rsid w:val="00D92FE1"/>
    <w:rsid w:val="00D9316E"/>
    <w:rsid w:val="00D932BC"/>
    <w:rsid w:val="00D93BF5"/>
    <w:rsid w:val="00D9450C"/>
    <w:rsid w:val="00D94C7A"/>
    <w:rsid w:val="00D952F9"/>
    <w:rsid w:val="00D95424"/>
    <w:rsid w:val="00D9556A"/>
    <w:rsid w:val="00D95A34"/>
    <w:rsid w:val="00D95D96"/>
    <w:rsid w:val="00D96951"/>
    <w:rsid w:val="00D96A2F"/>
    <w:rsid w:val="00D974DC"/>
    <w:rsid w:val="00D97FB7"/>
    <w:rsid w:val="00DA0113"/>
    <w:rsid w:val="00DA063D"/>
    <w:rsid w:val="00DA1180"/>
    <w:rsid w:val="00DA1B28"/>
    <w:rsid w:val="00DA1B5C"/>
    <w:rsid w:val="00DA1E9E"/>
    <w:rsid w:val="00DA24C0"/>
    <w:rsid w:val="00DA25F0"/>
    <w:rsid w:val="00DA28AB"/>
    <w:rsid w:val="00DA2CC4"/>
    <w:rsid w:val="00DA2E4A"/>
    <w:rsid w:val="00DA305F"/>
    <w:rsid w:val="00DA32FE"/>
    <w:rsid w:val="00DA3D47"/>
    <w:rsid w:val="00DA46D3"/>
    <w:rsid w:val="00DA4BDA"/>
    <w:rsid w:val="00DA4CAC"/>
    <w:rsid w:val="00DA4EE4"/>
    <w:rsid w:val="00DA530D"/>
    <w:rsid w:val="00DA5588"/>
    <w:rsid w:val="00DA5BDE"/>
    <w:rsid w:val="00DA6275"/>
    <w:rsid w:val="00DA68D2"/>
    <w:rsid w:val="00DA79A5"/>
    <w:rsid w:val="00DA7FB0"/>
    <w:rsid w:val="00DB078E"/>
    <w:rsid w:val="00DB13D7"/>
    <w:rsid w:val="00DB14FC"/>
    <w:rsid w:val="00DB30B8"/>
    <w:rsid w:val="00DB3102"/>
    <w:rsid w:val="00DB33F0"/>
    <w:rsid w:val="00DB3585"/>
    <w:rsid w:val="00DB3A58"/>
    <w:rsid w:val="00DB3A7F"/>
    <w:rsid w:val="00DB3F63"/>
    <w:rsid w:val="00DB4B0D"/>
    <w:rsid w:val="00DB4DA1"/>
    <w:rsid w:val="00DB5F07"/>
    <w:rsid w:val="00DB6ABE"/>
    <w:rsid w:val="00DB6E8F"/>
    <w:rsid w:val="00DB6F52"/>
    <w:rsid w:val="00DC07BF"/>
    <w:rsid w:val="00DC0AD3"/>
    <w:rsid w:val="00DC1083"/>
    <w:rsid w:val="00DC1118"/>
    <w:rsid w:val="00DC1272"/>
    <w:rsid w:val="00DC18DB"/>
    <w:rsid w:val="00DC1B1B"/>
    <w:rsid w:val="00DC249D"/>
    <w:rsid w:val="00DC24E5"/>
    <w:rsid w:val="00DC24FD"/>
    <w:rsid w:val="00DC28AF"/>
    <w:rsid w:val="00DC2961"/>
    <w:rsid w:val="00DC330F"/>
    <w:rsid w:val="00DC3485"/>
    <w:rsid w:val="00DC3716"/>
    <w:rsid w:val="00DC3E3A"/>
    <w:rsid w:val="00DC5198"/>
    <w:rsid w:val="00DC5AB1"/>
    <w:rsid w:val="00DC5F39"/>
    <w:rsid w:val="00DC62C7"/>
    <w:rsid w:val="00DC68EB"/>
    <w:rsid w:val="00DC7960"/>
    <w:rsid w:val="00DD07C1"/>
    <w:rsid w:val="00DD087F"/>
    <w:rsid w:val="00DD0914"/>
    <w:rsid w:val="00DD0B9F"/>
    <w:rsid w:val="00DD0D93"/>
    <w:rsid w:val="00DD15AE"/>
    <w:rsid w:val="00DD1CC2"/>
    <w:rsid w:val="00DD2245"/>
    <w:rsid w:val="00DD26C8"/>
    <w:rsid w:val="00DD2918"/>
    <w:rsid w:val="00DD2985"/>
    <w:rsid w:val="00DD3139"/>
    <w:rsid w:val="00DD31C8"/>
    <w:rsid w:val="00DD3410"/>
    <w:rsid w:val="00DD3428"/>
    <w:rsid w:val="00DD4828"/>
    <w:rsid w:val="00DD4FBE"/>
    <w:rsid w:val="00DD536C"/>
    <w:rsid w:val="00DD555F"/>
    <w:rsid w:val="00DD5A67"/>
    <w:rsid w:val="00DD5BE3"/>
    <w:rsid w:val="00DD5E5E"/>
    <w:rsid w:val="00DD5ED0"/>
    <w:rsid w:val="00DD6254"/>
    <w:rsid w:val="00DD6782"/>
    <w:rsid w:val="00DD7573"/>
    <w:rsid w:val="00DD7EF8"/>
    <w:rsid w:val="00DE0113"/>
    <w:rsid w:val="00DE026E"/>
    <w:rsid w:val="00DE0475"/>
    <w:rsid w:val="00DE05AF"/>
    <w:rsid w:val="00DE0731"/>
    <w:rsid w:val="00DE0870"/>
    <w:rsid w:val="00DE09E2"/>
    <w:rsid w:val="00DE17FB"/>
    <w:rsid w:val="00DE1B72"/>
    <w:rsid w:val="00DE1C86"/>
    <w:rsid w:val="00DE1E75"/>
    <w:rsid w:val="00DE2849"/>
    <w:rsid w:val="00DE2C5A"/>
    <w:rsid w:val="00DE3B6C"/>
    <w:rsid w:val="00DE4A5C"/>
    <w:rsid w:val="00DE520E"/>
    <w:rsid w:val="00DE5872"/>
    <w:rsid w:val="00DE625D"/>
    <w:rsid w:val="00DE6D39"/>
    <w:rsid w:val="00DE6E8F"/>
    <w:rsid w:val="00DE77E9"/>
    <w:rsid w:val="00DF112A"/>
    <w:rsid w:val="00DF1167"/>
    <w:rsid w:val="00DF1B65"/>
    <w:rsid w:val="00DF1DF0"/>
    <w:rsid w:val="00DF248A"/>
    <w:rsid w:val="00DF2A17"/>
    <w:rsid w:val="00DF2C91"/>
    <w:rsid w:val="00DF3230"/>
    <w:rsid w:val="00DF37C8"/>
    <w:rsid w:val="00DF3871"/>
    <w:rsid w:val="00DF39D1"/>
    <w:rsid w:val="00DF3C7A"/>
    <w:rsid w:val="00DF402C"/>
    <w:rsid w:val="00DF412D"/>
    <w:rsid w:val="00DF4693"/>
    <w:rsid w:val="00DF4CAE"/>
    <w:rsid w:val="00DF5AB2"/>
    <w:rsid w:val="00DF65EC"/>
    <w:rsid w:val="00DF69EE"/>
    <w:rsid w:val="00DF6B7D"/>
    <w:rsid w:val="00DF73F3"/>
    <w:rsid w:val="00DF76BA"/>
    <w:rsid w:val="00DF77F0"/>
    <w:rsid w:val="00DF7E4E"/>
    <w:rsid w:val="00E007D4"/>
    <w:rsid w:val="00E00ADB"/>
    <w:rsid w:val="00E01050"/>
    <w:rsid w:val="00E016DC"/>
    <w:rsid w:val="00E01A54"/>
    <w:rsid w:val="00E022ED"/>
    <w:rsid w:val="00E024DB"/>
    <w:rsid w:val="00E026D1"/>
    <w:rsid w:val="00E03430"/>
    <w:rsid w:val="00E03497"/>
    <w:rsid w:val="00E03B77"/>
    <w:rsid w:val="00E048E7"/>
    <w:rsid w:val="00E050AB"/>
    <w:rsid w:val="00E05DAC"/>
    <w:rsid w:val="00E05E4E"/>
    <w:rsid w:val="00E05F7B"/>
    <w:rsid w:val="00E06B08"/>
    <w:rsid w:val="00E06B09"/>
    <w:rsid w:val="00E06C0A"/>
    <w:rsid w:val="00E07650"/>
    <w:rsid w:val="00E07664"/>
    <w:rsid w:val="00E0774C"/>
    <w:rsid w:val="00E07AB7"/>
    <w:rsid w:val="00E07BC0"/>
    <w:rsid w:val="00E07DB6"/>
    <w:rsid w:val="00E10508"/>
    <w:rsid w:val="00E10B32"/>
    <w:rsid w:val="00E11103"/>
    <w:rsid w:val="00E112E4"/>
    <w:rsid w:val="00E116DF"/>
    <w:rsid w:val="00E11F47"/>
    <w:rsid w:val="00E12B81"/>
    <w:rsid w:val="00E13163"/>
    <w:rsid w:val="00E13BE2"/>
    <w:rsid w:val="00E13F7B"/>
    <w:rsid w:val="00E143D4"/>
    <w:rsid w:val="00E1463E"/>
    <w:rsid w:val="00E14991"/>
    <w:rsid w:val="00E14F73"/>
    <w:rsid w:val="00E1577A"/>
    <w:rsid w:val="00E15F21"/>
    <w:rsid w:val="00E168B3"/>
    <w:rsid w:val="00E16CEE"/>
    <w:rsid w:val="00E17666"/>
    <w:rsid w:val="00E17AF9"/>
    <w:rsid w:val="00E20986"/>
    <w:rsid w:val="00E20A8C"/>
    <w:rsid w:val="00E20C6A"/>
    <w:rsid w:val="00E20E4C"/>
    <w:rsid w:val="00E2133D"/>
    <w:rsid w:val="00E21489"/>
    <w:rsid w:val="00E214F0"/>
    <w:rsid w:val="00E2167E"/>
    <w:rsid w:val="00E21890"/>
    <w:rsid w:val="00E2196D"/>
    <w:rsid w:val="00E21E89"/>
    <w:rsid w:val="00E226D8"/>
    <w:rsid w:val="00E22A2E"/>
    <w:rsid w:val="00E22ADF"/>
    <w:rsid w:val="00E22C8F"/>
    <w:rsid w:val="00E23072"/>
    <w:rsid w:val="00E23ACD"/>
    <w:rsid w:val="00E24D18"/>
    <w:rsid w:val="00E25040"/>
    <w:rsid w:val="00E2542A"/>
    <w:rsid w:val="00E2549B"/>
    <w:rsid w:val="00E25973"/>
    <w:rsid w:val="00E26C3D"/>
    <w:rsid w:val="00E26E59"/>
    <w:rsid w:val="00E27241"/>
    <w:rsid w:val="00E27B7D"/>
    <w:rsid w:val="00E27C1A"/>
    <w:rsid w:val="00E27FE8"/>
    <w:rsid w:val="00E303A6"/>
    <w:rsid w:val="00E304F4"/>
    <w:rsid w:val="00E3052E"/>
    <w:rsid w:val="00E30B0D"/>
    <w:rsid w:val="00E3141B"/>
    <w:rsid w:val="00E31A80"/>
    <w:rsid w:val="00E31AF5"/>
    <w:rsid w:val="00E31D6D"/>
    <w:rsid w:val="00E31DA0"/>
    <w:rsid w:val="00E32394"/>
    <w:rsid w:val="00E33795"/>
    <w:rsid w:val="00E345C9"/>
    <w:rsid w:val="00E3495F"/>
    <w:rsid w:val="00E35F62"/>
    <w:rsid w:val="00E35FC5"/>
    <w:rsid w:val="00E36269"/>
    <w:rsid w:val="00E3642D"/>
    <w:rsid w:val="00E364BE"/>
    <w:rsid w:val="00E37370"/>
    <w:rsid w:val="00E373B3"/>
    <w:rsid w:val="00E37632"/>
    <w:rsid w:val="00E416E8"/>
    <w:rsid w:val="00E41BDA"/>
    <w:rsid w:val="00E42698"/>
    <w:rsid w:val="00E429B1"/>
    <w:rsid w:val="00E436FC"/>
    <w:rsid w:val="00E43CE9"/>
    <w:rsid w:val="00E43F39"/>
    <w:rsid w:val="00E43F76"/>
    <w:rsid w:val="00E45451"/>
    <w:rsid w:val="00E45472"/>
    <w:rsid w:val="00E4564F"/>
    <w:rsid w:val="00E4566E"/>
    <w:rsid w:val="00E45931"/>
    <w:rsid w:val="00E465C1"/>
    <w:rsid w:val="00E46B44"/>
    <w:rsid w:val="00E46E51"/>
    <w:rsid w:val="00E472E5"/>
    <w:rsid w:val="00E47D0A"/>
    <w:rsid w:val="00E50507"/>
    <w:rsid w:val="00E50DF7"/>
    <w:rsid w:val="00E51243"/>
    <w:rsid w:val="00E51263"/>
    <w:rsid w:val="00E51F16"/>
    <w:rsid w:val="00E521A6"/>
    <w:rsid w:val="00E52BBC"/>
    <w:rsid w:val="00E52D47"/>
    <w:rsid w:val="00E5383C"/>
    <w:rsid w:val="00E54178"/>
    <w:rsid w:val="00E54E09"/>
    <w:rsid w:val="00E55638"/>
    <w:rsid w:val="00E55B6B"/>
    <w:rsid w:val="00E55F2A"/>
    <w:rsid w:val="00E56792"/>
    <w:rsid w:val="00E57167"/>
    <w:rsid w:val="00E57602"/>
    <w:rsid w:val="00E5763F"/>
    <w:rsid w:val="00E60ECB"/>
    <w:rsid w:val="00E6138D"/>
    <w:rsid w:val="00E61A30"/>
    <w:rsid w:val="00E62436"/>
    <w:rsid w:val="00E63402"/>
    <w:rsid w:val="00E63684"/>
    <w:rsid w:val="00E63915"/>
    <w:rsid w:val="00E639FB"/>
    <w:rsid w:val="00E63BED"/>
    <w:rsid w:val="00E63CEF"/>
    <w:rsid w:val="00E63F50"/>
    <w:rsid w:val="00E647C9"/>
    <w:rsid w:val="00E64896"/>
    <w:rsid w:val="00E6585D"/>
    <w:rsid w:val="00E65BB8"/>
    <w:rsid w:val="00E660C9"/>
    <w:rsid w:val="00E66581"/>
    <w:rsid w:val="00E66908"/>
    <w:rsid w:val="00E673E1"/>
    <w:rsid w:val="00E67972"/>
    <w:rsid w:val="00E70499"/>
    <w:rsid w:val="00E704C4"/>
    <w:rsid w:val="00E70719"/>
    <w:rsid w:val="00E70914"/>
    <w:rsid w:val="00E713F5"/>
    <w:rsid w:val="00E71546"/>
    <w:rsid w:val="00E719C1"/>
    <w:rsid w:val="00E71A82"/>
    <w:rsid w:val="00E72E67"/>
    <w:rsid w:val="00E7314C"/>
    <w:rsid w:val="00E73377"/>
    <w:rsid w:val="00E73448"/>
    <w:rsid w:val="00E7358D"/>
    <w:rsid w:val="00E73A82"/>
    <w:rsid w:val="00E7443F"/>
    <w:rsid w:val="00E74541"/>
    <w:rsid w:val="00E749B6"/>
    <w:rsid w:val="00E74A01"/>
    <w:rsid w:val="00E753E2"/>
    <w:rsid w:val="00E75895"/>
    <w:rsid w:val="00E76A62"/>
    <w:rsid w:val="00E7710B"/>
    <w:rsid w:val="00E7739B"/>
    <w:rsid w:val="00E776BF"/>
    <w:rsid w:val="00E80201"/>
    <w:rsid w:val="00E80EA6"/>
    <w:rsid w:val="00E8105B"/>
    <w:rsid w:val="00E81206"/>
    <w:rsid w:val="00E81649"/>
    <w:rsid w:val="00E816F3"/>
    <w:rsid w:val="00E8180A"/>
    <w:rsid w:val="00E81AA8"/>
    <w:rsid w:val="00E81CC0"/>
    <w:rsid w:val="00E82B13"/>
    <w:rsid w:val="00E8402D"/>
    <w:rsid w:val="00E84BDF"/>
    <w:rsid w:val="00E85E95"/>
    <w:rsid w:val="00E86927"/>
    <w:rsid w:val="00E86D38"/>
    <w:rsid w:val="00E876D3"/>
    <w:rsid w:val="00E87970"/>
    <w:rsid w:val="00E87E45"/>
    <w:rsid w:val="00E87EAF"/>
    <w:rsid w:val="00E901AC"/>
    <w:rsid w:val="00E90B62"/>
    <w:rsid w:val="00E90C0C"/>
    <w:rsid w:val="00E90CEA"/>
    <w:rsid w:val="00E914AB"/>
    <w:rsid w:val="00E9186A"/>
    <w:rsid w:val="00E919AB"/>
    <w:rsid w:val="00E91B0F"/>
    <w:rsid w:val="00E9291F"/>
    <w:rsid w:val="00E931EC"/>
    <w:rsid w:val="00E9367A"/>
    <w:rsid w:val="00E93A18"/>
    <w:rsid w:val="00E93C2B"/>
    <w:rsid w:val="00E944F1"/>
    <w:rsid w:val="00E94B0C"/>
    <w:rsid w:val="00E94F86"/>
    <w:rsid w:val="00E9517F"/>
    <w:rsid w:val="00E9599D"/>
    <w:rsid w:val="00E95A50"/>
    <w:rsid w:val="00E961A5"/>
    <w:rsid w:val="00E9628D"/>
    <w:rsid w:val="00E96567"/>
    <w:rsid w:val="00E969A7"/>
    <w:rsid w:val="00E97339"/>
    <w:rsid w:val="00EA01F5"/>
    <w:rsid w:val="00EA0324"/>
    <w:rsid w:val="00EA0BCB"/>
    <w:rsid w:val="00EA1152"/>
    <w:rsid w:val="00EA1173"/>
    <w:rsid w:val="00EA1829"/>
    <w:rsid w:val="00EA1A5B"/>
    <w:rsid w:val="00EA1C32"/>
    <w:rsid w:val="00EA1D34"/>
    <w:rsid w:val="00EA38FF"/>
    <w:rsid w:val="00EA3916"/>
    <w:rsid w:val="00EA3966"/>
    <w:rsid w:val="00EA3B34"/>
    <w:rsid w:val="00EA3C14"/>
    <w:rsid w:val="00EA44CA"/>
    <w:rsid w:val="00EA5B4A"/>
    <w:rsid w:val="00EA6074"/>
    <w:rsid w:val="00EA6AFD"/>
    <w:rsid w:val="00EA72C0"/>
    <w:rsid w:val="00EA790F"/>
    <w:rsid w:val="00EA7A36"/>
    <w:rsid w:val="00EA7C47"/>
    <w:rsid w:val="00EB0D83"/>
    <w:rsid w:val="00EB12C0"/>
    <w:rsid w:val="00EB141A"/>
    <w:rsid w:val="00EB15BE"/>
    <w:rsid w:val="00EB1CCE"/>
    <w:rsid w:val="00EB1E2E"/>
    <w:rsid w:val="00EB289E"/>
    <w:rsid w:val="00EB2A50"/>
    <w:rsid w:val="00EB323E"/>
    <w:rsid w:val="00EB35F9"/>
    <w:rsid w:val="00EB3693"/>
    <w:rsid w:val="00EB3A37"/>
    <w:rsid w:val="00EB3CFE"/>
    <w:rsid w:val="00EB4C35"/>
    <w:rsid w:val="00EB50B3"/>
    <w:rsid w:val="00EB5A35"/>
    <w:rsid w:val="00EB5FAD"/>
    <w:rsid w:val="00EB5FFF"/>
    <w:rsid w:val="00EB619F"/>
    <w:rsid w:val="00EB6340"/>
    <w:rsid w:val="00EB64C1"/>
    <w:rsid w:val="00EB6708"/>
    <w:rsid w:val="00EB739B"/>
    <w:rsid w:val="00EB7C5C"/>
    <w:rsid w:val="00EC04F2"/>
    <w:rsid w:val="00EC0BDE"/>
    <w:rsid w:val="00EC0F40"/>
    <w:rsid w:val="00EC1845"/>
    <w:rsid w:val="00EC190A"/>
    <w:rsid w:val="00EC218C"/>
    <w:rsid w:val="00EC2415"/>
    <w:rsid w:val="00EC2D36"/>
    <w:rsid w:val="00EC3A04"/>
    <w:rsid w:val="00EC3A56"/>
    <w:rsid w:val="00EC3A98"/>
    <w:rsid w:val="00EC3DAB"/>
    <w:rsid w:val="00EC3DCE"/>
    <w:rsid w:val="00EC3EB2"/>
    <w:rsid w:val="00EC3FA4"/>
    <w:rsid w:val="00EC4B6E"/>
    <w:rsid w:val="00EC53C8"/>
    <w:rsid w:val="00EC5404"/>
    <w:rsid w:val="00EC545B"/>
    <w:rsid w:val="00EC6228"/>
    <w:rsid w:val="00EC6BED"/>
    <w:rsid w:val="00EC6DB9"/>
    <w:rsid w:val="00EC6EFB"/>
    <w:rsid w:val="00EC71F1"/>
    <w:rsid w:val="00ED07FB"/>
    <w:rsid w:val="00ED08F7"/>
    <w:rsid w:val="00ED0E56"/>
    <w:rsid w:val="00ED1761"/>
    <w:rsid w:val="00ED18FE"/>
    <w:rsid w:val="00ED1946"/>
    <w:rsid w:val="00ED1C26"/>
    <w:rsid w:val="00ED1C96"/>
    <w:rsid w:val="00ED1E9C"/>
    <w:rsid w:val="00ED2874"/>
    <w:rsid w:val="00ED29C7"/>
    <w:rsid w:val="00ED2B36"/>
    <w:rsid w:val="00ED405A"/>
    <w:rsid w:val="00ED4146"/>
    <w:rsid w:val="00ED4A08"/>
    <w:rsid w:val="00ED5222"/>
    <w:rsid w:val="00ED5961"/>
    <w:rsid w:val="00ED631C"/>
    <w:rsid w:val="00ED6F48"/>
    <w:rsid w:val="00ED70D4"/>
    <w:rsid w:val="00ED758E"/>
    <w:rsid w:val="00ED7B17"/>
    <w:rsid w:val="00EE01C5"/>
    <w:rsid w:val="00EE0266"/>
    <w:rsid w:val="00EE0747"/>
    <w:rsid w:val="00EE11F6"/>
    <w:rsid w:val="00EE13E9"/>
    <w:rsid w:val="00EE1421"/>
    <w:rsid w:val="00EE15F8"/>
    <w:rsid w:val="00EE172E"/>
    <w:rsid w:val="00EE1BD9"/>
    <w:rsid w:val="00EE1D3E"/>
    <w:rsid w:val="00EE1E6C"/>
    <w:rsid w:val="00EE1F38"/>
    <w:rsid w:val="00EE216B"/>
    <w:rsid w:val="00EE224E"/>
    <w:rsid w:val="00EE26D9"/>
    <w:rsid w:val="00EE276E"/>
    <w:rsid w:val="00EE2A03"/>
    <w:rsid w:val="00EE2BA8"/>
    <w:rsid w:val="00EE3098"/>
    <w:rsid w:val="00EE344E"/>
    <w:rsid w:val="00EE3466"/>
    <w:rsid w:val="00EE3525"/>
    <w:rsid w:val="00EE3D1D"/>
    <w:rsid w:val="00EE3DA3"/>
    <w:rsid w:val="00EE3EB1"/>
    <w:rsid w:val="00EE3EBF"/>
    <w:rsid w:val="00EE3FE7"/>
    <w:rsid w:val="00EE400D"/>
    <w:rsid w:val="00EE4162"/>
    <w:rsid w:val="00EE43CE"/>
    <w:rsid w:val="00EE440A"/>
    <w:rsid w:val="00EE464B"/>
    <w:rsid w:val="00EE480A"/>
    <w:rsid w:val="00EE4EA1"/>
    <w:rsid w:val="00EE6139"/>
    <w:rsid w:val="00EE62D9"/>
    <w:rsid w:val="00EE732F"/>
    <w:rsid w:val="00EE772E"/>
    <w:rsid w:val="00EF03EB"/>
    <w:rsid w:val="00EF08DB"/>
    <w:rsid w:val="00EF0F65"/>
    <w:rsid w:val="00EF10FF"/>
    <w:rsid w:val="00EF11D3"/>
    <w:rsid w:val="00EF29BE"/>
    <w:rsid w:val="00EF340A"/>
    <w:rsid w:val="00EF3558"/>
    <w:rsid w:val="00EF35EE"/>
    <w:rsid w:val="00EF40D1"/>
    <w:rsid w:val="00EF491D"/>
    <w:rsid w:val="00EF4C12"/>
    <w:rsid w:val="00EF52BD"/>
    <w:rsid w:val="00EF556C"/>
    <w:rsid w:val="00EF5D9B"/>
    <w:rsid w:val="00EF69EC"/>
    <w:rsid w:val="00EF6B7C"/>
    <w:rsid w:val="00EF6E6E"/>
    <w:rsid w:val="00EF6FF1"/>
    <w:rsid w:val="00EF7CC3"/>
    <w:rsid w:val="00EF7F66"/>
    <w:rsid w:val="00F00103"/>
    <w:rsid w:val="00F007BD"/>
    <w:rsid w:val="00F00A48"/>
    <w:rsid w:val="00F012A1"/>
    <w:rsid w:val="00F015E1"/>
    <w:rsid w:val="00F019B0"/>
    <w:rsid w:val="00F01F9C"/>
    <w:rsid w:val="00F02542"/>
    <w:rsid w:val="00F02CCE"/>
    <w:rsid w:val="00F02CFD"/>
    <w:rsid w:val="00F03056"/>
    <w:rsid w:val="00F037F5"/>
    <w:rsid w:val="00F03982"/>
    <w:rsid w:val="00F039AD"/>
    <w:rsid w:val="00F03A95"/>
    <w:rsid w:val="00F03DBE"/>
    <w:rsid w:val="00F0447D"/>
    <w:rsid w:val="00F04589"/>
    <w:rsid w:val="00F0463A"/>
    <w:rsid w:val="00F048E0"/>
    <w:rsid w:val="00F04ED4"/>
    <w:rsid w:val="00F05311"/>
    <w:rsid w:val="00F053D5"/>
    <w:rsid w:val="00F05513"/>
    <w:rsid w:val="00F059C5"/>
    <w:rsid w:val="00F05BA6"/>
    <w:rsid w:val="00F065BF"/>
    <w:rsid w:val="00F06733"/>
    <w:rsid w:val="00F06826"/>
    <w:rsid w:val="00F07965"/>
    <w:rsid w:val="00F10989"/>
    <w:rsid w:val="00F10F9F"/>
    <w:rsid w:val="00F114D8"/>
    <w:rsid w:val="00F11B0D"/>
    <w:rsid w:val="00F11C22"/>
    <w:rsid w:val="00F120F3"/>
    <w:rsid w:val="00F12435"/>
    <w:rsid w:val="00F1284E"/>
    <w:rsid w:val="00F12DC1"/>
    <w:rsid w:val="00F12F21"/>
    <w:rsid w:val="00F13112"/>
    <w:rsid w:val="00F13145"/>
    <w:rsid w:val="00F13300"/>
    <w:rsid w:val="00F1332E"/>
    <w:rsid w:val="00F13523"/>
    <w:rsid w:val="00F138B2"/>
    <w:rsid w:val="00F14335"/>
    <w:rsid w:val="00F144C3"/>
    <w:rsid w:val="00F14F06"/>
    <w:rsid w:val="00F15412"/>
    <w:rsid w:val="00F159C6"/>
    <w:rsid w:val="00F15CA8"/>
    <w:rsid w:val="00F15DBF"/>
    <w:rsid w:val="00F16431"/>
    <w:rsid w:val="00F16A94"/>
    <w:rsid w:val="00F17013"/>
    <w:rsid w:val="00F173EB"/>
    <w:rsid w:val="00F17595"/>
    <w:rsid w:val="00F17A85"/>
    <w:rsid w:val="00F20170"/>
    <w:rsid w:val="00F2096F"/>
    <w:rsid w:val="00F20D18"/>
    <w:rsid w:val="00F20F44"/>
    <w:rsid w:val="00F218DF"/>
    <w:rsid w:val="00F21A33"/>
    <w:rsid w:val="00F21A85"/>
    <w:rsid w:val="00F22577"/>
    <w:rsid w:val="00F2293D"/>
    <w:rsid w:val="00F22D00"/>
    <w:rsid w:val="00F23316"/>
    <w:rsid w:val="00F23700"/>
    <w:rsid w:val="00F23AB2"/>
    <w:rsid w:val="00F24121"/>
    <w:rsid w:val="00F24BC8"/>
    <w:rsid w:val="00F25718"/>
    <w:rsid w:val="00F25885"/>
    <w:rsid w:val="00F25E9D"/>
    <w:rsid w:val="00F26266"/>
    <w:rsid w:val="00F264DD"/>
    <w:rsid w:val="00F265DA"/>
    <w:rsid w:val="00F2669E"/>
    <w:rsid w:val="00F266AB"/>
    <w:rsid w:val="00F268C7"/>
    <w:rsid w:val="00F271BD"/>
    <w:rsid w:val="00F27410"/>
    <w:rsid w:val="00F2776B"/>
    <w:rsid w:val="00F27E27"/>
    <w:rsid w:val="00F30535"/>
    <w:rsid w:val="00F30EB3"/>
    <w:rsid w:val="00F31A0D"/>
    <w:rsid w:val="00F32148"/>
    <w:rsid w:val="00F324FD"/>
    <w:rsid w:val="00F33218"/>
    <w:rsid w:val="00F33F2F"/>
    <w:rsid w:val="00F3507D"/>
    <w:rsid w:val="00F35498"/>
    <w:rsid w:val="00F35E9E"/>
    <w:rsid w:val="00F35FD8"/>
    <w:rsid w:val="00F36145"/>
    <w:rsid w:val="00F3624D"/>
    <w:rsid w:val="00F366AD"/>
    <w:rsid w:val="00F36914"/>
    <w:rsid w:val="00F36BBA"/>
    <w:rsid w:val="00F37902"/>
    <w:rsid w:val="00F37905"/>
    <w:rsid w:val="00F37947"/>
    <w:rsid w:val="00F37997"/>
    <w:rsid w:val="00F40989"/>
    <w:rsid w:val="00F40C39"/>
    <w:rsid w:val="00F4129D"/>
    <w:rsid w:val="00F414C5"/>
    <w:rsid w:val="00F41F40"/>
    <w:rsid w:val="00F420E5"/>
    <w:rsid w:val="00F42730"/>
    <w:rsid w:val="00F42A4E"/>
    <w:rsid w:val="00F43144"/>
    <w:rsid w:val="00F43445"/>
    <w:rsid w:val="00F43DA5"/>
    <w:rsid w:val="00F43E5E"/>
    <w:rsid w:val="00F448D2"/>
    <w:rsid w:val="00F44BB6"/>
    <w:rsid w:val="00F45073"/>
    <w:rsid w:val="00F45DD1"/>
    <w:rsid w:val="00F46513"/>
    <w:rsid w:val="00F46662"/>
    <w:rsid w:val="00F47044"/>
    <w:rsid w:val="00F4720D"/>
    <w:rsid w:val="00F47216"/>
    <w:rsid w:val="00F47376"/>
    <w:rsid w:val="00F474E9"/>
    <w:rsid w:val="00F479DD"/>
    <w:rsid w:val="00F47CE3"/>
    <w:rsid w:val="00F5024E"/>
    <w:rsid w:val="00F50E6F"/>
    <w:rsid w:val="00F519DC"/>
    <w:rsid w:val="00F52232"/>
    <w:rsid w:val="00F527B4"/>
    <w:rsid w:val="00F52990"/>
    <w:rsid w:val="00F52A7D"/>
    <w:rsid w:val="00F52C56"/>
    <w:rsid w:val="00F53E5C"/>
    <w:rsid w:val="00F548D3"/>
    <w:rsid w:val="00F54A53"/>
    <w:rsid w:val="00F5518C"/>
    <w:rsid w:val="00F552FA"/>
    <w:rsid w:val="00F55F24"/>
    <w:rsid w:val="00F56196"/>
    <w:rsid w:val="00F56606"/>
    <w:rsid w:val="00F568F1"/>
    <w:rsid w:val="00F572A9"/>
    <w:rsid w:val="00F57615"/>
    <w:rsid w:val="00F57650"/>
    <w:rsid w:val="00F5791F"/>
    <w:rsid w:val="00F57CB4"/>
    <w:rsid w:val="00F6022E"/>
    <w:rsid w:val="00F602B0"/>
    <w:rsid w:val="00F6038A"/>
    <w:rsid w:val="00F6056B"/>
    <w:rsid w:val="00F6074F"/>
    <w:rsid w:val="00F60783"/>
    <w:rsid w:val="00F60ABD"/>
    <w:rsid w:val="00F60F1B"/>
    <w:rsid w:val="00F61A5D"/>
    <w:rsid w:val="00F61E0E"/>
    <w:rsid w:val="00F6201B"/>
    <w:rsid w:val="00F62374"/>
    <w:rsid w:val="00F6238D"/>
    <w:rsid w:val="00F62D78"/>
    <w:rsid w:val="00F63413"/>
    <w:rsid w:val="00F63C4D"/>
    <w:rsid w:val="00F63FC3"/>
    <w:rsid w:val="00F643AE"/>
    <w:rsid w:val="00F644F3"/>
    <w:rsid w:val="00F645A5"/>
    <w:rsid w:val="00F6461F"/>
    <w:rsid w:val="00F64E86"/>
    <w:rsid w:val="00F64F7B"/>
    <w:rsid w:val="00F6564B"/>
    <w:rsid w:val="00F6564D"/>
    <w:rsid w:val="00F66367"/>
    <w:rsid w:val="00F670C0"/>
    <w:rsid w:val="00F70252"/>
    <w:rsid w:val="00F709BA"/>
    <w:rsid w:val="00F70D8C"/>
    <w:rsid w:val="00F70DF1"/>
    <w:rsid w:val="00F71183"/>
    <w:rsid w:val="00F71B86"/>
    <w:rsid w:val="00F725F3"/>
    <w:rsid w:val="00F72F2A"/>
    <w:rsid w:val="00F73829"/>
    <w:rsid w:val="00F73A12"/>
    <w:rsid w:val="00F73F99"/>
    <w:rsid w:val="00F73FC6"/>
    <w:rsid w:val="00F74DE1"/>
    <w:rsid w:val="00F74DEB"/>
    <w:rsid w:val="00F75405"/>
    <w:rsid w:val="00F7548A"/>
    <w:rsid w:val="00F75B48"/>
    <w:rsid w:val="00F75E70"/>
    <w:rsid w:val="00F76012"/>
    <w:rsid w:val="00F76A13"/>
    <w:rsid w:val="00F76AD3"/>
    <w:rsid w:val="00F76D7C"/>
    <w:rsid w:val="00F7716E"/>
    <w:rsid w:val="00F7766C"/>
    <w:rsid w:val="00F77900"/>
    <w:rsid w:val="00F7795E"/>
    <w:rsid w:val="00F80532"/>
    <w:rsid w:val="00F806DA"/>
    <w:rsid w:val="00F80BCA"/>
    <w:rsid w:val="00F80ED3"/>
    <w:rsid w:val="00F80FB8"/>
    <w:rsid w:val="00F818FE"/>
    <w:rsid w:val="00F819D1"/>
    <w:rsid w:val="00F82508"/>
    <w:rsid w:val="00F82A6B"/>
    <w:rsid w:val="00F835D4"/>
    <w:rsid w:val="00F83943"/>
    <w:rsid w:val="00F83EB2"/>
    <w:rsid w:val="00F84D0B"/>
    <w:rsid w:val="00F84DAD"/>
    <w:rsid w:val="00F84DFF"/>
    <w:rsid w:val="00F84FED"/>
    <w:rsid w:val="00F85AC2"/>
    <w:rsid w:val="00F86173"/>
    <w:rsid w:val="00F866B4"/>
    <w:rsid w:val="00F86726"/>
    <w:rsid w:val="00F86B22"/>
    <w:rsid w:val="00F87247"/>
    <w:rsid w:val="00F87AF6"/>
    <w:rsid w:val="00F9072C"/>
    <w:rsid w:val="00F907A1"/>
    <w:rsid w:val="00F90B14"/>
    <w:rsid w:val="00F92138"/>
    <w:rsid w:val="00F92596"/>
    <w:rsid w:val="00F92D8E"/>
    <w:rsid w:val="00F92F1D"/>
    <w:rsid w:val="00F935D9"/>
    <w:rsid w:val="00F935DA"/>
    <w:rsid w:val="00F93A6A"/>
    <w:rsid w:val="00F93B95"/>
    <w:rsid w:val="00F9439F"/>
    <w:rsid w:val="00F94805"/>
    <w:rsid w:val="00F9516F"/>
    <w:rsid w:val="00F9559D"/>
    <w:rsid w:val="00F95C4E"/>
    <w:rsid w:val="00F960B0"/>
    <w:rsid w:val="00F96871"/>
    <w:rsid w:val="00F96D5B"/>
    <w:rsid w:val="00F97278"/>
    <w:rsid w:val="00F975D7"/>
    <w:rsid w:val="00FA1458"/>
    <w:rsid w:val="00FA1A3E"/>
    <w:rsid w:val="00FA1B66"/>
    <w:rsid w:val="00FA1BCE"/>
    <w:rsid w:val="00FA2150"/>
    <w:rsid w:val="00FA21D2"/>
    <w:rsid w:val="00FA22B7"/>
    <w:rsid w:val="00FA2C2F"/>
    <w:rsid w:val="00FA2E13"/>
    <w:rsid w:val="00FA2E68"/>
    <w:rsid w:val="00FA3669"/>
    <w:rsid w:val="00FA3742"/>
    <w:rsid w:val="00FA3746"/>
    <w:rsid w:val="00FA37B7"/>
    <w:rsid w:val="00FA3C37"/>
    <w:rsid w:val="00FA3C6C"/>
    <w:rsid w:val="00FA485F"/>
    <w:rsid w:val="00FA4999"/>
    <w:rsid w:val="00FA49A7"/>
    <w:rsid w:val="00FA4AA0"/>
    <w:rsid w:val="00FA54DE"/>
    <w:rsid w:val="00FA587B"/>
    <w:rsid w:val="00FA6579"/>
    <w:rsid w:val="00FA6892"/>
    <w:rsid w:val="00FA7AB6"/>
    <w:rsid w:val="00FA7B69"/>
    <w:rsid w:val="00FA7C9B"/>
    <w:rsid w:val="00FA7DF2"/>
    <w:rsid w:val="00FB0199"/>
    <w:rsid w:val="00FB0708"/>
    <w:rsid w:val="00FB0731"/>
    <w:rsid w:val="00FB1624"/>
    <w:rsid w:val="00FB169D"/>
    <w:rsid w:val="00FB1B9F"/>
    <w:rsid w:val="00FB1E2C"/>
    <w:rsid w:val="00FB20E0"/>
    <w:rsid w:val="00FB2890"/>
    <w:rsid w:val="00FB2BA0"/>
    <w:rsid w:val="00FB2D3D"/>
    <w:rsid w:val="00FB3624"/>
    <w:rsid w:val="00FB36D8"/>
    <w:rsid w:val="00FB36FE"/>
    <w:rsid w:val="00FB37BE"/>
    <w:rsid w:val="00FB3B0C"/>
    <w:rsid w:val="00FB4443"/>
    <w:rsid w:val="00FB44AB"/>
    <w:rsid w:val="00FB4B5C"/>
    <w:rsid w:val="00FB503C"/>
    <w:rsid w:val="00FB5662"/>
    <w:rsid w:val="00FB5B54"/>
    <w:rsid w:val="00FB5E4B"/>
    <w:rsid w:val="00FB63CF"/>
    <w:rsid w:val="00FC093A"/>
    <w:rsid w:val="00FC17B1"/>
    <w:rsid w:val="00FC20DF"/>
    <w:rsid w:val="00FC21BC"/>
    <w:rsid w:val="00FC2469"/>
    <w:rsid w:val="00FC3079"/>
    <w:rsid w:val="00FC343C"/>
    <w:rsid w:val="00FC37D5"/>
    <w:rsid w:val="00FC3B70"/>
    <w:rsid w:val="00FC42A3"/>
    <w:rsid w:val="00FC5489"/>
    <w:rsid w:val="00FC66DA"/>
    <w:rsid w:val="00FC70D5"/>
    <w:rsid w:val="00FD0237"/>
    <w:rsid w:val="00FD0577"/>
    <w:rsid w:val="00FD0DDD"/>
    <w:rsid w:val="00FD0FE8"/>
    <w:rsid w:val="00FD14EA"/>
    <w:rsid w:val="00FD169E"/>
    <w:rsid w:val="00FD1828"/>
    <w:rsid w:val="00FD1B05"/>
    <w:rsid w:val="00FD234E"/>
    <w:rsid w:val="00FD2D65"/>
    <w:rsid w:val="00FD3038"/>
    <w:rsid w:val="00FD3587"/>
    <w:rsid w:val="00FD415E"/>
    <w:rsid w:val="00FD432F"/>
    <w:rsid w:val="00FD44EA"/>
    <w:rsid w:val="00FD4775"/>
    <w:rsid w:val="00FD477B"/>
    <w:rsid w:val="00FD4872"/>
    <w:rsid w:val="00FD496D"/>
    <w:rsid w:val="00FD4D32"/>
    <w:rsid w:val="00FD5128"/>
    <w:rsid w:val="00FD57D0"/>
    <w:rsid w:val="00FD5974"/>
    <w:rsid w:val="00FD5D0B"/>
    <w:rsid w:val="00FD5F79"/>
    <w:rsid w:val="00FD63F3"/>
    <w:rsid w:val="00FD675A"/>
    <w:rsid w:val="00FD694D"/>
    <w:rsid w:val="00FD719E"/>
    <w:rsid w:val="00FD71F9"/>
    <w:rsid w:val="00FD78B1"/>
    <w:rsid w:val="00FD7C18"/>
    <w:rsid w:val="00FD7E9C"/>
    <w:rsid w:val="00FD7F39"/>
    <w:rsid w:val="00FE0530"/>
    <w:rsid w:val="00FE054D"/>
    <w:rsid w:val="00FE0B8F"/>
    <w:rsid w:val="00FE0DB1"/>
    <w:rsid w:val="00FE123B"/>
    <w:rsid w:val="00FE1E66"/>
    <w:rsid w:val="00FE224C"/>
    <w:rsid w:val="00FE2D21"/>
    <w:rsid w:val="00FE3263"/>
    <w:rsid w:val="00FE406D"/>
    <w:rsid w:val="00FE465D"/>
    <w:rsid w:val="00FE48DE"/>
    <w:rsid w:val="00FE533E"/>
    <w:rsid w:val="00FE5516"/>
    <w:rsid w:val="00FE5C3D"/>
    <w:rsid w:val="00FE625F"/>
    <w:rsid w:val="00FE6566"/>
    <w:rsid w:val="00FE7163"/>
    <w:rsid w:val="00FE72BE"/>
    <w:rsid w:val="00FE7A44"/>
    <w:rsid w:val="00FE7DB4"/>
    <w:rsid w:val="00FF004B"/>
    <w:rsid w:val="00FF052D"/>
    <w:rsid w:val="00FF0A4D"/>
    <w:rsid w:val="00FF0B8D"/>
    <w:rsid w:val="00FF1B56"/>
    <w:rsid w:val="00FF2133"/>
    <w:rsid w:val="00FF25A4"/>
    <w:rsid w:val="00FF2625"/>
    <w:rsid w:val="00FF26FF"/>
    <w:rsid w:val="00FF2960"/>
    <w:rsid w:val="00FF2DE3"/>
    <w:rsid w:val="00FF358A"/>
    <w:rsid w:val="00FF40F5"/>
    <w:rsid w:val="00FF43D8"/>
    <w:rsid w:val="00FF47CC"/>
    <w:rsid w:val="00FF4EEB"/>
    <w:rsid w:val="00FF546B"/>
    <w:rsid w:val="00FF54A0"/>
    <w:rsid w:val="00FF5B6A"/>
    <w:rsid w:val="00FF5F39"/>
    <w:rsid w:val="00FF5FEF"/>
    <w:rsid w:val="00FF6162"/>
    <w:rsid w:val="00FF6AD6"/>
    <w:rsid w:val="00FF6ADB"/>
    <w:rsid w:val="00FF6D13"/>
    <w:rsid w:val="00FF6F4B"/>
    <w:rsid w:val="00FF7F16"/>
    <w:rsid w:val="011F6A70"/>
    <w:rsid w:val="0125681A"/>
    <w:rsid w:val="01351DB7"/>
    <w:rsid w:val="013F3D86"/>
    <w:rsid w:val="0150059B"/>
    <w:rsid w:val="015F18F5"/>
    <w:rsid w:val="01720F88"/>
    <w:rsid w:val="017658EE"/>
    <w:rsid w:val="018241E3"/>
    <w:rsid w:val="018260B4"/>
    <w:rsid w:val="0187172A"/>
    <w:rsid w:val="018A1439"/>
    <w:rsid w:val="0193296B"/>
    <w:rsid w:val="0196032D"/>
    <w:rsid w:val="01AC6FF2"/>
    <w:rsid w:val="01B41481"/>
    <w:rsid w:val="01B84694"/>
    <w:rsid w:val="01B8481B"/>
    <w:rsid w:val="01CD5676"/>
    <w:rsid w:val="01E53944"/>
    <w:rsid w:val="01EA312A"/>
    <w:rsid w:val="01F068F2"/>
    <w:rsid w:val="02015B47"/>
    <w:rsid w:val="02235224"/>
    <w:rsid w:val="02282146"/>
    <w:rsid w:val="02345E8B"/>
    <w:rsid w:val="02354F69"/>
    <w:rsid w:val="02377ADB"/>
    <w:rsid w:val="02500809"/>
    <w:rsid w:val="025A690D"/>
    <w:rsid w:val="02621EB2"/>
    <w:rsid w:val="026B4332"/>
    <w:rsid w:val="02850BB3"/>
    <w:rsid w:val="0290216B"/>
    <w:rsid w:val="02934CEF"/>
    <w:rsid w:val="02985EFC"/>
    <w:rsid w:val="029F57EF"/>
    <w:rsid w:val="02A75F90"/>
    <w:rsid w:val="02AA616C"/>
    <w:rsid w:val="02B53CBE"/>
    <w:rsid w:val="02C519A4"/>
    <w:rsid w:val="02C70C22"/>
    <w:rsid w:val="02C766DC"/>
    <w:rsid w:val="02CB3540"/>
    <w:rsid w:val="02CD15A9"/>
    <w:rsid w:val="02D012D4"/>
    <w:rsid w:val="02D3031E"/>
    <w:rsid w:val="02E42A9C"/>
    <w:rsid w:val="02FC2C26"/>
    <w:rsid w:val="03003EE4"/>
    <w:rsid w:val="030B0178"/>
    <w:rsid w:val="031D36F2"/>
    <w:rsid w:val="033B2F48"/>
    <w:rsid w:val="034B7E0E"/>
    <w:rsid w:val="03576E5E"/>
    <w:rsid w:val="03746140"/>
    <w:rsid w:val="03783D1C"/>
    <w:rsid w:val="037E0EBC"/>
    <w:rsid w:val="038F1B8A"/>
    <w:rsid w:val="039D5C01"/>
    <w:rsid w:val="03A12977"/>
    <w:rsid w:val="03B27CE2"/>
    <w:rsid w:val="03C0711D"/>
    <w:rsid w:val="03D56212"/>
    <w:rsid w:val="03E80866"/>
    <w:rsid w:val="03F81A89"/>
    <w:rsid w:val="03FE4686"/>
    <w:rsid w:val="04031E93"/>
    <w:rsid w:val="040A45ED"/>
    <w:rsid w:val="041F0240"/>
    <w:rsid w:val="04216619"/>
    <w:rsid w:val="04270FB4"/>
    <w:rsid w:val="04524BA9"/>
    <w:rsid w:val="04524EF9"/>
    <w:rsid w:val="045A720E"/>
    <w:rsid w:val="045D3940"/>
    <w:rsid w:val="045D57FE"/>
    <w:rsid w:val="04644EF1"/>
    <w:rsid w:val="04687059"/>
    <w:rsid w:val="046F0BB5"/>
    <w:rsid w:val="047636B0"/>
    <w:rsid w:val="047776B3"/>
    <w:rsid w:val="04797C66"/>
    <w:rsid w:val="04823210"/>
    <w:rsid w:val="049709EF"/>
    <w:rsid w:val="04A32E9D"/>
    <w:rsid w:val="04A85A33"/>
    <w:rsid w:val="04B505E1"/>
    <w:rsid w:val="04CA4B7D"/>
    <w:rsid w:val="04D95DDC"/>
    <w:rsid w:val="04DC5E9A"/>
    <w:rsid w:val="04EE3788"/>
    <w:rsid w:val="04EF33C9"/>
    <w:rsid w:val="04EF6E3D"/>
    <w:rsid w:val="04FD6405"/>
    <w:rsid w:val="050429A0"/>
    <w:rsid w:val="05105BF1"/>
    <w:rsid w:val="051657B3"/>
    <w:rsid w:val="05365FA5"/>
    <w:rsid w:val="05377777"/>
    <w:rsid w:val="053B3438"/>
    <w:rsid w:val="054118EE"/>
    <w:rsid w:val="05473182"/>
    <w:rsid w:val="05551897"/>
    <w:rsid w:val="0559116C"/>
    <w:rsid w:val="05594C10"/>
    <w:rsid w:val="05621F7F"/>
    <w:rsid w:val="05642459"/>
    <w:rsid w:val="057B32AF"/>
    <w:rsid w:val="057D3D11"/>
    <w:rsid w:val="0597302A"/>
    <w:rsid w:val="05A12F11"/>
    <w:rsid w:val="05A5658F"/>
    <w:rsid w:val="05A57D26"/>
    <w:rsid w:val="05A95E4F"/>
    <w:rsid w:val="05C134FC"/>
    <w:rsid w:val="05D36D51"/>
    <w:rsid w:val="05DB041C"/>
    <w:rsid w:val="05DF7606"/>
    <w:rsid w:val="05F309FD"/>
    <w:rsid w:val="06142543"/>
    <w:rsid w:val="061450B7"/>
    <w:rsid w:val="061A594B"/>
    <w:rsid w:val="061B18C4"/>
    <w:rsid w:val="063601AC"/>
    <w:rsid w:val="06520B47"/>
    <w:rsid w:val="06606421"/>
    <w:rsid w:val="0665282F"/>
    <w:rsid w:val="066B5016"/>
    <w:rsid w:val="066C6F4E"/>
    <w:rsid w:val="06721A40"/>
    <w:rsid w:val="067B7E89"/>
    <w:rsid w:val="068E2F00"/>
    <w:rsid w:val="0693146B"/>
    <w:rsid w:val="069D4928"/>
    <w:rsid w:val="069F07B9"/>
    <w:rsid w:val="06A25401"/>
    <w:rsid w:val="06A92350"/>
    <w:rsid w:val="06B12033"/>
    <w:rsid w:val="06BB0EAA"/>
    <w:rsid w:val="06BB194A"/>
    <w:rsid w:val="06BF04CB"/>
    <w:rsid w:val="06C93296"/>
    <w:rsid w:val="06D27D02"/>
    <w:rsid w:val="06D90323"/>
    <w:rsid w:val="06D949E3"/>
    <w:rsid w:val="06DA51DE"/>
    <w:rsid w:val="06DD1AFD"/>
    <w:rsid w:val="06E445F8"/>
    <w:rsid w:val="06E87E13"/>
    <w:rsid w:val="06ED18D7"/>
    <w:rsid w:val="07010474"/>
    <w:rsid w:val="07075C9C"/>
    <w:rsid w:val="073C1361"/>
    <w:rsid w:val="07590CF0"/>
    <w:rsid w:val="076B27EA"/>
    <w:rsid w:val="076F25D3"/>
    <w:rsid w:val="07797230"/>
    <w:rsid w:val="07832BD0"/>
    <w:rsid w:val="078B100F"/>
    <w:rsid w:val="07953D06"/>
    <w:rsid w:val="0796373C"/>
    <w:rsid w:val="079A3F2C"/>
    <w:rsid w:val="07A07424"/>
    <w:rsid w:val="07A92473"/>
    <w:rsid w:val="07B465CB"/>
    <w:rsid w:val="07D40FD5"/>
    <w:rsid w:val="07D4316E"/>
    <w:rsid w:val="07E14ADB"/>
    <w:rsid w:val="07EB628E"/>
    <w:rsid w:val="07EF46DA"/>
    <w:rsid w:val="07F10AB7"/>
    <w:rsid w:val="07F15947"/>
    <w:rsid w:val="07F93805"/>
    <w:rsid w:val="07FA2903"/>
    <w:rsid w:val="08040837"/>
    <w:rsid w:val="081169D5"/>
    <w:rsid w:val="081415B7"/>
    <w:rsid w:val="08252894"/>
    <w:rsid w:val="082A162C"/>
    <w:rsid w:val="082B2185"/>
    <w:rsid w:val="082C5831"/>
    <w:rsid w:val="08364DDB"/>
    <w:rsid w:val="083F75BF"/>
    <w:rsid w:val="084F3B52"/>
    <w:rsid w:val="085E409F"/>
    <w:rsid w:val="08625F36"/>
    <w:rsid w:val="0868273B"/>
    <w:rsid w:val="0876656F"/>
    <w:rsid w:val="08782B49"/>
    <w:rsid w:val="087832DE"/>
    <w:rsid w:val="08834CD2"/>
    <w:rsid w:val="08867A2F"/>
    <w:rsid w:val="0893420B"/>
    <w:rsid w:val="089D5FCA"/>
    <w:rsid w:val="08A31B59"/>
    <w:rsid w:val="08A47847"/>
    <w:rsid w:val="08BB0B7D"/>
    <w:rsid w:val="08BF600E"/>
    <w:rsid w:val="08C554A9"/>
    <w:rsid w:val="08D2725E"/>
    <w:rsid w:val="08D56BA9"/>
    <w:rsid w:val="08DE6430"/>
    <w:rsid w:val="08EE28CE"/>
    <w:rsid w:val="08FA460C"/>
    <w:rsid w:val="08FD1DB0"/>
    <w:rsid w:val="0904701C"/>
    <w:rsid w:val="09135118"/>
    <w:rsid w:val="09135DEC"/>
    <w:rsid w:val="09166584"/>
    <w:rsid w:val="09245DBA"/>
    <w:rsid w:val="09311E5E"/>
    <w:rsid w:val="09364BFB"/>
    <w:rsid w:val="093B3D65"/>
    <w:rsid w:val="09421595"/>
    <w:rsid w:val="094B0B5C"/>
    <w:rsid w:val="095A61F2"/>
    <w:rsid w:val="096B3FC3"/>
    <w:rsid w:val="09867EE5"/>
    <w:rsid w:val="098709BF"/>
    <w:rsid w:val="0990468F"/>
    <w:rsid w:val="09924976"/>
    <w:rsid w:val="09965E1F"/>
    <w:rsid w:val="099B6A31"/>
    <w:rsid w:val="09A5375D"/>
    <w:rsid w:val="09C36367"/>
    <w:rsid w:val="09DC3A8A"/>
    <w:rsid w:val="09E426AA"/>
    <w:rsid w:val="09E86999"/>
    <w:rsid w:val="09EE6F33"/>
    <w:rsid w:val="09EE6F5D"/>
    <w:rsid w:val="09EF4D90"/>
    <w:rsid w:val="09FA7526"/>
    <w:rsid w:val="0A0916A4"/>
    <w:rsid w:val="0A0D4FB5"/>
    <w:rsid w:val="0A150CA6"/>
    <w:rsid w:val="0A163992"/>
    <w:rsid w:val="0A1F5988"/>
    <w:rsid w:val="0A2B7FB7"/>
    <w:rsid w:val="0A2D1483"/>
    <w:rsid w:val="0A2F167A"/>
    <w:rsid w:val="0A313A0C"/>
    <w:rsid w:val="0A3251DC"/>
    <w:rsid w:val="0A3319C1"/>
    <w:rsid w:val="0A403F36"/>
    <w:rsid w:val="0A4859BC"/>
    <w:rsid w:val="0A654C02"/>
    <w:rsid w:val="0A667B75"/>
    <w:rsid w:val="0A6736B2"/>
    <w:rsid w:val="0A7107EE"/>
    <w:rsid w:val="0A736854"/>
    <w:rsid w:val="0A8650D8"/>
    <w:rsid w:val="0A96040B"/>
    <w:rsid w:val="0A980FB2"/>
    <w:rsid w:val="0A9C2FBE"/>
    <w:rsid w:val="0AB42855"/>
    <w:rsid w:val="0ABF201D"/>
    <w:rsid w:val="0AD26670"/>
    <w:rsid w:val="0AE2367F"/>
    <w:rsid w:val="0AFA1FA1"/>
    <w:rsid w:val="0B073641"/>
    <w:rsid w:val="0B155772"/>
    <w:rsid w:val="0B1622E9"/>
    <w:rsid w:val="0B1E2A0E"/>
    <w:rsid w:val="0B225152"/>
    <w:rsid w:val="0B24603E"/>
    <w:rsid w:val="0B303037"/>
    <w:rsid w:val="0B36269B"/>
    <w:rsid w:val="0B3E0F30"/>
    <w:rsid w:val="0B4460B3"/>
    <w:rsid w:val="0B4E601C"/>
    <w:rsid w:val="0B553B0A"/>
    <w:rsid w:val="0B6743F7"/>
    <w:rsid w:val="0B764213"/>
    <w:rsid w:val="0B764DD0"/>
    <w:rsid w:val="0B7D6096"/>
    <w:rsid w:val="0B801653"/>
    <w:rsid w:val="0B9E4477"/>
    <w:rsid w:val="0BAC3435"/>
    <w:rsid w:val="0BAE10F3"/>
    <w:rsid w:val="0BBB1DAE"/>
    <w:rsid w:val="0BC63B0D"/>
    <w:rsid w:val="0BCC4159"/>
    <w:rsid w:val="0BCF513D"/>
    <w:rsid w:val="0BCF7BF4"/>
    <w:rsid w:val="0BD0264B"/>
    <w:rsid w:val="0BD50850"/>
    <w:rsid w:val="0BEF5CA5"/>
    <w:rsid w:val="0C0C591E"/>
    <w:rsid w:val="0C0F576D"/>
    <w:rsid w:val="0C3C76BA"/>
    <w:rsid w:val="0C50067B"/>
    <w:rsid w:val="0C507879"/>
    <w:rsid w:val="0C511C1C"/>
    <w:rsid w:val="0C5478BF"/>
    <w:rsid w:val="0C56615C"/>
    <w:rsid w:val="0C6915F2"/>
    <w:rsid w:val="0C6E0DF7"/>
    <w:rsid w:val="0C856E52"/>
    <w:rsid w:val="0C8672C2"/>
    <w:rsid w:val="0C8835F1"/>
    <w:rsid w:val="0CA7668A"/>
    <w:rsid w:val="0CB41A9D"/>
    <w:rsid w:val="0CC40501"/>
    <w:rsid w:val="0CDC6532"/>
    <w:rsid w:val="0CDE6441"/>
    <w:rsid w:val="0CED74B3"/>
    <w:rsid w:val="0CEE0F81"/>
    <w:rsid w:val="0CFC12EA"/>
    <w:rsid w:val="0D0D7A7B"/>
    <w:rsid w:val="0D2E173F"/>
    <w:rsid w:val="0D3363F8"/>
    <w:rsid w:val="0D3B3A95"/>
    <w:rsid w:val="0D3B7E88"/>
    <w:rsid w:val="0D3F4624"/>
    <w:rsid w:val="0D442E57"/>
    <w:rsid w:val="0D6304F1"/>
    <w:rsid w:val="0D842B3F"/>
    <w:rsid w:val="0D8A6929"/>
    <w:rsid w:val="0D8C3A8B"/>
    <w:rsid w:val="0DB62113"/>
    <w:rsid w:val="0DB9047C"/>
    <w:rsid w:val="0DC64E1F"/>
    <w:rsid w:val="0DC84055"/>
    <w:rsid w:val="0DC935B6"/>
    <w:rsid w:val="0DD80086"/>
    <w:rsid w:val="0DD922BC"/>
    <w:rsid w:val="0DDC36F8"/>
    <w:rsid w:val="0DE039BC"/>
    <w:rsid w:val="0DE60B36"/>
    <w:rsid w:val="0DE80907"/>
    <w:rsid w:val="0DEE5B60"/>
    <w:rsid w:val="0E0169CE"/>
    <w:rsid w:val="0E172E1A"/>
    <w:rsid w:val="0E1B33D4"/>
    <w:rsid w:val="0E271D31"/>
    <w:rsid w:val="0E29293A"/>
    <w:rsid w:val="0E2D4088"/>
    <w:rsid w:val="0E3B5080"/>
    <w:rsid w:val="0E416F09"/>
    <w:rsid w:val="0E582D17"/>
    <w:rsid w:val="0E5A2693"/>
    <w:rsid w:val="0E5E33BD"/>
    <w:rsid w:val="0E6072A7"/>
    <w:rsid w:val="0E6C24F0"/>
    <w:rsid w:val="0E774B4E"/>
    <w:rsid w:val="0E834750"/>
    <w:rsid w:val="0E90717B"/>
    <w:rsid w:val="0E913F3F"/>
    <w:rsid w:val="0E9204DA"/>
    <w:rsid w:val="0E941D8D"/>
    <w:rsid w:val="0E9550E8"/>
    <w:rsid w:val="0E97378D"/>
    <w:rsid w:val="0E9A01FB"/>
    <w:rsid w:val="0E9C77E0"/>
    <w:rsid w:val="0E9E4290"/>
    <w:rsid w:val="0EA5406C"/>
    <w:rsid w:val="0EA639FA"/>
    <w:rsid w:val="0EA83ED5"/>
    <w:rsid w:val="0EAB56CC"/>
    <w:rsid w:val="0EC67D03"/>
    <w:rsid w:val="0ED15D87"/>
    <w:rsid w:val="0ED5743F"/>
    <w:rsid w:val="0EDA23BA"/>
    <w:rsid w:val="0EDD26E0"/>
    <w:rsid w:val="0EEF3F2E"/>
    <w:rsid w:val="0EF565B6"/>
    <w:rsid w:val="0F000A81"/>
    <w:rsid w:val="0F016FDB"/>
    <w:rsid w:val="0F086673"/>
    <w:rsid w:val="0F135F9C"/>
    <w:rsid w:val="0F154C5A"/>
    <w:rsid w:val="0F260122"/>
    <w:rsid w:val="0F423C8F"/>
    <w:rsid w:val="0F486211"/>
    <w:rsid w:val="0F5A0205"/>
    <w:rsid w:val="0F5E7D64"/>
    <w:rsid w:val="0F6059F1"/>
    <w:rsid w:val="0F6433D9"/>
    <w:rsid w:val="0F830D62"/>
    <w:rsid w:val="0F935777"/>
    <w:rsid w:val="0F947359"/>
    <w:rsid w:val="0FA36BDE"/>
    <w:rsid w:val="0FA53304"/>
    <w:rsid w:val="0FBB55A1"/>
    <w:rsid w:val="0FBE33C8"/>
    <w:rsid w:val="0FD526A9"/>
    <w:rsid w:val="0FD97FF0"/>
    <w:rsid w:val="0FE30B63"/>
    <w:rsid w:val="0FEF2558"/>
    <w:rsid w:val="0FFB6D68"/>
    <w:rsid w:val="0FFD41FD"/>
    <w:rsid w:val="1020509C"/>
    <w:rsid w:val="102A2746"/>
    <w:rsid w:val="10405DD6"/>
    <w:rsid w:val="104C5928"/>
    <w:rsid w:val="10532DA0"/>
    <w:rsid w:val="106916D0"/>
    <w:rsid w:val="106D2C14"/>
    <w:rsid w:val="1088161D"/>
    <w:rsid w:val="1092036D"/>
    <w:rsid w:val="10920BC9"/>
    <w:rsid w:val="1097751D"/>
    <w:rsid w:val="10A613B8"/>
    <w:rsid w:val="10B45948"/>
    <w:rsid w:val="10DA229A"/>
    <w:rsid w:val="10ED16BE"/>
    <w:rsid w:val="10F94749"/>
    <w:rsid w:val="11050F3A"/>
    <w:rsid w:val="110B7C86"/>
    <w:rsid w:val="111B7796"/>
    <w:rsid w:val="111D46B4"/>
    <w:rsid w:val="11266968"/>
    <w:rsid w:val="112A5FF0"/>
    <w:rsid w:val="113A2D97"/>
    <w:rsid w:val="113A7E7D"/>
    <w:rsid w:val="113F7B1C"/>
    <w:rsid w:val="114C38FF"/>
    <w:rsid w:val="117C494C"/>
    <w:rsid w:val="117F03A9"/>
    <w:rsid w:val="119B6FB0"/>
    <w:rsid w:val="11A57D4C"/>
    <w:rsid w:val="11A608E8"/>
    <w:rsid w:val="11A766E0"/>
    <w:rsid w:val="11AA4CE6"/>
    <w:rsid w:val="11B1249F"/>
    <w:rsid w:val="11BB3F75"/>
    <w:rsid w:val="11C27133"/>
    <w:rsid w:val="11C97AFC"/>
    <w:rsid w:val="11D67D54"/>
    <w:rsid w:val="11D76AC9"/>
    <w:rsid w:val="11D76B45"/>
    <w:rsid w:val="11E91A7A"/>
    <w:rsid w:val="11FA64BF"/>
    <w:rsid w:val="12045E77"/>
    <w:rsid w:val="120F4341"/>
    <w:rsid w:val="120F6A9E"/>
    <w:rsid w:val="121E178F"/>
    <w:rsid w:val="12281213"/>
    <w:rsid w:val="123A0745"/>
    <w:rsid w:val="123B5604"/>
    <w:rsid w:val="123E51A5"/>
    <w:rsid w:val="123E53DE"/>
    <w:rsid w:val="124A4CE1"/>
    <w:rsid w:val="124B09DE"/>
    <w:rsid w:val="12515293"/>
    <w:rsid w:val="125315ED"/>
    <w:rsid w:val="12565C90"/>
    <w:rsid w:val="125F485D"/>
    <w:rsid w:val="12741A8D"/>
    <w:rsid w:val="12760F2A"/>
    <w:rsid w:val="127F4FF0"/>
    <w:rsid w:val="128A5526"/>
    <w:rsid w:val="129070A2"/>
    <w:rsid w:val="12A61E8B"/>
    <w:rsid w:val="12A714C9"/>
    <w:rsid w:val="12C01FED"/>
    <w:rsid w:val="12C51E41"/>
    <w:rsid w:val="12C77593"/>
    <w:rsid w:val="12CC308D"/>
    <w:rsid w:val="12DB2936"/>
    <w:rsid w:val="12DE7839"/>
    <w:rsid w:val="12ED55F4"/>
    <w:rsid w:val="12F4621D"/>
    <w:rsid w:val="1301042B"/>
    <w:rsid w:val="130B0E5B"/>
    <w:rsid w:val="131360CC"/>
    <w:rsid w:val="132023CD"/>
    <w:rsid w:val="132169F3"/>
    <w:rsid w:val="1342238B"/>
    <w:rsid w:val="13485252"/>
    <w:rsid w:val="13497000"/>
    <w:rsid w:val="13535B48"/>
    <w:rsid w:val="13677964"/>
    <w:rsid w:val="136D7CFE"/>
    <w:rsid w:val="13767ADB"/>
    <w:rsid w:val="13891A0B"/>
    <w:rsid w:val="13927E1B"/>
    <w:rsid w:val="1393350B"/>
    <w:rsid w:val="139A46AA"/>
    <w:rsid w:val="139D287A"/>
    <w:rsid w:val="139D7C44"/>
    <w:rsid w:val="13B146A4"/>
    <w:rsid w:val="13B859C9"/>
    <w:rsid w:val="13D65416"/>
    <w:rsid w:val="13D8396B"/>
    <w:rsid w:val="13DE69E7"/>
    <w:rsid w:val="13E52FB8"/>
    <w:rsid w:val="14010F13"/>
    <w:rsid w:val="1422221A"/>
    <w:rsid w:val="1426603E"/>
    <w:rsid w:val="14376A51"/>
    <w:rsid w:val="14404836"/>
    <w:rsid w:val="14495D83"/>
    <w:rsid w:val="145950FC"/>
    <w:rsid w:val="147B19AE"/>
    <w:rsid w:val="147D3462"/>
    <w:rsid w:val="147D7658"/>
    <w:rsid w:val="147E798C"/>
    <w:rsid w:val="14875198"/>
    <w:rsid w:val="148D2C16"/>
    <w:rsid w:val="14950FCB"/>
    <w:rsid w:val="14A502E2"/>
    <w:rsid w:val="14B6588E"/>
    <w:rsid w:val="14BD12D2"/>
    <w:rsid w:val="14CE758B"/>
    <w:rsid w:val="14CF50F8"/>
    <w:rsid w:val="14D86E56"/>
    <w:rsid w:val="14E0464C"/>
    <w:rsid w:val="14F32C2F"/>
    <w:rsid w:val="14FA3215"/>
    <w:rsid w:val="15191204"/>
    <w:rsid w:val="151E19F2"/>
    <w:rsid w:val="1528506A"/>
    <w:rsid w:val="152C1024"/>
    <w:rsid w:val="15321BAC"/>
    <w:rsid w:val="153F6159"/>
    <w:rsid w:val="15402152"/>
    <w:rsid w:val="154B25EC"/>
    <w:rsid w:val="15573978"/>
    <w:rsid w:val="155C56E0"/>
    <w:rsid w:val="1562240A"/>
    <w:rsid w:val="156F3A50"/>
    <w:rsid w:val="158F3DE0"/>
    <w:rsid w:val="1594158F"/>
    <w:rsid w:val="159D3EC3"/>
    <w:rsid w:val="159E6C69"/>
    <w:rsid w:val="15A44760"/>
    <w:rsid w:val="15A93EFE"/>
    <w:rsid w:val="15AD798D"/>
    <w:rsid w:val="15B802BF"/>
    <w:rsid w:val="15CE6085"/>
    <w:rsid w:val="160142CD"/>
    <w:rsid w:val="162A58DA"/>
    <w:rsid w:val="16300BEB"/>
    <w:rsid w:val="1634210F"/>
    <w:rsid w:val="16342542"/>
    <w:rsid w:val="16355624"/>
    <w:rsid w:val="163C2B13"/>
    <w:rsid w:val="164B163D"/>
    <w:rsid w:val="16555B6A"/>
    <w:rsid w:val="165F1FC3"/>
    <w:rsid w:val="1660277C"/>
    <w:rsid w:val="166139C2"/>
    <w:rsid w:val="168123F1"/>
    <w:rsid w:val="16845253"/>
    <w:rsid w:val="16855282"/>
    <w:rsid w:val="168B26F9"/>
    <w:rsid w:val="168C0184"/>
    <w:rsid w:val="16905BEC"/>
    <w:rsid w:val="16987CA6"/>
    <w:rsid w:val="169A5A8F"/>
    <w:rsid w:val="16A333A7"/>
    <w:rsid w:val="16A453B2"/>
    <w:rsid w:val="16A50B6A"/>
    <w:rsid w:val="16A57A69"/>
    <w:rsid w:val="16AA28FA"/>
    <w:rsid w:val="16B34D7B"/>
    <w:rsid w:val="16CE553C"/>
    <w:rsid w:val="16D77CBF"/>
    <w:rsid w:val="16DB0BFD"/>
    <w:rsid w:val="16E7591C"/>
    <w:rsid w:val="16FD5FCF"/>
    <w:rsid w:val="17033859"/>
    <w:rsid w:val="170567B7"/>
    <w:rsid w:val="170A7E83"/>
    <w:rsid w:val="171E3822"/>
    <w:rsid w:val="173349C8"/>
    <w:rsid w:val="173D2EE9"/>
    <w:rsid w:val="174216E7"/>
    <w:rsid w:val="174C4AA0"/>
    <w:rsid w:val="175F3247"/>
    <w:rsid w:val="176355F8"/>
    <w:rsid w:val="17666413"/>
    <w:rsid w:val="1768254B"/>
    <w:rsid w:val="176C6D00"/>
    <w:rsid w:val="1772665E"/>
    <w:rsid w:val="17773069"/>
    <w:rsid w:val="177C149C"/>
    <w:rsid w:val="17800EC8"/>
    <w:rsid w:val="17912CB9"/>
    <w:rsid w:val="17915AC4"/>
    <w:rsid w:val="1791639B"/>
    <w:rsid w:val="179C70A9"/>
    <w:rsid w:val="17A72666"/>
    <w:rsid w:val="17AD09FA"/>
    <w:rsid w:val="17AF6891"/>
    <w:rsid w:val="17B6028C"/>
    <w:rsid w:val="17BA5811"/>
    <w:rsid w:val="17BF757C"/>
    <w:rsid w:val="17C3509D"/>
    <w:rsid w:val="17CE44DC"/>
    <w:rsid w:val="17D925B6"/>
    <w:rsid w:val="17D97094"/>
    <w:rsid w:val="17E00F6E"/>
    <w:rsid w:val="17E769AB"/>
    <w:rsid w:val="17EA395F"/>
    <w:rsid w:val="17EF37F9"/>
    <w:rsid w:val="17F673B7"/>
    <w:rsid w:val="18047825"/>
    <w:rsid w:val="181A7AA6"/>
    <w:rsid w:val="182271D1"/>
    <w:rsid w:val="18293512"/>
    <w:rsid w:val="182C548F"/>
    <w:rsid w:val="18304525"/>
    <w:rsid w:val="18327661"/>
    <w:rsid w:val="184B01F2"/>
    <w:rsid w:val="1850387F"/>
    <w:rsid w:val="1856132B"/>
    <w:rsid w:val="185830D7"/>
    <w:rsid w:val="185C2EDF"/>
    <w:rsid w:val="185D312C"/>
    <w:rsid w:val="18650AF2"/>
    <w:rsid w:val="18675385"/>
    <w:rsid w:val="18677415"/>
    <w:rsid w:val="186902BF"/>
    <w:rsid w:val="18701884"/>
    <w:rsid w:val="18704BAD"/>
    <w:rsid w:val="18706324"/>
    <w:rsid w:val="18760FDE"/>
    <w:rsid w:val="1887634D"/>
    <w:rsid w:val="188F37E6"/>
    <w:rsid w:val="18902D39"/>
    <w:rsid w:val="18987539"/>
    <w:rsid w:val="18AC19CF"/>
    <w:rsid w:val="18AC3BEE"/>
    <w:rsid w:val="18EC0606"/>
    <w:rsid w:val="18F67838"/>
    <w:rsid w:val="18F81D27"/>
    <w:rsid w:val="18FA1113"/>
    <w:rsid w:val="18FD4F90"/>
    <w:rsid w:val="19044582"/>
    <w:rsid w:val="19087026"/>
    <w:rsid w:val="190A5ABE"/>
    <w:rsid w:val="190B33F1"/>
    <w:rsid w:val="190C2389"/>
    <w:rsid w:val="191337E7"/>
    <w:rsid w:val="192D6B20"/>
    <w:rsid w:val="19387784"/>
    <w:rsid w:val="193F069B"/>
    <w:rsid w:val="19455F1C"/>
    <w:rsid w:val="1949296E"/>
    <w:rsid w:val="194E2A79"/>
    <w:rsid w:val="19531747"/>
    <w:rsid w:val="19610DEF"/>
    <w:rsid w:val="1961286F"/>
    <w:rsid w:val="19665D28"/>
    <w:rsid w:val="19850AF9"/>
    <w:rsid w:val="1989144C"/>
    <w:rsid w:val="19902190"/>
    <w:rsid w:val="19A8303F"/>
    <w:rsid w:val="19AF5DD1"/>
    <w:rsid w:val="19BC46A1"/>
    <w:rsid w:val="19C42EF9"/>
    <w:rsid w:val="19C94053"/>
    <w:rsid w:val="19D0149C"/>
    <w:rsid w:val="19D6173B"/>
    <w:rsid w:val="19DD339A"/>
    <w:rsid w:val="19EF674D"/>
    <w:rsid w:val="19F0523F"/>
    <w:rsid w:val="19FE6B05"/>
    <w:rsid w:val="1A02498D"/>
    <w:rsid w:val="1A1045F5"/>
    <w:rsid w:val="1A126CE5"/>
    <w:rsid w:val="1A145B19"/>
    <w:rsid w:val="1A165FE9"/>
    <w:rsid w:val="1A1B1255"/>
    <w:rsid w:val="1A2364FA"/>
    <w:rsid w:val="1A2D79BA"/>
    <w:rsid w:val="1A3A554B"/>
    <w:rsid w:val="1A4221B0"/>
    <w:rsid w:val="1A4325D3"/>
    <w:rsid w:val="1A4C24FB"/>
    <w:rsid w:val="1A4E3E8C"/>
    <w:rsid w:val="1A4E6954"/>
    <w:rsid w:val="1A5D3CBD"/>
    <w:rsid w:val="1A5F0B69"/>
    <w:rsid w:val="1A6316CE"/>
    <w:rsid w:val="1A6A1A25"/>
    <w:rsid w:val="1A6E5FB1"/>
    <w:rsid w:val="1A7B717D"/>
    <w:rsid w:val="1A7C1BE7"/>
    <w:rsid w:val="1A7C5A17"/>
    <w:rsid w:val="1A920847"/>
    <w:rsid w:val="1A96749A"/>
    <w:rsid w:val="1AA85A85"/>
    <w:rsid w:val="1AA92FF4"/>
    <w:rsid w:val="1AB0573F"/>
    <w:rsid w:val="1AC53748"/>
    <w:rsid w:val="1AC64307"/>
    <w:rsid w:val="1AD37B8D"/>
    <w:rsid w:val="1AD47B96"/>
    <w:rsid w:val="1AD94DDF"/>
    <w:rsid w:val="1ADF6D58"/>
    <w:rsid w:val="1AEE0845"/>
    <w:rsid w:val="1AFC2A03"/>
    <w:rsid w:val="1B0956B3"/>
    <w:rsid w:val="1B0A39BC"/>
    <w:rsid w:val="1B0B2172"/>
    <w:rsid w:val="1B1258BD"/>
    <w:rsid w:val="1B180311"/>
    <w:rsid w:val="1B183088"/>
    <w:rsid w:val="1B313650"/>
    <w:rsid w:val="1B3B754B"/>
    <w:rsid w:val="1B563F9E"/>
    <w:rsid w:val="1B6B39BC"/>
    <w:rsid w:val="1B6C7155"/>
    <w:rsid w:val="1B72173B"/>
    <w:rsid w:val="1B744224"/>
    <w:rsid w:val="1B7A5099"/>
    <w:rsid w:val="1B7A6C0C"/>
    <w:rsid w:val="1B7E7D96"/>
    <w:rsid w:val="1B7F55A6"/>
    <w:rsid w:val="1B89508D"/>
    <w:rsid w:val="1B9231C5"/>
    <w:rsid w:val="1BAE18A7"/>
    <w:rsid w:val="1BB14302"/>
    <w:rsid w:val="1BBA2DE0"/>
    <w:rsid w:val="1BC466A7"/>
    <w:rsid w:val="1BC65E87"/>
    <w:rsid w:val="1BCE0F9D"/>
    <w:rsid w:val="1BE136C9"/>
    <w:rsid w:val="1BE83AC4"/>
    <w:rsid w:val="1BEE66EE"/>
    <w:rsid w:val="1BF12978"/>
    <w:rsid w:val="1C182E62"/>
    <w:rsid w:val="1C1B3901"/>
    <w:rsid w:val="1C294FF9"/>
    <w:rsid w:val="1C296169"/>
    <w:rsid w:val="1C3138A1"/>
    <w:rsid w:val="1C340F0E"/>
    <w:rsid w:val="1C4A1A70"/>
    <w:rsid w:val="1C50373A"/>
    <w:rsid w:val="1C5A78FA"/>
    <w:rsid w:val="1C5F0BA1"/>
    <w:rsid w:val="1C6E712E"/>
    <w:rsid w:val="1C7B1C92"/>
    <w:rsid w:val="1C8B3108"/>
    <w:rsid w:val="1C961AB5"/>
    <w:rsid w:val="1CB95F08"/>
    <w:rsid w:val="1CBA4001"/>
    <w:rsid w:val="1CC153FE"/>
    <w:rsid w:val="1CD84247"/>
    <w:rsid w:val="1CE03C2B"/>
    <w:rsid w:val="1D11447C"/>
    <w:rsid w:val="1D1F4F82"/>
    <w:rsid w:val="1D235EA4"/>
    <w:rsid w:val="1D3C35D7"/>
    <w:rsid w:val="1D3C7E89"/>
    <w:rsid w:val="1D581489"/>
    <w:rsid w:val="1D582060"/>
    <w:rsid w:val="1D61678A"/>
    <w:rsid w:val="1D6864B5"/>
    <w:rsid w:val="1D8130A9"/>
    <w:rsid w:val="1D830B79"/>
    <w:rsid w:val="1D914288"/>
    <w:rsid w:val="1D9E300B"/>
    <w:rsid w:val="1DA75838"/>
    <w:rsid w:val="1DB35793"/>
    <w:rsid w:val="1DB5677A"/>
    <w:rsid w:val="1DB65465"/>
    <w:rsid w:val="1DBC3A09"/>
    <w:rsid w:val="1DDD1FE1"/>
    <w:rsid w:val="1DDD7A3A"/>
    <w:rsid w:val="1DE71DF5"/>
    <w:rsid w:val="1DEC0EC6"/>
    <w:rsid w:val="1DF93D42"/>
    <w:rsid w:val="1E1E4F79"/>
    <w:rsid w:val="1E210099"/>
    <w:rsid w:val="1E3B0826"/>
    <w:rsid w:val="1E3E2693"/>
    <w:rsid w:val="1E40548E"/>
    <w:rsid w:val="1E4A19AF"/>
    <w:rsid w:val="1E5A579C"/>
    <w:rsid w:val="1E5B2AF2"/>
    <w:rsid w:val="1E7223AB"/>
    <w:rsid w:val="1E7A3AEF"/>
    <w:rsid w:val="1E7F376F"/>
    <w:rsid w:val="1E874C28"/>
    <w:rsid w:val="1E8F3078"/>
    <w:rsid w:val="1EB14A2F"/>
    <w:rsid w:val="1EB3177A"/>
    <w:rsid w:val="1EB56858"/>
    <w:rsid w:val="1EC705C4"/>
    <w:rsid w:val="1EC83B25"/>
    <w:rsid w:val="1ECD4C36"/>
    <w:rsid w:val="1ED97BDC"/>
    <w:rsid w:val="1EE5351D"/>
    <w:rsid w:val="1EE6230A"/>
    <w:rsid w:val="1EF8692C"/>
    <w:rsid w:val="1EFB70AD"/>
    <w:rsid w:val="1F02433E"/>
    <w:rsid w:val="1F085B17"/>
    <w:rsid w:val="1F1B6231"/>
    <w:rsid w:val="1F2545A0"/>
    <w:rsid w:val="1F555053"/>
    <w:rsid w:val="1F5B41C5"/>
    <w:rsid w:val="1F5B522B"/>
    <w:rsid w:val="1F5F7348"/>
    <w:rsid w:val="1F602B95"/>
    <w:rsid w:val="1F6034DA"/>
    <w:rsid w:val="1F610464"/>
    <w:rsid w:val="1F6608F6"/>
    <w:rsid w:val="1F6B516B"/>
    <w:rsid w:val="1F720E6E"/>
    <w:rsid w:val="1F737DA7"/>
    <w:rsid w:val="1F914072"/>
    <w:rsid w:val="1F974D47"/>
    <w:rsid w:val="1F9F7601"/>
    <w:rsid w:val="1FA63A12"/>
    <w:rsid w:val="1FA75B53"/>
    <w:rsid w:val="1FAA0518"/>
    <w:rsid w:val="1FAD7813"/>
    <w:rsid w:val="1FAE0B4F"/>
    <w:rsid w:val="1FC97374"/>
    <w:rsid w:val="1FD54DF4"/>
    <w:rsid w:val="1FDF676A"/>
    <w:rsid w:val="1FF110DC"/>
    <w:rsid w:val="1FFE6231"/>
    <w:rsid w:val="1FFF1113"/>
    <w:rsid w:val="200107D5"/>
    <w:rsid w:val="20052B5D"/>
    <w:rsid w:val="20094DEA"/>
    <w:rsid w:val="200C5992"/>
    <w:rsid w:val="200F3C1D"/>
    <w:rsid w:val="201620B4"/>
    <w:rsid w:val="202B68AE"/>
    <w:rsid w:val="202F793E"/>
    <w:rsid w:val="203D3166"/>
    <w:rsid w:val="20404305"/>
    <w:rsid w:val="20481907"/>
    <w:rsid w:val="206036D4"/>
    <w:rsid w:val="2064115A"/>
    <w:rsid w:val="206870D0"/>
    <w:rsid w:val="206E103C"/>
    <w:rsid w:val="207634AF"/>
    <w:rsid w:val="20824104"/>
    <w:rsid w:val="208B6F33"/>
    <w:rsid w:val="20904241"/>
    <w:rsid w:val="20923102"/>
    <w:rsid w:val="209A12F6"/>
    <w:rsid w:val="20A5542D"/>
    <w:rsid w:val="20AA40A0"/>
    <w:rsid w:val="20AF6A38"/>
    <w:rsid w:val="20BD1C65"/>
    <w:rsid w:val="20CC5370"/>
    <w:rsid w:val="20CE7CBB"/>
    <w:rsid w:val="20D61ED3"/>
    <w:rsid w:val="20D66C4C"/>
    <w:rsid w:val="20D85477"/>
    <w:rsid w:val="210D463D"/>
    <w:rsid w:val="2122497B"/>
    <w:rsid w:val="212562F5"/>
    <w:rsid w:val="21382F57"/>
    <w:rsid w:val="213D164C"/>
    <w:rsid w:val="21483DCB"/>
    <w:rsid w:val="214E48EE"/>
    <w:rsid w:val="214F31D6"/>
    <w:rsid w:val="21520506"/>
    <w:rsid w:val="215971DB"/>
    <w:rsid w:val="216840B7"/>
    <w:rsid w:val="21707ABA"/>
    <w:rsid w:val="217C7FFF"/>
    <w:rsid w:val="217D6F5B"/>
    <w:rsid w:val="217F7DE1"/>
    <w:rsid w:val="218C3758"/>
    <w:rsid w:val="218C712D"/>
    <w:rsid w:val="219433BE"/>
    <w:rsid w:val="219B42AE"/>
    <w:rsid w:val="219F4DC2"/>
    <w:rsid w:val="21A6323A"/>
    <w:rsid w:val="21B8627A"/>
    <w:rsid w:val="21DC1077"/>
    <w:rsid w:val="21E500BF"/>
    <w:rsid w:val="21F46DD7"/>
    <w:rsid w:val="21FE34D3"/>
    <w:rsid w:val="22035690"/>
    <w:rsid w:val="220C197E"/>
    <w:rsid w:val="22102FC3"/>
    <w:rsid w:val="22106435"/>
    <w:rsid w:val="2211058E"/>
    <w:rsid w:val="2212793C"/>
    <w:rsid w:val="222446A3"/>
    <w:rsid w:val="22263305"/>
    <w:rsid w:val="22267251"/>
    <w:rsid w:val="224A3888"/>
    <w:rsid w:val="2258018F"/>
    <w:rsid w:val="2269387C"/>
    <w:rsid w:val="226C7BAC"/>
    <w:rsid w:val="22834CF1"/>
    <w:rsid w:val="228F4F8F"/>
    <w:rsid w:val="229A773C"/>
    <w:rsid w:val="229C02AB"/>
    <w:rsid w:val="229C6E40"/>
    <w:rsid w:val="229F0037"/>
    <w:rsid w:val="22A77209"/>
    <w:rsid w:val="22B26378"/>
    <w:rsid w:val="22B649DD"/>
    <w:rsid w:val="22B83BBC"/>
    <w:rsid w:val="22C2087A"/>
    <w:rsid w:val="22C361E4"/>
    <w:rsid w:val="22CF45DB"/>
    <w:rsid w:val="22D07091"/>
    <w:rsid w:val="22D864C2"/>
    <w:rsid w:val="22DA2416"/>
    <w:rsid w:val="22DB1E07"/>
    <w:rsid w:val="22DF69C6"/>
    <w:rsid w:val="22E6700F"/>
    <w:rsid w:val="22EE6314"/>
    <w:rsid w:val="22F874E8"/>
    <w:rsid w:val="22FC4DA6"/>
    <w:rsid w:val="22FD427B"/>
    <w:rsid w:val="230612A7"/>
    <w:rsid w:val="230F4FB3"/>
    <w:rsid w:val="2315741F"/>
    <w:rsid w:val="232668D5"/>
    <w:rsid w:val="232846F1"/>
    <w:rsid w:val="232A266D"/>
    <w:rsid w:val="232C327F"/>
    <w:rsid w:val="23384757"/>
    <w:rsid w:val="233B6037"/>
    <w:rsid w:val="23462716"/>
    <w:rsid w:val="234E1D95"/>
    <w:rsid w:val="234E7067"/>
    <w:rsid w:val="23550AD0"/>
    <w:rsid w:val="23577E5C"/>
    <w:rsid w:val="235A168E"/>
    <w:rsid w:val="235B0632"/>
    <w:rsid w:val="235F6585"/>
    <w:rsid w:val="23881144"/>
    <w:rsid w:val="2394513F"/>
    <w:rsid w:val="23A4041D"/>
    <w:rsid w:val="23A858D7"/>
    <w:rsid w:val="23AA29E9"/>
    <w:rsid w:val="23B271DC"/>
    <w:rsid w:val="23B742F4"/>
    <w:rsid w:val="23B9450B"/>
    <w:rsid w:val="23BC0507"/>
    <w:rsid w:val="23CB21DA"/>
    <w:rsid w:val="23DB5B4C"/>
    <w:rsid w:val="23DD1F6C"/>
    <w:rsid w:val="23E36BEE"/>
    <w:rsid w:val="240437AA"/>
    <w:rsid w:val="240C2B3A"/>
    <w:rsid w:val="240D2A9C"/>
    <w:rsid w:val="24210E4E"/>
    <w:rsid w:val="24244392"/>
    <w:rsid w:val="242A3B35"/>
    <w:rsid w:val="242C18C4"/>
    <w:rsid w:val="242C213A"/>
    <w:rsid w:val="2437334A"/>
    <w:rsid w:val="245F17EC"/>
    <w:rsid w:val="24624B37"/>
    <w:rsid w:val="24625EA0"/>
    <w:rsid w:val="246E68E8"/>
    <w:rsid w:val="24757E34"/>
    <w:rsid w:val="24762FE9"/>
    <w:rsid w:val="24895713"/>
    <w:rsid w:val="24A0399F"/>
    <w:rsid w:val="24B876B2"/>
    <w:rsid w:val="24B92775"/>
    <w:rsid w:val="24CD287B"/>
    <w:rsid w:val="24E77349"/>
    <w:rsid w:val="24E821FC"/>
    <w:rsid w:val="24ED0E94"/>
    <w:rsid w:val="24F554E6"/>
    <w:rsid w:val="25033912"/>
    <w:rsid w:val="2508119A"/>
    <w:rsid w:val="25090523"/>
    <w:rsid w:val="250A7D5C"/>
    <w:rsid w:val="251746F0"/>
    <w:rsid w:val="253F2264"/>
    <w:rsid w:val="2541397E"/>
    <w:rsid w:val="254B40B2"/>
    <w:rsid w:val="254D335F"/>
    <w:rsid w:val="255346CB"/>
    <w:rsid w:val="25712EAE"/>
    <w:rsid w:val="25842393"/>
    <w:rsid w:val="25847B33"/>
    <w:rsid w:val="259A122B"/>
    <w:rsid w:val="25A179C3"/>
    <w:rsid w:val="25A23B72"/>
    <w:rsid w:val="25B33FA7"/>
    <w:rsid w:val="25BD3CA6"/>
    <w:rsid w:val="25BF3326"/>
    <w:rsid w:val="25BF627F"/>
    <w:rsid w:val="25C766C8"/>
    <w:rsid w:val="25D37304"/>
    <w:rsid w:val="25DC5E42"/>
    <w:rsid w:val="25EE750F"/>
    <w:rsid w:val="25F87686"/>
    <w:rsid w:val="26023902"/>
    <w:rsid w:val="26084AA7"/>
    <w:rsid w:val="260A6611"/>
    <w:rsid w:val="260C4ED7"/>
    <w:rsid w:val="260F58DC"/>
    <w:rsid w:val="26166636"/>
    <w:rsid w:val="2617264B"/>
    <w:rsid w:val="262420A3"/>
    <w:rsid w:val="262C6927"/>
    <w:rsid w:val="26407842"/>
    <w:rsid w:val="264D2600"/>
    <w:rsid w:val="264F56B1"/>
    <w:rsid w:val="267407F9"/>
    <w:rsid w:val="267B0D13"/>
    <w:rsid w:val="26916F1C"/>
    <w:rsid w:val="26A1465B"/>
    <w:rsid w:val="26A717FF"/>
    <w:rsid w:val="26A772A7"/>
    <w:rsid w:val="26AE7FF0"/>
    <w:rsid w:val="26B171B9"/>
    <w:rsid w:val="26B86B93"/>
    <w:rsid w:val="26BA2A88"/>
    <w:rsid w:val="26C15944"/>
    <w:rsid w:val="26C22426"/>
    <w:rsid w:val="27036A48"/>
    <w:rsid w:val="270812F9"/>
    <w:rsid w:val="27120152"/>
    <w:rsid w:val="273F4B78"/>
    <w:rsid w:val="27410905"/>
    <w:rsid w:val="275F7EF3"/>
    <w:rsid w:val="2764097C"/>
    <w:rsid w:val="27767961"/>
    <w:rsid w:val="278542B4"/>
    <w:rsid w:val="279069C1"/>
    <w:rsid w:val="27A66474"/>
    <w:rsid w:val="27BF513F"/>
    <w:rsid w:val="27CC091C"/>
    <w:rsid w:val="27E67A43"/>
    <w:rsid w:val="27FA15F4"/>
    <w:rsid w:val="27FC19AB"/>
    <w:rsid w:val="27FD7D1A"/>
    <w:rsid w:val="28187989"/>
    <w:rsid w:val="282B5E5B"/>
    <w:rsid w:val="28441B85"/>
    <w:rsid w:val="28445BA3"/>
    <w:rsid w:val="28572FF4"/>
    <w:rsid w:val="2861534B"/>
    <w:rsid w:val="286921AF"/>
    <w:rsid w:val="28776D26"/>
    <w:rsid w:val="287953AC"/>
    <w:rsid w:val="288F1621"/>
    <w:rsid w:val="289042BD"/>
    <w:rsid w:val="28940373"/>
    <w:rsid w:val="28A06628"/>
    <w:rsid w:val="28AA045C"/>
    <w:rsid w:val="28BD5251"/>
    <w:rsid w:val="28D01274"/>
    <w:rsid w:val="28D92391"/>
    <w:rsid w:val="28E901C4"/>
    <w:rsid w:val="28F60BE9"/>
    <w:rsid w:val="29040AEF"/>
    <w:rsid w:val="291717A7"/>
    <w:rsid w:val="2917705B"/>
    <w:rsid w:val="291974D7"/>
    <w:rsid w:val="29326788"/>
    <w:rsid w:val="29357C71"/>
    <w:rsid w:val="293E43CA"/>
    <w:rsid w:val="29433C9E"/>
    <w:rsid w:val="29753B56"/>
    <w:rsid w:val="2979190F"/>
    <w:rsid w:val="2980065D"/>
    <w:rsid w:val="2982372F"/>
    <w:rsid w:val="29862F22"/>
    <w:rsid w:val="29A2287A"/>
    <w:rsid w:val="29A95FD6"/>
    <w:rsid w:val="29B26CBD"/>
    <w:rsid w:val="29B915F2"/>
    <w:rsid w:val="29BF65D9"/>
    <w:rsid w:val="29C60BDD"/>
    <w:rsid w:val="29EF1F39"/>
    <w:rsid w:val="29FD49E7"/>
    <w:rsid w:val="29FD5C67"/>
    <w:rsid w:val="2A205C5E"/>
    <w:rsid w:val="2A331DF3"/>
    <w:rsid w:val="2A3335E3"/>
    <w:rsid w:val="2A334528"/>
    <w:rsid w:val="2A3415B0"/>
    <w:rsid w:val="2A366446"/>
    <w:rsid w:val="2A492C82"/>
    <w:rsid w:val="2A4D00D1"/>
    <w:rsid w:val="2A5C4D90"/>
    <w:rsid w:val="2A6D366D"/>
    <w:rsid w:val="2A715FD6"/>
    <w:rsid w:val="2A7C0B09"/>
    <w:rsid w:val="2A836E98"/>
    <w:rsid w:val="2A8B3817"/>
    <w:rsid w:val="2A8F385D"/>
    <w:rsid w:val="2A9034B4"/>
    <w:rsid w:val="2AA605A4"/>
    <w:rsid w:val="2AA60DD9"/>
    <w:rsid w:val="2AB33F87"/>
    <w:rsid w:val="2AB828D6"/>
    <w:rsid w:val="2AC140B6"/>
    <w:rsid w:val="2AC46EA9"/>
    <w:rsid w:val="2ACD0B36"/>
    <w:rsid w:val="2AD111FD"/>
    <w:rsid w:val="2AE058FD"/>
    <w:rsid w:val="2B034328"/>
    <w:rsid w:val="2B052E66"/>
    <w:rsid w:val="2B057B58"/>
    <w:rsid w:val="2B0C6254"/>
    <w:rsid w:val="2B150EBA"/>
    <w:rsid w:val="2B1976A1"/>
    <w:rsid w:val="2B2E3CA3"/>
    <w:rsid w:val="2B507EB6"/>
    <w:rsid w:val="2B5D556F"/>
    <w:rsid w:val="2B5F6EA6"/>
    <w:rsid w:val="2B692A79"/>
    <w:rsid w:val="2B7208B0"/>
    <w:rsid w:val="2B723083"/>
    <w:rsid w:val="2B761F1B"/>
    <w:rsid w:val="2B9F33B5"/>
    <w:rsid w:val="2BC02C71"/>
    <w:rsid w:val="2BD6261E"/>
    <w:rsid w:val="2BDE15EE"/>
    <w:rsid w:val="2BE0479E"/>
    <w:rsid w:val="2BF60E02"/>
    <w:rsid w:val="2BFD2672"/>
    <w:rsid w:val="2C0C40B6"/>
    <w:rsid w:val="2C0D60C4"/>
    <w:rsid w:val="2C134D43"/>
    <w:rsid w:val="2C221352"/>
    <w:rsid w:val="2C230F12"/>
    <w:rsid w:val="2C340552"/>
    <w:rsid w:val="2C3A3A18"/>
    <w:rsid w:val="2C4016E6"/>
    <w:rsid w:val="2C406671"/>
    <w:rsid w:val="2C437678"/>
    <w:rsid w:val="2C5F7ED0"/>
    <w:rsid w:val="2C680D68"/>
    <w:rsid w:val="2C701C82"/>
    <w:rsid w:val="2C770FA3"/>
    <w:rsid w:val="2C7929C9"/>
    <w:rsid w:val="2C7A2CDC"/>
    <w:rsid w:val="2C812163"/>
    <w:rsid w:val="2C8C4DA7"/>
    <w:rsid w:val="2C940967"/>
    <w:rsid w:val="2CA3250F"/>
    <w:rsid w:val="2CA83BFD"/>
    <w:rsid w:val="2CA942F5"/>
    <w:rsid w:val="2CB172AB"/>
    <w:rsid w:val="2CB5245E"/>
    <w:rsid w:val="2CB97010"/>
    <w:rsid w:val="2CCC61DC"/>
    <w:rsid w:val="2CE30F22"/>
    <w:rsid w:val="2CE460FF"/>
    <w:rsid w:val="2CFD1EAE"/>
    <w:rsid w:val="2CFF2CF1"/>
    <w:rsid w:val="2D0020FD"/>
    <w:rsid w:val="2D004449"/>
    <w:rsid w:val="2D0061E3"/>
    <w:rsid w:val="2D040A3A"/>
    <w:rsid w:val="2D1B6979"/>
    <w:rsid w:val="2D295C08"/>
    <w:rsid w:val="2D3065F6"/>
    <w:rsid w:val="2D3E159C"/>
    <w:rsid w:val="2D454F76"/>
    <w:rsid w:val="2D5E5ACD"/>
    <w:rsid w:val="2D664E53"/>
    <w:rsid w:val="2D764C10"/>
    <w:rsid w:val="2D7A291E"/>
    <w:rsid w:val="2D7A5B83"/>
    <w:rsid w:val="2D7A691B"/>
    <w:rsid w:val="2D7E6051"/>
    <w:rsid w:val="2D8662AB"/>
    <w:rsid w:val="2D87369C"/>
    <w:rsid w:val="2D9321E6"/>
    <w:rsid w:val="2D9D3CD6"/>
    <w:rsid w:val="2DAB070C"/>
    <w:rsid w:val="2DB81BCA"/>
    <w:rsid w:val="2DBA421D"/>
    <w:rsid w:val="2DC928E9"/>
    <w:rsid w:val="2DCA68D8"/>
    <w:rsid w:val="2DCB4211"/>
    <w:rsid w:val="2DD123D5"/>
    <w:rsid w:val="2DE51610"/>
    <w:rsid w:val="2DFF65A7"/>
    <w:rsid w:val="2E007074"/>
    <w:rsid w:val="2E14172E"/>
    <w:rsid w:val="2E156C84"/>
    <w:rsid w:val="2E1F458A"/>
    <w:rsid w:val="2E344DAF"/>
    <w:rsid w:val="2E3933DD"/>
    <w:rsid w:val="2E542892"/>
    <w:rsid w:val="2E5F768E"/>
    <w:rsid w:val="2E783A21"/>
    <w:rsid w:val="2E7C5CD1"/>
    <w:rsid w:val="2E827222"/>
    <w:rsid w:val="2E881839"/>
    <w:rsid w:val="2E936895"/>
    <w:rsid w:val="2E9C1619"/>
    <w:rsid w:val="2EA3470F"/>
    <w:rsid w:val="2EA90574"/>
    <w:rsid w:val="2EA96D06"/>
    <w:rsid w:val="2EB948EE"/>
    <w:rsid w:val="2EC767B9"/>
    <w:rsid w:val="2ECE30AA"/>
    <w:rsid w:val="2EDE7E92"/>
    <w:rsid w:val="2EDF2CF0"/>
    <w:rsid w:val="2EE32667"/>
    <w:rsid w:val="2EE70C2A"/>
    <w:rsid w:val="2EFE24FC"/>
    <w:rsid w:val="2F0B230D"/>
    <w:rsid w:val="2F1831B2"/>
    <w:rsid w:val="2F1D1825"/>
    <w:rsid w:val="2F1F6148"/>
    <w:rsid w:val="2F397ECA"/>
    <w:rsid w:val="2F4C7A7D"/>
    <w:rsid w:val="2F622F67"/>
    <w:rsid w:val="2F624BBD"/>
    <w:rsid w:val="2F77336C"/>
    <w:rsid w:val="2F831B61"/>
    <w:rsid w:val="2F85458D"/>
    <w:rsid w:val="2F8C627E"/>
    <w:rsid w:val="2F9E6F42"/>
    <w:rsid w:val="2FA86799"/>
    <w:rsid w:val="2FBB3BF3"/>
    <w:rsid w:val="2FC13EE7"/>
    <w:rsid w:val="2FC65893"/>
    <w:rsid w:val="2FCE0B3F"/>
    <w:rsid w:val="2FDB3DFA"/>
    <w:rsid w:val="2FDD1EC2"/>
    <w:rsid w:val="2FDE5BC7"/>
    <w:rsid w:val="2FDF0645"/>
    <w:rsid w:val="2FE17991"/>
    <w:rsid w:val="2FE779E3"/>
    <w:rsid w:val="2FED5A57"/>
    <w:rsid w:val="300A7C9C"/>
    <w:rsid w:val="300B61F3"/>
    <w:rsid w:val="301256DD"/>
    <w:rsid w:val="30166435"/>
    <w:rsid w:val="30192227"/>
    <w:rsid w:val="301F4F73"/>
    <w:rsid w:val="3028126B"/>
    <w:rsid w:val="302F1D36"/>
    <w:rsid w:val="30325164"/>
    <w:rsid w:val="303B3444"/>
    <w:rsid w:val="304159E4"/>
    <w:rsid w:val="30461251"/>
    <w:rsid w:val="304F3F56"/>
    <w:rsid w:val="305E6FBC"/>
    <w:rsid w:val="30602CE0"/>
    <w:rsid w:val="30622D1F"/>
    <w:rsid w:val="306E0113"/>
    <w:rsid w:val="3071398E"/>
    <w:rsid w:val="307D42E1"/>
    <w:rsid w:val="307D6BEE"/>
    <w:rsid w:val="30826F45"/>
    <w:rsid w:val="308512FF"/>
    <w:rsid w:val="30904BC4"/>
    <w:rsid w:val="30962223"/>
    <w:rsid w:val="309F66E8"/>
    <w:rsid w:val="30A208D6"/>
    <w:rsid w:val="30A371B5"/>
    <w:rsid w:val="30A820C2"/>
    <w:rsid w:val="30AD40B6"/>
    <w:rsid w:val="30B02ECD"/>
    <w:rsid w:val="30BA2D60"/>
    <w:rsid w:val="30C97C89"/>
    <w:rsid w:val="30D0747B"/>
    <w:rsid w:val="30DA06F5"/>
    <w:rsid w:val="30EA53CF"/>
    <w:rsid w:val="30F40391"/>
    <w:rsid w:val="31000E5F"/>
    <w:rsid w:val="310E2D17"/>
    <w:rsid w:val="311901A8"/>
    <w:rsid w:val="312C3581"/>
    <w:rsid w:val="31356D01"/>
    <w:rsid w:val="313D44DC"/>
    <w:rsid w:val="31500EB9"/>
    <w:rsid w:val="3164256F"/>
    <w:rsid w:val="316C1AF9"/>
    <w:rsid w:val="316E5904"/>
    <w:rsid w:val="31744959"/>
    <w:rsid w:val="3177487A"/>
    <w:rsid w:val="317B27EE"/>
    <w:rsid w:val="31820ECF"/>
    <w:rsid w:val="31890D85"/>
    <w:rsid w:val="31941E22"/>
    <w:rsid w:val="319F1702"/>
    <w:rsid w:val="31CD4724"/>
    <w:rsid w:val="31D04565"/>
    <w:rsid w:val="31D60522"/>
    <w:rsid w:val="31DC5E9C"/>
    <w:rsid w:val="31E06BCA"/>
    <w:rsid w:val="31E37F93"/>
    <w:rsid w:val="31EB3F3D"/>
    <w:rsid w:val="31F816AF"/>
    <w:rsid w:val="32083CCE"/>
    <w:rsid w:val="32157EE6"/>
    <w:rsid w:val="322354C0"/>
    <w:rsid w:val="322B2CE8"/>
    <w:rsid w:val="323139FD"/>
    <w:rsid w:val="323B5551"/>
    <w:rsid w:val="32403CD5"/>
    <w:rsid w:val="32484430"/>
    <w:rsid w:val="3253175E"/>
    <w:rsid w:val="325A50D2"/>
    <w:rsid w:val="326B0434"/>
    <w:rsid w:val="327E1E9E"/>
    <w:rsid w:val="327E2E7C"/>
    <w:rsid w:val="328B180D"/>
    <w:rsid w:val="32A14C53"/>
    <w:rsid w:val="32B87A47"/>
    <w:rsid w:val="32BA27AC"/>
    <w:rsid w:val="32D3172E"/>
    <w:rsid w:val="32E3742A"/>
    <w:rsid w:val="32F24B3E"/>
    <w:rsid w:val="32F4036A"/>
    <w:rsid w:val="32F905BC"/>
    <w:rsid w:val="330D10BF"/>
    <w:rsid w:val="33152997"/>
    <w:rsid w:val="33273C28"/>
    <w:rsid w:val="33292801"/>
    <w:rsid w:val="332C1869"/>
    <w:rsid w:val="33357C0F"/>
    <w:rsid w:val="334A484C"/>
    <w:rsid w:val="334B2CD9"/>
    <w:rsid w:val="33503CCC"/>
    <w:rsid w:val="335C6117"/>
    <w:rsid w:val="336026F6"/>
    <w:rsid w:val="33667930"/>
    <w:rsid w:val="336C29C5"/>
    <w:rsid w:val="33721AC2"/>
    <w:rsid w:val="33760000"/>
    <w:rsid w:val="337D67F0"/>
    <w:rsid w:val="338E2C59"/>
    <w:rsid w:val="339031A2"/>
    <w:rsid w:val="339F1ED0"/>
    <w:rsid w:val="33B212E1"/>
    <w:rsid w:val="33B5385B"/>
    <w:rsid w:val="33B817BD"/>
    <w:rsid w:val="33C95FB0"/>
    <w:rsid w:val="33CE7476"/>
    <w:rsid w:val="33CF7D7D"/>
    <w:rsid w:val="33DB585B"/>
    <w:rsid w:val="33DD6C96"/>
    <w:rsid w:val="33E71C0E"/>
    <w:rsid w:val="33EC63F3"/>
    <w:rsid w:val="33FB3502"/>
    <w:rsid w:val="33FC0C35"/>
    <w:rsid w:val="33FE3CBB"/>
    <w:rsid w:val="34034EE0"/>
    <w:rsid w:val="34115587"/>
    <w:rsid w:val="341C751F"/>
    <w:rsid w:val="342122F5"/>
    <w:rsid w:val="342343BE"/>
    <w:rsid w:val="3427000D"/>
    <w:rsid w:val="34516404"/>
    <w:rsid w:val="345536BE"/>
    <w:rsid w:val="346D289C"/>
    <w:rsid w:val="34746954"/>
    <w:rsid w:val="348262E8"/>
    <w:rsid w:val="34852DFB"/>
    <w:rsid w:val="34870FF3"/>
    <w:rsid w:val="349C7F9E"/>
    <w:rsid w:val="34A26D56"/>
    <w:rsid w:val="34AA308A"/>
    <w:rsid w:val="34AE3021"/>
    <w:rsid w:val="34B5369D"/>
    <w:rsid w:val="34C23927"/>
    <w:rsid w:val="34D74524"/>
    <w:rsid w:val="34E45FF4"/>
    <w:rsid w:val="34EF21BA"/>
    <w:rsid w:val="34FB21EC"/>
    <w:rsid w:val="35084118"/>
    <w:rsid w:val="351509F4"/>
    <w:rsid w:val="35255498"/>
    <w:rsid w:val="352B6064"/>
    <w:rsid w:val="353266FE"/>
    <w:rsid w:val="355154B2"/>
    <w:rsid w:val="355B39D5"/>
    <w:rsid w:val="356A72E6"/>
    <w:rsid w:val="357333A0"/>
    <w:rsid w:val="358C2E02"/>
    <w:rsid w:val="359274C2"/>
    <w:rsid w:val="359C682F"/>
    <w:rsid w:val="359E2F25"/>
    <w:rsid w:val="359E49E9"/>
    <w:rsid w:val="35AC7D9F"/>
    <w:rsid w:val="35C41F10"/>
    <w:rsid w:val="35C743CC"/>
    <w:rsid w:val="35CC2E55"/>
    <w:rsid w:val="35D25FBE"/>
    <w:rsid w:val="35E20F81"/>
    <w:rsid w:val="35F257DC"/>
    <w:rsid w:val="35F52853"/>
    <w:rsid w:val="35F736FC"/>
    <w:rsid w:val="35F80C3B"/>
    <w:rsid w:val="3602558A"/>
    <w:rsid w:val="36036E4C"/>
    <w:rsid w:val="360646D4"/>
    <w:rsid w:val="3609739D"/>
    <w:rsid w:val="360F2A66"/>
    <w:rsid w:val="36177C38"/>
    <w:rsid w:val="363A4100"/>
    <w:rsid w:val="36410A3A"/>
    <w:rsid w:val="364D2060"/>
    <w:rsid w:val="364E7F63"/>
    <w:rsid w:val="364F7717"/>
    <w:rsid w:val="36611E9F"/>
    <w:rsid w:val="366A4252"/>
    <w:rsid w:val="367754DE"/>
    <w:rsid w:val="36784AF0"/>
    <w:rsid w:val="36900D69"/>
    <w:rsid w:val="369236D1"/>
    <w:rsid w:val="36A121B3"/>
    <w:rsid w:val="36C64BF6"/>
    <w:rsid w:val="36D72FA9"/>
    <w:rsid w:val="36DD1115"/>
    <w:rsid w:val="36F22027"/>
    <w:rsid w:val="36FA4156"/>
    <w:rsid w:val="37013427"/>
    <w:rsid w:val="370653E7"/>
    <w:rsid w:val="370E3984"/>
    <w:rsid w:val="372B7942"/>
    <w:rsid w:val="373B505A"/>
    <w:rsid w:val="374F2F07"/>
    <w:rsid w:val="3750792F"/>
    <w:rsid w:val="375463DB"/>
    <w:rsid w:val="375F7232"/>
    <w:rsid w:val="37625982"/>
    <w:rsid w:val="37671578"/>
    <w:rsid w:val="3768699A"/>
    <w:rsid w:val="379B76DA"/>
    <w:rsid w:val="37A807C2"/>
    <w:rsid w:val="37BE4787"/>
    <w:rsid w:val="37C83999"/>
    <w:rsid w:val="37D72D05"/>
    <w:rsid w:val="37DF41BC"/>
    <w:rsid w:val="37E21686"/>
    <w:rsid w:val="37F42AB8"/>
    <w:rsid w:val="37FB6790"/>
    <w:rsid w:val="37FD4445"/>
    <w:rsid w:val="380517DC"/>
    <w:rsid w:val="381A4EA7"/>
    <w:rsid w:val="38252598"/>
    <w:rsid w:val="382F654A"/>
    <w:rsid w:val="383047E3"/>
    <w:rsid w:val="38350332"/>
    <w:rsid w:val="383970A7"/>
    <w:rsid w:val="38495504"/>
    <w:rsid w:val="384E3BBB"/>
    <w:rsid w:val="384F7874"/>
    <w:rsid w:val="38650C1B"/>
    <w:rsid w:val="38663BD3"/>
    <w:rsid w:val="38982766"/>
    <w:rsid w:val="38991B97"/>
    <w:rsid w:val="38A07B54"/>
    <w:rsid w:val="38AC37B6"/>
    <w:rsid w:val="38B5657F"/>
    <w:rsid w:val="38B87CF2"/>
    <w:rsid w:val="38C72455"/>
    <w:rsid w:val="38CA43BA"/>
    <w:rsid w:val="38CC4BED"/>
    <w:rsid w:val="38DC2F57"/>
    <w:rsid w:val="38F95415"/>
    <w:rsid w:val="390412D8"/>
    <w:rsid w:val="390C505F"/>
    <w:rsid w:val="392017C0"/>
    <w:rsid w:val="39252B76"/>
    <w:rsid w:val="392A6D19"/>
    <w:rsid w:val="392C4D9D"/>
    <w:rsid w:val="392E6F43"/>
    <w:rsid w:val="392F6CF4"/>
    <w:rsid w:val="3938118D"/>
    <w:rsid w:val="393B3F83"/>
    <w:rsid w:val="393C0FAA"/>
    <w:rsid w:val="394D69CA"/>
    <w:rsid w:val="394F3CCB"/>
    <w:rsid w:val="3952140A"/>
    <w:rsid w:val="39772945"/>
    <w:rsid w:val="397A1C59"/>
    <w:rsid w:val="397F6E8D"/>
    <w:rsid w:val="398465BA"/>
    <w:rsid w:val="399B7825"/>
    <w:rsid w:val="399E725D"/>
    <w:rsid w:val="39A209C1"/>
    <w:rsid w:val="39A80289"/>
    <w:rsid w:val="39AD6790"/>
    <w:rsid w:val="39C33FAD"/>
    <w:rsid w:val="39C84866"/>
    <w:rsid w:val="39C86214"/>
    <w:rsid w:val="39D252AE"/>
    <w:rsid w:val="39D26619"/>
    <w:rsid w:val="39E25290"/>
    <w:rsid w:val="39E276D4"/>
    <w:rsid w:val="39E93BC2"/>
    <w:rsid w:val="39F8422A"/>
    <w:rsid w:val="39F91CCB"/>
    <w:rsid w:val="3A04454A"/>
    <w:rsid w:val="3A0E457E"/>
    <w:rsid w:val="3A3D6D40"/>
    <w:rsid w:val="3A4112DA"/>
    <w:rsid w:val="3A462802"/>
    <w:rsid w:val="3A485C20"/>
    <w:rsid w:val="3A4A4CC7"/>
    <w:rsid w:val="3A60703D"/>
    <w:rsid w:val="3A6C2289"/>
    <w:rsid w:val="3A6F5A8F"/>
    <w:rsid w:val="3A6F6FB5"/>
    <w:rsid w:val="3A766D32"/>
    <w:rsid w:val="3A7731FA"/>
    <w:rsid w:val="3A872AE7"/>
    <w:rsid w:val="3A8D6CCD"/>
    <w:rsid w:val="3A955CCA"/>
    <w:rsid w:val="3A9B2460"/>
    <w:rsid w:val="3A9B448D"/>
    <w:rsid w:val="3AA62464"/>
    <w:rsid w:val="3AB45192"/>
    <w:rsid w:val="3AB61DD5"/>
    <w:rsid w:val="3AC60DC7"/>
    <w:rsid w:val="3AC97FAA"/>
    <w:rsid w:val="3ACB4EA8"/>
    <w:rsid w:val="3ACF35EC"/>
    <w:rsid w:val="3AD606E4"/>
    <w:rsid w:val="3AE80E8E"/>
    <w:rsid w:val="3AEA2742"/>
    <w:rsid w:val="3AFD6137"/>
    <w:rsid w:val="3AFF52EB"/>
    <w:rsid w:val="3B0376FA"/>
    <w:rsid w:val="3B05212B"/>
    <w:rsid w:val="3B0D52B2"/>
    <w:rsid w:val="3B0E413D"/>
    <w:rsid w:val="3B143A56"/>
    <w:rsid w:val="3B153BC7"/>
    <w:rsid w:val="3B213022"/>
    <w:rsid w:val="3B367657"/>
    <w:rsid w:val="3B380F19"/>
    <w:rsid w:val="3B410BE2"/>
    <w:rsid w:val="3B411A26"/>
    <w:rsid w:val="3B5732FB"/>
    <w:rsid w:val="3B7A0CCD"/>
    <w:rsid w:val="3B8904A2"/>
    <w:rsid w:val="3B961BD5"/>
    <w:rsid w:val="3B9A7293"/>
    <w:rsid w:val="3BC67FA1"/>
    <w:rsid w:val="3BD10CFD"/>
    <w:rsid w:val="3BD24ADD"/>
    <w:rsid w:val="3BDE0AFB"/>
    <w:rsid w:val="3BDF38AF"/>
    <w:rsid w:val="3BEB1D6F"/>
    <w:rsid w:val="3C184B16"/>
    <w:rsid w:val="3C1B78A3"/>
    <w:rsid w:val="3C285D82"/>
    <w:rsid w:val="3C32053F"/>
    <w:rsid w:val="3C3E406C"/>
    <w:rsid w:val="3C4944FF"/>
    <w:rsid w:val="3C51067F"/>
    <w:rsid w:val="3C536B06"/>
    <w:rsid w:val="3C58436E"/>
    <w:rsid w:val="3C632DB5"/>
    <w:rsid w:val="3C661008"/>
    <w:rsid w:val="3C672048"/>
    <w:rsid w:val="3C6C2EB1"/>
    <w:rsid w:val="3CA9364C"/>
    <w:rsid w:val="3CB0429C"/>
    <w:rsid w:val="3CB74FF6"/>
    <w:rsid w:val="3CD72898"/>
    <w:rsid w:val="3CD741BF"/>
    <w:rsid w:val="3CE865B0"/>
    <w:rsid w:val="3CED427C"/>
    <w:rsid w:val="3CF038D6"/>
    <w:rsid w:val="3D013546"/>
    <w:rsid w:val="3D0734C9"/>
    <w:rsid w:val="3D083788"/>
    <w:rsid w:val="3D0D6D32"/>
    <w:rsid w:val="3D0D7049"/>
    <w:rsid w:val="3D144F76"/>
    <w:rsid w:val="3D2008A3"/>
    <w:rsid w:val="3D2E2411"/>
    <w:rsid w:val="3D337B31"/>
    <w:rsid w:val="3D4B2287"/>
    <w:rsid w:val="3D4F4905"/>
    <w:rsid w:val="3D5005EB"/>
    <w:rsid w:val="3D6562C9"/>
    <w:rsid w:val="3D6C7D3F"/>
    <w:rsid w:val="3D9307B4"/>
    <w:rsid w:val="3D9F4956"/>
    <w:rsid w:val="3DAA5311"/>
    <w:rsid w:val="3DB453CA"/>
    <w:rsid w:val="3DBD041E"/>
    <w:rsid w:val="3DD35B24"/>
    <w:rsid w:val="3DDB23B0"/>
    <w:rsid w:val="3DE92591"/>
    <w:rsid w:val="3DEC3A44"/>
    <w:rsid w:val="3E1A50E1"/>
    <w:rsid w:val="3E1C7725"/>
    <w:rsid w:val="3E210582"/>
    <w:rsid w:val="3E25747C"/>
    <w:rsid w:val="3E26098F"/>
    <w:rsid w:val="3E3B04B0"/>
    <w:rsid w:val="3E3E7F7D"/>
    <w:rsid w:val="3E4D031B"/>
    <w:rsid w:val="3E4F3306"/>
    <w:rsid w:val="3E697E61"/>
    <w:rsid w:val="3E6B319E"/>
    <w:rsid w:val="3E796FBB"/>
    <w:rsid w:val="3E7D20AD"/>
    <w:rsid w:val="3E98343F"/>
    <w:rsid w:val="3EA12164"/>
    <w:rsid w:val="3EA22193"/>
    <w:rsid w:val="3EA52277"/>
    <w:rsid w:val="3EA77B3A"/>
    <w:rsid w:val="3EB37D60"/>
    <w:rsid w:val="3EB44782"/>
    <w:rsid w:val="3EBD0BC4"/>
    <w:rsid w:val="3EBF0B79"/>
    <w:rsid w:val="3EC35584"/>
    <w:rsid w:val="3EC97CCB"/>
    <w:rsid w:val="3ECA1E61"/>
    <w:rsid w:val="3ED2230C"/>
    <w:rsid w:val="3EE27E07"/>
    <w:rsid w:val="3F0A6D15"/>
    <w:rsid w:val="3F0B3BEC"/>
    <w:rsid w:val="3F170C71"/>
    <w:rsid w:val="3F1C0B53"/>
    <w:rsid w:val="3F337FF6"/>
    <w:rsid w:val="3F394A24"/>
    <w:rsid w:val="3F4802CD"/>
    <w:rsid w:val="3F497F87"/>
    <w:rsid w:val="3F734553"/>
    <w:rsid w:val="3F822788"/>
    <w:rsid w:val="3F954106"/>
    <w:rsid w:val="3F9723FF"/>
    <w:rsid w:val="3FA24D04"/>
    <w:rsid w:val="3FA45CFF"/>
    <w:rsid w:val="3FB74B6A"/>
    <w:rsid w:val="3FBE0775"/>
    <w:rsid w:val="3FC53F70"/>
    <w:rsid w:val="3FDA4009"/>
    <w:rsid w:val="3FE574EF"/>
    <w:rsid w:val="401C76D3"/>
    <w:rsid w:val="402032E6"/>
    <w:rsid w:val="402179A3"/>
    <w:rsid w:val="402D2E41"/>
    <w:rsid w:val="40330CA4"/>
    <w:rsid w:val="4042238A"/>
    <w:rsid w:val="4051781D"/>
    <w:rsid w:val="40607A57"/>
    <w:rsid w:val="40734F8E"/>
    <w:rsid w:val="40890A0A"/>
    <w:rsid w:val="408B2769"/>
    <w:rsid w:val="40963AA1"/>
    <w:rsid w:val="40AE1FF7"/>
    <w:rsid w:val="40B733A7"/>
    <w:rsid w:val="40BA68B9"/>
    <w:rsid w:val="40BC50FB"/>
    <w:rsid w:val="40C16266"/>
    <w:rsid w:val="40C235CF"/>
    <w:rsid w:val="40CF00C1"/>
    <w:rsid w:val="40E40DFF"/>
    <w:rsid w:val="40FD678B"/>
    <w:rsid w:val="41003356"/>
    <w:rsid w:val="410B5436"/>
    <w:rsid w:val="41160658"/>
    <w:rsid w:val="41176148"/>
    <w:rsid w:val="411E7E74"/>
    <w:rsid w:val="412344BF"/>
    <w:rsid w:val="412C5510"/>
    <w:rsid w:val="41356D45"/>
    <w:rsid w:val="414F7E63"/>
    <w:rsid w:val="415818BD"/>
    <w:rsid w:val="41615FCD"/>
    <w:rsid w:val="416E7334"/>
    <w:rsid w:val="4173037E"/>
    <w:rsid w:val="41763898"/>
    <w:rsid w:val="4178619D"/>
    <w:rsid w:val="4186415A"/>
    <w:rsid w:val="41997BF4"/>
    <w:rsid w:val="41A25E23"/>
    <w:rsid w:val="41B60C04"/>
    <w:rsid w:val="41BA20AB"/>
    <w:rsid w:val="41D33240"/>
    <w:rsid w:val="41DB32FB"/>
    <w:rsid w:val="41DB562E"/>
    <w:rsid w:val="41E00282"/>
    <w:rsid w:val="41E24A84"/>
    <w:rsid w:val="41E62865"/>
    <w:rsid w:val="41EF5897"/>
    <w:rsid w:val="41F0719A"/>
    <w:rsid w:val="41F141C8"/>
    <w:rsid w:val="41F769F8"/>
    <w:rsid w:val="41FA44D3"/>
    <w:rsid w:val="41FF317F"/>
    <w:rsid w:val="41FF49C1"/>
    <w:rsid w:val="42092855"/>
    <w:rsid w:val="420F3AD9"/>
    <w:rsid w:val="4222556D"/>
    <w:rsid w:val="424A72E0"/>
    <w:rsid w:val="425901D2"/>
    <w:rsid w:val="42594DA0"/>
    <w:rsid w:val="426A1BC5"/>
    <w:rsid w:val="426E763A"/>
    <w:rsid w:val="428248E5"/>
    <w:rsid w:val="42970839"/>
    <w:rsid w:val="429B577D"/>
    <w:rsid w:val="429C47B7"/>
    <w:rsid w:val="42AB449F"/>
    <w:rsid w:val="42AE439D"/>
    <w:rsid w:val="42B55856"/>
    <w:rsid w:val="42B86BEC"/>
    <w:rsid w:val="42BB0C2D"/>
    <w:rsid w:val="42BF2999"/>
    <w:rsid w:val="42C21EAE"/>
    <w:rsid w:val="42C60F27"/>
    <w:rsid w:val="42D33507"/>
    <w:rsid w:val="42F45061"/>
    <w:rsid w:val="42FC618D"/>
    <w:rsid w:val="430075B6"/>
    <w:rsid w:val="430A2E6D"/>
    <w:rsid w:val="43240A91"/>
    <w:rsid w:val="43275C4F"/>
    <w:rsid w:val="43300406"/>
    <w:rsid w:val="43370D46"/>
    <w:rsid w:val="433711B8"/>
    <w:rsid w:val="43411D36"/>
    <w:rsid w:val="43451141"/>
    <w:rsid w:val="434F746B"/>
    <w:rsid w:val="43515022"/>
    <w:rsid w:val="4358292F"/>
    <w:rsid w:val="437273A2"/>
    <w:rsid w:val="4373390F"/>
    <w:rsid w:val="43737750"/>
    <w:rsid w:val="43754326"/>
    <w:rsid w:val="43784252"/>
    <w:rsid w:val="437B2F7D"/>
    <w:rsid w:val="437D7AA3"/>
    <w:rsid w:val="438D1048"/>
    <w:rsid w:val="439A257A"/>
    <w:rsid w:val="439B5FC3"/>
    <w:rsid w:val="43A32635"/>
    <w:rsid w:val="43C309A2"/>
    <w:rsid w:val="43C62AA3"/>
    <w:rsid w:val="43D77093"/>
    <w:rsid w:val="43D911A0"/>
    <w:rsid w:val="43D97147"/>
    <w:rsid w:val="43DC7CB6"/>
    <w:rsid w:val="43DE3D30"/>
    <w:rsid w:val="43E166FE"/>
    <w:rsid w:val="43E5401A"/>
    <w:rsid w:val="43E73CDC"/>
    <w:rsid w:val="43FA758D"/>
    <w:rsid w:val="43FC5E92"/>
    <w:rsid w:val="44017F76"/>
    <w:rsid w:val="44024B99"/>
    <w:rsid w:val="440F49AF"/>
    <w:rsid w:val="441000C1"/>
    <w:rsid w:val="441926A9"/>
    <w:rsid w:val="4424251F"/>
    <w:rsid w:val="442828F8"/>
    <w:rsid w:val="442F79B9"/>
    <w:rsid w:val="443058AA"/>
    <w:rsid w:val="444136BD"/>
    <w:rsid w:val="44417780"/>
    <w:rsid w:val="44674566"/>
    <w:rsid w:val="446C1472"/>
    <w:rsid w:val="446E0DE7"/>
    <w:rsid w:val="44855B8D"/>
    <w:rsid w:val="44A01FB0"/>
    <w:rsid w:val="44B63749"/>
    <w:rsid w:val="44C03003"/>
    <w:rsid w:val="44D95288"/>
    <w:rsid w:val="44E173B8"/>
    <w:rsid w:val="44E33D42"/>
    <w:rsid w:val="44E94B58"/>
    <w:rsid w:val="44FD08B9"/>
    <w:rsid w:val="44FD4C59"/>
    <w:rsid w:val="45010901"/>
    <w:rsid w:val="4523483B"/>
    <w:rsid w:val="452D6E3C"/>
    <w:rsid w:val="452E45AC"/>
    <w:rsid w:val="45503B6C"/>
    <w:rsid w:val="45615A31"/>
    <w:rsid w:val="45631F71"/>
    <w:rsid w:val="45645083"/>
    <w:rsid w:val="45645939"/>
    <w:rsid w:val="45744428"/>
    <w:rsid w:val="457A431F"/>
    <w:rsid w:val="457A5ABF"/>
    <w:rsid w:val="45856273"/>
    <w:rsid w:val="45873F2E"/>
    <w:rsid w:val="45903A89"/>
    <w:rsid w:val="459A2B4B"/>
    <w:rsid w:val="45A624B7"/>
    <w:rsid w:val="45AB380F"/>
    <w:rsid w:val="45AE56E5"/>
    <w:rsid w:val="45B03BFE"/>
    <w:rsid w:val="45B60586"/>
    <w:rsid w:val="45B92873"/>
    <w:rsid w:val="45CE0436"/>
    <w:rsid w:val="45D547C7"/>
    <w:rsid w:val="45D66F05"/>
    <w:rsid w:val="45E43CB5"/>
    <w:rsid w:val="45E74894"/>
    <w:rsid w:val="45F11718"/>
    <w:rsid w:val="461E34FB"/>
    <w:rsid w:val="462112DE"/>
    <w:rsid w:val="463B677F"/>
    <w:rsid w:val="46584AC3"/>
    <w:rsid w:val="46586BBB"/>
    <w:rsid w:val="465B2564"/>
    <w:rsid w:val="466361E0"/>
    <w:rsid w:val="46745329"/>
    <w:rsid w:val="46756101"/>
    <w:rsid w:val="46781027"/>
    <w:rsid w:val="467B665C"/>
    <w:rsid w:val="467F1B7C"/>
    <w:rsid w:val="46837434"/>
    <w:rsid w:val="46874FB5"/>
    <w:rsid w:val="46A67E87"/>
    <w:rsid w:val="46B52D8F"/>
    <w:rsid w:val="46C451FF"/>
    <w:rsid w:val="46D13F56"/>
    <w:rsid w:val="46D73768"/>
    <w:rsid w:val="46DB748E"/>
    <w:rsid w:val="46E00800"/>
    <w:rsid w:val="46E42907"/>
    <w:rsid w:val="46EF4536"/>
    <w:rsid w:val="46F5246C"/>
    <w:rsid w:val="46F904F8"/>
    <w:rsid w:val="47036384"/>
    <w:rsid w:val="47195940"/>
    <w:rsid w:val="4735189F"/>
    <w:rsid w:val="474273EB"/>
    <w:rsid w:val="47462CC4"/>
    <w:rsid w:val="47497311"/>
    <w:rsid w:val="47534AE8"/>
    <w:rsid w:val="475C7031"/>
    <w:rsid w:val="47612048"/>
    <w:rsid w:val="476153EE"/>
    <w:rsid w:val="476318C8"/>
    <w:rsid w:val="47881DD7"/>
    <w:rsid w:val="47A628A4"/>
    <w:rsid w:val="47A84AA3"/>
    <w:rsid w:val="47AD369A"/>
    <w:rsid w:val="47B71D4B"/>
    <w:rsid w:val="47BB0D42"/>
    <w:rsid w:val="47BD3358"/>
    <w:rsid w:val="47BE24B2"/>
    <w:rsid w:val="47D7281A"/>
    <w:rsid w:val="47D9039A"/>
    <w:rsid w:val="47DD7218"/>
    <w:rsid w:val="47E5751E"/>
    <w:rsid w:val="47EB27F0"/>
    <w:rsid w:val="47F56FB5"/>
    <w:rsid w:val="48082B32"/>
    <w:rsid w:val="4815529C"/>
    <w:rsid w:val="48186004"/>
    <w:rsid w:val="4832333D"/>
    <w:rsid w:val="48387293"/>
    <w:rsid w:val="483C1399"/>
    <w:rsid w:val="483C692C"/>
    <w:rsid w:val="484070F5"/>
    <w:rsid w:val="484A137A"/>
    <w:rsid w:val="484E004A"/>
    <w:rsid w:val="4856426D"/>
    <w:rsid w:val="48565ED1"/>
    <w:rsid w:val="485A7935"/>
    <w:rsid w:val="48680B85"/>
    <w:rsid w:val="486D3B4B"/>
    <w:rsid w:val="487F0AE0"/>
    <w:rsid w:val="48925F17"/>
    <w:rsid w:val="48974472"/>
    <w:rsid w:val="4898557D"/>
    <w:rsid w:val="489D0D0E"/>
    <w:rsid w:val="48A16470"/>
    <w:rsid w:val="48A27D40"/>
    <w:rsid w:val="48AA37A2"/>
    <w:rsid w:val="48B044FA"/>
    <w:rsid w:val="48BB5D35"/>
    <w:rsid w:val="48C470AA"/>
    <w:rsid w:val="48CB26CB"/>
    <w:rsid w:val="48DB204A"/>
    <w:rsid w:val="48E05E72"/>
    <w:rsid w:val="48F505DB"/>
    <w:rsid w:val="49064E94"/>
    <w:rsid w:val="490D6B3C"/>
    <w:rsid w:val="490E73E0"/>
    <w:rsid w:val="4913541B"/>
    <w:rsid w:val="492B0536"/>
    <w:rsid w:val="4946107B"/>
    <w:rsid w:val="494A7598"/>
    <w:rsid w:val="495078E4"/>
    <w:rsid w:val="49590FFD"/>
    <w:rsid w:val="49694ABD"/>
    <w:rsid w:val="496E63B4"/>
    <w:rsid w:val="497D17F6"/>
    <w:rsid w:val="497D527C"/>
    <w:rsid w:val="49843392"/>
    <w:rsid w:val="498E7D25"/>
    <w:rsid w:val="49921706"/>
    <w:rsid w:val="49951847"/>
    <w:rsid w:val="49994F38"/>
    <w:rsid w:val="49AC3B0D"/>
    <w:rsid w:val="49AC6866"/>
    <w:rsid w:val="49AD35FC"/>
    <w:rsid w:val="49B5767C"/>
    <w:rsid w:val="49BB5692"/>
    <w:rsid w:val="49BF5FA2"/>
    <w:rsid w:val="49C248DD"/>
    <w:rsid w:val="49D41534"/>
    <w:rsid w:val="49D42828"/>
    <w:rsid w:val="49E1749A"/>
    <w:rsid w:val="49F90D4B"/>
    <w:rsid w:val="4A0E4837"/>
    <w:rsid w:val="4A1D15AB"/>
    <w:rsid w:val="4A3F69B1"/>
    <w:rsid w:val="4A554FA8"/>
    <w:rsid w:val="4A623B85"/>
    <w:rsid w:val="4A671994"/>
    <w:rsid w:val="4A6A64C2"/>
    <w:rsid w:val="4A6F336A"/>
    <w:rsid w:val="4A700CF9"/>
    <w:rsid w:val="4A712133"/>
    <w:rsid w:val="4A720B65"/>
    <w:rsid w:val="4A782BCF"/>
    <w:rsid w:val="4A7850FA"/>
    <w:rsid w:val="4A85354F"/>
    <w:rsid w:val="4A857245"/>
    <w:rsid w:val="4A9E433C"/>
    <w:rsid w:val="4AA3608C"/>
    <w:rsid w:val="4AA64F42"/>
    <w:rsid w:val="4AA81784"/>
    <w:rsid w:val="4AA87225"/>
    <w:rsid w:val="4AAA17BF"/>
    <w:rsid w:val="4AB463CE"/>
    <w:rsid w:val="4AB96C56"/>
    <w:rsid w:val="4ABB00CA"/>
    <w:rsid w:val="4ABC3474"/>
    <w:rsid w:val="4ABC72DF"/>
    <w:rsid w:val="4AD31CEC"/>
    <w:rsid w:val="4AD745A3"/>
    <w:rsid w:val="4ADA101D"/>
    <w:rsid w:val="4AE87FC6"/>
    <w:rsid w:val="4AF26FD5"/>
    <w:rsid w:val="4AF75E99"/>
    <w:rsid w:val="4AF81F9F"/>
    <w:rsid w:val="4B036BAB"/>
    <w:rsid w:val="4B045962"/>
    <w:rsid w:val="4B0D625E"/>
    <w:rsid w:val="4B203B01"/>
    <w:rsid w:val="4B263DDD"/>
    <w:rsid w:val="4B297D57"/>
    <w:rsid w:val="4B2B17CB"/>
    <w:rsid w:val="4B3A0462"/>
    <w:rsid w:val="4B5A1582"/>
    <w:rsid w:val="4B5A5E4A"/>
    <w:rsid w:val="4B641B1E"/>
    <w:rsid w:val="4B694D27"/>
    <w:rsid w:val="4B844162"/>
    <w:rsid w:val="4B854101"/>
    <w:rsid w:val="4B8D1E94"/>
    <w:rsid w:val="4B997A40"/>
    <w:rsid w:val="4BB25E6F"/>
    <w:rsid w:val="4BB62985"/>
    <w:rsid w:val="4BB72DF0"/>
    <w:rsid w:val="4BBF3B05"/>
    <w:rsid w:val="4BC46E98"/>
    <w:rsid w:val="4BCE76C2"/>
    <w:rsid w:val="4BD95B32"/>
    <w:rsid w:val="4C0E75A6"/>
    <w:rsid w:val="4C1045AA"/>
    <w:rsid w:val="4C132C55"/>
    <w:rsid w:val="4C1665C6"/>
    <w:rsid w:val="4C2A0254"/>
    <w:rsid w:val="4C2A62E8"/>
    <w:rsid w:val="4C387FEA"/>
    <w:rsid w:val="4C3E65E2"/>
    <w:rsid w:val="4C41408F"/>
    <w:rsid w:val="4C617EA0"/>
    <w:rsid w:val="4C6C058F"/>
    <w:rsid w:val="4C742C79"/>
    <w:rsid w:val="4C81376E"/>
    <w:rsid w:val="4C822C8D"/>
    <w:rsid w:val="4C8D63BF"/>
    <w:rsid w:val="4CA24D1D"/>
    <w:rsid w:val="4CAC3157"/>
    <w:rsid w:val="4CB2100D"/>
    <w:rsid w:val="4CB93537"/>
    <w:rsid w:val="4CCE340B"/>
    <w:rsid w:val="4CD170E8"/>
    <w:rsid w:val="4CD62BB3"/>
    <w:rsid w:val="4CDB2ED1"/>
    <w:rsid w:val="4CE40296"/>
    <w:rsid w:val="4CE83472"/>
    <w:rsid w:val="4CED0A5E"/>
    <w:rsid w:val="4CFD2DA9"/>
    <w:rsid w:val="4D010936"/>
    <w:rsid w:val="4D014490"/>
    <w:rsid w:val="4D0D702D"/>
    <w:rsid w:val="4D146429"/>
    <w:rsid w:val="4D264615"/>
    <w:rsid w:val="4D2B37A9"/>
    <w:rsid w:val="4D3B22CD"/>
    <w:rsid w:val="4D3F2287"/>
    <w:rsid w:val="4D491894"/>
    <w:rsid w:val="4D496228"/>
    <w:rsid w:val="4D521DFA"/>
    <w:rsid w:val="4D617E6D"/>
    <w:rsid w:val="4D661B93"/>
    <w:rsid w:val="4D78531A"/>
    <w:rsid w:val="4D7F6329"/>
    <w:rsid w:val="4D8D3D53"/>
    <w:rsid w:val="4D8D71BC"/>
    <w:rsid w:val="4DA8587B"/>
    <w:rsid w:val="4DAF7F7D"/>
    <w:rsid w:val="4DB554C6"/>
    <w:rsid w:val="4DB972EA"/>
    <w:rsid w:val="4DC246F0"/>
    <w:rsid w:val="4DD20370"/>
    <w:rsid w:val="4DDE4F68"/>
    <w:rsid w:val="4DDF7306"/>
    <w:rsid w:val="4DE87C74"/>
    <w:rsid w:val="4DEB6BA2"/>
    <w:rsid w:val="4DF1750B"/>
    <w:rsid w:val="4DF2189D"/>
    <w:rsid w:val="4DF56B12"/>
    <w:rsid w:val="4DFE6DA4"/>
    <w:rsid w:val="4E0447E4"/>
    <w:rsid w:val="4E054EF1"/>
    <w:rsid w:val="4E07653C"/>
    <w:rsid w:val="4E084612"/>
    <w:rsid w:val="4E0B28BA"/>
    <w:rsid w:val="4E0D21CB"/>
    <w:rsid w:val="4E1B3B76"/>
    <w:rsid w:val="4E2326B8"/>
    <w:rsid w:val="4E273DF2"/>
    <w:rsid w:val="4E275E1F"/>
    <w:rsid w:val="4E2D718E"/>
    <w:rsid w:val="4E324791"/>
    <w:rsid w:val="4E3A332D"/>
    <w:rsid w:val="4E3B0B12"/>
    <w:rsid w:val="4E457CFC"/>
    <w:rsid w:val="4E494054"/>
    <w:rsid w:val="4E5035B9"/>
    <w:rsid w:val="4E5D6EB6"/>
    <w:rsid w:val="4E687FE1"/>
    <w:rsid w:val="4E764269"/>
    <w:rsid w:val="4E796130"/>
    <w:rsid w:val="4E7A2D3E"/>
    <w:rsid w:val="4E8619E7"/>
    <w:rsid w:val="4E894E7D"/>
    <w:rsid w:val="4E90552C"/>
    <w:rsid w:val="4EA43577"/>
    <w:rsid w:val="4ED07F80"/>
    <w:rsid w:val="4ED22AD6"/>
    <w:rsid w:val="4ED25FDC"/>
    <w:rsid w:val="4ED34A5B"/>
    <w:rsid w:val="4EDB7BE2"/>
    <w:rsid w:val="4EE143E2"/>
    <w:rsid w:val="4EE30C74"/>
    <w:rsid w:val="4EEC5DC2"/>
    <w:rsid w:val="4EF917AA"/>
    <w:rsid w:val="4EF96C36"/>
    <w:rsid w:val="4EFA1A63"/>
    <w:rsid w:val="4F053BD8"/>
    <w:rsid w:val="4F1064A1"/>
    <w:rsid w:val="4F35612D"/>
    <w:rsid w:val="4F524FE5"/>
    <w:rsid w:val="4F5A6B06"/>
    <w:rsid w:val="4F5C69D0"/>
    <w:rsid w:val="4F6C544F"/>
    <w:rsid w:val="4F730BAE"/>
    <w:rsid w:val="4F774221"/>
    <w:rsid w:val="4F7A017A"/>
    <w:rsid w:val="4F8417E0"/>
    <w:rsid w:val="4F921F77"/>
    <w:rsid w:val="4FA249BB"/>
    <w:rsid w:val="4FA56D18"/>
    <w:rsid w:val="4FBF4191"/>
    <w:rsid w:val="4FC82D11"/>
    <w:rsid w:val="4FCB09D8"/>
    <w:rsid w:val="4FCB2AB8"/>
    <w:rsid w:val="4FCD11DF"/>
    <w:rsid w:val="4FDD33DB"/>
    <w:rsid w:val="4FE54559"/>
    <w:rsid w:val="4FF45CE0"/>
    <w:rsid w:val="4FFE322B"/>
    <w:rsid w:val="4FFF545A"/>
    <w:rsid w:val="500510D1"/>
    <w:rsid w:val="500B69CE"/>
    <w:rsid w:val="500E0FC3"/>
    <w:rsid w:val="503F7E98"/>
    <w:rsid w:val="504F15D1"/>
    <w:rsid w:val="50634D97"/>
    <w:rsid w:val="507B7075"/>
    <w:rsid w:val="50801A86"/>
    <w:rsid w:val="50843B54"/>
    <w:rsid w:val="5084607C"/>
    <w:rsid w:val="5087019C"/>
    <w:rsid w:val="509324F6"/>
    <w:rsid w:val="50A34571"/>
    <w:rsid w:val="50AA4569"/>
    <w:rsid w:val="50AC191A"/>
    <w:rsid w:val="50AD363E"/>
    <w:rsid w:val="50B272E4"/>
    <w:rsid w:val="50C1453A"/>
    <w:rsid w:val="50C432C4"/>
    <w:rsid w:val="50CC7055"/>
    <w:rsid w:val="50D03730"/>
    <w:rsid w:val="50D06BF1"/>
    <w:rsid w:val="50D35C50"/>
    <w:rsid w:val="50E0284F"/>
    <w:rsid w:val="50E047FE"/>
    <w:rsid w:val="50E06B31"/>
    <w:rsid w:val="50E536AE"/>
    <w:rsid w:val="50E817FF"/>
    <w:rsid w:val="50E8759F"/>
    <w:rsid w:val="50EA3832"/>
    <w:rsid w:val="50ED7405"/>
    <w:rsid w:val="50F0306A"/>
    <w:rsid w:val="50F52B7F"/>
    <w:rsid w:val="50FC79A0"/>
    <w:rsid w:val="51011B51"/>
    <w:rsid w:val="510630D2"/>
    <w:rsid w:val="5108514E"/>
    <w:rsid w:val="51213C5B"/>
    <w:rsid w:val="512750E6"/>
    <w:rsid w:val="5148390F"/>
    <w:rsid w:val="514D180D"/>
    <w:rsid w:val="51567810"/>
    <w:rsid w:val="51781641"/>
    <w:rsid w:val="518B6C4B"/>
    <w:rsid w:val="51950E91"/>
    <w:rsid w:val="519A3FA0"/>
    <w:rsid w:val="51A72608"/>
    <w:rsid w:val="51AA0D83"/>
    <w:rsid w:val="51C04204"/>
    <w:rsid w:val="51CB2777"/>
    <w:rsid w:val="51CB522C"/>
    <w:rsid w:val="51D86FA5"/>
    <w:rsid w:val="51DB06A9"/>
    <w:rsid w:val="51DC5C72"/>
    <w:rsid w:val="51E55C99"/>
    <w:rsid w:val="51EA0477"/>
    <w:rsid w:val="520041D6"/>
    <w:rsid w:val="52084C12"/>
    <w:rsid w:val="520A6BD8"/>
    <w:rsid w:val="52131673"/>
    <w:rsid w:val="521A5044"/>
    <w:rsid w:val="522354C4"/>
    <w:rsid w:val="52285BEE"/>
    <w:rsid w:val="52312B53"/>
    <w:rsid w:val="52365551"/>
    <w:rsid w:val="52384D7B"/>
    <w:rsid w:val="52460CA3"/>
    <w:rsid w:val="525A71FF"/>
    <w:rsid w:val="5271423C"/>
    <w:rsid w:val="52762A2B"/>
    <w:rsid w:val="528270C2"/>
    <w:rsid w:val="529A6C72"/>
    <w:rsid w:val="52A129D2"/>
    <w:rsid w:val="52AB3F4D"/>
    <w:rsid w:val="52AC78CF"/>
    <w:rsid w:val="52B33BDC"/>
    <w:rsid w:val="52B434C6"/>
    <w:rsid w:val="52C44127"/>
    <w:rsid w:val="52CD4DEE"/>
    <w:rsid w:val="52D007C3"/>
    <w:rsid w:val="52D34D35"/>
    <w:rsid w:val="52DE6D04"/>
    <w:rsid w:val="52E9496A"/>
    <w:rsid w:val="52FB230E"/>
    <w:rsid w:val="52FC6F5F"/>
    <w:rsid w:val="52FE7E6C"/>
    <w:rsid w:val="53020951"/>
    <w:rsid w:val="533205C1"/>
    <w:rsid w:val="5333696C"/>
    <w:rsid w:val="53385012"/>
    <w:rsid w:val="534A3FF3"/>
    <w:rsid w:val="535C16AC"/>
    <w:rsid w:val="53606340"/>
    <w:rsid w:val="536C28D1"/>
    <w:rsid w:val="536D174D"/>
    <w:rsid w:val="536E2857"/>
    <w:rsid w:val="537E2CA8"/>
    <w:rsid w:val="538357A7"/>
    <w:rsid w:val="53907BCB"/>
    <w:rsid w:val="539C47DB"/>
    <w:rsid w:val="53A06F7D"/>
    <w:rsid w:val="53A711C5"/>
    <w:rsid w:val="53AD224A"/>
    <w:rsid w:val="53B603DC"/>
    <w:rsid w:val="53B67B60"/>
    <w:rsid w:val="53BE1C17"/>
    <w:rsid w:val="53C5150F"/>
    <w:rsid w:val="53D73191"/>
    <w:rsid w:val="53DF48D5"/>
    <w:rsid w:val="53ED6E6F"/>
    <w:rsid w:val="540253B3"/>
    <w:rsid w:val="54155C64"/>
    <w:rsid w:val="54193EB2"/>
    <w:rsid w:val="541E1948"/>
    <w:rsid w:val="542364EE"/>
    <w:rsid w:val="54275A2A"/>
    <w:rsid w:val="54365916"/>
    <w:rsid w:val="543A0AF5"/>
    <w:rsid w:val="544C2D66"/>
    <w:rsid w:val="54600756"/>
    <w:rsid w:val="546413A7"/>
    <w:rsid w:val="546432CE"/>
    <w:rsid w:val="54643684"/>
    <w:rsid w:val="546557E5"/>
    <w:rsid w:val="54701901"/>
    <w:rsid w:val="5474356A"/>
    <w:rsid w:val="547565C0"/>
    <w:rsid w:val="54780A20"/>
    <w:rsid w:val="549629EC"/>
    <w:rsid w:val="54A70015"/>
    <w:rsid w:val="54C3175A"/>
    <w:rsid w:val="54D54E37"/>
    <w:rsid w:val="54DE0561"/>
    <w:rsid w:val="54EC75EF"/>
    <w:rsid w:val="54F6215D"/>
    <w:rsid w:val="55002C80"/>
    <w:rsid w:val="55044D0F"/>
    <w:rsid w:val="550B15A7"/>
    <w:rsid w:val="550B53AB"/>
    <w:rsid w:val="5512368C"/>
    <w:rsid w:val="55144508"/>
    <w:rsid w:val="551848D1"/>
    <w:rsid w:val="55344AB0"/>
    <w:rsid w:val="5536730A"/>
    <w:rsid w:val="55377AD1"/>
    <w:rsid w:val="553E113E"/>
    <w:rsid w:val="5540237D"/>
    <w:rsid w:val="554755D5"/>
    <w:rsid w:val="555518AD"/>
    <w:rsid w:val="55667A85"/>
    <w:rsid w:val="556A6778"/>
    <w:rsid w:val="55716CD3"/>
    <w:rsid w:val="55761DEC"/>
    <w:rsid w:val="55776979"/>
    <w:rsid w:val="55790BCE"/>
    <w:rsid w:val="55854A4F"/>
    <w:rsid w:val="558D0041"/>
    <w:rsid w:val="55913F7C"/>
    <w:rsid w:val="55917B1C"/>
    <w:rsid w:val="559D7A1C"/>
    <w:rsid w:val="55AB6ACF"/>
    <w:rsid w:val="55C01BA4"/>
    <w:rsid w:val="55C36371"/>
    <w:rsid w:val="55C41BF7"/>
    <w:rsid w:val="55D2387C"/>
    <w:rsid w:val="55D579ED"/>
    <w:rsid w:val="56127BAF"/>
    <w:rsid w:val="56176400"/>
    <w:rsid w:val="561C280F"/>
    <w:rsid w:val="56210D28"/>
    <w:rsid w:val="562C5CA2"/>
    <w:rsid w:val="56365852"/>
    <w:rsid w:val="563D1425"/>
    <w:rsid w:val="563F174E"/>
    <w:rsid w:val="56495CB7"/>
    <w:rsid w:val="564A0DC5"/>
    <w:rsid w:val="564A1FCE"/>
    <w:rsid w:val="564E3E87"/>
    <w:rsid w:val="56520399"/>
    <w:rsid w:val="56567E26"/>
    <w:rsid w:val="565A4801"/>
    <w:rsid w:val="56605189"/>
    <w:rsid w:val="5665180E"/>
    <w:rsid w:val="566C32B4"/>
    <w:rsid w:val="567337C7"/>
    <w:rsid w:val="567B79EB"/>
    <w:rsid w:val="56863729"/>
    <w:rsid w:val="569E221B"/>
    <w:rsid w:val="56B27F3E"/>
    <w:rsid w:val="56B605A5"/>
    <w:rsid w:val="56CF0992"/>
    <w:rsid w:val="56D3618E"/>
    <w:rsid w:val="56E605E9"/>
    <w:rsid w:val="56E84067"/>
    <w:rsid w:val="570E2542"/>
    <w:rsid w:val="57105F22"/>
    <w:rsid w:val="571367B1"/>
    <w:rsid w:val="571628AF"/>
    <w:rsid w:val="57190023"/>
    <w:rsid w:val="571F57FA"/>
    <w:rsid w:val="572478E2"/>
    <w:rsid w:val="57253E04"/>
    <w:rsid w:val="57286DAB"/>
    <w:rsid w:val="572A0645"/>
    <w:rsid w:val="573F2FA4"/>
    <w:rsid w:val="574861C5"/>
    <w:rsid w:val="574F31E1"/>
    <w:rsid w:val="5763331E"/>
    <w:rsid w:val="576A0E17"/>
    <w:rsid w:val="576D542E"/>
    <w:rsid w:val="5793036C"/>
    <w:rsid w:val="579B29DB"/>
    <w:rsid w:val="57A81360"/>
    <w:rsid w:val="57C61FCE"/>
    <w:rsid w:val="57CD5348"/>
    <w:rsid w:val="57CD6EFE"/>
    <w:rsid w:val="57D207B6"/>
    <w:rsid w:val="57EB1098"/>
    <w:rsid w:val="57ED7304"/>
    <w:rsid w:val="57F7541A"/>
    <w:rsid w:val="57F80D77"/>
    <w:rsid w:val="57FA0F4A"/>
    <w:rsid w:val="57FC04B2"/>
    <w:rsid w:val="580E5DA3"/>
    <w:rsid w:val="58167A35"/>
    <w:rsid w:val="581C39F0"/>
    <w:rsid w:val="58245DB2"/>
    <w:rsid w:val="58260813"/>
    <w:rsid w:val="5837577C"/>
    <w:rsid w:val="586D6F06"/>
    <w:rsid w:val="58707F36"/>
    <w:rsid w:val="58785A41"/>
    <w:rsid w:val="5883673E"/>
    <w:rsid w:val="58866DB9"/>
    <w:rsid w:val="588C3FB5"/>
    <w:rsid w:val="588D1F1F"/>
    <w:rsid w:val="589C20F4"/>
    <w:rsid w:val="58A0117C"/>
    <w:rsid w:val="58A02642"/>
    <w:rsid w:val="58AC4087"/>
    <w:rsid w:val="58AD7C1E"/>
    <w:rsid w:val="58AE77FC"/>
    <w:rsid w:val="58B53257"/>
    <w:rsid w:val="58C00EA2"/>
    <w:rsid w:val="58C23DE8"/>
    <w:rsid w:val="58CD5DCD"/>
    <w:rsid w:val="58E76EAA"/>
    <w:rsid w:val="58E876F8"/>
    <w:rsid w:val="58EF2929"/>
    <w:rsid w:val="58F4772C"/>
    <w:rsid w:val="5909230E"/>
    <w:rsid w:val="590A238B"/>
    <w:rsid w:val="5917121F"/>
    <w:rsid w:val="591D1ECE"/>
    <w:rsid w:val="59303B88"/>
    <w:rsid w:val="593F1C88"/>
    <w:rsid w:val="594D4198"/>
    <w:rsid w:val="596E1E52"/>
    <w:rsid w:val="59736192"/>
    <w:rsid w:val="5974413B"/>
    <w:rsid w:val="59787F47"/>
    <w:rsid w:val="597B41FB"/>
    <w:rsid w:val="59811429"/>
    <w:rsid w:val="59834560"/>
    <w:rsid w:val="59963629"/>
    <w:rsid w:val="59D01A6D"/>
    <w:rsid w:val="59D0629F"/>
    <w:rsid w:val="59E60AE1"/>
    <w:rsid w:val="59E65B63"/>
    <w:rsid w:val="59F23DA0"/>
    <w:rsid w:val="59F23F5A"/>
    <w:rsid w:val="59FC225C"/>
    <w:rsid w:val="59FC7713"/>
    <w:rsid w:val="59FE4ABB"/>
    <w:rsid w:val="5A007265"/>
    <w:rsid w:val="5A0E23DB"/>
    <w:rsid w:val="5A1237DD"/>
    <w:rsid w:val="5A231AC2"/>
    <w:rsid w:val="5A310067"/>
    <w:rsid w:val="5A3B4856"/>
    <w:rsid w:val="5A5206CB"/>
    <w:rsid w:val="5A534768"/>
    <w:rsid w:val="5A5930CA"/>
    <w:rsid w:val="5A5C0A1F"/>
    <w:rsid w:val="5A7B4441"/>
    <w:rsid w:val="5A8955AF"/>
    <w:rsid w:val="5AA251E6"/>
    <w:rsid w:val="5AAD3CEF"/>
    <w:rsid w:val="5AB16450"/>
    <w:rsid w:val="5ACB4EEC"/>
    <w:rsid w:val="5ACD2AC8"/>
    <w:rsid w:val="5AD32754"/>
    <w:rsid w:val="5ADE17A9"/>
    <w:rsid w:val="5AE15667"/>
    <w:rsid w:val="5AEA58A1"/>
    <w:rsid w:val="5AF06D6E"/>
    <w:rsid w:val="5AF552C4"/>
    <w:rsid w:val="5B0567F2"/>
    <w:rsid w:val="5B07173B"/>
    <w:rsid w:val="5B110B78"/>
    <w:rsid w:val="5B127A75"/>
    <w:rsid w:val="5B1374B1"/>
    <w:rsid w:val="5B1661ED"/>
    <w:rsid w:val="5B200B71"/>
    <w:rsid w:val="5B2F65FE"/>
    <w:rsid w:val="5B47501F"/>
    <w:rsid w:val="5B4D1A79"/>
    <w:rsid w:val="5B506F99"/>
    <w:rsid w:val="5B586B25"/>
    <w:rsid w:val="5B69190A"/>
    <w:rsid w:val="5B7032E3"/>
    <w:rsid w:val="5B7230ED"/>
    <w:rsid w:val="5B771706"/>
    <w:rsid w:val="5B7B4B00"/>
    <w:rsid w:val="5B807034"/>
    <w:rsid w:val="5B845082"/>
    <w:rsid w:val="5B9E6353"/>
    <w:rsid w:val="5BA73EE2"/>
    <w:rsid w:val="5BA9593B"/>
    <w:rsid w:val="5BB7666F"/>
    <w:rsid w:val="5BBB0088"/>
    <w:rsid w:val="5BC333BC"/>
    <w:rsid w:val="5BC616E3"/>
    <w:rsid w:val="5BCA769A"/>
    <w:rsid w:val="5BD73A7F"/>
    <w:rsid w:val="5BE501FA"/>
    <w:rsid w:val="5BEB3CF3"/>
    <w:rsid w:val="5BED6F4A"/>
    <w:rsid w:val="5C045C36"/>
    <w:rsid w:val="5C130A92"/>
    <w:rsid w:val="5C260100"/>
    <w:rsid w:val="5C362E9D"/>
    <w:rsid w:val="5C457203"/>
    <w:rsid w:val="5C49705F"/>
    <w:rsid w:val="5C4A1567"/>
    <w:rsid w:val="5C505487"/>
    <w:rsid w:val="5C533B03"/>
    <w:rsid w:val="5C590BB2"/>
    <w:rsid w:val="5C5F6C22"/>
    <w:rsid w:val="5C78087D"/>
    <w:rsid w:val="5C7A1980"/>
    <w:rsid w:val="5CAF25EF"/>
    <w:rsid w:val="5CB35BC5"/>
    <w:rsid w:val="5CC14995"/>
    <w:rsid w:val="5CC43A65"/>
    <w:rsid w:val="5CCA507C"/>
    <w:rsid w:val="5CCD2235"/>
    <w:rsid w:val="5CD3738E"/>
    <w:rsid w:val="5CD64CB0"/>
    <w:rsid w:val="5CDF4A83"/>
    <w:rsid w:val="5CE13344"/>
    <w:rsid w:val="5D0519AD"/>
    <w:rsid w:val="5D2C3E5A"/>
    <w:rsid w:val="5D373E1D"/>
    <w:rsid w:val="5D46111C"/>
    <w:rsid w:val="5D4E494C"/>
    <w:rsid w:val="5D5A4CE6"/>
    <w:rsid w:val="5D7B6C4B"/>
    <w:rsid w:val="5D945E9B"/>
    <w:rsid w:val="5D972FAA"/>
    <w:rsid w:val="5DA85049"/>
    <w:rsid w:val="5DC47B64"/>
    <w:rsid w:val="5DCD1C69"/>
    <w:rsid w:val="5DDE50FB"/>
    <w:rsid w:val="5DE128B7"/>
    <w:rsid w:val="5DE73600"/>
    <w:rsid w:val="5DEA527B"/>
    <w:rsid w:val="5DF54A43"/>
    <w:rsid w:val="5E052968"/>
    <w:rsid w:val="5E0D5F92"/>
    <w:rsid w:val="5E217268"/>
    <w:rsid w:val="5E28432F"/>
    <w:rsid w:val="5E3D5F7C"/>
    <w:rsid w:val="5E487A42"/>
    <w:rsid w:val="5E554DAD"/>
    <w:rsid w:val="5E5A1110"/>
    <w:rsid w:val="5E616F2D"/>
    <w:rsid w:val="5E6E7A01"/>
    <w:rsid w:val="5E710639"/>
    <w:rsid w:val="5EA03A56"/>
    <w:rsid w:val="5EA17018"/>
    <w:rsid w:val="5EAB2037"/>
    <w:rsid w:val="5EB71C9C"/>
    <w:rsid w:val="5EBB3C0F"/>
    <w:rsid w:val="5EBD5A8C"/>
    <w:rsid w:val="5ED82EFF"/>
    <w:rsid w:val="5EDF277D"/>
    <w:rsid w:val="5EDF33C1"/>
    <w:rsid w:val="5EE04748"/>
    <w:rsid w:val="5F026C79"/>
    <w:rsid w:val="5F086F8E"/>
    <w:rsid w:val="5F10472F"/>
    <w:rsid w:val="5F132FD3"/>
    <w:rsid w:val="5F141DE9"/>
    <w:rsid w:val="5F1753EF"/>
    <w:rsid w:val="5F2C5CBB"/>
    <w:rsid w:val="5F2E2C7D"/>
    <w:rsid w:val="5F3A7040"/>
    <w:rsid w:val="5F490292"/>
    <w:rsid w:val="5F563661"/>
    <w:rsid w:val="5F7A5459"/>
    <w:rsid w:val="5F7B63E3"/>
    <w:rsid w:val="5F855458"/>
    <w:rsid w:val="5F8930B2"/>
    <w:rsid w:val="5F8D51A4"/>
    <w:rsid w:val="5F9F5B1D"/>
    <w:rsid w:val="5FA9475C"/>
    <w:rsid w:val="5FB764CF"/>
    <w:rsid w:val="5FBC3CFE"/>
    <w:rsid w:val="5FC55060"/>
    <w:rsid w:val="5FC81B85"/>
    <w:rsid w:val="5FC835CC"/>
    <w:rsid w:val="5FCD6D01"/>
    <w:rsid w:val="5FE72417"/>
    <w:rsid w:val="5FE737C0"/>
    <w:rsid w:val="60154F6F"/>
    <w:rsid w:val="60273FDE"/>
    <w:rsid w:val="602D7033"/>
    <w:rsid w:val="60376CFC"/>
    <w:rsid w:val="603D67C5"/>
    <w:rsid w:val="60472C3A"/>
    <w:rsid w:val="607140D0"/>
    <w:rsid w:val="607D34DA"/>
    <w:rsid w:val="60852CCE"/>
    <w:rsid w:val="60866FC5"/>
    <w:rsid w:val="60880163"/>
    <w:rsid w:val="6088786F"/>
    <w:rsid w:val="608973B8"/>
    <w:rsid w:val="60A3490B"/>
    <w:rsid w:val="60A63A5A"/>
    <w:rsid w:val="60A65036"/>
    <w:rsid w:val="60B65B42"/>
    <w:rsid w:val="60D3357A"/>
    <w:rsid w:val="60DE464C"/>
    <w:rsid w:val="60E03EFA"/>
    <w:rsid w:val="60E6162F"/>
    <w:rsid w:val="610142AB"/>
    <w:rsid w:val="610A00CE"/>
    <w:rsid w:val="61155851"/>
    <w:rsid w:val="61167ABB"/>
    <w:rsid w:val="61205B8C"/>
    <w:rsid w:val="61277E71"/>
    <w:rsid w:val="61550CC1"/>
    <w:rsid w:val="615922E4"/>
    <w:rsid w:val="61643FCD"/>
    <w:rsid w:val="617048F7"/>
    <w:rsid w:val="61707ED7"/>
    <w:rsid w:val="61724738"/>
    <w:rsid w:val="61814313"/>
    <w:rsid w:val="61821264"/>
    <w:rsid w:val="61A87651"/>
    <w:rsid w:val="61AC3F39"/>
    <w:rsid w:val="61BD5AE8"/>
    <w:rsid w:val="61CE72C4"/>
    <w:rsid w:val="61E84CBE"/>
    <w:rsid w:val="61EB219C"/>
    <w:rsid w:val="61F21F33"/>
    <w:rsid w:val="6237573F"/>
    <w:rsid w:val="62405210"/>
    <w:rsid w:val="624D1200"/>
    <w:rsid w:val="624F517C"/>
    <w:rsid w:val="62532BE3"/>
    <w:rsid w:val="62571D53"/>
    <w:rsid w:val="627D01FC"/>
    <w:rsid w:val="627E7362"/>
    <w:rsid w:val="62843B1F"/>
    <w:rsid w:val="628E594B"/>
    <w:rsid w:val="629532C2"/>
    <w:rsid w:val="62A849E9"/>
    <w:rsid w:val="62E316D0"/>
    <w:rsid w:val="62E80830"/>
    <w:rsid w:val="63000919"/>
    <w:rsid w:val="631708CE"/>
    <w:rsid w:val="631E09AF"/>
    <w:rsid w:val="63210676"/>
    <w:rsid w:val="632424C1"/>
    <w:rsid w:val="633970CD"/>
    <w:rsid w:val="633F51B0"/>
    <w:rsid w:val="634345D6"/>
    <w:rsid w:val="634C3F40"/>
    <w:rsid w:val="634F395F"/>
    <w:rsid w:val="6351370F"/>
    <w:rsid w:val="635C1D50"/>
    <w:rsid w:val="63613007"/>
    <w:rsid w:val="6362619B"/>
    <w:rsid w:val="63703AED"/>
    <w:rsid w:val="6375532B"/>
    <w:rsid w:val="63862258"/>
    <w:rsid w:val="63891D3D"/>
    <w:rsid w:val="639075E2"/>
    <w:rsid w:val="63957971"/>
    <w:rsid w:val="63A26142"/>
    <w:rsid w:val="63A669C9"/>
    <w:rsid w:val="63C067A7"/>
    <w:rsid w:val="63CB179D"/>
    <w:rsid w:val="63D157DD"/>
    <w:rsid w:val="63E93CBF"/>
    <w:rsid w:val="63F61AD4"/>
    <w:rsid w:val="63FF6C76"/>
    <w:rsid w:val="64004618"/>
    <w:rsid w:val="64073EDA"/>
    <w:rsid w:val="640D111D"/>
    <w:rsid w:val="64156BCB"/>
    <w:rsid w:val="641854A2"/>
    <w:rsid w:val="64284D06"/>
    <w:rsid w:val="64405A96"/>
    <w:rsid w:val="64532BB0"/>
    <w:rsid w:val="646A467D"/>
    <w:rsid w:val="646D2223"/>
    <w:rsid w:val="647730E7"/>
    <w:rsid w:val="647D193B"/>
    <w:rsid w:val="647F5CA1"/>
    <w:rsid w:val="6486038C"/>
    <w:rsid w:val="64953D39"/>
    <w:rsid w:val="649F0473"/>
    <w:rsid w:val="64A365DE"/>
    <w:rsid w:val="64A65BB3"/>
    <w:rsid w:val="64C62351"/>
    <w:rsid w:val="64D64573"/>
    <w:rsid w:val="64D947CF"/>
    <w:rsid w:val="650414B6"/>
    <w:rsid w:val="650F14B5"/>
    <w:rsid w:val="650F1940"/>
    <w:rsid w:val="65130F31"/>
    <w:rsid w:val="651E2EA8"/>
    <w:rsid w:val="65214347"/>
    <w:rsid w:val="653F637B"/>
    <w:rsid w:val="65511BB6"/>
    <w:rsid w:val="6555291E"/>
    <w:rsid w:val="65792C9B"/>
    <w:rsid w:val="6584680A"/>
    <w:rsid w:val="658A0863"/>
    <w:rsid w:val="658E643A"/>
    <w:rsid w:val="6590782D"/>
    <w:rsid w:val="65951256"/>
    <w:rsid w:val="659E2325"/>
    <w:rsid w:val="65A03D06"/>
    <w:rsid w:val="65A229CA"/>
    <w:rsid w:val="65B323F3"/>
    <w:rsid w:val="65B40A60"/>
    <w:rsid w:val="65BF2D93"/>
    <w:rsid w:val="65CF78AC"/>
    <w:rsid w:val="65DA0997"/>
    <w:rsid w:val="65E01DC6"/>
    <w:rsid w:val="65E31996"/>
    <w:rsid w:val="65E6308E"/>
    <w:rsid w:val="65EE2CF5"/>
    <w:rsid w:val="65F70F44"/>
    <w:rsid w:val="6609672D"/>
    <w:rsid w:val="660D6812"/>
    <w:rsid w:val="660F2269"/>
    <w:rsid w:val="66196C36"/>
    <w:rsid w:val="66633582"/>
    <w:rsid w:val="66651BDC"/>
    <w:rsid w:val="666D0DF2"/>
    <w:rsid w:val="66731AFB"/>
    <w:rsid w:val="66744D9F"/>
    <w:rsid w:val="667D0668"/>
    <w:rsid w:val="66817815"/>
    <w:rsid w:val="66832E6F"/>
    <w:rsid w:val="66952ABC"/>
    <w:rsid w:val="669A088D"/>
    <w:rsid w:val="669C5E53"/>
    <w:rsid w:val="669E4A4E"/>
    <w:rsid w:val="66B05B18"/>
    <w:rsid w:val="66C43DC9"/>
    <w:rsid w:val="66C90174"/>
    <w:rsid w:val="66D400FB"/>
    <w:rsid w:val="66D570E2"/>
    <w:rsid w:val="66E02C5B"/>
    <w:rsid w:val="66F425CE"/>
    <w:rsid w:val="66FA7FAF"/>
    <w:rsid w:val="670A28A8"/>
    <w:rsid w:val="670A76B6"/>
    <w:rsid w:val="671110C2"/>
    <w:rsid w:val="671A3B7C"/>
    <w:rsid w:val="671A5EC6"/>
    <w:rsid w:val="672B7CC7"/>
    <w:rsid w:val="67414388"/>
    <w:rsid w:val="675024EE"/>
    <w:rsid w:val="6758406F"/>
    <w:rsid w:val="67591A5A"/>
    <w:rsid w:val="676A667F"/>
    <w:rsid w:val="67977CD1"/>
    <w:rsid w:val="67B75EA4"/>
    <w:rsid w:val="67B93427"/>
    <w:rsid w:val="67BC2E40"/>
    <w:rsid w:val="67D806ED"/>
    <w:rsid w:val="67DA1E3B"/>
    <w:rsid w:val="67DD1918"/>
    <w:rsid w:val="67DE2DFF"/>
    <w:rsid w:val="67E91C4C"/>
    <w:rsid w:val="67F21427"/>
    <w:rsid w:val="67F6367D"/>
    <w:rsid w:val="68016D12"/>
    <w:rsid w:val="6831780C"/>
    <w:rsid w:val="684C454D"/>
    <w:rsid w:val="687703E8"/>
    <w:rsid w:val="688552D0"/>
    <w:rsid w:val="6889071A"/>
    <w:rsid w:val="688C27B2"/>
    <w:rsid w:val="688F5707"/>
    <w:rsid w:val="689748C0"/>
    <w:rsid w:val="68975E67"/>
    <w:rsid w:val="689B3943"/>
    <w:rsid w:val="68A26A85"/>
    <w:rsid w:val="68A4441D"/>
    <w:rsid w:val="68A92BBB"/>
    <w:rsid w:val="68AA3189"/>
    <w:rsid w:val="68B06589"/>
    <w:rsid w:val="68B87AA8"/>
    <w:rsid w:val="68B96DE4"/>
    <w:rsid w:val="68BC0405"/>
    <w:rsid w:val="68C4047A"/>
    <w:rsid w:val="68CE79E9"/>
    <w:rsid w:val="68CF5FBA"/>
    <w:rsid w:val="68E032BE"/>
    <w:rsid w:val="68E84832"/>
    <w:rsid w:val="68EB2053"/>
    <w:rsid w:val="68EF4322"/>
    <w:rsid w:val="68F6064D"/>
    <w:rsid w:val="68FA155B"/>
    <w:rsid w:val="690525B9"/>
    <w:rsid w:val="690B782E"/>
    <w:rsid w:val="693B5849"/>
    <w:rsid w:val="69476849"/>
    <w:rsid w:val="694A6159"/>
    <w:rsid w:val="694C06A9"/>
    <w:rsid w:val="69611532"/>
    <w:rsid w:val="69797AD5"/>
    <w:rsid w:val="697D5A91"/>
    <w:rsid w:val="6999071C"/>
    <w:rsid w:val="69AE1E1C"/>
    <w:rsid w:val="69BF39B8"/>
    <w:rsid w:val="69C33F35"/>
    <w:rsid w:val="69C52D46"/>
    <w:rsid w:val="69C93673"/>
    <w:rsid w:val="69CD7DC8"/>
    <w:rsid w:val="69EF3AA6"/>
    <w:rsid w:val="69FD3BAD"/>
    <w:rsid w:val="6A1C1CE7"/>
    <w:rsid w:val="6A252E23"/>
    <w:rsid w:val="6A2B7A6E"/>
    <w:rsid w:val="6A4609B2"/>
    <w:rsid w:val="6A516637"/>
    <w:rsid w:val="6A534F45"/>
    <w:rsid w:val="6A6125E1"/>
    <w:rsid w:val="6A645A26"/>
    <w:rsid w:val="6A655D02"/>
    <w:rsid w:val="6A6B2E47"/>
    <w:rsid w:val="6A6F2A4D"/>
    <w:rsid w:val="6A7C29A3"/>
    <w:rsid w:val="6A910026"/>
    <w:rsid w:val="6A9A4C08"/>
    <w:rsid w:val="6AA1438C"/>
    <w:rsid w:val="6AA33636"/>
    <w:rsid w:val="6ADA058D"/>
    <w:rsid w:val="6ADB53D5"/>
    <w:rsid w:val="6AF55F2D"/>
    <w:rsid w:val="6AF620F3"/>
    <w:rsid w:val="6AF70119"/>
    <w:rsid w:val="6B210699"/>
    <w:rsid w:val="6B3D324A"/>
    <w:rsid w:val="6B3F28D1"/>
    <w:rsid w:val="6B4E25EE"/>
    <w:rsid w:val="6B5B3E77"/>
    <w:rsid w:val="6B63682C"/>
    <w:rsid w:val="6B6B11C8"/>
    <w:rsid w:val="6B7278F9"/>
    <w:rsid w:val="6B76781E"/>
    <w:rsid w:val="6B806B86"/>
    <w:rsid w:val="6B912284"/>
    <w:rsid w:val="6B9246B1"/>
    <w:rsid w:val="6B9504F2"/>
    <w:rsid w:val="6BA023E9"/>
    <w:rsid w:val="6BA45F22"/>
    <w:rsid w:val="6BAF11DE"/>
    <w:rsid w:val="6BB248AE"/>
    <w:rsid w:val="6BBD714D"/>
    <w:rsid w:val="6BC03BE4"/>
    <w:rsid w:val="6BC81DF6"/>
    <w:rsid w:val="6C0333AB"/>
    <w:rsid w:val="6C084EBA"/>
    <w:rsid w:val="6C0F32DC"/>
    <w:rsid w:val="6C122F2C"/>
    <w:rsid w:val="6C1848DF"/>
    <w:rsid w:val="6C1D2F9F"/>
    <w:rsid w:val="6C206F72"/>
    <w:rsid w:val="6C2C6A38"/>
    <w:rsid w:val="6C3810A1"/>
    <w:rsid w:val="6C3A5834"/>
    <w:rsid w:val="6C4E22D9"/>
    <w:rsid w:val="6C530186"/>
    <w:rsid w:val="6C545E29"/>
    <w:rsid w:val="6C570C04"/>
    <w:rsid w:val="6C5A228B"/>
    <w:rsid w:val="6C5D23B9"/>
    <w:rsid w:val="6C6B56A3"/>
    <w:rsid w:val="6C704A8E"/>
    <w:rsid w:val="6C8576CF"/>
    <w:rsid w:val="6C900C0C"/>
    <w:rsid w:val="6C906DBE"/>
    <w:rsid w:val="6C940191"/>
    <w:rsid w:val="6C945EC1"/>
    <w:rsid w:val="6C9B5343"/>
    <w:rsid w:val="6C9C771D"/>
    <w:rsid w:val="6CA80F7D"/>
    <w:rsid w:val="6CB8006D"/>
    <w:rsid w:val="6CC97D25"/>
    <w:rsid w:val="6CDB120E"/>
    <w:rsid w:val="6CE056C8"/>
    <w:rsid w:val="6CE16C27"/>
    <w:rsid w:val="6CEB77D1"/>
    <w:rsid w:val="6CF57915"/>
    <w:rsid w:val="6D056EE2"/>
    <w:rsid w:val="6D0E445B"/>
    <w:rsid w:val="6D10714B"/>
    <w:rsid w:val="6D154B26"/>
    <w:rsid w:val="6D320AEC"/>
    <w:rsid w:val="6D4315B7"/>
    <w:rsid w:val="6D441015"/>
    <w:rsid w:val="6D476697"/>
    <w:rsid w:val="6D4F17DC"/>
    <w:rsid w:val="6D6171C7"/>
    <w:rsid w:val="6D64106F"/>
    <w:rsid w:val="6D663BF9"/>
    <w:rsid w:val="6D6C22C0"/>
    <w:rsid w:val="6D7E41EB"/>
    <w:rsid w:val="6D8819DC"/>
    <w:rsid w:val="6DAC4AC0"/>
    <w:rsid w:val="6DB33F71"/>
    <w:rsid w:val="6DBE2D94"/>
    <w:rsid w:val="6DCC42B3"/>
    <w:rsid w:val="6DEB30B5"/>
    <w:rsid w:val="6DF96AE0"/>
    <w:rsid w:val="6DFB2674"/>
    <w:rsid w:val="6E094A2E"/>
    <w:rsid w:val="6E0D054F"/>
    <w:rsid w:val="6E1B1D04"/>
    <w:rsid w:val="6E422EB7"/>
    <w:rsid w:val="6E4F65C4"/>
    <w:rsid w:val="6E5A522B"/>
    <w:rsid w:val="6E753AFC"/>
    <w:rsid w:val="6E780D25"/>
    <w:rsid w:val="6E8C1F2E"/>
    <w:rsid w:val="6E8D5AE2"/>
    <w:rsid w:val="6E8D6F92"/>
    <w:rsid w:val="6E986602"/>
    <w:rsid w:val="6EB4252C"/>
    <w:rsid w:val="6EB85FF9"/>
    <w:rsid w:val="6EC67B68"/>
    <w:rsid w:val="6EC7506B"/>
    <w:rsid w:val="6ECC79E0"/>
    <w:rsid w:val="6ECD3F4B"/>
    <w:rsid w:val="6ED359E6"/>
    <w:rsid w:val="6EE11FA9"/>
    <w:rsid w:val="6EFC3D84"/>
    <w:rsid w:val="6EFC62C8"/>
    <w:rsid w:val="6F2171A4"/>
    <w:rsid w:val="6F3C7621"/>
    <w:rsid w:val="6F5372B3"/>
    <w:rsid w:val="6F541627"/>
    <w:rsid w:val="6F547652"/>
    <w:rsid w:val="6F5A3D1F"/>
    <w:rsid w:val="6F610BEC"/>
    <w:rsid w:val="6F6A6988"/>
    <w:rsid w:val="6F79580D"/>
    <w:rsid w:val="6F7D12F4"/>
    <w:rsid w:val="6F802E3B"/>
    <w:rsid w:val="6F9375EA"/>
    <w:rsid w:val="6F9F5811"/>
    <w:rsid w:val="6FAE0351"/>
    <w:rsid w:val="6FB369C1"/>
    <w:rsid w:val="6FC54716"/>
    <w:rsid w:val="6FC55C8A"/>
    <w:rsid w:val="6FC707AD"/>
    <w:rsid w:val="6FCA41E1"/>
    <w:rsid w:val="6FCF6A53"/>
    <w:rsid w:val="6FD33F3E"/>
    <w:rsid w:val="6FD44871"/>
    <w:rsid w:val="6FD96315"/>
    <w:rsid w:val="6FDE0649"/>
    <w:rsid w:val="6FE517B6"/>
    <w:rsid w:val="6FEA0BD4"/>
    <w:rsid w:val="6FFA1C6B"/>
    <w:rsid w:val="700805BA"/>
    <w:rsid w:val="70171ACE"/>
    <w:rsid w:val="701B67C2"/>
    <w:rsid w:val="70201662"/>
    <w:rsid w:val="7024187D"/>
    <w:rsid w:val="70257AF8"/>
    <w:rsid w:val="7043389A"/>
    <w:rsid w:val="70482D7E"/>
    <w:rsid w:val="70503F25"/>
    <w:rsid w:val="70513947"/>
    <w:rsid w:val="70526725"/>
    <w:rsid w:val="705A4DB3"/>
    <w:rsid w:val="705E7338"/>
    <w:rsid w:val="707E3635"/>
    <w:rsid w:val="70870E3F"/>
    <w:rsid w:val="709106DE"/>
    <w:rsid w:val="709B29A8"/>
    <w:rsid w:val="709D0F69"/>
    <w:rsid w:val="70B54D0D"/>
    <w:rsid w:val="70C81BA2"/>
    <w:rsid w:val="70CE1D3A"/>
    <w:rsid w:val="70D728AB"/>
    <w:rsid w:val="70E04AB7"/>
    <w:rsid w:val="70E752F8"/>
    <w:rsid w:val="70E97658"/>
    <w:rsid w:val="70EB7BC3"/>
    <w:rsid w:val="70EE5669"/>
    <w:rsid w:val="70F00542"/>
    <w:rsid w:val="71003820"/>
    <w:rsid w:val="71054859"/>
    <w:rsid w:val="71084A5A"/>
    <w:rsid w:val="710B3E50"/>
    <w:rsid w:val="7112394D"/>
    <w:rsid w:val="71195E03"/>
    <w:rsid w:val="71234CD4"/>
    <w:rsid w:val="712D5E72"/>
    <w:rsid w:val="7135050C"/>
    <w:rsid w:val="71383FA3"/>
    <w:rsid w:val="713C61BC"/>
    <w:rsid w:val="71434BED"/>
    <w:rsid w:val="714D544E"/>
    <w:rsid w:val="71560B60"/>
    <w:rsid w:val="71641E43"/>
    <w:rsid w:val="716E5C58"/>
    <w:rsid w:val="71923A1E"/>
    <w:rsid w:val="71A70273"/>
    <w:rsid w:val="71BF4AA1"/>
    <w:rsid w:val="71C30463"/>
    <w:rsid w:val="71C84B93"/>
    <w:rsid w:val="71CE363D"/>
    <w:rsid w:val="71E43ADE"/>
    <w:rsid w:val="71F42EB8"/>
    <w:rsid w:val="72143096"/>
    <w:rsid w:val="721A24F8"/>
    <w:rsid w:val="721F28DD"/>
    <w:rsid w:val="72214459"/>
    <w:rsid w:val="7225217C"/>
    <w:rsid w:val="722A253B"/>
    <w:rsid w:val="722F0E5C"/>
    <w:rsid w:val="72394D2A"/>
    <w:rsid w:val="723B780F"/>
    <w:rsid w:val="724405BD"/>
    <w:rsid w:val="72474748"/>
    <w:rsid w:val="725D6F93"/>
    <w:rsid w:val="72606560"/>
    <w:rsid w:val="72746531"/>
    <w:rsid w:val="72753B2A"/>
    <w:rsid w:val="7279326C"/>
    <w:rsid w:val="727B0E73"/>
    <w:rsid w:val="729D67D7"/>
    <w:rsid w:val="72B7269E"/>
    <w:rsid w:val="72BF3070"/>
    <w:rsid w:val="72BF59B6"/>
    <w:rsid w:val="72C82FDE"/>
    <w:rsid w:val="72CE136A"/>
    <w:rsid w:val="72DD1671"/>
    <w:rsid w:val="72E56B49"/>
    <w:rsid w:val="72EB5770"/>
    <w:rsid w:val="72EB6154"/>
    <w:rsid w:val="72F558F2"/>
    <w:rsid w:val="72F84D2E"/>
    <w:rsid w:val="7312119F"/>
    <w:rsid w:val="731877F4"/>
    <w:rsid w:val="731D590C"/>
    <w:rsid w:val="73266077"/>
    <w:rsid w:val="732B21AE"/>
    <w:rsid w:val="73310AF2"/>
    <w:rsid w:val="733A2A9A"/>
    <w:rsid w:val="73524BC5"/>
    <w:rsid w:val="735C766E"/>
    <w:rsid w:val="7365769A"/>
    <w:rsid w:val="73744DDF"/>
    <w:rsid w:val="73846D0E"/>
    <w:rsid w:val="738A283A"/>
    <w:rsid w:val="739E4751"/>
    <w:rsid w:val="73B115E6"/>
    <w:rsid w:val="73B41ED9"/>
    <w:rsid w:val="73B45B4B"/>
    <w:rsid w:val="73C51704"/>
    <w:rsid w:val="73C62D23"/>
    <w:rsid w:val="73C83961"/>
    <w:rsid w:val="73CD1C6E"/>
    <w:rsid w:val="73D420DC"/>
    <w:rsid w:val="73DB329B"/>
    <w:rsid w:val="73DF1BA8"/>
    <w:rsid w:val="73E07D98"/>
    <w:rsid w:val="73FA72E4"/>
    <w:rsid w:val="74003491"/>
    <w:rsid w:val="740560C0"/>
    <w:rsid w:val="74101B27"/>
    <w:rsid w:val="74151F10"/>
    <w:rsid w:val="741833DC"/>
    <w:rsid w:val="742841E7"/>
    <w:rsid w:val="742E52CB"/>
    <w:rsid w:val="743F3C36"/>
    <w:rsid w:val="74461604"/>
    <w:rsid w:val="744A5F9C"/>
    <w:rsid w:val="745C1D59"/>
    <w:rsid w:val="745E364C"/>
    <w:rsid w:val="746E4153"/>
    <w:rsid w:val="7480721E"/>
    <w:rsid w:val="7484699E"/>
    <w:rsid w:val="74A1543A"/>
    <w:rsid w:val="74BB39F0"/>
    <w:rsid w:val="74BB4445"/>
    <w:rsid w:val="74BD5F94"/>
    <w:rsid w:val="74CE33F7"/>
    <w:rsid w:val="74D74DC6"/>
    <w:rsid w:val="74E00F35"/>
    <w:rsid w:val="74E31889"/>
    <w:rsid w:val="74EC2BF2"/>
    <w:rsid w:val="74F206D6"/>
    <w:rsid w:val="74FA443D"/>
    <w:rsid w:val="74FB1E15"/>
    <w:rsid w:val="74FD30C9"/>
    <w:rsid w:val="7505127B"/>
    <w:rsid w:val="750C5109"/>
    <w:rsid w:val="752C3E7A"/>
    <w:rsid w:val="753A1AB2"/>
    <w:rsid w:val="75475154"/>
    <w:rsid w:val="754B62A6"/>
    <w:rsid w:val="7560137E"/>
    <w:rsid w:val="756276E8"/>
    <w:rsid w:val="75647E61"/>
    <w:rsid w:val="75705734"/>
    <w:rsid w:val="75723327"/>
    <w:rsid w:val="75794FF4"/>
    <w:rsid w:val="75796D62"/>
    <w:rsid w:val="75840808"/>
    <w:rsid w:val="75862DDB"/>
    <w:rsid w:val="758B3BCD"/>
    <w:rsid w:val="758C661B"/>
    <w:rsid w:val="75A3361A"/>
    <w:rsid w:val="75A36394"/>
    <w:rsid w:val="75A54A07"/>
    <w:rsid w:val="75A719D0"/>
    <w:rsid w:val="75B2513F"/>
    <w:rsid w:val="75C8628B"/>
    <w:rsid w:val="75D4791B"/>
    <w:rsid w:val="75E955E5"/>
    <w:rsid w:val="75EE4A87"/>
    <w:rsid w:val="75F60652"/>
    <w:rsid w:val="76003899"/>
    <w:rsid w:val="760100FA"/>
    <w:rsid w:val="76044B04"/>
    <w:rsid w:val="76121576"/>
    <w:rsid w:val="76222A94"/>
    <w:rsid w:val="76252589"/>
    <w:rsid w:val="762E4E2F"/>
    <w:rsid w:val="763276C8"/>
    <w:rsid w:val="76366201"/>
    <w:rsid w:val="763B707E"/>
    <w:rsid w:val="76483C5A"/>
    <w:rsid w:val="765374A5"/>
    <w:rsid w:val="765F5436"/>
    <w:rsid w:val="76704B8E"/>
    <w:rsid w:val="76727091"/>
    <w:rsid w:val="76745944"/>
    <w:rsid w:val="76750E1C"/>
    <w:rsid w:val="7692155B"/>
    <w:rsid w:val="7698649F"/>
    <w:rsid w:val="76A1191A"/>
    <w:rsid w:val="76B41492"/>
    <w:rsid w:val="76B471E7"/>
    <w:rsid w:val="76BC1B77"/>
    <w:rsid w:val="76BE141B"/>
    <w:rsid w:val="76CA7A43"/>
    <w:rsid w:val="76DD6660"/>
    <w:rsid w:val="76E617D5"/>
    <w:rsid w:val="76FE4A4B"/>
    <w:rsid w:val="77004BC5"/>
    <w:rsid w:val="77055A5F"/>
    <w:rsid w:val="77061CB0"/>
    <w:rsid w:val="771035B4"/>
    <w:rsid w:val="771627C2"/>
    <w:rsid w:val="77164E54"/>
    <w:rsid w:val="77175110"/>
    <w:rsid w:val="771918E8"/>
    <w:rsid w:val="77255BC6"/>
    <w:rsid w:val="7730549D"/>
    <w:rsid w:val="77332EB5"/>
    <w:rsid w:val="773859A6"/>
    <w:rsid w:val="773C557A"/>
    <w:rsid w:val="77422DE8"/>
    <w:rsid w:val="774232CD"/>
    <w:rsid w:val="77483056"/>
    <w:rsid w:val="77496A23"/>
    <w:rsid w:val="774C0F10"/>
    <w:rsid w:val="77647724"/>
    <w:rsid w:val="7775505E"/>
    <w:rsid w:val="7784630C"/>
    <w:rsid w:val="7788144F"/>
    <w:rsid w:val="77892700"/>
    <w:rsid w:val="779140D7"/>
    <w:rsid w:val="779A60FD"/>
    <w:rsid w:val="77A53815"/>
    <w:rsid w:val="77B45D52"/>
    <w:rsid w:val="77B5380B"/>
    <w:rsid w:val="77B73DB6"/>
    <w:rsid w:val="77BD62BD"/>
    <w:rsid w:val="77C955DF"/>
    <w:rsid w:val="77F5079C"/>
    <w:rsid w:val="780F0E00"/>
    <w:rsid w:val="782379C5"/>
    <w:rsid w:val="782B56AE"/>
    <w:rsid w:val="782E0CD5"/>
    <w:rsid w:val="78315774"/>
    <w:rsid w:val="783E73D2"/>
    <w:rsid w:val="78484950"/>
    <w:rsid w:val="784A450B"/>
    <w:rsid w:val="784A595B"/>
    <w:rsid w:val="78571C44"/>
    <w:rsid w:val="787D0BB5"/>
    <w:rsid w:val="787D7C16"/>
    <w:rsid w:val="788077FA"/>
    <w:rsid w:val="788C162B"/>
    <w:rsid w:val="78A556E9"/>
    <w:rsid w:val="78B13A8B"/>
    <w:rsid w:val="78C347BB"/>
    <w:rsid w:val="78C47752"/>
    <w:rsid w:val="78D005D7"/>
    <w:rsid w:val="78F07AFC"/>
    <w:rsid w:val="78F3567C"/>
    <w:rsid w:val="78F518C6"/>
    <w:rsid w:val="7904602B"/>
    <w:rsid w:val="790653DF"/>
    <w:rsid w:val="790B7037"/>
    <w:rsid w:val="791647D5"/>
    <w:rsid w:val="791C2D46"/>
    <w:rsid w:val="79243247"/>
    <w:rsid w:val="793769E2"/>
    <w:rsid w:val="79601FFF"/>
    <w:rsid w:val="79671272"/>
    <w:rsid w:val="79697C10"/>
    <w:rsid w:val="797377DF"/>
    <w:rsid w:val="798337C0"/>
    <w:rsid w:val="79890C5D"/>
    <w:rsid w:val="79923CB3"/>
    <w:rsid w:val="79994FDB"/>
    <w:rsid w:val="799B49B2"/>
    <w:rsid w:val="799E7230"/>
    <w:rsid w:val="79A023C6"/>
    <w:rsid w:val="79AF6CF7"/>
    <w:rsid w:val="79B83C71"/>
    <w:rsid w:val="79C71E03"/>
    <w:rsid w:val="79CA2953"/>
    <w:rsid w:val="79CC0134"/>
    <w:rsid w:val="79D05EA5"/>
    <w:rsid w:val="79D0613E"/>
    <w:rsid w:val="79D53D35"/>
    <w:rsid w:val="79DB3E6D"/>
    <w:rsid w:val="79DB7DBB"/>
    <w:rsid w:val="79E90504"/>
    <w:rsid w:val="7A0D78EC"/>
    <w:rsid w:val="7A0E63A2"/>
    <w:rsid w:val="7A171326"/>
    <w:rsid w:val="7A304A14"/>
    <w:rsid w:val="7A36742C"/>
    <w:rsid w:val="7A376FAD"/>
    <w:rsid w:val="7A573061"/>
    <w:rsid w:val="7A577AEA"/>
    <w:rsid w:val="7A6345CB"/>
    <w:rsid w:val="7A686C49"/>
    <w:rsid w:val="7A6903C9"/>
    <w:rsid w:val="7A6A48C7"/>
    <w:rsid w:val="7A764A1F"/>
    <w:rsid w:val="7A7E2E80"/>
    <w:rsid w:val="7A8B7131"/>
    <w:rsid w:val="7A900056"/>
    <w:rsid w:val="7A9F0501"/>
    <w:rsid w:val="7AA95841"/>
    <w:rsid w:val="7AAD7780"/>
    <w:rsid w:val="7AC1642C"/>
    <w:rsid w:val="7AC41352"/>
    <w:rsid w:val="7AC70AE9"/>
    <w:rsid w:val="7ACE6C6A"/>
    <w:rsid w:val="7AD92855"/>
    <w:rsid w:val="7AE74A0C"/>
    <w:rsid w:val="7AE92131"/>
    <w:rsid w:val="7AE9630D"/>
    <w:rsid w:val="7AEA69B5"/>
    <w:rsid w:val="7AEC352E"/>
    <w:rsid w:val="7B204C6C"/>
    <w:rsid w:val="7B2F13E3"/>
    <w:rsid w:val="7B323B12"/>
    <w:rsid w:val="7B3D406D"/>
    <w:rsid w:val="7B595071"/>
    <w:rsid w:val="7B5B2270"/>
    <w:rsid w:val="7B5F2971"/>
    <w:rsid w:val="7B64725E"/>
    <w:rsid w:val="7B6B0056"/>
    <w:rsid w:val="7B8F5F44"/>
    <w:rsid w:val="7B96610F"/>
    <w:rsid w:val="7B9A5BCF"/>
    <w:rsid w:val="7BAA1965"/>
    <w:rsid w:val="7BC0698C"/>
    <w:rsid w:val="7BD04A90"/>
    <w:rsid w:val="7BE578FE"/>
    <w:rsid w:val="7BEB25BE"/>
    <w:rsid w:val="7BF34248"/>
    <w:rsid w:val="7BF81544"/>
    <w:rsid w:val="7BFA3A3D"/>
    <w:rsid w:val="7C14022C"/>
    <w:rsid w:val="7C16489D"/>
    <w:rsid w:val="7C222BB8"/>
    <w:rsid w:val="7C2358FF"/>
    <w:rsid w:val="7C2B0948"/>
    <w:rsid w:val="7C2C7719"/>
    <w:rsid w:val="7C4A3E4B"/>
    <w:rsid w:val="7C636752"/>
    <w:rsid w:val="7C657B35"/>
    <w:rsid w:val="7C89017F"/>
    <w:rsid w:val="7C9904AD"/>
    <w:rsid w:val="7C9D08C9"/>
    <w:rsid w:val="7CA455DE"/>
    <w:rsid w:val="7CAF47B7"/>
    <w:rsid w:val="7CB86D53"/>
    <w:rsid w:val="7CBA32E5"/>
    <w:rsid w:val="7CC70CCE"/>
    <w:rsid w:val="7CCA0ED7"/>
    <w:rsid w:val="7CCE69FE"/>
    <w:rsid w:val="7CD072E2"/>
    <w:rsid w:val="7CDA2593"/>
    <w:rsid w:val="7CE113FA"/>
    <w:rsid w:val="7CE1380D"/>
    <w:rsid w:val="7CE60EAF"/>
    <w:rsid w:val="7CE74948"/>
    <w:rsid w:val="7CED5A0D"/>
    <w:rsid w:val="7D0E77C0"/>
    <w:rsid w:val="7D123CCA"/>
    <w:rsid w:val="7D2427B4"/>
    <w:rsid w:val="7D356E56"/>
    <w:rsid w:val="7D4F0510"/>
    <w:rsid w:val="7D667774"/>
    <w:rsid w:val="7D742FBA"/>
    <w:rsid w:val="7D803E8C"/>
    <w:rsid w:val="7D93665E"/>
    <w:rsid w:val="7DA85098"/>
    <w:rsid w:val="7DB50378"/>
    <w:rsid w:val="7DB514C6"/>
    <w:rsid w:val="7DB70A93"/>
    <w:rsid w:val="7DC94486"/>
    <w:rsid w:val="7DCD517E"/>
    <w:rsid w:val="7DDB5C86"/>
    <w:rsid w:val="7DDD5AA3"/>
    <w:rsid w:val="7DE20D2D"/>
    <w:rsid w:val="7DE340C8"/>
    <w:rsid w:val="7DE77096"/>
    <w:rsid w:val="7DEE545D"/>
    <w:rsid w:val="7DFA631C"/>
    <w:rsid w:val="7E20335F"/>
    <w:rsid w:val="7E291915"/>
    <w:rsid w:val="7E321B56"/>
    <w:rsid w:val="7E334215"/>
    <w:rsid w:val="7E380FED"/>
    <w:rsid w:val="7E382155"/>
    <w:rsid w:val="7E3C0AE6"/>
    <w:rsid w:val="7E3E7829"/>
    <w:rsid w:val="7E4F79AF"/>
    <w:rsid w:val="7E675045"/>
    <w:rsid w:val="7E684851"/>
    <w:rsid w:val="7E7B41D7"/>
    <w:rsid w:val="7E800C47"/>
    <w:rsid w:val="7E8C1D3D"/>
    <w:rsid w:val="7E8C2EDF"/>
    <w:rsid w:val="7EAE777D"/>
    <w:rsid w:val="7EB01A19"/>
    <w:rsid w:val="7EB11157"/>
    <w:rsid w:val="7EB53FFA"/>
    <w:rsid w:val="7EBE6507"/>
    <w:rsid w:val="7EC90CFC"/>
    <w:rsid w:val="7ECB2E11"/>
    <w:rsid w:val="7ECD1A2A"/>
    <w:rsid w:val="7ED916E7"/>
    <w:rsid w:val="7ED97EFB"/>
    <w:rsid w:val="7EDF2745"/>
    <w:rsid w:val="7EE15BB1"/>
    <w:rsid w:val="7EE443D5"/>
    <w:rsid w:val="7EF33C03"/>
    <w:rsid w:val="7EF65A47"/>
    <w:rsid w:val="7EF9195B"/>
    <w:rsid w:val="7F082235"/>
    <w:rsid w:val="7F0B0626"/>
    <w:rsid w:val="7F137B09"/>
    <w:rsid w:val="7F142CC8"/>
    <w:rsid w:val="7F146FB9"/>
    <w:rsid w:val="7F201338"/>
    <w:rsid w:val="7F2809A6"/>
    <w:rsid w:val="7F2E3E36"/>
    <w:rsid w:val="7F7B0F72"/>
    <w:rsid w:val="7F9E000F"/>
    <w:rsid w:val="7FA018A2"/>
    <w:rsid w:val="7FA45C7A"/>
    <w:rsid w:val="7FAE7F5E"/>
    <w:rsid w:val="7FB70AB2"/>
    <w:rsid w:val="7FB7525C"/>
    <w:rsid w:val="7FC64485"/>
    <w:rsid w:val="7FC7186A"/>
    <w:rsid w:val="7FD94DD9"/>
    <w:rsid w:val="7FDA6CF1"/>
    <w:rsid w:val="7FE9539B"/>
    <w:rsid w:val="7FF4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53"/>
    <w:qFormat/>
    <w:uiPriority w:val="0"/>
    <w:pPr>
      <w:keepNext/>
      <w:keepLines/>
      <w:spacing w:before="340" w:after="330" w:line="578" w:lineRule="auto"/>
      <w:outlineLvl w:val="0"/>
    </w:pPr>
    <w:rPr>
      <w:rFonts w:ascii="Tahoma" w:hAnsi="Tahoma"/>
      <w:b/>
      <w:bCs/>
      <w:kern w:val="44"/>
      <w:sz w:val="44"/>
      <w:szCs w:val="44"/>
    </w:rPr>
  </w:style>
  <w:style w:type="paragraph" w:styleId="7">
    <w:name w:val="heading 2"/>
    <w:basedOn w:val="1"/>
    <w:next w:val="1"/>
    <w:link w:val="54"/>
    <w:qFormat/>
    <w:uiPriority w:val="0"/>
    <w:pPr>
      <w:keepNext/>
      <w:keepLines/>
      <w:spacing w:before="260" w:after="260" w:line="416" w:lineRule="auto"/>
      <w:outlineLvl w:val="1"/>
    </w:pPr>
    <w:rPr>
      <w:rFonts w:ascii="Cambria" w:hAnsi="Cambria"/>
      <w:b/>
      <w:bCs/>
      <w:sz w:val="32"/>
      <w:szCs w:val="32"/>
    </w:rPr>
  </w:style>
  <w:style w:type="paragraph" w:styleId="8">
    <w:name w:val="heading 3"/>
    <w:basedOn w:val="1"/>
    <w:next w:val="1"/>
    <w:link w:val="55"/>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spacing w:before="240" w:after="60"/>
      <w:outlineLvl w:val="3"/>
    </w:pPr>
    <w:rPr>
      <w:b/>
      <w:bCs/>
      <w:sz w:val="28"/>
      <w:szCs w:val="28"/>
    </w:rPr>
  </w:style>
  <w:style w:type="paragraph" w:styleId="10">
    <w:name w:val="heading 5"/>
    <w:basedOn w:val="1"/>
    <w:next w:val="1"/>
    <w:qFormat/>
    <w:uiPriority w:val="0"/>
    <w:pPr>
      <w:ind w:left="212" w:firstLine="480"/>
      <w:outlineLvl w:val="4"/>
    </w:pPr>
    <w:rPr>
      <w:rFonts w:ascii="宋体" w:hAnsi="宋体" w:cs="宋体"/>
      <w:sz w:val="24"/>
      <w:lang w:val="zh-CN" w:bidi="zh-CN"/>
    </w:rPr>
  </w:style>
  <w:style w:type="paragraph" w:styleId="11">
    <w:name w:val="heading 6"/>
    <w:basedOn w:val="1"/>
    <w:next w:val="1"/>
    <w:link w:val="56"/>
    <w:qFormat/>
    <w:uiPriority w:val="0"/>
    <w:pPr>
      <w:keepNext/>
      <w:keepLines/>
      <w:spacing w:before="240" w:after="64" w:line="320" w:lineRule="auto"/>
      <w:outlineLvl w:val="5"/>
    </w:pPr>
    <w:rPr>
      <w:rFonts w:ascii="Arial" w:hAnsi="Arial" w:eastAsia="黑体"/>
      <w:b/>
      <w:bCs/>
      <w:sz w:val="24"/>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styleId="3">
    <w:name w:val="Body Text First Indent 2"/>
    <w:basedOn w:val="4"/>
    <w:unhideWhenUsed/>
    <w:qFormat/>
    <w:uiPriority w:val="0"/>
    <w:pPr>
      <w:ind w:firstLine="420" w:firstLineChars="200"/>
    </w:pPr>
    <w:rPr>
      <w:lang w:val="en-US" w:eastAsia="zh-CN"/>
    </w:rPr>
  </w:style>
  <w:style w:type="paragraph" w:styleId="4">
    <w:name w:val="Body Text Indent"/>
    <w:basedOn w:val="1"/>
    <w:next w:val="5"/>
    <w:link w:val="60"/>
    <w:qFormat/>
    <w:uiPriority w:val="0"/>
    <w:pPr>
      <w:spacing w:after="120"/>
      <w:ind w:left="420" w:leftChars="200"/>
    </w:pPr>
    <w:rPr>
      <w:rFonts w:ascii="Tahoma" w:hAnsi="Tahoma"/>
    </w:rPr>
  </w:style>
  <w:style w:type="paragraph" w:styleId="5">
    <w:name w:val="envelope return"/>
    <w:basedOn w:val="1"/>
    <w:qFormat/>
    <w:uiPriority w:val="0"/>
    <w:pPr>
      <w:snapToGrid w:val="0"/>
    </w:pPr>
    <w:rPr>
      <w:rFonts w:ascii="Arial" w:hAnsi="Arial"/>
    </w:rPr>
  </w:style>
  <w:style w:type="paragraph" w:styleId="12">
    <w:name w:val="table of authorities"/>
    <w:basedOn w:val="1"/>
    <w:next w:val="1"/>
    <w:qFormat/>
    <w:uiPriority w:val="0"/>
    <w:pPr>
      <w:ind w:left="420" w:leftChars="200"/>
    </w:pPr>
  </w:style>
  <w:style w:type="paragraph" w:styleId="13">
    <w:name w:val="index 8"/>
    <w:basedOn w:val="1"/>
    <w:next w:val="1"/>
    <w:qFormat/>
    <w:uiPriority w:val="0"/>
    <w:pPr>
      <w:ind w:left="2940"/>
    </w:p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Normal Indent"/>
    <w:basedOn w:val="1"/>
    <w:link w:val="57"/>
    <w:qFormat/>
    <w:uiPriority w:val="0"/>
    <w:pPr>
      <w:ind w:firstLine="420"/>
    </w:pPr>
    <w:rPr>
      <w:szCs w:val="20"/>
    </w:rPr>
  </w:style>
  <w:style w:type="paragraph" w:styleId="16">
    <w:name w:val="Document Map"/>
    <w:basedOn w:val="1"/>
    <w:link w:val="58"/>
    <w:qFormat/>
    <w:uiPriority w:val="0"/>
    <w:rPr>
      <w:rFonts w:ascii="宋体" w:hAnsi="Tahoma"/>
      <w:sz w:val="18"/>
      <w:szCs w:val="18"/>
    </w:rPr>
  </w:style>
  <w:style w:type="paragraph" w:styleId="17">
    <w:name w:val="annotation text"/>
    <w:basedOn w:val="1"/>
    <w:link w:val="59"/>
    <w:semiHidden/>
    <w:qFormat/>
    <w:uiPriority w:val="0"/>
    <w:pPr>
      <w:jc w:val="left"/>
    </w:pPr>
  </w:style>
  <w:style w:type="paragraph" w:styleId="18">
    <w:name w:val="Body Text 3"/>
    <w:basedOn w:val="1"/>
    <w:qFormat/>
    <w:uiPriority w:val="0"/>
    <w:pPr>
      <w:spacing w:line="240" w:lineRule="exact"/>
    </w:pPr>
    <w:rPr>
      <w:rFonts w:ascii="宋体" w:hAnsi="宋体"/>
      <w:color w:val="000000"/>
      <w:szCs w:val="21"/>
    </w:rPr>
  </w:style>
  <w:style w:type="paragraph" w:styleId="19">
    <w:name w:val="toc 3"/>
    <w:basedOn w:val="1"/>
    <w:next w:val="1"/>
    <w:qFormat/>
    <w:uiPriority w:val="39"/>
    <w:pPr>
      <w:ind w:left="840" w:leftChars="400"/>
    </w:pPr>
  </w:style>
  <w:style w:type="paragraph" w:styleId="20">
    <w:name w:val="Plain Text"/>
    <w:basedOn w:val="1"/>
    <w:next w:val="13"/>
    <w:link w:val="61"/>
    <w:qFormat/>
    <w:uiPriority w:val="0"/>
    <w:rPr>
      <w:rFonts w:ascii="宋体" w:hAnsi="Courier New"/>
      <w:szCs w:val="20"/>
    </w:rPr>
  </w:style>
  <w:style w:type="paragraph" w:styleId="21">
    <w:name w:val="Date"/>
    <w:basedOn w:val="1"/>
    <w:next w:val="1"/>
    <w:qFormat/>
    <w:uiPriority w:val="0"/>
    <w:pPr>
      <w:ind w:left="100" w:leftChars="2500"/>
    </w:pPr>
  </w:style>
  <w:style w:type="paragraph" w:styleId="22">
    <w:name w:val="Body Text Indent 2"/>
    <w:basedOn w:val="1"/>
    <w:qFormat/>
    <w:uiPriority w:val="0"/>
    <w:pPr>
      <w:ind w:firstLine="630"/>
    </w:pPr>
    <w:rPr>
      <w:sz w:val="32"/>
      <w:szCs w:val="20"/>
    </w:rPr>
  </w:style>
  <w:style w:type="paragraph" w:styleId="23">
    <w:name w:val="Balloon Text"/>
    <w:basedOn w:val="1"/>
    <w:semiHidden/>
    <w:qFormat/>
    <w:uiPriority w:val="0"/>
    <w:rPr>
      <w:sz w:val="18"/>
      <w:szCs w:val="18"/>
    </w:rPr>
  </w:style>
  <w:style w:type="paragraph" w:styleId="24">
    <w:name w:val="footer"/>
    <w:basedOn w:val="1"/>
    <w:link w:val="62"/>
    <w:qFormat/>
    <w:uiPriority w:val="99"/>
    <w:pPr>
      <w:tabs>
        <w:tab w:val="center" w:pos="4153"/>
        <w:tab w:val="right" w:pos="8306"/>
      </w:tabs>
      <w:snapToGrid w:val="0"/>
      <w:jc w:val="left"/>
    </w:pPr>
    <w:rPr>
      <w:rFonts w:ascii="Tahoma" w:hAnsi="Tahoma"/>
      <w:sz w:val="18"/>
      <w:szCs w:val="18"/>
    </w:rPr>
  </w:style>
  <w:style w:type="paragraph" w:styleId="25">
    <w:name w:val="header"/>
    <w:basedOn w:val="1"/>
    <w:link w:val="63"/>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26">
    <w:name w:val="toc 1"/>
    <w:basedOn w:val="1"/>
    <w:next w:val="1"/>
    <w:qFormat/>
    <w:uiPriority w:val="39"/>
  </w:style>
  <w:style w:type="paragraph" w:styleId="27">
    <w:name w:val="toc 2"/>
    <w:basedOn w:val="1"/>
    <w:next w:val="1"/>
    <w:qFormat/>
    <w:uiPriority w:val="39"/>
    <w:pPr>
      <w:ind w:left="420" w:leftChars="200"/>
    </w:pPr>
  </w:style>
  <w:style w:type="paragraph" w:styleId="28">
    <w:name w:val="toc 9"/>
    <w:basedOn w:val="1"/>
    <w:next w:val="1"/>
    <w:qFormat/>
    <w:uiPriority w:val="39"/>
    <w:pPr>
      <w:ind w:left="1680"/>
      <w:jc w:val="left"/>
    </w:pPr>
    <w:rPr>
      <w:sz w:val="18"/>
      <w:szCs w:val="18"/>
    </w:rPr>
  </w:style>
  <w:style w:type="paragraph" w:styleId="29">
    <w:name w:val="List 4"/>
    <w:basedOn w:val="1"/>
    <w:unhideWhenUsed/>
    <w:qFormat/>
    <w:uiPriority w:val="99"/>
    <w:pPr>
      <w:ind w:left="100" w:leftChars="600" w:hanging="200" w:hangingChars="200"/>
      <w:contextualSpacing/>
    </w:p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1">
    <w:name w:val="Title"/>
    <w:basedOn w:val="1"/>
    <w:next w:val="1"/>
    <w:qFormat/>
    <w:uiPriority w:val="10"/>
    <w:pPr>
      <w:spacing w:before="240" w:after="60"/>
      <w:jc w:val="center"/>
      <w:outlineLvl w:val="0"/>
    </w:pPr>
    <w:rPr>
      <w:rFonts w:ascii="等线 Light" w:hAnsi="等线 Light"/>
      <w:b/>
      <w:bCs/>
      <w:sz w:val="32"/>
      <w:szCs w:val="32"/>
    </w:rPr>
  </w:style>
  <w:style w:type="paragraph" w:styleId="32">
    <w:name w:val="annotation subject"/>
    <w:basedOn w:val="17"/>
    <w:next w:val="17"/>
    <w:semiHidden/>
    <w:qFormat/>
    <w:uiPriority w:val="0"/>
    <w:rPr>
      <w:b/>
      <w:bCs/>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rFonts w:ascii="Tahoma" w:hAnsi="Tahoma"/>
      <w:b/>
      <w:bCs/>
      <w:sz w:val="24"/>
      <w:szCs w:val="20"/>
    </w:rPr>
  </w:style>
  <w:style w:type="character" w:styleId="37">
    <w:name w:val="page number"/>
    <w:qFormat/>
    <w:uiPriority w:val="0"/>
  </w:style>
  <w:style w:type="character" w:styleId="38">
    <w:name w:val="FollowedHyperlink"/>
    <w:unhideWhenUsed/>
    <w:qFormat/>
    <w:uiPriority w:val="99"/>
    <w:rPr>
      <w:color w:val="954F72"/>
      <w:u w:val="single"/>
    </w:rPr>
  </w:style>
  <w:style w:type="character" w:styleId="39">
    <w:name w:val="Emphasis"/>
    <w:qFormat/>
    <w:uiPriority w:val="0"/>
  </w:style>
  <w:style w:type="character" w:styleId="40">
    <w:name w:val="HTML Definition"/>
    <w:qFormat/>
    <w:uiPriority w:val="0"/>
  </w:style>
  <w:style w:type="character" w:styleId="41">
    <w:name w:val="HTML Typewriter"/>
    <w:qFormat/>
    <w:uiPriority w:val="0"/>
    <w:rPr>
      <w:rFonts w:hint="default" w:ascii="monospace" w:hAnsi="monospace" w:eastAsia="monospace" w:cs="monospace"/>
      <w:sz w:val="20"/>
    </w:rPr>
  </w:style>
  <w:style w:type="character" w:styleId="42">
    <w:name w:val="HTML Acronym"/>
    <w:qFormat/>
    <w:uiPriority w:val="0"/>
  </w:style>
  <w:style w:type="character" w:styleId="43">
    <w:name w:val="HTML Variable"/>
    <w:qFormat/>
    <w:uiPriority w:val="0"/>
    <w:rPr>
      <w:rFonts w:ascii="Tahoma" w:hAnsi="Tahoma"/>
      <w:sz w:val="24"/>
      <w:szCs w:val="20"/>
    </w:rPr>
  </w:style>
  <w:style w:type="character" w:styleId="44">
    <w:name w:val="Hyperlink"/>
    <w:qFormat/>
    <w:uiPriority w:val="99"/>
    <w:rPr>
      <w:rFonts w:ascii="Tahoma" w:hAnsi="Tahoma"/>
      <w:color w:val="0000FF"/>
      <w:sz w:val="24"/>
      <w:szCs w:val="20"/>
      <w:u w:val="single"/>
    </w:rPr>
  </w:style>
  <w:style w:type="character" w:styleId="45">
    <w:name w:val="HTML Code"/>
    <w:qFormat/>
    <w:uiPriority w:val="0"/>
    <w:rPr>
      <w:rFonts w:ascii="monospace" w:hAnsi="monospace" w:eastAsia="monospace" w:cs="monospace"/>
      <w:sz w:val="20"/>
    </w:rPr>
  </w:style>
  <w:style w:type="character" w:styleId="46">
    <w:name w:val="annotation reference"/>
    <w:semiHidden/>
    <w:qFormat/>
    <w:uiPriority w:val="0"/>
    <w:rPr>
      <w:rFonts w:ascii="Tahoma" w:hAnsi="Tahoma"/>
      <w:sz w:val="21"/>
      <w:szCs w:val="21"/>
    </w:rPr>
  </w:style>
  <w:style w:type="character" w:styleId="47">
    <w:name w:val="HTML Cite"/>
    <w:qFormat/>
    <w:uiPriority w:val="0"/>
  </w:style>
  <w:style w:type="character" w:styleId="48">
    <w:name w:val="HTML Keyboard"/>
    <w:qFormat/>
    <w:uiPriority w:val="0"/>
    <w:rPr>
      <w:rFonts w:hint="default" w:ascii="monospace" w:hAnsi="monospace" w:eastAsia="monospace" w:cs="monospace"/>
      <w:sz w:val="20"/>
    </w:rPr>
  </w:style>
  <w:style w:type="character" w:styleId="49">
    <w:name w:val="HTML Sample"/>
    <w:qFormat/>
    <w:uiPriority w:val="0"/>
    <w:rPr>
      <w:rFonts w:hint="default" w:ascii="monospace" w:hAnsi="monospace" w:eastAsia="monospace" w:cs="monospace"/>
    </w:rPr>
  </w:style>
  <w:style w:type="paragraph" w:customStyle="1" w:styleId="50">
    <w:name w:val="正文首行缩进 21"/>
    <w:basedOn w:val="51"/>
    <w:qFormat/>
    <w:uiPriority w:val="0"/>
    <w:pPr>
      <w:ind w:firstLine="420" w:firstLineChars="200"/>
    </w:pPr>
  </w:style>
  <w:style w:type="paragraph" w:customStyle="1" w:styleId="51">
    <w:name w:val="正文文本缩进1"/>
    <w:basedOn w:val="1"/>
    <w:next w:val="4"/>
    <w:qFormat/>
    <w:uiPriority w:val="0"/>
    <w:pPr>
      <w:spacing w:after="120"/>
      <w:ind w:left="420" w:leftChars="200"/>
    </w:pPr>
  </w:style>
  <w:style w:type="paragraph" w:customStyle="1" w:styleId="5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53">
    <w:name w:val="标题 1 字符"/>
    <w:link w:val="6"/>
    <w:qFormat/>
    <w:uiPriority w:val="0"/>
    <w:rPr>
      <w:rFonts w:ascii="Tahoma" w:hAnsi="Tahoma"/>
      <w:b/>
      <w:bCs/>
      <w:kern w:val="44"/>
      <w:sz w:val="44"/>
      <w:szCs w:val="44"/>
    </w:rPr>
  </w:style>
  <w:style w:type="character" w:customStyle="1" w:styleId="54">
    <w:name w:val="标题 2 字符"/>
    <w:link w:val="7"/>
    <w:semiHidden/>
    <w:qFormat/>
    <w:uiPriority w:val="0"/>
    <w:rPr>
      <w:rFonts w:ascii="Cambria" w:hAnsi="Cambria" w:eastAsia="宋体" w:cs="Times New Roman"/>
      <w:b/>
      <w:bCs/>
      <w:kern w:val="2"/>
      <w:sz w:val="32"/>
      <w:szCs w:val="32"/>
    </w:rPr>
  </w:style>
  <w:style w:type="character" w:customStyle="1" w:styleId="55">
    <w:name w:val="标题 3 字符"/>
    <w:link w:val="8"/>
    <w:qFormat/>
    <w:uiPriority w:val="0"/>
    <w:rPr>
      <w:b/>
      <w:bCs/>
      <w:sz w:val="32"/>
      <w:szCs w:val="32"/>
    </w:rPr>
  </w:style>
  <w:style w:type="character" w:customStyle="1" w:styleId="56">
    <w:name w:val="标题 6 字符"/>
    <w:link w:val="11"/>
    <w:qFormat/>
    <w:uiPriority w:val="0"/>
    <w:rPr>
      <w:rFonts w:ascii="Arial" w:hAnsi="Arial" w:eastAsia="黑体"/>
      <w:b/>
      <w:bCs/>
      <w:kern w:val="2"/>
      <w:sz w:val="24"/>
      <w:szCs w:val="24"/>
      <w:lang w:val="en-US" w:eastAsia="zh-CN" w:bidi="ar-SA"/>
    </w:rPr>
  </w:style>
  <w:style w:type="character" w:customStyle="1" w:styleId="57">
    <w:name w:val="正文缩进 字符"/>
    <w:link w:val="15"/>
    <w:qFormat/>
    <w:locked/>
    <w:uiPriority w:val="0"/>
    <w:rPr>
      <w:rFonts w:eastAsia="宋体"/>
      <w:kern w:val="2"/>
      <w:sz w:val="21"/>
      <w:lang w:val="en-US" w:eastAsia="zh-CN" w:bidi="ar-SA"/>
    </w:rPr>
  </w:style>
  <w:style w:type="character" w:customStyle="1" w:styleId="58">
    <w:name w:val="文档结构图 字符"/>
    <w:link w:val="16"/>
    <w:qFormat/>
    <w:uiPriority w:val="0"/>
    <w:rPr>
      <w:rFonts w:ascii="宋体" w:hAnsi="Tahoma"/>
      <w:kern w:val="2"/>
      <w:sz w:val="18"/>
      <w:szCs w:val="18"/>
    </w:rPr>
  </w:style>
  <w:style w:type="character" w:customStyle="1" w:styleId="59">
    <w:name w:val="批注文字 字符"/>
    <w:link w:val="17"/>
    <w:qFormat/>
    <w:uiPriority w:val="0"/>
    <w:rPr>
      <w:rFonts w:eastAsia="宋体"/>
      <w:kern w:val="2"/>
      <w:sz w:val="21"/>
      <w:szCs w:val="24"/>
      <w:lang w:val="en-US" w:eastAsia="zh-CN" w:bidi="ar-SA"/>
    </w:rPr>
  </w:style>
  <w:style w:type="character" w:customStyle="1" w:styleId="60">
    <w:name w:val="正文文本缩进 字符"/>
    <w:link w:val="4"/>
    <w:qFormat/>
    <w:uiPriority w:val="0"/>
    <w:rPr>
      <w:rFonts w:ascii="Tahoma" w:hAnsi="Tahoma"/>
      <w:kern w:val="2"/>
      <w:sz w:val="21"/>
      <w:szCs w:val="24"/>
    </w:rPr>
  </w:style>
  <w:style w:type="character" w:customStyle="1" w:styleId="61">
    <w:name w:val="纯文本 字符3"/>
    <w:link w:val="20"/>
    <w:qFormat/>
    <w:uiPriority w:val="0"/>
    <w:rPr>
      <w:rFonts w:ascii="宋体" w:hAnsi="Courier New" w:eastAsia="宋体"/>
      <w:kern w:val="2"/>
      <w:sz w:val="21"/>
      <w:szCs w:val="20"/>
      <w:lang w:val="en-US" w:eastAsia="zh-CN" w:bidi="ar-SA"/>
    </w:rPr>
  </w:style>
  <w:style w:type="character" w:customStyle="1" w:styleId="62">
    <w:name w:val="页脚 字符1"/>
    <w:link w:val="24"/>
    <w:qFormat/>
    <w:uiPriority w:val="99"/>
    <w:rPr>
      <w:rFonts w:ascii="Tahoma" w:hAnsi="Tahoma"/>
      <w:kern w:val="2"/>
      <w:sz w:val="18"/>
      <w:szCs w:val="18"/>
    </w:rPr>
  </w:style>
  <w:style w:type="character" w:customStyle="1" w:styleId="63">
    <w:name w:val="页眉 字符"/>
    <w:link w:val="25"/>
    <w:qFormat/>
    <w:uiPriority w:val="99"/>
    <w:rPr>
      <w:rFonts w:ascii="Tahoma" w:hAnsi="Tahoma"/>
      <w:kern w:val="2"/>
      <w:sz w:val="18"/>
      <w:szCs w:val="18"/>
    </w:rPr>
  </w:style>
  <w:style w:type="character" w:customStyle="1" w:styleId="64">
    <w:name w:val="纯文本 字符1"/>
    <w:qFormat/>
    <w:uiPriority w:val="0"/>
    <w:rPr>
      <w:rFonts w:ascii="Ђˎ̥" w:hAnsi="Verdana" w:eastAsia="Ђˎ̥" w:cs="Verdana"/>
      <w:szCs w:val="21"/>
    </w:rPr>
  </w:style>
  <w:style w:type="character" w:customStyle="1" w:styleId="65">
    <w:name w:val="正文文本缩进 Char"/>
    <w:qFormat/>
    <w:uiPriority w:val="0"/>
    <w:rPr>
      <w:rFonts w:ascii="Times New Roman" w:hAnsi="Times New Roman" w:eastAsia="宋体" w:cs="Times New Roman"/>
      <w:kern w:val="2"/>
      <w:sz w:val="21"/>
      <w:szCs w:val="24"/>
    </w:rPr>
  </w:style>
  <w:style w:type="character" w:customStyle="1" w:styleId="66">
    <w:name w:val="redfilefwwh"/>
    <w:qFormat/>
    <w:uiPriority w:val="0"/>
    <w:rPr>
      <w:color w:val="BA2636"/>
      <w:sz w:val="18"/>
      <w:szCs w:val="18"/>
    </w:rPr>
  </w:style>
  <w:style w:type="character" w:customStyle="1" w:styleId="67">
    <w:name w:val="font61"/>
    <w:qFormat/>
    <w:uiPriority w:val="0"/>
    <w:rPr>
      <w:rFonts w:hint="eastAsia" w:ascii="宋体" w:hAnsi="宋体" w:eastAsia="宋体" w:cs="宋体"/>
      <w:color w:val="000000"/>
      <w:sz w:val="21"/>
      <w:szCs w:val="21"/>
      <w:u w:val="none"/>
    </w:rPr>
  </w:style>
  <w:style w:type="character" w:customStyle="1" w:styleId="68">
    <w:name w:val="apple-converted-space"/>
    <w:qFormat/>
    <w:uiPriority w:val="0"/>
  </w:style>
  <w:style w:type="character" w:customStyle="1" w:styleId="69">
    <w:name w:val="displayarti"/>
    <w:qFormat/>
    <w:uiPriority w:val="0"/>
    <w:rPr>
      <w:color w:val="FFFFFF"/>
      <w:shd w:val="clear" w:color="auto" w:fill="A00000"/>
    </w:rPr>
  </w:style>
  <w:style w:type="character" w:customStyle="1" w:styleId="70">
    <w:name w:val="页脚 字符"/>
    <w:qFormat/>
    <w:uiPriority w:val="99"/>
  </w:style>
  <w:style w:type="character" w:customStyle="1" w:styleId="71">
    <w:name w:val="qxdate"/>
    <w:qFormat/>
    <w:uiPriority w:val="0"/>
    <w:rPr>
      <w:color w:val="333333"/>
      <w:sz w:val="18"/>
      <w:szCs w:val="18"/>
    </w:rPr>
  </w:style>
  <w:style w:type="character" w:customStyle="1" w:styleId="72">
    <w:name w:val="gjfg"/>
    <w:qFormat/>
    <w:uiPriority w:val="0"/>
  </w:style>
  <w:style w:type="character" w:customStyle="1" w:styleId="73">
    <w:name w:val="列出段落 Char"/>
    <w:qFormat/>
    <w:locked/>
    <w:uiPriority w:val="34"/>
    <w:rPr>
      <w:rFonts w:ascii="Times New Roman" w:hAnsi="Times New Roman" w:eastAsia="宋体" w:cs="Times New Roman"/>
      <w:kern w:val="0"/>
      <w:sz w:val="24"/>
      <w:szCs w:val="20"/>
    </w:rPr>
  </w:style>
  <w:style w:type="character" w:customStyle="1" w:styleId="74">
    <w:name w:val="font21"/>
    <w:qFormat/>
    <w:uiPriority w:val="0"/>
    <w:rPr>
      <w:rFonts w:hint="eastAsia" w:ascii="宋体" w:hAnsi="宋体" w:eastAsia="宋体" w:cs="宋体"/>
      <w:color w:val="000000"/>
      <w:sz w:val="22"/>
      <w:szCs w:val="22"/>
      <w:u w:val="none"/>
    </w:rPr>
  </w:style>
  <w:style w:type="character" w:customStyle="1" w:styleId="75">
    <w:name w:val="纯文本 字符"/>
    <w:qFormat/>
    <w:uiPriority w:val="0"/>
    <w:rPr>
      <w:rFonts w:ascii="宋体" w:hAnsi="Courier New" w:eastAsia="宋体" w:cs="Courier New"/>
      <w:szCs w:val="21"/>
    </w:rPr>
  </w:style>
  <w:style w:type="character" w:customStyle="1" w:styleId="76">
    <w:name w:val="redfilenumber"/>
    <w:qFormat/>
    <w:uiPriority w:val="0"/>
    <w:rPr>
      <w:color w:val="BA2636"/>
      <w:sz w:val="18"/>
      <w:szCs w:val="18"/>
    </w:rPr>
  </w:style>
  <w:style w:type="character" w:customStyle="1" w:styleId="77">
    <w:name w:val="纯文本 Char"/>
    <w:qFormat/>
    <w:uiPriority w:val="0"/>
    <w:rPr>
      <w:rFonts w:ascii="宋体" w:hAnsi="Courier New" w:eastAsia="宋体"/>
    </w:rPr>
  </w:style>
  <w:style w:type="character" w:customStyle="1" w:styleId="78">
    <w:name w:val="普通文字 Char Char5"/>
    <w:qFormat/>
    <w:uiPriority w:val="0"/>
    <w:rPr>
      <w:rFonts w:ascii="宋体" w:hAnsi="Courier New" w:eastAsia="宋体"/>
      <w:szCs w:val="21"/>
      <w:lang w:bidi="ar-SA"/>
    </w:rPr>
  </w:style>
  <w:style w:type="character" w:customStyle="1" w:styleId="79">
    <w:name w:val="font01"/>
    <w:qFormat/>
    <w:uiPriority w:val="0"/>
    <w:rPr>
      <w:rFonts w:hint="eastAsia" w:ascii="宋体" w:hAnsi="宋体" w:eastAsia="宋体" w:cs="宋体"/>
      <w:color w:val="000000"/>
      <w:sz w:val="22"/>
      <w:szCs w:val="22"/>
      <w:u w:val="none"/>
    </w:rPr>
  </w:style>
  <w:style w:type="character" w:customStyle="1" w:styleId="80">
    <w:name w:val="fontstyle01"/>
    <w:qFormat/>
    <w:uiPriority w:val="0"/>
    <w:rPr>
      <w:rFonts w:hint="eastAsia" w:ascii="宋体" w:hAnsi="宋体" w:eastAsia="宋体"/>
      <w:color w:val="000000"/>
      <w:sz w:val="22"/>
      <w:szCs w:val="22"/>
    </w:rPr>
  </w:style>
  <w:style w:type="character" w:customStyle="1" w:styleId="81">
    <w:name w:val="纯文本 字符2"/>
    <w:qFormat/>
    <w:uiPriority w:val="0"/>
    <w:rPr>
      <w:rFonts w:ascii="宋体" w:hAnsi="Courier New" w:eastAsia="宋体"/>
      <w:kern w:val="2"/>
      <w:sz w:val="21"/>
      <w:lang w:val="en-US" w:eastAsia="zh-CN" w:bidi="ar-SA"/>
    </w:rPr>
  </w:style>
  <w:style w:type="character" w:customStyle="1" w:styleId="82">
    <w:name w:val="Char Char10"/>
    <w:qFormat/>
    <w:locked/>
    <w:uiPriority w:val="0"/>
    <w:rPr>
      <w:rFonts w:ascii="宋体" w:hAnsi="宋体" w:eastAsia="宋体"/>
      <w:kern w:val="2"/>
      <w:sz w:val="21"/>
      <w:szCs w:val="24"/>
      <w:lang w:val="en-US" w:eastAsia="zh-CN" w:bidi="ar-SA"/>
    </w:rPr>
  </w:style>
  <w:style w:type="character" w:customStyle="1" w:styleId="83">
    <w:name w:val="正文缩进 Char1"/>
    <w:qFormat/>
    <w:locked/>
    <w:uiPriority w:val="0"/>
    <w:rPr>
      <w:rFonts w:eastAsia="宋体"/>
      <w:kern w:val="2"/>
      <w:sz w:val="21"/>
      <w:lang w:val="en-US" w:eastAsia="zh-CN" w:bidi="ar-SA"/>
    </w:rPr>
  </w:style>
  <w:style w:type="character" w:customStyle="1" w:styleId="84">
    <w:name w:val="cfdate"/>
    <w:qFormat/>
    <w:uiPriority w:val="0"/>
    <w:rPr>
      <w:color w:val="333333"/>
      <w:sz w:val="18"/>
      <w:szCs w:val="18"/>
    </w:rPr>
  </w:style>
  <w:style w:type="character" w:customStyle="1" w:styleId="85">
    <w:name w:val="未处理的提及1"/>
    <w:unhideWhenUsed/>
    <w:qFormat/>
    <w:uiPriority w:val="99"/>
    <w:rPr>
      <w:rFonts w:ascii="Tahoma" w:hAnsi="Tahoma"/>
      <w:color w:val="808080"/>
      <w:sz w:val="24"/>
      <w:szCs w:val="20"/>
      <w:shd w:val="clear" w:color="auto" w:fill="E6E6E6"/>
    </w:rPr>
  </w:style>
  <w:style w:type="character" w:customStyle="1" w:styleId="86">
    <w:name w:val="列表段落 字符"/>
    <w:link w:val="87"/>
    <w:qFormat/>
    <w:locked/>
    <w:uiPriority w:val="0"/>
    <w:rPr>
      <w:kern w:val="2"/>
      <w:sz w:val="21"/>
      <w:szCs w:val="24"/>
    </w:rPr>
  </w:style>
  <w:style w:type="paragraph" w:styleId="87">
    <w:name w:val="List Paragraph"/>
    <w:basedOn w:val="1"/>
    <w:link w:val="86"/>
    <w:qFormat/>
    <w:uiPriority w:val="0"/>
    <w:pPr>
      <w:ind w:firstLine="420" w:firstLineChars="200"/>
    </w:pPr>
  </w:style>
  <w:style w:type="character" w:customStyle="1" w:styleId="88">
    <w:name w:val="main12"/>
    <w:qFormat/>
    <w:uiPriority w:val="0"/>
    <w:rPr>
      <w:rFonts w:ascii="Arial" w:hAnsi="Arial" w:cs="Arial"/>
      <w:color w:val="000000"/>
      <w:sz w:val="18"/>
      <w:szCs w:val="18"/>
    </w:rPr>
  </w:style>
  <w:style w:type="character" w:customStyle="1" w:styleId="89">
    <w:name w:val="Char Char1"/>
    <w:qFormat/>
    <w:uiPriority w:val="0"/>
    <w:rPr>
      <w:rFonts w:eastAsia="宋体"/>
      <w:kern w:val="2"/>
      <w:sz w:val="21"/>
      <w:szCs w:val="24"/>
      <w:lang w:val="en-US" w:eastAsia="zh-CN" w:bidi="ar-SA"/>
    </w:rPr>
  </w:style>
  <w:style w:type="character" w:customStyle="1" w:styleId="90">
    <w:name w:val="无"/>
    <w:qFormat/>
    <w:uiPriority w:val="0"/>
  </w:style>
  <w:style w:type="character" w:customStyle="1" w:styleId="91">
    <w:name w:val="标题 Char"/>
    <w:qFormat/>
    <w:uiPriority w:val="10"/>
    <w:rPr>
      <w:rFonts w:ascii="Calibri Light" w:hAnsi="Calibri Light" w:cs="Times New Roman"/>
      <w:b/>
      <w:bCs/>
      <w:kern w:val="2"/>
      <w:sz w:val="32"/>
      <w:szCs w:val="32"/>
    </w:rPr>
  </w:style>
  <w:style w:type="paragraph" w:customStyle="1" w:styleId="92">
    <w:name w:val="CM15"/>
    <w:basedOn w:val="52"/>
    <w:next w:val="52"/>
    <w:qFormat/>
    <w:uiPriority w:val="0"/>
    <w:pPr>
      <w:spacing w:line="468" w:lineRule="atLeast"/>
    </w:pPr>
    <w:rPr>
      <w:rFonts w:ascii="Sim Sun" w:eastAsia="Sim Sun" w:cs="Times New Roman"/>
      <w:color w:val="auto"/>
    </w:rPr>
  </w:style>
  <w:style w:type="paragraph" w:customStyle="1" w:styleId="93">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94">
    <w:name w:val="xl72"/>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95">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96">
    <w:name w:val="_Style 36"/>
    <w:basedOn w:val="1"/>
    <w:qFormat/>
    <w:uiPriority w:val="0"/>
    <w:rPr>
      <w:rFonts w:ascii="Tahoma" w:hAnsi="Tahoma"/>
      <w:sz w:val="24"/>
      <w:szCs w:val="20"/>
    </w:rPr>
  </w:style>
  <w:style w:type="paragraph" w:customStyle="1" w:styleId="97">
    <w:name w:val="首行缩进"/>
    <w:basedOn w:val="1"/>
    <w:qFormat/>
    <w:uiPriority w:val="0"/>
    <w:pPr>
      <w:ind w:firstLine="480" w:firstLineChars="200"/>
    </w:pPr>
  </w:style>
  <w:style w:type="paragraph" w:customStyle="1" w:styleId="98">
    <w:name w:val="xl8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99">
    <w:name w:val="段"/>
    <w:next w:val="1"/>
    <w:qFormat/>
    <w:uiPriority w:val="99"/>
    <w:pPr>
      <w:autoSpaceDE w:val="0"/>
      <w:autoSpaceDN w:val="0"/>
      <w:ind w:firstLine="200"/>
      <w:jc w:val="both"/>
    </w:pPr>
    <w:rPr>
      <w:rFonts w:ascii="宋体" w:hAnsi="宋体" w:eastAsia="宋体" w:cs="Times New Roman"/>
      <w:sz w:val="21"/>
      <w:szCs w:val="21"/>
      <w:lang w:val="en-US" w:eastAsia="zh-CN" w:bidi="ar-SA"/>
    </w:rPr>
  </w:style>
  <w:style w:type="paragraph" w:customStyle="1" w:styleId="100">
    <w:name w:val="Body text|1"/>
    <w:basedOn w:val="1"/>
    <w:qFormat/>
    <w:uiPriority w:val="0"/>
    <w:pPr>
      <w:spacing w:line="350" w:lineRule="auto"/>
      <w:ind w:firstLine="400"/>
      <w:jc w:val="left"/>
    </w:pPr>
    <w:rPr>
      <w:rFonts w:ascii="宋体" w:hAnsi="宋体" w:cs="宋体"/>
      <w:kern w:val="0"/>
      <w:sz w:val="30"/>
      <w:szCs w:val="30"/>
    </w:rPr>
  </w:style>
  <w:style w:type="paragraph" w:customStyle="1" w:styleId="101">
    <w:name w:val="Body text|3"/>
    <w:basedOn w:val="1"/>
    <w:qFormat/>
    <w:uiPriority w:val="0"/>
    <w:pPr>
      <w:spacing w:after="460"/>
      <w:jc w:val="center"/>
    </w:pPr>
    <w:rPr>
      <w:rFonts w:ascii="宋体" w:hAnsi="宋体" w:cs="宋体"/>
      <w:kern w:val="0"/>
      <w:sz w:val="34"/>
      <w:szCs w:val="34"/>
    </w:rPr>
  </w:style>
  <w:style w:type="paragraph" w:customStyle="1" w:styleId="10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03">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4">
    <w:name w:val="xl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05">
    <w:name w:val="xl8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06">
    <w:name w:val="样式1"/>
    <w:basedOn w:val="1"/>
    <w:qFormat/>
    <w:uiPriority w:val="0"/>
    <w:pPr>
      <w:widowControl/>
      <w:jc w:val="left"/>
    </w:pPr>
    <w:rPr>
      <w:rFonts w:ascii="宋体" w:hAnsi="宋体"/>
      <w:kern w:val="0"/>
      <w:szCs w:val="21"/>
    </w:rPr>
  </w:style>
  <w:style w:type="paragraph" w:customStyle="1" w:styleId="107">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08">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10">
    <w:name w:val="Table Paragraph"/>
    <w:basedOn w:val="1"/>
    <w:qFormat/>
    <w:uiPriority w:val="1"/>
  </w:style>
  <w:style w:type="paragraph" w:customStyle="1" w:styleId="111">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1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3">
    <w:name w:val="p0"/>
    <w:basedOn w:val="1"/>
    <w:qFormat/>
    <w:uiPriority w:val="0"/>
    <w:pPr>
      <w:widowControl/>
    </w:pPr>
    <w:rPr>
      <w:kern w:val="0"/>
      <w:szCs w:val="20"/>
    </w:rPr>
  </w:style>
  <w:style w:type="paragraph" w:customStyle="1" w:styleId="11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正文_0"/>
    <w:qFormat/>
    <w:uiPriority w:val="0"/>
    <w:pPr>
      <w:widowControl w:val="0"/>
      <w:tabs>
        <w:tab w:val="left" w:pos="480"/>
      </w:tabs>
      <w:spacing w:line="360" w:lineRule="auto"/>
      <w:jc w:val="both"/>
    </w:pPr>
    <w:rPr>
      <w:rFonts w:ascii="Times New Roman" w:hAnsi="Times New Roman" w:eastAsia="宋体" w:cs="Times New Roman"/>
      <w:kern w:val="2"/>
      <w:sz w:val="24"/>
      <w:szCs w:val="22"/>
      <w:lang w:val="en-US" w:eastAsia="zh-CN" w:bidi="ar-SA"/>
    </w:rPr>
  </w:style>
  <w:style w:type="paragraph" w:customStyle="1" w:styleId="116">
    <w:name w:val="正文_0_0"/>
    <w:qFormat/>
    <w:uiPriority w:val="0"/>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customStyle="1" w:styleId="117">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19">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CM14"/>
    <w:basedOn w:val="52"/>
    <w:next w:val="52"/>
    <w:qFormat/>
    <w:uiPriority w:val="0"/>
    <w:pPr>
      <w:spacing w:line="468" w:lineRule="atLeast"/>
    </w:pPr>
    <w:rPr>
      <w:rFonts w:ascii="Sim Sun" w:eastAsia="Sim Sun" w:cs="Times New Roman"/>
      <w:color w:val="auto"/>
    </w:rPr>
  </w:style>
  <w:style w:type="paragraph" w:customStyle="1" w:styleId="121">
    <w:name w:val="Char Char8"/>
    <w:basedOn w:val="1"/>
    <w:qFormat/>
    <w:uiPriority w:val="0"/>
    <w:rPr>
      <w:rFonts w:ascii="Tahoma" w:hAnsi="Tahoma" w:eastAsia="Times New Roman"/>
      <w:kern w:val="0"/>
      <w:sz w:val="24"/>
      <w:szCs w:val="20"/>
    </w:rPr>
  </w:style>
  <w:style w:type="paragraph" w:customStyle="1" w:styleId="122">
    <w:name w:val="普通(网站)1"/>
    <w:basedOn w:val="1"/>
    <w:qFormat/>
    <w:uiPriority w:val="0"/>
    <w:pPr>
      <w:jc w:val="left"/>
    </w:pPr>
    <w:rPr>
      <w:kern w:val="0"/>
      <w:sz w:val="24"/>
    </w:rPr>
  </w:style>
  <w:style w:type="paragraph" w:customStyle="1" w:styleId="123">
    <w:name w:val="Char1 Char Char Char Char Char Char"/>
    <w:basedOn w:val="1"/>
    <w:qFormat/>
    <w:uiPriority w:val="0"/>
    <w:rPr>
      <w:rFonts w:ascii="Tahoma" w:hAnsi="Tahoma"/>
      <w:sz w:val="24"/>
      <w:szCs w:val="20"/>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5">
    <w:name w:val="xl8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26">
    <w:name w:val="p17"/>
    <w:basedOn w:val="1"/>
    <w:qFormat/>
    <w:uiPriority w:val="0"/>
    <w:pPr>
      <w:widowControl/>
    </w:pPr>
    <w:rPr>
      <w:rFonts w:ascii="宋体" w:hAnsi="宋体" w:cs="宋体"/>
      <w:kern w:val="0"/>
      <w:szCs w:val="21"/>
    </w:rPr>
  </w:style>
  <w:style w:type="paragraph" w:customStyle="1" w:styleId="127">
    <w:name w:val="xl7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8">
    <w:name w:val="BodyText"/>
    <w:basedOn w:val="1"/>
    <w:qFormat/>
    <w:uiPriority w:val="0"/>
    <w:pPr>
      <w:textAlignment w:val="baseline"/>
    </w:pPr>
    <w:rPr>
      <w:szCs w:val="21"/>
    </w:rPr>
  </w:style>
  <w:style w:type="paragraph" w:customStyle="1" w:styleId="129">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0">
    <w:name w:val="1"/>
    <w:basedOn w:val="1"/>
    <w:next w:val="20"/>
    <w:qFormat/>
    <w:uiPriority w:val="0"/>
    <w:rPr>
      <w:rFonts w:ascii="宋体" w:hAnsi="Courier New"/>
      <w:szCs w:val="20"/>
    </w:rPr>
  </w:style>
  <w:style w:type="paragraph" w:customStyle="1" w:styleId="131">
    <w:name w:val="Char Char2 Char Char"/>
    <w:basedOn w:val="1"/>
    <w:qFormat/>
    <w:uiPriority w:val="0"/>
    <w:rPr>
      <w:rFonts w:ascii="Tahoma" w:hAnsi="Tahoma"/>
      <w:sz w:val="24"/>
      <w:szCs w:val="20"/>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3">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4">
    <w:name w:val="TOC 标题1"/>
    <w:basedOn w:val="6"/>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35">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7">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8">
    <w:name w:val="xl8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39">
    <w:name w:val="列出段落1"/>
    <w:basedOn w:val="1"/>
    <w:qFormat/>
    <w:uiPriority w:val="0"/>
    <w:pPr>
      <w:ind w:firstLine="420" w:firstLineChars="200"/>
    </w:pPr>
    <w:rPr>
      <w:rFonts w:ascii="仿宋_GB2312" w:eastAsia="仿宋_GB2312"/>
      <w:sz w:val="32"/>
    </w:rPr>
  </w:style>
  <w:style w:type="paragraph" w:customStyle="1" w:styleId="14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41">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4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3">
    <w:name w:val="中等深浅网格 21"/>
    <w:basedOn w:val="1"/>
    <w:qFormat/>
    <w:uiPriority w:val="0"/>
    <w:rPr>
      <w:szCs w:val="32"/>
    </w:rPr>
  </w:style>
  <w:style w:type="paragraph" w:customStyle="1" w:styleId="144">
    <w:name w:val="标准正文"/>
    <w:basedOn w:val="1"/>
    <w:link w:val="145"/>
    <w:qFormat/>
    <w:uiPriority w:val="0"/>
    <w:pPr>
      <w:spacing w:line="440" w:lineRule="exact"/>
      <w:ind w:firstLine="480" w:firstLineChars="200"/>
    </w:pPr>
    <w:rPr>
      <w:rFonts w:ascii="宋体" w:hAnsi="宋体" w:cs="宋体"/>
      <w:bCs/>
      <w:sz w:val="24"/>
    </w:rPr>
  </w:style>
  <w:style w:type="character" w:customStyle="1" w:styleId="145">
    <w:name w:val="标准正文 字符"/>
    <w:link w:val="144"/>
    <w:qFormat/>
    <w:uiPriority w:val="0"/>
    <w:rPr>
      <w:rFonts w:ascii="宋体" w:hAnsi="宋体" w:cs="宋体"/>
      <w:bCs/>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QBPC</Company>
  <Pages>63</Pages>
  <Words>43441</Words>
  <Characters>46707</Characters>
  <Lines>306</Lines>
  <Paragraphs>86</Paragraphs>
  <TotalTime>3</TotalTime>
  <ScaleCrop>false</ScaleCrop>
  <LinksUpToDate>false</LinksUpToDate>
  <CharactersWithSpaces>49293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2021-10-27T09:30:00Z</dcterms:created>
  <dc:creator>微软用户</dc:creator>
  <cp:lastModifiedBy>WPS_1667286892</cp:lastModifiedBy>
  <cp:lastPrinted>2021-10-28T09:02:00Z</cp:lastPrinted>
  <dcterms:modified xsi:type="dcterms:W3CDTF">2023-03-27T07:46:26Z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89D46680C6F9458BAC992BE1754E4E70</vt:lpwstr>
  </property>
</Properties>
</file>