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1800"/>
        <w:rPr>
          <w:rFonts w:ascii="仿宋" w:hAnsi="仿宋" w:eastAsia="仿宋" w:cs="仿宋"/>
          <w:sz w:val="32"/>
          <w:szCs w:val="32"/>
        </w:rPr>
      </w:pPr>
    </w:p>
    <w:p>
      <w:pPr>
        <w:ind w:firstLine="5760" w:firstLineChars="1800"/>
        <w:rPr>
          <w:rFonts w:ascii="仿宋" w:hAnsi="仿宋" w:eastAsia="仿宋" w:cs="仿宋"/>
          <w:sz w:val="32"/>
          <w:szCs w:val="32"/>
        </w:rPr>
      </w:pPr>
    </w:p>
    <w:p>
      <w:pPr>
        <w:ind w:firstLine="5760" w:firstLineChars="1800"/>
        <w:rPr>
          <w:rFonts w:ascii="仿宋" w:hAnsi="仿宋" w:eastAsia="仿宋" w:cs="仿宋"/>
          <w:sz w:val="32"/>
          <w:szCs w:val="32"/>
        </w:rPr>
      </w:pPr>
    </w:p>
    <w:p>
      <w:pPr>
        <w:spacing w:line="360" w:lineRule="auto"/>
        <w:jc w:val="center"/>
        <w:rPr>
          <w:rFonts w:ascii="宋体" w:hAnsi="宋体" w:cs="宋体"/>
          <w:b/>
          <w:sz w:val="72"/>
          <w:szCs w:val="72"/>
        </w:rPr>
      </w:pPr>
      <w:r>
        <w:rPr>
          <w:rFonts w:hint="eastAsia" w:ascii="宋体" w:hAnsi="宋体" w:cs="宋体"/>
          <w:b/>
          <w:sz w:val="72"/>
          <w:szCs w:val="72"/>
        </w:rPr>
        <w:t>竞争性磋商文件</w:t>
      </w:r>
    </w:p>
    <w:p>
      <w:pPr>
        <w:pStyle w:val="9"/>
        <w:spacing w:line="360" w:lineRule="auto"/>
        <w:ind w:firstLine="4180" w:firstLineChars="1900"/>
        <w:rPr>
          <w:rFonts w:hAnsi="宋体" w:cs="宋体"/>
          <w:sz w:val="22"/>
          <w:szCs w:val="21"/>
        </w:rPr>
      </w:pP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spacing w:line="480" w:lineRule="auto"/>
        <w:ind w:firstLine="843" w:firstLineChars="300"/>
        <w:jc w:val="left"/>
        <w:rPr>
          <w:rFonts w:ascii="宋体" w:hAnsi="宋体" w:cs="宋体"/>
          <w:b/>
          <w:bCs/>
          <w:sz w:val="28"/>
          <w:szCs w:val="28"/>
        </w:rPr>
      </w:pPr>
      <w:r>
        <w:rPr>
          <w:rFonts w:hint="eastAsia" w:ascii="宋体" w:hAnsi="宋体" w:cs="宋体"/>
          <w:b/>
          <w:bCs/>
          <w:sz w:val="28"/>
          <w:szCs w:val="28"/>
        </w:rPr>
        <w:t>项目名称：《桂平市水安全保障“十四五”规划》编制服务</w:t>
      </w:r>
    </w:p>
    <w:p>
      <w:pPr>
        <w:spacing w:line="480" w:lineRule="auto"/>
        <w:ind w:firstLine="843" w:firstLineChars="300"/>
        <w:jc w:val="left"/>
        <w:rPr>
          <w:rFonts w:ascii="宋体" w:hAnsi="宋体" w:cs="宋体"/>
          <w:b/>
          <w:bCs/>
          <w:spacing w:val="40"/>
          <w:kern w:val="0"/>
          <w:sz w:val="28"/>
          <w:szCs w:val="28"/>
        </w:rPr>
      </w:pPr>
      <w:r>
        <w:rPr>
          <w:rFonts w:hint="eastAsia" w:ascii="宋体" w:hAnsi="宋体" w:cs="宋体"/>
          <w:b/>
          <w:bCs/>
          <w:sz w:val="28"/>
          <w:szCs w:val="28"/>
        </w:rPr>
        <w:t xml:space="preserve">项目编号：GGZC2020-C3-50117-GXDZ </w:t>
      </w:r>
      <w:r>
        <w:rPr>
          <w:rFonts w:hint="eastAsia" w:ascii="宋体" w:hAnsi="宋体" w:cs="宋体"/>
          <w:b/>
          <w:bCs/>
          <w:spacing w:val="40"/>
          <w:kern w:val="0"/>
          <w:sz w:val="28"/>
          <w:szCs w:val="28"/>
        </w:rPr>
        <w:cr/>
      </w:r>
    </w:p>
    <w:p>
      <w:pPr>
        <w:spacing w:line="480" w:lineRule="auto"/>
        <w:ind w:firstLine="1444" w:firstLineChars="400"/>
        <w:jc w:val="left"/>
        <w:rPr>
          <w:rFonts w:ascii="宋体" w:hAnsi="宋体" w:cs="宋体"/>
          <w:b/>
          <w:bCs/>
          <w:spacing w:val="40"/>
          <w:kern w:val="0"/>
          <w:sz w:val="28"/>
          <w:szCs w:val="28"/>
        </w:rPr>
      </w:pPr>
    </w:p>
    <w:p>
      <w:pPr>
        <w:spacing w:line="480" w:lineRule="auto"/>
        <w:ind w:firstLine="1444" w:firstLineChars="400"/>
        <w:jc w:val="left"/>
        <w:rPr>
          <w:rFonts w:ascii="宋体" w:hAnsi="宋体" w:cs="宋体"/>
          <w:b/>
          <w:bCs/>
          <w:spacing w:val="40"/>
          <w:kern w:val="0"/>
          <w:sz w:val="28"/>
          <w:szCs w:val="28"/>
        </w:rPr>
      </w:pPr>
    </w:p>
    <w:p>
      <w:pPr>
        <w:spacing w:line="480" w:lineRule="auto"/>
        <w:ind w:firstLine="1444" w:firstLineChars="400"/>
        <w:jc w:val="left"/>
        <w:rPr>
          <w:rFonts w:ascii="宋体" w:hAnsi="宋体" w:cs="宋体"/>
          <w:b/>
          <w:bCs/>
          <w:spacing w:val="40"/>
          <w:kern w:val="0"/>
          <w:sz w:val="28"/>
          <w:szCs w:val="28"/>
        </w:rPr>
      </w:pPr>
    </w:p>
    <w:p>
      <w:pPr>
        <w:spacing w:line="480" w:lineRule="auto"/>
        <w:ind w:firstLine="843" w:firstLineChars="300"/>
        <w:jc w:val="left"/>
        <w:rPr>
          <w:rFonts w:ascii="宋体" w:hAnsi="宋体" w:cs="宋体"/>
          <w:b/>
          <w:bCs/>
          <w:sz w:val="28"/>
          <w:szCs w:val="28"/>
        </w:rPr>
      </w:pPr>
      <w:r>
        <w:rPr>
          <w:rFonts w:hint="eastAsia" w:ascii="宋体" w:hAnsi="宋体" w:cs="宋体"/>
          <w:b/>
          <w:bCs/>
          <w:sz w:val="28"/>
          <w:szCs w:val="28"/>
        </w:rPr>
        <w:t>采   购   人：桂平市农业农村局</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采购代理机构：广西德正建设项目管理有限责任公司</w:t>
      </w:r>
    </w:p>
    <w:p>
      <w:pPr>
        <w:spacing w:line="480" w:lineRule="auto"/>
        <w:rPr>
          <w:rFonts w:ascii="宋体" w:hAnsi="宋体" w:cs="宋体"/>
          <w:b/>
          <w:bCs/>
          <w:sz w:val="28"/>
          <w:szCs w:val="28"/>
        </w:rPr>
      </w:pPr>
    </w:p>
    <w:p>
      <w:pPr>
        <w:pStyle w:val="9"/>
        <w:snapToGrid w:val="0"/>
        <w:spacing w:line="360" w:lineRule="auto"/>
        <w:jc w:val="center"/>
        <w:rPr>
          <w:rFonts w:hAnsi="宋体" w:cs="宋体"/>
          <w:b/>
          <w:bCs/>
          <w:w w:val="95"/>
          <w:sz w:val="32"/>
          <w:szCs w:val="32"/>
        </w:rPr>
        <w:sectPr>
          <w:footerReference r:id="rId3" w:type="default"/>
          <w:footerReference r:id="rId4" w:type="even"/>
          <w:pgSz w:w="11907" w:h="16840"/>
          <w:pgMar w:top="1418" w:right="1418" w:bottom="1418" w:left="1418" w:header="851" w:footer="851" w:gutter="0"/>
          <w:pgNumType w:start="0"/>
          <w:cols w:space="720" w:num="1"/>
          <w:docGrid w:linePitch="318" w:charSpace="0"/>
        </w:sectPr>
      </w:pPr>
      <w:r>
        <w:rPr>
          <w:rFonts w:hint="eastAsia" w:hAnsi="宋体" w:cs="宋体"/>
          <w:b/>
          <w:bCs/>
          <w:sz w:val="28"/>
          <w:szCs w:val="28"/>
        </w:rPr>
        <w:t>2</w:t>
      </w:r>
      <w:r>
        <w:rPr>
          <w:rFonts w:hAnsi="宋体" w:cs="宋体"/>
          <w:b/>
          <w:bCs/>
          <w:sz w:val="28"/>
          <w:szCs w:val="28"/>
        </w:rPr>
        <w:t>020</w:t>
      </w:r>
      <w:r>
        <w:rPr>
          <w:rFonts w:hint="eastAsia" w:hAnsi="宋体" w:cs="宋体"/>
          <w:b/>
          <w:bCs/>
          <w:sz w:val="28"/>
          <w:szCs w:val="28"/>
        </w:rPr>
        <w:t>年</w:t>
      </w:r>
      <w:r>
        <w:rPr>
          <w:rFonts w:hAnsi="宋体" w:cs="宋体"/>
          <w:b/>
          <w:bCs/>
          <w:sz w:val="28"/>
          <w:szCs w:val="28"/>
        </w:rPr>
        <w:t>7</w:t>
      </w:r>
      <w:r>
        <w:rPr>
          <w:rFonts w:hint="eastAsia" w:hAnsi="宋体" w:cs="宋体"/>
          <w:b/>
          <w:bCs/>
          <w:sz w:val="28"/>
          <w:szCs w:val="28"/>
        </w:rPr>
        <w:t>月</w:t>
      </w:r>
    </w:p>
    <w:p>
      <w:pPr>
        <w:pStyle w:val="4"/>
        <w:tabs>
          <w:tab w:val="left" w:pos="8860"/>
          <w:tab w:val="left" w:pos="9140"/>
        </w:tabs>
        <w:bidi w:val="0"/>
        <w:adjustRightInd/>
        <w:snapToGrid/>
        <w:spacing w:before="240" w:after="240"/>
        <w:rPr>
          <w:rFonts w:hint="eastAsia" w:ascii="Times New Roman" w:hAnsi="宋体" w:eastAsia="华文仿宋" w:cs="宋体"/>
          <w:b/>
          <w:color w:val="auto"/>
          <w:kern w:val="0"/>
          <w:sz w:val="48"/>
          <w:szCs w:val="48"/>
          <w:vertAlign w:val="subscript"/>
          <w:lang w:val="en-US" w:eastAsia="zh-CN" w:bidi="ar-SA"/>
        </w:rPr>
      </w:pPr>
      <w:bookmarkStart w:id="0" w:name="_Toc9306"/>
      <w:bookmarkStart w:id="1" w:name="_Toc25250"/>
      <w:bookmarkStart w:id="2" w:name="_Toc17472"/>
      <w:bookmarkStart w:id="3" w:name="_Toc489544232"/>
      <w:bookmarkStart w:id="4" w:name="_Toc489544067"/>
      <w:bookmarkStart w:id="5" w:name="_Toc19831"/>
      <w:bookmarkStart w:id="6" w:name="_Toc5460"/>
      <w:bookmarkStart w:id="7" w:name="_Toc1257"/>
      <w:r>
        <w:rPr>
          <w:rFonts w:hint="eastAsia" w:ascii="宋体" w:hAnsi="宋体" w:eastAsia="宋体" w:cs="宋体"/>
          <w:b/>
          <w:bCs w:val="0"/>
          <w:color w:val="auto"/>
          <w:kern w:val="2"/>
          <w:sz w:val="40"/>
          <w:szCs w:val="36"/>
          <w:vertAlign w:val="baseline"/>
          <w:lang w:val="en-US" w:eastAsia="zh-CN" w:bidi="ar-SA"/>
        </w:rPr>
        <w:t>目  录</w:t>
      </w:r>
      <w:bookmarkEnd w:id="0"/>
      <w:bookmarkEnd w:id="1"/>
      <w:bookmarkEnd w:id="2"/>
      <w:bookmarkEnd w:id="3"/>
      <w:bookmarkEnd w:id="4"/>
      <w:bookmarkEnd w:id="5"/>
      <w:bookmarkEnd w:id="6"/>
      <w:bookmarkEnd w:id="7"/>
      <w:r>
        <w:rPr>
          <w:rFonts w:hint="eastAsia" w:hAnsi="宋体" w:cs="宋体"/>
          <w:bCs/>
          <w:sz w:val="72"/>
          <w:szCs w:val="72"/>
        </w:rPr>
        <w:fldChar w:fldCharType="begin"/>
      </w:r>
      <w:r>
        <w:rPr>
          <w:rFonts w:hint="eastAsia" w:hAnsi="宋体" w:cs="宋体"/>
          <w:bCs/>
          <w:sz w:val="72"/>
          <w:szCs w:val="72"/>
        </w:rPr>
        <w:instrText xml:space="preserve">TOC \o "1-1" \h \u </w:instrText>
      </w:r>
      <w:r>
        <w:rPr>
          <w:rFonts w:hint="eastAsia" w:hAnsi="宋体" w:cs="宋体"/>
          <w:bCs/>
          <w:sz w:val="72"/>
          <w:szCs w:val="72"/>
        </w:rPr>
        <w:fldChar w:fldCharType="separate"/>
      </w:r>
    </w:p>
    <w:p>
      <w:pPr>
        <w:pStyle w:val="14"/>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32"/>
          <w:szCs w:val="40"/>
        </w:rPr>
      </w:pPr>
      <w:r>
        <w:rPr>
          <w:rFonts w:hint="eastAsia" w:hAnsi="宋体" w:cs="宋体"/>
          <w:color w:val="auto"/>
          <w:sz w:val="32"/>
          <w:szCs w:val="48"/>
        </w:rPr>
        <w:fldChar w:fldCharType="begin"/>
      </w:r>
      <w:r>
        <w:rPr>
          <w:rFonts w:hint="eastAsia" w:hAnsi="宋体" w:cs="宋体"/>
          <w:sz w:val="32"/>
          <w:szCs w:val="48"/>
        </w:rPr>
        <w:instrText xml:space="preserve"> HYPERLINK \l _Toc30714 </w:instrText>
      </w:r>
      <w:r>
        <w:rPr>
          <w:rFonts w:hint="eastAsia" w:hAnsi="宋体" w:cs="宋体"/>
          <w:sz w:val="32"/>
          <w:szCs w:val="48"/>
        </w:rPr>
        <w:fldChar w:fldCharType="separate"/>
      </w:r>
      <w:r>
        <w:rPr>
          <w:rFonts w:hint="default" w:ascii="宋体" w:hAnsi="宋体" w:eastAsia="宋体" w:cs="宋体"/>
          <w:bCs/>
          <w:sz w:val="32"/>
          <w:szCs w:val="28"/>
          <w:vertAlign w:val="baseline"/>
        </w:rPr>
        <w:t xml:space="preserve">第一章 </w:t>
      </w:r>
      <w:r>
        <w:rPr>
          <w:rFonts w:hint="eastAsia" w:ascii="宋体" w:hAnsi="宋体" w:eastAsia="宋体" w:cs="宋体"/>
          <w:bCs/>
          <w:sz w:val="32"/>
          <w:szCs w:val="28"/>
          <w:vertAlign w:val="baseline"/>
        </w:rPr>
        <w:t>竞争性磋商公告</w:t>
      </w:r>
      <w:r>
        <w:rPr>
          <w:sz w:val="32"/>
          <w:szCs w:val="40"/>
        </w:rPr>
        <w:tab/>
      </w:r>
      <w:r>
        <w:rPr>
          <w:sz w:val="32"/>
          <w:szCs w:val="40"/>
        </w:rPr>
        <w:fldChar w:fldCharType="begin"/>
      </w:r>
      <w:r>
        <w:rPr>
          <w:sz w:val="32"/>
          <w:szCs w:val="40"/>
        </w:rPr>
        <w:instrText xml:space="preserve"> PAGEREF _Toc30714 </w:instrText>
      </w:r>
      <w:r>
        <w:rPr>
          <w:sz w:val="32"/>
          <w:szCs w:val="40"/>
        </w:rPr>
        <w:fldChar w:fldCharType="separate"/>
      </w:r>
      <w:r>
        <w:rPr>
          <w:sz w:val="32"/>
          <w:szCs w:val="40"/>
        </w:rPr>
        <w:t>1</w:t>
      </w:r>
      <w:r>
        <w:rPr>
          <w:sz w:val="32"/>
          <w:szCs w:val="40"/>
        </w:rPr>
        <w:fldChar w:fldCharType="end"/>
      </w:r>
      <w:r>
        <w:rPr>
          <w:rFonts w:hint="eastAsia" w:hAnsi="宋体" w:cs="宋体"/>
          <w:color w:val="auto"/>
          <w:sz w:val="32"/>
          <w:szCs w:val="48"/>
        </w:rPr>
        <w:fldChar w:fldCharType="end"/>
      </w:r>
    </w:p>
    <w:p>
      <w:pPr>
        <w:pStyle w:val="14"/>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32"/>
          <w:szCs w:val="40"/>
        </w:rPr>
      </w:pPr>
      <w:r>
        <w:rPr>
          <w:rFonts w:hint="eastAsia" w:hAnsi="宋体" w:cs="宋体"/>
          <w:color w:val="auto"/>
          <w:sz w:val="32"/>
          <w:szCs w:val="48"/>
        </w:rPr>
        <w:fldChar w:fldCharType="begin"/>
      </w:r>
      <w:r>
        <w:rPr>
          <w:rFonts w:hint="eastAsia" w:hAnsi="宋体" w:cs="宋体"/>
          <w:sz w:val="32"/>
          <w:szCs w:val="48"/>
        </w:rPr>
        <w:instrText xml:space="preserve"> HYPERLINK \l _Toc22022 </w:instrText>
      </w:r>
      <w:r>
        <w:rPr>
          <w:rFonts w:hint="eastAsia" w:hAnsi="宋体" w:cs="宋体"/>
          <w:sz w:val="32"/>
          <w:szCs w:val="48"/>
        </w:rPr>
        <w:fldChar w:fldCharType="separate"/>
      </w:r>
      <w:r>
        <w:rPr>
          <w:rFonts w:hint="eastAsia" w:ascii="宋体" w:hAnsi="宋体" w:eastAsia="宋体" w:cs="宋体"/>
          <w:bCs/>
          <w:sz w:val="32"/>
          <w:szCs w:val="28"/>
          <w:vertAlign w:val="baseline"/>
        </w:rPr>
        <w:t>第二章 供应商须知</w:t>
      </w:r>
      <w:r>
        <w:rPr>
          <w:sz w:val="32"/>
          <w:szCs w:val="40"/>
        </w:rPr>
        <w:tab/>
      </w:r>
      <w:r>
        <w:rPr>
          <w:sz w:val="32"/>
          <w:szCs w:val="40"/>
        </w:rPr>
        <w:fldChar w:fldCharType="begin"/>
      </w:r>
      <w:r>
        <w:rPr>
          <w:sz w:val="32"/>
          <w:szCs w:val="40"/>
        </w:rPr>
        <w:instrText xml:space="preserve"> PAGEREF _Toc22022 </w:instrText>
      </w:r>
      <w:r>
        <w:rPr>
          <w:sz w:val="32"/>
          <w:szCs w:val="40"/>
        </w:rPr>
        <w:fldChar w:fldCharType="separate"/>
      </w:r>
      <w:r>
        <w:rPr>
          <w:sz w:val="32"/>
          <w:szCs w:val="40"/>
        </w:rPr>
        <w:t>3</w:t>
      </w:r>
      <w:r>
        <w:rPr>
          <w:sz w:val="32"/>
          <w:szCs w:val="40"/>
        </w:rPr>
        <w:fldChar w:fldCharType="end"/>
      </w:r>
      <w:r>
        <w:rPr>
          <w:rFonts w:hint="eastAsia" w:hAnsi="宋体" w:cs="宋体"/>
          <w:color w:val="auto"/>
          <w:sz w:val="32"/>
          <w:szCs w:val="48"/>
        </w:rPr>
        <w:fldChar w:fldCharType="end"/>
      </w:r>
    </w:p>
    <w:p>
      <w:pPr>
        <w:pStyle w:val="14"/>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32"/>
          <w:szCs w:val="40"/>
        </w:rPr>
      </w:pPr>
      <w:r>
        <w:rPr>
          <w:rFonts w:hint="eastAsia" w:hAnsi="宋体" w:cs="宋体"/>
          <w:color w:val="auto"/>
          <w:sz w:val="32"/>
          <w:szCs w:val="48"/>
        </w:rPr>
        <w:fldChar w:fldCharType="begin"/>
      </w:r>
      <w:r>
        <w:rPr>
          <w:rFonts w:hint="eastAsia" w:hAnsi="宋体" w:cs="宋体"/>
          <w:sz w:val="32"/>
          <w:szCs w:val="48"/>
        </w:rPr>
        <w:instrText xml:space="preserve"> HYPERLINK \l _Toc29718 </w:instrText>
      </w:r>
      <w:r>
        <w:rPr>
          <w:rFonts w:hint="eastAsia" w:hAnsi="宋体" w:cs="宋体"/>
          <w:sz w:val="32"/>
          <w:szCs w:val="48"/>
        </w:rPr>
        <w:fldChar w:fldCharType="separate"/>
      </w:r>
      <w:r>
        <w:rPr>
          <w:rFonts w:hint="eastAsia" w:ascii="宋体" w:hAnsi="宋体" w:eastAsia="宋体" w:cs="宋体"/>
          <w:bCs/>
          <w:sz w:val="32"/>
          <w:szCs w:val="28"/>
          <w:vertAlign w:val="baseline"/>
        </w:rPr>
        <w:t>第三章 采购需求</w:t>
      </w:r>
      <w:r>
        <w:rPr>
          <w:sz w:val="32"/>
          <w:szCs w:val="40"/>
        </w:rPr>
        <w:tab/>
      </w:r>
      <w:r>
        <w:rPr>
          <w:sz w:val="32"/>
          <w:szCs w:val="40"/>
        </w:rPr>
        <w:fldChar w:fldCharType="begin"/>
      </w:r>
      <w:r>
        <w:rPr>
          <w:sz w:val="32"/>
          <w:szCs w:val="40"/>
        </w:rPr>
        <w:instrText xml:space="preserve"> PAGEREF _Toc29718 </w:instrText>
      </w:r>
      <w:r>
        <w:rPr>
          <w:sz w:val="32"/>
          <w:szCs w:val="40"/>
        </w:rPr>
        <w:fldChar w:fldCharType="separate"/>
      </w:r>
      <w:r>
        <w:rPr>
          <w:sz w:val="32"/>
          <w:szCs w:val="40"/>
        </w:rPr>
        <w:t>14</w:t>
      </w:r>
      <w:r>
        <w:rPr>
          <w:sz w:val="32"/>
          <w:szCs w:val="40"/>
        </w:rPr>
        <w:fldChar w:fldCharType="end"/>
      </w:r>
      <w:r>
        <w:rPr>
          <w:rFonts w:hint="eastAsia" w:hAnsi="宋体" w:cs="宋体"/>
          <w:color w:val="auto"/>
          <w:sz w:val="32"/>
          <w:szCs w:val="48"/>
        </w:rPr>
        <w:fldChar w:fldCharType="end"/>
      </w:r>
    </w:p>
    <w:p>
      <w:pPr>
        <w:pStyle w:val="14"/>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32"/>
          <w:szCs w:val="40"/>
        </w:rPr>
      </w:pPr>
      <w:r>
        <w:rPr>
          <w:rFonts w:hint="eastAsia" w:hAnsi="宋体" w:cs="宋体"/>
          <w:color w:val="auto"/>
          <w:sz w:val="32"/>
          <w:szCs w:val="48"/>
        </w:rPr>
        <w:fldChar w:fldCharType="begin"/>
      </w:r>
      <w:r>
        <w:rPr>
          <w:rFonts w:hint="eastAsia" w:hAnsi="宋体" w:cs="宋体"/>
          <w:sz w:val="32"/>
          <w:szCs w:val="48"/>
        </w:rPr>
        <w:instrText xml:space="preserve"> HYPERLINK \l _Toc6011 </w:instrText>
      </w:r>
      <w:r>
        <w:rPr>
          <w:rFonts w:hint="eastAsia" w:hAnsi="宋体" w:cs="宋体"/>
          <w:sz w:val="32"/>
          <w:szCs w:val="48"/>
        </w:rPr>
        <w:fldChar w:fldCharType="separate"/>
      </w:r>
      <w:r>
        <w:rPr>
          <w:rFonts w:hint="eastAsia" w:ascii="宋体" w:hAnsi="宋体" w:eastAsia="宋体" w:cs="宋体"/>
          <w:bCs/>
          <w:sz w:val="32"/>
          <w:szCs w:val="28"/>
          <w:vertAlign w:val="baseline"/>
        </w:rPr>
        <w:t>第四章 竞争性磋商响应文件格式</w:t>
      </w:r>
      <w:r>
        <w:rPr>
          <w:sz w:val="32"/>
          <w:szCs w:val="40"/>
        </w:rPr>
        <w:tab/>
      </w:r>
      <w:r>
        <w:rPr>
          <w:sz w:val="32"/>
          <w:szCs w:val="40"/>
        </w:rPr>
        <w:fldChar w:fldCharType="begin"/>
      </w:r>
      <w:r>
        <w:rPr>
          <w:sz w:val="32"/>
          <w:szCs w:val="40"/>
        </w:rPr>
        <w:instrText xml:space="preserve"> PAGEREF _Toc6011 </w:instrText>
      </w:r>
      <w:r>
        <w:rPr>
          <w:sz w:val="32"/>
          <w:szCs w:val="40"/>
        </w:rPr>
        <w:fldChar w:fldCharType="separate"/>
      </w:r>
      <w:r>
        <w:rPr>
          <w:sz w:val="32"/>
          <w:szCs w:val="40"/>
        </w:rPr>
        <w:t>18</w:t>
      </w:r>
      <w:r>
        <w:rPr>
          <w:sz w:val="32"/>
          <w:szCs w:val="40"/>
        </w:rPr>
        <w:fldChar w:fldCharType="end"/>
      </w:r>
      <w:r>
        <w:rPr>
          <w:rFonts w:hint="eastAsia" w:hAnsi="宋体" w:cs="宋体"/>
          <w:color w:val="auto"/>
          <w:sz w:val="32"/>
          <w:szCs w:val="48"/>
        </w:rPr>
        <w:fldChar w:fldCharType="end"/>
      </w:r>
    </w:p>
    <w:p>
      <w:pPr>
        <w:pStyle w:val="14"/>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32"/>
          <w:szCs w:val="40"/>
        </w:rPr>
      </w:pPr>
      <w:r>
        <w:rPr>
          <w:rFonts w:hint="eastAsia" w:hAnsi="宋体" w:cs="宋体"/>
          <w:color w:val="auto"/>
          <w:sz w:val="32"/>
          <w:szCs w:val="48"/>
        </w:rPr>
        <w:fldChar w:fldCharType="begin"/>
      </w:r>
      <w:r>
        <w:rPr>
          <w:rFonts w:hint="eastAsia" w:hAnsi="宋体" w:cs="宋体"/>
          <w:sz w:val="32"/>
          <w:szCs w:val="48"/>
        </w:rPr>
        <w:instrText xml:space="preserve"> HYPERLINK \l _Toc510 </w:instrText>
      </w:r>
      <w:r>
        <w:rPr>
          <w:rFonts w:hint="eastAsia" w:hAnsi="宋体" w:cs="宋体"/>
          <w:sz w:val="32"/>
          <w:szCs w:val="48"/>
        </w:rPr>
        <w:fldChar w:fldCharType="separate"/>
      </w:r>
      <w:r>
        <w:rPr>
          <w:rFonts w:hint="eastAsia" w:ascii="宋体" w:hAnsi="宋体" w:eastAsia="宋体" w:cs="宋体"/>
          <w:bCs/>
          <w:sz w:val="32"/>
          <w:szCs w:val="28"/>
          <w:vertAlign w:val="baseline"/>
        </w:rPr>
        <w:t>第五章 合同主要条款</w:t>
      </w:r>
      <w:r>
        <w:rPr>
          <w:sz w:val="32"/>
          <w:szCs w:val="40"/>
        </w:rPr>
        <w:tab/>
      </w:r>
      <w:r>
        <w:rPr>
          <w:sz w:val="32"/>
          <w:szCs w:val="40"/>
        </w:rPr>
        <w:fldChar w:fldCharType="begin"/>
      </w:r>
      <w:r>
        <w:rPr>
          <w:sz w:val="32"/>
          <w:szCs w:val="40"/>
        </w:rPr>
        <w:instrText xml:space="preserve"> PAGEREF _Toc510 </w:instrText>
      </w:r>
      <w:r>
        <w:rPr>
          <w:sz w:val="32"/>
          <w:szCs w:val="40"/>
        </w:rPr>
        <w:fldChar w:fldCharType="separate"/>
      </w:r>
      <w:r>
        <w:rPr>
          <w:sz w:val="32"/>
          <w:szCs w:val="40"/>
        </w:rPr>
        <w:t>28</w:t>
      </w:r>
      <w:r>
        <w:rPr>
          <w:sz w:val="32"/>
          <w:szCs w:val="40"/>
        </w:rPr>
        <w:fldChar w:fldCharType="end"/>
      </w:r>
      <w:r>
        <w:rPr>
          <w:rFonts w:hint="eastAsia" w:hAnsi="宋体" w:cs="宋体"/>
          <w:color w:val="auto"/>
          <w:sz w:val="32"/>
          <w:szCs w:val="48"/>
        </w:rPr>
        <w:fldChar w:fldCharType="end"/>
      </w:r>
    </w:p>
    <w:p>
      <w:pPr>
        <w:pStyle w:val="14"/>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32"/>
          <w:szCs w:val="40"/>
        </w:rPr>
      </w:pPr>
      <w:r>
        <w:rPr>
          <w:rFonts w:hint="eastAsia" w:hAnsi="宋体" w:cs="宋体"/>
          <w:color w:val="auto"/>
          <w:sz w:val="32"/>
          <w:szCs w:val="48"/>
        </w:rPr>
        <w:fldChar w:fldCharType="begin"/>
      </w:r>
      <w:r>
        <w:rPr>
          <w:rFonts w:hint="eastAsia" w:hAnsi="宋体" w:cs="宋体"/>
          <w:sz w:val="32"/>
          <w:szCs w:val="48"/>
        </w:rPr>
        <w:instrText xml:space="preserve"> HYPERLINK \l _Toc7184 </w:instrText>
      </w:r>
      <w:r>
        <w:rPr>
          <w:rFonts w:hint="eastAsia" w:hAnsi="宋体" w:cs="宋体"/>
          <w:sz w:val="32"/>
          <w:szCs w:val="48"/>
        </w:rPr>
        <w:fldChar w:fldCharType="separate"/>
      </w:r>
      <w:r>
        <w:rPr>
          <w:rFonts w:hint="eastAsia" w:ascii="宋体" w:hAnsi="宋体" w:eastAsia="宋体" w:cs="宋体"/>
          <w:bCs/>
          <w:sz w:val="32"/>
          <w:szCs w:val="28"/>
          <w:vertAlign w:val="baseline"/>
        </w:rPr>
        <w:t>第六章 评标方法及评分标准</w:t>
      </w:r>
      <w:r>
        <w:rPr>
          <w:sz w:val="32"/>
          <w:szCs w:val="40"/>
        </w:rPr>
        <w:tab/>
      </w:r>
      <w:r>
        <w:rPr>
          <w:sz w:val="32"/>
          <w:szCs w:val="40"/>
        </w:rPr>
        <w:fldChar w:fldCharType="begin"/>
      </w:r>
      <w:r>
        <w:rPr>
          <w:sz w:val="32"/>
          <w:szCs w:val="40"/>
        </w:rPr>
        <w:instrText xml:space="preserve"> PAGEREF _Toc7184 </w:instrText>
      </w:r>
      <w:r>
        <w:rPr>
          <w:sz w:val="32"/>
          <w:szCs w:val="40"/>
        </w:rPr>
        <w:fldChar w:fldCharType="separate"/>
      </w:r>
      <w:r>
        <w:rPr>
          <w:sz w:val="32"/>
          <w:szCs w:val="40"/>
        </w:rPr>
        <w:t>35</w:t>
      </w:r>
      <w:r>
        <w:rPr>
          <w:sz w:val="32"/>
          <w:szCs w:val="40"/>
        </w:rPr>
        <w:fldChar w:fldCharType="end"/>
      </w:r>
      <w:r>
        <w:rPr>
          <w:rFonts w:hint="eastAsia" w:hAnsi="宋体" w:cs="宋体"/>
          <w:color w:val="auto"/>
          <w:sz w:val="32"/>
          <w:szCs w:val="48"/>
        </w:rPr>
        <w:fldChar w:fldCharType="end"/>
      </w:r>
    </w:p>
    <w:p>
      <w:pPr>
        <w:pStyle w:val="9"/>
        <w:tabs>
          <w:tab w:val="left" w:pos="8860"/>
          <w:tab w:val="left" w:pos="9140"/>
        </w:tabs>
        <w:bidi w:val="0"/>
        <w:adjustRightInd/>
        <w:snapToGrid/>
        <w:spacing w:before="240" w:after="240" w:line="360" w:lineRule="auto"/>
        <w:jc w:val="center"/>
        <w:rPr>
          <w:rFonts w:hAnsi="宋体" w:cs="宋体"/>
          <w:color w:val="auto"/>
          <w:sz w:val="32"/>
          <w:szCs w:val="32"/>
        </w:rPr>
      </w:pPr>
      <w:r>
        <w:rPr>
          <w:rFonts w:hint="eastAsia" w:hAnsi="宋体" w:cs="宋体"/>
          <w:color w:val="auto"/>
          <w:sz w:val="48"/>
          <w:szCs w:val="48"/>
        </w:rPr>
        <w:fldChar w:fldCharType="end"/>
      </w:r>
    </w:p>
    <w:p>
      <w:pPr>
        <w:pStyle w:val="4"/>
        <w:rPr>
          <w:rStyle w:val="33"/>
          <w:rFonts w:ascii="宋体" w:hAnsi="宋体" w:cs="宋体"/>
          <w:b/>
          <w:bCs/>
          <w:color w:val="auto"/>
        </w:rPr>
        <w:sectPr>
          <w:headerReference r:id="rId5" w:type="default"/>
          <w:footerReference r:id="rId6" w:type="default"/>
          <w:pgSz w:w="11907" w:h="16840"/>
          <w:pgMar w:top="1418" w:right="1418" w:bottom="1418" w:left="1418" w:header="851" w:footer="851" w:gutter="0"/>
          <w:pgNumType w:start="0"/>
          <w:cols w:space="720" w:num="1"/>
          <w:titlePg/>
          <w:docGrid w:linePitch="318" w:charSpace="0"/>
        </w:sectPr>
      </w:pPr>
      <w:bookmarkStart w:id="135" w:name="_GoBack"/>
      <w:bookmarkEnd w:id="135"/>
      <w:bookmarkStart w:id="8" w:name="_Toc11242"/>
    </w:p>
    <w:p>
      <w:pPr>
        <w:pStyle w:val="4"/>
        <w:numPr>
          <w:ilvl w:val="0"/>
          <w:numId w:val="1"/>
        </w:numPr>
        <w:bidi w:val="0"/>
        <w:adjustRightInd/>
        <w:snapToGrid/>
        <w:spacing w:before="260"/>
        <w:rPr>
          <w:rFonts w:ascii="宋体" w:hAnsi="宋体" w:eastAsia="宋体" w:cs="宋体"/>
          <w:bCs/>
          <w:color w:val="auto"/>
          <w:sz w:val="36"/>
          <w:szCs w:val="20"/>
          <w:vertAlign w:val="baseline"/>
        </w:rPr>
      </w:pPr>
      <w:bookmarkStart w:id="9" w:name="_Toc8266"/>
      <w:bookmarkStart w:id="10" w:name="_Toc29736"/>
      <w:bookmarkStart w:id="11" w:name="_Toc489544233"/>
      <w:bookmarkStart w:id="12" w:name="_Toc30714"/>
      <w:r>
        <w:rPr>
          <w:rFonts w:hint="eastAsia" w:ascii="宋体" w:hAnsi="宋体" w:eastAsia="宋体" w:cs="宋体"/>
          <w:bCs/>
          <w:color w:val="auto"/>
          <w:sz w:val="36"/>
          <w:szCs w:val="20"/>
          <w:vertAlign w:val="baseline"/>
        </w:rPr>
        <w:t>竞争性磋商公告</w:t>
      </w:r>
      <w:bookmarkEnd w:id="8"/>
      <w:bookmarkEnd w:id="9"/>
      <w:bookmarkEnd w:id="10"/>
      <w:bookmarkEnd w:id="11"/>
      <w:bookmarkEnd w:id="12"/>
    </w:p>
    <w:p>
      <w:pPr>
        <w:pageBreakBefore w:val="0"/>
        <w:kinsoku/>
        <w:wordWrap/>
        <w:overflowPunct/>
        <w:topLinePunct w:val="0"/>
        <w:autoSpaceDE/>
        <w:autoSpaceDN/>
        <w:bidi w:val="0"/>
        <w:adjustRightInd/>
        <w:snapToGrid/>
        <w:spacing w:line="480" w:lineRule="auto"/>
        <w:jc w:val="center"/>
        <w:rPr>
          <w:rFonts w:ascii="宋体" w:hAnsi="宋体" w:cs="宋体"/>
          <w:szCs w:val="21"/>
        </w:rPr>
      </w:pPr>
      <w:bookmarkStart w:id="13" w:name="_Hlk44583867"/>
      <w:r>
        <w:rPr>
          <w:rFonts w:hint="eastAsia" w:ascii="宋体" w:hAnsi="宋体" w:cs="宋体"/>
          <w:b/>
          <w:kern w:val="0"/>
          <w:sz w:val="24"/>
          <w:lang w:eastAsia="zh-CN"/>
        </w:rPr>
        <w:t>广西德正建设项目管理有限责任公司关于</w:t>
      </w:r>
      <w:r>
        <w:rPr>
          <w:rFonts w:hint="eastAsia" w:ascii="宋体" w:hAnsi="宋体" w:cs="宋体"/>
          <w:b/>
          <w:kern w:val="0"/>
          <w:sz w:val="24"/>
        </w:rPr>
        <w:t>《桂平市水安全保障“十四五”规划》编制服务</w:t>
      </w:r>
      <w:bookmarkEnd w:id="13"/>
      <w:r>
        <w:rPr>
          <w:rFonts w:hint="eastAsia" w:ascii="宋体" w:hAnsi="宋体" w:cs="宋体"/>
          <w:b/>
          <w:kern w:val="0"/>
          <w:sz w:val="24"/>
        </w:rPr>
        <w:t>（项目编号：GGZC2020-C3-50117-GXDZ）竞争性磋商公告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rPr>
      </w:pPr>
      <w:r>
        <w:rPr>
          <w:rFonts w:hint="eastAsia" w:ascii="宋体" w:hAnsi="宋体" w:cs="宋体"/>
          <w:b/>
          <w:bCs/>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u w:val="single"/>
        </w:rPr>
        <w:t>《桂平市水安全保障“十四五”规划》编制服务</w:t>
      </w:r>
      <w:r>
        <w:rPr>
          <w:rFonts w:hint="eastAsia" w:ascii="宋体" w:hAnsi="宋体" w:cs="宋体"/>
          <w:szCs w:val="21"/>
        </w:rPr>
        <w:t>采购项目的潜在供应商应在</w:t>
      </w:r>
      <w:r>
        <w:rPr>
          <w:rFonts w:hint="eastAsia" w:ascii="宋体" w:hAnsi="宋体" w:cs="宋体"/>
          <w:szCs w:val="21"/>
          <w:u w:val="single"/>
        </w:rPr>
        <w:t>http://ggggjy.gxgg.gov.cn:9005/（贵港市公共资源交易中心）、http://zfcg.czj.gxgg.gov.cn/（贵港市政府采购网）、http://zfcg.gxzf.gov.cn/(广西壮族自治区政府采购网)、www.ccgp.gov.cn（中国政府采购网）</w:t>
      </w:r>
      <w:r>
        <w:rPr>
          <w:rFonts w:hint="eastAsia" w:ascii="宋体" w:hAnsi="宋体" w:cs="宋体"/>
          <w:szCs w:val="21"/>
        </w:rPr>
        <w:t>获取采购文件，并于</w:t>
      </w:r>
      <w:r>
        <w:rPr>
          <w:rFonts w:hint="eastAsia" w:ascii="宋体" w:hAnsi="宋体" w:cs="宋体"/>
          <w:szCs w:val="21"/>
          <w:lang w:eastAsia="zh-CN"/>
        </w:rPr>
        <w:t>2020年07月24日09点00分</w:t>
      </w:r>
      <w:r>
        <w:rPr>
          <w:rFonts w:hint="eastAsia" w:ascii="宋体" w:hAnsi="宋体" w:cs="宋体"/>
          <w:szCs w:val="21"/>
        </w:rPr>
        <w:t>（北京时间）前提交响应文件。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bookmarkStart w:id="14" w:name="_Toc35393629"/>
      <w:bookmarkStart w:id="15" w:name="_Toc28359012"/>
      <w:bookmarkStart w:id="16" w:name="_Toc35393798"/>
      <w:bookmarkStart w:id="17" w:name="_Toc283590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一、项目基本情况</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项目编号：GGZC2020-C3-50117-GXDZ</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项目名称：《桂平市水安全保障“十四五”规划》编制服务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预算金额：人民币肆拾伍万元整（￥450000.00）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采购需求：《桂平市水安全保障“十四五”规划》编制服务编制1项，如需进一步了解详细内容，详见竞争性磋商文件。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合同履行期限：2020年11月底前提交服务成果初稿；2021年9月底前提交经论证修改完善后的最终稿。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bookmarkStart w:id="18" w:name="_Toc35393799"/>
      <w:bookmarkStart w:id="19" w:name="_Toc35393630"/>
      <w:bookmarkStart w:id="20" w:name="_Toc28359090"/>
      <w:bookmarkStart w:id="21" w:name="_Toc28359013"/>
      <w:r>
        <w:rPr>
          <w:rFonts w:hint="eastAsia" w:asciiTheme="minorEastAsia" w:hAnsiTheme="minorEastAsia" w:eastAsiaTheme="minorEastAsia" w:cstheme="minorEastAsia"/>
          <w:b/>
          <w:bCs/>
        </w:rPr>
        <w:t>二、申请人的资格要求：</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bookmarkStart w:id="22" w:name="_Toc35393800"/>
      <w:bookmarkStart w:id="23" w:name="_Toc28359014"/>
      <w:bookmarkStart w:id="24" w:name="_Toc28359091"/>
      <w:bookmarkStart w:id="25" w:name="_Toc35393631"/>
      <w:r>
        <w:rPr>
          <w:rFonts w:hint="eastAsia" w:asciiTheme="minorEastAsia" w:hAnsiTheme="minorEastAsia" w:eastAsiaTheme="minorEastAsia" w:cstheme="minor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2、落实政府采购政策需满足的资格要求：扶持中小企业政策，支持监狱企业发展政策，促进残疾人就业政府采购政策；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3.1国内注册（指按国家有关规定要求注册的），并在人员、设备、资金等方面具有相应的能力；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3.2国内注册，同时具有设计水利行业丙级及以上（含丙级）和工程勘察专业（岩土工程勘察）丙级及以上（含丙级）资质；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3.4参加政府采购活动前三年内，在经营活动中没有重大违法记录和不良信用记录；（在“信用中国”网站(www.creditchina.gov.cn)、中国政府采购网(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等渠道被列入失信被执行人、重大税收违法案件当事人名单、政府采购严重违法失信行为记录名单及其他不符合《中华人民共和国政府采购法》第二十二条规定条件的供应商，将被拒绝其参与本次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三、获取采购文件</w:t>
      </w:r>
      <w:bookmarkEnd w:id="22"/>
      <w:bookmarkEnd w:id="23"/>
      <w:bookmarkEnd w:id="24"/>
      <w:bookmarkEnd w:id="25"/>
      <w:bookmarkStart w:id="26" w:name="_Toc28359092"/>
      <w:bookmarkStart w:id="27" w:name="_Toc35393632"/>
      <w:bookmarkStart w:id="28" w:name="_Toc28359015"/>
      <w:bookmarkStart w:id="29" w:name="_Toc3539380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时间：从</w:t>
      </w:r>
      <w:r>
        <w:rPr>
          <w:rFonts w:hint="eastAsia" w:asciiTheme="minorEastAsia" w:hAnsiTheme="minorEastAsia" w:eastAsiaTheme="minorEastAsia" w:cstheme="minorEastAsia"/>
          <w:lang w:val="en-US" w:eastAsia="zh-CN"/>
        </w:rPr>
        <w:t>2020年07月13日</w:t>
      </w:r>
      <w:r>
        <w:rPr>
          <w:rFonts w:hint="eastAsia" w:asciiTheme="minorEastAsia" w:hAnsiTheme="minorEastAsia" w:eastAsiaTheme="minorEastAsia" w:cstheme="minorEastAsia"/>
        </w:rPr>
        <w:t>起至</w:t>
      </w:r>
      <w:r>
        <w:rPr>
          <w:rFonts w:hint="eastAsia" w:asciiTheme="minorEastAsia" w:hAnsiTheme="minorEastAsia" w:eastAsiaTheme="minorEastAsia" w:cstheme="minorEastAsia"/>
          <w:lang w:eastAsia="zh-CN"/>
        </w:rPr>
        <w:t>2020年07月24日09点00分</w:t>
      </w:r>
      <w:r>
        <w:rPr>
          <w:rFonts w:hint="eastAsia" w:asciiTheme="minorEastAsia" w:hAnsiTheme="minorEastAsia" w:eastAsiaTheme="minorEastAsia" w:cstheme="minorEastAsia"/>
        </w:rPr>
        <w:t>止（北京时间）（磋商文件的发售期限自开始之日起不得少于5个工作日）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地点：http://ggggjy.gxgg.gov.cn:9005/（贵港市公共资源交易中心）、http://zfcg.czj.gxgg.gov.cn/（贵港市政府采购网）、http://zfcg.gxzf.gov.cn/(广西壮族自治区政府采购网)、www.ccgp.gov.cn（中国政府采购网）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方式：网上公告媒体自行免费下载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四、响应文件提交</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截止时间：</w:t>
      </w:r>
      <w:r>
        <w:rPr>
          <w:rFonts w:hint="eastAsia" w:asciiTheme="minorEastAsia" w:hAnsiTheme="minorEastAsia" w:eastAsiaTheme="minorEastAsia" w:cstheme="minorEastAsia"/>
          <w:lang w:eastAsia="zh-CN"/>
        </w:rPr>
        <w:t>2020年07月24日09点00分</w:t>
      </w:r>
      <w:r>
        <w:rPr>
          <w:rFonts w:hint="eastAsia" w:asciiTheme="minorEastAsia" w:hAnsiTheme="minorEastAsia" w:eastAsiaTheme="minorEastAsia" w:cstheme="minorEastAsia"/>
        </w:rPr>
        <w:t>（北京时间）（从磋商文件开始发出之日起至供应商提交首次响应文件截止之日止不得少于10日）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地点：桂平市公共资源交易中心[桂平市桂江西路政务服务中心新大楼五楼（原国会大厦）]开标室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bookmarkStart w:id="30" w:name="_Toc28359093"/>
      <w:bookmarkStart w:id="31" w:name="_Toc28359016"/>
      <w:bookmarkStart w:id="32" w:name="_Toc35393633"/>
      <w:bookmarkStart w:id="33" w:name="_Toc35393802"/>
      <w:r>
        <w:rPr>
          <w:rFonts w:hint="eastAsia" w:asciiTheme="minorEastAsia" w:hAnsiTheme="minorEastAsia" w:eastAsiaTheme="minorEastAsia" w:cstheme="minorEastAsia"/>
          <w:b/>
          <w:bCs/>
        </w:rPr>
        <w:t>五、开启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w:t>
      </w:r>
      <w:r>
        <w:rPr>
          <w:rFonts w:hint="eastAsia" w:asciiTheme="minorEastAsia" w:hAnsiTheme="minorEastAsia" w:eastAsiaTheme="minorEastAsia" w:cstheme="minorEastAsia"/>
          <w:lang w:eastAsia="zh-CN"/>
        </w:rPr>
        <w:t>2020年07月24日09点00分</w:t>
      </w:r>
      <w:r>
        <w:rPr>
          <w:rFonts w:hint="eastAsia" w:asciiTheme="minorEastAsia" w:hAnsiTheme="minorEastAsia" w:eastAsiaTheme="minorEastAsia" w:cstheme="minorEastAsia"/>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地点：桂平市公共资源交易中心[桂平市桂江西路政务服务中心新大楼五楼（原国会大厦）]开标室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bookmarkStart w:id="34" w:name="_Toc35393634"/>
      <w:bookmarkStart w:id="35" w:name="_Toc28359094"/>
      <w:bookmarkStart w:id="36" w:name="_Toc35393803"/>
      <w:bookmarkStart w:id="37" w:name="_Toc28359017"/>
      <w:r>
        <w:rPr>
          <w:rFonts w:hint="eastAsia" w:asciiTheme="minorEastAsia" w:hAnsiTheme="minorEastAsia" w:eastAsiaTheme="minorEastAsia" w:cstheme="minorEastAsia"/>
          <w:b/>
          <w:bCs/>
        </w:rPr>
        <w:t>六、公告期限</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自本公告发布之日起10日。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bookmarkStart w:id="38" w:name="_Toc35393804"/>
      <w:bookmarkStart w:id="39" w:name="_Toc35393635"/>
      <w:r>
        <w:rPr>
          <w:rFonts w:hint="eastAsia" w:asciiTheme="minorEastAsia" w:hAnsiTheme="minorEastAsia" w:eastAsiaTheme="minorEastAsia" w:cstheme="minorEastAsia"/>
          <w:b/>
          <w:bCs/>
        </w:rPr>
        <w:t>七、其他补充事宜</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bookmarkStart w:id="40" w:name="_Toc35393805"/>
      <w:bookmarkStart w:id="41" w:name="_Toc28359018"/>
      <w:bookmarkStart w:id="42" w:name="_Toc28359095"/>
      <w:bookmarkStart w:id="43" w:name="_Toc35393636"/>
      <w:r>
        <w:rPr>
          <w:rFonts w:hint="eastAsia" w:asciiTheme="minorEastAsia" w:hAnsiTheme="minorEastAsia" w:eastAsiaTheme="minorEastAsia" w:cstheme="minorEastAsia"/>
        </w:rPr>
        <w:t>网上公告媒体：www.ccgp.gov.cn（中国政府采购网）、http://zfcg.gxzf.gov.cn/(广西壮族自治区政府采购网)、http://zfcg.czj.gxgg.gov.cn/（贵港市政府采购网）、(http://ggggjy.gxgg.gov.cn:9005/（贵港市公共资源交易中心）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八、凡对本次采购提出询问，请按以下方式联系。</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bookmarkStart w:id="44" w:name="_Toc28359019"/>
      <w:bookmarkStart w:id="45" w:name="_Toc35393637"/>
      <w:bookmarkStart w:id="46" w:name="_Toc28359096"/>
      <w:bookmarkStart w:id="47" w:name="_Toc35393806"/>
      <w:r>
        <w:rPr>
          <w:rFonts w:hint="eastAsia" w:asciiTheme="minorEastAsia" w:hAnsiTheme="minorEastAsia" w:eastAsiaTheme="minorEastAsia" w:cstheme="minorEastAsia"/>
        </w:rPr>
        <w:t>1.采购人信息</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名称：桂平市农业农村局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lang w:eastAsia="zh-CN"/>
        </w:rPr>
        <w:t>桂平市西山镇中山北路23号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联系方式：0775-3380592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bookmarkStart w:id="48" w:name="_Toc28359097"/>
      <w:bookmarkStart w:id="49" w:name="_Toc35393638"/>
      <w:bookmarkStart w:id="50" w:name="_Toc35393807"/>
      <w:bookmarkStart w:id="51" w:name="_Toc28359020"/>
      <w:r>
        <w:rPr>
          <w:rFonts w:hint="eastAsia" w:asciiTheme="minorEastAsia" w:hAnsiTheme="minorEastAsia" w:eastAsiaTheme="minorEastAsia" w:cstheme="minorEastAsia"/>
        </w:rPr>
        <w:t>2.采购代理机构信息</w:t>
      </w:r>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名称：广西德正建设项目管理有限责任公司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址：桂平市桂江中路南二巷凤凰公园内0-01号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联系方式：0775-3356002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bookmarkStart w:id="52" w:name="_Toc35393808"/>
      <w:bookmarkStart w:id="53" w:name="_Toc35393639"/>
      <w:bookmarkStart w:id="54" w:name="_Toc28359021"/>
      <w:bookmarkStart w:id="55" w:name="_Toc28359098"/>
      <w:r>
        <w:rPr>
          <w:rFonts w:hint="eastAsia" w:asciiTheme="minorEastAsia" w:hAnsiTheme="minorEastAsia" w:eastAsiaTheme="minorEastAsia" w:cstheme="minorEastAsia"/>
        </w:rPr>
        <w:t>3.项目联系方式</w:t>
      </w:r>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项目联系人：龙超敏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电话：0775-3356002</w:t>
      </w:r>
    </w:p>
    <w:p>
      <w:pPr>
        <w:widowControl/>
        <w:jc w:val="left"/>
        <w:rPr>
          <w:rFonts w:ascii="宋体" w:hAnsi="宋体" w:cs="宋体"/>
          <w:szCs w:val="21"/>
        </w:rPr>
      </w:pPr>
    </w:p>
    <w:p>
      <w:pPr>
        <w:pStyle w:val="4"/>
        <w:bidi w:val="0"/>
        <w:adjustRightInd/>
        <w:snapToGrid/>
        <w:spacing w:before="240" w:after="240"/>
        <w:rPr>
          <w:rFonts w:ascii="宋体" w:hAnsi="宋体" w:eastAsia="宋体" w:cs="宋体"/>
          <w:bCs/>
          <w:color w:val="auto"/>
          <w:sz w:val="36"/>
          <w:szCs w:val="20"/>
          <w:vertAlign w:val="baseline"/>
        </w:rPr>
      </w:pPr>
      <w:bookmarkStart w:id="56" w:name="_Toc11739"/>
      <w:bookmarkStart w:id="57" w:name="_Toc12419"/>
      <w:bookmarkStart w:id="58" w:name="_Toc5193"/>
      <w:bookmarkStart w:id="59" w:name="_Toc22022"/>
      <w:r>
        <w:rPr>
          <w:rFonts w:hint="eastAsia" w:ascii="宋体" w:hAnsi="宋体" w:eastAsia="宋体" w:cs="宋体"/>
          <w:bCs/>
          <w:color w:val="auto"/>
          <w:sz w:val="36"/>
          <w:szCs w:val="20"/>
          <w:vertAlign w:val="baseline"/>
        </w:rPr>
        <w:t xml:space="preserve">第二章 </w:t>
      </w:r>
      <w:bookmarkStart w:id="60" w:name="_Toc489544234"/>
      <w:r>
        <w:rPr>
          <w:rFonts w:hint="eastAsia" w:ascii="宋体" w:hAnsi="宋体" w:eastAsia="宋体" w:cs="宋体"/>
          <w:bCs/>
          <w:color w:val="auto"/>
          <w:sz w:val="36"/>
          <w:szCs w:val="20"/>
          <w:vertAlign w:val="baseline"/>
        </w:rPr>
        <w:t>供应商须知</w:t>
      </w:r>
      <w:bookmarkEnd w:id="56"/>
      <w:bookmarkEnd w:id="57"/>
      <w:bookmarkEnd w:id="58"/>
      <w:bookmarkEnd w:id="59"/>
      <w:bookmarkEnd w:id="60"/>
    </w:p>
    <w:p>
      <w:pPr>
        <w:tabs>
          <w:tab w:val="left" w:pos="1065"/>
          <w:tab w:val="center" w:pos="4411"/>
        </w:tabs>
        <w:spacing w:line="360" w:lineRule="auto"/>
        <w:jc w:val="center"/>
        <w:rPr>
          <w:rFonts w:ascii="宋体" w:hAnsi="宋体" w:cs="宋体"/>
          <w:b/>
          <w:sz w:val="28"/>
          <w:szCs w:val="28"/>
        </w:rPr>
      </w:pPr>
      <w:r>
        <w:rPr>
          <w:rFonts w:hint="eastAsia" w:ascii="宋体" w:hAnsi="宋体" w:cs="宋体"/>
          <w:b/>
          <w:sz w:val="28"/>
          <w:szCs w:val="28"/>
        </w:rPr>
        <w:t>供 应 商 须 知 前 附 表</w:t>
      </w:r>
    </w:p>
    <w:tbl>
      <w:tblPr>
        <w:tblStyle w:val="1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83"/>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883" w:type="dxa"/>
            <w:vAlign w:val="center"/>
          </w:tcPr>
          <w:p>
            <w:pPr>
              <w:jc w:val="center"/>
              <w:rPr>
                <w:rFonts w:ascii="宋体" w:hAnsi="宋体" w:cs="宋体"/>
                <w:b/>
                <w:bCs/>
                <w:szCs w:val="21"/>
              </w:rPr>
            </w:pPr>
            <w:r>
              <w:rPr>
                <w:rFonts w:hint="eastAsia" w:ascii="宋体" w:hAnsi="宋体" w:cs="宋体"/>
                <w:b/>
                <w:bCs/>
                <w:szCs w:val="21"/>
              </w:rPr>
              <w:t>条款号</w:t>
            </w:r>
          </w:p>
        </w:tc>
        <w:tc>
          <w:tcPr>
            <w:tcW w:w="7174"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7174" w:type="dxa"/>
            <w:vAlign w:val="center"/>
          </w:tcPr>
          <w:p>
            <w:pPr>
              <w:spacing w:line="360" w:lineRule="auto"/>
              <w:rPr>
                <w:rFonts w:ascii="宋体" w:hAnsi="宋体" w:cs="宋体"/>
                <w:szCs w:val="21"/>
              </w:rPr>
            </w:pPr>
            <w:r>
              <w:rPr>
                <w:rFonts w:hint="eastAsia" w:ascii="宋体" w:hAnsi="宋体" w:cs="宋体"/>
                <w:b/>
                <w:szCs w:val="21"/>
              </w:rPr>
              <w:t>项目名称：</w:t>
            </w:r>
            <w:r>
              <w:rPr>
                <w:rFonts w:hint="eastAsia" w:ascii="宋体" w:hAnsi="宋体" w:cs="宋体"/>
                <w:bCs/>
                <w:szCs w:val="21"/>
              </w:rPr>
              <w:t>《桂平市水安全保障“十四五”规划》编制服务</w:t>
            </w:r>
          </w:p>
          <w:p>
            <w:pPr>
              <w:spacing w:line="360" w:lineRule="auto"/>
              <w:rPr>
                <w:rFonts w:ascii="宋体" w:hAnsi="宋体" w:cs="宋体"/>
                <w:szCs w:val="21"/>
              </w:rPr>
            </w:pPr>
            <w:r>
              <w:rPr>
                <w:rFonts w:hint="eastAsia" w:ascii="宋体" w:hAnsi="宋体" w:cs="宋体"/>
                <w:b/>
                <w:szCs w:val="21"/>
              </w:rPr>
              <w:t>项目编号：GGZC2020-C3-50117-GXDZ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2</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7174" w:type="dxa"/>
            <w:vAlign w:val="center"/>
          </w:tcPr>
          <w:p>
            <w:pPr>
              <w:spacing w:line="360" w:lineRule="auto"/>
              <w:rPr>
                <w:rFonts w:ascii="宋体" w:hAnsi="宋体" w:cs="宋体"/>
                <w:b/>
                <w:szCs w:val="21"/>
              </w:rPr>
            </w:pPr>
            <w:r>
              <w:rPr>
                <w:rFonts w:hint="eastAsia" w:ascii="宋体" w:hAnsi="宋体" w:cs="宋体"/>
                <w:b/>
                <w:szCs w:val="21"/>
              </w:rPr>
              <w:t>磋商供应商资格要求：</w:t>
            </w:r>
          </w:p>
          <w:p>
            <w:pPr>
              <w:widowControl/>
              <w:spacing w:line="276" w:lineRule="auto"/>
              <w:ind w:firstLine="420" w:firstLineChars="200"/>
              <w:textAlignment w:val="top"/>
              <w:rPr>
                <w:rFonts w:ascii="宋体" w:hAnsi="宋体" w:cs="宋体"/>
                <w:szCs w:val="21"/>
              </w:rPr>
            </w:pPr>
            <w:r>
              <w:rPr>
                <w:rFonts w:hint="eastAsia" w:ascii="宋体" w:hAnsi="宋体" w:cs="宋体"/>
                <w:szCs w:val="21"/>
              </w:rPr>
              <w:t>1、满足《中华人民共和国政府采购法》第二十二条规定；</w:t>
            </w:r>
          </w:p>
          <w:p>
            <w:pPr>
              <w:widowControl/>
              <w:spacing w:line="276" w:lineRule="auto"/>
              <w:ind w:firstLine="420" w:firstLineChars="200"/>
              <w:textAlignment w:val="top"/>
              <w:rPr>
                <w:rFonts w:ascii="宋体" w:hAnsi="宋体" w:cs="宋体"/>
                <w:szCs w:val="21"/>
              </w:rPr>
            </w:pPr>
            <w:r>
              <w:rPr>
                <w:rFonts w:hint="eastAsia" w:ascii="宋体" w:hAnsi="宋体" w:cs="宋体"/>
                <w:szCs w:val="21"/>
              </w:rPr>
              <w:t>2、落实政府采购政策需满足的资格要求：扶持中小企业政策，支持监狱企业发展政策，促进残疾人就业政府采购政策；</w:t>
            </w:r>
          </w:p>
          <w:p>
            <w:pPr>
              <w:widowControl/>
              <w:spacing w:line="276" w:lineRule="auto"/>
              <w:ind w:firstLine="420" w:firstLineChars="200"/>
              <w:textAlignment w:val="top"/>
              <w:rPr>
                <w:rFonts w:ascii="宋体" w:hAnsi="宋体" w:cs="宋体"/>
                <w:szCs w:val="21"/>
              </w:rPr>
            </w:pPr>
            <w:r>
              <w:rPr>
                <w:rFonts w:hint="eastAsia" w:ascii="宋体" w:hAnsi="宋体" w:cs="宋体"/>
                <w:szCs w:val="21"/>
              </w:rPr>
              <w:t>3.本项目的特定资格要求：</w:t>
            </w:r>
          </w:p>
          <w:p>
            <w:pPr>
              <w:widowControl/>
              <w:spacing w:line="276" w:lineRule="auto"/>
              <w:ind w:firstLine="420" w:firstLineChars="200"/>
              <w:textAlignment w:val="top"/>
              <w:rPr>
                <w:rFonts w:ascii="宋体" w:hAnsi="宋体" w:cs="宋体"/>
                <w:szCs w:val="21"/>
              </w:rPr>
            </w:pPr>
            <w:r>
              <w:rPr>
                <w:rFonts w:hint="eastAsia" w:ascii="宋体" w:hAnsi="宋体" w:cs="宋体"/>
                <w:szCs w:val="21"/>
              </w:rPr>
              <w:t>3.1国内注册（指按国家有关规定要求注册的），并在人员、设备、资金等方面具有相应的能力；</w:t>
            </w:r>
          </w:p>
          <w:p>
            <w:pPr>
              <w:widowControl/>
              <w:spacing w:line="276" w:lineRule="auto"/>
              <w:ind w:firstLine="420" w:firstLineChars="200"/>
              <w:textAlignment w:val="top"/>
              <w:rPr>
                <w:rFonts w:ascii="宋体" w:hAnsi="宋体" w:cs="宋体"/>
                <w:szCs w:val="21"/>
              </w:rPr>
            </w:pPr>
            <w:r>
              <w:rPr>
                <w:rFonts w:hint="eastAsia" w:ascii="宋体" w:hAnsi="宋体" w:cs="宋体"/>
                <w:szCs w:val="21"/>
              </w:rPr>
              <w:t>3.2国内注册，同时</w:t>
            </w:r>
            <w:r>
              <w:rPr>
                <w:rFonts w:hint="eastAsia" w:ascii="宋体" w:hAnsi="宋体" w:cs="宋体"/>
                <w:color w:val="auto"/>
                <w:szCs w:val="21"/>
              </w:rPr>
              <w:t>具有设计水利行业丙级</w:t>
            </w:r>
            <w:r>
              <w:rPr>
                <w:rFonts w:hint="eastAsia" w:ascii="宋体" w:hAnsi="宋体" w:cs="宋体"/>
                <w:szCs w:val="21"/>
              </w:rPr>
              <w:t>及以上（含丙级）和工程勘察专业（岩土工程勘察）丙级及以上（含丙级）资质；</w:t>
            </w:r>
          </w:p>
          <w:p>
            <w:pPr>
              <w:widowControl/>
              <w:spacing w:line="276" w:lineRule="auto"/>
              <w:ind w:firstLine="420" w:firstLineChars="200"/>
              <w:textAlignment w:val="top"/>
              <w:rPr>
                <w:rFonts w:ascii="宋体" w:hAnsi="宋体" w:cs="宋体"/>
                <w:szCs w:val="21"/>
              </w:rPr>
            </w:pPr>
            <w:r>
              <w:rPr>
                <w:rFonts w:hint="eastAsia" w:ascii="宋体" w:hAnsi="宋体" w:cs="宋体"/>
                <w:szCs w:val="21"/>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276" w:lineRule="auto"/>
              <w:ind w:firstLine="420" w:firstLineChars="200"/>
              <w:textAlignment w:val="top"/>
              <w:rPr>
                <w:rFonts w:ascii="宋体" w:hAnsi="宋体" w:cs="宋体"/>
                <w:szCs w:val="21"/>
              </w:rPr>
            </w:pPr>
            <w:r>
              <w:rPr>
                <w:rFonts w:ascii="宋体" w:hAnsi="宋体" w:cs="宋体"/>
                <w:szCs w:val="21"/>
              </w:rPr>
              <w:t>3</w:t>
            </w:r>
            <w:r>
              <w:rPr>
                <w:rFonts w:hint="eastAsia" w:ascii="宋体" w:hAnsi="宋体" w:cs="宋体"/>
                <w:szCs w:val="21"/>
              </w:rPr>
              <w:t>.4参加政府采购活动前三年内，在经营活动中没有重大违法记录和不良信用记录；（在“信用中国”网站(www.creditchina.gov.cn)、中国政府采购网(</w:t>
            </w:r>
            <w:r>
              <w:fldChar w:fldCharType="begin"/>
            </w:r>
            <w:r>
              <w:instrText xml:space="preserve"> HYPERLINK "http://www.ccgp.gov.cn" </w:instrText>
            </w:r>
            <w:r>
              <w:fldChar w:fldCharType="separate"/>
            </w:r>
            <w:r>
              <w:rPr>
                <w:rFonts w:hint="eastAsia"/>
              </w:rPr>
              <w:t>www.ccgp.gov.cn</w:t>
            </w:r>
            <w:r>
              <w:rPr>
                <w:rFonts w:hint="eastAsia"/>
              </w:rPr>
              <w:fldChar w:fldCharType="end"/>
            </w:r>
            <w:r>
              <w:rPr>
                <w:rFonts w:hint="eastAsia" w:ascii="宋体" w:hAnsi="宋体" w:cs="宋体"/>
                <w:szCs w:val="21"/>
              </w:rPr>
              <w:t>)等渠道被列入失信被执行人、重大税收违法案件当事人名单、政府采购严重违法失信行为记录名单及其他不符合《中华人民共和国政府采购法》第二十二条规定条件的供应商，将被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3</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7.4</w:t>
            </w:r>
          </w:p>
        </w:tc>
        <w:tc>
          <w:tcPr>
            <w:tcW w:w="7174" w:type="dxa"/>
            <w:vAlign w:val="center"/>
          </w:tcPr>
          <w:p>
            <w:pPr>
              <w:spacing w:line="360" w:lineRule="auto"/>
              <w:rPr>
                <w:rFonts w:ascii="宋体" w:hAnsi="宋体" w:cs="宋体"/>
                <w:szCs w:val="21"/>
              </w:rPr>
            </w:pPr>
            <w:r>
              <w:rPr>
                <w:rFonts w:hint="eastAsia" w:ascii="宋体" w:hAnsi="宋体" w:cs="宋体"/>
                <w:b/>
                <w:szCs w:val="21"/>
              </w:rPr>
              <w:t>报价：</w:t>
            </w:r>
            <w:r>
              <w:rPr>
                <w:rFonts w:hint="eastAsia" w:ascii="宋体" w:hAnsi="宋体" w:cs="宋体"/>
                <w:szCs w:val="21"/>
              </w:rPr>
              <w:t>磋商供应商就《采购需求》中所有的服务内容作完整唯一报价，漏项报价的或有选择的或有条件的报价，其竞标将视为无效。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4</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8.2</w:t>
            </w:r>
          </w:p>
        </w:tc>
        <w:tc>
          <w:tcPr>
            <w:tcW w:w="7174" w:type="dxa"/>
            <w:vAlign w:val="center"/>
          </w:tcPr>
          <w:p>
            <w:pPr>
              <w:spacing w:line="360" w:lineRule="auto"/>
              <w:rPr>
                <w:rFonts w:ascii="宋体" w:hAnsi="宋体" w:cs="宋体"/>
                <w:szCs w:val="21"/>
              </w:rPr>
            </w:pPr>
            <w:r>
              <w:rPr>
                <w:rFonts w:hint="eastAsia" w:ascii="宋体" w:hAnsi="宋体" w:cs="宋体"/>
                <w:b/>
                <w:szCs w:val="21"/>
              </w:rPr>
              <w:t>响应文件份数：</w:t>
            </w:r>
            <w:r>
              <w:rPr>
                <w:rFonts w:hint="eastAsia" w:ascii="宋体" w:hAnsi="宋体" w:cs="宋体"/>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5</w:t>
            </w:r>
          </w:p>
        </w:tc>
        <w:tc>
          <w:tcPr>
            <w:tcW w:w="883"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9.1</w:t>
            </w:r>
          </w:p>
        </w:tc>
        <w:tc>
          <w:tcPr>
            <w:tcW w:w="7174" w:type="dxa"/>
            <w:vAlign w:val="center"/>
          </w:tcPr>
          <w:p>
            <w:pPr>
              <w:spacing w:line="360" w:lineRule="auto"/>
              <w:textAlignment w:val="top"/>
              <w:rPr>
                <w:rFonts w:ascii="宋体" w:hAnsi="宋体" w:cs="宋体"/>
                <w:kern w:val="0"/>
                <w:szCs w:val="21"/>
              </w:rPr>
            </w:pPr>
            <w:r>
              <w:rPr>
                <w:rFonts w:hint="eastAsia" w:ascii="宋体" w:hAnsi="宋体" w:cs="宋体"/>
                <w:b/>
                <w:spacing w:val="2"/>
                <w:szCs w:val="21"/>
              </w:rPr>
              <w:t>响应文件递交截止时间</w:t>
            </w:r>
            <w:r>
              <w:rPr>
                <w:rFonts w:hint="eastAsia" w:ascii="宋体" w:hAnsi="宋体" w:cs="宋体"/>
                <w:b/>
                <w:szCs w:val="21"/>
              </w:rPr>
              <w:t>：</w:t>
            </w:r>
            <w:r>
              <w:rPr>
                <w:rFonts w:hint="eastAsia" w:ascii="宋体" w:hAnsi="宋体" w:cs="宋体"/>
                <w:b/>
                <w:bCs/>
                <w:szCs w:val="21"/>
                <w:u w:val="single"/>
                <w:lang w:eastAsia="zh-CN"/>
              </w:rPr>
              <w:t>2020年07月24日09时00分</w:t>
            </w:r>
            <w:r>
              <w:rPr>
                <w:rFonts w:hint="eastAsia" w:ascii="宋体" w:hAnsi="宋体" w:cs="宋体"/>
                <w:kern w:val="0"/>
                <w:szCs w:val="21"/>
              </w:rPr>
              <w:t>（竞标截止时间）</w:t>
            </w:r>
          </w:p>
          <w:p>
            <w:pPr>
              <w:spacing w:line="360" w:lineRule="auto"/>
              <w:textAlignment w:val="top"/>
              <w:rPr>
                <w:rFonts w:ascii="宋体" w:hAnsi="宋体" w:cs="宋体"/>
                <w:kern w:val="0"/>
                <w:szCs w:val="21"/>
              </w:rPr>
            </w:pPr>
            <w:r>
              <w:rPr>
                <w:rFonts w:hint="eastAsia" w:ascii="宋体" w:hAnsi="宋体" w:cs="宋体"/>
                <w:b/>
                <w:kern w:val="0"/>
                <w:szCs w:val="21"/>
              </w:rPr>
              <w:t>地址：</w:t>
            </w:r>
            <w:r>
              <w:rPr>
                <w:rFonts w:hint="eastAsia" w:ascii="宋体" w:hAnsi="宋体" w:cs="宋体"/>
                <w:szCs w:val="21"/>
                <w:u w:val="single"/>
                <w:shd w:val="clear" w:color="auto" w:fill="FFFFFF"/>
              </w:rPr>
              <w:t>桂平市公共资源交易中心[桂平市桂江西路政务服务中心新大楼五楼（原国会大厦）]开标室</w:t>
            </w:r>
          </w:p>
          <w:p>
            <w:pPr>
              <w:spacing w:line="360" w:lineRule="auto"/>
              <w:rPr>
                <w:rFonts w:ascii="宋体" w:hAnsi="宋体" w:cs="宋体"/>
                <w:szCs w:val="21"/>
              </w:rPr>
            </w:pPr>
            <w:r>
              <w:rPr>
                <w:rFonts w:hint="eastAsia" w:ascii="宋体" w:hAnsi="宋体" w:cs="宋体"/>
                <w:b/>
                <w:spacing w:val="2"/>
                <w:szCs w:val="21"/>
              </w:rPr>
              <w:t>磋商（响应文件递交）时磋商供应商必须出示</w:t>
            </w:r>
            <w:r>
              <w:rPr>
                <w:rFonts w:hint="eastAsia" w:ascii="宋体" w:hAnsi="宋体" w:cs="宋体"/>
                <w:spacing w:val="2"/>
                <w:szCs w:val="21"/>
              </w:rPr>
              <w:t>：①法定代表人或委托代理人身份证复印件（原件备查），非法定代表人携带法定代表人授权书原件。（所有复印件均须加盖单位公章）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6</w:t>
            </w:r>
          </w:p>
        </w:tc>
        <w:tc>
          <w:tcPr>
            <w:tcW w:w="883"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9.3</w:t>
            </w:r>
          </w:p>
        </w:tc>
        <w:tc>
          <w:tcPr>
            <w:tcW w:w="7174" w:type="dxa"/>
            <w:vAlign w:val="center"/>
          </w:tcPr>
          <w:p>
            <w:pPr>
              <w:tabs>
                <w:tab w:val="left" w:pos="1305"/>
              </w:tabs>
              <w:spacing w:line="360" w:lineRule="auto"/>
              <w:rPr>
                <w:rFonts w:ascii="宋体" w:hAnsi="宋体" w:cs="宋体"/>
                <w:szCs w:val="21"/>
              </w:rPr>
            </w:pPr>
            <w:r>
              <w:rPr>
                <w:rFonts w:hint="eastAsia" w:ascii="宋体" w:hAnsi="宋体" w:cs="宋体"/>
                <w:b/>
                <w:spacing w:val="2"/>
                <w:szCs w:val="21"/>
              </w:rPr>
              <w:t>响应文件有效期：</w:t>
            </w:r>
            <w:r>
              <w:rPr>
                <w:rFonts w:hint="eastAsia" w:ascii="宋体" w:hAnsi="宋体" w:cs="宋体"/>
                <w:szCs w:val="21"/>
              </w:rPr>
              <w:t>响应文件递交截止日期后60天</w:t>
            </w:r>
            <w:r>
              <w:rPr>
                <w:rFonts w:hint="eastAsia" w:ascii="宋体" w:hAnsi="宋体" w:cs="宋体"/>
                <w:spacing w:val="2"/>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7</w:t>
            </w:r>
          </w:p>
        </w:tc>
        <w:tc>
          <w:tcPr>
            <w:tcW w:w="883"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11.1</w:t>
            </w:r>
          </w:p>
        </w:tc>
        <w:tc>
          <w:tcPr>
            <w:tcW w:w="7174" w:type="dxa"/>
            <w:vAlign w:val="center"/>
          </w:tcPr>
          <w:p>
            <w:pPr>
              <w:spacing w:line="360" w:lineRule="auto"/>
              <w:rPr>
                <w:rFonts w:ascii="宋体" w:hAnsi="宋体" w:cs="宋体"/>
                <w:szCs w:val="21"/>
              </w:rPr>
            </w:pPr>
            <w:r>
              <w:rPr>
                <w:rFonts w:hint="eastAsia" w:ascii="宋体" w:hAnsi="宋体" w:cs="宋体"/>
                <w:b/>
                <w:kern w:val="0"/>
                <w:szCs w:val="21"/>
              </w:rPr>
              <w:t>磋商保证金为：</w:t>
            </w:r>
            <w:r>
              <w:rPr>
                <w:rFonts w:hint="eastAsia" w:ascii="宋体" w:hAnsi="宋体" w:cs="宋体"/>
                <w:bCs/>
                <w:kern w:val="0"/>
                <w:szCs w:val="21"/>
              </w:rPr>
              <w:t>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8</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7174" w:type="dxa"/>
            <w:vAlign w:val="center"/>
          </w:tcPr>
          <w:p>
            <w:pPr>
              <w:spacing w:line="360" w:lineRule="auto"/>
              <w:textAlignment w:val="top"/>
              <w:rPr>
                <w:rFonts w:ascii="宋体" w:hAnsi="宋体" w:cs="宋体"/>
                <w:kern w:val="0"/>
                <w:szCs w:val="21"/>
              </w:rPr>
            </w:pPr>
            <w:r>
              <w:rPr>
                <w:rFonts w:hint="eastAsia" w:ascii="宋体" w:hAnsi="宋体" w:cs="宋体"/>
                <w:b/>
                <w:spacing w:val="2"/>
                <w:szCs w:val="21"/>
              </w:rPr>
              <w:t>磋商时间</w:t>
            </w:r>
            <w:r>
              <w:rPr>
                <w:rFonts w:hint="eastAsia" w:ascii="宋体" w:hAnsi="宋体" w:cs="宋体"/>
                <w:b/>
                <w:szCs w:val="21"/>
              </w:rPr>
              <w:t>：</w:t>
            </w:r>
            <w:r>
              <w:rPr>
                <w:rFonts w:hint="eastAsia" w:ascii="宋体" w:hAnsi="宋体" w:cs="宋体"/>
                <w:b/>
                <w:bCs/>
                <w:szCs w:val="21"/>
                <w:u w:val="single"/>
                <w:lang w:eastAsia="zh-CN"/>
              </w:rPr>
              <w:t>2020年07月24日09时00分</w:t>
            </w:r>
            <w:r>
              <w:rPr>
                <w:rFonts w:hint="eastAsia" w:ascii="宋体" w:hAnsi="宋体" w:cs="宋体"/>
                <w:kern w:val="0"/>
                <w:szCs w:val="21"/>
              </w:rPr>
              <w:t>（</w:t>
            </w:r>
            <w:r>
              <w:rPr>
                <w:rFonts w:hint="eastAsia" w:ascii="宋体" w:hAnsi="宋体" w:cs="宋体"/>
                <w:spacing w:val="-6"/>
                <w:kern w:val="0"/>
                <w:szCs w:val="21"/>
              </w:rPr>
              <w:t>截标后（具体时间由采购代理机构另行通知）</w:t>
            </w:r>
          </w:p>
          <w:p>
            <w:pPr>
              <w:spacing w:line="360" w:lineRule="auto"/>
              <w:rPr>
                <w:rFonts w:ascii="宋体" w:hAnsi="宋体" w:cs="宋体"/>
                <w:szCs w:val="21"/>
              </w:rPr>
            </w:pPr>
            <w:r>
              <w:rPr>
                <w:rFonts w:hint="eastAsia" w:ascii="宋体" w:hAnsi="宋体" w:cs="宋体"/>
                <w:b/>
                <w:kern w:val="0"/>
                <w:szCs w:val="21"/>
              </w:rPr>
              <w:t>磋商地点：</w:t>
            </w:r>
            <w:r>
              <w:rPr>
                <w:rFonts w:hint="eastAsia" w:ascii="宋体" w:hAnsi="宋体" w:cs="宋体"/>
                <w:szCs w:val="21"/>
                <w:u w:val="single"/>
                <w:shd w:val="clear" w:color="auto" w:fill="FFFFFF"/>
              </w:rPr>
              <w:t>桂平市公共资源交易中心[桂平市桂江西路政务服务中心新大楼五楼（原国会大厦）]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9</w:t>
            </w:r>
          </w:p>
        </w:tc>
        <w:tc>
          <w:tcPr>
            <w:tcW w:w="883" w:type="dxa"/>
            <w:vAlign w:val="center"/>
          </w:tcPr>
          <w:p>
            <w:pPr>
              <w:spacing w:line="360" w:lineRule="auto"/>
              <w:jc w:val="center"/>
              <w:rPr>
                <w:rFonts w:ascii="宋体" w:hAnsi="宋体" w:cs="宋体"/>
                <w:szCs w:val="21"/>
              </w:rPr>
            </w:pPr>
          </w:p>
        </w:tc>
        <w:tc>
          <w:tcPr>
            <w:tcW w:w="7174" w:type="dxa"/>
            <w:vAlign w:val="center"/>
          </w:tcPr>
          <w:p>
            <w:pPr>
              <w:snapToGrid w:val="0"/>
              <w:rPr>
                <w:rFonts w:ascii="宋体" w:hAnsi="宋体"/>
                <w:szCs w:val="21"/>
              </w:rPr>
            </w:pPr>
            <w:r>
              <w:rPr>
                <w:rFonts w:hint="eastAsia" w:ascii="宋体" w:hAnsi="宋体"/>
                <w:szCs w:val="21"/>
              </w:rPr>
              <w:t>在对供应商资格审查时进行信用查询</w:t>
            </w:r>
          </w:p>
          <w:p>
            <w:pPr>
              <w:snapToGrid w:val="0"/>
            </w:pPr>
            <w:r>
              <w:rPr>
                <w:rFonts w:hint="eastAsia"/>
              </w:rPr>
              <w:t>查询渠道：“</w:t>
            </w:r>
            <w:r>
              <w:t>信用中国</w:t>
            </w:r>
            <w:r>
              <w:rPr>
                <w:rFonts w:hint="eastAsia"/>
              </w:rPr>
              <w:t>”</w:t>
            </w:r>
            <w:r>
              <w:t>网站(www.creditchina.gov.cn)、中国政府采购网(</w:t>
            </w:r>
            <w:r>
              <w:fldChar w:fldCharType="begin"/>
            </w:r>
            <w:r>
              <w:instrText xml:space="preserve"> HYPERLINK "http://www.ccgp.gov.cn" </w:instrText>
            </w:r>
            <w:r>
              <w:fldChar w:fldCharType="separate"/>
            </w:r>
            <w:r>
              <w:rPr>
                <w:rStyle w:val="27"/>
              </w:rPr>
              <w:t>www.ccgp.gov.cn</w:t>
            </w:r>
            <w:r>
              <w:rPr>
                <w:rStyle w:val="27"/>
              </w:rPr>
              <w:fldChar w:fldCharType="end"/>
            </w:r>
            <w:r>
              <w:t>)</w:t>
            </w:r>
            <w:r>
              <w:rPr>
                <w:rFonts w:hint="eastAsia"/>
              </w:rPr>
              <w:t>等</w:t>
            </w:r>
          </w:p>
          <w:p>
            <w:pPr>
              <w:snapToGrid w:val="0"/>
            </w:pPr>
            <w:r>
              <w:rPr>
                <w:rFonts w:hint="eastAsia"/>
              </w:rPr>
              <w:t>查询起止时间：首次提交响应文件截止时间前</w:t>
            </w:r>
          </w:p>
          <w:p>
            <w:pPr>
              <w:snapToGrid w:val="0"/>
            </w:pPr>
            <w:r>
              <w:rPr>
                <w:rFonts w:hint="eastAsia"/>
              </w:rPr>
              <w:t>查询记录和证据留存方式：在查询网站中直接打印查询记录，打印材料作为评审资料保存。</w:t>
            </w:r>
          </w:p>
          <w:p>
            <w:pPr>
              <w:spacing w:line="360" w:lineRule="auto"/>
              <w:textAlignment w:val="top"/>
              <w:rPr>
                <w:rFonts w:ascii="宋体" w:hAnsi="宋体" w:cs="宋体"/>
                <w:spacing w:val="2"/>
                <w:szCs w:val="21"/>
              </w:rPr>
            </w:pPr>
            <w:r>
              <w:rPr>
                <w:rFonts w:hint="eastAsia"/>
              </w:rPr>
              <w:t>信用信息使用规则：对在“</w:t>
            </w:r>
            <w:r>
              <w:t>信用中国</w:t>
            </w:r>
            <w:r>
              <w:rPr>
                <w:rFonts w:hint="eastAsia"/>
              </w:rPr>
              <w:t>”</w:t>
            </w:r>
            <w:r>
              <w:t>网站(www.creditchina.gov.cn)、中国政府采购网(www.ccgp.gov.cn)等渠道</w:t>
            </w:r>
            <w:r>
              <w:rPr>
                <w:rFonts w:hint="eastAsia"/>
              </w:rPr>
              <w:t>列入失信被执行人、重大税收违法案件当事人名单、政府采购严重违法失信行为记录名单及其他不符合《中华人民共和国政府采购法》第二十二条规定条件的供应商，</w:t>
            </w:r>
            <w:r>
              <w:rPr>
                <w:rFonts w:hint="eastAsia" w:ascii="宋体" w:hAnsi="宋体"/>
                <w:szCs w:val="21"/>
              </w:rPr>
              <w:t>资格审查不通过，</w:t>
            </w:r>
            <w:r>
              <w:rPr>
                <w:rFonts w:hint="eastAsia"/>
              </w:rPr>
              <w:t>不得参与政府采购活动。</w:t>
            </w:r>
            <w:r>
              <w:rPr>
                <w:rFonts w:ascii="Helvetica" w:hAnsi="Helvetica"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12.6</w:t>
            </w:r>
          </w:p>
        </w:tc>
        <w:tc>
          <w:tcPr>
            <w:tcW w:w="7174" w:type="dxa"/>
            <w:vAlign w:val="center"/>
          </w:tcPr>
          <w:p>
            <w:pPr>
              <w:spacing w:line="360" w:lineRule="auto"/>
              <w:rPr>
                <w:rFonts w:ascii="宋体" w:hAnsi="宋体" w:cs="宋体"/>
                <w:szCs w:val="21"/>
              </w:rPr>
            </w:pPr>
            <w:r>
              <w:rPr>
                <w:rFonts w:hint="eastAsia" w:ascii="宋体" w:hAnsi="宋体" w:cs="宋体"/>
                <w:b/>
                <w:szCs w:val="21"/>
              </w:rPr>
              <w:t>评审方法：</w:t>
            </w:r>
            <w:r>
              <w:rPr>
                <w:rFonts w:hint="eastAsia" w:ascii="宋体" w:hAnsi="宋体" w:cs="宋体"/>
                <w:szCs w:val="21"/>
              </w:rPr>
              <w:t>综合评分法（详细见第六章）</w:t>
            </w:r>
          </w:p>
        </w:tc>
      </w:tr>
    </w:tbl>
    <w:p>
      <w:pPr>
        <w:spacing w:line="360" w:lineRule="auto"/>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供应商须知</w:t>
      </w:r>
    </w:p>
    <w:p>
      <w:pPr>
        <w:spacing w:line="420" w:lineRule="exact"/>
        <w:ind w:firstLine="413" w:firstLineChars="196"/>
        <w:rPr>
          <w:rFonts w:ascii="宋体" w:hAnsi="宋体" w:cs="宋体"/>
          <w:b/>
          <w:szCs w:val="21"/>
        </w:rPr>
      </w:pPr>
      <w:r>
        <w:rPr>
          <w:rFonts w:hint="eastAsia" w:ascii="宋体" w:hAnsi="宋体" w:cs="宋体"/>
          <w:b/>
          <w:szCs w:val="21"/>
        </w:rPr>
        <w:t>一、总则</w:t>
      </w:r>
    </w:p>
    <w:p>
      <w:pPr>
        <w:spacing w:line="420" w:lineRule="exact"/>
        <w:ind w:firstLine="435"/>
        <w:rPr>
          <w:rFonts w:ascii="宋体" w:hAnsi="宋体" w:cs="宋体"/>
          <w:szCs w:val="21"/>
        </w:rPr>
      </w:pPr>
      <w:r>
        <w:rPr>
          <w:rFonts w:hint="eastAsia" w:ascii="宋体" w:hAnsi="宋体" w:cs="宋体"/>
          <w:szCs w:val="21"/>
        </w:rPr>
        <w:t>1、适应范围</w:t>
      </w:r>
    </w:p>
    <w:p>
      <w:pPr>
        <w:spacing w:line="420" w:lineRule="exact"/>
        <w:ind w:firstLine="435"/>
        <w:rPr>
          <w:rFonts w:ascii="宋体" w:hAnsi="宋体" w:cs="宋体"/>
          <w:szCs w:val="21"/>
        </w:rPr>
      </w:pPr>
      <w:r>
        <w:rPr>
          <w:rFonts w:hint="eastAsia" w:ascii="宋体" w:hAnsi="宋体" w:cs="宋体"/>
          <w:szCs w:val="21"/>
        </w:rPr>
        <w:t>1.1项目名称及项目编号：</w:t>
      </w:r>
    </w:p>
    <w:p>
      <w:pPr>
        <w:spacing w:line="420" w:lineRule="exact"/>
        <w:ind w:firstLine="435"/>
        <w:rPr>
          <w:rFonts w:ascii="宋体" w:hAnsi="宋体" w:cs="宋体"/>
          <w:szCs w:val="21"/>
        </w:rPr>
      </w:pPr>
      <w:r>
        <w:rPr>
          <w:rFonts w:hint="eastAsia" w:ascii="宋体" w:hAnsi="宋体" w:cs="宋体"/>
          <w:szCs w:val="21"/>
        </w:rPr>
        <w:t>项目名称：《桂平市水安全保障“十四五”规划》编制服务</w:t>
      </w:r>
    </w:p>
    <w:p>
      <w:pPr>
        <w:spacing w:line="420" w:lineRule="exact"/>
        <w:ind w:firstLine="435"/>
        <w:rPr>
          <w:rFonts w:ascii="宋体" w:hAnsi="宋体" w:cs="宋体"/>
          <w:szCs w:val="21"/>
        </w:rPr>
      </w:pPr>
      <w:r>
        <w:rPr>
          <w:rFonts w:hint="eastAsia" w:ascii="宋体" w:hAnsi="宋体" w:cs="宋体"/>
          <w:szCs w:val="21"/>
        </w:rPr>
        <w:t>项目编号：GGZC2020-C3-50117-GXDZ</w:t>
      </w:r>
    </w:p>
    <w:p>
      <w:pPr>
        <w:spacing w:line="420" w:lineRule="exact"/>
        <w:ind w:firstLine="411" w:firstLineChars="196"/>
        <w:rPr>
          <w:rFonts w:ascii="宋体" w:hAnsi="宋体" w:cs="宋体"/>
          <w:szCs w:val="21"/>
        </w:rPr>
      </w:pPr>
      <w:r>
        <w:rPr>
          <w:rFonts w:hint="eastAsia" w:ascii="宋体" w:hAnsi="宋体" w:cs="宋体"/>
          <w:szCs w:val="21"/>
        </w:rPr>
        <w:t>1.2本竞争性磋商文件（以下简称磋商文件）适用于本磋商项目的磋商、评标、合同履约、验收、付款等行为（法律、法规另有规定的，从其规定）。</w:t>
      </w:r>
    </w:p>
    <w:p>
      <w:pPr>
        <w:spacing w:line="420" w:lineRule="exact"/>
        <w:ind w:firstLine="435"/>
        <w:rPr>
          <w:rFonts w:ascii="宋体" w:hAnsi="宋体" w:cs="宋体"/>
          <w:szCs w:val="21"/>
        </w:rPr>
      </w:pPr>
      <w:r>
        <w:rPr>
          <w:rFonts w:hint="eastAsia" w:ascii="宋体" w:hAnsi="宋体" w:cs="宋体"/>
          <w:szCs w:val="21"/>
        </w:rPr>
        <w:t>2、定义</w:t>
      </w:r>
    </w:p>
    <w:p>
      <w:pPr>
        <w:spacing w:line="420" w:lineRule="exact"/>
        <w:ind w:firstLine="435"/>
        <w:rPr>
          <w:rFonts w:ascii="宋体" w:hAnsi="宋体" w:cs="宋体"/>
          <w:szCs w:val="21"/>
        </w:rPr>
      </w:pPr>
      <w:r>
        <w:rPr>
          <w:rFonts w:hint="eastAsia" w:ascii="宋体" w:hAnsi="宋体" w:cs="宋体"/>
          <w:szCs w:val="21"/>
        </w:rPr>
        <w:t>2.1“采购人”是指：依法进行政府采购的国家机关、事业单位、团体组织。</w:t>
      </w:r>
    </w:p>
    <w:p>
      <w:pPr>
        <w:spacing w:line="420" w:lineRule="exact"/>
        <w:ind w:firstLine="435"/>
        <w:rPr>
          <w:rFonts w:ascii="宋体" w:hAnsi="宋体" w:cs="宋体"/>
          <w:szCs w:val="21"/>
        </w:rPr>
      </w:pPr>
      <w:r>
        <w:rPr>
          <w:rFonts w:hint="eastAsia" w:ascii="宋体" w:hAnsi="宋体" w:cs="宋体"/>
          <w:szCs w:val="21"/>
        </w:rPr>
        <w:t>2.2“采购代理机构”是指：依法设立、从事采购代理业务并提供相关服务的社会中介组织。</w:t>
      </w:r>
    </w:p>
    <w:p>
      <w:pPr>
        <w:spacing w:line="420" w:lineRule="exact"/>
        <w:ind w:firstLine="435"/>
        <w:rPr>
          <w:rFonts w:ascii="宋体" w:hAnsi="宋体" w:cs="宋体"/>
          <w:szCs w:val="21"/>
        </w:rPr>
      </w:pPr>
      <w:r>
        <w:rPr>
          <w:rFonts w:hint="eastAsia" w:ascii="宋体" w:hAnsi="宋体" w:cs="宋体"/>
          <w:szCs w:val="21"/>
        </w:rPr>
        <w:t>2.3“磋商供应商”是指响应本文件要求，参加磋商的法人或者其他组织和自然人。如果该供应商在本次磋商中成交，即成为“成交供应商”。</w:t>
      </w:r>
    </w:p>
    <w:p>
      <w:pPr>
        <w:spacing w:line="420" w:lineRule="exact"/>
        <w:ind w:firstLine="435"/>
        <w:rPr>
          <w:rFonts w:ascii="宋体" w:hAnsi="宋体" w:cs="宋体"/>
          <w:szCs w:val="21"/>
        </w:rPr>
      </w:pPr>
      <w:r>
        <w:rPr>
          <w:rFonts w:hint="eastAsia" w:ascii="宋体" w:hAnsi="宋体" w:cs="宋体"/>
          <w:szCs w:val="21"/>
        </w:rPr>
        <w:t>2.4“货物”是指各种形态和种类的物品，包括原材料、燃料、设备、产品等。</w:t>
      </w:r>
    </w:p>
    <w:p>
      <w:pPr>
        <w:spacing w:line="420" w:lineRule="exact"/>
        <w:ind w:firstLine="435"/>
        <w:rPr>
          <w:rFonts w:ascii="宋体" w:hAnsi="宋体" w:cs="宋体"/>
          <w:szCs w:val="21"/>
        </w:rPr>
      </w:pPr>
      <w:r>
        <w:rPr>
          <w:rFonts w:hint="eastAsia" w:ascii="宋体" w:hAnsi="宋体" w:cs="宋体"/>
          <w:szCs w:val="21"/>
        </w:rPr>
        <w:t>2.5“服务”是指除货物和工程以外的其他政府采购对象。</w:t>
      </w:r>
    </w:p>
    <w:p>
      <w:pPr>
        <w:spacing w:line="420" w:lineRule="exact"/>
        <w:ind w:firstLine="435"/>
        <w:rPr>
          <w:rFonts w:ascii="宋体" w:hAnsi="宋体" w:cs="宋体"/>
          <w:szCs w:val="21"/>
        </w:rPr>
      </w:pPr>
      <w:r>
        <w:rPr>
          <w:rFonts w:hint="eastAsia" w:ascii="宋体" w:hAnsi="宋体" w:cs="宋体"/>
          <w:szCs w:val="21"/>
        </w:rPr>
        <w:t>2.6“竞争性磋商响应文件”是指：供应商根据本文件要求，编制包含报价、技术和服务等所有内容的响应文件。</w:t>
      </w:r>
    </w:p>
    <w:p>
      <w:pPr>
        <w:spacing w:line="420" w:lineRule="exact"/>
        <w:ind w:firstLine="435"/>
        <w:rPr>
          <w:rFonts w:ascii="宋体" w:hAnsi="宋体" w:cs="宋体"/>
          <w:szCs w:val="21"/>
        </w:rPr>
      </w:pPr>
      <w:r>
        <w:rPr>
          <w:rFonts w:hint="eastAsia" w:ascii="宋体" w:hAnsi="宋体" w:cs="宋体"/>
          <w:szCs w:val="21"/>
        </w:rPr>
        <w:t>2.7“★”系指实质性要求条款。与标“★”的技术指标、主要功能、商务要求发生实质性负偏离的，视为无效响应。</w:t>
      </w:r>
    </w:p>
    <w:p>
      <w:pPr>
        <w:spacing w:line="420" w:lineRule="exact"/>
        <w:ind w:firstLine="435"/>
        <w:rPr>
          <w:rFonts w:ascii="宋体" w:hAnsi="宋体" w:cs="宋体"/>
          <w:szCs w:val="21"/>
        </w:rPr>
      </w:pPr>
      <w:r>
        <w:rPr>
          <w:rFonts w:hint="eastAsia" w:ascii="宋体" w:hAnsi="宋体" w:cs="宋体"/>
          <w:szCs w:val="21"/>
        </w:rPr>
        <w:t>3、磋商供应商的基本条件</w:t>
      </w:r>
    </w:p>
    <w:p>
      <w:pPr>
        <w:spacing w:line="420" w:lineRule="exact"/>
        <w:ind w:firstLine="435"/>
        <w:rPr>
          <w:rFonts w:ascii="宋体" w:hAnsi="宋体" w:cs="宋体"/>
          <w:bCs/>
          <w:szCs w:val="21"/>
        </w:rPr>
      </w:pPr>
      <w:r>
        <w:rPr>
          <w:rFonts w:hint="eastAsia" w:ascii="宋体" w:hAnsi="宋体" w:cs="宋体"/>
          <w:bCs/>
          <w:szCs w:val="21"/>
        </w:rPr>
        <w:t>3.1磋商供应商资格：参加本项目的磋商供应商必须满足本须知前附表要求的资格。</w:t>
      </w:r>
    </w:p>
    <w:p>
      <w:pPr>
        <w:spacing w:line="420" w:lineRule="exact"/>
        <w:ind w:firstLine="435"/>
        <w:rPr>
          <w:rFonts w:ascii="宋体" w:hAnsi="宋体" w:cs="宋体"/>
          <w:bCs/>
          <w:szCs w:val="21"/>
        </w:rPr>
      </w:pPr>
      <w:r>
        <w:rPr>
          <w:rFonts w:hint="eastAsia" w:ascii="宋体" w:hAnsi="宋体" w:cs="宋体"/>
          <w:bCs/>
          <w:szCs w:val="21"/>
        </w:rPr>
        <w:t>3.2符合磋商供应商资格的磋商供应商应承担磋商活动及履约中应承担的全部责任与义务。</w:t>
      </w:r>
    </w:p>
    <w:p>
      <w:pPr>
        <w:spacing w:line="420" w:lineRule="exact"/>
        <w:ind w:firstLine="435"/>
        <w:rPr>
          <w:rFonts w:ascii="宋体" w:hAnsi="宋体" w:cs="宋体"/>
          <w:szCs w:val="21"/>
        </w:rPr>
      </w:pPr>
      <w:r>
        <w:rPr>
          <w:rFonts w:hint="eastAsia" w:ascii="宋体" w:hAnsi="宋体" w:cs="宋体"/>
          <w:szCs w:val="21"/>
        </w:rPr>
        <w:t>4、磋商费用、竞争性磋商公告、竞争性磋商文件的澄清和修改</w:t>
      </w:r>
    </w:p>
    <w:p>
      <w:pPr>
        <w:tabs>
          <w:tab w:val="left" w:pos="1635"/>
        </w:tabs>
        <w:spacing w:line="420" w:lineRule="exact"/>
        <w:ind w:firstLine="435"/>
        <w:rPr>
          <w:rFonts w:ascii="宋体" w:hAnsi="宋体" w:cs="宋体"/>
          <w:szCs w:val="21"/>
        </w:rPr>
      </w:pPr>
      <w:r>
        <w:rPr>
          <w:rFonts w:hint="eastAsia" w:ascii="宋体" w:hAnsi="宋体" w:cs="宋体"/>
          <w:szCs w:val="21"/>
        </w:rPr>
        <w:t>4.1磋商费用：磋商供应商应自行承担所有与编写和提交竞争性磋商响应文件有关的费用，不论磋商结果如何，采购人和代理机构在任何情况下无义务和责任承担此类费用。</w:t>
      </w:r>
    </w:p>
    <w:p>
      <w:pPr>
        <w:tabs>
          <w:tab w:val="left" w:pos="1635"/>
        </w:tabs>
        <w:spacing w:line="420" w:lineRule="exact"/>
        <w:ind w:firstLine="435"/>
        <w:rPr>
          <w:rFonts w:ascii="宋体" w:hAnsi="宋体" w:cs="宋体"/>
          <w:szCs w:val="21"/>
        </w:rPr>
      </w:pPr>
      <w:r>
        <w:rPr>
          <w:rFonts w:hint="eastAsia" w:ascii="宋体" w:hAnsi="宋体" w:cs="宋体"/>
          <w:szCs w:val="21"/>
        </w:rPr>
        <w:t>4.2竞争性磋商公告：见竞争性磋商公告中公告的网址。</w:t>
      </w:r>
    </w:p>
    <w:p>
      <w:pPr>
        <w:tabs>
          <w:tab w:val="left" w:pos="1635"/>
        </w:tabs>
        <w:spacing w:line="420" w:lineRule="exact"/>
        <w:ind w:firstLine="435"/>
        <w:rPr>
          <w:rFonts w:ascii="宋体" w:hAnsi="宋体" w:cs="宋体"/>
          <w:szCs w:val="21"/>
        </w:rPr>
      </w:pPr>
      <w:r>
        <w:rPr>
          <w:rFonts w:hint="eastAsia" w:ascii="宋体" w:hAnsi="宋体" w:cs="宋体"/>
          <w:szCs w:val="21"/>
        </w:rPr>
        <w:t>4.3竞争性磋商文件的澄清和修改：</w:t>
      </w:r>
    </w:p>
    <w:p>
      <w:pPr>
        <w:tabs>
          <w:tab w:val="left" w:pos="1635"/>
        </w:tabs>
        <w:spacing w:line="420" w:lineRule="exact"/>
        <w:ind w:firstLine="435"/>
        <w:rPr>
          <w:rFonts w:ascii="宋体" w:hAnsi="宋体" w:cs="宋体"/>
          <w:szCs w:val="21"/>
        </w:rPr>
      </w:pPr>
      <w:r>
        <w:rPr>
          <w:rFonts w:hint="eastAsia" w:ascii="宋体" w:hAnsi="宋体" w:cs="宋体"/>
          <w:szCs w:val="21"/>
        </w:rPr>
        <w:t>4.3.1磋商供应商应认真阅读磋商文件的采购需求，如发现需求中有误或要求不合理的，磋商供应商必须在提交响应文件截止日期三日前以书面形式向采购人、采购代理机构提出，同时认定其他澄清方式为无效。采购代理机构将以书面形式予以答复。</w:t>
      </w:r>
    </w:p>
    <w:p>
      <w:pPr>
        <w:tabs>
          <w:tab w:val="left" w:pos="1635"/>
        </w:tabs>
        <w:spacing w:line="420" w:lineRule="exact"/>
        <w:ind w:firstLine="435"/>
        <w:rPr>
          <w:rFonts w:ascii="宋体" w:hAnsi="宋体" w:cs="宋体"/>
          <w:szCs w:val="21"/>
        </w:rPr>
      </w:pPr>
      <w:r>
        <w:rPr>
          <w:rFonts w:hint="eastAsia" w:ascii="宋体" w:hAnsi="宋体" w:cs="宋体"/>
          <w:szCs w:val="21"/>
        </w:rPr>
        <w:t>4.3.2提交首次响应文件截止之日前，采购人、采购代理机构或者磋商小组可以对已发出的磋商文件进行必要的澄清或者修改，澄清或者修改的内容作为磋商文件的组成部分。澄清或修改的内容可能影响响应文件编制的，采购人、采购代理机构应当在提交首次响应文件截止时间5日前，以书面形式通知所有获取磋商文件的供应商；不足5日的，采购人、采购代理机构应当顺延提交首次响应文件截止时间。并在竞争性磋商公告中公告的网址上发布更正公告。</w:t>
      </w:r>
    </w:p>
    <w:p>
      <w:pPr>
        <w:tabs>
          <w:tab w:val="left" w:pos="1635"/>
        </w:tabs>
        <w:spacing w:line="420" w:lineRule="exact"/>
        <w:ind w:firstLine="435"/>
        <w:rPr>
          <w:rFonts w:ascii="宋体" w:hAnsi="宋体" w:cs="宋体"/>
          <w:szCs w:val="21"/>
        </w:rPr>
      </w:pPr>
      <w:r>
        <w:rPr>
          <w:rFonts w:hint="eastAsia" w:ascii="宋体" w:hAnsi="宋体" w:cs="宋体"/>
          <w:szCs w:val="21"/>
        </w:rPr>
        <w:t>4.3.3代理机构可视具体情况，延长响应文件递交截止时间和开标时间。代理机构至少在竞争性磋商文件要求提交竞争性磋商响应文件的截止时间一日前，将变更时间书面通知所有竞争性磋商文件收受人，并在竞争性磋商公告中公告的网址上发布更正公告。</w:t>
      </w:r>
    </w:p>
    <w:p>
      <w:pPr>
        <w:spacing w:line="420" w:lineRule="exact"/>
        <w:ind w:firstLine="413" w:firstLineChars="196"/>
        <w:rPr>
          <w:rFonts w:ascii="宋体" w:hAnsi="宋体" w:cs="宋体"/>
          <w:b/>
          <w:szCs w:val="21"/>
        </w:rPr>
      </w:pPr>
      <w:r>
        <w:rPr>
          <w:rFonts w:hint="eastAsia" w:ascii="宋体" w:hAnsi="宋体" w:cs="宋体"/>
          <w:b/>
          <w:szCs w:val="21"/>
        </w:rPr>
        <w:t>二、竞争性磋商响应文件的编制</w:t>
      </w:r>
    </w:p>
    <w:p>
      <w:pPr>
        <w:tabs>
          <w:tab w:val="left" w:pos="1635"/>
        </w:tabs>
        <w:spacing w:line="420" w:lineRule="exact"/>
        <w:ind w:firstLine="435"/>
        <w:rPr>
          <w:rFonts w:ascii="宋体" w:hAnsi="宋体" w:cs="宋体"/>
          <w:szCs w:val="21"/>
        </w:rPr>
      </w:pPr>
      <w:r>
        <w:rPr>
          <w:rFonts w:hint="eastAsia" w:ascii="宋体" w:hAnsi="宋体" w:cs="宋体"/>
          <w:szCs w:val="21"/>
        </w:rPr>
        <w:t>5. 竞争性磋商响应文件编制基本要求</w:t>
      </w:r>
    </w:p>
    <w:p>
      <w:pPr>
        <w:tabs>
          <w:tab w:val="left" w:pos="1635"/>
        </w:tabs>
        <w:spacing w:line="420" w:lineRule="exact"/>
        <w:ind w:firstLine="435"/>
        <w:rPr>
          <w:rFonts w:ascii="宋体" w:hAnsi="宋体" w:cs="宋体"/>
          <w:szCs w:val="21"/>
        </w:rPr>
      </w:pPr>
      <w:r>
        <w:rPr>
          <w:rFonts w:hint="eastAsia" w:ascii="宋体" w:hAnsi="宋体" w:cs="宋体"/>
          <w:szCs w:val="21"/>
        </w:rPr>
        <w:t>5.1磋商供应商对竞争性磋商响应文件的编制应按要求装订和封装。</w:t>
      </w:r>
    </w:p>
    <w:p>
      <w:pPr>
        <w:tabs>
          <w:tab w:val="left" w:pos="1635"/>
        </w:tabs>
        <w:spacing w:line="420" w:lineRule="exact"/>
        <w:ind w:firstLine="435"/>
        <w:rPr>
          <w:rFonts w:ascii="宋体" w:hAnsi="宋体" w:cs="宋体"/>
          <w:szCs w:val="21"/>
        </w:rPr>
      </w:pPr>
      <w:r>
        <w:rPr>
          <w:rFonts w:hint="eastAsia" w:ascii="宋体" w:hAnsi="宋体" w:cs="宋体"/>
          <w:szCs w:val="21"/>
        </w:rPr>
        <w:t>5.2磋商供应商提交的竞争性磋商响应文件以及磋商供应商与代理机构和采购人就有关磋商的所有来往函电均应使用中文。磋商供应商提交的支持文件和印刷的文献可以使用别的语言，但其相应内容必须附有中文翻译文本，在解释竞争性磋商响应文件时以翻译文本为主。</w:t>
      </w:r>
    </w:p>
    <w:p>
      <w:pPr>
        <w:tabs>
          <w:tab w:val="left" w:pos="1635"/>
        </w:tabs>
        <w:spacing w:line="420" w:lineRule="exact"/>
        <w:ind w:firstLine="435"/>
        <w:rPr>
          <w:rFonts w:ascii="宋体" w:hAnsi="宋体" w:cs="宋体"/>
          <w:szCs w:val="21"/>
        </w:rPr>
      </w:pPr>
      <w:r>
        <w:rPr>
          <w:rFonts w:hint="eastAsia" w:ascii="宋体" w:hAnsi="宋体" w:cs="宋体"/>
          <w:szCs w:val="21"/>
        </w:rPr>
        <w:t>5.3磋商供应商应认真阅读、并充分理解本文件的全部内容（包括所有的澄清、更改、补充、答疑等内容），承诺并履行本文件中各项条款规定及要求。</w:t>
      </w:r>
    </w:p>
    <w:p>
      <w:pPr>
        <w:tabs>
          <w:tab w:val="left" w:pos="1635"/>
        </w:tabs>
        <w:spacing w:line="420" w:lineRule="exact"/>
        <w:ind w:firstLine="435"/>
        <w:rPr>
          <w:rFonts w:ascii="宋体" w:hAnsi="宋体" w:cs="宋体"/>
          <w:szCs w:val="21"/>
        </w:rPr>
      </w:pPr>
      <w:r>
        <w:rPr>
          <w:rFonts w:hint="eastAsia" w:ascii="宋体" w:hAnsi="宋体" w:cs="宋体"/>
          <w:szCs w:val="21"/>
        </w:rPr>
        <w:t>5.4竞争性磋商响应文件必须按本文件的全部内容，包括所有的澄清、更改、补充、答疑等内容及附件进行编制。</w:t>
      </w:r>
    </w:p>
    <w:p>
      <w:pPr>
        <w:tabs>
          <w:tab w:val="left" w:pos="1635"/>
        </w:tabs>
        <w:spacing w:line="420" w:lineRule="exact"/>
        <w:ind w:firstLine="435"/>
        <w:rPr>
          <w:rFonts w:ascii="宋体" w:hAnsi="宋体" w:cs="宋体"/>
          <w:szCs w:val="21"/>
        </w:rPr>
      </w:pPr>
      <w:r>
        <w:rPr>
          <w:rFonts w:hint="eastAsia" w:ascii="宋体" w:hAnsi="宋体" w:cs="宋体"/>
          <w:szCs w:val="21"/>
        </w:rPr>
        <w:t>5.5如因磋商供应商只填写和提供了本文件要求的部分内容和附件，而给磋商小组评审造成困难，其可能导致的结果和责任由磋商供应商自行承担。</w:t>
      </w:r>
    </w:p>
    <w:p>
      <w:pPr>
        <w:tabs>
          <w:tab w:val="left" w:pos="1635"/>
        </w:tabs>
        <w:spacing w:line="420" w:lineRule="exact"/>
        <w:ind w:firstLine="435"/>
        <w:rPr>
          <w:rFonts w:ascii="宋体" w:hAnsi="宋体" w:cs="宋体"/>
          <w:szCs w:val="21"/>
        </w:rPr>
      </w:pPr>
      <w:r>
        <w:rPr>
          <w:rFonts w:hint="eastAsia" w:ascii="宋体" w:hAnsi="宋体" w:cs="宋体"/>
          <w:szCs w:val="21"/>
        </w:rPr>
        <w:t>5.6竞争性磋商响应文件的组成：竞争性磋商响应文件应分为价格文件和商务技术文件两个部分组成（要求装订成一本）。</w:t>
      </w:r>
    </w:p>
    <w:p>
      <w:pPr>
        <w:tabs>
          <w:tab w:val="left" w:pos="1635"/>
        </w:tabs>
        <w:spacing w:line="420" w:lineRule="exact"/>
        <w:ind w:firstLine="435"/>
        <w:rPr>
          <w:rFonts w:ascii="宋体" w:hAnsi="宋体" w:cs="宋体"/>
          <w:szCs w:val="21"/>
        </w:rPr>
      </w:pPr>
      <w:r>
        <w:rPr>
          <w:rFonts w:hint="eastAsia" w:ascii="宋体" w:hAnsi="宋体" w:cs="宋体"/>
          <w:szCs w:val="21"/>
        </w:rPr>
        <w:t>5.6.1价格文件</w:t>
      </w:r>
    </w:p>
    <w:p>
      <w:pPr>
        <w:tabs>
          <w:tab w:val="left" w:pos="1635"/>
        </w:tabs>
        <w:spacing w:line="420" w:lineRule="exact"/>
        <w:ind w:firstLine="435"/>
        <w:rPr>
          <w:rFonts w:ascii="宋体" w:hAnsi="宋体" w:cs="宋体"/>
          <w:szCs w:val="21"/>
        </w:rPr>
      </w:pPr>
      <w:r>
        <w:rPr>
          <w:rFonts w:hint="eastAsia" w:ascii="宋体" w:hAnsi="宋体" w:cs="宋体"/>
          <w:szCs w:val="21"/>
        </w:rPr>
        <w:t>（1）报价表（格式见第四章）</w:t>
      </w:r>
      <w:r>
        <w:rPr>
          <w:rFonts w:hint="eastAsia" w:ascii="宋体" w:hAnsi="宋体" w:cs="宋体"/>
          <w:b/>
          <w:szCs w:val="21"/>
        </w:rPr>
        <w:t>[必须提供]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5.6.2商务技术文件</w:t>
      </w:r>
    </w:p>
    <w:p>
      <w:pPr>
        <w:tabs>
          <w:tab w:val="left" w:pos="1635"/>
        </w:tabs>
        <w:spacing w:line="420" w:lineRule="exact"/>
        <w:ind w:firstLine="435"/>
        <w:rPr>
          <w:rFonts w:ascii="宋体" w:hAnsi="宋体" w:cs="宋体"/>
          <w:szCs w:val="21"/>
        </w:rPr>
      </w:pPr>
      <w:r>
        <w:rPr>
          <w:rFonts w:hint="eastAsia" w:ascii="宋体" w:hAnsi="宋体" w:cs="宋体"/>
          <w:szCs w:val="21"/>
        </w:rPr>
        <w:t>（1）磋商书（格式见第四章）</w:t>
      </w:r>
      <w:r>
        <w:rPr>
          <w:rFonts w:hint="eastAsia" w:ascii="宋体" w:hAnsi="宋体" w:cs="宋体"/>
          <w:b/>
          <w:szCs w:val="21"/>
        </w:rPr>
        <w:t>[必须提供]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）商务、服务（技术）响应及偏离情况说明表（格式见第四章）</w:t>
      </w:r>
      <w:r>
        <w:rPr>
          <w:rFonts w:hint="eastAsia" w:ascii="宋体" w:hAnsi="宋体" w:cs="宋体"/>
          <w:b/>
          <w:szCs w:val="21"/>
        </w:rPr>
        <w:t>[必须提供]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）法定代表人授权委托书原件和委托代理人身份证复印件（格式见第四章）</w:t>
      </w:r>
      <w:r>
        <w:rPr>
          <w:rFonts w:hint="eastAsia" w:ascii="宋体" w:hAnsi="宋体" w:cs="宋体"/>
          <w:b/>
          <w:szCs w:val="21"/>
        </w:rPr>
        <w:t>[委托代理时，必须提供]</w:t>
      </w:r>
      <w:r>
        <w:rPr>
          <w:rFonts w:hint="eastAsia" w:ascii="宋体" w:hAnsi="宋体" w:cs="宋体"/>
          <w:szCs w:val="21"/>
        </w:rPr>
        <w:t xml:space="preserve">； </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）法定代表人身份证复印件；</w:t>
      </w:r>
      <w:r>
        <w:rPr>
          <w:rFonts w:hint="eastAsia" w:ascii="宋体" w:hAnsi="宋体" w:cs="宋体"/>
          <w:b/>
          <w:szCs w:val="21"/>
        </w:rPr>
        <w:t>[必须提供]</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）有效的营业执照等证明文件复印件；</w:t>
      </w:r>
    </w:p>
    <w:p>
      <w:pPr>
        <w:tabs>
          <w:tab w:val="left" w:pos="1635"/>
        </w:tabs>
        <w:spacing w:line="420" w:lineRule="exact"/>
        <w:ind w:firstLine="435"/>
        <w:rPr>
          <w:rFonts w:ascii="宋体" w:hAnsi="宋体" w:cs="宋体"/>
          <w:szCs w:val="21"/>
        </w:rPr>
      </w:pPr>
      <w:r>
        <w:rPr>
          <w:rFonts w:hint="eastAsia" w:ascii="宋体" w:hAnsi="宋体" w:cs="宋体"/>
          <w:szCs w:val="21"/>
        </w:rPr>
        <w:t>①磋商供应商有效的营业执照等证明文件复印件</w:t>
      </w:r>
      <w:r>
        <w:rPr>
          <w:rFonts w:hint="eastAsia" w:ascii="宋体" w:hAnsi="宋体" w:cs="宋体"/>
          <w:b/>
          <w:szCs w:val="21"/>
        </w:rPr>
        <w:t xml:space="preserve"> [必须提供]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 xml:space="preserve">②对于有经营资质要求的，磋商供应商必须提供有效的经营资质证书副本内页复印件，要求清晰反映该磋商供应商本年度经营资质 </w:t>
      </w:r>
      <w:r>
        <w:rPr>
          <w:rFonts w:hint="eastAsia" w:ascii="宋体" w:hAnsi="宋体" w:cs="宋体"/>
          <w:b/>
          <w:szCs w:val="21"/>
        </w:rPr>
        <w:t xml:space="preserve">[必须提供] </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 xml:space="preserve">）磋商供应商2019年度经审计的财务状况报告(新成立的单位应提供最近的财务状况报告) </w:t>
      </w:r>
      <w:r>
        <w:rPr>
          <w:rFonts w:hint="eastAsia" w:ascii="宋体" w:hAnsi="宋体" w:cs="宋体"/>
          <w:b/>
          <w:szCs w:val="21"/>
        </w:rPr>
        <w:t>[必须提供，格式自拟]</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）响应文件递交截止之日前半年内磋商供应商连续三个月依法缴纳税费或免缴税费的证明（复印件，格式自拟）</w:t>
      </w:r>
      <w:r>
        <w:rPr>
          <w:rFonts w:hint="eastAsia" w:ascii="宋体" w:hAnsi="宋体" w:cs="宋体"/>
          <w:b/>
          <w:szCs w:val="21"/>
        </w:rPr>
        <w:t>[必须提供]</w:t>
      </w:r>
      <w:r>
        <w:rPr>
          <w:rFonts w:hint="eastAsia" w:ascii="宋体" w:hAnsi="宋体" w:cs="宋体"/>
          <w:szCs w:val="21"/>
        </w:rPr>
        <w:t>；无纳税记录的，应提供由磋商供应商所在地主管税务部门出具的《依法纳税或依法免税证明》（复印件，格式自拟）</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）响应文件递交截止之日前半年内磋商供应商连续三个月缴纳社保费的缴费凭证（复印件，格式自拟）</w:t>
      </w:r>
      <w:r>
        <w:rPr>
          <w:rFonts w:hint="eastAsia" w:ascii="宋体" w:hAnsi="宋体" w:cs="宋体"/>
          <w:b/>
          <w:szCs w:val="21"/>
        </w:rPr>
        <w:t>[必须提供]</w:t>
      </w:r>
      <w:r>
        <w:rPr>
          <w:rFonts w:hint="eastAsia" w:ascii="宋体" w:hAnsi="宋体" w:cs="宋体"/>
          <w:szCs w:val="21"/>
        </w:rPr>
        <w:t>；无缴费记录的，应提供由磋商供应商所在地社保部门出具的《依法缴纳或依法免缴社保费证明》（复印件，格式自拟）</w:t>
      </w:r>
    </w:p>
    <w:p>
      <w:pPr>
        <w:tabs>
          <w:tab w:val="left" w:pos="1635"/>
        </w:tabs>
        <w:spacing w:line="420" w:lineRule="exact"/>
        <w:ind w:firstLine="435"/>
        <w:rPr>
          <w:rFonts w:ascii="宋体" w:hAnsi="宋体" w:cs="宋体"/>
          <w:b/>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）具备履行合同所必须的设备和专业技术能力的证明材料；</w:t>
      </w:r>
      <w:r>
        <w:rPr>
          <w:rFonts w:hint="eastAsia" w:ascii="宋体" w:hAnsi="宋体" w:cs="宋体"/>
          <w:b/>
          <w:szCs w:val="21"/>
        </w:rPr>
        <w:t>[格式自拟]</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）参加政府采购活动前三年内，在经营活动中没有重大违法记录和不良信用记录的书面声明；</w:t>
      </w:r>
      <w:r>
        <w:rPr>
          <w:rFonts w:hint="eastAsia" w:ascii="宋体" w:hAnsi="宋体" w:cs="宋体"/>
          <w:b/>
          <w:bCs/>
          <w:szCs w:val="21"/>
        </w:rPr>
        <w:t>[必须提供，格式自拟]</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）项目理解和难点、关键点分析（由供应商根据项目实际情况和服务采购需求的要求自行编制）；</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）项目技术方案（由供应商根据项目实际情况和服务采购需求的要求自行编制）；</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）质量保证措施和服务承诺（由供应商根据项目实际情况和服务采购需求的要求自行编制）；</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）拟投入本项目的人员配置情况表（格式见第四章）；</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）具备法律、行政法规规定的其他条件的证明材料；</w:t>
      </w:r>
      <w:r>
        <w:rPr>
          <w:rFonts w:hint="eastAsia" w:ascii="宋体" w:hAnsi="宋体" w:cs="宋体"/>
          <w:b/>
          <w:szCs w:val="21"/>
        </w:rPr>
        <w:t xml:space="preserve">[如有规定，则必须提供] </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）磋商供应商认为有必要提供的相关资料。</w:t>
      </w:r>
    </w:p>
    <w:p>
      <w:pPr>
        <w:tabs>
          <w:tab w:val="left" w:pos="1635"/>
        </w:tabs>
        <w:spacing w:line="420" w:lineRule="exact"/>
        <w:ind w:firstLine="435"/>
        <w:rPr>
          <w:rFonts w:ascii="宋体" w:hAnsi="宋体" w:cs="宋体"/>
          <w:b/>
          <w:szCs w:val="21"/>
        </w:rPr>
      </w:pPr>
      <w:r>
        <w:rPr>
          <w:rFonts w:hint="eastAsia" w:ascii="宋体" w:hAnsi="宋体" w:cs="宋体"/>
          <w:b/>
          <w:szCs w:val="21"/>
        </w:rPr>
        <w:t>若材料为复印件必须加盖磋商供应商公章，否则竞标无效。</w:t>
      </w:r>
    </w:p>
    <w:p>
      <w:pPr>
        <w:tabs>
          <w:tab w:val="left" w:pos="2190"/>
        </w:tabs>
        <w:spacing w:line="420" w:lineRule="exact"/>
        <w:ind w:firstLine="435"/>
        <w:rPr>
          <w:rFonts w:ascii="宋体" w:hAnsi="宋体" w:cs="宋体"/>
          <w:szCs w:val="21"/>
        </w:rPr>
      </w:pPr>
      <w:r>
        <w:rPr>
          <w:rFonts w:hint="eastAsia" w:ascii="宋体" w:hAnsi="宋体" w:cs="宋体"/>
          <w:szCs w:val="21"/>
        </w:rPr>
        <w:t>5.6.3如供应商为联合体，则联合体各方俱应按要求提交上述资格证明文件，并遵循以下规定：</w:t>
      </w:r>
    </w:p>
    <w:p>
      <w:pPr>
        <w:tabs>
          <w:tab w:val="left" w:pos="2190"/>
        </w:tabs>
        <w:spacing w:line="420" w:lineRule="exact"/>
        <w:ind w:firstLine="435"/>
        <w:rPr>
          <w:rFonts w:ascii="宋体" w:hAnsi="宋体" w:cs="宋体"/>
          <w:szCs w:val="21"/>
        </w:rPr>
      </w:pPr>
      <w:r>
        <w:rPr>
          <w:rFonts w:hint="eastAsia" w:ascii="宋体" w:hAnsi="宋体" w:cs="宋体"/>
          <w:szCs w:val="21"/>
        </w:rPr>
        <w:t>（1）两个以上供应商可以组成一个联合体，应以一个供应商的身份参与竞争性磋商。</w:t>
      </w:r>
    </w:p>
    <w:p>
      <w:pPr>
        <w:tabs>
          <w:tab w:val="left" w:pos="2190"/>
        </w:tabs>
        <w:spacing w:line="420" w:lineRule="exact"/>
        <w:ind w:firstLine="435"/>
        <w:rPr>
          <w:rFonts w:ascii="宋体" w:hAnsi="宋体" w:cs="宋体"/>
          <w:szCs w:val="21"/>
        </w:rPr>
      </w:pPr>
      <w:r>
        <w:rPr>
          <w:rFonts w:hint="eastAsia" w:ascii="宋体" w:hAnsi="宋体" w:cs="宋体"/>
          <w:szCs w:val="21"/>
        </w:rPr>
        <w:t>（2）以联合体形式参加竞争性磋商的，联合体各方均应当符合“政府采购法第二十二条第一款规定”的条件。本项目有特殊要求规定供应商特定条件的，联合体各方中至少应当有一方符合竞争性磋商文件规定的特定条件。</w:t>
      </w:r>
    </w:p>
    <w:p>
      <w:pPr>
        <w:tabs>
          <w:tab w:val="left" w:pos="2190"/>
        </w:tabs>
        <w:spacing w:line="420" w:lineRule="exact"/>
        <w:ind w:firstLine="435"/>
        <w:rPr>
          <w:rFonts w:ascii="宋体" w:hAnsi="宋体" w:cs="宋体"/>
          <w:szCs w:val="21"/>
        </w:rPr>
      </w:pPr>
      <w:r>
        <w:rPr>
          <w:rFonts w:hint="eastAsia" w:ascii="宋体" w:hAnsi="宋体" w:cs="宋体"/>
          <w:szCs w:val="21"/>
        </w:rPr>
        <w:t>（3）联合体各方之间应当签订共同竞争性磋商协议，明确约定联合体各方承担的工作和相应的责任，并将共同竞争性磋商协议连同响应文件一并提交到指定开标室。联合体各方签订共同竞争性磋商协议后，不得再以自己名义单独在同一项目中参与竞争性磋商，也不得组成新的联合体参加同一项目竞争性磋商。</w:t>
      </w:r>
    </w:p>
    <w:p>
      <w:pPr>
        <w:tabs>
          <w:tab w:val="left" w:pos="2190"/>
        </w:tabs>
        <w:spacing w:line="420" w:lineRule="exact"/>
        <w:ind w:firstLine="435"/>
        <w:rPr>
          <w:rFonts w:ascii="宋体" w:hAnsi="宋体" w:cs="宋体"/>
          <w:szCs w:val="21"/>
        </w:rPr>
      </w:pPr>
      <w:r>
        <w:rPr>
          <w:rFonts w:hint="eastAsia" w:ascii="宋体" w:hAnsi="宋体" w:cs="宋体"/>
          <w:szCs w:val="21"/>
        </w:rPr>
        <w:t>（4）联合体的业绩和信誉按联合体主体方（或牵头方）计算。</w:t>
      </w:r>
    </w:p>
    <w:p>
      <w:pPr>
        <w:tabs>
          <w:tab w:val="left" w:pos="2190"/>
        </w:tabs>
        <w:spacing w:line="420" w:lineRule="exact"/>
        <w:ind w:firstLine="435"/>
        <w:rPr>
          <w:rFonts w:ascii="宋体" w:hAnsi="宋体" w:cs="宋体"/>
          <w:szCs w:val="21"/>
        </w:rPr>
      </w:pPr>
      <w:r>
        <w:rPr>
          <w:rFonts w:hint="eastAsia" w:ascii="宋体" w:hAnsi="宋体" w:cs="宋体"/>
          <w:szCs w:val="21"/>
        </w:rPr>
        <w:t>（5）联合体中有同类资质的供应商按照联合体分工承担相同工作的，按资质等级较低的一方确定资质等级。</w:t>
      </w:r>
    </w:p>
    <w:p>
      <w:pPr>
        <w:tabs>
          <w:tab w:val="left" w:pos="2190"/>
        </w:tabs>
        <w:spacing w:line="420" w:lineRule="exact"/>
        <w:ind w:firstLine="435"/>
        <w:rPr>
          <w:rFonts w:ascii="宋体" w:hAnsi="宋体" w:cs="宋体"/>
          <w:szCs w:val="21"/>
        </w:rPr>
      </w:pPr>
      <w:r>
        <w:rPr>
          <w:rFonts w:hint="eastAsia" w:ascii="宋体" w:hAnsi="宋体" w:cs="宋体"/>
          <w:szCs w:val="21"/>
        </w:rPr>
        <w:t>6. 计量单位</w:t>
      </w:r>
    </w:p>
    <w:p>
      <w:pPr>
        <w:tabs>
          <w:tab w:val="left" w:pos="2190"/>
        </w:tabs>
        <w:spacing w:line="420" w:lineRule="exact"/>
        <w:ind w:firstLine="435"/>
        <w:rPr>
          <w:rFonts w:ascii="宋体" w:hAnsi="宋体" w:cs="宋体"/>
          <w:szCs w:val="21"/>
        </w:rPr>
      </w:pPr>
      <w:r>
        <w:rPr>
          <w:rFonts w:hint="eastAsia" w:ascii="宋体" w:hAnsi="宋体" w:cs="宋体"/>
          <w:szCs w:val="21"/>
        </w:rPr>
        <w:t>6.1除技术要求中另有规定外，本文件所要求使用的计量单位均应采用国家法定计量单位。</w:t>
      </w:r>
    </w:p>
    <w:p>
      <w:pPr>
        <w:spacing w:line="420" w:lineRule="exact"/>
        <w:ind w:firstLine="413" w:firstLineChars="196"/>
        <w:rPr>
          <w:rFonts w:ascii="宋体" w:hAnsi="宋体" w:cs="宋体"/>
          <w:b/>
          <w:szCs w:val="21"/>
        </w:rPr>
      </w:pPr>
      <w:r>
        <w:rPr>
          <w:rFonts w:hint="eastAsia" w:ascii="宋体" w:hAnsi="宋体" w:cs="宋体"/>
          <w:b/>
          <w:szCs w:val="21"/>
        </w:rPr>
        <w:t>三、报价要求</w:t>
      </w:r>
    </w:p>
    <w:p>
      <w:pPr>
        <w:tabs>
          <w:tab w:val="left" w:pos="2190"/>
        </w:tabs>
        <w:spacing w:line="420" w:lineRule="exact"/>
        <w:ind w:firstLine="435"/>
        <w:rPr>
          <w:rFonts w:ascii="宋体" w:hAnsi="宋体" w:cs="宋体"/>
          <w:szCs w:val="21"/>
        </w:rPr>
      </w:pPr>
      <w:r>
        <w:rPr>
          <w:rFonts w:hint="eastAsia" w:ascii="宋体" w:hAnsi="宋体" w:cs="宋体"/>
          <w:szCs w:val="21"/>
        </w:rPr>
        <w:t>7.1对于本文件中未列明，而供应商认为必需的费用也需列入总报价。在合同实施时，采购人将不予支付成交供应商没有列入的项目费用，并认为此项目的费用已包括在总报价中。</w:t>
      </w:r>
    </w:p>
    <w:p>
      <w:pPr>
        <w:tabs>
          <w:tab w:val="left" w:pos="2190"/>
        </w:tabs>
        <w:spacing w:line="420" w:lineRule="exact"/>
        <w:ind w:firstLine="435"/>
        <w:rPr>
          <w:rFonts w:ascii="宋体" w:hAnsi="宋体" w:cs="宋体"/>
          <w:szCs w:val="21"/>
        </w:rPr>
      </w:pPr>
      <w:r>
        <w:rPr>
          <w:rFonts w:hint="eastAsia" w:ascii="宋体" w:hAnsi="宋体" w:cs="宋体"/>
          <w:szCs w:val="21"/>
        </w:rPr>
        <w:t>7.2成交供应商负责本项目所需服务的全部工作。</w:t>
      </w:r>
    </w:p>
    <w:p>
      <w:pPr>
        <w:tabs>
          <w:tab w:val="left" w:pos="2190"/>
        </w:tabs>
        <w:spacing w:line="420" w:lineRule="exact"/>
        <w:ind w:firstLine="435"/>
        <w:rPr>
          <w:rFonts w:ascii="宋体" w:hAnsi="宋体" w:cs="宋体"/>
          <w:szCs w:val="21"/>
        </w:rPr>
      </w:pPr>
      <w:r>
        <w:rPr>
          <w:rFonts w:hint="eastAsia" w:ascii="宋体" w:hAnsi="宋体" w:cs="宋体"/>
          <w:szCs w:val="21"/>
        </w:rPr>
        <w:t>7.3供应商应在报价表上标明单价和总价。响应文件报价出现前后不一致的，按照下列规定修正：</w:t>
      </w:r>
    </w:p>
    <w:p>
      <w:pPr>
        <w:tabs>
          <w:tab w:val="left" w:pos="2190"/>
        </w:tabs>
        <w:spacing w:line="420" w:lineRule="exact"/>
        <w:ind w:firstLine="435"/>
        <w:rPr>
          <w:rFonts w:ascii="宋体" w:hAnsi="宋体" w:cs="宋体"/>
          <w:szCs w:val="21"/>
        </w:rPr>
      </w:pPr>
      <w:r>
        <w:rPr>
          <w:rFonts w:hint="eastAsia" w:ascii="宋体" w:hAnsi="宋体" w:cs="宋体"/>
          <w:szCs w:val="21"/>
        </w:rPr>
        <w:t>（1）响应文件中开标一览表（报价表）内容与响应文件中相应内容不一致的，以开标一览表（报价表）为准；</w:t>
      </w:r>
    </w:p>
    <w:p>
      <w:pPr>
        <w:tabs>
          <w:tab w:val="left" w:pos="2190"/>
        </w:tabs>
        <w:spacing w:line="420" w:lineRule="exact"/>
        <w:ind w:firstLine="435"/>
        <w:rPr>
          <w:rFonts w:ascii="宋体" w:hAnsi="宋体" w:cs="宋体"/>
          <w:szCs w:val="21"/>
        </w:rPr>
      </w:pPr>
      <w:r>
        <w:rPr>
          <w:rFonts w:hint="eastAsia" w:ascii="宋体" w:hAnsi="宋体" w:cs="宋体"/>
          <w:szCs w:val="21"/>
        </w:rPr>
        <w:t>（2）大写金额和小写金额不一致的，以大写金额为准；</w:t>
      </w:r>
    </w:p>
    <w:p>
      <w:pPr>
        <w:tabs>
          <w:tab w:val="left" w:pos="2190"/>
        </w:tabs>
        <w:spacing w:line="420" w:lineRule="exact"/>
        <w:ind w:firstLine="435"/>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tabs>
          <w:tab w:val="left" w:pos="2190"/>
        </w:tabs>
        <w:spacing w:line="420" w:lineRule="exact"/>
        <w:ind w:firstLine="435"/>
        <w:rPr>
          <w:rFonts w:ascii="宋体" w:hAnsi="宋体" w:cs="宋体"/>
          <w:szCs w:val="21"/>
        </w:rPr>
      </w:pPr>
      <w:r>
        <w:rPr>
          <w:rFonts w:hint="eastAsia" w:ascii="宋体" w:hAnsi="宋体" w:cs="宋体"/>
          <w:szCs w:val="21"/>
        </w:rPr>
        <w:t>（4）总价金额与按单价汇总金额不一致的，以单价金额计算结果为准。</w:t>
      </w:r>
    </w:p>
    <w:p>
      <w:pPr>
        <w:tabs>
          <w:tab w:val="left" w:pos="2190"/>
        </w:tabs>
        <w:spacing w:line="420" w:lineRule="exact"/>
        <w:ind w:firstLine="435"/>
        <w:rPr>
          <w:rFonts w:ascii="宋体" w:hAnsi="宋体" w:cs="宋体"/>
          <w:szCs w:val="21"/>
        </w:rPr>
      </w:pPr>
      <w:r>
        <w:rPr>
          <w:rFonts w:hint="eastAsia" w:ascii="宋体" w:hAnsi="宋体" w:cs="宋体"/>
          <w:szCs w:val="21"/>
        </w:rPr>
        <w:t>同时出现两种以上不一致的，按照前款规定的顺序修正。</w:t>
      </w:r>
    </w:p>
    <w:p>
      <w:pPr>
        <w:tabs>
          <w:tab w:val="left" w:pos="2190"/>
        </w:tabs>
        <w:spacing w:line="420" w:lineRule="exact"/>
        <w:ind w:firstLine="435"/>
        <w:rPr>
          <w:rFonts w:ascii="宋体" w:hAnsi="宋体" w:cs="宋体"/>
          <w:szCs w:val="21"/>
        </w:rPr>
      </w:pPr>
      <w:r>
        <w:rPr>
          <w:rFonts w:hint="eastAsia" w:ascii="宋体" w:hAnsi="宋体" w:cs="宋体"/>
          <w:szCs w:val="21"/>
        </w:rPr>
        <w:t>按上述修正错误的原则及方法调整或修正响应文件的投标报价，供应商同意并签字确认后，调整后的投标报价对供应商具有约束作用。如果供应商不接受修正后的报价，则其投标将作为无效投标处理。</w:t>
      </w:r>
    </w:p>
    <w:p>
      <w:pPr>
        <w:tabs>
          <w:tab w:val="left" w:pos="2190"/>
        </w:tabs>
        <w:spacing w:line="420" w:lineRule="exact"/>
        <w:ind w:firstLine="435"/>
        <w:rPr>
          <w:rFonts w:ascii="宋体" w:hAnsi="宋体" w:cs="宋体"/>
          <w:szCs w:val="21"/>
        </w:rPr>
      </w:pPr>
      <w:r>
        <w:rPr>
          <w:rFonts w:hint="eastAsia" w:ascii="宋体" w:hAnsi="宋体" w:cs="宋体"/>
          <w:szCs w:val="21"/>
        </w:rPr>
        <w:t>7.4报价：详见本须知前附表第3项规定。</w:t>
      </w:r>
    </w:p>
    <w:p>
      <w:pPr>
        <w:spacing w:line="420" w:lineRule="exact"/>
        <w:ind w:firstLine="413" w:firstLineChars="196"/>
        <w:rPr>
          <w:rFonts w:ascii="宋体" w:hAnsi="宋体" w:cs="宋体"/>
          <w:b/>
          <w:szCs w:val="21"/>
        </w:rPr>
      </w:pPr>
      <w:r>
        <w:rPr>
          <w:rFonts w:hint="eastAsia" w:ascii="宋体" w:hAnsi="宋体" w:cs="宋体"/>
          <w:b/>
          <w:szCs w:val="21"/>
        </w:rPr>
        <w:t>四、竞争性磋商响应文件的份数、封装和递交</w:t>
      </w:r>
    </w:p>
    <w:p>
      <w:pPr>
        <w:tabs>
          <w:tab w:val="left" w:pos="2190"/>
        </w:tabs>
        <w:spacing w:line="420" w:lineRule="exact"/>
        <w:ind w:firstLine="435"/>
        <w:rPr>
          <w:rFonts w:ascii="宋体" w:hAnsi="宋体" w:cs="宋体"/>
          <w:szCs w:val="21"/>
        </w:rPr>
      </w:pPr>
      <w:r>
        <w:rPr>
          <w:rFonts w:hint="eastAsia" w:ascii="宋体" w:hAnsi="宋体" w:cs="宋体"/>
          <w:szCs w:val="21"/>
        </w:rPr>
        <w:t>8. 竞争性磋商响应文件的份数和封装</w:t>
      </w:r>
    </w:p>
    <w:p>
      <w:pPr>
        <w:tabs>
          <w:tab w:val="left" w:pos="2190"/>
        </w:tabs>
        <w:spacing w:line="420" w:lineRule="exact"/>
        <w:ind w:firstLine="435"/>
        <w:rPr>
          <w:rFonts w:ascii="宋体" w:hAnsi="宋体" w:cs="宋体"/>
          <w:szCs w:val="21"/>
        </w:rPr>
      </w:pPr>
      <w:r>
        <w:rPr>
          <w:rFonts w:hint="eastAsia" w:ascii="宋体" w:hAnsi="宋体" w:cs="宋体"/>
          <w:szCs w:val="21"/>
        </w:rPr>
        <w:t>8.1磋商供应商应将竞争性磋商响应文件中“价格文件”和“商务技术文件”装订成一本（两文件相隔之间用封面标识，封面写明“价格文件”、“商务技术文件”字样）。</w:t>
      </w:r>
    </w:p>
    <w:p>
      <w:pPr>
        <w:tabs>
          <w:tab w:val="left" w:pos="2190"/>
        </w:tabs>
        <w:spacing w:line="420" w:lineRule="exact"/>
        <w:ind w:firstLine="435"/>
        <w:rPr>
          <w:rFonts w:ascii="宋体" w:hAnsi="宋体" w:cs="宋体"/>
          <w:szCs w:val="21"/>
        </w:rPr>
      </w:pPr>
      <w:r>
        <w:rPr>
          <w:rFonts w:hint="eastAsia" w:ascii="宋体" w:hAnsi="宋体" w:cs="宋体"/>
          <w:szCs w:val="21"/>
        </w:rPr>
        <w:t>磋商供应商将竞争性磋商响应文件按正、副本分别装订成册，在每个正、副本封面上标明“正本”或“副本”以及项目名称、项目编号、磋商供应商名称等内容，副本可以是已签字盖单位公章的正本复印件。</w:t>
      </w:r>
    </w:p>
    <w:p>
      <w:pPr>
        <w:tabs>
          <w:tab w:val="left" w:pos="2190"/>
        </w:tabs>
        <w:spacing w:line="420" w:lineRule="exact"/>
        <w:ind w:firstLine="435"/>
        <w:rPr>
          <w:rFonts w:ascii="宋体" w:hAnsi="宋体" w:cs="宋体"/>
          <w:szCs w:val="21"/>
        </w:rPr>
      </w:pPr>
      <w:r>
        <w:rPr>
          <w:rFonts w:hint="eastAsia" w:ascii="宋体" w:hAnsi="宋体" w:cs="宋体"/>
          <w:szCs w:val="21"/>
        </w:rPr>
        <w:t>8.2磋商供应商应将竞争性磋商响应文件正、副本（正本一份，副本四份）装入到一个竞争性磋商响应文件袋内，封装并加以密封；在每一封贴处密封签章（公章、密封章、法定代表人、委托代理人签字等均可）。文件袋外层封面上应写明：</w:t>
      </w:r>
    </w:p>
    <w:p>
      <w:pPr>
        <w:tabs>
          <w:tab w:val="left" w:pos="2190"/>
        </w:tabs>
        <w:spacing w:line="420" w:lineRule="exact"/>
        <w:ind w:firstLine="435"/>
        <w:rPr>
          <w:rFonts w:ascii="宋体" w:hAnsi="宋体" w:cs="宋体"/>
          <w:szCs w:val="21"/>
        </w:rPr>
      </w:pPr>
      <w:r>
        <w:rPr>
          <w:rFonts w:hint="eastAsia" w:ascii="宋体" w:hAnsi="宋体" w:cs="宋体"/>
          <w:szCs w:val="21"/>
        </w:rPr>
        <w:t>（1）项目编号；</w:t>
      </w:r>
    </w:p>
    <w:p>
      <w:pPr>
        <w:tabs>
          <w:tab w:val="left" w:pos="2190"/>
        </w:tabs>
        <w:spacing w:line="420" w:lineRule="exact"/>
        <w:ind w:firstLine="435"/>
        <w:rPr>
          <w:rFonts w:ascii="宋体" w:hAnsi="宋体" w:cs="宋体"/>
          <w:szCs w:val="21"/>
        </w:rPr>
      </w:pPr>
      <w:r>
        <w:rPr>
          <w:rFonts w:hint="eastAsia" w:ascii="宋体" w:hAnsi="宋体" w:cs="宋体"/>
          <w:szCs w:val="21"/>
        </w:rPr>
        <w:t>（2）项目名称；</w:t>
      </w:r>
    </w:p>
    <w:p>
      <w:pPr>
        <w:tabs>
          <w:tab w:val="left" w:pos="2190"/>
        </w:tabs>
        <w:spacing w:line="420" w:lineRule="exact"/>
        <w:ind w:firstLine="435"/>
        <w:rPr>
          <w:rFonts w:ascii="宋体" w:hAnsi="宋体" w:cs="宋体"/>
          <w:szCs w:val="21"/>
        </w:rPr>
      </w:pPr>
      <w:r>
        <w:rPr>
          <w:rFonts w:hint="eastAsia" w:ascii="宋体" w:hAnsi="宋体" w:cs="宋体"/>
          <w:szCs w:val="21"/>
        </w:rPr>
        <w:t>（3）磋商供应商名称；</w:t>
      </w:r>
    </w:p>
    <w:p>
      <w:pPr>
        <w:tabs>
          <w:tab w:val="left" w:pos="2190"/>
        </w:tabs>
        <w:spacing w:line="420" w:lineRule="exact"/>
        <w:ind w:firstLine="435"/>
        <w:rPr>
          <w:rFonts w:ascii="宋体" w:hAnsi="宋体" w:cs="宋体"/>
          <w:szCs w:val="21"/>
        </w:rPr>
      </w:pPr>
      <w:r>
        <w:rPr>
          <w:rFonts w:hint="eastAsia" w:ascii="宋体" w:hAnsi="宋体" w:cs="宋体"/>
          <w:szCs w:val="21"/>
        </w:rPr>
        <w:t>（4）（截标时才能启封）</w:t>
      </w:r>
    </w:p>
    <w:p>
      <w:pPr>
        <w:tabs>
          <w:tab w:val="left" w:pos="2190"/>
        </w:tabs>
        <w:spacing w:line="420" w:lineRule="exact"/>
        <w:ind w:firstLine="435"/>
        <w:rPr>
          <w:rFonts w:ascii="宋体" w:hAnsi="宋体" w:cs="宋体"/>
          <w:szCs w:val="21"/>
        </w:rPr>
      </w:pPr>
      <w:r>
        <w:rPr>
          <w:rFonts w:hint="eastAsia" w:ascii="宋体" w:hAnsi="宋体" w:cs="宋体"/>
          <w:szCs w:val="21"/>
        </w:rPr>
        <w:t>9. 竞争性磋商响应文件的递交</w:t>
      </w:r>
    </w:p>
    <w:p>
      <w:pPr>
        <w:tabs>
          <w:tab w:val="left" w:pos="2190"/>
        </w:tabs>
        <w:spacing w:line="420" w:lineRule="exact"/>
        <w:ind w:firstLine="435"/>
        <w:rPr>
          <w:rFonts w:ascii="宋体" w:hAnsi="宋体" w:cs="宋体"/>
          <w:szCs w:val="21"/>
        </w:rPr>
      </w:pPr>
      <w:r>
        <w:rPr>
          <w:rFonts w:hint="eastAsia" w:ascii="宋体" w:hAnsi="宋体" w:cs="宋体"/>
          <w:szCs w:val="21"/>
        </w:rPr>
        <w:t>9.1所有响应文件应于本须知前附表规定的时间内递交到磋商文件中指定地点。</w:t>
      </w:r>
    </w:p>
    <w:p>
      <w:pPr>
        <w:tabs>
          <w:tab w:val="left" w:pos="2190"/>
        </w:tabs>
        <w:spacing w:line="420" w:lineRule="exact"/>
        <w:ind w:firstLine="435"/>
        <w:rPr>
          <w:rFonts w:ascii="宋体" w:hAnsi="宋体" w:cs="宋体"/>
          <w:szCs w:val="21"/>
        </w:rPr>
      </w:pPr>
      <w:r>
        <w:rPr>
          <w:rFonts w:hint="eastAsia" w:ascii="宋体" w:hAnsi="宋体" w:cs="宋体"/>
          <w:szCs w:val="21"/>
        </w:rPr>
        <w:t>9.2若遇到磋商供应商过多造成部分磋商供应商在截止时间前已抵达开标现场但未能签到的情况，采购人或采购代理机构将按规定在竞争性磋商响应文件递交截止时间关闭大门，禁止迟到的磋商供应商进入递交竞争性磋商响应文件，磋商供应商递交竞争性磋商响应文件的时间应以其进入磋商文件规定的开标场所的时间为准。</w:t>
      </w:r>
    </w:p>
    <w:p>
      <w:pPr>
        <w:tabs>
          <w:tab w:val="left" w:pos="2190"/>
        </w:tabs>
        <w:spacing w:line="420" w:lineRule="exact"/>
        <w:ind w:firstLine="435"/>
        <w:rPr>
          <w:rFonts w:ascii="宋体" w:hAnsi="宋体" w:cs="宋体"/>
          <w:szCs w:val="21"/>
        </w:rPr>
      </w:pPr>
      <w:r>
        <w:rPr>
          <w:rFonts w:hint="eastAsia" w:ascii="宋体" w:hAnsi="宋体" w:cs="宋体"/>
          <w:szCs w:val="21"/>
        </w:rPr>
        <w:t>9.3竞争性磋商响应文件从响应文件递交截止日期后60天（日历天）内有效。</w:t>
      </w:r>
    </w:p>
    <w:p>
      <w:pPr>
        <w:tabs>
          <w:tab w:val="left" w:pos="2190"/>
        </w:tabs>
        <w:spacing w:line="420" w:lineRule="exact"/>
        <w:ind w:firstLine="435"/>
        <w:rPr>
          <w:rFonts w:ascii="宋体" w:hAnsi="宋体" w:cs="宋体"/>
          <w:szCs w:val="21"/>
        </w:rPr>
      </w:pPr>
      <w:r>
        <w:rPr>
          <w:rFonts w:hint="eastAsia" w:ascii="宋体" w:hAnsi="宋体" w:cs="宋体"/>
          <w:szCs w:val="21"/>
        </w:rPr>
        <w:t>10.迟交的竞争性磋商响应文件</w:t>
      </w:r>
    </w:p>
    <w:p>
      <w:pPr>
        <w:tabs>
          <w:tab w:val="left" w:pos="2190"/>
        </w:tabs>
        <w:spacing w:line="420" w:lineRule="exact"/>
        <w:ind w:firstLine="435"/>
        <w:rPr>
          <w:rFonts w:ascii="宋体" w:hAnsi="宋体" w:cs="宋体"/>
          <w:szCs w:val="21"/>
        </w:rPr>
      </w:pPr>
      <w:r>
        <w:rPr>
          <w:rFonts w:hint="eastAsia" w:ascii="宋体" w:hAnsi="宋体" w:cs="宋体"/>
          <w:szCs w:val="21"/>
        </w:rPr>
        <w:t>10.1按《政府采购法》的规定，代理机构将拒绝或原封退回在其规定的递交竞争性磋商响应文件截止时间之后收到的任何竞争性磋商响应文件。</w:t>
      </w:r>
    </w:p>
    <w:p>
      <w:pPr>
        <w:tabs>
          <w:tab w:val="left" w:pos="2190"/>
        </w:tabs>
        <w:spacing w:line="420" w:lineRule="exact"/>
        <w:ind w:firstLine="435"/>
        <w:rPr>
          <w:rFonts w:ascii="宋体" w:hAnsi="宋体" w:cs="宋体"/>
          <w:szCs w:val="21"/>
        </w:rPr>
      </w:pPr>
      <w:r>
        <w:rPr>
          <w:rFonts w:hint="eastAsia" w:ascii="宋体" w:hAnsi="宋体" w:cs="宋体"/>
          <w:szCs w:val="21"/>
        </w:rPr>
        <w:t>11.磋商保证金</w:t>
      </w:r>
    </w:p>
    <w:p>
      <w:pPr>
        <w:tabs>
          <w:tab w:val="left" w:pos="2190"/>
        </w:tabs>
        <w:spacing w:line="420" w:lineRule="exact"/>
        <w:ind w:firstLine="435"/>
        <w:rPr>
          <w:rFonts w:ascii="宋体" w:hAnsi="宋体" w:cs="宋体"/>
          <w:szCs w:val="21"/>
        </w:rPr>
      </w:pPr>
      <w:r>
        <w:rPr>
          <w:rFonts w:hint="eastAsia" w:ascii="宋体" w:hAnsi="宋体" w:cs="宋体"/>
          <w:szCs w:val="21"/>
        </w:rPr>
        <w:t>11.1磋商保证金：详见本须知前附表第7项规定。</w:t>
      </w:r>
    </w:p>
    <w:p>
      <w:pPr>
        <w:tabs>
          <w:tab w:val="left" w:pos="2190"/>
        </w:tabs>
        <w:spacing w:line="420" w:lineRule="exact"/>
        <w:ind w:firstLine="435"/>
        <w:rPr>
          <w:rFonts w:ascii="宋体" w:hAnsi="宋体" w:cs="宋体"/>
          <w:szCs w:val="21"/>
        </w:rPr>
      </w:pPr>
      <w:r>
        <w:rPr>
          <w:rFonts w:hint="eastAsia" w:ascii="宋体" w:hAnsi="宋体" w:cs="宋体"/>
          <w:szCs w:val="21"/>
        </w:rPr>
        <w:t>11.2未成交供应商的保证金，将在成交通知书发出后五个工作日内予以退还。成交供应商的保证金在合同签订并将合同一份送至采购代理机构备案五个工作日内退还。</w:t>
      </w:r>
    </w:p>
    <w:p>
      <w:pPr>
        <w:tabs>
          <w:tab w:val="left" w:pos="2190"/>
        </w:tabs>
        <w:spacing w:line="420" w:lineRule="exact"/>
        <w:ind w:firstLine="435"/>
        <w:rPr>
          <w:rFonts w:ascii="宋体" w:hAnsi="宋体" w:cs="宋体"/>
          <w:szCs w:val="21"/>
        </w:rPr>
      </w:pPr>
      <w:r>
        <w:rPr>
          <w:rFonts w:hint="eastAsia" w:ascii="宋体" w:hAnsi="宋体" w:cs="宋体"/>
          <w:szCs w:val="21"/>
        </w:rPr>
        <w:t>11.3对应交未交保证金的竞争性磋商响应文件，将会在评审中按照无效竞争性磋商响应文件处理。</w:t>
      </w:r>
    </w:p>
    <w:p>
      <w:pPr>
        <w:tabs>
          <w:tab w:val="left" w:pos="2190"/>
        </w:tabs>
        <w:spacing w:line="420" w:lineRule="exact"/>
        <w:ind w:firstLine="435"/>
        <w:rPr>
          <w:rFonts w:ascii="宋体" w:hAnsi="宋体" w:cs="宋体"/>
          <w:szCs w:val="21"/>
        </w:rPr>
      </w:pPr>
      <w:r>
        <w:rPr>
          <w:rFonts w:hint="eastAsia" w:ascii="宋体" w:hAnsi="宋体" w:cs="宋体"/>
          <w:szCs w:val="21"/>
        </w:rPr>
        <w:t>（说明：评审时，磋商小组将以代理机构财务出具的保证金收缴情况表记录情况作为评审依据）。</w:t>
      </w:r>
    </w:p>
    <w:p>
      <w:pPr>
        <w:tabs>
          <w:tab w:val="left" w:pos="2190"/>
        </w:tabs>
        <w:spacing w:line="420" w:lineRule="exact"/>
        <w:ind w:firstLine="435"/>
        <w:rPr>
          <w:rFonts w:ascii="宋体" w:hAnsi="宋体" w:cs="宋体"/>
          <w:szCs w:val="21"/>
        </w:rPr>
      </w:pPr>
      <w:r>
        <w:rPr>
          <w:rFonts w:hint="eastAsia" w:ascii="宋体" w:hAnsi="宋体" w:cs="宋体"/>
          <w:szCs w:val="21"/>
        </w:rPr>
        <w:t>11.4供应商为联合体的，可以由联合体中的一方或者多方共同交纳保证金，其交纳的保证金对联合体各方均具有约束力。</w:t>
      </w:r>
    </w:p>
    <w:p>
      <w:pPr>
        <w:tabs>
          <w:tab w:val="left" w:pos="2190"/>
        </w:tabs>
        <w:spacing w:line="420" w:lineRule="exact"/>
        <w:ind w:firstLine="435"/>
        <w:rPr>
          <w:rFonts w:ascii="宋体" w:hAnsi="宋体" w:cs="宋体"/>
          <w:szCs w:val="21"/>
        </w:rPr>
      </w:pPr>
      <w:r>
        <w:rPr>
          <w:rFonts w:hint="eastAsia" w:ascii="宋体" w:hAnsi="宋体" w:cs="宋体"/>
          <w:szCs w:val="21"/>
        </w:rPr>
        <w:t>11.5磋商供应商有下列情形之一的，磋商保证金将不予退还：</w:t>
      </w:r>
    </w:p>
    <w:p>
      <w:pPr>
        <w:tabs>
          <w:tab w:val="left" w:pos="2190"/>
        </w:tabs>
        <w:spacing w:line="420" w:lineRule="exact"/>
        <w:ind w:firstLine="435"/>
        <w:rPr>
          <w:rFonts w:ascii="宋体" w:hAnsi="宋体" w:cs="宋体"/>
          <w:szCs w:val="21"/>
        </w:rPr>
      </w:pPr>
      <w:r>
        <w:rPr>
          <w:rFonts w:hint="eastAsia" w:ascii="宋体" w:hAnsi="宋体" w:cs="宋体"/>
          <w:szCs w:val="21"/>
        </w:rPr>
        <w:t>（1）磋商供应商在提交竞争性磋商响应文件截止时间后撤回竞争性磋商响应文件的；</w:t>
      </w:r>
    </w:p>
    <w:p>
      <w:pPr>
        <w:tabs>
          <w:tab w:val="left" w:pos="2190"/>
        </w:tabs>
        <w:spacing w:line="420" w:lineRule="exact"/>
        <w:ind w:firstLine="435"/>
        <w:rPr>
          <w:rFonts w:ascii="宋体" w:hAnsi="宋体" w:cs="宋体"/>
          <w:szCs w:val="21"/>
        </w:rPr>
      </w:pPr>
      <w:r>
        <w:rPr>
          <w:rFonts w:hint="eastAsia" w:ascii="宋体" w:hAnsi="宋体" w:cs="宋体"/>
          <w:szCs w:val="21"/>
        </w:rPr>
        <w:t>（2）磋商供应商在竞争性磋商响应文件中提供虚假材料的；</w:t>
      </w:r>
    </w:p>
    <w:p>
      <w:pPr>
        <w:tabs>
          <w:tab w:val="left" w:pos="2190"/>
        </w:tabs>
        <w:spacing w:line="420" w:lineRule="exact"/>
        <w:ind w:firstLine="435"/>
        <w:rPr>
          <w:rFonts w:ascii="宋体" w:hAnsi="宋体" w:cs="宋体"/>
          <w:szCs w:val="21"/>
        </w:rPr>
      </w:pPr>
      <w:r>
        <w:rPr>
          <w:rFonts w:hint="eastAsia" w:ascii="宋体" w:hAnsi="宋体" w:cs="宋体"/>
          <w:szCs w:val="21"/>
        </w:rPr>
        <w:t>（3）成交供应商无正当理由不与采购人签订合同的；</w:t>
      </w:r>
    </w:p>
    <w:p>
      <w:pPr>
        <w:tabs>
          <w:tab w:val="left" w:pos="2190"/>
        </w:tabs>
        <w:spacing w:line="420" w:lineRule="exact"/>
        <w:ind w:firstLine="435"/>
        <w:rPr>
          <w:rFonts w:ascii="宋体" w:hAnsi="宋体" w:cs="宋体"/>
          <w:szCs w:val="21"/>
        </w:rPr>
      </w:pPr>
      <w:r>
        <w:rPr>
          <w:rFonts w:hint="eastAsia" w:ascii="宋体" w:hAnsi="宋体" w:cs="宋体"/>
          <w:szCs w:val="21"/>
        </w:rPr>
        <w:t>（4）将成交项目转让给他人或者在响应标文件中未说明且未经采购人同意，将成交项目分包给他人的；</w:t>
      </w:r>
    </w:p>
    <w:p>
      <w:pPr>
        <w:tabs>
          <w:tab w:val="left" w:pos="2190"/>
        </w:tabs>
        <w:spacing w:line="420" w:lineRule="exact"/>
        <w:ind w:firstLine="435"/>
        <w:rPr>
          <w:rFonts w:ascii="宋体" w:hAnsi="宋体" w:cs="宋体"/>
          <w:szCs w:val="21"/>
        </w:rPr>
      </w:pPr>
      <w:r>
        <w:rPr>
          <w:rFonts w:hint="eastAsia" w:ascii="宋体" w:hAnsi="宋体" w:cs="宋体"/>
          <w:szCs w:val="21"/>
        </w:rPr>
        <w:t>（5）拒绝履行合同义务的；</w:t>
      </w:r>
    </w:p>
    <w:p>
      <w:pPr>
        <w:tabs>
          <w:tab w:val="left" w:pos="2190"/>
        </w:tabs>
        <w:spacing w:line="420" w:lineRule="exact"/>
        <w:ind w:firstLine="435"/>
        <w:rPr>
          <w:rFonts w:ascii="宋体" w:hAnsi="宋体" w:cs="宋体"/>
          <w:szCs w:val="21"/>
        </w:rPr>
      </w:pPr>
      <w:r>
        <w:rPr>
          <w:rFonts w:hint="eastAsia" w:ascii="宋体" w:hAnsi="宋体" w:cs="宋体"/>
          <w:szCs w:val="21"/>
        </w:rPr>
        <w:t>（6）其他严重扰乱竞争性磋商采购程序的。</w:t>
      </w:r>
    </w:p>
    <w:p>
      <w:pPr>
        <w:tabs>
          <w:tab w:val="left" w:pos="2190"/>
        </w:tabs>
        <w:spacing w:line="420" w:lineRule="exact"/>
        <w:ind w:firstLine="435"/>
        <w:rPr>
          <w:rFonts w:ascii="宋体" w:hAnsi="宋体" w:cs="宋体"/>
          <w:szCs w:val="21"/>
        </w:rPr>
      </w:pPr>
      <w:r>
        <w:rPr>
          <w:rFonts w:hint="eastAsia" w:ascii="宋体" w:hAnsi="宋体" w:cs="宋体"/>
          <w:szCs w:val="21"/>
        </w:rPr>
        <w:t>注：磋商供应商已经被推荐为第一成交候选供应商后撤回竞争性磋商响应文件或拒绝签订政府采购合同的，其磋商保证金将不予退还，并上缴国库，给采购人造成其损失的，还应当赔偿损失，并作为不良行为记录在案。</w:t>
      </w:r>
    </w:p>
    <w:p>
      <w:pPr>
        <w:spacing w:line="420" w:lineRule="exact"/>
        <w:ind w:firstLine="413" w:firstLineChars="196"/>
        <w:rPr>
          <w:rFonts w:ascii="宋体" w:hAnsi="宋体" w:cs="宋体"/>
          <w:b/>
          <w:szCs w:val="21"/>
        </w:rPr>
      </w:pPr>
      <w:r>
        <w:rPr>
          <w:rFonts w:hint="eastAsia" w:ascii="宋体" w:hAnsi="宋体" w:cs="宋体"/>
          <w:b/>
          <w:szCs w:val="21"/>
        </w:rPr>
        <w:t>五、磋商程序及评审方法</w:t>
      </w:r>
    </w:p>
    <w:p>
      <w:pPr>
        <w:pStyle w:val="9"/>
        <w:spacing w:line="420" w:lineRule="exact"/>
        <w:ind w:firstLine="420" w:firstLineChars="200"/>
        <w:rPr>
          <w:rFonts w:hAnsi="宋体" w:cs="宋体"/>
          <w:szCs w:val="21"/>
        </w:rPr>
      </w:pPr>
      <w:r>
        <w:rPr>
          <w:rFonts w:hint="eastAsia" w:hAnsi="宋体" w:cs="宋体"/>
          <w:szCs w:val="21"/>
        </w:rPr>
        <w:t>（一）在磋商正式开始前由磋商小组对竞争性磋商文件进行确认，认可竞争性磋商文件的内容符合法律法规的规定、不存在歧视性或排他性内容。</w:t>
      </w:r>
    </w:p>
    <w:p>
      <w:pPr>
        <w:tabs>
          <w:tab w:val="left" w:pos="2190"/>
        </w:tabs>
        <w:spacing w:line="420" w:lineRule="exact"/>
        <w:ind w:firstLine="420" w:firstLineChars="200"/>
        <w:rPr>
          <w:rFonts w:ascii="宋体" w:hAnsi="宋体" w:cs="宋体"/>
          <w:szCs w:val="21"/>
        </w:rPr>
      </w:pPr>
      <w:r>
        <w:rPr>
          <w:rFonts w:hint="eastAsia"/>
          <w:szCs w:val="21"/>
        </w:rPr>
        <w:t>（二）</w:t>
      </w:r>
      <w:r>
        <w:rPr>
          <w:rFonts w:hint="eastAsia" w:ascii="宋体" w:hAnsi="宋体" w:cs="宋体"/>
          <w:szCs w:val="21"/>
        </w:rPr>
        <w:t>提供相同品牌产品的不同磋商供应商参加同一合同项下磋商活动的，以其中通过资格审查、符合性审查且报价最低的参加评审，报价相同的，由采购人自主选择确定一个参加评审的磋商供应商，其他磋商响应无效；</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非单一产品采购项目中，多家磋商供应商提供的核心产品品牌相同的，视为提供相同品牌产品。</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（三）竞争性磋商响应文件无效的情形：</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1.未实质性响应竞争性磋商文件的竞争性磋商响应文件按无效处理。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2.有下列情形之一的视为供应商相互串通磋商活动，响应文件将被视为无效：</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（1）不同供应商的响应文件由同一单位或者个人编制；或不同供应商报名的IP地址一致的；</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（2）不同供应商委托同一单位或者个人办理磋商活动事宜；</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（4）不同供应商的响应文件异常一致或报价呈规律性差异；</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（5）不同供应商的响应文件相互混装；</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（6）不同供应商的磋商保证金从同一单位或者个人账户转出。</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3.有下列情形之一的视为关联供应商参加同一合同项下政府采购活动，竞争性磋商响应文件将被视为无效：</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（1）单位负责人为同一人或者存在直接控股、管理关系的不同供应商，参加同一合同项下政府采购活动。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（2）生产厂商授权给供应商后又参加同一合同项下的政府采购活动；生产厂商对同一品牌同一型号的货物委托多个代理商参加磋商活动。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4.为本采购项目提供整体设计、规范编制或者项目管理、监理、检测等服务的供应商，不得再参加本次采购活动。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5.供应商存在失信记录的：</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详见供应商须知前附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6.被拒绝的响应文件为无效。</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12.1第一轮磋商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磋商时间及地点：详见本须知前附表第8项规定。</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供应商分别进行磋商，给予所有参加磋商的供应商平等的磋商机会。</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磋商评审在严格保密的情况下进行，磋商的任何一方不得透露与磋商有关的其他磋商供应商的技术资料、价格和其他信息。采购代理机构对磋商过程和重要磋商内容进行记录，磋商双方在记录上签字确认。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磋商后，供应商根据磋商小组统一整理的书面磋商记录要求做出书面承诺，并由其法定代表人或授权代表签字或者加盖公章后按时密封递交。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12.</w:t>
      </w:r>
      <w:r>
        <w:rPr>
          <w:rFonts w:ascii="宋体" w:hAnsi="宋体" w:cs="宋体"/>
          <w:b/>
          <w:szCs w:val="21"/>
        </w:rPr>
        <w:t>2</w:t>
      </w:r>
      <w:r>
        <w:rPr>
          <w:rFonts w:hint="eastAsia" w:ascii="宋体" w:hAnsi="宋体" w:cs="宋体"/>
          <w:b/>
          <w:szCs w:val="21"/>
        </w:rPr>
        <w:t>第二轮磋商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磋商小组集中就重新提交的响应文件或磋商小组提出的磋商意见与单一响应供应商分别进行磋商。采购代理机构对磋商过程和重要磋商内容进行记录，磋商双方在记录上签字确认。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磋商后，供应商根据磋商小组统一整理的书面磋商记录要求做出书面承诺，并由其法定代表人或授权代表签字或者加盖公章后按时密封递交。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有实质性变动或仍需磋商的，磋商小组对竞争性磋商文件变动或提出磋商意见后进行第三轮磋商，以此类推。</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12.</w:t>
      </w:r>
      <w:r>
        <w:rPr>
          <w:rFonts w:ascii="宋体" w:hAnsi="宋体" w:cs="宋体"/>
          <w:b/>
          <w:szCs w:val="21"/>
        </w:rPr>
        <w:t>3</w:t>
      </w:r>
      <w:r>
        <w:rPr>
          <w:rFonts w:hint="eastAsia" w:ascii="宋体" w:hAnsi="宋体" w:cs="宋体"/>
          <w:b/>
          <w:szCs w:val="21"/>
        </w:rPr>
        <w:t>最后报价及成交候选供应商推荐</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磋商结束后，磋商小组要求所有继续参加磋商的供应商在规定时间内提交最后报价。继续参加磋商的供应商作最后报价，由其法定代表人或授权代表签字或者加盖公章后密封递交磋商小组。</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12.5供应商的报价均超过了政府采购预算，采购人不能支付的，磋商活动终止。</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12.6本采购项目的评审依据为竞争性磋商文件和竞争性磋商响应文件，采用的评审方法为综合评分法。</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12.7最终磋商结束后，磋商小组不得再与供应商进行任何形式的磋商。</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六、确定成交供应商办法及结果公告</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13.1采购代理机构应当在评审结束后2个工作日内将评审报告送采购人确认。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13.2采购人应当在收到评审报告后2个工作日内，从评审报告推荐的成交候选人名单中按顺序确定成交供应商，也可以书面授权磋商小组直接确定成交供应商。采购人逾期未确定成交供应商且不提出异议的，视为确定评审报告推荐的成交候选人名单中排名第一的供应商为成交供应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13.3采购代理机构应当在成交供应商确定后2个工作日内，在磋商公告发布媒体上公告成交结果，同时向成交供应商发出成交通知书。</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七、签订合同</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14.1成交供应商应在发出成交通知书之日起1</w:t>
      </w:r>
      <w:r>
        <w:rPr>
          <w:rFonts w:ascii="宋体" w:hAnsi="宋体" w:cs="宋体"/>
          <w:szCs w:val="21"/>
        </w:rPr>
        <w:t>4</w:t>
      </w:r>
      <w:r>
        <w:rPr>
          <w:rFonts w:hint="eastAsia" w:ascii="宋体" w:hAnsi="宋体" w:cs="宋体"/>
          <w:szCs w:val="21"/>
        </w:rPr>
        <w:t>日内，按规定与采购人签订政府采购合同。</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14.2成交供应商拒绝签订政府采购合同的，采购人可以根据评审报告确定成交供应商之后排名第一的成交候选供应商作为成交供应商并签订政府采购合同，也可以重新开展采购活动。拒绝签订政府采购合同的成交供应商不得参加对该项目重新开展的采购活动。</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八、适用法律</w:t>
      </w:r>
    </w:p>
    <w:p>
      <w:pPr>
        <w:pStyle w:val="9"/>
        <w:spacing w:line="420" w:lineRule="exact"/>
        <w:ind w:firstLine="420" w:firstLineChars="200"/>
        <w:rPr>
          <w:rFonts w:hAnsi="宋体" w:cs="宋体"/>
          <w:szCs w:val="21"/>
        </w:rPr>
      </w:pPr>
      <w:r>
        <w:rPr>
          <w:rFonts w:hint="eastAsia" w:hAnsi="宋体" w:cs="宋体"/>
          <w:szCs w:val="21"/>
        </w:rPr>
        <w:t>15.1 采购当事人的一切活动均适用于</w:t>
      </w:r>
      <w:r>
        <w:rPr>
          <w:rFonts w:hint="eastAsia" w:hAnsi="宋体" w:cs="宋体"/>
        </w:rPr>
        <w:t>《中华人民共和国政府采购法》、《中华人民共和国政府采购法实施条例》、《政府采购竞争性磋商采购方式管理暂行办法》</w:t>
      </w:r>
      <w:r>
        <w:rPr>
          <w:rFonts w:hint="eastAsia" w:hAnsi="宋体" w:cs="宋体"/>
          <w:szCs w:val="21"/>
        </w:rPr>
        <w:t>相关规定。</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九、其它内容</w:t>
      </w:r>
    </w:p>
    <w:p>
      <w:pPr>
        <w:pStyle w:val="9"/>
        <w:spacing w:line="420" w:lineRule="exact"/>
        <w:ind w:firstLine="420" w:firstLineChars="200"/>
        <w:rPr>
          <w:rFonts w:hAnsi="宋体" w:cs="宋体"/>
          <w:szCs w:val="21"/>
        </w:rPr>
      </w:pPr>
      <w:r>
        <w:rPr>
          <w:rFonts w:hint="eastAsia" w:hAnsi="宋体" w:cs="宋体"/>
          <w:szCs w:val="21"/>
        </w:rPr>
        <w:t>16.1采购代理机构按规定向成交供应商收取成交服务费，金额为：人民币陆仟柒佰伍拾元整（</w:t>
      </w:r>
      <w:r>
        <w:rPr>
          <w:rFonts w:hint="eastAsia" w:hAnsi="宋体" w:cs="宋体"/>
          <w:bCs/>
          <w:szCs w:val="21"/>
        </w:rPr>
        <w:t>￥</w:t>
      </w:r>
      <w:r>
        <w:rPr>
          <w:rFonts w:hAnsi="宋体" w:cs="宋体"/>
          <w:bCs/>
          <w:szCs w:val="21"/>
        </w:rPr>
        <w:t>6750</w:t>
      </w:r>
      <w:r>
        <w:rPr>
          <w:rFonts w:hint="eastAsia" w:hAnsi="宋体" w:cs="宋体"/>
          <w:bCs/>
          <w:szCs w:val="21"/>
        </w:rPr>
        <w:t>.00</w:t>
      </w:r>
      <w:r>
        <w:rPr>
          <w:rFonts w:hint="eastAsia" w:hAnsi="宋体" w:cs="宋体"/>
          <w:szCs w:val="21"/>
        </w:rPr>
        <w:t>）。签订合同前，成交供应商应向采购代理机构一次付清成交服务费。</w:t>
      </w:r>
    </w:p>
    <w:p>
      <w:pPr>
        <w:pStyle w:val="9"/>
        <w:spacing w:line="420" w:lineRule="exact"/>
        <w:ind w:firstLine="420" w:firstLineChars="200"/>
        <w:rPr>
          <w:rFonts w:hAnsi="宋体" w:cs="宋体"/>
          <w:szCs w:val="21"/>
        </w:rPr>
      </w:pPr>
      <w:r>
        <w:rPr>
          <w:rFonts w:hint="eastAsia" w:hAnsi="宋体" w:cs="宋体"/>
          <w:szCs w:val="21"/>
        </w:rPr>
        <w:t>（1）招标代理服务收费标准：</w:t>
      </w:r>
    </w:p>
    <w:p>
      <w:pPr>
        <w:pStyle w:val="9"/>
        <w:spacing w:line="420" w:lineRule="exact"/>
        <w:ind w:firstLine="420" w:firstLineChars="200"/>
        <w:rPr>
          <w:rFonts w:hAnsi="宋体" w:cs="宋体"/>
          <w:szCs w:val="21"/>
        </w:rPr>
      </w:pPr>
      <w:r>
        <w:rPr>
          <w:rFonts w:hint="eastAsia" w:hAnsi="宋体"/>
          <w:szCs w:val="21"/>
        </w:rPr>
        <w:t>按国家发展改革委《关于进一步放开建设项目专业服务价格的通知》发改价格〔2015〕299号文执行</w:t>
      </w:r>
      <w:r>
        <w:rPr>
          <w:rFonts w:hAnsi="宋体"/>
          <w:szCs w:val="21"/>
        </w:rPr>
        <w:t>向</w:t>
      </w:r>
      <w:r>
        <w:rPr>
          <w:rFonts w:hint="eastAsia" w:hAnsi="宋体"/>
          <w:szCs w:val="21"/>
        </w:rPr>
        <w:t>成交供应商</w:t>
      </w:r>
      <w:r>
        <w:rPr>
          <w:rFonts w:hAnsi="宋体"/>
          <w:szCs w:val="21"/>
        </w:rPr>
        <w:t>收取</w:t>
      </w:r>
      <w:r>
        <w:rPr>
          <w:rFonts w:hint="eastAsia" w:hAnsi="宋体" w:cs="宋体"/>
          <w:szCs w:val="21"/>
        </w:rPr>
        <w:t>。</w:t>
      </w:r>
    </w:p>
    <w:tbl>
      <w:tblPr>
        <w:tblStyle w:val="1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95" w:type="dxa"/>
            <w:tcBorders>
              <w:top w:val="single" w:color="auto" w:sz="4" w:space="0"/>
              <w:left w:val="single" w:color="auto" w:sz="4" w:space="0"/>
              <w:bottom w:val="single" w:color="auto" w:sz="4" w:space="0"/>
              <w:right w:val="single" w:color="auto" w:sz="4" w:space="0"/>
              <w:tl2br w:val="single" w:color="auto" w:sz="4" w:space="0"/>
            </w:tcBorders>
          </w:tcPr>
          <w:p>
            <w:pPr>
              <w:spacing w:line="380" w:lineRule="exact"/>
              <w:ind w:firstLine="420" w:firstLineChars="200"/>
              <w:rPr>
                <w:rFonts w:ascii="宋体" w:hAnsi="宋体" w:cs="宋体"/>
                <w:szCs w:val="21"/>
              </w:rPr>
            </w:pPr>
            <w:r>
              <w:rPr>
                <w:rFonts w:hint="eastAsia" w:ascii="宋体" w:hAnsi="宋体" w:cs="宋体"/>
                <w:szCs w:val="21"/>
              </w:rPr>
              <w:t xml:space="preserve">              费率</w:t>
            </w:r>
          </w:p>
          <w:p>
            <w:pPr>
              <w:spacing w:line="380" w:lineRule="exact"/>
              <w:ind w:firstLine="420" w:firstLineChars="200"/>
              <w:rPr>
                <w:rFonts w:ascii="宋体" w:hAnsi="宋体" w:cs="宋体"/>
                <w:szCs w:val="21"/>
              </w:rPr>
            </w:pPr>
            <w:r>
              <w:rPr>
                <w:rFonts w:hint="eastAsia" w:ascii="宋体" w:hAnsi="宋体" w:cs="宋体"/>
                <w:szCs w:val="21"/>
              </w:rPr>
              <w:t>中标金额</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货物招标</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服务招标</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100万元以下</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100～500万元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1.1%</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0.8%</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500～1000万元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0.8%</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0.45%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1000～5000万元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0.25%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0.35%</w:t>
            </w:r>
          </w:p>
        </w:tc>
      </w:tr>
    </w:tbl>
    <w:p>
      <w:pPr>
        <w:pStyle w:val="9"/>
        <w:spacing w:line="420" w:lineRule="exact"/>
        <w:ind w:firstLine="420" w:firstLineChars="200"/>
        <w:rPr>
          <w:rFonts w:hAnsi="宋体" w:cs="宋体"/>
          <w:szCs w:val="21"/>
        </w:rPr>
      </w:pPr>
      <w:r>
        <w:rPr>
          <w:rFonts w:hint="eastAsia" w:hAnsi="宋体" w:cs="宋体"/>
          <w:szCs w:val="21"/>
        </w:rPr>
        <w:t>注：招标代理服务收费按差额定率累进法计算。</w:t>
      </w:r>
    </w:p>
    <w:p>
      <w:pPr>
        <w:pStyle w:val="9"/>
        <w:spacing w:line="420" w:lineRule="exact"/>
        <w:ind w:firstLine="420" w:firstLineChars="200"/>
        <w:rPr>
          <w:rFonts w:hAnsi="宋体" w:cs="宋体"/>
          <w:szCs w:val="21"/>
        </w:rPr>
      </w:pPr>
      <w:r>
        <w:rPr>
          <w:rFonts w:hint="eastAsia" w:hAnsi="宋体" w:cs="宋体"/>
          <w:szCs w:val="21"/>
        </w:rPr>
        <w:t>17 询问、质疑和投诉</w:t>
      </w:r>
    </w:p>
    <w:p>
      <w:pPr>
        <w:pStyle w:val="9"/>
        <w:spacing w:line="420" w:lineRule="exact"/>
        <w:ind w:firstLine="420" w:firstLineChars="200"/>
        <w:rPr>
          <w:rFonts w:hAnsi="宋体" w:cs="宋体"/>
          <w:szCs w:val="21"/>
        </w:rPr>
      </w:pPr>
      <w:r>
        <w:rPr>
          <w:rFonts w:hint="eastAsia" w:hAnsi="宋体" w:cs="宋体"/>
          <w:szCs w:val="21"/>
        </w:rPr>
        <w:t>17.1供应商对政府采购活动事项有疑问的，可以向采购人、采购代理机构提出询问。</w:t>
      </w:r>
    </w:p>
    <w:p>
      <w:pPr>
        <w:pStyle w:val="9"/>
        <w:spacing w:line="420" w:lineRule="exact"/>
        <w:ind w:firstLine="420" w:firstLineChars="200"/>
        <w:rPr>
          <w:rFonts w:hAnsi="宋体" w:cs="宋体"/>
          <w:szCs w:val="21"/>
        </w:rPr>
      </w:pPr>
      <w:r>
        <w:rPr>
          <w:rFonts w:hint="eastAsia" w:hAnsi="宋体" w:cs="宋体"/>
          <w:szCs w:val="21"/>
        </w:rPr>
        <w:t>17.2供应商认为采购文件、采购过程或成交结果使自己的合法权益受到损害的，应当在知道或者应知其权益受到损害之日起七个工作日内，以书面形式向采购人、采购代理机构提出质疑。具体计算时间如下：</w:t>
      </w:r>
    </w:p>
    <w:p>
      <w:pPr>
        <w:pStyle w:val="9"/>
        <w:spacing w:line="420" w:lineRule="exact"/>
        <w:ind w:firstLine="420" w:firstLineChars="200"/>
        <w:rPr>
          <w:rFonts w:hAnsi="宋体" w:cs="宋体"/>
          <w:szCs w:val="21"/>
        </w:rPr>
      </w:pPr>
      <w:r>
        <w:rPr>
          <w:rFonts w:hint="eastAsia" w:hAnsi="宋体" w:cs="宋体"/>
          <w:szCs w:val="21"/>
        </w:rPr>
        <w:t>（1）对可以质疑的采购文件提出质疑的，为收到采购文件之日；</w:t>
      </w:r>
    </w:p>
    <w:p>
      <w:pPr>
        <w:pStyle w:val="9"/>
        <w:spacing w:line="420" w:lineRule="exact"/>
        <w:ind w:firstLine="420" w:firstLineChars="200"/>
        <w:rPr>
          <w:rFonts w:hAnsi="宋体" w:cs="宋体"/>
          <w:szCs w:val="21"/>
        </w:rPr>
      </w:pPr>
      <w:r>
        <w:rPr>
          <w:rFonts w:hint="eastAsia" w:hAnsi="宋体" w:cs="宋体"/>
          <w:szCs w:val="21"/>
        </w:rPr>
        <w:t>（2）对采购过程提出质疑的，为各采购程序环节结束之日；</w:t>
      </w:r>
    </w:p>
    <w:p>
      <w:pPr>
        <w:pStyle w:val="9"/>
        <w:spacing w:line="420" w:lineRule="exact"/>
        <w:ind w:firstLine="420" w:firstLineChars="200"/>
        <w:rPr>
          <w:rFonts w:hAnsi="宋体" w:cs="宋体"/>
          <w:szCs w:val="21"/>
        </w:rPr>
      </w:pPr>
      <w:r>
        <w:rPr>
          <w:rFonts w:hint="eastAsia" w:hAnsi="宋体" w:cs="宋体"/>
          <w:szCs w:val="21"/>
        </w:rPr>
        <w:t>（3）对成交结果提出质疑的，为成交结果公告期限届满之日。</w:t>
      </w:r>
    </w:p>
    <w:p>
      <w:pPr>
        <w:pStyle w:val="9"/>
        <w:spacing w:line="420" w:lineRule="exact"/>
        <w:ind w:firstLine="420" w:firstLineChars="200"/>
        <w:rPr>
          <w:rFonts w:hAnsi="宋体" w:cs="宋体"/>
          <w:szCs w:val="21"/>
        </w:rPr>
      </w:pP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pPr>
        <w:pStyle w:val="9"/>
        <w:spacing w:line="420" w:lineRule="exact"/>
        <w:ind w:firstLine="420" w:firstLineChars="200"/>
        <w:rPr>
          <w:rFonts w:hAnsi="宋体" w:cs="宋体"/>
          <w:szCs w:val="21"/>
        </w:rPr>
      </w:pPr>
      <w:r>
        <w:rPr>
          <w:rFonts w:hint="eastAsia" w:hAnsi="宋体" w:cs="宋体"/>
          <w:szCs w:val="21"/>
        </w:rPr>
        <w:t>17.3供应商应在法定质疑期内一次性提出针对同一采购程序环节的质疑。</w:t>
      </w:r>
    </w:p>
    <w:p>
      <w:pPr>
        <w:pStyle w:val="9"/>
        <w:spacing w:line="420" w:lineRule="exact"/>
        <w:ind w:firstLine="420" w:firstLineChars="200"/>
        <w:rPr>
          <w:rFonts w:hAnsi="宋体" w:cs="宋体"/>
          <w:szCs w:val="21"/>
        </w:rPr>
      </w:pPr>
      <w:r>
        <w:rPr>
          <w:rFonts w:hint="eastAsia" w:hAnsi="宋体" w:cs="宋体"/>
          <w:szCs w:val="21"/>
        </w:rPr>
        <w:t>17.4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9"/>
        <w:spacing w:line="420" w:lineRule="exact"/>
        <w:ind w:firstLine="420" w:firstLineChars="200"/>
        <w:rPr>
          <w:rFonts w:hAnsi="宋体" w:cs="宋体"/>
          <w:szCs w:val="21"/>
        </w:rPr>
      </w:pPr>
      <w:r>
        <w:rPr>
          <w:rFonts w:hint="eastAsia" w:hAnsi="宋体" w:cs="宋体"/>
          <w:szCs w:val="21"/>
        </w:rPr>
        <w:t>17.5供应商提出质疑应当提交质疑函和必要的证明材料。质疑函应当包括下列内容：</w:t>
      </w:r>
    </w:p>
    <w:p>
      <w:pPr>
        <w:pStyle w:val="9"/>
        <w:spacing w:line="420" w:lineRule="exact"/>
        <w:ind w:firstLine="420" w:firstLineChars="200"/>
        <w:rPr>
          <w:rFonts w:hAnsi="宋体" w:cs="宋体"/>
          <w:szCs w:val="21"/>
        </w:rPr>
      </w:pPr>
      <w:r>
        <w:rPr>
          <w:rFonts w:hint="eastAsia" w:hAnsi="宋体" w:cs="宋体"/>
          <w:szCs w:val="21"/>
        </w:rPr>
        <w:t>（1）供应商的姓名或者名称、地址、邮编、联系人及联系电话；</w:t>
      </w:r>
    </w:p>
    <w:p>
      <w:pPr>
        <w:pStyle w:val="9"/>
        <w:spacing w:line="420" w:lineRule="exact"/>
        <w:ind w:firstLine="420" w:firstLineChars="200"/>
        <w:rPr>
          <w:rFonts w:hAnsi="宋体" w:cs="宋体"/>
          <w:szCs w:val="21"/>
        </w:rPr>
      </w:pPr>
      <w:r>
        <w:rPr>
          <w:rFonts w:hint="eastAsia" w:hAnsi="宋体" w:cs="宋体"/>
          <w:szCs w:val="21"/>
        </w:rPr>
        <w:t>（2）质疑项目的名称、编号；</w:t>
      </w:r>
    </w:p>
    <w:p>
      <w:pPr>
        <w:pStyle w:val="9"/>
        <w:spacing w:line="420" w:lineRule="exact"/>
        <w:ind w:firstLine="420" w:firstLineChars="200"/>
        <w:rPr>
          <w:rFonts w:hAnsi="宋体" w:cs="宋体"/>
          <w:szCs w:val="21"/>
        </w:rPr>
      </w:pPr>
      <w:r>
        <w:rPr>
          <w:rFonts w:hint="eastAsia" w:hAnsi="宋体" w:cs="宋体"/>
          <w:szCs w:val="21"/>
        </w:rPr>
        <w:t>（3）具体、明确的质疑事项和与质疑事项相关的请求；</w:t>
      </w:r>
    </w:p>
    <w:p>
      <w:pPr>
        <w:pStyle w:val="9"/>
        <w:spacing w:line="420" w:lineRule="exact"/>
        <w:ind w:firstLine="420" w:firstLineChars="200"/>
        <w:rPr>
          <w:rFonts w:hAnsi="宋体" w:cs="宋体"/>
          <w:szCs w:val="21"/>
        </w:rPr>
      </w:pPr>
      <w:r>
        <w:rPr>
          <w:rFonts w:hint="eastAsia" w:hAnsi="宋体" w:cs="宋体"/>
          <w:szCs w:val="21"/>
        </w:rPr>
        <w:t>（4）事实依据；</w:t>
      </w:r>
    </w:p>
    <w:p>
      <w:pPr>
        <w:pStyle w:val="9"/>
        <w:spacing w:line="420" w:lineRule="exact"/>
        <w:ind w:firstLine="420" w:firstLineChars="200"/>
        <w:rPr>
          <w:rFonts w:hAnsi="宋体" w:cs="宋体"/>
          <w:szCs w:val="21"/>
        </w:rPr>
      </w:pPr>
      <w:r>
        <w:rPr>
          <w:rFonts w:hint="eastAsia" w:hAnsi="宋体" w:cs="宋体"/>
          <w:szCs w:val="21"/>
        </w:rPr>
        <w:t>（5）必要的法律依据；</w:t>
      </w:r>
    </w:p>
    <w:p>
      <w:pPr>
        <w:pStyle w:val="9"/>
        <w:spacing w:line="420" w:lineRule="exact"/>
        <w:ind w:firstLine="420" w:firstLineChars="200"/>
        <w:rPr>
          <w:rFonts w:hAnsi="宋体" w:cs="宋体"/>
          <w:szCs w:val="21"/>
        </w:rPr>
      </w:pPr>
      <w:r>
        <w:rPr>
          <w:rFonts w:hint="eastAsia" w:hAnsi="宋体" w:cs="宋体"/>
          <w:szCs w:val="21"/>
        </w:rPr>
        <w:t>（6）提出质疑的日期。</w:t>
      </w:r>
    </w:p>
    <w:p>
      <w:pPr>
        <w:pStyle w:val="9"/>
        <w:spacing w:line="420" w:lineRule="exact"/>
        <w:ind w:firstLine="420" w:firstLineChars="200"/>
        <w:rPr>
          <w:rFonts w:hAnsi="宋体" w:cs="宋体"/>
          <w:szCs w:val="21"/>
        </w:rPr>
      </w:pPr>
      <w:r>
        <w:rPr>
          <w:rFonts w:hint="eastAsia" w:hAnsi="宋体" w:cs="宋体"/>
          <w:szCs w:val="21"/>
        </w:rPr>
        <w:t>供应商为自然人的，应当由本人签字；供应商为法人或者其他组织的，应当由法定代表人、主要负责人，或者其授权代表签字或者盖章，并加盖公章。</w:t>
      </w:r>
    </w:p>
    <w:p>
      <w:pPr>
        <w:pStyle w:val="4"/>
        <w:bidi w:val="0"/>
        <w:adjustRightInd/>
        <w:snapToGrid/>
        <w:spacing w:before="240" w:after="240"/>
        <w:rPr>
          <w:rFonts w:ascii="宋体" w:hAnsi="宋体" w:eastAsia="宋体" w:cs="宋体"/>
          <w:bCs/>
          <w:color w:val="auto"/>
          <w:sz w:val="36"/>
          <w:szCs w:val="20"/>
          <w:vertAlign w:val="baseline"/>
        </w:rPr>
      </w:pPr>
      <w:bookmarkStart w:id="61" w:name="_Toc489544235"/>
      <w:bookmarkStart w:id="62" w:name="_Toc26656"/>
      <w:bookmarkStart w:id="63" w:name="_Toc2654"/>
      <w:bookmarkStart w:id="64" w:name="_Toc5416"/>
      <w:r>
        <w:rPr>
          <w:rFonts w:ascii="宋体" w:hAnsi="宋体" w:cs="宋体"/>
          <w:color w:val="auto"/>
        </w:rPr>
        <w:br w:type="page"/>
      </w:r>
      <w:bookmarkStart w:id="65" w:name="_Toc29718"/>
      <w:r>
        <w:rPr>
          <w:rFonts w:hint="eastAsia" w:ascii="宋体" w:hAnsi="宋体" w:eastAsia="宋体" w:cs="宋体"/>
          <w:bCs/>
          <w:color w:val="auto"/>
          <w:sz w:val="36"/>
          <w:szCs w:val="20"/>
          <w:vertAlign w:val="baseline"/>
        </w:rPr>
        <w:t>第三章 采购需求</w:t>
      </w:r>
      <w:bookmarkEnd w:id="61"/>
      <w:bookmarkEnd w:id="62"/>
      <w:bookmarkEnd w:id="63"/>
      <w:bookmarkEnd w:id="64"/>
      <w:bookmarkEnd w:id="65"/>
      <w:bookmarkStart w:id="66" w:name="_Toc27391"/>
      <w:bookmarkStart w:id="67" w:name="_Toc489544236"/>
      <w:bookmarkStart w:id="68" w:name="_Toc1399"/>
    </w:p>
    <w:tbl>
      <w:tblPr>
        <w:tblStyle w:val="17"/>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50"/>
        <w:gridCol w:w="810"/>
        <w:gridCol w:w="726"/>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2"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Cs w:val="21"/>
              </w:rPr>
            </w:pPr>
            <w:r>
              <w:rPr>
                <w:rFonts w:hint="eastAsia" w:ascii="宋体" w:hAnsi="宋体"/>
                <w:b/>
                <w:szCs w:val="21"/>
              </w:rPr>
              <w:t>一、服务（技术）要求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b/>
                <w:bCs/>
                <w:szCs w:val="21"/>
              </w:rPr>
              <w:t>项号</w:t>
            </w:r>
          </w:p>
        </w:tc>
        <w:tc>
          <w:tcPr>
            <w:tcW w:w="19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b/>
                <w:bCs/>
                <w:szCs w:val="21"/>
              </w:rPr>
              <w:t>服务名称</w:t>
            </w: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b/>
                <w:bCs/>
                <w:kern w:val="0"/>
                <w:szCs w:val="21"/>
              </w:rPr>
              <w:t>数量</w:t>
            </w:r>
          </w:p>
        </w:tc>
        <w:tc>
          <w:tcPr>
            <w:tcW w:w="72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b/>
                <w:bCs/>
                <w:szCs w:val="21"/>
              </w:rPr>
              <w:t>单位</w:t>
            </w:r>
          </w:p>
        </w:tc>
        <w:tc>
          <w:tcPr>
            <w:tcW w:w="55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b/>
                <w:bCs/>
                <w:szCs w:val="21"/>
              </w:rPr>
              <w:t>服务项目要求（或技术参数需求）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bCs/>
                <w:szCs w:val="21"/>
              </w:rPr>
            </w:pPr>
            <w:r>
              <w:rPr>
                <w:rFonts w:hint="eastAsia" w:ascii="宋体" w:hAnsi="宋体"/>
                <w:bCs/>
                <w:szCs w:val="21"/>
              </w:rPr>
              <w:t>1</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bCs/>
                <w:szCs w:val="21"/>
              </w:rPr>
            </w:pPr>
            <w:r>
              <w:rPr>
                <w:rFonts w:hint="eastAsia" w:ascii="宋体" w:hAnsi="宋体"/>
                <w:bCs/>
                <w:szCs w:val="21"/>
              </w:rPr>
              <w:t>《桂平市水安全保障“十四五”规划》编制服务</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bCs/>
                <w:szCs w:val="21"/>
              </w:rPr>
            </w:pPr>
            <w:r>
              <w:rPr>
                <w:rFonts w:hint="eastAsia" w:ascii="宋体" w:hAnsi="宋体"/>
                <w:bCs/>
                <w:szCs w:val="21"/>
              </w:rPr>
              <w:t>1</w:t>
            </w:r>
          </w:p>
        </w:tc>
        <w:tc>
          <w:tcPr>
            <w:tcW w:w="7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bCs/>
                <w:szCs w:val="21"/>
              </w:rPr>
            </w:pPr>
            <w:r>
              <w:rPr>
                <w:rFonts w:hint="eastAsia" w:ascii="宋体" w:hAnsi="宋体"/>
                <w:bCs/>
                <w:szCs w:val="21"/>
              </w:rPr>
              <w:t>项</w:t>
            </w:r>
          </w:p>
        </w:tc>
        <w:tc>
          <w:tcPr>
            <w:tcW w:w="551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rPr>
                <w:b/>
                <w:szCs w:val="21"/>
              </w:rPr>
            </w:pPr>
            <w:r>
              <w:rPr>
                <w:rFonts w:hint="eastAsia" w:ascii="宋体" w:hAnsi="宋体"/>
                <w:b/>
                <w:szCs w:val="21"/>
              </w:rPr>
              <w:t>一、项目概况</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1、主要从防洪安全保障、节水型社会建设、供水安全保障、水生态保护与修复、水利管理改革等5个方面介绍。</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1）防洪安全保障方面主要包括城市防洪体系布局与工程建设；郁江、黔江、浔江干流防洪工程；中小河流治理、山洪灾害治理、水库除险加固工程建设；城市内涝及其防治情况；防洪预备管理决策系统、遥测设备、防汛演练、洪水风险图运用等非工程措施。</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（2）节水型社会建设方面主要包括农业节水、工业节水、城镇生活节水工程措施以及节水宣传和政策制定。</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3）供水安全保障方面主要包括城乡一体化供水工程、城乡水源工程建设、贵港市区第二水源工程建设、县级备用水源建设等；新建大藤峡配套灌区、现有中型灌区续建配套和现代化改造、水源置换等农田水利工程；乡村抗旱水源工程建设；河道外生态林、河湖等生态用水保障情况；现状各县（市、区）缺水状况、原因、解决设想，尤其是与环北部湾水资源配置主体工程的连接、屯蓄、运用构想。</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4）水生态保护与修复方面主要包括河湖岸线管理、河流采砂、河湖缓冲带等河湖管理、河湖保护修复；水土保持；水源涵养及水源地保护；生态河湖连通、农村水系综合整治、湿地修复等水生态修复；水文化建设；水利风景区建设。</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5）水利管理改革方面主要包括水资源开发利用监管、节约监管、落实三条红线等水资源管理；水利信息化建设；水利工程的建设、运行、安全生产等的管理；完善法规体系、规划体系、风险防控能力、河湖执法督察力度等体制机制；水权、水价、水资源费改税等价税改革；水利投融资机制改革；小农水工程管理改革情况；水利行业管理能力提升。</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2、未来的发展思路及对策措施</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主要分两阶段说明，第一阶段为“十四五”时期，第二阶段为2026-2035时期。各阶段发展对策仍分防洪安全保障、节水型社会建设、供水安全保障、水生态保护与修复、水利管理改革这5个方面说明。</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3、“十四五”项目库的意见</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针对返回的项目库，分类提出项目排序等具体的意见和建议。</w:t>
            </w:r>
          </w:p>
          <w:p>
            <w:pPr>
              <w:spacing w:line="360" w:lineRule="auto"/>
              <w:ind w:firstLine="300" w:firstLineChars="150"/>
              <w:rPr>
                <w:rFonts w:cs="宋体" w:asciiTheme="minorEastAsia" w:hAnsiTheme="minorEastAsia"/>
                <w:kern w:val="0"/>
                <w:sz w:val="20"/>
                <w:szCs w:val="20"/>
              </w:rPr>
            </w:pPr>
            <w:r>
              <w:rPr>
                <w:rFonts w:hint="eastAsia" w:cs="宋体" w:asciiTheme="minorEastAsia" w:hAnsiTheme="minorEastAsia"/>
                <w:kern w:val="0"/>
                <w:sz w:val="20"/>
                <w:szCs w:val="20"/>
              </w:rPr>
              <w:t>4、两个规划的工作基础</w:t>
            </w:r>
          </w:p>
          <w:p>
            <w:pPr>
              <w:spacing w:line="420" w:lineRule="exact"/>
              <w:ind w:firstLine="400" w:firstLineChars="200"/>
              <w:rPr>
                <w:rFonts w:cs="宋体" w:asciiTheme="minorEastAsia" w:hAnsiTheme="minorEastAsia"/>
                <w:kern w:val="0"/>
                <w:sz w:val="20"/>
                <w:szCs w:val="20"/>
              </w:rPr>
            </w:pPr>
            <w:r>
              <w:rPr>
                <w:rFonts w:hint="eastAsia" w:cs="宋体" w:asciiTheme="minorEastAsia" w:hAnsiTheme="minorEastAsia"/>
                <w:kern w:val="0"/>
                <w:sz w:val="20"/>
                <w:szCs w:val="20"/>
              </w:rPr>
              <w:t>以往开展的防洪规划、中小河流治理规划、节水规划、水资源调查评价、水资源规划、城乡供水一体化规划、农村供水保障规划、水生态保护修复规划、水资源保护规划、水土保持规划、水利信息化规划等相关专业规划、专项规划开展情况；现状情况与规划编制时的情况所发生的新变化、出现的差异情况，各专项规划内容编制时所需注意的问题、重点、方向等。</w:t>
            </w:r>
          </w:p>
          <w:p>
            <w:pPr>
              <w:spacing w:line="420" w:lineRule="exact"/>
              <w:ind w:firstLine="402" w:firstLineChars="200"/>
              <w:rPr>
                <w:rFonts w:ascii="宋体" w:hAnsi="宋体" w:cs="宋体"/>
                <w:b/>
                <w:sz w:val="20"/>
                <w:szCs w:val="20"/>
              </w:rPr>
            </w:pPr>
            <w:r>
              <w:rPr>
                <w:rFonts w:hint="eastAsia" w:ascii="宋体" w:hAnsi="宋体" w:cs="宋体"/>
                <w:b/>
                <w:sz w:val="20"/>
                <w:szCs w:val="20"/>
              </w:rPr>
              <w:t>二、服务要求</w:t>
            </w:r>
          </w:p>
          <w:p>
            <w:pPr>
              <w:spacing w:line="420" w:lineRule="exact"/>
              <w:ind w:firstLine="400" w:firstLineChars="200"/>
              <w:rPr>
                <w:rFonts w:ascii="宋体" w:hAnsi="宋体" w:cs="宋体"/>
                <w:sz w:val="20"/>
                <w:szCs w:val="20"/>
              </w:rPr>
            </w:pPr>
            <w:r>
              <w:rPr>
                <w:rFonts w:hint="eastAsia" w:ascii="宋体" w:hAnsi="宋体" w:cs="宋体"/>
                <w:sz w:val="20"/>
                <w:szCs w:val="20"/>
              </w:rPr>
              <w:t>主要工作内容包括：</w:t>
            </w:r>
          </w:p>
          <w:p>
            <w:pPr>
              <w:spacing w:line="420" w:lineRule="exact"/>
              <w:ind w:firstLine="400" w:firstLineChars="200"/>
              <w:rPr>
                <w:rFonts w:ascii="宋体" w:hAnsi="宋体" w:cs="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 xml:space="preserve">）分析“十四五”水安全保障面临的形势及需求。 </w:t>
            </w:r>
          </w:p>
          <w:p>
            <w:pPr>
              <w:spacing w:line="420" w:lineRule="exact"/>
              <w:ind w:firstLine="400" w:firstLineChars="200"/>
              <w:rPr>
                <w:rFonts w:ascii="宋体" w:hAnsi="宋体" w:cs="宋体"/>
                <w:sz w:val="20"/>
                <w:szCs w:val="20"/>
              </w:rPr>
            </w:pPr>
            <w:r>
              <w:rPr>
                <w:rFonts w:hint="eastAsia" w:ascii="宋体" w:hAnsi="宋体" w:cs="宋体"/>
                <w:sz w:val="20"/>
                <w:szCs w:val="20"/>
              </w:rPr>
              <w:t>根据国家和区域发展战略定位与要求，结合桂平市水安全保障存在的主要问题，总结面临的形势与挑战，分析桂平市经济社会发展对水安全保障的需求。</w:t>
            </w:r>
          </w:p>
          <w:p>
            <w:pPr>
              <w:spacing w:line="420" w:lineRule="exact"/>
              <w:ind w:firstLine="400" w:firstLineChars="200"/>
              <w:rPr>
                <w:rFonts w:ascii="宋体" w:hAnsi="宋体" w:cs="宋体"/>
                <w:sz w:val="20"/>
                <w:szCs w:val="20"/>
              </w:rPr>
            </w:pPr>
            <w:r>
              <w:rPr>
                <w:rFonts w:hint="eastAsia" w:ascii="宋体" w:hAnsi="宋体" w:cs="宋体"/>
                <w:sz w:val="20"/>
                <w:szCs w:val="20"/>
              </w:rPr>
              <w:t>（3）提出桂平市“十四五”水安全保障总体思路。</w:t>
            </w:r>
          </w:p>
          <w:p>
            <w:pPr>
              <w:spacing w:line="420" w:lineRule="exact"/>
              <w:ind w:firstLine="400" w:firstLineChars="200"/>
              <w:rPr>
                <w:rFonts w:ascii="宋体" w:hAnsi="宋体" w:cs="宋体"/>
                <w:sz w:val="20"/>
                <w:szCs w:val="20"/>
              </w:rPr>
            </w:pPr>
            <w:r>
              <w:rPr>
                <w:rFonts w:hint="eastAsia" w:ascii="宋体" w:hAnsi="宋体" w:cs="宋体"/>
                <w:sz w:val="20"/>
                <w:szCs w:val="20"/>
              </w:rPr>
              <w:t xml:space="preserve">包括指导思想、基本原则、目标指标等。 </w:t>
            </w:r>
          </w:p>
          <w:p>
            <w:pPr>
              <w:spacing w:line="420" w:lineRule="exact"/>
              <w:ind w:firstLine="400" w:firstLineChars="200"/>
              <w:rPr>
                <w:rFonts w:ascii="宋体" w:hAnsi="宋体" w:cs="宋体"/>
                <w:sz w:val="20"/>
                <w:szCs w:val="20"/>
              </w:rPr>
            </w:pPr>
            <w:r>
              <w:rPr>
                <w:rFonts w:hint="eastAsia" w:ascii="宋体" w:hAnsi="宋体" w:cs="宋体"/>
                <w:sz w:val="20"/>
                <w:szCs w:val="20"/>
              </w:rPr>
              <w:t>（4）提出桂平市“十四五”水安全保障任务。</w:t>
            </w:r>
          </w:p>
          <w:p>
            <w:pPr>
              <w:spacing w:line="420" w:lineRule="exact"/>
              <w:ind w:firstLine="400" w:firstLineChars="200"/>
              <w:rPr>
                <w:rFonts w:ascii="宋体" w:hAnsi="宋体" w:cs="宋体"/>
                <w:sz w:val="20"/>
                <w:szCs w:val="20"/>
              </w:rPr>
            </w:pPr>
            <w:r>
              <w:rPr>
                <w:rFonts w:hint="eastAsia" w:ascii="宋体" w:hAnsi="宋体" w:cs="宋体"/>
                <w:sz w:val="20"/>
                <w:szCs w:val="20"/>
              </w:rPr>
              <w:t>围绕全面提升水安全保障能力，推进水利现代化进程这一主线，坚持问题和目标为导向，以全新的理念和视角，立足要点、抓住特点、突出亮点，从加快补齐防洪、供水、水生态和水利信息化短板，全面加强水利行业监管，改革创新，提升能力等方面，提出“十四五”水安全保障任务。</w:t>
            </w:r>
          </w:p>
          <w:p>
            <w:pPr>
              <w:spacing w:line="420" w:lineRule="exact"/>
              <w:ind w:firstLine="400" w:firstLineChars="200"/>
              <w:rPr>
                <w:rFonts w:ascii="宋体" w:hAnsi="宋体" w:cs="宋体"/>
                <w:sz w:val="20"/>
                <w:szCs w:val="20"/>
              </w:rPr>
            </w:pPr>
            <w:r>
              <w:rPr>
                <w:rFonts w:hint="eastAsia" w:ascii="宋体" w:hAnsi="宋体" w:cs="宋体"/>
                <w:sz w:val="20"/>
                <w:szCs w:val="20"/>
              </w:rPr>
              <w:t>（5）提出桂平市“十四五”水安全保障总体布局。</w:t>
            </w:r>
          </w:p>
          <w:p>
            <w:pPr>
              <w:spacing w:line="420" w:lineRule="exact"/>
              <w:ind w:firstLine="400" w:firstLineChars="200"/>
              <w:rPr>
                <w:rFonts w:ascii="宋体" w:hAnsi="宋体" w:cs="宋体"/>
                <w:sz w:val="20"/>
                <w:szCs w:val="20"/>
              </w:rPr>
            </w:pPr>
            <w:r>
              <w:rPr>
                <w:rFonts w:hint="eastAsia" w:ascii="宋体" w:hAnsi="宋体" w:cs="宋体"/>
                <w:sz w:val="20"/>
                <w:szCs w:val="20"/>
              </w:rPr>
              <w:t>按照国家重大战略，以及广西经济社会发展总体部署，结合区域水资源特点，分析区域经济社会发展对水利的新要求，提出与区域经济社会发展相适应的水安全保障新格局，明确发展重点，着力解决突出水问题，促进各区域水利协调发展。</w:t>
            </w:r>
          </w:p>
          <w:p>
            <w:pPr>
              <w:spacing w:line="420" w:lineRule="exact"/>
              <w:ind w:firstLine="400" w:firstLineChars="200"/>
              <w:rPr>
                <w:rFonts w:ascii="宋体" w:hAnsi="宋体" w:cs="宋体"/>
                <w:sz w:val="20"/>
                <w:szCs w:val="20"/>
              </w:rPr>
            </w:pPr>
            <w:r>
              <w:rPr>
                <w:rFonts w:hint="eastAsia" w:ascii="宋体" w:hAnsi="宋体" w:cs="宋体"/>
                <w:sz w:val="20"/>
                <w:szCs w:val="20"/>
              </w:rPr>
              <w:t>（6）提出《桂平市水安全保障“十四五”规划》编制服务项目。</w:t>
            </w:r>
          </w:p>
          <w:p>
            <w:pPr>
              <w:spacing w:line="420" w:lineRule="exact"/>
              <w:ind w:firstLine="400" w:firstLineChars="200"/>
              <w:rPr>
                <w:rFonts w:ascii="宋体" w:hAnsi="宋体" w:cs="宋体"/>
                <w:sz w:val="20"/>
                <w:szCs w:val="20"/>
              </w:rPr>
            </w:pPr>
            <w:r>
              <w:rPr>
                <w:rFonts w:hint="eastAsia" w:ascii="宋体" w:hAnsi="宋体" w:cs="宋体"/>
                <w:sz w:val="20"/>
                <w:szCs w:val="20"/>
              </w:rPr>
              <w:t>（7）“十四五”规划投资规模测算。</w:t>
            </w:r>
          </w:p>
          <w:p>
            <w:pPr>
              <w:spacing w:line="420" w:lineRule="exact"/>
              <w:ind w:firstLine="400" w:firstLineChars="200"/>
              <w:rPr>
                <w:rFonts w:ascii="宋体" w:hAnsi="宋体" w:cs="宋体"/>
                <w:sz w:val="20"/>
                <w:szCs w:val="20"/>
              </w:rPr>
            </w:pPr>
            <w:r>
              <w:rPr>
                <w:rFonts w:hint="eastAsia" w:ascii="宋体" w:hAnsi="宋体" w:cs="宋体"/>
                <w:sz w:val="20"/>
                <w:szCs w:val="20"/>
              </w:rPr>
              <w:t>（8）开展规划环境影响评价。</w:t>
            </w:r>
          </w:p>
          <w:p>
            <w:pPr>
              <w:spacing w:line="420" w:lineRule="exact"/>
              <w:ind w:firstLine="400" w:firstLineChars="200"/>
              <w:rPr>
                <w:rFonts w:ascii="宋体" w:hAnsi="宋体" w:cs="宋体"/>
                <w:sz w:val="20"/>
                <w:szCs w:val="20"/>
              </w:rPr>
            </w:pPr>
            <w:r>
              <w:rPr>
                <w:rFonts w:hint="eastAsia" w:ascii="宋体" w:hAnsi="宋体" w:cs="宋体"/>
                <w:sz w:val="20"/>
                <w:szCs w:val="20"/>
              </w:rPr>
              <w:t>（9）提出“十四五”水安全保障规划的保障措施。</w:t>
            </w:r>
          </w:p>
          <w:p>
            <w:pPr>
              <w:spacing w:line="420" w:lineRule="exact"/>
              <w:ind w:firstLine="400" w:firstLineChars="200"/>
              <w:rPr>
                <w:rFonts w:ascii="宋体" w:hAnsi="宋体" w:cs="宋体"/>
                <w:sz w:val="20"/>
                <w:szCs w:val="20"/>
              </w:rPr>
            </w:pPr>
            <w:r>
              <w:rPr>
                <w:rFonts w:hint="eastAsia" w:ascii="宋体" w:hAnsi="宋体" w:cs="宋体"/>
                <w:sz w:val="20"/>
                <w:szCs w:val="20"/>
              </w:rPr>
              <w:t>（10）编制主要成果、成果对接协调及成果评估审定。</w:t>
            </w:r>
          </w:p>
          <w:p>
            <w:pPr>
              <w:spacing w:line="420" w:lineRule="exact"/>
              <w:ind w:firstLine="400" w:firstLineChars="200"/>
              <w:rPr>
                <w:rFonts w:ascii="宋体" w:hAnsi="宋体" w:cs="宋体"/>
                <w:sz w:val="20"/>
                <w:szCs w:val="20"/>
              </w:rPr>
            </w:pPr>
            <w:r>
              <w:rPr>
                <w:rFonts w:hint="eastAsia" w:ascii="宋体" w:hAnsi="宋体" w:cs="宋体"/>
                <w:sz w:val="20"/>
                <w:szCs w:val="20"/>
              </w:rPr>
              <w:t>加强与其他相关规划成果对接协调，完成《《桂平市水安全保障“十四五”规划》编制服务》报告及相应附表附图等编制，并通过评估审查。</w:t>
            </w:r>
          </w:p>
          <w:p>
            <w:pPr>
              <w:pStyle w:val="44"/>
              <w:spacing w:line="360" w:lineRule="auto"/>
              <w:ind w:firstLine="400" w:firstLineChars="200"/>
              <w:rPr>
                <w:rFonts w:ascii="宋体" w:hAnsi="宋体" w:eastAsia="宋体" w:cs="宋体"/>
                <w:color w:val="auto"/>
                <w:sz w:val="20"/>
                <w:szCs w:val="20"/>
              </w:rPr>
            </w:pPr>
            <w:r>
              <w:rPr>
                <w:rFonts w:hint="eastAsia" w:ascii="宋体" w:hAnsi="宋体" w:eastAsia="宋体" w:cs="宋体"/>
                <w:color w:val="auto"/>
                <w:sz w:val="20"/>
                <w:szCs w:val="20"/>
              </w:rPr>
              <w:t>进度要求：</w:t>
            </w:r>
          </w:p>
          <w:p>
            <w:pPr>
              <w:autoSpaceDE w:val="0"/>
              <w:autoSpaceDN w:val="0"/>
              <w:adjustRightInd w:val="0"/>
              <w:spacing w:line="360" w:lineRule="auto"/>
              <w:ind w:firstLine="400" w:firstLineChars="200"/>
              <w:jc w:val="left"/>
              <w:rPr>
                <w:rFonts w:ascii="宋体" w:hAnsi="宋体" w:cs="宋体"/>
                <w:kern w:val="0"/>
                <w:sz w:val="20"/>
                <w:szCs w:val="20"/>
              </w:rPr>
            </w:pPr>
            <w:r>
              <w:rPr>
                <w:rFonts w:hint="eastAsia" w:ascii="宋体" w:hAnsi="宋体" w:cs="宋体"/>
                <w:kern w:val="0"/>
                <w:sz w:val="20"/>
                <w:szCs w:val="20"/>
              </w:rPr>
              <w:t xml:space="preserve">2020年10～11月，形成“十四五”水安全保障规划重大项目及投资规模初步成果，完成《《桂平市水安全保障“十四五”规划》编制服务报告》（初稿）。 </w:t>
            </w:r>
          </w:p>
          <w:p>
            <w:pPr>
              <w:autoSpaceDE w:val="0"/>
              <w:autoSpaceDN w:val="0"/>
              <w:adjustRightInd w:val="0"/>
              <w:spacing w:line="360" w:lineRule="auto"/>
              <w:ind w:firstLine="400" w:firstLineChars="200"/>
              <w:jc w:val="left"/>
              <w:rPr>
                <w:rFonts w:ascii="宋体" w:hAnsi="宋体" w:cs="宋体"/>
                <w:kern w:val="0"/>
                <w:sz w:val="20"/>
                <w:szCs w:val="20"/>
              </w:rPr>
            </w:pPr>
            <w:r>
              <w:rPr>
                <w:rFonts w:hint="eastAsia" w:ascii="宋体" w:hAnsi="宋体" w:cs="宋体"/>
                <w:kern w:val="0"/>
                <w:sz w:val="20"/>
                <w:szCs w:val="20"/>
              </w:rPr>
              <w:t>2020年12月~2021年3月，征求意见；组织评估，补充修改完善，形成《《桂平市水安全保障“十四五”规划》编制服务报告》。</w:t>
            </w:r>
          </w:p>
          <w:p>
            <w:pPr>
              <w:autoSpaceDE w:val="0"/>
              <w:autoSpaceDN w:val="0"/>
              <w:adjustRightInd w:val="0"/>
              <w:spacing w:line="360" w:lineRule="auto"/>
              <w:ind w:firstLine="400" w:firstLineChars="200"/>
              <w:jc w:val="left"/>
              <w:rPr>
                <w:rFonts w:ascii="宋体" w:hAnsi="宋体" w:cs="宋体"/>
                <w:kern w:val="0"/>
                <w:sz w:val="20"/>
                <w:szCs w:val="20"/>
              </w:rPr>
            </w:pPr>
            <w:r>
              <w:rPr>
                <w:rFonts w:hint="eastAsia" w:ascii="宋体" w:hAnsi="宋体" w:cs="宋体"/>
                <w:kern w:val="0"/>
                <w:sz w:val="20"/>
                <w:szCs w:val="20"/>
              </w:rPr>
              <w:t>2021年4～5月，开展规划建言献策等工作，与相关专项规划成果进行协调衔接；组织召开审查会议，根据审查意见、各方面意见和建议修改完善，并满足水利部、自治区发改委、流域机构的汇总要求，形成《《桂平市水安全保障“十四五”规划》编制服务报告》终稿。</w:t>
            </w:r>
          </w:p>
          <w:p>
            <w:pPr>
              <w:autoSpaceDE w:val="0"/>
              <w:autoSpaceDN w:val="0"/>
              <w:adjustRightInd w:val="0"/>
              <w:spacing w:line="360" w:lineRule="auto"/>
              <w:ind w:firstLine="400" w:firstLineChars="200"/>
              <w:jc w:val="left"/>
              <w:rPr>
                <w:rFonts w:ascii="宋体" w:hAnsi="宋体" w:cs="宋体"/>
                <w:kern w:val="0"/>
                <w:sz w:val="20"/>
                <w:szCs w:val="20"/>
              </w:rPr>
            </w:pPr>
            <w:r>
              <w:rPr>
                <w:rFonts w:hint="eastAsia" w:ascii="宋体" w:hAnsi="宋体" w:cs="宋体"/>
                <w:kern w:val="0"/>
                <w:sz w:val="20"/>
                <w:szCs w:val="20"/>
              </w:rPr>
              <w:t>2021年6～9月，完成向各部门征求意见，修改完善后上报自治区人民政府审定。</w:t>
            </w:r>
          </w:p>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2"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bCs/>
                <w:szCs w:val="21"/>
              </w:rPr>
            </w:pPr>
            <w:r>
              <w:rPr>
                <w:rFonts w:hint="eastAsia" w:ascii="宋体" w:hAnsi="宋体"/>
                <w:b/>
                <w:bCs/>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2"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b/>
                <w:bCs/>
                <w:szCs w:val="21"/>
              </w:rPr>
            </w:pPr>
            <w:r>
              <w:rPr>
                <w:rFonts w:hint="eastAsia" w:ascii="宋体" w:hAnsi="宋体"/>
                <w:b/>
                <w:bCs/>
                <w:szCs w:val="21"/>
              </w:rPr>
              <w:t>（一）主要成果要求</w:t>
            </w:r>
          </w:p>
          <w:p>
            <w:pPr>
              <w:spacing w:line="460" w:lineRule="exact"/>
              <w:rPr>
                <w:rFonts w:ascii="宋体" w:hAnsi="宋体" w:cs="宋体"/>
                <w:szCs w:val="21"/>
              </w:rPr>
            </w:pPr>
            <w:r>
              <w:rPr>
                <w:rFonts w:hint="eastAsia" w:ascii="宋体" w:hAnsi="宋体" w:cs="宋体"/>
                <w:szCs w:val="21"/>
              </w:rPr>
              <w:t>《《桂平市水安全保障“十四五”规划》编制服务报告》报告及附表、附图、附件，最终成果纸质版</w:t>
            </w:r>
            <w:r>
              <w:rPr>
                <w:rFonts w:ascii="宋体" w:hAnsi="宋体" w:cs="宋体"/>
                <w:szCs w:val="21"/>
              </w:rPr>
              <w:t>8</w:t>
            </w:r>
            <w:r>
              <w:rPr>
                <w:rFonts w:hint="eastAsia" w:ascii="宋体" w:hAnsi="宋体" w:cs="宋体"/>
                <w:szCs w:val="21"/>
              </w:rPr>
              <w:t>套，采购方根据需要可适量增加，成果资料刻录光盘</w:t>
            </w:r>
            <w:r>
              <w:rPr>
                <w:rFonts w:ascii="宋体" w:hAnsi="宋体" w:cs="宋体"/>
                <w:szCs w:val="21"/>
              </w:rPr>
              <w:t>4</w:t>
            </w:r>
            <w:r>
              <w:rPr>
                <w:rFonts w:hint="eastAsia" w:ascii="宋体" w:hAnsi="宋体" w:cs="宋体"/>
                <w:szCs w:val="21"/>
              </w:rPr>
              <w:t>张。</w:t>
            </w:r>
          </w:p>
          <w:p>
            <w:pPr>
              <w:spacing w:line="460" w:lineRule="exact"/>
              <w:rPr>
                <w:rFonts w:ascii="宋体" w:hAnsi="宋体"/>
                <w:b/>
                <w:bCs/>
                <w:szCs w:val="21"/>
              </w:rPr>
            </w:pPr>
            <w:r>
              <w:rPr>
                <w:rFonts w:hint="eastAsia" w:ascii="宋体" w:hAnsi="宋体"/>
                <w:b/>
                <w:bCs/>
                <w:szCs w:val="21"/>
              </w:rPr>
              <w:t>（二）</w:t>
            </w:r>
            <w:r>
              <w:rPr>
                <w:rFonts w:ascii="宋体" w:hAnsi="宋体"/>
                <w:b/>
                <w:bCs/>
                <w:szCs w:val="21"/>
              </w:rPr>
              <w:t>提交服务成果时间及地点</w:t>
            </w:r>
          </w:p>
          <w:p>
            <w:pPr>
              <w:spacing w:line="460" w:lineRule="exact"/>
              <w:rPr>
                <w:rFonts w:ascii="宋体" w:hAnsi="宋体"/>
                <w:szCs w:val="21"/>
              </w:rPr>
            </w:pPr>
            <w:r>
              <w:rPr>
                <w:rFonts w:ascii="宋体" w:hAnsi="宋体"/>
                <w:szCs w:val="21"/>
              </w:rPr>
              <w:t>1. 提交服务成果时间</w:t>
            </w:r>
            <w:r>
              <w:rPr>
                <w:rFonts w:hint="eastAsia" w:ascii="宋体" w:hAnsi="宋体"/>
                <w:szCs w:val="21"/>
              </w:rPr>
              <w:t>：</w:t>
            </w:r>
            <w:r>
              <w:rPr>
                <w:rFonts w:ascii="宋体" w:hAnsi="宋体"/>
                <w:szCs w:val="21"/>
              </w:rPr>
              <w:t>20</w:t>
            </w:r>
            <w:r>
              <w:rPr>
                <w:rFonts w:hint="eastAsia" w:ascii="宋体" w:hAnsi="宋体"/>
                <w:szCs w:val="21"/>
              </w:rPr>
              <w:t>20</w:t>
            </w:r>
            <w:r>
              <w:rPr>
                <w:rFonts w:ascii="宋体" w:hAnsi="宋体"/>
                <w:szCs w:val="21"/>
              </w:rPr>
              <w:t>年</w:t>
            </w:r>
            <w:r>
              <w:rPr>
                <w:rFonts w:hint="eastAsia" w:ascii="宋体" w:hAnsi="宋体"/>
                <w:szCs w:val="21"/>
              </w:rPr>
              <w:t>11</w:t>
            </w:r>
            <w:r>
              <w:rPr>
                <w:rFonts w:ascii="宋体" w:hAnsi="宋体"/>
                <w:szCs w:val="21"/>
              </w:rPr>
              <w:t>月底前提交服务成果</w:t>
            </w:r>
            <w:r>
              <w:rPr>
                <w:rFonts w:hint="eastAsia" w:ascii="宋体" w:hAnsi="宋体"/>
                <w:szCs w:val="21"/>
              </w:rPr>
              <w:t>初稿；2021</w:t>
            </w:r>
            <w:r>
              <w:rPr>
                <w:rFonts w:ascii="宋体" w:hAnsi="宋体"/>
                <w:szCs w:val="21"/>
              </w:rPr>
              <w:t>年</w:t>
            </w:r>
            <w:r>
              <w:rPr>
                <w:rFonts w:hint="eastAsia" w:ascii="宋体" w:hAnsi="宋体"/>
                <w:szCs w:val="21"/>
              </w:rPr>
              <w:t>9</w:t>
            </w:r>
            <w:r>
              <w:rPr>
                <w:rFonts w:ascii="宋体" w:hAnsi="宋体"/>
                <w:szCs w:val="21"/>
              </w:rPr>
              <w:t>月底前提交</w:t>
            </w:r>
            <w:r>
              <w:rPr>
                <w:rFonts w:hint="eastAsia" w:ascii="宋体" w:hAnsi="宋体"/>
                <w:szCs w:val="21"/>
              </w:rPr>
              <w:t>经论证修改完善后的最终稿。</w:t>
            </w:r>
          </w:p>
          <w:p>
            <w:pPr>
              <w:spacing w:line="460" w:lineRule="exact"/>
              <w:rPr>
                <w:rFonts w:ascii="宋体" w:hAnsi="宋体"/>
                <w:szCs w:val="21"/>
              </w:rPr>
            </w:pPr>
            <w:r>
              <w:rPr>
                <w:rFonts w:hint="eastAsia" w:ascii="宋体" w:hAnsi="宋体"/>
                <w:szCs w:val="21"/>
              </w:rPr>
              <w:t>2.</w:t>
            </w:r>
            <w:r>
              <w:rPr>
                <w:rFonts w:ascii="宋体" w:hAnsi="宋体"/>
                <w:szCs w:val="21"/>
              </w:rPr>
              <w:t>提交服务成果地点：</w:t>
            </w:r>
            <w:r>
              <w:rPr>
                <w:rFonts w:hint="eastAsia" w:ascii="宋体" w:hAnsi="宋体"/>
                <w:szCs w:val="21"/>
              </w:rPr>
              <w:t>桂平市</w:t>
            </w:r>
            <w:r>
              <w:rPr>
                <w:rFonts w:ascii="宋体" w:hAnsi="宋体"/>
                <w:szCs w:val="21"/>
              </w:rPr>
              <w:t>（采购人指定地点）。</w:t>
            </w:r>
          </w:p>
          <w:p>
            <w:pPr>
              <w:spacing w:line="460" w:lineRule="exact"/>
              <w:rPr>
                <w:rFonts w:ascii="宋体" w:hAnsi="宋体"/>
                <w:b/>
                <w:bCs/>
                <w:szCs w:val="21"/>
              </w:rPr>
            </w:pPr>
            <w:r>
              <w:rPr>
                <w:rFonts w:hint="eastAsia" w:ascii="宋体" w:hAnsi="宋体"/>
                <w:b/>
                <w:bCs/>
                <w:szCs w:val="21"/>
              </w:rPr>
              <w:t>（三）投标报价要求</w:t>
            </w:r>
          </w:p>
          <w:p>
            <w:pPr>
              <w:spacing w:line="460" w:lineRule="exact"/>
              <w:rPr>
                <w:szCs w:val="21"/>
              </w:rPr>
            </w:pPr>
            <w:r>
              <w:rPr>
                <w:rFonts w:hint="eastAsia" w:ascii="宋体" w:hAnsi="宋体"/>
                <w:szCs w:val="21"/>
              </w:rPr>
              <w:t>竞标总报价以人民币报价，包括了竞标人完成本项目所需的一切工作内容而发生的所有直接费用、间接费用、其它费用、税金等全部费用和竞标人要求获得的利润以及应由竞标人承担的义务、责任和风险所发生的一切费用。</w:t>
            </w:r>
          </w:p>
          <w:p>
            <w:pPr>
              <w:spacing w:line="460" w:lineRule="exact"/>
              <w:rPr>
                <w:rFonts w:ascii="宋体" w:hAnsi="宋体"/>
                <w:b/>
                <w:bCs/>
                <w:szCs w:val="21"/>
              </w:rPr>
            </w:pPr>
            <w:r>
              <w:rPr>
                <w:rFonts w:hint="eastAsia" w:ascii="宋体" w:hAnsi="宋体"/>
                <w:b/>
                <w:bCs/>
                <w:szCs w:val="21"/>
              </w:rPr>
              <w:t>（四）付款方式</w:t>
            </w:r>
          </w:p>
          <w:p>
            <w:pPr>
              <w:spacing w:line="460" w:lineRule="exact"/>
              <w:rPr>
                <w:rFonts w:ascii="宋体" w:hAnsi="宋体"/>
                <w:szCs w:val="21"/>
              </w:rPr>
            </w:pPr>
            <w:r>
              <w:rPr>
                <w:rFonts w:hint="eastAsia" w:ascii="宋体" w:hAnsi="宋体"/>
                <w:szCs w:val="21"/>
              </w:rPr>
              <w:t>具体支付方式和时间如下：</w:t>
            </w:r>
          </w:p>
          <w:p>
            <w:pPr>
              <w:spacing w:line="460" w:lineRule="exact"/>
              <w:rPr>
                <w:rFonts w:ascii="宋体" w:hAnsi="宋体"/>
                <w:szCs w:val="21"/>
              </w:rPr>
            </w:pPr>
            <w:r>
              <w:rPr>
                <w:rFonts w:hint="eastAsia" w:ascii="宋体" w:hAnsi="宋体"/>
                <w:szCs w:val="21"/>
              </w:rPr>
              <w:t>1.合同签订后10个工作日内，采购人向成交人支付成交价的</w:t>
            </w:r>
            <w:r>
              <w:rPr>
                <w:rFonts w:ascii="宋体" w:hAnsi="宋体"/>
                <w:szCs w:val="21"/>
              </w:rPr>
              <w:t>30</w:t>
            </w:r>
            <w:r>
              <w:rPr>
                <w:rFonts w:hint="eastAsia" w:ascii="宋体" w:hAnsi="宋体"/>
                <w:szCs w:val="21"/>
              </w:rPr>
              <w:t>%的预付款；</w:t>
            </w:r>
          </w:p>
          <w:p>
            <w:pPr>
              <w:spacing w:line="460" w:lineRule="exact"/>
              <w:rPr>
                <w:rFonts w:ascii="宋体" w:hAnsi="宋体"/>
                <w:szCs w:val="21"/>
              </w:rPr>
            </w:pPr>
            <w:r>
              <w:rPr>
                <w:rFonts w:hint="eastAsia" w:ascii="宋体" w:hAnsi="宋体"/>
                <w:szCs w:val="21"/>
              </w:rPr>
              <w:t>2.余款根据项目开展情况及预算安排情况进行支付（无息）。</w:t>
            </w:r>
          </w:p>
          <w:p>
            <w:pPr>
              <w:spacing w:line="460" w:lineRule="exact"/>
              <w:jc w:val="left"/>
              <w:rPr>
                <w:rFonts w:ascii="宋体" w:hAnsi="宋体"/>
                <w:b/>
                <w:szCs w:val="21"/>
              </w:rPr>
            </w:pPr>
            <w:r>
              <w:rPr>
                <w:rFonts w:hint="eastAsia" w:ascii="宋体" w:hAnsi="宋体"/>
                <w:b/>
                <w:szCs w:val="21"/>
              </w:rPr>
              <w:t>（五）知识产权</w:t>
            </w:r>
          </w:p>
          <w:p>
            <w:pPr>
              <w:spacing w:line="460" w:lineRule="exact"/>
              <w:rPr>
                <w:rFonts w:ascii="宋体" w:hAnsi="宋体"/>
                <w:szCs w:val="21"/>
              </w:rPr>
            </w:pPr>
            <w:r>
              <w:rPr>
                <w:rFonts w:hint="eastAsia" w:ascii="宋体" w:hAnsi="宋体"/>
                <w:szCs w:val="21"/>
              </w:rPr>
              <w:t>1.竞标人应保证针对本项目的服务（或货物）所涉及到的知识产权和所提供的相关技术资料是合法取得，并享有完整的知识产权，不会因为采购人的使用而被责令停止使用、追偿或要求赔偿损失，如出现此情况，一切经济和法律责任均由竞标人承担。</w:t>
            </w:r>
          </w:p>
          <w:p>
            <w:pPr>
              <w:spacing w:line="460" w:lineRule="exact"/>
              <w:rPr>
                <w:rFonts w:ascii="宋体" w:hAnsi="宋体"/>
                <w:szCs w:val="21"/>
              </w:rPr>
            </w:pPr>
            <w:r>
              <w:rPr>
                <w:rFonts w:hint="eastAsia" w:ascii="宋体" w:hAnsi="宋体"/>
                <w:szCs w:val="21"/>
              </w:rPr>
              <w:t>2.成交</w:t>
            </w:r>
            <w:r>
              <w:rPr>
                <w:rFonts w:ascii="宋体" w:hAnsi="宋体"/>
                <w:szCs w:val="21"/>
              </w:rPr>
              <w:t>人有义务随时向</w:t>
            </w:r>
            <w:r>
              <w:rPr>
                <w:rFonts w:hint="eastAsia" w:ascii="宋体" w:hAnsi="宋体"/>
                <w:szCs w:val="21"/>
              </w:rPr>
              <w:t>采购单位</w:t>
            </w:r>
            <w:r>
              <w:rPr>
                <w:rFonts w:ascii="宋体" w:hAnsi="宋体"/>
                <w:szCs w:val="21"/>
              </w:rPr>
              <w:t>解释所有成果内容。</w:t>
            </w:r>
          </w:p>
        </w:tc>
      </w:tr>
    </w:tbl>
    <w:p/>
    <w:p>
      <w:pPr>
        <w:rPr>
          <w:rFonts w:ascii="宋体" w:hAnsi="宋体" w:cs="宋体"/>
          <w:bCs/>
          <w:sz w:val="36"/>
          <w:szCs w:val="20"/>
        </w:rPr>
      </w:pPr>
      <w:r>
        <w:rPr>
          <w:rFonts w:hint="eastAsia" w:ascii="宋体" w:hAnsi="宋体" w:cs="宋体"/>
          <w:bCs/>
          <w:sz w:val="36"/>
          <w:szCs w:val="20"/>
        </w:rPr>
        <w:br w:type="page"/>
      </w:r>
    </w:p>
    <w:p>
      <w:pPr>
        <w:pStyle w:val="4"/>
        <w:bidi w:val="0"/>
        <w:adjustRightInd/>
        <w:snapToGrid/>
        <w:spacing w:before="240" w:after="240"/>
        <w:rPr>
          <w:rFonts w:ascii="宋体" w:hAnsi="宋体" w:eastAsia="宋体" w:cs="宋体"/>
          <w:bCs/>
          <w:color w:val="auto"/>
          <w:sz w:val="36"/>
          <w:szCs w:val="20"/>
          <w:vertAlign w:val="baseline"/>
        </w:rPr>
      </w:pPr>
      <w:bookmarkStart w:id="69" w:name="_Toc6011"/>
      <w:r>
        <w:rPr>
          <w:rFonts w:hint="eastAsia" w:ascii="宋体" w:hAnsi="宋体" w:eastAsia="宋体" w:cs="宋体"/>
          <w:bCs/>
          <w:color w:val="auto"/>
          <w:sz w:val="36"/>
          <w:szCs w:val="20"/>
          <w:vertAlign w:val="baseline"/>
        </w:rPr>
        <w:t xml:space="preserve">第四章 </w:t>
      </w:r>
      <w:bookmarkEnd w:id="66"/>
      <w:r>
        <w:rPr>
          <w:rFonts w:hint="eastAsia" w:ascii="宋体" w:hAnsi="宋体" w:eastAsia="宋体" w:cs="宋体"/>
          <w:bCs/>
          <w:color w:val="auto"/>
          <w:sz w:val="36"/>
          <w:szCs w:val="20"/>
          <w:vertAlign w:val="baseline"/>
        </w:rPr>
        <w:t>竞争性磋商响应文件格式</w:t>
      </w:r>
      <w:bookmarkEnd w:id="67"/>
      <w:bookmarkEnd w:id="69"/>
    </w:p>
    <w:bookmarkEnd w:id="68"/>
    <w:p>
      <w:pPr>
        <w:jc w:val="center"/>
        <w:rPr>
          <w:rFonts w:ascii="宋体" w:hAnsi="宋体" w:cs="宋体"/>
          <w:b/>
          <w:bCs/>
          <w:sz w:val="28"/>
          <w:szCs w:val="28"/>
        </w:rPr>
      </w:pPr>
      <w:bookmarkStart w:id="70" w:name="_Toc24551"/>
      <w:bookmarkStart w:id="71" w:name="_Toc4464"/>
      <w:bookmarkStart w:id="72" w:name="_Toc28092"/>
      <w:r>
        <w:rPr>
          <w:rFonts w:hint="eastAsia" w:ascii="宋体" w:hAnsi="宋体" w:cs="宋体"/>
          <w:b/>
          <w:bCs/>
          <w:sz w:val="28"/>
          <w:szCs w:val="28"/>
        </w:rPr>
        <w:t>一、 竞争性磋商响应文件外包装封面及竞争性磋商响应文件封面格式</w:t>
      </w:r>
    </w:p>
    <w:p>
      <w:pPr>
        <w:snapToGrid w:val="0"/>
        <w:spacing w:beforeLines="50" w:after="50" w:line="360" w:lineRule="exact"/>
        <w:rPr>
          <w:rFonts w:ascii="宋体" w:hAnsi="宋体" w:cs="宋体"/>
          <w:b/>
          <w:szCs w:val="21"/>
        </w:rPr>
      </w:pPr>
    </w:p>
    <w:p>
      <w:pPr>
        <w:snapToGrid w:val="0"/>
        <w:spacing w:beforeLines="50" w:after="50" w:line="360" w:lineRule="exact"/>
        <w:rPr>
          <w:rFonts w:ascii="宋体" w:hAnsi="宋体" w:cs="宋体"/>
          <w:b/>
          <w:szCs w:val="21"/>
        </w:rPr>
      </w:pPr>
      <w:r>
        <w:rPr>
          <w:rFonts w:hint="eastAsia" w:ascii="宋体" w:hAnsi="宋体" w:cs="宋体"/>
          <w:b/>
          <w:szCs w:val="21"/>
        </w:rPr>
        <w:t>（一）</w:t>
      </w:r>
      <w:r>
        <w:rPr>
          <w:rFonts w:hint="eastAsia" w:ascii="宋体" w:hAnsi="宋体" w:cs="宋体"/>
          <w:b/>
        </w:rPr>
        <w:t xml:space="preserve"> 竞争性磋商</w:t>
      </w:r>
      <w:r>
        <w:rPr>
          <w:rFonts w:hint="eastAsia" w:ascii="宋体" w:hAnsi="宋体" w:cs="宋体"/>
          <w:b/>
          <w:bCs/>
        </w:rPr>
        <w:t>响应</w:t>
      </w:r>
      <w:r>
        <w:rPr>
          <w:rFonts w:hint="eastAsia" w:ascii="宋体" w:hAnsi="宋体" w:cs="宋体"/>
          <w:b/>
        </w:rPr>
        <w:t>文件</w:t>
      </w:r>
      <w:r>
        <w:rPr>
          <w:rFonts w:hint="eastAsia" w:ascii="宋体" w:hAnsi="宋体" w:cs="宋体"/>
          <w:b/>
          <w:szCs w:val="21"/>
        </w:rPr>
        <w:t xml:space="preserve">的外包装封面格式： </w:t>
      </w:r>
    </w:p>
    <w:p>
      <w:pPr>
        <w:snapToGrid w:val="0"/>
        <w:spacing w:beforeLines="50" w:after="50" w:line="360" w:lineRule="exact"/>
        <w:rPr>
          <w:rFonts w:ascii="宋体" w:hAnsi="宋体" w:cs="宋体"/>
          <w:szCs w:val="21"/>
        </w:rPr>
      </w:pPr>
    </w:p>
    <w:p>
      <w:pPr>
        <w:snapToGrid w:val="0"/>
        <w:spacing w:line="480" w:lineRule="auto"/>
        <w:ind w:firstLine="3518" w:firstLineChars="1095"/>
        <w:rPr>
          <w:rFonts w:ascii="宋体" w:hAnsi="宋体" w:cs="宋体"/>
          <w:szCs w:val="21"/>
        </w:rPr>
      </w:pPr>
      <w:r>
        <w:rPr>
          <w:rFonts w:hint="eastAsia" w:ascii="宋体" w:hAnsi="宋体" w:cs="宋体"/>
          <w:b/>
          <w:sz w:val="32"/>
          <w:szCs w:val="32"/>
        </w:rPr>
        <w:t>竞争性磋商</w:t>
      </w:r>
      <w:r>
        <w:rPr>
          <w:rFonts w:hint="eastAsia" w:ascii="宋体" w:hAnsi="宋体" w:cs="宋体"/>
          <w:b/>
          <w:bCs/>
          <w:sz w:val="32"/>
          <w:szCs w:val="32"/>
        </w:rPr>
        <w:t>响应</w:t>
      </w:r>
      <w:r>
        <w:rPr>
          <w:rFonts w:hint="eastAsia" w:ascii="宋体" w:hAnsi="宋体" w:cs="宋体"/>
          <w:b/>
          <w:sz w:val="32"/>
          <w:szCs w:val="32"/>
        </w:rPr>
        <w:t>文件</w:t>
      </w: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 xml:space="preserve">项目名称： </w:t>
      </w: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项目编号：</w:t>
      </w: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磋商供应商名称（盖章</w:t>
      </w:r>
      <w:r>
        <w:rPr>
          <w:rFonts w:hint="eastAsia" w:ascii="宋体" w:hAnsi="宋体" w:cs="宋体"/>
          <w:b/>
          <w:szCs w:val="21"/>
        </w:rPr>
        <w:t>）</w:t>
      </w:r>
      <w:r>
        <w:rPr>
          <w:rFonts w:hint="eastAsia" w:ascii="宋体" w:hAnsi="宋体" w:cs="宋体"/>
          <w:b/>
          <w:bCs/>
          <w:szCs w:val="21"/>
        </w:rPr>
        <w:t>：</w:t>
      </w: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（截标时才能启封）</w:t>
      </w:r>
    </w:p>
    <w:p>
      <w:pPr>
        <w:widowControl/>
        <w:jc w:val="left"/>
        <w:rPr>
          <w:rFonts w:ascii="宋体" w:hAnsi="宋体" w:cs="宋体"/>
          <w:b/>
          <w:szCs w:val="21"/>
        </w:rPr>
      </w:pPr>
      <w:r>
        <w:rPr>
          <w:rFonts w:ascii="宋体" w:hAnsi="宋体" w:cs="宋体"/>
          <w:b/>
          <w:szCs w:val="21"/>
        </w:rPr>
        <w:br w:type="page"/>
      </w:r>
    </w:p>
    <w:p>
      <w:pPr>
        <w:snapToGrid w:val="0"/>
        <w:spacing w:beforeLines="50" w:after="50" w:line="360" w:lineRule="exact"/>
        <w:rPr>
          <w:rFonts w:ascii="宋体" w:hAnsi="宋体" w:cs="宋体"/>
          <w:b/>
          <w:szCs w:val="21"/>
        </w:rPr>
      </w:pPr>
    </w:p>
    <w:p>
      <w:pPr>
        <w:snapToGrid w:val="0"/>
        <w:spacing w:beforeLines="50" w:after="50" w:line="360" w:lineRule="exact"/>
        <w:rPr>
          <w:rFonts w:ascii="宋体" w:hAnsi="宋体" w:cs="宋体"/>
          <w:b/>
          <w:sz w:val="24"/>
        </w:rPr>
      </w:pPr>
      <w:r>
        <w:rPr>
          <w:rFonts w:hint="eastAsia" w:ascii="宋体" w:hAnsi="宋体" w:cs="宋体"/>
          <w:b/>
          <w:szCs w:val="21"/>
        </w:rPr>
        <w:t>（二）</w:t>
      </w:r>
      <w:r>
        <w:rPr>
          <w:rFonts w:hint="eastAsia" w:ascii="宋体" w:hAnsi="宋体" w:cs="宋体"/>
          <w:b/>
        </w:rPr>
        <w:t xml:space="preserve"> 竞争性磋商</w:t>
      </w:r>
      <w:r>
        <w:rPr>
          <w:rFonts w:hint="eastAsia" w:ascii="宋体" w:hAnsi="宋体" w:cs="宋体"/>
          <w:b/>
          <w:bCs/>
        </w:rPr>
        <w:t>响应</w:t>
      </w:r>
      <w:r>
        <w:rPr>
          <w:rFonts w:hint="eastAsia" w:ascii="宋体" w:hAnsi="宋体" w:cs="宋体"/>
          <w:b/>
        </w:rPr>
        <w:t>文件</w:t>
      </w:r>
      <w:r>
        <w:rPr>
          <w:rFonts w:hint="eastAsia" w:ascii="宋体" w:hAnsi="宋体" w:cs="宋体"/>
          <w:b/>
          <w:szCs w:val="21"/>
        </w:rPr>
        <w:t>封面格式：</w:t>
      </w:r>
    </w:p>
    <w:p>
      <w:pPr>
        <w:snapToGrid w:val="0"/>
        <w:spacing w:beforeLines="100" w:afterLines="100" w:line="360" w:lineRule="exact"/>
        <w:jc w:val="right"/>
        <w:rPr>
          <w:rFonts w:ascii="宋体" w:hAnsi="宋体" w:cs="宋体"/>
          <w:bCs/>
          <w:sz w:val="28"/>
          <w:szCs w:val="28"/>
        </w:rPr>
      </w:pPr>
      <w:r>
        <w:rPr>
          <w:rFonts w:hint="eastAsia" w:ascii="宋体" w:hAnsi="宋体" w:cs="宋体"/>
          <w:b/>
          <w:bCs/>
          <w:sz w:val="28"/>
          <w:szCs w:val="28"/>
        </w:rPr>
        <w:t>（正/副本）</w:t>
      </w:r>
    </w:p>
    <w:p>
      <w:pPr>
        <w:snapToGrid w:val="0"/>
        <w:spacing w:beforeLines="50" w:after="50" w:line="360" w:lineRule="exact"/>
        <w:ind w:firstLine="2554" w:firstLineChars="795"/>
        <w:rPr>
          <w:rFonts w:ascii="宋体" w:hAnsi="宋体" w:cs="宋体"/>
          <w:b/>
          <w:sz w:val="32"/>
          <w:szCs w:val="32"/>
        </w:rPr>
      </w:pPr>
    </w:p>
    <w:p>
      <w:pPr>
        <w:snapToGrid w:val="0"/>
        <w:spacing w:beforeLines="50" w:after="50" w:line="360" w:lineRule="exact"/>
        <w:ind w:firstLine="2554" w:firstLineChars="795"/>
        <w:rPr>
          <w:rFonts w:ascii="宋体" w:hAnsi="宋体" w:cs="宋体"/>
          <w:bCs/>
          <w:sz w:val="24"/>
        </w:rPr>
      </w:pPr>
      <w:r>
        <w:rPr>
          <w:rFonts w:hint="eastAsia" w:ascii="宋体" w:hAnsi="宋体" w:cs="宋体"/>
          <w:b/>
          <w:sz w:val="32"/>
          <w:szCs w:val="32"/>
        </w:rPr>
        <w:t>竞争性磋商</w:t>
      </w:r>
      <w:r>
        <w:rPr>
          <w:rFonts w:hint="eastAsia" w:ascii="宋体" w:hAnsi="宋体" w:cs="宋体"/>
          <w:b/>
          <w:bCs/>
          <w:sz w:val="32"/>
          <w:szCs w:val="32"/>
        </w:rPr>
        <w:t>响应</w:t>
      </w:r>
      <w:r>
        <w:rPr>
          <w:rFonts w:hint="eastAsia" w:ascii="宋体" w:hAnsi="宋体" w:cs="宋体"/>
          <w:b/>
          <w:sz w:val="32"/>
          <w:szCs w:val="32"/>
        </w:rPr>
        <w:t>文件（封面）</w:t>
      </w:r>
    </w:p>
    <w:p>
      <w:pPr>
        <w:spacing w:line="500" w:lineRule="exact"/>
        <w:ind w:firstLine="420" w:firstLineChars="200"/>
        <w:rPr>
          <w:rFonts w:ascii="宋体" w:hAnsi="宋体" w:cs="宋体"/>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项目名称：</w:t>
      </w: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项目编号：</w:t>
      </w:r>
    </w:p>
    <w:p>
      <w:pPr>
        <w:spacing w:beforeLines="100" w:afterLines="100" w:line="360" w:lineRule="auto"/>
        <w:ind w:firstLine="632" w:firstLineChars="300"/>
        <w:rPr>
          <w:rFonts w:ascii="宋体" w:hAnsi="宋体" w:cs="宋体"/>
          <w:b/>
          <w:bCs/>
          <w:szCs w:val="21"/>
        </w:rPr>
      </w:pPr>
      <w:r>
        <w:rPr>
          <w:rFonts w:hint="eastAsia" w:ascii="宋体" w:hAnsi="宋体" w:cs="宋体"/>
          <w:b/>
          <w:bCs/>
          <w:szCs w:val="21"/>
        </w:rPr>
        <w:t>磋商供应商名称（盖章）：</w:t>
      </w:r>
    </w:p>
    <w:p>
      <w:pPr>
        <w:spacing w:line="500" w:lineRule="exact"/>
        <w:jc w:val="center"/>
        <w:rPr>
          <w:rFonts w:ascii="宋体" w:hAnsi="宋体" w:cs="宋体"/>
          <w:szCs w:val="21"/>
        </w:rPr>
      </w:pPr>
    </w:p>
    <w:p>
      <w:pPr>
        <w:jc w:val="center"/>
        <w:rPr>
          <w:rFonts w:ascii="宋体" w:hAnsi="宋体" w:cs="宋体"/>
        </w:rPr>
      </w:pPr>
      <w:r>
        <w:rPr>
          <w:rFonts w:hint="eastAsia" w:ascii="宋体" w:hAnsi="宋体" w:cs="宋体"/>
        </w:rPr>
        <w:t xml:space="preserve">     年   月   日</w:t>
      </w:r>
    </w:p>
    <w:p>
      <w:pPr>
        <w:jc w:val="center"/>
        <w:rPr>
          <w:rFonts w:ascii="宋体" w:hAnsi="宋体" w:cs="宋体"/>
          <w:b/>
          <w:sz w:val="32"/>
          <w:szCs w:val="32"/>
        </w:rPr>
      </w:pPr>
      <w:r>
        <w:rPr>
          <w:rFonts w:hint="eastAsia" w:ascii="宋体" w:hAnsi="宋体" w:cs="宋体"/>
        </w:rPr>
        <w:br w:type="page"/>
      </w:r>
      <w:r>
        <w:rPr>
          <w:rFonts w:hint="eastAsia" w:ascii="宋体" w:hAnsi="宋体" w:cs="宋体"/>
          <w:b/>
          <w:bCs/>
          <w:sz w:val="28"/>
          <w:szCs w:val="28"/>
        </w:rPr>
        <w:t>二</w:t>
      </w:r>
      <w:r>
        <w:rPr>
          <w:rFonts w:hint="eastAsia" w:ascii="宋体" w:hAnsi="宋体" w:cs="宋体"/>
          <w:b/>
          <w:sz w:val="32"/>
          <w:szCs w:val="32"/>
        </w:rPr>
        <w:t>、</w:t>
      </w:r>
      <w:r>
        <w:rPr>
          <w:rFonts w:hint="eastAsia" w:ascii="宋体" w:hAnsi="宋体" w:cs="宋体"/>
          <w:b/>
          <w:bCs/>
          <w:sz w:val="32"/>
          <w:szCs w:val="32"/>
        </w:rPr>
        <w:t>竞争性磋商响应文件</w:t>
      </w:r>
      <w:r>
        <w:rPr>
          <w:rFonts w:hint="eastAsia" w:ascii="宋体" w:hAnsi="宋体" w:cs="宋体"/>
          <w:b/>
          <w:sz w:val="32"/>
          <w:szCs w:val="32"/>
        </w:rPr>
        <w:t>目录</w:t>
      </w:r>
    </w:p>
    <w:p>
      <w:pPr>
        <w:autoSpaceDE w:val="0"/>
        <w:autoSpaceDN w:val="0"/>
        <w:adjustRightInd w:val="0"/>
        <w:spacing w:line="400" w:lineRule="exact"/>
        <w:jc w:val="left"/>
        <w:rPr>
          <w:rFonts w:ascii="宋体" w:hAnsi="宋体" w:cs="宋体"/>
          <w:kern w:val="0"/>
        </w:rPr>
      </w:pPr>
    </w:p>
    <w:p>
      <w:pPr>
        <w:spacing w:line="312" w:lineRule="auto"/>
        <w:ind w:firstLine="420" w:firstLineChars="200"/>
        <w:textAlignment w:val="top"/>
        <w:rPr>
          <w:rFonts w:ascii="宋体" w:hAnsi="宋体" w:cs="宋体"/>
          <w:kern w:val="0"/>
        </w:rPr>
      </w:pPr>
      <w:r>
        <w:rPr>
          <w:rFonts w:hint="eastAsia" w:ascii="宋体" w:hAnsi="宋体" w:cs="宋体"/>
          <w:kern w:val="0"/>
        </w:rPr>
        <w:t>1、价格文件</w:t>
      </w:r>
    </w:p>
    <w:p>
      <w:pPr>
        <w:spacing w:line="312" w:lineRule="auto"/>
        <w:ind w:firstLine="420" w:firstLineChars="200"/>
        <w:textAlignment w:val="top"/>
        <w:rPr>
          <w:rFonts w:ascii="宋体" w:hAnsi="宋体" w:cs="宋体"/>
          <w:kern w:val="0"/>
        </w:rPr>
      </w:pPr>
      <w:r>
        <w:rPr>
          <w:rFonts w:hint="eastAsia" w:ascii="宋体" w:hAnsi="宋体" w:cs="宋体"/>
          <w:kern w:val="0"/>
        </w:rPr>
        <w:t>（由磋商供应商自拟，应有页码）</w:t>
      </w:r>
    </w:p>
    <w:p>
      <w:pPr>
        <w:spacing w:line="312" w:lineRule="auto"/>
        <w:ind w:firstLine="420" w:firstLineChars="200"/>
        <w:textAlignment w:val="top"/>
        <w:rPr>
          <w:rFonts w:ascii="宋体" w:hAnsi="宋体" w:cs="宋体"/>
          <w:kern w:val="0"/>
        </w:rPr>
      </w:pPr>
    </w:p>
    <w:p>
      <w:pPr>
        <w:spacing w:line="312" w:lineRule="auto"/>
        <w:ind w:firstLine="420" w:firstLineChars="200"/>
        <w:textAlignment w:val="top"/>
        <w:rPr>
          <w:rFonts w:ascii="宋体" w:hAnsi="宋体" w:cs="宋体"/>
          <w:kern w:val="0"/>
        </w:rPr>
      </w:pPr>
      <w:r>
        <w:rPr>
          <w:rFonts w:hint="eastAsia" w:ascii="宋体" w:hAnsi="宋体" w:cs="宋体"/>
          <w:kern w:val="0"/>
        </w:rPr>
        <w:t>2、商务技术文件</w:t>
      </w:r>
    </w:p>
    <w:p>
      <w:pPr>
        <w:spacing w:line="312" w:lineRule="auto"/>
        <w:ind w:firstLine="420" w:firstLineChars="200"/>
        <w:textAlignment w:val="top"/>
        <w:rPr>
          <w:rFonts w:ascii="宋体" w:hAnsi="宋体" w:cs="宋体"/>
          <w:szCs w:val="21"/>
        </w:rPr>
      </w:pPr>
      <w:r>
        <w:rPr>
          <w:rFonts w:hint="eastAsia" w:ascii="宋体" w:hAnsi="宋体" w:cs="宋体"/>
          <w:kern w:val="0"/>
        </w:rPr>
        <w:t>（由磋商供应商自拟，应有页码）</w:t>
      </w: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00" w:lineRule="auto"/>
        <w:rPr>
          <w:rFonts w:ascii="宋体" w:hAnsi="宋体" w:cs="宋体"/>
          <w:szCs w:val="21"/>
        </w:rPr>
      </w:pPr>
      <w:r>
        <w:rPr>
          <w:rFonts w:hint="eastAsia" w:ascii="宋体" w:hAnsi="宋体" w:cs="宋体"/>
          <w:b/>
          <w:bCs/>
          <w:szCs w:val="21"/>
        </w:rPr>
        <w:br w:type="page"/>
      </w:r>
      <w:r>
        <w:rPr>
          <w:rFonts w:hint="eastAsia" w:ascii="宋体" w:hAnsi="宋体" w:cs="宋体"/>
          <w:b/>
          <w:bCs/>
          <w:szCs w:val="21"/>
        </w:rPr>
        <w:t xml:space="preserve">附件一 </w:t>
      </w:r>
    </w:p>
    <w:p>
      <w:pPr>
        <w:spacing w:line="300" w:lineRule="auto"/>
        <w:jc w:val="center"/>
        <w:rPr>
          <w:rFonts w:ascii="宋体" w:hAnsi="宋体" w:cs="宋体"/>
          <w:b/>
          <w:sz w:val="32"/>
          <w:szCs w:val="32"/>
        </w:rPr>
      </w:pPr>
      <w:r>
        <w:rPr>
          <w:rFonts w:hint="eastAsia" w:ascii="宋体" w:hAnsi="宋体" w:cs="宋体"/>
          <w:b/>
          <w:sz w:val="32"/>
          <w:szCs w:val="32"/>
        </w:rPr>
        <w:t>报价表</w:t>
      </w:r>
    </w:p>
    <w:p>
      <w:pPr>
        <w:spacing w:line="500" w:lineRule="exact"/>
        <w:rPr>
          <w:rFonts w:ascii="宋体" w:hAnsi="宋体" w:cs="宋体"/>
          <w:b/>
          <w:sz w:val="24"/>
        </w:rPr>
      </w:pPr>
    </w:p>
    <w:p>
      <w:pPr>
        <w:spacing w:line="360" w:lineRule="auto"/>
        <w:rPr>
          <w:rFonts w:ascii="宋体" w:hAnsi="宋体" w:cs="宋体"/>
          <w:szCs w:val="21"/>
          <w:u w:val="single"/>
        </w:rPr>
      </w:pPr>
      <w:r>
        <w:rPr>
          <w:rFonts w:hint="eastAsia" w:ascii="宋体" w:hAnsi="宋体" w:cs="宋体"/>
          <w:szCs w:val="21"/>
        </w:rPr>
        <w:t>项目名称:</w:t>
      </w:r>
    </w:p>
    <w:p>
      <w:pPr>
        <w:spacing w:line="360" w:lineRule="auto"/>
        <w:rPr>
          <w:rFonts w:ascii="宋体" w:hAnsi="宋体" w:cs="宋体"/>
          <w:szCs w:val="21"/>
          <w:u w:val="single"/>
        </w:rPr>
      </w:pPr>
      <w:r>
        <w:rPr>
          <w:rFonts w:hint="eastAsia" w:ascii="宋体" w:hAnsi="宋体" w:cs="宋体"/>
          <w:szCs w:val="21"/>
        </w:rPr>
        <w:t>项目编号:</w:t>
      </w:r>
    </w:p>
    <w:p>
      <w:pPr>
        <w:spacing w:line="360" w:lineRule="auto"/>
        <w:rPr>
          <w:rFonts w:ascii="仿宋_GB2312" w:hAnsi="宋体" w:eastAsia="仿宋_GB2312"/>
          <w:szCs w:val="21"/>
        </w:rPr>
      </w:pPr>
    </w:p>
    <w:tbl>
      <w:tblPr>
        <w:tblStyle w:val="1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67"/>
        <w:gridCol w:w="1086"/>
        <w:gridCol w:w="1087"/>
        <w:gridCol w:w="1087"/>
        <w:gridCol w:w="1843"/>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 w:type="dxa"/>
            <w:vAlign w:val="center"/>
          </w:tcPr>
          <w:p>
            <w:pPr>
              <w:tabs>
                <w:tab w:val="left" w:pos="1418"/>
              </w:tabs>
              <w:jc w:val="center"/>
              <w:rPr>
                <w:rFonts w:ascii="宋体" w:hAnsi="宋体"/>
                <w:szCs w:val="21"/>
              </w:rPr>
            </w:pPr>
            <w:r>
              <w:rPr>
                <w:rFonts w:hint="eastAsia" w:ascii="宋体" w:hAnsi="宋体"/>
                <w:szCs w:val="21"/>
              </w:rPr>
              <w:t>序号</w:t>
            </w:r>
          </w:p>
        </w:tc>
        <w:tc>
          <w:tcPr>
            <w:tcW w:w="2467" w:type="dxa"/>
            <w:vAlign w:val="center"/>
          </w:tcPr>
          <w:p>
            <w:pPr>
              <w:tabs>
                <w:tab w:val="left" w:pos="1418"/>
              </w:tabs>
              <w:jc w:val="center"/>
              <w:rPr>
                <w:rFonts w:ascii="宋体" w:hAnsi="宋体"/>
                <w:szCs w:val="21"/>
              </w:rPr>
            </w:pPr>
            <w:r>
              <w:rPr>
                <w:rFonts w:hint="eastAsia" w:ascii="宋体" w:hAnsi="宋体"/>
                <w:szCs w:val="21"/>
              </w:rPr>
              <w:t>服务内容</w:t>
            </w:r>
          </w:p>
        </w:tc>
        <w:tc>
          <w:tcPr>
            <w:tcW w:w="1086" w:type="dxa"/>
            <w:vAlign w:val="center"/>
          </w:tcPr>
          <w:p>
            <w:pPr>
              <w:tabs>
                <w:tab w:val="left" w:pos="1418"/>
              </w:tabs>
              <w:jc w:val="center"/>
              <w:rPr>
                <w:rFonts w:ascii="宋体" w:hAnsi="宋体"/>
                <w:szCs w:val="21"/>
              </w:rPr>
            </w:pPr>
            <w:r>
              <w:rPr>
                <w:rFonts w:hint="eastAsia" w:ascii="宋体" w:hAnsi="宋体"/>
                <w:szCs w:val="21"/>
              </w:rPr>
              <w:t>数量①</w:t>
            </w:r>
          </w:p>
        </w:tc>
        <w:tc>
          <w:tcPr>
            <w:tcW w:w="1087" w:type="dxa"/>
            <w:vAlign w:val="center"/>
          </w:tcPr>
          <w:p>
            <w:pPr>
              <w:tabs>
                <w:tab w:val="left" w:pos="1418"/>
              </w:tabs>
              <w:jc w:val="center"/>
              <w:rPr>
                <w:rFonts w:ascii="宋体" w:hAnsi="宋体"/>
                <w:szCs w:val="21"/>
              </w:rPr>
            </w:pPr>
            <w:r>
              <w:rPr>
                <w:rFonts w:hint="eastAsia" w:ascii="宋体" w:hAnsi="宋体"/>
                <w:szCs w:val="21"/>
              </w:rPr>
              <w:t>单位</w:t>
            </w:r>
          </w:p>
        </w:tc>
        <w:tc>
          <w:tcPr>
            <w:tcW w:w="1087" w:type="dxa"/>
            <w:vAlign w:val="center"/>
          </w:tcPr>
          <w:p>
            <w:pPr>
              <w:tabs>
                <w:tab w:val="left" w:pos="1418"/>
              </w:tabs>
              <w:jc w:val="center"/>
              <w:rPr>
                <w:rFonts w:ascii="宋体" w:hAnsi="宋体"/>
                <w:szCs w:val="21"/>
              </w:rPr>
            </w:pPr>
            <w:r>
              <w:rPr>
                <w:rFonts w:hint="eastAsia" w:ascii="宋体" w:hAnsi="宋体"/>
                <w:szCs w:val="21"/>
              </w:rPr>
              <w:t>单价②</w:t>
            </w:r>
          </w:p>
        </w:tc>
        <w:tc>
          <w:tcPr>
            <w:tcW w:w="1843" w:type="dxa"/>
            <w:vAlign w:val="center"/>
          </w:tcPr>
          <w:p>
            <w:pPr>
              <w:tabs>
                <w:tab w:val="left" w:pos="1418"/>
              </w:tabs>
              <w:jc w:val="center"/>
              <w:rPr>
                <w:rFonts w:ascii="宋体" w:hAnsi="宋体"/>
                <w:szCs w:val="21"/>
              </w:rPr>
            </w:pPr>
            <w:r>
              <w:rPr>
                <w:rFonts w:hint="eastAsia" w:ascii="宋体" w:hAnsi="宋体"/>
                <w:szCs w:val="21"/>
              </w:rPr>
              <w:t>单项合价（元）</w:t>
            </w:r>
          </w:p>
          <w:p>
            <w:pPr>
              <w:tabs>
                <w:tab w:val="left" w:pos="1418"/>
              </w:tabs>
              <w:jc w:val="center"/>
              <w:rPr>
                <w:rFonts w:ascii="宋体" w:hAnsi="宋体"/>
                <w:szCs w:val="21"/>
              </w:rPr>
            </w:pPr>
            <w:r>
              <w:rPr>
                <w:rFonts w:hint="eastAsia" w:ascii="宋体" w:hAnsi="宋体"/>
                <w:szCs w:val="21"/>
              </w:rPr>
              <w:t>③=①</w:t>
            </w:r>
            <w:r>
              <w:rPr>
                <w:rFonts w:hAnsi="宋体" w:cs="Courier New"/>
                <w:szCs w:val="21"/>
              </w:rPr>
              <w:t>×</w:t>
            </w:r>
            <w:r>
              <w:rPr>
                <w:rFonts w:hint="eastAsia" w:ascii="宋体" w:hAnsi="宋体"/>
                <w:szCs w:val="21"/>
              </w:rPr>
              <w:t>②</w:t>
            </w:r>
          </w:p>
        </w:tc>
        <w:tc>
          <w:tcPr>
            <w:tcW w:w="989" w:type="dxa"/>
            <w:vAlign w:val="center"/>
          </w:tcPr>
          <w:p>
            <w:pPr>
              <w:tabs>
                <w:tab w:val="left" w:pos="1418"/>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tabs>
                <w:tab w:val="left" w:pos="1418"/>
              </w:tabs>
              <w:jc w:val="center"/>
              <w:rPr>
                <w:rFonts w:ascii="宋体" w:hAnsi="宋体"/>
                <w:szCs w:val="21"/>
              </w:rPr>
            </w:pPr>
            <w:r>
              <w:rPr>
                <w:rFonts w:hint="eastAsia" w:ascii="宋体" w:hAnsi="宋体"/>
                <w:szCs w:val="21"/>
              </w:rPr>
              <w:t>1</w:t>
            </w:r>
          </w:p>
        </w:tc>
        <w:tc>
          <w:tcPr>
            <w:tcW w:w="2467" w:type="dxa"/>
            <w:vAlign w:val="center"/>
          </w:tcPr>
          <w:p>
            <w:pPr>
              <w:tabs>
                <w:tab w:val="left" w:pos="1418"/>
              </w:tabs>
              <w:jc w:val="center"/>
              <w:rPr>
                <w:rFonts w:ascii="宋体" w:hAnsi="宋体"/>
                <w:szCs w:val="21"/>
              </w:rPr>
            </w:pPr>
          </w:p>
        </w:tc>
        <w:tc>
          <w:tcPr>
            <w:tcW w:w="1086"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843" w:type="dxa"/>
            <w:vAlign w:val="center"/>
          </w:tcPr>
          <w:p>
            <w:pPr>
              <w:tabs>
                <w:tab w:val="left" w:pos="1418"/>
              </w:tabs>
              <w:jc w:val="center"/>
              <w:rPr>
                <w:rFonts w:ascii="宋体" w:hAnsi="宋体"/>
                <w:szCs w:val="21"/>
              </w:rPr>
            </w:pPr>
          </w:p>
        </w:tc>
        <w:tc>
          <w:tcPr>
            <w:tcW w:w="989" w:type="dxa"/>
            <w:vAlign w:val="center"/>
          </w:tcPr>
          <w:p>
            <w:pPr>
              <w:tabs>
                <w:tab w:val="left" w:pos="1418"/>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tabs>
                <w:tab w:val="left" w:pos="1418"/>
              </w:tabs>
              <w:jc w:val="center"/>
              <w:rPr>
                <w:rFonts w:ascii="宋体" w:hAnsi="宋体"/>
                <w:szCs w:val="21"/>
              </w:rPr>
            </w:pPr>
            <w:r>
              <w:rPr>
                <w:rFonts w:hint="eastAsia"/>
                <w:szCs w:val="21"/>
              </w:rPr>
              <w:t>…</w:t>
            </w:r>
          </w:p>
        </w:tc>
        <w:tc>
          <w:tcPr>
            <w:tcW w:w="2467" w:type="dxa"/>
            <w:vAlign w:val="center"/>
          </w:tcPr>
          <w:p>
            <w:pPr>
              <w:tabs>
                <w:tab w:val="left" w:pos="1418"/>
              </w:tabs>
              <w:jc w:val="center"/>
              <w:rPr>
                <w:rFonts w:ascii="宋体" w:hAnsi="宋体"/>
                <w:szCs w:val="21"/>
              </w:rPr>
            </w:pPr>
          </w:p>
        </w:tc>
        <w:tc>
          <w:tcPr>
            <w:tcW w:w="1086"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843" w:type="dxa"/>
            <w:vAlign w:val="center"/>
          </w:tcPr>
          <w:p>
            <w:pPr>
              <w:tabs>
                <w:tab w:val="left" w:pos="1418"/>
              </w:tabs>
              <w:jc w:val="center"/>
              <w:rPr>
                <w:rFonts w:ascii="宋体" w:hAnsi="宋体"/>
                <w:szCs w:val="21"/>
              </w:rPr>
            </w:pPr>
          </w:p>
        </w:tc>
        <w:tc>
          <w:tcPr>
            <w:tcW w:w="989" w:type="dxa"/>
            <w:vAlign w:val="center"/>
          </w:tcPr>
          <w:p>
            <w:pPr>
              <w:tabs>
                <w:tab w:val="left" w:pos="1418"/>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tabs>
                <w:tab w:val="left" w:pos="1418"/>
              </w:tabs>
              <w:jc w:val="center"/>
              <w:rPr>
                <w:rFonts w:ascii="宋体" w:hAnsi="宋体"/>
                <w:szCs w:val="21"/>
              </w:rPr>
            </w:pPr>
            <w:r>
              <w:rPr>
                <w:rFonts w:hint="eastAsia" w:ascii="宋体" w:hAnsi="宋体"/>
                <w:szCs w:val="21"/>
              </w:rPr>
              <w:t>N</w:t>
            </w:r>
          </w:p>
        </w:tc>
        <w:tc>
          <w:tcPr>
            <w:tcW w:w="2467" w:type="dxa"/>
            <w:vAlign w:val="center"/>
          </w:tcPr>
          <w:p>
            <w:pPr>
              <w:tabs>
                <w:tab w:val="left" w:pos="1418"/>
              </w:tabs>
              <w:jc w:val="center"/>
              <w:rPr>
                <w:rFonts w:ascii="宋体" w:hAnsi="宋体"/>
                <w:szCs w:val="21"/>
              </w:rPr>
            </w:pPr>
          </w:p>
        </w:tc>
        <w:tc>
          <w:tcPr>
            <w:tcW w:w="1086"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843" w:type="dxa"/>
            <w:vAlign w:val="center"/>
          </w:tcPr>
          <w:p>
            <w:pPr>
              <w:tabs>
                <w:tab w:val="left" w:pos="1418"/>
              </w:tabs>
              <w:jc w:val="center"/>
              <w:rPr>
                <w:rFonts w:ascii="宋体" w:hAnsi="宋体"/>
                <w:szCs w:val="21"/>
              </w:rPr>
            </w:pPr>
          </w:p>
        </w:tc>
        <w:tc>
          <w:tcPr>
            <w:tcW w:w="989" w:type="dxa"/>
            <w:vAlign w:val="center"/>
          </w:tcPr>
          <w:p>
            <w:pPr>
              <w:tabs>
                <w:tab w:val="left" w:pos="1418"/>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8" w:type="dxa"/>
            <w:gridSpan w:val="7"/>
            <w:vAlign w:val="center"/>
          </w:tcPr>
          <w:p>
            <w:pPr>
              <w:tabs>
                <w:tab w:val="left" w:pos="1418"/>
              </w:tabs>
              <w:jc w:val="left"/>
              <w:rPr>
                <w:rFonts w:ascii="宋体" w:hAnsi="宋体"/>
                <w:szCs w:val="21"/>
                <w:u w:val="single"/>
              </w:rPr>
            </w:pPr>
            <w:r>
              <w:rPr>
                <w:rFonts w:hint="eastAsia" w:ascii="宋体" w:hAnsi="宋体"/>
                <w:szCs w:val="21"/>
              </w:rPr>
              <w:t xml:space="preserve">总报价（大写）：人民币                      </w:t>
            </w:r>
            <w:r>
              <w:rPr>
                <w:rFonts w:cs="Courier New"/>
                <w:szCs w:val="21"/>
              </w:rPr>
              <w:t>（￥          ）</w:t>
            </w:r>
          </w:p>
        </w:tc>
      </w:tr>
    </w:tbl>
    <w:p>
      <w:pPr>
        <w:tabs>
          <w:tab w:val="left" w:pos="1418"/>
        </w:tabs>
        <w:snapToGrid w:val="0"/>
        <w:spacing w:before="50" w:after="50" w:line="360" w:lineRule="auto"/>
        <w:jc w:val="left"/>
        <w:rPr>
          <w:rFonts w:ascii="宋体" w:hAnsi="宋体"/>
          <w:spacing w:val="20"/>
          <w:szCs w:val="21"/>
          <w:u w:val="single"/>
        </w:rPr>
      </w:pPr>
    </w:p>
    <w:p>
      <w:pPr>
        <w:tabs>
          <w:tab w:val="left" w:pos="1418"/>
        </w:tabs>
        <w:spacing w:line="360" w:lineRule="auto"/>
        <w:rPr>
          <w:rFonts w:ascii="宋体" w:hAnsi="宋体" w:cs="宋体"/>
          <w:szCs w:val="21"/>
        </w:rPr>
      </w:pPr>
      <w:r>
        <w:rPr>
          <w:rFonts w:hint="eastAsia" w:ascii="宋体" w:hAnsi="宋体" w:cs="宋体"/>
          <w:szCs w:val="21"/>
        </w:rPr>
        <w:t>注：1、报价一经涂改，应在涂改处加盖供应商单位公章或者由供应商法定代表人或授权委托人签字，否则其响应文件作响应无效处理。</w:t>
      </w:r>
    </w:p>
    <w:p>
      <w:pPr>
        <w:tabs>
          <w:tab w:val="left" w:pos="1418"/>
        </w:tabs>
        <w:spacing w:line="360" w:lineRule="auto"/>
        <w:ind w:firstLine="420" w:firstLineChars="200"/>
        <w:rPr>
          <w:rFonts w:ascii="宋体" w:hAnsi="宋体" w:cs="宋体"/>
          <w:szCs w:val="21"/>
        </w:rPr>
      </w:pPr>
      <w:r>
        <w:rPr>
          <w:rFonts w:hint="eastAsia" w:ascii="宋体" w:hAnsi="宋体" w:cs="宋体"/>
          <w:szCs w:val="21"/>
        </w:rPr>
        <w:t>2、报价费用包括了供应商完成本项目所需的一切工作内容而发生的所有直接费用、间接费用、其它费用、税金等全部费用和供应商要求获得的利润以及应由供应商承担的义务、责任和风险所发生的一切费用。</w:t>
      </w:r>
    </w:p>
    <w:p>
      <w:pPr>
        <w:tabs>
          <w:tab w:val="left" w:pos="1418"/>
        </w:tabs>
        <w:spacing w:line="360" w:lineRule="auto"/>
        <w:ind w:firstLine="420" w:firstLineChars="200"/>
        <w:rPr>
          <w:rFonts w:ascii="宋体" w:hAnsi="宋体" w:cs="宋体"/>
          <w:szCs w:val="21"/>
        </w:rPr>
      </w:pPr>
      <w:r>
        <w:rPr>
          <w:rFonts w:hint="eastAsia" w:ascii="宋体" w:hAnsi="宋体" w:cs="宋体"/>
          <w:szCs w:val="21"/>
        </w:rPr>
        <w:t>3、以上报价应与“报价明细表”中的“总报价”相一致。</w:t>
      </w:r>
    </w:p>
    <w:p>
      <w:pPr>
        <w:snapToGrid w:val="0"/>
        <w:spacing w:before="50" w:after="50" w:line="360" w:lineRule="auto"/>
        <w:rPr>
          <w:rFonts w:ascii="宋体" w:hAnsi="宋体"/>
          <w:spacing w:val="20"/>
          <w:szCs w:val="21"/>
        </w:rPr>
      </w:pP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p>
    <w:p>
      <w:pPr>
        <w:snapToGrid w:val="0"/>
        <w:spacing w:before="50" w:after="50" w:line="360" w:lineRule="auto"/>
        <w:rPr>
          <w:rFonts w:ascii="宋体" w:hAnsi="宋体"/>
          <w:szCs w:val="21"/>
        </w:rPr>
      </w:pPr>
      <w:r>
        <w:rPr>
          <w:rFonts w:hint="eastAsia" w:ascii="宋体" w:hAnsi="宋体"/>
          <w:szCs w:val="21"/>
        </w:rPr>
        <w:t>磋商供应商名称（盖章）：</w:t>
      </w:r>
    </w:p>
    <w:p>
      <w:pPr>
        <w:snapToGrid w:val="0"/>
        <w:spacing w:before="50" w:after="50" w:line="360" w:lineRule="auto"/>
        <w:rPr>
          <w:rFonts w:ascii="宋体" w:hAnsi="宋体"/>
          <w:szCs w:val="21"/>
        </w:rPr>
      </w:pPr>
      <w:r>
        <w:rPr>
          <w:rFonts w:hint="eastAsia" w:ascii="宋体" w:hAnsi="宋体"/>
          <w:szCs w:val="21"/>
        </w:rPr>
        <w:t xml:space="preserve">日期：年月日       </w:t>
      </w:r>
    </w:p>
    <w:p>
      <w:pPr>
        <w:spacing w:line="360" w:lineRule="auto"/>
        <w:rPr>
          <w:rFonts w:ascii="宋体" w:hAnsi="宋体" w:cs="宋体"/>
          <w:b/>
          <w:bCs/>
          <w:szCs w:val="21"/>
        </w:rPr>
      </w:pPr>
      <w:r>
        <w:rPr>
          <w:rFonts w:hint="eastAsia" w:ascii="宋体" w:hAnsi="宋体" w:cs="宋体"/>
          <w:b/>
          <w:bCs/>
          <w:szCs w:val="21"/>
        </w:rPr>
        <w:br w:type="page"/>
      </w:r>
      <w:r>
        <w:rPr>
          <w:rFonts w:hint="eastAsia" w:ascii="宋体" w:hAnsi="宋体" w:cs="宋体"/>
          <w:b/>
          <w:bCs/>
          <w:szCs w:val="21"/>
        </w:rPr>
        <w:t xml:space="preserve">附件二 </w:t>
      </w:r>
    </w:p>
    <w:p>
      <w:pPr>
        <w:spacing w:line="300" w:lineRule="auto"/>
        <w:jc w:val="center"/>
        <w:rPr>
          <w:rFonts w:hAnsi="宋体" w:cs="宋体"/>
          <w:u w:val="single"/>
        </w:rPr>
      </w:pPr>
      <w:r>
        <w:rPr>
          <w:rFonts w:hint="eastAsia" w:ascii="宋体" w:hAnsi="宋体" w:cs="宋体"/>
          <w:b/>
          <w:sz w:val="32"/>
          <w:szCs w:val="32"/>
        </w:rPr>
        <w:t>磋 商 书</w:t>
      </w:r>
    </w:p>
    <w:p>
      <w:pPr>
        <w:spacing w:line="400" w:lineRule="exact"/>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u w:val="single"/>
        </w:rPr>
        <w:t>（采购代理机构)</w:t>
      </w:r>
      <w:r>
        <w:rPr>
          <w:rFonts w:hint="eastAsia" w:ascii="宋体" w:hAnsi="宋体" w:cs="宋体"/>
          <w:szCs w:val="21"/>
        </w:rPr>
        <w:t>：</w:t>
      </w:r>
    </w:p>
    <w:p>
      <w:pPr>
        <w:spacing w:line="360" w:lineRule="auto"/>
        <w:ind w:firstLine="420" w:firstLineChars="200"/>
        <w:rPr>
          <w:rFonts w:ascii="宋体" w:hAnsi="宋体" w:cs="宋体"/>
        </w:rPr>
      </w:pPr>
      <w:r>
        <w:rPr>
          <w:rFonts w:hint="eastAsia" w:ascii="宋体" w:hAnsi="宋体" w:cs="宋体"/>
        </w:rPr>
        <w:t>依据贵方</w:t>
      </w:r>
      <w:r>
        <w:rPr>
          <w:rFonts w:hint="eastAsia" w:ascii="宋体" w:hAnsi="宋体" w:cs="宋体"/>
          <w:u w:val="single"/>
        </w:rPr>
        <w:t>（项目名称/项目编号）</w:t>
      </w:r>
      <w:r>
        <w:rPr>
          <w:rFonts w:hint="eastAsia" w:ascii="宋体" w:hAnsi="宋体" w:cs="宋体"/>
        </w:rPr>
        <w:t>项目政府采购的磋商邀请，我方</w:t>
      </w:r>
      <w:r>
        <w:rPr>
          <w:rFonts w:hint="eastAsia" w:ascii="宋体" w:hAnsi="宋体" w:cs="宋体"/>
          <w:u w:val="single"/>
        </w:rPr>
        <w:t>（姓名和职务）</w:t>
      </w:r>
      <w:r>
        <w:rPr>
          <w:rFonts w:hint="eastAsia" w:ascii="宋体" w:hAnsi="宋体" w:cs="宋体"/>
        </w:rPr>
        <w:t>经正式授权并代表本单位</w:t>
      </w:r>
      <w:r>
        <w:rPr>
          <w:rFonts w:hint="eastAsia" w:ascii="宋体" w:hAnsi="宋体" w:cs="宋体"/>
          <w:u w:val="single"/>
        </w:rPr>
        <w:t>（磋商供应商名称、地址）</w:t>
      </w:r>
      <w:r>
        <w:rPr>
          <w:rFonts w:hint="eastAsia" w:ascii="宋体" w:hAnsi="宋体" w:cs="宋体"/>
        </w:rPr>
        <w:t>提交下述竞争性磋商响应文件（</w:t>
      </w:r>
      <w:r>
        <w:rPr>
          <w:rFonts w:hint="eastAsia" w:ascii="宋体" w:hAnsi="宋体" w:cs="宋体"/>
          <w:b/>
        </w:rPr>
        <w:t>价格文件、商务技术文件）</w:t>
      </w:r>
      <w:r>
        <w:rPr>
          <w:rFonts w:hint="eastAsia" w:ascii="宋体" w:hAnsi="宋体" w:cs="宋体"/>
        </w:rPr>
        <w:t>，其中正本</w:t>
      </w:r>
      <w:r>
        <w:rPr>
          <w:rFonts w:hint="eastAsia" w:ascii="宋体" w:hAnsi="宋体" w:cs="宋体"/>
          <w:u w:val="single"/>
        </w:rPr>
        <w:t xml:space="preserve"> 一 </w:t>
      </w:r>
      <w:r>
        <w:rPr>
          <w:rFonts w:hint="eastAsia" w:ascii="宋体" w:hAnsi="宋体" w:cs="宋体"/>
        </w:rPr>
        <w:t>份、副本</w:t>
      </w:r>
      <w:r>
        <w:rPr>
          <w:rFonts w:hint="eastAsia" w:ascii="宋体" w:hAnsi="宋体" w:cs="宋体"/>
          <w:u w:val="single"/>
        </w:rPr>
        <w:t xml:space="preserve"> 四 </w:t>
      </w:r>
      <w:r>
        <w:rPr>
          <w:rFonts w:hint="eastAsia" w:ascii="宋体" w:hAnsi="宋体" w:cs="宋体"/>
        </w:rPr>
        <w:t>份。</w:t>
      </w:r>
    </w:p>
    <w:p>
      <w:pPr>
        <w:spacing w:line="360" w:lineRule="auto"/>
        <w:ind w:firstLine="420" w:firstLineChars="200"/>
        <w:rPr>
          <w:rFonts w:ascii="宋体" w:hAnsi="宋体" w:cs="宋体"/>
        </w:rPr>
      </w:pPr>
      <w:r>
        <w:rPr>
          <w:rFonts w:hint="eastAsia" w:ascii="宋体" w:hAnsi="宋体" w:cs="宋体"/>
        </w:rPr>
        <w:t>1. 报价表；</w:t>
      </w:r>
    </w:p>
    <w:p>
      <w:pPr>
        <w:spacing w:line="360" w:lineRule="auto"/>
        <w:ind w:firstLine="420" w:firstLineChars="200"/>
        <w:rPr>
          <w:rFonts w:ascii="宋体" w:hAnsi="宋体" w:cs="宋体"/>
        </w:rPr>
      </w:pPr>
      <w:r>
        <w:rPr>
          <w:rFonts w:hint="eastAsia" w:ascii="宋体" w:hAnsi="宋体" w:cs="宋体"/>
        </w:rPr>
        <w:t>2. 商务、服务（技术）响应及偏离情况说明表；</w:t>
      </w:r>
    </w:p>
    <w:p>
      <w:pPr>
        <w:spacing w:line="360" w:lineRule="auto"/>
        <w:ind w:firstLine="420" w:firstLineChars="200"/>
        <w:rPr>
          <w:rFonts w:ascii="宋体" w:hAnsi="宋体" w:cs="宋体"/>
        </w:rPr>
      </w:pPr>
      <w:r>
        <w:rPr>
          <w:rFonts w:hint="eastAsia" w:ascii="宋体" w:hAnsi="宋体" w:cs="宋体"/>
        </w:rPr>
        <w:t>3. 资格证明文件；</w:t>
      </w:r>
    </w:p>
    <w:p>
      <w:pPr>
        <w:spacing w:line="360" w:lineRule="auto"/>
        <w:ind w:firstLine="420" w:firstLineChars="200"/>
        <w:rPr>
          <w:rFonts w:ascii="宋体" w:hAnsi="宋体" w:cs="宋体"/>
        </w:rPr>
      </w:pPr>
      <w:r>
        <w:rPr>
          <w:rFonts w:hint="eastAsia" w:ascii="宋体" w:hAnsi="宋体" w:cs="宋体"/>
        </w:rPr>
        <w:t>4. 按竞争性磋商文件</w:t>
      </w:r>
      <w:r>
        <w:rPr>
          <w:rFonts w:hint="eastAsia" w:ascii="宋体" w:hAnsi="宋体" w:cs="宋体"/>
          <w:szCs w:val="21"/>
        </w:rPr>
        <w:t>供应商</w:t>
      </w:r>
      <w:r>
        <w:rPr>
          <w:rFonts w:hint="eastAsia" w:ascii="宋体" w:hAnsi="宋体" w:cs="宋体"/>
        </w:rPr>
        <w:t>须知和采购需求提供的有关文件；</w:t>
      </w:r>
    </w:p>
    <w:p>
      <w:pPr>
        <w:spacing w:line="360" w:lineRule="auto"/>
        <w:rPr>
          <w:rFonts w:ascii="宋体" w:hAnsi="宋体" w:cs="宋体"/>
        </w:rPr>
      </w:pPr>
      <w:r>
        <w:rPr>
          <w:rFonts w:hint="eastAsia" w:ascii="宋体" w:hAnsi="宋体" w:cs="宋体"/>
        </w:rPr>
        <w:t>在此，委托代理人宣布同意如下：</w:t>
      </w:r>
    </w:p>
    <w:p>
      <w:pPr>
        <w:spacing w:line="360" w:lineRule="auto"/>
        <w:ind w:firstLine="420" w:firstLineChars="200"/>
        <w:rPr>
          <w:rFonts w:ascii="宋体" w:hAnsi="宋体" w:cs="宋体"/>
        </w:rPr>
      </w:pPr>
      <w:r>
        <w:rPr>
          <w:rFonts w:hint="eastAsia" w:ascii="宋体" w:hAnsi="宋体" w:cs="宋体"/>
        </w:rPr>
        <w:t>1. 将按竞争性磋商文件的约定履行合同责任和义务；</w:t>
      </w:r>
    </w:p>
    <w:p>
      <w:pPr>
        <w:spacing w:line="360" w:lineRule="auto"/>
        <w:ind w:firstLine="420" w:firstLineChars="200"/>
        <w:rPr>
          <w:rFonts w:ascii="宋体" w:hAnsi="宋体" w:cs="宋体"/>
        </w:rPr>
      </w:pPr>
      <w:r>
        <w:rPr>
          <w:rFonts w:hint="eastAsia" w:ascii="宋体" w:hAnsi="宋体" w:cs="宋体"/>
        </w:rPr>
        <w:t>2. 已详细审查全部竞争性磋商文件，包括</w:t>
      </w:r>
      <w:r>
        <w:rPr>
          <w:rFonts w:hint="eastAsia" w:ascii="宋体" w:hAnsi="宋体" w:cs="宋体"/>
          <w:u w:val="single"/>
        </w:rPr>
        <w:t>（补遗文件）（如果有的话）</w:t>
      </w:r>
      <w:r>
        <w:rPr>
          <w:rFonts w:hint="eastAsia" w:ascii="宋体" w:hAnsi="宋体" w:cs="宋体"/>
        </w:rPr>
        <w:t>；我们完全理解并同意放弃对这方面有不明及误解的权力；</w:t>
      </w:r>
    </w:p>
    <w:p>
      <w:pPr>
        <w:spacing w:line="360" w:lineRule="auto"/>
        <w:ind w:firstLine="420" w:firstLineChars="200"/>
        <w:rPr>
          <w:rFonts w:ascii="宋体" w:hAnsi="宋体" w:cs="宋体"/>
        </w:rPr>
      </w:pPr>
      <w:r>
        <w:rPr>
          <w:rFonts w:hint="eastAsia" w:ascii="宋体" w:hAnsi="宋体" w:cs="宋体"/>
        </w:rPr>
        <w:t>3.响应文件有效期：响应文件递交截止日期后天（日历天）。</w:t>
      </w:r>
    </w:p>
    <w:p>
      <w:pPr>
        <w:spacing w:line="360" w:lineRule="auto"/>
        <w:ind w:firstLine="420" w:firstLineChars="200"/>
        <w:rPr>
          <w:rFonts w:ascii="宋体" w:hAnsi="宋体" w:cs="宋体"/>
        </w:rPr>
      </w:pPr>
      <w:r>
        <w:rPr>
          <w:rFonts w:hint="eastAsia" w:ascii="宋体" w:hAnsi="宋体" w:cs="宋体"/>
        </w:rPr>
        <w:t>4. 同意提供按照贵方可能要求的与其磋商有关的一切数据或资料；</w:t>
      </w:r>
    </w:p>
    <w:p>
      <w:pPr>
        <w:spacing w:line="360" w:lineRule="auto"/>
        <w:ind w:firstLine="420" w:firstLineChars="200"/>
        <w:rPr>
          <w:rFonts w:ascii="宋体" w:hAnsi="宋体" w:cs="宋体"/>
          <w:u w:val="single"/>
        </w:rPr>
      </w:pPr>
      <w:r>
        <w:rPr>
          <w:rFonts w:hint="eastAsia" w:ascii="宋体" w:hAnsi="宋体" w:cs="宋体"/>
        </w:rPr>
        <w:t>5. 与本磋商有关的一切正式往来信函请寄：</w:t>
      </w:r>
    </w:p>
    <w:p>
      <w:pPr>
        <w:spacing w:line="360" w:lineRule="auto"/>
        <w:ind w:firstLine="420" w:firstLineChars="200"/>
        <w:rPr>
          <w:rFonts w:ascii="宋体" w:hAnsi="宋体" w:cs="宋体"/>
          <w:u w:val="single"/>
        </w:rPr>
      </w:pPr>
      <w:r>
        <w:rPr>
          <w:rFonts w:hint="eastAsia" w:ascii="宋体" w:hAnsi="宋体" w:cs="宋体"/>
        </w:rPr>
        <w:t>电话/传真： 电子函件：</w:t>
      </w:r>
    </w:p>
    <w:p>
      <w:pPr>
        <w:spacing w:line="360" w:lineRule="auto"/>
        <w:ind w:firstLine="420" w:firstLineChars="200"/>
        <w:rPr>
          <w:rFonts w:ascii="宋体" w:hAnsi="宋体" w:cs="宋体"/>
          <w:szCs w:val="21"/>
          <w:u w:val="single"/>
        </w:rPr>
      </w:pPr>
      <w:r>
        <w:rPr>
          <w:rFonts w:hint="eastAsia" w:ascii="宋体" w:hAnsi="宋体" w:cs="宋体"/>
        </w:rPr>
        <w:t>开户银行：  帐号/行号：</w:t>
      </w:r>
    </w:p>
    <w:p>
      <w:pPr>
        <w:spacing w:line="360" w:lineRule="auto"/>
        <w:ind w:firstLine="420" w:firstLineChars="200"/>
        <w:rPr>
          <w:rFonts w:ascii="宋体" w:hAnsi="宋体" w:cs="宋体"/>
          <w:u w:val="single"/>
        </w:rPr>
      </w:pPr>
      <w:r>
        <w:rPr>
          <w:rFonts w:hint="eastAsia" w:ascii="宋体" w:hAnsi="宋体" w:cs="宋体"/>
        </w:rPr>
        <w:t>日期：年月日</w:t>
      </w:r>
    </w:p>
    <w:p>
      <w:pPr>
        <w:spacing w:line="360" w:lineRule="auto"/>
        <w:ind w:firstLine="420" w:firstLineChars="200"/>
        <w:rPr>
          <w:rFonts w:ascii="宋体" w:hAnsi="宋体" w:cs="宋体"/>
          <w:u w:val="single"/>
        </w:rPr>
      </w:pPr>
      <w:r>
        <w:rPr>
          <w:rFonts w:hint="eastAsia" w:ascii="宋体" w:hAnsi="宋体" w:cs="宋体"/>
        </w:rPr>
        <w:t>法定代表人或委托代理人（被授权人）签字：</w:t>
      </w:r>
    </w:p>
    <w:p>
      <w:pPr>
        <w:spacing w:line="360" w:lineRule="auto"/>
        <w:ind w:firstLine="420" w:firstLineChars="200"/>
        <w:rPr>
          <w:rFonts w:ascii="宋体" w:hAnsi="宋体" w:cs="宋体"/>
          <w:u w:val="single"/>
        </w:rPr>
      </w:pPr>
      <w:r>
        <w:rPr>
          <w:rFonts w:hint="eastAsia" w:ascii="宋体" w:hAnsi="宋体" w:cs="宋体"/>
        </w:rPr>
        <w:t>磋商供应商名称（签章）：</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jc w:val="left"/>
        <w:rPr>
          <w:rFonts w:ascii="宋体" w:hAnsi="宋体" w:cs="宋体"/>
          <w:b/>
          <w:bCs/>
          <w:szCs w:val="21"/>
        </w:rPr>
      </w:pPr>
      <w:r>
        <w:rPr>
          <w:rFonts w:hint="eastAsia" w:ascii="宋体" w:hAnsi="宋体" w:cs="宋体"/>
          <w:b/>
          <w:bCs/>
          <w:szCs w:val="21"/>
        </w:rPr>
        <w:br w:type="page"/>
      </w:r>
      <w:r>
        <w:rPr>
          <w:rFonts w:hint="eastAsia" w:ascii="宋体" w:hAnsi="宋体" w:cs="宋体"/>
          <w:b/>
          <w:bCs/>
          <w:szCs w:val="21"/>
        </w:rPr>
        <w:t xml:space="preserve">附件三 </w:t>
      </w:r>
    </w:p>
    <w:p>
      <w:pPr>
        <w:spacing w:line="400" w:lineRule="exact"/>
        <w:jc w:val="center"/>
        <w:rPr>
          <w:rFonts w:ascii="宋体" w:hAnsi="宋体" w:cs="宋体"/>
          <w:b/>
          <w:szCs w:val="21"/>
        </w:rPr>
      </w:pPr>
    </w:p>
    <w:p>
      <w:pPr>
        <w:spacing w:line="300" w:lineRule="auto"/>
        <w:jc w:val="center"/>
        <w:rPr>
          <w:rFonts w:ascii="宋体" w:hAnsi="宋体" w:cs="宋体"/>
          <w:b/>
          <w:sz w:val="32"/>
          <w:szCs w:val="32"/>
        </w:rPr>
      </w:pPr>
      <w:r>
        <w:rPr>
          <w:rFonts w:hint="eastAsia" w:ascii="宋体" w:hAnsi="宋体" w:cs="宋体"/>
          <w:b/>
          <w:sz w:val="32"/>
          <w:szCs w:val="32"/>
        </w:rPr>
        <w:t>商务、服务（技术）响应及偏离情况说明表</w:t>
      </w:r>
    </w:p>
    <w:p>
      <w:pPr>
        <w:spacing w:line="300" w:lineRule="auto"/>
        <w:rPr>
          <w:rFonts w:ascii="宋体" w:hAnsi="宋体" w:cs="宋体"/>
          <w:szCs w:val="21"/>
        </w:rPr>
      </w:pPr>
    </w:p>
    <w:p>
      <w:pPr>
        <w:spacing w:afterLines="50" w:line="360" w:lineRule="auto"/>
        <w:rPr>
          <w:rFonts w:ascii="宋体" w:hAnsi="宋体" w:cs="宋体"/>
          <w:szCs w:val="21"/>
          <w:u w:val="single"/>
        </w:rPr>
      </w:pPr>
      <w:r>
        <w:rPr>
          <w:rFonts w:hint="eastAsia" w:ascii="宋体" w:hAnsi="宋体" w:cs="宋体"/>
          <w:szCs w:val="21"/>
        </w:rPr>
        <w:t>项目名称:</w:t>
      </w:r>
    </w:p>
    <w:p>
      <w:pPr>
        <w:spacing w:line="360" w:lineRule="auto"/>
        <w:rPr>
          <w:rFonts w:ascii="宋体" w:hAnsi="宋体" w:cs="宋体"/>
          <w:szCs w:val="21"/>
          <w:u w:val="single"/>
        </w:rPr>
      </w:pPr>
      <w:r>
        <w:rPr>
          <w:rFonts w:hint="eastAsia" w:ascii="宋体" w:hAnsi="宋体" w:cs="宋体"/>
          <w:szCs w:val="21"/>
        </w:rPr>
        <w:t>项目编号:</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569"/>
        <w:gridCol w:w="2523"/>
        <w:gridCol w:w="2551"/>
        <w:gridCol w:w="1276"/>
        <w:gridCol w:w="8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73" w:name="_Toc2088"/>
            <w:r>
              <w:rPr>
                <w:rFonts w:hint="eastAsia" w:ascii="宋体" w:hAnsi="宋体"/>
                <w:szCs w:val="21"/>
              </w:rPr>
              <w:t>序号</w:t>
            </w:r>
            <w:bookmarkEnd w:id="73"/>
          </w:p>
        </w:tc>
        <w:tc>
          <w:tcPr>
            <w:tcW w:w="1569" w:type="dxa"/>
            <w:vAlign w:val="center"/>
          </w:tcPr>
          <w:p>
            <w:pPr>
              <w:jc w:val="center"/>
              <w:rPr>
                <w:rFonts w:ascii="宋体" w:hAnsi="宋体"/>
                <w:szCs w:val="21"/>
              </w:rPr>
            </w:pPr>
            <w:r>
              <w:rPr>
                <w:rFonts w:hint="eastAsia" w:ascii="宋体" w:hAnsi="宋体"/>
                <w:szCs w:val="21"/>
              </w:rPr>
              <w:t>项目内容</w:t>
            </w:r>
          </w:p>
        </w:tc>
        <w:tc>
          <w:tcPr>
            <w:tcW w:w="2523" w:type="dxa"/>
            <w:vAlign w:val="center"/>
          </w:tcPr>
          <w:p>
            <w:pPr>
              <w:jc w:val="center"/>
              <w:rPr>
                <w:rFonts w:ascii="宋体" w:hAnsi="宋体"/>
                <w:szCs w:val="21"/>
              </w:rPr>
            </w:pPr>
            <w:bookmarkStart w:id="74" w:name="_Toc489544073"/>
            <w:bookmarkStart w:id="75" w:name="_Toc489544238"/>
            <w:bookmarkStart w:id="76" w:name="_Toc4575"/>
            <w:r>
              <w:rPr>
                <w:rFonts w:hint="eastAsia" w:ascii="宋体" w:hAnsi="宋体"/>
                <w:szCs w:val="21"/>
              </w:rPr>
              <w:t>磋商文件要求</w:t>
            </w:r>
            <w:bookmarkEnd w:id="74"/>
            <w:bookmarkEnd w:id="75"/>
            <w:bookmarkEnd w:id="76"/>
          </w:p>
        </w:tc>
        <w:tc>
          <w:tcPr>
            <w:tcW w:w="2551" w:type="dxa"/>
            <w:vAlign w:val="center"/>
          </w:tcPr>
          <w:p>
            <w:pPr>
              <w:jc w:val="center"/>
              <w:rPr>
                <w:rFonts w:ascii="宋体" w:hAnsi="宋体"/>
                <w:szCs w:val="21"/>
              </w:rPr>
            </w:pPr>
            <w:bookmarkStart w:id="77" w:name="_Toc12888"/>
            <w:bookmarkStart w:id="78" w:name="_Toc489544074"/>
            <w:bookmarkStart w:id="79" w:name="_Toc489544239"/>
            <w:r>
              <w:rPr>
                <w:rFonts w:hint="eastAsia" w:ascii="宋体" w:hAnsi="宋体"/>
                <w:szCs w:val="21"/>
              </w:rPr>
              <w:t>磋商响应文件具体响应</w:t>
            </w:r>
            <w:bookmarkEnd w:id="77"/>
            <w:bookmarkEnd w:id="78"/>
            <w:bookmarkEnd w:id="79"/>
          </w:p>
        </w:tc>
        <w:tc>
          <w:tcPr>
            <w:tcW w:w="1276" w:type="dxa"/>
            <w:vAlign w:val="center"/>
          </w:tcPr>
          <w:p>
            <w:pPr>
              <w:jc w:val="center"/>
              <w:rPr>
                <w:rFonts w:ascii="宋体" w:hAnsi="宋体"/>
                <w:szCs w:val="21"/>
              </w:rPr>
            </w:pPr>
            <w:bookmarkStart w:id="80" w:name="_Toc8831"/>
            <w:bookmarkStart w:id="81" w:name="_Toc489544075"/>
            <w:bookmarkStart w:id="82" w:name="_Toc489544240"/>
            <w:r>
              <w:rPr>
                <w:rFonts w:hint="eastAsia" w:ascii="宋体" w:hAnsi="宋体"/>
                <w:szCs w:val="21"/>
              </w:rPr>
              <w:t>响应/偏离</w:t>
            </w:r>
            <w:bookmarkEnd w:id="80"/>
            <w:bookmarkEnd w:id="81"/>
            <w:bookmarkEnd w:id="82"/>
          </w:p>
        </w:tc>
        <w:tc>
          <w:tcPr>
            <w:tcW w:w="873" w:type="dxa"/>
            <w:vAlign w:val="center"/>
          </w:tcPr>
          <w:p>
            <w:pPr>
              <w:jc w:val="center"/>
              <w:rPr>
                <w:rFonts w:ascii="宋体" w:hAnsi="宋体"/>
                <w:szCs w:val="21"/>
              </w:rPr>
            </w:pPr>
            <w:bookmarkStart w:id="83" w:name="_Toc489544241"/>
            <w:bookmarkStart w:id="84" w:name="_Toc173211904"/>
            <w:bookmarkStart w:id="85" w:name="_Toc254970592"/>
            <w:bookmarkStart w:id="86" w:name="_Toc254970733"/>
            <w:bookmarkStart w:id="87" w:name="_Toc173066405"/>
            <w:bookmarkStart w:id="88" w:name="_Toc489544076"/>
            <w:bookmarkStart w:id="89" w:name="_Toc32264"/>
            <w:r>
              <w:rPr>
                <w:rFonts w:hint="eastAsia" w:ascii="宋体" w:hAnsi="宋体"/>
                <w:szCs w:val="21"/>
              </w:rPr>
              <w:t>说明</w:t>
            </w:r>
            <w:bookmarkEnd w:id="83"/>
            <w:bookmarkEnd w:id="84"/>
            <w:bookmarkEnd w:id="85"/>
            <w:bookmarkEnd w:id="86"/>
            <w:bookmarkEnd w:id="87"/>
            <w:bookmarkEnd w:id="88"/>
            <w:bookmarkEnd w:id="8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28" w:type="dxa"/>
            <w:gridSpan w:val="6"/>
            <w:vAlign w:val="center"/>
          </w:tcPr>
          <w:p>
            <w:pPr>
              <w:jc w:val="center"/>
              <w:rPr>
                <w:rFonts w:ascii="宋体" w:hAnsi="宋体"/>
                <w:szCs w:val="21"/>
              </w:rPr>
            </w:pPr>
            <w:bookmarkStart w:id="90" w:name="_Toc489544242"/>
            <w:bookmarkStart w:id="91" w:name="_Toc489544077"/>
            <w:bookmarkStart w:id="92" w:name="_Toc17760"/>
            <w:r>
              <w:rPr>
                <w:rFonts w:hint="eastAsia" w:ascii="宋体" w:hAnsi="宋体"/>
                <w:szCs w:val="21"/>
              </w:rPr>
              <w:t>商务部分</w:t>
            </w:r>
            <w:bookmarkEnd w:id="90"/>
            <w:bookmarkEnd w:id="91"/>
            <w:bookmarkEnd w:id="9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93" w:name="_Toc1966"/>
            <w:bookmarkStart w:id="94" w:name="_Toc489544078"/>
            <w:bookmarkStart w:id="95" w:name="_Toc489544243"/>
            <w:r>
              <w:rPr>
                <w:rFonts w:hint="eastAsia" w:ascii="宋体" w:hAnsi="宋体"/>
                <w:szCs w:val="21"/>
              </w:rPr>
              <w:t>1</w:t>
            </w:r>
            <w:bookmarkEnd w:id="93"/>
            <w:bookmarkEnd w:id="94"/>
            <w:bookmarkEnd w:id="95"/>
          </w:p>
        </w:tc>
        <w:tc>
          <w:tcPr>
            <w:tcW w:w="1569" w:type="dxa"/>
            <w:vAlign w:val="center"/>
          </w:tcPr>
          <w:p>
            <w:pPr>
              <w:snapToGrid w:val="0"/>
              <w:jc w:val="center"/>
              <w:rPr>
                <w:rFonts w:ascii="宋体" w:hAnsi="宋体"/>
                <w:szCs w:val="21"/>
              </w:rPr>
            </w:pPr>
            <w:r>
              <w:rPr>
                <w:rFonts w:ascii="宋体" w:hAnsi="宋体"/>
                <w:kern w:val="0"/>
                <w:szCs w:val="21"/>
              </w:rPr>
              <w:t>主要成果要求</w:t>
            </w: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96" w:name="_Toc489544079"/>
            <w:bookmarkStart w:id="97" w:name="_Toc489544244"/>
            <w:bookmarkStart w:id="98" w:name="_Toc17717"/>
            <w:r>
              <w:rPr>
                <w:rFonts w:hint="eastAsia" w:ascii="宋体" w:hAnsi="宋体"/>
                <w:szCs w:val="21"/>
              </w:rPr>
              <w:t>2</w:t>
            </w:r>
            <w:bookmarkEnd w:id="96"/>
            <w:bookmarkEnd w:id="97"/>
            <w:bookmarkEnd w:id="98"/>
          </w:p>
        </w:tc>
        <w:tc>
          <w:tcPr>
            <w:tcW w:w="1569" w:type="dxa"/>
            <w:vAlign w:val="center"/>
          </w:tcPr>
          <w:p>
            <w:pPr>
              <w:snapToGrid w:val="0"/>
              <w:jc w:val="center"/>
              <w:rPr>
                <w:rFonts w:ascii="宋体" w:hAnsi="宋体"/>
                <w:szCs w:val="21"/>
              </w:rPr>
            </w:pPr>
            <w:r>
              <w:rPr>
                <w:rFonts w:ascii="宋体" w:hAnsi="宋体"/>
                <w:kern w:val="0"/>
                <w:szCs w:val="21"/>
              </w:rPr>
              <w:t>提交服务成果时间及地点</w:t>
            </w: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99" w:name="_Toc489544080"/>
            <w:bookmarkStart w:id="100" w:name="_Toc22265"/>
            <w:bookmarkStart w:id="101" w:name="_Toc489544245"/>
            <w:r>
              <w:rPr>
                <w:rFonts w:hint="eastAsia" w:ascii="宋体" w:hAnsi="宋体"/>
                <w:szCs w:val="21"/>
              </w:rPr>
              <w:t>3</w:t>
            </w:r>
            <w:bookmarkEnd w:id="99"/>
            <w:bookmarkEnd w:id="100"/>
            <w:bookmarkEnd w:id="101"/>
          </w:p>
        </w:tc>
        <w:tc>
          <w:tcPr>
            <w:tcW w:w="1569" w:type="dxa"/>
            <w:vAlign w:val="center"/>
          </w:tcPr>
          <w:p>
            <w:pPr>
              <w:snapToGrid w:val="0"/>
              <w:jc w:val="center"/>
              <w:rPr>
                <w:rFonts w:ascii="宋体" w:hAnsi="宋体"/>
                <w:szCs w:val="21"/>
              </w:rPr>
            </w:pPr>
            <w:r>
              <w:rPr>
                <w:rFonts w:ascii="宋体" w:hAnsi="宋体"/>
                <w:kern w:val="0"/>
                <w:szCs w:val="21"/>
              </w:rPr>
              <w:t>投标报价要求</w:t>
            </w: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r>
              <w:rPr>
                <w:rFonts w:hint="eastAsia" w:ascii="宋体" w:hAnsi="宋体"/>
                <w:szCs w:val="21"/>
              </w:rPr>
              <w:t>4</w:t>
            </w:r>
          </w:p>
        </w:tc>
        <w:tc>
          <w:tcPr>
            <w:tcW w:w="1569" w:type="dxa"/>
            <w:vAlign w:val="center"/>
          </w:tcPr>
          <w:p>
            <w:pPr>
              <w:snapToGrid w:val="0"/>
              <w:jc w:val="center"/>
              <w:rPr>
                <w:rFonts w:ascii="宋体" w:hAnsi="宋体"/>
                <w:szCs w:val="21"/>
              </w:rPr>
            </w:pPr>
            <w:r>
              <w:rPr>
                <w:rFonts w:ascii="宋体" w:hAnsi="宋体"/>
                <w:kern w:val="0"/>
                <w:szCs w:val="21"/>
              </w:rPr>
              <w:t>付款方式</w:t>
            </w: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r>
              <w:rPr>
                <w:rFonts w:hint="eastAsia" w:ascii="宋体" w:hAnsi="宋体"/>
                <w:szCs w:val="21"/>
              </w:rPr>
              <w:t>5</w:t>
            </w:r>
          </w:p>
        </w:tc>
        <w:tc>
          <w:tcPr>
            <w:tcW w:w="1569" w:type="dxa"/>
            <w:vAlign w:val="center"/>
          </w:tcPr>
          <w:p>
            <w:pPr>
              <w:snapToGrid w:val="0"/>
              <w:jc w:val="center"/>
              <w:rPr>
                <w:rFonts w:ascii="宋体" w:hAnsi="宋体"/>
                <w:szCs w:val="21"/>
              </w:rPr>
            </w:pPr>
            <w:r>
              <w:rPr>
                <w:rFonts w:ascii="宋体" w:hAnsi="宋体"/>
                <w:kern w:val="0"/>
                <w:szCs w:val="21"/>
              </w:rPr>
              <w:t>知识产权</w:t>
            </w: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02" w:name="_Toc489544081"/>
            <w:bookmarkStart w:id="103" w:name="_Toc489544246"/>
            <w:bookmarkStart w:id="104" w:name="_Toc31635"/>
            <w:r>
              <w:rPr>
                <w:rFonts w:hint="eastAsia" w:ascii="宋体" w:hAnsi="宋体"/>
                <w:szCs w:val="21"/>
              </w:rPr>
              <w:t>…</w:t>
            </w:r>
            <w:bookmarkEnd w:id="102"/>
            <w:bookmarkEnd w:id="103"/>
            <w:bookmarkEnd w:id="104"/>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28" w:type="dxa"/>
            <w:gridSpan w:val="6"/>
            <w:vAlign w:val="center"/>
          </w:tcPr>
          <w:p>
            <w:pPr>
              <w:jc w:val="center"/>
              <w:rPr>
                <w:rFonts w:ascii="宋体" w:hAnsi="宋体"/>
                <w:szCs w:val="21"/>
              </w:rPr>
            </w:pPr>
            <w:bookmarkStart w:id="105" w:name="_Toc489544247"/>
            <w:bookmarkStart w:id="106" w:name="_Toc5450"/>
            <w:bookmarkStart w:id="107" w:name="_Toc489544082"/>
            <w:r>
              <w:rPr>
                <w:rFonts w:hint="eastAsia" w:ascii="宋体" w:hAnsi="宋体" w:cs="宋体"/>
                <w:szCs w:val="21"/>
              </w:rPr>
              <w:t>服务（技术）</w:t>
            </w:r>
            <w:r>
              <w:rPr>
                <w:rFonts w:hint="eastAsia" w:ascii="宋体" w:hAnsi="宋体"/>
                <w:szCs w:val="21"/>
              </w:rPr>
              <w:t>部分</w:t>
            </w:r>
            <w:bookmarkEnd w:id="105"/>
            <w:bookmarkEnd w:id="106"/>
            <w:bookmarkEnd w:id="10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08" w:name="_Toc489544248"/>
            <w:bookmarkStart w:id="109" w:name="_Toc489544083"/>
            <w:bookmarkStart w:id="110" w:name="_Toc12804"/>
            <w:r>
              <w:rPr>
                <w:rFonts w:hint="eastAsia" w:ascii="宋体" w:hAnsi="宋体"/>
                <w:szCs w:val="21"/>
              </w:rPr>
              <w:t>1</w:t>
            </w:r>
            <w:bookmarkEnd w:id="108"/>
            <w:bookmarkEnd w:id="109"/>
            <w:bookmarkEnd w:id="110"/>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color w:val="FF0000"/>
                <w:szCs w:val="21"/>
              </w:rPr>
            </w:pPr>
          </w:p>
        </w:tc>
        <w:tc>
          <w:tcPr>
            <w:tcW w:w="1276" w:type="dxa"/>
            <w:vAlign w:val="center"/>
          </w:tcPr>
          <w:p>
            <w:pPr>
              <w:jc w:val="center"/>
              <w:rPr>
                <w:rFonts w:ascii="宋体" w:hAnsi="宋体"/>
                <w:color w:val="FF0000"/>
                <w:szCs w:val="21"/>
              </w:rPr>
            </w:pPr>
          </w:p>
        </w:tc>
        <w:tc>
          <w:tcPr>
            <w:tcW w:w="873"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11" w:name="_Toc489544084"/>
            <w:bookmarkStart w:id="112" w:name="_Toc489544249"/>
            <w:bookmarkStart w:id="113" w:name="_Toc23782"/>
            <w:r>
              <w:rPr>
                <w:rFonts w:hint="eastAsia" w:ascii="宋体" w:hAnsi="宋体"/>
                <w:szCs w:val="21"/>
              </w:rPr>
              <w:t>2</w:t>
            </w:r>
            <w:bookmarkEnd w:id="111"/>
            <w:bookmarkEnd w:id="112"/>
            <w:bookmarkEnd w:id="113"/>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color w:val="FF0000"/>
                <w:szCs w:val="21"/>
              </w:rPr>
            </w:pPr>
          </w:p>
        </w:tc>
        <w:tc>
          <w:tcPr>
            <w:tcW w:w="1276" w:type="dxa"/>
            <w:vAlign w:val="center"/>
          </w:tcPr>
          <w:p>
            <w:pPr>
              <w:jc w:val="center"/>
              <w:rPr>
                <w:rFonts w:ascii="宋体" w:hAnsi="宋体"/>
                <w:color w:val="FF0000"/>
                <w:szCs w:val="21"/>
              </w:rPr>
            </w:pPr>
          </w:p>
        </w:tc>
        <w:tc>
          <w:tcPr>
            <w:tcW w:w="873"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14" w:name="_Toc489544085"/>
            <w:bookmarkStart w:id="115" w:name="_Toc489544250"/>
            <w:bookmarkStart w:id="116" w:name="_Toc23808"/>
            <w:r>
              <w:rPr>
                <w:rFonts w:hint="eastAsia" w:ascii="宋体" w:hAnsi="宋体"/>
                <w:szCs w:val="21"/>
              </w:rPr>
              <w:t>3</w:t>
            </w:r>
            <w:bookmarkEnd w:id="114"/>
            <w:bookmarkEnd w:id="115"/>
            <w:bookmarkEnd w:id="116"/>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color w:val="FF0000"/>
                <w:szCs w:val="21"/>
              </w:rPr>
            </w:pPr>
          </w:p>
        </w:tc>
        <w:tc>
          <w:tcPr>
            <w:tcW w:w="1276" w:type="dxa"/>
            <w:vAlign w:val="center"/>
          </w:tcPr>
          <w:p>
            <w:pPr>
              <w:jc w:val="center"/>
              <w:rPr>
                <w:rFonts w:ascii="宋体" w:hAnsi="宋体"/>
                <w:color w:val="FF0000"/>
                <w:szCs w:val="21"/>
              </w:rPr>
            </w:pPr>
          </w:p>
        </w:tc>
        <w:tc>
          <w:tcPr>
            <w:tcW w:w="873"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6" w:type="dxa"/>
            <w:vAlign w:val="center"/>
          </w:tcPr>
          <w:p>
            <w:pPr>
              <w:jc w:val="center"/>
              <w:rPr>
                <w:rFonts w:ascii="宋体" w:hAnsi="宋体"/>
                <w:color w:val="FF0000"/>
                <w:szCs w:val="21"/>
              </w:rPr>
            </w:pPr>
            <w:bookmarkStart w:id="117" w:name="_Toc489544251"/>
            <w:bookmarkStart w:id="118" w:name="_Toc3747"/>
            <w:bookmarkStart w:id="119" w:name="_Toc489544086"/>
            <w:r>
              <w:rPr>
                <w:rFonts w:hint="eastAsia" w:ascii="宋体" w:hAnsi="宋体"/>
                <w:color w:val="FF0000"/>
                <w:szCs w:val="21"/>
              </w:rPr>
              <w:t>…</w:t>
            </w:r>
            <w:bookmarkEnd w:id="117"/>
            <w:bookmarkEnd w:id="118"/>
            <w:bookmarkEnd w:id="119"/>
          </w:p>
        </w:tc>
        <w:tc>
          <w:tcPr>
            <w:tcW w:w="1569" w:type="dxa"/>
            <w:vAlign w:val="center"/>
          </w:tcPr>
          <w:p>
            <w:pPr>
              <w:jc w:val="center"/>
              <w:rPr>
                <w:rFonts w:ascii="宋体" w:hAnsi="宋体"/>
                <w:color w:val="FF0000"/>
                <w:szCs w:val="21"/>
              </w:rPr>
            </w:pPr>
          </w:p>
        </w:tc>
        <w:tc>
          <w:tcPr>
            <w:tcW w:w="2523" w:type="dxa"/>
            <w:vAlign w:val="center"/>
          </w:tcPr>
          <w:p>
            <w:pPr>
              <w:jc w:val="center"/>
              <w:rPr>
                <w:rFonts w:ascii="宋体" w:hAnsi="宋体"/>
                <w:color w:val="FF0000"/>
                <w:szCs w:val="21"/>
              </w:rPr>
            </w:pPr>
          </w:p>
        </w:tc>
        <w:tc>
          <w:tcPr>
            <w:tcW w:w="2551" w:type="dxa"/>
            <w:vAlign w:val="center"/>
          </w:tcPr>
          <w:p>
            <w:pPr>
              <w:jc w:val="center"/>
              <w:rPr>
                <w:rFonts w:ascii="宋体" w:hAnsi="宋体"/>
                <w:color w:val="FF0000"/>
                <w:szCs w:val="21"/>
              </w:rPr>
            </w:pPr>
          </w:p>
        </w:tc>
        <w:tc>
          <w:tcPr>
            <w:tcW w:w="1276" w:type="dxa"/>
            <w:tcBorders>
              <w:right w:val="single" w:color="auto" w:sz="4" w:space="0"/>
            </w:tcBorders>
            <w:vAlign w:val="center"/>
          </w:tcPr>
          <w:p>
            <w:pPr>
              <w:jc w:val="center"/>
              <w:rPr>
                <w:rFonts w:ascii="宋体" w:hAnsi="宋体"/>
                <w:color w:val="FF0000"/>
                <w:szCs w:val="21"/>
              </w:rPr>
            </w:pPr>
          </w:p>
        </w:tc>
        <w:tc>
          <w:tcPr>
            <w:tcW w:w="873" w:type="dxa"/>
            <w:tcBorders>
              <w:left w:val="single" w:color="auto" w:sz="4" w:space="0"/>
            </w:tcBorders>
            <w:vAlign w:val="center"/>
          </w:tcPr>
          <w:p>
            <w:pPr>
              <w:jc w:val="center"/>
              <w:rPr>
                <w:rFonts w:ascii="宋体" w:hAnsi="宋体"/>
                <w:color w:val="FF0000"/>
                <w:szCs w:val="21"/>
              </w:rPr>
            </w:pPr>
          </w:p>
        </w:tc>
      </w:tr>
    </w:tbl>
    <w:p>
      <w:pPr>
        <w:adjustRightInd w:val="0"/>
        <w:snapToGrid w:val="0"/>
        <w:spacing w:beforeLines="50" w:line="360" w:lineRule="auto"/>
        <w:rPr>
          <w:rFonts w:ascii="宋体" w:hAnsi="宋体" w:cs="宋体"/>
          <w:szCs w:val="21"/>
        </w:rPr>
      </w:pPr>
      <w:r>
        <w:rPr>
          <w:rFonts w:hint="eastAsia" w:ascii="宋体" w:hAnsi="宋体" w:cs="宋体"/>
          <w:szCs w:val="21"/>
        </w:rPr>
        <w:t>说明：1、应写明竞争性磋商响应文件对商务与服务（技术）要求的响应和偏离情况</w:t>
      </w:r>
      <w:r>
        <w:rPr>
          <w:rFonts w:hint="eastAsia" w:ascii="宋体" w:hAnsi="宋体" w:cs="宋体"/>
          <w:bCs/>
          <w:szCs w:val="21"/>
        </w:rPr>
        <w:t>；</w:t>
      </w:r>
    </w:p>
    <w:p>
      <w:pPr>
        <w:spacing w:line="360" w:lineRule="auto"/>
        <w:ind w:firstLine="630" w:firstLineChars="300"/>
        <w:rPr>
          <w:rFonts w:ascii="宋体" w:hAnsi="宋体" w:cs="宋体"/>
          <w:szCs w:val="21"/>
        </w:rPr>
      </w:pPr>
      <w:r>
        <w:rPr>
          <w:rFonts w:hint="eastAsia" w:ascii="宋体" w:hAnsi="宋体" w:cs="宋体"/>
          <w:szCs w:val="21"/>
        </w:rPr>
        <w:t>2、应对照竞争性磋商文件“第三章  项目需求”，逐条说明所提供服务已对竞争性磋商文件的商务、服务（技术）要求做出了实质性的响应，并申明与采购项目要求的响应和偏离。</w:t>
      </w:r>
    </w:p>
    <w:p>
      <w:pPr>
        <w:spacing w:line="360" w:lineRule="auto"/>
        <w:rPr>
          <w:rFonts w:ascii="宋体" w:hAnsi="宋体" w:cs="宋体"/>
          <w:szCs w:val="21"/>
        </w:rPr>
      </w:pPr>
    </w:p>
    <w:p>
      <w:pPr>
        <w:pStyle w:val="6"/>
        <w:spacing w:before="0" w:after="0" w:line="360" w:lineRule="auto"/>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pacing w:line="360" w:lineRule="auto"/>
        <w:jc w:val="left"/>
        <w:rPr>
          <w:rFonts w:ascii="宋体" w:hAnsi="宋体"/>
          <w:szCs w:val="21"/>
        </w:rPr>
      </w:pPr>
      <w:r>
        <w:rPr>
          <w:rFonts w:hint="eastAsia" w:ascii="宋体" w:hAnsi="宋体"/>
          <w:szCs w:val="21"/>
        </w:rPr>
        <w:t>磋商供应商名称（公章）：</w:t>
      </w:r>
    </w:p>
    <w:p>
      <w:pPr>
        <w:spacing w:line="360" w:lineRule="auto"/>
        <w:jc w:val="left"/>
        <w:rPr>
          <w:rFonts w:ascii="宋体" w:hAnsi="宋体"/>
          <w:szCs w:val="21"/>
        </w:rPr>
      </w:pPr>
      <w:r>
        <w:rPr>
          <w:rFonts w:hint="eastAsia" w:ascii="宋体" w:hAnsi="宋体"/>
          <w:szCs w:val="21"/>
        </w:rPr>
        <w:t xml:space="preserve">日期: 年月日 </w:t>
      </w:r>
    </w:p>
    <w:p>
      <w:pPr>
        <w:spacing w:line="360" w:lineRule="auto"/>
        <w:jc w:val="left"/>
        <w:rPr>
          <w:rFonts w:ascii="宋体" w:hAnsi="宋体"/>
          <w:szCs w:val="21"/>
        </w:rPr>
      </w:pPr>
    </w:p>
    <w:p>
      <w:pPr>
        <w:spacing w:line="300" w:lineRule="auto"/>
        <w:rPr>
          <w:rFonts w:ascii="宋体" w:hAnsi="宋体" w:cs="宋体"/>
          <w:szCs w:val="21"/>
        </w:rPr>
      </w:pPr>
    </w:p>
    <w:p>
      <w:pPr>
        <w:spacing w:line="30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附件四</w:t>
      </w:r>
    </w:p>
    <w:p>
      <w:pPr>
        <w:adjustRightInd w:val="0"/>
        <w:snapToGrid w:val="0"/>
        <w:spacing w:line="300" w:lineRule="auto"/>
        <w:jc w:val="center"/>
        <w:rPr>
          <w:rFonts w:ascii="宋体" w:hAnsi="宋体" w:cs="宋体"/>
          <w:b/>
          <w:sz w:val="32"/>
          <w:szCs w:val="32"/>
        </w:rPr>
      </w:pPr>
      <w:r>
        <w:rPr>
          <w:rFonts w:hint="eastAsia" w:ascii="宋体" w:hAnsi="宋体" w:cs="宋体"/>
          <w:b/>
          <w:sz w:val="32"/>
          <w:szCs w:val="32"/>
        </w:rPr>
        <w:t>法定代表人授权委托书</w:t>
      </w:r>
    </w:p>
    <w:p>
      <w:pPr>
        <w:autoSpaceDE w:val="0"/>
        <w:autoSpaceDN w:val="0"/>
        <w:adjustRightInd w:val="0"/>
        <w:snapToGrid w:val="0"/>
        <w:spacing w:line="480" w:lineRule="exact"/>
        <w:textAlignment w:val="top"/>
        <w:rPr>
          <w:rFonts w:ascii="宋体" w:hAnsi="宋体" w:cs="宋体"/>
          <w:kern w:val="0"/>
          <w:szCs w:val="21"/>
          <w:u w:val="single"/>
        </w:rPr>
      </w:pPr>
    </w:p>
    <w:p>
      <w:pPr>
        <w:autoSpaceDE w:val="0"/>
        <w:autoSpaceDN w:val="0"/>
        <w:adjustRightInd w:val="0"/>
        <w:snapToGrid w:val="0"/>
        <w:spacing w:line="360" w:lineRule="auto"/>
        <w:textAlignment w:val="top"/>
        <w:rPr>
          <w:rFonts w:ascii="宋体" w:hAnsi="宋体" w:cs="宋体"/>
          <w:kern w:val="0"/>
          <w:szCs w:val="21"/>
          <w:u w:val="single"/>
        </w:rPr>
      </w:pPr>
      <w:r>
        <w:rPr>
          <w:rFonts w:hint="eastAsia" w:ascii="宋体" w:hAnsi="宋体" w:cs="宋体"/>
          <w:kern w:val="0"/>
          <w:szCs w:val="21"/>
          <w:u w:val="single"/>
        </w:rPr>
        <w:t>（采购代理机构)：</w:t>
      </w:r>
    </w:p>
    <w:p>
      <w:pPr>
        <w:autoSpaceDE w:val="0"/>
        <w:autoSpaceDN w:val="0"/>
        <w:adjustRightInd w:val="0"/>
        <w:snapToGrid w:val="0"/>
        <w:spacing w:line="360" w:lineRule="auto"/>
        <w:ind w:firstLine="420" w:firstLineChars="200"/>
        <w:textAlignment w:val="top"/>
        <w:rPr>
          <w:rFonts w:ascii="宋体" w:hAnsi="宋体" w:cs="宋体"/>
          <w:kern w:val="0"/>
          <w:szCs w:val="21"/>
          <w:u w:val="single"/>
        </w:rPr>
      </w:pPr>
      <w:r>
        <w:rPr>
          <w:rFonts w:hint="eastAsia" w:ascii="宋体" w:hAnsi="宋体" w:cs="宋体"/>
          <w:kern w:val="0"/>
          <w:szCs w:val="21"/>
        </w:rPr>
        <w:t>兹授权同志为我公司参加贵单位组织的</w:t>
      </w:r>
      <w:r>
        <w:rPr>
          <w:rFonts w:hint="eastAsia" w:ascii="宋体" w:hAnsi="宋体" w:cs="宋体"/>
          <w:kern w:val="0"/>
          <w:szCs w:val="21"/>
          <w:u w:val="single"/>
        </w:rPr>
        <w:t>（项目名称、项目编号）</w:t>
      </w:r>
      <w:r>
        <w:rPr>
          <w:rFonts w:hint="eastAsia" w:ascii="宋体" w:hAnsi="宋体" w:cs="宋体"/>
          <w:kern w:val="0"/>
          <w:szCs w:val="21"/>
        </w:rPr>
        <w:t>竞争性磋商采购活动的委托代理人，全权代表我公司处理在该项目活动中的一切事宜。代理期限从年月日起至年月日至。</w:t>
      </w:r>
    </w:p>
    <w:p>
      <w:pPr>
        <w:autoSpaceDE w:val="0"/>
        <w:autoSpaceDN w:val="0"/>
        <w:adjustRightInd w:val="0"/>
        <w:snapToGrid w:val="0"/>
        <w:spacing w:line="360" w:lineRule="auto"/>
        <w:jc w:val="left"/>
        <w:textAlignment w:val="top"/>
        <w:rPr>
          <w:rFonts w:ascii="宋体" w:hAnsi="宋体" w:cs="宋体"/>
          <w:kern w:val="0"/>
          <w:szCs w:val="21"/>
        </w:rPr>
      </w:pPr>
    </w:p>
    <w:p>
      <w:pPr>
        <w:autoSpaceDE w:val="0"/>
        <w:autoSpaceDN w:val="0"/>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代理人：      性别：    年龄：</w:t>
      </w:r>
    </w:p>
    <w:p>
      <w:pPr>
        <w:autoSpaceDE w:val="0"/>
        <w:autoSpaceDN w:val="0"/>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单  位：     部门：    职务：</w:t>
      </w:r>
    </w:p>
    <w:p>
      <w:pPr>
        <w:spacing w:line="360" w:lineRule="auto"/>
        <w:textAlignment w:val="top"/>
        <w:rPr>
          <w:rFonts w:ascii="宋体" w:hAnsi="宋体" w:cs="宋体"/>
          <w:szCs w:val="21"/>
          <w:u w:val="single"/>
        </w:rPr>
      </w:pPr>
      <w:r>
        <w:rPr>
          <w:rFonts w:hint="eastAsia" w:ascii="宋体" w:hAnsi="宋体" w:cs="宋体"/>
          <w:szCs w:val="21"/>
        </w:rPr>
        <w:t>身份证号码：    联系电话：</w:t>
      </w:r>
    </w:p>
    <w:p>
      <w:pPr>
        <w:spacing w:line="360" w:lineRule="auto"/>
        <w:rPr>
          <w:rFonts w:ascii="宋体" w:hAnsi="宋体" w:cs="宋体"/>
          <w:szCs w:val="21"/>
          <w:u w:val="single"/>
        </w:rPr>
      </w:pPr>
      <w:r>
        <w:rPr>
          <w:rFonts w:hint="eastAsia" w:ascii="宋体" w:hAnsi="宋体" w:cs="宋体"/>
          <w:szCs w:val="21"/>
        </w:rPr>
        <w:t>磋商供应商：（盖章）</w:t>
      </w:r>
    </w:p>
    <w:p>
      <w:pPr>
        <w:spacing w:line="360" w:lineRule="auto"/>
        <w:rPr>
          <w:rFonts w:ascii="宋体" w:hAnsi="宋体" w:cs="宋体"/>
          <w:szCs w:val="21"/>
          <w:u w:val="single"/>
        </w:rPr>
      </w:pPr>
      <w:r>
        <w:rPr>
          <w:rFonts w:hint="eastAsia" w:ascii="宋体" w:hAnsi="宋体" w:cs="宋体"/>
          <w:szCs w:val="21"/>
        </w:rPr>
        <w:t>法定代表人：（签字）</w:t>
      </w:r>
    </w:p>
    <w:p>
      <w:pPr>
        <w:spacing w:line="360" w:lineRule="auto"/>
        <w:rPr>
          <w:rFonts w:ascii="宋体" w:hAnsi="宋体" w:cs="宋体"/>
          <w:szCs w:val="21"/>
        </w:rPr>
      </w:pPr>
      <w:r>
        <w:rPr>
          <w:rFonts w:hint="eastAsia" w:ascii="宋体" w:hAnsi="宋体" w:cs="宋体"/>
          <w:szCs w:val="21"/>
        </w:rPr>
        <w:t>代理人：（签字）</w:t>
      </w:r>
    </w:p>
    <w:p>
      <w:pPr>
        <w:autoSpaceDE w:val="0"/>
        <w:autoSpaceDN w:val="0"/>
        <w:adjustRightInd w:val="0"/>
        <w:snapToGrid w:val="0"/>
        <w:spacing w:line="360" w:lineRule="auto"/>
        <w:jc w:val="left"/>
        <w:textAlignment w:val="top"/>
        <w:rPr>
          <w:rFonts w:ascii="宋体" w:hAnsi="宋体" w:cs="宋体"/>
          <w:kern w:val="0"/>
          <w:szCs w:val="21"/>
        </w:rPr>
      </w:pPr>
    </w:p>
    <w:p>
      <w:pPr>
        <w:autoSpaceDE w:val="0"/>
        <w:autoSpaceDN w:val="0"/>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签发日期：年月日</w:t>
      </w:r>
    </w:p>
    <w:p>
      <w:pPr>
        <w:autoSpaceDE w:val="0"/>
        <w:autoSpaceDN w:val="0"/>
        <w:adjustRightInd w:val="0"/>
        <w:snapToGrid w:val="0"/>
        <w:spacing w:line="360" w:lineRule="auto"/>
        <w:jc w:val="left"/>
        <w:textAlignment w:val="top"/>
        <w:rPr>
          <w:rFonts w:ascii="宋体" w:hAnsi="宋体" w:cs="宋体"/>
          <w:b/>
          <w:bCs/>
          <w:kern w:val="0"/>
          <w:szCs w:val="21"/>
        </w:rPr>
      </w:pPr>
    </w:p>
    <w:p>
      <w:pPr>
        <w:autoSpaceDE w:val="0"/>
        <w:autoSpaceDN w:val="0"/>
        <w:adjustRightInd w:val="0"/>
        <w:snapToGrid w:val="0"/>
        <w:spacing w:line="360" w:lineRule="auto"/>
        <w:jc w:val="left"/>
        <w:textAlignment w:val="top"/>
        <w:rPr>
          <w:rFonts w:ascii="宋体" w:hAnsi="宋体" w:cs="宋体"/>
          <w:szCs w:val="21"/>
        </w:rPr>
      </w:pPr>
      <w:r>
        <w:rPr>
          <w:rFonts w:hint="eastAsia" w:ascii="宋体" w:hAnsi="宋体" w:cs="宋体"/>
          <w:b/>
          <w:bCs/>
          <w:kern w:val="0"/>
          <w:szCs w:val="21"/>
        </w:rPr>
        <w:t>附：代理人身份证复印件</w:t>
      </w:r>
    </w:p>
    <w:p>
      <w:pPr>
        <w:spacing w:line="360" w:lineRule="auto"/>
        <w:ind w:firstLine="420"/>
        <w:textAlignment w:val="top"/>
        <w:rPr>
          <w:rFonts w:ascii="宋体" w:hAnsi="宋体" w:cs="宋体"/>
          <w:szCs w:val="21"/>
        </w:rPr>
      </w:pPr>
    </w:p>
    <w:p>
      <w:pPr>
        <w:spacing w:line="360" w:lineRule="auto"/>
        <w:ind w:firstLine="420"/>
        <w:textAlignment w:val="top"/>
        <w:rPr>
          <w:rFonts w:ascii="宋体" w:hAnsi="宋体" w:cs="宋体"/>
          <w:szCs w:val="21"/>
        </w:rPr>
      </w:pPr>
      <w:r>
        <w:rPr>
          <w:rFonts w:hint="eastAsia" w:ascii="宋体" w:hAnsi="宋体" w:cs="宋体"/>
          <w:szCs w:val="21"/>
        </w:rPr>
        <w:t>说明：</w:t>
      </w:r>
    </w:p>
    <w:p>
      <w:pPr>
        <w:spacing w:line="360" w:lineRule="auto"/>
        <w:jc w:val="left"/>
        <w:textAlignment w:val="top"/>
        <w:rPr>
          <w:rFonts w:ascii="宋体" w:hAnsi="宋体" w:cs="宋体"/>
          <w:szCs w:val="21"/>
        </w:rPr>
      </w:pPr>
      <w:r>
        <w:rPr>
          <w:rFonts w:hint="eastAsia" w:ascii="宋体" w:hAnsi="宋体" w:cs="宋体"/>
          <w:szCs w:val="21"/>
        </w:rPr>
        <w:t>1．委托书必须按规定格式及内容填写，文字要工整清楚。</w:t>
      </w:r>
    </w:p>
    <w:p>
      <w:pPr>
        <w:spacing w:line="360" w:lineRule="auto"/>
        <w:jc w:val="left"/>
        <w:textAlignment w:val="top"/>
        <w:rPr>
          <w:rFonts w:ascii="宋体" w:hAnsi="宋体" w:cs="宋体"/>
          <w:szCs w:val="21"/>
        </w:rPr>
      </w:pPr>
      <w:r>
        <w:rPr>
          <w:rFonts w:hint="eastAsia" w:ascii="宋体" w:hAnsi="宋体" w:cs="宋体"/>
          <w:szCs w:val="21"/>
        </w:rPr>
        <w:t>2．委托书不得转借、转让，不得买卖。</w:t>
      </w:r>
    </w:p>
    <w:p>
      <w:pPr>
        <w:spacing w:line="360" w:lineRule="auto"/>
        <w:jc w:val="left"/>
        <w:textAlignment w:val="top"/>
        <w:rPr>
          <w:rFonts w:ascii="宋体" w:hAnsi="宋体" w:cs="宋体"/>
          <w:szCs w:val="21"/>
        </w:rPr>
      </w:pPr>
      <w:bookmarkStart w:id="120" w:name="_Toc489544087"/>
      <w:bookmarkStart w:id="121" w:name="_Toc489544252"/>
      <w:r>
        <w:rPr>
          <w:rFonts w:hint="eastAsia" w:ascii="宋体" w:hAnsi="宋体" w:cs="宋体"/>
          <w:szCs w:val="21"/>
        </w:rPr>
        <w:t>3．代理人根据授权范围，以委托单位的名义签订合同，并将此委托书提交给对方作为合同</w:t>
      </w:r>
      <w:bookmarkEnd w:id="120"/>
      <w:bookmarkEnd w:id="121"/>
      <w:r>
        <w:rPr>
          <w:rFonts w:hint="eastAsia" w:ascii="宋体" w:hAnsi="宋体" w:cs="宋体"/>
          <w:szCs w:val="21"/>
        </w:rPr>
        <w:t>附件。</w:t>
      </w:r>
      <w:bookmarkStart w:id="122" w:name="_Toc489544253"/>
    </w:p>
    <w:p>
      <w:pPr>
        <w:tabs>
          <w:tab w:val="left" w:pos="1095"/>
        </w:tabs>
        <w:spacing w:beforeLines="25" w:afterLines="25"/>
        <w:rPr>
          <w:rFonts w:ascii="宋体" w:hAnsi="宋体" w:cs="宋体"/>
          <w:b/>
          <w:szCs w:val="21"/>
        </w:rPr>
      </w:pPr>
      <w:r>
        <w:rPr>
          <w:rFonts w:ascii="宋体" w:hAnsi="宋体" w:cs="宋体"/>
          <w:szCs w:val="21"/>
        </w:rPr>
        <w:br w:type="page"/>
      </w:r>
    </w:p>
    <w:p>
      <w:pPr>
        <w:snapToGrid w:val="0"/>
        <w:spacing w:line="400" w:lineRule="exact"/>
        <w:jc w:val="left"/>
        <w:textAlignment w:val="top"/>
        <w:rPr>
          <w:rFonts w:ascii="宋体" w:hAnsi="宋体"/>
          <w:b/>
          <w:szCs w:val="21"/>
        </w:rPr>
      </w:pPr>
      <w:r>
        <w:rPr>
          <w:rFonts w:hint="eastAsia" w:ascii="宋体" w:hAnsi="宋体" w:cs="宋体"/>
          <w:b/>
          <w:szCs w:val="21"/>
        </w:rPr>
        <w:t>附件五</w:t>
      </w:r>
    </w:p>
    <w:p>
      <w:pPr>
        <w:snapToGrid w:val="0"/>
        <w:spacing w:beforeLines="100" w:afterLines="50" w:line="400" w:lineRule="exact"/>
        <w:ind w:firstLine="562" w:firstLineChars="200"/>
        <w:jc w:val="center"/>
        <w:textAlignment w:val="top"/>
        <w:rPr>
          <w:rFonts w:ascii="宋体" w:hAnsi="宋体"/>
          <w:b/>
          <w:sz w:val="28"/>
          <w:szCs w:val="28"/>
        </w:rPr>
      </w:pPr>
      <w:r>
        <w:rPr>
          <w:rFonts w:hint="eastAsia" w:ascii="宋体" w:hAnsi="宋体"/>
          <w:b/>
          <w:sz w:val="28"/>
          <w:szCs w:val="28"/>
        </w:rPr>
        <w:t>拟投入本项目的人员配置情况表</w:t>
      </w:r>
    </w:p>
    <w:tbl>
      <w:tblPr>
        <w:tblStyle w:val="17"/>
        <w:tblW w:w="9537" w:type="dxa"/>
        <w:tblInd w:w="0" w:type="dxa"/>
        <w:tblLayout w:type="fixed"/>
        <w:tblCellMar>
          <w:top w:w="0" w:type="dxa"/>
          <w:left w:w="108" w:type="dxa"/>
          <w:bottom w:w="0" w:type="dxa"/>
          <w:right w:w="108" w:type="dxa"/>
        </w:tblCellMar>
      </w:tblPr>
      <w:tblGrid>
        <w:gridCol w:w="457"/>
        <w:gridCol w:w="866"/>
        <w:gridCol w:w="865"/>
        <w:gridCol w:w="816"/>
        <w:gridCol w:w="1566"/>
        <w:gridCol w:w="2450"/>
        <w:gridCol w:w="1260"/>
        <w:gridCol w:w="1257"/>
      </w:tblGrid>
      <w:tr>
        <w:tblPrEx>
          <w:tblCellMar>
            <w:top w:w="0" w:type="dxa"/>
            <w:left w:w="108" w:type="dxa"/>
            <w:bottom w:w="0" w:type="dxa"/>
            <w:right w:w="108" w:type="dxa"/>
          </w:tblCellMar>
        </w:tblPrEx>
        <w:trPr>
          <w:trHeight w:val="1027" w:hRule="atLeast"/>
        </w:trPr>
        <w:tc>
          <w:tcPr>
            <w:tcW w:w="457"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学历</w:t>
            </w:r>
          </w:p>
        </w:tc>
        <w:tc>
          <w:tcPr>
            <w:tcW w:w="15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专业及职称</w:t>
            </w:r>
          </w:p>
        </w:tc>
        <w:tc>
          <w:tcPr>
            <w:tcW w:w="245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持何种资格证书</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从事本工作时间</w:t>
            </w:r>
          </w:p>
        </w:tc>
        <w:tc>
          <w:tcPr>
            <w:tcW w:w="1257"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本项目拟任职务</w:t>
            </w:r>
          </w:p>
        </w:tc>
      </w:tr>
      <w:tr>
        <w:tblPrEx>
          <w:tblCellMar>
            <w:top w:w="0" w:type="dxa"/>
            <w:left w:w="108" w:type="dxa"/>
            <w:bottom w:w="0" w:type="dxa"/>
            <w:right w:w="108" w:type="dxa"/>
          </w:tblCellMar>
        </w:tblPrEx>
        <w:trPr>
          <w:trHeight w:val="522"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22"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05"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ascii="宋体" w:hAnsi="宋体"/>
                <w:kern w:val="0"/>
                <w:szCs w:val="21"/>
              </w:rPr>
            </w:pPr>
          </w:p>
        </w:tc>
      </w:tr>
    </w:tbl>
    <w:p>
      <w:pPr>
        <w:autoSpaceDE w:val="0"/>
        <w:autoSpaceDN w:val="0"/>
        <w:adjustRightInd w:val="0"/>
        <w:spacing w:line="400" w:lineRule="exact"/>
        <w:jc w:val="left"/>
        <w:rPr>
          <w:rFonts w:ascii="宋体" w:hAnsi="宋体"/>
          <w:sz w:val="24"/>
        </w:rPr>
      </w:pPr>
    </w:p>
    <w:p>
      <w:pPr>
        <w:autoSpaceDE w:val="0"/>
        <w:autoSpaceDN w:val="0"/>
        <w:adjustRightInd w:val="0"/>
        <w:spacing w:line="400" w:lineRule="exact"/>
        <w:jc w:val="left"/>
        <w:rPr>
          <w:rFonts w:asciiTheme="minorEastAsia" w:hAnsiTheme="minorEastAsia" w:eastAsiaTheme="minorEastAsia"/>
          <w:color w:val="FF0000"/>
          <w:szCs w:val="21"/>
        </w:rPr>
      </w:pPr>
      <w:r>
        <w:rPr>
          <w:rFonts w:hint="eastAsia" w:ascii="宋体" w:hAnsi="宋体"/>
          <w:szCs w:val="21"/>
        </w:rPr>
        <w:t>注：</w:t>
      </w:r>
      <w:r>
        <w:rPr>
          <w:rFonts w:hint="eastAsia" w:asciiTheme="minorEastAsia" w:hAnsiTheme="minorEastAsia" w:eastAsiaTheme="minorEastAsia"/>
          <w:szCs w:val="21"/>
        </w:rPr>
        <w:t>拟投入本项目的人员必须为本单位员工，可附人员职称证书、资格证书、执业注册证、毕业证书等复印件。</w:t>
      </w:r>
    </w:p>
    <w:p>
      <w:pPr>
        <w:pStyle w:val="6"/>
        <w:snapToGrid w:val="0"/>
        <w:rPr>
          <w:rFonts w:ascii="宋体" w:hAnsi="宋体" w:eastAsia="宋体" w:cs="宋体"/>
          <w:sz w:val="24"/>
          <w:szCs w:val="24"/>
        </w:rPr>
      </w:pPr>
    </w:p>
    <w:p/>
    <w:p/>
    <w:p>
      <w:pPr>
        <w:pStyle w:val="6"/>
        <w:spacing w:before="0" w:after="0" w:line="360" w:lineRule="auto"/>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pacing w:line="360" w:lineRule="auto"/>
        <w:jc w:val="left"/>
        <w:rPr>
          <w:rFonts w:ascii="宋体" w:hAnsi="宋体"/>
          <w:szCs w:val="21"/>
        </w:rPr>
      </w:pPr>
      <w:r>
        <w:rPr>
          <w:rFonts w:hint="eastAsia" w:ascii="宋体" w:hAnsi="宋体"/>
          <w:szCs w:val="21"/>
        </w:rPr>
        <w:t>磋商供应商名称（公章）：</w:t>
      </w:r>
    </w:p>
    <w:p>
      <w:pPr>
        <w:spacing w:line="360" w:lineRule="auto"/>
        <w:jc w:val="left"/>
        <w:textAlignment w:val="top"/>
        <w:rPr>
          <w:rFonts w:ascii="宋体" w:hAnsi="宋体"/>
          <w:szCs w:val="21"/>
        </w:rPr>
      </w:pPr>
      <w:r>
        <w:rPr>
          <w:rFonts w:hint="eastAsia" w:ascii="宋体" w:hAnsi="宋体"/>
          <w:szCs w:val="21"/>
        </w:rPr>
        <w:t>日期: 年月日</w:t>
      </w:r>
    </w:p>
    <w:p>
      <w:pPr>
        <w:snapToGrid w:val="0"/>
        <w:spacing w:line="400" w:lineRule="exact"/>
        <w:jc w:val="left"/>
        <w:textAlignment w:val="top"/>
        <w:rPr>
          <w:rFonts w:ascii="宋体" w:hAnsi="宋体"/>
          <w:b/>
          <w:szCs w:val="21"/>
        </w:rPr>
      </w:pPr>
      <w:r>
        <w:rPr>
          <w:rFonts w:ascii="宋体" w:hAnsi="宋体"/>
          <w:szCs w:val="21"/>
        </w:rPr>
        <w:br w:type="page"/>
      </w:r>
      <w:r>
        <w:rPr>
          <w:rFonts w:hint="eastAsia" w:ascii="宋体" w:hAnsi="宋体" w:cs="宋体"/>
          <w:b/>
          <w:szCs w:val="21"/>
        </w:rPr>
        <w:t>附件六</w:t>
      </w:r>
    </w:p>
    <w:p>
      <w:pPr>
        <w:autoSpaceDE w:val="0"/>
        <w:autoSpaceDN w:val="0"/>
        <w:snapToGrid w:val="0"/>
        <w:spacing w:before="50" w:afterLines="50"/>
        <w:jc w:val="left"/>
        <w:textAlignment w:val="bottom"/>
        <w:rPr>
          <w:rFonts w:ascii="宋体" w:hAnsi="宋体"/>
          <w:szCs w:val="21"/>
        </w:rPr>
      </w:pPr>
    </w:p>
    <w:p>
      <w:pPr>
        <w:spacing w:afterLines="50"/>
        <w:jc w:val="center"/>
        <w:rPr>
          <w:rFonts w:ascii="宋体" w:hAnsi="宋体"/>
          <w:b/>
          <w:sz w:val="28"/>
          <w:szCs w:val="28"/>
        </w:rPr>
      </w:pPr>
      <w:r>
        <w:rPr>
          <w:rFonts w:hint="eastAsia" w:ascii="宋体" w:hAnsi="宋体"/>
          <w:b/>
          <w:sz w:val="28"/>
          <w:szCs w:val="28"/>
        </w:rPr>
        <w:t>中小企业声明函 </w:t>
      </w:r>
    </w:p>
    <w:p>
      <w:pPr>
        <w:widowControl/>
        <w:shd w:val="clear" w:color="auto" w:fill="FFFFFF"/>
        <w:spacing w:line="360" w:lineRule="auto"/>
        <w:ind w:firstLine="480"/>
        <w:jc w:val="left"/>
        <w:rPr>
          <w:rFonts w:ascii="宋体" w:hAnsi="宋体"/>
          <w:szCs w:val="21"/>
          <w:shd w:val="clear" w:color="auto" w:fill="FFFFFF"/>
        </w:rPr>
      </w:pP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本公司郑重声明，根据《政府采购促进中小企业发展暂行办法》（财库[2011]181号）的规定，本公司为（请填写：中型、小型、微型）企业。即，本公司同时满足以下条件：</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1.根据《工业和信息化部、国家统计局、国家发展和改革委员会、财政部关于印发中小企业划型标准规定的通知》（工信部联企业[2011]300号）规定的划分标准，本公司为（请填写：中型、小型、微型）企业。</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本公司对上述声明的真实性负责。如有虚假，将依法承担相应责任。</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 </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　　　　　　　　　　　　　　　　　　　　　　　　　　　企业名称（盖章）： </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　　　　　　　　　　　　　　　　　　　　　　　　　　　日期：</w:t>
      </w:r>
    </w:p>
    <w:p>
      <w:pPr>
        <w:spacing w:line="360" w:lineRule="auto"/>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w:t>
      </w:r>
    </w:p>
    <w:p>
      <w:pPr>
        <w:spacing w:line="360" w:lineRule="auto"/>
        <w:ind w:firstLine="420" w:firstLineChars="200"/>
        <w:jc w:val="left"/>
        <w:rPr>
          <w:rFonts w:ascii="宋体" w:hAnsi="宋体"/>
          <w:szCs w:val="21"/>
        </w:rPr>
      </w:pPr>
      <w:r>
        <w:rPr>
          <w:rFonts w:hint="eastAsia" w:ascii="宋体" w:hAnsi="宋体"/>
          <w:szCs w:val="21"/>
        </w:rPr>
        <w:t>1.供应商须在响应文件中提供《中小企业声明函》，否则不予价格扣除；供应商提供的《中小企业声明函》与事实不符的，依照《中华人民共和国政府采购法》第七十七条第一款的规定追究法律责任。</w:t>
      </w:r>
    </w:p>
    <w:p>
      <w:pPr>
        <w:spacing w:line="360" w:lineRule="auto"/>
        <w:ind w:firstLine="420" w:firstLineChars="200"/>
        <w:jc w:val="left"/>
        <w:rPr>
          <w:rFonts w:ascii="宋体" w:hAnsi="宋体"/>
          <w:szCs w:val="21"/>
        </w:rPr>
      </w:pPr>
      <w:r>
        <w:rPr>
          <w:rFonts w:hint="eastAsia" w:ascii="宋体" w:hAnsi="宋体"/>
          <w:szCs w:val="21"/>
        </w:rPr>
        <w:t>2.如果投标产品中有小型或微型企业的产品（服务），应在投标报价明细表中注明生产企业名称，并标明企业性质（中型、小型、微型），否则不认可该产品为小型或微型企业的产品。</w:t>
      </w:r>
    </w:p>
    <w:p>
      <w:pPr>
        <w:snapToGrid w:val="0"/>
        <w:spacing w:line="400" w:lineRule="exact"/>
        <w:jc w:val="left"/>
        <w:textAlignment w:val="top"/>
        <w:rPr>
          <w:rFonts w:ascii="宋体" w:hAnsi="宋体"/>
          <w:b/>
          <w:szCs w:val="21"/>
        </w:rPr>
      </w:pPr>
      <w:r>
        <w:rPr>
          <w:rFonts w:ascii="宋体" w:hAnsi="宋体"/>
          <w:szCs w:val="21"/>
        </w:rPr>
        <w:br w:type="page"/>
      </w:r>
      <w:r>
        <w:rPr>
          <w:rFonts w:hint="eastAsia" w:ascii="宋体" w:hAnsi="宋体" w:cs="宋体"/>
          <w:b/>
          <w:szCs w:val="21"/>
        </w:rPr>
        <w:t>附件七</w:t>
      </w:r>
    </w:p>
    <w:p>
      <w:pPr>
        <w:snapToGrid w:val="0"/>
        <w:spacing w:before="50" w:afterLines="50" w:line="400" w:lineRule="exact"/>
        <w:jc w:val="left"/>
        <w:rPr>
          <w:rFonts w:ascii="宋体" w:hAnsi="宋体"/>
          <w:b/>
          <w:szCs w:val="21"/>
        </w:rPr>
      </w:pPr>
    </w:p>
    <w:p>
      <w:pPr>
        <w:spacing w:afterLines="50"/>
        <w:jc w:val="center"/>
        <w:rPr>
          <w:rFonts w:ascii="宋体" w:hAnsi="宋体"/>
          <w:b/>
          <w:sz w:val="28"/>
          <w:szCs w:val="28"/>
        </w:rPr>
      </w:pPr>
      <w:r>
        <w:rPr>
          <w:rFonts w:hint="eastAsia" w:ascii="宋体" w:hAnsi="宋体"/>
          <w:b/>
          <w:sz w:val="28"/>
          <w:szCs w:val="28"/>
        </w:rPr>
        <w:t>残疾人福利性单位声明函</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〔2018〕 141</w:t>
      </w:r>
      <w:r>
        <w:rPr>
          <w:rFonts w:hint="eastAsia" w:ascii="宋体" w:hAnsi="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rPr>
          <w:rFonts w:ascii="宋体" w:hAnsi="宋体"/>
          <w:spacing w:val="6"/>
          <w:szCs w:val="21"/>
        </w:rPr>
      </w:pPr>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 xml:space="preserve">                                       单位名称（盖章）：</w:t>
      </w:r>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 xml:space="preserve">                                       日  期：</w:t>
      </w:r>
    </w:p>
    <w:p>
      <w:pPr>
        <w:snapToGrid w:val="0"/>
        <w:spacing w:line="360" w:lineRule="auto"/>
        <w:rPr>
          <w:rFonts w:ascii="宋体" w:hAnsi="宋体"/>
          <w:b/>
          <w:szCs w:val="21"/>
        </w:rPr>
      </w:pPr>
    </w:p>
    <w:p>
      <w:pPr>
        <w:snapToGrid w:val="0"/>
        <w:spacing w:afterLines="50" w:line="360" w:lineRule="auto"/>
        <w:rPr>
          <w:rFonts w:ascii="宋体" w:hAnsi="宋体"/>
          <w:szCs w:val="21"/>
        </w:rPr>
      </w:pPr>
    </w:p>
    <w:p>
      <w:pPr>
        <w:spacing w:line="360" w:lineRule="auto"/>
        <w:ind w:firstLine="420" w:firstLineChars="200"/>
        <w:jc w:val="left"/>
        <w:textAlignment w:val="top"/>
        <w:rPr>
          <w:rFonts w:ascii="宋体" w:hAnsi="宋体"/>
          <w:szCs w:val="21"/>
        </w:rPr>
      </w:pPr>
      <w:r>
        <w:rPr>
          <w:rFonts w:hint="eastAsia" w:ascii="宋体" w:hAnsi="宋体"/>
          <w:szCs w:val="21"/>
        </w:rPr>
        <w:t>备注：</w:t>
      </w:r>
    </w:p>
    <w:p>
      <w:pPr>
        <w:spacing w:line="360" w:lineRule="auto"/>
        <w:ind w:firstLine="420" w:firstLineChars="200"/>
        <w:jc w:val="left"/>
        <w:textAlignment w:val="top"/>
        <w:rPr>
          <w:rFonts w:ascii="宋体" w:hAnsi="宋体"/>
          <w:szCs w:val="21"/>
        </w:rPr>
      </w:pPr>
      <w:r>
        <w:rPr>
          <w:rFonts w:hint="eastAsia" w:ascii="宋体" w:hAnsi="宋体"/>
          <w:szCs w:val="21"/>
        </w:rPr>
        <w:t>1.填写前请认真阅读财库〔2017〕141号《三部门联合发布关于促进残疾人就业政府采购政策的通知》相关规定，并对声明的真实性负责。</w:t>
      </w:r>
    </w:p>
    <w:p>
      <w:pPr>
        <w:spacing w:line="360" w:lineRule="auto"/>
        <w:ind w:firstLine="420" w:firstLineChars="200"/>
        <w:jc w:val="left"/>
        <w:textAlignment w:val="top"/>
        <w:rPr>
          <w:rFonts w:ascii="宋体" w:hAnsi="宋体" w:cs="宋体"/>
          <w:szCs w:val="21"/>
        </w:rPr>
      </w:pPr>
      <w:r>
        <w:rPr>
          <w:rFonts w:hint="eastAsia" w:ascii="宋体" w:hAnsi="宋体"/>
          <w:szCs w:val="21"/>
        </w:rPr>
        <w:t>2.成交供应商为残疾人福利性单位的，成交结果将同时公告其《残疾人福利性单位声明函》，接受社会监督。</w:t>
      </w:r>
    </w:p>
    <w:p>
      <w:pPr>
        <w:spacing w:line="360" w:lineRule="auto"/>
        <w:jc w:val="left"/>
        <w:textAlignment w:val="top"/>
        <w:rPr>
          <w:rFonts w:ascii="宋体" w:hAnsi="宋体" w:cs="宋体"/>
          <w:szCs w:val="21"/>
        </w:rPr>
      </w:pPr>
    </w:p>
    <w:p>
      <w:pPr>
        <w:spacing w:line="300" w:lineRule="auto"/>
        <w:rPr>
          <w:rFonts w:ascii="宋体" w:hAnsi="宋体"/>
          <w:lang w:val="zh-CN"/>
        </w:rPr>
      </w:pPr>
    </w:p>
    <w:p>
      <w:pPr>
        <w:pStyle w:val="4"/>
        <w:bidi w:val="0"/>
        <w:adjustRightInd/>
        <w:snapToGrid/>
        <w:spacing w:before="240" w:after="240"/>
        <w:rPr>
          <w:color w:val="auto"/>
        </w:rPr>
      </w:pPr>
      <w:r>
        <w:rPr>
          <w:rFonts w:hint="eastAsia" w:ascii="宋体" w:hAnsi="宋体" w:cs="宋体"/>
          <w:color w:val="auto"/>
        </w:rPr>
        <w:br w:type="page"/>
      </w:r>
      <w:bookmarkStart w:id="123" w:name="_Toc510"/>
      <w:r>
        <w:rPr>
          <w:rFonts w:hint="eastAsia" w:ascii="宋体" w:hAnsi="宋体" w:eastAsia="宋体" w:cs="宋体"/>
          <w:bCs/>
          <w:color w:val="auto"/>
          <w:sz w:val="36"/>
          <w:szCs w:val="20"/>
          <w:vertAlign w:val="baseline"/>
        </w:rPr>
        <w:t>第五章 合同主要条款</w:t>
      </w:r>
      <w:bookmarkEnd w:id="70"/>
      <w:bookmarkEnd w:id="71"/>
      <w:bookmarkEnd w:id="72"/>
      <w:bookmarkEnd w:id="122"/>
      <w:bookmarkEnd w:id="123"/>
    </w:p>
    <w:p/>
    <w:p/>
    <w:p/>
    <w:p/>
    <w:p/>
    <w:p/>
    <w:p>
      <w:pPr>
        <w:pStyle w:val="9"/>
        <w:jc w:val="center"/>
        <w:rPr>
          <w:rFonts w:hAnsi="宋体"/>
          <w:b/>
          <w:sz w:val="52"/>
          <w:szCs w:val="52"/>
        </w:rPr>
      </w:pPr>
      <w:r>
        <w:rPr>
          <w:rFonts w:hint="eastAsia" w:hAnsi="宋体"/>
          <w:b/>
          <w:sz w:val="52"/>
          <w:szCs w:val="52"/>
        </w:rPr>
        <w:t>广西壮族自治区政府采购合同</w:t>
      </w:r>
    </w:p>
    <w:p>
      <w:pPr>
        <w:pStyle w:val="9"/>
        <w:rPr>
          <w:rFonts w:hAnsi="宋体"/>
        </w:rPr>
      </w:pPr>
    </w:p>
    <w:p>
      <w:pPr>
        <w:pStyle w:val="9"/>
        <w:rPr>
          <w:rFonts w:hAnsi="宋体"/>
        </w:rPr>
      </w:pPr>
    </w:p>
    <w:p>
      <w:pPr>
        <w:pStyle w:val="14"/>
      </w:pPr>
    </w:p>
    <w:p/>
    <w:p>
      <w:pPr>
        <w:pStyle w:val="9"/>
        <w:rPr>
          <w:rFonts w:hAnsi="宋体"/>
        </w:rPr>
      </w:pPr>
    </w:p>
    <w:p>
      <w:pPr>
        <w:pStyle w:val="9"/>
        <w:rPr>
          <w:rFonts w:hAnsi="宋体"/>
        </w:rPr>
      </w:pPr>
    </w:p>
    <w:p>
      <w:pPr>
        <w:pStyle w:val="9"/>
        <w:spacing w:line="480" w:lineRule="auto"/>
        <w:ind w:firstLine="1590" w:firstLineChars="495"/>
        <w:rPr>
          <w:rFonts w:hAnsi="宋体"/>
          <w:b/>
          <w:sz w:val="32"/>
          <w:szCs w:val="32"/>
          <w:u w:val="single"/>
        </w:rPr>
      </w:pPr>
      <w:r>
        <w:rPr>
          <w:rFonts w:hint="eastAsia" w:hAnsi="宋体"/>
          <w:b/>
          <w:sz w:val="32"/>
          <w:szCs w:val="32"/>
        </w:rPr>
        <w:t>合同名称：</w:t>
      </w:r>
    </w:p>
    <w:p>
      <w:pPr>
        <w:pStyle w:val="9"/>
        <w:spacing w:line="480" w:lineRule="auto"/>
        <w:ind w:firstLine="1590" w:firstLineChars="495"/>
        <w:rPr>
          <w:rFonts w:hAnsi="宋体"/>
          <w:b/>
          <w:sz w:val="32"/>
          <w:szCs w:val="32"/>
          <w:u w:val="single"/>
        </w:rPr>
      </w:pPr>
      <w:r>
        <w:rPr>
          <w:rFonts w:hint="eastAsia" w:hAnsi="宋体"/>
          <w:b/>
          <w:sz w:val="32"/>
          <w:szCs w:val="32"/>
        </w:rPr>
        <w:t>合同编号：</w:t>
      </w:r>
    </w:p>
    <w:p>
      <w:pPr>
        <w:pStyle w:val="9"/>
        <w:spacing w:line="480" w:lineRule="auto"/>
        <w:ind w:firstLine="1590" w:firstLineChars="495"/>
        <w:rPr>
          <w:rFonts w:hAnsi="宋体"/>
          <w:b/>
          <w:sz w:val="32"/>
          <w:szCs w:val="32"/>
        </w:rPr>
      </w:pPr>
      <w:r>
        <w:rPr>
          <w:rFonts w:hint="eastAsia" w:hAnsi="宋体"/>
          <w:b/>
          <w:sz w:val="32"/>
          <w:szCs w:val="32"/>
        </w:rPr>
        <w:t>采购单位（甲方）</w:t>
      </w:r>
    </w:p>
    <w:p>
      <w:pPr>
        <w:pStyle w:val="9"/>
        <w:spacing w:line="480" w:lineRule="auto"/>
        <w:ind w:firstLine="1590" w:firstLineChars="495"/>
        <w:rPr>
          <w:rFonts w:hAnsi="宋体"/>
          <w:b/>
          <w:sz w:val="32"/>
          <w:szCs w:val="32"/>
        </w:rPr>
      </w:pPr>
      <w:r>
        <w:rPr>
          <w:rFonts w:hint="eastAsia" w:hAnsi="宋体"/>
          <w:b/>
          <w:sz w:val="32"/>
          <w:szCs w:val="32"/>
        </w:rPr>
        <w:t>供 应 商（乙方）</w:t>
      </w:r>
    </w:p>
    <w:p>
      <w:pPr>
        <w:pStyle w:val="9"/>
        <w:spacing w:line="480" w:lineRule="auto"/>
        <w:ind w:firstLine="1590" w:firstLineChars="495"/>
        <w:rPr>
          <w:rFonts w:hAnsi="宋体"/>
          <w:b/>
          <w:sz w:val="32"/>
          <w:szCs w:val="32"/>
          <w:u w:val="single"/>
        </w:rPr>
      </w:pPr>
      <w:r>
        <w:rPr>
          <w:rFonts w:hint="eastAsia" w:hAnsi="宋体"/>
          <w:b/>
          <w:sz w:val="32"/>
          <w:szCs w:val="32"/>
        </w:rPr>
        <w:t>签订合同地点：</w:t>
      </w:r>
    </w:p>
    <w:p>
      <w:pPr>
        <w:pStyle w:val="9"/>
        <w:spacing w:line="480" w:lineRule="auto"/>
        <w:ind w:firstLine="1590" w:firstLineChars="495"/>
        <w:rPr>
          <w:rFonts w:hAnsi="宋体"/>
          <w:b/>
          <w:sz w:val="32"/>
          <w:szCs w:val="32"/>
        </w:rPr>
      </w:pPr>
      <w:r>
        <w:rPr>
          <w:rFonts w:hint="eastAsia" w:hAnsi="宋体"/>
          <w:b/>
          <w:sz w:val="32"/>
          <w:szCs w:val="32"/>
        </w:rPr>
        <w:t>签订合同时间：</w:t>
      </w:r>
    </w:p>
    <w:p>
      <w:pPr>
        <w:pStyle w:val="9"/>
        <w:jc w:val="center"/>
        <w:rPr>
          <w:rFonts w:hAnsi="宋体"/>
        </w:rPr>
      </w:pPr>
    </w:p>
    <w:p>
      <w:pPr>
        <w:pStyle w:val="9"/>
        <w:jc w:val="center"/>
        <w:rPr>
          <w:rFonts w:hAnsi="宋体"/>
        </w:rPr>
      </w:pPr>
    </w:p>
    <w:p>
      <w:pPr>
        <w:pStyle w:val="14"/>
      </w:pPr>
    </w:p>
    <w:p/>
    <w:p/>
    <w:p/>
    <w:p>
      <w:pPr>
        <w:pStyle w:val="9"/>
        <w:rPr>
          <w:rFonts w:hAnsi="宋体"/>
        </w:rPr>
      </w:pPr>
    </w:p>
    <w:p>
      <w:pPr>
        <w:pStyle w:val="9"/>
        <w:spacing w:line="420" w:lineRule="exact"/>
        <w:jc w:val="center"/>
        <w:rPr>
          <w:rFonts w:hAnsi="宋体"/>
        </w:rPr>
      </w:pPr>
      <w:r>
        <w:rPr>
          <w:rFonts w:hint="eastAsia" w:hAnsi="宋体"/>
        </w:rPr>
        <w:t>合同使用说明：根据《中华人民共和国政府采购法》、《中华人民共和国合同法》等法律、法规规定，</w:t>
      </w:r>
    </w:p>
    <w:p>
      <w:pPr>
        <w:pStyle w:val="9"/>
        <w:spacing w:line="420" w:lineRule="exact"/>
        <w:jc w:val="center"/>
        <w:rPr>
          <w:rFonts w:hAnsi="宋体"/>
        </w:rPr>
      </w:pPr>
      <w:r>
        <w:rPr>
          <w:rFonts w:hint="eastAsia"/>
        </w:rPr>
        <w:t xml:space="preserve">        按照磋商文件规定条款和成交供应商响应文件及其承诺，甲乙双方签订本合同。</w:t>
      </w:r>
    </w:p>
    <w:p>
      <w:pPr>
        <w:spacing w:beforeLines="50" w:line="300" w:lineRule="auto"/>
        <w:jc w:val="center"/>
        <w:rPr>
          <w:rFonts w:ascii="宋体" w:hAnsi="宋体"/>
          <w:b/>
          <w:sz w:val="36"/>
          <w:szCs w:val="36"/>
        </w:rPr>
      </w:pPr>
      <w:r>
        <w:rPr>
          <w:rFonts w:ascii="仿宋_GB2312" w:hAnsi="仿宋" w:eastAsia="仿宋_GB2312"/>
          <w:sz w:val="24"/>
        </w:rPr>
        <w:br w:type="page"/>
      </w:r>
      <w:r>
        <w:rPr>
          <w:rFonts w:hint="eastAsia" w:ascii="宋体" w:hAnsi="宋体"/>
          <w:b/>
          <w:sz w:val="36"/>
          <w:szCs w:val="36"/>
        </w:rPr>
        <w:t>采购</w:t>
      </w:r>
      <w:r>
        <w:rPr>
          <w:rFonts w:hint="eastAsia" w:ascii="宋体" w:hAnsi="宋体"/>
          <w:b/>
          <w:bCs/>
          <w:sz w:val="36"/>
          <w:szCs w:val="36"/>
        </w:rPr>
        <w:t>合同文本</w:t>
      </w:r>
    </w:p>
    <w:p>
      <w:pPr>
        <w:spacing w:line="420" w:lineRule="exact"/>
        <w:ind w:firstLine="5985" w:firstLineChars="2850"/>
        <w:rPr>
          <w:rFonts w:ascii="宋体" w:hAnsi="宋体"/>
          <w:bCs/>
          <w:szCs w:val="21"/>
          <w:u w:val="single"/>
        </w:rPr>
      </w:pPr>
      <w:r>
        <w:rPr>
          <w:rFonts w:hint="eastAsia" w:ascii="宋体" w:hAnsi="宋体"/>
          <w:bCs/>
          <w:szCs w:val="21"/>
        </w:rPr>
        <w:t>合同编号：</w:t>
      </w:r>
    </w:p>
    <w:p>
      <w:pPr>
        <w:spacing w:line="420" w:lineRule="exact"/>
        <w:ind w:firstLine="5985" w:firstLineChars="2850"/>
        <w:rPr>
          <w:rFonts w:ascii="宋体" w:hAnsi="宋体"/>
          <w:szCs w:val="21"/>
        </w:rPr>
      </w:pPr>
    </w:p>
    <w:p>
      <w:pPr>
        <w:spacing w:line="420" w:lineRule="exact"/>
        <w:rPr>
          <w:rFonts w:ascii="宋体" w:hAnsi="宋体"/>
          <w:szCs w:val="21"/>
          <w:u w:val="single"/>
        </w:rPr>
      </w:pPr>
      <w:r>
        <w:rPr>
          <w:rFonts w:hint="eastAsia" w:ascii="宋体" w:hAnsi="宋体"/>
          <w:szCs w:val="21"/>
        </w:rPr>
        <w:t>采购单位（甲方）：    采购计划号：</w:t>
      </w:r>
    </w:p>
    <w:p>
      <w:pPr>
        <w:spacing w:line="420" w:lineRule="exact"/>
        <w:rPr>
          <w:rFonts w:ascii="宋体" w:hAnsi="宋体"/>
          <w:szCs w:val="21"/>
          <w:u w:val="single"/>
        </w:rPr>
      </w:pPr>
      <w:r>
        <w:rPr>
          <w:rFonts w:hint="eastAsia" w:ascii="宋体" w:hAnsi="宋体"/>
          <w:szCs w:val="21"/>
        </w:rPr>
        <w:t>供应商（乙方）：    项目名称及编号：</w:t>
      </w:r>
    </w:p>
    <w:p>
      <w:pPr>
        <w:spacing w:line="420" w:lineRule="exact"/>
        <w:rPr>
          <w:rFonts w:ascii="宋体" w:hAnsi="宋体"/>
          <w:b/>
          <w:szCs w:val="21"/>
        </w:rPr>
      </w:pPr>
      <w:r>
        <w:rPr>
          <w:rFonts w:hint="eastAsia" w:ascii="宋体" w:hAnsi="宋体"/>
          <w:szCs w:val="21"/>
        </w:rPr>
        <w:t>签订地点：    签订时间：</w:t>
      </w:r>
    </w:p>
    <w:p>
      <w:pPr>
        <w:spacing w:line="42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根据《中华人民共和国政府采购法》、《中华人民共和国合同法》等法律、法规规定，按照招投标文件（采购文件）规定条款和中标（成交）服务商承诺，甲乙双方签订本合同。</w:t>
      </w:r>
    </w:p>
    <w:p>
      <w:pPr>
        <w:spacing w:line="360" w:lineRule="auto"/>
        <w:ind w:firstLine="422" w:firstLineChars="200"/>
        <w:rPr>
          <w:rFonts w:ascii="宋体" w:hAnsi="宋体"/>
          <w:szCs w:val="21"/>
        </w:rPr>
      </w:pPr>
      <w:r>
        <w:rPr>
          <w:rFonts w:hint="eastAsia" w:ascii="宋体" w:hAnsi="宋体"/>
          <w:b/>
          <w:szCs w:val="21"/>
        </w:rPr>
        <w:t>第一条　采购内容</w:t>
      </w:r>
    </w:p>
    <w:p>
      <w:pPr>
        <w:widowControl/>
        <w:spacing w:line="360" w:lineRule="auto"/>
        <w:ind w:firstLine="420" w:firstLineChars="200"/>
        <w:rPr>
          <w:rFonts w:ascii="宋体" w:hAnsi="宋体"/>
          <w:bCs/>
          <w:szCs w:val="21"/>
        </w:rPr>
      </w:pPr>
      <w:r>
        <w:rPr>
          <w:rFonts w:hint="eastAsia" w:ascii="宋体" w:hAnsi="宋体"/>
          <w:bCs/>
          <w:szCs w:val="21"/>
        </w:rPr>
        <w:t>甲方确定乙方为</w:t>
      </w:r>
      <w:r>
        <w:rPr>
          <w:rFonts w:hint="eastAsia" w:ascii="宋体" w:hAnsi="宋体"/>
          <w:b/>
          <w:szCs w:val="21"/>
          <w:u w:val="single"/>
        </w:rPr>
        <w:t xml:space="preserve">  （项目名称）      </w:t>
      </w:r>
      <w:r>
        <w:rPr>
          <w:rFonts w:hint="eastAsia" w:ascii="宋体" w:hAnsi="宋体"/>
          <w:bCs/>
          <w:szCs w:val="21"/>
        </w:rPr>
        <w:t>服务1项。乙方必须服从甲方安排，按时、保质、保量地完成甲方委托的编制服务工作。</w:t>
      </w:r>
    </w:p>
    <w:p>
      <w:pPr>
        <w:pStyle w:val="15"/>
        <w:widowControl w:val="0"/>
        <w:spacing w:before="0" w:beforeAutospacing="0" w:after="0" w:afterAutospacing="0" w:line="360" w:lineRule="auto"/>
        <w:ind w:firstLine="422" w:firstLineChars="200"/>
        <w:jc w:val="both"/>
        <w:rPr>
          <w:b/>
          <w:kern w:val="2"/>
          <w:sz w:val="21"/>
          <w:szCs w:val="21"/>
        </w:rPr>
      </w:pPr>
      <w:r>
        <w:rPr>
          <w:rFonts w:hint="eastAsia"/>
          <w:b/>
          <w:kern w:val="2"/>
          <w:sz w:val="21"/>
          <w:szCs w:val="21"/>
        </w:rPr>
        <w:t>第二条　协议服务期限</w:t>
      </w:r>
    </w:p>
    <w:p>
      <w:pPr>
        <w:pStyle w:val="15"/>
        <w:widowControl w:val="0"/>
        <w:spacing w:before="0" w:beforeAutospacing="0" w:after="0" w:afterAutospacing="0" w:line="360" w:lineRule="auto"/>
        <w:ind w:firstLine="420" w:firstLineChars="200"/>
        <w:jc w:val="both"/>
        <w:rPr>
          <w:b/>
          <w:bCs/>
          <w:sz w:val="21"/>
          <w:szCs w:val="21"/>
        </w:rPr>
      </w:pPr>
      <w:r>
        <w:rPr>
          <w:rFonts w:hint="eastAsia"/>
          <w:bCs/>
          <w:sz w:val="21"/>
          <w:szCs w:val="21"/>
          <w:u w:val="single"/>
        </w:rPr>
        <w:t xml:space="preserve">                                                                            。</w:t>
      </w:r>
    </w:p>
    <w:p>
      <w:pPr>
        <w:spacing w:line="360" w:lineRule="auto"/>
        <w:ind w:firstLine="422" w:firstLineChars="200"/>
        <w:rPr>
          <w:rFonts w:ascii="宋体" w:hAnsi="宋体"/>
          <w:szCs w:val="21"/>
        </w:rPr>
      </w:pPr>
      <w:r>
        <w:rPr>
          <w:rFonts w:hint="eastAsia" w:ascii="宋体" w:hAnsi="宋体"/>
          <w:b/>
          <w:szCs w:val="21"/>
        </w:rPr>
        <w:t>第三条　费用计取及付款方式</w:t>
      </w:r>
    </w:p>
    <w:p>
      <w:pPr>
        <w:pStyle w:val="15"/>
        <w:widowControl w:val="0"/>
        <w:tabs>
          <w:tab w:val="left" w:pos="5250"/>
          <w:tab w:val="left" w:pos="5940"/>
        </w:tabs>
        <w:spacing w:before="0" w:beforeAutospacing="0" w:after="0" w:afterAutospacing="0" w:line="360" w:lineRule="auto"/>
        <w:ind w:firstLine="420" w:firstLineChars="200"/>
        <w:jc w:val="both"/>
        <w:rPr>
          <w:bCs/>
          <w:sz w:val="21"/>
          <w:szCs w:val="21"/>
        </w:rPr>
      </w:pPr>
      <w:r>
        <w:rPr>
          <w:rFonts w:hint="eastAsia"/>
          <w:bCs/>
          <w:kern w:val="2"/>
          <w:sz w:val="21"/>
          <w:szCs w:val="21"/>
        </w:rPr>
        <w:t>1.资金性质；</w:t>
      </w:r>
      <w:r>
        <w:rPr>
          <w:rFonts w:hint="eastAsia"/>
          <w:b/>
          <w:kern w:val="2"/>
          <w:sz w:val="21"/>
          <w:szCs w:val="21"/>
          <w:u w:val="single"/>
        </w:rPr>
        <w:t>财政性资金</w:t>
      </w:r>
      <w:r>
        <w:rPr>
          <w:rFonts w:hint="eastAsia"/>
          <w:bCs/>
          <w:kern w:val="2"/>
          <w:sz w:val="21"/>
          <w:szCs w:val="21"/>
        </w:rPr>
        <w:t>。</w:t>
      </w:r>
    </w:p>
    <w:p>
      <w:pPr>
        <w:pStyle w:val="15"/>
        <w:widowControl w:val="0"/>
        <w:tabs>
          <w:tab w:val="left" w:pos="5250"/>
          <w:tab w:val="left" w:pos="5940"/>
        </w:tabs>
        <w:spacing w:before="0" w:beforeAutospacing="0" w:after="0" w:afterAutospacing="0" w:line="360" w:lineRule="auto"/>
        <w:ind w:firstLine="420" w:firstLineChars="200"/>
        <w:jc w:val="both"/>
        <w:rPr>
          <w:bCs/>
          <w:kern w:val="2"/>
          <w:sz w:val="21"/>
          <w:szCs w:val="21"/>
          <w:u w:val="single"/>
        </w:rPr>
      </w:pPr>
      <w:r>
        <w:rPr>
          <w:rFonts w:hint="eastAsia"/>
          <w:bCs/>
          <w:sz w:val="21"/>
          <w:szCs w:val="21"/>
        </w:rPr>
        <w:t>2.</w:t>
      </w:r>
      <w:r>
        <w:rPr>
          <w:rFonts w:hint="eastAsia"/>
          <w:bCs/>
          <w:kern w:val="2"/>
          <w:sz w:val="21"/>
          <w:szCs w:val="21"/>
        </w:rPr>
        <w:t>咨询服务费为：</w:t>
      </w:r>
    </w:p>
    <w:p>
      <w:pPr>
        <w:spacing w:line="360" w:lineRule="auto"/>
        <w:ind w:firstLine="420" w:firstLineChars="200"/>
        <w:rPr>
          <w:rFonts w:ascii="宋体" w:hAnsi="宋体"/>
          <w:bCs/>
          <w:szCs w:val="21"/>
        </w:rPr>
      </w:pPr>
      <w:r>
        <w:rPr>
          <w:rFonts w:hint="eastAsia" w:ascii="宋体" w:hAnsi="宋体"/>
          <w:bCs/>
          <w:szCs w:val="21"/>
        </w:rPr>
        <w:t>3.付款方式：</w:t>
      </w:r>
      <w:r>
        <w:rPr>
          <w:rFonts w:hint="eastAsia" w:ascii="宋体" w:hAnsi="宋体"/>
          <w:bCs/>
          <w:szCs w:val="21"/>
          <w:u w:val="single"/>
        </w:rPr>
        <w:t xml:space="preserve">  详见采购需求   </w:t>
      </w:r>
    </w:p>
    <w:p>
      <w:pPr>
        <w:spacing w:line="360" w:lineRule="auto"/>
        <w:ind w:firstLine="422" w:firstLineChars="200"/>
        <w:rPr>
          <w:rFonts w:ascii="宋体" w:hAnsi="宋体"/>
          <w:b/>
          <w:szCs w:val="21"/>
        </w:rPr>
      </w:pPr>
      <w:r>
        <w:rPr>
          <w:rFonts w:hint="eastAsia" w:ascii="宋体" w:hAnsi="宋体"/>
          <w:b/>
          <w:szCs w:val="21"/>
        </w:rPr>
        <w:t>第四条　税费</w:t>
      </w:r>
    </w:p>
    <w:p>
      <w:pPr>
        <w:spacing w:line="360" w:lineRule="auto"/>
        <w:ind w:firstLine="420" w:firstLineChars="200"/>
        <w:rPr>
          <w:rFonts w:ascii="宋体" w:hAnsi="宋体"/>
          <w:szCs w:val="21"/>
        </w:rPr>
      </w:pPr>
      <w:r>
        <w:rPr>
          <w:rFonts w:hint="eastAsia" w:ascii="宋体" w:hAnsi="宋体"/>
          <w:szCs w:val="21"/>
        </w:rPr>
        <w:t>本合同执行中相关的一切税费均由乙方承担。</w:t>
      </w:r>
    </w:p>
    <w:p>
      <w:pPr>
        <w:pStyle w:val="15"/>
        <w:widowControl w:val="0"/>
        <w:tabs>
          <w:tab w:val="left" w:pos="5940"/>
        </w:tabs>
        <w:spacing w:before="0" w:beforeAutospacing="0" w:after="0" w:afterAutospacing="0" w:line="360" w:lineRule="auto"/>
        <w:ind w:firstLine="422" w:firstLineChars="200"/>
        <w:jc w:val="both"/>
        <w:rPr>
          <w:b/>
          <w:bCs/>
        </w:rPr>
      </w:pPr>
      <w:r>
        <w:rPr>
          <w:rFonts w:hint="eastAsia"/>
          <w:b/>
          <w:kern w:val="2"/>
          <w:sz w:val="21"/>
          <w:szCs w:val="21"/>
        </w:rPr>
        <w:t>第五条　</w:t>
      </w:r>
      <w:r>
        <w:rPr>
          <w:rFonts w:hint="eastAsia"/>
          <w:b/>
          <w:bCs/>
          <w:kern w:val="2"/>
          <w:sz w:val="21"/>
          <w:szCs w:val="21"/>
        </w:rPr>
        <w:t>提交服务成果时间和地点</w:t>
      </w:r>
    </w:p>
    <w:p>
      <w:pPr>
        <w:pStyle w:val="15"/>
        <w:widowControl w:val="0"/>
        <w:tabs>
          <w:tab w:val="left" w:pos="5250"/>
          <w:tab w:val="left" w:pos="5940"/>
        </w:tabs>
        <w:spacing w:before="0" w:beforeAutospacing="0" w:after="0" w:afterAutospacing="0" w:line="360" w:lineRule="auto"/>
        <w:ind w:firstLine="420" w:firstLineChars="200"/>
        <w:jc w:val="both"/>
        <w:rPr>
          <w:b/>
          <w:szCs w:val="21"/>
        </w:rPr>
      </w:pPr>
      <w:r>
        <w:rPr>
          <w:rFonts w:hint="eastAsia"/>
          <w:bCs/>
          <w:kern w:val="2"/>
          <w:sz w:val="21"/>
          <w:szCs w:val="21"/>
        </w:rPr>
        <w:t>1.提交服务成果时间：</w:t>
      </w:r>
      <w:r>
        <w:rPr>
          <w:rFonts w:hint="eastAsia"/>
          <w:kern w:val="2"/>
          <w:sz w:val="21"/>
          <w:szCs w:val="21"/>
        </w:rPr>
        <w:t>按《投标文件》中响应的时间完成（除甲方提供主要资料不全外），乙方应按甲方要求向甲方提供经甲方审核通过的成果报告。</w:t>
      </w:r>
    </w:p>
    <w:p>
      <w:pPr>
        <w:pStyle w:val="15"/>
        <w:widowControl w:val="0"/>
        <w:tabs>
          <w:tab w:val="left" w:pos="5940"/>
        </w:tabs>
        <w:spacing w:before="0" w:beforeAutospacing="0" w:after="0" w:afterAutospacing="0" w:line="360" w:lineRule="auto"/>
        <w:ind w:firstLine="420" w:firstLineChars="200"/>
        <w:jc w:val="both"/>
        <w:rPr>
          <w:b/>
          <w:szCs w:val="21"/>
        </w:rPr>
      </w:pPr>
      <w:r>
        <w:rPr>
          <w:rFonts w:hint="eastAsia"/>
          <w:bCs/>
          <w:kern w:val="2"/>
          <w:sz w:val="21"/>
          <w:szCs w:val="21"/>
        </w:rPr>
        <w:t>2.提交服务成果地点：</w:t>
      </w:r>
      <w:r>
        <w:rPr>
          <w:kern w:val="2"/>
          <w:sz w:val="21"/>
          <w:szCs w:val="21"/>
        </w:rPr>
        <w:t>广西南宁市（</w:t>
      </w:r>
      <w:r>
        <w:rPr>
          <w:rFonts w:hint="eastAsia"/>
          <w:kern w:val="2"/>
          <w:sz w:val="21"/>
          <w:szCs w:val="21"/>
        </w:rPr>
        <w:t>甲方</w:t>
      </w:r>
      <w:r>
        <w:rPr>
          <w:kern w:val="2"/>
          <w:sz w:val="21"/>
          <w:szCs w:val="21"/>
        </w:rPr>
        <w:t>指定地点）</w:t>
      </w:r>
      <w:r>
        <w:rPr>
          <w:rFonts w:hint="eastAsia"/>
          <w:kern w:val="2"/>
          <w:sz w:val="21"/>
          <w:szCs w:val="21"/>
        </w:rPr>
        <w:t>。</w:t>
      </w:r>
    </w:p>
    <w:p>
      <w:pPr>
        <w:pStyle w:val="15"/>
        <w:widowControl w:val="0"/>
        <w:tabs>
          <w:tab w:val="left" w:pos="5940"/>
        </w:tabs>
        <w:spacing w:before="0" w:beforeAutospacing="0" w:after="0" w:afterAutospacing="0" w:line="360" w:lineRule="auto"/>
        <w:ind w:firstLine="420" w:firstLineChars="200"/>
        <w:jc w:val="both"/>
      </w:pPr>
      <w:r>
        <w:rPr>
          <w:rFonts w:hint="eastAsia"/>
          <w:bCs/>
          <w:kern w:val="2"/>
          <w:sz w:val="21"/>
          <w:szCs w:val="21"/>
        </w:rPr>
        <w:t>3.</w:t>
      </w:r>
      <w:r>
        <w:rPr>
          <w:rFonts w:hint="eastAsia"/>
          <w:kern w:val="2"/>
          <w:sz w:val="21"/>
          <w:szCs w:val="21"/>
        </w:rPr>
        <w:t>乙方必须按投标文件承诺的服务响应条款向甲方提供服务。</w:t>
      </w:r>
    </w:p>
    <w:p>
      <w:pPr>
        <w:spacing w:line="360" w:lineRule="auto"/>
        <w:ind w:firstLine="422" w:firstLineChars="200"/>
        <w:rPr>
          <w:rFonts w:ascii="宋体" w:hAnsi="宋体"/>
          <w:b/>
          <w:szCs w:val="21"/>
        </w:rPr>
      </w:pPr>
      <w:r>
        <w:rPr>
          <w:rFonts w:hint="eastAsia" w:ascii="宋体" w:hAnsi="宋体"/>
          <w:b/>
          <w:szCs w:val="21"/>
        </w:rPr>
        <w:t>第六条  双方约定</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1.乙方应站在甲方的立场上对甲方委托的工程项目进行认真、细致、公正的服务，服从甲方的各项管理制度及管理要求。</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2.乙方不得将甲方委托的服务项目转交第三方完成。</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3.乙方应严格按国家有关标准提供服务。</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4.乙方在接受甲方委托的服务任务后应积极主动地与甲方联系，落实具体事宜，并安排相应的人员在规定的时间内完成任务。</w:t>
      </w:r>
    </w:p>
    <w:p>
      <w:pPr>
        <w:spacing w:line="360" w:lineRule="auto"/>
        <w:ind w:firstLine="422" w:firstLineChars="200"/>
        <w:rPr>
          <w:rFonts w:ascii="宋体" w:hAnsi="宋体"/>
          <w:b/>
          <w:szCs w:val="21"/>
        </w:rPr>
      </w:pPr>
      <w:r>
        <w:rPr>
          <w:rFonts w:hint="eastAsia" w:ascii="宋体" w:hAnsi="宋体"/>
          <w:b/>
          <w:szCs w:val="21"/>
        </w:rPr>
        <w:t>第七条　违约责任</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1.甲方违约造成乙方损失的，应按《中华人民共和国合同法》有关规定赔偿损失。</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甲方对乙方递交的规划编制成果（报告）进行审核，成果达不到要求的，甲方有权督促乙方修改完善，甲方不另支付费用；出现重大失误的，乙方必须承担由此造成的全部经济和法律责任，甲方不支付该项目的咨询服务费用。</w:t>
      </w:r>
    </w:p>
    <w:p>
      <w:pPr>
        <w:spacing w:line="360" w:lineRule="auto"/>
        <w:ind w:firstLine="422" w:firstLineChars="200"/>
        <w:rPr>
          <w:rFonts w:ascii="宋体" w:hAnsi="宋体"/>
          <w:b/>
          <w:szCs w:val="21"/>
        </w:rPr>
      </w:pPr>
      <w:r>
        <w:rPr>
          <w:rFonts w:hint="eastAsia" w:ascii="宋体" w:hAnsi="宋体"/>
          <w:b/>
          <w:szCs w:val="21"/>
        </w:rPr>
        <w:t>第八条  不可抗力事件处理</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1.在合同有效期内，任何一方因不可抗力事件导致不能履行合同，则合同履行期可延长，其延长期与不可抗力影响期相同。</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2.不可抗力事件发生后，应立即通知对方，并寄送有关权威机构出具的证明。</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3.不可抗力事件延续一百二十天以上，双方应通过友好协商，确定是否继续履行合同。</w:t>
      </w:r>
    </w:p>
    <w:p>
      <w:pPr>
        <w:spacing w:line="360" w:lineRule="auto"/>
        <w:ind w:firstLine="422" w:firstLineChars="200"/>
        <w:rPr>
          <w:rFonts w:ascii="宋体" w:hAnsi="宋体"/>
          <w:b/>
          <w:szCs w:val="21"/>
        </w:rPr>
      </w:pPr>
      <w:r>
        <w:rPr>
          <w:rFonts w:hint="eastAsia" w:ascii="宋体" w:hAnsi="宋体"/>
          <w:b/>
          <w:szCs w:val="21"/>
        </w:rPr>
        <w:t>第九条  合同争议解决</w:t>
      </w:r>
    </w:p>
    <w:p>
      <w:pPr>
        <w:autoSpaceDE w:val="0"/>
        <w:autoSpaceDN w:val="0"/>
        <w:adjustRightInd w:val="0"/>
        <w:spacing w:line="360" w:lineRule="auto"/>
        <w:ind w:firstLine="420" w:firstLineChars="200"/>
        <w:rPr>
          <w:rFonts w:ascii="宋体" w:hAnsi="宋体"/>
          <w:szCs w:val="21"/>
        </w:rPr>
      </w:pPr>
      <w:r>
        <w:rPr>
          <w:rFonts w:hint="eastAsia" w:ascii="宋体" w:hAnsi="宋体"/>
          <w:lang w:val="zh-CN"/>
        </w:rPr>
        <w:t>因履行本合同引起的或与本合同有关的争议，甲乙双方应首先通过友好协商解决，如果协商不能解决，</w:t>
      </w:r>
      <w:r>
        <w:rPr>
          <w:rFonts w:ascii="宋体" w:hAnsi="宋体"/>
          <w:lang w:val="zh-CN"/>
        </w:rPr>
        <w:t>可向甲方所在地的人民法院提起诉讼</w:t>
      </w:r>
      <w:r>
        <w:rPr>
          <w:rFonts w:hint="eastAsia" w:ascii="宋体" w:hAnsi="宋体"/>
          <w:lang w:val="zh-CN"/>
        </w:rPr>
        <w:t>。</w:t>
      </w:r>
    </w:p>
    <w:p>
      <w:pPr>
        <w:spacing w:line="360" w:lineRule="auto"/>
        <w:ind w:firstLine="422" w:firstLineChars="200"/>
        <w:rPr>
          <w:rFonts w:ascii="宋体" w:hAnsi="宋体"/>
          <w:b/>
          <w:szCs w:val="21"/>
        </w:rPr>
      </w:pPr>
      <w:r>
        <w:rPr>
          <w:rFonts w:hint="eastAsia" w:ascii="宋体" w:hAnsi="宋体"/>
          <w:b/>
          <w:szCs w:val="21"/>
        </w:rPr>
        <w:t>第十条  合同生效及其它</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1.合同经双方法定代表人或授权代表签字并加盖单位公章后生效。</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2.本合同未尽事宜，遵照《合同法》有关条文执行。</w:t>
      </w:r>
    </w:p>
    <w:p>
      <w:pPr>
        <w:spacing w:line="360" w:lineRule="auto"/>
        <w:ind w:firstLine="422" w:firstLineChars="200"/>
        <w:rPr>
          <w:rFonts w:ascii="宋体" w:hAnsi="宋体"/>
          <w:b/>
          <w:szCs w:val="21"/>
        </w:rPr>
      </w:pPr>
      <w:r>
        <w:rPr>
          <w:rFonts w:hint="eastAsia" w:ascii="宋体" w:hAnsi="宋体"/>
          <w:b/>
          <w:szCs w:val="21"/>
        </w:rPr>
        <w:t>第十一条  合同的变更、终止</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1.除《中华人民共和国政府采购法》第五十条规定的情形外，本合同一经签订，甲乙双方不得擅自变更、中止或终止。</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2.乙方不得擅自转让其应履行的合同义务。</w:t>
      </w:r>
    </w:p>
    <w:p>
      <w:pPr>
        <w:autoSpaceDE w:val="0"/>
        <w:autoSpaceDN w:val="0"/>
        <w:adjustRightInd w:val="0"/>
        <w:spacing w:line="360" w:lineRule="auto"/>
        <w:ind w:firstLine="420" w:firstLineChars="200"/>
        <w:rPr>
          <w:rFonts w:ascii="宋体" w:hAnsi="宋体"/>
          <w:szCs w:val="21"/>
        </w:rPr>
      </w:pPr>
      <w:r>
        <w:rPr>
          <w:rFonts w:hint="eastAsia" w:ascii="宋体" w:hAnsi="宋体"/>
          <w:lang w:val="zh-CN"/>
        </w:rPr>
        <w:t>3.合同执行中涉及采购资金和采购内容修改或补充的，须经财政部门审批，并签书面补充协议报财政</w:t>
      </w:r>
      <w:r>
        <w:rPr>
          <w:rFonts w:hint="eastAsia" w:ascii="宋体" w:hAnsi="宋体"/>
          <w:szCs w:val="21"/>
        </w:rPr>
        <w:t>部门备案，方可作为主合同不可分割的一部分。</w:t>
      </w:r>
    </w:p>
    <w:p>
      <w:pPr>
        <w:spacing w:line="360" w:lineRule="auto"/>
        <w:ind w:firstLine="422" w:firstLineChars="200"/>
        <w:rPr>
          <w:rFonts w:ascii="宋体" w:hAnsi="宋体"/>
          <w:b/>
          <w:szCs w:val="21"/>
        </w:rPr>
      </w:pPr>
      <w:r>
        <w:rPr>
          <w:rFonts w:hint="eastAsia" w:ascii="宋体" w:hAnsi="宋体"/>
          <w:b/>
          <w:szCs w:val="21"/>
        </w:rPr>
        <w:t>第十二条  签订本合同依据</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1.政府采购招标文件；</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2.乙方提供的采购投标（或应答）文件；</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3.投标承诺书；</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4.中标或成交通知书。</w:t>
      </w:r>
    </w:p>
    <w:p>
      <w:pPr>
        <w:spacing w:line="360" w:lineRule="auto"/>
        <w:ind w:firstLine="422" w:firstLineChars="200"/>
        <w:rPr>
          <w:rFonts w:ascii="宋体" w:hAnsi="宋体"/>
          <w:b/>
          <w:szCs w:val="21"/>
        </w:rPr>
      </w:pPr>
      <w:r>
        <w:rPr>
          <w:rFonts w:hint="eastAsia" w:ascii="宋体" w:hAnsi="宋体"/>
          <w:b/>
          <w:szCs w:val="21"/>
        </w:rPr>
        <w:t>第十三条  其他</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1.本项目招标文件、乙方的投标文件和有效补充文件以及合同附件是本合同不可分割的部分。</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2.合同未尽事宜由甲乙双方共同协商确定，补充合同具有相同的法律效力。</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3.本合同一式五份，具有同等法律效力，采购代理机构一份，甲方乙双方各二份。</w:t>
      </w:r>
    </w:p>
    <w:p>
      <w:pPr>
        <w:autoSpaceDE w:val="0"/>
        <w:autoSpaceDN w:val="0"/>
        <w:adjustRightInd w:val="0"/>
        <w:spacing w:afterLines="50" w:line="360" w:lineRule="auto"/>
        <w:ind w:firstLine="420" w:firstLineChars="200"/>
        <w:rPr>
          <w:rFonts w:ascii="宋体" w:hAnsi="宋体"/>
          <w:szCs w:val="21"/>
        </w:rPr>
      </w:pPr>
      <w:r>
        <w:rPr>
          <w:rFonts w:hint="eastAsia" w:ascii="宋体" w:hAnsi="宋体"/>
          <w:lang w:val="zh-CN"/>
        </w:rPr>
        <w:t>4.本合同甲乙双方签字盖章后生效，自签订之日起七个工作日内，采购人或采购代理机构应当将合同副本报同级财政部门备案。</w:t>
      </w: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 xml:space="preserve">甲方（单位公章）           </w:t>
            </w:r>
          </w:p>
          <w:p>
            <w:pPr>
              <w:snapToGrid w:val="0"/>
              <w:spacing w:line="360" w:lineRule="exact"/>
              <w:rPr>
                <w:rFonts w:ascii="宋体" w:hAnsi="宋体"/>
                <w:kern w:val="0"/>
                <w:szCs w:val="21"/>
              </w:rPr>
            </w:pPr>
          </w:p>
          <w:p>
            <w:pPr>
              <w:snapToGrid w:val="0"/>
              <w:spacing w:line="360" w:lineRule="exact"/>
              <w:ind w:firstLine="945" w:firstLineChars="450"/>
              <w:jc w:val="right"/>
              <w:rPr>
                <w:rFonts w:ascii="宋体" w:hAnsi="宋体"/>
                <w:kern w:val="0"/>
                <w:szCs w:val="21"/>
              </w:rPr>
            </w:pPr>
            <w:r>
              <w:rPr>
                <w:rFonts w:hint="eastAsia" w:ascii="宋体" w:hAnsi="宋体"/>
                <w:szCs w:val="21"/>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 xml:space="preserve">乙方（单位公章）              </w:t>
            </w:r>
          </w:p>
          <w:p>
            <w:pPr>
              <w:snapToGrid w:val="0"/>
              <w:spacing w:line="360" w:lineRule="exact"/>
              <w:rPr>
                <w:rFonts w:ascii="宋体" w:hAnsi="宋体"/>
                <w:kern w:val="0"/>
                <w:szCs w:val="21"/>
              </w:rPr>
            </w:pPr>
          </w:p>
          <w:p>
            <w:pPr>
              <w:snapToGrid w:val="0"/>
              <w:spacing w:line="360" w:lineRule="exact"/>
              <w:jc w:val="right"/>
              <w:rPr>
                <w:rFonts w:ascii="宋体" w:hAnsi="宋体"/>
                <w:kern w:val="0"/>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单位地址：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经办人：</w:t>
            </w:r>
          </w:p>
          <w:p>
            <w:pPr>
              <w:snapToGrid w:val="0"/>
              <w:spacing w:line="360" w:lineRule="exact"/>
              <w:ind w:firstLine="630" w:firstLineChars="300"/>
              <w:jc w:val="right"/>
              <w:rPr>
                <w:rFonts w:ascii="宋体" w:hAnsi="宋体"/>
                <w:kern w:val="0"/>
                <w:szCs w:val="21"/>
              </w:rPr>
            </w:pPr>
            <w:r>
              <w:rPr>
                <w:rFonts w:hint="eastAsia" w:ascii="宋体" w:hAnsi="宋体"/>
                <w:szCs w:val="21"/>
              </w:rPr>
              <w:t>年    月    日</w:t>
            </w:r>
          </w:p>
        </w:tc>
      </w:tr>
    </w:tbl>
    <w:p>
      <w:pPr>
        <w:snapToGrid w:val="0"/>
        <w:spacing w:line="360" w:lineRule="exact"/>
        <w:jc w:val="center"/>
        <w:rPr>
          <w:rFonts w:ascii="宋体" w:hAnsi="宋体"/>
          <w:b/>
          <w:sz w:val="28"/>
          <w:szCs w:val="28"/>
        </w:rPr>
      </w:pPr>
    </w:p>
    <w:p>
      <w:pPr>
        <w:spacing w:beforeLines="50" w:line="420" w:lineRule="exact"/>
        <w:jc w:val="center"/>
        <w:rPr>
          <w:rFonts w:ascii="宋体" w:hAnsi="宋体"/>
          <w:b/>
          <w:szCs w:val="21"/>
        </w:rPr>
      </w:pPr>
      <w:r>
        <w:rPr>
          <w:rFonts w:hint="eastAsia" w:ascii="宋体" w:hAnsi="宋体"/>
          <w:b/>
          <w:szCs w:val="21"/>
        </w:rPr>
        <w:br w:type="page"/>
      </w:r>
      <w:r>
        <w:rPr>
          <w:rFonts w:hint="eastAsia" w:ascii="宋体" w:hAnsi="宋体"/>
          <w:b/>
          <w:szCs w:val="21"/>
        </w:rPr>
        <w:t>合 同 附 件</w:t>
      </w:r>
    </w:p>
    <w:p>
      <w:pPr>
        <w:snapToGrid w:val="0"/>
        <w:spacing w:line="360" w:lineRule="exact"/>
        <w:jc w:val="center"/>
        <w:rPr>
          <w:rFonts w:ascii="宋体" w:hAnsi="宋体"/>
          <w:b/>
          <w:szCs w:val="21"/>
        </w:rPr>
      </w:pPr>
    </w:p>
    <w:tbl>
      <w:tblPr>
        <w:tblStyle w:val="1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3、服务期责任：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甲方（单位公章）</w:t>
            </w:r>
          </w:p>
          <w:p>
            <w:pPr>
              <w:snapToGrid w:val="0"/>
              <w:spacing w:line="360" w:lineRule="exact"/>
              <w:ind w:firstLine="422"/>
              <w:rPr>
                <w:rFonts w:ascii="宋体" w:hAnsi="宋体"/>
                <w:kern w:val="0"/>
                <w:szCs w:val="21"/>
              </w:rPr>
            </w:pPr>
          </w:p>
          <w:p>
            <w:pPr>
              <w:snapToGrid w:val="0"/>
              <w:spacing w:line="360" w:lineRule="exact"/>
              <w:ind w:firstLine="422"/>
              <w:rPr>
                <w:rFonts w:ascii="宋体" w:hAnsi="宋体"/>
                <w:kern w:val="0"/>
                <w:szCs w:val="21"/>
              </w:rPr>
            </w:pPr>
          </w:p>
          <w:p>
            <w:pPr>
              <w:snapToGrid w:val="0"/>
              <w:spacing w:line="360" w:lineRule="exact"/>
              <w:rPr>
                <w:rFonts w:ascii="宋体" w:hAnsi="宋体"/>
                <w:kern w:val="0"/>
                <w:szCs w:val="21"/>
              </w:rPr>
            </w:pPr>
          </w:p>
          <w:p>
            <w:pPr>
              <w:snapToGrid w:val="0"/>
              <w:spacing w:line="360" w:lineRule="exact"/>
              <w:ind w:firstLine="422"/>
              <w:rPr>
                <w:rFonts w:ascii="宋体" w:hAnsi="宋体"/>
                <w:kern w:val="0"/>
                <w:szCs w:val="21"/>
              </w:rPr>
            </w:pPr>
            <w:r>
              <w:rPr>
                <w:rFonts w:hint="eastAsia" w:ascii="宋体" w:hAnsi="宋体"/>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乙方（单位公章）</w:t>
            </w:r>
          </w:p>
          <w:p>
            <w:pPr>
              <w:snapToGrid w:val="0"/>
              <w:spacing w:line="360" w:lineRule="exact"/>
              <w:ind w:firstLine="422"/>
              <w:rPr>
                <w:rFonts w:ascii="宋体" w:hAnsi="宋体"/>
                <w:kern w:val="0"/>
                <w:szCs w:val="21"/>
              </w:rPr>
            </w:pPr>
          </w:p>
          <w:p>
            <w:pPr>
              <w:snapToGrid w:val="0"/>
              <w:spacing w:line="360" w:lineRule="exact"/>
              <w:ind w:firstLine="422"/>
              <w:rPr>
                <w:rFonts w:ascii="宋体" w:hAnsi="宋体"/>
                <w:kern w:val="0"/>
                <w:szCs w:val="21"/>
              </w:rPr>
            </w:pPr>
          </w:p>
          <w:p>
            <w:pPr>
              <w:snapToGrid w:val="0"/>
              <w:spacing w:line="360" w:lineRule="exact"/>
              <w:rPr>
                <w:rFonts w:ascii="宋体" w:hAnsi="宋体"/>
                <w:kern w:val="0"/>
                <w:szCs w:val="21"/>
              </w:rPr>
            </w:pPr>
          </w:p>
          <w:p>
            <w:pPr>
              <w:snapToGrid w:val="0"/>
              <w:spacing w:line="360" w:lineRule="exact"/>
              <w:ind w:firstLine="422"/>
              <w:rPr>
                <w:rFonts w:ascii="宋体" w:hAnsi="宋体"/>
                <w:kern w:val="0"/>
                <w:szCs w:val="21"/>
              </w:rPr>
            </w:pPr>
            <w:r>
              <w:rPr>
                <w:rFonts w:hint="eastAsia" w:ascii="宋体" w:hAnsi="宋体"/>
                <w:szCs w:val="21"/>
              </w:rPr>
              <w:t xml:space="preserve">                       年   月   日</w:t>
            </w:r>
          </w:p>
        </w:tc>
      </w:tr>
    </w:tbl>
    <w:p>
      <w:pPr>
        <w:autoSpaceDE w:val="0"/>
        <w:autoSpaceDN w:val="0"/>
        <w:spacing w:line="430" w:lineRule="exact"/>
        <w:ind w:firstLine="420" w:firstLineChars="200"/>
        <w:jc w:val="left"/>
        <w:rPr>
          <w:rFonts w:ascii="宋体" w:hAnsi="宋体"/>
          <w:szCs w:val="21"/>
        </w:rPr>
      </w:pPr>
      <w:r>
        <w:rPr>
          <w:rFonts w:hint="eastAsia" w:ascii="宋体" w:hAnsi="宋体"/>
          <w:szCs w:val="21"/>
        </w:rPr>
        <w:t>注：售后服务事项填不下时可另加附页。</w:t>
      </w:r>
    </w:p>
    <w:p>
      <w:pPr>
        <w:pStyle w:val="9"/>
        <w:snapToGrid w:val="0"/>
        <w:rPr>
          <w:rFonts w:hAnsi="宋体"/>
        </w:rPr>
      </w:pPr>
      <w:r>
        <w:rPr>
          <w:rFonts w:hAnsi="宋体"/>
          <w:szCs w:val="21"/>
        </w:rPr>
        <w:br w:type="page"/>
      </w:r>
      <w:r>
        <w:rPr>
          <w:rFonts w:hAnsi="宋体"/>
        </w:rPr>
        <w:t>附表1：</w:t>
      </w:r>
    </w:p>
    <w:p>
      <w:pPr>
        <w:pStyle w:val="9"/>
        <w:snapToGrid w:val="0"/>
        <w:ind w:firstLine="420" w:firstLineChars="200"/>
        <w:rPr>
          <w:rFonts w:hAnsi="宋体"/>
        </w:rPr>
      </w:pPr>
    </w:p>
    <w:p>
      <w:pPr>
        <w:widowControl/>
        <w:jc w:val="center"/>
        <w:rPr>
          <w:rFonts w:ascii="仿宋_GB2312" w:hAnsi="黑体" w:eastAsia="仿宋_GB2312" w:cs="新宋体"/>
          <w:b/>
          <w:bCs/>
          <w:sz w:val="32"/>
          <w:szCs w:val="32"/>
        </w:rPr>
      </w:pPr>
      <w:r>
        <w:rPr>
          <w:rFonts w:hint="eastAsia" w:ascii="方正小标宋简体" w:hAnsi="黑体" w:eastAsia="方正小标宋简体" w:cs="新宋体"/>
          <w:b/>
          <w:bCs/>
          <w:sz w:val="32"/>
          <w:szCs w:val="32"/>
        </w:rPr>
        <w:t>广西壮族自治区政府采购项目</w:t>
      </w:r>
      <w:r>
        <w:rPr>
          <w:rFonts w:hint="eastAsia" w:ascii="方正小标宋简体" w:hAnsi="黑体" w:eastAsia="方正小标宋简体"/>
          <w:sz w:val="32"/>
          <w:szCs w:val="32"/>
        </w:rPr>
        <w:t>合同验收书</w:t>
      </w:r>
      <w:r>
        <w:rPr>
          <w:rFonts w:hint="eastAsia" w:ascii="仿宋_GB2312" w:hAnsi="黑体" w:eastAsia="仿宋_GB2312"/>
          <w:sz w:val="32"/>
          <w:szCs w:val="32"/>
        </w:rPr>
        <w:t>（格式）</w:t>
      </w:r>
    </w:p>
    <w:p>
      <w:pPr>
        <w:widowControl/>
        <w:snapToGrid w:val="0"/>
        <w:spacing w:before="100" w:beforeAutospacing="1" w:after="100" w:afterAutospacing="1" w:line="320" w:lineRule="exact"/>
        <w:ind w:left="-359" w:leftChars="-171" w:firstLine="420" w:firstLineChars="200"/>
        <w:jc w:val="left"/>
        <w:rPr>
          <w:rFonts w:hAnsi="宋体"/>
        </w:rPr>
      </w:pPr>
      <w:r>
        <w:rPr>
          <w:rFonts w:hint="eastAsia" w:ascii="宋体" w:hAnsi="宋体"/>
          <w:szCs w:val="21"/>
        </w:rPr>
        <w:t>根据政府采购项目（采购合同编号：）的约定，我单位对（）政府采购项目中标（成交）供应商（</w:t>
      </w:r>
      <w:r>
        <w:rPr>
          <w:rFonts w:hint="eastAsia" w:ascii="宋体" w:hAnsi="宋体"/>
          <w:szCs w:val="21"/>
          <w:u w:val="single"/>
        </w:rPr>
        <w:t xml:space="preserve">            公司名称              </w:t>
      </w:r>
      <w:r>
        <w:rPr>
          <w:rFonts w:hint="eastAsia" w:ascii="宋体" w:hAnsi="宋体"/>
          <w:szCs w:val="21"/>
        </w:rPr>
        <w:t>）提供的服务进行了验收，验收情况如下：</w:t>
      </w:r>
    </w:p>
    <w:tbl>
      <w:tblPr>
        <w:tblStyle w:val="17"/>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宋体" w:hAnsi="宋体"/>
                <w:kern w:val="0"/>
                <w:szCs w:val="21"/>
              </w:rPr>
            </w:pPr>
            <w:r>
              <w:rPr>
                <w:rFonts w:hint="eastAsia" w:ascii="宋体" w:hAnsi="宋体"/>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宋体" w:hAnsi="宋体"/>
                <w:kern w:val="0"/>
                <w:szCs w:val="21"/>
              </w:rPr>
            </w:pPr>
            <w:r>
              <w:rPr>
                <w:rFonts w:hint="eastAsia" w:ascii="宋体" w:hAnsi="宋体"/>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宋体" w:hAnsi="宋体"/>
                <w:kern w:val="0"/>
                <w:szCs w:val="21"/>
              </w:rPr>
            </w:pPr>
            <w:r>
              <w:rPr>
                <w:rFonts w:hint="eastAsia" w:ascii="宋体" w:hAnsi="宋体"/>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kern w:val="0"/>
                <w:szCs w:val="21"/>
              </w:rPr>
            </w:pPr>
            <w:r>
              <w:rPr>
                <w:rFonts w:hint="eastAsia" w:ascii="宋体" w:hAnsi="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kern w:val="0"/>
                <w:szCs w:val="21"/>
              </w:rPr>
            </w:pPr>
            <w:r>
              <w:rPr>
                <w:rFonts w:hint="eastAsia" w:ascii="宋体" w:hAnsi="宋体"/>
                <w:kern w:val="0"/>
                <w:szCs w:val="21"/>
              </w:rPr>
              <w:t>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宋体" w:hAnsi="宋体"/>
                <w:kern w:val="0"/>
                <w:szCs w:val="21"/>
              </w:rPr>
            </w:pPr>
            <w:r>
              <w:rPr>
                <w:rFonts w:hint="eastAsia" w:ascii="宋体" w:hAnsi="宋体"/>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kern w:val="0"/>
                <w:szCs w:val="21"/>
              </w:rPr>
            </w:pPr>
            <w:r>
              <w:rPr>
                <w:rFonts w:hint="eastAsia" w:ascii="宋体" w:hAnsi="宋体"/>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kern w:val="0"/>
                <w:szCs w:val="21"/>
              </w:rPr>
            </w:pPr>
            <w:r>
              <w:rPr>
                <w:rFonts w:hint="eastAsia" w:ascii="宋体" w:hAnsi="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kern w:val="0"/>
                <w:szCs w:val="21"/>
              </w:rPr>
            </w:pPr>
            <w:r>
              <w:rPr>
                <w:rFonts w:hint="eastAsia" w:ascii="宋体" w:hAnsi="宋体"/>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kern w:val="0"/>
                <w:szCs w:val="21"/>
              </w:rPr>
            </w:pPr>
            <w:r>
              <w:rPr>
                <w:rFonts w:hint="eastAsia" w:ascii="宋体" w:hAnsi="宋体"/>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kern w:val="0"/>
                <w:szCs w:val="21"/>
              </w:rPr>
            </w:pPr>
            <w:r>
              <w:rPr>
                <w:rFonts w:hint="eastAsia" w:ascii="宋体" w:hAnsi="宋体"/>
                <w:kern w:val="0"/>
                <w:szCs w:val="21"/>
              </w:rPr>
              <w:t>实际完成日期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kern w:val="0"/>
                <w:szCs w:val="21"/>
              </w:rPr>
            </w:pPr>
            <w:r>
              <w:rPr>
                <w:rFonts w:hint="eastAsia" w:ascii="宋体" w:hAnsi="宋体"/>
                <w:kern w:val="0"/>
                <w:szCs w:val="21"/>
              </w:rPr>
              <w:t>合同验收日期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20" w:firstLineChars="200"/>
              <w:jc w:val="left"/>
              <w:rPr>
                <w:rFonts w:ascii="宋体" w:hAnsi="宋体"/>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kern w:val="0"/>
                <w:szCs w:val="21"/>
              </w:rPr>
            </w:pPr>
            <w:r>
              <w:rPr>
                <w:rFonts w:hint="eastAsia" w:ascii="宋体" w:hAnsi="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kern w:val="0"/>
                <w:szCs w:val="21"/>
              </w:rPr>
            </w:pPr>
            <w:r>
              <w:rPr>
                <w:rFonts w:hint="eastAsia" w:ascii="宋体" w:hAnsi="宋体"/>
                <w:szCs w:val="21"/>
              </w:rPr>
              <w:t>（应</w:t>
            </w:r>
            <w:r>
              <w:rPr>
                <w:rFonts w:hint="eastAsia" w:ascii="宋体" w:hAnsi="宋体"/>
                <w:kern w:val="0"/>
                <w:szCs w:val="21"/>
              </w:rPr>
              <w:t>按采购合同、采购文件、投标（响应）文件及验收方案等进行验收；并核对</w:t>
            </w:r>
            <w:r>
              <w:rPr>
                <w:rFonts w:hint="eastAsia" w:ascii="宋体" w:hAnsi="宋体"/>
                <w:szCs w:val="21"/>
              </w:rPr>
              <w:t>中标（成交）供应商在服务、培训等方面是否违反合同约定或服务规范要求、提供的质量保证证明材料是否齐全并达到合同约定等</w:t>
            </w:r>
            <w:r>
              <w:rPr>
                <w:rFonts w:hint="eastAsia" w:ascii="宋体" w:hAnsi="宋体"/>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ind w:firstLine="210" w:firstLineChars="100"/>
              <w:jc w:val="left"/>
              <w:rPr>
                <w:rFonts w:ascii="宋体" w:hAnsi="宋体"/>
                <w:kern w:val="0"/>
                <w:szCs w:val="21"/>
              </w:rPr>
            </w:pPr>
            <w:r>
              <w:rPr>
                <w:rFonts w:hint="eastAsia" w:ascii="宋体" w:hAnsi="宋体"/>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210" w:firstLineChars="100"/>
              <w:jc w:val="left"/>
              <w:rPr>
                <w:rFonts w:ascii="宋体" w:hAnsi="宋体"/>
                <w:kern w:val="0"/>
                <w:szCs w:val="21"/>
              </w:rPr>
            </w:pPr>
            <w:r>
              <w:rPr>
                <w:rFonts w:hint="eastAsia" w:ascii="宋体" w:hAnsi="宋体"/>
                <w:kern w:val="0"/>
                <w:szCs w:val="21"/>
              </w:rPr>
              <w:t>有异议的意见和说明理由：</w:t>
            </w:r>
          </w:p>
          <w:p>
            <w:pPr>
              <w:spacing w:before="100" w:beforeAutospacing="1" w:after="100" w:afterAutospacing="1" w:line="320" w:lineRule="exact"/>
              <w:jc w:val="left"/>
              <w:rPr>
                <w:rFonts w:ascii="宋体" w:hAnsi="宋体"/>
                <w:kern w:val="0"/>
                <w:szCs w:val="21"/>
              </w:rPr>
            </w:pPr>
            <w:r>
              <w:rPr>
                <w:rFonts w:hint="eastAsia" w:ascii="宋体" w:hAnsi="宋体"/>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监督人员或其他相关人员签字：</w:t>
            </w:r>
          </w:p>
          <w:p>
            <w:pPr>
              <w:widowControl/>
              <w:spacing w:before="100" w:beforeAutospacing="1" w:after="100" w:afterAutospacing="1" w:line="320" w:lineRule="exact"/>
              <w:ind w:firstLine="65" w:firstLineChars="31"/>
              <w:jc w:val="left"/>
              <w:rPr>
                <w:rFonts w:ascii="宋体" w:hAnsi="宋体"/>
                <w:kern w:val="0"/>
                <w:szCs w:val="21"/>
              </w:rPr>
            </w:pPr>
            <w:r>
              <w:rPr>
                <w:rFonts w:hint="eastAsia" w:ascii="宋体" w:hAnsi="宋体"/>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宋体" w:hAnsi="宋体"/>
                <w:kern w:val="0"/>
                <w:szCs w:val="21"/>
              </w:rPr>
            </w:pPr>
            <w:r>
              <w:rPr>
                <w:rFonts w:hint="eastAsia" w:ascii="宋体" w:hAnsi="宋体"/>
                <w:kern w:val="0"/>
                <w:szCs w:val="21"/>
              </w:rPr>
              <w:t>中标或者成交供应商负责人签字或盖章：</w:t>
            </w:r>
          </w:p>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 采购人或受托机构的意见（盖章）：</w:t>
            </w:r>
          </w:p>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联系电话：                 年   月   日</w:t>
            </w:r>
          </w:p>
        </w:tc>
      </w:tr>
    </w:tbl>
    <w:p>
      <w:pPr>
        <w:widowControl/>
        <w:ind w:left="12" w:leftChars="-72" w:right="-237" w:rightChars="-113" w:hanging="163" w:hangingChars="78"/>
        <w:jc w:val="left"/>
        <w:rPr>
          <w:rFonts w:ascii="宋体" w:hAnsi="宋体"/>
          <w:szCs w:val="21"/>
        </w:rPr>
      </w:pPr>
      <w:r>
        <w:rPr>
          <w:rFonts w:hint="eastAsia" w:ascii="宋体" w:hAnsi="宋体"/>
          <w:szCs w:val="21"/>
        </w:rPr>
        <w:t>备注：本报告单一式4份（采购单位1份、供应商1份、采购监督部门备案1份、采购代理机构1份）。</w:t>
      </w:r>
    </w:p>
    <w:p>
      <w:pPr>
        <w:jc w:val="left"/>
        <w:rPr>
          <w:rFonts w:hAnsi="宋体"/>
        </w:rPr>
      </w:pPr>
      <w:r>
        <w:rPr>
          <w:rFonts w:hAnsi="宋体"/>
        </w:rPr>
        <w:br w:type="page"/>
      </w:r>
      <w:r>
        <w:rPr>
          <w:rFonts w:hint="eastAsia" w:hAnsi="宋体"/>
        </w:rPr>
        <w:t>附表2：</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pPr>
        <w:jc w:val="center"/>
        <w:rPr>
          <w:rFonts w:ascii="黑体" w:hAnsi="黑体" w:eastAsia="黑体"/>
          <w:sz w:val="36"/>
          <w:szCs w:val="36"/>
        </w:rPr>
      </w:pPr>
    </w:p>
    <w:tbl>
      <w:tblPr>
        <w:tblStyle w:val="17"/>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45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sz w:val="24"/>
              </w:rPr>
            </w:pPr>
          </w:p>
        </w:tc>
        <w:tc>
          <w:tcPr>
            <w:tcW w:w="845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sz w:val="24"/>
              </w:rPr>
            </w:pPr>
          </w:p>
        </w:tc>
        <w:tc>
          <w:tcPr>
            <w:tcW w:w="8456" w:type="dxa"/>
          </w:tcPr>
          <w:p>
            <w:pPr>
              <w:rPr>
                <w:sz w:val="24"/>
              </w:rPr>
            </w:pPr>
          </w:p>
          <w:p>
            <w:pPr>
              <w:spacing w:line="400" w:lineRule="exact"/>
              <w:ind w:firstLine="480" w:firstLineChars="200"/>
              <w:rPr>
                <w:sz w:val="24"/>
              </w:rPr>
            </w:pPr>
            <w:r>
              <w:rPr>
                <w:rFonts w:hint="eastAsia"/>
                <w:sz w:val="24"/>
              </w:rPr>
              <w:t>该项目已于年月日验收并交付使用。根据合同规定，该项目的履约保证金期限于年月日已满，请将履约保证金（大写）￥（小写）退付到达以下帐户。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   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 xml:space="preserve">         供应商签章：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45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                         采购人签章</w:t>
            </w:r>
          </w:p>
          <w:p>
            <w:pPr>
              <w:spacing w:line="520" w:lineRule="exact"/>
              <w:jc w:val="center"/>
              <w:rPr>
                <w:sz w:val="24"/>
              </w:rPr>
            </w:pPr>
            <w:r>
              <w:rPr>
                <w:rFonts w:hint="eastAsia"/>
                <w:sz w:val="24"/>
              </w:rPr>
              <w:t xml:space="preserve">                                        年    月     日</w:t>
            </w:r>
          </w:p>
          <w:p>
            <w:pPr>
              <w:spacing w:line="520" w:lineRule="exact"/>
              <w:jc w:val="center"/>
              <w:rPr>
                <w:sz w:val="24"/>
              </w:rPr>
            </w:pPr>
          </w:p>
        </w:tc>
      </w:tr>
    </w:tbl>
    <w:p>
      <w:pPr>
        <w:autoSpaceDE w:val="0"/>
        <w:autoSpaceDN w:val="0"/>
        <w:spacing w:line="430" w:lineRule="exact"/>
        <w:ind w:firstLine="361" w:firstLineChars="200"/>
        <w:jc w:val="left"/>
        <w:rPr>
          <w:rFonts w:ascii="宋体" w:cs="宋体"/>
          <w:sz w:val="32"/>
          <w:szCs w:val="32"/>
        </w:rPr>
        <w:sectPr>
          <w:pgSz w:w="11907" w:h="16840"/>
          <w:pgMar w:top="1247" w:right="1247" w:bottom="1247" w:left="1304" w:header="851" w:footer="850" w:gutter="0"/>
          <w:cols w:space="0" w:num="1"/>
          <w:docGrid w:linePitch="286" w:charSpace="0"/>
        </w:sectPr>
      </w:pPr>
      <w:r>
        <w:rPr>
          <w:rFonts w:hint="eastAsia" w:ascii="宋体" w:hAnsi="Courier New" w:cs="Courier New"/>
          <w:b/>
          <w:bCs/>
          <w:sz w:val="18"/>
          <w:szCs w:val="21"/>
        </w:rPr>
        <w:t>注：供应商凭经采购人审批的退付意见书到保证金收取单位办理履约保证金退付事宜。</w:t>
      </w:r>
    </w:p>
    <w:p>
      <w:pPr>
        <w:pStyle w:val="4"/>
        <w:bidi w:val="0"/>
        <w:adjustRightInd/>
        <w:snapToGrid/>
        <w:spacing w:before="240" w:after="240"/>
        <w:rPr>
          <w:rFonts w:ascii="宋体" w:hAnsi="宋体" w:eastAsia="宋体" w:cs="宋体"/>
          <w:bCs/>
          <w:color w:val="auto"/>
          <w:sz w:val="36"/>
          <w:szCs w:val="20"/>
          <w:vertAlign w:val="baseline"/>
        </w:rPr>
      </w:pPr>
      <w:bookmarkStart w:id="124" w:name="_bookmark0"/>
      <w:bookmarkEnd w:id="124"/>
      <w:bookmarkStart w:id="125" w:name="_bookmark1"/>
      <w:bookmarkEnd w:id="125"/>
      <w:bookmarkStart w:id="126" w:name="_Toc28701"/>
      <w:bookmarkStart w:id="127" w:name="_Toc27126"/>
      <w:bookmarkStart w:id="128" w:name="_Toc25237"/>
      <w:bookmarkStart w:id="129" w:name="_Toc489544254"/>
      <w:bookmarkStart w:id="130" w:name="_Toc7184"/>
      <w:r>
        <w:rPr>
          <w:rFonts w:hint="eastAsia" w:ascii="宋体" w:hAnsi="宋体" w:eastAsia="宋体" w:cs="宋体"/>
          <w:bCs/>
          <w:color w:val="auto"/>
          <w:sz w:val="36"/>
          <w:szCs w:val="20"/>
          <w:vertAlign w:val="baseline"/>
        </w:rPr>
        <w:t xml:space="preserve">第六章 </w:t>
      </w:r>
      <w:bookmarkEnd w:id="126"/>
      <w:bookmarkEnd w:id="127"/>
      <w:bookmarkEnd w:id="128"/>
      <w:r>
        <w:rPr>
          <w:rFonts w:hint="eastAsia" w:ascii="宋体" w:hAnsi="宋体" w:eastAsia="宋体" w:cs="宋体"/>
          <w:bCs/>
          <w:color w:val="auto"/>
          <w:sz w:val="36"/>
          <w:szCs w:val="20"/>
          <w:vertAlign w:val="baseline"/>
        </w:rPr>
        <w:t>评标方法及评分标准</w:t>
      </w:r>
      <w:bookmarkEnd w:id="129"/>
      <w:bookmarkEnd w:id="130"/>
    </w:p>
    <w:p>
      <w:pPr>
        <w:pStyle w:val="9"/>
        <w:spacing w:line="336" w:lineRule="auto"/>
        <w:textAlignment w:val="top"/>
        <w:rPr>
          <w:rFonts w:hAnsi="宋体" w:cs="宋体"/>
          <w:b/>
          <w:bCs/>
          <w:kern w:val="0"/>
          <w:szCs w:val="21"/>
        </w:rPr>
      </w:pPr>
      <w:r>
        <w:rPr>
          <w:rFonts w:hint="eastAsia" w:hAnsi="宋体" w:cs="宋体"/>
          <w:b/>
          <w:bCs/>
          <w:kern w:val="0"/>
          <w:szCs w:val="21"/>
        </w:rPr>
        <w:t>一、评标原则</w:t>
      </w:r>
    </w:p>
    <w:p>
      <w:pPr>
        <w:spacing w:line="336" w:lineRule="auto"/>
        <w:ind w:firstLine="420" w:firstLineChars="200"/>
        <w:textAlignment w:val="top"/>
        <w:rPr>
          <w:rFonts w:ascii="宋体" w:hAnsi="宋体" w:cs="宋体"/>
          <w:szCs w:val="21"/>
        </w:rPr>
      </w:pPr>
      <w:r>
        <w:rPr>
          <w:rFonts w:hint="eastAsia" w:ascii="宋体" w:hAnsi="宋体" w:cs="宋体"/>
          <w:szCs w:val="21"/>
        </w:rPr>
        <w:t>（一）</w:t>
      </w:r>
      <w:r>
        <w:rPr>
          <w:rFonts w:hint="eastAsia" w:ascii="宋体" w:hAnsi="宋体"/>
          <w:bCs/>
          <w:szCs w:val="21"/>
        </w:rPr>
        <w:t>磋商小组成员组成：本竞争性磋商采购项目的磋商小组由采购人代表和评审专家共三人以上的单数组成，其中评审专家的人数不得少于磋商小组成员总数的三分之二。</w:t>
      </w:r>
    </w:p>
    <w:p>
      <w:pPr>
        <w:spacing w:line="336" w:lineRule="auto"/>
        <w:ind w:firstLine="420" w:firstLineChars="200"/>
        <w:textAlignment w:val="top"/>
        <w:rPr>
          <w:rFonts w:ascii="宋体" w:hAnsi="宋体"/>
          <w:bCs/>
          <w:szCs w:val="21"/>
        </w:rPr>
      </w:pPr>
      <w:r>
        <w:rPr>
          <w:rFonts w:hint="eastAsia" w:ascii="宋体" w:hAnsi="宋体" w:cs="宋体"/>
          <w:szCs w:val="21"/>
        </w:rPr>
        <w:t>（二）</w:t>
      </w:r>
      <w:r>
        <w:rPr>
          <w:rFonts w:hint="eastAsia" w:ascii="宋体" w:hAnsi="宋体"/>
          <w:bCs/>
          <w:szCs w:val="21"/>
        </w:rPr>
        <w:t>评审依据：磋商小组将以竞争性磋商文件和竞争性磋商响应文件为依据，对供应商的报价、技术、商务等内容按百分制打分。</w:t>
      </w:r>
    </w:p>
    <w:p>
      <w:pPr>
        <w:spacing w:line="336" w:lineRule="auto"/>
        <w:ind w:firstLine="420" w:firstLineChars="200"/>
        <w:textAlignment w:val="top"/>
        <w:rPr>
          <w:rFonts w:ascii="宋体" w:hAnsi="宋体" w:cs="宋体"/>
          <w:b/>
          <w:kern w:val="0"/>
          <w:szCs w:val="21"/>
        </w:rPr>
      </w:pPr>
      <w:r>
        <w:rPr>
          <w:rFonts w:hint="eastAsia" w:ascii="宋体" w:hAnsi="宋体" w:cs="宋体"/>
          <w:bCs/>
          <w:kern w:val="0"/>
          <w:szCs w:val="21"/>
        </w:rPr>
        <w:t>（三）评审方式：以封闭方式进行。</w:t>
      </w:r>
    </w:p>
    <w:p>
      <w:pPr>
        <w:spacing w:line="336" w:lineRule="auto"/>
        <w:textAlignment w:val="top"/>
        <w:rPr>
          <w:rFonts w:ascii="宋体" w:hAnsi="宋体" w:cs="宋体"/>
          <w:b/>
          <w:szCs w:val="21"/>
        </w:rPr>
      </w:pPr>
      <w:r>
        <w:rPr>
          <w:rFonts w:hint="eastAsia" w:ascii="宋体" w:hAnsi="宋体" w:cs="宋体"/>
          <w:b/>
          <w:szCs w:val="21"/>
        </w:rPr>
        <w:t>二、评标方法</w:t>
      </w:r>
    </w:p>
    <w:p>
      <w:pPr>
        <w:spacing w:line="336" w:lineRule="auto"/>
        <w:ind w:firstLine="420" w:firstLineChars="200"/>
        <w:textAlignment w:val="top"/>
        <w:rPr>
          <w:rFonts w:ascii="宋体" w:hAnsi="宋体"/>
          <w:bCs/>
          <w:szCs w:val="21"/>
        </w:rPr>
      </w:pPr>
      <w:bookmarkStart w:id="131" w:name="_Toc454"/>
      <w:bookmarkStart w:id="132" w:name="_Toc489544090"/>
      <w:bookmarkStart w:id="133" w:name="_Toc26574"/>
      <w:bookmarkStart w:id="134" w:name="_Toc489544255"/>
      <w:r>
        <w:rPr>
          <w:rFonts w:hint="eastAsia" w:ascii="宋体" w:hAnsi="宋体"/>
          <w:bCs/>
          <w:szCs w:val="21"/>
        </w:rPr>
        <w:t>（一）对进入详评的，采用百分制综合评分法。</w:t>
      </w:r>
      <w:bookmarkEnd w:id="131"/>
      <w:bookmarkEnd w:id="132"/>
      <w:bookmarkEnd w:id="133"/>
      <w:bookmarkEnd w:id="134"/>
    </w:p>
    <w:p>
      <w:pPr>
        <w:spacing w:line="336" w:lineRule="auto"/>
        <w:ind w:firstLine="420" w:firstLineChars="200"/>
        <w:textAlignment w:val="top"/>
        <w:rPr>
          <w:rFonts w:ascii="宋体" w:hAnsi="宋体"/>
          <w:bCs/>
          <w:szCs w:val="21"/>
        </w:rPr>
      </w:pPr>
      <w:r>
        <w:rPr>
          <w:rFonts w:hint="eastAsia" w:ascii="宋体" w:hAnsi="宋体"/>
          <w:bCs/>
          <w:szCs w:val="21"/>
        </w:rPr>
        <w:t>（二）计分办法（按四舍五入取至百分位）：</w:t>
      </w:r>
    </w:p>
    <w:p>
      <w:pPr>
        <w:spacing w:line="336" w:lineRule="auto"/>
        <w:ind w:firstLine="422" w:firstLineChars="200"/>
        <w:textAlignment w:val="top"/>
        <w:rPr>
          <w:rFonts w:ascii="宋体" w:hAnsi="宋体" w:cs="宋体"/>
          <w:b/>
          <w:kern w:val="0"/>
          <w:szCs w:val="21"/>
        </w:rPr>
      </w:pPr>
      <w:r>
        <w:rPr>
          <w:rFonts w:ascii="宋体" w:hAnsi="宋体" w:cs="宋体"/>
          <w:b/>
          <w:kern w:val="0"/>
          <w:szCs w:val="21"/>
        </w:rPr>
        <w:t>1</w:t>
      </w:r>
      <w:r>
        <w:rPr>
          <w:rFonts w:hint="eastAsia" w:ascii="宋体" w:hAnsi="宋体" w:cs="宋体"/>
          <w:b/>
          <w:kern w:val="0"/>
          <w:szCs w:val="21"/>
        </w:rPr>
        <w:t>、价格分………………………………………………………………………………………1</w:t>
      </w:r>
      <w:r>
        <w:rPr>
          <w:rFonts w:ascii="宋体" w:hAnsi="宋体" w:cs="宋体"/>
          <w:b/>
          <w:kern w:val="0"/>
          <w:szCs w:val="21"/>
        </w:rPr>
        <w:t>0</w:t>
      </w:r>
      <w:r>
        <w:rPr>
          <w:rFonts w:hint="eastAsia" w:ascii="宋体" w:hAnsi="宋体" w:cs="宋体"/>
          <w:b/>
          <w:kern w:val="0"/>
          <w:szCs w:val="21"/>
        </w:rPr>
        <w:t>分</w:t>
      </w:r>
    </w:p>
    <w:p>
      <w:pPr>
        <w:spacing w:line="336" w:lineRule="auto"/>
        <w:ind w:firstLine="420" w:firstLineChars="200"/>
        <w:textAlignment w:val="top"/>
        <w:rPr>
          <w:rFonts w:ascii="宋体" w:hAnsi="宋体" w:cs="宋体"/>
          <w:szCs w:val="21"/>
        </w:rPr>
      </w:pPr>
      <w:r>
        <w:rPr>
          <w:rFonts w:hint="eastAsia" w:ascii="宋体" w:hAnsi="宋体" w:cs="宋体"/>
          <w:szCs w:val="21"/>
        </w:rPr>
        <w:t>（1）按《政府采购促进中小企业发展暂行办法》（财库[2011]181号）的规定，磋商供应商为小型和微型企业,且其所投产品（服务）为小型和微型企业产品（服务）的，对其投标价给予6%的扣除，扣除后的价格为评标价，即评标价=最后报价×（1-6%）。【磋商供应商须在响应文件中提供《中小企业声明函》（按第四章要求格式填写），否则不予价格扣除；磋商供应商提供的《中小企业声明函》与事实不符的，依照《中华人民共和国政府采购法》第七十七条第一款的规定追究法律责任】</w:t>
      </w:r>
    </w:p>
    <w:p>
      <w:pPr>
        <w:spacing w:line="336" w:lineRule="auto"/>
        <w:ind w:firstLine="420" w:firstLineChars="200"/>
        <w:textAlignment w:val="top"/>
        <w:rPr>
          <w:rFonts w:ascii="宋体" w:hAnsi="宋体" w:cs="宋体"/>
          <w:szCs w:val="21"/>
        </w:rPr>
      </w:pPr>
      <w:r>
        <w:rPr>
          <w:rFonts w:hint="eastAsia" w:ascii="宋体" w:hAnsi="宋体" w:cs="宋体"/>
          <w:szCs w:val="21"/>
        </w:rPr>
        <w:t>按《关于政府采购支持监狱企业发展有关问题的通知》(财库[2014]68号)认定为监狱企业的，在政府采购活动中，监狱企业视同小型、微型企业。监狱企业属于小型、微型企业的，不重复享受政策。监狱企业参加政府采购活动时，应当提供由省级以上监狱管理局、戒毒管理局(含新疆生产建设兵团)出具的属于监狱企业的证明文件。</w:t>
      </w:r>
    </w:p>
    <w:p>
      <w:pPr>
        <w:spacing w:line="336" w:lineRule="auto"/>
        <w:ind w:firstLine="420" w:firstLineChars="200"/>
        <w:textAlignment w:val="top"/>
        <w:rPr>
          <w:rFonts w:ascii="宋体" w:hAnsi="宋体" w:cs="Courier New"/>
          <w:bCs/>
          <w:szCs w:val="21"/>
        </w:rPr>
      </w:pPr>
      <w:r>
        <w:rPr>
          <w:rFonts w:hint="eastAsia" w:ascii="宋体" w:hAnsi="宋体" w:cs="宋体"/>
          <w:szCs w:val="21"/>
        </w:rPr>
        <w:t>按《关于促进残疾人就业政府采购政策的通知》(财库〔2017〕141号)认定为残疾人福利性单位的，在政府采购活动中，残疾人福利性单位视同小型、微型企业。残疾人福利性单位属于小型、微型企业的，不重复享受政策。【磋商供应商须在响应文件中提供《残疾人福利性单位声明函》（按第四章要求格式填写），否则不予价格扣除；并随成交结果同时公告其《残疾人福利性单位声明函》，接受社会监督。磋商供应商提供的《残疾人福利性单位声明函》与事实不符的，依照《中华人民共和国政府采购法》第七十七条第一款的规定追究法律责任】</w:t>
      </w:r>
    </w:p>
    <w:p>
      <w:pPr>
        <w:spacing w:line="336" w:lineRule="auto"/>
        <w:ind w:firstLine="420" w:firstLineChars="200"/>
        <w:textAlignment w:val="top"/>
        <w:rPr>
          <w:rFonts w:ascii="宋体" w:hAnsi="宋体" w:cs="宋体"/>
          <w:szCs w:val="21"/>
        </w:rPr>
      </w:pPr>
      <w:r>
        <w:rPr>
          <w:rFonts w:hint="eastAsia" w:ascii="宋体" w:hAnsi="宋体" w:cs="宋体"/>
          <w:szCs w:val="21"/>
        </w:rPr>
        <w:t>（2）以进入综合评分环节的最低评标价为</w:t>
      </w:r>
      <w:r>
        <w:rPr>
          <w:rFonts w:hint="eastAsia" w:ascii="宋体" w:hAnsi="宋体" w:cs="宋体"/>
          <w:szCs w:val="21"/>
          <w:u w:val="single"/>
        </w:rPr>
        <w:t>1</w:t>
      </w:r>
      <w:r>
        <w:rPr>
          <w:rFonts w:ascii="宋体" w:hAnsi="宋体" w:cs="宋体"/>
          <w:szCs w:val="21"/>
          <w:u w:val="single"/>
        </w:rPr>
        <w:t>0</w:t>
      </w:r>
      <w:r>
        <w:rPr>
          <w:rFonts w:hint="eastAsia" w:ascii="宋体" w:hAnsi="宋体" w:cs="宋体"/>
          <w:szCs w:val="21"/>
        </w:rPr>
        <w:t>分。</w:t>
      </w:r>
    </w:p>
    <w:p>
      <w:pPr>
        <w:spacing w:beforeLines="60" w:line="300" w:lineRule="exact"/>
        <w:ind w:firstLine="3084" w:firstLineChars="1469"/>
        <w:rPr>
          <w:rFonts w:ascii="宋体" w:hAnsi="宋体" w:cs="Courier New"/>
          <w:bCs/>
          <w:szCs w:val="21"/>
        </w:rPr>
      </w:pPr>
      <w:r>
        <w:rPr>
          <w:rFonts w:hint="eastAsia" w:ascii="宋体" w:hAnsi="宋体" w:cs="Courier New"/>
          <w:bCs/>
          <w:szCs w:val="21"/>
        </w:rPr>
        <w:t xml:space="preserve">  磋商供应商最低</w:t>
      </w:r>
      <w:r>
        <w:rPr>
          <w:rFonts w:hint="eastAsia" w:ascii="宋体" w:hAnsi="宋体" w:cs="Courier New"/>
          <w:szCs w:val="21"/>
        </w:rPr>
        <w:t>评标价（</w:t>
      </w:r>
      <w:r>
        <w:rPr>
          <w:rFonts w:hint="eastAsia" w:ascii="宋体" w:hAnsi="宋体" w:cs="Courier New"/>
          <w:bCs/>
          <w:szCs w:val="21"/>
        </w:rPr>
        <w:t>金额</w:t>
      </w:r>
      <w:r>
        <w:rPr>
          <w:rFonts w:hint="eastAsia" w:ascii="宋体" w:hAnsi="宋体" w:cs="Courier New"/>
          <w:szCs w:val="21"/>
        </w:rPr>
        <w:t>）</w:t>
      </w:r>
    </w:p>
    <w:p>
      <w:pPr>
        <w:spacing w:line="300" w:lineRule="exact"/>
        <w:ind w:firstLine="420" w:firstLineChars="200"/>
        <w:rPr>
          <w:rFonts w:ascii="宋体" w:hAnsi="宋体"/>
          <w:szCs w:val="21"/>
        </w:rPr>
      </w:pPr>
      <w:r>
        <w:rPr>
          <w:szCs w:val="21"/>
        </w:rPr>
        <w:pict>
          <v:line id="1026" o:spid="_x0000_s1026" o:spt="20" style="position:absolute;left:0pt;margin-left:154.65pt;margin-top:8.9pt;height:0pt;width:160.85pt;z-index:1024;mso-width-relative:page;mso-height-relative:page;" coordsize="21600,21600" o:gfxdata="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t7dqPVAAAACQEAAA8AAAAAAAAAAQAgAAAAIgAAAGRycy9kb3ducmV2LnhtbFBLAQIUABQAAAAI&#10;AIdO4kBOSI1UtwEAAH0DAAAOAAAAAAAAAAEAIAAAACQBAABkcnMvZTJvRG9jLnhtbFBLBQYAAAAA&#10;BgAGAFkBAABNBQAAAAA=&#10;">
            <v:path arrowok="t"/>
            <v:fill focussize="0,0"/>
            <v:stroke/>
            <v:imagedata o:title=""/>
            <o:lock v:ext="edit"/>
          </v:line>
        </w:pict>
      </w:r>
      <w:r>
        <w:rPr>
          <w:rFonts w:hint="eastAsia" w:ascii="宋体" w:hAnsi="宋体"/>
          <w:szCs w:val="21"/>
        </w:rPr>
        <w:t>（3）某磋商供应商价格分 =                                ×1</w:t>
      </w:r>
      <w:r>
        <w:rPr>
          <w:rFonts w:ascii="宋体" w:hAnsi="宋体"/>
          <w:szCs w:val="21"/>
        </w:rPr>
        <w:t>0</w:t>
      </w:r>
      <w:r>
        <w:rPr>
          <w:rFonts w:hint="eastAsia" w:ascii="宋体" w:hAnsi="宋体"/>
          <w:szCs w:val="21"/>
        </w:rPr>
        <w:t>分</w:t>
      </w:r>
    </w:p>
    <w:p>
      <w:pPr>
        <w:spacing w:afterLines="60" w:line="300" w:lineRule="exact"/>
        <w:ind w:firstLine="3360" w:firstLineChars="1600"/>
        <w:rPr>
          <w:rFonts w:ascii="宋体" w:hAnsi="宋体"/>
          <w:szCs w:val="21"/>
        </w:rPr>
      </w:pPr>
      <w:r>
        <w:rPr>
          <w:rFonts w:hint="eastAsia" w:ascii="宋体" w:hAnsi="宋体"/>
          <w:szCs w:val="21"/>
        </w:rPr>
        <w:t>某磋商供应商评标价（金额）</w:t>
      </w:r>
    </w:p>
    <w:p>
      <w:pPr>
        <w:spacing w:line="336" w:lineRule="auto"/>
        <w:ind w:firstLine="422" w:firstLineChars="200"/>
        <w:textAlignment w:val="top"/>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2、技术</w:t>
      </w:r>
      <w:r>
        <w:rPr>
          <w:rFonts w:hint="eastAsia" w:cs="宋体" w:asciiTheme="minorEastAsia" w:hAnsiTheme="minorEastAsia" w:eastAsiaTheme="minorEastAsia"/>
          <w:b/>
          <w:szCs w:val="21"/>
        </w:rPr>
        <w:t>分</w:t>
      </w:r>
      <w:r>
        <w:rPr>
          <w:rFonts w:hint="eastAsia" w:cs="宋体" w:asciiTheme="minorEastAsia" w:hAnsiTheme="minorEastAsia" w:eastAsiaTheme="minorEastAsia"/>
          <w:b/>
          <w:bCs/>
          <w:szCs w:val="21"/>
        </w:rPr>
        <w:t>…………………………………………………………………………………………5</w:t>
      </w:r>
      <w:r>
        <w:rPr>
          <w:rFonts w:cs="宋体" w:asciiTheme="minorEastAsia" w:hAnsiTheme="minorEastAsia" w:eastAsiaTheme="minorEastAsia"/>
          <w:b/>
          <w:bCs/>
          <w:szCs w:val="21"/>
        </w:rPr>
        <w:t>5</w:t>
      </w:r>
      <w:r>
        <w:rPr>
          <w:rFonts w:hint="eastAsia" w:cs="宋体" w:asciiTheme="minorEastAsia" w:hAnsiTheme="minorEastAsia" w:eastAsiaTheme="minorEastAsia"/>
          <w:b/>
          <w:bCs/>
          <w:szCs w:val="21"/>
        </w:rPr>
        <w:t>分</w:t>
      </w:r>
    </w:p>
    <w:p>
      <w:pPr>
        <w:spacing w:line="336" w:lineRule="auto"/>
        <w:ind w:firstLine="422" w:firstLineChars="200"/>
        <w:textAlignment w:val="top"/>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（1）项目理解、分析分（满分20分）</w:t>
      </w:r>
    </w:p>
    <w:p>
      <w:pPr>
        <w:spacing w:line="336" w:lineRule="auto"/>
        <w:ind w:firstLine="420" w:firstLineChars="200"/>
        <w:textAlignment w:val="top"/>
        <w:rPr>
          <w:rFonts w:asciiTheme="minorEastAsia" w:hAnsiTheme="minorEastAsia" w:eastAsiaTheme="minorEastAsia"/>
          <w:szCs w:val="21"/>
        </w:rPr>
      </w:pPr>
      <w:r>
        <w:rPr>
          <w:rFonts w:hint="eastAsia" w:asciiTheme="minorEastAsia" w:hAnsiTheme="minorEastAsia" w:eastAsiaTheme="minorEastAsia"/>
          <w:szCs w:val="21"/>
        </w:rPr>
        <w:t>供应商对本项目的理解程度，特别是对项目的工作难点、关键点难点分析是否准确，由磋商小组</w:t>
      </w:r>
      <w:r>
        <w:rPr>
          <w:rFonts w:asciiTheme="minorEastAsia" w:hAnsiTheme="minorEastAsia" w:eastAsiaTheme="minorEastAsia"/>
          <w:szCs w:val="21"/>
        </w:rPr>
        <w:t>独立定档和打分</w:t>
      </w:r>
      <w:r>
        <w:rPr>
          <w:rFonts w:hint="eastAsia" w:asciiTheme="minorEastAsia" w:hAnsiTheme="minorEastAsia" w:eastAsiaTheme="minorEastAsia"/>
          <w:szCs w:val="21"/>
        </w:rPr>
        <w:t>。</w:t>
      </w:r>
    </w:p>
    <w:p>
      <w:pPr>
        <w:spacing w:line="312" w:lineRule="auto"/>
        <w:ind w:firstLine="420" w:firstLineChars="200"/>
        <w:textAlignment w:val="top"/>
        <w:rPr>
          <w:rFonts w:ascii="宋体" w:hAnsi="宋体"/>
          <w:szCs w:val="21"/>
        </w:rPr>
      </w:pPr>
      <w:r>
        <w:rPr>
          <w:rFonts w:hint="eastAsia" w:ascii="宋体" w:hAnsi="宋体"/>
          <w:szCs w:val="21"/>
        </w:rPr>
        <w:t>一档（0分）：供应商</w:t>
      </w:r>
      <w:r>
        <w:rPr>
          <w:rFonts w:ascii="宋体" w:hAnsi="宋体"/>
          <w:szCs w:val="21"/>
        </w:rPr>
        <w:t>提供的</w:t>
      </w:r>
      <w:r>
        <w:rPr>
          <w:rFonts w:hint="eastAsia" w:ascii="宋体" w:hAnsi="宋体"/>
          <w:szCs w:val="21"/>
        </w:rPr>
        <w:t>竞标</w:t>
      </w:r>
      <w:r>
        <w:rPr>
          <w:rFonts w:ascii="宋体" w:hAnsi="宋体"/>
          <w:szCs w:val="21"/>
        </w:rPr>
        <w:t>文件无项目理解和难点、关键点分析</w:t>
      </w:r>
      <w:r>
        <w:rPr>
          <w:rFonts w:hint="eastAsia" w:ascii="宋体" w:hAnsi="宋体"/>
          <w:szCs w:val="21"/>
        </w:rPr>
        <w:t>；</w:t>
      </w:r>
    </w:p>
    <w:p>
      <w:pPr>
        <w:spacing w:line="312" w:lineRule="auto"/>
        <w:ind w:firstLine="420" w:firstLineChars="200"/>
        <w:textAlignment w:val="top"/>
        <w:rPr>
          <w:rFonts w:ascii="宋体" w:hAnsi="宋体"/>
          <w:szCs w:val="21"/>
        </w:rPr>
      </w:pPr>
      <w:r>
        <w:rPr>
          <w:rFonts w:hint="eastAsia" w:ascii="宋体" w:hAnsi="宋体"/>
          <w:szCs w:val="21"/>
        </w:rPr>
        <w:t>二档（7分）：对项目总体及难点有认识，但认识不够深入，论述简单，难点不完全贴合项目实际,解决方案可操作性差，不满足项目要求；</w:t>
      </w:r>
    </w:p>
    <w:p>
      <w:pPr>
        <w:spacing w:line="312" w:lineRule="auto"/>
        <w:ind w:firstLine="420" w:firstLineChars="200"/>
        <w:textAlignment w:val="top"/>
        <w:rPr>
          <w:rFonts w:ascii="宋体" w:hAnsi="宋体"/>
          <w:szCs w:val="21"/>
        </w:rPr>
      </w:pPr>
      <w:r>
        <w:rPr>
          <w:rFonts w:hint="eastAsia" w:ascii="宋体" w:hAnsi="宋体"/>
          <w:szCs w:val="21"/>
        </w:rPr>
        <w:t>三档（14分）：对项目总体及难点有一定认识，对</w:t>
      </w:r>
      <w:r>
        <w:rPr>
          <w:rFonts w:hint="eastAsia" w:asciiTheme="minorEastAsia" w:hAnsiTheme="minorEastAsia" w:eastAsiaTheme="minorEastAsia"/>
          <w:szCs w:val="21"/>
        </w:rPr>
        <w:t>项目所在区域区情、水情及当前水安全所处阶段有一定认识，论述较清晰，</w:t>
      </w:r>
      <w:r>
        <w:rPr>
          <w:rFonts w:hint="eastAsia" w:ascii="宋体" w:hAnsi="宋体"/>
          <w:szCs w:val="21"/>
        </w:rPr>
        <w:t>解决难点方案可操作性一般，建议基本可行，基本满足项目要求；</w:t>
      </w:r>
    </w:p>
    <w:p>
      <w:pPr>
        <w:spacing w:line="312" w:lineRule="auto"/>
        <w:ind w:firstLine="420" w:firstLineChars="200"/>
        <w:textAlignment w:val="top"/>
        <w:rPr>
          <w:rFonts w:ascii="宋体" w:hAnsi="宋体"/>
          <w:szCs w:val="21"/>
        </w:rPr>
      </w:pPr>
      <w:r>
        <w:rPr>
          <w:rFonts w:hint="eastAsia" w:ascii="宋体" w:hAnsi="宋体"/>
          <w:szCs w:val="21"/>
        </w:rPr>
        <w:t>四档（20分）：对项目总体及难点有深刻认识，对</w:t>
      </w:r>
      <w:r>
        <w:rPr>
          <w:rFonts w:hint="eastAsia" w:asciiTheme="minorEastAsia" w:hAnsiTheme="minorEastAsia" w:eastAsiaTheme="minorEastAsia"/>
          <w:szCs w:val="21"/>
        </w:rPr>
        <w:t>项目所在区域区情、水情及当前水安全所处阶段有深刻认识，论述详细、清晰、具体；提出的难点和关键点贴合项目实际，</w:t>
      </w:r>
      <w:r>
        <w:rPr>
          <w:rFonts w:hint="eastAsia" w:ascii="宋体" w:hAnsi="宋体"/>
          <w:szCs w:val="21"/>
        </w:rPr>
        <w:t>解决难点方案可操作性强，建议可行，充分满足项目要求。</w:t>
      </w:r>
    </w:p>
    <w:p>
      <w:pPr>
        <w:spacing w:line="336" w:lineRule="auto"/>
        <w:ind w:firstLine="422" w:firstLineChars="200"/>
        <w:textAlignment w:val="top"/>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（2）项目技术方案分（满分15分）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供应商提出的规划技术方案思路是否清晰、准确，布局是否合理，是否具有系统性、可行性，由磋商小组</w:t>
      </w:r>
      <w:r>
        <w:rPr>
          <w:rFonts w:asciiTheme="minorEastAsia" w:hAnsiTheme="minorEastAsia" w:eastAsiaTheme="minorEastAsia"/>
          <w:szCs w:val="21"/>
        </w:rPr>
        <w:t>独立定档和打分</w:t>
      </w:r>
      <w:r>
        <w:rPr>
          <w:rFonts w:hint="eastAsia" w:asciiTheme="minorEastAsia" w:hAnsiTheme="minorEastAsia" w:eastAsiaTheme="minorEastAsia"/>
          <w:szCs w:val="21"/>
        </w:rPr>
        <w:t>。</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一档（0分）：提出的编制技术方案内容和要求简单、不完整，无编制提纲，可行性不强；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二档（5分）：提出的编制技术方案内容和要求简单，可行性一般，</w:t>
      </w:r>
      <w:r>
        <w:rPr>
          <w:rFonts w:asciiTheme="minorEastAsia" w:hAnsiTheme="minorEastAsia" w:eastAsiaTheme="minorEastAsia"/>
          <w:szCs w:val="21"/>
        </w:rPr>
        <w:t>方案整体性较弱</w:t>
      </w:r>
      <w:r>
        <w:rPr>
          <w:rFonts w:hint="eastAsia" w:asciiTheme="minorEastAsia" w:hAnsiTheme="minorEastAsia" w:eastAsiaTheme="minorEastAsia"/>
          <w:szCs w:val="21"/>
        </w:rPr>
        <w:t>，编制提纲层次不够分明，技术方案阐述模糊或部分不具体、重点不明确，水安全保障关键技术认识不深，综合评价一般；</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10分）：在满足二档的基础上，提出的编制技术方案提纲、编制内容和要求基本可行，阐述较为清晰、完整，布局基本合理，对水安全保障整体思路、任务、总体布局等关键技术有一定认识，适合广西的要求，基本响应新时代水利工作方针要求，基本满足项目要求，综合评价良好；</w:t>
      </w:r>
    </w:p>
    <w:p>
      <w:pPr>
        <w:spacing w:line="336" w:lineRule="auto"/>
        <w:ind w:firstLine="420" w:firstLineChars="200"/>
        <w:textAlignment w:val="top"/>
        <w:rPr>
          <w:rFonts w:asciiTheme="minorEastAsia" w:hAnsiTheme="minorEastAsia" w:eastAsiaTheme="minorEastAsia"/>
          <w:szCs w:val="21"/>
        </w:rPr>
      </w:pPr>
      <w:r>
        <w:rPr>
          <w:rFonts w:hint="eastAsia" w:asciiTheme="minorEastAsia" w:hAnsiTheme="minorEastAsia" w:eastAsiaTheme="minorEastAsia"/>
          <w:szCs w:val="21"/>
        </w:rPr>
        <w:t>四档（15分）：在满足三档的基础上，出的实施方案编制提纲</w:t>
      </w:r>
      <w:r>
        <w:rPr>
          <w:rFonts w:asciiTheme="minorEastAsia" w:hAnsiTheme="minorEastAsia" w:eastAsiaTheme="minorEastAsia"/>
          <w:szCs w:val="21"/>
        </w:rPr>
        <w:t>详细可行、布局合理，提供详细的</w:t>
      </w:r>
      <w:r>
        <w:rPr>
          <w:rFonts w:hint="eastAsia" w:asciiTheme="minorEastAsia" w:hAnsiTheme="minorEastAsia" w:eastAsiaTheme="minorEastAsia"/>
          <w:szCs w:val="21"/>
        </w:rPr>
        <w:t>规划</w:t>
      </w:r>
      <w:r>
        <w:rPr>
          <w:rFonts w:asciiTheme="minorEastAsia" w:hAnsiTheme="minorEastAsia" w:eastAsiaTheme="minorEastAsia"/>
          <w:szCs w:val="21"/>
        </w:rPr>
        <w:t>技术方案，</w:t>
      </w:r>
      <w:r>
        <w:rPr>
          <w:rFonts w:hint="eastAsia" w:asciiTheme="minorEastAsia" w:hAnsiTheme="minorEastAsia" w:eastAsiaTheme="minorEastAsia"/>
          <w:szCs w:val="21"/>
        </w:rPr>
        <w:t>方案针对性强、准确、完整、合理，阐述清晰、严谨，</w:t>
      </w:r>
      <w:r>
        <w:rPr>
          <w:rFonts w:asciiTheme="minorEastAsia" w:hAnsiTheme="minorEastAsia" w:eastAsiaTheme="minorEastAsia"/>
          <w:szCs w:val="21"/>
        </w:rPr>
        <w:t>方案规划得当描述正确，架构拓朴清晰，且方案整体性、可靠性、先进性好</w:t>
      </w:r>
      <w:r>
        <w:rPr>
          <w:rFonts w:hint="eastAsia" w:asciiTheme="minorEastAsia" w:hAnsiTheme="minorEastAsia" w:eastAsiaTheme="minorEastAsia"/>
          <w:szCs w:val="21"/>
        </w:rPr>
        <w:t>，</w:t>
      </w:r>
      <w:r>
        <w:rPr>
          <w:rFonts w:asciiTheme="minorEastAsia" w:hAnsiTheme="minorEastAsia" w:eastAsiaTheme="minorEastAsia"/>
          <w:szCs w:val="21"/>
        </w:rPr>
        <w:t>对</w:t>
      </w:r>
      <w:r>
        <w:rPr>
          <w:rFonts w:hint="eastAsia" w:asciiTheme="minorEastAsia" w:hAnsiTheme="minorEastAsia" w:eastAsiaTheme="minorEastAsia"/>
          <w:szCs w:val="21"/>
        </w:rPr>
        <w:t>采购人</w:t>
      </w:r>
      <w:r>
        <w:rPr>
          <w:rFonts w:asciiTheme="minorEastAsia" w:hAnsiTheme="minorEastAsia" w:eastAsiaTheme="minorEastAsia"/>
          <w:szCs w:val="21"/>
        </w:rPr>
        <w:t>业务需求理解透彻、完整，</w:t>
      </w:r>
      <w:r>
        <w:rPr>
          <w:rFonts w:hint="eastAsia" w:asciiTheme="minorEastAsia" w:hAnsiTheme="minorEastAsia" w:eastAsiaTheme="minorEastAsia"/>
          <w:szCs w:val="21"/>
        </w:rPr>
        <w:t>适合广西的要求，完全响应新时代水利工作方针要求，完全贴合采购需求，对水安全保障关键技术有深刻了解和研究，充分掌握不同技术的应用场景和应用范围，综合评价优秀。</w:t>
      </w:r>
    </w:p>
    <w:p>
      <w:pPr>
        <w:spacing w:line="350" w:lineRule="exact"/>
        <w:ind w:firstLine="422" w:firstLineChars="200"/>
        <w:rPr>
          <w:rFonts w:ascii="宋体" w:hAnsi="宋体" w:cs="宋体"/>
          <w:b/>
          <w:szCs w:val="21"/>
        </w:rPr>
      </w:pPr>
      <w:r>
        <w:rPr>
          <w:rFonts w:hint="eastAsia" w:ascii="宋体" w:hAnsi="宋体" w:cs="宋体"/>
          <w:b/>
          <w:szCs w:val="21"/>
        </w:rPr>
        <w:t>（3）进度安排、组织管理、质量保证措施分（满分5分）；</w:t>
      </w:r>
    </w:p>
    <w:p>
      <w:pPr>
        <w:spacing w:line="350" w:lineRule="exact"/>
        <w:ind w:firstLine="420" w:firstLineChars="200"/>
        <w:rPr>
          <w:rFonts w:ascii="宋体" w:hAnsi="宋体" w:cs="宋体"/>
          <w:szCs w:val="21"/>
        </w:rPr>
      </w:pPr>
      <w:r>
        <w:rPr>
          <w:rFonts w:hint="eastAsia" w:ascii="宋体" w:hAnsi="宋体" w:cs="宋体"/>
          <w:szCs w:val="21"/>
        </w:rPr>
        <w:t>一档（0分）：无进度安排、组织管理、质量控制措施。</w:t>
      </w:r>
    </w:p>
    <w:p>
      <w:pPr>
        <w:spacing w:line="350" w:lineRule="exact"/>
        <w:ind w:firstLine="420" w:firstLineChars="200"/>
        <w:rPr>
          <w:rFonts w:ascii="宋体" w:hAnsi="宋体" w:cs="宋体"/>
          <w:szCs w:val="21"/>
        </w:rPr>
      </w:pPr>
      <w:r>
        <w:rPr>
          <w:rFonts w:hint="eastAsia" w:ascii="宋体" w:hAnsi="宋体" w:cs="宋体"/>
          <w:szCs w:val="21"/>
        </w:rPr>
        <w:t>二档（1分）：进度安排、组织管理不合理，质量控制措施可操作性差。</w:t>
      </w:r>
    </w:p>
    <w:p>
      <w:pPr>
        <w:spacing w:line="350" w:lineRule="exact"/>
        <w:ind w:firstLine="420" w:firstLineChars="200"/>
        <w:rPr>
          <w:rFonts w:ascii="宋体" w:hAnsi="宋体" w:cs="宋体"/>
          <w:szCs w:val="21"/>
        </w:rPr>
      </w:pPr>
      <w:r>
        <w:rPr>
          <w:rFonts w:hint="eastAsia" w:ascii="宋体" w:hAnsi="宋体" w:cs="宋体"/>
          <w:szCs w:val="21"/>
        </w:rPr>
        <w:t>三档（3分）：进度安排、组织管理一般，质量控制措施可操作性一般。</w:t>
      </w:r>
    </w:p>
    <w:p>
      <w:pPr>
        <w:spacing w:line="336" w:lineRule="auto"/>
        <w:ind w:firstLine="420" w:firstLineChars="200"/>
        <w:textAlignment w:val="top"/>
        <w:rPr>
          <w:rFonts w:asciiTheme="minorEastAsia" w:hAnsiTheme="minorEastAsia" w:eastAsiaTheme="minorEastAsia"/>
          <w:szCs w:val="21"/>
        </w:rPr>
      </w:pPr>
      <w:r>
        <w:rPr>
          <w:rFonts w:hint="eastAsia" w:ascii="宋体" w:hAnsi="宋体" w:cs="宋体"/>
          <w:szCs w:val="21"/>
        </w:rPr>
        <w:t>四档（5分）：进度安排、组织管理合理，质量控制措施有针对性，可操作性强。</w:t>
      </w:r>
    </w:p>
    <w:p>
      <w:pPr>
        <w:spacing w:line="336" w:lineRule="auto"/>
        <w:ind w:firstLine="422" w:firstLineChars="200"/>
        <w:rPr>
          <w:rFonts w:cs="宋体" w:asciiTheme="minorEastAsia" w:hAnsiTheme="minorEastAsia" w:eastAsiaTheme="minorEastAsia"/>
          <w:szCs w:val="21"/>
        </w:rPr>
      </w:pPr>
      <w:r>
        <w:rPr>
          <w:rFonts w:cs="宋体" w:asciiTheme="minorEastAsia" w:hAnsiTheme="minorEastAsia" w:eastAsiaTheme="minorEastAsia"/>
          <w:b/>
          <w:bCs/>
          <w:szCs w:val="21"/>
        </w:rPr>
        <w:t>（</w:t>
      </w:r>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w:t>
      </w:r>
      <w:r>
        <w:rPr>
          <w:rFonts w:hint="eastAsia" w:ascii="宋体" w:hAnsi="宋体" w:cs="宋体"/>
          <w:b/>
          <w:szCs w:val="21"/>
        </w:rPr>
        <w:t>服务响应及承诺分</w:t>
      </w:r>
      <w:r>
        <w:rPr>
          <w:rFonts w:cs="宋体" w:asciiTheme="minorEastAsia" w:hAnsiTheme="minorEastAsia" w:eastAsiaTheme="minorEastAsia"/>
          <w:b/>
          <w:bCs/>
          <w:szCs w:val="21"/>
        </w:rPr>
        <w:t>（满分15分）</w:t>
      </w:r>
    </w:p>
    <w:p>
      <w:pPr>
        <w:pStyle w:val="9"/>
        <w:spacing w:line="312" w:lineRule="auto"/>
        <w:ind w:firstLine="420" w:firstLineChars="200"/>
        <w:textAlignment w:val="top"/>
        <w:rPr>
          <w:rFonts w:hAnsi="宋体" w:cs="宋体"/>
        </w:rPr>
      </w:pPr>
      <w:r>
        <w:rPr>
          <w:rFonts w:hint="eastAsia" w:hAnsi="宋体"/>
        </w:rPr>
        <w:t>一档（0分）：</w:t>
      </w:r>
      <w:r>
        <w:rPr>
          <w:rFonts w:hint="eastAsia" w:hAnsi="宋体" w:cs="宋体"/>
          <w:kern w:val="0"/>
        </w:rPr>
        <w:t>磋商供应商</w:t>
      </w:r>
      <w:r>
        <w:rPr>
          <w:rFonts w:hAnsi="宋体"/>
        </w:rPr>
        <w:t>提供的投标文件无</w:t>
      </w:r>
      <w:r>
        <w:rPr>
          <w:rFonts w:hint="eastAsia" w:hAnsi="宋体" w:cs="宋体"/>
          <w:szCs w:val="21"/>
        </w:rPr>
        <w:t>服务响应及承诺</w:t>
      </w:r>
      <w:r>
        <w:rPr>
          <w:rFonts w:hint="eastAsia" w:hAnsi="宋体"/>
        </w:rPr>
        <w:t>；</w:t>
      </w:r>
    </w:p>
    <w:p>
      <w:pPr>
        <w:spacing w:line="350" w:lineRule="exact"/>
        <w:ind w:firstLine="420" w:firstLineChars="200"/>
        <w:rPr>
          <w:rFonts w:ascii="宋体" w:hAnsi="宋体" w:cs="宋体"/>
          <w:szCs w:val="21"/>
        </w:rPr>
      </w:pPr>
      <w:r>
        <w:rPr>
          <w:rFonts w:hint="eastAsia" w:ascii="宋体" w:hAnsi="宋体" w:cs="宋体"/>
          <w:szCs w:val="21"/>
        </w:rPr>
        <w:t>二档（</w:t>
      </w:r>
      <w:r>
        <w:rPr>
          <w:rFonts w:ascii="宋体" w:hAnsi="宋体" w:cs="宋体"/>
          <w:szCs w:val="21"/>
        </w:rPr>
        <w:t>5</w:t>
      </w:r>
      <w:r>
        <w:rPr>
          <w:rFonts w:hint="eastAsia" w:ascii="宋体" w:hAnsi="宋体" w:cs="宋体"/>
          <w:szCs w:val="21"/>
        </w:rPr>
        <w:t>分）：服务响应及承诺基本满足采购人需求，磋商供应商在项目所在地省内没有常驻服务和技术支持机构或常驻服务和技术支持机构且配备的技术人员不足；</w:t>
      </w:r>
    </w:p>
    <w:p>
      <w:pPr>
        <w:spacing w:line="350" w:lineRule="exact"/>
        <w:ind w:firstLine="420" w:firstLineChars="200"/>
        <w:rPr>
          <w:rFonts w:ascii="宋体" w:hAnsi="宋体" w:cs="宋体"/>
          <w:szCs w:val="21"/>
        </w:rPr>
      </w:pPr>
      <w:r>
        <w:rPr>
          <w:rFonts w:hint="eastAsia" w:ascii="宋体" w:hAnsi="宋体" w:cs="宋体"/>
          <w:szCs w:val="21"/>
        </w:rPr>
        <w:t>三档（</w:t>
      </w:r>
      <w:r>
        <w:rPr>
          <w:rFonts w:ascii="宋体" w:hAnsi="宋体" w:cs="宋体"/>
          <w:szCs w:val="21"/>
        </w:rPr>
        <w:t>10</w:t>
      </w:r>
      <w:r>
        <w:rPr>
          <w:rFonts w:hint="eastAsia" w:ascii="宋体" w:hAnsi="宋体" w:cs="宋体"/>
          <w:szCs w:val="21"/>
        </w:rPr>
        <w:t>分）：服务响应及承诺满足采购人需求，磋商供应商在项目所在地省内设有常驻服务和技术支持机构（须提供项目所在地省内工商局相关证明材料）配备有足够的技术人员，且能及时响应并到达采购人办公地点；</w:t>
      </w:r>
    </w:p>
    <w:p>
      <w:pPr>
        <w:pStyle w:val="9"/>
        <w:spacing w:line="312" w:lineRule="auto"/>
        <w:ind w:firstLine="420" w:firstLineChars="200"/>
        <w:textAlignment w:val="top"/>
        <w:rPr>
          <w:rFonts w:hAnsi="宋体" w:cs="宋体"/>
        </w:rPr>
      </w:pPr>
      <w:r>
        <w:rPr>
          <w:rFonts w:hint="eastAsia" w:hAnsi="宋体" w:cs="宋体"/>
          <w:szCs w:val="21"/>
        </w:rPr>
        <w:t>四档（</w:t>
      </w:r>
      <w:r>
        <w:rPr>
          <w:rFonts w:hAnsi="宋体" w:cs="宋体"/>
          <w:szCs w:val="21"/>
        </w:rPr>
        <w:t>15</w:t>
      </w:r>
      <w:r>
        <w:rPr>
          <w:rFonts w:hint="eastAsia" w:hAnsi="宋体" w:cs="宋体"/>
          <w:szCs w:val="21"/>
        </w:rPr>
        <w:t>分）：服务响应及承诺完全满足采购人需求，磋商供应商在项目所在地省内设有常驻服务和技术支持机构（须提供项目所在地省内工商局相关证明材料）配备有足够的、有相应资质的技术人员，且能迅速响应并到达采购人办公地点。</w:t>
      </w:r>
    </w:p>
    <w:p>
      <w:pPr>
        <w:spacing w:line="336"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3、投入人员配置分（满分</w:t>
      </w:r>
      <w:r>
        <w:rPr>
          <w:rFonts w:cs="宋体" w:asciiTheme="minorEastAsia" w:hAnsiTheme="minorEastAsia" w:eastAsiaTheme="minorEastAsia"/>
          <w:b/>
          <w:bCs/>
          <w:szCs w:val="21"/>
        </w:rPr>
        <w:t>15</w:t>
      </w:r>
      <w:r>
        <w:rPr>
          <w:rFonts w:hint="eastAsia" w:cs="宋体" w:asciiTheme="minorEastAsia" w:hAnsiTheme="minorEastAsia" w:eastAsiaTheme="minorEastAsia"/>
          <w:b/>
          <w:bCs/>
          <w:szCs w:val="21"/>
        </w:rPr>
        <w:t>分）</w:t>
      </w:r>
    </w:p>
    <w:p>
      <w:pPr>
        <w:pStyle w:val="44"/>
        <w:adjustRightInd/>
        <w:spacing w:line="336" w:lineRule="auto"/>
        <w:ind w:firstLine="420" w:firstLineChars="200"/>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1、项目负责人分（满分5分）</w:t>
      </w:r>
    </w:p>
    <w:p>
      <w:pPr>
        <w:pStyle w:val="9"/>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①项目负责人具有水利类高级工程师职称的得</w:t>
      </w:r>
      <w:r>
        <w:rPr>
          <w:rFonts w:asciiTheme="minorEastAsia" w:hAnsiTheme="minorEastAsia" w:eastAsiaTheme="minorEastAsia"/>
          <w:szCs w:val="21"/>
        </w:rPr>
        <w:t>2分</w:t>
      </w:r>
      <w:r>
        <w:rPr>
          <w:rFonts w:hint="eastAsia" w:asciiTheme="minorEastAsia" w:hAnsiTheme="minorEastAsia" w:eastAsiaTheme="minorEastAsia"/>
          <w:szCs w:val="21"/>
        </w:rPr>
        <w:t>，具有</w:t>
      </w:r>
      <w:r>
        <w:rPr>
          <w:rFonts w:asciiTheme="minorEastAsia" w:hAnsiTheme="minorEastAsia" w:eastAsiaTheme="minorEastAsia"/>
          <w:szCs w:val="21"/>
        </w:rPr>
        <w:t>水利类</w:t>
      </w:r>
      <w:r>
        <w:rPr>
          <w:rFonts w:hint="eastAsia" w:asciiTheme="minorEastAsia" w:hAnsiTheme="minorEastAsia" w:eastAsiaTheme="minorEastAsia"/>
          <w:szCs w:val="21"/>
        </w:rPr>
        <w:t>中</w:t>
      </w:r>
      <w:r>
        <w:rPr>
          <w:rFonts w:asciiTheme="minorEastAsia" w:hAnsiTheme="minorEastAsia" w:eastAsiaTheme="minorEastAsia"/>
          <w:szCs w:val="21"/>
        </w:rPr>
        <w:t>级工程师</w:t>
      </w:r>
      <w:r>
        <w:rPr>
          <w:rFonts w:hint="eastAsia" w:asciiTheme="minorEastAsia" w:hAnsiTheme="minorEastAsia" w:eastAsiaTheme="minorEastAsia"/>
          <w:szCs w:val="21"/>
        </w:rPr>
        <w:t>职称</w:t>
      </w:r>
      <w:r>
        <w:rPr>
          <w:rFonts w:asciiTheme="minorEastAsia" w:hAnsiTheme="minorEastAsia" w:eastAsiaTheme="minorEastAsia"/>
          <w:szCs w:val="21"/>
        </w:rPr>
        <w:t>的得1分</w:t>
      </w:r>
      <w:r>
        <w:rPr>
          <w:rFonts w:hint="eastAsia" w:asciiTheme="minorEastAsia" w:hAnsiTheme="minorEastAsia" w:eastAsiaTheme="minorEastAsia"/>
          <w:szCs w:val="21"/>
        </w:rPr>
        <w:t>，</w:t>
      </w:r>
      <w:r>
        <w:rPr>
          <w:rFonts w:asciiTheme="minorEastAsia" w:hAnsiTheme="minorEastAsia" w:eastAsiaTheme="minorEastAsia"/>
          <w:szCs w:val="21"/>
        </w:rPr>
        <w:t>其他不得分</w:t>
      </w:r>
      <w:r>
        <w:rPr>
          <w:rFonts w:hint="eastAsia" w:asciiTheme="minorEastAsia" w:hAnsiTheme="minorEastAsia" w:eastAsiaTheme="minorEastAsia"/>
          <w:szCs w:val="21"/>
        </w:rPr>
        <w:t>，</w:t>
      </w:r>
      <w:r>
        <w:rPr>
          <w:rFonts w:asciiTheme="minorEastAsia" w:hAnsiTheme="minorEastAsia" w:eastAsiaTheme="minorEastAsia"/>
          <w:szCs w:val="21"/>
        </w:rPr>
        <w:t>满分2分。</w:t>
      </w:r>
    </w:p>
    <w:p>
      <w:pPr>
        <w:pStyle w:val="9"/>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②项目负责人承担过类似规划或相关课题研究的（提供报告署名页及成果资料等证明材料的复印件），每项得1分，满分3分。[备注：原件备查；未按要求提供者不得分。]</w:t>
      </w:r>
    </w:p>
    <w:p>
      <w:pPr>
        <w:pStyle w:val="44"/>
        <w:adjustRightInd/>
        <w:spacing w:line="336" w:lineRule="auto"/>
        <w:ind w:firstLine="420" w:firstLineChars="200"/>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2、投入人员配置分（满分</w:t>
      </w:r>
      <w:r>
        <w:rPr>
          <w:rFonts w:cs="Times New Roman" w:asciiTheme="minorEastAsia" w:hAnsiTheme="minorEastAsia" w:eastAsiaTheme="minorEastAsia"/>
          <w:color w:val="auto"/>
          <w:kern w:val="2"/>
          <w:sz w:val="21"/>
          <w:szCs w:val="21"/>
        </w:rPr>
        <w:t>10</w:t>
      </w:r>
      <w:r>
        <w:rPr>
          <w:rFonts w:hint="eastAsia" w:cs="Times New Roman" w:asciiTheme="minorEastAsia" w:hAnsiTheme="minorEastAsia" w:eastAsiaTheme="minorEastAsia"/>
          <w:color w:val="auto"/>
          <w:kern w:val="2"/>
          <w:sz w:val="21"/>
          <w:szCs w:val="21"/>
        </w:rPr>
        <w:t>分）</w:t>
      </w:r>
    </w:p>
    <w:p>
      <w:pPr>
        <w:autoSpaceDE w:val="0"/>
        <w:autoSpaceDN w:val="0"/>
        <w:spacing w:line="336"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拟投入该项目的人员（除</w:t>
      </w:r>
      <w:r>
        <w:rPr>
          <w:rFonts w:asciiTheme="minorEastAsia" w:hAnsiTheme="minorEastAsia" w:eastAsiaTheme="minorEastAsia"/>
          <w:szCs w:val="21"/>
        </w:rPr>
        <w:t>项目负责人</w:t>
      </w:r>
      <w:r>
        <w:rPr>
          <w:rFonts w:hint="eastAsia" w:asciiTheme="minorEastAsia" w:hAnsiTheme="minorEastAsia" w:eastAsiaTheme="minorEastAsia"/>
          <w:szCs w:val="21"/>
        </w:rPr>
        <w:t>）</w:t>
      </w:r>
      <w:r>
        <w:rPr>
          <w:rFonts w:ascii="宋体"/>
          <w:color w:val="auto"/>
          <w:kern w:val="0"/>
          <w:szCs w:val="21"/>
        </w:rPr>
        <w:t>具有水利工程、测量、地质（岩土）及造价专业人员</w:t>
      </w:r>
      <w:r>
        <w:rPr>
          <w:rFonts w:ascii="宋体" w:cs="宋体"/>
          <w:color w:val="auto"/>
          <w:kern w:val="0"/>
          <w:szCs w:val="21"/>
        </w:rPr>
        <w:t xml:space="preserve">, </w:t>
      </w:r>
      <w:r>
        <w:rPr>
          <w:rFonts w:hint="eastAsia" w:ascii="宋体" w:cs="宋体"/>
          <w:color w:val="auto"/>
          <w:kern w:val="0"/>
          <w:szCs w:val="21"/>
        </w:rPr>
        <w:t>具有工程师职称的</w:t>
      </w:r>
      <w:r>
        <w:rPr>
          <w:rFonts w:hint="eastAsia" w:asciiTheme="minorEastAsia" w:hAnsiTheme="minorEastAsia" w:eastAsiaTheme="minorEastAsia"/>
          <w:color w:val="auto"/>
          <w:szCs w:val="21"/>
        </w:rPr>
        <w:t>每个人员得</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分；</w:t>
      </w:r>
      <w:r>
        <w:rPr>
          <w:rFonts w:hint="eastAsia" w:ascii="宋体" w:hAnsi="宋体" w:cs="宋体"/>
          <w:color w:val="auto"/>
          <w:szCs w:val="21"/>
        </w:rPr>
        <w:t>满足以上基本要求且专业齐全的，</w:t>
      </w:r>
      <w:r>
        <w:rPr>
          <w:rFonts w:hint="eastAsia" w:asciiTheme="minorEastAsia" w:hAnsiTheme="minorEastAsia" w:eastAsiaTheme="minorEastAsia"/>
          <w:color w:val="auto"/>
          <w:szCs w:val="21"/>
        </w:rPr>
        <w:t>多于8人的得</w:t>
      </w:r>
      <w:r>
        <w:rPr>
          <w:rFonts w:asciiTheme="minorEastAsia" w:hAnsiTheme="minorEastAsia" w:eastAsiaTheme="minorEastAsia"/>
          <w:color w:val="auto"/>
          <w:szCs w:val="21"/>
        </w:rPr>
        <w:t>10</w:t>
      </w:r>
      <w:r>
        <w:rPr>
          <w:rFonts w:hint="eastAsia" w:asciiTheme="minorEastAsia" w:hAnsiTheme="minorEastAsia" w:eastAsiaTheme="minorEastAsia"/>
          <w:color w:val="auto"/>
          <w:szCs w:val="21"/>
        </w:rPr>
        <w:t>分。</w:t>
      </w:r>
    </w:p>
    <w:p>
      <w:pPr>
        <w:spacing w:line="336" w:lineRule="auto"/>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bCs/>
          <w:szCs w:val="21"/>
        </w:rPr>
        <w:t>4、信誉业绩</w:t>
      </w:r>
      <w:r>
        <w:rPr>
          <w:rFonts w:hint="eastAsia" w:cs="宋体" w:asciiTheme="minorEastAsia" w:hAnsiTheme="minorEastAsia" w:eastAsiaTheme="minorEastAsia"/>
          <w:b/>
          <w:szCs w:val="21"/>
        </w:rPr>
        <w:t>分</w:t>
      </w:r>
      <w:r>
        <w:rPr>
          <w:rFonts w:hint="eastAsia" w:cs="宋体" w:asciiTheme="minorEastAsia" w:hAnsiTheme="minorEastAsia" w:eastAsiaTheme="minorEastAsia"/>
          <w:b/>
          <w:bCs/>
          <w:szCs w:val="21"/>
        </w:rPr>
        <w:t>……………………………………………………………………………………2</w:t>
      </w:r>
      <w:r>
        <w:rPr>
          <w:rFonts w:cs="宋体" w:asciiTheme="minorEastAsia" w:hAnsiTheme="minorEastAsia" w:eastAsiaTheme="minorEastAsia"/>
          <w:b/>
          <w:bCs/>
          <w:szCs w:val="21"/>
        </w:rPr>
        <w:t>0</w:t>
      </w:r>
      <w:r>
        <w:rPr>
          <w:rFonts w:hint="eastAsia" w:cs="宋体" w:asciiTheme="minorEastAsia" w:hAnsiTheme="minorEastAsia" w:eastAsiaTheme="minorEastAsia"/>
          <w:b/>
          <w:bCs/>
          <w:szCs w:val="21"/>
        </w:rPr>
        <w:t>分</w:t>
      </w:r>
    </w:p>
    <w:p>
      <w:pPr>
        <w:pStyle w:val="9"/>
        <w:spacing w:line="312" w:lineRule="auto"/>
        <w:ind w:firstLine="420" w:firstLineChars="200"/>
        <w:textAlignment w:val="top"/>
        <w:rPr>
          <w:rFonts w:hAnsi="宋体" w:cs="宋体"/>
          <w:color w:val="auto"/>
          <w:kern w:val="0"/>
        </w:rPr>
      </w:pPr>
      <w:r>
        <w:rPr>
          <w:rFonts w:hint="eastAsia" w:hAnsi="宋体" w:cs="宋体"/>
          <w:color w:val="auto"/>
          <w:kern w:val="0"/>
        </w:rPr>
        <w:t xml:space="preserve">（1）投标人2015年以来承担过类似水利项目勘察设计业绩，每有一个得3分，满分15分；（以中标、成交通知书、签订的合同或设计批复文件为准，并能清晰反映该项目的项目名称、种类） </w:t>
      </w:r>
    </w:p>
    <w:p>
      <w:pPr>
        <w:pStyle w:val="9"/>
        <w:spacing w:line="312" w:lineRule="auto"/>
        <w:ind w:firstLine="420" w:firstLineChars="200"/>
        <w:textAlignment w:val="top"/>
        <w:rPr>
          <w:rFonts w:hAnsi="宋体" w:cs="宋体"/>
          <w:color w:val="auto"/>
          <w:kern w:val="0"/>
        </w:rPr>
      </w:pPr>
      <w:r>
        <w:rPr>
          <w:rFonts w:hint="eastAsia" w:hAnsi="宋体" w:cs="宋体"/>
          <w:color w:val="auto"/>
          <w:kern w:val="0"/>
        </w:rPr>
        <w:t>（2）获得水利项目勘察设计获奖证书的，每项得1分，满分3分；</w:t>
      </w:r>
    </w:p>
    <w:p>
      <w:pPr>
        <w:pStyle w:val="9"/>
        <w:spacing w:line="312" w:lineRule="auto"/>
        <w:ind w:firstLine="420" w:firstLineChars="200"/>
        <w:textAlignment w:val="top"/>
        <w:rPr>
          <w:rFonts w:hAnsi="宋体" w:cs="宋体"/>
          <w:color w:val="auto"/>
          <w:kern w:val="0"/>
        </w:rPr>
      </w:pPr>
      <w:r>
        <w:rPr>
          <w:rFonts w:hint="eastAsia" w:hAnsi="宋体" w:cs="宋体"/>
          <w:color w:val="auto"/>
          <w:kern w:val="0"/>
        </w:rPr>
        <w:t>（3）磋商供应商通过质量管理体系认证得1分，满分2分；</w:t>
      </w:r>
    </w:p>
    <w:p>
      <w:pPr>
        <w:pStyle w:val="44"/>
        <w:adjustRightInd/>
        <w:spacing w:line="336" w:lineRule="auto"/>
        <w:ind w:firstLine="422" w:firstLineChars="200"/>
        <w:rPr>
          <w:rFonts w:cs="Times New Roman" w:asciiTheme="minorEastAsia" w:hAnsiTheme="minorEastAsia" w:eastAsiaTheme="minorEastAsia"/>
          <w:b/>
          <w:color w:val="auto"/>
          <w:kern w:val="2"/>
          <w:sz w:val="21"/>
          <w:szCs w:val="21"/>
        </w:rPr>
      </w:pPr>
      <w:r>
        <w:rPr>
          <w:rFonts w:hint="eastAsia" w:cs="Times New Roman" w:asciiTheme="minorEastAsia" w:hAnsiTheme="minorEastAsia" w:eastAsiaTheme="minorEastAsia"/>
          <w:b/>
          <w:color w:val="auto"/>
          <w:kern w:val="2"/>
          <w:sz w:val="21"/>
          <w:szCs w:val="21"/>
        </w:rPr>
        <w:t>备注：提供相关证书复印件并加盖竞标人公章，业绩需提供中标/成交通知书复印件或有效合同复印件并加盖竞标人公章，原件备查，未按要求提供者不得分。</w:t>
      </w:r>
    </w:p>
    <w:p>
      <w:pPr>
        <w:spacing w:line="336" w:lineRule="auto"/>
        <w:ind w:firstLine="422" w:firstLineChars="200"/>
        <w:textAlignment w:val="top"/>
        <w:rPr>
          <w:rFonts w:cs="宋体" w:asciiTheme="minorEastAsia" w:hAnsiTheme="minorEastAsia" w:eastAsiaTheme="minorEastAsia"/>
          <w:b/>
          <w:szCs w:val="21"/>
        </w:rPr>
      </w:pPr>
      <w:r>
        <w:rPr>
          <w:rFonts w:hint="eastAsia" w:cs="Courier New" w:asciiTheme="minorEastAsia" w:hAnsiTheme="minorEastAsia" w:eastAsiaTheme="minorEastAsia"/>
          <w:b/>
          <w:szCs w:val="21"/>
        </w:rPr>
        <w:t>总得分</w:t>
      </w:r>
      <w:r>
        <w:rPr>
          <w:rFonts w:cs="Courier New" w:asciiTheme="minorEastAsia" w:hAnsiTheme="minorEastAsia" w:eastAsiaTheme="minorEastAsia"/>
          <w:b/>
          <w:szCs w:val="21"/>
        </w:rPr>
        <w:t xml:space="preserve"> =1+2+3</w:t>
      </w:r>
      <w:r>
        <w:rPr>
          <w:rFonts w:hint="eastAsia" w:cs="Courier New" w:asciiTheme="minorEastAsia" w:hAnsiTheme="minorEastAsia" w:eastAsiaTheme="minorEastAsia"/>
          <w:b/>
          <w:szCs w:val="21"/>
        </w:rPr>
        <w:t>+4。</w:t>
      </w:r>
    </w:p>
    <w:p>
      <w:pPr>
        <w:spacing w:line="336" w:lineRule="auto"/>
        <w:jc w:val="left"/>
        <w:rPr>
          <w:rFonts w:ascii="宋体" w:hAnsi="宋体" w:cs="Courier New"/>
          <w:b/>
          <w:szCs w:val="21"/>
        </w:rPr>
      </w:pPr>
      <w:r>
        <w:rPr>
          <w:rFonts w:hint="eastAsia" w:ascii="宋体" w:hAnsi="宋体" w:cs="Courier New"/>
          <w:b/>
          <w:szCs w:val="21"/>
        </w:rPr>
        <w:t>三、成交候选人推荐原则</w:t>
      </w:r>
    </w:p>
    <w:p>
      <w:pPr>
        <w:spacing w:line="336" w:lineRule="auto"/>
        <w:ind w:firstLine="420" w:firstLineChars="200"/>
        <w:textAlignment w:val="top"/>
        <w:rPr>
          <w:rFonts w:ascii="宋体" w:hAnsi="宋体"/>
          <w:szCs w:val="21"/>
        </w:rPr>
      </w:pPr>
      <w:r>
        <w:rPr>
          <w:rFonts w:hint="eastAsia" w:ascii="宋体" w:hAnsi="宋体" w:cs="宋体"/>
          <w:kern w:val="0"/>
          <w:szCs w:val="20"/>
        </w:rPr>
        <w:t>（一）竞争性磋商响应文件在质量和服务均能满足竞争性磋商文件实质性响应要求时，磋商小组将根据得分由高到低排列次序（得分相同时，以最后报价由低到高顺序排列；得分相同且最后报价相同的，按技术优劣顺序排列）并推荐成交候选人。采购人应当确定磋商小组推荐排名第一的成交候选人为成交供应商。排名第一的成交候选人放弃成交、因不可抗力提出不能履行协议的，或者竞争性磋商文件规定应当提交履约保证金而在规定的期限内未能提交的，采购人可以确定排名第二的成交候选人为成交供应商，其余以此类推。采购人也可以决定重新采购。</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3"/>
      <w:rPr>
        <w:rStyle w:val="20"/>
      </w:rPr>
    </w:pPr>
    <w:r>
      <w:fldChar w:fldCharType="begin"/>
    </w:r>
    <w:r>
      <w:rPr>
        <w:rStyle w:val="20"/>
      </w:rPr>
      <w:instrText xml:space="preserve">PAGE  </w:instrText>
    </w:r>
    <w:r>
      <w:fldChar w:fldCharType="separate"/>
    </w:r>
    <w:r>
      <w:rPr>
        <w:rStyle w:val="20"/>
      </w:rPr>
      <w:t>27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D12"/>
    <w:multiLevelType w:val="multilevel"/>
    <w:tmpl w:val="32330D12"/>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0136"/>
    <w:rsid w:val="000060D6"/>
    <w:rsid w:val="00012411"/>
    <w:rsid w:val="00012F3D"/>
    <w:rsid w:val="0001541F"/>
    <w:rsid w:val="00021E82"/>
    <w:rsid w:val="00023079"/>
    <w:rsid w:val="00023DDA"/>
    <w:rsid w:val="000332A7"/>
    <w:rsid w:val="0004361C"/>
    <w:rsid w:val="0004602B"/>
    <w:rsid w:val="00046DD4"/>
    <w:rsid w:val="00052364"/>
    <w:rsid w:val="00052664"/>
    <w:rsid w:val="00053EA3"/>
    <w:rsid w:val="0005650E"/>
    <w:rsid w:val="00061D92"/>
    <w:rsid w:val="00080795"/>
    <w:rsid w:val="0008267C"/>
    <w:rsid w:val="00086042"/>
    <w:rsid w:val="00087761"/>
    <w:rsid w:val="00093D1F"/>
    <w:rsid w:val="000941D1"/>
    <w:rsid w:val="000B3276"/>
    <w:rsid w:val="000C1426"/>
    <w:rsid w:val="000C40C7"/>
    <w:rsid w:val="000C6BA2"/>
    <w:rsid w:val="000E05D8"/>
    <w:rsid w:val="00105D67"/>
    <w:rsid w:val="00110B5F"/>
    <w:rsid w:val="00110F89"/>
    <w:rsid w:val="001201FD"/>
    <w:rsid w:val="0012590A"/>
    <w:rsid w:val="0013650D"/>
    <w:rsid w:val="00137FA7"/>
    <w:rsid w:val="00140E6D"/>
    <w:rsid w:val="00150A51"/>
    <w:rsid w:val="00163C84"/>
    <w:rsid w:val="00166C4D"/>
    <w:rsid w:val="00167A34"/>
    <w:rsid w:val="00167F0B"/>
    <w:rsid w:val="001730F8"/>
    <w:rsid w:val="00174B67"/>
    <w:rsid w:val="001823CB"/>
    <w:rsid w:val="00186D8C"/>
    <w:rsid w:val="00190151"/>
    <w:rsid w:val="00191DD3"/>
    <w:rsid w:val="00191FC9"/>
    <w:rsid w:val="001A4EBF"/>
    <w:rsid w:val="001B2888"/>
    <w:rsid w:val="001B696C"/>
    <w:rsid w:val="001C6A16"/>
    <w:rsid w:val="001E6670"/>
    <w:rsid w:val="001F1311"/>
    <w:rsid w:val="001F14B1"/>
    <w:rsid w:val="001F496F"/>
    <w:rsid w:val="001F4D3E"/>
    <w:rsid w:val="001F6915"/>
    <w:rsid w:val="001F6975"/>
    <w:rsid w:val="001F6A8B"/>
    <w:rsid w:val="002029CC"/>
    <w:rsid w:val="00206202"/>
    <w:rsid w:val="0020666C"/>
    <w:rsid w:val="00221C22"/>
    <w:rsid w:val="00232C9E"/>
    <w:rsid w:val="00233B59"/>
    <w:rsid w:val="00236775"/>
    <w:rsid w:val="00252126"/>
    <w:rsid w:val="002552C4"/>
    <w:rsid w:val="00255E1B"/>
    <w:rsid w:val="002719A1"/>
    <w:rsid w:val="00271D73"/>
    <w:rsid w:val="002B66D2"/>
    <w:rsid w:val="002C1DDA"/>
    <w:rsid w:val="002C2954"/>
    <w:rsid w:val="002C4A9D"/>
    <w:rsid w:val="002C6ACA"/>
    <w:rsid w:val="002C75CF"/>
    <w:rsid w:val="002C7904"/>
    <w:rsid w:val="002D3876"/>
    <w:rsid w:val="002E46E0"/>
    <w:rsid w:val="002F2F7F"/>
    <w:rsid w:val="002F4658"/>
    <w:rsid w:val="003057D1"/>
    <w:rsid w:val="00312418"/>
    <w:rsid w:val="00317154"/>
    <w:rsid w:val="00324091"/>
    <w:rsid w:val="00325B09"/>
    <w:rsid w:val="003324F0"/>
    <w:rsid w:val="00353147"/>
    <w:rsid w:val="003621F8"/>
    <w:rsid w:val="00364448"/>
    <w:rsid w:val="003645CC"/>
    <w:rsid w:val="00371C50"/>
    <w:rsid w:val="003A4A60"/>
    <w:rsid w:val="003B6CAA"/>
    <w:rsid w:val="003B7516"/>
    <w:rsid w:val="003C5A61"/>
    <w:rsid w:val="003D0CDE"/>
    <w:rsid w:val="003D0F53"/>
    <w:rsid w:val="003F0EDB"/>
    <w:rsid w:val="003F7154"/>
    <w:rsid w:val="00401FBD"/>
    <w:rsid w:val="0040592B"/>
    <w:rsid w:val="00407992"/>
    <w:rsid w:val="0041420C"/>
    <w:rsid w:val="00415DF6"/>
    <w:rsid w:val="00416456"/>
    <w:rsid w:val="004172C0"/>
    <w:rsid w:val="0042063C"/>
    <w:rsid w:val="00422AE6"/>
    <w:rsid w:val="00423C3F"/>
    <w:rsid w:val="00431E3C"/>
    <w:rsid w:val="004356EE"/>
    <w:rsid w:val="00436295"/>
    <w:rsid w:val="004404A8"/>
    <w:rsid w:val="00443933"/>
    <w:rsid w:val="004444BF"/>
    <w:rsid w:val="004536CA"/>
    <w:rsid w:val="00461A86"/>
    <w:rsid w:val="004623E4"/>
    <w:rsid w:val="00465BC1"/>
    <w:rsid w:val="00466844"/>
    <w:rsid w:val="0046797F"/>
    <w:rsid w:val="004730FF"/>
    <w:rsid w:val="004740A4"/>
    <w:rsid w:val="004A76DA"/>
    <w:rsid w:val="004B01C0"/>
    <w:rsid w:val="004B2BFF"/>
    <w:rsid w:val="004B439F"/>
    <w:rsid w:val="004C008B"/>
    <w:rsid w:val="004C0293"/>
    <w:rsid w:val="004C33D1"/>
    <w:rsid w:val="004C4010"/>
    <w:rsid w:val="004C6765"/>
    <w:rsid w:val="004D06A7"/>
    <w:rsid w:val="004D1A94"/>
    <w:rsid w:val="004D4FB6"/>
    <w:rsid w:val="004D68BF"/>
    <w:rsid w:val="00502038"/>
    <w:rsid w:val="00502889"/>
    <w:rsid w:val="00503F21"/>
    <w:rsid w:val="005224D3"/>
    <w:rsid w:val="00527EC0"/>
    <w:rsid w:val="005349A3"/>
    <w:rsid w:val="00555F70"/>
    <w:rsid w:val="00556239"/>
    <w:rsid w:val="0056470B"/>
    <w:rsid w:val="005676BF"/>
    <w:rsid w:val="00594B9F"/>
    <w:rsid w:val="00595BB1"/>
    <w:rsid w:val="005A359C"/>
    <w:rsid w:val="005A431F"/>
    <w:rsid w:val="005A49A7"/>
    <w:rsid w:val="005C395A"/>
    <w:rsid w:val="005D1966"/>
    <w:rsid w:val="005E303E"/>
    <w:rsid w:val="005E4F8E"/>
    <w:rsid w:val="005F2CC7"/>
    <w:rsid w:val="005F70A0"/>
    <w:rsid w:val="0060438C"/>
    <w:rsid w:val="00613A2B"/>
    <w:rsid w:val="00614909"/>
    <w:rsid w:val="00617E29"/>
    <w:rsid w:val="00632CB2"/>
    <w:rsid w:val="00634378"/>
    <w:rsid w:val="00634645"/>
    <w:rsid w:val="006351FE"/>
    <w:rsid w:val="0063778A"/>
    <w:rsid w:val="00642716"/>
    <w:rsid w:val="006521E6"/>
    <w:rsid w:val="00664B89"/>
    <w:rsid w:val="00666CC3"/>
    <w:rsid w:val="006673C3"/>
    <w:rsid w:val="0068413D"/>
    <w:rsid w:val="006A0AAE"/>
    <w:rsid w:val="006A6AD3"/>
    <w:rsid w:val="006B0410"/>
    <w:rsid w:val="006B6070"/>
    <w:rsid w:val="006C7E03"/>
    <w:rsid w:val="006D3D21"/>
    <w:rsid w:val="006D55FD"/>
    <w:rsid w:val="006E483F"/>
    <w:rsid w:val="006E5D41"/>
    <w:rsid w:val="006F302A"/>
    <w:rsid w:val="006F4805"/>
    <w:rsid w:val="006F6636"/>
    <w:rsid w:val="0070145F"/>
    <w:rsid w:val="00713606"/>
    <w:rsid w:val="00717098"/>
    <w:rsid w:val="00722BAC"/>
    <w:rsid w:val="00740A10"/>
    <w:rsid w:val="007508FC"/>
    <w:rsid w:val="00756FDD"/>
    <w:rsid w:val="00765EE0"/>
    <w:rsid w:val="007740F3"/>
    <w:rsid w:val="00775956"/>
    <w:rsid w:val="0078227B"/>
    <w:rsid w:val="00784440"/>
    <w:rsid w:val="00785D71"/>
    <w:rsid w:val="00796BE3"/>
    <w:rsid w:val="007A2474"/>
    <w:rsid w:val="007A25B1"/>
    <w:rsid w:val="007B2276"/>
    <w:rsid w:val="007B785B"/>
    <w:rsid w:val="00816B8D"/>
    <w:rsid w:val="00822B93"/>
    <w:rsid w:val="00826619"/>
    <w:rsid w:val="0083484A"/>
    <w:rsid w:val="008420B1"/>
    <w:rsid w:val="00842366"/>
    <w:rsid w:val="00844120"/>
    <w:rsid w:val="008545D6"/>
    <w:rsid w:val="00860BBD"/>
    <w:rsid w:val="00874469"/>
    <w:rsid w:val="00876248"/>
    <w:rsid w:val="0087710C"/>
    <w:rsid w:val="008809AE"/>
    <w:rsid w:val="00883749"/>
    <w:rsid w:val="00892CB9"/>
    <w:rsid w:val="008A7780"/>
    <w:rsid w:val="008B129E"/>
    <w:rsid w:val="008B4977"/>
    <w:rsid w:val="008C2C41"/>
    <w:rsid w:val="008C3E78"/>
    <w:rsid w:val="008C61A8"/>
    <w:rsid w:val="008D1F87"/>
    <w:rsid w:val="008E7D59"/>
    <w:rsid w:val="008F0FF2"/>
    <w:rsid w:val="008F64CF"/>
    <w:rsid w:val="00907667"/>
    <w:rsid w:val="00913EE9"/>
    <w:rsid w:val="0093196A"/>
    <w:rsid w:val="00935A64"/>
    <w:rsid w:val="00957973"/>
    <w:rsid w:val="009669B2"/>
    <w:rsid w:val="0096780A"/>
    <w:rsid w:val="00974159"/>
    <w:rsid w:val="0098716E"/>
    <w:rsid w:val="0098751F"/>
    <w:rsid w:val="009960C3"/>
    <w:rsid w:val="009B2A7B"/>
    <w:rsid w:val="009B5414"/>
    <w:rsid w:val="009D25BD"/>
    <w:rsid w:val="009D4FC0"/>
    <w:rsid w:val="009D7194"/>
    <w:rsid w:val="009E6EE7"/>
    <w:rsid w:val="00A043BE"/>
    <w:rsid w:val="00A054AC"/>
    <w:rsid w:val="00A05FAA"/>
    <w:rsid w:val="00A153EB"/>
    <w:rsid w:val="00A1583D"/>
    <w:rsid w:val="00A24B8A"/>
    <w:rsid w:val="00A24C02"/>
    <w:rsid w:val="00A34B18"/>
    <w:rsid w:val="00A3510C"/>
    <w:rsid w:val="00A3598B"/>
    <w:rsid w:val="00A40645"/>
    <w:rsid w:val="00A46436"/>
    <w:rsid w:val="00A60C5B"/>
    <w:rsid w:val="00A676CB"/>
    <w:rsid w:val="00A77377"/>
    <w:rsid w:val="00A971E5"/>
    <w:rsid w:val="00AA0136"/>
    <w:rsid w:val="00AA4922"/>
    <w:rsid w:val="00AB0C65"/>
    <w:rsid w:val="00AB2C93"/>
    <w:rsid w:val="00AB3AD9"/>
    <w:rsid w:val="00AB607A"/>
    <w:rsid w:val="00AB6660"/>
    <w:rsid w:val="00AB7FFA"/>
    <w:rsid w:val="00AC2207"/>
    <w:rsid w:val="00AE0E8F"/>
    <w:rsid w:val="00AE5979"/>
    <w:rsid w:val="00AF27DE"/>
    <w:rsid w:val="00AF7963"/>
    <w:rsid w:val="00B0146A"/>
    <w:rsid w:val="00B028E5"/>
    <w:rsid w:val="00B2776D"/>
    <w:rsid w:val="00B30551"/>
    <w:rsid w:val="00B30DAE"/>
    <w:rsid w:val="00B33448"/>
    <w:rsid w:val="00B37830"/>
    <w:rsid w:val="00B41E68"/>
    <w:rsid w:val="00B436C3"/>
    <w:rsid w:val="00B631FB"/>
    <w:rsid w:val="00B75CD3"/>
    <w:rsid w:val="00B808C7"/>
    <w:rsid w:val="00B825FC"/>
    <w:rsid w:val="00B85F08"/>
    <w:rsid w:val="00B97D19"/>
    <w:rsid w:val="00BA06EE"/>
    <w:rsid w:val="00BB354C"/>
    <w:rsid w:val="00BB5085"/>
    <w:rsid w:val="00BC067F"/>
    <w:rsid w:val="00BC795A"/>
    <w:rsid w:val="00BE0994"/>
    <w:rsid w:val="00C1222E"/>
    <w:rsid w:val="00C20A0B"/>
    <w:rsid w:val="00C22749"/>
    <w:rsid w:val="00C27842"/>
    <w:rsid w:val="00C33881"/>
    <w:rsid w:val="00C364AB"/>
    <w:rsid w:val="00C3792E"/>
    <w:rsid w:val="00C441EB"/>
    <w:rsid w:val="00C61D1E"/>
    <w:rsid w:val="00C664AC"/>
    <w:rsid w:val="00C72F84"/>
    <w:rsid w:val="00C75468"/>
    <w:rsid w:val="00C80842"/>
    <w:rsid w:val="00C82DBC"/>
    <w:rsid w:val="00CA1F3C"/>
    <w:rsid w:val="00CA390F"/>
    <w:rsid w:val="00CA3FB0"/>
    <w:rsid w:val="00CB3C2E"/>
    <w:rsid w:val="00CC3AEF"/>
    <w:rsid w:val="00CD2AF7"/>
    <w:rsid w:val="00CD463A"/>
    <w:rsid w:val="00CD6994"/>
    <w:rsid w:val="00CE0313"/>
    <w:rsid w:val="00CF7D55"/>
    <w:rsid w:val="00D0141A"/>
    <w:rsid w:val="00D0253D"/>
    <w:rsid w:val="00D07E82"/>
    <w:rsid w:val="00D11D49"/>
    <w:rsid w:val="00D306A0"/>
    <w:rsid w:val="00D361F1"/>
    <w:rsid w:val="00D36DE3"/>
    <w:rsid w:val="00D420A5"/>
    <w:rsid w:val="00D46E1E"/>
    <w:rsid w:val="00D50636"/>
    <w:rsid w:val="00D53694"/>
    <w:rsid w:val="00D60061"/>
    <w:rsid w:val="00D72DBC"/>
    <w:rsid w:val="00D8339E"/>
    <w:rsid w:val="00D87BF8"/>
    <w:rsid w:val="00DA3513"/>
    <w:rsid w:val="00DA54E7"/>
    <w:rsid w:val="00DB438A"/>
    <w:rsid w:val="00DC1CF3"/>
    <w:rsid w:val="00DC7130"/>
    <w:rsid w:val="00DE2763"/>
    <w:rsid w:val="00DE3633"/>
    <w:rsid w:val="00DE5270"/>
    <w:rsid w:val="00DE5CE5"/>
    <w:rsid w:val="00DE7DAE"/>
    <w:rsid w:val="00DF031B"/>
    <w:rsid w:val="00E16321"/>
    <w:rsid w:val="00E170B8"/>
    <w:rsid w:val="00E17E0A"/>
    <w:rsid w:val="00E26C39"/>
    <w:rsid w:val="00E35755"/>
    <w:rsid w:val="00E40C22"/>
    <w:rsid w:val="00E46958"/>
    <w:rsid w:val="00E51840"/>
    <w:rsid w:val="00E63EAF"/>
    <w:rsid w:val="00E90857"/>
    <w:rsid w:val="00E910D6"/>
    <w:rsid w:val="00E956E2"/>
    <w:rsid w:val="00E96E0B"/>
    <w:rsid w:val="00E977AD"/>
    <w:rsid w:val="00EA3C92"/>
    <w:rsid w:val="00EB52DC"/>
    <w:rsid w:val="00EC32E0"/>
    <w:rsid w:val="00EC77B2"/>
    <w:rsid w:val="00EE3889"/>
    <w:rsid w:val="00EE58EB"/>
    <w:rsid w:val="00EE7CE0"/>
    <w:rsid w:val="00EF638E"/>
    <w:rsid w:val="00F03DEF"/>
    <w:rsid w:val="00F0533D"/>
    <w:rsid w:val="00F1537A"/>
    <w:rsid w:val="00F231D3"/>
    <w:rsid w:val="00F252A5"/>
    <w:rsid w:val="00F27D77"/>
    <w:rsid w:val="00F36348"/>
    <w:rsid w:val="00F44210"/>
    <w:rsid w:val="00F444EA"/>
    <w:rsid w:val="00F45E97"/>
    <w:rsid w:val="00F4786D"/>
    <w:rsid w:val="00F5105F"/>
    <w:rsid w:val="00F51575"/>
    <w:rsid w:val="00F53371"/>
    <w:rsid w:val="00F54247"/>
    <w:rsid w:val="00F629E4"/>
    <w:rsid w:val="00F65EA5"/>
    <w:rsid w:val="00F73913"/>
    <w:rsid w:val="00F73B99"/>
    <w:rsid w:val="00F947E6"/>
    <w:rsid w:val="00F97FB6"/>
    <w:rsid w:val="00FA0F65"/>
    <w:rsid w:val="00FA4BEB"/>
    <w:rsid w:val="00FA4EB4"/>
    <w:rsid w:val="00FB3656"/>
    <w:rsid w:val="00FC4B1D"/>
    <w:rsid w:val="00FC562F"/>
    <w:rsid w:val="00FC57BE"/>
    <w:rsid w:val="00FE72A0"/>
    <w:rsid w:val="00FF5CF5"/>
    <w:rsid w:val="011E500B"/>
    <w:rsid w:val="015D080E"/>
    <w:rsid w:val="0533129C"/>
    <w:rsid w:val="05AF49AE"/>
    <w:rsid w:val="096D71F0"/>
    <w:rsid w:val="09B07167"/>
    <w:rsid w:val="09DB0F1C"/>
    <w:rsid w:val="0C20645E"/>
    <w:rsid w:val="0C736571"/>
    <w:rsid w:val="0CED467C"/>
    <w:rsid w:val="10951409"/>
    <w:rsid w:val="11415525"/>
    <w:rsid w:val="13746D6D"/>
    <w:rsid w:val="13B26A43"/>
    <w:rsid w:val="1432614B"/>
    <w:rsid w:val="14360223"/>
    <w:rsid w:val="14893318"/>
    <w:rsid w:val="14B2656F"/>
    <w:rsid w:val="15303234"/>
    <w:rsid w:val="1636472C"/>
    <w:rsid w:val="17D01E5A"/>
    <w:rsid w:val="1A541536"/>
    <w:rsid w:val="1ABC246A"/>
    <w:rsid w:val="1C112732"/>
    <w:rsid w:val="1C3E161F"/>
    <w:rsid w:val="1C596492"/>
    <w:rsid w:val="1D5042CC"/>
    <w:rsid w:val="1ECB16EC"/>
    <w:rsid w:val="1F9C5F7F"/>
    <w:rsid w:val="22E75EC8"/>
    <w:rsid w:val="260F7488"/>
    <w:rsid w:val="2726208F"/>
    <w:rsid w:val="27C233E0"/>
    <w:rsid w:val="29946306"/>
    <w:rsid w:val="2A2541AD"/>
    <w:rsid w:val="2C214A2B"/>
    <w:rsid w:val="2C8A09B3"/>
    <w:rsid w:val="2D9A6D73"/>
    <w:rsid w:val="2F161301"/>
    <w:rsid w:val="2F663253"/>
    <w:rsid w:val="2FFB2F56"/>
    <w:rsid w:val="310B5430"/>
    <w:rsid w:val="31E16CEF"/>
    <w:rsid w:val="32042CB1"/>
    <w:rsid w:val="330C075E"/>
    <w:rsid w:val="331E3E67"/>
    <w:rsid w:val="333D69A7"/>
    <w:rsid w:val="33674CB4"/>
    <w:rsid w:val="337B29B5"/>
    <w:rsid w:val="34282D01"/>
    <w:rsid w:val="344A6AC9"/>
    <w:rsid w:val="346618D8"/>
    <w:rsid w:val="347901D6"/>
    <w:rsid w:val="359C3B8C"/>
    <w:rsid w:val="38837BB6"/>
    <w:rsid w:val="38F21DFC"/>
    <w:rsid w:val="3A004B59"/>
    <w:rsid w:val="40040C07"/>
    <w:rsid w:val="40582C4F"/>
    <w:rsid w:val="40FC2FA9"/>
    <w:rsid w:val="419A17B1"/>
    <w:rsid w:val="42DA576F"/>
    <w:rsid w:val="4339134C"/>
    <w:rsid w:val="449E01E6"/>
    <w:rsid w:val="44DB61C6"/>
    <w:rsid w:val="451D2DF4"/>
    <w:rsid w:val="45540B59"/>
    <w:rsid w:val="4593795A"/>
    <w:rsid w:val="45DA1522"/>
    <w:rsid w:val="462461EA"/>
    <w:rsid w:val="474D7A2C"/>
    <w:rsid w:val="47F878B6"/>
    <w:rsid w:val="48156582"/>
    <w:rsid w:val="4A8F677C"/>
    <w:rsid w:val="4C8D4A32"/>
    <w:rsid w:val="4D8E34B5"/>
    <w:rsid w:val="4E29053A"/>
    <w:rsid w:val="506A52A2"/>
    <w:rsid w:val="509853D8"/>
    <w:rsid w:val="50D66767"/>
    <w:rsid w:val="52CB66F6"/>
    <w:rsid w:val="5399145F"/>
    <w:rsid w:val="53D17C6A"/>
    <w:rsid w:val="543C1667"/>
    <w:rsid w:val="544F454E"/>
    <w:rsid w:val="54596E0D"/>
    <w:rsid w:val="548E6827"/>
    <w:rsid w:val="553745F9"/>
    <w:rsid w:val="57117D0C"/>
    <w:rsid w:val="579F08E8"/>
    <w:rsid w:val="57C60097"/>
    <w:rsid w:val="57EC2559"/>
    <w:rsid w:val="58B92BB6"/>
    <w:rsid w:val="59A806FF"/>
    <w:rsid w:val="59F80DC5"/>
    <w:rsid w:val="59F830B6"/>
    <w:rsid w:val="5B4A0E2B"/>
    <w:rsid w:val="5D6C21BD"/>
    <w:rsid w:val="5D9335CE"/>
    <w:rsid w:val="5DF371A0"/>
    <w:rsid w:val="5F2D66F7"/>
    <w:rsid w:val="5F370F03"/>
    <w:rsid w:val="60105394"/>
    <w:rsid w:val="6062097F"/>
    <w:rsid w:val="62327B8A"/>
    <w:rsid w:val="62E75A43"/>
    <w:rsid w:val="6881548E"/>
    <w:rsid w:val="68AD06AB"/>
    <w:rsid w:val="694149D8"/>
    <w:rsid w:val="6AF7529E"/>
    <w:rsid w:val="6D076E5A"/>
    <w:rsid w:val="6D805EB8"/>
    <w:rsid w:val="6F893FB2"/>
    <w:rsid w:val="70B04982"/>
    <w:rsid w:val="728A445E"/>
    <w:rsid w:val="72CE7055"/>
    <w:rsid w:val="72DD3127"/>
    <w:rsid w:val="75DF18E3"/>
    <w:rsid w:val="75E726FF"/>
    <w:rsid w:val="771D5009"/>
    <w:rsid w:val="78B7138A"/>
    <w:rsid w:val="7A3E0E2F"/>
    <w:rsid w:val="7D3D4890"/>
    <w:rsid w:val="7D503B99"/>
    <w:rsid w:val="7DE733C8"/>
    <w:rsid w:val="7F61104F"/>
    <w:rsid w:val="7FEA6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bidi/>
      <w:adjustRightInd w:val="0"/>
      <w:snapToGrid w:val="0"/>
      <w:spacing w:line="360" w:lineRule="auto"/>
      <w:jc w:val="center"/>
      <w:outlineLvl w:val="0"/>
    </w:pPr>
    <w:rPr>
      <w:rFonts w:eastAsia="华文仿宋"/>
      <w:b/>
      <w:color w:val="000000"/>
      <w:kern w:val="0"/>
      <w:sz w:val="72"/>
      <w:vertAlign w:val="subscript"/>
    </w:rPr>
  </w:style>
  <w:style w:type="paragraph" w:styleId="5">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100" w:firstLineChars="100"/>
    </w:pPr>
    <w:rPr>
      <w:sz w:val="21"/>
    </w:rPr>
  </w:style>
  <w:style w:type="paragraph" w:styleId="3">
    <w:name w:val="Body Text"/>
    <w:basedOn w:val="1"/>
    <w:qFormat/>
    <w:uiPriority w:val="0"/>
    <w:pPr>
      <w:autoSpaceDE w:val="0"/>
      <w:autoSpaceDN w:val="0"/>
      <w:adjustRightInd w:val="0"/>
      <w:jc w:val="left"/>
    </w:pPr>
    <w:rPr>
      <w:rFonts w:ascii="宋体"/>
      <w:kern w:val="0"/>
      <w:sz w:val="34"/>
      <w:szCs w:val="20"/>
    </w:rPr>
  </w:style>
  <w:style w:type="paragraph" w:styleId="6">
    <w:name w:val="caption"/>
    <w:basedOn w:val="1"/>
    <w:next w:val="1"/>
    <w:link w:val="34"/>
    <w:qFormat/>
    <w:uiPriority w:val="0"/>
    <w:pPr>
      <w:spacing w:before="152" w:after="160"/>
    </w:pPr>
    <w:rPr>
      <w:rFonts w:ascii="Arial" w:hAnsi="Arial" w:eastAsia="黑体"/>
      <w:sz w:val="20"/>
      <w:szCs w:val="20"/>
    </w:rPr>
  </w:style>
  <w:style w:type="paragraph" w:styleId="7">
    <w:name w:val="Document Map"/>
    <w:basedOn w:val="1"/>
    <w:link w:val="39"/>
    <w:qFormat/>
    <w:uiPriority w:val="0"/>
    <w:rPr>
      <w:rFonts w:ascii="宋体"/>
      <w:sz w:val="18"/>
      <w:szCs w:val="18"/>
    </w:rPr>
  </w:style>
  <w:style w:type="paragraph" w:styleId="8">
    <w:name w:val="annotation text"/>
    <w:basedOn w:val="1"/>
    <w:link w:val="36"/>
    <w:qFormat/>
    <w:uiPriority w:val="0"/>
    <w:pPr>
      <w:jc w:val="left"/>
    </w:pPr>
  </w:style>
  <w:style w:type="paragraph" w:styleId="9">
    <w:name w:val="Plain Text"/>
    <w:basedOn w:val="1"/>
    <w:next w:val="10"/>
    <w:link w:val="35"/>
    <w:qFormat/>
    <w:uiPriority w:val="99"/>
    <w:rPr>
      <w:rFonts w:ascii="宋体" w:hAnsi="Courier New"/>
      <w:szCs w:val="20"/>
    </w:rPr>
  </w:style>
  <w:style w:type="paragraph" w:customStyle="1" w:styleId="10">
    <w:name w:val="目录 81"/>
    <w:basedOn w:val="1"/>
    <w:next w:val="1"/>
    <w:qFormat/>
    <w:uiPriority w:val="0"/>
    <w:pPr>
      <w:ind w:left="1470"/>
    </w:pPr>
    <w:rPr>
      <w:sz w:val="18"/>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annotation subject"/>
    <w:basedOn w:val="8"/>
    <w:next w:val="8"/>
    <w:link w:val="37"/>
    <w:qFormat/>
    <w:uiPriority w:val="0"/>
    <w:rPr>
      <w:b/>
      <w:bCs/>
    </w:rPr>
  </w:style>
  <w:style w:type="character" w:styleId="19">
    <w:name w:val="Strong"/>
    <w:basedOn w:val="18"/>
    <w:qFormat/>
    <w:uiPriority w:val="22"/>
    <w:rPr>
      <w:b/>
    </w:rPr>
  </w:style>
  <w:style w:type="character" w:styleId="20">
    <w:name w:val="page number"/>
    <w:basedOn w:val="18"/>
    <w:qFormat/>
    <w:uiPriority w:val="0"/>
  </w:style>
  <w:style w:type="character" w:styleId="21">
    <w:name w:val="FollowedHyperlink"/>
    <w:basedOn w:val="18"/>
    <w:semiHidden/>
    <w:unhideWhenUsed/>
    <w:qFormat/>
    <w:uiPriority w:val="99"/>
    <w:rPr>
      <w:color w:val="3177FD"/>
      <w:u w:val="none"/>
    </w:rPr>
  </w:style>
  <w:style w:type="character" w:styleId="22">
    <w:name w:val="Emphasis"/>
    <w:basedOn w:val="18"/>
    <w:qFormat/>
    <w:uiPriority w:val="0"/>
  </w:style>
  <w:style w:type="character" w:styleId="23">
    <w:name w:val="HTML Definition"/>
    <w:basedOn w:val="18"/>
    <w:semiHidden/>
    <w:unhideWhenUsed/>
    <w:qFormat/>
    <w:uiPriority w:val="99"/>
  </w:style>
  <w:style w:type="character" w:styleId="24">
    <w:name w:val="HTML Typewriter"/>
    <w:basedOn w:val="18"/>
    <w:semiHidden/>
    <w:unhideWhenUsed/>
    <w:qFormat/>
    <w:uiPriority w:val="99"/>
    <w:rPr>
      <w:rFonts w:hint="default" w:ascii="monospace" w:hAnsi="monospace" w:eastAsia="monospace" w:cs="monospace"/>
      <w:sz w:val="20"/>
    </w:rPr>
  </w:style>
  <w:style w:type="character" w:styleId="25">
    <w:name w:val="HTML Acronym"/>
    <w:basedOn w:val="18"/>
    <w:semiHidden/>
    <w:unhideWhenUsed/>
    <w:qFormat/>
    <w:uiPriority w:val="99"/>
  </w:style>
  <w:style w:type="character" w:styleId="26">
    <w:name w:val="HTML Variable"/>
    <w:basedOn w:val="18"/>
    <w:semiHidden/>
    <w:unhideWhenUsed/>
    <w:qFormat/>
    <w:uiPriority w:val="99"/>
  </w:style>
  <w:style w:type="character" w:styleId="27">
    <w:name w:val="Hyperlink"/>
    <w:basedOn w:val="18"/>
    <w:qFormat/>
    <w:uiPriority w:val="0"/>
    <w:rPr>
      <w:color w:val="333333"/>
      <w:u w:val="none"/>
    </w:rPr>
  </w:style>
  <w:style w:type="character" w:styleId="28">
    <w:name w:val="HTML Code"/>
    <w:basedOn w:val="18"/>
    <w:semiHidden/>
    <w:unhideWhenUsed/>
    <w:qFormat/>
    <w:uiPriority w:val="99"/>
    <w:rPr>
      <w:rFonts w:hint="default" w:ascii="Consolas" w:hAnsi="Consolas" w:eastAsia="Consolas" w:cs="Consolas"/>
      <w:sz w:val="21"/>
      <w:szCs w:val="21"/>
    </w:rPr>
  </w:style>
  <w:style w:type="character" w:styleId="29">
    <w:name w:val="annotation reference"/>
    <w:basedOn w:val="18"/>
    <w:qFormat/>
    <w:uiPriority w:val="0"/>
    <w:rPr>
      <w:sz w:val="21"/>
      <w:szCs w:val="21"/>
    </w:rPr>
  </w:style>
  <w:style w:type="character" w:styleId="30">
    <w:name w:val="HTML Cite"/>
    <w:basedOn w:val="18"/>
    <w:semiHidden/>
    <w:unhideWhenUsed/>
    <w:qFormat/>
    <w:uiPriority w:val="99"/>
  </w:style>
  <w:style w:type="character" w:styleId="31">
    <w:name w:val="HTML Keyboard"/>
    <w:basedOn w:val="18"/>
    <w:semiHidden/>
    <w:unhideWhenUsed/>
    <w:qFormat/>
    <w:uiPriority w:val="99"/>
    <w:rPr>
      <w:rFonts w:hint="default" w:ascii="Consolas" w:hAnsi="Consolas" w:eastAsia="Consolas" w:cs="Consolas"/>
      <w:sz w:val="21"/>
      <w:szCs w:val="21"/>
    </w:rPr>
  </w:style>
  <w:style w:type="character" w:styleId="32">
    <w:name w:val="HTML Sample"/>
    <w:basedOn w:val="18"/>
    <w:semiHidden/>
    <w:unhideWhenUsed/>
    <w:qFormat/>
    <w:uiPriority w:val="99"/>
    <w:rPr>
      <w:rFonts w:ascii="Consolas" w:hAnsi="Consolas" w:eastAsia="Consolas" w:cs="Consolas"/>
      <w:sz w:val="21"/>
      <w:szCs w:val="21"/>
    </w:rPr>
  </w:style>
  <w:style w:type="character" w:customStyle="1" w:styleId="33">
    <w:name w:val="标题 1 Char"/>
    <w:link w:val="4"/>
    <w:qFormat/>
    <w:uiPriority w:val="0"/>
    <w:rPr>
      <w:rFonts w:ascii="Times New Roman" w:hAnsi="Times New Roman" w:eastAsia="华文仿宋" w:cs="Times New Roman"/>
      <w:b/>
      <w:color w:val="000000"/>
      <w:kern w:val="0"/>
      <w:sz w:val="72"/>
      <w:vertAlign w:val="subscript"/>
    </w:rPr>
  </w:style>
  <w:style w:type="character" w:customStyle="1" w:styleId="34">
    <w:name w:val="题注 Char"/>
    <w:link w:val="6"/>
    <w:qFormat/>
    <w:uiPriority w:val="0"/>
    <w:rPr>
      <w:rFonts w:ascii="Arial" w:hAnsi="Arial" w:eastAsia="黑体"/>
      <w:kern w:val="2"/>
    </w:rPr>
  </w:style>
  <w:style w:type="character" w:customStyle="1" w:styleId="35">
    <w:name w:val="纯文本 Char"/>
    <w:basedOn w:val="18"/>
    <w:link w:val="9"/>
    <w:qFormat/>
    <w:uiPriority w:val="99"/>
    <w:rPr>
      <w:rFonts w:ascii="宋体" w:hAnsi="Courier New"/>
      <w:kern w:val="2"/>
      <w:sz w:val="21"/>
    </w:rPr>
  </w:style>
  <w:style w:type="character" w:customStyle="1" w:styleId="36">
    <w:name w:val="批注文字 Char"/>
    <w:basedOn w:val="18"/>
    <w:link w:val="8"/>
    <w:qFormat/>
    <w:uiPriority w:val="0"/>
    <w:rPr>
      <w:kern w:val="2"/>
      <w:sz w:val="21"/>
      <w:szCs w:val="24"/>
    </w:rPr>
  </w:style>
  <w:style w:type="character" w:customStyle="1" w:styleId="37">
    <w:name w:val="批注主题 Char"/>
    <w:basedOn w:val="36"/>
    <w:link w:val="16"/>
    <w:qFormat/>
    <w:uiPriority w:val="0"/>
    <w:rPr>
      <w:b/>
      <w:bCs/>
      <w:kern w:val="2"/>
      <w:sz w:val="21"/>
      <w:szCs w:val="24"/>
    </w:rPr>
  </w:style>
  <w:style w:type="character" w:customStyle="1" w:styleId="38">
    <w:name w:val="批注框文本 Char"/>
    <w:basedOn w:val="18"/>
    <w:link w:val="11"/>
    <w:qFormat/>
    <w:uiPriority w:val="0"/>
    <w:rPr>
      <w:kern w:val="2"/>
      <w:sz w:val="18"/>
      <w:szCs w:val="18"/>
    </w:rPr>
  </w:style>
  <w:style w:type="character" w:customStyle="1" w:styleId="39">
    <w:name w:val="文档结构图 Char"/>
    <w:basedOn w:val="18"/>
    <w:link w:val="7"/>
    <w:qFormat/>
    <w:uiPriority w:val="0"/>
    <w:rPr>
      <w:rFonts w:ascii="宋体"/>
      <w:kern w:val="2"/>
      <w:sz w:val="18"/>
      <w:szCs w:val="18"/>
    </w:rPr>
  </w:style>
  <w:style w:type="paragraph" w:customStyle="1" w:styleId="40">
    <w:name w:val="列出段落1"/>
    <w:basedOn w:val="1"/>
    <w:qFormat/>
    <w:uiPriority w:val="99"/>
    <w:pPr>
      <w:ind w:firstLine="420" w:firstLineChars="200"/>
    </w:pPr>
  </w:style>
  <w:style w:type="paragraph" w:customStyle="1" w:styleId="41">
    <w:name w:val="Other|1"/>
    <w:basedOn w:val="1"/>
    <w:qFormat/>
    <w:uiPriority w:val="0"/>
    <w:rPr>
      <w:rFonts w:ascii="宋体" w:hAnsi="宋体" w:cs="宋体"/>
      <w:sz w:val="20"/>
      <w:szCs w:val="20"/>
      <w:lang w:val="zh-CN" w:bidi="zh-CN"/>
    </w:rPr>
  </w:style>
  <w:style w:type="character" w:customStyle="1" w:styleId="42">
    <w:name w:val="标题 2 Char"/>
    <w:basedOn w:val="18"/>
    <w:link w:val="5"/>
    <w:semiHidden/>
    <w:qFormat/>
    <w:uiPriority w:val="9"/>
    <w:rPr>
      <w:rFonts w:asciiTheme="majorHAnsi" w:hAnsiTheme="majorHAnsi" w:eastAsiaTheme="majorEastAsia" w:cstheme="majorBidi"/>
      <w:b/>
      <w:bCs/>
      <w:kern w:val="2"/>
      <w:sz w:val="32"/>
      <w:szCs w:val="32"/>
    </w:rPr>
  </w:style>
  <w:style w:type="character" w:customStyle="1" w:styleId="43">
    <w:name w:val="样式 00正文缩进 Char Char Char Char Char Char Char"/>
    <w:qFormat/>
    <w:uiPriority w:val="0"/>
    <w:rPr>
      <w:rFonts w:ascii="宋体" w:hAnsi="宋体" w:eastAsia="宋体"/>
      <w:color w:val="000000"/>
      <w:kern w:val="2"/>
      <w:sz w:val="28"/>
      <w:szCs w:val="28"/>
      <w:lang w:val="en-US" w:eastAsia="zh-CN" w:bidi="ar-SA"/>
    </w:rPr>
  </w:style>
  <w:style w:type="paragraph" w:customStyle="1" w:styleId="44">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5">
    <w:name w:val="正文--00"/>
    <w:basedOn w:val="1"/>
    <w:qFormat/>
    <w:uiPriority w:val="0"/>
    <w:pPr>
      <w:adjustRightInd w:val="0"/>
      <w:snapToGrid w:val="0"/>
      <w:spacing w:line="360" w:lineRule="auto"/>
      <w:ind w:firstLine="200" w:firstLineChars="200"/>
    </w:pPr>
    <w:rPr>
      <w:sz w:val="28"/>
      <w:szCs w:val="32"/>
    </w:rPr>
  </w:style>
  <w:style w:type="character" w:customStyle="1" w:styleId="46">
    <w:name w:val="ant-select-tree-iconele"/>
    <w:basedOn w:val="18"/>
    <w:qFormat/>
    <w:uiPriority w:val="0"/>
  </w:style>
  <w:style w:type="character" w:customStyle="1" w:styleId="47">
    <w:name w:val="ant-select-tree-switcher"/>
    <w:basedOn w:val="18"/>
    <w:qFormat/>
    <w:uiPriority w:val="0"/>
  </w:style>
  <w:style w:type="character" w:customStyle="1" w:styleId="48">
    <w:name w:val="tag-type"/>
    <w:basedOn w:val="18"/>
    <w:qFormat/>
    <w:uiPriority w:val="0"/>
    <w:rPr>
      <w:color w:val="FFFFFF"/>
      <w:sz w:val="18"/>
      <w:szCs w:val="18"/>
      <w:shd w:val="clear" w:color="auto" w:fill="317FFD"/>
    </w:rPr>
  </w:style>
  <w:style w:type="character" w:customStyle="1" w:styleId="49">
    <w:name w:val="tag-type1"/>
    <w:basedOn w:val="18"/>
    <w:qFormat/>
    <w:uiPriority w:val="0"/>
    <w:rPr>
      <w:color w:val="FFFFFF"/>
      <w:sz w:val="18"/>
      <w:szCs w:val="18"/>
      <w:shd w:val="clear" w:color="auto" w:fill="317FFD"/>
    </w:rPr>
  </w:style>
  <w:style w:type="character" w:customStyle="1" w:styleId="50">
    <w:name w:val="last-of-type"/>
    <w:basedOn w:val="18"/>
    <w:qFormat/>
    <w:uiPriority w:val="0"/>
    <w:rPr>
      <w:color w:val="FF4A44"/>
      <w:sz w:val="27"/>
      <w:szCs w:val="27"/>
    </w:rPr>
  </w:style>
  <w:style w:type="character" w:customStyle="1" w:styleId="51">
    <w:name w:val="ant-select-tree-checkbox"/>
    <w:basedOn w:val="18"/>
    <w:qFormat/>
    <w:uiPriority w:val="0"/>
  </w:style>
  <w:style w:type="character" w:customStyle="1" w:styleId="52">
    <w:name w:val="temp"/>
    <w:basedOn w:val="18"/>
    <w:qFormat/>
    <w:uiPriority w:val="0"/>
  </w:style>
  <w:style w:type="character" w:customStyle="1" w:styleId="53">
    <w:name w:val="temp1"/>
    <w:basedOn w:val="18"/>
    <w:qFormat/>
    <w:uiPriority w:val="0"/>
  </w:style>
  <w:style w:type="character" w:customStyle="1" w:styleId="54">
    <w:name w:val="temp2"/>
    <w:basedOn w:val="18"/>
    <w:qFormat/>
    <w:uiPriority w:val="0"/>
  </w:style>
  <w:style w:type="character" w:customStyle="1" w:styleId="55">
    <w:name w:val="change-camera-place"/>
    <w:basedOn w:val="18"/>
    <w:qFormat/>
    <w:uiPriority w:val="0"/>
    <w:rPr>
      <w:color w:val="3177FD"/>
    </w:rPr>
  </w:style>
  <w:style w:type="character" w:customStyle="1" w:styleId="56">
    <w:name w:val="last-child1"/>
    <w:basedOn w:val="18"/>
    <w:qFormat/>
    <w:uiPriority w:val="0"/>
  </w:style>
  <w:style w:type="character" w:customStyle="1" w:styleId="57">
    <w:name w:val="last-child2"/>
    <w:basedOn w:val="18"/>
    <w:qFormat/>
    <w:uiPriority w:val="0"/>
  </w:style>
  <w:style w:type="character" w:customStyle="1" w:styleId="58">
    <w:name w:val="last-child3"/>
    <w:basedOn w:val="18"/>
    <w:qFormat/>
    <w:uiPriority w:val="0"/>
  </w:style>
  <w:style w:type="character" w:customStyle="1" w:styleId="59">
    <w:name w:val="last-child4"/>
    <w:basedOn w:val="18"/>
    <w:qFormat/>
    <w:uiPriority w:val="0"/>
  </w:style>
  <w:style w:type="character" w:customStyle="1" w:styleId="60">
    <w:name w:val="info-label"/>
    <w:basedOn w:val="18"/>
    <w:qFormat/>
    <w:uiPriority w:val="0"/>
    <w:rPr>
      <w:b/>
    </w:rPr>
  </w:style>
  <w:style w:type="character" w:customStyle="1" w:styleId="61">
    <w:name w:val="label"/>
    <w:basedOn w:val="18"/>
    <w:qFormat/>
    <w:uiPriority w:val="0"/>
  </w:style>
  <w:style w:type="character" w:customStyle="1" w:styleId="62">
    <w:name w:val="ant-tree-icon_loading"/>
    <w:basedOn w:val="18"/>
    <w:qFormat/>
    <w:uiPriority w:val="0"/>
    <w:rPr>
      <w:shd w:val="clear" w:color="auto" w:fill="FFFFFF"/>
    </w:rPr>
  </w:style>
  <w:style w:type="character" w:customStyle="1" w:styleId="63">
    <w:name w:val="ant-badge-status-dot2"/>
    <w:basedOn w:val="18"/>
    <w:qFormat/>
    <w:uiPriority w:val="0"/>
    <w:rPr>
      <w:shd w:val="clear" w:color="auto" w:fill="FFFFFF"/>
    </w:rPr>
  </w:style>
  <w:style w:type="character" w:customStyle="1" w:styleId="64">
    <w:name w:val="info-content"/>
    <w:basedOn w:val="18"/>
    <w:qFormat/>
    <w:uiPriority w:val="0"/>
    <w:rPr>
      <w:color w:val="808080"/>
    </w:rPr>
  </w:style>
  <w:style w:type="character" w:customStyle="1" w:styleId="65">
    <w:name w:val="content"/>
    <w:basedOn w:val="18"/>
    <w:qFormat/>
    <w:uiPriority w:val="0"/>
  </w:style>
  <w:style w:type="character" w:customStyle="1" w:styleId="66">
    <w:name w:val="ant-tree-checkbox2"/>
    <w:basedOn w:val="18"/>
    <w:qFormat/>
    <w:uiPriority w:val="0"/>
  </w:style>
  <w:style w:type="character" w:customStyle="1" w:styleId="67">
    <w:name w:val="ant-tree-switcher"/>
    <w:basedOn w:val="18"/>
    <w:qFormat/>
    <w:uiPriority w:val="0"/>
  </w:style>
  <w:style w:type="character" w:customStyle="1" w:styleId="68">
    <w:name w:val="ant-tree-iconele"/>
    <w:basedOn w:val="18"/>
    <w:qFormat/>
    <w:uiPriority w:val="0"/>
  </w:style>
  <w:style w:type="character" w:customStyle="1" w:styleId="69">
    <w:name w:val="all-fit-info"/>
    <w:basedOn w:val="18"/>
    <w:qFormat/>
    <w:uiPriority w:val="0"/>
    <w:rPr>
      <w:color w:val="939393"/>
    </w:rPr>
  </w:style>
  <w:style w:type="character" w:customStyle="1" w:styleId="70">
    <w:name w:val="all-fit-info1"/>
    <w:basedOn w:val="18"/>
    <w:qFormat/>
    <w:uiPriority w:val="0"/>
    <w:rPr>
      <w:color w:val="939393"/>
    </w:rPr>
  </w:style>
  <w:style w:type="character" w:customStyle="1" w:styleId="71">
    <w:name w:val="all-fit-info2"/>
    <w:basedOn w:val="18"/>
    <w:qFormat/>
    <w:uiPriority w:val="0"/>
    <w:rPr>
      <w:color w:val="939393"/>
    </w:rPr>
  </w:style>
  <w:style w:type="character" w:customStyle="1" w:styleId="72">
    <w:name w:val="first-child9"/>
    <w:basedOn w:val="18"/>
    <w:qFormat/>
    <w:uiPriority w:val="0"/>
  </w:style>
  <w:style w:type="character" w:customStyle="1" w:styleId="73">
    <w:name w:val="current"/>
    <w:basedOn w:val="18"/>
    <w:qFormat/>
    <w:uiPriority w:val="0"/>
    <w:rPr>
      <w:color w:val="00C1DE"/>
    </w:rPr>
  </w:style>
  <w:style w:type="character" w:customStyle="1" w:styleId="74">
    <w:name w:val="current1"/>
    <w:basedOn w:val="18"/>
    <w:qFormat/>
    <w:uiPriority w:val="0"/>
    <w:rPr>
      <w:color w:val="00C1DE"/>
    </w:rPr>
  </w:style>
  <w:style w:type="character" w:customStyle="1" w:styleId="75">
    <w:name w:val="ant-transfer-list-search-action"/>
    <w:basedOn w:val="18"/>
    <w:qFormat/>
    <w:uiPriority w:val="0"/>
  </w:style>
  <w:style w:type="character" w:customStyle="1" w:styleId="76">
    <w:name w:val="ant-input12"/>
    <w:basedOn w:val="18"/>
    <w:qFormat/>
    <w:uiPriority w:val="0"/>
  </w:style>
  <w:style w:type="character" w:customStyle="1" w:styleId="77">
    <w:name w:val="ant-tree-checkbox"/>
    <w:basedOn w:val="18"/>
    <w:qFormat/>
    <w:uiPriority w:val="0"/>
  </w:style>
  <w:style w:type="character" w:customStyle="1" w:styleId="78">
    <w:name w:val="ant-form-item-children1"/>
    <w:basedOn w:val="18"/>
    <w:qFormat/>
    <w:uiPriority w:val="0"/>
  </w:style>
  <w:style w:type="paragraph" w:styleId="79">
    <w:name w:val="List Paragraph"/>
    <w:basedOn w:val="1"/>
    <w:qFormat/>
    <w:uiPriority w:val="99"/>
    <w:pPr>
      <w:ind w:firstLine="420" w:firstLineChars="200"/>
    </w:pPr>
  </w:style>
  <w:style w:type="character" w:customStyle="1" w:styleId="80">
    <w:name w:val="纯文本 字符1"/>
    <w:basedOn w:val="18"/>
    <w:qFormat/>
    <w:locked/>
    <w:uiPriority w:val="99"/>
    <w:rPr>
      <w:rFonts w:ascii="宋体" w:hAnsi="Courier New" w:cs="宋体"/>
    </w:rPr>
  </w:style>
  <w:style w:type="character" w:customStyle="1" w:styleId="81">
    <w:name w:val="l2"/>
    <w:basedOn w:val="18"/>
    <w:qFormat/>
    <w:uiPriority w:val="0"/>
  </w:style>
  <w:style w:type="character" w:customStyle="1" w:styleId="82">
    <w:name w:val="r2"/>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CB056-3E10-47B6-907A-1FA29D727831}">
  <ds:schemaRefs/>
</ds:datastoreItem>
</file>

<file path=customXml/itemProps3.xml><?xml version="1.0" encoding="utf-8"?>
<ds:datastoreItem xmlns:ds="http://schemas.openxmlformats.org/officeDocument/2006/customXml" ds:itemID="{5FAA3ECD-1CB7-42D3-A57D-84283F0DD666}">
  <ds:schemaRefs/>
</ds:datastoreItem>
</file>

<file path=customXml/itemProps4.xml><?xml version="1.0" encoding="utf-8"?>
<ds:datastoreItem xmlns:ds="http://schemas.openxmlformats.org/officeDocument/2006/customXml" ds:itemID="{71B83499-555C-4C94-A0A9-81E3C1E7B3B1}">
  <ds:schemaRefs/>
</ds:datastoreItem>
</file>

<file path=docProps/app.xml><?xml version="1.0" encoding="utf-8"?>
<Properties xmlns="http://schemas.openxmlformats.org/officeDocument/2006/extended-properties" xmlns:vt="http://schemas.openxmlformats.org/officeDocument/2006/docPropsVTypes">
  <Template>Normal</Template>
  <Company>ajj</Company>
  <Pages>1</Pages>
  <Words>3629</Words>
  <Characters>20689</Characters>
  <Lines>172</Lines>
  <Paragraphs>48</Paragraphs>
  <TotalTime>1</TotalTime>
  <ScaleCrop>false</ScaleCrop>
  <LinksUpToDate>false</LinksUpToDate>
  <CharactersWithSpaces>24270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2019-04-28T05:09:00Z</dcterms:created>
  <dc:creator>NTKO</dc:creator>
  <cp:lastModifiedBy>Administrator</cp:lastModifiedBy>
  <dcterms:modified xsi:type="dcterms:W3CDTF">2020-07-13T02:51:49Z</dcterms:modified>
  <cp:revision>548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