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both"/>
        <w:rPr>
          <w:rFonts w:ascii="宋体" w:hAnsi="宋体"/>
          <w:b/>
          <w:bCs/>
          <w:color w:val="auto"/>
          <w:sz w:val="60"/>
          <w:szCs w:val="60"/>
          <w:highlight w:val="none"/>
        </w:rPr>
      </w:pPr>
      <w:r>
        <w:rPr>
          <w:rFonts w:ascii="Times New Roman" w:hAnsi="Times New Roman" w:eastAsia="华文新魏" w:cs="Times New Roman"/>
          <w:b/>
          <w:color w:val="auto"/>
          <w:sz w:val="52"/>
          <w:szCs w:val="52"/>
          <w:highlight w:val="none"/>
        </w:rPr>
        <w:drawing>
          <wp:anchor distT="0" distB="0" distL="114300" distR="114300" simplePos="0" relativeHeight="251672576" behindDoc="0" locked="0" layoutInCell="1" allowOverlap="1">
            <wp:simplePos x="0" y="0"/>
            <wp:positionH relativeFrom="column">
              <wp:posOffset>2459990</wp:posOffset>
            </wp:positionH>
            <wp:positionV relativeFrom="paragraph">
              <wp:posOffset>153670</wp:posOffset>
            </wp:positionV>
            <wp:extent cx="1201420" cy="1784350"/>
            <wp:effectExtent l="0" t="0" r="8255" b="6350"/>
            <wp:wrapSquare wrapText="bothSides"/>
            <wp:docPr id="9" name="图片 73" descr="QQ截图20191125120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3" descr="QQ截图20191125120159"/>
                    <pic:cNvPicPr>
                      <a:picLocks noChangeAspect="1"/>
                    </pic:cNvPicPr>
                  </pic:nvPicPr>
                  <pic:blipFill>
                    <a:blip r:embed="rId36"/>
                    <a:stretch>
                      <a:fillRect/>
                    </a:stretch>
                  </pic:blipFill>
                  <pic:spPr>
                    <a:xfrm>
                      <a:off x="0" y="0"/>
                      <a:ext cx="1201420" cy="1784350"/>
                    </a:xfrm>
                    <a:prstGeom prst="rect">
                      <a:avLst/>
                    </a:prstGeom>
                    <a:noFill/>
                    <a:ln>
                      <a:noFill/>
                    </a:ln>
                  </pic:spPr>
                </pic:pic>
              </a:graphicData>
            </a:graphic>
          </wp:anchor>
        </w:drawing>
      </w:r>
    </w:p>
    <w:p>
      <w:pPr>
        <w:jc w:val="center"/>
        <w:rPr>
          <w:rFonts w:ascii="Times New Roman" w:hAnsi="Times New Roman" w:cs="Times New Roman"/>
          <w:color w:val="auto"/>
          <w:highlight w:val="none"/>
        </w:rPr>
      </w:pPr>
    </w:p>
    <w:p>
      <w:pPr>
        <w:jc w:val="center"/>
        <w:rPr>
          <w:rFonts w:ascii="Times New Roman" w:hAnsi="Times New Roman" w:cs="Times New Roman"/>
          <w:color w:val="auto"/>
          <w:highlight w:val="none"/>
        </w:rPr>
      </w:pPr>
    </w:p>
    <w:p>
      <w:pPr>
        <w:jc w:val="center"/>
        <w:rPr>
          <w:rFonts w:ascii="Times New Roman" w:hAnsi="Times New Roman" w:cs="Times New Roman"/>
          <w:color w:val="auto"/>
          <w:highlight w:val="none"/>
        </w:rPr>
      </w:pPr>
    </w:p>
    <w:p>
      <w:pPr>
        <w:spacing w:line="600" w:lineRule="exact"/>
        <w:jc w:val="center"/>
        <w:rPr>
          <w:rFonts w:ascii="Times New Roman" w:hAnsi="Times New Roman" w:eastAsia="华文新魏" w:cs="Times New Roman"/>
          <w:b/>
          <w:color w:val="auto"/>
          <w:sz w:val="52"/>
          <w:szCs w:val="52"/>
          <w:highlight w:val="none"/>
        </w:rPr>
      </w:pPr>
    </w:p>
    <w:p>
      <w:pPr>
        <w:spacing w:line="600" w:lineRule="exact"/>
        <w:jc w:val="center"/>
        <w:rPr>
          <w:rFonts w:ascii="Times New Roman" w:hAnsi="Times New Roman" w:eastAsia="华文新魏" w:cs="Times New Roman"/>
          <w:b/>
          <w:color w:val="auto"/>
          <w:sz w:val="52"/>
          <w:szCs w:val="52"/>
          <w:highlight w:val="none"/>
        </w:rPr>
      </w:pPr>
    </w:p>
    <w:p>
      <w:pPr>
        <w:spacing w:line="600" w:lineRule="exact"/>
        <w:jc w:val="center"/>
        <w:rPr>
          <w:rFonts w:ascii="Times New Roman" w:hAnsi="Times New Roman" w:eastAsia="华文新魏" w:cs="Times New Roman"/>
          <w:b/>
          <w:color w:val="auto"/>
          <w:sz w:val="52"/>
          <w:szCs w:val="52"/>
          <w:highlight w:val="none"/>
        </w:rPr>
      </w:pPr>
    </w:p>
    <w:p>
      <w:pPr>
        <w:spacing w:line="600" w:lineRule="exact"/>
        <w:jc w:val="center"/>
        <w:outlineLvl w:val="0"/>
        <w:rPr>
          <w:rFonts w:ascii="Times New Roman" w:hAnsi="Times New Roman" w:eastAsia="华文新魏" w:cs="Times New Roman"/>
          <w:b/>
          <w:color w:val="auto"/>
          <w:sz w:val="52"/>
          <w:szCs w:val="52"/>
          <w:highlight w:val="none"/>
        </w:rPr>
      </w:pPr>
      <w:bookmarkStart w:id="0" w:name="_Toc24604"/>
      <w:bookmarkStart w:id="1" w:name="_Toc20118"/>
      <w:r>
        <w:rPr>
          <w:rFonts w:ascii="Times New Roman" w:hAnsi="Times New Roman" w:eastAsia="华文新魏" w:cs="Times New Roman"/>
          <w:b/>
          <w:color w:val="auto"/>
          <w:sz w:val="52"/>
          <w:szCs w:val="52"/>
          <w:highlight w:val="none"/>
        </w:rPr>
        <w:t>广西鑫渠工程咨询有限公司</w:t>
      </w:r>
      <w:bookmarkEnd w:id="0"/>
      <w:bookmarkEnd w:id="1"/>
    </w:p>
    <w:p>
      <w:pPr>
        <w:pStyle w:val="8"/>
        <w:jc w:val="center"/>
        <w:rPr>
          <w:rFonts w:hAnsi="宋体"/>
          <w:color w:val="auto"/>
          <w:highlight w:val="none"/>
        </w:rPr>
      </w:pPr>
    </w:p>
    <w:p>
      <w:pPr>
        <w:spacing w:line="1400" w:lineRule="exact"/>
        <w:jc w:val="center"/>
        <w:rPr>
          <w:rFonts w:ascii="宋体" w:hAnsi="宋体"/>
          <w:b/>
          <w:color w:val="auto"/>
          <w:spacing w:val="60"/>
          <w:sz w:val="132"/>
          <w:szCs w:val="132"/>
          <w:highlight w:val="none"/>
        </w:rPr>
      </w:pPr>
    </w:p>
    <w:p>
      <w:pPr>
        <w:spacing w:line="1400" w:lineRule="exact"/>
        <w:jc w:val="center"/>
        <w:rPr>
          <w:rFonts w:ascii="宋体" w:hAnsi="宋体"/>
          <w:b/>
          <w:color w:val="auto"/>
          <w:spacing w:val="60"/>
          <w:sz w:val="132"/>
          <w:szCs w:val="132"/>
          <w:highlight w:val="none"/>
        </w:rPr>
      </w:pPr>
      <w:r>
        <w:rPr>
          <w:rFonts w:hint="eastAsia" w:ascii="宋体" w:hAnsi="宋体"/>
          <w:b/>
          <w:color w:val="auto"/>
          <w:spacing w:val="60"/>
          <w:sz w:val="132"/>
          <w:szCs w:val="132"/>
          <w:highlight w:val="none"/>
        </w:rPr>
        <w:t>招标文件</w:t>
      </w:r>
    </w:p>
    <w:p>
      <w:pPr>
        <w:pStyle w:val="8"/>
        <w:rPr>
          <w:rFonts w:hAnsi="宋体"/>
          <w:color w:val="auto"/>
          <w:highlight w:val="none"/>
        </w:rPr>
      </w:pPr>
    </w:p>
    <w:p>
      <w:pPr>
        <w:pStyle w:val="8"/>
        <w:rPr>
          <w:rFonts w:hAnsi="宋体"/>
          <w:color w:val="auto"/>
          <w:highlight w:val="none"/>
        </w:rPr>
      </w:pPr>
    </w:p>
    <w:p>
      <w:pPr>
        <w:pStyle w:val="8"/>
        <w:rPr>
          <w:rFonts w:hAnsi="宋体"/>
          <w:color w:val="auto"/>
          <w:highlight w:val="none"/>
        </w:rPr>
      </w:pPr>
    </w:p>
    <w:p>
      <w:pPr>
        <w:spacing w:line="480" w:lineRule="auto"/>
        <w:jc w:val="center"/>
        <w:outlineLvl w:val="0"/>
        <w:rPr>
          <w:rFonts w:hAnsi="宋体"/>
          <w:b/>
          <w:bCs/>
          <w:color w:val="auto"/>
          <w:spacing w:val="40"/>
          <w:sz w:val="32"/>
          <w:szCs w:val="32"/>
          <w:highlight w:val="none"/>
        </w:rPr>
      </w:pPr>
      <w:bookmarkStart w:id="2" w:name="_Toc32106"/>
      <w:bookmarkStart w:id="3" w:name="_Toc17713"/>
      <w:r>
        <w:rPr>
          <w:rFonts w:hint="eastAsia" w:hAnsi="宋体"/>
          <w:b/>
          <w:bCs/>
          <w:color w:val="auto"/>
          <w:spacing w:val="40"/>
          <w:sz w:val="32"/>
          <w:szCs w:val="32"/>
          <w:highlight w:val="none"/>
        </w:rPr>
        <w:t>项目名称：</w:t>
      </w:r>
      <w:bookmarkEnd w:id="2"/>
      <w:bookmarkEnd w:id="3"/>
      <w:r>
        <w:rPr>
          <w:rFonts w:hint="eastAsia" w:hAnsi="宋体"/>
          <w:b/>
          <w:bCs/>
          <w:color w:val="auto"/>
          <w:spacing w:val="40"/>
          <w:sz w:val="32"/>
          <w:szCs w:val="32"/>
          <w:highlight w:val="none"/>
        </w:rPr>
        <w:t>龙胜各族自治县瓢里镇交州村</w:t>
      </w:r>
    </w:p>
    <w:p>
      <w:pPr>
        <w:spacing w:line="480" w:lineRule="auto"/>
        <w:jc w:val="center"/>
        <w:outlineLvl w:val="0"/>
        <w:rPr>
          <w:rFonts w:ascii="宋体" w:hAnsi="宋体" w:eastAsia="宋体" w:cs="宋体"/>
          <w:b/>
          <w:bCs/>
          <w:color w:val="auto"/>
          <w:spacing w:val="40"/>
          <w:sz w:val="32"/>
          <w:szCs w:val="32"/>
          <w:highlight w:val="none"/>
        </w:rPr>
      </w:pPr>
      <w:r>
        <w:rPr>
          <w:rFonts w:hint="eastAsia" w:hAnsi="宋体"/>
          <w:b/>
          <w:bCs/>
          <w:color w:val="auto"/>
          <w:spacing w:val="40"/>
          <w:sz w:val="32"/>
          <w:szCs w:val="32"/>
          <w:highlight w:val="none"/>
        </w:rPr>
        <w:t xml:space="preserve">               库区产业发展及其配套设施项目</w:t>
      </w:r>
    </w:p>
    <w:p>
      <w:pPr>
        <w:wordWrap w:val="0"/>
        <w:spacing w:line="480" w:lineRule="auto"/>
        <w:ind w:firstLine="1481" w:firstLineChars="370"/>
        <w:jc w:val="both"/>
        <w:rPr>
          <w:rFonts w:ascii="微软雅黑" w:hAnsi="微软雅黑" w:eastAsia="宋体" w:cs="微软雅黑"/>
          <w:color w:val="auto"/>
          <w:sz w:val="32"/>
          <w:szCs w:val="32"/>
          <w:highlight w:val="none"/>
        </w:rPr>
      </w:pPr>
      <w:r>
        <w:rPr>
          <w:rFonts w:hint="eastAsia" w:ascii="宋体" w:hAnsi="宋体"/>
          <w:b/>
          <w:bCs/>
          <w:color w:val="auto"/>
          <w:spacing w:val="40"/>
          <w:sz w:val="32"/>
          <w:szCs w:val="32"/>
          <w:highlight w:val="none"/>
        </w:rPr>
        <w:t>项目编号：GLZC2023-G2-280030-GXXQ</w:t>
      </w:r>
    </w:p>
    <w:p>
      <w:pPr>
        <w:spacing w:line="600" w:lineRule="auto"/>
        <w:ind w:firstLine="960" w:firstLineChars="300"/>
        <w:rPr>
          <w:rFonts w:ascii="宋体" w:hAnsi="宋体"/>
          <w:b/>
          <w:bCs/>
          <w:color w:val="auto"/>
          <w:sz w:val="32"/>
          <w:szCs w:val="32"/>
          <w:highlight w:val="none"/>
        </w:rPr>
      </w:pPr>
    </w:p>
    <w:p>
      <w:pPr>
        <w:pStyle w:val="7"/>
        <w:rPr>
          <w:color w:val="auto"/>
          <w:highlight w:val="none"/>
        </w:rPr>
      </w:pPr>
    </w:p>
    <w:p>
      <w:pPr>
        <w:jc w:val="center"/>
        <w:outlineLvl w:val="0"/>
        <w:rPr>
          <w:rFonts w:ascii="宋体" w:hAnsi="宋体"/>
          <w:b/>
          <w:color w:val="auto"/>
          <w:sz w:val="32"/>
          <w:szCs w:val="32"/>
          <w:highlight w:val="none"/>
        </w:rPr>
      </w:pPr>
      <w:r>
        <w:rPr>
          <w:rFonts w:hint="eastAsia" w:ascii="宋体" w:hAnsi="宋体"/>
          <w:b/>
          <w:bCs/>
          <w:color w:val="auto"/>
          <w:sz w:val="36"/>
          <w:highlight w:val="none"/>
        </w:rPr>
        <w:t xml:space="preserve">        </w:t>
      </w:r>
      <w:bookmarkStart w:id="4" w:name="_Toc22473"/>
      <w:bookmarkStart w:id="5" w:name="_Toc6455"/>
      <w:r>
        <w:rPr>
          <w:rFonts w:hint="eastAsia" w:ascii="宋体" w:hAnsi="宋体"/>
          <w:color w:val="auto"/>
          <w:highlight w:val="none"/>
        </w:rPr>
        <w:cr/>
      </w:r>
      <w:r>
        <w:rPr>
          <w:rFonts w:hint="eastAsia" w:ascii="宋体" w:hAnsi="宋体"/>
          <w:b/>
          <w:color w:val="auto"/>
          <w:sz w:val="32"/>
          <w:szCs w:val="32"/>
          <w:highlight w:val="none"/>
        </w:rPr>
        <w:t>采购代理机构：广西鑫渠工程咨询有限公司</w:t>
      </w:r>
      <w:r>
        <w:rPr>
          <w:rFonts w:hint="eastAsia" w:ascii="宋体" w:hAnsi="宋体"/>
          <w:b/>
          <w:color w:val="auto"/>
          <w:sz w:val="32"/>
          <w:szCs w:val="32"/>
          <w:highlight w:val="none"/>
        </w:rPr>
        <w:cr/>
      </w:r>
      <w:bookmarkEnd w:id="4"/>
      <w:bookmarkEnd w:id="5"/>
    </w:p>
    <w:p>
      <w:pPr>
        <w:jc w:val="center"/>
        <w:rPr>
          <w:rFonts w:ascii="宋体" w:hAnsi="宋体"/>
          <w:b/>
          <w:bCs/>
          <w:color w:val="auto"/>
          <w:sz w:val="32"/>
          <w:highlight w:val="none"/>
        </w:rPr>
      </w:pPr>
      <w:r>
        <w:rPr>
          <w:rFonts w:hint="eastAsia" w:ascii="宋体" w:hAnsi="宋体"/>
          <w:b/>
          <w:bCs/>
          <w:color w:val="auto"/>
          <w:sz w:val="32"/>
          <w:highlight w:val="none"/>
        </w:rPr>
        <w:t>2023年</w:t>
      </w:r>
      <w:r>
        <w:rPr>
          <w:rFonts w:hint="eastAsia" w:ascii="宋体" w:hAnsi="宋体" w:eastAsia="宋体"/>
          <w:b/>
          <w:bCs/>
          <w:color w:val="auto"/>
          <w:sz w:val="32"/>
          <w:highlight w:val="none"/>
          <w:lang w:val="en-US" w:eastAsia="zh-CN"/>
        </w:rPr>
        <w:t>8</w:t>
      </w:r>
      <w:r>
        <w:rPr>
          <w:rFonts w:hint="eastAsia" w:ascii="宋体" w:hAnsi="宋体"/>
          <w:b/>
          <w:bCs/>
          <w:color w:val="auto"/>
          <w:sz w:val="32"/>
          <w:highlight w:val="none"/>
        </w:rPr>
        <w:t>月</w:t>
      </w:r>
    </w:p>
    <w:p>
      <w:pPr>
        <w:spacing w:line="326" w:lineRule="auto"/>
        <w:rPr>
          <w:color w:val="auto"/>
          <w:highlight w:val="none"/>
        </w:rPr>
      </w:pPr>
    </w:p>
    <w:p>
      <w:pPr>
        <w:spacing w:line="326" w:lineRule="auto"/>
        <w:jc w:val="center"/>
        <w:rPr>
          <w:rFonts w:eastAsia="宋体"/>
          <w:b/>
          <w:bCs/>
          <w:color w:val="auto"/>
          <w:sz w:val="44"/>
          <w:szCs w:val="44"/>
          <w:highlight w:val="none"/>
        </w:rPr>
      </w:pPr>
    </w:p>
    <w:p>
      <w:pPr>
        <w:spacing w:line="326" w:lineRule="auto"/>
        <w:jc w:val="center"/>
        <w:rPr>
          <w:rFonts w:eastAsia="宋体"/>
          <w:b/>
          <w:bCs/>
          <w:color w:val="auto"/>
          <w:sz w:val="44"/>
          <w:szCs w:val="44"/>
          <w:highlight w:val="none"/>
        </w:rPr>
      </w:pPr>
      <w:r>
        <w:rPr>
          <w:rFonts w:hint="eastAsia" w:eastAsia="宋体"/>
          <w:b/>
          <w:bCs/>
          <w:color w:val="auto"/>
          <w:sz w:val="44"/>
          <w:szCs w:val="44"/>
          <w:highlight w:val="none"/>
        </w:rPr>
        <w:t>目  录</w:t>
      </w:r>
    </w:p>
    <w:p>
      <w:pPr>
        <w:pStyle w:val="10"/>
        <w:tabs>
          <w:tab w:val="right" w:leader="dot" w:pos="9747"/>
        </w:tabs>
        <w:rPr>
          <w:color w:val="auto"/>
          <w:highlight w:val="none"/>
        </w:rPr>
      </w:pPr>
      <w:bookmarkStart w:id="6" w:name="_Toc13952"/>
      <w:bookmarkStart w:id="7" w:name="_Toc29822"/>
      <w:r>
        <w:rPr>
          <w:color w:val="auto"/>
          <w:highlight w:val="none"/>
        </w:rPr>
        <w:fldChar w:fldCharType="begin"/>
      </w:r>
      <w:r>
        <w:rPr>
          <w:color w:val="auto"/>
          <w:highlight w:val="none"/>
        </w:rPr>
        <w:instrText xml:space="preserve">TOC \o "1-1" \h \u </w:instrText>
      </w:r>
      <w:r>
        <w:rPr>
          <w:color w:val="auto"/>
          <w:highlight w:val="none"/>
        </w:rPr>
        <w:fldChar w:fldCharType="separate"/>
      </w:r>
    </w:p>
    <w:p>
      <w:pPr>
        <w:pStyle w:val="10"/>
        <w:tabs>
          <w:tab w:val="right" w:leader="dot" w:pos="9747"/>
        </w:tabs>
        <w:spacing w:line="360" w:lineRule="auto"/>
        <w:rPr>
          <w:rFonts w:ascii="宋体" w:hAnsi="宋体" w:eastAsia="宋体" w:cs="宋体"/>
          <w:color w:val="auto"/>
          <w:sz w:val="32"/>
          <w:szCs w:val="32"/>
          <w:highlight w:val="none"/>
        </w:rPr>
      </w:pPr>
      <w:r>
        <w:rPr>
          <w:color w:val="auto"/>
          <w:highlight w:val="none"/>
        </w:rPr>
        <w:fldChar w:fldCharType="begin"/>
      </w:r>
      <w:r>
        <w:rPr>
          <w:color w:val="auto"/>
          <w:highlight w:val="none"/>
        </w:rPr>
        <w:instrText xml:space="preserve"> HYPERLINK \l "_Toc12222" </w:instrText>
      </w:r>
      <w:r>
        <w:rPr>
          <w:color w:val="auto"/>
          <w:highlight w:val="none"/>
        </w:rPr>
        <w:fldChar w:fldCharType="separate"/>
      </w:r>
      <w:r>
        <w:rPr>
          <w:rFonts w:hint="eastAsia" w:ascii="宋体" w:hAnsi="宋体" w:eastAsia="宋体" w:cs="宋体"/>
          <w:color w:val="auto"/>
          <w:sz w:val="32"/>
          <w:szCs w:val="32"/>
          <w:highlight w:val="none"/>
        </w:rPr>
        <w:t>第一章 招标公告</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_Toc12222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1</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10"/>
        <w:tabs>
          <w:tab w:val="right" w:leader="dot" w:pos="9747"/>
        </w:tabs>
        <w:spacing w:line="360" w:lineRule="auto"/>
        <w:rPr>
          <w:rFonts w:ascii="宋体" w:hAnsi="宋体" w:eastAsia="宋体" w:cs="宋体"/>
          <w:color w:val="auto"/>
          <w:sz w:val="32"/>
          <w:szCs w:val="32"/>
          <w:highlight w:val="none"/>
        </w:rPr>
      </w:pPr>
      <w:r>
        <w:rPr>
          <w:color w:val="auto"/>
          <w:highlight w:val="none"/>
        </w:rPr>
        <w:fldChar w:fldCharType="begin"/>
      </w:r>
      <w:r>
        <w:rPr>
          <w:color w:val="auto"/>
          <w:highlight w:val="none"/>
        </w:rPr>
        <w:instrText xml:space="preserve"> HYPERLINK \l "_Toc29622" </w:instrText>
      </w:r>
      <w:r>
        <w:rPr>
          <w:color w:val="auto"/>
          <w:highlight w:val="none"/>
        </w:rPr>
        <w:fldChar w:fldCharType="separate"/>
      </w:r>
      <w:r>
        <w:rPr>
          <w:rFonts w:hint="eastAsia" w:ascii="宋体" w:hAnsi="宋体" w:eastAsia="宋体" w:cs="宋体"/>
          <w:color w:val="auto"/>
          <w:sz w:val="32"/>
          <w:szCs w:val="32"/>
          <w:highlight w:val="none"/>
        </w:rPr>
        <w:t>第二章 投标人须知</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_Toc29622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4</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10"/>
        <w:tabs>
          <w:tab w:val="right" w:leader="dot" w:pos="9747"/>
        </w:tabs>
        <w:spacing w:line="360" w:lineRule="auto"/>
        <w:rPr>
          <w:rFonts w:ascii="宋体" w:hAnsi="宋体" w:eastAsia="宋体" w:cs="宋体"/>
          <w:color w:val="auto"/>
          <w:sz w:val="32"/>
          <w:szCs w:val="32"/>
          <w:highlight w:val="none"/>
        </w:rPr>
      </w:pPr>
      <w:r>
        <w:rPr>
          <w:color w:val="auto"/>
          <w:highlight w:val="none"/>
        </w:rPr>
        <w:fldChar w:fldCharType="begin"/>
      </w:r>
      <w:r>
        <w:rPr>
          <w:color w:val="auto"/>
          <w:highlight w:val="none"/>
        </w:rPr>
        <w:instrText xml:space="preserve"> HYPERLINK \l "_Toc11573" </w:instrText>
      </w:r>
      <w:r>
        <w:rPr>
          <w:color w:val="auto"/>
          <w:highlight w:val="none"/>
        </w:rPr>
        <w:fldChar w:fldCharType="separate"/>
      </w:r>
      <w:r>
        <w:rPr>
          <w:rFonts w:hint="eastAsia" w:ascii="宋体" w:hAnsi="宋体" w:eastAsia="宋体" w:cs="宋体"/>
          <w:color w:val="auto"/>
          <w:sz w:val="32"/>
          <w:szCs w:val="32"/>
          <w:highlight w:val="none"/>
        </w:rPr>
        <w:t>第三章 评标办法（综合评估法）</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_Toc11573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25</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10"/>
        <w:tabs>
          <w:tab w:val="right" w:leader="dot" w:pos="9747"/>
        </w:tabs>
        <w:spacing w:line="360" w:lineRule="auto"/>
        <w:rPr>
          <w:rFonts w:ascii="宋体" w:hAnsi="宋体" w:eastAsia="宋体" w:cs="宋体"/>
          <w:color w:val="auto"/>
          <w:sz w:val="32"/>
          <w:szCs w:val="32"/>
          <w:highlight w:val="none"/>
        </w:rPr>
      </w:pPr>
      <w:r>
        <w:rPr>
          <w:color w:val="auto"/>
          <w:highlight w:val="none"/>
        </w:rPr>
        <w:fldChar w:fldCharType="begin"/>
      </w:r>
      <w:r>
        <w:rPr>
          <w:color w:val="auto"/>
          <w:highlight w:val="none"/>
        </w:rPr>
        <w:instrText xml:space="preserve"> HYPERLINK \l "_Toc2726" </w:instrText>
      </w:r>
      <w:r>
        <w:rPr>
          <w:color w:val="auto"/>
          <w:highlight w:val="none"/>
        </w:rPr>
        <w:fldChar w:fldCharType="separate"/>
      </w:r>
      <w:r>
        <w:rPr>
          <w:rFonts w:hint="eastAsia" w:ascii="宋体" w:hAnsi="宋体" w:eastAsia="宋体" w:cs="宋体"/>
          <w:color w:val="auto"/>
          <w:sz w:val="32"/>
          <w:szCs w:val="32"/>
          <w:highlight w:val="none"/>
        </w:rPr>
        <w:t>第四章 合同条款及格式</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_Toc2726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38</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10"/>
        <w:tabs>
          <w:tab w:val="right" w:leader="dot" w:pos="9747"/>
        </w:tabs>
        <w:spacing w:line="360" w:lineRule="auto"/>
        <w:rPr>
          <w:rFonts w:ascii="宋体" w:hAnsi="宋体" w:eastAsia="宋体" w:cs="宋体"/>
          <w:color w:val="auto"/>
          <w:sz w:val="32"/>
          <w:szCs w:val="32"/>
          <w:highlight w:val="none"/>
        </w:rPr>
      </w:pPr>
      <w:r>
        <w:rPr>
          <w:color w:val="auto"/>
          <w:highlight w:val="none"/>
        </w:rPr>
        <w:fldChar w:fldCharType="begin"/>
      </w:r>
      <w:r>
        <w:rPr>
          <w:color w:val="auto"/>
          <w:highlight w:val="none"/>
        </w:rPr>
        <w:instrText xml:space="preserve"> HYPERLINK \l "_Toc13601" </w:instrText>
      </w:r>
      <w:r>
        <w:rPr>
          <w:color w:val="auto"/>
          <w:highlight w:val="none"/>
        </w:rPr>
        <w:fldChar w:fldCharType="separate"/>
      </w:r>
      <w:r>
        <w:rPr>
          <w:rFonts w:hint="eastAsia" w:ascii="宋体" w:hAnsi="宋体" w:eastAsia="宋体" w:cs="宋体"/>
          <w:color w:val="auto"/>
          <w:sz w:val="32"/>
          <w:szCs w:val="32"/>
          <w:highlight w:val="none"/>
        </w:rPr>
        <w:t>第五章 工程量清单</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_Toc13601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139</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10"/>
        <w:tabs>
          <w:tab w:val="right" w:leader="dot" w:pos="9747"/>
        </w:tabs>
        <w:spacing w:line="360" w:lineRule="auto"/>
        <w:rPr>
          <w:rFonts w:ascii="宋体" w:hAnsi="宋体" w:eastAsia="宋体" w:cs="宋体"/>
          <w:color w:val="auto"/>
          <w:sz w:val="32"/>
          <w:szCs w:val="32"/>
          <w:highlight w:val="none"/>
        </w:rPr>
      </w:pPr>
      <w:r>
        <w:rPr>
          <w:color w:val="auto"/>
          <w:highlight w:val="none"/>
        </w:rPr>
        <w:fldChar w:fldCharType="begin"/>
      </w:r>
      <w:r>
        <w:rPr>
          <w:color w:val="auto"/>
          <w:highlight w:val="none"/>
        </w:rPr>
        <w:instrText xml:space="preserve"> HYPERLINK \l "_Toc29969" </w:instrText>
      </w:r>
      <w:r>
        <w:rPr>
          <w:color w:val="auto"/>
          <w:highlight w:val="none"/>
        </w:rPr>
        <w:fldChar w:fldCharType="separate"/>
      </w:r>
      <w:r>
        <w:rPr>
          <w:rFonts w:hint="eastAsia" w:ascii="宋体" w:hAnsi="宋体" w:eastAsia="宋体" w:cs="宋体"/>
          <w:color w:val="auto"/>
          <w:sz w:val="32"/>
          <w:szCs w:val="32"/>
          <w:highlight w:val="none"/>
        </w:rPr>
        <w:t>第六章 图  纸</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_Toc29969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139</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10"/>
        <w:tabs>
          <w:tab w:val="right" w:leader="dot" w:pos="9747"/>
        </w:tabs>
        <w:spacing w:line="360" w:lineRule="auto"/>
        <w:rPr>
          <w:rFonts w:ascii="宋体" w:hAnsi="宋体" w:eastAsia="宋体" w:cs="宋体"/>
          <w:color w:val="auto"/>
          <w:sz w:val="32"/>
          <w:szCs w:val="32"/>
          <w:highlight w:val="none"/>
        </w:rPr>
      </w:pPr>
      <w:r>
        <w:rPr>
          <w:color w:val="auto"/>
          <w:highlight w:val="none"/>
        </w:rPr>
        <w:fldChar w:fldCharType="begin"/>
      </w:r>
      <w:r>
        <w:rPr>
          <w:color w:val="auto"/>
          <w:highlight w:val="none"/>
        </w:rPr>
        <w:instrText xml:space="preserve"> HYPERLINK \l "_Toc31781" </w:instrText>
      </w:r>
      <w:r>
        <w:rPr>
          <w:color w:val="auto"/>
          <w:highlight w:val="none"/>
        </w:rPr>
        <w:fldChar w:fldCharType="separate"/>
      </w:r>
      <w:r>
        <w:rPr>
          <w:rFonts w:hint="eastAsia" w:ascii="宋体" w:hAnsi="宋体" w:eastAsia="宋体" w:cs="宋体"/>
          <w:color w:val="auto"/>
          <w:sz w:val="32"/>
          <w:szCs w:val="32"/>
          <w:highlight w:val="none"/>
        </w:rPr>
        <w:t>第七章 技术标准和要求</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_Toc31781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140</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10"/>
        <w:tabs>
          <w:tab w:val="right" w:leader="dot" w:pos="9747"/>
        </w:tabs>
        <w:spacing w:line="360" w:lineRule="auto"/>
        <w:rPr>
          <w:rFonts w:ascii="宋体" w:hAnsi="宋体" w:eastAsia="宋体" w:cs="宋体"/>
          <w:color w:val="auto"/>
          <w:sz w:val="32"/>
          <w:szCs w:val="32"/>
          <w:highlight w:val="none"/>
        </w:rPr>
      </w:pPr>
      <w:r>
        <w:rPr>
          <w:color w:val="auto"/>
          <w:highlight w:val="none"/>
        </w:rPr>
        <w:fldChar w:fldCharType="begin"/>
      </w:r>
      <w:r>
        <w:rPr>
          <w:color w:val="auto"/>
          <w:highlight w:val="none"/>
        </w:rPr>
        <w:instrText xml:space="preserve"> HYPERLINK \l "_Toc2966" </w:instrText>
      </w:r>
      <w:r>
        <w:rPr>
          <w:color w:val="auto"/>
          <w:highlight w:val="none"/>
        </w:rPr>
        <w:fldChar w:fldCharType="separate"/>
      </w:r>
      <w:r>
        <w:rPr>
          <w:rFonts w:hint="eastAsia" w:ascii="宋体" w:hAnsi="宋体" w:eastAsia="宋体" w:cs="宋体"/>
          <w:color w:val="auto"/>
          <w:sz w:val="32"/>
          <w:szCs w:val="32"/>
          <w:highlight w:val="none"/>
        </w:rPr>
        <w:t>第八章 投标文件格式</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_Toc2966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141</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rPr>
          <w:color w:val="auto"/>
          <w:highlight w:val="none"/>
        </w:rPr>
      </w:pPr>
      <w:r>
        <w:rPr>
          <w:color w:val="auto"/>
          <w:highlight w:val="none"/>
        </w:rPr>
        <w:fldChar w:fldCharType="end"/>
      </w:r>
    </w:p>
    <w:p>
      <w:pPr>
        <w:pStyle w:val="3"/>
        <w:spacing w:before="0" w:after="0" w:line="360" w:lineRule="auto"/>
        <w:jc w:val="center"/>
        <w:rPr>
          <w:color w:val="auto"/>
          <w:highlight w:val="none"/>
        </w:rPr>
      </w:pPr>
      <w:bookmarkStart w:id="8" w:name="_Toc12222"/>
    </w:p>
    <w:p>
      <w:pPr>
        <w:rPr>
          <w:color w:val="auto"/>
          <w:highlight w:val="none"/>
        </w:rPr>
      </w:pPr>
    </w:p>
    <w:p>
      <w:pPr>
        <w:pStyle w:val="7"/>
        <w:rPr>
          <w:color w:val="auto"/>
          <w:highlight w:val="none"/>
        </w:rPr>
        <w:sectPr>
          <w:headerReference r:id="rId3" w:type="default"/>
          <w:footerReference r:id="rId4" w:type="default"/>
          <w:pgSz w:w="11907" w:h="16839"/>
          <w:pgMar w:top="1440" w:right="1080" w:bottom="1440" w:left="1080" w:header="0" w:footer="993" w:gutter="0"/>
          <w:pgNumType w:start="1"/>
          <w:cols w:space="720" w:num="1"/>
        </w:sectPr>
      </w:pPr>
    </w:p>
    <w:p>
      <w:pPr>
        <w:pStyle w:val="3"/>
        <w:spacing w:before="0" w:after="0" w:line="360" w:lineRule="auto"/>
        <w:jc w:val="center"/>
        <w:rPr>
          <w:color w:val="auto"/>
          <w:highlight w:val="none"/>
        </w:rPr>
      </w:pPr>
      <w:r>
        <w:rPr>
          <w:color w:val="auto"/>
          <w:highlight w:val="none"/>
        </w:rPr>
        <w:t>第一章 招标公告</w:t>
      </w:r>
      <w:bookmarkEnd w:id="6"/>
      <w:bookmarkEnd w:id="7"/>
      <w:bookmarkEnd w:id="8"/>
    </w:p>
    <w:p>
      <w:pPr>
        <w:spacing w:line="136" w:lineRule="exact"/>
        <w:rPr>
          <w:color w:val="auto"/>
          <w:highlight w:val="none"/>
        </w:rPr>
      </w:pPr>
    </w:p>
    <w:tbl>
      <w:tblPr>
        <w:tblStyle w:val="16"/>
        <w:tblW w:w="10252"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1025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214" w:hRule="atLeast"/>
        </w:trPr>
        <w:tc>
          <w:tcPr>
            <w:tcW w:w="10252" w:type="dxa"/>
          </w:tcPr>
          <w:p>
            <w:pPr>
              <w:spacing w:before="115" w:line="360" w:lineRule="auto"/>
              <w:rPr>
                <w:rFonts w:ascii="宋体" w:hAnsi="宋体" w:eastAsia="宋体" w:cs="宋体"/>
                <w:b/>
                <w:bCs/>
                <w:color w:val="auto"/>
                <w:highlight w:val="none"/>
              </w:rPr>
            </w:pPr>
            <w:r>
              <w:rPr>
                <w:rFonts w:ascii="宋体" w:hAnsi="宋体" w:eastAsia="宋体" w:cs="宋体"/>
                <w:b/>
                <w:bCs/>
                <w:color w:val="auto"/>
                <w:spacing w:val="-3"/>
                <w:highlight w:val="none"/>
              </w:rPr>
              <w:t>项</w:t>
            </w:r>
            <w:r>
              <w:rPr>
                <w:rFonts w:ascii="宋体" w:hAnsi="宋体" w:eastAsia="宋体" w:cs="宋体"/>
                <w:b/>
                <w:bCs/>
                <w:color w:val="auto"/>
                <w:spacing w:val="-2"/>
                <w:highlight w:val="none"/>
              </w:rPr>
              <w:t>目概况</w:t>
            </w:r>
          </w:p>
          <w:p>
            <w:pPr>
              <w:spacing w:line="360" w:lineRule="auto"/>
              <w:ind w:left="125" w:firstLine="388" w:firstLineChars="200"/>
              <w:rPr>
                <w:rFonts w:ascii="宋体" w:hAnsi="宋体" w:eastAsia="宋体" w:cs="宋体"/>
                <w:color w:val="auto"/>
                <w:highlight w:val="none"/>
              </w:rPr>
            </w:pPr>
            <w:r>
              <w:rPr>
                <w:rFonts w:hint="eastAsia" w:ascii="宋体" w:hAnsi="宋体" w:eastAsia="宋体" w:cs="宋体"/>
                <w:color w:val="auto"/>
                <w:spacing w:val="-8"/>
                <w:highlight w:val="none"/>
                <w:u w:val="single"/>
              </w:rPr>
              <w:t>龙胜各族自治县瓢里镇交州村库区产业发展及其配套设施项目</w:t>
            </w:r>
            <w:r>
              <w:rPr>
                <w:rFonts w:ascii="宋体" w:hAnsi="宋体" w:eastAsia="宋体" w:cs="宋体"/>
                <w:color w:val="auto"/>
                <w:spacing w:val="-4"/>
                <w:highlight w:val="none"/>
                <w:u w:val="single"/>
              </w:rPr>
              <w:t xml:space="preserve"> </w:t>
            </w:r>
            <w:r>
              <w:rPr>
                <w:rFonts w:hint="eastAsia" w:ascii="宋体" w:hAnsi="宋体" w:eastAsia="宋体" w:cs="宋体"/>
                <w:color w:val="auto"/>
                <w:highlight w:val="none"/>
              </w:rPr>
              <w:t>招标项目的潜在投标人应在</w:t>
            </w:r>
            <w:r>
              <w:rPr>
                <w:rFonts w:hint="eastAsia" w:ascii="宋体" w:hAnsi="宋体"/>
                <w:color w:val="auto"/>
                <w:highlight w:val="none"/>
              </w:rPr>
              <w:t>政采云平台线上获取</w:t>
            </w:r>
            <w:r>
              <w:rPr>
                <w:rFonts w:hint="eastAsia" w:ascii="宋体" w:hAnsi="宋体" w:eastAsia="宋体" w:cs="宋体"/>
                <w:color w:val="auto"/>
                <w:highlight w:val="none"/>
              </w:rPr>
              <w:t>招标文件</w:t>
            </w:r>
            <w:r>
              <w:rPr>
                <w:rFonts w:ascii="宋体" w:hAnsi="宋体" w:eastAsia="宋体" w:cs="宋体"/>
                <w:color w:val="auto"/>
                <w:spacing w:val="-4"/>
                <w:highlight w:val="none"/>
              </w:rPr>
              <w:t>，并于</w:t>
            </w:r>
            <w:r>
              <w:rPr>
                <w:rFonts w:hint="eastAsia" w:ascii="宋体" w:hAnsi="宋体" w:eastAsia="宋体" w:cs="宋体"/>
                <w:color w:val="auto"/>
                <w:kern w:val="2"/>
                <w:highlight w:val="none"/>
                <w:u w:val="single"/>
                <w:lang w:bidi="ar"/>
              </w:rPr>
              <w:t>2023年</w:t>
            </w:r>
            <w:r>
              <w:rPr>
                <w:rFonts w:hint="eastAsia" w:ascii="宋体" w:hAnsi="宋体" w:eastAsia="宋体" w:cs="宋体"/>
                <w:color w:val="auto"/>
                <w:kern w:val="2"/>
                <w:highlight w:val="none"/>
                <w:u w:val="single"/>
                <w:lang w:val="en-US" w:eastAsia="zh-CN" w:bidi="ar"/>
              </w:rPr>
              <w:t>9</w:t>
            </w:r>
            <w:r>
              <w:rPr>
                <w:rFonts w:hint="eastAsia" w:ascii="宋体" w:hAnsi="宋体" w:eastAsia="宋体" w:cs="宋体"/>
                <w:color w:val="auto"/>
                <w:kern w:val="2"/>
                <w:highlight w:val="none"/>
                <w:u w:val="single"/>
                <w:lang w:bidi="ar"/>
              </w:rPr>
              <w:t>月</w:t>
            </w:r>
            <w:r>
              <w:rPr>
                <w:rFonts w:hint="eastAsia" w:ascii="宋体" w:hAnsi="宋体" w:eastAsia="宋体" w:cs="宋体"/>
                <w:color w:val="auto"/>
                <w:kern w:val="2"/>
                <w:highlight w:val="none"/>
                <w:u w:val="single"/>
                <w:lang w:val="en-US" w:eastAsia="zh-CN" w:bidi="ar"/>
              </w:rPr>
              <w:t>1</w:t>
            </w:r>
            <w:r>
              <w:rPr>
                <w:rFonts w:hint="eastAsia" w:ascii="宋体" w:hAnsi="宋体" w:eastAsia="宋体" w:cs="宋体"/>
                <w:color w:val="auto"/>
                <w:kern w:val="2"/>
                <w:highlight w:val="none"/>
                <w:u w:val="single"/>
                <w:lang w:bidi="ar"/>
              </w:rPr>
              <w:t>日</w:t>
            </w:r>
            <w:r>
              <w:rPr>
                <w:rFonts w:ascii="宋体" w:hAnsi="宋体" w:eastAsia="宋体" w:cs="宋体"/>
                <w:color w:val="auto"/>
                <w:spacing w:val="-2"/>
                <w:highlight w:val="none"/>
                <w:u w:val="single"/>
              </w:rPr>
              <w:t xml:space="preserve"> 09:30</w:t>
            </w:r>
            <w:r>
              <w:rPr>
                <w:rFonts w:ascii="宋体" w:hAnsi="宋体" w:eastAsia="宋体" w:cs="宋体"/>
                <w:color w:val="auto"/>
                <w:spacing w:val="-2"/>
                <w:highlight w:val="none"/>
              </w:rPr>
              <w:t xml:space="preserve"> (北京时间)前递交投标文件。</w:t>
            </w:r>
          </w:p>
        </w:tc>
      </w:tr>
    </w:tbl>
    <w:p>
      <w:pPr>
        <w:spacing w:before="115" w:line="360" w:lineRule="auto"/>
        <w:ind w:firstLine="410" w:firstLineChars="200"/>
        <w:rPr>
          <w:rFonts w:ascii="宋体" w:hAnsi="宋体" w:eastAsia="宋体" w:cs="宋体"/>
          <w:b/>
          <w:bCs/>
          <w:color w:val="auto"/>
          <w:spacing w:val="-3"/>
          <w:highlight w:val="none"/>
        </w:rPr>
      </w:pPr>
      <w:r>
        <w:rPr>
          <w:rFonts w:ascii="宋体" w:hAnsi="宋体" w:eastAsia="宋体" w:cs="宋体"/>
          <w:b/>
          <w:bCs/>
          <w:color w:val="auto"/>
          <w:spacing w:val="-3"/>
          <w:highlight w:val="none"/>
        </w:rPr>
        <w:t>一、项目基本情况</w:t>
      </w:r>
    </w:p>
    <w:p>
      <w:pPr>
        <w:spacing w:line="360" w:lineRule="auto"/>
        <w:ind w:firstLine="420" w:firstLineChars="2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项目编号：GLZC2023-G2-280030-GXXQ</w:t>
      </w:r>
    </w:p>
    <w:p>
      <w:pPr>
        <w:spacing w:line="360" w:lineRule="auto"/>
        <w:ind w:firstLine="420" w:firstLineChars="2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项目名称：龙胜各族自治县瓢里镇交州村库区产业发展及其配套设施项目</w:t>
      </w:r>
    </w:p>
    <w:p>
      <w:pPr>
        <w:spacing w:line="360" w:lineRule="auto"/>
        <w:ind w:firstLine="420" w:firstLineChars="200"/>
        <w:jc w:val="both"/>
        <w:rPr>
          <w:rFonts w:hint="eastAsia" w:ascii="宋体" w:hAnsi="宋体" w:eastAsia="宋体" w:cs="宋体"/>
          <w:color w:val="auto"/>
          <w:kern w:val="2"/>
          <w:highlight w:val="none"/>
          <w:lang w:bidi="ar"/>
        </w:rPr>
      </w:pPr>
      <w:r>
        <w:rPr>
          <w:rFonts w:hint="eastAsia" w:ascii="宋体" w:hAnsi="宋体" w:eastAsia="宋体" w:cs="宋体"/>
          <w:color w:val="auto"/>
          <w:kern w:val="2"/>
          <w:highlight w:val="none"/>
          <w:lang w:bidi="ar"/>
        </w:rPr>
        <w:t>预算总金额（元）：7443902.95</w:t>
      </w:r>
    </w:p>
    <w:p>
      <w:pPr>
        <w:spacing w:line="360" w:lineRule="auto"/>
        <w:ind w:firstLine="420" w:firstLineChars="2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采购需求：</w:t>
      </w:r>
    </w:p>
    <w:p>
      <w:pPr>
        <w:spacing w:line="360" w:lineRule="auto"/>
        <w:ind w:firstLine="840" w:firstLineChars="4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标项名称:龙胜各族自治县瓢里镇交州村库区产业发展及其配套设施项目</w:t>
      </w:r>
    </w:p>
    <w:p>
      <w:pPr>
        <w:spacing w:line="360" w:lineRule="auto"/>
        <w:ind w:left="840" w:leftChars="4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数量:1</w:t>
      </w:r>
    </w:p>
    <w:p>
      <w:pPr>
        <w:spacing w:line="360" w:lineRule="auto"/>
        <w:ind w:left="840" w:leftChars="4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预算金额（元）:7443902.95</w:t>
      </w:r>
    </w:p>
    <w:p>
      <w:pPr>
        <w:spacing w:line="360" w:lineRule="auto"/>
        <w:ind w:left="840" w:leftChars="4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招标范围：</w:t>
      </w:r>
      <w:r>
        <w:rPr>
          <w:rFonts w:hint="eastAsia" w:ascii="宋体" w:hAnsi="宋体" w:eastAsia="宋体" w:cs="宋体"/>
          <w:color w:val="auto"/>
          <w:highlight w:val="none"/>
        </w:rPr>
        <w:t>龙胜各族自治县瓢里镇交州村库区产业发展及其配套设施项目,具体详见工程量清单、图纸、施工补充说明等要求的内容。</w:t>
      </w:r>
    </w:p>
    <w:p>
      <w:pPr>
        <w:spacing w:line="360" w:lineRule="auto"/>
        <w:ind w:firstLine="840" w:firstLineChars="4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最高限价（如有）：7443902.95</w:t>
      </w:r>
    </w:p>
    <w:p>
      <w:pPr>
        <w:spacing w:line="360" w:lineRule="auto"/>
        <w:ind w:firstLine="840" w:firstLineChars="4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合同履约期限：</w:t>
      </w:r>
      <w:r>
        <w:rPr>
          <w:rFonts w:hint="eastAsia" w:ascii="宋体" w:hAnsi="宋体" w:eastAsia="宋体" w:cs="宋体"/>
          <w:color w:val="auto"/>
          <w:kern w:val="2"/>
          <w:highlight w:val="none"/>
          <w:lang w:val="en-US" w:eastAsia="zh-CN" w:bidi="ar"/>
        </w:rPr>
        <w:t>120</w:t>
      </w:r>
      <w:r>
        <w:rPr>
          <w:rFonts w:hint="eastAsia" w:ascii="宋体" w:hAnsi="宋体" w:eastAsia="宋体" w:cs="宋体"/>
          <w:color w:val="auto"/>
          <w:kern w:val="2"/>
          <w:highlight w:val="none"/>
          <w:lang w:bidi="ar"/>
        </w:rPr>
        <w:t>日历天</w:t>
      </w:r>
    </w:p>
    <w:p>
      <w:pPr>
        <w:spacing w:line="360" w:lineRule="auto"/>
        <w:ind w:left="840" w:leftChars="4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本标项（否）接受联合体投标</w:t>
      </w:r>
    </w:p>
    <w:p>
      <w:pPr>
        <w:spacing w:line="360" w:lineRule="auto"/>
        <w:ind w:left="840" w:leftChars="4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备注：</w:t>
      </w:r>
    </w:p>
    <w:p>
      <w:pPr>
        <w:spacing w:before="115" w:line="360" w:lineRule="auto"/>
        <w:ind w:firstLine="410" w:firstLineChars="200"/>
        <w:rPr>
          <w:rFonts w:ascii="宋体" w:hAnsi="宋体" w:eastAsia="宋体" w:cs="宋体"/>
          <w:b/>
          <w:bCs/>
          <w:color w:val="auto"/>
          <w:spacing w:val="-3"/>
          <w:highlight w:val="none"/>
        </w:rPr>
      </w:pPr>
      <w:r>
        <w:rPr>
          <w:rFonts w:ascii="宋体" w:hAnsi="宋体" w:eastAsia="宋体" w:cs="宋体"/>
          <w:b/>
          <w:bCs/>
          <w:color w:val="auto"/>
          <w:spacing w:val="-3"/>
          <w:highlight w:val="none"/>
        </w:rPr>
        <w:t>二、申请人的资格要求：</w:t>
      </w:r>
    </w:p>
    <w:p>
      <w:pPr>
        <w:spacing w:line="360" w:lineRule="auto"/>
        <w:ind w:firstLine="420" w:firstLineChars="2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1.满足《中华人民共和国政府采购法》第二十二条规定。</w:t>
      </w:r>
    </w:p>
    <w:p>
      <w:pPr>
        <w:spacing w:line="360" w:lineRule="auto"/>
        <w:ind w:firstLine="420" w:firstLineChars="2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2.落实政府采购政策需满足的资格要求：无</w:t>
      </w:r>
    </w:p>
    <w:p>
      <w:pPr>
        <w:spacing w:line="360" w:lineRule="auto"/>
        <w:ind w:firstLine="420" w:firstLineChars="200"/>
        <w:jc w:val="both"/>
        <w:rPr>
          <w:rFonts w:ascii="宋体" w:hAnsi="宋体" w:eastAsia="宋体" w:cs="宋体"/>
          <w:color w:val="auto"/>
          <w:kern w:val="2"/>
          <w:highlight w:val="none"/>
          <w:u w:val="none"/>
          <w:lang w:bidi="ar"/>
        </w:rPr>
      </w:pPr>
      <w:r>
        <w:rPr>
          <w:rFonts w:hint="eastAsia" w:ascii="宋体" w:hAnsi="宋体" w:eastAsia="宋体" w:cs="宋体"/>
          <w:color w:val="auto"/>
          <w:kern w:val="2"/>
          <w:highlight w:val="none"/>
          <w:lang w:bidi="ar"/>
        </w:rPr>
        <w:t>3.本项目的特定资格要求：</w:t>
      </w:r>
      <w:r>
        <w:rPr>
          <w:rFonts w:hint="eastAsia" w:ascii="宋体" w:hAnsi="宋体" w:eastAsia="宋体" w:cs="宋体"/>
          <w:color w:val="auto"/>
          <w:kern w:val="2"/>
          <w:highlight w:val="none"/>
          <w:u w:val="none"/>
          <w:lang w:bidi="ar"/>
        </w:rPr>
        <w:t>投标人必须具备[市政公用工程施工总承包三级](含)以上资质，并在人员、设备、资金等方面具备相应的施工能力。其中项目经理必须具备[市政公用工程二级](含)以上注册建造师执业资格，具备有效的安全生产考核合格证书（B类）。本项目不接受有在建、已中标未开工或已列为其他项目中标候选人第一名的建造师作为项目经理。专职安全员必须具备有效的安全生产考核合格证书（C类），人数不少于 1 人。</w:t>
      </w:r>
    </w:p>
    <w:p>
      <w:pPr>
        <w:spacing w:before="115" w:line="360" w:lineRule="auto"/>
        <w:ind w:firstLine="410" w:firstLineChars="200"/>
        <w:rPr>
          <w:rFonts w:ascii="宋体" w:hAnsi="宋体" w:eastAsia="宋体" w:cs="宋体"/>
          <w:b/>
          <w:bCs/>
          <w:color w:val="auto"/>
          <w:spacing w:val="-3"/>
          <w:highlight w:val="none"/>
        </w:rPr>
      </w:pPr>
      <w:r>
        <w:rPr>
          <w:rFonts w:ascii="宋体" w:hAnsi="宋体" w:eastAsia="宋体" w:cs="宋体"/>
          <w:b/>
          <w:bCs/>
          <w:color w:val="auto"/>
          <w:spacing w:val="-3"/>
          <w:highlight w:val="none"/>
        </w:rPr>
        <w:t>三、获取招标文件</w:t>
      </w:r>
    </w:p>
    <w:p>
      <w:pPr>
        <w:spacing w:line="360" w:lineRule="auto"/>
        <w:ind w:firstLine="420" w:firstLineChars="2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时间：</w:t>
      </w:r>
      <w:r>
        <w:rPr>
          <w:rFonts w:hint="eastAsia" w:ascii="宋体" w:hAnsi="宋体" w:eastAsia="宋体" w:cs="宋体"/>
          <w:color w:val="auto"/>
          <w:kern w:val="2"/>
          <w:highlight w:val="none"/>
          <w:lang w:bidi="ar"/>
        </w:rPr>
        <w:t>2023年</w:t>
      </w:r>
      <w:r>
        <w:rPr>
          <w:rFonts w:hint="eastAsia" w:ascii="宋体" w:hAnsi="宋体" w:eastAsia="宋体" w:cs="宋体"/>
          <w:color w:val="auto"/>
          <w:kern w:val="2"/>
          <w:highlight w:val="none"/>
          <w:lang w:val="en-US" w:eastAsia="zh-CN" w:bidi="ar"/>
        </w:rPr>
        <w:t>8</w:t>
      </w:r>
      <w:r>
        <w:rPr>
          <w:rFonts w:hint="eastAsia" w:ascii="宋体" w:hAnsi="宋体" w:eastAsia="宋体" w:cs="宋体"/>
          <w:color w:val="auto"/>
          <w:kern w:val="2"/>
          <w:highlight w:val="none"/>
          <w:lang w:bidi="ar"/>
        </w:rPr>
        <w:t>月</w:t>
      </w:r>
      <w:r>
        <w:rPr>
          <w:rFonts w:hint="eastAsia" w:ascii="宋体" w:hAnsi="宋体" w:eastAsia="宋体" w:cs="宋体"/>
          <w:color w:val="auto"/>
          <w:kern w:val="2"/>
          <w:highlight w:val="none"/>
          <w:lang w:val="en-US" w:eastAsia="zh-CN" w:bidi="ar"/>
        </w:rPr>
        <w:t>11</w:t>
      </w:r>
      <w:r>
        <w:rPr>
          <w:rFonts w:hint="eastAsia" w:ascii="宋体" w:hAnsi="宋体" w:eastAsia="宋体" w:cs="宋体"/>
          <w:color w:val="auto"/>
          <w:kern w:val="2"/>
          <w:highlight w:val="none"/>
          <w:lang w:bidi="ar"/>
        </w:rPr>
        <w:t>日</w:t>
      </w:r>
      <w:r>
        <w:rPr>
          <w:rFonts w:hint="eastAsia" w:ascii="宋体" w:hAnsi="宋体" w:eastAsia="宋体" w:cs="宋体"/>
          <w:color w:val="auto"/>
          <w:kern w:val="2"/>
          <w:highlight w:val="none"/>
          <w:lang w:bidi="ar"/>
        </w:rPr>
        <w:t>至</w:t>
      </w:r>
      <w:r>
        <w:rPr>
          <w:rFonts w:hint="eastAsia" w:ascii="宋体" w:hAnsi="宋体" w:eastAsia="宋体" w:cs="宋体"/>
          <w:color w:val="auto"/>
          <w:kern w:val="2"/>
          <w:highlight w:val="none"/>
          <w:lang w:bidi="ar"/>
        </w:rPr>
        <w:t>2023年</w:t>
      </w:r>
      <w:r>
        <w:rPr>
          <w:rFonts w:hint="eastAsia" w:ascii="宋体" w:hAnsi="宋体" w:eastAsia="宋体" w:cs="宋体"/>
          <w:color w:val="auto"/>
          <w:kern w:val="2"/>
          <w:highlight w:val="none"/>
          <w:lang w:val="en-US" w:eastAsia="zh-CN" w:bidi="ar"/>
        </w:rPr>
        <w:t>9</w:t>
      </w:r>
      <w:r>
        <w:rPr>
          <w:rFonts w:hint="eastAsia" w:ascii="宋体" w:hAnsi="宋体" w:eastAsia="宋体" w:cs="宋体"/>
          <w:color w:val="auto"/>
          <w:kern w:val="2"/>
          <w:highlight w:val="none"/>
          <w:lang w:bidi="ar"/>
        </w:rPr>
        <w:t>月</w:t>
      </w:r>
      <w:r>
        <w:rPr>
          <w:rFonts w:hint="eastAsia" w:ascii="宋体" w:hAnsi="宋体" w:eastAsia="宋体" w:cs="宋体"/>
          <w:color w:val="auto"/>
          <w:kern w:val="2"/>
          <w:highlight w:val="none"/>
          <w:lang w:val="en-US" w:eastAsia="zh-CN" w:bidi="ar"/>
        </w:rPr>
        <w:t>1</w:t>
      </w:r>
      <w:r>
        <w:rPr>
          <w:rFonts w:hint="eastAsia" w:ascii="宋体" w:hAnsi="宋体" w:eastAsia="宋体" w:cs="宋体"/>
          <w:color w:val="auto"/>
          <w:kern w:val="2"/>
          <w:highlight w:val="none"/>
          <w:lang w:bidi="ar"/>
        </w:rPr>
        <w:t>日</w:t>
      </w:r>
      <w:r>
        <w:rPr>
          <w:rFonts w:hint="eastAsia" w:ascii="宋体" w:hAnsi="宋体" w:eastAsia="宋体" w:cs="宋体"/>
          <w:color w:val="auto"/>
          <w:kern w:val="2"/>
          <w:highlight w:val="none"/>
          <w:lang w:bidi="ar"/>
        </w:rPr>
        <w:t xml:space="preserve"> ，每天上午08:00至12:00 ，下午14:30至17:30（北京时间，法定节假日除外）</w:t>
      </w:r>
    </w:p>
    <w:p>
      <w:pPr>
        <w:pStyle w:val="17"/>
        <w:spacing w:line="360" w:lineRule="auto"/>
        <w:ind w:firstLine="420"/>
        <w:rPr>
          <w:rFonts w:ascii="宋体" w:hAnsi="宋体" w:eastAsia="宋体" w:cs="宋体"/>
          <w:bCs/>
          <w:color w:val="auto"/>
          <w:highlight w:val="none"/>
        </w:rPr>
      </w:pPr>
      <w:r>
        <w:rPr>
          <w:rFonts w:hint="eastAsia" w:ascii="宋体" w:hAnsi="宋体" w:eastAsia="宋体" w:cs="宋体"/>
          <w:bCs/>
          <w:color w:val="auto"/>
          <w:highlight w:val="none"/>
        </w:rPr>
        <w:t>地点（网址）：登录政采云平台https://www.zcygov.cn/在线申请（进入“项目采购”应用，在获取采购文件菜单中选择项目，申请获取采购文件）</w:t>
      </w:r>
    </w:p>
    <w:p>
      <w:pPr>
        <w:pStyle w:val="17"/>
        <w:spacing w:line="360" w:lineRule="auto"/>
        <w:ind w:firstLine="420"/>
        <w:rPr>
          <w:rFonts w:ascii="宋体" w:hAnsi="宋体" w:eastAsia="宋体" w:cs="宋体"/>
          <w:bCs/>
          <w:color w:val="auto"/>
          <w:highlight w:val="none"/>
        </w:rPr>
      </w:pPr>
      <w:r>
        <w:rPr>
          <w:rFonts w:hint="eastAsia" w:ascii="宋体" w:hAnsi="宋体" w:eastAsia="宋体" w:cs="宋体"/>
          <w:bCs/>
          <w:color w:val="auto"/>
          <w:highlight w:val="none"/>
        </w:rPr>
        <w:t>方式：登录政采云平台https://www.zcygov.cn/在线申请</w:t>
      </w:r>
    </w:p>
    <w:p>
      <w:pPr>
        <w:pStyle w:val="17"/>
        <w:spacing w:line="360" w:lineRule="auto"/>
        <w:ind w:firstLine="420"/>
        <w:rPr>
          <w:rFonts w:ascii="宋体" w:hAnsi="宋体" w:eastAsia="宋体" w:cs="宋体"/>
          <w:bCs/>
          <w:color w:val="auto"/>
          <w:highlight w:val="none"/>
        </w:rPr>
      </w:pPr>
      <w:r>
        <w:rPr>
          <w:rFonts w:hint="eastAsia" w:ascii="宋体" w:hAnsi="宋体" w:eastAsia="宋体" w:cs="宋体"/>
          <w:bCs/>
          <w:color w:val="auto"/>
          <w:highlight w:val="none"/>
        </w:rPr>
        <w:t>售价（元）：0</w:t>
      </w:r>
    </w:p>
    <w:p>
      <w:pPr>
        <w:spacing w:before="115" w:line="360" w:lineRule="auto"/>
        <w:ind w:firstLine="410" w:firstLineChars="200"/>
        <w:rPr>
          <w:rFonts w:ascii="宋体" w:hAnsi="宋体" w:eastAsia="宋体" w:cs="宋体"/>
          <w:b/>
          <w:bCs/>
          <w:color w:val="auto"/>
          <w:spacing w:val="-3"/>
          <w:highlight w:val="none"/>
        </w:rPr>
      </w:pPr>
      <w:r>
        <w:rPr>
          <w:rFonts w:ascii="宋体" w:hAnsi="宋体" w:eastAsia="宋体" w:cs="宋体"/>
          <w:b/>
          <w:bCs/>
          <w:color w:val="auto"/>
          <w:spacing w:val="-3"/>
          <w:highlight w:val="none"/>
        </w:rPr>
        <w:t>四、提交投标文件截止时间、开标时间和地点</w:t>
      </w:r>
    </w:p>
    <w:p>
      <w:pPr>
        <w:spacing w:line="360" w:lineRule="auto"/>
        <w:ind w:firstLine="420" w:firstLineChars="2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提交投标文件截止时间：</w:t>
      </w:r>
      <w:r>
        <w:rPr>
          <w:rFonts w:hint="eastAsia" w:ascii="宋体" w:hAnsi="宋体" w:eastAsia="宋体" w:cs="宋体"/>
          <w:color w:val="auto"/>
          <w:kern w:val="2"/>
          <w:highlight w:val="none"/>
          <w:lang w:bidi="ar"/>
        </w:rPr>
        <w:t>2023年</w:t>
      </w:r>
      <w:r>
        <w:rPr>
          <w:rFonts w:hint="eastAsia" w:ascii="宋体" w:hAnsi="宋体" w:eastAsia="宋体" w:cs="宋体"/>
          <w:color w:val="auto"/>
          <w:kern w:val="2"/>
          <w:highlight w:val="none"/>
          <w:lang w:val="en-US" w:eastAsia="zh-CN" w:bidi="ar"/>
        </w:rPr>
        <w:t>9</w:t>
      </w:r>
      <w:r>
        <w:rPr>
          <w:rFonts w:hint="eastAsia" w:ascii="宋体" w:hAnsi="宋体" w:eastAsia="宋体" w:cs="宋体"/>
          <w:color w:val="auto"/>
          <w:kern w:val="2"/>
          <w:highlight w:val="none"/>
          <w:lang w:bidi="ar"/>
        </w:rPr>
        <w:t>月</w:t>
      </w:r>
      <w:r>
        <w:rPr>
          <w:rFonts w:hint="eastAsia" w:ascii="宋体" w:hAnsi="宋体" w:eastAsia="宋体" w:cs="宋体"/>
          <w:color w:val="auto"/>
          <w:kern w:val="2"/>
          <w:highlight w:val="none"/>
          <w:lang w:val="en-US" w:eastAsia="zh-CN" w:bidi="ar"/>
        </w:rPr>
        <w:t>1</w:t>
      </w:r>
      <w:r>
        <w:rPr>
          <w:rFonts w:hint="eastAsia" w:ascii="宋体" w:hAnsi="宋体" w:eastAsia="宋体" w:cs="宋体"/>
          <w:color w:val="auto"/>
          <w:kern w:val="2"/>
          <w:highlight w:val="none"/>
          <w:lang w:bidi="ar"/>
        </w:rPr>
        <w:t>日</w:t>
      </w:r>
      <w:r>
        <w:rPr>
          <w:rFonts w:hint="eastAsia" w:ascii="宋体" w:hAnsi="宋体" w:eastAsia="宋体" w:cs="宋体"/>
          <w:color w:val="auto"/>
          <w:kern w:val="2"/>
          <w:highlight w:val="none"/>
          <w:lang w:bidi="ar"/>
        </w:rPr>
        <w:t>9时30分（北京时间）</w:t>
      </w:r>
    </w:p>
    <w:p>
      <w:pPr>
        <w:spacing w:line="360" w:lineRule="auto"/>
        <w:ind w:firstLine="420" w:firstLineChars="2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地    点</w:t>
      </w:r>
      <w:r>
        <w:rPr>
          <w:rFonts w:hint="eastAsia" w:ascii="宋体" w:hAnsi="宋体" w:eastAsia="宋体" w:cs="宋体"/>
          <w:bCs/>
          <w:color w:val="auto"/>
          <w:highlight w:val="none"/>
        </w:rPr>
        <w:t>（网址）</w:t>
      </w:r>
      <w:r>
        <w:rPr>
          <w:rFonts w:hint="eastAsia" w:ascii="宋体" w:hAnsi="宋体" w:eastAsia="宋体" w:cs="宋体"/>
          <w:color w:val="auto"/>
          <w:kern w:val="2"/>
          <w:highlight w:val="none"/>
          <w:lang w:bidi="ar"/>
        </w:rPr>
        <w:t>：</w:t>
      </w:r>
      <w:r>
        <w:rPr>
          <w:rFonts w:hint="eastAsia" w:ascii="宋体" w:hAnsi="宋体" w:eastAsia="宋体" w:cs="宋体"/>
          <w:color w:val="auto"/>
          <w:highlight w:val="none"/>
        </w:rPr>
        <w:t>请登录政采云投标客户端投标</w:t>
      </w:r>
    </w:p>
    <w:p>
      <w:pPr>
        <w:spacing w:line="360" w:lineRule="auto"/>
        <w:ind w:firstLine="420" w:firstLineChars="2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开标时间：</w:t>
      </w:r>
      <w:r>
        <w:rPr>
          <w:rFonts w:hint="eastAsia" w:ascii="宋体" w:hAnsi="宋体" w:eastAsia="宋体" w:cs="宋体"/>
          <w:color w:val="auto"/>
          <w:kern w:val="2"/>
          <w:highlight w:val="none"/>
          <w:lang w:bidi="ar"/>
        </w:rPr>
        <w:t>2023年</w:t>
      </w:r>
      <w:r>
        <w:rPr>
          <w:rFonts w:hint="eastAsia" w:ascii="宋体" w:hAnsi="宋体" w:eastAsia="宋体" w:cs="宋体"/>
          <w:color w:val="auto"/>
          <w:kern w:val="2"/>
          <w:highlight w:val="none"/>
          <w:lang w:val="en-US" w:eastAsia="zh-CN" w:bidi="ar"/>
        </w:rPr>
        <w:t>9</w:t>
      </w:r>
      <w:r>
        <w:rPr>
          <w:rFonts w:hint="eastAsia" w:ascii="宋体" w:hAnsi="宋体" w:eastAsia="宋体" w:cs="宋体"/>
          <w:color w:val="auto"/>
          <w:kern w:val="2"/>
          <w:highlight w:val="none"/>
          <w:lang w:bidi="ar"/>
        </w:rPr>
        <w:t>月</w:t>
      </w:r>
      <w:r>
        <w:rPr>
          <w:rFonts w:hint="eastAsia" w:ascii="宋体" w:hAnsi="宋体" w:eastAsia="宋体" w:cs="宋体"/>
          <w:color w:val="auto"/>
          <w:kern w:val="2"/>
          <w:highlight w:val="none"/>
          <w:lang w:val="en-US" w:eastAsia="zh-CN" w:bidi="ar"/>
        </w:rPr>
        <w:t>1</w:t>
      </w:r>
      <w:r>
        <w:rPr>
          <w:rFonts w:hint="eastAsia" w:ascii="宋体" w:hAnsi="宋体" w:eastAsia="宋体" w:cs="宋体"/>
          <w:color w:val="auto"/>
          <w:kern w:val="2"/>
          <w:highlight w:val="none"/>
          <w:lang w:bidi="ar"/>
        </w:rPr>
        <w:t>日</w:t>
      </w:r>
      <w:r>
        <w:rPr>
          <w:rFonts w:hint="eastAsia" w:ascii="宋体" w:hAnsi="宋体" w:eastAsia="宋体" w:cs="宋体"/>
          <w:color w:val="auto"/>
          <w:kern w:val="2"/>
          <w:highlight w:val="none"/>
          <w:lang w:bidi="ar"/>
        </w:rPr>
        <w:t>9时30分（北京时间）</w:t>
      </w:r>
    </w:p>
    <w:p>
      <w:pPr>
        <w:spacing w:line="360" w:lineRule="auto"/>
        <w:ind w:firstLine="420" w:firstLineChars="2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地点：</w:t>
      </w:r>
      <w:r>
        <w:rPr>
          <w:rFonts w:hint="eastAsia" w:ascii="宋体" w:hAnsi="宋体" w:eastAsia="宋体" w:cs="宋体"/>
          <w:color w:val="auto"/>
          <w:highlight w:val="none"/>
        </w:rPr>
        <w:t>桂林市公共资源交易中心</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号</w:t>
      </w:r>
      <w:r>
        <w:rPr>
          <w:rFonts w:hint="eastAsia" w:ascii="宋体" w:hAnsi="宋体" w:eastAsia="宋体" w:cs="宋体"/>
          <w:color w:val="auto"/>
          <w:highlight w:val="none"/>
        </w:rPr>
        <w:t>开标室通过政采云平台实行在线解密开启</w:t>
      </w:r>
    </w:p>
    <w:p>
      <w:pPr>
        <w:spacing w:before="115" w:line="360" w:lineRule="auto"/>
        <w:ind w:firstLine="410" w:firstLineChars="200"/>
        <w:rPr>
          <w:rFonts w:ascii="宋体" w:hAnsi="宋体" w:eastAsia="宋体" w:cs="宋体"/>
          <w:b/>
          <w:bCs/>
          <w:color w:val="auto"/>
          <w:spacing w:val="-3"/>
          <w:highlight w:val="none"/>
        </w:rPr>
      </w:pPr>
      <w:r>
        <w:rPr>
          <w:rFonts w:ascii="宋体" w:hAnsi="宋体" w:eastAsia="宋体" w:cs="宋体"/>
          <w:b/>
          <w:bCs/>
          <w:color w:val="auto"/>
          <w:spacing w:val="-3"/>
          <w:highlight w:val="none"/>
        </w:rPr>
        <w:t>五、公告期限</w:t>
      </w:r>
    </w:p>
    <w:p>
      <w:pPr>
        <w:spacing w:before="72" w:line="360" w:lineRule="auto"/>
        <w:ind w:firstLine="356" w:firstLineChars="200"/>
        <w:rPr>
          <w:rFonts w:ascii="宋体" w:hAnsi="宋体" w:eastAsia="宋体" w:cs="宋体"/>
          <w:color w:val="auto"/>
          <w:highlight w:val="none"/>
        </w:rPr>
      </w:pPr>
      <w:r>
        <w:rPr>
          <w:rFonts w:ascii="宋体" w:hAnsi="宋体" w:eastAsia="宋体" w:cs="宋体"/>
          <w:color w:val="auto"/>
          <w:spacing w:val="-16"/>
          <w:highlight w:val="none"/>
        </w:rPr>
        <w:t>自</w:t>
      </w:r>
      <w:r>
        <w:rPr>
          <w:rFonts w:ascii="宋体" w:hAnsi="宋体" w:eastAsia="宋体" w:cs="宋体"/>
          <w:color w:val="auto"/>
          <w:spacing w:val="-8"/>
          <w:highlight w:val="none"/>
        </w:rPr>
        <w:t>本公告发布之日起 5 个工作日。</w:t>
      </w:r>
    </w:p>
    <w:p>
      <w:pPr>
        <w:spacing w:before="115" w:line="360" w:lineRule="auto"/>
        <w:ind w:firstLine="410" w:firstLineChars="200"/>
        <w:rPr>
          <w:rFonts w:ascii="宋体" w:hAnsi="宋体" w:eastAsia="宋体" w:cs="宋体"/>
          <w:b/>
          <w:bCs/>
          <w:color w:val="auto"/>
          <w:spacing w:val="-3"/>
          <w:highlight w:val="none"/>
        </w:rPr>
      </w:pPr>
      <w:r>
        <w:rPr>
          <w:rFonts w:ascii="宋体" w:hAnsi="宋体" w:eastAsia="宋体" w:cs="宋体"/>
          <w:b/>
          <w:bCs/>
          <w:color w:val="auto"/>
          <w:spacing w:val="-3"/>
          <w:highlight w:val="none"/>
        </w:rPr>
        <w:t>六、其他补充事宜</w:t>
      </w:r>
    </w:p>
    <w:p>
      <w:pPr>
        <w:widowControl w:val="0"/>
        <w:kinsoku/>
        <w:autoSpaceDE/>
        <w:autoSpaceDN/>
        <w:adjustRightInd/>
        <w:snapToGrid/>
        <w:spacing w:line="360" w:lineRule="auto"/>
        <w:ind w:firstLine="420" w:firstLineChars="200"/>
        <w:jc w:val="both"/>
        <w:textAlignment w:val="auto"/>
        <w:rPr>
          <w:rFonts w:ascii="宋体" w:hAnsi="宋体" w:eastAsia="宋体" w:cs="宋体"/>
          <w:color w:val="auto"/>
          <w:highlight w:val="none"/>
        </w:rPr>
      </w:pPr>
      <w:r>
        <w:rPr>
          <w:rFonts w:hint="eastAsia" w:ascii="宋体" w:hAnsi="宋体" w:eastAsia="宋体" w:cs="宋体"/>
          <w:color w:val="auto"/>
          <w:kern w:val="2"/>
          <w:highlight w:val="none"/>
          <w:lang w:bidi="ar"/>
        </w:rPr>
        <w:t>1、本项目需要落实的政府采购政策：</w:t>
      </w:r>
    </w:p>
    <w:p>
      <w:pPr>
        <w:pStyle w:val="18"/>
        <w:spacing w:after="0" w:line="360" w:lineRule="auto"/>
        <w:ind w:firstLine="420" w:firstLineChars="20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（1）政府采购促进中小企业发展；</w:t>
      </w:r>
    </w:p>
    <w:p>
      <w:pPr>
        <w:pStyle w:val="18"/>
        <w:spacing w:after="0" w:line="360" w:lineRule="auto"/>
        <w:ind w:firstLine="420" w:firstLineChars="20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（2）政府采购促进残疾人就业政策；</w:t>
      </w:r>
    </w:p>
    <w:p>
      <w:pPr>
        <w:pStyle w:val="18"/>
        <w:spacing w:after="0" w:line="360" w:lineRule="auto"/>
        <w:ind w:firstLine="420" w:firstLineChars="20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（3）政府采购支持监狱企业发展；</w:t>
      </w:r>
    </w:p>
    <w:p>
      <w:pPr>
        <w:widowControl w:val="0"/>
        <w:kinsoku/>
        <w:autoSpaceDE/>
        <w:autoSpaceDN/>
        <w:adjustRightInd/>
        <w:snapToGrid/>
        <w:spacing w:line="360" w:lineRule="auto"/>
        <w:ind w:firstLine="422" w:firstLineChars="200"/>
        <w:jc w:val="both"/>
        <w:textAlignment w:val="auto"/>
        <w:rPr>
          <w:rFonts w:ascii="宋体" w:hAnsi="宋体" w:eastAsia="宋体" w:cs="宋体"/>
          <w:b/>
          <w:bCs/>
          <w:color w:val="auto"/>
          <w:kern w:val="2"/>
          <w:highlight w:val="none"/>
        </w:rPr>
      </w:pPr>
      <w:r>
        <w:rPr>
          <w:rFonts w:hint="eastAsia" w:ascii="宋体" w:hAnsi="宋体" w:eastAsia="宋体" w:cs="宋体"/>
          <w:b/>
          <w:bCs/>
          <w:color w:val="auto"/>
          <w:kern w:val="2"/>
          <w:highlight w:val="none"/>
        </w:rPr>
        <w:t>（4）本项目非专门面向中小微企业采购；</w:t>
      </w:r>
    </w:p>
    <w:p>
      <w:pPr>
        <w:widowControl w:val="0"/>
        <w:kinsoku/>
        <w:autoSpaceDE/>
        <w:autoSpaceDN/>
        <w:adjustRightInd/>
        <w:snapToGrid/>
        <w:spacing w:line="360" w:lineRule="auto"/>
        <w:ind w:firstLine="422" w:firstLineChars="200"/>
        <w:jc w:val="both"/>
        <w:textAlignment w:val="auto"/>
        <w:rPr>
          <w:rFonts w:ascii="宋体" w:hAnsi="宋体" w:eastAsia="宋体" w:cs="宋体"/>
          <w:b/>
          <w:bCs/>
          <w:color w:val="auto"/>
          <w:highlight w:val="none"/>
        </w:rPr>
      </w:pPr>
      <w:r>
        <w:rPr>
          <w:rFonts w:hint="eastAsia" w:ascii="宋体" w:hAnsi="宋体" w:eastAsia="宋体" w:cs="宋体"/>
          <w:b/>
          <w:bCs/>
          <w:color w:val="auto"/>
          <w:kern w:val="2"/>
          <w:highlight w:val="none"/>
        </w:rPr>
        <w:t>（5）</w:t>
      </w:r>
      <w:r>
        <w:rPr>
          <w:rFonts w:hint="eastAsia" w:ascii="宋体" w:hAnsi="宋体" w:eastAsia="宋体" w:cs="宋体"/>
          <w:b/>
          <w:bCs/>
          <w:color w:val="auto"/>
          <w:highlight w:val="none"/>
        </w:rPr>
        <w:t>本项目所属行业：建筑业。</w:t>
      </w:r>
    </w:p>
    <w:p>
      <w:pPr>
        <w:spacing w:line="360" w:lineRule="auto"/>
        <w:ind w:firstLine="420" w:firstLineChars="2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2、对在“信用中国”网站(www.creditchina.gov.cn)、中国政府采购网(www.ccgp.gov.cn)被列入失信被执行人、重大税收违法失信主体、政府采购严重违法失信行为记录名单及其他不符合《中华人民共和国政府采购法》第二十二条规定条件的供应商，不得参与政府采购活动。</w:t>
      </w:r>
    </w:p>
    <w:p>
      <w:pPr>
        <w:widowControl w:val="0"/>
        <w:kinsoku/>
        <w:autoSpaceDE/>
        <w:autoSpaceDN/>
        <w:adjustRightInd/>
        <w:snapToGrid/>
        <w:spacing w:line="360" w:lineRule="auto"/>
        <w:ind w:firstLine="420" w:firstLineChars="200"/>
        <w:textAlignment w:val="auto"/>
        <w:rPr>
          <w:rFonts w:ascii="宋体" w:hAnsi="宋体" w:eastAsia="宋体" w:cs="宋体"/>
          <w:color w:val="auto"/>
          <w:highlight w:val="none"/>
        </w:rPr>
      </w:pPr>
      <w:r>
        <w:rPr>
          <w:rFonts w:hint="eastAsia" w:ascii="宋体" w:hAnsi="宋体" w:eastAsia="宋体" w:cs="宋体"/>
          <w:color w:val="auto"/>
          <w:highlight w:val="none"/>
        </w:rPr>
        <w:t>3、信息公告发布媒体：</w:t>
      </w:r>
    </w:p>
    <w:p>
      <w:pPr>
        <w:widowControl w:val="0"/>
        <w:kinsoku/>
        <w:autoSpaceDE/>
        <w:autoSpaceDN/>
        <w:adjustRightInd/>
        <w:snapToGrid/>
        <w:spacing w:line="360" w:lineRule="auto"/>
        <w:ind w:firstLine="420" w:firstLineChars="200"/>
        <w:textAlignment w:val="auto"/>
        <w:rPr>
          <w:rFonts w:ascii="宋体" w:hAnsi="宋体" w:eastAsia="宋体" w:cs="宋体"/>
          <w:color w:val="auto"/>
          <w:highlight w:val="none"/>
        </w:rPr>
      </w:pPr>
      <w:r>
        <w:rPr>
          <w:rFonts w:hint="eastAsia" w:ascii="宋体" w:hAnsi="宋体" w:eastAsia="宋体" w:cs="宋体"/>
          <w:color w:val="auto"/>
          <w:highlight w:val="none"/>
        </w:rPr>
        <w:t>中国政府采购网（www.ccgp.gov.cn）、广西壮族自治区政府采购网（zfcg.gxzf.gov.cn）、桂林市政府采购网（zfcg.czj.guilin.gov.cn/）。</w:t>
      </w:r>
    </w:p>
    <w:p>
      <w:pPr>
        <w:widowControl w:val="0"/>
        <w:kinsoku/>
        <w:autoSpaceDE/>
        <w:autoSpaceDN/>
        <w:adjustRightInd/>
        <w:snapToGrid/>
        <w:spacing w:line="360" w:lineRule="auto"/>
        <w:ind w:firstLine="420" w:firstLineChars="200"/>
        <w:textAlignment w:val="auto"/>
        <w:rPr>
          <w:rFonts w:ascii="宋体" w:hAnsi="宋体" w:cs="宋体"/>
          <w:color w:val="auto"/>
          <w:highlight w:val="none"/>
        </w:rPr>
      </w:pPr>
      <w:r>
        <w:rPr>
          <w:rFonts w:hint="eastAsia" w:ascii="宋体" w:hAnsi="宋体" w:cs="宋体"/>
          <w:color w:val="auto"/>
          <w:highlight w:val="none"/>
        </w:rPr>
        <w:t>4、资格条件特别说明:</w:t>
      </w:r>
    </w:p>
    <w:p>
      <w:pPr>
        <w:widowControl w:val="0"/>
        <w:kinsoku/>
        <w:autoSpaceDE/>
        <w:autoSpaceDN/>
        <w:adjustRightInd/>
        <w:snapToGrid/>
        <w:spacing w:line="360" w:lineRule="auto"/>
        <w:ind w:firstLine="420" w:firstLineChars="200"/>
        <w:textAlignment w:val="auto"/>
        <w:rPr>
          <w:rFonts w:ascii="宋体" w:hAnsi="宋体" w:cs="宋体"/>
          <w:color w:val="auto"/>
          <w:highlight w:val="none"/>
        </w:rPr>
      </w:pPr>
      <w:r>
        <w:rPr>
          <w:rFonts w:hint="eastAsia" w:ascii="宋体" w:hAnsi="宋体" w:cs="宋体"/>
          <w:color w:val="auto"/>
          <w:highlight w:val="none"/>
        </w:rPr>
        <w:t>（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val="0"/>
        <w:kinsoku/>
        <w:autoSpaceDE/>
        <w:autoSpaceDN/>
        <w:adjustRightInd/>
        <w:snapToGrid/>
        <w:spacing w:line="360" w:lineRule="auto"/>
        <w:ind w:firstLine="420" w:firstLineChars="200"/>
        <w:textAlignment w:val="auto"/>
        <w:rPr>
          <w:rFonts w:ascii="宋体" w:hAnsi="宋体" w:cs="宋体"/>
          <w:color w:val="auto"/>
          <w:highlight w:val="none"/>
        </w:rPr>
      </w:pPr>
      <w:r>
        <w:rPr>
          <w:rFonts w:hint="eastAsia" w:ascii="宋体" w:hAnsi="宋体" w:cs="宋体"/>
          <w:color w:val="auto"/>
          <w:highlight w:val="none"/>
        </w:rPr>
        <w:t>（2）对在“信用中国”网站(www.creditchina.gov.cn) 、中国政府采购网(www.ccgp.gov.cn)被列入失信被执行人、重大税收违法失信主体、政府采购严重违法失信行为记录名单及其他不符合《中华人民共和国政府采购法》第二十二条规定条件的供应商，不得参与政府采购活动。</w:t>
      </w:r>
    </w:p>
    <w:p>
      <w:pPr>
        <w:widowControl w:val="0"/>
        <w:kinsoku/>
        <w:autoSpaceDE/>
        <w:autoSpaceDN/>
        <w:adjustRightInd/>
        <w:snapToGrid/>
        <w:spacing w:line="360" w:lineRule="auto"/>
        <w:ind w:firstLine="420" w:firstLineChars="200"/>
        <w:textAlignment w:val="auto"/>
        <w:rPr>
          <w:rFonts w:ascii="宋体" w:hAnsi="宋体" w:eastAsia="宋体" w:cs="宋体"/>
          <w:color w:val="auto"/>
          <w:highlight w:val="none"/>
        </w:rPr>
      </w:pPr>
      <w:r>
        <w:rPr>
          <w:rFonts w:hint="eastAsia" w:ascii="宋体" w:hAnsi="宋体" w:eastAsia="宋体" w:cs="宋体"/>
          <w:color w:val="auto"/>
          <w:highlight w:val="none"/>
        </w:rPr>
        <w:t>5、“政采云”平台电子投标相关事宜说明：</w:t>
      </w:r>
    </w:p>
    <w:p>
      <w:pPr>
        <w:widowControl w:val="0"/>
        <w:kinsoku/>
        <w:autoSpaceDE/>
        <w:autoSpaceDN/>
        <w:adjustRightInd/>
        <w:snapToGrid/>
        <w:spacing w:line="360" w:lineRule="auto"/>
        <w:ind w:firstLine="420" w:firstLineChars="200"/>
        <w:textAlignment w:val="auto"/>
        <w:rPr>
          <w:rFonts w:ascii="宋体" w:hAnsi="宋体" w:eastAsia="宋体" w:cs="宋体"/>
          <w:color w:val="auto"/>
          <w:highlight w:val="none"/>
        </w:rPr>
      </w:pPr>
      <w:r>
        <w:rPr>
          <w:rFonts w:hint="eastAsia" w:ascii="宋体" w:hAnsi="宋体" w:eastAsia="宋体" w:cs="宋体"/>
          <w:color w:val="auto"/>
          <w:highlight w:val="none"/>
        </w:rPr>
        <w:t>（1）本项目实行全流程电子化采购，投标人通过“政采云”平台参与电子投标，并应做好以下相关准备工作：①在“政采云”平台注册成为正式供应商（操作方法详见广西壮族自治区政府采购网—办事服务—办事指南）；②完成CA证书申领和绑定（费用由投标人自行承担，办理流程详见广西壮族自治区政府采购网—办事服务—下载专区，完成CA证书办理预计一周左右，建议供应商尽快办理）；③下载“广西壮族自治区全流程电子招投标项目管理系统--供应商客户端”（操作方法详见广西壮族自治区政府采购网—办事服务—下载专区，以下称“政采云电子投标客户端”）并安装成功，投标人应当在提交投标文件截止时间前在“政采云”平台完成的身份认证，确保能够对相关数据电文进行加密和使用电子签章；④自备计算机和网络设备并确保能接入互联网（费用由投标人自行承担，设备确保可进行视频通话和读取政采云CA证书）。因投标人未做好相关准备工作等自身原因导致无法参加本项目电子投标或投标失败的，造成的一切后果，由投标人自行承担。</w:t>
      </w:r>
    </w:p>
    <w:p>
      <w:pPr>
        <w:widowControl w:val="0"/>
        <w:kinsoku/>
        <w:autoSpaceDE/>
        <w:autoSpaceDN/>
        <w:adjustRightInd/>
        <w:snapToGrid/>
        <w:spacing w:line="360" w:lineRule="auto"/>
        <w:ind w:firstLine="420" w:firstLineChars="200"/>
        <w:textAlignment w:val="auto"/>
        <w:rPr>
          <w:rFonts w:ascii="宋体" w:hAnsi="宋体" w:eastAsia="宋体" w:cs="宋体"/>
          <w:color w:val="auto"/>
          <w:highlight w:val="none"/>
        </w:rPr>
      </w:pPr>
      <w:r>
        <w:rPr>
          <w:rFonts w:hint="eastAsia" w:ascii="宋体" w:hAnsi="宋体" w:eastAsia="宋体" w:cs="宋体"/>
          <w:color w:val="auto"/>
          <w:highlight w:val="none"/>
        </w:rPr>
        <w:t>（2）电子投标具体操作流程参考《政府采购项目电子交易管理操作指南-供应商》（详见桂林市政府采购网—采购资讯—重要通知）；如遇平台技术问题详询95763。</w:t>
      </w:r>
    </w:p>
    <w:p>
      <w:pPr>
        <w:widowControl w:val="0"/>
        <w:kinsoku/>
        <w:autoSpaceDE/>
        <w:autoSpaceDN/>
        <w:adjustRightInd/>
        <w:snapToGrid/>
        <w:spacing w:line="360" w:lineRule="auto"/>
        <w:ind w:firstLine="420" w:firstLineChars="200"/>
        <w:textAlignment w:val="auto"/>
        <w:rPr>
          <w:rFonts w:ascii="宋体" w:hAnsi="宋体" w:eastAsia="宋体" w:cs="宋体"/>
          <w:color w:val="auto"/>
          <w:highlight w:val="none"/>
        </w:rPr>
      </w:pPr>
      <w:r>
        <w:rPr>
          <w:rFonts w:hint="eastAsia" w:ascii="宋体" w:hAnsi="宋体" w:eastAsia="宋体" w:cs="宋体"/>
          <w:color w:val="auto"/>
          <w:highlight w:val="none"/>
        </w:rPr>
        <w:t>（3）电子投标文件的制作、加密、提交、解密等相关事宜详见第二章 “投标人须知”。</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七、</w:t>
      </w:r>
      <w:r>
        <w:rPr>
          <w:rFonts w:ascii="宋体" w:hAnsi="宋体" w:eastAsia="宋体" w:cs="宋体"/>
          <w:b/>
          <w:bCs/>
          <w:color w:val="auto"/>
          <w:spacing w:val="-3"/>
          <w:highlight w:val="none"/>
        </w:rPr>
        <w:t>对本次采购提出询问，请按以下方式联系</w:t>
      </w:r>
    </w:p>
    <w:p>
      <w:pPr>
        <w:spacing w:line="360" w:lineRule="auto"/>
        <w:ind w:firstLine="420" w:firstLineChars="2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1.采购人信息</w:t>
      </w:r>
    </w:p>
    <w:p>
      <w:pPr>
        <w:spacing w:line="360" w:lineRule="auto"/>
        <w:ind w:firstLine="420" w:firstLineChars="2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名    称：</w:t>
      </w:r>
      <w:r>
        <w:rPr>
          <w:rFonts w:hint="eastAsia" w:ascii="宋体" w:hAnsi="宋体" w:eastAsia="宋体" w:cs="宋体"/>
          <w:color w:val="auto"/>
          <w:kern w:val="2"/>
          <w:highlight w:val="none"/>
          <w:lang w:eastAsia="zh-CN" w:bidi="ar"/>
        </w:rPr>
        <w:t>龙胜各族自治县生态移民发展中心</w:t>
      </w:r>
      <w:r>
        <w:rPr>
          <w:rFonts w:hint="eastAsia" w:ascii="宋体" w:hAnsi="宋体" w:eastAsia="宋体" w:cs="宋体"/>
          <w:color w:val="auto"/>
          <w:kern w:val="2"/>
          <w:highlight w:val="none"/>
          <w:lang w:bidi="ar"/>
        </w:rPr>
        <w:t xml:space="preserve">            </w:t>
      </w:r>
    </w:p>
    <w:p>
      <w:pPr>
        <w:spacing w:line="360" w:lineRule="auto"/>
        <w:ind w:firstLine="420" w:firstLineChars="2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地    址：龙胜县龙胜镇兴龙西路20号</w:t>
      </w:r>
    </w:p>
    <w:p>
      <w:pPr>
        <w:spacing w:line="360" w:lineRule="auto"/>
        <w:ind w:firstLine="420" w:firstLineChars="200"/>
        <w:jc w:val="both"/>
        <w:rPr>
          <w:rFonts w:hint="eastAsia" w:ascii="宋体" w:hAnsi="宋体" w:eastAsia="宋体" w:cs="宋体"/>
          <w:color w:val="auto"/>
          <w:kern w:val="2"/>
          <w:highlight w:val="none"/>
          <w:lang w:eastAsia="zh-CN" w:bidi="ar"/>
        </w:rPr>
      </w:pPr>
      <w:r>
        <w:rPr>
          <w:rFonts w:hint="eastAsia" w:ascii="宋体" w:hAnsi="宋体" w:eastAsia="宋体" w:cs="宋体"/>
          <w:color w:val="auto"/>
          <w:kern w:val="2"/>
          <w:highlight w:val="none"/>
          <w:lang w:bidi="ar"/>
        </w:rPr>
        <w:t>联 系 人：</w:t>
      </w:r>
      <w:r>
        <w:rPr>
          <w:rFonts w:hint="eastAsia" w:ascii="宋体" w:hAnsi="宋体" w:eastAsia="宋体" w:cs="宋体"/>
          <w:color w:val="auto"/>
          <w:kern w:val="2"/>
          <w:highlight w:val="none"/>
          <w:lang w:eastAsia="zh-CN" w:bidi="ar"/>
        </w:rPr>
        <w:t>简工</w:t>
      </w:r>
    </w:p>
    <w:p>
      <w:pPr>
        <w:spacing w:line="360" w:lineRule="auto"/>
        <w:ind w:firstLine="420" w:firstLineChars="2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联系方式：0773</w:t>
      </w:r>
      <w:r>
        <w:rPr>
          <w:rFonts w:hint="eastAsia" w:ascii="宋体" w:hAnsi="宋体" w:eastAsia="宋体" w:cs="宋体"/>
          <w:color w:val="auto"/>
          <w:kern w:val="2"/>
          <w:highlight w:val="none"/>
          <w:lang w:val="en-US" w:eastAsia="zh-CN" w:bidi="ar"/>
        </w:rPr>
        <w:t>-</w:t>
      </w:r>
      <w:r>
        <w:rPr>
          <w:rFonts w:hint="eastAsia" w:ascii="宋体" w:hAnsi="宋体" w:eastAsia="宋体" w:cs="宋体"/>
          <w:color w:val="auto"/>
          <w:kern w:val="2"/>
          <w:highlight w:val="none"/>
          <w:lang w:bidi="ar"/>
        </w:rPr>
        <w:t xml:space="preserve">7510567          </w:t>
      </w:r>
    </w:p>
    <w:p>
      <w:pPr>
        <w:spacing w:line="360" w:lineRule="auto"/>
        <w:ind w:firstLine="420" w:firstLineChars="2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2.采购代理机构信息</w:t>
      </w:r>
    </w:p>
    <w:p>
      <w:pPr>
        <w:spacing w:line="360" w:lineRule="auto"/>
        <w:ind w:firstLine="420" w:firstLineChars="2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名    称：广西鑫渠工程咨询有限公司</w:t>
      </w:r>
    </w:p>
    <w:p>
      <w:pPr>
        <w:spacing w:line="360" w:lineRule="auto"/>
        <w:ind w:firstLine="420" w:firstLineChars="2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地   址：桂林市秀峰区甲山乡甲山新村56号1-4层住宅</w:t>
      </w:r>
    </w:p>
    <w:p>
      <w:pPr>
        <w:spacing w:line="360" w:lineRule="auto"/>
        <w:ind w:firstLine="420" w:firstLineChars="2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联 系 人：王工</w:t>
      </w:r>
    </w:p>
    <w:p>
      <w:pPr>
        <w:spacing w:line="360" w:lineRule="auto"/>
        <w:ind w:firstLine="420" w:firstLineChars="200"/>
        <w:jc w:val="both"/>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联系方式：0773-3635155</w:t>
      </w:r>
    </w:p>
    <w:p>
      <w:pPr>
        <w:spacing w:line="360" w:lineRule="auto"/>
        <w:ind w:firstLine="420" w:firstLineChars="200"/>
        <w:jc w:val="right"/>
        <w:rPr>
          <w:rFonts w:ascii="宋体" w:hAnsi="宋体" w:eastAsia="宋体" w:cs="宋体"/>
          <w:color w:val="auto"/>
          <w:kern w:val="2"/>
          <w:highlight w:val="none"/>
          <w:lang w:bidi="ar"/>
        </w:rPr>
      </w:pPr>
    </w:p>
    <w:p>
      <w:pPr>
        <w:spacing w:line="360" w:lineRule="auto"/>
        <w:ind w:firstLine="420" w:firstLineChars="200"/>
        <w:jc w:val="right"/>
        <w:rPr>
          <w:rFonts w:ascii="宋体" w:hAnsi="宋体" w:eastAsia="宋体" w:cs="宋体"/>
          <w:color w:val="auto"/>
          <w:kern w:val="2"/>
          <w:highlight w:val="none"/>
          <w:lang w:bidi="ar"/>
        </w:rPr>
      </w:pPr>
      <w:r>
        <w:rPr>
          <w:rFonts w:hint="eastAsia" w:ascii="宋体" w:hAnsi="宋体" w:eastAsia="宋体" w:cs="宋体"/>
          <w:color w:val="auto"/>
          <w:kern w:val="2"/>
          <w:highlight w:val="none"/>
          <w:lang w:bidi="ar"/>
        </w:rPr>
        <w:t>广西鑫渠工程咨询有限公司</w:t>
      </w:r>
    </w:p>
    <w:p>
      <w:pPr>
        <w:spacing w:line="360" w:lineRule="auto"/>
        <w:ind w:firstLine="420" w:firstLineChars="200"/>
        <w:jc w:val="right"/>
        <w:rPr>
          <w:color w:val="auto"/>
          <w:highlight w:val="none"/>
        </w:rPr>
        <w:sectPr>
          <w:footerReference r:id="rId5" w:type="default"/>
          <w:pgSz w:w="11907" w:h="16839"/>
          <w:pgMar w:top="1440" w:right="1080" w:bottom="1440" w:left="1080" w:header="0" w:footer="993" w:gutter="0"/>
          <w:pgNumType w:start="1"/>
          <w:cols w:space="720" w:num="1"/>
        </w:sectPr>
      </w:pPr>
      <w:r>
        <w:rPr>
          <w:rFonts w:hint="eastAsia" w:ascii="宋体" w:hAnsi="宋体" w:eastAsia="宋体" w:cs="宋体"/>
          <w:color w:val="auto"/>
          <w:kern w:val="2"/>
          <w:highlight w:val="none"/>
          <w:lang w:bidi="ar"/>
        </w:rPr>
        <w:t xml:space="preserve">                                                 </w:t>
      </w:r>
      <w:r>
        <w:rPr>
          <w:rFonts w:hint="eastAsia" w:ascii="宋体" w:hAnsi="宋体" w:eastAsia="宋体" w:cs="宋体"/>
          <w:color w:val="auto"/>
          <w:kern w:val="2"/>
          <w:highlight w:val="none"/>
          <w:lang w:bidi="ar"/>
        </w:rPr>
        <w:t>2023年</w:t>
      </w:r>
      <w:r>
        <w:rPr>
          <w:rFonts w:hint="eastAsia" w:ascii="宋体" w:hAnsi="宋体" w:eastAsia="宋体" w:cs="宋体"/>
          <w:color w:val="auto"/>
          <w:kern w:val="2"/>
          <w:highlight w:val="none"/>
          <w:lang w:val="en-US" w:eastAsia="zh-CN" w:bidi="ar"/>
        </w:rPr>
        <w:t>8</w:t>
      </w:r>
      <w:r>
        <w:rPr>
          <w:rFonts w:hint="eastAsia" w:ascii="宋体" w:hAnsi="宋体" w:eastAsia="宋体" w:cs="宋体"/>
          <w:color w:val="auto"/>
          <w:kern w:val="2"/>
          <w:highlight w:val="none"/>
          <w:lang w:bidi="ar"/>
        </w:rPr>
        <w:t>月</w:t>
      </w:r>
      <w:r>
        <w:rPr>
          <w:rFonts w:hint="eastAsia" w:ascii="宋体" w:hAnsi="宋体" w:eastAsia="宋体" w:cs="宋体"/>
          <w:color w:val="auto"/>
          <w:kern w:val="2"/>
          <w:highlight w:val="none"/>
          <w:lang w:val="en-US" w:eastAsia="zh-CN" w:bidi="ar"/>
        </w:rPr>
        <w:t>11</w:t>
      </w:r>
      <w:r>
        <w:rPr>
          <w:rFonts w:hint="eastAsia" w:ascii="宋体" w:hAnsi="宋体" w:eastAsia="宋体" w:cs="宋体"/>
          <w:color w:val="auto"/>
          <w:kern w:val="2"/>
          <w:highlight w:val="none"/>
          <w:lang w:bidi="ar"/>
        </w:rPr>
        <w:t>日</w:t>
      </w:r>
    </w:p>
    <w:p>
      <w:pPr>
        <w:pStyle w:val="3"/>
        <w:spacing w:before="0" w:after="0" w:line="360" w:lineRule="auto"/>
        <w:jc w:val="center"/>
        <w:rPr>
          <w:color w:val="auto"/>
          <w:highlight w:val="none"/>
        </w:rPr>
      </w:pPr>
      <w:bookmarkStart w:id="9" w:name="_bookmark2"/>
      <w:bookmarkEnd w:id="9"/>
      <w:bookmarkStart w:id="10" w:name="_Toc29622"/>
      <w:bookmarkStart w:id="11" w:name="_Toc6673"/>
      <w:bookmarkStart w:id="12" w:name="_Toc11988"/>
      <w:r>
        <w:rPr>
          <w:color w:val="auto"/>
          <w:highlight w:val="none"/>
        </w:rPr>
        <w:t>第二章 投标人须知</w:t>
      </w:r>
      <w:bookmarkEnd w:id="10"/>
      <w:bookmarkEnd w:id="11"/>
      <w:bookmarkEnd w:id="12"/>
    </w:p>
    <w:p>
      <w:pPr>
        <w:spacing w:line="224" w:lineRule="auto"/>
        <w:ind w:left="3737"/>
        <w:rPr>
          <w:rFonts w:ascii="宋体" w:hAnsi="宋体" w:eastAsia="宋体" w:cs="宋体"/>
          <w:color w:val="auto"/>
          <w:sz w:val="31"/>
          <w:szCs w:val="31"/>
          <w:highlight w:val="none"/>
        </w:rPr>
      </w:pPr>
      <w:r>
        <w:rPr>
          <w:rFonts w:ascii="宋体" w:hAnsi="宋体" w:eastAsia="宋体" w:cs="宋体"/>
          <w:color w:val="auto"/>
          <w:spacing w:val="9"/>
          <w:sz w:val="31"/>
          <w:szCs w:val="31"/>
          <w:highlight w:val="none"/>
          <w14:textOutline w14:w="5791" w14:cap="flat" w14:cmpd="sng" w14:algn="ctr">
            <w14:solidFill>
              <w14:srgbClr w14:val="000000"/>
            </w14:solidFill>
            <w14:prstDash w14:val="solid"/>
            <w14:miter w14:val="0"/>
          </w14:textOutline>
        </w:rPr>
        <w:t>投标人须知前附</w:t>
      </w:r>
      <w:r>
        <w:rPr>
          <w:rFonts w:ascii="宋体" w:hAnsi="宋体" w:eastAsia="宋体" w:cs="宋体"/>
          <w:color w:val="auto"/>
          <w:spacing w:val="7"/>
          <w:sz w:val="31"/>
          <w:szCs w:val="31"/>
          <w:highlight w:val="none"/>
          <w14:textOutline w14:w="5791" w14:cap="flat" w14:cmpd="sng" w14:algn="ctr">
            <w14:solidFill>
              <w14:srgbClr w14:val="000000"/>
            </w14:solidFill>
            <w14:prstDash w14:val="solid"/>
            <w14:miter w14:val="0"/>
          </w14:textOutline>
        </w:rPr>
        <w:t>表</w:t>
      </w:r>
    </w:p>
    <w:p>
      <w:pPr>
        <w:rPr>
          <w:color w:val="auto"/>
          <w:highlight w:val="none"/>
        </w:rPr>
      </w:pPr>
    </w:p>
    <w:p>
      <w:pPr>
        <w:spacing w:line="118" w:lineRule="auto"/>
        <w:rPr>
          <w:color w:val="auto"/>
          <w:sz w:val="2"/>
          <w:highlight w:val="none"/>
        </w:rPr>
      </w:pPr>
    </w:p>
    <w:tbl>
      <w:tblPr>
        <w:tblStyle w:val="16"/>
        <w:tblW w:w="9911" w:type="dxa"/>
        <w:tblInd w:w="-16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20"/>
        <w:gridCol w:w="1847"/>
        <w:gridCol w:w="72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820" w:type="dxa"/>
            <w:vAlign w:val="center"/>
          </w:tcPr>
          <w:p>
            <w:pPr>
              <w:spacing w:before="121" w:line="360" w:lineRule="auto"/>
              <w:ind w:left="123"/>
              <w:jc w:val="center"/>
              <w:rPr>
                <w:rFonts w:ascii="宋体" w:hAnsi="宋体" w:eastAsia="宋体" w:cs="宋体"/>
                <w:b/>
                <w:bCs/>
                <w:color w:val="auto"/>
                <w:highlight w:val="none"/>
              </w:rPr>
            </w:pPr>
            <w:r>
              <w:rPr>
                <w:rFonts w:hint="eastAsia" w:ascii="宋体" w:hAnsi="宋体" w:eastAsia="宋体" w:cs="宋体"/>
                <w:b/>
                <w:bCs/>
                <w:color w:val="auto"/>
                <w:spacing w:val="-2"/>
                <w:highlight w:val="none"/>
              </w:rPr>
              <w:t>条</w:t>
            </w:r>
            <w:r>
              <w:rPr>
                <w:rFonts w:ascii="宋体" w:hAnsi="宋体" w:eastAsia="宋体" w:cs="宋体"/>
                <w:b/>
                <w:bCs/>
                <w:color w:val="auto"/>
                <w:spacing w:val="-2"/>
                <w:highlight w:val="none"/>
              </w:rPr>
              <w:t>款号</w:t>
            </w:r>
          </w:p>
        </w:tc>
        <w:tc>
          <w:tcPr>
            <w:tcW w:w="1847" w:type="dxa"/>
            <w:vAlign w:val="center"/>
          </w:tcPr>
          <w:p>
            <w:pPr>
              <w:spacing w:before="121" w:line="360" w:lineRule="auto"/>
              <w:jc w:val="center"/>
              <w:rPr>
                <w:rFonts w:ascii="宋体" w:hAnsi="宋体" w:eastAsia="宋体" w:cs="宋体"/>
                <w:b/>
                <w:bCs/>
                <w:color w:val="auto"/>
                <w:highlight w:val="none"/>
              </w:rPr>
            </w:pPr>
            <w:r>
              <w:rPr>
                <w:rFonts w:ascii="宋体" w:hAnsi="宋体" w:eastAsia="宋体" w:cs="宋体"/>
                <w:b/>
                <w:bCs/>
                <w:color w:val="auto"/>
                <w:spacing w:val="-1"/>
                <w:highlight w:val="none"/>
              </w:rPr>
              <w:t>条</w:t>
            </w:r>
            <w:r>
              <w:rPr>
                <w:rFonts w:ascii="宋体" w:hAnsi="宋体" w:eastAsia="宋体" w:cs="宋体"/>
                <w:b/>
                <w:bCs/>
                <w:color w:val="auto"/>
                <w:highlight w:val="none"/>
              </w:rPr>
              <w:t>款名称</w:t>
            </w:r>
          </w:p>
        </w:tc>
        <w:tc>
          <w:tcPr>
            <w:tcW w:w="7244" w:type="dxa"/>
          </w:tcPr>
          <w:p>
            <w:pPr>
              <w:spacing w:before="121" w:line="360" w:lineRule="auto"/>
              <w:ind w:left="2399"/>
              <w:rPr>
                <w:rFonts w:ascii="宋体" w:hAnsi="宋体" w:eastAsia="宋体" w:cs="宋体"/>
                <w:b/>
                <w:bCs/>
                <w:color w:val="auto"/>
                <w:highlight w:val="none"/>
              </w:rPr>
            </w:pPr>
            <w:r>
              <w:rPr>
                <w:rFonts w:ascii="宋体" w:hAnsi="宋体" w:eastAsia="宋体" w:cs="宋体"/>
                <w:b/>
                <w:bCs/>
                <w:color w:val="auto"/>
                <w:highlight w:val="none"/>
              </w:rPr>
              <w:t>编  列  内  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2" w:hRule="atLeast"/>
        </w:trPr>
        <w:tc>
          <w:tcPr>
            <w:tcW w:w="820" w:type="dxa"/>
            <w:vAlign w:val="center"/>
          </w:tcPr>
          <w:p>
            <w:pPr>
              <w:spacing w:before="121"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1.1.2</w:t>
            </w:r>
          </w:p>
        </w:tc>
        <w:tc>
          <w:tcPr>
            <w:tcW w:w="1847" w:type="dxa"/>
            <w:vAlign w:val="center"/>
          </w:tcPr>
          <w:p>
            <w:pPr>
              <w:spacing w:before="121"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招标人</w:t>
            </w:r>
          </w:p>
        </w:tc>
        <w:tc>
          <w:tcPr>
            <w:tcW w:w="7244" w:type="dxa"/>
          </w:tcPr>
          <w:p>
            <w:pPr>
              <w:spacing w:before="105" w:line="360" w:lineRule="auto"/>
              <w:ind w:left="116"/>
              <w:rPr>
                <w:rFonts w:hint="eastAsia" w:ascii="宋体" w:hAnsi="宋体" w:eastAsia="宋体" w:cs="宋体"/>
                <w:color w:val="auto"/>
                <w:highlight w:val="none"/>
                <w:lang w:eastAsia="zh-CN"/>
              </w:rPr>
            </w:pPr>
            <w:r>
              <w:rPr>
                <w:rFonts w:ascii="宋体" w:hAnsi="宋体" w:eastAsia="宋体" w:cs="宋体"/>
                <w:color w:val="auto"/>
                <w:spacing w:val="-10"/>
                <w:highlight w:val="none"/>
              </w:rPr>
              <w:t>名称</w:t>
            </w:r>
            <w:r>
              <w:rPr>
                <w:rFonts w:ascii="宋体" w:hAnsi="宋体" w:eastAsia="宋体" w:cs="宋体"/>
                <w:color w:val="auto"/>
                <w:spacing w:val="-6"/>
                <w:highlight w:val="none"/>
              </w:rPr>
              <w:t>：</w:t>
            </w:r>
            <w:r>
              <w:rPr>
                <w:rFonts w:hint="eastAsia" w:ascii="宋体" w:hAnsi="宋体" w:eastAsia="宋体" w:cs="宋体"/>
                <w:color w:val="auto"/>
                <w:spacing w:val="-5"/>
                <w:highlight w:val="none"/>
                <w:lang w:eastAsia="zh-CN"/>
              </w:rPr>
              <w:t xml:space="preserve"> 龙胜各族自治县生态移民发展中心</w:t>
            </w:r>
          </w:p>
          <w:p>
            <w:pPr>
              <w:spacing w:before="108" w:line="360" w:lineRule="auto"/>
              <w:ind w:left="113"/>
              <w:rPr>
                <w:rFonts w:ascii="宋体" w:hAnsi="宋体" w:eastAsia="宋体" w:cs="宋体"/>
                <w:color w:val="auto"/>
                <w:highlight w:val="none"/>
              </w:rPr>
            </w:pPr>
            <w:r>
              <w:rPr>
                <w:rFonts w:ascii="宋体" w:hAnsi="宋体" w:eastAsia="宋体" w:cs="宋体"/>
                <w:color w:val="auto"/>
                <w:spacing w:val="-12"/>
                <w:highlight w:val="none"/>
              </w:rPr>
              <w:t>地</w:t>
            </w:r>
            <w:r>
              <w:rPr>
                <w:rFonts w:ascii="宋体" w:hAnsi="宋体" w:eastAsia="宋体" w:cs="宋体"/>
                <w:color w:val="auto"/>
                <w:spacing w:val="-7"/>
                <w:highlight w:val="none"/>
              </w:rPr>
              <w:t>址：</w:t>
            </w:r>
            <w:r>
              <w:rPr>
                <w:rFonts w:hint="eastAsia" w:ascii="宋体" w:hAnsi="宋体" w:eastAsia="宋体" w:cs="宋体"/>
                <w:color w:val="auto"/>
                <w:spacing w:val="-7"/>
                <w:highlight w:val="none"/>
              </w:rPr>
              <w:t>龙胜县龙胜镇兴龙西路20号</w:t>
            </w:r>
          </w:p>
          <w:p>
            <w:pPr>
              <w:spacing w:before="108" w:line="360" w:lineRule="auto"/>
              <w:ind w:left="114"/>
              <w:rPr>
                <w:rFonts w:hint="eastAsia" w:ascii="宋体" w:hAnsi="宋体" w:eastAsia="宋体" w:cs="宋体"/>
                <w:color w:val="auto"/>
                <w:highlight w:val="none"/>
                <w:lang w:eastAsia="zh-CN"/>
              </w:rPr>
            </w:pPr>
            <w:r>
              <w:rPr>
                <w:rFonts w:ascii="宋体" w:hAnsi="宋体" w:eastAsia="宋体" w:cs="宋体"/>
                <w:color w:val="auto"/>
                <w:spacing w:val="-1"/>
                <w:highlight w:val="none"/>
              </w:rPr>
              <w:t>联系人：</w:t>
            </w:r>
            <w:r>
              <w:rPr>
                <w:rFonts w:hint="eastAsia" w:ascii="宋体" w:hAnsi="宋体" w:eastAsia="宋体" w:cs="宋体"/>
                <w:color w:val="auto"/>
                <w:spacing w:val="-1"/>
                <w:highlight w:val="none"/>
                <w:lang w:eastAsia="zh-CN"/>
              </w:rPr>
              <w:t>简工</w:t>
            </w:r>
          </w:p>
          <w:p>
            <w:pPr>
              <w:spacing w:before="106" w:line="360" w:lineRule="auto"/>
              <w:ind w:left="138"/>
              <w:rPr>
                <w:rFonts w:ascii="宋体" w:hAnsi="宋体" w:eastAsia="宋体" w:cs="宋体"/>
                <w:color w:val="auto"/>
                <w:highlight w:val="none"/>
              </w:rPr>
            </w:pPr>
            <w:r>
              <w:rPr>
                <w:rFonts w:ascii="宋体" w:hAnsi="宋体" w:eastAsia="宋体" w:cs="宋体"/>
                <w:color w:val="auto"/>
                <w:spacing w:val="-9"/>
                <w:highlight w:val="none"/>
              </w:rPr>
              <w:t>电话：</w:t>
            </w:r>
            <w:r>
              <w:rPr>
                <w:rFonts w:hint="eastAsia" w:ascii="宋体" w:hAnsi="宋体" w:eastAsia="宋体" w:cs="宋体"/>
                <w:color w:val="auto"/>
                <w:spacing w:val="-9"/>
                <w:highlight w:val="none"/>
              </w:rPr>
              <w:t xml:space="preserve">0773-7510567 </w:t>
            </w:r>
            <w:r>
              <w:rPr>
                <w:rFonts w:ascii="宋体" w:hAnsi="宋体" w:eastAsia="宋体" w:cs="宋体"/>
                <w:color w:val="auto"/>
                <w:spacing w:val="-9"/>
                <w:highlight w:val="none"/>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820" w:type="dxa"/>
            <w:vAlign w:val="center"/>
          </w:tcPr>
          <w:p>
            <w:pPr>
              <w:spacing w:before="121"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1.1.3</w:t>
            </w:r>
          </w:p>
        </w:tc>
        <w:tc>
          <w:tcPr>
            <w:tcW w:w="1847" w:type="dxa"/>
            <w:vAlign w:val="center"/>
          </w:tcPr>
          <w:p>
            <w:pPr>
              <w:spacing w:before="121"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招标代理机构</w:t>
            </w:r>
          </w:p>
        </w:tc>
        <w:tc>
          <w:tcPr>
            <w:tcW w:w="7244" w:type="dxa"/>
          </w:tcPr>
          <w:p>
            <w:pPr>
              <w:spacing w:before="106" w:line="360" w:lineRule="auto"/>
              <w:ind w:left="116"/>
              <w:rPr>
                <w:rFonts w:ascii="宋体" w:hAnsi="宋体" w:eastAsia="宋体" w:cs="宋体"/>
                <w:color w:val="auto"/>
                <w:highlight w:val="none"/>
              </w:rPr>
            </w:pPr>
            <w:r>
              <w:rPr>
                <w:rFonts w:ascii="宋体" w:hAnsi="宋体" w:eastAsia="宋体" w:cs="宋体"/>
                <w:color w:val="auto"/>
                <w:spacing w:val="-10"/>
                <w:highlight w:val="none"/>
              </w:rPr>
              <w:t>名称</w:t>
            </w:r>
            <w:r>
              <w:rPr>
                <w:rFonts w:ascii="宋体" w:hAnsi="宋体" w:eastAsia="宋体" w:cs="宋体"/>
                <w:color w:val="auto"/>
                <w:spacing w:val="-6"/>
                <w:highlight w:val="none"/>
              </w:rPr>
              <w:t>：</w:t>
            </w:r>
            <w:r>
              <w:rPr>
                <w:rFonts w:ascii="宋体" w:hAnsi="宋体" w:eastAsia="宋体" w:cs="宋体"/>
                <w:color w:val="auto"/>
                <w:spacing w:val="-5"/>
                <w:highlight w:val="none"/>
              </w:rPr>
              <w:t xml:space="preserve"> </w:t>
            </w:r>
            <w:r>
              <w:rPr>
                <w:rFonts w:hint="eastAsia" w:ascii="宋体" w:hAnsi="宋体" w:eastAsia="宋体" w:cs="宋体"/>
                <w:color w:val="auto"/>
                <w:spacing w:val="-5"/>
                <w:highlight w:val="none"/>
              </w:rPr>
              <w:t>广西鑫渠工程咨询有限公司</w:t>
            </w:r>
          </w:p>
          <w:p>
            <w:pPr>
              <w:spacing w:before="108" w:line="360" w:lineRule="auto"/>
              <w:ind w:left="113"/>
              <w:rPr>
                <w:rFonts w:ascii="宋体" w:hAnsi="宋体" w:eastAsia="宋体" w:cs="宋体"/>
                <w:color w:val="auto"/>
                <w:highlight w:val="none"/>
              </w:rPr>
            </w:pPr>
            <w:r>
              <w:rPr>
                <w:rFonts w:ascii="宋体" w:hAnsi="宋体" w:eastAsia="宋体" w:cs="宋体"/>
                <w:color w:val="auto"/>
                <w:spacing w:val="-24"/>
                <w:highlight w:val="none"/>
              </w:rPr>
              <w:t>地</w:t>
            </w:r>
            <w:r>
              <w:rPr>
                <w:rFonts w:ascii="宋体" w:hAnsi="宋体" w:eastAsia="宋体" w:cs="宋体"/>
                <w:color w:val="auto"/>
                <w:spacing w:val="-18"/>
                <w:highlight w:val="none"/>
              </w:rPr>
              <w:t>址</w:t>
            </w:r>
            <w:r>
              <w:rPr>
                <w:rFonts w:ascii="宋体" w:hAnsi="宋体" w:eastAsia="宋体" w:cs="宋体"/>
                <w:color w:val="auto"/>
                <w:spacing w:val="-12"/>
                <w:highlight w:val="none"/>
              </w:rPr>
              <w:t xml:space="preserve">： </w:t>
            </w:r>
            <w:r>
              <w:rPr>
                <w:rFonts w:hint="eastAsia" w:ascii="宋体" w:hAnsi="宋体" w:eastAsia="宋体" w:cs="宋体"/>
                <w:color w:val="auto"/>
                <w:spacing w:val="-12"/>
                <w:highlight w:val="none"/>
              </w:rPr>
              <w:t>桂林市秀峰区甲山乡甲山新村56号1-4层住宅</w:t>
            </w:r>
          </w:p>
          <w:p>
            <w:pPr>
              <w:spacing w:before="109" w:line="360" w:lineRule="auto"/>
              <w:ind w:left="114"/>
              <w:rPr>
                <w:rFonts w:ascii="宋体" w:hAnsi="宋体" w:eastAsia="宋体" w:cs="宋体"/>
                <w:color w:val="auto"/>
                <w:highlight w:val="none"/>
              </w:rPr>
            </w:pPr>
            <w:r>
              <w:rPr>
                <w:rFonts w:ascii="宋体" w:hAnsi="宋体" w:eastAsia="宋体" w:cs="宋体"/>
                <w:color w:val="auto"/>
                <w:spacing w:val="-2"/>
                <w:highlight w:val="none"/>
              </w:rPr>
              <w:t>联</w:t>
            </w:r>
            <w:r>
              <w:rPr>
                <w:rFonts w:ascii="宋体" w:hAnsi="宋体" w:eastAsia="宋体" w:cs="宋体"/>
                <w:color w:val="auto"/>
                <w:spacing w:val="-1"/>
                <w:highlight w:val="none"/>
              </w:rPr>
              <w:t>系人：</w:t>
            </w:r>
            <w:r>
              <w:rPr>
                <w:rFonts w:hint="eastAsia" w:ascii="宋体" w:hAnsi="宋体" w:eastAsia="宋体" w:cs="宋体"/>
                <w:color w:val="auto"/>
                <w:spacing w:val="-1"/>
                <w:highlight w:val="none"/>
              </w:rPr>
              <w:t>王工</w:t>
            </w:r>
          </w:p>
          <w:p>
            <w:pPr>
              <w:spacing w:before="107" w:line="360" w:lineRule="auto"/>
              <w:ind w:left="138"/>
              <w:rPr>
                <w:rFonts w:ascii="宋体" w:hAnsi="宋体" w:eastAsia="宋体" w:cs="宋体"/>
                <w:color w:val="auto"/>
                <w:highlight w:val="none"/>
              </w:rPr>
            </w:pPr>
            <w:r>
              <w:rPr>
                <w:rFonts w:ascii="宋体" w:hAnsi="宋体" w:eastAsia="宋体" w:cs="宋体"/>
                <w:color w:val="auto"/>
                <w:spacing w:val="-15"/>
                <w:highlight w:val="none"/>
              </w:rPr>
              <w:t>电</w:t>
            </w:r>
            <w:r>
              <w:rPr>
                <w:rFonts w:ascii="宋体" w:hAnsi="宋体" w:eastAsia="宋体" w:cs="宋体"/>
                <w:color w:val="auto"/>
                <w:spacing w:val="-8"/>
                <w:highlight w:val="none"/>
              </w:rPr>
              <w:t xml:space="preserve">话： </w:t>
            </w:r>
            <w:r>
              <w:rPr>
                <w:rFonts w:hint="eastAsia" w:ascii="宋体" w:hAnsi="宋体" w:eastAsia="宋体" w:cs="宋体"/>
                <w:color w:val="auto"/>
                <w:spacing w:val="-8"/>
                <w:highlight w:val="none"/>
              </w:rPr>
              <w:t>0773-3635155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9" w:hRule="atLeast"/>
        </w:trPr>
        <w:tc>
          <w:tcPr>
            <w:tcW w:w="820" w:type="dxa"/>
            <w:vAlign w:val="center"/>
          </w:tcPr>
          <w:p>
            <w:pPr>
              <w:spacing w:before="121"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1.1.4</w:t>
            </w:r>
          </w:p>
        </w:tc>
        <w:tc>
          <w:tcPr>
            <w:tcW w:w="1847" w:type="dxa"/>
            <w:vAlign w:val="center"/>
          </w:tcPr>
          <w:p>
            <w:pPr>
              <w:spacing w:before="121"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项目名称及项目编号</w:t>
            </w:r>
          </w:p>
        </w:tc>
        <w:tc>
          <w:tcPr>
            <w:tcW w:w="7244" w:type="dxa"/>
            <w:vAlign w:val="center"/>
          </w:tcPr>
          <w:p>
            <w:pPr>
              <w:spacing w:before="107" w:line="360" w:lineRule="auto"/>
              <w:ind w:left="119" w:right="117" w:hanging="4"/>
              <w:jc w:val="both"/>
              <w:rPr>
                <w:rFonts w:eastAsia="宋体"/>
                <w:color w:val="auto"/>
                <w:highlight w:val="none"/>
              </w:rPr>
            </w:pPr>
            <w:r>
              <w:rPr>
                <w:rFonts w:hint="eastAsia"/>
                <w:color w:val="auto"/>
                <w:highlight w:val="none"/>
              </w:rPr>
              <w:t>项目名称：</w:t>
            </w:r>
            <w:r>
              <w:rPr>
                <w:rFonts w:hint="eastAsia" w:eastAsia="宋体"/>
                <w:color w:val="auto"/>
                <w:highlight w:val="none"/>
              </w:rPr>
              <w:t>龙胜各族自治县瓢里镇交州村库区产业发展及其配套设施项目</w:t>
            </w:r>
          </w:p>
          <w:p>
            <w:pPr>
              <w:pStyle w:val="2"/>
              <w:spacing w:line="360" w:lineRule="auto"/>
              <w:rPr>
                <w:color w:val="auto"/>
                <w:highlight w:val="none"/>
              </w:rPr>
            </w:pPr>
            <w:r>
              <w:rPr>
                <w:rFonts w:hint="eastAsia" w:ascii="宋体" w:hAnsi="宋体" w:cs="宋体"/>
                <w:color w:val="auto"/>
                <w:spacing w:val="10"/>
                <w:highlight w:val="none"/>
              </w:rPr>
              <w:t xml:space="preserve"> 项目编号：GLZC2023-G2-280030-GXXQ</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820" w:type="dxa"/>
            <w:vAlign w:val="center"/>
          </w:tcPr>
          <w:p>
            <w:pPr>
              <w:spacing w:before="121"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1.1.5</w:t>
            </w:r>
          </w:p>
        </w:tc>
        <w:tc>
          <w:tcPr>
            <w:tcW w:w="1847" w:type="dxa"/>
            <w:vAlign w:val="center"/>
          </w:tcPr>
          <w:p>
            <w:pPr>
              <w:spacing w:before="121"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建设地点</w:t>
            </w:r>
          </w:p>
        </w:tc>
        <w:tc>
          <w:tcPr>
            <w:tcW w:w="7244" w:type="dxa"/>
            <w:vAlign w:val="center"/>
          </w:tcPr>
          <w:p>
            <w:pPr>
              <w:spacing w:before="109" w:line="360" w:lineRule="auto"/>
              <w:ind w:left="115"/>
              <w:jc w:val="both"/>
              <w:rPr>
                <w:rFonts w:ascii="宋体" w:hAnsi="宋体" w:eastAsia="宋体" w:cs="宋体"/>
                <w:color w:val="auto"/>
                <w:highlight w:val="none"/>
              </w:rPr>
            </w:pPr>
            <w:r>
              <w:rPr>
                <w:rFonts w:hint="eastAsia" w:ascii="宋体" w:hAnsi="宋体" w:eastAsia="宋体" w:cs="宋体"/>
                <w:color w:val="auto"/>
                <w:highlight w:val="none"/>
              </w:rPr>
              <w:t>桂林市龙胜各族自治县瓢里镇交州村。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820" w:type="dxa"/>
            <w:vAlign w:val="center"/>
          </w:tcPr>
          <w:p>
            <w:pPr>
              <w:spacing w:before="121"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1.2.1</w:t>
            </w:r>
          </w:p>
        </w:tc>
        <w:tc>
          <w:tcPr>
            <w:tcW w:w="1847" w:type="dxa"/>
            <w:vAlign w:val="center"/>
          </w:tcPr>
          <w:p>
            <w:pPr>
              <w:spacing w:before="121"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资金来源</w:t>
            </w:r>
          </w:p>
        </w:tc>
        <w:tc>
          <w:tcPr>
            <w:tcW w:w="7244" w:type="dxa"/>
            <w:vAlign w:val="center"/>
          </w:tcPr>
          <w:p>
            <w:pPr>
              <w:spacing w:before="107" w:line="360" w:lineRule="auto"/>
              <w:ind w:left="140"/>
              <w:jc w:val="both"/>
              <w:rPr>
                <w:rFonts w:ascii="宋体" w:hAnsi="宋体" w:eastAsia="宋体" w:cs="宋体"/>
                <w:color w:val="auto"/>
                <w:highlight w:val="none"/>
              </w:rPr>
            </w:pPr>
            <w:r>
              <w:rPr>
                <w:rFonts w:hint="eastAsia" w:ascii="宋体" w:hAnsi="宋体" w:eastAsia="宋体" w:cs="宋体"/>
                <w:color w:val="auto"/>
                <w:highlight w:val="none"/>
              </w:rPr>
              <w:t>资金来源为拟申请上级补助资金、县级配套资金及业主自筹资金。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820" w:type="dxa"/>
            <w:vAlign w:val="center"/>
          </w:tcPr>
          <w:p>
            <w:pPr>
              <w:spacing w:before="121"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1.2.2</w:t>
            </w:r>
          </w:p>
        </w:tc>
        <w:tc>
          <w:tcPr>
            <w:tcW w:w="1847" w:type="dxa"/>
            <w:vAlign w:val="center"/>
          </w:tcPr>
          <w:p>
            <w:pPr>
              <w:spacing w:before="121"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出资比例</w:t>
            </w:r>
          </w:p>
        </w:tc>
        <w:tc>
          <w:tcPr>
            <w:tcW w:w="7244" w:type="dxa"/>
            <w:vAlign w:val="center"/>
          </w:tcPr>
          <w:p>
            <w:pPr>
              <w:spacing w:before="143" w:line="360" w:lineRule="auto"/>
              <w:ind w:left="129"/>
              <w:jc w:val="both"/>
              <w:rPr>
                <w:rFonts w:ascii="宋体" w:hAnsi="宋体" w:eastAsia="宋体" w:cs="宋体"/>
                <w:color w:val="auto"/>
                <w:highlight w:val="none"/>
              </w:rPr>
            </w:pPr>
            <w:r>
              <w:rPr>
                <w:rFonts w:ascii="宋体" w:hAnsi="宋体" w:eastAsia="宋体" w:cs="宋体"/>
                <w:color w:val="auto"/>
                <w:spacing w:val="-5"/>
                <w:highlight w:val="none"/>
              </w:rPr>
              <w:t>1</w:t>
            </w:r>
            <w:r>
              <w:rPr>
                <w:rFonts w:ascii="宋体" w:hAnsi="宋体" w:eastAsia="宋体" w:cs="宋体"/>
                <w:color w:val="auto"/>
                <w:spacing w:val="-4"/>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820" w:type="dxa"/>
            <w:vAlign w:val="center"/>
          </w:tcPr>
          <w:p>
            <w:pPr>
              <w:spacing w:before="121"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1.2.3</w:t>
            </w:r>
          </w:p>
        </w:tc>
        <w:tc>
          <w:tcPr>
            <w:tcW w:w="1847" w:type="dxa"/>
            <w:vAlign w:val="center"/>
          </w:tcPr>
          <w:p>
            <w:pPr>
              <w:spacing w:before="121"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资金落实情况</w:t>
            </w:r>
          </w:p>
        </w:tc>
        <w:tc>
          <w:tcPr>
            <w:tcW w:w="7244" w:type="dxa"/>
            <w:vAlign w:val="center"/>
          </w:tcPr>
          <w:p>
            <w:pPr>
              <w:spacing w:before="109" w:line="360" w:lineRule="auto"/>
              <w:ind w:left="136"/>
              <w:jc w:val="both"/>
              <w:rPr>
                <w:rFonts w:ascii="宋体" w:hAnsi="宋体" w:eastAsia="宋体" w:cs="宋体"/>
                <w:color w:val="auto"/>
                <w:highlight w:val="none"/>
              </w:rPr>
            </w:pPr>
            <w:r>
              <w:rPr>
                <w:rFonts w:ascii="宋体" w:hAnsi="宋体" w:eastAsia="宋体" w:cs="宋体"/>
                <w:color w:val="auto"/>
                <w:spacing w:val="-7"/>
                <w:highlight w:val="none"/>
              </w:rPr>
              <w:t>已</w:t>
            </w:r>
            <w:r>
              <w:rPr>
                <w:rFonts w:ascii="宋体" w:hAnsi="宋体" w:eastAsia="宋体" w:cs="宋体"/>
                <w:color w:val="auto"/>
                <w:spacing w:val="-6"/>
                <w:highlight w:val="none"/>
              </w:rPr>
              <w:t>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trPr>
        <w:tc>
          <w:tcPr>
            <w:tcW w:w="820" w:type="dxa"/>
            <w:vAlign w:val="center"/>
          </w:tcPr>
          <w:p>
            <w:pPr>
              <w:spacing w:before="121"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1.2.4</w:t>
            </w:r>
          </w:p>
        </w:tc>
        <w:tc>
          <w:tcPr>
            <w:tcW w:w="1847" w:type="dxa"/>
            <w:vAlign w:val="center"/>
          </w:tcPr>
          <w:p>
            <w:pPr>
              <w:spacing w:before="121"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本工程增值税计税方法</w:t>
            </w:r>
          </w:p>
        </w:tc>
        <w:tc>
          <w:tcPr>
            <w:tcW w:w="7244" w:type="dxa"/>
          </w:tcPr>
          <w:p>
            <w:pPr>
              <w:spacing w:before="109" w:line="360" w:lineRule="auto"/>
              <w:ind w:left="121"/>
              <w:rPr>
                <w:rFonts w:ascii="宋体" w:hAnsi="宋体" w:eastAsia="宋体" w:cs="宋体"/>
                <w:color w:val="auto"/>
                <w:highlight w:val="none"/>
              </w:rPr>
            </w:pPr>
            <w:r>
              <w:rPr>
                <w:rFonts w:ascii="MS Gothic" w:hAnsi="MS Gothic" w:eastAsia="MS Gothic" w:cs="MS Gothic"/>
                <w:color w:val="auto"/>
                <w:spacing w:val="-1"/>
                <w:highlight w:val="none"/>
              </w:rPr>
              <w:t>☑</w:t>
            </w:r>
            <w:r>
              <w:rPr>
                <w:rFonts w:ascii="宋体" w:hAnsi="宋体" w:eastAsia="宋体" w:cs="宋体"/>
                <w:color w:val="auto"/>
                <w:spacing w:val="-1"/>
                <w:highlight w:val="none"/>
              </w:rPr>
              <w:t xml:space="preserve">一般计税法       </w:t>
            </w:r>
            <w:r>
              <w:rPr>
                <w:rFonts w:ascii="宋体" w:hAnsi="宋体" w:eastAsia="宋体" w:cs="宋体"/>
                <w:color w:val="auto"/>
                <w:highlight w:val="none"/>
              </w:rPr>
              <w:t xml:space="preserve">  □简易计税法</w:t>
            </w:r>
          </w:p>
          <w:p>
            <w:pPr>
              <w:spacing w:before="109" w:line="360" w:lineRule="auto"/>
              <w:ind w:left="104"/>
              <w:rPr>
                <w:rFonts w:ascii="宋体" w:hAnsi="宋体" w:eastAsia="宋体" w:cs="宋体"/>
                <w:color w:val="auto"/>
                <w:highlight w:val="none"/>
              </w:rPr>
            </w:pPr>
            <w:r>
              <w:rPr>
                <w:rFonts w:ascii="宋体" w:hAnsi="宋体" w:eastAsia="宋体" w:cs="宋体"/>
                <w:color w:val="auto"/>
                <w:spacing w:val="-2"/>
                <w:highlight w:val="none"/>
              </w:rPr>
              <w:t>【备注： 根据《关于全面推开营业</w:t>
            </w:r>
            <w:r>
              <w:rPr>
                <w:rFonts w:ascii="宋体" w:hAnsi="宋体" w:eastAsia="宋体" w:cs="宋体"/>
                <w:color w:val="auto"/>
                <w:spacing w:val="-1"/>
                <w:highlight w:val="none"/>
              </w:rPr>
              <w:t>税改征增值税试点的通知》(财税</w:t>
            </w:r>
            <w:r>
              <w:rPr>
                <w:rFonts w:ascii="宋体" w:hAnsi="宋体" w:eastAsia="宋体" w:cs="宋体"/>
                <w:color w:val="auto"/>
                <w:spacing w:val="6"/>
                <w:highlight w:val="none"/>
              </w:rPr>
              <w:t>〔2016〕3</w:t>
            </w:r>
            <w:r>
              <w:rPr>
                <w:rFonts w:ascii="宋体" w:hAnsi="宋体" w:eastAsia="宋体" w:cs="宋体"/>
                <w:color w:val="auto"/>
                <w:spacing w:val="5"/>
                <w:highlight w:val="none"/>
              </w:rPr>
              <w:t>6</w:t>
            </w:r>
            <w:r>
              <w:rPr>
                <w:rFonts w:ascii="宋体" w:hAnsi="宋体" w:eastAsia="宋体" w:cs="宋体"/>
                <w:color w:val="auto"/>
                <w:spacing w:val="3"/>
                <w:highlight w:val="none"/>
              </w:rPr>
              <w:t xml:space="preserve"> 号) 、《关于建筑服务等营改增试点政策的通知》(财</w:t>
            </w:r>
            <w:r>
              <w:rPr>
                <w:rFonts w:ascii="宋体" w:hAnsi="宋体" w:eastAsia="宋体" w:cs="宋体"/>
                <w:color w:val="auto"/>
                <w:spacing w:val="-3"/>
                <w:highlight w:val="none"/>
              </w:rPr>
              <w:t>税〔2017〕58 号) 文件规定选择</w:t>
            </w:r>
            <w:r>
              <w:rPr>
                <w:rFonts w:ascii="宋体" w:hAnsi="宋体" w:eastAsia="宋体" w:cs="宋体"/>
                <w:color w:val="auto"/>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820" w:type="dxa"/>
            <w:vAlign w:val="center"/>
          </w:tcPr>
          <w:p>
            <w:pPr>
              <w:spacing w:before="121"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1.3.1</w:t>
            </w:r>
          </w:p>
        </w:tc>
        <w:tc>
          <w:tcPr>
            <w:tcW w:w="1847" w:type="dxa"/>
            <w:vAlign w:val="center"/>
          </w:tcPr>
          <w:p>
            <w:pPr>
              <w:spacing w:before="121"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招标范围</w:t>
            </w:r>
          </w:p>
        </w:tc>
        <w:tc>
          <w:tcPr>
            <w:tcW w:w="7244" w:type="dxa"/>
          </w:tcPr>
          <w:p>
            <w:pPr>
              <w:spacing w:before="110" w:line="360" w:lineRule="auto"/>
              <w:ind w:left="115"/>
              <w:rPr>
                <w:rFonts w:ascii="宋体" w:hAnsi="宋体" w:eastAsia="宋体" w:cs="宋体"/>
                <w:color w:val="auto"/>
                <w:highlight w:val="none"/>
              </w:rPr>
            </w:pPr>
            <w:r>
              <w:rPr>
                <w:rFonts w:hint="eastAsia" w:ascii="宋体" w:hAnsi="宋体" w:eastAsia="宋体" w:cs="宋体"/>
                <w:color w:val="auto"/>
                <w:highlight w:val="none"/>
              </w:rPr>
              <w:t>龙胜各族自治县瓢里镇交州村库区产业发展及其配套设施项目,具体详见工程量清单、图纸、施工补充说明等要求的内容。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820" w:type="dxa"/>
            <w:vAlign w:val="center"/>
          </w:tcPr>
          <w:p>
            <w:pPr>
              <w:spacing w:before="121"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1.3.2</w:t>
            </w:r>
          </w:p>
        </w:tc>
        <w:tc>
          <w:tcPr>
            <w:tcW w:w="1847" w:type="dxa"/>
            <w:vAlign w:val="center"/>
          </w:tcPr>
          <w:p>
            <w:pPr>
              <w:spacing w:before="110" w:line="360" w:lineRule="auto"/>
              <w:ind w:left="115"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要求工期</w:t>
            </w:r>
          </w:p>
        </w:tc>
        <w:tc>
          <w:tcPr>
            <w:tcW w:w="7244" w:type="dxa"/>
            <w:vAlign w:val="center"/>
          </w:tcPr>
          <w:p>
            <w:pPr>
              <w:spacing w:before="110" w:line="360" w:lineRule="auto"/>
              <w:ind w:left="115"/>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120 日历天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820" w:type="dxa"/>
            <w:vAlign w:val="center"/>
          </w:tcPr>
          <w:p>
            <w:pPr>
              <w:spacing w:before="121"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1.3.3</w:t>
            </w:r>
          </w:p>
        </w:tc>
        <w:tc>
          <w:tcPr>
            <w:tcW w:w="1847" w:type="dxa"/>
            <w:vAlign w:val="center"/>
          </w:tcPr>
          <w:p>
            <w:pPr>
              <w:spacing w:before="121"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质量要求</w:t>
            </w:r>
          </w:p>
        </w:tc>
        <w:tc>
          <w:tcPr>
            <w:tcW w:w="7244" w:type="dxa"/>
            <w:vAlign w:val="center"/>
          </w:tcPr>
          <w:p>
            <w:pPr>
              <w:spacing w:before="110" w:line="360" w:lineRule="auto"/>
              <w:ind w:left="114"/>
              <w:jc w:val="both"/>
              <w:rPr>
                <w:rFonts w:ascii="宋体" w:hAnsi="宋体" w:eastAsia="宋体" w:cs="宋体"/>
                <w:color w:val="auto"/>
                <w:highlight w:val="none"/>
              </w:rPr>
            </w:pPr>
            <w:r>
              <w:rPr>
                <w:rFonts w:hint="eastAsia" w:hAnsi="宋体" w:cs="宋体"/>
                <w:color w:val="auto"/>
                <w:kern w:val="2"/>
                <w:szCs w:val="22"/>
                <w:highlight w:val="none"/>
              </w:rPr>
              <w:t>达到国家施工验收规范合格标准</w:t>
            </w:r>
            <w:r>
              <w:rPr>
                <w:rFonts w:hint="eastAsia" w:hAnsi="宋体" w:eastAsia="宋体" w:cs="宋体"/>
                <w:color w:val="auto"/>
                <w:kern w:val="2"/>
                <w:szCs w:val="22"/>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7" w:hRule="atLeast"/>
        </w:trPr>
        <w:tc>
          <w:tcPr>
            <w:tcW w:w="820" w:type="dxa"/>
            <w:vAlign w:val="center"/>
          </w:tcPr>
          <w:p>
            <w:pPr>
              <w:spacing w:before="68" w:line="360" w:lineRule="auto"/>
              <w:ind w:firstLine="200" w:firstLineChars="100"/>
              <w:jc w:val="both"/>
              <w:rPr>
                <w:rFonts w:ascii="宋体" w:hAnsi="宋体" w:eastAsia="宋体" w:cs="宋体"/>
                <w:color w:val="auto"/>
                <w:highlight w:val="none"/>
              </w:rPr>
            </w:pPr>
            <w:r>
              <w:rPr>
                <w:rFonts w:ascii="宋体" w:hAnsi="宋体" w:eastAsia="宋体" w:cs="宋体"/>
                <w:color w:val="auto"/>
                <w:spacing w:val="-5"/>
                <w:highlight w:val="none"/>
              </w:rPr>
              <w:t>1</w:t>
            </w:r>
            <w:r>
              <w:rPr>
                <w:rFonts w:ascii="宋体" w:hAnsi="宋体" w:eastAsia="宋体" w:cs="宋体"/>
                <w:color w:val="auto"/>
                <w:spacing w:val="-3"/>
                <w:highlight w:val="none"/>
              </w:rPr>
              <w:t>.4.1</w:t>
            </w:r>
          </w:p>
        </w:tc>
        <w:tc>
          <w:tcPr>
            <w:tcW w:w="1847" w:type="dxa"/>
            <w:vAlign w:val="center"/>
          </w:tcPr>
          <w:p>
            <w:pPr>
              <w:spacing w:line="360" w:lineRule="auto"/>
              <w:jc w:val="both"/>
              <w:rPr>
                <w:color w:val="auto"/>
                <w:highlight w:val="none"/>
              </w:rPr>
            </w:pPr>
          </w:p>
          <w:p>
            <w:pPr>
              <w:spacing w:line="360" w:lineRule="auto"/>
              <w:jc w:val="both"/>
              <w:rPr>
                <w:color w:val="auto"/>
                <w:highlight w:val="none"/>
              </w:rPr>
            </w:pPr>
          </w:p>
          <w:p>
            <w:pPr>
              <w:spacing w:before="68" w:line="360" w:lineRule="auto"/>
              <w:ind w:right="168"/>
              <w:jc w:val="both"/>
              <w:rPr>
                <w:rFonts w:ascii="宋体" w:hAnsi="宋体" w:eastAsia="宋体" w:cs="宋体"/>
                <w:color w:val="auto"/>
                <w:highlight w:val="none"/>
              </w:rPr>
            </w:pPr>
            <w:r>
              <w:rPr>
                <w:rFonts w:hint="eastAsia" w:ascii="宋体" w:hAnsi="宋体" w:eastAsia="宋体" w:cs="宋体"/>
                <w:color w:val="auto"/>
                <w:highlight w:val="none"/>
              </w:rPr>
              <w:t>投标人的资格要求</w:t>
            </w:r>
          </w:p>
        </w:tc>
        <w:tc>
          <w:tcPr>
            <w:tcW w:w="7244" w:type="dxa"/>
          </w:tcPr>
          <w:p>
            <w:pPr>
              <w:spacing w:before="109" w:line="360" w:lineRule="auto"/>
              <w:ind w:left="104"/>
              <w:rPr>
                <w:rFonts w:ascii="宋体" w:hAnsi="宋体" w:eastAsia="宋体" w:cs="宋体"/>
                <w:color w:val="auto"/>
                <w:spacing w:val="-2"/>
                <w:highlight w:val="none"/>
              </w:rPr>
            </w:pPr>
            <w:r>
              <w:rPr>
                <w:rFonts w:hint="eastAsia" w:ascii="宋体" w:hAnsi="宋体" w:eastAsia="宋体" w:cs="宋体"/>
                <w:color w:val="auto"/>
                <w:spacing w:val="-2"/>
                <w:highlight w:val="none"/>
              </w:rPr>
              <w:t>1.满足《中华人民共和国政府采购法》第二十二条规定。</w:t>
            </w:r>
          </w:p>
          <w:p>
            <w:pPr>
              <w:spacing w:before="109" w:line="360" w:lineRule="auto"/>
              <w:ind w:left="104"/>
              <w:rPr>
                <w:rFonts w:ascii="宋体" w:hAnsi="宋体" w:eastAsia="宋体" w:cs="宋体"/>
                <w:color w:val="auto"/>
                <w:spacing w:val="-2"/>
                <w:highlight w:val="none"/>
              </w:rPr>
            </w:pPr>
            <w:r>
              <w:rPr>
                <w:rFonts w:hint="eastAsia" w:ascii="宋体" w:hAnsi="宋体" w:eastAsia="宋体" w:cs="宋体"/>
                <w:color w:val="auto"/>
                <w:spacing w:val="-2"/>
                <w:highlight w:val="none"/>
              </w:rPr>
              <w:t>2.落实政府采购政策需满足的资格要求：无；</w:t>
            </w:r>
          </w:p>
          <w:p>
            <w:pPr>
              <w:spacing w:before="109" w:line="360" w:lineRule="auto"/>
              <w:ind w:left="104"/>
              <w:rPr>
                <w:color w:val="auto"/>
                <w:highlight w:val="none"/>
              </w:rPr>
            </w:pPr>
            <w:r>
              <w:rPr>
                <w:rFonts w:hint="eastAsia" w:ascii="宋体" w:hAnsi="宋体" w:eastAsia="宋体" w:cs="宋体"/>
                <w:color w:val="auto"/>
                <w:spacing w:val="-2"/>
                <w:highlight w:val="none"/>
              </w:rPr>
              <w:t>3.本项目的特定资格要求：</w:t>
            </w:r>
            <w:r>
              <w:rPr>
                <w:rFonts w:hint="eastAsia" w:ascii="宋体" w:hAnsi="宋体" w:eastAsia="宋体" w:cs="宋体"/>
                <w:color w:val="auto"/>
                <w:spacing w:val="-2"/>
                <w:highlight w:val="none"/>
              </w:rPr>
              <w:t>投标人必须具备[市政公用工程施工总承包三级](含)以上资质，并在人员、设备、资金等方面具备相应的施工能力。其中项目经理必须具备[市政公用工程二级](含)以上注册建造师执业资格，具备有效的安全生产考核合格证书（B类）。本项目不接受有在建、已中标未开工或已列为其他项目中标候选人第一名的建造师作为项目经理。专职安全员必须具备有效的安全生产考核合格证书（C类），人数不少于 1 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20" w:type="dxa"/>
            <w:vAlign w:val="center"/>
          </w:tcPr>
          <w:p>
            <w:pPr>
              <w:spacing w:before="143" w:line="360" w:lineRule="auto"/>
              <w:jc w:val="center"/>
              <w:rPr>
                <w:rFonts w:asciiTheme="minorEastAsia" w:hAnsiTheme="minorEastAsia" w:eastAsiaTheme="minorEastAsia" w:cstheme="minorEastAsia"/>
                <w:color w:val="auto"/>
                <w:spacing w:val="-5"/>
                <w:highlight w:val="none"/>
              </w:rPr>
            </w:pPr>
            <w:r>
              <w:rPr>
                <w:rFonts w:hint="eastAsia" w:asciiTheme="minorEastAsia" w:hAnsiTheme="minorEastAsia" w:eastAsiaTheme="minorEastAsia" w:cstheme="minorEastAsia"/>
                <w:color w:val="auto"/>
                <w:spacing w:val="-5"/>
                <w:highlight w:val="none"/>
              </w:rPr>
              <w:t>1</w:t>
            </w:r>
            <w:r>
              <w:rPr>
                <w:rFonts w:hint="eastAsia" w:asciiTheme="minorEastAsia" w:hAnsiTheme="minorEastAsia" w:eastAsiaTheme="minorEastAsia" w:cstheme="minorEastAsia"/>
                <w:color w:val="auto"/>
                <w:spacing w:val="-3"/>
                <w:highlight w:val="none"/>
              </w:rPr>
              <w:t>.4.2</w:t>
            </w:r>
          </w:p>
        </w:tc>
        <w:tc>
          <w:tcPr>
            <w:tcW w:w="1847" w:type="dxa"/>
            <w:vAlign w:val="center"/>
          </w:tcPr>
          <w:p>
            <w:pPr>
              <w:spacing w:before="109" w:line="360" w:lineRule="auto"/>
              <w:jc w:val="center"/>
              <w:rPr>
                <w:rFonts w:asciiTheme="minorEastAsia" w:hAnsiTheme="minorEastAsia" w:eastAsiaTheme="minorEastAsia" w:cstheme="minorEastAsia"/>
                <w:color w:val="auto"/>
                <w:spacing w:val="-6"/>
                <w:highlight w:val="none"/>
              </w:rPr>
            </w:pPr>
            <w:r>
              <w:rPr>
                <w:rFonts w:hint="eastAsia" w:asciiTheme="minorEastAsia" w:hAnsiTheme="minorEastAsia" w:eastAsiaTheme="minorEastAsia" w:cstheme="minorEastAsia"/>
                <w:color w:val="auto"/>
                <w:spacing w:val="-1"/>
                <w:highlight w:val="none"/>
              </w:rPr>
              <w:t>是否接受联合体投</w:t>
            </w:r>
            <w:r>
              <w:rPr>
                <w:rFonts w:hint="eastAsia" w:asciiTheme="minorEastAsia" w:hAnsiTheme="minorEastAsia" w:eastAsiaTheme="minorEastAsia" w:cstheme="minorEastAsia"/>
                <w:color w:val="auto"/>
                <w:highlight w:val="none"/>
              </w:rPr>
              <w:t>标</w:t>
            </w:r>
          </w:p>
        </w:tc>
        <w:tc>
          <w:tcPr>
            <w:tcW w:w="7244" w:type="dxa"/>
          </w:tcPr>
          <w:p>
            <w:pPr>
              <w:spacing w:before="108" w:line="360" w:lineRule="auto"/>
              <w:ind w:left="121"/>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2"/>
                <w:highlight w:val="none"/>
              </w:rPr>
              <w:t>☑不</w:t>
            </w:r>
            <w:r>
              <w:rPr>
                <w:rFonts w:hint="eastAsia" w:asciiTheme="minorEastAsia" w:hAnsiTheme="minorEastAsia" w:eastAsiaTheme="minorEastAsia" w:cstheme="minorEastAsia"/>
                <w:color w:val="auto"/>
                <w:spacing w:val="-1"/>
                <w:highlight w:val="none"/>
              </w:rPr>
              <w:t>接受    □接受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820" w:type="dxa"/>
            <w:vAlign w:val="center"/>
          </w:tcPr>
          <w:p>
            <w:pPr>
              <w:spacing w:before="144" w:line="360" w:lineRule="auto"/>
              <w:jc w:val="center"/>
              <w:rPr>
                <w:rFonts w:asciiTheme="minorEastAsia" w:hAnsiTheme="minorEastAsia" w:eastAsiaTheme="minorEastAsia" w:cstheme="minorEastAsia"/>
                <w:color w:val="auto"/>
                <w:spacing w:val="-5"/>
                <w:highlight w:val="none"/>
              </w:rPr>
            </w:pPr>
            <w:r>
              <w:rPr>
                <w:rFonts w:hint="eastAsia" w:asciiTheme="minorEastAsia" w:hAnsiTheme="minorEastAsia" w:eastAsiaTheme="minorEastAsia" w:cstheme="minorEastAsia"/>
                <w:color w:val="auto"/>
                <w:spacing w:val="-5"/>
                <w:highlight w:val="none"/>
              </w:rPr>
              <w:t>1</w:t>
            </w:r>
            <w:r>
              <w:rPr>
                <w:rFonts w:hint="eastAsia" w:asciiTheme="minorEastAsia" w:hAnsiTheme="minorEastAsia" w:eastAsiaTheme="minorEastAsia" w:cstheme="minorEastAsia"/>
                <w:color w:val="auto"/>
                <w:spacing w:val="-3"/>
                <w:highlight w:val="none"/>
              </w:rPr>
              <w:t>.9.1</w:t>
            </w:r>
          </w:p>
        </w:tc>
        <w:tc>
          <w:tcPr>
            <w:tcW w:w="1847" w:type="dxa"/>
            <w:vAlign w:val="center"/>
          </w:tcPr>
          <w:p>
            <w:pPr>
              <w:spacing w:before="108" w:line="360" w:lineRule="auto"/>
              <w:jc w:val="center"/>
              <w:rPr>
                <w:rFonts w:asciiTheme="minorEastAsia" w:hAnsiTheme="minorEastAsia" w:eastAsiaTheme="minorEastAsia" w:cstheme="minorEastAsia"/>
                <w:color w:val="auto"/>
                <w:spacing w:val="-5"/>
                <w:highlight w:val="none"/>
              </w:rPr>
            </w:pPr>
            <w:r>
              <w:rPr>
                <w:rFonts w:hint="eastAsia" w:asciiTheme="minorEastAsia" w:hAnsiTheme="minorEastAsia" w:eastAsiaTheme="minorEastAsia" w:cstheme="minorEastAsia"/>
                <w:color w:val="auto"/>
                <w:spacing w:val="-2"/>
                <w:highlight w:val="none"/>
              </w:rPr>
              <w:t>踏勘</w:t>
            </w:r>
            <w:r>
              <w:rPr>
                <w:rFonts w:hint="eastAsia" w:asciiTheme="minorEastAsia" w:hAnsiTheme="minorEastAsia" w:eastAsiaTheme="minorEastAsia" w:cstheme="minorEastAsia"/>
                <w:color w:val="auto"/>
                <w:spacing w:val="-1"/>
                <w:highlight w:val="none"/>
              </w:rPr>
              <w:t>现场</w:t>
            </w:r>
          </w:p>
        </w:tc>
        <w:tc>
          <w:tcPr>
            <w:tcW w:w="7244" w:type="dxa"/>
            <w:vAlign w:val="center"/>
          </w:tcPr>
          <w:p>
            <w:pPr>
              <w:spacing w:before="109" w:line="360" w:lineRule="auto"/>
              <w:ind w:left="117"/>
              <w:rPr>
                <w:rFonts w:asciiTheme="minorEastAsia" w:hAnsiTheme="minorEastAsia" w:eastAsiaTheme="minorEastAsia" w:cstheme="minorEastAsia"/>
                <w:color w:val="auto"/>
                <w:spacing w:val="-5"/>
                <w:highlight w:val="none"/>
              </w:rPr>
            </w:pPr>
            <w:r>
              <w:rPr>
                <w:rFonts w:hint="eastAsia" w:asciiTheme="minorEastAsia" w:hAnsiTheme="minorEastAsia" w:eastAsiaTheme="minorEastAsia" w:cstheme="minorEastAsia"/>
                <w:color w:val="auto"/>
                <w:spacing w:val="-2"/>
                <w:highlight w:val="none"/>
              </w:rPr>
              <w:t>不组织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820" w:type="dxa"/>
            <w:vAlign w:val="center"/>
          </w:tcPr>
          <w:p>
            <w:pPr>
              <w:spacing w:before="145" w:line="360" w:lineRule="auto"/>
              <w:jc w:val="center"/>
              <w:rPr>
                <w:rFonts w:asciiTheme="minorEastAsia" w:hAnsiTheme="minorEastAsia" w:eastAsiaTheme="minorEastAsia" w:cstheme="minorEastAsia"/>
                <w:color w:val="auto"/>
                <w:spacing w:val="-5"/>
                <w:highlight w:val="none"/>
              </w:rPr>
            </w:pPr>
            <w:r>
              <w:rPr>
                <w:rFonts w:hint="eastAsia" w:asciiTheme="minorEastAsia" w:hAnsiTheme="minorEastAsia" w:eastAsiaTheme="minorEastAsia" w:cstheme="minorEastAsia"/>
                <w:color w:val="auto"/>
                <w:spacing w:val="-5"/>
                <w:highlight w:val="none"/>
              </w:rPr>
              <w:t>1</w:t>
            </w:r>
            <w:r>
              <w:rPr>
                <w:rFonts w:hint="eastAsia" w:asciiTheme="minorEastAsia" w:hAnsiTheme="minorEastAsia" w:eastAsiaTheme="minorEastAsia" w:cstheme="minorEastAsia"/>
                <w:color w:val="auto"/>
                <w:spacing w:val="-4"/>
                <w:highlight w:val="none"/>
              </w:rPr>
              <w:t>.10</w:t>
            </w:r>
          </w:p>
        </w:tc>
        <w:tc>
          <w:tcPr>
            <w:tcW w:w="1847" w:type="dxa"/>
            <w:vAlign w:val="center"/>
          </w:tcPr>
          <w:p>
            <w:pPr>
              <w:spacing w:before="109" w:line="360" w:lineRule="auto"/>
              <w:jc w:val="center"/>
              <w:rPr>
                <w:rFonts w:asciiTheme="minorEastAsia" w:hAnsiTheme="minorEastAsia" w:eastAsiaTheme="minorEastAsia" w:cstheme="minorEastAsia"/>
                <w:color w:val="auto"/>
                <w:spacing w:val="-5"/>
                <w:highlight w:val="none"/>
              </w:rPr>
            </w:pPr>
            <w:r>
              <w:rPr>
                <w:rFonts w:hint="eastAsia" w:asciiTheme="minorEastAsia" w:hAnsiTheme="minorEastAsia" w:eastAsiaTheme="minorEastAsia" w:cstheme="minorEastAsia"/>
                <w:color w:val="auto"/>
                <w:spacing w:val="-2"/>
                <w:highlight w:val="none"/>
              </w:rPr>
              <w:t>投标预</w:t>
            </w:r>
            <w:r>
              <w:rPr>
                <w:rFonts w:hint="eastAsia" w:asciiTheme="minorEastAsia" w:hAnsiTheme="minorEastAsia" w:eastAsiaTheme="minorEastAsia" w:cstheme="minorEastAsia"/>
                <w:color w:val="auto"/>
                <w:spacing w:val="-1"/>
                <w:highlight w:val="none"/>
              </w:rPr>
              <w:t>备会</w:t>
            </w:r>
          </w:p>
        </w:tc>
        <w:tc>
          <w:tcPr>
            <w:tcW w:w="7244" w:type="dxa"/>
            <w:vAlign w:val="center"/>
          </w:tcPr>
          <w:p>
            <w:pPr>
              <w:spacing w:before="109" w:line="360" w:lineRule="auto"/>
              <w:ind w:left="117"/>
              <w:rPr>
                <w:rFonts w:asciiTheme="minorEastAsia" w:hAnsiTheme="minorEastAsia" w:eastAsiaTheme="minorEastAsia" w:cstheme="minorEastAsia"/>
                <w:color w:val="auto"/>
                <w:spacing w:val="-5"/>
                <w:highlight w:val="none"/>
              </w:rPr>
            </w:pPr>
            <w:r>
              <w:rPr>
                <w:rFonts w:hint="eastAsia" w:asciiTheme="minorEastAsia" w:hAnsiTheme="minorEastAsia" w:eastAsiaTheme="minorEastAsia" w:cstheme="minorEastAsia"/>
                <w:color w:val="auto"/>
                <w:spacing w:val="-2"/>
                <w:highlight w:val="none"/>
              </w:rPr>
              <w:t>不召开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1" w:hRule="atLeast"/>
        </w:trPr>
        <w:tc>
          <w:tcPr>
            <w:tcW w:w="820" w:type="dxa"/>
            <w:vAlign w:val="center"/>
          </w:tcPr>
          <w:p>
            <w:pPr>
              <w:spacing w:before="68" w:line="360" w:lineRule="auto"/>
              <w:jc w:val="center"/>
              <w:rPr>
                <w:rFonts w:asciiTheme="minorEastAsia" w:hAnsiTheme="minorEastAsia" w:eastAsiaTheme="minorEastAsia" w:cstheme="minorEastAsia"/>
                <w:color w:val="auto"/>
                <w:spacing w:val="-5"/>
                <w:highlight w:val="none"/>
              </w:rPr>
            </w:pPr>
            <w:r>
              <w:rPr>
                <w:rFonts w:hint="eastAsia" w:asciiTheme="minorEastAsia" w:hAnsiTheme="minorEastAsia" w:eastAsiaTheme="minorEastAsia" w:cstheme="minorEastAsia"/>
                <w:color w:val="auto"/>
                <w:spacing w:val="-5"/>
                <w:highlight w:val="none"/>
              </w:rPr>
              <w:t>1</w:t>
            </w:r>
            <w:r>
              <w:rPr>
                <w:rFonts w:hint="eastAsia" w:asciiTheme="minorEastAsia" w:hAnsiTheme="minorEastAsia" w:eastAsiaTheme="minorEastAsia" w:cstheme="minorEastAsia"/>
                <w:color w:val="auto"/>
                <w:spacing w:val="-4"/>
                <w:highlight w:val="none"/>
              </w:rPr>
              <w:t>.11</w:t>
            </w:r>
          </w:p>
        </w:tc>
        <w:tc>
          <w:tcPr>
            <w:tcW w:w="1847" w:type="dxa"/>
            <w:vAlign w:val="center"/>
          </w:tcPr>
          <w:p>
            <w:pPr>
              <w:spacing w:before="68" w:line="360" w:lineRule="auto"/>
              <w:jc w:val="center"/>
              <w:rPr>
                <w:rFonts w:asciiTheme="minorEastAsia" w:hAnsiTheme="minorEastAsia" w:eastAsiaTheme="minorEastAsia" w:cstheme="minorEastAsia"/>
                <w:color w:val="auto"/>
                <w:spacing w:val="-5"/>
                <w:highlight w:val="none"/>
              </w:rPr>
            </w:pPr>
            <w:r>
              <w:rPr>
                <w:rFonts w:hint="eastAsia" w:asciiTheme="minorEastAsia" w:hAnsiTheme="minorEastAsia" w:eastAsiaTheme="minorEastAsia" w:cstheme="minorEastAsia"/>
                <w:color w:val="auto"/>
                <w:spacing w:val="-3"/>
                <w:highlight w:val="none"/>
              </w:rPr>
              <w:t>分</w:t>
            </w:r>
            <w:r>
              <w:rPr>
                <w:rFonts w:hint="eastAsia" w:asciiTheme="minorEastAsia" w:hAnsiTheme="minorEastAsia" w:eastAsiaTheme="minorEastAsia" w:cstheme="minorEastAsia"/>
                <w:color w:val="auto"/>
                <w:spacing w:val="-2"/>
                <w:highlight w:val="none"/>
              </w:rPr>
              <w:t>包</w:t>
            </w:r>
          </w:p>
        </w:tc>
        <w:tc>
          <w:tcPr>
            <w:tcW w:w="7244" w:type="dxa"/>
          </w:tcPr>
          <w:p>
            <w:pPr>
              <w:spacing w:before="111" w:line="360" w:lineRule="auto"/>
              <w:ind w:left="121"/>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2"/>
                <w:position w:val="11"/>
                <w:highlight w:val="none"/>
              </w:rPr>
              <w:t>☑不</w:t>
            </w:r>
            <w:r>
              <w:rPr>
                <w:rFonts w:hint="eastAsia" w:asciiTheme="minorEastAsia" w:hAnsiTheme="minorEastAsia" w:eastAsiaTheme="minorEastAsia" w:cstheme="minorEastAsia"/>
                <w:color w:val="auto"/>
                <w:spacing w:val="-1"/>
                <w:position w:val="11"/>
                <w:highlight w:val="none"/>
              </w:rPr>
              <w:t>允许(除劳务分包以外)</w:t>
            </w:r>
          </w:p>
          <w:p>
            <w:pPr>
              <w:spacing w:line="360" w:lineRule="auto"/>
              <w:ind w:left="135"/>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8"/>
                <w:highlight w:val="none"/>
              </w:rPr>
              <w:t>□</w:t>
            </w:r>
            <w:r>
              <w:rPr>
                <w:rFonts w:hint="eastAsia" w:asciiTheme="minorEastAsia" w:hAnsiTheme="minorEastAsia" w:eastAsiaTheme="minorEastAsia" w:cstheme="minorEastAsia"/>
                <w:color w:val="auto"/>
                <w:spacing w:val="-7"/>
                <w:highlight w:val="none"/>
              </w:rPr>
              <w:t>允</w:t>
            </w:r>
            <w:r>
              <w:rPr>
                <w:rFonts w:hint="eastAsia" w:asciiTheme="minorEastAsia" w:hAnsiTheme="minorEastAsia" w:eastAsiaTheme="minorEastAsia" w:cstheme="minorEastAsia"/>
                <w:color w:val="auto"/>
                <w:spacing w:val="-4"/>
                <w:highlight w:val="none"/>
              </w:rPr>
              <w:t>许，分包内容要求：</w:t>
            </w:r>
          </w:p>
          <w:p>
            <w:pPr>
              <w:spacing w:before="108" w:line="360" w:lineRule="auto"/>
              <w:ind w:left="116"/>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8"/>
                <w:highlight w:val="none"/>
              </w:rPr>
              <w:t>分</w:t>
            </w:r>
            <w:r>
              <w:rPr>
                <w:rFonts w:hint="eastAsia" w:asciiTheme="minorEastAsia" w:hAnsiTheme="minorEastAsia" w:eastAsiaTheme="minorEastAsia" w:cstheme="minorEastAsia"/>
                <w:color w:val="auto"/>
                <w:spacing w:val="-4"/>
                <w:highlight w:val="none"/>
              </w:rPr>
              <w:t>包金额要求：</w:t>
            </w:r>
          </w:p>
          <w:p>
            <w:pPr>
              <w:spacing w:before="109" w:line="360" w:lineRule="auto"/>
              <w:ind w:left="112"/>
              <w:rPr>
                <w:rFonts w:asciiTheme="minorEastAsia" w:hAnsiTheme="minorEastAsia" w:eastAsiaTheme="minorEastAsia" w:cstheme="minorEastAsia"/>
                <w:color w:val="auto"/>
                <w:spacing w:val="-5"/>
                <w:highlight w:val="none"/>
              </w:rPr>
            </w:pPr>
            <w:r>
              <w:rPr>
                <w:rFonts w:hint="eastAsia" w:asciiTheme="minorEastAsia" w:hAnsiTheme="minorEastAsia" w:eastAsiaTheme="minorEastAsia" w:cstheme="minorEastAsia"/>
                <w:color w:val="auto"/>
                <w:spacing w:val="-4"/>
                <w:highlight w:val="none"/>
              </w:rPr>
              <w:t>接</w:t>
            </w:r>
            <w:r>
              <w:rPr>
                <w:rFonts w:hint="eastAsia" w:asciiTheme="minorEastAsia" w:hAnsiTheme="minorEastAsia" w:eastAsiaTheme="minorEastAsia" w:cstheme="minorEastAsia"/>
                <w:color w:val="auto"/>
                <w:spacing w:val="-3"/>
                <w:highlight w:val="none"/>
              </w:rPr>
              <w:t>受</w:t>
            </w:r>
            <w:r>
              <w:rPr>
                <w:rFonts w:hint="eastAsia" w:asciiTheme="minorEastAsia" w:hAnsiTheme="minorEastAsia" w:eastAsiaTheme="minorEastAsia" w:cstheme="minorEastAsia"/>
                <w:color w:val="auto"/>
                <w:spacing w:val="-2"/>
                <w:highlight w:val="none"/>
              </w:rPr>
              <w:t>分包的第三人资质要求：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820" w:type="dxa"/>
            <w:vAlign w:val="center"/>
          </w:tcPr>
          <w:p>
            <w:pPr>
              <w:spacing w:before="144" w:line="360" w:lineRule="auto"/>
              <w:jc w:val="center"/>
              <w:rPr>
                <w:rFonts w:ascii="宋体" w:hAnsi="宋体" w:eastAsia="宋体" w:cs="宋体"/>
                <w:color w:val="auto"/>
                <w:highlight w:val="none"/>
              </w:rPr>
            </w:pPr>
            <w:r>
              <w:rPr>
                <w:rFonts w:ascii="宋体" w:hAnsi="宋体" w:eastAsia="宋体" w:cs="宋体"/>
                <w:color w:val="auto"/>
                <w:spacing w:val="-2"/>
                <w:position w:val="11"/>
                <w:highlight w:val="none"/>
              </w:rPr>
              <w:t>2.1</w:t>
            </w:r>
            <w:r>
              <w:rPr>
                <w:rFonts w:ascii="宋体" w:hAnsi="宋体" w:eastAsia="宋体" w:cs="宋体"/>
                <w:color w:val="auto"/>
                <w:spacing w:val="-1"/>
                <w:position w:val="11"/>
                <w:highlight w:val="none"/>
              </w:rPr>
              <w:t>.1</w:t>
            </w:r>
          </w:p>
          <w:p>
            <w:pPr>
              <w:spacing w:line="360" w:lineRule="auto"/>
              <w:ind w:left="170"/>
              <w:jc w:val="center"/>
              <w:rPr>
                <w:rFonts w:asciiTheme="minorEastAsia" w:hAnsiTheme="minorEastAsia" w:eastAsiaTheme="minorEastAsia" w:cstheme="minorEastAsia"/>
                <w:color w:val="auto"/>
                <w:spacing w:val="-5"/>
                <w:highlight w:val="none"/>
              </w:rPr>
            </w:pPr>
          </w:p>
        </w:tc>
        <w:tc>
          <w:tcPr>
            <w:tcW w:w="1847" w:type="dxa"/>
            <w:vAlign w:val="center"/>
          </w:tcPr>
          <w:p>
            <w:pPr>
              <w:spacing w:line="360" w:lineRule="auto"/>
              <w:jc w:val="center"/>
              <w:rPr>
                <w:rFonts w:asciiTheme="minorEastAsia" w:hAnsiTheme="minorEastAsia" w:eastAsiaTheme="minorEastAsia" w:cstheme="minorEastAsia"/>
                <w:color w:val="auto"/>
                <w:spacing w:val="-3"/>
                <w:highlight w:val="none"/>
              </w:rPr>
            </w:pPr>
            <w:r>
              <w:rPr>
                <w:color w:val="auto"/>
                <w:highlight w:val="none"/>
              </w:rPr>
              <w:t>构成招标文件的其他材料</w:t>
            </w:r>
          </w:p>
        </w:tc>
        <w:tc>
          <w:tcPr>
            <w:tcW w:w="7244" w:type="dxa"/>
            <w:vAlign w:val="center"/>
          </w:tcPr>
          <w:p>
            <w:pPr>
              <w:spacing w:line="360" w:lineRule="auto"/>
              <w:jc w:val="both"/>
              <w:rPr>
                <w:rFonts w:asciiTheme="minorEastAsia" w:hAnsiTheme="minorEastAsia" w:eastAsiaTheme="minorEastAsia" w:cstheme="minorEastAsia"/>
                <w:color w:val="auto"/>
                <w:spacing w:val="-4"/>
                <w:highlight w:val="none"/>
              </w:rPr>
            </w:pPr>
            <w:r>
              <w:rPr>
                <w:color w:val="auto"/>
                <w:highlight w:val="none"/>
              </w:rPr>
              <w:t>招标文件的澄清、修改、补充通知等内容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9" w:hRule="atLeast"/>
        </w:trPr>
        <w:tc>
          <w:tcPr>
            <w:tcW w:w="820" w:type="dxa"/>
            <w:vAlign w:val="center"/>
          </w:tcPr>
          <w:p>
            <w:pPr>
              <w:spacing w:line="360" w:lineRule="auto"/>
              <w:jc w:val="center"/>
              <w:rPr>
                <w:color w:val="auto"/>
                <w:highlight w:val="none"/>
              </w:rPr>
            </w:pPr>
          </w:p>
          <w:p>
            <w:pPr>
              <w:spacing w:before="68" w:line="360" w:lineRule="auto"/>
              <w:jc w:val="center"/>
              <w:rPr>
                <w:rFonts w:asciiTheme="minorEastAsia" w:hAnsiTheme="minorEastAsia" w:eastAsiaTheme="minorEastAsia" w:cstheme="minorEastAsia"/>
                <w:color w:val="auto"/>
                <w:spacing w:val="-5"/>
                <w:highlight w:val="none"/>
              </w:rPr>
            </w:pPr>
            <w:r>
              <w:rPr>
                <w:rFonts w:ascii="宋体" w:hAnsi="宋体" w:eastAsia="宋体" w:cs="宋体"/>
                <w:color w:val="auto"/>
                <w:spacing w:val="3"/>
                <w:highlight w:val="none"/>
              </w:rPr>
              <w:t>2.2.1</w:t>
            </w:r>
          </w:p>
        </w:tc>
        <w:tc>
          <w:tcPr>
            <w:tcW w:w="1847" w:type="dxa"/>
            <w:vAlign w:val="center"/>
          </w:tcPr>
          <w:p>
            <w:pPr>
              <w:spacing w:before="109" w:line="360" w:lineRule="auto"/>
              <w:ind w:right="137"/>
              <w:jc w:val="both"/>
              <w:rPr>
                <w:rFonts w:asciiTheme="minorEastAsia" w:hAnsiTheme="minorEastAsia" w:eastAsiaTheme="minorEastAsia" w:cstheme="minorEastAsia"/>
                <w:color w:val="auto"/>
                <w:spacing w:val="-3"/>
                <w:highlight w:val="none"/>
              </w:rPr>
            </w:pPr>
            <w:r>
              <w:rPr>
                <w:rFonts w:ascii="宋体" w:hAnsi="宋体" w:eastAsia="宋体" w:cs="宋体"/>
                <w:color w:val="auto"/>
                <w:spacing w:val="-1"/>
                <w:highlight w:val="none"/>
              </w:rPr>
              <w:t>投标人要求澄清</w:t>
            </w:r>
            <w:r>
              <w:rPr>
                <w:rFonts w:ascii="宋体" w:hAnsi="宋体" w:eastAsia="宋体" w:cs="宋体"/>
                <w:color w:val="auto"/>
                <w:highlight w:val="none"/>
              </w:rPr>
              <w:t>招标文件</w:t>
            </w:r>
            <w:r>
              <w:rPr>
                <w:rFonts w:ascii="宋体" w:hAnsi="宋体" w:eastAsia="宋体" w:cs="宋体"/>
                <w:color w:val="auto"/>
                <w:spacing w:val="-6"/>
                <w:highlight w:val="none"/>
              </w:rPr>
              <w:t>的</w:t>
            </w:r>
            <w:r>
              <w:rPr>
                <w:rFonts w:ascii="宋体" w:hAnsi="宋体" w:eastAsia="宋体" w:cs="宋体"/>
                <w:color w:val="auto"/>
                <w:spacing w:val="-4"/>
                <w:highlight w:val="none"/>
              </w:rPr>
              <w:t>截止</w:t>
            </w:r>
            <w:r>
              <w:rPr>
                <w:rFonts w:hint="eastAsia" w:ascii="宋体" w:hAnsi="宋体" w:eastAsia="宋体" w:cs="宋体"/>
                <w:color w:val="auto"/>
                <w:spacing w:val="-4"/>
                <w:highlight w:val="none"/>
              </w:rPr>
              <w:t>时</w:t>
            </w:r>
            <w:r>
              <w:rPr>
                <w:rFonts w:ascii="宋体" w:hAnsi="宋体" w:eastAsia="宋体" w:cs="宋体"/>
                <w:color w:val="auto"/>
                <w:spacing w:val="-4"/>
                <w:highlight w:val="none"/>
              </w:rPr>
              <w:t>间</w:t>
            </w:r>
          </w:p>
        </w:tc>
        <w:tc>
          <w:tcPr>
            <w:tcW w:w="7244" w:type="dxa"/>
            <w:vAlign w:val="center"/>
          </w:tcPr>
          <w:p>
            <w:pPr>
              <w:spacing w:before="109" w:line="360" w:lineRule="auto"/>
              <w:ind w:left="120" w:right="105" w:hanging="4"/>
              <w:rPr>
                <w:rFonts w:asciiTheme="minorEastAsia" w:hAnsiTheme="minorEastAsia" w:eastAsiaTheme="minorEastAsia" w:cstheme="minorEastAsia"/>
                <w:color w:val="auto"/>
                <w:spacing w:val="-4"/>
                <w:highlight w:val="none"/>
              </w:rPr>
            </w:pPr>
            <w:r>
              <w:rPr>
                <w:rFonts w:ascii="宋体" w:hAnsi="宋体" w:eastAsia="宋体" w:cs="宋体"/>
                <w:color w:val="auto"/>
                <w:spacing w:val="-2"/>
                <w:highlight w:val="none"/>
              </w:rPr>
              <w:t>投标截止时间1</w:t>
            </w:r>
            <w:r>
              <w:rPr>
                <w:rFonts w:hint="eastAsia" w:ascii="宋体" w:hAnsi="宋体" w:eastAsia="宋体" w:cs="宋体"/>
                <w:color w:val="auto"/>
                <w:spacing w:val="-2"/>
                <w:highlight w:val="none"/>
              </w:rPr>
              <w:t>5</w:t>
            </w:r>
            <w:r>
              <w:rPr>
                <w:rFonts w:ascii="宋体" w:hAnsi="宋体" w:eastAsia="宋体" w:cs="宋体"/>
                <w:color w:val="auto"/>
                <w:spacing w:val="-2"/>
                <w:highlight w:val="none"/>
              </w:rPr>
              <w:t>日前。投标人不在规定期限内提出，招标人有</w:t>
            </w:r>
            <w:r>
              <w:rPr>
                <w:rFonts w:ascii="宋体" w:hAnsi="宋体" w:eastAsia="宋体" w:cs="宋体"/>
                <w:color w:val="auto"/>
                <w:spacing w:val="-1"/>
                <w:highlight w:val="none"/>
              </w:rPr>
              <w:t>权</w:t>
            </w:r>
            <w:r>
              <w:rPr>
                <w:rFonts w:ascii="宋体" w:hAnsi="宋体" w:eastAsia="宋体" w:cs="宋体"/>
                <w:color w:val="auto"/>
                <w:highlight w:val="none"/>
              </w:rPr>
              <w:t>不</w:t>
            </w:r>
            <w:r>
              <w:rPr>
                <w:rFonts w:ascii="宋体" w:hAnsi="宋体" w:eastAsia="宋体" w:cs="宋体"/>
                <w:color w:val="auto"/>
                <w:spacing w:val="-2"/>
                <w:highlight w:val="none"/>
              </w:rPr>
              <w:t>予答复，</w:t>
            </w:r>
            <w:r>
              <w:rPr>
                <w:rFonts w:ascii="宋体" w:hAnsi="宋体" w:eastAsia="宋体" w:cs="宋体"/>
                <w:color w:val="auto"/>
                <w:spacing w:val="-1"/>
                <w:highlight w:val="none"/>
              </w:rPr>
              <w:t>或答复后投标截止时间由招标人确定是否顺延。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820" w:type="dxa"/>
            <w:vMerge w:val="restart"/>
            <w:vAlign w:val="center"/>
          </w:tcPr>
          <w:p>
            <w:pPr>
              <w:spacing w:before="68" w:line="360" w:lineRule="auto"/>
              <w:jc w:val="center"/>
              <w:rPr>
                <w:rFonts w:ascii="宋体" w:hAnsi="宋体" w:eastAsia="宋体" w:cs="宋体"/>
                <w:color w:val="auto"/>
                <w:spacing w:val="3"/>
                <w:highlight w:val="none"/>
              </w:rPr>
            </w:pPr>
            <w:r>
              <w:rPr>
                <w:rFonts w:hint="eastAsia" w:ascii="宋体" w:hAnsi="宋体" w:eastAsia="宋体" w:cs="宋体"/>
                <w:color w:val="auto"/>
                <w:spacing w:val="-2"/>
                <w:highlight w:val="none"/>
              </w:rPr>
              <w:t>2.</w:t>
            </w:r>
            <w:r>
              <w:rPr>
                <w:rFonts w:hint="eastAsia" w:ascii="宋体" w:hAnsi="宋体" w:eastAsia="宋体" w:cs="宋体"/>
                <w:color w:val="auto"/>
                <w:spacing w:val="-1"/>
                <w:highlight w:val="none"/>
              </w:rPr>
              <w:t>2.2</w:t>
            </w:r>
          </w:p>
        </w:tc>
        <w:tc>
          <w:tcPr>
            <w:tcW w:w="1847" w:type="dxa"/>
          </w:tcPr>
          <w:p>
            <w:pPr>
              <w:spacing w:before="111" w:line="360" w:lineRule="auto"/>
              <w:jc w:val="both"/>
              <w:rPr>
                <w:rFonts w:ascii="宋体" w:hAnsi="宋体" w:eastAsia="宋体" w:cs="宋体"/>
                <w:color w:val="auto"/>
                <w:spacing w:val="-1"/>
                <w:highlight w:val="none"/>
              </w:rPr>
            </w:pPr>
            <w:r>
              <w:rPr>
                <w:rFonts w:hint="eastAsia" w:ascii="宋体" w:hAnsi="宋体" w:eastAsia="宋体" w:cs="宋体"/>
                <w:color w:val="auto"/>
                <w:spacing w:val="-2"/>
                <w:highlight w:val="none"/>
              </w:rPr>
              <w:t>投标</w:t>
            </w:r>
            <w:r>
              <w:rPr>
                <w:rFonts w:hint="eastAsia" w:ascii="宋体" w:hAnsi="宋体" w:eastAsia="宋体" w:cs="宋体"/>
                <w:color w:val="auto"/>
                <w:spacing w:val="-1"/>
                <w:highlight w:val="none"/>
              </w:rPr>
              <w:t>截止时间</w:t>
            </w:r>
          </w:p>
        </w:tc>
        <w:tc>
          <w:tcPr>
            <w:tcW w:w="7244" w:type="dxa"/>
          </w:tcPr>
          <w:p>
            <w:pPr>
              <w:spacing w:before="110" w:line="360" w:lineRule="auto"/>
              <w:ind w:left="116"/>
              <w:rPr>
                <w:rFonts w:ascii="宋体" w:hAnsi="宋体" w:eastAsia="宋体" w:cs="宋体"/>
                <w:color w:val="auto"/>
                <w:spacing w:val="-2"/>
                <w:highlight w:val="none"/>
              </w:rPr>
            </w:pPr>
            <w:r>
              <w:rPr>
                <w:rFonts w:hint="eastAsia" w:ascii="宋体" w:hAnsi="宋体" w:eastAsia="宋体" w:cs="宋体"/>
                <w:color w:val="auto"/>
                <w:spacing w:val="-22"/>
                <w:highlight w:val="none"/>
              </w:rPr>
              <w:t>2</w:t>
            </w:r>
            <w:r>
              <w:rPr>
                <w:rFonts w:hint="eastAsia" w:ascii="宋体" w:hAnsi="宋体" w:eastAsia="宋体" w:cs="宋体"/>
                <w:color w:val="auto"/>
                <w:spacing w:val="-18"/>
                <w:highlight w:val="none"/>
              </w:rPr>
              <w:t>023</w:t>
            </w:r>
            <w:r>
              <w:rPr>
                <w:rFonts w:hint="eastAsia" w:ascii="宋体" w:hAnsi="宋体" w:eastAsia="宋体" w:cs="宋体"/>
                <w:color w:val="auto"/>
                <w:spacing w:val="-18"/>
                <w:highlight w:val="none"/>
                <w:lang w:val="en-US" w:eastAsia="zh-CN"/>
              </w:rPr>
              <w:t xml:space="preserve"> </w:t>
            </w:r>
            <w:r>
              <w:rPr>
                <w:rFonts w:hint="eastAsia" w:ascii="宋体" w:hAnsi="宋体" w:eastAsia="宋体" w:cs="宋体"/>
                <w:color w:val="auto"/>
                <w:spacing w:val="-18"/>
                <w:highlight w:val="none"/>
              </w:rPr>
              <w:t>年</w:t>
            </w:r>
            <w:r>
              <w:rPr>
                <w:rFonts w:hint="eastAsia" w:ascii="宋体" w:hAnsi="宋体" w:eastAsia="宋体" w:cs="宋体"/>
                <w:color w:val="auto"/>
                <w:spacing w:val="-18"/>
                <w:highlight w:val="none"/>
                <w:lang w:val="en-US" w:eastAsia="zh-CN"/>
              </w:rPr>
              <w:t xml:space="preserve"> 9 </w:t>
            </w:r>
            <w:r>
              <w:rPr>
                <w:rFonts w:hint="eastAsia" w:ascii="宋体" w:hAnsi="宋体" w:eastAsia="宋体" w:cs="宋体"/>
                <w:color w:val="auto"/>
                <w:spacing w:val="-18"/>
                <w:highlight w:val="none"/>
              </w:rPr>
              <w:t>月</w:t>
            </w:r>
            <w:r>
              <w:rPr>
                <w:rFonts w:hint="eastAsia" w:ascii="宋体" w:hAnsi="宋体" w:eastAsia="宋体" w:cs="宋体"/>
                <w:color w:val="auto"/>
                <w:spacing w:val="-18"/>
                <w:highlight w:val="none"/>
                <w:lang w:val="en-US" w:eastAsia="zh-CN"/>
              </w:rPr>
              <w:t xml:space="preserve"> 1 </w:t>
            </w:r>
            <w:r>
              <w:rPr>
                <w:rFonts w:hint="eastAsia" w:ascii="宋体" w:hAnsi="宋体" w:eastAsia="宋体" w:cs="宋体"/>
                <w:color w:val="auto"/>
                <w:spacing w:val="-18"/>
                <w:highlight w:val="none"/>
              </w:rPr>
              <w:t>日</w:t>
            </w:r>
            <w:r>
              <w:rPr>
                <w:rFonts w:hint="eastAsia" w:ascii="宋体" w:hAnsi="宋体" w:eastAsia="宋体" w:cs="宋体"/>
                <w:color w:val="auto"/>
                <w:spacing w:val="-18"/>
                <w:highlight w:val="none"/>
              </w:rPr>
              <w:t xml:space="preserve"> 09 时 30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820" w:type="dxa"/>
            <w:vMerge w:val="continue"/>
            <w:vAlign w:val="center"/>
          </w:tcPr>
          <w:p>
            <w:pPr>
              <w:spacing w:before="68" w:line="360" w:lineRule="auto"/>
              <w:ind w:left="219"/>
              <w:jc w:val="center"/>
              <w:rPr>
                <w:rFonts w:ascii="宋体" w:hAnsi="宋体" w:eastAsia="宋体" w:cs="宋体"/>
                <w:color w:val="auto"/>
                <w:spacing w:val="3"/>
                <w:highlight w:val="none"/>
              </w:rPr>
            </w:pPr>
          </w:p>
        </w:tc>
        <w:tc>
          <w:tcPr>
            <w:tcW w:w="1847" w:type="dxa"/>
          </w:tcPr>
          <w:p>
            <w:pPr>
              <w:spacing w:before="110" w:line="360" w:lineRule="auto"/>
              <w:jc w:val="center"/>
              <w:rPr>
                <w:rFonts w:ascii="宋体" w:hAnsi="宋体" w:eastAsia="宋体" w:cs="宋体"/>
                <w:color w:val="auto"/>
                <w:spacing w:val="-1"/>
                <w:highlight w:val="none"/>
              </w:rPr>
            </w:pPr>
            <w:r>
              <w:rPr>
                <w:rFonts w:hint="eastAsia" w:ascii="宋体" w:hAnsi="宋体" w:eastAsia="宋体" w:cs="宋体"/>
                <w:color w:val="auto"/>
                <w:spacing w:val="-1"/>
                <w:highlight w:val="none"/>
              </w:rPr>
              <w:t>招标文件澄清</w:t>
            </w:r>
            <w:r>
              <w:rPr>
                <w:rFonts w:hint="eastAsia" w:ascii="宋体" w:hAnsi="宋体" w:eastAsia="宋体" w:cs="宋体"/>
                <w:color w:val="auto"/>
                <w:highlight w:val="none"/>
              </w:rPr>
              <w:t>发布方式</w:t>
            </w:r>
          </w:p>
        </w:tc>
        <w:tc>
          <w:tcPr>
            <w:tcW w:w="7244" w:type="dxa"/>
            <w:vAlign w:val="center"/>
          </w:tcPr>
          <w:p>
            <w:pPr>
              <w:spacing w:before="110" w:line="360" w:lineRule="auto"/>
              <w:ind w:left="112"/>
              <w:jc w:val="both"/>
              <w:rPr>
                <w:rFonts w:ascii="宋体" w:hAnsi="宋体" w:eastAsia="宋体" w:cs="宋体"/>
                <w:color w:val="auto"/>
                <w:spacing w:val="-2"/>
                <w:highlight w:val="none"/>
              </w:rPr>
            </w:pPr>
            <w:r>
              <w:rPr>
                <w:rFonts w:hint="eastAsia" w:ascii="宋体" w:hAnsi="宋体" w:eastAsia="宋体" w:cs="宋体"/>
                <w:color w:val="auto"/>
                <w:spacing w:val="-1"/>
                <w:highlight w:val="none"/>
              </w:rPr>
              <w:t>在招标</w:t>
            </w:r>
            <w:r>
              <w:rPr>
                <w:rFonts w:hint="eastAsia" w:ascii="宋体" w:hAnsi="宋体" w:eastAsia="宋体" w:cs="宋体"/>
                <w:color w:val="auto"/>
                <w:highlight w:val="none"/>
              </w:rPr>
              <w:t>公告发布的同一媒介网站发布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820" w:type="dxa"/>
          </w:tcPr>
          <w:p>
            <w:pPr>
              <w:spacing w:line="360" w:lineRule="auto"/>
              <w:jc w:val="center"/>
              <w:rPr>
                <w:rFonts w:ascii="宋体" w:hAnsi="宋体" w:eastAsia="宋体" w:cs="宋体"/>
                <w:color w:val="auto"/>
                <w:highlight w:val="none"/>
              </w:rPr>
            </w:pPr>
          </w:p>
          <w:p>
            <w:pPr>
              <w:spacing w:before="68" w:line="360" w:lineRule="auto"/>
              <w:ind w:left="219"/>
              <w:jc w:val="center"/>
              <w:rPr>
                <w:rFonts w:ascii="宋体" w:hAnsi="宋体" w:eastAsia="宋体" w:cs="宋体"/>
                <w:color w:val="auto"/>
                <w:spacing w:val="3"/>
                <w:highlight w:val="none"/>
              </w:rPr>
            </w:pPr>
            <w:r>
              <w:rPr>
                <w:rFonts w:hint="eastAsia" w:ascii="宋体" w:hAnsi="宋体" w:eastAsia="宋体" w:cs="宋体"/>
                <w:color w:val="auto"/>
                <w:spacing w:val="-2"/>
                <w:highlight w:val="none"/>
              </w:rPr>
              <w:t>2.</w:t>
            </w:r>
            <w:r>
              <w:rPr>
                <w:rFonts w:hint="eastAsia" w:ascii="宋体" w:hAnsi="宋体" w:eastAsia="宋体" w:cs="宋体"/>
                <w:color w:val="auto"/>
                <w:spacing w:val="-1"/>
                <w:highlight w:val="none"/>
              </w:rPr>
              <w:t>2.3</w:t>
            </w:r>
          </w:p>
        </w:tc>
        <w:tc>
          <w:tcPr>
            <w:tcW w:w="1847" w:type="dxa"/>
          </w:tcPr>
          <w:p>
            <w:pPr>
              <w:spacing w:before="292" w:line="360" w:lineRule="auto"/>
              <w:ind w:right="137"/>
              <w:jc w:val="center"/>
              <w:rPr>
                <w:rFonts w:ascii="宋体" w:hAnsi="宋体" w:eastAsia="宋体" w:cs="宋体"/>
                <w:color w:val="auto"/>
                <w:spacing w:val="-1"/>
                <w:highlight w:val="none"/>
              </w:rPr>
            </w:pPr>
            <w:r>
              <w:rPr>
                <w:rFonts w:hint="eastAsia" w:ascii="宋体" w:hAnsi="宋体" w:eastAsia="宋体" w:cs="宋体"/>
                <w:color w:val="auto"/>
                <w:spacing w:val="-1"/>
                <w:highlight w:val="none"/>
              </w:rPr>
              <w:t>投标人确认收到</w:t>
            </w:r>
            <w:r>
              <w:rPr>
                <w:rFonts w:hint="eastAsia" w:ascii="宋体" w:hAnsi="宋体" w:eastAsia="宋体" w:cs="宋体"/>
                <w:color w:val="auto"/>
                <w:highlight w:val="none"/>
              </w:rPr>
              <w:t>招标文</w:t>
            </w:r>
            <w:r>
              <w:rPr>
                <w:rFonts w:hint="eastAsia" w:ascii="宋体" w:hAnsi="宋体" w:eastAsia="宋体" w:cs="宋体"/>
                <w:color w:val="auto"/>
                <w:spacing w:val="-1"/>
                <w:highlight w:val="none"/>
              </w:rPr>
              <w:t>澄清的时间</w:t>
            </w:r>
          </w:p>
        </w:tc>
        <w:tc>
          <w:tcPr>
            <w:tcW w:w="7244" w:type="dxa"/>
            <w:vAlign w:val="center"/>
          </w:tcPr>
          <w:p>
            <w:pPr>
              <w:spacing w:before="112" w:line="360" w:lineRule="auto"/>
              <w:ind w:left="113" w:right="95" w:firstLine="3"/>
              <w:jc w:val="both"/>
              <w:rPr>
                <w:rFonts w:ascii="宋体" w:hAnsi="宋体" w:eastAsia="宋体" w:cs="宋体"/>
                <w:color w:val="auto"/>
                <w:spacing w:val="-1"/>
                <w:highlight w:val="none"/>
              </w:rPr>
            </w:pPr>
            <w:r>
              <w:rPr>
                <w:rFonts w:hint="eastAsia" w:ascii="宋体" w:hAnsi="宋体" w:eastAsia="宋体" w:cs="宋体"/>
                <w:color w:val="auto"/>
                <w:spacing w:val="-10"/>
                <w:highlight w:val="none"/>
              </w:rPr>
              <w:t>不</w:t>
            </w:r>
            <w:r>
              <w:rPr>
                <w:rFonts w:hint="eastAsia" w:ascii="宋体" w:hAnsi="宋体" w:eastAsia="宋体" w:cs="宋体"/>
                <w:color w:val="auto"/>
                <w:spacing w:val="-9"/>
                <w:highlight w:val="none"/>
              </w:rPr>
              <w:t>需</w:t>
            </w:r>
            <w:r>
              <w:rPr>
                <w:rFonts w:hint="eastAsia" w:ascii="宋体" w:hAnsi="宋体" w:eastAsia="宋体" w:cs="宋体"/>
                <w:color w:val="auto"/>
                <w:spacing w:val="-5"/>
                <w:highlight w:val="none"/>
              </w:rPr>
              <w:t>要确认。澄清文件在网站上发布之日起，视为投标人已收到该澄</w:t>
            </w:r>
            <w:r>
              <w:rPr>
                <w:rFonts w:hint="eastAsia" w:ascii="宋体" w:hAnsi="宋体" w:eastAsia="宋体" w:cs="宋体"/>
                <w:color w:val="auto"/>
                <w:spacing w:val="-2"/>
                <w:highlight w:val="none"/>
              </w:rPr>
              <w:t>清。投标人未及时关注招标人在网站上发布</w:t>
            </w:r>
            <w:r>
              <w:rPr>
                <w:rFonts w:hint="eastAsia" w:ascii="宋体" w:hAnsi="宋体" w:eastAsia="宋体" w:cs="宋体"/>
                <w:color w:val="auto"/>
                <w:spacing w:val="-1"/>
                <w:highlight w:val="none"/>
              </w:rPr>
              <w:t>的澄清文件造成的损失，</w:t>
            </w:r>
            <w:r>
              <w:rPr>
                <w:rFonts w:hint="eastAsia" w:ascii="宋体" w:hAnsi="宋体" w:eastAsia="宋体" w:cs="宋体"/>
                <w:color w:val="auto"/>
                <w:spacing w:val="-4"/>
                <w:highlight w:val="none"/>
              </w:rPr>
              <w:t>由</w:t>
            </w:r>
            <w:r>
              <w:rPr>
                <w:rFonts w:hint="eastAsia" w:ascii="宋体" w:hAnsi="宋体" w:eastAsia="宋体" w:cs="宋体"/>
                <w:color w:val="auto"/>
                <w:spacing w:val="-2"/>
                <w:highlight w:val="none"/>
              </w:rPr>
              <w:t>投标人自行负责。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820" w:type="dxa"/>
            <w:vAlign w:val="center"/>
          </w:tcPr>
          <w:p>
            <w:pPr>
              <w:spacing w:before="68"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3.1</w:t>
            </w:r>
            <w:r>
              <w:rPr>
                <w:rFonts w:hint="eastAsia" w:ascii="宋体" w:hAnsi="宋体" w:eastAsia="宋体" w:cs="宋体"/>
                <w:color w:val="auto"/>
                <w:spacing w:val="-1"/>
                <w:highlight w:val="none"/>
              </w:rPr>
              <w:t>.1</w:t>
            </w:r>
          </w:p>
        </w:tc>
        <w:tc>
          <w:tcPr>
            <w:tcW w:w="1847" w:type="dxa"/>
            <w:vAlign w:val="center"/>
          </w:tcPr>
          <w:p>
            <w:pPr>
              <w:spacing w:before="68" w:line="360" w:lineRule="auto"/>
              <w:jc w:val="center"/>
              <w:rPr>
                <w:rFonts w:ascii="宋体" w:hAnsi="宋体" w:eastAsia="宋体" w:cs="宋体"/>
                <w:color w:val="auto"/>
                <w:spacing w:val="-1"/>
                <w:highlight w:val="none"/>
              </w:rPr>
            </w:pPr>
            <w:r>
              <w:rPr>
                <w:rFonts w:hint="eastAsia" w:ascii="宋体" w:hAnsi="宋体" w:eastAsia="宋体" w:cs="宋体"/>
                <w:color w:val="auto"/>
                <w:spacing w:val="-1"/>
                <w:highlight w:val="none"/>
              </w:rPr>
              <w:t>构成投标文件的</w:t>
            </w:r>
            <w:r>
              <w:rPr>
                <w:rFonts w:hint="eastAsia" w:ascii="宋体" w:hAnsi="宋体" w:eastAsia="宋体" w:cs="宋体"/>
                <w:color w:val="auto"/>
                <w:highlight w:val="none"/>
              </w:rPr>
              <w:t>材料</w:t>
            </w:r>
          </w:p>
        </w:tc>
        <w:tc>
          <w:tcPr>
            <w:tcW w:w="7244" w:type="dxa"/>
          </w:tcPr>
          <w:p>
            <w:pPr>
              <w:spacing w:before="112" w:line="360" w:lineRule="auto"/>
              <w:ind w:left="112" w:right="105" w:firstLine="3"/>
              <w:rPr>
                <w:rFonts w:ascii="宋体" w:hAnsi="宋体" w:eastAsia="宋体" w:cs="宋体"/>
                <w:snapToGrid/>
                <w:color w:val="auto"/>
                <w:kern w:val="2"/>
                <w:highlight w:val="none"/>
              </w:rPr>
            </w:pPr>
            <w:r>
              <w:rPr>
                <w:rFonts w:hint="eastAsia" w:ascii="宋体" w:hAnsi="宋体" w:eastAsia="宋体" w:cs="宋体"/>
                <w:snapToGrid/>
                <w:color w:val="auto"/>
                <w:kern w:val="2"/>
                <w:highlight w:val="none"/>
              </w:rPr>
              <w:t>投标文件的组成部分：资格审查部分、商务标部分、技术标部分、企业信誉实力部分</w:t>
            </w:r>
          </w:p>
          <w:p>
            <w:pPr>
              <w:pStyle w:val="2"/>
              <w:numPr>
                <w:ilvl w:val="0"/>
                <w:numId w:val="1"/>
              </w:numPr>
              <w:spacing w:line="360" w:lineRule="auto"/>
              <w:rPr>
                <w:rFonts w:ascii="宋体" w:hAnsi="宋体" w:cs="宋体"/>
                <w:color w:val="auto"/>
                <w:highlight w:val="none"/>
              </w:rPr>
            </w:pPr>
            <w:r>
              <w:rPr>
                <w:rFonts w:hint="eastAsia" w:ascii="宋体" w:hAnsi="宋体" w:cs="宋体"/>
                <w:b/>
                <w:bCs/>
                <w:color w:val="auto"/>
                <w:highlight w:val="none"/>
              </w:rPr>
              <w:t>资格审查部分</w:t>
            </w:r>
            <w:r>
              <w:rPr>
                <w:rFonts w:hint="eastAsia" w:ascii="宋体" w:hAnsi="宋体" w:cs="宋体"/>
                <w:color w:val="auto"/>
                <w:highlight w:val="none"/>
              </w:rPr>
              <w:t>【备注：投标文件中提供证书复印件并加盖投标人公章（CA 签章）】：</w:t>
            </w:r>
          </w:p>
          <w:p>
            <w:pPr>
              <w:pStyle w:val="2"/>
              <w:spacing w:line="360" w:lineRule="auto"/>
              <w:ind w:firstLine="210" w:firstLineChars="100"/>
              <w:rPr>
                <w:rFonts w:ascii="宋体" w:hAnsi="宋体" w:cs="宋体"/>
                <w:color w:val="auto"/>
                <w:highlight w:val="none"/>
              </w:rPr>
            </w:pPr>
            <w:r>
              <w:rPr>
                <w:rFonts w:hint="eastAsia" w:ascii="宋体" w:hAnsi="宋体" w:cs="宋体"/>
                <w:color w:val="auto"/>
                <w:highlight w:val="none"/>
              </w:rPr>
              <w:t>1、法定代表人身份证明原件及身份证复印件（法定代表人签署投标文件时必须提供）或投标文件签署授权委托书原件（附法定代表人身份证明、授权委托人身份证及社保部门出具投标人为其缴纳（近一个月）的参保缴费凭证等材料的复印件）（委托代理人签署投标文件时必须提供）；</w:t>
            </w:r>
          </w:p>
          <w:p>
            <w:pPr>
              <w:pStyle w:val="2"/>
              <w:spacing w:line="360" w:lineRule="auto"/>
              <w:ind w:firstLine="210" w:firstLineChars="100"/>
              <w:rPr>
                <w:rFonts w:hint="eastAsia" w:ascii="宋体" w:hAnsi="宋体" w:cs="宋体"/>
                <w:color w:val="auto"/>
                <w:highlight w:val="none"/>
              </w:rPr>
            </w:pPr>
            <w:r>
              <w:rPr>
                <w:rFonts w:hint="eastAsia" w:ascii="宋体" w:hAnsi="宋体" w:cs="宋体"/>
                <w:color w:val="auto"/>
                <w:highlight w:val="none"/>
              </w:rPr>
              <w:t>2、投标人基本情况表（附有效的企业营业执照副本、企业资质证书副本和安全生产许可证副本等的复印件，以上复印件均为原件的复印件）（必须提供）；</w:t>
            </w:r>
          </w:p>
          <w:p>
            <w:pPr>
              <w:pStyle w:val="2"/>
              <w:spacing w:line="360" w:lineRule="auto"/>
              <w:ind w:firstLine="210" w:firstLineChars="100"/>
              <w:rPr>
                <w:rFonts w:hint="eastAsia" w:ascii="宋体" w:hAnsi="宋体" w:cs="宋体"/>
                <w:color w:val="auto"/>
                <w:highlight w:val="none"/>
              </w:rPr>
            </w:pPr>
            <w:r>
              <w:rPr>
                <w:rFonts w:hint="eastAsia" w:ascii="宋体" w:hAnsi="宋体" w:cs="宋体"/>
                <w:color w:val="auto"/>
                <w:highlight w:val="none"/>
              </w:rPr>
              <w:t>3、近三年财务状况表（附经会计师事务所或审计机构审计的财务会计报表，包括资产负债表、现金流量表、利润表的复印件，对于从取得营业执照时间起到投标截止时间为止不足要求年数的企业，只需提交企业取得营业执照年份至所要求最近年份经审计的财务报表）（必须提供）；</w:t>
            </w:r>
          </w:p>
          <w:p>
            <w:pPr>
              <w:pStyle w:val="2"/>
              <w:spacing w:line="360" w:lineRule="auto"/>
              <w:ind w:firstLine="210" w:firstLineChars="100"/>
              <w:rPr>
                <w:rFonts w:ascii="宋体" w:hAnsi="宋体" w:cs="宋体"/>
                <w:color w:val="auto"/>
                <w:highlight w:val="none"/>
              </w:rPr>
            </w:pPr>
            <w:r>
              <w:rPr>
                <w:rFonts w:hint="eastAsia" w:ascii="宋体" w:hAnsi="宋体" w:cs="宋体"/>
                <w:color w:val="auto"/>
                <w:highlight w:val="none"/>
              </w:rPr>
              <w:t>4、项目管理机构组成表（含委托代理人、项目经理、技术负责人和主要管理人员情况，提供现任职单位依法缴纳（近一个月）的社会保险证明材料的复印件和身份证复印件，若为近期新聘员工的，以提供劳动合同证明材料为准）（必须提供）；</w:t>
            </w:r>
          </w:p>
          <w:p>
            <w:pPr>
              <w:pStyle w:val="2"/>
              <w:spacing w:line="360" w:lineRule="auto"/>
              <w:ind w:firstLine="210" w:firstLineChars="100"/>
              <w:rPr>
                <w:rFonts w:ascii="宋体" w:hAnsi="宋体" w:cs="宋体"/>
                <w:color w:val="auto"/>
                <w:highlight w:val="none"/>
              </w:rPr>
            </w:pPr>
            <w:r>
              <w:rPr>
                <w:rFonts w:hint="eastAsia" w:ascii="宋体" w:hAnsi="宋体" w:cs="宋体"/>
                <w:color w:val="auto"/>
                <w:highlight w:val="none"/>
              </w:rPr>
              <w:t>5、主要人员简历表（必须提供）【项目经理应附身份证、注册建造师执业资格证书、安全生产考核合格证书（B类）、职称证书；项目技术负责人应附身份证、职称证；专职安全生产管理人员应附身份证、专职安全员安全生产考核合格证书（C类）、职称证书（如有）；其他主要人员应附执业证或上岗证书、职称证书（如有）。拟投入本工程的管理人员必须提供本年度的职工养老保险个人账户对账单或开标当月前（近一个月）的参保缴费凭证。离退修返聘人员不得超过65周岁，相关证书需保持有效性，且需提供退休证明（必须提供）；</w:t>
            </w:r>
          </w:p>
          <w:p>
            <w:pPr>
              <w:pStyle w:val="2"/>
              <w:spacing w:line="360" w:lineRule="auto"/>
              <w:ind w:firstLine="210" w:firstLineChars="100"/>
              <w:rPr>
                <w:rFonts w:ascii="宋体" w:hAnsi="宋体" w:cs="宋体"/>
                <w:color w:val="auto"/>
                <w:highlight w:val="none"/>
              </w:rPr>
            </w:pPr>
            <w:r>
              <w:rPr>
                <w:rFonts w:hint="eastAsia" w:ascii="宋体" w:hAnsi="宋体" w:cs="宋体"/>
                <w:color w:val="auto"/>
                <w:highlight w:val="none"/>
              </w:rPr>
              <w:t>6、诚信声明（必须提供）；</w:t>
            </w:r>
          </w:p>
          <w:p>
            <w:pPr>
              <w:pStyle w:val="2"/>
              <w:spacing w:line="360" w:lineRule="auto"/>
              <w:ind w:firstLine="210" w:firstLineChars="100"/>
              <w:rPr>
                <w:rFonts w:ascii="宋体" w:hAnsi="宋体" w:cs="宋体"/>
                <w:color w:val="auto"/>
                <w:highlight w:val="none"/>
              </w:rPr>
            </w:pPr>
            <w:r>
              <w:rPr>
                <w:rFonts w:hint="eastAsia" w:ascii="宋体" w:hAnsi="宋体" w:cs="宋体"/>
                <w:color w:val="auto"/>
                <w:highlight w:val="none"/>
              </w:rPr>
              <w:t>7、建设工程项目管理承诺书（必须提供）；</w:t>
            </w:r>
          </w:p>
          <w:p>
            <w:pPr>
              <w:pStyle w:val="2"/>
              <w:spacing w:line="360" w:lineRule="auto"/>
              <w:ind w:firstLine="210" w:firstLineChars="100"/>
              <w:rPr>
                <w:rFonts w:ascii="宋体" w:hAnsi="宋体" w:cs="宋体"/>
                <w:color w:val="auto"/>
                <w:highlight w:val="none"/>
              </w:rPr>
            </w:pPr>
            <w:r>
              <w:rPr>
                <w:rFonts w:hint="eastAsia" w:ascii="宋体" w:hAnsi="宋体" w:cs="宋体"/>
                <w:color w:val="auto"/>
                <w:highlight w:val="none"/>
              </w:rPr>
              <w:t>8、施工单位不良行为情况承诺书（必须提供）；</w:t>
            </w:r>
          </w:p>
          <w:p>
            <w:pPr>
              <w:pStyle w:val="2"/>
              <w:spacing w:line="360" w:lineRule="auto"/>
              <w:ind w:firstLine="210" w:firstLineChars="100"/>
              <w:rPr>
                <w:rFonts w:ascii="宋体" w:hAnsi="宋体" w:cs="宋体"/>
                <w:color w:val="auto"/>
                <w:highlight w:val="none"/>
              </w:rPr>
            </w:pPr>
            <w:r>
              <w:rPr>
                <w:rFonts w:hint="eastAsia" w:ascii="宋体" w:hAnsi="宋体" w:cs="宋体"/>
                <w:color w:val="auto"/>
                <w:highlight w:val="none"/>
              </w:rPr>
              <w:t>9、农民工工资保证金承诺书（按桂劳社发[2009]50号文件规定承诺）（必须提供）；</w:t>
            </w:r>
          </w:p>
          <w:p>
            <w:pPr>
              <w:pStyle w:val="2"/>
              <w:spacing w:line="360" w:lineRule="auto"/>
              <w:ind w:firstLine="210" w:firstLineChars="100"/>
              <w:rPr>
                <w:rFonts w:ascii="宋体" w:hAnsi="宋体" w:cs="宋体"/>
                <w:color w:val="auto"/>
                <w:highlight w:val="none"/>
              </w:rPr>
            </w:pPr>
            <w:r>
              <w:rPr>
                <w:rFonts w:hint="eastAsia" w:ascii="宋体" w:hAnsi="宋体" w:cs="宋体"/>
                <w:color w:val="auto"/>
                <w:highlight w:val="none"/>
              </w:rPr>
              <w:t>10、安全防护、文明施工措施方案的承诺书（必须提供）；</w:t>
            </w:r>
          </w:p>
          <w:p>
            <w:pPr>
              <w:pStyle w:val="2"/>
              <w:spacing w:line="360" w:lineRule="auto"/>
              <w:ind w:firstLine="210" w:firstLineChars="100"/>
              <w:rPr>
                <w:rFonts w:ascii="宋体" w:hAnsi="宋体" w:cs="宋体"/>
                <w:color w:val="auto"/>
                <w:highlight w:val="none"/>
              </w:rPr>
            </w:pPr>
            <w:r>
              <w:rPr>
                <w:rFonts w:hint="eastAsia" w:ascii="宋体" w:hAnsi="宋体" w:cs="宋体"/>
                <w:color w:val="auto"/>
                <w:highlight w:val="none"/>
              </w:rPr>
              <w:t>11、工程渣土清运承诺书（必须提供）；</w:t>
            </w:r>
          </w:p>
          <w:p>
            <w:pPr>
              <w:pStyle w:val="2"/>
              <w:spacing w:line="360" w:lineRule="auto"/>
              <w:ind w:firstLine="210" w:firstLineChars="100"/>
              <w:rPr>
                <w:rFonts w:ascii="宋体" w:hAnsi="宋体" w:cs="宋体"/>
                <w:color w:val="auto"/>
                <w:highlight w:val="none"/>
              </w:rPr>
            </w:pPr>
            <w:r>
              <w:rPr>
                <w:rFonts w:hint="eastAsia" w:ascii="宋体" w:hAnsi="宋体" w:cs="宋体"/>
                <w:color w:val="auto"/>
                <w:highlight w:val="none"/>
              </w:rPr>
              <w:t>12、项目经理无在建工程承诺书（必须提供）；</w:t>
            </w:r>
          </w:p>
          <w:p>
            <w:pPr>
              <w:pStyle w:val="2"/>
              <w:spacing w:line="360" w:lineRule="auto"/>
              <w:ind w:firstLine="210" w:firstLineChars="100"/>
              <w:rPr>
                <w:rFonts w:ascii="宋体" w:hAnsi="宋体" w:cs="宋体"/>
                <w:color w:val="auto"/>
                <w:highlight w:val="none"/>
              </w:rPr>
            </w:pPr>
            <w:r>
              <w:rPr>
                <w:rFonts w:hint="eastAsia" w:ascii="宋体" w:hAnsi="宋体" w:cs="宋体"/>
                <w:color w:val="auto"/>
                <w:highlight w:val="none"/>
              </w:rPr>
              <w:t>13、其他相关证明材料（投标人认为需要提供的其他材料）（如有）。</w:t>
            </w:r>
          </w:p>
          <w:p>
            <w:pPr>
              <w:pStyle w:val="2"/>
              <w:spacing w:line="360" w:lineRule="auto"/>
              <w:rPr>
                <w:rFonts w:ascii="宋体" w:hAnsi="宋体" w:cs="宋体"/>
                <w:b/>
                <w:bCs/>
                <w:color w:val="auto"/>
                <w:highlight w:val="none"/>
              </w:rPr>
            </w:pPr>
            <w:r>
              <w:rPr>
                <w:rFonts w:hint="eastAsia" w:ascii="宋体" w:hAnsi="宋体" w:cs="宋体"/>
                <w:b/>
                <w:bCs/>
                <w:color w:val="auto"/>
                <w:highlight w:val="none"/>
              </w:rPr>
              <w:t>二、商务标部分</w:t>
            </w:r>
          </w:p>
          <w:p>
            <w:pPr>
              <w:spacing w:line="360" w:lineRule="auto"/>
              <w:ind w:firstLine="210" w:firstLineChars="100"/>
              <w:rPr>
                <w:rFonts w:ascii="宋体" w:hAnsi="宋体" w:eastAsia="宋体" w:cs="宋体"/>
                <w:snapToGrid/>
                <w:color w:val="auto"/>
                <w:kern w:val="2"/>
                <w:highlight w:val="none"/>
              </w:rPr>
            </w:pPr>
            <w:r>
              <w:rPr>
                <w:rFonts w:hint="eastAsia" w:ascii="宋体" w:hAnsi="宋体" w:eastAsia="宋体" w:cs="宋体"/>
                <w:snapToGrid/>
                <w:color w:val="auto"/>
                <w:kern w:val="2"/>
                <w:highlight w:val="none"/>
              </w:rPr>
              <w:t>1、投标函及投标函附录</w:t>
            </w:r>
            <w:r>
              <w:rPr>
                <w:rFonts w:hint="eastAsia" w:ascii="宋体" w:hAnsi="宋体" w:eastAsia="宋体" w:cs="宋体"/>
                <w:color w:val="auto"/>
                <w:highlight w:val="none"/>
              </w:rPr>
              <w:t>（必须提供）</w:t>
            </w:r>
            <w:r>
              <w:rPr>
                <w:rFonts w:hint="eastAsia" w:ascii="宋体" w:hAnsi="宋体" w:eastAsia="宋体" w:cs="宋体"/>
                <w:snapToGrid/>
                <w:color w:val="auto"/>
                <w:kern w:val="2"/>
                <w:highlight w:val="none"/>
              </w:rPr>
              <w:t xml:space="preserve">； </w:t>
            </w:r>
          </w:p>
          <w:p>
            <w:pPr>
              <w:spacing w:line="360" w:lineRule="auto"/>
              <w:ind w:firstLine="210" w:firstLineChars="100"/>
              <w:rPr>
                <w:rFonts w:ascii="宋体" w:hAnsi="宋体" w:eastAsia="宋体" w:cs="宋体"/>
                <w:snapToGrid/>
                <w:color w:val="auto"/>
                <w:kern w:val="2"/>
                <w:highlight w:val="none"/>
              </w:rPr>
            </w:pPr>
            <w:r>
              <w:rPr>
                <w:rFonts w:hint="eastAsia" w:ascii="宋体" w:hAnsi="宋体" w:eastAsia="宋体" w:cs="宋体"/>
                <w:snapToGrid/>
                <w:color w:val="auto"/>
                <w:kern w:val="2"/>
                <w:highlight w:val="none"/>
              </w:rPr>
              <w:t>2、投标响应表</w:t>
            </w:r>
            <w:r>
              <w:rPr>
                <w:rFonts w:hint="eastAsia" w:ascii="宋体" w:hAnsi="宋体" w:eastAsia="宋体" w:cs="宋体"/>
                <w:color w:val="auto"/>
                <w:highlight w:val="none"/>
              </w:rPr>
              <w:t>（必须提供）</w:t>
            </w:r>
            <w:r>
              <w:rPr>
                <w:rFonts w:hint="eastAsia" w:ascii="宋体" w:hAnsi="宋体" w:eastAsia="宋体" w:cs="宋体"/>
                <w:snapToGrid/>
                <w:color w:val="auto"/>
                <w:kern w:val="2"/>
                <w:highlight w:val="none"/>
              </w:rPr>
              <w:t xml:space="preserve">； </w:t>
            </w:r>
          </w:p>
          <w:p>
            <w:pPr>
              <w:spacing w:line="360" w:lineRule="auto"/>
              <w:ind w:firstLine="210" w:firstLineChars="100"/>
              <w:rPr>
                <w:rFonts w:ascii="宋体" w:hAnsi="宋体" w:eastAsia="宋体" w:cs="宋体"/>
                <w:snapToGrid/>
                <w:color w:val="auto"/>
                <w:kern w:val="2"/>
                <w:highlight w:val="none"/>
              </w:rPr>
            </w:pPr>
            <w:r>
              <w:rPr>
                <w:rFonts w:hint="eastAsia" w:ascii="宋体" w:hAnsi="宋体" w:eastAsia="宋体" w:cs="宋体"/>
                <w:snapToGrid/>
                <w:color w:val="auto"/>
                <w:kern w:val="2"/>
                <w:highlight w:val="none"/>
              </w:rPr>
              <w:t>3、投标报价汇总表</w:t>
            </w:r>
            <w:r>
              <w:rPr>
                <w:rFonts w:hint="eastAsia" w:ascii="宋体" w:hAnsi="宋体" w:eastAsia="宋体" w:cs="宋体"/>
                <w:color w:val="auto"/>
                <w:highlight w:val="none"/>
              </w:rPr>
              <w:t>（必须提供）</w:t>
            </w:r>
            <w:r>
              <w:rPr>
                <w:rFonts w:hint="eastAsia" w:ascii="宋体" w:hAnsi="宋体" w:eastAsia="宋体" w:cs="宋体"/>
                <w:snapToGrid/>
                <w:color w:val="auto"/>
                <w:kern w:val="2"/>
                <w:highlight w:val="none"/>
              </w:rPr>
              <w:t xml:space="preserve">； </w:t>
            </w:r>
          </w:p>
          <w:p>
            <w:pPr>
              <w:spacing w:line="360" w:lineRule="auto"/>
              <w:ind w:firstLine="210" w:firstLineChars="100"/>
              <w:rPr>
                <w:rFonts w:ascii="宋体" w:hAnsi="宋体" w:eastAsia="宋体" w:cs="宋体"/>
                <w:snapToGrid/>
                <w:color w:val="auto"/>
                <w:kern w:val="2"/>
                <w:highlight w:val="none"/>
              </w:rPr>
            </w:pPr>
            <w:r>
              <w:rPr>
                <w:rFonts w:hint="eastAsia" w:ascii="宋体" w:hAnsi="宋体" w:eastAsia="宋体" w:cs="宋体"/>
                <w:snapToGrid/>
                <w:color w:val="auto"/>
                <w:kern w:val="2"/>
                <w:highlight w:val="none"/>
              </w:rPr>
              <w:t>4、已标价工程量清单</w:t>
            </w:r>
            <w:r>
              <w:rPr>
                <w:rFonts w:hint="eastAsia" w:ascii="宋体" w:hAnsi="宋体" w:eastAsia="宋体" w:cs="宋体"/>
                <w:color w:val="auto"/>
                <w:highlight w:val="none"/>
              </w:rPr>
              <w:t>（必须提供）</w:t>
            </w:r>
            <w:r>
              <w:rPr>
                <w:rFonts w:hint="eastAsia" w:ascii="宋体" w:hAnsi="宋体" w:eastAsia="宋体" w:cs="宋体"/>
                <w:snapToGrid/>
                <w:color w:val="auto"/>
                <w:kern w:val="2"/>
                <w:highlight w:val="none"/>
              </w:rPr>
              <w:t>；</w:t>
            </w:r>
          </w:p>
          <w:p>
            <w:pPr>
              <w:spacing w:line="360" w:lineRule="auto"/>
              <w:ind w:firstLine="210" w:firstLineChars="100"/>
              <w:rPr>
                <w:rFonts w:ascii="宋体" w:hAnsi="宋体" w:eastAsia="宋体" w:cs="宋体"/>
                <w:snapToGrid/>
                <w:color w:val="auto"/>
                <w:kern w:val="2"/>
                <w:highlight w:val="none"/>
              </w:rPr>
            </w:pPr>
            <w:r>
              <w:rPr>
                <w:rFonts w:hint="eastAsia" w:ascii="宋体" w:hAnsi="宋体" w:eastAsia="宋体" w:cs="宋体"/>
                <w:snapToGrid/>
                <w:color w:val="auto"/>
                <w:kern w:val="2"/>
                <w:highlight w:val="none"/>
              </w:rPr>
              <w:t>5、中小企业声明函</w:t>
            </w:r>
            <w:r>
              <w:rPr>
                <w:rFonts w:ascii="宋体" w:hAnsi="宋体" w:eastAsia="宋体" w:cs="宋体"/>
                <w:snapToGrid/>
                <w:color w:val="auto"/>
                <w:kern w:val="2"/>
                <w:highlight w:val="none"/>
              </w:rPr>
              <w:t>（如有）</w:t>
            </w:r>
            <w:r>
              <w:rPr>
                <w:rFonts w:hint="eastAsia" w:ascii="宋体" w:hAnsi="宋体" w:eastAsia="宋体" w:cs="宋体"/>
                <w:snapToGrid/>
                <w:color w:val="auto"/>
                <w:kern w:val="2"/>
                <w:highlight w:val="none"/>
              </w:rPr>
              <w:t>。</w:t>
            </w:r>
          </w:p>
          <w:p>
            <w:pPr>
              <w:pStyle w:val="2"/>
              <w:spacing w:line="360" w:lineRule="auto"/>
              <w:rPr>
                <w:rFonts w:ascii="宋体" w:hAnsi="宋体" w:cs="宋体"/>
                <w:b/>
                <w:bCs/>
                <w:color w:val="auto"/>
                <w:highlight w:val="none"/>
              </w:rPr>
            </w:pPr>
            <w:r>
              <w:rPr>
                <w:rFonts w:hint="eastAsia" w:ascii="宋体" w:hAnsi="宋体" w:cs="宋体"/>
                <w:b/>
                <w:bCs/>
                <w:color w:val="auto"/>
                <w:highlight w:val="none"/>
              </w:rPr>
              <w:t>三、技术标部分</w:t>
            </w:r>
          </w:p>
          <w:p>
            <w:pPr>
              <w:spacing w:line="360" w:lineRule="auto"/>
              <w:ind w:firstLine="210" w:firstLineChars="100"/>
              <w:rPr>
                <w:rFonts w:ascii="宋体" w:hAnsi="宋体" w:eastAsia="宋体" w:cs="宋体"/>
                <w:snapToGrid/>
                <w:color w:val="auto"/>
                <w:kern w:val="2"/>
                <w:highlight w:val="none"/>
              </w:rPr>
            </w:pPr>
            <w:r>
              <w:rPr>
                <w:rFonts w:hint="eastAsia" w:ascii="宋体" w:hAnsi="宋体" w:eastAsia="宋体" w:cs="宋体"/>
                <w:snapToGrid/>
                <w:color w:val="auto"/>
                <w:kern w:val="2"/>
                <w:highlight w:val="none"/>
              </w:rPr>
              <w:t xml:space="preserve">施工组织设计。 </w:t>
            </w:r>
          </w:p>
          <w:p>
            <w:pPr>
              <w:pStyle w:val="2"/>
              <w:spacing w:line="360" w:lineRule="auto"/>
              <w:rPr>
                <w:rFonts w:ascii="宋体" w:hAnsi="宋体" w:cs="宋体"/>
                <w:b/>
                <w:bCs/>
                <w:color w:val="auto"/>
                <w:highlight w:val="none"/>
              </w:rPr>
            </w:pPr>
            <w:r>
              <w:rPr>
                <w:rFonts w:hint="eastAsia" w:ascii="宋体" w:hAnsi="宋体" w:cs="宋体"/>
                <w:b/>
                <w:bCs/>
                <w:color w:val="auto"/>
                <w:highlight w:val="none"/>
              </w:rPr>
              <w:t>四、企业信誉实力部分</w:t>
            </w:r>
          </w:p>
          <w:p>
            <w:pPr>
              <w:spacing w:before="112" w:line="360" w:lineRule="auto"/>
              <w:ind w:left="112" w:right="105" w:firstLine="3"/>
              <w:rPr>
                <w:rFonts w:ascii="宋体" w:hAnsi="宋体" w:eastAsia="宋体" w:cs="宋体"/>
                <w:color w:val="auto"/>
                <w:spacing w:val="-10"/>
                <w:highlight w:val="none"/>
              </w:rPr>
            </w:pPr>
            <w:r>
              <w:rPr>
                <w:rFonts w:ascii="宋体" w:hAnsi="宋体" w:eastAsia="宋体" w:cs="宋体"/>
                <w:snapToGrid/>
                <w:color w:val="auto"/>
                <w:kern w:val="2"/>
                <w:highlight w:val="none"/>
              </w:rPr>
              <w:t>企业信誉实力一览表（如有）</w:t>
            </w:r>
            <w:r>
              <w:rPr>
                <w:rFonts w:hint="eastAsia" w:ascii="宋体" w:hAnsi="宋体" w:eastAsia="宋体" w:cs="宋体"/>
                <w:snapToGrid/>
                <w:color w:val="auto"/>
                <w:kern w:val="2"/>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7" w:hRule="atLeast"/>
        </w:trPr>
        <w:tc>
          <w:tcPr>
            <w:tcW w:w="820" w:type="dxa"/>
            <w:vMerge w:val="restart"/>
            <w:vAlign w:val="center"/>
          </w:tcPr>
          <w:p>
            <w:pPr>
              <w:spacing w:before="68"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3.1.</w:t>
            </w:r>
            <w:r>
              <w:rPr>
                <w:rFonts w:hint="eastAsia" w:ascii="宋体" w:hAnsi="宋体" w:eastAsia="宋体" w:cs="宋体"/>
                <w:color w:val="auto"/>
                <w:spacing w:val="-1"/>
                <w:highlight w:val="none"/>
              </w:rPr>
              <w:t>4</w:t>
            </w:r>
          </w:p>
        </w:tc>
        <w:tc>
          <w:tcPr>
            <w:tcW w:w="1847" w:type="dxa"/>
            <w:vAlign w:val="center"/>
          </w:tcPr>
          <w:p>
            <w:pPr>
              <w:spacing w:line="360" w:lineRule="auto"/>
              <w:jc w:val="center"/>
              <w:rPr>
                <w:rFonts w:ascii="宋体" w:hAnsi="宋体" w:eastAsia="宋体" w:cs="宋体"/>
                <w:color w:val="auto"/>
                <w:spacing w:val="-1"/>
                <w:highlight w:val="none"/>
              </w:rPr>
            </w:pPr>
            <w:r>
              <w:rPr>
                <w:rFonts w:hint="eastAsia" w:ascii="宋体" w:hAnsi="宋体" w:eastAsia="宋体" w:cs="宋体"/>
                <w:color w:val="auto"/>
                <w:highlight w:val="none"/>
              </w:rPr>
              <w:t>近年财务状况的年份要求</w:t>
            </w:r>
          </w:p>
        </w:tc>
        <w:tc>
          <w:tcPr>
            <w:tcW w:w="7244" w:type="dxa"/>
            <w:vAlign w:val="center"/>
          </w:tcPr>
          <w:p>
            <w:pPr>
              <w:spacing w:line="360" w:lineRule="auto"/>
              <w:jc w:val="both"/>
              <w:rPr>
                <w:rFonts w:ascii="宋体" w:hAnsi="宋体" w:eastAsia="宋体" w:cs="宋体"/>
                <w:snapToGrid/>
                <w:color w:val="auto"/>
                <w:kern w:val="2"/>
                <w:highlight w:val="none"/>
              </w:rPr>
            </w:pPr>
            <w:r>
              <w:rPr>
                <w:rFonts w:hint="eastAsia" w:ascii="宋体" w:hAnsi="宋体" w:eastAsia="宋体" w:cs="宋体"/>
                <w:color w:val="auto"/>
                <w:highlight w:val="none"/>
              </w:rPr>
              <w:t>三年(一般为三年)，指2020年度、2021年度和2022年度(对于从取得营业执照时间起到投标截止时间为止不足要求年数的企业，只需提交企业取得营业执照年份至所要求最近年份经审计的财务报表)。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820" w:type="dxa"/>
            <w:vMerge w:val="continue"/>
            <w:vAlign w:val="center"/>
          </w:tcPr>
          <w:p>
            <w:pPr>
              <w:spacing w:before="68" w:line="360" w:lineRule="auto"/>
              <w:jc w:val="center"/>
              <w:rPr>
                <w:rFonts w:ascii="宋体" w:hAnsi="宋体" w:eastAsia="宋体" w:cs="宋体"/>
                <w:color w:val="auto"/>
                <w:spacing w:val="-2"/>
                <w:highlight w:val="none"/>
              </w:rPr>
            </w:pPr>
          </w:p>
        </w:tc>
        <w:tc>
          <w:tcPr>
            <w:tcW w:w="1847" w:type="dxa"/>
            <w:vAlign w:val="center"/>
          </w:tcPr>
          <w:p>
            <w:pPr>
              <w:spacing w:line="360" w:lineRule="auto"/>
              <w:jc w:val="center"/>
              <w:rPr>
                <w:rFonts w:ascii="宋体" w:hAnsi="宋体" w:eastAsia="宋体" w:cs="宋体"/>
                <w:color w:val="auto"/>
                <w:spacing w:val="-1"/>
                <w:highlight w:val="none"/>
              </w:rPr>
            </w:pPr>
            <w:r>
              <w:rPr>
                <w:rFonts w:hint="eastAsia" w:ascii="宋体" w:hAnsi="宋体" w:eastAsia="宋体" w:cs="宋体"/>
                <w:color w:val="auto"/>
                <w:highlight w:val="none"/>
              </w:rPr>
              <w:t>考核期</w:t>
            </w:r>
          </w:p>
        </w:tc>
        <w:tc>
          <w:tcPr>
            <w:tcW w:w="7244" w:type="dxa"/>
            <w:vAlign w:val="center"/>
          </w:tcPr>
          <w:p>
            <w:pPr>
              <w:spacing w:line="360" w:lineRule="auto"/>
              <w:jc w:val="both"/>
              <w:rPr>
                <w:rFonts w:ascii="宋体" w:hAnsi="宋体" w:eastAsia="宋体" w:cs="宋体"/>
                <w:snapToGrid/>
                <w:color w:val="auto"/>
                <w:kern w:val="2"/>
                <w:highlight w:val="none"/>
              </w:rPr>
            </w:pPr>
            <w:r>
              <w:rPr>
                <w:rFonts w:hint="eastAsia" w:ascii="宋体" w:hAnsi="宋体" w:eastAsia="宋体" w:cs="宋体"/>
                <w:color w:val="auto"/>
                <w:highlight w:val="none"/>
              </w:rPr>
              <w:t>考核期为：2020年 1 月 1 日至投标截止时间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820" w:type="dxa"/>
            <w:vMerge w:val="continue"/>
            <w:vAlign w:val="center"/>
          </w:tcPr>
          <w:p>
            <w:pPr>
              <w:spacing w:before="68" w:line="360" w:lineRule="auto"/>
              <w:jc w:val="center"/>
              <w:rPr>
                <w:rFonts w:ascii="宋体" w:hAnsi="宋体" w:eastAsia="宋体" w:cs="宋体"/>
                <w:color w:val="auto"/>
                <w:spacing w:val="-2"/>
                <w:highlight w:val="none"/>
              </w:rPr>
            </w:pPr>
          </w:p>
        </w:tc>
        <w:tc>
          <w:tcPr>
            <w:tcW w:w="1847" w:type="dxa"/>
            <w:vAlign w:val="center"/>
          </w:tcPr>
          <w:p>
            <w:pPr>
              <w:spacing w:line="360" w:lineRule="auto"/>
              <w:jc w:val="center"/>
              <w:rPr>
                <w:rFonts w:ascii="宋体" w:hAnsi="宋体" w:eastAsia="宋体" w:cs="宋体"/>
                <w:color w:val="auto"/>
                <w:spacing w:val="-1"/>
                <w:highlight w:val="none"/>
              </w:rPr>
            </w:pPr>
            <w:r>
              <w:rPr>
                <w:rFonts w:hint="eastAsia" w:ascii="宋体" w:hAnsi="宋体" w:eastAsia="宋体" w:cs="宋体"/>
                <w:color w:val="auto"/>
                <w:highlight w:val="none"/>
              </w:rPr>
              <w:t>近年完成的类似项目的年份要求</w:t>
            </w:r>
          </w:p>
        </w:tc>
        <w:tc>
          <w:tcPr>
            <w:tcW w:w="7244" w:type="dxa"/>
            <w:vAlign w:val="center"/>
          </w:tcPr>
          <w:p>
            <w:pPr>
              <w:spacing w:line="360" w:lineRule="auto"/>
              <w:jc w:val="both"/>
              <w:rPr>
                <w:rFonts w:ascii="宋体" w:hAnsi="宋体" w:eastAsia="宋体" w:cs="宋体"/>
                <w:snapToGrid/>
                <w:color w:val="auto"/>
                <w:kern w:val="2"/>
                <w:highlight w:val="none"/>
              </w:rPr>
            </w:pPr>
            <w:r>
              <w:rPr>
                <w:rFonts w:hint="eastAsia" w:ascii="宋体" w:hAnsi="宋体" w:eastAsia="宋体" w:cs="宋体"/>
                <w:color w:val="auto"/>
                <w:highlight w:val="none"/>
              </w:rPr>
              <w:t>三年(一般为三年) ，指项目竣工时间至投标截止时间止不超过三年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820" w:type="dxa"/>
            <w:vMerge w:val="continue"/>
            <w:vAlign w:val="center"/>
          </w:tcPr>
          <w:p>
            <w:pPr>
              <w:spacing w:before="68" w:line="360" w:lineRule="auto"/>
              <w:jc w:val="center"/>
              <w:rPr>
                <w:rFonts w:ascii="宋体" w:hAnsi="宋体" w:eastAsia="宋体" w:cs="宋体"/>
                <w:color w:val="auto"/>
                <w:spacing w:val="-2"/>
                <w:highlight w:val="none"/>
              </w:rPr>
            </w:pPr>
          </w:p>
        </w:tc>
        <w:tc>
          <w:tcPr>
            <w:tcW w:w="1847" w:type="dxa"/>
            <w:vAlign w:val="center"/>
          </w:tcPr>
          <w:p>
            <w:pPr>
              <w:spacing w:line="360" w:lineRule="auto"/>
              <w:jc w:val="center"/>
              <w:rPr>
                <w:rFonts w:ascii="宋体" w:hAnsi="宋体" w:eastAsia="宋体" w:cs="宋体"/>
                <w:color w:val="auto"/>
                <w:spacing w:val="-1"/>
                <w:highlight w:val="none"/>
              </w:rPr>
            </w:pPr>
            <w:r>
              <w:rPr>
                <w:rFonts w:hint="eastAsia" w:ascii="宋体" w:hAnsi="宋体" w:eastAsia="宋体" w:cs="宋体"/>
                <w:color w:val="auto"/>
                <w:highlight w:val="none"/>
              </w:rPr>
              <w:t>近年发生的诉讼及仲裁情况的年份要求</w:t>
            </w:r>
          </w:p>
        </w:tc>
        <w:tc>
          <w:tcPr>
            <w:tcW w:w="7244" w:type="dxa"/>
            <w:vAlign w:val="center"/>
          </w:tcPr>
          <w:p>
            <w:pPr>
              <w:spacing w:line="360" w:lineRule="auto"/>
              <w:jc w:val="both"/>
              <w:rPr>
                <w:rFonts w:ascii="宋体" w:hAnsi="宋体" w:eastAsia="宋体" w:cs="宋体"/>
                <w:snapToGrid/>
                <w:color w:val="auto"/>
                <w:kern w:val="2"/>
                <w:highlight w:val="none"/>
              </w:rPr>
            </w:pPr>
            <w:r>
              <w:rPr>
                <w:rFonts w:hint="eastAsia" w:ascii="宋体" w:hAnsi="宋体" w:eastAsia="宋体" w:cs="宋体"/>
                <w:color w:val="auto"/>
                <w:highlight w:val="none"/>
              </w:rPr>
              <w:t>三年(一般为三年) ，指诉讼及仲裁判决时间至投标截止时间止不超 过三年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820" w:type="dxa"/>
          </w:tcPr>
          <w:p>
            <w:pPr>
              <w:spacing w:before="146" w:line="360" w:lineRule="auto"/>
              <w:ind w:left="221"/>
              <w:rPr>
                <w:rFonts w:ascii="宋体" w:hAnsi="宋体" w:eastAsia="宋体" w:cs="宋体"/>
                <w:color w:val="auto"/>
                <w:spacing w:val="-2"/>
                <w:highlight w:val="none"/>
              </w:rPr>
            </w:pPr>
            <w:r>
              <w:rPr>
                <w:rFonts w:hint="eastAsia" w:ascii="宋体" w:hAnsi="宋体" w:eastAsia="宋体" w:cs="宋体"/>
                <w:color w:val="auto"/>
                <w:spacing w:val="-2"/>
                <w:highlight w:val="none"/>
              </w:rPr>
              <w:t>3.3</w:t>
            </w:r>
            <w:r>
              <w:rPr>
                <w:rFonts w:hint="eastAsia" w:ascii="宋体" w:hAnsi="宋体" w:eastAsia="宋体" w:cs="宋体"/>
                <w:color w:val="auto"/>
                <w:spacing w:val="-1"/>
                <w:highlight w:val="none"/>
              </w:rPr>
              <w:t>.1</w:t>
            </w:r>
          </w:p>
        </w:tc>
        <w:tc>
          <w:tcPr>
            <w:tcW w:w="1847" w:type="dxa"/>
          </w:tcPr>
          <w:p>
            <w:pPr>
              <w:spacing w:before="111" w:line="360" w:lineRule="auto"/>
              <w:jc w:val="center"/>
              <w:rPr>
                <w:rFonts w:ascii="宋体" w:hAnsi="宋体" w:eastAsia="宋体" w:cs="宋体"/>
                <w:color w:val="auto"/>
                <w:highlight w:val="none"/>
              </w:rPr>
            </w:pPr>
            <w:r>
              <w:rPr>
                <w:rFonts w:hint="eastAsia" w:ascii="宋体" w:hAnsi="宋体" w:eastAsia="宋体" w:cs="宋体"/>
                <w:color w:val="auto"/>
                <w:spacing w:val="-2"/>
                <w:highlight w:val="none"/>
              </w:rPr>
              <w:t>投标有</w:t>
            </w:r>
            <w:r>
              <w:rPr>
                <w:rFonts w:hint="eastAsia" w:ascii="宋体" w:hAnsi="宋体" w:eastAsia="宋体" w:cs="宋体"/>
                <w:color w:val="auto"/>
                <w:spacing w:val="-1"/>
                <w:highlight w:val="none"/>
              </w:rPr>
              <w:t>效期</w:t>
            </w:r>
          </w:p>
        </w:tc>
        <w:tc>
          <w:tcPr>
            <w:tcW w:w="7244" w:type="dxa"/>
          </w:tcPr>
          <w:p>
            <w:pPr>
              <w:spacing w:before="111" w:line="360" w:lineRule="auto"/>
              <w:ind w:left="135"/>
              <w:rPr>
                <w:rFonts w:ascii="宋体" w:hAnsi="宋体" w:eastAsia="宋体" w:cs="宋体"/>
                <w:color w:val="auto"/>
                <w:highlight w:val="none"/>
              </w:rPr>
            </w:pPr>
            <w:r>
              <w:rPr>
                <w:rFonts w:hint="eastAsia" w:ascii="宋体" w:hAnsi="宋体" w:eastAsia="宋体" w:cs="宋体"/>
                <w:color w:val="auto"/>
                <w:spacing w:val="-14"/>
                <w:highlight w:val="none"/>
              </w:rPr>
              <w:t>□</w:t>
            </w:r>
            <w:r>
              <w:rPr>
                <w:rFonts w:hint="eastAsia" w:ascii="宋体" w:hAnsi="宋体" w:eastAsia="宋体" w:cs="宋体"/>
                <w:color w:val="auto"/>
                <w:spacing w:val="-13"/>
                <w:highlight w:val="none"/>
              </w:rPr>
              <w:t>4</w:t>
            </w:r>
            <w:r>
              <w:rPr>
                <w:rFonts w:hint="eastAsia" w:ascii="宋体" w:hAnsi="宋体" w:eastAsia="宋体" w:cs="宋体"/>
                <w:color w:val="auto"/>
                <w:spacing w:val="-7"/>
                <w:highlight w:val="none"/>
              </w:rPr>
              <w:t>5 天    □60 天    ☑90 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820" w:type="dxa"/>
          </w:tcPr>
          <w:p>
            <w:pPr>
              <w:spacing w:before="146" w:line="360" w:lineRule="auto"/>
              <w:ind w:left="326"/>
              <w:rPr>
                <w:rFonts w:ascii="宋体" w:hAnsi="宋体" w:eastAsia="宋体" w:cs="宋体"/>
                <w:color w:val="auto"/>
                <w:spacing w:val="-2"/>
                <w:highlight w:val="none"/>
              </w:rPr>
            </w:pPr>
            <w:r>
              <w:rPr>
                <w:rFonts w:hint="eastAsia" w:ascii="宋体" w:hAnsi="宋体" w:eastAsia="宋体" w:cs="宋体"/>
                <w:color w:val="auto"/>
                <w:spacing w:val="-4"/>
                <w:highlight w:val="none"/>
              </w:rPr>
              <w:t>3</w:t>
            </w:r>
            <w:r>
              <w:rPr>
                <w:rFonts w:hint="eastAsia" w:ascii="宋体" w:hAnsi="宋体" w:eastAsia="宋体" w:cs="宋体"/>
                <w:color w:val="auto"/>
                <w:spacing w:val="-2"/>
                <w:highlight w:val="none"/>
              </w:rPr>
              <w:t>.4</w:t>
            </w:r>
          </w:p>
        </w:tc>
        <w:tc>
          <w:tcPr>
            <w:tcW w:w="1847" w:type="dxa"/>
          </w:tcPr>
          <w:p>
            <w:pPr>
              <w:spacing w:before="111" w:line="360" w:lineRule="auto"/>
              <w:jc w:val="center"/>
              <w:rPr>
                <w:rFonts w:ascii="宋体" w:hAnsi="宋体" w:eastAsia="宋体" w:cs="宋体"/>
                <w:color w:val="auto"/>
                <w:highlight w:val="none"/>
              </w:rPr>
            </w:pPr>
            <w:r>
              <w:rPr>
                <w:rFonts w:hint="eastAsia" w:ascii="宋体" w:hAnsi="宋体" w:eastAsia="宋体" w:cs="宋体"/>
                <w:color w:val="auto"/>
                <w:spacing w:val="-2"/>
                <w:highlight w:val="none"/>
              </w:rPr>
              <w:t>投标保</w:t>
            </w:r>
            <w:r>
              <w:rPr>
                <w:rFonts w:hint="eastAsia" w:ascii="宋体" w:hAnsi="宋体" w:eastAsia="宋体" w:cs="宋体"/>
                <w:color w:val="auto"/>
                <w:spacing w:val="-1"/>
                <w:highlight w:val="none"/>
              </w:rPr>
              <w:t>证金</w:t>
            </w:r>
          </w:p>
        </w:tc>
        <w:tc>
          <w:tcPr>
            <w:tcW w:w="7244" w:type="dxa"/>
            <w:vAlign w:val="center"/>
          </w:tcPr>
          <w:p>
            <w:pPr>
              <w:spacing w:before="110" w:line="360" w:lineRule="auto"/>
              <w:ind w:left="114"/>
              <w:jc w:val="both"/>
              <w:rPr>
                <w:rFonts w:ascii="宋体" w:hAnsi="宋体" w:eastAsia="宋体" w:cs="宋体"/>
                <w:color w:val="auto"/>
                <w:highlight w:val="none"/>
              </w:rPr>
            </w:pPr>
            <w:r>
              <w:rPr>
                <w:rFonts w:hint="eastAsia" w:ascii="宋体" w:hAnsi="宋体" w:eastAsia="宋体" w:cs="宋体"/>
                <w:color w:val="auto"/>
                <w:spacing w:val="-2"/>
                <w:highlight w:val="none"/>
              </w:rPr>
              <w:t>本项目无需缴纳投</w:t>
            </w:r>
            <w:r>
              <w:rPr>
                <w:rFonts w:hint="eastAsia" w:ascii="宋体" w:hAnsi="宋体" w:eastAsia="宋体" w:cs="宋体"/>
                <w:color w:val="auto"/>
                <w:spacing w:val="-1"/>
                <w:highlight w:val="none"/>
              </w:rPr>
              <w:t>标保证金。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820" w:type="dxa"/>
          </w:tcPr>
          <w:p>
            <w:pPr>
              <w:spacing w:line="360" w:lineRule="auto"/>
              <w:rPr>
                <w:rFonts w:ascii="宋体" w:hAnsi="宋体" w:eastAsia="宋体" w:cs="宋体"/>
                <w:color w:val="auto"/>
                <w:highlight w:val="none"/>
              </w:rPr>
            </w:pPr>
          </w:p>
          <w:p>
            <w:pPr>
              <w:spacing w:before="68" w:line="360" w:lineRule="auto"/>
              <w:ind w:left="326"/>
              <w:rPr>
                <w:rFonts w:ascii="宋体" w:hAnsi="宋体" w:eastAsia="宋体" w:cs="宋体"/>
                <w:color w:val="auto"/>
                <w:spacing w:val="-2"/>
                <w:highlight w:val="none"/>
              </w:rPr>
            </w:pPr>
            <w:r>
              <w:rPr>
                <w:rFonts w:hint="eastAsia" w:ascii="宋体" w:hAnsi="宋体" w:eastAsia="宋体" w:cs="宋体"/>
                <w:color w:val="auto"/>
                <w:spacing w:val="-4"/>
                <w:highlight w:val="none"/>
              </w:rPr>
              <w:t>3</w:t>
            </w:r>
            <w:r>
              <w:rPr>
                <w:rFonts w:hint="eastAsia" w:ascii="宋体" w:hAnsi="宋体" w:eastAsia="宋体" w:cs="宋体"/>
                <w:color w:val="auto"/>
                <w:spacing w:val="-2"/>
                <w:highlight w:val="none"/>
              </w:rPr>
              <w:t>.5</w:t>
            </w:r>
          </w:p>
        </w:tc>
        <w:tc>
          <w:tcPr>
            <w:tcW w:w="1847" w:type="dxa"/>
            <w:vAlign w:val="center"/>
          </w:tcPr>
          <w:p>
            <w:pPr>
              <w:spacing w:before="110" w:line="360" w:lineRule="auto"/>
              <w:ind w:right="137"/>
              <w:jc w:val="center"/>
              <w:rPr>
                <w:rFonts w:ascii="宋体" w:hAnsi="宋体" w:eastAsia="宋体" w:cs="宋体"/>
                <w:color w:val="auto"/>
                <w:highlight w:val="none"/>
              </w:rPr>
            </w:pPr>
            <w:r>
              <w:rPr>
                <w:rFonts w:hint="eastAsia" w:ascii="宋体" w:hAnsi="宋体" w:eastAsia="宋体" w:cs="宋体"/>
                <w:color w:val="auto"/>
                <w:spacing w:val="-1"/>
                <w:highlight w:val="none"/>
              </w:rPr>
              <w:t>是否允许递交备选</w:t>
            </w:r>
            <w:r>
              <w:rPr>
                <w:rFonts w:hint="eastAsia" w:ascii="宋体" w:hAnsi="宋体" w:eastAsia="宋体" w:cs="宋体"/>
                <w:color w:val="auto"/>
                <w:highlight w:val="none"/>
              </w:rPr>
              <w:t>投标方案</w:t>
            </w:r>
          </w:p>
        </w:tc>
        <w:tc>
          <w:tcPr>
            <w:tcW w:w="7244" w:type="dxa"/>
          </w:tcPr>
          <w:p>
            <w:pPr>
              <w:spacing w:before="290" w:line="360" w:lineRule="auto"/>
              <w:ind w:left="117"/>
              <w:rPr>
                <w:rFonts w:ascii="宋体" w:hAnsi="宋体" w:eastAsia="宋体" w:cs="宋体"/>
                <w:color w:val="auto"/>
                <w:highlight w:val="none"/>
              </w:rPr>
            </w:pPr>
            <w:r>
              <w:rPr>
                <w:rFonts w:hint="eastAsia" w:ascii="宋体" w:hAnsi="宋体" w:eastAsia="宋体" w:cs="宋体"/>
                <w:color w:val="auto"/>
                <w:spacing w:val="-2"/>
                <w:highlight w:val="none"/>
              </w:rPr>
              <w:t>不允许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820" w:type="dxa"/>
            <w:tcBorders>
              <w:bottom w:val="single" w:color="auto" w:sz="4" w:space="0"/>
            </w:tcBorders>
          </w:tcPr>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before="69" w:line="360" w:lineRule="auto"/>
              <w:ind w:left="326"/>
              <w:rPr>
                <w:rFonts w:ascii="宋体" w:hAnsi="宋体" w:eastAsia="宋体" w:cs="宋体"/>
                <w:color w:val="auto"/>
                <w:spacing w:val="-4"/>
                <w:highlight w:val="none"/>
              </w:rPr>
            </w:pPr>
            <w:r>
              <w:rPr>
                <w:rFonts w:hint="eastAsia" w:ascii="宋体" w:hAnsi="宋体" w:eastAsia="宋体" w:cs="宋体"/>
                <w:color w:val="auto"/>
                <w:spacing w:val="-4"/>
                <w:highlight w:val="none"/>
              </w:rPr>
              <w:t>3</w:t>
            </w:r>
            <w:r>
              <w:rPr>
                <w:rFonts w:hint="eastAsia" w:ascii="宋体" w:hAnsi="宋体" w:eastAsia="宋体" w:cs="宋体"/>
                <w:color w:val="auto"/>
                <w:spacing w:val="-2"/>
                <w:highlight w:val="none"/>
              </w:rPr>
              <w:t>.6</w:t>
            </w:r>
          </w:p>
        </w:tc>
        <w:tc>
          <w:tcPr>
            <w:tcW w:w="1847" w:type="dxa"/>
            <w:tcBorders>
              <w:bottom w:val="single" w:color="auto" w:sz="4" w:space="0"/>
            </w:tcBorders>
          </w:tcPr>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before="68" w:line="360" w:lineRule="auto"/>
              <w:ind w:left="251"/>
              <w:rPr>
                <w:rFonts w:ascii="宋体" w:hAnsi="宋体" w:eastAsia="宋体" w:cs="宋体"/>
                <w:color w:val="auto"/>
                <w:spacing w:val="-1"/>
                <w:highlight w:val="none"/>
              </w:rPr>
            </w:pPr>
            <w:r>
              <w:rPr>
                <w:rFonts w:hint="eastAsia" w:ascii="宋体" w:hAnsi="宋体" w:eastAsia="宋体" w:cs="宋体"/>
                <w:color w:val="auto"/>
                <w:spacing w:val="-1"/>
                <w:highlight w:val="none"/>
              </w:rPr>
              <w:t>投标文件的编制、加</w:t>
            </w:r>
            <w:r>
              <w:rPr>
                <w:rFonts w:hint="eastAsia" w:ascii="宋体" w:hAnsi="宋体" w:eastAsia="宋体" w:cs="宋体"/>
                <w:color w:val="auto"/>
                <w:highlight w:val="none"/>
              </w:rPr>
              <w:t>密</w:t>
            </w:r>
          </w:p>
        </w:tc>
        <w:tc>
          <w:tcPr>
            <w:tcW w:w="7244" w:type="dxa"/>
            <w:tcBorders>
              <w:bottom w:val="single" w:color="auto" w:sz="4" w:space="0"/>
            </w:tcBorders>
            <w:shd w:val="clear" w:color="auto" w:fill="auto"/>
          </w:tcPr>
          <w:p>
            <w:pPr>
              <w:spacing w:line="360" w:lineRule="auto"/>
              <w:jc w:val="both"/>
              <w:rPr>
                <w:rFonts w:ascii="宋体" w:hAnsi="宋体" w:eastAsia="宋体" w:cs="宋体"/>
                <w:color w:val="auto"/>
                <w:highlight w:val="none"/>
              </w:rPr>
            </w:pPr>
            <w:r>
              <w:rPr>
                <w:rFonts w:hint="eastAsia" w:ascii="宋体" w:hAnsi="宋体" w:eastAsia="宋体" w:cs="宋体"/>
                <w:color w:val="auto"/>
                <w:highlight w:val="none"/>
              </w:rPr>
              <w:t>3.6.1 投标人下载或获取招标文件后，登录“政采云电子投标客户端”，按照本招标文件规定的投标文件格式、顺序以及“政采云”平台的要求，通过“政采云电子投标客户端”编制电子投标文件。</w:t>
            </w:r>
          </w:p>
          <w:p>
            <w:pPr>
              <w:spacing w:line="360" w:lineRule="auto"/>
              <w:jc w:val="both"/>
              <w:rPr>
                <w:rFonts w:ascii="宋体" w:hAnsi="宋体" w:eastAsia="宋体" w:cs="宋体"/>
                <w:color w:val="auto"/>
                <w:highlight w:val="none"/>
              </w:rPr>
            </w:pPr>
            <w:r>
              <w:rPr>
                <w:rFonts w:hint="eastAsia" w:ascii="宋体" w:hAnsi="宋体" w:eastAsia="宋体" w:cs="宋体"/>
                <w:color w:val="auto"/>
                <w:highlight w:val="none"/>
              </w:rPr>
              <w:t>3.6.2 电子投标文件中须加盖投标人公章部分均采用 CA 签章，并根据“政府采购项目电子交易管理操作指南-供应商”及本招标文件规定的格式和顺序编制电子投标文件并进行关联定位，以便评审小组在评审时，点击评分项可直接定位到该评分项内容。如对招标文件的某项要求，投标人的电子投标文件未能关联定位提供相应的内容与其对应，则评审小组在评审时如做出对投标人不利的评审由投标人自行承担。电子投标文件如内容不完整、编排混乱导致投标文件被误读、漏读，或者在按招标文件规定的部位查找不到相关内容的，由投标人自行承担。</w:t>
            </w:r>
          </w:p>
          <w:p>
            <w:pPr>
              <w:spacing w:line="360" w:lineRule="auto"/>
              <w:jc w:val="both"/>
              <w:rPr>
                <w:rFonts w:ascii="宋体" w:hAnsi="宋体" w:eastAsia="宋体" w:cs="宋体"/>
                <w:color w:val="auto"/>
                <w:highlight w:val="none"/>
              </w:rPr>
            </w:pPr>
            <w:r>
              <w:rPr>
                <w:rFonts w:hint="eastAsia" w:ascii="宋体" w:hAnsi="宋体" w:eastAsia="宋体" w:cs="宋体"/>
                <w:color w:val="auto"/>
                <w:highlight w:val="none"/>
              </w:rPr>
              <w:t>3.6.3 投标人法人(负责人) 或授权代表持有政采云个人 CA 签章的，应在投标文件中涉及到签字的位置使用个人 CA 签章，没有办理政采云个人 CA 签章的可在投标文件中涉及到签字的位置手写签字后扫描或者拍照做成 PDF 的格式上传即可。</w:t>
            </w:r>
          </w:p>
          <w:p>
            <w:pPr>
              <w:spacing w:line="360" w:lineRule="auto"/>
              <w:jc w:val="both"/>
              <w:rPr>
                <w:rFonts w:ascii="宋体" w:hAnsi="宋体" w:eastAsia="宋体" w:cs="宋体"/>
                <w:color w:val="auto"/>
                <w:highlight w:val="none"/>
              </w:rPr>
            </w:pPr>
            <w:r>
              <w:rPr>
                <w:rFonts w:hint="eastAsia" w:ascii="宋体" w:hAnsi="宋体" w:eastAsia="宋体" w:cs="宋体"/>
                <w:color w:val="auto"/>
                <w:highlight w:val="none"/>
              </w:rPr>
              <w:t>3.6.4 投标文件不得涂改，若有修改错漏处，须法定代表人(负责人) 或授权委托人签字(或个人CA 签章) 。因投标文件字迹潦草、表达不清、内容不完整、编排混乱导致投标文件被误读、漏读，或者在按招标文件规定的部位查找不到相关内容的，其不利后果由投标人自行承担。</w:t>
            </w:r>
          </w:p>
          <w:p>
            <w:pPr>
              <w:spacing w:line="360" w:lineRule="auto"/>
              <w:jc w:val="both"/>
              <w:rPr>
                <w:rFonts w:ascii="宋体" w:hAnsi="宋体" w:eastAsia="宋体" w:cs="宋体"/>
                <w:color w:val="auto"/>
                <w:highlight w:val="none"/>
              </w:rPr>
            </w:pPr>
            <w:r>
              <w:rPr>
                <w:rFonts w:hint="eastAsia" w:ascii="宋体" w:hAnsi="宋体" w:eastAsia="宋体" w:cs="宋体"/>
                <w:color w:val="auto"/>
                <w:highlight w:val="none"/>
              </w:rPr>
              <w:t>3.6.5 投标人编制、生成电子投标文件后应当加密投标文件。投标人未按规定编制并加密的投标文件，“政采云”平台将予以拒收。</w:t>
            </w:r>
          </w:p>
          <w:p>
            <w:pPr>
              <w:spacing w:line="360" w:lineRule="auto"/>
              <w:jc w:val="both"/>
              <w:rPr>
                <w:rFonts w:ascii="宋体" w:hAnsi="宋体" w:eastAsia="宋体" w:cs="宋体"/>
                <w:color w:val="auto"/>
                <w:highlight w:val="none"/>
              </w:rPr>
            </w:pPr>
            <w:r>
              <w:rPr>
                <w:rFonts w:hint="eastAsia" w:ascii="宋体" w:hAnsi="宋体" w:eastAsia="宋体" w:cs="宋体"/>
                <w:color w:val="auto"/>
                <w:highlight w:val="none"/>
              </w:rPr>
              <w:t>3.6.6 评审前准备</w:t>
            </w:r>
          </w:p>
          <w:p>
            <w:pPr>
              <w:spacing w:line="360" w:lineRule="auto"/>
              <w:jc w:val="both"/>
              <w:rPr>
                <w:rFonts w:ascii="宋体" w:hAnsi="宋体" w:eastAsia="宋体" w:cs="宋体"/>
                <w:color w:val="auto"/>
                <w:highlight w:val="none"/>
              </w:rPr>
            </w:pPr>
            <w:r>
              <w:rPr>
                <w:rFonts w:hint="eastAsia" w:ascii="宋体" w:hAnsi="宋体" w:eastAsia="宋体" w:cs="宋体"/>
                <w:color w:val="auto"/>
                <w:highlight w:val="none"/>
              </w:rPr>
              <w:t>(1) 本项目实行网上评审，采用电子投标文件；若投标人参与投标，自行承担投标一切费用。</w:t>
            </w:r>
          </w:p>
          <w:p>
            <w:pPr>
              <w:spacing w:line="360" w:lineRule="auto"/>
              <w:jc w:val="both"/>
              <w:rPr>
                <w:rFonts w:ascii="宋体" w:hAnsi="宋体" w:eastAsia="宋体" w:cs="宋体"/>
                <w:color w:val="auto"/>
                <w:highlight w:val="none"/>
              </w:rPr>
            </w:pPr>
            <w:r>
              <w:rPr>
                <w:rFonts w:hint="eastAsia" w:ascii="宋体" w:hAnsi="宋体" w:eastAsia="宋体" w:cs="宋体"/>
                <w:color w:val="auto"/>
                <w:highlight w:val="none"/>
              </w:rPr>
              <w:t>(2)各投标人在截标前应确保成为政采云平台正式注册入库供应商，并完成 CA 数字证书申领。因未注册入库、未办理 CA 数 字证书等原因造成无法投标或投标失败等后果由投标人自行承担。</w:t>
            </w:r>
          </w:p>
          <w:p>
            <w:pPr>
              <w:spacing w:line="360" w:lineRule="auto"/>
              <w:jc w:val="both"/>
              <w:rPr>
                <w:rFonts w:ascii="宋体" w:hAnsi="宋体" w:eastAsia="宋体" w:cs="宋体"/>
                <w:color w:val="auto"/>
                <w:spacing w:val="-2"/>
                <w:highlight w:val="none"/>
              </w:rPr>
            </w:pPr>
            <w:r>
              <w:rPr>
                <w:rFonts w:hint="eastAsia" w:ascii="宋体" w:hAnsi="宋体" w:eastAsia="宋体" w:cs="宋体"/>
                <w:color w:val="auto"/>
                <w:highlight w:val="none"/>
              </w:rPr>
              <w:t>(3) 投标人将政采云电子交易客户端下载、安装完成后，可通过账号密码或 CA 登录客户端进行投标文件制作。客户端请至网站下载专区查看，如有问题可拨打政采云客户服务热线 95763 进行咨询。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820" w:type="dxa"/>
            <w:tcBorders>
              <w:top w:val="single" w:color="auto" w:sz="4" w:space="0"/>
              <w:left w:val="single" w:color="auto" w:sz="4" w:space="0"/>
              <w:bottom w:val="single" w:color="auto" w:sz="4" w:space="0"/>
            </w:tcBorders>
            <w:shd w:val="clear" w:color="auto" w:fill="auto"/>
            <w:vAlign w:val="center"/>
          </w:tcPr>
          <w:p>
            <w:pPr>
              <w:spacing w:before="68" w:line="360" w:lineRule="auto"/>
              <w:jc w:val="center"/>
              <w:rPr>
                <w:rFonts w:ascii="宋体" w:hAnsi="宋体" w:eastAsia="宋体" w:cs="宋体"/>
                <w:color w:val="auto"/>
                <w:spacing w:val="-4"/>
                <w:highlight w:val="none"/>
              </w:rPr>
            </w:pPr>
            <w:r>
              <w:rPr>
                <w:rFonts w:hint="eastAsia" w:ascii="宋体" w:hAnsi="宋体" w:eastAsia="宋体" w:cs="宋体"/>
                <w:color w:val="auto"/>
                <w:spacing w:val="1"/>
                <w:highlight w:val="none"/>
              </w:rPr>
              <w:t>4.1</w:t>
            </w:r>
            <w:r>
              <w:rPr>
                <w:rFonts w:hint="eastAsia" w:ascii="宋体" w:hAnsi="宋体" w:eastAsia="宋体" w:cs="宋体"/>
                <w:color w:val="auto"/>
                <w:highlight w:val="none"/>
              </w:rPr>
              <w:t>.1</w:t>
            </w:r>
          </w:p>
        </w:tc>
        <w:tc>
          <w:tcPr>
            <w:tcW w:w="1847" w:type="dxa"/>
            <w:tcBorders>
              <w:top w:val="single" w:color="auto" w:sz="4" w:space="0"/>
              <w:bottom w:val="single" w:color="auto" w:sz="4" w:space="0"/>
            </w:tcBorders>
            <w:shd w:val="clear" w:color="auto" w:fill="auto"/>
            <w:vAlign w:val="center"/>
          </w:tcPr>
          <w:p>
            <w:pPr>
              <w:spacing w:before="69" w:line="360" w:lineRule="auto"/>
              <w:jc w:val="center"/>
              <w:rPr>
                <w:rFonts w:ascii="宋体" w:hAnsi="宋体" w:eastAsia="宋体" w:cs="宋体"/>
                <w:color w:val="auto"/>
                <w:spacing w:val="-1"/>
                <w:highlight w:val="none"/>
              </w:rPr>
            </w:pPr>
            <w:r>
              <w:rPr>
                <w:rFonts w:hint="eastAsia" w:ascii="宋体" w:hAnsi="宋体" w:eastAsia="宋体" w:cs="宋体"/>
                <w:color w:val="auto"/>
                <w:spacing w:val="-1"/>
                <w:highlight w:val="none"/>
              </w:rPr>
              <w:t>投标文件递交截</w:t>
            </w:r>
            <w:r>
              <w:rPr>
                <w:rFonts w:hint="eastAsia" w:ascii="宋体" w:hAnsi="宋体" w:eastAsia="宋体" w:cs="宋体"/>
                <w:color w:val="auto"/>
                <w:highlight w:val="none"/>
              </w:rPr>
              <w:t>止时间</w:t>
            </w:r>
          </w:p>
        </w:tc>
        <w:tc>
          <w:tcPr>
            <w:tcW w:w="7244" w:type="dxa"/>
            <w:tcBorders>
              <w:top w:val="single" w:color="auto" w:sz="4" w:space="0"/>
              <w:bottom w:val="single" w:color="auto" w:sz="4" w:space="0"/>
              <w:right w:val="single" w:color="auto" w:sz="4" w:space="0"/>
            </w:tcBorders>
            <w:shd w:val="clear" w:color="auto" w:fill="auto"/>
          </w:tcPr>
          <w:p>
            <w:pPr>
              <w:spacing w:before="113" w:line="360" w:lineRule="auto"/>
              <w:ind w:left="111" w:right="48" w:firstLine="4"/>
              <w:rPr>
                <w:rFonts w:ascii="宋体" w:hAnsi="宋体" w:eastAsia="宋体" w:cs="宋体"/>
                <w:color w:val="auto"/>
                <w:spacing w:val="-6"/>
                <w:highlight w:val="none"/>
              </w:rPr>
            </w:pPr>
            <w:r>
              <w:rPr>
                <w:rFonts w:hint="eastAsia" w:ascii="宋体" w:hAnsi="宋体" w:eastAsia="宋体" w:cs="宋体"/>
                <w:color w:val="auto"/>
                <w:spacing w:val="-26"/>
                <w:highlight w:val="none"/>
              </w:rPr>
              <w:t>投标</w:t>
            </w:r>
            <w:r>
              <w:rPr>
                <w:rFonts w:hint="eastAsia" w:ascii="宋体" w:hAnsi="宋体" w:eastAsia="宋体" w:cs="宋体"/>
                <w:color w:val="auto"/>
                <w:spacing w:val="-14"/>
                <w:highlight w:val="none"/>
              </w:rPr>
              <w:t>人</w:t>
            </w:r>
            <w:r>
              <w:rPr>
                <w:rFonts w:hint="eastAsia" w:ascii="宋体" w:hAnsi="宋体" w:eastAsia="宋体" w:cs="宋体"/>
                <w:color w:val="auto"/>
                <w:spacing w:val="-13"/>
                <w:highlight w:val="none"/>
              </w:rPr>
              <w:t>应于</w:t>
            </w:r>
            <w:r>
              <w:rPr>
                <w:rFonts w:hint="eastAsia" w:ascii="宋体" w:hAnsi="宋体" w:eastAsia="宋体" w:cs="宋体"/>
                <w:color w:val="auto"/>
                <w:spacing w:val="-13"/>
                <w:highlight w:val="none"/>
                <w:shd w:val="clear" w:color="auto"/>
              </w:rPr>
              <w:t xml:space="preserve"> 2023</w:t>
            </w:r>
            <w:r>
              <w:rPr>
                <w:rFonts w:hint="eastAsia" w:ascii="宋体" w:hAnsi="宋体" w:eastAsia="宋体" w:cs="宋体"/>
                <w:color w:val="auto"/>
                <w:spacing w:val="-13"/>
                <w:highlight w:val="none"/>
                <w:shd w:val="clear" w:color="auto"/>
                <w:lang w:val="en-US" w:eastAsia="zh-CN"/>
              </w:rPr>
              <w:t xml:space="preserve"> </w:t>
            </w:r>
            <w:r>
              <w:rPr>
                <w:rFonts w:hint="eastAsia" w:ascii="宋体" w:hAnsi="宋体" w:eastAsia="宋体" w:cs="宋体"/>
                <w:color w:val="auto"/>
                <w:spacing w:val="-13"/>
                <w:highlight w:val="none"/>
                <w:shd w:val="clear" w:color="auto"/>
              </w:rPr>
              <w:t>年</w:t>
            </w:r>
            <w:r>
              <w:rPr>
                <w:rFonts w:hint="eastAsia" w:ascii="宋体" w:hAnsi="宋体" w:eastAsia="宋体" w:cs="宋体"/>
                <w:color w:val="auto"/>
                <w:spacing w:val="-13"/>
                <w:highlight w:val="none"/>
                <w:shd w:val="clear" w:color="auto"/>
                <w:lang w:val="en-US" w:eastAsia="zh-CN"/>
              </w:rPr>
              <w:t xml:space="preserve"> 9 </w:t>
            </w:r>
            <w:r>
              <w:rPr>
                <w:rFonts w:hint="eastAsia" w:ascii="宋体" w:hAnsi="宋体" w:eastAsia="宋体" w:cs="宋体"/>
                <w:color w:val="auto"/>
                <w:spacing w:val="-13"/>
                <w:highlight w:val="none"/>
                <w:shd w:val="clear" w:color="auto"/>
              </w:rPr>
              <w:t>月</w:t>
            </w:r>
            <w:r>
              <w:rPr>
                <w:rFonts w:hint="eastAsia" w:ascii="宋体" w:hAnsi="宋体" w:eastAsia="宋体" w:cs="宋体"/>
                <w:color w:val="auto"/>
                <w:spacing w:val="-13"/>
                <w:highlight w:val="none"/>
                <w:shd w:val="clear" w:color="auto"/>
                <w:lang w:val="en-US" w:eastAsia="zh-CN"/>
              </w:rPr>
              <w:t xml:space="preserve"> 1 </w:t>
            </w:r>
            <w:r>
              <w:rPr>
                <w:rFonts w:hint="eastAsia" w:ascii="宋体" w:hAnsi="宋体" w:eastAsia="宋体" w:cs="宋体"/>
                <w:color w:val="auto"/>
                <w:spacing w:val="-13"/>
                <w:highlight w:val="none"/>
                <w:shd w:val="clear" w:color="auto"/>
              </w:rPr>
              <w:t>日</w:t>
            </w:r>
            <w:r>
              <w:rPr>
                <w:rFonts w:hint="eastAsia" w:ascii="宋体" w:hAnsi="宋体" w:eastAsia="宋体" w:cs="宋体"/>
                <w:color w:val="auto"/>
                <w:spacing w:val="-13"/>
                <w:highlight w:val="none"/>
                <w:shd w:val="clear"/>
              </w:rPr>
              <w:t>上午 9 时 30 分之前将电子投标文件上</w:t>
            </w:r>
            <w:r>
              <w:rPr>
                <w:rFonts w:hint="eastAsia" w:ascii="宋体" w:hAnsi="宋体" w:eastAsia="宋体" w:cs="宋体"/>
                <w:color w:val="auto"/>
                <w:highlight w:val="none"/>
                <w:shd w:val="clear"/>
              </w:rPr>
              <w:t>传到政采云平台。应按照本项目招标文件和政采云平</w:t>
            </w:r>
            <w:r>
              <w:rPr>
                <w:rFonts w:hint="eastAsia" w:ascii="宋体" w:hAnsi="宋体" w:eastAsia="宋体" w:cs="宋体"/>
                <w:color w:val="auto"/>
                <w:highlight w:val="none"/>
              </w:rPr>
              <w:t>台的要求编制、</w:t>
            </w:r>
            <w:r>
              <w:rPr>
                <w:rFonts w:hint="eastAsia" w:ascii="宋体" w:hAnsi="宋体" w:eastAsia="宋体" w:cs="宋体"/>
                <w:color w:val="auto"/>
                <w:spacing w:val="-2"/>
                <w:highlight w:val="none"/>
              </w:rPr>
              <w:t>加密传输投标文件。投标人在使用系统进行投标的过程中遇到涉</w:t>
            </w:r>
            <w:r>
              <w:rPr>
                <w:rFonts w:hint="eastAsia" w:ascii="宋体" w:hAnsi="宋体" w:eastAsia="宋体" w:cs="宋体"/>
                <w:color w:val="auto"/>
                <w:highlight w:val="none"/>
              </w:rPr>
              <w:t>及平</w:t>
            </w:r>
            <w:r>
              <w:rPr>
                <w:rFonts w:hint="eastAsia" w:ascii="宋体" w:hAnsi="宋体" w:eastAsia="宋体" w:cs="宋体"/>
                <w:color w:val="auto"/>
                <w:spacing w:val="-12"/>
                <w:highlight w:val="none"/>
              </w:rPr>
              <w:t>台使用的</w:t>
            </w:r>
            <w:r>
              <w:rPr>
                <w:rFonts w:hint="eastAsia" w:ascii="宋体" w:hAnsi="宋体" w:eastAsia="宋体" w:cs="宋体"/>
                <w:color w:val="auto"/>
                <w:spacing w:val="-6"/>
                <w:highlight w:val="none"/>
              </w:rPr>
              <w:t>任何问题，可致电政采云平台技术支持热线咨询，联系方式：</w:t>
            </w:r>
            <w:r>
              <w:rPr>
                <w:rFonts w:hint="eastAsia" w:ascii="宋体" w:hAnsi="宋体" w:eastAsia="宋体" w:cs="宋体"/>
                <w:color w:val="auto"/>
                <w:spacing w:val="6"/>
                <w:highlight w:val="none"/>
              </w:rPr>
              <w:t>95763</w:t>
            </w:r>
            <w:r>
              <w:rPr>
                <w:rFonts w:hint="eastAsia" w:ascii="宋体" w:hAnsi="宋体" w:eastAsia="宋体" w:cs="宋体"/>
                <w:color w:val="auto"/>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820" w:type="dxa"/>
            <w:tcBorders>
              <w:top w:val="single" w:color="auto" w:sz="4" w:space="0"/>
            </w:tcBorders>
            <w:vAlign w:val="center"/>
          </w:tcPr>
          <w:p>
            <w:pPr>
              <w:spacing w:before="69" w:line="360" w:lineRule="auto"/>
              <w:jc w:val="center"/>
              <w:rPr>
                <w:rFonts w:ascii="宋体" w:hAnsi="宋体" w:eastAsia="宋体" w:cs="宋体"/>
                <w:color w:val="auto"/>
                <w:spacing w:val="-4"/>
                <w:highlight w:val="none"/>
              </w:rPr>
            </w:pPr>
            <w:r>
              <w:rPr>
                <w:rFonts w:hint="eastAsia" w:ascii="宋体" w:hAnsi="宋体" w:eastAsia="宋体" w:cs="宋体"/>
                <w:color w:val="auto"/>
                <w:spacing w:val="-1"/>
                <w:highlight w:val="none"/>
              </w:rPr>
              <w:t>4.1.</w:t>
            </w:r>
            <w:r>
              <w:rPr>
                <w:rFonts w:hint="eastAsia" w:ascii="宋体" w:hAnsi="宋体" w:eastAsia="宋体" w:cs="宋体"/>
                <w:color w:val="auto"/>
                <w:highlight w:val="none"/>
              </w:rPr>
              <w:t>2</w:t>
            </w:r>
          </w:p>
        </w:tc>
        <w:tc>
          <w:tcPr>
            <w:tcW w:w="1847" w:type="dxa"/>
            <w:tcBorders>
              <w:top w:val="single" w:color="auto" w:sz="4" w:space="0"/>
            </w:tcBorders>
            <w:vAlign w:val="center"/>
          </w:tcPr>
          <w:p>
            <w:pPr>
              <w:spacing w:before="68" w:line="360" w:lineRule="auto"/>
              <w:jc w:val="center"/>
              <w:rPr>
                <w:rFonts w:ascii="宋体" w:hAnsi="宋体" w:eastAsia="宋体" w:cs="宋体"/>
                <w:color w:val="auto"/>
                <w:spacing w:val="-1"/>
                <w:highlight w:val="none"/>
              </w:rPr>
            </w:pPr>
            <w:r>
              <w:rPr>
                <w:rFonts w:hint="eastAsia" w:ascii="宋体" w:hAnsi="宋体" w:eastAsia="宋体" w:cs="宋体"/>
                <w:color w:val="auto"/>
                <w:spacing w:val="-1"/>
                <w:highlight w:val="none"/>
              </w:rPr>
              <w:t>投标文件解密时间</w:t>
            </w:r>
          </w:p>
        </w:tc>
        <w:tc>
          <w:tcPr>
            <w:tcW w:w="7244" w:type="dxa"/>
            <w:tcBorders>
              <w:top w:val="single" w:color="auto" w:sz="4" w:space="0"/>
            </w:tcBorders>
          </w:tcPr>
          <w:p>
            <w:pPr>
              <w:spacing w:before="105" w:line="360" w:lineRule="auto"/>
              <w:ind w:left="112" w:right="96"/>
              <w:rPr>
                <w:rFonts w:ascii="宋体" w:hAnsi="宋体" w:eastAsia="宋体" w:cs="宋体"/>
                <w:color w:val="auto"/>
                <w:spacing w:val="-6"/>
                <w:highlight w:val="none"/>
              </w:rPr>
            </w:pPr>
            <w:r>
              <w:rPr>
                <w:rFonts w:hint="eastAsia" w:ascii="宋体" w:hAnsi="宋体" w:eastAsia="宋体" w:cs="宋体"/>
                <w:color w:val="auto"/>
                <w:spacing w:val="-15"/>
                <w:highlight w:val="none"/>
              </w:rPr>
              <w:t>截</w:t>
            </w:r>
            <w:r>
              <w:rPr>
                <w:rFonts w:hint="eastAsia" w:ascii="宋体" w:hAnsi="宋体" w:eastAsia="宋体" w:cs="宋体"/>
                <w:color w:val="auto"/>
                <w:spacing w:val="-14"/>
                <w:highlight w:val="none"/>
              </w:rPr>
              <w:t xml:space="preserve">标时间后 </w:t>
            </w:r>
            <w:r>
              <w:rPr>
                <w:rFonts w:hint="eastAsia" w:ascii="宋体" w:hAnsi="宋体" w:eastAsia="宋体" w:cs="宋体"/>
                <w:color w:val="auto"/>
                <w:spacing w:val="-14"/>
                <w:highlight w:val="none"/>
                <w:u w:val="single"/>
              </w:rPr>
              <w:t xml:space="preserve">30 </w:t>
            </w:r>
            <w:r>
              <w:rPr>
                <w:rFonts w:hint="eastAsia" w:ascii="宋体" w:hAnsi="宋体" w:eastAsia="宋体" w:cs="宋体"/>
                <w:color w:val="auto"/>
                <w:spacing w:val="-14"/>
                <w:highlight w:val="none"/>
              </w:rPr>
              <w:t>分钟内</w:t>
            </w:r>
            <w:r>
              <w:rPr>
                <w:rFonts w:hint="eastAsia" w:ascii="宋体" w:hAnsi="宋体" w:eastAsia="宋体" w:cs="宋体"/>
                <w:color w:val="auto"/>
                <w:spacing w:val="-14"/>
                <w:highlight w:val="none"/>
                <w:shd w:val="clear"/>
              </w:rPr>
              <w:t>(</w:t>
            </w:r>
            <w:r>
              <w:rPr>
                <w:rFonts w:hint="eastAsia" w:ascii="宋体" w:hAnsi="宋体" w:eastAsia="宋体" w:cs="宋体"/>
                <w:color w:val="auto"/>
                <w:spacing w:val="-13"/>
                <w:highlight w:val="none"/>
                <w:shd w:val="clear" w:color="auto"/>
              </w:rPr>
              <w:t>2023</w:t>
            </w:r>
            <w:r>
              <w:rPr>
                <w:rFonts w:hint="eastAsia" w:ascii="宋体" w:hAnsi="宋体" w:eastAsia="宋体" w:cs="宋体"/>
                <w:color w:val="auto"/>
                <w:spacing w:val="-13"/>
                <w:highlight w:val="none"/>
                <w:shd w:val="clear" w:color="auto"/>
                <w:lang w:val="en-US" w:eastAsia="zh-CN"/>
              </w:rPr>
              <w:t xml:space="preserve"> </w:t>
            </w:r>
            <w:r>
              <w:rPr>
                <w:rFonts w:hint="eastAsia" w:ascii="宋体" w:hAnsi="宋体" w:eastAsia="宋体" w:cs="宋体"/>
                <w:color w:val="auto"/>
                <w:spacing w:val="-13"/>
                <w:highlight w:val="none"/>
                <w:shd w:val="clear" w:color="auto"/>
              </w:rPr>
              <w:t>年</w:t>
            </w:r>
            <w:r>
              <w:rPr>
                <w:rFonts w:hint="eastAsia" w:ascii="宋体" w:hAnsi="宋体" w:eastAsia="宋体" w:cs="宋体"/>
                <w:color w:val="auto"/>
                <w:spacing w:val="-13"/>
                <w:highlight w:val="none"/>
                <w:shd w:val="clear" w:color="auto"/>
                <w:lang w:val="en-US" w:eastAsia="zh-CN"/>
              </w:rPr>
              <w:t xml:space="preserve"> 9 </w:t>
            </w:r>
            <w:r>
              <w:rPr>
                <w:rFonts w:hint="eastAsia" w:ascii="宋体" w:hAnsi="宋体" w:eastAsia="宋体" w:cs="宋体"/>
                <w:color w:val="auto"/>
                <w:spacing w:val="-13"/>
                <w:highlight w:val="none"/>
                <w:shd w:val="clear" w:color="auto"/>
              </w:rPr>
              <w:t>月</w:t>
            </w:r>
            <w:r>
              <w:rPr>
                <w:rFonts w:hint="eastAsia" w:ascii="宋体" w:hAnsi="宋体" w:eastAsia="宋体" w:cs="宋体"/>
                <w:color w:val="auto"/>
                <w:spacing w:val="-13"/>
                <w:highlight w:val="none"/>
                <w:shd w:val="clear" w:color="auto"/>
                <w:lang w:val="en-US" w:eastAsia="zh-CN"/>
              </w:rPr>
              <w:t xml:space="preserve"> 1 </w:t>
            </w:r>
            <w:r>
              <w:rPr>
                <w:rFonts w:hint="eastAsia" w:ascii="宋体" w:hAnsi="宋体" w:eastAsia="宋体" w:cs="宋体"/>
                <w:color w:val="auto"/>
                <w:spacing w:val="-13"/>
                <w:highlight w:val="none"/>
                <w:shd w:val="clear" w:color="auto"/>
              </w:rPr>
              <w:t>日</w:t>
            </w:r>
            <w:r>
              <w:rPr>
                <w:rFonts w:hint="eastAsia" w:ascii="宋体" w:hAnsi="宋体" w:eastAsia="宋体" w:cs="宋体"/>
                <w:color w:val="auto"/>
                <w:spacing w:val="-14"/>
                <w:highlight w:val="none"/>
                <w:u w:val="single"/>
                <w:shd w:val="clear"/>
              </w:rPr>
              <w:t>上午</w:t>
            </w:r>
            <w:r>
              <w:rPr>
                <w:rFonts w:hint="eastAsia" w:ascii="宋体" w:hAnsi="宋体" w:eastAsia="宋体" w:cs="宋体"/>
                <w:color w:val="auto"/>
                <w:spacing w:val="-14"/>
                <w:highlight w:val="none"/>
                <w:u w:val="single"/>
              </w:rPr>
              <w:t xml:space="preserve"> 9 时 30 分至 10 时 00</w:t>
            </w:r>
            <w:r>
              <w:rPr>
                <w:rFonts w:hint="eastAsia" w:ascii="宋体" w:hAnsi="宋体" w:eastAsia="宋体" w:cs="宋体"/>
                <w:color w:val="auto"/>
                <w:highlight w:val="none"/>
                <w:u w:val="single"/>
              </w:rPr>
              <w:t xml:space="preserve"> </w:t>
            </w:r>
            <w:r>
              <w:rPr>
                <w:rFonts w:hint="eastAsia" w:ascii="宋体" w:hAnsi="宋体" w:eastAsia="宋体" w:cs="宋体"/>
                <w:color w:val="auto"/>
                <w:spacing w:val="-2"/>
                <w:highlight w:val="none"/>
                <w:u w:val="single"/>
              </w:rPr>
              <w:t>分</w:t>
            </w:r>
            <w:r>
              <w:rPr>
                <w:rFonts w:hint="eastAsia" w:ascii="宋体" w:hAnsi="宋体" w:eastAsia="宋体" w:cs="宋体"/>
                <w:color w:val="auto"/>
                <w:spacing w:val="-2"/>
                <w:highlight w:val="none"/>
              </w:rPr>
              <w:t>)投标人可以登录政采云平台，用“项目采购-开标评标”功</w:t>
            </w:r>
            <w:r>
              <w:rPr>
                <w:rFonts w:hint="eastAsia" w:ascii="宋体" w:hAnsi="宋体" w:eastAsia="宋体" w:cs="宋体"/>
                <w:color w:val="auto"/>
                <w:spacing w:val="-1"/>
                <w:highlight w:val="none"/>
              </w:rPr>
              <w:t>能</w:t>
            </w:r>
            <w:r>
              <w:rPr>
                <w:rFonts w:hint="eastAsia" w:ascii="宋体" w:hAnsi="宋体" w:eastAsia="宋体" w:cs="宋体"/>
                <w:color w:val="auto"/>
                <w:highlight w:val="none"/>
              </w:rPr>
              <w:t>进行</w:t>
            </w:r>
            <w:r>
              <w:rPr>
                <w:rFonts w:hint="eastAsia" w:ascii="宋体" w:hAnsi="宋体" w:eastAsia="宋体" w:cs="宋体"/>
                <w:color w:val="auto"/>
                <w:spacing w:val="-2"/>
                <w:highlight w:val="none"/>
              </w:rPr>
              <w:t>解密投标文件。若投标人在规定时间内无法解密或解密失败，</w:t>
            </w:r>
            <w:r>
              <w:rPr>
                <w:rFonts w:hint="eastAsia" w:ascii="宋体" w:hAnsi="宋体" w:eastAsia="宋体" w:cs="宋体"/>
                <w:color w:val="auto"/>
                <w:spacing w:val="-1"/>
                <w:highlight w:val="none"/>
              </w:rPr>
              <w:t>可</w:t>
            </w:r>
            <w:r>
              <w:rPr>
                <w:rFonts w:hint="eastAsia" w:ascii="宋体" w:hAnsi="宋体" w:eastAsia="宋体" w:cs="宋体"/>
                <w:color w:val="auto"/>
                <w:highlight w:val="none"/>
              </w:rPr>
              <w:t>以以</w:t>
            </w:r>
            <w:r>
              <w:rPr>
                <w:rFonts w:hint="eastAsia" w:ascii="宋体" w:hAnsi="宋体" w:eastAsia="宋体" w:cs="宋体"/>
                <w:color w:val="auto"/>
                <w:spacing w:val="-2"/>
                <w:highlight w:val="none"/>
              </w:rPr>
              <w:t>电子备份投标文件作为依据【在接到无法</w:t>
            </w:r>
            <w:r>
              <w:rPr>
                <w:rFonts w:hint="eastAsia" w:ascii="宋体" w:hAnsi="宋体" w:eastAsia="宋体" w:cs="宋体"/>
                <w:color w:val="auto"/>
                <w:spacing w:val="-1"/>
                <w:highlight w:val="none"/>
              </w:rPr>
              <w:t>解密或解密失败的通知后，</w:t>
            </w:r>
            <w:r>
              <w:rPr>
                <w:rFonts w:hint="eastAsia" w:ascii="宋体" w:hAnsi="宋体" w:eastAsia="宋体" w:cs="宋体"/>
                <w:color w:val="auto"/>
                <w:spacing w:val="10"/>
                <w:highlight w:val="none"/>
              </w:rPr>
              <w:t>投</w:t>
            </w:r>
            <w:r>
              <w:rPr>
                <w:rFonts w:hint="eastAsia" w:ascii="宋体" w:hAnsi="宋体" w:eastAsia="宋体" w:cs="宋体"/>
                <w:color w:val="auto"/>
                <w:spacing w:val="7"/>
                <w:highlight w:val="none"/>
              </w:rPr>
              <w:t>标</w:t>
            </w:r>
            <w:r>
              <w:rPr>
                <w:rFonts w:hint="eastAsia" w:ascii="宋体" w:hAnsi="宋体" w:eastAsia="宋体" w:cs="宋体"/>
                <w:color w:val="auto"/>
                <w:spacing w:val="5"/>
                <w:highlight w:val="none"/>
              </w:rPr>
              <w:t>人可根据自身实际情况按通知时要求的时间到桂林市公共资源</w:t>
            </w:r>
            <w:r>
              <w:rPr>
                <w:rFonts w:hint="eastAsia" w:ascii="宋体" w:hAnsi="宋体" w:eastAsia="宋体" w:cs="宋体"/>
                <w:color w:val="auto"/>
                <w:spacing w:val="2"/>
                <w:highlight w:val="none"/>
              </w:rPr>
              <w:t xml:space="preserve">交易中心 </w:t>
            </w:r>
            <w:r>
              <w:rPr>
                <w:rFonts w:hint="eastAsia" w:ascii="宋体" w:hAnsi="宋体" w:eastAsia="宋体" w:cs="宋体"/>
                <w:color w:val="auto"/>
                <w:spacing w:val="2"/>
                <w:highlight w:val="none"/>
                <w:u w:val="single"/>
              </w:rPr>
              <w:t xml:space="preserve">   </w:t>
            </w:r>
            <w:r>
              <w:rPr>
                <w:rFonts w:hint="eastAsia" w:ascii="宋体" w:hAnsi="宋体" w:eastAsia="宋体" w:cs="宋体"/>
                <w:color w:val="auto"/>
                <w:spacing w:val="2"/>
                <w:highlight w:val="none"/>
              </w:rPr>
              <w:t>号开标室现场提交</w:t>
            </w:r>
            <w:r>
              <w:rPr>
                <w:rFonts w:hint="eastAsia" w:ascii="宋体" w:hAnsi="宋体" w:eastAsia="宋体" w:cs="宋体"/>
                <w:color w:val="auto"/>
                <w:spacing w:val="1"/>
                <w:highlight w:val="none"/>
              </w:rPr>
              <w:t>或以电子邮件的形式(以通知时所告</w:t>
            </w:r>
            <w:r>
              <w:rPr>
                <w:rFonts w:hint="eastAsia" w:ascii="宋体" w:hAnsi="宋体" w:eastAsia="宋体" w:cs="宋体"/>
                <w:color w:val="auto"/>
                <w:spacing w:val="-7"/>
                <w:highlight w:val="none"/>
              </w:rPr>
              <w:t>知</w:t>
            </w:r>
            <w:r>
              <w:rPr>
                <w:rFonts w:hint="eastAsia" w:ascii="宋体" w:hAnsi="宋体" w:eastAsia="宋体" w:cs="宋体"/>
                <w:color w:val="auto"/>
                <w:spacing w:val="-5"/>
                <w:highlight w:val="none"/>
              </w:rPr>
              <w:t>的电子邮箱地址为准) 提交电子备份投标文件】，若投标人在规定</w:t>
            </w:r>
            <w:r>
              <w:rPr>
                <w:rFonts w:hint="eastAsia" w:ascii="宋体" w:hAnsi="宋体" w:eastAsia="宋体" w:cs="宋体"/>
                <w:color w:val="auto"/>
                <w:spacing w:val="2"/>
                <w:highlight w:val="none"/>
              </w:rPr>
              <w:t>时间内无法解密或解密失败且未提供电子备份</w:t>
            </w:r>
            <w:r>
              <w:rPr>
                <w:rFonts w:hint="eastAsia" w:ascii="宋体" w:hAnsi="宋体" w:eastAsia="宋体" w:cs="宋体"/>
                <w:color w:val="auto"/>
                <w:spacing w:val="1"/>
                <w:highlight w:val="none"/>
              </w:rPr>
              <w:t>投标文件的(包含提供</w:t>
            </w:r>
            <w:r>
              <w:rPr>
                <w:rFonts w:hint="eastAsia" w:ascii="宋体" w:hAnsi="宋体" w:eastAsia="宋体" w:cs="宋体"/>
                <w:color w:val="auto"/>
                <w:spacing w:val="-1"/>
                <w:highlight w:val="none"/>
              </w:rPr>
              <w:t>的电子备份文件无效或无法解密的情况)，视为投标无</w:t>
            </w:r>
            <w:r>
              <w:rPr>
                <w:rFonts w:hint="eastAsia" w:ascii="宋体" w:hAnsi="宋体" w:eastAsia="宋体" w:cs="宋体"/>
                <w:color w:val="auto"/>
                <w:highlight w:val="none"/>
              </w:rPr>
              <w:t>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820" w:type="dxa"/>
            <w:vAlign w:val="center"/>
          </w:tcPr>
          <w:p>
            <w:pPr>
              <w:spacing w:line="360" w:lineRule="auto"/>
              <w:jc w:val="center"/>
              <w:rPr>
                <w:rFonts w:ascii="宋体" w:hAnsi="宋体" w:eastAsia="宋体" w:cs="宋体"/>
                <w:color w:val="auto"/>
                <w:highlight w:val="none"/>
              </w:rPr>
            </w:pPr>
          </w:p>
          <w:p>
            <w:pPr>
              <w:spacing w:before="68" w:line="360" w:lineRule="auto"/>
              <w:ind w:left="221"/>
              <w:jc w:val="both"/>
              <w:rPr>
                <w:rFonts w:ascii="宋体" w:hAnsi="宋体" w:eastAsia="宋体" w:cs="宋体"/>
                <w:color w:val="auto"/>
                <w:spacing w:val="-1"/>
                <w:highlight w:val="none"/>
              </w:rPr>
            </w:pPr>
            <w:r>
              <w:rPr>
                <w:rFonts w:hint="eastAsia" w:ascii="宋体" w:hAnsi="宋体" w:eastAsia="宋体" w:cs="宋体"/>
                <w:color w:val="auto"/>
                <w:spacing w:val="-2"/>
                <w:highlight w:val="none"/>
              </w:rPr>
              <w:t>5.1.</w:t>
            </w:r>
            <w:r>
              <w:rPr>
                <w:rFonts w:hint="eastAsia" w:ascii="宋体" w:hAnsi="宋体" w:eastAsia="宋体" w:cs="宋体"/>
                <w:color w:val="auto"/>
                <w:spacing w:val="-1"/>
                <w:highlight w:val="none"/>
              </w:rPr>
              <w:t>1</w:t>
            </w:r>
          </w:p>
        </w:tc>
        <w:tc>
          <w:tcPr>
            <w:tcW w:w="1847" w:type="dxa"/>
            <w:vAlign w:val="center"/>
          </w:tcPr>
          <w:p>
            <w:pPr>
              <w:spacing w:before="302" w:line="360" w:lineRule="auto"/>
              <w:jc w:val="center"/>
              <w:rPr>
                <w:rFonts w:ascii="宋体" w:hAnsi="宋体" w:eastAsia="宋体" w:cs="宋体"/>
                <w:color w:val="auto"/>
                <w:spacing w:val="-1"/>
                <w:highlight w:val="none"/>
              </w:rPr>
            </w:pPr>
            <w:r>
              <w:rPr>
                <w:rFonts w:hint="eastAsia" w:ascii="宋体" w:hAnsi="宋体" w:eastAsia="宋体" w:cs="宋体"/>
                <w:color w:val="auto"/>
                <w:spacing w:val="-1"/>
                <w:highlight w:val="none"/>
              </w:rPr>
              <w:t>开标时间和地</w:t>
            </w:r>
            <w:r>
              <w:rPr>
                <w:rFonts w:hint="eastAsia" w:ascii="宋体" w:hAnsi="宋体" w:eastAsia="宋体" w:cs="宋体"/>
                <w:color w:val="auto"/>
                <w:highlight w:val="none"/>
              </w:rPr>
              <w:t>点</w:t>
            </w:r>
          </w:p>
        </w:tc>
        <w:tc>
          <w:tcPr>
            <w:tcW w:w="7244" w:type="dxa"/>
            <w:vAlign w:val="center"/>
          </w:tcPr>
          <w:p>
            <w:pPr>
              <w:spacing w:before="90" w:line="360" w:lineRule="auto"/>
              <w:ind w:left="114"/>
              <w:jc w:val="both"/>
              <w:rPr>
                <w:rFonts w:ascii="宋体" w:hAnsi="宋体" w:eastAsia="宋体" w:cs="宋体"/>
                <w:color w:val="auto"/>
                <w:highlight w:val="none"/>
              </w:rPr>
            </w:pPr>
            <w:r>
              <w:rPr>
                <w:rFonts w:hint="eastAsia" w:ascii="宋体" w:hAnsi="宋体" w:eastAsia="宋体" w:cs="宋体"/>
                <w:color w:val="auto"/>
                <w:spacing w:val="-36"/>
                <w:highlight w:val="none"/>
              </w:rPr>
              <w:t>开</w:t>
            </w:r>
            <w:r>
              <w:rPr>
                <w:rFonts w:hint="eastAsia" w:ascii="宋体" w:hAnsi="宋体" w:eastAsia="宋体" w:cs="宋体"/>
                <w:color w:val="auto"/>
                <w:spacing w:val="-20"/>
                <w:highlight w:val="none"/>
              </w:rPr>
              <w:t>标</w:t>
            </w:r>
            <w:r>
              <w:rPr>
                <w:rFonts w:hint="eastAsia" w:ascii="宋体" w:hAnsi="宋体" w:eastAsia="宋体" w:cs="宋体"/>
                <w:color w:val="auto"/>
                <w:spacing w:val="-18"/>
                <w:highlight w:val="none"/>
              </w:rPr>
              <w:t>时间</w:t>
            </w:r>
            <w:r>
              <w:rPr>
                <w:rFonts w:hint="eastAsia" w:ascii="宋体" w:hAnsi="宋体" w:eastAsia="宋体" w:cs="宋体"/>
                <w:color w:val="auto"/>
                <w:spacing w:val="-18"/>
                <w:highlight w:val="none"/>
                <w:shd w:val="clear"/>
              </w:rPr>
              <w:t xml:space="preserve">： </w:t>
            </w:r>
            <w:r>
              <w:rPr>
                <w:rFonts w:hint="eastAsia" w:ascii="宋体" w:hAnsi="宋体" w:eastAsia="宋体" w:cs="宋体"/>
                <w:color w:val="auto"/>
                <w:spacing w:val="-13"/>
                <w:highlight w:val="none"/>
                <w:shd w:val="clear" w:color="auto"/>
              </w:rPr>
              <w:t>2023</w:t>
            </w:r>
            <w:r>
              <w:rPr>
                <w:rFonts w:hint="eastAsia" w:ascii="宋体" w:hAnsi="宋体" w:eastAsia="宋体" w:cs="宋体"/>
                <w:color w:val="auto"/>
                <w:spacing w:val="-13"/>
                <w:highlight w:val="none"/>
                <w:shd w:val="clear" w:color="auto"/>
                <w:lang w:val="en-US" w:eastAsia="zh-CN"/>
              </w:rPr>
              <w:t xml:space="preserve"> </w:t>
            </w:r>
            <w:r>
              <w:rPr>
                <w:rFonts w:hint="eastAsia" w:ascii="宋体" w:hAnsi="宋体" w:eastAsia="宋体" w:cs="宋体"/>
                <w:color w:val="auto"/>
                <w:spacing w:val="-13"/>
                <w:highlight w:val="none"/>
                <w:shd w:val="clear" w:color="auto"/>
              </w:rPr>
              <w:t>年</w:t>
            </w:r>
            <w:r>
              <w:rPr>
                <w:rFonts w:hint="eastAsia" w:ascii="宋体" w:hAnsi="宋体" w:eastAsia="宋体" w:cs="宋体"/>
                <w:color w:val="auto"/>
                <w:spacing w:val="-13"/>
                <w:highlight w:val="none"/>
                <w:shd w:val="clear" w:color="auto"/>
                <w:lang w:val="en-US" w:eastAsia="zh-CN"/>
              </w:rPr>
              <w:t xml:space="preserve"> 9 </w:t>
            </w:r>
            <w:r>
              <w:rPr>
                <w:rFonts w:hint="eastAsia" w:ascii="宋体" w:hAnsi="宋体" w:eastAsia="宋体" w:cs="宋体"/>
                <w:color w:val="auto"/>
                <w:spacing w:val="-13"/>
                <w:highlight w:val="none"/>
                <w:shd w:val="clear" w:color="auto"/>
              </w:rPr>
              <w:t>月</w:t>
            </w:r>
            <w:r>
              <w:rPr>
                <w:rFonts w:hint="eastAsia" w:ascii="宋体" w:hAnsi="宋体" w:eastAsia="宋体" w:cs="宋体"/>
                <w:color w:val="auto"/>
                <w:spacing w:val="-13"/>
                <w:highlight w:val="none"/>
                <w:shd w:val="clear" w:color="auto"/>
                <w:lang w:val="en-US" w:eastAsia="zh-CN"/>
              </w:rPr>
              <w:t xml:space="preserve"> 1 </w:t>
            </w:r>
            <w:r>
              <w:rPr>
                <w:rFonts w:hint="eastAsia" w:ascii="宋体" w:hAnsi="宋体" w:eastAsia="宋体" w:cs="宋体"/>
                <w:color w:val="auto"/>
                <w:spacing w:val="-13"/>
                <w:highlight w:val="none"/>
                <w:shd w:val="clear" w:color="auto"/>
              </w:rPr>
              <w:t>日</w:t>
            </w:r>
            <w:r>
              <w:rPr>
                <w:rFonts w:hint="eastAsia" w:ascii="宋体" w:hAnsi="宋体" w:eastAsia="宋体" w:cs="宋体"/>
                <w:color w:val="auto"/>
                <w:spacing w:val="-18"/>
                <w:highlight w:val="none"/>
                <w:shd w:val="clear"/>
              </w:rPr>
              <w:t xml:space="preserve"> 9 时 3</w:t>
            </w:r>
            <w:r>
              <w:rPr>
                <w:rFonts w:hint="eastAsia" w:ascii="宋体" w:hAnsi="宋体" w:eastAsia="宋体" w:cs="宋体"/>
                <w:color w:val="auto"/>
                <w:spacing w:val="-18"/>
                <w:highlight w:val="none"/>
              </w:rPr>
              <w:t>0 分。</w:t>
            </w:r>
          </w:p>
          <w:p>
            <w:pPr>
              <w:spacing w:before="154" w:line="360" w:lineRule="auto"/>
              <w:ind w:left="114"/>
              <w:jc w:val="both"/>
              <w:rPr>
                <w:rFonts w:ascii="宋体" w:hAnsi="宋体" w:eastAsia="宋体" w:cs="宋体"/>
                <w:color w:val="auto"/>
                <w:spacing w:val="-15"/>
                <w:highlight w:val="none"/>
              </w:rPr>
            </w:pPr>
            <w:r>
              <w:rPr>
                <w:rFonts w:hint="eastAsia" w:ascii="宋体" w:hAnsi="宋体" w:eastAsia="宋体" w:cs="宋体"/>
                <w:color w:val="auto"/>
                <w:spacing w:val="-5"/>
                <w:highlight w:val="none"/>
              </w:rPr>
              <w:t>开标地点： 桂林市公共资源交易中心（桂林市临桂区西城中路 69 号创业大厦西辅楼 4 楼）</w:t>
            </w:r>
            <w:r>
              <w:rPr>
                <w:rFonts w:hint="eastAsia" w:ascii="宋体" w:hAnsi="宋体" w:eastAsia="宋体" w:cs="宋体"/>
                <w:color w:val="auto"/>
                <w:spacing w:val="-5"/>
                <w:highlight w:val="none"/>
                <w:u w:val="single"/>
                <w:lang w:val="en-US" w:eastAsia="zh-CN"/>
              </w:rPr>
              <w:t>10</w:t>
            </w:r>
            <w:r>
              <w:rPr>
                <w:rFonts w:hint="eastAsia" w:ascii="宋体" w:hAnsi="宋体" w:eastAsia="宋体" w:cs="宋体"/>
                <w:color w:val="auto"/>
                <w:spacing w:val="-5"/>
                <w:highlight w:val="none"/>
                <w:u w:val="single"/>
              </w:rPr>
              <w:t xml:space="preserve"> </w:t>
            </w:r>
            <w:r>
              <w:rPr>
                <w:rFonts w:hint="eastAsia" w:ascii="宋体" w:hAnsi="宋体" w:eastAsia="宋体" w:cs="宋体"/>
                <w:color w:val="auto"/>
                <w:spacing w:val="-5"/>
                <w:highlight w:val="none"/>
              </w:rPr>
              <w:t>号开标室，通过政采云平台实行在线解密开启。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820" w:type="dxa"/>
          </w:tcPr>
          <w:p>
            <w:pPr>
              <w:spacing w:before="143" w:line="360" w:lineRule="auto"/>
              <w:ind w:left="326"/>
              <w:rPr>
                <w:rFonts w:ascii="宋体" w:hAnsi="宋体" w:eastAsia="宋体" w:cs="宋体"/>
                <w:color w:val="auto"/>
                <w:spacing w:val="-2"/>
                <w:highlight w:val="none"/>
              </w:rPr>
            </w:pPr>
            <w:r>
              <w:rPr>
                <w:rFonts w:hint="eastAsia" w:ascii="宋体" w:hAnsi="宋体" w:eastAsia="宋体" w:cs="宋体"/>
                <w:color w:val="auto"/>
                <w:spacing w:val="-4"/>
                <w:highlight w:val="none"/>
              </w:rPr>
              <w:t>5</w:t>
            </w:r>
            <w:r>
              <w:rPr>
                <w:rFonts w:hint="eastAsia" w:ascii="宋体" w:hAnsi="宋体" w:eastAsia="宋体" w:cs="宋体"/>
                <w:color w:val="auto"/>
                <w:spacing w:val="-2"/>
                <w:highlight w:val="none"/>
              </w:rPr>
              <w:t>.2</w:t>
            </w:r>
          </w:p>
        </w:tc>
        <w:tc>
          <w:tcPr>
            <w:tcW w:w="1847" w:type="dxa"/>
          </w:tcPr>
          <w:p>
            <w:pPr>
              <w:spacing w:before="109" w:line="360" w:lineRule="auto"/>
              <w:jc w:val="center"/>
              <w:rPr>
                <w:rFonts w:ascii="宋体" w:hAnsi="宋体" w:eastAsia="宋体" w:cs="宋体"/>
                <w:color w:val="auto"/>
                <w:spacing w:val="-1"/>
                <w:highlight w:val="none"/>
              </w:rPr>
            </w:pPr>
            <w:r>
              <w:rPr>
                <w:rFonts w:hint="eastAsia" w:ascii="宋体" w:hAnsi="宋体" w:eastAsia="宋体" w:cs="宋体"/>
                <w:color w:val="auto"/>
                <w:spacing w:val="-2"/>
                <w:highlight w:val="none"/>
              </w:rPr>
              <w:t>开标</w:t>
            </w:r>
            <w:r>
              <w:rPr>
                <w:rFonts w:hint="eastAsia" w:ascii="宋体" w:hAnsi="宋体" w:eastAsia="宋体" w:cs="宋体"/>
                <w:color w:val="auto"/>
                <w:spacing w:val="-1"/>
                <w:highlight w:val="none"/>
              </w:rPr>
              <w:t>程序</w:t>
            </w:r>
          </w:p>
        </w:tc>
        <w:tc>
          <w:tcPr>
            <w:tcW w:w="7244" w:type="dxa"/>
          </w:tcPr>
          <w:p>
            <w:pPr>
              <w:spacing w:before="108" w:line="360" w:lineRule="auto"/>
              <w:ind w:left="117"/>
              <w:rPr>
                <w:rFonts w:ascii="宋体" w:hAnsi="宋体" w:eastAsia="宋体" w:cs="宋体"/>
                <w:color w:val="auto"/>
                <w:spacing w:val="-5"/>
                <w:highlight w:val="none"/>
              </w:rPr>
            </w:pPr>
            <w:r>
              <w:rPr>
                <w:rFonts w:hint="eastAsia" w:ascii="宋体" w:hAnsi="宋体" w:eastAsia="宋体" w:cs="宋体"/>
                <w:color w:val="auto"/>
                <w:spacing w:val="-10"/>
                <w:highlight w:val="none"/>
              </w:rPr>
              <w:t>见</w:t>
            </w:r>
            <w:r>
              <w:rPr>
                <w:rFonts w:hint="eastAsia" w:ascii="宋体" w:hAnsi="宋体" w:eastAsia="宋体" w:cs="宋体"/>
                <w:color w:val="auto"/>
                <w:spacing w:val="-8"/>
                <w:highlight w:val="none"/>
              </w:rPr>
              <w:t>正文 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820" w:type="dxa"/>
          </w:tcPr>
          <w:p>
            <w:pPr>
              <w:spacing w:line="360" w:lineRule="auto"/>
              <w:rPr>
                <w:rFonts w:ascii="宋体" w:hAnsi="宋体" w:eastAsia="宋体" w:cs="宋体"/>
                <w:color w:val="auto"/>
                <w:highlight w:val="none"/>
              </w:rPr>
            </w:pPr>
          </w:p>
          <w:p>
            <w:pPr>
              <w:spacing w:before="68" w:line="360" w:lineRule="auto"/>
              <w:ind w:left="218"/>
              <w:rPr>
                <w:rFonts w:ascii="宋体" w:hAnsi="宋体" w:eastAsia="宋体" w:cs="宋体"/>
                <w:color w:val="auto"/>
                <w:spacing w:val="-2"/>
                <w:highlight w:val="none"/>
              </w:rPr>
            </w:pPr>
            <w:r>
              <w:rPr>
                <w:rFonts w:hint="eastAsia" w:ascii="宋体" w:hAnsi="宋体" w:eastAsia="宋体" w:cs="宋体"/>
                <w:color w:val="auto"/>
                <w:spacing w:val="-2"/>
                <w:highlight w:val="none"/>
              </w:rPr>
              <w:t>6</w:t>
            </w:r>
            <w:r>
              <w:rPr>
                <w:rFonts w:hint="eastAsia" w:ascii="宋体" w:hAnsi="宋体" w:eastAsia="宋体" w:cs="宋体"/>
                <w:color w:val="auto"/>
                <w:spacing w:val="-1"/>
                <w:highlight w:val="none"/>
              </w:rPr>
              <w:t>.1.1</w:t>
            </w:r>
          </w:p>
        </w:tc>
        <w:tc>
          <w:tcPr>
            <w:tcW w:w="1847" w:type="dxa"/>
          </w:tcPr>
          <w:p>
            <w:pPr>
              <w:spacing w:before="288" w:line="360" w:lineRule="auto"/>
              <w:jc w:val="center"/>
              <w:rPr>
                <w:rFonts w:ascii="宋体" w:hAnsi="宋体" w:eastAsia="宋体" w:cs="宋体"/>
                <w:color w:val="auto"/>
                <w:spacing w:val="-1"/>
                <w:highlight w:val="none"/>
              </w:rPr>
            </w:pPr>
            <w:r>
              <w:rPr>
                <w:rFonts w:hint="eastAsia" w:ascii="宋体" w:hAnsi="宋体" w:eastAsia="宋体" w:cs="宋体"/>
                <w:color w:val="auto"/>
                <w:spacing w:val="-1"/>
                <w:highlight w:val="none"/>
              </w:rPr>
              <w:t>评标委员</w:t>
            </w:r>
            <w:r>
              <w:rPr>
                <w:rFonts w:hint="eastAsia" w:ascii="宋体" w:hAnsi="宋体" w:eastAsia="宋体" w:cs="宋体"/>
                <w:color w:val="auto"/>
                <w:highlight w:val="none"/>
              </w:rPr>
              <w:t>会的组建</w:t>
            </w:r>
          </w:p>
        </w:tc>
        <w:tc>
          <w:tcPr>
            <w:tcW w:w="7244" w:type="dxa"/>
          </w:tcPr>
          <w:p>
            <w:pPr>
              <w:spacing w:before="108" w:line="360" w:lineRule="auto"/>
              <w:ind w:left="112"/>
              <w:rPr>
                <w:rFonts w:ascii="宋体" w:hAnsi="宋体" w:eastAsia="宋体" w:cs="宋体"/>
                <w:color w:val="auto"/>
                <w:highlight w:val="none"/>
              </w:rPr>
            </w:pPr>
            <w:r>
              <w:rPr>
                <w:rFonts w:hint="eastAsia" w:ascii="宋体" w:hAnsi="宋体" w:eastAsia="宋体" w:cs="宋体"/>
                <w:color w:val="auto"/>
                <w:spacing w:val="-12"/>
                <w:highlight w:val="none"/>
              </w:rPr>
              <w:t>评标委员会构成：5 人，其中招标人代表 1人，专家4人</w:t>
            </w:r>
            <w:r>
              <w:rPr>
                <w:rFonts w:hint="eastAsia" w:ascii="宋体" w:hAnsi="宋体" w:eastAsia="宋体" w:cs="宋体"/>
                <w:color w:val="auto"/>
                <w:spacing w:val="-8"/>
                <w:highlight w:val="none"/>
              </w:rPr>
              <w:t>。</w:t>
            </w:r>
          </w:p>
          <w:p>
            <w:pPr>
              <w:spacing w:before="109" w:line="360" w:lineRule="auto"/>
              <w:ind w:left="112"/>
              <w:rPr>
                <w:rFonts w:ascii="宋体" w:hAnsi="宋体" w:eastAsia="宋体" w:cs="宋体"/>
                <w:color w:val="auto"/>
                <w:spacing w:val="-5"/>
                <w:highlight w:val="none"/>
              </w:rPr>
            </w:pPr>
            <w:r>
              <w:rPr>
                <w:rFonts w:hint="eastAsia" w:ascii="宋体" w:hAnsi="宋体" w:eastAsia="宋体" w:cs="宋体"/>
                <w:color w:val="auto"/>
                <w:spacing w:val="-4"/>
                <w:highlight w:val="none"/>
              </w:rPr>
              <w:t>评标专家确定方式：开标前从政府采购云系统中随机抽取</w:t>
            </w:r>
            <w:r>
              <w:rPr>
                <w:rFonts w:hint="eastAsia" w:ascii="宋体" w:hAnsi="宋体" w:eastAsia="宋体" w:cs="宋体"/>
                <w:color w:val="auto"/>
                <w:spacing w:val="-2"/>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820" w:type="dxa"/>
          </w:tcPr>
          <w:p>
            <w:pPr>
              <w:spacing w:before="144" w:line="360" w:lineRule="auto"/>
              <w:ind w:left="324"/>
              <w:rPr>
                <w:rFonts w:ascii="宋体" w:hAnsi="宋体" w:eastAsia="宋体" w:cs="宋体"/>
                <w:color w:val="auto"/>
                <w:spacing w:val="-2"/>
                <w:highlight w:val="none"/>
              </w:rPr>
            </w:pPr>
            <w:r>
              <w:rPr>
                <w:rFonts w:hint="eastAsia" w:ascii="宋体" w:hAnsi="宋体" w:eastAsia="宋体" w:cs="宋体"/>
                <w:color w:val="auto"/>
                <w:spacing w:val="-2"/>
                <w:highlight w:val="none"/>
              </w:rPr>
              <w:t>6.3</w:t>
            </w:r>
          </w:p>
        </w:tc>
        <w:tc>
          <w:tcPr>
            <w:tcW w:w="1847" w:type="dxa"/>
          </w:tcPr>
          <w:p>
            <w:pPr>
              <w:spacing w:before="109" w:line="360" w:lineRule="auto"/>
              <w:jc w:val="center"/>
              <w:rPr>
                <w:rFonts w:ascii="宋体" w:hAnsi="宋体" w:eastAsia="宋体" w:cs="宋体"/>
                <w:color w:val="auto"/>
                <w:spacing w:val="-1"/>
                <w:highlight w:val="none"/>
              </w:rPr>
            </w:pPr>
            <w:r>
              <w:rPr>
                <w:rFonts w:hint="eastAsia" w:ascii="宋体" w:hAnsi="宋体" w:eastAsia="宋体" w:cs="宋体"/>
                <w:color w:val="auto"/>
                <w:spacing w:val="-1"/>
                <w:highlight w:val="none"/>
              </w:rPr>
              <w:t>评标方式</w:t>
            </w:r>
          </w:p>
        </w:tc>
        <w:tc>
          <w:tcPr>
            <w:tcW w:w="7244" w:type="dxa"/>
          </w:tcPr>
          <w:p>
            <w:pPr>
              <w:spacing w:before="109" w:line="360" w:lineRule="auto"/>
              <w:ind w:left="116"/>
              <w:rPr>
                <w:rFonts w:ascii="宋体" w:hAnsi="宋体" w:eastAsia="宋体" w:cs="宋体"/>
                <w:color w:val="auto"/>
                <w:spacing w:val="-4"/>
                <w:highlight w:val="none"/>
              </w:rPr>
            </w:pPr>
            <w:r>
              <w:rPr>
                <w:rFonts w:hint="eastAsia" w:ascii="宋体" w:hAnsi="宋体" w:eastAsia="宋体" w:cs="宋体"/>
                <w:color w:val="auto"/>
                <w:spacing w:val="-2"/>
                <w:highlight w:val="none"/>
              </w:rPr>
              <w:t>综合评</w:t>
            </w:r>
            <w:r>
              <w:rPr>
                <w:rFonts w:hint="eastAsia" w:ascii="宋体" w:hAnsi="宋体" w:eastAsia="宋体" w:cs="宋体"/>
                <w:color w:val="auto"/>
                <w:spacing w:val="-1"/>
                <w:highlight w:val="none"/>
              </w:rPr>
              <w:t>估法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820" w:type="dxa"/>
          </w:tcPr>
          <w:p>
            <w:pPr>
              <w:spacing w:line="360" w:lineRule="auto"/>
              <w:jc w:val="center"/>
              <w:rPr>
                <w:rFonts w:ascii="宋体" w:hAnsi="宋体" w:eastAsia="宋体" w:cs="宋体"/>
                <w:color w:val="auto"/>
                <w:highlight w:val="none"/>
              </w:rPr>
            </w:pPr>
          </w:p>
          <w:p>
            <w:pPr>
              <w:spacing w:before="68" w:line="360" w:lineRule="auto"/>
              <w:ind w:left="327"/>
              <w:jc w:val="both"/>
              <w:rPr>
                <w:rFonts w:ascii="宋体" w:hAnsi="宋体" w:eastAsia="宋体" w:cs="宋体"/>
                <w:color w:val="auto"/>
                <w:spacing w:val="-2"/>
                <w:highlight w:val="none"/>
              </w:rPr>
            </w:pPr>
            <w:r>
              <w:rPr>
                <w:rFonts w:hint="eastAsia" w:ascii="宋体" w:hAnsi="宋体" w:eastAsia="宋体" w:cs="宋体"/>
                <w:color w:val="auto"/>
                <w:spacing w:val="-4"/>
                <w:highlight w:val="none"/>
              </w:rPr>
              <w:t>7</w:t>
            </w:r>
            <w:r>
              <w:rPr>
                <w:rFonts w:hint="eastAsia" w:ascii="宋体" w:hAnsi="宋体" w:eastAsia="宋体" w:cs="宋体"/>
                <w:color w:val="auto"/>
                <w:spacing w:val="-2"/>
                <w:highlight w:val="none"/>
              </w:rPr>
              <w:t>.1</w:t>
            </w:r>
          </w:p>
        </w:tc>
        <w:tc>
          <w:tcPr>
            <w:tcW w:w="1847" w:type="dxa"/>
          </w:tcPr>
          <w:p>
            <w:pPr>
              <w:spacing w:before="111" w:line="360" w:lineRule="auto"/>
              <w:ind w:right="137"/>
              <w:jc w:val="center"/>
              <w:rPr>
                <w:rFonts w:ascii="宋体" w:hAnsi="宋体" w:eastAsia="宋体" w:cs="宋体"/>
                <w:color w:val="auto"/>
                <w:spacing w:val="-1"/>
                <w:highlight w:val="none"/>
              </w:rPr>
            </w:pPr>
            <w:r>
              <w:rPr>
                <w:rFonts w:hint="eastAsia" w:ascii="宋体" w:hAnsi="宋体" w:eastAsia="宋体" w:cs="宋体"/>
                <w:color w:val="auto"/>
                <w:spacing w:val="-1"/>
                <w:highlight w:val="none"/>
              </w:rPr>
              <w:t>是否授权评标委员</w:t>
            </w:r>
            <w:r>
              <w:rPr>
                <w:rFonts w:hint="eastAsia" w:ascii="宋体" w:hAnsi="宋体" w:eastAsia="宋体" w:cs="宋体"/>
                <w:color w:val="auto"/>
                <w:highlight w:val="none"/>
              </w:rPr>
              <w:t>会确定</w:t>
            </w:r>
            <w:r>
              <w:rPr>
                <w:rFonts w:hint="eastAsia" w:ascii="宋体" w:hAnsi="宋体" w:eastAsia="宋体" w:cs="宋体"/>
                <w:color w:val="auto"/>
                <w:spacing w:val="-7"/>
                <w:highlight w:val="none"/>
              </w:rPr>
              <w:t>中</w:t>
            </w:r>
            <w:r>
              <w:rPr>
                <w:rFonts w:hint="eastAsia" w:ascii="宋体" w:hAnsi="宋体" w:eastAsia="宋体" w:cs="宋体"/>
                <w:color w:val="auto"/>
                <w:spacing w:val="-5"/>
                <w:highlight w:val="none"/>
              </w:rPr>
              <w:t>标人</w:t>
            </w:r>
          </w:p>
        </w:tc>
        <w:tc>
          <w:tcPr>
            <w:tcW w:w="7244" w:type="dxa"/>
          </w:tcPr>
          <w:p>
            <w:pPr>
              <w:spacing w:before="112" w:line="360" w:lineRule="auto"/>
              <w:ind w:left="135"/>
              <w:rPr>
                <w:rFonts w:ascii="宋体" w:hAnsi="宋体" w:eastAsia="宋体" w:cs="宋体"/>
                <w:color w:val="auto"/>
                <w:highlight w:val="none"/>
              </w:rPr>
            </w:pPr>
            <w:r>
              <w:rPr>
                <w:rFonts w:hint="eastAsia" w:ascii="宋体" w:hAnsi="宋体" w:eastAsia="宋体" w:cs="宋体"/>
                <w:color w:val="auto"/>
                <w:spacing w:val="-7"/>
                <w:highlight w:val="none"/>
              </w:rPr>
              <w:t>□是</w:t>
            </w:r>
            <w:bookmarkStart w:id="3722" w:name="_GoBack"/>
            <w:bookmarkEnd w:id="3722"/>
          </w:p>
          <w:p>
            <w:pPr>
              <w:spacing w:before="80" w:line="360" w:lineRule="auto"/>
              <w:ind w:left="124"/>
              <w:rPr>
                <w:rFonts w:ascii="宋体" w:hAnsi="宋体" w:eastAsia="宋体" w:cs="宋体"/>
                <w:color w:val="auto"/>
                <w:spacing w:val="-4"/>
                <w:highlight w:val="none"/>
              </w:rPr>
            </w:pPr>
            <w:r>
              <w:rPr>
                <w:rFonts w:hint="eastAsia" w:ascii="宋体" w:hAnsi="宋体" w:eastAsia="宋体" w:cs="宋体"/>
                <w:color w:val="auto"/>
                <w:spacing w:val="-7"/>
                <w:highlight w:val="none"/>
              </w:rPr>
              <w:t xml:space="preserve">☑否，推荐的中标候选人数 </w:t>
            </w:r>
            <w:r>
              <w:rPr>
                <w:rFonts w:hint="eastAsia" w:ascii="宋体" w:hAnsi="宋体" w:eastAsia="宋体" w:cs="宋体"/>
                <w:color w:val="auto"/>
                <w:spacing w:val="-7"/>
                <w:highlight w:val="none"/>
                <w:u w:val="single"/>
              </w:rPr>
              <w:t xml:space="preserve">3 </w:t>
            </w:r>
            <w:r>
              <w:rPr>
                <w:rFonts w:hint="eastAsia" w:ascii="宋体" w:hAnsi="宋体" w:eastAsia="宋体" w:cs="宋体"/>
                <w:color w:val="auto"/>
                <w:spacing w:val="-6"/>
                <w:highlight w:val="none"/>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820" w:type="dxa"/>
          </w:tcPr>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before="68" w:line="360" w:lineRule="auto"/>
              <w:rPr>
                <w:rFonts w:ascii="宋体" w:hAnsi="宋体" w:eastAsia="宋体" w:cs="宋体"/>
                <w:color w:val="auto"/>
                <w:spacing w:val="-2"/>
                <w:highlight w:val="none"/>
              </w:rPr>
            </w:pPr>
          </w:p>
          <w:p>
            <w:pPr>
              <w:spacing w:before="68"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7.3.</w:t>
            </w:r>
            <w:r>
              <w:rPr>
                <w:rFonts w:hint="eastAsia" w:ascii="宋体" w:hAnsi="宋体" w:eastAsia="宋体" w:cs="宋体"/>
                <w:color w:val="auto"/>
                <w:spacing w:val="-1"/>
                <w:highlight w:val="none"/>
              </w:rPr>
              <w:t>1</w:t>
            </w:r>
          </w:p>
        </w:tc>
        <w:tc>
          <w:tcPr>
            <w:tcW w:w="1847" w:type="dxa"/>
          </w:tcPr>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p>
          <w:p>
            <w:pPr>
              <w:spacing w:before="68" w:line="360" w:lineRule="auto"/>
              <w:jc w:val="center"/>
              <w:rPr>
                <w:rFonts w:ascii="宋体" w:hAnsi="宋体" w:eastAsia="宋体" w:cs="宋体"/>
                <w:color w:val="auto"/>
                <w:spacing w:val="-1"/>
                <w:highlight w:val="none"/>
              </w:rPr>
            </w:pPr>
            <w:r>
              <w:rPr>
                <w:rFonts w:hint="eastAsia" w:ascii="宋体" w:hAnsi="宋体" w:eastAsia="宋体" w:cs="宋体"/>
                <w:color w:val="auto"/>
                <w:spacing w:val="-3"/>
                <w:highlight w:val="none"/>
              </w:rPr>
              <w:t>履</w:t>
            </w:r>
            <w:r>
              <w:rPr>
                <w:rFonts w:hint="eastAsia" w:ascii="宋体" w:hAnsi="宋体" w:eastAsia="宋体" w:cs="宋体"/>
                <w:color w:val="auto"/>
                <w:spacing w:val="-2"/>
                <w:highlight w:val="none"/>
              </w:rPr>
              <w:t>约担保</w:t>
            </w:r>
          </w:p>
        </w:tc>
        <w:tc>
          <w:tcPr>
            <w:tcW w:w="7244" w:type="dxa"/>
          </w:tcPr>
          <w:p>
            <w:pPr>
              <w:spacing w:before="111" w:line="360" w:lineRule="auto"/>
              <w:ind w:left="114" w:right="30" w:firstLine="2"/>
              <w:rPr>
                <w:rFonts w:ascii="宋体" w:hAnsi="宋体" w:eastAsia="宋体" w:cs="宋体"/>
                <w:color w:val="auto"/>
                <w:highlight w:val="none"/>
              </w:rPr>
            </w:pPr>
            <w:r>
              <w:rPr>
                <w:rFonts w:hint="eastAsia" w:ascii="宋体" w:hAnsi="宋体" w:eastAsia="宋体" w:cs="宋体"/>
                <w:color w:val="auto"/>
                <w:spacing w:val="4"/>
                <w:highlight w:val="none"/>
              </w:rPr>
              <w:t xml:space="preserve">履约保证金金额按中标价的 </w:t>
            </w:r>
            <w:r>
              <w:rPr>
                <w:rFonts w:hint="eastAsia" w:ascii="宋体" w:hAnsi="宋体" w:eastAsia="宋体" w:cs="宋体"/>
                <w:b/>
                <w:bCs/>
                <w:color w:val="auto"/>
                <w:spacing w:val="4"/>
                <w:highlight w:val="none"/>
              </w:rPr>
              <w:t>3%</w:t>
            </w:r>
            <w:r>
              <w:rPr>
                <w:rFonts w:hint="eastAsia" w:ascii="宋体" w:hAnsi="宋体" w:eastAsia="宋体" w:cs="宋体"/>
                <w:color w:val="auto"/>
                <w:spacing w:val="4"/>
                <w:highlight w:val="none"/>
              </w:rPr>
              <w:t xml:space="preserve"> (人民币，四舍五入到元)缴纳</w:t>
            </w:r>
            <w:r>
              <w:rPr>
                <w:rFonts w:hint="eastAsia" w:ascii="宋体" w:hAnsi="宋体" w:eastAsia="宋体" w:cs="宋体"/>
                <w:color w:val="auto"/>
                <w:spacing w:val="2"/>
                <w:highlight w:val="none"/>
              </w:rPr>
              <w:t>，</w:t>
            </w:r>
            <w:r>
              <w:rPr>
                <w:rFonts w:hint="eastAsia" w:ascii="宋体" w:hAnsi="宋体" w:eastAsia="宋体" w:cs="宋体"/>
                <w:color w:val="auto"/>
                <w:highlight w:val="none"/>
              </w:rPr>
              <w:t>由</w:t>
            </w:r>
            <w:r>
              <w:rPr>
                <w:rFonts w:hint="eastAsia" w:ascii="宋体" w:hAnsi="宋体" w:eastAsia="宋体" w:cs="宋体"/>
                <w:color w:val="auto"/>
                <w:spacing w:val="-12"/>
                <w:highlight w:val="none"/>
              </w:rPr>
              <w:t>中</w:t>
            </w:r>
            <w:r>
              <w:rPr>
                <w:rFonts w:hint="eastAsia" w:ascii="宋体" w:hAnsi="宋体" w:eastAsia="宋体" w:cs="宋体"/>
                <w:color w:val="auto"/>
                <w:spacing w:val="-9"/>
                <w:highlight w:val="none"/>
              </w:rPr>
              <w:t>标</w:t>
            </w:r>
            <w:r>
              <w:rPr>
                <w:rFonts w:hint="eastAsia" w:ascii="宋体" w:hAnsi="宋体" w:eastAsia="宋体" w:cs="宋体"/>
                <w:color w:val="auto"/>
                <w:spacing w:val="-6"/>
                <w:highlight w:val="none"/>
              </w:rPr>
              <w:t>人在签订合同前将履约保证金以支票、汇票、本票或者金融机构、</w:t>
            </w:r>
            <w:r>
              <w:rPr>
                <w:rFonts w:hint="eastAsia" w:ascii="宋体" w:hAnsi="宋体" w:eastAsia="宋体" w:cs="宋体"/>
                <w:color w:val="auto"/>
                <w:spacing w:val="-1"/>
                <w:highlight w:val="none"/>
              </w:rPr>
              <w:t>担保机构出具的保函等非现金形式缴入招标人指定账</w:t>
            </w:r>
            <w:r>
              <w:rPr>
                <w:rFonts w:hint="eastAsia" w:ascii="宋体" w:hAnsi="宋体" w:eastAsia="宋体" w:cs="宋体"/>
                <w:color w:val="auto"/>
                <w:highlight w:val="none"/>
              </w:rPr>
              <w:t>户。</w:t>
            </w:r>
          </w:p>
          <w:p>
            <w:pPr>
              <w:spacing w:before="2" w:line="360" w:lineRule="auto"/>
              <w:ind w:left="115" w:right="102" w:firstLine="18"/>
              <w:rPr>
                <w:rFonts w:ascii="宋体" w:hAnsi="宋体" w:eastAsia="宋体" w:cs="宋体"/>
                <w:color w:val="auto"/>
                <w:highlight w:val="none"/>
              </w:rPr>
            </w:pPr>
            <w:r>
              <w:rPr>
                <w:rFonts w:hint="eastAsia" w:ascii="宋体" w:hAnsi="宋体" w:eastAsia="宋体" w:cs="宋体"/>
                <w:color w:val="auto"/>
                <w:spacing w:val="-6"/>
                <w:highlight w:val="none"/>
              </w:rPr>
              <w:t>中标人履行完合同约定权利义务事项后，凭《政府采购项目履约验</w:t>
            </w:r>
            <w:r>
              <w:rPr>
                <w:rFonts w:hint="eastAsia" w:ascii="宋体" w:hAnsi="宋体" w:eastAsia="宋体" w:cs="宋体"/>
                <w:color w:val="auto"/>
                <w:spacing w:val="-3"/>
                <w:highlight w:val="none"/>
              </w:rPr>
              <w:t>收</w:t>
            </w:r>
            <w:r>
              <w:rPr>
                <w:rFonts w:hint="eastAsia" w:ascii="宋体" w:hAnsi="宋体" w:eastAsia="宋体" w:cs="宋体"/>
                <w:color w:val="auto"/>
                <w:spacing w:val="-2"/>
                <w:highlight w:val="none"/>
              </w:rPr>
              <w:t>单》和履约保证金转款凭证向采购人申请办理退还手续，采购人</w:t>
            </w:r>
            <w:r>
              <w:rPr>
                <w:rFonts w:hint="eastAsia" w:ascii="宋体" w:hAnsi="宋体" w:eastAsia="宋体" w:cs="宋体"/>
                <w:color w:val="auto"/>
                <w:spacing w:val="-1"/>
                <w:highlight w:val="none"/>
              </w:rPr>
              <w:t>应</w:t>
            </w:r>
            <w:r>
              <w:rPr>
                <w:rFonts w:hint="eastAsia" w:ascii="宋体" w:hAnsi="宋体" w:eastAsia="宋体" w:cs="宋体"/>
                <w:color w:val="auto"/>
                <w:highlight w:val="none"/>
              </w:rPr>
              <w:t>当</w:t>
            </w:r>
            <w:r>
              <w:rPr>
                <w:rFonts w:hint="eastAsia" w:ascii="宋体" w:hAnsi="宋体" w:eastAsia="宋体" w:cs="宋体"/>
                <w:color w:val="auto"/>
                <w:spacing w:val="-8"/>
                <w:highlight w:val="none"/>
              </w:rPr>
              <w:t>自收到退还</w:t>
            </w:r>
            <w:r>
              <w:rPr>
                <w:rFonts w:hint="eastAsia" w:ascii="宋体" w:hAnsi="宋体" w:eastAsia="宋体" w:cs="宋体"/>
                <w:color w:val="auto"/>
                <w:spacing w:val="-5"/>
                <w:highlight w:val="none"/>
              </w:rPr>
              <w:t>资</w:t>
            </w:r>
            <w:r>
              <w:rPr>
                <w:rFonts w:hint="eastAsia" w:ascii="宋体" w:hAnsi="宋体" w:eastAsia="宋体" w:cs="宋体"/>
                <w:color w:val="auto"/>
                <w:spacing w:val="-4"/>
                <w:highlight w:val="none"/>
              </w:rPr>
              <w:t>料之日起 5 个工作日内退还其履约保证金。</w:t>
            </w:r>
          </w:p>
          <w:p>
            <w:pPr>
              <w:spacing w:before="2" w:line="360" w:lineRule="auto"/>
              <w:ind w:left="116" w:right="102" w:hanging="3"/>
              <w:rPr>
                <w:rFonts w:ascii="宋体" w:hAnsi="宋体" w:eastAsia="宋体" w:cs="宋体"/>
                <w:color w:val="auto"/>
                <w:spacing w:val="-4"/>
                <w:highlight w:val="none"/>
              </w:rPr>
            </w:pPr>
            <w:r>
              <w:rPr>
                <w:rFonts w:hint="eastAsia" w:ascii="宋体" w:hAnsi="宋体" w:eastAsia="宋体" w:cs="宋体"/>
                <w:color w:val="auto"/>
                <w:spacing w:val="-10"/>
                <w:highlight w:val="none"/>
              </w:rPr>
              <w:t>注</w:t>
            </w:r>
            <w:r>
              <w:rPr>
                <w:rFonts w:hint="eastAsia" w:ascii="宋体" w:hAnsi="宋体" w:eastAsia="宋体" w:cs="宋体"/>
                <w:color w:val="auto"/>
                <w:spacing w:val="-8"/>
                <w:highlight w:val="none"/>
              </w:rPr>
              <w:t>：</w:t>
            </w:r>
            <w:r>
              <w:rPr>
                <w:rFonts w:hint="eastAsia" w:ascii="宋体" w:hAnsi="宋体" w:eastAsia="宋体" w:cs="宋体"/>
                <w:color w:val="auto"/>
                <w:spacing w:val="-5"/>
                <w:highlight w:val="none"/>
              </w:rPr>
              <w:t xml:space="preserve"> 根据桂林市财政局《关于进一步贯彻落实政府采购优化营商环境</w:t>
            </w:r>
            <w:r>
              <w:rPr>
                <w:rFonts w:hint="eastAsia" w:ascii="宋体" w:hAnsi="宋体" w:eastAsia="宋体" w:cs="宋体"/>
                <w:color w:val="auto"/>
                <w:spacing w:val="-10"/>
                <w:highlight w:val="none"/>
              </w:rPr>
              <w:t>百</w:t>
            </w:r>
            <w:r>
              <w:rPr>
                <w:rFonts w:hint="eastAsia" w:ascii="宋体" w:hAnsi="宋体" w:eastAsia="宋体" w:cs="宋体"/>
                <w:color w:val="auto"/>
                <w:spacing w:val="-9"/>
                <w:highlight w:val="none"/>
              </w:rPr>
              <w:t>日</w:t>
            </w:r>
            <w:r>
              <w:rPr>
                <w:rFonts w:hint="eastAsia" w:ascii="宋体" w:hAnsi="宋体" w:eastAsia="宋体" w:cs="宋体"/>
                <w:color w:val="auto"/>
                <w:spacing w:val="-5"/>
                <w:highlight w:val="none"/>
              </w:rPr>
              <w:t>攻坚行动方案的通知》，本项目中标人如为小微企业的，则免收</w:t>
            </w:r>
            <w:r>
              <w:rPr>
                <w:rFonts w:hint="eastAsia" w:ascii="宋体" w:hAnsi="宋体" w:eastAsia="宋体" w:cs="宋体"/>
                <w:color w:val="auto"/>
                <w:spacing w:val="-2"/>
                <w:highlight w:val="none"/>
              </w:rPr>
              <w:t>履约</w:t>
            </w:r>
            <w:r>
              <w:rPr>
                <w:rFonts w:hint="eastAsia" w:ascii="宋体" w:hAnsi="宋体" w:eastAsia="宋体" w:cs="宋体"/>
                <w:color w:val="auto"/>
                <w:spacing w:val="-1"/>
                <w:highlight w:val="none"/>
              </w:rPr>
              <w:t>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820" w:type="dxa"/>
          </w:tcPr>
          <w:p>
            <w:pPr>
              <w:spacing w:before="203" w:line="360" w:lineRule="auto"/>
              <w:ind w:left="390"/>
              <w:rPr>
                <w:rFonts w:ascii="宋体" w:hAnsi="宋体" w:eastAsia="宋体" w:cs="宋体"/>
                <w:color w:val="auto"/>
                <w:spacing w:val="-2"/>
                <w:highlight w:val="none"/>
              </w:rPr>
            </w:pPr>
            <w:r>
              <w:rPr>
                <w:rFonts w:hint="eastAsia" w:ascii="宋体" w:hAnsi="宋体" w:eastAsia="宋体" w:cs="宋体"/>
                <w:color w:val="auto"/>
                <w:spacing w:val="-7"/>
                <w:highlight w:val="none"/>
              </w:rPr>
              <w:t>1</w:t>
            </w:r>
            <w:r>
              <w:rPr>
                <w:rFonts w:hint="eastAsia" w:ascii="宋体" w:hAnsi="宋体" w:eastAsia="宋体" w:cs="宋体"/>
                <w:color w:val="auto"/>
                <w:spacing w:val="-5"/>
                <w:highlight w:val="none"/>
              </w:rPr>
              <w:t>0</w:t>
            </w:r>
          </w:p>
        </w:tc>
        <w:tc>
          <w:tcPr>
            <w:tcW w:w="9091" w:type="dxa"/>
            <w:gridSpan w:val="2"/>
          </w:tcPr>
          <w:p>
            <w:pPr>
              <w:spacing w:before="203" w:line="360" w:lineRule="auto"/>
              <w:ind w:left="390"/>
              <w:rPr>
                <w:rFonts w:ascii="宋体" w:hAnsi="宋体" w:eastAsia="宋体" w:cs="宋体"/>
                <w:color w:val="auto"/>
                <w:spacing w:val="-10"/>
                <w:highlight w:val="none"/>
              </w:rPr>
            </w:pPr>
            <w:r>
              <w:rPr>
                <w:rFonts w:hint="eastAsia" w:ascii="宋体" w:hAnsi="宋体" w:eastAsia="宋体" w:cs="宋体"/>
                <w:color w:val="auto"/>
                <w:spacing w:val="-2"/>
                <w:highlight w:val="none"/>
              </w:rPr>
              <w:t>需要补充的其</w:t>
            </w:r>
            <w:r>
              <w:rPr>
                <w:rFonts w:hint="eastAsia" w:ascii="宋体" w:hAnsi="宋体" w:eastAsia="宋体" w:cs="宋体"/>
                <w:color w:val="auto"/>
                <w:spacing w:val="-1"/>
                <w:highlight w:val="none"/>
              </w:rPr>
              <w:t>他内容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9911" w:type="dxa"/>
            <w:gridSpan w:val="3"/>
            <w:vAlign w:val="center"/>
          </w:tcPr>
          <w:p>
            <w:pPr>
              <w:spacing w:before="2" w:line="360" w:lineRule="auto"/>
              <w:ind w:left="116" w:right="102" w:hanging="3"/>
              <w:jc w:val="both"/>
              <w:rPr>
                <w:rFonts w:ascii="宋体" w:hAnsi="宋体" w:eastAsia="宋体" w:cs="宋体"/>
                <w:color w:val="auto"/>
                <w:spacing w:val="-10"/>
                <w:highlight w:val="none"/>
              </w:rPr>
            </w:pPr>
            <w:r>
              <w:rPr>
                <w:rFonts w:hint="eastAsia" w:ascii="宋体" w:hAnsi="宋体" w:eastAsia="宋体" w:cs="宋体"/>
                <w:color w:val="auto"/>
                <w:spacing w:val="-4"/>
                <w:highlight w:val="none"/>
              </w:rPr>
              <w:t>1</w:t>
            </w:r>
            <w:r>
              <w:rPr>
                <w:rFonts w:hint="eastAsia" w:ascii="宋体" w:hAnsi="宋体" w:eastAsia="宋体" w:cs="宋体"/>
                <w:color w:val="auto"/>
                <w:spacing w:val="-3"/>
                <w:highlight w:val="none"/>
              </w:rPr>
              <w:t>0</w:t>
            </w:r>
            <w:r>
              <w:rPr>
                <w:rFonts w:hint="eastAsia" w:ascii="宋体" w:hAnsi="宋体" w:eastAsia="宋体" w:cs="宋体"/>
                <w:color w:val="auto"/>
                <w:spacing w:val="-2"/>
                <w:highlight w:val="none"/>
              </w:rPr>
              <w:t>.1 词语定义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820" w:type="dxa"/>
          </w:tcPr>
          <w:p>
            <w:pPr>
              <w:spacing w:before="203" w:line="360" w:lineRule="auto"/>
              <w:ind w:left="179"/>
              <w:rPr>
                <w:rFonts w:ascii="宋体" w:hAnsi="宋体" w:eastAsia="宋体" w:cs="宋体"/>
                <w:color w:val="auto"/>
                <w:spacing w:val="-2"/>
                <w:highlight w:val="none"/>
              </w:rPr>
            </w:pPr>
            <w:r>
              <w:rPr>
                <w:rFonts w:hint="eastAsia" w:ascii="宋体" w:hAnsi="宋体" w:eastAsia="宋体" w:cs="宋体"/>
                <w:color w:val="auto"/>
                <w:spacing w:val="-3"/>
                <w:highlight w:val="none"/>
              </w:rPr>
              <w:t>10.1.</w:t>
            </w:r>
            <w:r>
              <w:rPr>
                <w:rFonts w:hint="eastAsia" w:ascii="宋体" w:hAnsi="宋体" w:eastAsia="宋体" w:cs="宋体"/>
                <w:color w:val="auto"/>
                <w:spacing w:val="-2"/>
                <w:highlight w:val="none"/>
              </w:rPr>
              <w:t>1</w:t>
            </w:r>
          </w:p>
        </w:tc>
        <w:tc>
          <w:tcPr>
            <w:tcW w:w="1847" w:type="dxa"/>
            <w:vAlign w:val="center"/>
          </w:tcPr>
          <w:p>
            <w:pPr>
              <w:spacing w:before="168" w:line="360" w:lineRule="auto"/>
              <w:jc w:val="center"/>
              <w:rPr>
                <w:rFonts w:ascii="宋体" w:hAnsi="宋体" w:eastAsia="宋体" w:cs="宋体"/>
                <w:color w:val="auto"/>
                <w:spacing w:val="-3"/>
                <w:highlight w:val="none"/>
              </w:rPr>
            </w:pPr>
            <w:r>
              <w:rPr>
                <w:rFonts w:hint="eastAsia" w:ascii="宋体" w:hAnsi="宋体" w:eastAsia="宋体" w:cs="宋体"/>
                <w:color w:val="auto"/>
                <w:spacing w:val="-2"/>
                <w:highlight w:val="none"/>
              </w:rPr>
              <w:t>类</w:t>
            </w:r>
            <w:r>
              <w:rPr>
                <w:rFonts w:hint="eastAsia" w:ascii="宋体" w:hAnsi="宋体" w:eastAsia="宋体" w:cs="宋体"/>
                <w:color w:val="auto"/>
                <w:spacing w:val="-1"/>
                <w:highlight w:val="none"/>
              </w:rPr>
              <w:t>似项目</w:t>
            </w:r>
          </w:p>
        </w:tc>
        <w:tc>
          <w:tcPr>
            <w:tcW w:w="7244" w:type="dxa"/>
          </w:tcPr>
          <w:p>
            <w:pPr>
              <w:spacing w:before="159" w:line="360" w:lineRule="auto"/>
              <w:ind w:left="113"/>
              <w:rPr>
                <w:rFonts w:ascii="宋体" w:hAnsi="宋体" w:eastAsia="宋体" w:cs="宋体"/>
                <w:color w:val="auto"/>
                <w:spacing w:val="-10"/>
                <w:highlight w:val="none"/>
              </w:rPr>
            </w:pPr>
            <w:r>
              <w:rPr>
                <w:rFonts w:hint="eastAsia" w:ascii="宋体" w:hAnsi="宋体" w:eastAsia="宋体" w:cs="宋体"/>
                <w:color w:val="auto"/>
                <w:spacing w:val="-14"/>
                <w:highlight w:val="none"/>
              </w:rPr>
              <w:t>类</w:t>
            </w:r>
            <w:r>
              <w:rPr>
                <w:rFonts w:hint="eastAsia" w:ascii="宋体" w:hAnsi="宋体" w:eastAsia="宋体" w:cs="宋体"/>
                <w:color w:val="auto"/>
                <w:spacing w:val="-7"/>
                <w:highlight w:val="none"/>
              </w:rPr>
              <w:t>似</w:t>
            </w:r>
            <w:r>
              <w:rPr>
                <w:rFonts w:hint="eastAsia" w:ascii="宋体" w:hAnsi="宋体" w:eastAsia="宋体" w:cs="宋体"/>
                <w:color w:val="auto"/>
                <w:spacing w:val="-7"/>
                <w:highlight w:val="none"/>
              </w:rPr>
              <w:t>项目是指：</w:t>
            </w:r>
            <w:r>
              <w:rPr>
                <w:rFonts w:hint="eastAsia" w:ascii="宋体" w:hAnsi="宋体" w:eastAsia="宋体" w:cs="宋体"/>
                <w:b/>
                <w:bCs/>
                <w:color w:val="auto"/>
                <w:spacing w:val="-7"/>
                <w:highlight w:val="none"/>
              </w:rPr>
              <w:t>工程造价 700 万元以上的市政公用工程</w:t>
            </w:r>
            <w:r>
              <w:rPr>
                <w:rFonts w:hint="eastAsia" w:ascii="宋体" w:hAnsi="宋体" w:eastAsia="宋体" w:cs="宋体"/>
                <w:color w:val="auto"/>
                <w:spacing w:val="-7"/>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820" w:type="dxa"/>
          </w:tcPr>
          <w:p>
            <w:pPr>
              <w:spacing w:line="360" w:lineRule="auto"/>
              <w:rPr>
                <w:rFonts w:ascii="宋体" w:hAnsi="宋体" w:eastAsia="宋体" w:cs="宋体"/>
                <w:color w:val="auto"/>
                <w:highlight w:val="none"/>
              </w:rPr>
            </w:pPr>
          </w:p>
          <w:p>
            <w:pPr>
              <w:spacing w:before="68" w:line="360" w:lineRule="auto"/>
              <w:ind w:left="179"/>
              <w:rPr>
                <w:rFonts w:ascii="宋体" w:hAnsi="宋体" w:eastAsia="宋体" w:cs="宋体"/>
                <w:color w:val="auto"/>
                <w:spacing w:val="-2"/>
                <w:highlight w:val="none"/>
              </w:rPr>
            </w:pPr>
            <w:r>
              <w:rPr>
                <w:rFonts w:hint="eastAsia" w:ascii="宋体" w:hAnsi="宋体" w:eastAsia="宋体" w:cs="宋体"/>
                <w:color w:val="auto"/>
                <w:spacing w:val="-3"/>
                <w:highlight w:val="none"/>
              </w:rPr>
              <w:t>10.1.</w:t>
            </w:r>
            <w:r>
              <w:rPr>
                <w:rFonts w:hint="eastAsia" w:ascii="宋体" w:hAnsi="宋体" w:eastAsia="宋体" w:cs="宋体"/>
                <w:color w:val="auto"/>
                <w:spacing w:val="-2"/>
                <w:highlight w:val="none"/>
              </w:rPr>
              <w:t>2</w:t>
            </w:r>
          </w:p>
        </w:tc>
        <w:tc>
          <w:tcPr>
            <w:tcW w:w="1847" w:type="dxa"/>
            <w:vAlign w:val="center"/>
          </w:tcPr>
          <w:p>
            <w:pPr>
              <w:spacing w:before="69" w:line="360" w:lineRule="auto"/>
              <w:jc w:val="center"/>
              <w:rPr>
                <w:rFonts w:ascii="宋体" w:hAnsi="宋体" w:eastAsia="宋体" w:cs="宋体"/>
                <w:color w:val="auto"/>
                <w:spacing w:val="-3"/>
                <w:highlight w:val="none"/>
              </w:rPr>
            </w:pPr>
            <w:r>
              <w:rPr>
                <w:rFonts w:hint="eastAsia" w:ascii="宋体" w:hAnsi="宋体" w:eastAsia="宋体" w:cs="宋体"/>
                <w:color w:val="auto"/>
                <w:spacing w:val="-2"/>
                <w:highlight w:val="none"/>
              </w:rPr>
              <w:t>不良</w:t>
            </w:r>
            <w:r>
              <w:rPr>
                <w:rFonts w:hint="eastAsia" w:ascii="宋体" w:hAnsi="宋体" w:eastAsia="宋体" w:cs="宋体"/>
                <w:color w:val="auto"/>
                <w:spacing w:val="-1"/>
                <w:highlight w:val="none"/>
              </w:rPr>
              <w:t>行为记录</w:t>
            </w:r>
          </w:p>
        </w:tc>
        <w:tc>
          <w:tcPr>
            <w:tcW w:w="7244" w:type="dxa"/>
          </w:tcPr>
          <w:p>
            <w:pPr>
              <w:spacing w:before="80" w:line="360" w:lineRule="auto"/>
              <w:ind w:left="97" w:right="81" w:firstLine="19"/>
              <w:rPr>
                <w:rFonts w:ascii="宋体" w:hAnsi="宋体" w:eastAsia="宋体" w:cs="宋体"/>
                <w:color w:val="auto"/>
                <w:spacing w:val="-10"/>
                <w:highlight w:val="none"/>
              </w:rPr>
            </w:pPr>
            <w:r>
              <w:rPr>
                <w:rFonts w:hint="eastAsia" w:ascii="宋体" w:hAnsi="宋体" w:eastAsia="宋体" w:cs="宋体"/>
                <w:color w:val="auto"/>
                <w:spacing w:val="-14"/>
                <w:highlight w:val="none"/>
              </w:rPr>
              <w:t>不良</w:t>
            </w:r>
            <w:r>
              <w:rPr>
                <w:rFonts w:hint="eastAsia" w:ascii="宋体" w:hAnsi="宋体" w:eastAsia="宋体" w:cs="宋体"/>
                <w:color w:val="auto"/>
                <w:spacing w:val="-10"/>
                <w:highlight w:val="none"/>
              </w:rPr>
              <w:t>行</w:t>
            </w:r>
            <w:r>
              <w:rPr>
                <w:rFonts w:hint="eastAsia" w:ascii="宋体" w:hAnsi="宋体" w:eastAsia="宋体" w:cs="宋体"/>
                <w:color w:val="auto"/>
                <w:spacing w:val="-7"/>
                <w:highlight w:val="none"/>
              </w:rPr>
              <w:t>为记录是指：如近 3 年不存在发生质量或安全生产责任事故、</w:t>
            </w:r>
            <w:r>
              <w:rPr>
                <w:rFonts w:hint="eastAsia" w:ascii="宋体" w:hAnsi="宋体" w:eastAsia="宋体" w:cs="宋体"/>
                <w:color w:val="auto"/>
                <w:spacing w:val="-1"/>
                <w:highlight w:val="none"/>
              </w:rPr>
              <w:t>“三包一靠”建筑市场违法行为、拖欠农</w:t>
            </w:r>
            <w:r>
              <w:rPr>
                <w:rFonts w:hint="eastAsia" w:ascii="宋体" w:hAnsi="宋体" w:eastAsia="宋体" w:cs="宋体"/>
                <w:color w:val="auto"/>
                <w:highlight w:val="none"/>
              </w:rPr>
              <w:t>民工工资引发集体性上访、</w:t>
            </w:r>
            <w:r>
              <w:rPr>
                <w:rFonts w:hint="eastAsia" w:ascii="宋体" w:hAnsi="宋体" w:eastAsia="宋体" w:cs="宋体"/>
                <w:color w:val="auto"/>
                <w:spacing w:val="1"/>
                <w:highlight w:val="none"/>
              </w:rPr>
              <w:t>弄虚作假投标违法违规行</w:t>
            </w:r>
            <w:r>
              <w:rPr>
                <w:rFonts w:hint="eastAsia" w:ascii="宋体" w:hAnsi="宋体" w:eastAsia="宋体" w:cs="宋体"/>
                <w:color w:val="auto"/>
                <w:highlight w:val="none"/>
              </w:rPr>
              <w:t>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9911" w:type="dxa"/>
            <w:gridSpan w:val="3"/>
            <w:vAlign w:val="center"/>
          </w:tcPr>
          <w:p>
            <w:pPr>
              <w:spacing w:before="80" w:line="360" w:lineRule="auto"/>
              <w:ind w:left="97" w:right="81" w:firstLine="19"/>
              <w:jc w:val="both"/>
              <w:rPr>
                <w:rFonts w:ascii="宋体" w:hAnsi="宋体" w:eastAsia="宋体" w:cs="宋体"/>
                <w:color w:val="auto"/>
                <w:spacing w:val="-14"/>
                <w:highlight w:val="none"/>
              </w:rPr>
            </w:pPr>
            <w:r>
              <w:rPr>
                <w:rFonts w:hint="eastAsia" w:ascii="宋体" w:hAnsi="宋体" w:eastAsia="宋体" w:cs="宋体"/>
                <w:color w:val="auto"/>
                <w:spacing w:val="-3"/>
                <w:highlight w:val="none"/>
              </w:rPr>
              <w:t>1</w:t>
            </w:r>
            <w:r>
              <w:rPr>
                <w:rFonts w:hint="eastAsia" w:ascii="宋体" w:hAnsi="宋体" w:eastAsia="宋体" w:cs="宋体"/>
                <w:color w:val="auto"/>
                <w:spacing w:val="-2"/>
                <w:highlight w:val="none"/>
              </w:rPr>
              <w:t>0.2 招标控制价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7" w:hRule="atLeast"/>
        </w:trPr>
        <w:tc>
          <w:tcPr>
            <w:tcW w:w="820" w:type="dxa"/>
          </w:tcPr>
          <w:p>
            <w:pPr>
              <w:spacing w:before="68" w:line="360" w:lineRule="auto"/>
              <w:ind w:left="179"/>
              <w:rPr>
                <w:rFonts w:ascii="宋体" w:hAnsi="宋体" w:eastAsia="宋体" w:cs="宋体"/>
                <w:color w:val="auto"/>
                <w:spacing w:val="-3"/>
                <w:highlight w:val="none"/>
              </w:rPr>
            </w:pPr>
          </w:p>
        </w:tc>
        <w:tc>
          <w:tcPr>
            <w:tcW w:w="1847" w:type="dxa"/>
            <w:vAlign w:val="center"/>
          </w:tcPr>
          <w:p>
            <w:pPr>
              <w:spacing w:before="68"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招</w:t>
            </w:r>
            <w:r>
              <w:rPr>
                <w:rFonts w:hint="eastAsia" w:ascii="宋体" w:hAnsi="宋体" w:eastAsia="宋体" w:cs="宋体"/>
                <w:color w:val="auto"/>
                <w:spacing w:val="-1"/>
                <w:highlight w:val="none"/>
              </w:rPr>
              <w:t>标控制价</w:t>
            </w:r>
          </w:p>
        </w:tc>
        <w:tc>
          <w:tcPr>
            <w:tcW w:w="7244" w:type="dxa"/>
          </w:tcPr>
          <w:p>
            <w:pPr>
              <w:spacing w:before="118" w:line="360" w:lineRule="auto"/>
              <w:ind w:right="104" w:firstLine="400" w:firstLineChars="200"/>
              <w:rPr>
                <w:rFonts w:ascii="宋体" w:hAnsi="宋体" w:eastAsia="宋体" w:cs="宋体"/>
                <w:color w:val="auto"/>
                <w:highlight w:val="none"/>
              </w:rPr>
            </w:pPr>
            <w:r>
              <w:rPr>
                <w:rFonts w:hint="eastAsia" w:ascii="宋体" w:hAnsi="宋体" w:eastAsia="宋体" w:cs="宋体"/>
                <w:color w:val="auto"/>
                <w:spacing w:val="-5"/>
                <w:highlight w:val="none"/>
              </w:rPr>
              <w:t>工程预算总造价为</w:t>
            </w:r>
            <w:r>
              <w:rPr>
                <w:rFonts w:hint="eastAsia" w:ascii="宋体" w:hAnsi="宋体" w:eastAsia="宋体" w:cs="宋体"/>
                <w:color w:val="auto"/>
                <w:spacing w:val="-5"/>
                <w:highlight w:val="none"/>
                <w:u w:val="single"/>
              </w:rPr>
              <w:t xml:space="preserve"> </w:t>
            </w:r>
            <w:r>
              <w:rPr>
                <w:rFonts w:hint="eastAsia" w:ascii="宋体" w:hAnsi="宋体" w:eastAsia="宋体" w:cs="宋体"/>
                <w:color w:val="auto"/>
                <w:spacing w:val="-5"/>
                <w:highlight w:val="none"/>
                <w:u w:val="single"/>
                <w:lang w:val="en-US" w:eastAsia="zh-CN"/>
              </w:rPr>
              <w:t>7443902.95</w:t>
            </w:r>
            <w:r>
              <w:rPr>
                <w:rFonts w:hint="eastAsia" w:ascii="宋体" w:hAnsi="宋体" w:eastAsia="宋体" w:cs="宋体"/>
                <w:color w:val="auto"/>
                <w:spacing w:val="-6"/>
                <w:highlight w:val="none"/>
                <w:u w:val="single"/>
              </w:rPr>
              <w:t xml:space="preserve"> </w:t>
            </w:r>
            <w:r>
              <w:rPr>
                <w:rFonts w:hint="eastAsia" w:ascii="宋体" w:hAnsi="宋体" w:eastAsia="宋体" w:cs="宋体"/>
                <w:color w:val="auto"/>
                <w:spacing w:val="-6"/>
                <w:highlight w:val="none"/>
              </w:rPr>
              <w:t>元</w:t>
            </w:r>
            <w:r>
              <w:rPr>
                <w:rFonts w:hint="eastAsia" w:ascii="宋体" w:hAnsi="宋体" w:eastAsia="宋体" w:cs="宋体"/>
                <w:color w:val="auto"/>
                <w:spacing w:val="-6"/>
                <w:highlight w:val="none"/>
              </w:rPr>
              <w:t>【其中：</w:t>
            </w:r>
            <w:r>
              <w:rPr>
                <w:rFonts w:hint="eastAsia" w:ascii="宋体" w:hAnsi="宋体" w:eastAsia="宋体" w:cs="宋体"/>
                <w:color w:val="auto"/>
                <w:spacing w:val="-6"/>
                <w:highlight w:val="none"/>
                <w:lang w:val="en-US" w:eastAsia="zh-CN"/>
              </w:rPr>
              <w:t>投标报价</w:t>
            </w:r>
            <w:r>
              <w:rPr>
                <w:rFonts w:hint="eastAsia" w:ascii="宋体" w:hAnsi="宋体" w:eastAsia="宋体" w:cs="宋体"/>
                <w:color w:val="auto"/>
                <w:spacing w:val="-6"/>
                <w:highlight w:val="none"/>
                <w:lang w:val="en-US" w:eastAsia="zh-CN"/>
              </w:rPr>
              <w:t>7443902.95元</w:t>
            </w:r>
            <w:r>
              <w:rPr>
                <w:rFonts w:hint="eastAsia" w:ascii="宋体" w:hAnsi="宋体" w:eastAsia="宋体" w:cs="宋体"/>
                <w:color w:val="auto"/>
                <w:spacing w:val="-6"/>
                <w:highlight w:val="none"/>
                <w:lang w:val="en-US" w:eastAsia="zh-CN"/>
              </w:rPr>
              <w:t>，</w:t>
            </w:r>
            <w:r>
              <w:rPr>
                <w:rFonts w:hint="eastAsia" w:ascii="宋体" w:hAnsi="宋体" w:eastAsia="宋体" w:cs="宋体"/>
                <w:color w:val="auto"/>
                <w:spacing w:val="-6"/>
                <w:highlight w:val="none"/>
              </w:rPr>
              <w:t>安全文明施工费</w:t>
            </w:r>
            <w:r>
              <w:rPr>
                <w:rFonts w:hint="eastAsia" w:ascii="宋体" w:hAnsi="宋体" w:eastAsia="宋体" w:cs="宋体"/>
                <w:color w:val="auto"/>
                <w:spacing w:val="-6"/>
                <w:highlight w:val="none"/>
                <w:u w:val="single"/>
                <w:lang w:val="en-US" w:eastAsia="zh-CN"/>
              </w:rPr>
              <w:t>175524.27</w:t>
            </w:r>
            <w:r>
              <w:rPr>
                <w:rFonts w:hint="eastAsia" w:ascii="宋体" w:hAnsi="宋体" w:eastAsia="宋体" w:cs="宋体"/>
                <w:color w:val="auto"/>
                <w:spacing w:val="-10"/>
                <w:highlight w:val="none"/>
              </w:rPr>
              <w:t>元</w:t>
            </w:r>
            <w:r>
              <w:rPr>
                <w:rFonts w:hint="eastAsia" w:ascii="宋体" w:hAnsi="宋体" w:eastAsia="宋体" w:cs="宋体"/>
                <w:color w:val="auto"/>
                <w:spacing w:val="-7"/>
                <w:highlight w:val="none"/>
              </w:rPr>
              <w:t>，</w:t>
            </w:r>
            <w:r>
              <w:rPr>
                <w:rFonts w:hint="eastAsia" w:ascii="宋体" w:hAnsi="宋体" w:eastAsia="宋体" w:cs="宋体"/>
                <w:color w:val="auto"/>
                <w:spacing w:val="-5"/>
                <w:highlight w:val="none"/>
              </w:rPr>
              <w:t>规费</w:t>
            </w:r>
            <w:r>
              <w:rPr>
                <w:rFonts w:hint="eastAsia" w:ascii="宋体" w:hAnsi="宋体" w:eastAsia="宋体" w:cs="宋体"/>
                <w:color w:val="auto"/>
                <w:spacing w:val="-5"/>
                <w:highlight w:val="none"/>
                <w:u w:val="single"/>
                <w:lang w:val="en-US" w:eastAsia="zh-CN"/>
              </w:rPr>
              <w:t>307796.34</w:t>
            </w:r>
            <w:r>
              <w:rPr>
                <w:rFonts w:hint="eastAsia" w:ascii="宋体" w:hAnsi="宋体" w:eastAsia="宋体" w:cs="宋体"/>
                <w:color w:val="auto"/>
                <w:spacing w:val="-5"/>
                <w:highlight w:val="none"/>
              </w:rPr>
              <w:t>元</w:t>
            </w:r>
            <w:r>
              <w:rPr>
                <w:rFonts w:hint="eastAsia" w:ascii="宋体" w:hAnsi="宋体" w:eastAsia="宋体" w:cs="宋体"/>
                <w:color w:val="auto"/>
                <w:spacing w:val="-10"/>
                <w:highlight w:val="none"/>
              </w:rPr>
              <w:t>，增值税</w:t>
            </w:r>
            <w:r>
              <w:rPr>
                <w:rFonts w:hint="eastAsia" w:ascii="宋体" w:hAnsi="宋体" w:eastAsia="宋体" w:cs="宋体"/>
                <w:color w:val="auto"/>
                <w:spacing w:val="-10"/>
                <w:highlight w:val="none"/>
              </w:rPr>
              <w:t xml:space="preserve"> </w:t>
            </w:r>
            <w:r>
              <w:rPr>
                <w:rFonts w:hint="eastAsia" w:ascii="宋体" w:hAnsi="宋体" w:eastAsia="宋体" w:cs="宋体"/>
                <w:color w:val="auto"/>
                <w:spacing w:val="-10"/>
                <w:highlight w:val="none"/>
                <w:u w:val="single"/>
                <w:lang w:val="en-US" w:eastAsia="zh-CN"/>
              </w:rPr>
              <w:t>614634.18</w:t>
            </w:r>
            <w:r>
              <w:rPr>
                <w:rFonts w:hint="eastAsia" w:ascii="宋体" w:hAnsi="宋体" w:eastAsia="宋体" w:cs="宋体"/>
                <w:color w:val="auto"/>
                <w:spacing w:val="-10"/>
                <w:highlight w:val="none"/>
              </w:rPr>
              <w:t>元</w:t>
            </w:r>
            <w:r>
              <w:rPr>
                <w:rFonts w:hint="eastAsia" w:ascii="宋体" w:hAnsi="宋体" w:eastAsia="宋体" w:cs="宋体"/>
                <w:color w:val="auto"/>
                <w:spacing w:val="-10"/>
                <w:highlight w:val="none"/>
                <w:lang w:eastAsia="zh-CN"/>
              </w:rPr>
              <w:t>，暂估价</w:t>
            </w:r>
            <w:r>
              <w:rPr>
                <w:rFonts w:hint="eastAsia" w:ascii="宋体" w:hAnsi="宋体" w:eastAsia="宋体" w:cs="宋体"/>
                <w:color w:val="auto"/>
                <w:spacing w:val="-10"/>
                <w:highlight w:val="none"/>
                <w:u w:val="single"/>
                <w:lang w:val="en-US" w:eastAsia="zh-CN"/>
              </w:rPr>
              <w:t>1558000</w:t>
            </w:r>
            <w:r>
              <w:rPr>
                <w:rFonts w:hint="eastAsia" w:ascii="宋体" w:hAnsi="宋体" w:eastAsia="宋体" w:cs="宋体"/>
                <w:color w:val="auto"/>
                <w:spacing w:val="-10"/>
                <w:highlight w:val="none"/>
                <w:lang w:val="en-US" w:eastAsia="zh-CN"/>
              </w:rPr>
              <w:t>元</w:t>
            </w:r>
            <w:r>
              <w:rPr>
                <w:rFonts w:hint="eastAsia" w:ascii="宋体" w:hAnsi="宋体" w:eastAsia="宋体" w:cs="宋体"/>
                <w:color w:val="auto"/>
                <w:spacing w:val="-10"/>
                <w:highlight w:val="none"/>
              </w:rPr>
              <w:t>】。</w:t>
            </w:r>
            <w:r>
              <w:rPr>
                <w:rFonts w:hint="eastAsia" w:ascii="宋体" w:hAnsi="宋体" w:eastAsia="宋体" w:cs="宋体"/>
                <w:color w:val="auto"/>
                <w:spacing w:val="-7"/>
                <w:highlight w:val="none"/>
              </w:rPr>
              <w:t>投标人的</w:t>
            </w:r>
            <w:r>
              <w:rPr>
                <w:rFonts w:hint="eastAsia" w:ascii="宋体" w:hAnsi="宋体" w:eastAsia="宋体" w:cs="宋体"/>
                <w:color w:val="auto"/>
                <w:spacing w:val="-2"/>
                <w:highlight w:val="none"/>
              </w:rPr>
              <w:t>投标报价</w:t>
            </w:r>
            <w:r>
              <w:rPr>
                <w:rFonts w:hint="eastAsia" w:ascii="宋体" w:hAnsi="宋体" w:eastAsia="宋体" w:cs="宋体"/>
                <w:color w:val="auto"/>
                <w:spacing w:val="-2"/>
                <w:highlight w:val="none"/>
              </w:rPr>
              <w:t>(含安全防护、文明施工措施费、规费、增值税/税费</w:t>
            </w:r>
            <w:r>
              <w:rPr>
                <w:rFonts w:hint="eastAsia" w:ascii="宋体" w:hAnsi="宋体" w:eastAsia="宋体" w:cs="宋体"/>
                <w:color w:val="auto"/>
                <w:spacing w:val="-2"/>
                <w:highlight w:val="none"/>
                <w:lang w:eastAsia="zh-CN"/>
              </w:rPr>
              <w:t>、</w:t>
            </w:r>
            <w:r>
              <w:rPr>
                <w:rFonts w:hint="eastAsia" w:ascii="宋体" w:hAnsi="宋体" w:eastAsia="宋体" w:cs="宋体"/>
                <w:color w:val="auto"/>
                <w:spacing w:val="-10"/>
                <w:highlight w:val="none"/>
                <w:lang w:eastAsia="zh-CN"/>
              </w:rPr>
              <w:t>暂估价</w:t>
            </w:r>
            <w:r>
              <w:rPr>
                <w:rFonts w:hint="eastAsia" w:ascii="宋体" w:hAnsi="宋体" w:eastAsia="宋体" w:cs="宋体"/>
                <w:color w:val="auto"/>
                <w:spacing w:val="-2"/>
                <w:highlight w:val="none"/>
              </w:rPr>
              <w:t>)</w:t>
            </w:r>
            <w:r>
              <w:rPr>
                <w:rFonts w:hint="eastAsia" w:ascii="宋体" w:hAnsi="宋体" w:eastAsia="宋体" w:cs="宋体"/>
                <w:color w:val="auto"/>
                <w:spacing w:val="-2"/>
                <w:highlight w:val="none"/>
              </w:rPr>
              <w:t>高于最高</w:t>
            </w:r>
            <w:r>
              <w:rPr>
                <w:rFonts w:hint="eastAsia" w:ascii="宋体" w:hAnsi="宋体" w:eastAsia="宋体" w:cs="宋体"/>
                <w:color w:val="auto"/>
                <w:spacing w:val="-2"/>
                <w:highlight w:val="none"/>
                <w:lang w:val="en-US" w:eastAsia="zh-CN"/>
              </w:rPr>
              <w:t>工程预算总价</w:t>
            </w:r>
            <w:r>
              <w:rPr>
                <w:rFonts w:hint="eastAsia" w:ascii="宋体" w:hAnsi="宋体" w:eastAsia="宋体" w:cs="宋体"/>
                <w:color w:val="auto"/>
                <w:spacing w:val="-2"/>
                <w:highlight w:val="none"/>
              </w:rPr>
              <w:t>为无效投标</w:t>
            </w:r>
            <w:r>
              <w:rPr>
                <w:rFonts w:hint="eastAsia" w:ascii="宋体" w:hAnsi="宋体" w:eastAsia="宋体" w:cs="宋体"/>
                <w:color w:val="auto"/>
                <w:spacing w:val="-7"/>
                <w:highlight w:val="none"/>
              </w:rPr>
              <w:t>。</w:t>
            </w:r>
            <w:r>
              <w:rPr>
                <w:rFonts w:hint="eastAsia" w:ascii="宋体" w:hAnsi="宋体" w:eastAsia="宋体" w:cs="宋体"/>
                <w:color w:val="auto"/>
                <w:spacing w:val="-10"/>
                <w:highlight w:val="none"/>
                <w:lang w:eastAsia="zh-CN"/>
              </w:rPr>
              <w:t>暂估价</w:t>
            </w:r>
            <w:r>
              <w:rPr>
                <w:rFonts w:hint="eastAsia" w:ascii="宋体" w:hAnsi="宋体" w:eastAsia="宋体" w:cs="宋体"/>
                <w:color w:val="auto"/>
                <w:spacing w:val="-7"/>
                <w:highlight w:val="none"/>
              </w:rPr>
              <w:t>作为不可竞争</w:t>
            </w:r>
            <w:r>
              <w:rPr>
                <w:rFonts w:hint="eastAsia" w:ascii="宋体" w:hAnsi="宋体" w:eastAsia="宋体" w:cs="宋体"/>
                <w:color w:val="auto"/>
                <w:spacing w:val="-1"/>
                <w:highlight w:val="none"/>
              </w:rPr>
              <w:t>费用单列。</w:t>
            </w:r>
            <w:r>
              <w:rPr>
                <w:rFonts w:hint="eastAsia" w:ascii="宋体" w:hAnsi="宋体" w:eastAsia="宋体" w:cs="宋体"/>
                <w:color w:val="auto"/>
                <w:highlight w:val="none"/>
              </w:rPr>
              <w:t>扬尘防治费在投标报价建安费之外单列。</w:t>
            </w:r>
          </w:p>
          <w:p>
            <w:pPr>
              <w:spacing w:before="2" w:line="360" w:lineRule="auto"/>
              <w:ind w:right="102" w:firstLine="388" w:firstLineChars="200"/>
              <w:rPr>
                <w:rFonts w:ascii="宋体" w:hAnsi="宋体" w:eastAsia="宋体" w:cs="宋体"/>
                <w:color w:val="auto"/>
                <w:spacing w:val="-14"/>
                <w:highlight w:val="none"/>
              </w:rPr>
            </w:pPr>
            <w:r>
              <w:rPr>
                <w:rFonts w:hint="eastAsia" w:ascii="宋体" w:hAnsi="宋体" w:eastAsia="宋体" w:cs="宋体"/>
                <w:color w:val="auto"/>
                <w:spacing w:val="-8"/>
                <w:highlight w:val="none"/>
              </w:rPr>
              <w:t>根据市住建〔2016〕34 号文《关于市建成区、临桂新区、灵川县范围内建筑工程新增扬尘防治费用的通知》及根据市住建〔2018〕32 号文《桂林十县范围内建筑工程新增扬尘防治费用的通知》，另计扬尘防治费，本项目扬尘防治费</w:t>
            </w:r>
            <w:r>
              <w:rPr>
                <w:rFonts w:hint="eastAsia" w:ascii="宋体" w:hAnsi="宋体" w:eastAsia="宋体" w:cs="宋体"/>
                <w:color w:val="auto"/>
                <w:spacing w:val="-8"/>
                <w:highlight w:val="none"/>
                <w:u w:val="single"/>
                <w:lang w:val="en-US" w:eastAsia="zh-CN"/>
              </w:rPr>
              <w:t>59551.22</w:t>
            </w:r>
            <w:r>
              <w:rPr>
                <w:rFonts w:hint="eastAsia" w:ascii="宋体" w:hAnsi="宋体" w:eastAsia="宋体" w:cs="宋体"/>
                <w:color w:val="auto"/>
                <w:spacing w:val="-8"/>
                <w:highlight w:val="none"/>
                <w:u w:val="single"/>
              </w:rPr>
              <w:t xml:space="preserve"> </w:t>
            </w:r>
            <w:r>
              <w:rPr>
                <w:rFonts w:hint="eastAsia" w:ascii="宋体" w:hAnsi="宋体" w:eastAsia="宋体" w:cs="宋体"/>
                <w:color w:val="auto"/>
                <w:spacing w:val="-8"/>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20" w:type="dxa"/>
            <w:vAlign w:val="center"/>
          </w:tcPr>
          <w:p>
            <w:pPr>
              <w:spacing w:line="360" w:lineRule="auto"/>
              <w:jc w:val="center"/>
              <w:rPr>
                <w:rFonts w:ascii="宋体" w:hAnsi="宋体" w:eastAsia="宋体" w:cs="宋体"/>
                <w:color w:val="auto"/>
                <w:spacing w:val="-3"/>
                <w:highlight w:val="none"/>
              </w:rPr>
            </w:pPr>
            <w:r>
              <w:rPr>
                <w:rFonts w:hint="eastAsia" w:ascii="宋体" w:hAnsi="宋体" w:eastAsia="宋体" w:cs="宋体"/>
                <w:color w:val="auto"/>
                <w:spacing w:val="-8"/>
                <w:highlight w:val="none"/>
              </w:rPr>
              <w:t>1</w:t>
            </w:r>
            <w:r>
              <w:rPr>
                <w:rFonts w:hint="eastAsia" w:ascii="宋体" w:hAnsi="宋体" w:eastAsia="宋体" w:cs="宋体"/>
                <w:color w:val="auto"/>
                <w:spacing w:val="-6"/>
                <w:highlight w:val="none"/>
              </w:rPr>
              <w:t>0.3</w:t>
            </w:r>
          </w:p>
        </w:tc>
        <w:tc>
          <w:tcPr>
            <w:tcW w:w="1847" w:type="dxa"/>
            <w:vAlign w:val="center"/>
          </w:tcPr>
          <w:p>
            <w:pPr>
              <w:spacing w:before="68" w:line="360" w:lineRule="auto"/>
              <w:jc w:val="center"/>
              <w:rPr>
                <w:rFonts w:ascii="宋体" w:hAnsi="宋体" w:eastAsia="宋体" w:cs="宋体"/>
                <w:color w:val="auto"/>
                <w:spacing w:val="-2"/>
                <w:highlight w:val="none"/>
              </w:rPr>
            </w:pPr>
            <w:r>
              <w:rPr>
                <w:rFonts w:hint="eastAsia" w:ascii="宋体" w:hAnsi="宋体" w:eastAsia="宋体" w:cs="宋体"/>
                <w:color w:val="auto"/>
                <w:spacing w:val="-6"/>
                <w:highlight w:val="none"/>
              </w:rPr>
              <w:t>招标代理服务费</w:t>
            </w:r>
          </w:p>
        </w:tc>
        <w:tc>
          <w:tcPr>
            <w:tcW w:w="7244" w:type="dxa"/>
            <w:vAlign w:val="center"/>
          </w:tcPr>
          <w:p>
            <w:pPr>
              <w:spacing w:before="2" w:line="360" w:lineRule="auto"/>
              <w:ind w:right="85"/>
              <w:jc w:val="both"/>
              <w:rPr>
                <w:rFonts w:ascii="宋体" w:hAnsi="宋体" w:eastAsia="宋体" w:cs="宋体"/>
                <w:color w:val="auto"/>
                <w:spacing w:val="-14"/>
                <w:highlight w:val="none"/>
              </w:rPr>
            </w:pPr>
            <w:r>
              <w:rPr>
                <w:rFonts w:hint="eastAsia" w:ascii="宋体" w:hAnsi="宋体" w:eastAsia="宋体" w:cs="宋体"/>
                <w:color w:val="auto"/>
                <w:spacing w:val="-1"/>
                <w:highlight w:val="none"/>
              </w:rPr>
              <w:t>中标供应</w:t>
            </w:r>
            <w:r>
              <w:rPr>
                <w:rFonts w:hint="eastAsia" w:ascii="宋体" w:hAnsi="宋体" w:eastAsia="宋体" w:cs="宋体"/>
                <w:color w:val="auto"/>
                <w:highlight w:val="none"/>
              </w:rPr>
              <w:t>商领取中标通知书前，向广西鑫渠工程咨询有限公司一次性付清招标代理服务</w:t>
            </w:r>
            <w:r>
              <w:rPr>
                <w:rFonts w:hint="eastAsia" w:ascii="宋体" w:hAnsi="宋体" w:eastAsia="宋体" w:cs="宋体"/>
                <w:color w:val="auto"/>
                <w:spacing w:val="-8"/>
                <w:highlight w:val="none"/>
              </w:rPr>
              <w:t>费</w:t>
            </w:r>
            <w:r>
              <w:rPr>
                <w:rFonts w:hint="eastAsia" w:ascii="宋体" w:hAnsi="宋体" w:eastAsia="宋体" w:cs="宋体"/>
                <w:color w:val="auto"/>
                <w:spacing w:val="-4"/>
                <w:highlight w:val="none"/>
              </w:rPr>
              <w:t>，本项目的招标代理服务收费标准参照计价格〔2002〕1980 号《招标代理服务收费管理暂行办</w:t>
            </w:r>
            <w:r>
              <w:rPr>
                <w:rFonts w:hint="eastAsia" w:ascii="宋体" w:hAnsi="宋体" w:eastAsia="宋体" w:cs="宋体"/>
                <w:color w:val="auto"/>
                <w:spacing w:val="-7"/>
                <w:highlight w:val="none"/>
              </w:rPr>
              <w:t>法》 工程类收费标准向中标供应商收取</w:t>
            </w:r>
            <w:r>
              <w:rPr>
                <w:rFonts w:hint="eastAsia" w:ascii="宋体" w:hAnsi="宋体" w:eastAsia="宋体" w:cs="宋体"/>
                <w:color w:val="auto"/>
                <w:spacing w:val="-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820" w:type="dxa"/>
            <w:vAlign w:val="center"/>
          </w:tcPr>
          <w:p>
            <w:pPr>
              <w:spacing w:line="360" w:lineRule="auto"/>
              <w:jc w:val="center"/>
              <w:rPr>
                <w:rFonts w:ascii="宋体" w:hAnsi="宋体" w:eastAsia="宋体" w:cs="宋体"/>
                <w:color w:val="auto"/>
                <w:spacing w:val="-3"/>
                <w:highlight w:val="none"/>
              </w:rPr>
            </w:pPr>
            <w:r>
              <w:rPr>
                <w:rFonts w:hint="eastAsia" w:ascii="宋体" w:hAnsi="宋体" w:eastAsia="宋体" w:cs="宋体"/>
                <w:color w:val="auto"/>
                <w:spacing w:val="-4"/>
                <w:highlight w:val="none"/>
              </w:rPr>
              <w:t>1</w:t>
            </w:r>
            <w:r>
              <w:rPr>
                <w:rFonts w:hint="eastAsia" w:ascii="宋体" w:hAnsi="宋体" w:eastAsia="宋体" w:cs="宋体"/>
                <w:color w:val="auto"/>
                <w:spacing w:val="-3"/>
                <w:highlight w:val="none"/>
              </w:rPr>
              <w:t>0</w:t>
            </w:r>
            <w:r>
              <w:rPr>
                <w:rFonts w:hint="eastAsia" w:ascii="宋体" w:hAnsi="宋体" w:eastAsia="宋体" w:cs="宋体"/>
                <w:color w:val="auto"/>
                <w:spacing w:val="-2"/>
                <w:highlight w:val="none"/>
              </w:rPr>
              <w:t>.4</w:t>
            </w:r>
          </w:p>
        </w:tc>
        <w:tc>
          <w:tcPr>
            <w:tcW w:w="1847" w:type="dxa"/>
            <w:vAlign w:val="center"/>
          </w:tcPr>
          <w:p>
            <w:pPr>
              <w:spacing w:before="68"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知识产权</w:t>
            </w:r>
          </w:p>
        </w:tc>
        <w:tc>
          <w:tcPr>
            <w:tcW w:w="7244" w:type="dxa"/>
            <w:vAlign w:val="center"/>
          </w:tcPr>
          <w:p>
            <w:pPr>
              <w:spacing w:before="2" w:line="360" w:lineRule="auto"/>
              <w:ind w:right="85"/>
              <w:jc w:val="both"/>
              <w:rPr>
                <w:rFonts w:ascii="宋体" w:hAnsi="宋体" w:eastAsia="宋体" w:cs="宋体"/>
                <w:color w:val="auto"/>
                <w:spacing w:val="-14"/>
                <w:highlight w:val="none"/>
              </w:rPr>
            </w:pPr>
            <w:r>
              <w:rPr>
                <w:rFonts w:hint="eastAsia" w:ascii="宋体" w:hAnsi="宋体" w:eastAsia="宋体" w:cs="宋体"/>
                <w:color w:val="auto"/>
                <w:spacing w:val="-4"/>
                <w:highlight w:val="none"/>
              </w:rPr>
              <w:t>构成本</w:t>
            </w:r>
            <w:r>
              <w:rPr>
                <w:rFonts w:hint="eastAsia" w:ascii="宋体" w:hAnsi="宋体" w:eastAsia="宋体" w:cs="宋体"/>
                <w:color w:val="auto"/>
                <w:spacing w:val="-2"/>
                <w:highlight w:val="none"/>
              </w:rPr>
              <w:t>招标文件各个组成部分的文件，未经招标人书面同意，投标人不得擅自复印和用于非本招</w:t>
            </w:r>
            <w:r>
              <w:rPr>
                <w:rFonts w:hint="eastAsia" w:ascii="宋体" w:hAnsi="宋体" w:eastAsia="宋体" w:cs="宋体"/>
                <w:color w:val="auto"/>
                <w:spacing w:val="-6"/>
                <w:highlight w:val="none"/>
              </w:rPr>
              <w:t>标项</w:t>
            </w:r>
            <w:r>
              <w:rPr>
                <w:rFonts w:hint="eastAsia" w:ascii="宋体" w:hAnsi="宋体" w:eastAsia="宋体" w:cs="宋体"/>
                <w:color w:val="auto"/>
                <w:spacing w:val="-3"/>
                <w:highlight w:val="none"/>
              </w:rPr>
              <w:t>目所需的其他目的。招标人全部或者部分使用未中标人投标文件中的技术成果或技术方案时，</w:t>
            </w:r>
            <w:r>
              <w:rPr>
                <w:rFonts w:hint="eastAsia" w:ascii="宋体" w:hAnsi="宋体" w:eastAsia="宋体" w:cs="宋体"/>
                <w:color w:val="auto"/>
                <w:spacing w:val="-5"/>
                <w:highlight w:val="none"/>
              </w:rPr>
              <w:t>需征得其书面同意，并不得擅自复印或提供给第三人</w:t>
            </w:r>
            <w:r>
              <w:rPr>
                <w:rFonts w:hint="eastAsia" w:ascii="宋体" w:hAnsi="宋体" w:eastAsia="宋体" w:cs="宋体"/>
                <w:color w:val="auto"/>
                <w:spacing w:val="-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820" w:type="dxa"/>
            <w:vAlign w:val="center"/>
          </w:tcPr>
          <w:p>
            <w:pPr>
              <w:spacing w:line="360" w:lineRule="auto"/>
              <w:jc w:val="center"/>
              <w:rPr>
                <w:rFonts w:ascii="宋体" w:hAnsi="宋体" w:eastAsia="宋体" w:cs="宋体"/>
                <w:color w:val="auto"/>
                <w:spacing w:val="-3"/>
                <w:highlight w:val="none"/>
              </w:rPr>
            </w:pPr>
            <w:r>
              <w:rPr>
                <w:rFonts w:hint="eastAsia" w:ascii="宋体" w:hAnsi="宋体" w:eastAsia="宋体" w:cs="宋体"/>
                <w:color w:val="auto"/>
                <w:spacing w:val="-2"/>
                <w:highlight w:val="none"/>
              </w:rPr>
              <w:t>10.5</w:t>
            </w:r>
          </w:p>
        </w:tc>
        <w:tc>
          <w:tcPr>
            <w:tcW w:w="1847" w:type="dxa"/>
            <w:vAlign w:val="center"/>
          </w:tcPr>
          <w:p>
            <w:pPr>
              <w:spacing w:before="68"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重新</w:t>
            </w:r>
            <w:r>
              <w:rPr>
                <w:rFonts w:hint="eastAsia" w:ascii="宋体" w:hAnsi="宋体" w:eastAsia="宋体" w:cs="宋体"/>
                <w:color w:val="auto"/>
                <w:spacing w:val="-1"/>
                <w:highlight w:val="none"/>
              </w:rPr>
              <w:t>招标的其他情形</w:t>
            </w:r>
          </w:p>
        </w:tc>
        <w:tc>
          <w:tcPr>
            <w:tcW w:w="7244" w:type="dxa"/>
            <w:vAlign w:val="center"/>
          </w:tcPr>
          <w:p>
            <w:pPr>
              <w:spacing w:before="2" w:line="360" w:lineRule="auto"/>
              <w:ind w:right="85"/>
              <w:jc w:val="both"/>
              <w:rPr>
                <w:rFonts w:ascii="宋体" w:hAnsi="宋体" w:eastAsia="宋体" w:cs="宋体"/>
                <w:color w:val="auto"/>
                <w:spacing w:val="-14"/>
                <w:highlight w:val="none"/>
              </w:rPr>
            </w:pPr>
            <w:r>
              <w:rPr>
                <w:rFonts w:hint="eastAsia" w:ascii="宋体" w:hAnsi="宋体" w:eastAsia="宋体" w:cs="宋体"/>
                <w:color w:val="auto"/>
                <w:spacing w:val="-8"/>
                <w:highlight w:val="none"/>
              </w:rPr>
              <w:t>除投标人须知</w:t>
            </w:r>
            <w:r>
              <w:rPr>
                <w:rFonts w:hint="eastAsia" w:ascii="宋体" w:hAnsi="宋体" w:eastAsia="宋体" w:cs="宋体"/>
                <w:color w:val="auto"/>
                <w:spacing w:val="-6"/>
                <w:highlight w:val="none"/>
              </w:rPr>
              <w:t>正</w:t>
            </w:r>
            <w:r>
              <w:rPr>
                <w:rFonts w:hint="eastAsia" w:ascii="宋体" w:hAnsi="宋体" w:eastAsia="宋体" w:cs="宋体"/>
                <w:color w:val="auto"/>
                <w:spacing w:val="-4"/>
                <w:highlight w:val="none"/>
              </w:rPr>
              <w:t>文第 8 条规定的情形外，除非已经产生中标候选人，在投标有效期内同意延长投</w:t>
            </w:r>
            <w:r>
              <w:rPr>
                <w:rFonts w:hint="eastAsia" w:ascii="宋体" w:hAnsi="宋体" w:eastAsia="宋体" w:cs="宋体"/>
                <w:color w:val="auto"/>
                <w:spacing w:val="1"/>
                <w:highlight w:val="none"/>
              </w:rPr>
              <w:t>标有效期的投标人少于三个的，招</w:t>
            </w:r>
            <w:r>
              <w:rPr>
                <w:rFonts w:hint="eastAsia" w:ascii="宋体" w:hAnsi="宋体" w:eastAsia="宋体" w:cs="宋体"/>
                <w:color w:val="auto"/>
                <w:highlight w:val="none"/>
              </w:rPr>
              <w:t>标人在分析招标失败的原因并采取相应措施后，应当依法重新</w:t>
            </w:r>
            <w:r>
              <w:rPr>
                <w:rFonts w:hint="eastAsia" w:ascii="宋体" w:hAnsi="宋体" w:eastAsia="宋体" w:cs="宋体"/>
                <w:color w:val="auto"/>
                <w:spacing w:val="-8"/>
                <w:highlight w:val="none"/>
              </w:rPr>
              <w:t>招标。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820" w:type="dxa"/>
            <w:vAlign w:val="center"/>
          </w:tcPr>
          <w:p>
            <w:pPr>
              <w:spacing w:line="360" w:lineRule="auto"/>
              <w:jc w:val="center"/>
              <w:rPr>
                <w:rFonts w:ascii="宋体" w:hAnsi="宋体" w:eastAsia="宋体" w:cs="宋体"/>
                <w:color w:val="auto"/>
                <w:spacing w:val="-3"/>
                <w:highlight w:val="none"/>
              </w:rPr>
            </w:pPr>
            <w:r>
              <w:rPr>
                <w:rFonts w:hint="eastAsia" w:ascii="宋体" w:hAnsi="宋体" w:eastAsia="宋体" w:cs="宋体"/>
                <w:color w:val="auto"/>
                <w:spacing w:val="-4"/>
                <w:highlight w:val="none"/>
              </w:rPr>
              <w:t>1</w:t>
            </w:r>
            <w:r>
              <w:rPr>
                <w:rFonts w:hint="eastAsia" w:ascii="宋体" w:hAnsi="宋体" w:eastAsia="宋体" w:cs="宋体"/>
                <w:color w:val="auto"/>
                <w:spacing w:val="-3"/>
                <w:highlight w:val="none"/>
              </w:rPr>
              <w:t>0</w:t>
            </w:r>
            <w:r>
              <w:rPr>
                <w:rFonts w:hint="eastAsia" w:ascii="宋体" w:hAnsi="宋体" w:eastAsia="宋体" w:cs="宋体"/>
                <w:color w:val="auto"/>
                <w:spacing w:val="-2"/>
                <w:highlight w:val="none"/>
              </w:rPr>
              <w:t>.6</w:t>
            </w:r>
          </w:p>
        </w:tc>
        <w:tc>
          <w:tcPr>
            <w:tcW w:w="1847" w:type="dxa"/>
            <w:vAlign w:val="center"/>
          </w:tcPr>
          <w:p>
            <w:pPr>
              <w:spacing w:before="68"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同义词语</w:t>
            </w:r>
          </w:p>
        </w:tc>
        <w:tc>
          <w:tcPr>
            <w:tcW w:w="7244" w:type="dxa"/>
            <w:vAlign w:val="center"/>
          </w:tcPr>
          <w:p>
            <w:pPr>
              <w:spacing w:before="2" w:line="360" w:lineRule="auto"/>
              <w:ind w:right="85"/>
              <w:jc w:val="both"/>
              <w:rPr>
                <w:rFonts w:ascii="宋体" w:hAnsi="宋体" w:eastAsia="宋体" w:cs="宋体"/>
                <w:color w:val="auto"/>
                <w:spacing w:val="-14"/>
                <w:highlight w:val="none"/>
              </w:rPr>
            </w:pPr>
            <w:r>
              <w:rPr>
                <w:rFonts w:hint="eastAsia" w:ascii="宋体" w:hAnsi="宋体" w:eastAsia="宋体" w:cs="宋体"/>
                <w:color w:val="auto"/>
                <w:spacing w:val="1"/>
                <w:highlight w:val="none"/>
              </w:rPr>
              <w:t>构成招标文件组成部分的“</w:t>
            </w:r>
            <w:r>
              <w:rPr>
                <w:rFonts w:hint="eastAsia" w:ascii="宋体" w:hAnsi="宋体" w:eastAsia="宋体" w:cs="宋体"/>
                <w:color w:val="auto"/>
                <w:highlight w:val="none"/>
              </w:rPr>
              <w:t>通用合同条款”、“专用合同条款”、“技术标准和要求”和“工程</w:t>
            </w:r>
            <w:r>
              <w:rPr>
                <w:rFonts w:hint="eastAsia" w:ascii="宋体" w:hAnsi="宋体" w:eastAsia="宋体" w:cs="宋体"/>
                <w:color w:val="auto"/>
                <w:spacing w:val="3"/>
                <w:highlight w:val="none"/>
              </w:rPr>
              <w:t>量清单”等章节中出现的措辞“发包人”和“承包人”，在招标投标阶段应当分别按“招</w:t>
            </w:r>
            <w:r>
              <w:rPr>
                <w:rFonts w:hint="eastAsia" w:ascii="宋体" w:hAnsi="宋体" w:eastAsia="宋体" w:cs="宋体"/>
                <w:color w:val="auto"/>
                <w:spacing w:val="2"/>
                <w:highlight w:val="none"/>
              </w:rPr>
              <w:t>标</w:t>
            </w:r>
            <w:r>
              <w:rPr>
                <w:rFonts w:hint="eastAsia" w:ascii="宋体" w:hAnsi="宋体" w:eastAsia="宋体" w:cs="宋体"/>
                <w:color w:val="auto"/>
                <w:highlight w:val="none"/>
              </w:rPr>
              <w:t>人”</w:t>
            </w:r>
            <w:r>
              <w:rPr>
                <w:rFonts w:hint="eastAsia" w:ascii="宋体" w:hAnsi="宋体" w:eastAsia="宋体" w:cs="宋体"/>
                <w:color w:val="auto"/>
                <w:spacing w:val="-2"/>
                <w:highlight w:val="none"/>
              </w:rPr>
              <w:t>和“投标人”进行理解</w:t>
            </w:r>
            <w:r>
              <w:rPr>
                <w:rFonts w:hint="eastAsia" w:ascii="宋体" w:hAnsi="宋体" w:eastAsia="宋体" w:cs="宋体"/>
                <w:color w:val="auto"/>
                <w:spacing w:val="-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820" w:type="dxa"/>
            <w:vAlign w:val="center"/>
          </w:tcPr>
          <w:p>
            <w:pPr>
              <w:spacing w:line="360" w:lineRule="auto"/>
              <w:jc w:val="center"/>
              <w:rPr>
                <w:rFonts w:ascii="宋体" w:hAnsi="宋体" w:eastAsia="宋体" w:cs="宋体"/>
                <w:color w:val="auto"/>
                <w:spacing w:val="-4"/>
                <w:highlight w:val="none"/>
              </w:rPr>
            </w:pPr>
            <w:r>
              <w:rPr>
                <w:rFonts w:hint="eastAsia" w:ascii="宋体" w:hAnsi="宋体" w:eastAsia="宋体" w:cs="宋体"/>
                <w:color w:val="auto"/>
                <w:spacing w:val="-4"/>
                <w:highlight w:val="none"/>
              </w:rPr>
              <w:t>10</w:t>
            </w:r>
            <w:r>
              <w:rPr>
                <w:rFonts w:hint="eastAsia" w:ascii="宋体" w:hAnsi="宋体" w:eastAsia="宋体" w:cs="宋体"/>
                <w:color w:val="auto"/>
                <w:spacing w:val="-2"/>
                <w:highlight w:val="none"/>
              </w:rPr>
              <w:t>.7</w:t>
            </w:r>
          </w:p>
        </w:tc>
        <w:tc>
          <w:tcPr>
            <w:tcW w:w="1847" w:type="dxa"/>
            <w:vAlign w:val="center"/>
          </w:tcPr>
          <w:p>
            <w:pPr>
              <w:spacing w:before="68"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监督</w:t>
            </w:r>
          </w:p>
        </w:tc>
        <w:tc>
          <w:tcPr>
            <w:tcW w:w="7244" w:type="dxa"/>
            <w:vAlign w:val="center"/>
          </w:tcPr>
          <w:p>
            <w:pPr>
              <w:spacing w:before="2" w:line="360" w:lineRule="auto"/>
              <w:ind w:right="85"/>
              <w:jc w:val="both"/>
              <w:rPr>
                <w:rFonts w:ascii="宋体" w:hAnsi="宋体" w:eastAsia="宋体" w:cs="宋体"/>
                <w:color w:val="auto"/>
                <w:spacing w:val="1"/>
                <w:highlight w:val="none"/>
              </w:rPr>
            </w:pPr>
            <w:r>
              <w:rPr>
                <w:rFonts w:hint="eastAsia" w:ascii="宋体" w:hAnsi="宋体" w:eastAsia="宋体" w:cs="宋体"/>
                <w:color w:val="auto"/>
                <w:spacing w:val="-8"/>
                <w:highlight w:val="none"/>
              </w:rPr>
              <w:t>政府采购监</w:t>
            </w:r>
            <w:r>
              <w:rPr>
                <w:rFonts w:hint="eastAsia" w:ascii="宋体" w:hAnsi="宋体" w:eastAsia="宋体" w:cs="宋体"/>
                <w:color w:val="auto"/>
                <w:spacing w:val="-7"/>
                <w:highlight w:val="none"/>
              </w:rPr>
              <w:t>督</w:t>
            </w:r>
            <w:r>
              <w:rPr>
                <w:rFonts w:hint="eastAsia" w:ascii="宋体" w:hAnsi="宋体" w:eastAsia="宋体" w:cs="宋体"/>
                <w:color w:val="auto"/>
                <w:spacing w:val="-4"/>
                <w:highlight w:val="none"/>
              </w:rPr>
              <w:t>管理机构：龙胜各族自治县政府采购管理办公室；联系电话：0773-7511322。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820" w:type="dxa"/>
            <w:vAlign w:val="center"/>
          </w:tcPr>
          <w:p>
            <w:pPr>
              <w:spacing w:line="360" w:lineRule="auto"/>
              <w:jc w:val="center"/>
              <w:rPr>
                <w:rFonts w:ascii="宋体" w:hAnsi="宋体" w:eastAsia="宋体" w:cs="宋体"/>
                <w:color w:val="auto"/>
                <w:spacing w:val="-4"/>
                <w:highlight w:val="none"/>
              </w:rPr>
            </w:pPr>
            <w:r>
              <w:rPr>
                <w:rFonts w:hint="eastAsia" w:ascii="宋体" w:hAnsi="宋体" w:eastAsia="宋体" w:cs="宋体"/>
                <w:color w:val="auto"/>
                <w:spacing w:val="-4"/>
                <w:highlight w:val="none"/>
              </w:rPr>
              <w:t>10</w:t>
            </w:r>
            <w:r>
              <w:rPr>
                <w:rFonts w:hint="eastAsia" w:ascii="宋体" w:hAnsi="宋体" w:eastAsia="宋体" w:cs="宋体"/>
                <w:color w:val="auto"/>
                <w:spacing w:val="-3"/>
                <w:highlight w:val="none"/>
              </w:rPr>
              <w:t>.</w:t>
            </w:r>
            <w:r>
              <w:rPr>
                <w:rFonts w:hint="eastAsia" w:ascii="宋体" w:hAnsi="宋体" w:eastAsia="宋体" w:cs="宋体"/>
                <w:color w:val="auto"/>
                <w:spacing w:val="-2"/>
                <w:highlight w:val="none"/>
              </w:rPr>
              <w:t>8</w:t>
            </w:r>
          </w:p>
        </w:tc>
        <w:tc>
          <w:tcPr>
            <w:tcW w:w="1847" w:type="dxa"/>
            <w:vAlign w:val="center"/>
          </w:tcPr>
          <w:p>
            <w:pPr>
              <w:spacing w:before="68" w:line="360" w:lineRule="auto"/>
              <w:jc w:val="center"/>
              <w:rPr>
                <w:rFonts w:ascii="宋体" w:hAnsi="宋体" w:eastAsia="宋体" w:cs="宋体"/>
                <w:color w:val="auto"/>
                <w:spacing w:val="-2"/>
                <w:highlight w:val="none"/>
              </w:rPr>
            </w:pPr>
            <w:r>
              <w:rPr>
                <w:rFonts w:hint="eastAsia" w:ascii="宋体" w:hAnsi="宋体" w:eastAsia="宋体" w:cs="宋体"/>
                <w:color w:val="auto"/>
                <w:spacing w:val="-2"/>
                <w:highlight w:val="none"/>
              </w:rPr>
              <w:t>解释权</w:t>
            </w:r>
          </w:p>
        </w:tc>
        <w:tc>
          <w:tcPr>
            <w:tcW w:w="7244" w:type="dxa"/>
            <w:vAlign w:val="center"/>
          </w:tcPr>
          <w:p>
            <w:pPr>
              <w:spacing w:before="2" w:line="360" w:lineRule="auto"/>
              <w:ind w:right="85"/>
              <w:jc w:val="both"/>
              <w:rPr>
                <w:rFonts w:ascii="宋体" w:hAnsi="宋体" w:eastAsia="宋体" w:cs="宋体"/>
                <w:color w:val="auto"/>
                <w:spacing w:val="1"/>
                <w:highlight w:val="none"/>
              </w:rPr>
            </w:pPr>
            <w:r>
              <w:rPr>
                <w:rFonts w:hint="eastAsia" w:ascii="宋体" w:hAnsi="宋体" w:eastAsia="宋体" w:cs="宋体"/>
                <w:color w:val="auto"/>
                <w:spacing w:val="-8"/>
                <w:highlight w:val="none"/>
              </w:rPr>
              <w:t>本招标文件是根据《中华人民共和国政府采购法》、《中华人民共和国政府采购法实施条例》和政府采购管理有关规定编制，本招标文件的解释权属于采购代理机构。</w:t>
            </w:r>
          </w:p>
        </w:tc>
      </w:tr>
    </w:tbl>
    <w:p>
      <w:pPr>
        <w:rPr>
          <w:color w:val="auto"/>
          <w:highlight w:val="none"/>
        </w:rPr>
        <w:sectPr>
          <w:footerReference r:id="rId6" w:type="default"/>
          <w:pgSz w:w="11907" w:h="16839"/>
          <w:pgMar w:top="1440" w:right="1080" w:bottom="1440" w:left="1080" w:header="0" w:footer="993" w:gutter="0"/>
          <w:cols w:space="720" w:num="1"/>
        </w:sectPr>
      </w:pPr>
    </w:p>
    <w:p>
      <w:pPr>
        <w:spacing w:line="264" w:lineRule="auto"/>
        <w:rPr>
          <w:color w:val="auto"/>
          <w:highlight w:val="none"/>
        </w:rPr>
      </w:pPr>
    </w:p>
    <w:p>
      <w:pPr>
        <w:spacing w:before="98" w:line="220" w:lineRule="auto"/>
        <w:ind w:left="3129"/>
        <w:rPr>
          <w:rFonts w:ascii="宋体" w:hAnsi="宋体" w:eastAsia="宋体" w:cs="宋体"/>
          <w:color w:val="auto"/>
          <w:sz w:val="30"/>
          <w:szCs w:val="30"/>
          <w:highlight w:val="none"/>
        </w:rPr>
      </w:pPr>
      <w:r>
        <w:rPr>
          <w:rFonts w:ascii="宋体" w:hAnsi="宋体" w:eastAsia="宋体" w:cs="宋体"/>
          <w:color w:val="auto"/>
          <w:spacing w:val="-1"/>
          <w:sz w:val="30"/>
          <w:szCs w:val="30"/>
          <w:highlight w:val="none"/>
          <w14:textOutline w14:w="5448" w14:cap="flat" w14:cmpd="sng" w14:algn="ctr">
            <w14:solidFill>
              <w14:srgbClr w14:val="000000"/>
            </w14:solidFill>
            <w14:prstDash w14:val="solid"/>
            <w14:miter w14:val="0"/>
          </w14:textOutline>
        </w:rPr>
        <w:t>投标人须知正</w:t>
      </w:r>
      <w:r>
        <w:rPr>
          <w:rFonts w:ascii="宋体" w:hAnsi="宋体" w:eastAsia="宋体" w:cs="宋体"/>
          <w:color w:val="auto"/>
          <w:sz w:val="30"/>
          <w:szCs w:val="30"/>
          <w:highlight w:val="none"/>
          <w14:textOutline w14:w="5448" w14:cap="flat" w14:cmpd="sng" w14:algn="ctr">
            <w14:solidFill>
              <w14:srgbClr w14:val="000000"/>
            </w14:solidFill>
            <w14:prstDash w14:val="solid"/>
            <w14:miter w14:val="0"/>
          </w14:textOutline>
        </w:rPr>
        <w:t>文部分</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1.总则</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1.1 项目概况</w:t>
      </w:r>
    </w:p>
    <w:p>
      <w:pPr>
        <w:spacing w:before="121" w:line="333" w:lineRule="auto"/>
        <w:ind w:right="56" w:firstLine="434"/>
        <w:rPr>
          <w:rFonts w:ascii="宋体" w:hAnsi="宋体" w:eastAsia="宋体" w:cs="宋体"/>
          <w:color w:val="auto"/>
          <w:highlight w:val="none"/>
        </w:rPr>
      </w:pPr>
      <w:r>
        <w:rPr>
          <w:rFonts w:ascii="宋体" w:hAnsi="宋体" w:eastAsia="宋体" w:cs="宋体"/>
          <w:color w:val="auto"/>
          <w:spacing w:val="-4"/>
          <w:highlight w:val="none"/>
        </w:rPr>
        <w:t>1.1</w:t>
      </w:r>
      <w:r>
        <w:rPr>
          <w:rFonts w:ascii="宋体" w:hAnsi="宋体" w:eastAsia="宋体" w:cs="宋体"/>
          <w:color w:val="auto"/>
          <w:spacing w:val="-2"/>
          <w:highlight w:val="none"/>
        </w:rPr>
        <w:t>.1 根据《中华人民共和国政府采购法》、《中华人民共和国招标投标法》等有关法律、法</w:t>
      </w:r>
      <w:r>
        <w:rPr>
          <w:rFonts w:ascii="宋体" w:hAnsi="宋体" w:eastAsia="宋体" w:cs="宋体"/>
          <w:color w:val="auto"/>
          <w:spacing w:val="-6"/>
          <w:highlight w:val="none"/>
        </w:rPr>
        <w:t>规和规章的</w:t>
      </w:r>
      <w:r>
        <w:rPr>
          <w:rFonts w:ascii="宋体" w:hAnsi="宋体" w:eastAsia="宋体" w:cs="宋体"/>
          <w:color w:val="auto"/>
          <w:spacing w:val="-4"/>
          <w:highlight w:val="none"/>
        </w:rPr>
        <w:t>规</w:t>
      </w:r>
      <w:r>
        <w:rPr>
          <w:rFonts w:ascii="宋体" w:hAnsi="宋体" w:eastAsia="宋体" w:cs="宋体"/>
          <w:color w:val="auto"/>
          <w:spacing w:val="-3"/>
          <w:highlight w:val="none"/>
        </w:rPr>
        <w:t>定，本招标项目已具备招标条件，现对本工程施工进行招标。</w:t>
      </w:r>
    </w:p>
    <w:p>
      <w:pPr>
        <w:spacing w:before="1" w:line="219" w:lineRule="auto"/>
        <w:ind w:left="439"/>
        <w:rPr>
          <w:rFonts w:ascii="宋体" w:hAnsi="宋体" w:eastAsia="宋体" w:cs="宋体"/>
          <w:color w:val="auto"/>
          <w:highlight w:val="none"/>
        </w:rPr>
      </w:pPr>
      <w:r>
        <w:rPr>
          <w:rFonts w:ascii="宋体" w:hAnsi="宋体" w:eastAsia="宋体" w:cs="宋体"/>
          <w:color w:val="auto"/>
          <w:spacing w:val="-12"/>
          <w:highlight w:val="none"/>
        </w:rPr>
        <w:t>1.</w:t>
      </w:r>
      <w:r>
        <w:rPr>
          <w:rFonts w:ascii="宋体" w:hAnsi="宋体" w:eastAsia="宋体" w:cs="宋体"/>
          <w:color w:val="auto"/>
          <w:spacing w:val="-6"/>
          <w:highlight w:val="none"/>
        </w:rPr>
        <w:t>1.2 本招标项目招标人： 见“投标人须知前附表”。</w:t>
      </w:r>
    </w:p>
    <w:p>
      <w:pPr>
        <w:spacing w:before="131" w:line="220" w:lineRule="auto"/>
        <w:ind w:left="439"/>
        <w:rPr>
          <w:rFonts w:ascii="宋体" w:hAnsi="宋体" w:eastAsia="宋体" w:cs="宋体"/>
          <w:color w:val="auto"/>
          <w:highlight w:val="none"/>
        </w:rPr>
      </w:pPr>
      <w:r>
        <w:rPr>
          <w:rFonts w:ascii="宋体" w:hAnsi="宋体" w:eastAsia="宋体" w:cs="宋体"/>
          <w:color w:val="auto"/>
          <w:spacing w:val="-8"/>
          <w:highlight w:val="none"/>
        </w:rPr>
        <w:t>1</w:t>
      </w:r>
      <w:r>
        <w:rPr>
          <w:rFonts w:ascii="宋体" w:hAnsi="宋体" w:eastAsia="宋体" w:cs="宋体"/>
          <w:color w:val="auto"/>
          <w:spacing w:val="-6"/>
          <w:highlight w:val="none"/>
        </w:rPr>
        <w:t>.1.3 本工程招标代理机构： 见“投标人须知前附表”。</w:t>
      </w:r>
    </w:p>
    <w:p>
      <w:pPr>
        <w:spacing w:before="129" w:line="220" w:lineRule="auto"/>
        <w:ind w:left="439"/>
        <w:rPr>
          <w:rFonts w:ascii="宋体" w:hAnsi="宋体" w:eastAsia="宋体" w:cs="宋体"/>
          <w:color w:val="auto"/>
          <w:highlight w:val="none"/>
        </w:rPr>
      </w:pPr>
      <w:r>
        <w:rPr>
          <w:rFonts w:ascii="宋体" w:hAnsi="宋体" w:eastAsia="宋体" w:cs="宋体"/>
          <w:color w:val="auto"/>
          <w:spacing w:val="-10"/>
          <w:highlight w:val="none"/>
        </w:rPr>
        <w:t>1</w:t>
      </w:r>
      <w:r>
        <w:rPr>
          <w:rFonts w:ascii="宋体" w:hAnsi="宋体" w:eastAsia="宋体" w:cs="宋体"/>
          <w:color w:val="auto"/>
          <w:spacing w:val="-5"/>
          <w:highlight w:val="none"/>
        </w:rPr>
        <w:t>.1.4 本招标项目名称及项目招标编号： 见“投标人须知前附表”。</w:t>
      </w:r>
    </w:p>
    <w:p>
      <w:pPr>
        <w:spacing w:before="129" w:line="220" w:lineRule="auto"/>
        <w:ind w:left="439"/>
        <w:rPr>
          <w:rFonts w:ascii="宋体" w:hAnsi="宋体" w:eastAsia="宋体" w:cs="宋体"/>
          <w:color w:val="auto"/>
          <w:highlight w:val="none"/>
        </w:rPr>
      </w:pPr>
      <w:r>
        <w:rPr>
          <w:rFonts w:ascii="宋体" w:hAnsi="宋体" w:eastAsia="宋体" w:cs="宋体"/>
          <w:color w:val="auto"/>
          <w:spacing w:val="-4"/>
          <w:highlight w:val="none"/>
        </w:rPr>
        <w:t>1.1.5 本工程建</w:t>
      </w:r>
      <w:r>
        <w:rPr>
          <w:rFonts w:ascii="宋体" w:hAnsi="宋体" w:eastAsia="宋体" w:cs="宋体"/>
          <w:color w:val="auto"/>
          <w:spacing w:val="-2"/>
          <w:highlight w:val="none"/>
        </w:rPr>
        <w:t>设地点：见“投标人须知前附表”。</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1.2 资金来源和落实情况</w:t>
      </w:r>
    </w:p>
    <w:p>
      <w:pPr>
        <w:spacing w:before="119" w:line="220" w:lineRule="auto"/>
        <w:ind w:left="439"/>
        <w:rPr>
          <w:rFonts w:ascii="宋体" w:hAnsi="宋体" w:eastAsia="宋体" w:cs="宋体"/>
          <w:color w:val="auto"/>
          <w:highlight w:val="none"/>
        </w:rPr>
      </w:pPr>
      <w:r>
        <w:rPr>
          <w:rFonts w:ascii="宋体" w:hAnsi="宋体" w:eastAsia="宋体" w:cs="宋体"/>
          <w:color w:val="auto"/>
          <w:spacing w:val="-6"/>
          <w:highlight w:val="none"/>
        </w:rPr>
        <w:t>1.2.1 本招标项目的资金来源： 见“投标人须知前附表”</w:t>
      </w:r>
      <w:r>
        <w:rPr>
          <w:rFonts w:ascii="宋体" w:hAnsi="宋体" w:eastAsia="宋体" w:cs="宋体"/>
          <w:color w:val="auto"/>
          <w:spacing w:val="-4"/>
          <w:highlight w:val="none"/>
        </w:rPr>
        <w:t>。</w:t>
      </w:r>
    </w:p>
    <w:p>
      <w:pPr>
        <w:spacing w:before="129" w:line="220" w:lineRule="auto"/>
        <w:ind w:left="439"/>
        <w:rPr>
          <w:rFonts w:ascii="宋体" w:hAnsi="宋体" w:eastAsia="宋体" w:cs="宋体"/>
          <w:color w:val="auto"/>
          <w:highlight w:val="none"/>
        </w:rPr>
      </w:pPr>
      <w:r>
        <w:rPr>
          <w:rFonts w:ascii="宋体" w:hAnsi="宋体" w:eastAsia="宋体" w:cs="宋体"/>
          <w:color w:val="auto"/>
          <w:spacing w:val="-6"/>
          <w:highlight w:val="none"/>
        </w:rPr>
        <w:t>1.2.2 本招标项目的出资比例： 见“投标人须知前附表”</w:t>
      </w:r>
      <w:r>
        <w:rPr>
          <w:rFonts w:ascii="宋体" w:hAnsi="宋体" w:eastAsia="宋体" w:cs="宋体"/>
          <w:color w:val="auto"/>
          <w:spacing w:val="-4"/>
          <w:highlight w:val="none"/>
        </w:rPr>
        <w:t>。</w:t>
      </w:r>
    </w:p>
    <w:p>
      <w:pPr>
        <w:spacing w:before="132" w:line="220" w:lineRule="auto"/>
        <w:ind w:left="439"/>
        <w:rPr>
          <w:rFonts w:ascii="宋体" w:hAnsi="宋体" w:eastAsia="宋体" w:cs="宋体"/>
          <w:color w:val="auto"/>
          <w:highlight w:val="none"/>
        </w:rPr>
      </w:pPr>
      <w:r>
        <w:rPr>
          <w:rFonts w:ascii="宋体" w:hAnsi="宋体" w:eastAsia="宋体" w:cs="宋体"/>
          <w:color w:val="auto"/>
          <w:spacing w:val="-10"/>
          <w:highlight w:val="none"/>
        </w:rPr>
        <w:t>1.2</w:t>
      </w:r>
      <w:r>
        <w:rPr>
          <w:rFonts w:ascii="宋体" w:hAnsi="宋体" w:eastAsia="宋体" w:cs="宋体"/>
          <w:color w:val="auto"/>
          <w:spacing w:val="-8"/>
          <w:highlight w:val="none"/>
        </w:rPr>
        <w:t>.</w:t>
      </w:r>
      <w:r>
        <w:rPr>
          <w:rFonts w:ascii="宋体" w:hAnsi="宋体" w:eastAsia="宋体" w:cs="宋体"/>
          <w:color w:val="auto"/>
          <w:spacing w:val="-5"/>
          <w:highlight w:val="none"/>
        </w:rPr>
        <w:t>3 本招标项目的资金落实情况： 见“投标人须知前附表”。</w:t>
      </w:r>
    </w:p>
    <w:p>
      <w:pPr>
        <w:spacing w:before="129" w:line="220" w:lineRule="auto"/>
        <w:ind w:left="439"/>
        <w:rPr>
          <w:rFonts w:ascii="宋体" w:hAnsi="宋体" w:eastAsia="宋体" w:cs="宋体"/>
          <w:color w:val="auto"/>
          <w:highlight w:val="none"/>
        </w:rPr>
      </w:pPr>
      <w:r>
        <w:rPr>
          <w:rFonts w:ascii="宋体" w:hAnsi="宋体" w:eastAsia="宋体" w:cs="宋体"/>
          <w:color w:val="auto"/>
          <w:spacing w:val="-8"/>
          <w:highlight w:val="none"/>
        </w:rPr>
        <w:t>1.</w:t>
      </w:r>
      <w:r>
        <w:rPr>
          <w:rFonts w:ascii="宋体" w:hAnsi="宋体" w:eastAsia="宋体" w:cs="宋体"/>
          <w:color w:val="auto"/>
          <w:spacing w:val="-7"/>
          <w:highlight w:val="none"/>
        </w:rPr>
        <w:t>2</w:t>
      </w:r>
      <w:r>
        <w:rPr>
          <w:rFonts w:ascii="宋体" w:hAnsi="宋体" w:eastAsia="宋体" w:cs="宋体"/>
          <w:color w:val="auto"/>
          <w:spacing w:val="-4"/>
          <w:highlight w:val="none"/>
        </w:rPr>
        <w:t>.4 本招标项目的增值税计税方法： 见“投标人须知前附表”。</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1.3 招标范围、计划工期和质量要求</w:t>
      </w:r>
    </w:p>
    <w:p>
      <w:pPr>
        <w:spacing w:before="120" w:line="220" w:lineRule="auto"/>
        <w:ind w:left="439"/>
        <w:rPr>
          <w:rFonts w:ascii="宋体" w:hAnsi="宋体" w:eastAsia="宋体" w:cs="宋体"/>
          <w:color w:val="auto"/>
          <w:highlight w:val="none"/>
        </w:rPr>
      </w:pPr>
      <w:r>
        <w:rPr>
          <w:rFonts w:ascii="宋体" w:hAnsi="宋体" w:eastAsia="宋体" w:cs="宋体"/>
          <w:color w:val="auto"/>
          <w:spacing w:val="-7"/>
          <w:highlight w:val="none"/>
        </w:rPr>
        <w:t>1.3.1 本次招标范围： 见“投标人须知前附表”</w:t>
      </w:r>
      <w:r>
        <w:rPr>
          <w:rFonts w:ascii="宋体" w:hAnsi="宋体" w:eastAsia="宋体" w:cs="宋体"/>
          <w:color w:val="auto"/>
          <w:spacing w:val="-5"/>
          <w:highlight w:val="none"/>
        </w:rPr>
        <w:t>。</w:t>
      </w:r>
    </w:p>
    <w:p>
      <w:pPr>
        <w:spacing w:before="129" w:line="220" w:lineRule="auto"/>
        <w:ind w:left="439"/>
        <w:rPr>
          <w:rFonts w:ascii="宋体" w:hAnsi="宋体" w:eastAsia="宋体" w:cs="宋体"/>
          <w:color w:val="auto"/>
          <w:highlight w:val="none"/>
        </w:rPr>
      </w:pPr>
      <w:r>
        <w:rPr>
          <w:rFonts w:ascii="宋体" w:hAnsi="宋体" w:eastAsia="宋体" w:cs="宋体"/>
          <w:color w:val="auto"/>
          <w:spacing w:val="-4"/>
          <w:highlight w:val="none"/>
        </w:rPr>
        <w:t>1.3.2 本工程</w:t>
      </w:r>
      <w:r>
        <w:rPr>
          <w:rFonts w:ascii="宋体" w:hAnsi="宋体" w:eastAsia="宋体" w:cs="宋体"/>
          <w:color w:val="auto"/>
          <w:spacing w:val="-3"/>
          <w:highlight w:val="none"/>
        </w:rPr>
        <w:t>的</w:t>
      </w:r>
      <w:r>
        <w:rPr>
          <w:rFonts w:ascii="宋体" w:hAnsi="宋体" w:eastAsia="宋体" w:cs="宋体"/>
          <w:color w:val="auto"/>
          <w:spacing w:val="-2"/>
          <w:highlight w:val="none"/>
        </w:rPr>
        <w:t>要求工期：见“投标人须知前附表”。</w:t>
      </w:r>
    </w:p>
    <w:p>
      <w:pPr>
        <w:spacing w:before="129" w:line="220" w:lineRule="auto"/>
        <w:ind w:left="439"/>
        <w:rPr>
          <w:rFonts w:ascii="宋体" w:hAnsi="宋体" w:eastAsia="宋体" w:cs="宋体"/>
          <w:color w:val="auto"/>
          <w:highlight w:val="none"/>
        </w:rPr>
      </w:pPr>
      <w:r>
        <w:rPr>
          <w:rFonts w:ascii="宋体" w:hAnsi="宋体" w:eastAsia="宋体" w:cs="宋体"/>
          <w:color w:val="auto"/>
          <w:spacing w:val="-4"/>
          <w:highlight w:val="none"/>
        </w:rPr>
        <w:t>1.3.3 本工程</w:t>
      </w:r>
      <w:r>
        <w:rPr>
          <w:rFonts w:ascii="宋体" w:hAnsi="宋体" w:eastAsia="宋体" w:cs="宋体"/>
          <w:color w:val="auto"/>
          <w:spacing w:val="-3"/>
          <w:highlight w:val="none"/>
        </w:rPr>
        <w:t>的</w:t>
      </w:r>
      <w:r>
        <w:rPr>
          <w:rFonts w:ascii="宋体" w:hAnsi="宋体" w:eastAsia="宋体" w:cs="宋体"/>
          <w:color w:val="auto"/>
          <w:spacing w:val="-2"/>
          <w:highlight w:val="none"/>
        </w:rPr>
        <w:t>质量要求：见“投标人须知前附表”。</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1.4 投标人资格要求</w:t>
      </w:r>
    </w:p>
    <w:p>
      <w:pPr>
        <w:kinsoku/>
        <w:adjustRightInd/>
        <w:spacing w:line="400" w:lineRule="exact"/>
        <w:ind w:firstLine="420" w:firstLineChars="202"/>
        <w:rPr>
          <w:rFonts w:ascii="宋体" w:hAnsi="宋体" w:eastAsia="宋体" w:cs="宋体"/>
          <w:color w:val="auto"/>
          <w:spacing w:val="-1"/>
          <w:highlight w:val="none"/>
        </w:rPr>
      </w:pPr>
      <w:r>
        <w:rPr>
          <w:rFonts w:ascii="宋体" w:hAnsi="宋体" w:eastAsia="宋体" w:cs="宋体"/>
          <w:color w:val="auto"/>
          <w:spacing w:val="-1"/>
          <w:highlight w:val="none"/>
        </w:rPr>
        <w:t xml:space="preserve">1.4.1 </w:t>
      </w:r>
      <w:r>
        <w:rPr>
          <w:rFonts w:hint="eastAsia" w:ascii="宋体" w:hAnsi="宋体" w:eastAsia="宋体" w:cs="宋体"/>
          <w:color w:val="auto"/>
          <w:spacing w:val="-1"/>
          <w:highlight w:val="none"/>
        </w:rPr>
        <w:t>投标人应具备承担本标段施工的资质条件。</w:t>
      </w:r>
    </w:p>
    <w:p>
      <w:pPr>
        <w:spacing w:before="128" w:line="221" w:lineRule="auto"/>
        <w:ind w:left="425"/>
        <w:rPr>
          <w:rFonts w:ascii="宋体" w:hAnsi="宋体" w:eastAsia="宋体" w:cs="宋体"/>
          <w:color w:val="auto"/>
          <w:highlight w:val="none"/>
        </w:rPr>
      </w:pPr>
      <w:r>
        <w:rPr>
          <w:rFonts w:ascii="宋体" w:hAnsi="宋体" w:eastAsia="宋体" w:cs="宋体"/>
          <w:color w:val="auto"/>
          <w:spacing w:val="8"/>
          <w:highlight w:val="none"/>
        </w:rPr>
        <w:t>(1</w:t>
      </w:r>
      <w:r>
        <w:rPr>
          <w:rFonts w:ascii="宋体" w:hAnsi="宋体" w:eastAsia="宋体" w:cs="宋体"/>
          <w:color w:val="auto"/>
          <w:spacing w:val="5"/>
          <w:highlight w:val="none"/>
        </w:rPr>
        <w:t>)</w:t>
      </w:r>
      <w:r>
        <w:rPr>
          <w:rFonts w:ascii="宋体" w:hAnsi="宋体" w:eastAsia="宋体" w:cs="宋体"/>
          <w:color w:val="auto"/>
          <w:spacing w:val="4"/>
          <w:highlight w:val="none"/>
        </w:rPr>
        <w:t xml:space="preserve"> 资质条件：见“投标人须知前附表”；</w:t>
      </w:r>
    </w:p>
    <w:p>
      <w:pPr>
        <w:spacing w:before="130" w:line="221" w:lineRule="auto"/>
        <w:ind w:left="425"/>
        <w:rPr>
          <w:rFonts w:ascii="宋体" w:hAnsi="宋体" w:eastAsia="宋体" w:cs="宋体"/>
          <w:color w:val="auto"/>
          <w:highlight w:val="none"/>
        </w:rPr>
      </w:pPr>
      <w:r>
        <w:rPr>
          <w:rFonts w:ascii="宋体" w:hAnsi="宋体" w:eastAsia="宋体" w:cs="宋体"/>
          <w:color w:val="auto"/>
          <w:spacing w:val="5"/>
          <w:highlight w:val="none"/>
        </w:rPr>
        <w:t>(</w:t>
      </w:r>
      <w:r>
        <w:rPr>
          <w:rFonts w:hint="eastAsia" w:ascii="宋体" w:hAnsi="宋体" w:eastAsia="宋体" w:cs="宋体"/>
          <w:color w:val="auto"/>
          <w:spacing w:val="4"/>
          <w:highlight w:val="none"/>
        </w:rPr>
        <w:t>2</w:t>
      </w:r>
      <w:r>
        <w:rPr>
          <w:rFonts w:ascii="宋体" w:hAnsi="宋体" w:eastAsia="宋体" w:cs="宋体"/>
          <w:color w:val="auto"/>
          <w:spacing w:val="4"/>
          <w:highlight w:val="none"/>
        </w:rPr>
        <w:t>) 项目经理资格：见“投标人须知前附表”；</w:t>
      </w:r>
    </w:p>
    <w:p>
      <w:pPr>
        <w:spacing w:before="128" w:line="221" w:lineRule="auto"/>
        <w:ind w:left="425"/>
        <w:rPr>
          <w:rFonts w:ascii="宋体" w:hAnsi="宋体" w:eastAsia="宋体" w:cs="宋体"/>
          <w:color w:val="auto"/>
          <w:highlight w:val="none"/>
        </w:rPr>
      </w:pPr>
      <w:r>
        <w:rPr>
          <w:rFonts w:ascii="宋体" w:hAnsi="宋体" w:eastAsia="宋体" w:cs="宋体"/>
          <w:color w:val="auto"/>
          <w:spacing w:val="-1"/>
          <w:highlight w:val="none"/>
        </w:rPr>
        <w:t>(</w:t>
      </w:r>
      <w:r>
        <w:rPr>
          <w:rFonts w:hint="eastAsia" w:ascii="宋体" w:hAnsi="宋体" w:eastAsia="宋体" w:cs="宋体"/>
          <w:color w:val="auto"/>
          <w:spacing w:val="-1"/>
          <w:highlight w:val="none"/>
        </w:rPr>
        <w:t>3</w:t>
      </w:r>
      <w:r>
        <w:rPr>
          <w:rFonts w:ascii="宋体" w:hAnsi="宋体" w:eastAsia="宋体" w:cs="宋体"/>
          <w:color w:val="auto"/>
          <w:spacing w:val="-1"/>
          <w:highlight w:val="none"/>
        </w:rPr>
        <w:t xml:space="preserve">) 专职安全员要求： </w:t>
      </w:r>
      <w:r>
        <w:rPr>
          <w:rFonts w:ascii="宋体" w:hAnsi="宋体" w:eastAsia="宋体" w:cs="宋体"/>
          <w:color w:val="auto"/>
          <w:highlight w:val="none"/>
        </w:rPr>
        <w:t>见“投标人须知前附表”；</w:t>
      </w:r>
    </w:p>
    <w:p>
      <w:pPr>
        <w:spacing w:before="127" w:line="221" w:lineRule="auto"/>
        <w:ind w:left="425"/>
        <w:rPr>
          <w:rFonts w:ascii="宋体" w:hAnsi="宋体" w:eastAsia="宋体" w:cs="宋体"/>
          <w:color w:val="auto"/>
          <w:highlight w:val="none"/>
        </w:rPr>
      </w:pPr>
      <w:r>
        <w:rPr>
          <w:rFonts w:ascii="宋体" w:hAnsi="宋体" w:eastAsia="宋体" w:cs="宋体"/>
          <w:color w:val="auto"/>
          <w:spacing w:val="8"/>
          <w:highlight w:val="none"/>
        </w:rPr>
        <w:t>(</w:t>
      </w:r>
      <w:r>
        <w:rPr>
          <w:rFonts w:hint="eastAsia" w:ascii="宋体" w:hAnsi="宋体" w:eastAsia="宋体" w:cs="宋体"/>
          <w:color w:val="auto"/>
          <w:spacing w:val="8"/>
          <w:highlight w:val="none"/>
        </w:rPr>
        <w:t>4</w:t>
      </w:r>
      <w:r>
        <w:rPr>
          <w:rFonts w:ascii="宋体" w:hAnsi="宋体" w:eastAsia="宋体" w:cs="宋体"/>
          <w:color w:val="auto"/>
          <w:spacing w:val="5"/>
          <w:highlight w:val="none"/>
        </w:rPr>
        <w:t>)</w:t>
      </w:r>
      <w:r>
        <w:rPr>
          <w:rFonts w:ascii="宋体" w:hAnsi="宋体" w:eastAsia="宋体" w:cs="宋体"/>
          <w:color w:val="auto"/>
          <w:spacing w:val="4"/>
          <w:highlight w:val="none"/>
        </w:rPr>
        <w:t xml:space="preserve"> 其他要求：见“投标人须知前附表”。</w:t>
      </w:r>
    </w:p>
    <w:p>
      <w:pPr>
        <w:spacing w:before="120" w:line="379" w:lineRule="exact"/>
        <w:ind w:left="422"/>
        <w:rPr>
          <w:rFonts w:ascii="宋体" w:hAnsi="宋体" w:eastAsia="宋体" w:cs="宋体"/>
          <w:color w:val="auto"/>
          <w:spacing w:val="-2"/>
          <w:position w:val="12"/>
          <w:highlight w:val="none"/>
        </w:rPr>
      </w:pPr>
      <w:r>
        <w:rPr>
          <w:rFonts w:ascii="宋体" w:hAnsi="宋体" w:eastAsia="宋体" w:cs="宋体"/>
          <w:color w:val="auto"/>
          <w:spacing w:val="-2"/>
          <w:position w:val="12"/>
          <w:highlight w:val="none"/>
        </w:rPr>
        <w:t>1.4.2“投标人须知前附表”规定接受联合体投标的，除应符合本章第 1.4.1 项和“投标人须知前附表”的要求外，还应遵守以下规定：</w:t>
      </w:r>
    </w:p>
    <w:p>
      <w:pPr>
        <w:spacing w:before="120" w:line="379" w:lineRule="exact"/>
        <w:ind w:left="422"/>
        <w:rPr>
          <w:rFonts w:ascii="宋体" w:hAnsi="宋体" w:eastAsia="宋体" w:cs="宋体"/>
          <w:color w:val="auto"/>
          <w:spacing w:val="-2"/>
          <w:position w:val="12"/>
          <w:highlight w:val="none"/>
        </w:rPr>
      </w:pPr>
      <w:r>
        <w:rPr>
          <w:rFonts w:ascii="宋体" w:hAnsi="宋体" w:eastAsia="宋体" w:cs="宋体"/>
          <w:color w:val="auto"/>
          <w:spacing w:val="-2"/>
          <w:position w:val="12"/>
          <w:highlight w:val="none"/>
        </w:rPr>
        <w:t>(1) 联合体各方应按招标文件提供格式签订联合体协议，明确联合体牵头人和各方权利义务；</w:t>
      </w:r>
    </w:p>
    <w:p>
      <w:pPr>
        <w:spacing w:before="120" w:line="379" w:lineRule="exact"/>
        <w:ind w:left="422"/>
        <w:rPr>
          <w:rFonts w:ascii="宋体" w:hAnsi="宋体" w:eastAsia="宋体" w:cs="宋体"/>
          <w:color w:val="auto"/>
          <w:spacing w:val="-2"/>
          <w:position w:val="12"/>
          <w:highlight w:val="none"/>
        </w:rPr>
      </w:pPr>
      <w:r>
        <w:rPr>
          <w:rFonts w:ascii="宋体" w:hAnsi="宋体" w:eastAsia="宋体" w:cs="宋体"/>
          <w:color w:val="auto"/>
          <w:spacing w:val="-2"/>
          <w:position w:val="12"/>
          <w:highlight w:val="none"/>
        </w:rPr>
        <w:t>(2)由同一专业的单位组成的联合体，按照资质等级较低的单位确定资质等级；</w:t>
      </w:r>
    </w:p>
    <w:p>
      <w:pPr>
        <w:spacing w:before="120" w:line="379" w:lineRule="exact"/>
        <w:ind w:left="422"/>
        <w:rPr>
          <w:rFonts w:ascii="宋体" w:hAnsi="宋体" w:eastAsia="宋体" w:cs="宋体"/>
          <w:color w:val="auto"/>
          <w:spacing w:val="-2"/>
          <w:position w:val="12"/>
          <w:highlight w:val="none"/>
        </w:rPr>
      </w:pPr>
      <w:r>
        <w:rPr>
          <w:rFonts w:ascii="宋体" w:hAnsi="宋体" w:eastAsia="宋体" w:cs="宋体"/>
          <w:color w:val="auto"/>
          <w:spacing w:val="-2"/>
          <w:position w:val="12"/>
          <w:highlight w:val="none"/>
        </w:rPr>
        <w:t>(3)联合体各方不得再以自己名义单独或参加其他联合体在同一工程中投标。</w:t>
      </w:r>
    </w:p>
    <w:p>
      <w:pPr>
        <w:spacing w:before="120" w:line="379" w:lineRule="exact"/>
        <w:ind w:left="422"/>
        <w:rPr>
          <w:rFonts w:ascii="宋体" w:hAnsi="宋体" w:eastAsia="宋体" w:cs="宋体"/>
          <w:color w:val="auto"/>
          <w:spacing w:val="-2"/>
          <w:position w:val="12"/>
          <w:highlight w:val="none"/>
        </w:rPr>
      </w:pPr>
      <w:r>
        <w:rPr>
          <w:rFonts w:ascii="宋体" w:hAnsi="宋体" w:eastAsia="宋体" w:cs="宋体"/>
          <w:color w:val="auto"/>
          <w:spacing w:val="-2"/>
          <w:position w:val="12"/>
          <w:highlight w:val="none"/>
        </w:rPr>
        <w:t>1.4.3 投标人不得存在下列情形之一：</w:t>
      </w:r>
    </w:p>
    <w:p>
      <w:pPr>
        <w:spacing w:before="120" w:line="379" w:lineRule="exact"/>
        <w:ind w:left="422"/>
        <w:rPr>
          <w:rFonts w:ascii="宋体" w:hAnsi="宋体" w:eastAsia="宋体" w:cs="宋体"/>
          <w:color w:val="auto"/>
          <w:spacing w:val="-2"/>
          <w:position w:val="12"/>
          <w:highlight w:val="none"/>
        </w:rPr>
      </w:pPr>
      <w:r>
        <w:rPr>
          <w:rFonts w:ascii="宋体" w:hAnsi="宋体" w:eastAsia="宋体" w:cs="宋体"/>
          <w:color w:val="auto"/>
          <w:spacing w:val="-2"/>
          <w:position w:val="12"/>
          <w:highlight w:val="none"/>
        </w:rPr>
        <w:t>(1) 与招标人存在利害关系可能影响招标公正性的法人、其他组织；</w:t>
      </w:r>
    </w:p>
    <w:p>
      <w:pPr>
        <w:spacing w:before="120" w:line="379" w:lineRule="exact"/>
        <w:ind w:left="422"/>
        <w:rPr>
          <w:rFonts w:ascii="宋体" w:hAnsi="宋体" w:eastAsia="宋体" w:cs="宋体"/>
          <w:color w:val="auto"/>
          <w:spacing w:val="-2"/>
          <w:position w:val="12"/>
          <w:highlight w:val="none"/>
        </w:rPr>
      </w:pPr>
      <w:r>
        <w:rPr>
          <w:rFonts w:ascii="宋体" w:hAnsi="宋体" w:eastAsia="宋体" w:cs="宋体"/>
          <w:color w:val="auto"/>
          <w:spacing w:val="-2"/>
          <w:position w:val="12"/>
          <w:highlight w:val="none"/>
        </w:rPr>
        <w:t>(2) 为本标段前期准备提供设计或咨询服务的，但设计施工总承包的除外；</w:t>
      </w:r>
    </w:p>
    <w:p>
      <w:pPr>
        <w:spacing w:before="120" w:line="379" w:lineRule="exact"/>
        <w:ind w:left="422"/>
        <w:rPr>
          <w:rFonts w:ascii="宋体" w:hAnsi="宋体" w:eastAsia="宋体" w:cs="宋体"/>
          <w:color w:val="auto"/>
          <w:spacing w:val="-2"/>
          <w:position w:val="12"/>
          <w:highlight w:val="none"/>
        </w:rPr>
      </w:pPr>
      <w:r>
        <w:rPr>
          <w:rFonts w:ascii="宋体" w:hAnsi="宋体" w:eastAsia="宋体" w:cs="宋体"/>
          <w:color w:val="auto"/>
          <w:spacing w:val="-2"/>
          <w:position w:val="12"/>
          <w:highlight w:val="none"/>
        </w:rPr>
        <w:t>(3) 为本标段的监理人；</w:t>
      </w:r>
    </w:p>
    <w:p>
      <w:pPr>
        <w:spacing w:before="120" w:line="379" w:lineRule="exact"/>
        <w:ind w:left="422"/>
        <w:rPr>
          <w:rFonts w:ascii="宋体" w:hAnsi="宋体" w:eastAsia="宋体" w:cs="宋体"/>
          <w:color w:val="auto"/>
          <w:spacing w:val="-2"/>
          <w:position w:val="12"/>
          <w:highlight w:val="none"/>
        </w:rPr>
      </w:pPr>
      <w:r>
        <w:rPr>
          <w:rFonts w:ascii="宋体" w:hAnsi="宋体" w:eastAsia="宋体" w:cs="宋体"/>
          <w:color w:val="auto"/>
          <w:spacing w:val="-2"/>
          <w:position w:val="12"/>
          <w:highlight w:val="none"/>
        </w:rPr>
        <w:t>(4) 为本标段的代建人；</w:t>
      </w:r>
    </w:p>
    <w:p>
      <w:pPr>
        <w:spacing w:before="120" w:line="379" w:lineRule="exact"/>
        <w:ind w:left="422"/>
        <w:rPr>
          <w:rFonts w:ascii="宋体" w:hAnsi="宋体" w:eastAsia="宋体" w:cs="宋体"/>
          <w:color w:val="auto"/>
          <w:spacing w:val="-2"/>
          <w:position w:val="12"/>
          <w:highlight w:val="none"/>
        </w:rPr>
      </w:pPr>
      <w:r>
        <w:rPr>
          <w:rFonts w:ascii="宋体" w:hAnsi="宋体" w:eastAsia="宋体" w:cs="宋体"/>
          <w:color w:val="auto"/>
          <w:spacing w:val="-2"/>
          <w:position w:val="12"/>
          <w:highlight w:val="none"/>
        </w:rPr>
        <w:t>(5) 为本标段提供招标代理服务的</w:t>
      </w:r>
      <w:r>
        <w:rPr>
          <w:rFonts w:hint="eastAsia" w:ascii="宋体" w:hAnsi="宋体" w:eastAsia="宋体" w:cs="宋体"/>
          <w:color w:val="auto"/>
          <w:spacing w:val="-2"/>
          <w:position w:val="12"/>
          <w:highlight w:val="none"/>
        </w:rPr>
        <w:t>；</w:t>
      </w:r>
    </w:p>
    <w:p>
      <w:pPr>
        <w:spacing w:before="120" w:line="379" w:lineRule="exact"/>
        <w:ind w:left="422"/>
        <w:rPr>
          <w:rFonts w:ascii="宋体" w:hAnsi="宋体" w:eastAsia="宋体" w:cs="宋体"/>
          <w:color w:val="auto"/>
          <w:spacing w:val="-2"/>
          <w:position w:val="12"/>
          <w:highlight w:val="none"/>
        </w:rPr>
      </w:pPr>
      <w:r>
        <w:rPr>
          <w:rFonts w:ascii="宋体" w:hAnsi="宋体" w:eastAsia="宋体" w:cs="宋体"/>
          <w:color w:val="auto"/>
          <w:spacing w:val="-2"/>
          <w:position w:val="12"/>
          <w:highlight w:val="none"/>
        </w:rPr>
        <w:t>(6) 与本标段的监理人或代建人或招标代理机构同为一个法定代表人的；</w:t>
      </w:r>
    </w:p>
    <w:p>
      <w:pPr>
        <w:spacing w:before="120" w:line="379" w:lineRule="exact"/>
        <w:ind w:left="422"/>
        <w:rPr>
          <w:rFonts w:ascii="宋体" w:hAnsi="宋体" w:eastAsia="宋体" w:cs="宋体"/>
          <w:color w:val="auto"/>
          <w:spacing w:val="-2"/>
          <w:position w:val="12"/>
          <w:highlight w:val="none"/>
        </w:rPr>
      </w:pPr>
      <w:r>
        <w:rPr>
          <w:rFonts w:ascii="宋体" w:hAnsi="宋体" w:eastAsia="宋体" w:cs="宋体"/>
          <w:color w:val="auto"/>
          <w:spacing w:val="-2"/>
          <w:position w:val="12"/>
          <w:highlight w:val="none"/>
        </w:rPr>
        <w:t>(7) 与本标段的监理人或代建人或招标代理机构相互控股或参股的；</w:t>
      </w:r>
    </w:p>
    <w:p>
      <w:pPr>
        <w:spacing w:before="120" w:line="379" w:lineRule="exact"/>
        <w:ind w:left="422"/>
        <w:rPr>
          <w:rFonts w:ascii="宋体" w:hAnsi="宋体" w:eastAsia="宋体" w:cs="宋体"/>
          <w:color w:val="auto"/>
          <w:spacing w:val="-2"/>
          <w:position w:val="12"/>
          <w:highlight w:val="none"/>
        </w:rPr>
      </w:pPr>
      <w:r>
        <w:rPr>
          <w:rFonts w:ascii="宋体" w:hAnsi="宋体" w:eastAsia="宋体" w:cs="宋体"/>
          <w:color w:val="auto"/>
          <w:spacing w:val="-2"/>
          <w:position w:val="12"/>
          <w:highlight w:val="none"/>
        </w:rPr>
        <w:t>(8) 与本标段的监理人或代建人或招标代理机构相互任职或工作的；</w:t>
      </w:r>
    </w:p>
    <w:p>
      <w:pPr>
        <w:spacing w:before="120" w:line="379" w:lineRule="exact"/>
        <w:ind w:left="422"/>
        <w:rPr>
          <w:rFonts w:ascii="宋体" w:hAnsi="宋体" w:eastAsia="宋体" w:cs="宋体"/>
          <w:color w:val="auto"/>
          <w:spacing w:val="-2"/>
          <w:position w:val="12"/>
          <w:highlight w:val="none"/>
        </w:rPr>
      </w:pPr>
      <w:r>
        <w:rPr>
          <w:rFonts w:ascii="宋体" w:hAnsi="宋体" w:eastAsia="宋体" w:cs="宋体"/>
          <w:color w:val="auto"/>
          <w:spacing w:val="-2"/>
          <w:position w:val="12"/>
          <w:highlight w:val="none"/>
        </w:rPr>
        <w:t>(9) 吊销或暂扣营业执照、安全生产许可证期间；</w:t>
      </w:r>
    </w:p>
    <w:p>
      <w:pPr>
        <w:spacing w:before="120" w:line="379" w:lineRule="exact"/>
        <w:ind w:left="422"/>
        <w:rPr>
          <w:rFonts w:ascii="宋体" w:hAnsi="宋体" w:eastAsia="宋体" w:cs="宋体"/>
          <w:color w:val="auto"/>
          <w:spacing w:val="-2"/>
          <w:position w:val="12"/>
          <w:highlight w:val="none"/>
        </w:rPr>
      </w:pPr>
      <w:r>
        <w:rPr>
          <w:rFonts w:ascii="宋体" w:hAnsi="宋体" w:eastAsia="宋体" w:cs="宋体"/>
          <w:color w:val="auto"/>
          <w:spacing w:val="-2"/>
          <w:position w:val="12"/>
          <w:highlight w:val="none"/>
        </w:rPr>
        <w:t>(10) 在本行政区域被暂停或取消投标资格的；</w:t>
      </w:r>
    </w:p>
    <w:p>
      <w:pPr>
        <w:spacing w:before="120" w:line="379" w:lineRule="exact"/>
        <w:ind w:left="422"/>
        <w:rPr>
          <w:rFonts w:ascii="宋体" w:hAnsi="宋体" w:eastAsia="宋体" w:cs="宋体"/>
          <w:color w:val="auto"/>
          <w:spacing w:val="-2"/>
          <w:position w:val="12"/>
          <w:highlight w:val="none"/>
        </w:rPr>
      </w:pPr>
      <w:r>
        <w:rPr>
          <w:rFonts w:ascii="宋体" w:hAnsi="宋体" w:eastAsia="宋体" w:cs="宋体"/>
          <w:color w:val="auto"/>
          <w:spacing w:val="-2"/>
          <w:position w:val="12"/>
          <w:highlight w:val="none"/>
        </w:rPr>
        <w:t>(11) 财产被接管或或基本账户被冻结的；</w:t>
      </w:r>
    </w:p>
    <w:p>
      <w:pPr>
        <w:spacing w:before="120" w:line="379" w:lineRule="exact"/>
        <w:ind w:left="422"/>
        <w:rPr>
          <w:rFonts w:ascii="宋体" w:hAnsi="宋体" w:eastAsia="宋体" w:cs="宋体"/>
          <w:color w:val="auto"/>
          <w:spacing w:val="-2"/>
          <w:position w:val="12"/>
          <w:highlight w:val="none"/>
        </w:rPr>
      </w:pPr>
      <w:r>
        <w:rPr>
          <w:rFonts w:ascii="宋体" w:hAnsi="宋体" w:eastAsia="宋体" w:cs="宋体"/>
          <w:color w:val="auto"/>
          <w:spacing w:val="-2"/>
          <w:position w:val="12"/>
          <w:highlight w:val="none"/>
        </w:rPr>
        <w:t>(12) 有骗取中标或严重违约或工程质量安全问题，在本行政区域正处在停业整顿或暂停投标期间的；</w:t>
      </w:r>
    </w:p>
    <w:p>
      <w:pPr>
        <w:spacing w:before="120" w:line="379" w:lineRule="exact"/>
        <w:ind w:left="422"/>
        <w:rPr>
          <w:rFonts w:ascii="宋体" w:hAnsi="宋体" w:eastAsia="宋体" w:cs="宋体"/>
          <w:color w:val="auto"/>
          <w:spacing w:val="-2"/>
          <w:position w:val="12"/>
          <w:highlight w:val="none"/>
        </w:rPr>
      </w:pPr>
      <w:r>
        <w:rPr>
          <w:rFonts w:ascii="宋体" w:hAnsi="宋体" w:eastAsia="宋体" w:cs="宋体"/>
          <w:color w:val="auto"/>
          <w:spacing w:val="-2"/>
          <w:position w:val="12"/>
          <w:highlight w:val="none"/>
        </w:rPr>
        <w:t>(13) 被责令停业的。</w:t>
      </w:r>
    </w:p>
    <w:p>
      <w:pPr>
        <w:spacing w:before="120" w:line="379" w:lineRule="exact"/>
        <w:ind w:firstLine="412" w:firstLineChars="200"/>
        <w:rPr>
          <w:rFonts w:ascii="宋体" w:hAnsi="宋体" w:eastAsia="宋体" w:cs="宋体"/>
          <w:color w:val="auto"/>
          <w:spacing w:val="-2"/>
          <w:position w:val="12"/>
          <w:highlight w:val="none"/>
        </w:rPr>
      </w:pPr>
      <w:r>
        <w:rPr>
          <w:rFonts w:ascii="宋体" w:hAnsi="宋体" w:eastAsia="宋体" w:cs="宋体"/>
          <w:color w:val="auto"/>
          <w:spacing w:val="-2"/>
          <w:position w:val="12"/>
          <w:highlight w:val="none"/>
        </w:rPr>
        <w:t>注： 代建人是指政府通过招标方式对公益型、非经营性政府投资且经发改委批复同意实施代建 的项目选择的社会专业化的项目管理企业，代建人须经过政府采购平台招标中标，并在建设行政主管部门备案，其代建内容包含代为项目业主履行项目施工招标、投资管理、建设实施及竣工验收后移交给使用单位等工作。PPP 项目的社会资本方及工程总承包项目的总承包方作为代建人的不在此范畴。</w:t>
      </w:r>
    </w:p>
    <w:p>
      <w:pPr>
        <w:spacing w:before="120" w:line="379" w:lineRule="exact"/>
        <w:ind w:firstLine="412" w:firstLineChars="200"/>
        <w:rPr>
          <w:rFonts w:ascii="宋体" w:hAnsi="宋体" w:eastAsia="宋体" w:cs="宋体"/>
          <w:color w:val="auto"/>
          <w:spacing w:val="-2"/>
          <w:position w:val="12"/>
          <w:highlight w:val="none"/>
        </w:rPr>
      </w:pPr>
      <w:r>
        <w:rPr>
          <w:rFonts w:ascii="宋体" w:hAnsi="宋体" w:eastAsia="宋体" w:cs="宋体"/>
          <w:color w:val="auto"/>
          <w:spacing w:val="-2"/>
          <w:position w:val="12"/>
          <w:highlight w:val="none"/>
        </w:rPr>
        <w:t>1.4.4 单位负责人为同一人或者存在控股、管理关系的不同单位，不得参加同一标段投标或者未划分标段的同一招标项目投标，违反本规定的，相关投标均无效。</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1.5 费用承担</w:t>
      </w:r>
    </w:p>
    <w:p>
      <w:pPr>
        <w:spacing w:before="119" w:line="221" w:lineRule="auto"/>
        <w:ind w:left="423"/>
        <w:rPr>
          <w:rFonts w:ascii="宋体" w:hAnsi="宋体" w:eastAsia="宋体" w:cs="宋体"/>
          <w:color w:val="auto"/>
          <w:highlight w:val="none"/>
        </w:rPr>
      </w:pPr>
      <w:r>
        <w:rPr>
          <w:rFonts w:ascii="宋体" w:hAnsi="宋体" w:eastAsia="宋体" w:cs="宋体"/>
          <w:color w:val="auto"/>
          <w:spacing w:val="-2"/>
          <w:highlight w:val="none"/>
        </w:rPr>
        <w:t>投</w:t>
      </w:r>
      <w:r>
        <w:rPr>
          <w:rFonts w:ascii="宋体" w:hAnsi="宋体" w:eastAsia="宋体" w:cs="宋体"/>
          <w:color w:val="auto"/>
          <w:spacing w:val="-1"/>
          <w:highlight w:val="none"/>
        </w:rPr>
        <w:t>标人准备和参加投标活动发生的费用自理。</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1.6 保密</w:t>
      </w:r>
    </w:p>
    <w:p>
      <w:pPr>
        <w:spacing w:before="120" w:line="379" w:lineRule="exact"/>
        <w:ind w:left="422"/>
        <w:rPr>
          <w:rFonts w:ascii="宋体" w:hAnsi="宋体" w:eastAsia="宋体" w:cs="宋体"/>
          <w:color w:val="auto"/>
          <w:highlight w:val="none"/>
        </w:rPr>
      </w:pPr>
      <w:r>
        <w:rPr>
          <w:rFonts w:ascii="宋体" w:hAnsi="宋体" w:eastAsia="宋体" w:cs="宋体"/>
          <w:color w:val="auto"/>
          <w:spacing w:val="-2"/>
          <w:position w:val="12"/>
          <w:highlight w:val="none"/>
        </w:rPr>
        <w:t>参与招标投标活动的各方应对招标文件和投标文件中的商业和技术等秘密保密，违者应</w:t>
      </w:r>
      <w:r>
        <w:rPr>
          <w:rFonts w:ascii="宋体" w:hAnsi="宋体" w:eastAsia="宋体" w:cs="宋体"/>
          <w:color w:val="auto"/>
          <w:position w:val="12"/>
          <w:highlight w:val="none"/>
        </w:rPr>
        <w:t>对由此</w:t>
      </w:r>
    </w:p>
    <w:p>
      <w:pPr>
        <w:spacing w:before="1" w:line="220" w:lineRule="auto"/>
        <w:rPr>
          <w:rFonts w:ascii="宋体" w:hAnsi="宋体" w:eastAsia="宋体" w:cs="宋体"/>
          <w:color w:val="auto"/>
          <w:highlight w:val="none"/>
        </w:rPr>
      </w:pPr>
      <w:r>
        <w:rPr>
          <w:rFonts w:ascii="宋体" w:hAnsi="宋体" w:eastAsia="宋体" w:cs="宋体"/>
          <w:color w:val="auto"/>
          <w:spacing w:val="-1"/>
          <w:highlight w:val="none"/>
        </w:rPr>
        <w:t>造成的后</w:t>
      </w:r>
      <w:r>
        <w:rPr>
          <w:rFonts w:ascii="宋体" w:hAnsi="宋体" w:eastAsia="宋体" w:cs="宋体"/>
          <w:color w:val="auto"/>
          <w:highlight w:val="none"/>
        </w:rPr>
        <w:t>果承担法律责任。</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1.7 语言文字</w:t>
      </w:r>
    </w:p>
    <w:p>
      <w:pPr>
        <w:spacing w:before="121" w:line="220" w:lineRule="auto"/>
        <w:ind w:left="433"/>
        <w:rPr>
          <w:rFonts w:ascii="宋体" w:hAnsi="宋体" w:eastAsia="宋体" w:cs="宋体"/>
          <w:color w:val="auto"/>
          <w:highlight w:val="none"/>
        </w:rPr>
      </w:pPr>
      <w:r>
        <w:rPr>
          <w:rFonts w:ascii="宋体" w:hAnsi="宋体" w:eastAsia="宋体" w:cs="宋体"/>
          <w:color w:val="auto"/>
          <w:spacing w:val="-6"/>
          <w:highlight w:val="none"/>
        </w:rPr>
        <w:t>除专用术语</w:t>
      </w:r>
      <w:r>
        <w:rPr>
          <w:rFonts w:ascii="宋体" w:hAnsi="宋体" w:eastAsia="宋体" w:cs="宋体"/>
          <w:color w:val="auto"/>
          <w:spacing w:val="-4"/>
          <w:highlight w:val="none"/>
        </w:rPr>
        <w:t>外</w:t>
      </w:r>
      <w:r>
        <w:rPr>
          <w:rFonts w:ascii="宋体" w:hAnsi="宋体" w:eastAsia="宋体" w:cs="宋体"/>
          <w:color w:val="auto"/>
          <w:spacing w:val="-3"/>
          <w:highlight w:val="none"/>
        </w:rPr>
        <w:t>， 与招标投标有关的语言均使用中文。必要时专用术语应附有中文注释。</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1.8 计量单位</w:t>
      </w:r>
    </w:p>
    <w:p>
      <w:pPr>
        <w:spacing w:before="117" w:line="220" w:lineRule="auto"/>
        <w:ind w:left="420"/>
        <w:rPr>
          <w:rFonts w:ascii="宋体" w:hAnsi="宋体" w:eastAsia="宋体" w:cs="宋体"/>
          <w:color w:val="auto"/>
          <w:highlight w:val="none"/>
        </w:rPr>
      </w:pPr>
      <w:r>
        <w:rPr>
          <w:rFonts w:ascii="宋体" w:hAnsi="宋体" w:eastAsia="宋体" w:cs="宋体"/>
          <w:color w:val="auto"/>
          <w:spacing w:val="-1"/>
          <w:highlight w:val="none"/>
        </w:rPr>
        <w:t>所有计</w:t>
      </w:r>
      <w:r>
        <w:rPr>
          <w:rFonts w:ascii="宋体" w:hAnsi="宋体" w:eastAsia="宋体" w:cs="宋体"/>
          <w:color w:val="auto"/>
          <w:highlight w:val="none"/>
        </w:rPr>
        <w:t>量均采用中华人民共和国法定计量单位。</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1.9 踏勘现场</w:t>
      </w:r>
    </w:p>
    <w:p>
      <w:pPr>
        <w:spacing w:before="118" w:line="221" w:lineRule="auto"/>
        <w:ind w:left="436"/>
        <w:rPr>
          <w:rFonts w:ascii="宋体" w:hAnsi="宋体" w:eastAsia="宋体" w:cs="宋体"/>
          <w:color w:val="auto"/>
          <w:highlight w:val="none"/>
        </w:rPr>
      </w:pPr>
      <w:r>
        <w:rPr>
          <w:rFonts w:ascii="宋体" w:hAnsi="宋体" w:eastAsia="宋体" w:cs="宋体"/>
          <w:color w:val="auto"/>
          <w:spacing w:val="-1"/>
          <w:highlight w:val="none"/>
        </w:rPr>
        <w:t>1.9.1 投标人根据需要自行踏勘项目</w:t>
      </w:r>
      <w:r>
        <w:rPr>
          <w:rFonts w:ascii="宋体" w:hAnsi="宋体" w:eastAsia="宋体" w:cs="宋体"/>
          <w:color w:val="auto"/>
          <w:highlight w:val="none"/>
        </w:rPr>
        <w:t>现场。</w:t>
      </w:r>
    </w:p>
    <w:p>
      <w:pPr>
        <w:spacing w:before="127" w:line="221" w:lineRule="auto"/>
        <w:ind w:left="436"/>
        <w:rPr>
          <w:rFonts w:ascii="宋体" w:hAnsi="宋体" w:eastAsia="宋体" w:cs="宋体"/>
          <w:color w:val="auto"/>
          <w:highlight w:val="none"/>
        </w:rPr>
      </w:pPr>
      <w:r>
        <w:rPr>
          <w:rFonts w:ascii="宋体" w:hAnsi="宋体" w:eastAsia="宋体" w:cs="宋体"/>
          <w:color w:val="auto"/>
          <w:spacing w:val="-2"/>
          <w:highlight w:val="none"/>
        </w:rPr>
        <w:t>1.9.2 投标人踏勘现场</w:t>
      </w:r>
      <w:r>
        <w:rPr>
          <w:rFonts w:ascii="宋体" w:hAnsi="宋体" w:eastAsia="宋体" w:cs="宋体"/>
          <w:color w:val="auto"/>
          <w:spacing w:val="-1"/>
          <w:highlight w:val="none"/>
        </w:rPr>
        <w:t>发生的费用自理。</w:t>
      </w:r>
    </w:p>
    <w:p>
      <w:pPr>
        <w:spacing w:before="131" w:line="221" w:lineRule="auto"/>
        <w:ind w:left="436"/>
        <w:rPr>
          <w:rFonts w:ascii="宋体" w:hAnsi="宋体" w:eastAsia="宋体" w:cs="宋体"/>
          <w:color w:val="auto"/>
          <w:highlight w:val="none"/>
        </w:rPr>
      </w:pPr>
      <w:r>
        <w:rPr>
          <w:rFonts w:ascii="宋体" w:hAnsi="宋体" w:eastAsia="宋体" w:cs="宋体"/>
          <w:color w:val="auto"/>
          <w:spacing w:val="-1"/>
          <w:highlight w:val="none"/>
        </w:rPr>
        <w:t>1.9.3 投标人自行负责在踏勘现</w:t>
      </w:r>
      <w:r>
        <w:rPr>
          <w:rFonts w:ascii="宋体" w:hAnsi="宋体" w:eastAsia="宋体" w:cs="宋体"/>
          <w:color w:val="auto"/>
          <w:highlight w:val="none"/>
        </w:rPr>
        <w:t>场中所发生的人员伤亡和财产损失。</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1.10 投标预备会</w:t>
      </w:r>
    </w:p>
    <w:p>
      <w:pPr>
        <w:spacing w:before="119" w:line="222" w:lineRule="auto"/>
        <w:ind w:left="424"/>
        <w:rPr>
          <w:rFonts w:ascii="宋体" w:hAnsi="宋体" w:eastAsia="宋体" w:cs="宋体"/>
          <w:color w:val="auto"/>
          <w:highlight w:val="none"/>
        </w:rPr>
      </w:pPr>
      <w:r>
        <w:rPr>
          <w:rFonts w:ascii="宋体" w:hAnsi="宋体" w:eastAsia="宋体" w:cs="宋体"/>
          <w:color w:val="auto"/>
          <w:spacing w:val="-3"/>
          <w:highlight w:val="none"/>
        </w:rPr>
        <w:t>不</w:t>
      </w:r>
      <w:r>
        <w:rPr>
          <w:rFonts w:ascii="宋体" w:hAnsi="宋体" w:eastAsia="宋体" w:cs="宋体"/>
          <w:color w:val="auto"/>
          <w:spacing w:val="-2"/>
          <w:highlight w:val="none"/>
        </w:rPr>
        <w:t>召开。</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1.11 分包</w:t>
      </w:r>
    </w:p>
    <w:p>
      <w:pPr>
        <w:spacing w:before="118" w:line="379" w:lineRule="exact"/>
        <w:ind w:left="406"/>
        <w:rPr>
          <w:rFonts w:ascii="宋体" w:hAnsi="宋体" w:eastAsia="宋体" w:cs="宋体"/>
          <w:color w:val="auto"/>
          <w:highlight w:val="none"/>
        </w:rPr>
      </w:pPr>
      <w:r>
        <w:rPr>
          <w:rFonts w:ascii="宋体" w:hAnsi="宋体" w:eastAsia="宋体" w:cs="宋体"/>
          <w:color w:val="auto"/>
          <w:spacing w:val="-12"/>
          <w:position w:val="12"/>
          <w:highlight w:val="none"/>
        </w:rPr>
        <w:t>投标</w:t>
      </w:r>
      <w:r>
        <w:rPr>
          <w:rFonts w:ascii="宋体" w:hAnsi="宋体" w:eastAsia="宋体" w:cs="宋体"/>
          <w:color w:val="auto"/>
          <w:spacing w:val="-7"/>
          <w:position w:val="12"/>
          <w:highlight w:val="none"/>
        </w:rPr>
        <w:t>人</w:t>
      </w:r>
      <w:r>
        <w:rPr>
          <w:rFonts w:ascii="宋体" w:hAnsi="宋体" w:eastAsia="宋体" w:cs="宋体"/>
          <w:color w:val="auto"/>
          <w:spacing w:val="-6"/>
          <w:position w:val="12"/>
          <w:highlight w:val="none"/>
        </w:rPr>
        <w:t>拟在中标后将中标项目的部分非主体、非关键性工作进行分包的，应符合投标人须知前附</w:t>
      </w:r>
    </w:p>
    <w:p>
      <w:pPr>
        <w:spacing w:before="1" w:line="220" w:lineRule="auto"/>
        <w:rPr>
          <w:rFonts w:ascii="宋体" w:hAnsi="宋体" w:eastAsia="宋体" w:cs="宋体"/>
          <w:color w:val="auto"/>
          <w:highlight w:val="none"/>
        </w:rPr>
      </w:pPr>
      <w:r>
        <w:rPr>
          <w:rFonts w:ascii="宋体" w:hAnsi="宋体" w:eastAsia="宋体" w:cs="宋体"/>
          <w:color w:val="auto"/>
          <w:spacing w:val="-8"/>
          <w:highlight w:val="none"/>
        </w:rPr>
        <w:t>表规定的分包内容、分包金额和接受分包的第三人资质要求等限制性条件</w:t>
      </w:r>
      <w:r>
        <w:rPr>
          <w:rFonts w:ascii="宋体" w:hAnsi="宋体" w:eastAsia="宋体" w:cs="宋体"/>
          <w:color w:val="auto"/>
          <w:spacing w:val="-3"/>
          <w:highlight w:val="none"/>
        </w:rPr>
        <w:t>。</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1.12 偏离</w:t>
      </w:r>
    </w:p>
    <w:p>
      <w:pPr>
        <w:spacing w:before="118" w:line="221" w:lineRule="auto"/>
        <w:ind w:left="424"/>
        <w:rPr>
          <w:rFonts w:ascii="宋体" w:hAnsi="宋体" w:eastAsia="宋体" w:cs="宋体"/>
          <w:color w:val="auto"/>
          <w:highlight w:val="none"/>
        </w:rPr>
      </w:pPr>
      <w:r>
        <w:rPr>
          <w:rFonts w:ascii="宋体" w:hAnsi="宋体" w:eastAsia="宋体" w:cs="宋体"/>
          <w:color w:val="auto"/>
          <w:spacing w:val="-3"/>
          <w:highlight w:val="none"/>
        </w:rPr>
        <w:t>不</w:t>
      </w:r>
      <w:r>
        <w:rPr>
          <w:rFonts w:ascii="宋体" w:hAnsi="宋体" w:eastAsia="宋体" w:cs="宋体"/>
          <w:color w:val="auto"/>
          <w:spacing w:val="-2"/>
          <w:highlight w:val="none"/>
        </w:rPr>
        <w:t>允许。</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2.招标文件</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2.1 招标文件的组成</w:t>
      </w:r>
    </w:p>
    <w:p>
      <w:pPr>
        <w:spacing w:before="129" w:line="219" w:lineRule="auto"/>
        <w:ind w:firstLine="392" w:firstLineChars="200"/>
        <w:rPr>
          <w:rFonts w:ascii="宋体" w:hAnsi="宋体" w:eastAsia="宋体" w:cs="宋体"/>
          <w:color w:val="auto"/>
          <w:spacing w:val="-6"/>
          <w:highlight w:val="none"/>
        </w:rPr>
      </w:pPr>
      <w:r>
        <w:rPr>
          <w:rFonts w:ascii="宋体" w:hAnsi="宋体" w:eastAsia="宋体" w:cs="宋体"/>
          <w:color w:val="auto"/>
          <w:spacing w:val="-7"/>
          <w:highlight w:val="none"/>
        </w:rPr>
        <w:t>2</w:t>
      </w:r>
      <w:r>
        <w:rPr>
          <w:rFonts w:ascii="宋体" w:hAnsi="宋体" w:eastAsia="宋体" w:cs="宋体"/>
          <w:color w:val="auto"/>
          <w:spacing w:val="-6"/>
          <w:highlight w:val="none"/>
        </w:rPr>
        <w:t>.1.1 本招标文件包括：</w:t>
      </w:r>
    </w:p>
    <w:p>
      <w:pPr>
        <w:spacing w:before="129" w:line="219" w:lineRule="auto"/>
        <w:ind w:firstLine="472" w:firstLineChars="200"/>
        <w:rPr>
          <w:rFonts w:ascii="宋体" w:hAnsi="宋体" w:eastAsia="宋体" w:cs="宋体"/>
          <w:color w:val="auto"/>
          <w:spacing w:val="10"/>
          <w:highlight w:val="none"/>
        </w:rPr>
      </w:pPr>
      <w:r>
        <w:rPr>
          <w:rFonts w:ascii="宋体" w:hAnsi="宋体" w:eastAsia="宋体" w:cs="宋体"/>
          <w:color w:val="auto"/>
          <w:spacing w:val="13"/>
          <w:highlight w:val="none"/>
        </w:rPr>
        <w:t>(</w:t>
      </w:r>
      <w:r>
        <w:rPr>
          <w:rFonts w:ascii="宋体" w:hAnsi="宋体" w:eastAsia="宋体" w:cs="宋体"/>
          <w:color w:val="auto"/>
          <w:spacing w:val="10"/>
          <w:highlight w:val="none"/>
        </w:rPr>
        <w:t>1) 招标公告；</w:t>
      </w:r>
    </w:p>
    <w:p>
      <w:pPr>
        <w:spacing w:before="69" w:line="221" w:lineRule="auto"/>
        <w:ind w:left="427"/>
        <w:rPr>
          <w:rFonts w:ascii="宋体" w:hAnsi="宋体" w:eastAsia="宋体" w:cs="宋体"/>
          <w:color w:val="auto"/>
          <w:highlight w:val="none"/>
        </w:rPr>
      </w:pPr>
      <w:r>
        <w:rPr>
          <w:rFonts w:ascii="宋体" w:hAnsi="宋体" w:eastAsia="宋体" w:cs="宋体"/>
          <w:color w:val="auto"/>
          <w:spacing w:val="7"/>
          <w:highlight w:val="none"/>
        </w:rPr>
        <w:t>(2) 投标人须知</w:t>
      </w:r>
      <w:r>
        <w:rPr>
          <w:rFonts w:ascii="宋体" w:hAnsi="宋体" w:eastAsia="宋体" w:cs="宋体"/>
          <w:color w:val="auto"/>
          <w:spacing w:val="5"/>
          <w:highlight w:val="none"/>
        </w:rPr>
        <w:t>；</w:t>
      </w:r>
    </w:p>
    <w:p>
      <w:pPr>
        <w:spacing w:before="127" w:line="221" w:lineRule="auto"/>
        <w:ind w:left="427"/>
        <w:rPr>
          <w:rFonts w:ascii="宋体" w:hAnsi="宋体" w:eastAsia="宋体" w:cs="宋体"/>
          <w:color w:val="auto"/>
          <w:highlight w:val="none"/>
        </w:rPr>
      </w:pPr>
      <w:r>
        <w:rPr>
          <w:rFonts w:ascii="宋体" w:hAnsi="宋体" w:eastAsia="宋体" w:cs="宋体"/>
          <w:color w:val="auto"/>
          <w:spacing w:val="13"/>
          <w:highlight w:val="none"/>
        </w:rPr>
        <w:t>(</w:t>
      </w:r>
      <w:r>
        <w:rPr>
          <w:rFonts w:ascii="宋体" w:hAnsi="宋体" w:eastAsia="宋体" w:cs="宋体"/>
          <w:color w:val="auto"/>
          <w:spacing w:val="10"/>
          <w:highlight w:val="none"/>
        </w:rPr>
        <w:t>3) 评标办法；</w:t>
      </w:r>
    </w:p>
    <w:p>
      <w:pPr>
        <w:spacing w:before="127" w:line="221" w:lineRule="auto"/>
        <w:ind w:left="427"/>
        <w:rPr>
          <w:rFonts w:ascii="宋体" w:hAnsi="宋体" w:eastAsia="宋体" w:cs="宋体"/>
          <w:color w:val="auto"/>
          <w:highlight w:val="none"/>
        </w:rPr>
      </w:pPr>
      <w:r>
        <w:rPr>
          <w:rFonts w:ascii="宋体" w:hAnsi="宋体" w:eastAsia="宋体" w:cs="宋体"/>
          <w:color w:val="auto"/>
          <w:spacing w:val="10"/>
          <w:highlight w:val="none"/>
        </w:rPr>
        <w:t>(</w:t>
      </w:r>
      <w:r>
        <w:rPr>
          <w:rFonts w:ascii="宋体" w:hAnsi="宋体" w:eastAsia="宋体" w:cs="宋体"/>
          <w:color w:val="auto"/>
          <w:spacing w:val="9"/>
          <w:highlight w:val="none"/>
        </w:rPr>
        <w:t>4</w:t>
      </w:r>
      <w:r>
        <w:rPr>
          <w:rFonts w:ascii="宋体" w:hAnsi="宋体" w:eastAsia="宋体" w:cs="宋体"/>
          <w:color w:val="auto"/>
          <w:spacing w:val="5"/>
          <w:highlight w:val="none"/>
        </w:rPr>
        <w:t>) 合同条款及格式；</w:t>
      </w:r>
    </w:p>
    <w:p>
      <w:pPr>
        <w:spacing w:before="131" w:line="221" w:lineRule="auto"/>
        <w:ind w:left="427"/>
        <w:rPr>
          <w:rFonts w:ascii="宋体" w:hAnsi="宋体" w:eastAsia="宋体" w:cs="宋体"/>
          <w:color w:val="auto"/>
          <w:highlight w:val="none"/>
        </w:rPr>
      </w:pPr>
      <w:r>
        <w:rPr>
          <w:rFonts w:ascii="宋体" w:hAnsi="宋体" w:eastAsia="宋体" w:cs="宋体"/>
          <w:color w:val="auto"/>
          <w:spacing w:val="7"/>
          <w:highlight w:val="none"/>
        </w:rPr>
        <w:t>(5) 工程量清单</w:t>
      </w:r>
      <w:r>
        <w:rPr>
          <w:rFonts w:ascii="宋体" w:hAnsi="宋体" w:eastAsia="宋体" w:cs="宋体"/>
          <w:color w:val="auto"/>
          <w:spacing w:val="5"/>
          <w:highlight w:val="none"/>
        </w:rPr>
        <w:t>；</w:t>
      </w:r>
    </w:p>
    <w:p>
      <w:pPr>
        <w:spacing w:before="127" w:line="219" w:lineRule="auto"/>
        <w:ind w:left="427"/>
        <w:rPr>
          <w:rFonts w:ascii="宋体" w:hAnsi="宋体" w:eastAsia="宋体" w:cs="宋体"/>
          <w:color w:val="auto"/>
          <w:highlight w:val="none"/>
        </w:rPr>
      </w:pPr>
      <w:r>
        <w:rPr>
          <w:rFonts w:ascii="宋体" w:hAnsi="宋体" w:eastAsia="宋体" w:cs="宋体"/>
          <w:color w:val="auto"/>
          <w:spacing w:val="7"/>
          <w:highlight w:val="none"/>
        </w:rPr>
        <w:t>(6) 招标控制价</w:t>
      </w:r>
      <w:r>
        <w:rPr>
          <w:rFonts w:ascii="宋体" w:hAnsi="宋体" w:eastAsia="宋体" w:cs="宋体"/>
          <w:color w:val="auto"/>
          <w:spacing w:val="5"/>
          <w:highlight w:val="none"/>
        </w:rPr>
        <w:t>；</w:t>
      </w:r>
    </w:p>
    <w:p>
      <w:pPr>
        <w:spacing w:before="130" w:line="222" w:lineRule="auto"/>
        <w:ind w:left="427"/>
        <w:rPr>
          <w:rFonts w:ascii="宋体" w:hAnsi="宋体" w:eastAsia="宋体" w:cs="宋体"/>
          <w:color w:val="auto"/>
          <w:highlight w:val="none"/>
        </w:rPr>
      </w:pPr>
      <w:r>
        <w:rPr>
          <w:rFonts w:ascii="宋体" w:hAnsi="宋体" w:eastAsia="宋体" w:cs="宋体"/>
          <w:color w:val="auto"/>
          <w:spacing w:val="15"/>
          <w:highlight w:val="none"/>
        </w:rPr>
        <w:t>(</w:t>
      </w:r>
      <w:r>
        <w:rPr>
          <w:rFonts w:ascii="宋体" w:hAnsi="宋体" w:eastAsia="宋体" w:cs="宋体"/>
          <w:color w:val="auto"/>
          <w:spacing w:val="13"/>
          <w:highlight w:val="none"/>
        </w:rPr>
        <w:t>7) 图纸；</w:t>
      </w:r>
    </w:p>
    <w:p>
      <w:pPr>
        <w:spacing w:before="128" w:line="221" w:lineRule="auto"/>
        <w:ind w:left="427"/>
        <w:rPr>
          <w:rFonts w:ascii="宋体" w:hAnsi="宋体" w:eastAsia="宋体" w:cs="宋体"/>
          <w:color w:val="auto"/>
          <w:highlight w:val="none"/>
        </w:rPr>
      </w:pPr>
      <w:r>
        <w:rPr>
          <w:rFonts w:ascii="宋体" w:hAnsi="宋体" w:eastAsia="宋体" w:cs="宋体"/>
          <w:color w:val="auto"/>
          <w:spacing w:val="10"/>
          <w:highlight w:val="none"/>
        </w:rPr>
        <w:t>(</w:t>
      </w:r>
      <w:r>
        <w:rPr>
          <w:rFonts w:ascii="宋体" w:hAnsi="宋体" w:eastAsia="宋体" w:cs="宋体"/>
          <w:color w:val="auto"/>
          <w:spacing w:val="9"/>
          <w:highlight w:val="none"/>
        </w:rPr>
        <w:t>8</w:t>
      </w:r>
      <w:r>
        <w:rPr>
          <w:rFonts w:ascii="宋体" w:hAnsi="宋体" w:eastAsia="宋体" w:cs="宋体"/>
          <w:color w:val="auto"/>
          <w:spacing w:val="5"/>
          <w:highlight w:val="none"/>
        </w:rPr>
        <w:t>) 技术标准和要求；</w:t>
      </w:r>
    </w:p>
    <w:p>
      <w:pPr>
        <w:spacing w:before="128" w:line="221" w:lineRule="auto"/>
        <w:ind w:left="427"/>
        <w:rPr>
          <w:rFonts w:ascii="宋体" w:hAnsi="宋体" w:eastAsia="宋体" w:cs="宋体"/>
          <w:color w:val="auto"/>
          <w:highlight w:val="none"/>
        </w:rPr>
      </w:pPr>
      <w:r>
        <w:rPr>
          <w:rFonts w:ascii="宋体" w:hAnsi="宋体" w:eastAsia="宋体" w:cs="宋体"/>
          <w:color w:val="auto"/>
          <w:spacing w:val="13"/>
          <w:highlight w:val="none"/>
        </w:rPr>
        <w:t>(</w:t>
      </w:r>
      <w:r>
        <w:rPr>
          <w:rFonts w:ascii="宋体" w:hAnsi="宋体" w:eastAsia="宋体" w:cs="宋体"/>
          <w:color w:val="auto"/>
          <w:spacing w:val="8"/>
          <w:highlight w:val="none"/>
        </w:rPr>
        <w:t>9) 投标文件格式；</w:t>
      </w:r>
    </w:p>
    <w:p>
      <w:pPr>
        <w:spacing w:before="128" w:line="220" w:lineRule="auto"/>
        <w:ind w:left="427"/>
        <w:rPr>
          <w:rFonts w:ascii="宋体" w:hAnsi="宋体" w:eastAsia="宋体" w:cs="宋体"/>
          <w:color w:val="auto"/>
          <w:highlight w:val="none"/>
        </w:rPr>
      </w:pPr>
      <w:r>
        <w:rPr>
          <w:rFonts w:ascii="宋体" w:hAnsi="宋体" w:eastAsia="宋体" w:cs="宋体"/>
          <w:color w:val="auto"/>
          <w:spacing w:val="-1"/>
          <w:highlight w:val="none"/>
        </w:rPr>
        <w:t>(10)  “投标</w:t>
      </w:r>
      <w:r>
        <w:rPr>
          <w:rFonts w:ascii="宋体" w:hAnsi="宋体" w:eastAsia="宋体" w:cs="宋体"/>
          <w:color w:val="auto"/>
          <w:highlight w:val="none"/>
        </w:rPr>
        <w:t>人须知前附表”规定的其他材料。</w:t>
      </w:r>
    </w:p>
    <w:p>
      <w:pPr>
        <w:spacing w:before="121" w:line="334" w:lineRule="auto"/>
        <w:ind w:left="2" w:right="34" w:firstLine="425"/>
        <w:rPr>
          <w:rFonts w:ascii="宋体" w:hAnsi="宋体" w:eastAsia="宋体" w:cs="宋体"/>
          <w:color w:val="auto"/>
          <w:spacing w:val="-1"/>
          <w:highlight w:val="none"/>
        </w:rPr>
      </w:pPr>
      <w:r>
        <w:rPr>
          <w:rFonts w:ascii="宋体" w:hAnsi="宋体" w:eastAsia="宋体" w:cs="宋体"/>
          <w:color w:val="auto"/>
          <w:spacing w:val="-1"/>
          <w:highlight w:val="none"/>
        </w:rPr>
        <w:t>2.1.2 根据本章第 2.2 款和第 2.3 款对招标文件所作的澄清、修改，构成招标文件的组成部分</w:t>
      </w:r>
      <w:r>
        <w:rPr>
          <w:rFonts w:hint="eastAsia" w:ascii="宋体" w:hAnsi="宋体" w:eastAsia="宋体" w:cs="宋体"/>
          <w:color w:val="auto"/>
          <w:spacing w:val="-1"/>
          <w:highlight w:val="none"/>
        </w:rPr>
        <w:t>.</w:t>
      </w:r>
      <w:r>
        <w:rPr>
          <w:rFonts w:ascii="宋体" w:hAnsi="宋体" w:eastAsia="宋体" w:cs="宋体"/>
          <w:color w:val="auto"/>
          <w:spacing w:val="-1"/>
          <w:highlight w:val="none"/>
        </w:rPr>
        <w:t>当招标文件及其澄清、修改或补充文件对于同一内容表述不一致时，以最后发出的书面文件为准。</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2.2 招标文件的澄清</w:t>
      </w:r>
    </w:p>
    <w:p>
      <w:pPr>
        <w:spacing w:before="121" w:line="334" w:lineRule="auto"/>
        <w:ind w:left="2" w:right="34" w:firstLine="425"/>
        <w:rPr>
          <w:rFonts w:ascii="宋体" w:hAnsi="宋体" w:eastAsia="宋体" w:cs="宋体"/>
          <w:color w:val="auto"/>
          <w:highlight w:val="none"/>
        </w:rPr>
      </w:pPr>
      <w:r>
        <w:rPr>
          <w:rFonts w:ascii="宋体" w:hAnsi="宋体" w:eastAsia="宋体" w:cs="宋体"/>
          <w:color w:val="auto"/>
          <w:spacing w:val="-8"/>
          <w:highlight w:val="none"/>
        </w:rPr>
        <w:t>2.</w:t>
      </w:r>
      <w:r>
        <w:rPr>
          <w:rFonts w:ascii="宋体" w:hAnsi="宋体" w:eastAsia="宋体" w:cs="宋体"/>
          <w:color w:val="auto"/>
          <w:spacing w:val="-4"/>
          <w:highlight w:val="none"/>
        </w:rPr>
        <w:t>2.1 投标人应仔细阅读和检查招标文件的全部内容。如发现缺页或附件不全，应及时向招标</w:t>
      </w:r>
      <w:r>
        <w:rPr>
          <w:rFonts w:ascii="宋体" w:hAnsi="宋体" w:eastAsia="宋体" w:cs="宋体"/>
          <w:color w:val="auto"/>
          <w:spacing w:val="-1"/>
          <w:highlight w:val="none"/>
        </w:rPr>
        <w:t>人提出，以便补齐。如有疑问，应在“投标人须知前附表”规定的时间前以书面形</w:t>
      </w:r>
      <w:r>
        <w:rPr>
          <w:rFonts w:ascii="宋体" w:hAnsi="宋体" w:eastAsia="宋体" w:cs="宋体"/>
          <w:color w:val="auto"/>
          <w:highlight w:val="none"/>
        </w:rPr>
        <w:t>式(包括信函、</w:t>
      </w:r>
      <w:r>
        <w:rPr>
          <w:rFonts w:ascii="宋体" w:hAnsi="宋体" w:eastAsia="宋体" w:cs="宋体"/>
          <w:color w:val="auto"/>
          <w:spacing w:val="-1"/>
          <w:highlight w:val="none"/>
        </w:rPr>
        <w:t>电报、传真等可以有形地表现所载内容</w:t>
      </w:r>
      <w:r>
        <w:rPr>
          <w:rFonts w:ascii="宋体" w:hAnsi="宋体" w:eastAsia="宋体" w:cs="宋体"/>
          <w:color w:val="auto"/>
          <w:highlight w:val="none"/>
        </w:rPr>
        <w:t>的形式，下同)， 要求招标人对招标文件予以澄清。</w:t>
      </w:r>
    </w:p>
    <w:p>
      <w:pPr>
        <w:spacing w:before="4" w:line="333" w:lineRule="auto"/>
        <w:ind w:right="74" w:firstLine="428"/>
        <w:rPr>
          <w:rFonts w:ascii="宋体" w:hAnsi="宋体" w:eastAsia="宋体" w:cs="宋体"/>
          <w:color w:val="auto"/>
          <w:highlight w:val="none"/>
        </w:rPr>
      </w:pPr>
      <w:r>
        <w:rPr>
          <w:rFonts w:ascii="宋体" w:hAnsi="宋体" w:eastAsia="宋体" w:cs="宋体"/>
          <w:color w:val="auto"/>
          <w:spacing w:val="-2"/>
          <w:highlight w:val="none"/>
        </w:rPr>
        <w:t>2.2.2 招标文件的澄清将在招标公告发布的相关网站上公示，已下载招标文件的投标人</w:t>
      </w:r>
      <w:r>
        <w:rPr>
          <w:rFonts w:ascii="宋体" w:hAnsi="宋体" w:eastAsia="宋体" w:cs="宋体"/>
          <w:color w:val="auto"/>
          <w:spacing w:val="-1"/>
          <w:highlight w:val="none"/>
        </w:rPr>
        <w:t>自</w:t>
      </w:r>
      <w:r>
        <w:rPr>
          <w:rFonts w:ascii="宋体" w:hAnsi="宋体" w:eastAsia="宋体" w:cs="宋体"/>
          <w:color w:val="auto"/>
          <w:highlight w:val="none"/>
        </w:rPr>
        <w:t>行登</w:t>
      </w:r>
      <w:r>
        <w:rPr>
          <w:rFonts w:ascii="宋体" w:hAnsi="宋体" w:eastAsia="宋体" w:cs="宋体"/>
          <w:color w:val="auto"/>
          <w:spacing w:val="-2"/>
          <w:highlight w:val="none"/>
        </w:rPr>
        <w:t>录招标公告发布的相关网站查询，以便将澄清和补遗内容考虑在投标文件</w:t>
      </w:r>
      <w:r>
        <w:rPr>
          <w:rFonts w:ascii="宋体" w:hAnsi="宋体" w:eastAsia="宋体" w:cs="宋体"/>
          <w:color w:val="auto"/>
          <w:spacing w:val="-1"/>
          <w:highlight w:val="none"/>
        </w:rPr>
        <w:t>中。如果澄清发出的时间</w:t>
      </w:r>
      <w:r>
        <w:rPr>
          <w:rFonts w:ascii="宋体" w:hAnsi="宋体" w:eastAsia="宋体" w:cs="宋体"/>
          <w:color w:val="auto"/>
          <w:spacing w:val="-2"/>
          <w:highlight w:val="none"/>
        </w:rPr>
        <w:t>距投标截止时间不足 15 天，且招标文件的澄清内容可能影响投</w:t>
      </w:r>
      <w:r>
        <w:rPr>
          <w:rFonts w:ascii="宋体" w:hAnsi="宋体" w:eastAsia="宋体" w:cs="宋体"/>
          <w:color w:val="auto"/>
          <w:spacing w:val="-1"/>
          <w:highlight w:val="none"/>
        </w:rPr>
        <w:t>标文件编制的，相应延长投标截止</w:t>
      </w:r>
      <w:r>
        <w:rPr>
          <w:rFonts w:ascii="宋体" w:hAnsi="宋体" w:eastAsia="宋体" w:cs="宋体"/>
          <w:color w:val="auto"/>
          <w:spacing w:val="-9"/>
          <w:highlight w:val="none"/>
        </w:rPr>
        <w:t>时</w:t>
      </w:r>
      <w:r>
        <w:rPr>
          <w:rFonts w:ascii="宋体" w:hAnsi="宋体" w:eastAsia="宋体" w:cs="宋体"/>
          <w:color w:val="auto"/>
          <w:spacing w:val="-7"/>
          <w:highlight w:val="none"/>
        </w:rPr>
        <w:t>间。</w:t>
      </w:r>
    </w:p>
    <w:p>
      <w:pPr>
        <w:spacing w:before="2" w:line="334" w:lineRule="auto"/>
        <w:ind w:left="1" w:right="75" w:firstLine="421"/>
        <w:rPr>
          <w:rFonts w:ascii="宋体" w:hAnsi="宋体" w:eastAsia="宋体" w:cs="宋体"/>
          <w:color w:val="auto"/>
          <w:highlight w:val="none"/>
        </w:rPr>
      </w:pPr>
      <w:r>
        <w:rPr>
          <w:rFonts w:ascii="宋体" w:hAnsi="宋体" w:eastAsia="宋体" w:cs="宋体"/>
          <w:color w:val="auto"/>
          <w:spacing w:val="-7"/>
          <w:highlight w:val="none"/>
        </w:rPr>
        <w:t>2</w:t>
      </w:r>
      <w:r>
        <w:rPr>
          <w:rFonts w:ascii="宋体" w:hAnsi="宋体" w:eastAsia="宋体" w:cs="宋体"/>
          <w:color w:val="auto"/>
          <w:spacing w:val="-4"/>
          <w:highlight w:val="none"/>
        </w:rPr>
        <w:t>.2.3 招标人在招标公告发布的网站发布的同时，视同投标人已知晓招标文件的澄清内容，投</w:t>
      </w:r>
      <w:r>
        <w:rPr>
          <w:rFonts w:ascii="宋体" w:hAnsi="宋体" w:eastAsia="宋体" w:cs="宋体"/>
          <w:color w:val="auto"/>
          <w:spacing w:val="-2"/>
          <w:highlight w:val="none"/>
        </w:rPr>
        <w:t>标人应将澄清内容考虑在投标文件中，投标人在投标截止前未登录招标公告</w:t>
      </w:r>
      <w:r>
        <w:rPr>
          <w:rFonts w:ascii="宋体" w:hAnsi="宋体" w:eastAsia="宋体" w:cs="宋体"/>
          <w:color w:val="auto"/>
          <w:spacing w:val="-1"/>
          <w:highlight w:val="none"/>
        </w:rPr>
        <w:t>发布的网站查看澄清和</w:t>
      </w:r>
      <w:r>
        <w:rPr>
          <w:rFonts w:ascii="宋体" w:hAnsi="宋体" w:eastAsia="宋体" w:cs="宋体"/>
          <w:color w:val="auto"/>
          <w:spacing w:val="-10"/>
          <w:highlight w:val="none"/>
        </w:rPr>
        <w:t>答疑，造</w:t>
      </w:r>
      <w:r>
        <w:rPr>
          <w:rFonts w:ascii="宋体" w:hAnsi="宋体" w:eastAsia="宋体" w:cs="宋体"/>
          <w:color w:val="auto"/>
          <w:spacing w:val="-6"/>
          <w:highlight w:val="none"/>
        </w:rPr>
        <w:t>成</w:t>
      </w:r>
      <w:r>
        <w:rPr>
          <w:rFonts w:ascii="宋体" w:hAnsi="宋体" w:eastAsia="宋体" w:cs="宋体"/>
          <w:color w:val="auto"/>
          <w:spacing w:val="-5"/>
          <w:highlight w:val="none"/>
        </w:rPr>
        <w:t>投标人的投标文件不符合招标文件要求或废标的，由投标人自行承担责任。</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2.3 招标文件的修改</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2.3.1 在投标截止时间 15日前，招标人可以对招标文件进行修改，如修改涉及评标办法和投</w:t>
      </w:r>
      <w:r>
        <w:rPr>
          <w:rFonts w:ascii="宋体" w:hAnsi="宋体" w:eastAsia="宋体" w:cs="宋体"/>
          <w:color w:val="auto"/>
          <w:spacing w:val="-12"/>
          <w:highlight w:val="none"/>
        </w:rPr>
        <w:t>标文</w:t>
      </w:r>
      <w:r>
        <w:rPr>
          <w:rFonts w:ascii="宋体" w:hAnsi="宋体" w:eastAsia="宋体" w:cs="宋体"/>
          <w:color w:val="auto"/>
          <w:spacing w:val="-11"/>
          <w:highlight w:val="none"/>
        </w:rPr>
        <w:t>件</w:t>
      </w:r>
      <w:r>
        <w:rPr>
          <w:rFonts w:ascii="宋体" w:hAnsi="宋体" w:eastAsia="宋体" w:cs="宋体"/>
          <w:color w:val="auto"/>
          <w:spacing w:val="-6"/>
          <w:highlight w:val="none"/>
        </w:rPr>
        <w:t>格式的内容，招标人应将修改后的招标文件重新上传，投标人应按修改后的招标文件制作投</w:t>
      </w:r>
      <w:r>
        <w:rPr>
          <w:rFonts w:ascii="宋体" w:hAnsi="宋体" w:eastAsia="宋体" w:cs="宋体"/>
          <w:color w:val="auto"/>
          <w:spacing w:val="-3"/>
          <w:highlight w:val="none"/>
        </w:rPr>
        <w:t>标文件。如果修改招标文件的时间距投标截止时间不足 15 日，相应延长投标截止时间</w:t>
      </w:r>
      <w:r>
        <w:rPr>
          <w:rFonts w:ascii="宋体" w:hAnsi="宋体" w:eastAsia="宋体" w:cs="宋体"/>
          <w:color w:val="auto"/>
          <w:spacing w:val="-6"/>
          <w:highlight w:val="none"/>
        </w:rPr>
        <w:t>。</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2.3.2 当招标文件、招标文件的修改、补充在同一内容表述不一致时</w:t>
      </w:r>
      <w:r>
        <w:rPr>
          <w:rFonts w:hint="eastAsia" w:ascii="宋体" w:hAnsi="宋体" w:eastAsia="宋体" w:cs="宋体"/>
          <w:color w:val="auto"/>
          <w:spacing w:val="-6"/>
          <w:highlight w:val="none"/>
        </w:rPr>
        <w:t>，</w:t>
      </w:r>
      <w:r>
        <w:rPr>
          <w:rFonts w:ascii="宋体" w:hAnsi="宋体" w:eastAsia="宋体" w:cs="宋体"/>
          <w:color w:val="auto"/>
          <w:spacing w:val="-6"/>
          <w:highlight w:val="none"/>
        </w:rPr>
        <w:t>以最后上传的招标文件为准。</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2.3.3 为使投标人在编制投标文件时有充分的时间对招标文件的修改、补充等内容进行研究并做出响应，招标人可酌情延长提交投标文件的截止时间， 具体时间在招标文件的修改、补充等通知中予以明确。</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2.3.4 招标文件的修改或补充，在招标公告发布的同一媒介网站上进行发布。招标文件的修改内容作为招标文件的组成部分，具有约束作用。</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2.4 特别说明</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2"/>
          <w:highlight w:val="none"/>
        </w:rPr>
        <w:t>2</w:t>
      </w:r>
      <w:r>
        <w:rPr>
          <w:rFonts w:ascii="宋体" w:hAnsi="宋体" w:eastAsia="宋体" w:cs="宋体"/>
          <w:color w:val="auto"/>
          <w:spacing w:val="-6"/>
          <w:highlight w:val="none"/>
        </w:rPr>
        <w:t>.4.1 投标人应仔细阅读招标文件的所有内容，按照招标文件的要求提交投标文件，并对所提 供的全部资料的真实性承担法律责任。</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2.4.2 投标人在投标活动中提供任何虚假材料，其投标无效，并报监管部门查处；中标后发现的，中标人须依照《中华人民共和国消费者权益保护法》赔偿招标人，且民事赔偿并不免除违法投标人的行政与刑事责任。</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3.投标文件</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3.1 投标文件的组成</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电子投标文件按政采云平台要求及本招标文件要求制作、加密并递交。具体操作流程可参考《政 府采购项目电子交易管理操作指南-供应商》， 指南可在“</w:t>
      </w:r>
      <w:r>
        <w:rPr>
          <w:color w:val="auto"/>
          <w:highlight w:val="none"/>
        </w:rPr>
        <w:fldChar w:fldCharType="begin"/>
      </w:r>
      <w:r>
        <w:rPr>
          <w:color w:val="auto"/>
          <w:highlight w:val="none"/>
        </w:rPr>
        <w:instrText xml:space="preserve"> HYPERLINK "http://www.ccgp-guangxi.gov.cn/Pur" </w:instrText>
      </w:r>
      <w:r>
        <w:rPr>
          <w:color w:val="auto"/>
          <w:highlight w:val="none"/>
        </w:rPr>
        <w:fldChar w:fldCharType="separate"/>
      </w:r>
      <w:r>
        <w:rPr>
          <w:rFonts w:ascii="宋体" w:hAnsi="宋体" w:eastAsia="宋体" w:cs="宋体"/>
          <w:color w:val="auto"/>
          <w:spacing w:val="-6"/>
          <w:highlight w:val="none"/>
        </w:rPr>
        <w:t>http://www.ccgp</w:t>
      </w:r>
      <w:r>
        <w:rPr>
          <w:rFonts w:hint="eastAsia" w:ascii="宋体" w:hAnsi="宋体" w:eastAsia="宋体" w:cs="宋体"/>
          <w:color w:val="auto"/>
          <w:spacing w:val="-6"/>
          <w:highlight w:val="none"/>
        </w:rPr>
        <w:t>-</w:t>
      </w:r>
      <w:r>
        <w:rPr>
          <w:rFonts w:ascii="宋体" w:hAnsi="宋体" w:eastAsia="宋体" w:cs="宋体"/>
          <w:color w:val="auto"/>
          <w:spacing w:val="-6"/>
          <w:highlight w:val="none"/>
        </w:rPr>
        <w:t>guangxi.gov.cn/Pur</w:t>
      </w:r>
      <w:r>
        <w:rPr>
          <w:rFonts w:ascii="宋体" w:hAnsi="宋体" w:eastAsia="宋体" w:cs="宋体"/>
          <w:color w:val="auto"/>
          <w:spacing w:val="-6"/>
          <w:highlight w:val="none"/>
        </w:rPr>
        <w:fldChar w:fldCharType="end"/>
      </w:r>
      <w:r>
        <w:rPr>
          <w:rFonts w:ascii="宋体" w:hAnsi="宋体" w:eastAsia="宋体" w:cs="宋体"/>
          <w:color w:val="auto"/>
          <w:spacing w:val="-6"/>
          <w:highlight w:val="none"/>
        </w:rPr>
        <w:t xml:space="preserve"> chaseAdvisory/ImportantNotice/2866753.html”下载。</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3.1.1 投标文件应包括下列内容：</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(1) 资格审查部分：具体材料见“投标人须知前附表”；</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(2) 商务标部分： 具体材料见“投标人须知前附表”；</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(3) 技术标部分： 具体材料见“投标人须知前附表”；</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(4) 企业信誉实力部分：具体材料见“投标人须知前附表”。</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3.1.2 招标文件“第九章 投标文件格式”有规定格式要求的，投标人应按规定的格式填写并按要求提交相关的证明材料。</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3.1.3 “投标人须知前附表”规定不接受联合体投标的，或投标人没有组成联合体的，投标文件不包括本章第 3.1.1 (1)中所指的联合体协议书。</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3.1.4 近年财务状况、完成的类似项目、发生的诉讼及仲裁情况的年份要求：见“投标人须知前附表”。</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3.2 投标报价</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4"/>
          <w:highlight w:val="none"/>
        </w:rPr>
        <w:t>3</w:t>
      </w:r>
      <w:r>
        <w:rPr>
          <w:rFonts w:ascii="宋体" w:hAnsi="宋体" w:eastAsia="宋体" w:cs="宋体"/>
          <w:color w:val="auto"/>
          <w:spacing w:val="-6"/>
          <w:highlight w:val="none"/>
        </w:rPr>
        <w:t>.2.1 投标人应按第五章“工程量清单”的要求填写相应的表格。</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3.2.2 投标人在投标截止时间前修改投标函中的投标总报价，应同时修改第九章“投标文件格式”中的相应报价。此修改须符合本章第 4.3 款的有关要求。</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3.3 投标有效期</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3.3.1 在投标人须知前附表规定的投标有效期内，投标人不得要求撤销或修改投标文件。</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3.3.2 在原定投标有效期满之前， 出现特殊情况需要延长投标有效期的，招标人以书面形式通知所有投标人延长投标有效期。</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3.4 投标保证金</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本项目无需缴纳投标保证金。</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3.5 备选投标方案</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3.6 投标文件的编制、加密</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3.6.1 投标人下载或获取招标文件后，登录“政采云电子投标客户端”，按照本招标文件规定的投标文件格式、顺序以及“政采云”平台的要求，通过“政采云电子投标客户端”编制电子投标文件。</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3.6.2 电子投标文件中须加盖投标人公章部分均采用 CA 签章，并根据“政府采购项目电子交易管理操作指南-供应商”及本招标文件规定的格式和顺序编制电子投标文件并进行关联定位，以便评审小组在评审时，点击评分项可直接定位到该评分项内容。如对招标文件的某项要求，投标人的电子投标文件未能关联定位提供相应的内容与其对应，则评审小组在评审时如做出对投标人不利的评审由投标人自行承担。电子投标文件如内容不完整、编排混乱导致投标文件被误读、漏读，或者在按招标文件规定的部位查找不到相关内容的，由投标人自行承担。</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3.6.3 投标人法人(负责人)或授权代表持有政采云个人 CA 签章的，应在投标文件中涉及到签字的位置使用个人 CA 签章，没有办理政采云个人 CA 签章的可在投标文件中涉及到签字的位置手写签字后扫描或者拍照做成 PDF 的格式上传即可。</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3.6.4 投标文件不得涂改，若有修改错漏处，须法定代表人(负责人) 或授权委托人签字(或个人 CA 签章) 。因投标文件字迹潦草、表达不清、内容不完整、编排混乱导致投标文件被误读、漏读，或者在按招标文件规定的部位查找不到相关内容的，其不利后果由投标人自行承担。</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3.6.5 投标人编制、生成电子投标文件后应当加密投标文件。投标人未按规定编制并加密的投标文件，“政采云”平台将予以拒收。</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3.6.6 评审前准备</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(1) 本项目实行网上评审，采用电子投标文件；若投标人参与投标，自行承担投标一切费用。</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(2)各投标人在截标前应确保成为政采云平台正式注册入库供应商，并完成 CA 数字证书申领。因未注册入库、未办理 CA 数字证书等原因造成无法投标或投标失败等后果由投标人自行承担。</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(3)投标人将政采云电子交易客户端下载、安装完成后，可通过账号密码或 CA 登录客户端 进行投标文件制作。客户端请至网站下载专区查看，如有问题可拨打政采云客户服务热线</w:t>
      </w:r>
      <w:r>
        <w:rPr>
          <w:rFonts w:hint="eastAsia" w:ascii="宋体" w:hAnsi="宋体" w:eastAsia="宋体" w:cs="宋体"/>
          <w:color w:val="auto"/>
          <w:spacing w:val="-6"/>
          <w:highlight w:val="none"/>
        </w:rPr>
        <w:t xml:space="preserve"> 95763 </w:t>
      </w:r>
      <w:r>
        <w:rPr>
          <w:rFonts w:ascii="宋体" w:hAnsi="宋体" w:eastAsia="宋体" w:cs="宋体"/>
          <w:color w:val="auto"/>
          <w:spacing w:val="-6"/>
          <w:highlight w:val="none"/>
        </w:rPr>
        <w:t>进行咨询。</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3.6.7 特别说明：</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(1) 投标文件(电子投标文件) ，其中电子投标文件中所须加盖公章部分均采用CA 签章。若 投标文件中有专门标注的某关联点，并要求投标人在电子投标系统中作出投标响应的， 如投标人未对关联点进行响应或者在投标文件其它内容中进行描述，造成电子评审不能查询的责任由投标人自行承担。</w:t>
      </w:r>
    </w:p>
    <w:p>
      <w:pPr>
        <w:spacing w:before="119" w:line="334" w:lineRule="auto"/>
        <w:ind w:left="1" w:right="75" w:firstLine="421"/>
        <w:rPr>
          <w:rFonts w:ascii="宋体" w:hAnsi="宋体" w:eastAsia="宋体" w:cs="宋体"/>
          <w:color w:val="auto"/>
          <w:highlight w:val="none"/>
        </w:rPr>
      </w:pPr>
      <w:r>
        <w:rPr>
          <w:rFonts w:ascii="宋体" w:hAnsi="宋体" w:eastAsia="宋体" w:cs="宋体"/>
          <w:color w:val="auto"/>
          <w:spacing w:val="-6"/>
          <w:highlight w:val="none"/>
        </w:rPr>
        <w:t>(2) 招标文件要求法定代表人(负责人)或委托代理人签字的部分必须签字然后扫描或者拍照做成pdf格式上传(或加盖个人 CA 签章) ，无签字的视为投标无效。</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4.投标</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4.1 投标文件的递交和解密</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20"/>
          <w:highlight w:val="none"/>
        </w:rPr>
        <w:t>4</w:t>
      </w:r>
      <w:r>
        <w:rPr>
          <w:rFonts w:ascii="宋体" w:hAnsi="宋体" w:eastAsia="宋体" w:cs="宋体"/>
          <w:color w:val="auto"/>
          <w:spacing w:val="-6"/>
          <w:highlight w:val="none"/>
        </w:rPr>
        <w:t>.1.1 投标文件递交截止时间：投标人应于</w:t>
      </w:r>
      <w:r>
        <w:rPr>
          <w:rFonts w:hint="eastAsia" w:ascii="宋体" w:hAnsi="宋体" w:eastAsia="宋体" w:cs="宋体"/>
          <w:color w:val="auto"/>
          <w:spacing w:val="-6"/>
          <w:highlight w:val="none"/>
        </w:rPr>
        <w:t>2023年</w:t>
      </w:r>
      <w:r>
        <w:rPr>
          <w:rFonts w:hint="eastAsia" w:ascii="宋体" w:hAnsi="宋体" w:eastAsia="宋体" w:cs="宋体"/>
          <w:color w:val="auto"/>
          <w:spacing w:val="-6"/>
          <w:highlight w:val="none"/>
          <w:lang w:val="en-US" w:eastAsia="zh-CN"/>
        </w:rPr>
        <w:t>9</w:t>
      </w:r>
      <w:r>
        <w:rPr>
          <w:rFonts w:hint="eastAsia" w:ascii="宋体" w:hAnsi="宋体" w:eastAsia="宋体" w:cs="宋体"/>
          <w:color w:val="auto"/>
          <w:spacing w:val="-6"/>
          <w:highlight w:val="none"/>
        </w:rPr>
        <w:t>月</w:t>
      </w:r>
      <w:r>
        <w:rPr>
          <w:rFonts w:hint="eastAsia" w:ascii="宋体" w:hAnsi="宋体" w:eastAsia="宋体" w:cs="宋体"/>
          <w:color w:val="auto"/>
          <w:spacing w:val="-6"/>
          <w:highlight w:val="none"/>
          <w:lang w:val="en-US" w:eastAsia="zh-CN"/>
        </w:rPr>
        <w:t>1</w:t>
      </w:r>
      <w:r>
        <w:rPr>
          <w:rFonts w:hint="eastAsia" w:ascii="宋体" w:hAnsi="宋体" w:eastAsia="宋体" w:cs="宋体"/>
          <w:color w:val="auto"/>
          <w:spacing w:val="-6"/>
          <w:highlight w:val="none"/>
        </w:rPr>
        <w:t>日</w:t>
      </w:r>
      <w:r>
        <w:rPr>
          <w:rFonts w:ascii="宋体" w:hAnsi="宋体" w:eastAsia="宋体" w:cs="宋体"/>
          <w:color w:val="auto"/>
          <w:spacing w:val="-6"/>
          <w:highlight w:val="none"/>
        </w:rPr>
        <w:t>上午 9 时 30 分之前将电子投标文件上传到政采云平台。应按照本项目招标文件和政采云平台的要求编制、加密传输投标文件。投标人在使用系统进行投标的过程中遇到涉及平台使用的任何问题，可致电政采云平台技术支持热线咨询</w:t>
      </w:r>
      <w:r>
        <w:rPr>
          <w:rFonts w:hint="eastAsia" w:ascii="宋体" w:hAnsi="宋体" w:eastAsia="宋体" w:cs="宋体"/>
          <w:color w:val="auto"/>
          <w:spacing w:val="-6"/>
          <w:highlight w:val="none"/>
        </w:rPr>
        <w:t>，</w:t>
      </w:r>
      <w:r>
        <w:rPr>
          <w:rFonts w:ascii="宋体" w:hAnsi="宋体" w:eastAsia="宋体" w:cs="宋体"/>
          <w:color w:val="auto"/>
          <w:spacing w:val="-6"/>
          <w:highlight w:val="none"/>
        </w:rPr>
        <w:t>联系方式：</w:t>
      </w:r>
      <w:r>
        <w:rPr>
          <w:rFonts w:hint="eastAsia" w:ascii="宋体" w:hAnsi="宋体" w:eastAsia="宋体" w:cs="宋体"/>
          <w:color w:val="auto"/>
          <w:spacing w:val="-6"/>
          <w:highlight w:val="none"/>
        </w:rPr>
        <w:t xml:space="preserve">95763 </w:t>
      </w:r>
      <w:r>
        <w:rPr>
          <w:rFonts w:ascii="宋体" w:hAnsi="宋体" w:eastAsia="宋体" w:cs="宋体"/>
          <w:color w:val="auto"/>
          <w:spacing w:val="-6"/>
          <w:highlight w:val="none"/>
        </w:rPr>
        <w:t>。</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4.1.2 投标文件解密时间：截标时间后 30 分钟内(</w:t>
      </w:r>
      <w:r>
        <w:rPr>
          <w:rFonts w:hint="eastAsia" w:ascii="宋体" w:hAnsi="宋体" w:eastAsia="宋体" w:cs="宋体"/>
          <w:color w:val="auto"/>
          <w:spacing w:val="-6"/>
          <w:highlight w:val="none"/>
        </w:rPr>
        <w:t>2023年</w:t>
      </w:r>
      <w:r>
        <w:rPr>
          <w:rFonts w:hint="eastAsia" w:ascii="宋体" w:hAnsi="宋体" w:eastAsia="宋体" w:cs="宋体"/>
          <w:color w:val="auto"/>
          <w:spacing w:val="-6"/>
          <w:highlight w:val="none"/>
          <w:lang w:val="en-US" w:eastAsia="zh-CN"/>
        </w:rPr>
        <w:t>9</w:t>
      </w:r>
      <w:r>
        <w:rPr>
          <w:rFonts w:hint="eastAsia" w:ascii="宋体" w:hAnsi="宋体" w:eastAsia="宋体" w:cs="宋体"/>
          <w:color w:val="auto"/>
          <w:spacing w:val="-6"/>
          <w:highlight w:val="none"/>
        </w:rPr>
        <w:t>月</w:t>
      </w:r>
      <w:r>
        <w:rPr>
          <w:rFonts w:hint="eastAsia" w:ascii="宋体" w:hAnsi="宋体" w:eastAsia="宋体" w:cs="宋体"/>
          <w:color w:val="auto"/>
          <w:spacing w:val="-6"/>
          <w:highlight w:val="none"/>
          <w:lang w:val="en-US" w:eastAsia="zh-CN"/>
        </w:rPr>
        <w:t>1</w:t>
      </w:r>
      <w:r>
        <w:rPr>
          <w:rFonts w:hint="eastAsia" w:ascii="宋体" w:hAnsi="宋体" w:eastAsia="宋体" w:cs="宋体"/>
          <w:color w:val="auto"/>
          <w:spacing w:val="-6"/>
          <w:highlight w:val="none"/>
        </w:rPr>
        <w:t>日</w:t>
      </w:r>
      <w:r>
        <w:rPr>
          <w:rFonts w:ascii="宋体" w:hAnsi="宋体" w:eastAsia="宋体" w:cs="宋体"/>
          <w:color w:val="auto"/>
          <w:spacing w:val="-6"/>
          <w:highlight w:val="none"/>
        </w:rPr>
        <w:t>上午 9 时 30 分至 10 时 00 分)投标人可以登录政采云平台，用“项目采购-开标评标”功能进行解密投标文件。若投标人在规定时间内无法解密或解密失败，可以以电子备份投标文件作为依据【在接到无法解密或解密失败的通知后，投标人可根据自身实际情况按通知时要求的时间到桂林市公共资源交易中心</w:t>
      </w:r>
      <w:r>
        <w:rPr>
          <w:rFonts w:hint="eastAsia" w:ascii="宋体" w:hAnsi="宋体" w:eastAsia="宋体" w:cs="宋体"/>
          <w:color w:val="auto"/>
          <w:spacing w:val="-6"/>
          <w:highlight w:val="none"/>
        </w:rPr>
        <w:t xml:space="preserve"> </w:t>
      </w:r>
      <w:r>
        <w:rPr>
          <w:rFonts w:hint="eastAsia" w:ascii="宋体" w:hAnsi="宋体" w:eastAsia="宋体" w:cs="宋体"/>
          <w:color w:val="auto"/>
          <w:spacing w:val="-6"/>
          <w:highlight w:val="none"/>
          <w:u w:val="single"/>
        </w:rPr>
        <w:t xml:space="preserve"> </w:t>
      </w:r>
      <w:r>
        <w:rPr>
          <w:rFonts w:hint="eastAsia" w:ascii="宋体" w:hAnsi="宋体" w:eastAsia="宋体" w:cs="宋体"/>
          <w:color w:val="auto"/>
          <w:spacing w:val="-6"/>
          <w:highlight w:val="none"/>
          <w:u w:val="single"/>
          <w:lang w:val="en-US" w:eastAsia="zh-CN"/>
        </w:rPr>
        <w:t>10</w:t>
      </w:r>
      <w:r>
        <w:rPr>
          <w:rFonts w:ascii="宋体" w:hAnsi="宋体" w:eastAsia="宋体" w:cs="宋体"/>
          <w:color w:val="auto"/>
          <w:spacing w:val="-6"/>
          <w:highlight w:val="none"/>
          <w:u w:val="single"/>
        </w:rPr>
        <w:t xml:space="preserve"> </w:t>
      </w:r>
      <w:r>
        <w:rPr>
          <w:rFonts w:ascii="宋体" w:hAnsi="宋体" w:eastAsia="宋体" w:cs="宋体"/>
          <w:color w:val="auto"/>
          <w:spacing w:val="-6"/>
          <w:highlight w:val="none"/>
        </w:rPr>
        <w:t>号开标室现场提交或以电子邮件的形式(以通知时所告知的电子邮箱地址为准) 提交电子备份投标文件】，若投标人在规定时间内无法解密或解密失败且未提供电子备份投标文件的(包含提供的电子备份文件无效或无法解密的情况)，视为投标无效。</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4.1.3 除招标文件另有规定外，投标人所递交的投标文件不予退还。</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4.1.4 电子投标文件的相关说明</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(1) 投标人进行电子投标应安装客户端软件，并按照采购文件和电子交易平台的要求编制并加密投标文件。投标人未按规定加密的投标文件，电子交易平台将拒收。投标人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pacing w:before="119" w:line="334" w:lineRule="auto"/>
        <w:ind w:left="1" w:right="75" w:firstLine="421"/>
        <w:rPr>
          <w:rFonts w:ascii="宋体" w:hAnsi="宋体" w:eastAsia="宋体" w:cs="宋体"/>
          <w:color w:val="auto"/>
          <w:spacing w:val="-6"/>
          <w:highlight w:val="none"/>
        </w:rPr>
      </w:pPr>
      <w:r>
        <w:rPr>
          <w:rFonts w:ascii="宋体" w:hAnsi="宋体" w:eastAsia="宋体" w:cs="宋体"/>
          <w:color w:val="auto"/>
          <w:spacing w:val="-6"/>
          <w:highlight w:val="none"/>
        </w:rPr>
        <w:t>(2)如有特殊情况，采购代理机构延长截止时间和开标时间，采购代理机构和投标人的权利和义务将受到新的截止时间和开标时间的约束。</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4.2 投标文件的补充、修改和撤回</w:t>
      </w:r>
    </w:p>
    <w:p>
      <w:pPr>
        <w:spacing w:before="119" w:line="334" w:lineRule="auto"/>
        <w:ind w:left="1" w:right="75" w:firstLine="421"/>
        <w:rPr>
          <w:rFonts w:ascii="宋体" w:hAnsi="宋体" w:eastAsia="宋体" w:cs="宋体"/>
          <w:color w:val="auto"/>
          <w:spacing w:val="-6"/>
          <w:highlight w:val="none"/>
        </w:rPr>
      </w:pPr>
      <w:r>
        <w:rPr>
          <w:rFonts w:hint="eastAsia" w:ascii="宋体" w:hAnsi="宋体" w:eastAsia="宋体" w:cs="宋体"/>
          <w:color w:val="auto"/>
          <w:spacing w:val="-6"/>
          <w:highlight w:val="none"/>
        </w:rPr>
        <w:t>4.2.1 投标文件递交截止时间前可以撤回电子投标文件。补充或者修改电子投标文件的，应当先行撤回原文件，补充、修改后重新传输递交，投标文件递交截止时间前未完成传输的，视为撤回投标文件。</w:t>
      </w:r>
    </w:p>
    <w:p>
      <w:pPr>
        <w:spacing w:before="119" w:line="334" w:lineRule="auto"/>
        <w:ind w:left="1" w:right="75" w:firstLine="421"/>
        <w:rPr>
          <w:rFonts w:ascii="宋体" w:hAnsi="宋体" w:eastAsia="宋体" w:cs="宋体"/>
          <w:color w:val="auto"/>
          <w:spacing w:val="-6"/>
          <w:highlight w:val="none"/>
        </w:rPr>
      </w:pPr>
      <w:r>
        <w:rPr>
          <w:rFonts w:hint="eastAsia" w:ascii="宋体" w:hAnsi="宋体" w:eastAsia="宋体" w:cs="宋体"/>
          <w:color w:val="auto"/>
          <w:spacing w:val="-6"/>
          <w:highlight w:val="none"/>
        </w:rPr>
        <w:t>4.2.2 在投标文件递交截止时间后的投标文件有效期内，供应商不得撤回其投标文件。</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4.3 投标文件的递交和解密</w:t>
      </w:r>
    </w:p>
    <w:p>
      <w:pPr>
        <w:spacing w:before="119" w:line="334" w:lineRule="auto"/>
        <w:ind w:left="1" w:right="75" w:firstLine="421"/>
        <w:rPr>
          <w:rFonts w:ascii="宋体" w:hAnsi="宋体" w:eastAsia="宋体" w:cs="宋体"/>
          <w:color w:val="auto"/>
          <w:spacing w:val="-6"/>
          <w:highlight w:val="none"/>
        </w:rPr>
      </w:pPr>
      <w:r>
        <w:rPr>
          <w:rFonts w:hint="eastAsia" w:ascii="宋体" w:hAnsi="宋体" w:eastAsia="宋体" w:cs="宋体"/>
          <w:color w:val="auto"/>
          <w:spacing w:val="-6"/>
          <w:highlight w:val="none"/>
        </w:rPr>
        <w:t>4.3.1投标文件递交截止时间：于</w:t>
      </w:r>
      <w:r>
        <w:rPr>
          <w:rFonts w:hint="eastAsia" w:ascii="宋体" w:hAnsi="宋体" w:eastAsia="宋体" w:cs="宋体"/>
          <w:color w:val="auto"/>
          <w:spacing w:val="-6"/>
          <w:highlight w:val="none"/>
        </w:rPr>
        <w:t>2023年</w:t>
      </w:r>
      <w:r>
        <w:rPr>
          <w:rFonts w:hint="eastAsia" w:ascii="宋体" w:hAnsi="宋体" w:eastAsia="宋体" w:cs="宋体"/>
          <w:color w:val="auto"/>
          <w:spacing w:val="-6"/>
          <w:highlight w:val="none"/>
          <w:lang w:val="en-US" w:eastAsia="zh-CN"/>
        </w:rPr>
        <w:t>9</w:t>
      </w:r>
      <w:r>
        <w:rPr>
          <w:rFonts w:hint="eastAsia" w:ascii="宋体" w:hAnsi="宋体" w:eastAsia="宋体" w:cs="宋体"/>
          <w:color w:val="auto"/>
          <w:spacing w:val="-6"/>
          <w:highlight w:val="none"/>
        </w:rPr>
        <w:t>月</w:t>
      </w:r>
      <w:r>
        <w:rPr>
          <w:rFonts w:hint="eastAsia" w:ascii="宋体" w:hAnsi="宋体" w:eastAsia="宋体" w:cs="宋体"/>
          <w:color w:val="auto"/>
          <w:spacing w:val="-6"/>
          <w:highlight w:val="none"/>
          <w:lang w:val="en-US" w:eastAsia="zh-CN"/>
        </w:rPr>
        <w:t>1</w:t>
      </w:r>
      <w:r>
        <w:rPr>
          <w:rFonts w:hint="eastAsia" w:ascii="宋体" w:hAnsi="宋体" w:eastAsia="宋体" w:cs="宋体"/>
          <w:color w:val="auto"/>
          <w:spacing w:val="-6"/>
          <w:highlight w:val="none"/>
        </w:rPr>
        <w:t>日</w:t>
      </w:r>
      <w:r>
        <w:rPr>
          <w:rFonts w:hint="eastAsia" w:ascii="宋体" w:hAnsi="宋体" w:eastAsia="宋体" w:cs="宋体"/>
          <w:color w:val="auto"/>
          <w:spacing w:val="-6"/>
          <w:highlight w:val="none"/>
        </w:rPr>
        <w:t>上午9时30分之前将电子投标文件上传到政采云平台。应按照本项目招标文件和政采云平台的要求编制、加密传输投标文件。供应商在使用系统进行投标的过程中遇到涉及平台使用的任何问题，可致电政采云平台技术支持热线咨询，联系方式：95763。</w:t>
      </w:r>
    </w:p>
    <w:p>
      <w:pPr>
        <w:spacing w:before="119" w:line="334" w:lineRule="auto"/>
        <w:ind w:left="1" w:right="75" w:firstLine="421"/>
        <w:rPr>
          <w:rFonts w:ascii="宋体" w:hAnsi="宋体" w:eastAsia="宋体" w:cs="宋体"/>
          <w:color w:val="auto"/>
          <w:spacing w:val="-6"/>
          <w:highlight w:val="none"/>
        </w:rPr>
      </w:pPr>
      <w:r>
        <w:rPr>
          <w:rFonts w:hint="eastAsia" w:ascii="宋体" w:hAnsi="宋体" w:eastAsia="宋体" w:cs="宋体"/>
          <w:color w:val="auto"/>
          <w:spacing w:val="-6"/>
          <w:highlight w:val="none"/>
        </w:rPr>
        <w:t>4.3.2投标文件解密时间：截标时</w:t>
      </w:r>
      <w:r>
        <w:rPr>
          <w:rFonts w:hint="eastAsia" w:ascii="宋体" w:hAnsi="宋体" w:eastAsia="宋体" w:cs="宋体"/>
          <w:color w:val="auto"/>
          <w:spacing w:val="-6"/>
          <w:highlight w:val="none"/>
        </w:rPr>
        <w:t>间后 30 分钟</w:t>
      </w:r>
      <w:r>
        <w:rPr>
          <w:rFonts w:hint="eastAsia" w:ascii="宋体" w:hAnsi="宋体" w:eastAsia="宋体" w:cs="宋体"/>
          <w:color w:val="auto"/>
          <w:spacing w:val="-6"/>
          <w:highlight w:val="none"/>
        </w:rPr>
        <w:t>内（</w:t>
      </w:r>
      <w:r>
        <w:rPr>
          <w:rFonts w:hint="eastAsia" w:ascii="宋体" w:hAnsi="宋体" w:eastAsia="宋体" w:cs="宋体"/>
          <w:color w:val="auto"/>
          <w:spacing w:val="-6"/>
          <w:highlight w:val="none"/>
        </w:rPr>
        <w:t>2023年</w:t>
      </w:r>
      <w:r>
        <w:rPr>
          <w:rFonts w:hint="eastAsia" w:ascii="宋体" w:hAnsi="宋体" w:eastAsia="宋体" w:cs="宋体"/>
          <w:color w:val="auto"/>
          <w:spacing w:val="-6"/>
          <w:highlight w:val="none"/>
          <w:lang w:val="en-US" w:eastAsia="zh-CN"/>
        </w:rPr>
        <w:t>9</w:t>
      </w:r>
      <w:r>
        <w:rPr>
          <w:rFonts w:hint="eastAsia" w:ascii="宋体" w:hAnsi="宋体" w:eastAsia="宋体" w:cs="宋体"/>
          <w:color w:val="auto"/>
          <w:spacing w:val="-6"/>
          <w:highlight w:val="none"/>
        </w:rPr>
        <w:t>月</w:t>
      </w:r>
      <w:r>
        <w:rPr>
          <w:rFonts w:hint="eastAsia" w:ascii="宋体" w:hAnsi="宋体" w:eastAsia="宋体" w:cs="宋体"/>
          <w:color w:val="auto"/>
          <w:spacing w:val="-6"/>
          <w:highlight w:val="none"/>
          <w:lang w:val="en-US" w:eastAsia="zh-CN"/>
        </w:rPr>
        <w:t>1</w:t>
      </w:r>
      <w:r>
        <w:rPr>
          <w:rFonts w:hint="eastAsia" w:ascii="宋体" w:hAnsi="宋体" w:eastAsia="宋体" w:cs="宋体"/>
          <w:color w:val="auto"/>
          <w:spacing w:val="-6"/>
          <w:highlight w:val="none"/>
        </w:rPr>
        <w:t>日</w:t>
      </w:r>
      <w:r>
        <w:rPr>
          <w:rFonts w:hint="eastAsia" w:ascii="宋体" w:hAnsi="宋体" w:eastAsia="宋体" w:cs="宋体"/>
          <w:color w:val="auto"/>
          <w:spacing w:val="-6"/>
          <w:highlight w:val="none"/>
        </w:rPr>
        <w:t>上午9 时30分至10时30分)投标人可以登录政采云平台，用“项目采购-开标评标”功能进行解密投标文件。若投标人在规定时间内无法解密或解密失败，可以以电子备份投标文件作为依据【在接到无法解密或解密失败的通知后，投标人可根据自身实际情况按通知时要求的时间到桂林市公共资源交易中心</w:t>
      </w:r>
      <w:r>
        <w:rPr>
          <w:rFonts w:hint="eastAsia" w:ascii="宋体" w:hAnsi="宋体" w:eastAsia="宋体" w:cs="宋体"/>
          <w:color w:val="auto"/>
          <w:spacing w:val="-10"/>
          <w:highlight w:val="none"/>
          <w:u w:val="single"/>
        </w:rPr>
        <w:t xml:space="preserve">  </w:t>
      </w:r>
      <w:r>
        <w:rPr>
          <w:rFonts w:hint="eastAsia" w:ascii="宋体" w:hAnsi="宋体" w:eastAsia="宋体" w:cs="宋体"/>
          <w:color w:val="auto"/>
          <w:spacing w:val="-10"/>
          <w:highlight w:val="none"/>
          <w:u w:val="single"/>
          <w:lang w:val="en-US" w:eastAsia="zh-CN"/>
        </w:rPr>
        <w:t>10</w:t>
      </w:r>
      <w:r>
        <w:rPr>
          <w:rFonts w:hint="eastAsia" w:ascii="宋体" w:hAnsi="宋体" w:eastAsia="宋体" w:cs="宋体"/>
          <w:color w:val="auto"/>
          <w:spacing w:val="-10"/>
          <w:highlight w:val="none"/>
          <w:u w:val="single"/>
        </w:rPr>
        <w:t xml:space="preserve">  </w:t>
      </w:r>
      <w:r>
        <w:rPr>
          <w:rFonts w:hint="eastAsia" w:ascii="宋体" w:hAnsi="宋体" w:eastAsia="宋体" w:cs="宋体"/>
          <w:color w:val="auto"/>
          <w:spacing w:val="-6"/>
          <w:highlight w:val="none"/>
        </w:rPr>
        <w:t>号开标室现场提交或以电子邮件的形式（以通知时所告知的电子邮箱地址为准）提交电子备份投标文件】，若投标人在规定时间内无法解密或解密失败且未提供电子备份投标文件的(包含提供的电子备份文件无效或无法解密的情况)，视为投标无效。</w:t>
      </w:r>
    </w:p>
    <w:p>
      <w:pPr>
        <w:spacing w:before="119" w:line="334" w:lineRule="auto"/>
        <w:ind w:left="1" w:right="75" w:firstLine="421"/>
        <w:rPr>
          <w:rFonts w:ascii="宋体" w:hAnsi="宋体" w:eastAsia="宋体" w:cs="宋体"/>
          <w:color w:val="auto"/>
          <w:spacing w:val="-6"/>
          <w:highlight w:val="none"/>
        </w:rPr>
      </w:pPr>
      <w:r>
        <w:rPr>
          <w:rFonts w:hint="eastAsia" w:ascii="宋体" w:hAnsi="宋体" w:eastAsia="宋体" w:cs="宋体"/>
          <w:color w:val="auto"/>
          <w:spacing w:val="-6"/>
          <w:highlight w:val="none"/>
        </w:rPr>
        <w:t>4.3.3 除招标文件另有规定外，供应商所递交的投标文件不予退还。</w:t>
      </w:r>
    </w:p>
    <w:p>
      <w:pPr>
        <w:spacing w:before="119" w:line="334" w:lineRule="auto"/>
        <w:ind w:left="1" w:right="75" w:firstLine="421"/>
        <w:rPr>
          <w:rFonts w:ascii="宋体" w:hAnsi="宋体" w:eastAsia="宋体" w:cs="宋体"/>
          <w:color w:val="auto"/>
          <w:spacing w:val="-6"/>
          <w:highlight w:val="none"/>
        </w:rPr>
      </w:pPr>
      <w:r>
        <w:rPr>
          <w:rFonts w:hint="eastAsia" w:ascii="宋体" w:hAnsi="宋体" w:eastAsia="宋体" w:cs="宋体"/>
          <w:color w:val="auto"/>
          <w:spacing w:val="-6"/>
          <w:highlight w:val="none"/>
        </w:rPr>
        <w:t>4.3.4电子投标文件的相关说明</w:t>
      </w:r>
    </w:p>
    <w:p>
      <w:pPr>
        <w:spacing w:before="119" w:line="334" w:lineRule="auto"/>
        <w:ind w:left="1" w:right="75" w:firstLine="421"/>
        <w:rPr>
          <w:rFonts w:ascii="宋体" w:hAnsi="宋体" w:eastAsia="宋体" w:cs="宋体"/>
          <w:color w:val="auto"/>
          <w:spacing w:val="-6"/>
          <w:highlight w:val="none"/>
        </w:rPr>
      </w:pPr>
      <w:r>
        <w:rPr>
          <w:rFonts w:hint="eastAsia" w:ascii="宋体" w:hAnsi="宋体" w:eastAsia="宋体" w:cs="宋体"/>
          <w:color w:val="auto"/>
          <w:spacing w:val="-6"/>
          <w:highlight w:val="none"/>
        </w:rPr>
        <w:t xml:space="preserve">（1）供应商进行电子投标应安装客户端软件，并按照采购文件和电子交易平台的要求编制并加密投标文件。供应商未按规定加密的投标文件，电子交易平台将拒收。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 </w:t>
      </w:r>
    </w:p>
    <w:p>
      <w:pPr>
        <w:spacing w:before="119" w:line="334" w:lineRule="auto"/>
        <w:ind w:left="1" w:right="75" w:firstLine="421"/>
        <w:rPr>
          <w:rFonts w:ascii="宋体" w:hAnsi="宋体" w:eastAsia="宋体" w:cs="宋体"/>
          <w:color w:val="auto"/>
          <w:spacing w:val="-6"/>
          <w:highlight w:val="none"/>
        </w:rPr>
      </w:pPr>
      <w:r>
        <w:rPr>
          <w:rFonts w:hint="eastAsia" w:ascii="宋体" w:hAnsi="宋体" w:eastAsia="宋体" w:cs="宋体"/>
          <w:color w:val="auto"/>
          <w:spacing w:val="-6"/>
          <w:highlight w:val="none"/>
        </w:rPr>
        <w:t>（2）如有特殊情况，采购代理机构延长截止时间和开标时间，采购代理机构和供应商的权利和义务将受到新的截止时间和开标时间的约束。</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5.开标</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5.1 开标时间和地点</w:t>
      </w:r>
    </w:p>
    <w:p>
      <w:pPr>
        <w:spacing w:before="120" w:line="334" w:lineRule="auto"/>
        <w:ind w:left="17" w:right="73" w:firstLine="407"/>
        <w:rPr>
          <w:rFonts w:ascii="宋体" w:hAnsi="宋体" w:eastAsia="宋体" w:cs="宋体"/>
          <w:color w:val="auto"/>
          <w:highlight w:val="none"/>
        </w:rPr>
      </w:pPr>
      <w:r>
        <w:rPr>
          <w:rFonts w:ascii="宋体" w:hAnsi="宋体" w:eastAsia="宋体" w:cs="宋体"/>
          <w:color w:val="auto"/>
          <w:spacing w:val="-20"/>
          <w:highlight w:val="none"/>
        </w:rPr>
        <w:t>5.1</w:t>
      </w:r>
      <w:r>
        <w:rPr>
          <w:rFonts w:ascii="宋体" w:hAnsi="宋体" w:eastAsia="宋体" w:cs="宋体"/>
          <w:color w:val="auto"/>
          <w:spacing w:val="-15"/>
          <w:highlight w:val="none"/>
        </w:rPr>
        <w:t>.</w:t>
      </w:r>
      <w:r>
        <w:rPr>
          <w:rFonts w:ascii="宋体" w:hAnsi="宋体" w:eastAsia="宋体" w:cs="宋体"/>
          <w:color w:val="auto"/>
          <w:spacing w:val="-10"/>
          <w:highlight w:val="none"/>
        </w:rPr>
        <w:t xml:space="preserve">1 开标时间和地点：开标时间： </w:t>
      </w:r>
      <w:r>
        <w:rPr>
          <w:rFonts w:hint="eastAsia" w:ascii="宋体" w:hAnsi="宋体" w:cs="宋体"/>
          <w:color w:val="auto"/>
          <w:highlight w:val="none"/>
        </w:rPr>
        <w:t>2023年</w:t>
      </w:r>
      <w:r>
        <w:rPr>
          <w:rFonts w:hint="eastAsia" w:ascii="宋体" w:hAnsi="宋体" w:eastAsia="宋体" w:cs="宋体"/>
          <w:color w:val="auto"/>
          <w:highlight w:val="none"/>
          <w:lang w:val="en-US" w:eastAsia="zh-CN"/>
        </w:rPr>
        <w:t>9</w:t>
      </w:r>
      <w:r>
        <w:rPr>
          <w:rFonts w:hint="eastAsia" w:ascii="宋体" w:hAnsi="宋体" w:cs="宋体"/>
          <w:color w:val="auto"/>
          <w:highlight w:val="none"/>
        </w:rPr>
        <w:t>月</w:t>
      </w:r>
      <w:r>
        <w:rPr>
          <w:rFonts w:hint="eastAsia" w:ascii="宋体" w:hAnsi="宋体" w:eastAsia="宋体" w:cs="宋体"/>
          <w:color w:val="auto"/>
          <w:highlight w:val="none"/>
          <w:lang w:val="en-US" w:eastAsia="zh-CN"/>
        </w:rPr>
        <w:t>1</w:t>
      </w:r>
      <w:r>
        <w:rPr>
          <w:rFonts w:hint="eastAsia" w:ascii="宋体" w:hAnsi="宋体" w:cs="宋体"/>
          <w:color w:val="auto"/>
          <w:highlight w:val="none"/>
        </w:rPr>
        <w:t>日</w:t>
      </w:r>
      <w:r>
        <w:rPr>
          <w:rFonts w:ascii="宋体" w:hAnsi="宋体" w:eastAsia="宋体" w:cs="宋体"/>
          <w:color w:val="auto"/>
          <w:spacing w:val="-10"/>
          <w:highlight w:val="none"/>
        </w:rPr>
        <w:t>9 时 30 分；开标地点：</w:t>
      </w:r>
      <w:r>
        <w:rPr>
          <w:rFonts w:hint="eastAsia" w:ascii="宋体" w:hAnsi="宋体" w:eastAsia="宋体" w:cs="宋体"/>
          <w:color w:val="auto"/>
          <w:spacing w:val="-10"/>
          <w:highlight w:val="none"/>
        </w:rPr>
        <w:t>桂林市公共资源交易中心（桂林市临桂区西城中路69 号创业大厦西辅楼4 楼）</w:t>
      </w:r>
      <w:r>
        <w:rPr>
          <w:rFonts w:hint="eastAsia" w:ascii="宋体" w:hAnsi="宋体" w:eastAsia="宋体" w:cs="宋体"/>
          <w:color w:val="auto"/>
          <w:spacing w:val="-10"/>
          <w:highlight w:val="none"/>
          <w:u w:val="single"/>
        </w:rPr>
        <w:t xml:space="preserve"> </w:t>
      </w:r>
      <w:r>
        <w:rPr>
          <w:rFonts w:hint="eastAsia" w:ascii="宋体" w:hAnsi="宋体" w:eastAsia="宋体" w:cs="宋体"/>
          <w:color w:val="auto"/>
          <w:spacing w:val="-10"/>
          <w:highlight w:val="none"/>
          <w:u w:val="single"/>
          <w:lang w:val="en-US" w:eastAsia="zh-CN"/>
        </w:rPr>
        <w:t>10</w:t>
      </w:r>
      <w:r>
        <w:rPr>
          <w:rFonts w:hint="eastAsia" w:ascii="宋体" w:hAnsi="宋体" w:eastAsia="宋体" w:cs="宋体"/>
          <w:color w:val="auto"/>
          <w:spacing w:val="-10"/>
          <w:highlight w:val="none"/>
          <w:u w:val="single"/>
        </w:rPr>
        <w:t xml:space="preserve">  </w:t>
      </w:r>
      <w:r>
        <w:rPr>
          <w:rFonts w:hint="eastAsia" w:ascii="宋体" w:hAnsi="宋体" w:eastAsia="宋体" w:cs="宋体"/>
          <w:color w:val="auto"/>
          <w:spacing w:val="-10"/>
          <w:highlight w:val="none"/>
        </w:rPr>
        <w:t>号开标室，通过政采云平台实行在线解密开启。</w:t>
      </w:r>
    </w:p>
    <w:p>
      <w:pPr>
        <w:spacing w:line="334" w:lineRule="auto"/>
        <w:ind w:left="2" w:right="72" w:firstLine="422"/>
        <w:rPr>
          <w:rFonts w:ascii="宋体" w:hAnsi="宋体" w:eastAsia="宋体" w:cs="宋体"/>
          <w:color w:val="auto"/>
          <w:highlight w:val="none"/>
        </w:rPr>
      </w:pPr>
      <w:r>
        <w:rPr>
          <w:rFonts w:ascii="宋体" w:hAnsi="宋体" w:eastAsia="宋体" w:cs="宋体"/>
          <w:color w:val="auto"/>
          <w:spacing w:val="-8"/>
          <w:highlight w:val="none"/>
        </w:rPr>
        <w:t>5</w:t>
      </w:r>
      <w:r>
        <w:rPr>
          <w:rFonts w:ascii="宋体" w:hAnsi="宋体" w:eastAsia="宋体" w:cs="宋体"/>
          <w:color w:val="auto"/>
          <w:spacing w:val="-5"/>
          <w:highlight w:val="none"/>
        </w:rPr>
        <w:t>.</w:t>
      </w:r>
      <w:r>
        <w:rPr>
          <w:rFonts w:ascii="宋体" w:hAnsi="宋体" w:eastAsia="宋体" w:cs="宋体"/>
          <w:color w:val="auto"/>
          <w:spacing w:val="-4"/>
          <w:highlight w:val="none"/>
        </w:rPr>
        <w:t>1.2 电子备份投标文件可以通过以下方式递交： 在接到无法解密或解密失败的通知后，投标</w:t>
      </w:r>
      <w:r>
        <w:rPr>
          <w:rFonts w:ascii="宋体" w:hAnsi="宋体" w:eastAsia="宋体" w:cs="宋体"/>
          <w:color w:val="auto"/>
          <w:spacing w:val="-2"/>
          <w:highlight w:val="none"/>
        </w:rPr>
        <w:t>人可根据自身实际情况按通知时要求的时间到桂林市公共资源交易中心</w:t>
      </w:r>
      <w:r>
        <w:rPr>
          <w:rFonts w:hint="eastAsia" w:ascii="宋体" w:hAnsi="宋体" w:eastAsia="宋体" w:cs="宋体"/>
          <w:color w:val="auto"/>
          <w:spacing w:val="-2"/>
          <w:highlight w:val="none"/>
          <w:u w:val="single"/>
        </w:rPr>
        <w:t xml:space="preserve">   </w:t>
      </w:r>
      <w:r>
        <w:rPr>
          <w:rFonts w:ascii="宋体" w:hAnsi="宋体" w:eastAsia="宋体" w:cs="宋体"/>
          <w:color w:val="auto"/>
          <w:spacing w:val="-1"/>
          <w:highlight w:val="none"/>
        </w:rPr>
        <w:t>号开标室现场提交或以</w:t>
      </w:r>
      <w:r>
        <w:rPr>
          <w:rFonts w:ascii="宋体" w:hAnsi="宋体" w:eastAsia="宋体" w:cs="宋体"/>
          <w:color w:val="auto"/>
          <w:spacing w:val="10"/>
          <w:highlight w:val="none"/>
        </w:rPr>
        <w:t>电子邮</w:t>
      </w:r>
      <w:r>
        <w:rPr>
          <w:rFonts w:ascii="宋体" w:hAnsi="宋体" w:eastAsia="宋体" w:cs="宋体"/>
          <w:color w:val="auto"/>
          <w:spacing w:val="6"/>
          <w:highlight w:val="none"/>
        </w:rPr>
        <w:t>件</w:t>
      </w:r>
      <w:r>
        <w:rPr>
          <w:rFonts w:ascii="宋体" w:hAnsi="宋体" w:eastAsia="宋体" w:cs="宋体"/>
          <w:color w:val="auto"/>
          <w:spacing w:val="5"/>
          <w:highlight w:val="none"/>
        </w:rPr>
        <w:t>的形式(以通知时告知的电子邮箱地址为准)提交电子备份投标文件。</w:t>
      </w:r>
    </w:p>
    <w:p>
      <w:pPr>
        <w:spacing w:before="1" w:line="219" w:lineRule="auto"/>
        <w:ind w:left="425"/>
        <w:rPr>
          <w:rFonts w:ascii="宋体" w:hAnsi="宋体" w:eastAsia="宋体" w:cs="宋体"/>
          <w:color w:val="auto"/>
          <w:highlight w:val="none"/>
        </w:rPr>
      </w:pPr>
      <w:r>
        <w:rPr>
          <w:rFonts w:ascii="宋体" w:hAnsi="宋体" w:eastAsia="宋体" w:cs="宋体"/>
          <w:color w:val="auto"/>
          <w:spacing w:val="-4"/>
          <w:highlight w:val="none"/>
        </w:rPr>
        <w:t>5.1.3 投标人不足 3 家的，不得开标，采购人或者采购代理机构应当重新组织采</w:t>
      </w:r>
      <w:r>
        <w:rPr>
          <w:rFonts w:ascii="宋体" w:hAnsi="宋体" w:eastAsia="宋体" w:cs="宋体"/>
          <w:color w:val="auto"/>
          <w:spacing w:val="-3"/>
          <w:highlight w:val="none"/>
        </w:rPr>
        <w:t>购</w:t>
      </w:r>
      <w:r>
        <w:rPr>
          <w:rFonts w:ascii="宋体" w:hAnsi="宋体" w:eastAsia="宋体" w:cs="宋体"/>
          <w:color w:val="auto"/>
          <w:highlight w:val="none"/>
        </w:rPr>
        <w:t>。</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5.2 开标程序</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8"/>
          <w:highlight w:val="none"/>
        </w:rPr>
        <w:t>5</w:t>
      </w:r>
      <w:r>
        <w:rPr>
          <w:rFonts w:ascii="宋体" w:hAnsi="宋体" w:eastAsia="宋体" w:cs="宋体"/>
          <w:color w:val="auto"/>
          <w:spacing w:val="10"/>
          <w:highlight w:val="none"/>
        </w:rPr>
        <w:t>.2.1 开标准备</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(1) 开标的准备工作由本公司负责落实；</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(2) 本公司将按照招标文件规定的时间通过“政府采购云平台”组织开标、开启投标文件，所有投标人均应当准时在线参加。投标人如不参加开标会的，视同认可开标结果，事后不得对采购相关人员、开标过程和开标结果提出异议，同时投标人因未在线参加开标而导致投标文件无法按时解密等一切后果由投标人自己承担。</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5.2.2 开标程序</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(1) 向各投标人发出电子加密投标文件【开始解密】通知，由投标人按招标文件规定的时间内自行进行投标文件解密。投标人在规定的时间内无法完成已递交的“电子加密投标文件”解密的，如已按规定递交了电子备份投标文件的，将由采购代理机构按“政府采购云平台”操作规范将备份投标文件上传至“政府采购云平台”，上传成功后，“电子加密投标文件”自动失效。如未提</w:t>
      </w:r>
      <w:r>
        <w:rPr>
          <w:rFonts w:ascii="宋体" w:hAnsi="宋体" w:eastAsia="宋体" w:cs="宋体"/>
          <w:color w:val="auto"/>
          <w:spacing w:val="10"/>
          <w:highlight w:val="none"/>
        </w:rPr>
        <w:t>供备份电子投标文件，将不进行再次解密程序。无法在线解密视为投标人放弃投标。在线解密时间为 30 分钟。</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(2) 投标文件解密结束后，开标活动组织人员在线开启投标文件。</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(3) 开标过程由采购代理机构如实记录，并电子留痕，由参加电子开标的各投标人代表对电子开标记录在开标记录公布后 15 分钟内进行当场校核及勘误，并线上确认，未确认的视同认可开标结果。</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开标结束后，如发现开标结果与报价文件不一致者，由评标委员会根据报价文件内容进行修正。</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特别说明：如遇“政府采购云平台”电子化开标或评审程序调整的，按调整后程序执行。</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6. 评标</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6.1 评标委员会</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6.1.1 评标由招标人依法组建的评标委员会负责。评标委员会成员人数以及技术、经济等方面专家的确定方式见“投标人须知前附表”。</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6.1.2 评标委员会成员有下列情形之一的，应当回避：</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(1) 投标人或者投标人主要负责人的近亲属；</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(2) 招标项目主管部门或者招标投标行政监督部门的工作人员；</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(3) 与投标人有经济利益关系， 可能影响对投标公正评审的人员；</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(4) 曾在招标投标活动中从事违法行为而受过行政处罚或者刑事处罚的人员；</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(5) 评标委员会成员之间有近亲属关系的；</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(6) 与投标人有其他利害关系的人员。</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6.2 评标原则</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评标活动遵循公平、公正、科学和择优的原则。</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6.3 评标方式</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评标委员会按照第三章“评标办法”规定的方法、评审因素、标准和程序对投标文件进行评审。 第三章“评标办法”没有规定的方法、评审因素和标准，不作为评标依据。具体评标方式见“投标人须知前附表”。</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6.4 电子交易活动的终止</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采购过程中出现以下情形，导致电子交易平台无法正常运行，或者无法保证电子交易的公平、公正和安全时，采购代理机构可</w:t>
      </w:r>
      <w:r>
        <w:rPr>
          <w:rFonts w:hint="eastAsia" w:ascii="宋体" w:hAnsi="宋体" w:eastAsia="宋体" w:cs="宋体"/>
          <w:color w:val="auto"/>
          <w:spacing w:val="10"/>
          <w:highlight w:val="none"/>
        </w:rPr>
        <w:t>终止</w:t>
      </w:r>
      <w:r>
        <w:rPr>
          <w:rFonts w:ascii="宋体" w:hAnsi="宋体" w:eastAsia="宋体" w:cs="宋体"/>
          <w:color w:val="auto"/>
          <w:spacing w:val="10"/>
          <w:highlight w:val="none"/>
        </w:rPr>
        <w:t>电子交易活动：</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(1) 电子交易平台发生故障而无法登录访问的；</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(2) 电子交易平台应用或数据库出现错误，不能进行正常操作的；</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(3) 电子交易平台发现严重安全漏洞，有潜在泄密危险的；</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(4) 病毒发作导致不能进行正常操作的；</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(5) 其他无法保证电子交易的公平、公正和安全的情况。</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出现以上情形，不影响采购公平、公正性的，采购代理机构可以待上述情形消除后继续组织电子交易活动；影响或可能影响采购公平、公正性的，经采购人确认后，应当重新采购。</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6.5 移交评标资料</w:t>
      </w:r>
    </w:p>
    <w:p>
      <w:pPr>
        <w:spacing w:line="334" w:lineRule="auto"/>
        <w:ind w:left="2" w:right="72" w:firstLine="422"/>
        <w:rPr>
          <w:rFonts w:ascii="宋体" w:hAnsi="宋体" w:eastAsia="宋体" w:cs="宋体"/>
          <w:color w:val="auto"/>
          <w:spacing w:val="10"/>
          <w:highlight w:val="none"/>
        </w:rPr>
      </w:pPr>
      <w:r>
        <w:rPr>
          <w:rFonts w:ascii="宋体" w:hAnsi="宋体" w:eastAsia="宋体" w:cs="宋体"/>
          <w:color w:val="auto"/>
          <w:spacing w:val="10"/>
          <w:highlight w:val="none"/>
        </w:rPr>
        <w:t>评标委员会完成评标后，立即向招标人提交评标报告和中标候选人名单，并同时移交所有评标涉及资料。</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6.6 评标资料封存和启封</w:t>
      </w:r>
    </w:p>
    <w:p>
      <w:pPr>
        <w:spacing w:before="120" w:line="221" w:lineRule="auto"/>
        <w:ind w:left="419"/>
        <w:rPr>
          <w:rFonts w:ascii="宋体" w:hAnsi="宋体" w:eastAsia="宋体" w:cs="宋体"/>
          <w:color w:val="auto"/>
          <w:highlight w:val="none"/>
        </w:rPr>
      </w:pPr>
      <w:r>
        <w:rPr>
          <w:rFonts w:ascii="宋体" w:hAnsi="宋体" w:eastAsia="宋体" w:cs="宋体"/>
          <w:color w:val="auto"/>
          <w:spacing w:val="-1"/>
          <w:highlight w:val="none"/>
        </w:rPr>
        <w:t>评</w:t>
      </w:r>
      <w:r>
        <w:rPr>
          <w:rFonts w:ascii="宋体" w:hAnsi="宋体" w:eastAsia="宋体" w:cs="宋体"/>
          <w:color w:val="auto"/>
          <w:highlight w:val="none"/>
        </w:rPr>
        <w:t>标资料封存和启封应符合当地有关监督管理部门的规定。</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6.7 中标人信用查询</w:t>
      </w:r>
    </w:p>
    <w:p>
      <w:pPr>
        <w:spacing w:before="119" w:line="334" w:lineRule="auto"/>
        <w:ind w:left="23" w:right="75" w:firstLine="396"/>
        <w:rPr>
          <w:rFonts w:ascii="宋体" w:hAnsi="宋体" w:eastAsia="宋体" w:cs="宋体"/>
          <w:color w:val="auto"/>
          <w:highlight w:val="none"/>
        </w:rPr>
      </w:pPr>
      <w:r>
        <w:rPr>
          <w:rFonts w:ascii="宋体" w:hAnsi="宋体" w:eastAsia="宋体" w:cs="宋体"/>
          <w:color w:val="auto"/>
          <w:spacing w:val="-2"/>
          <w:highlight w:val="none"/>
        </w:rPr>
        <w:t>根据《关于做好政府采购有关信用主体标识码登记及在政府招标活动中查询使用信用记</w:t>
      </w:r>
      <w:r>
        <w:rPr>
          <w:rFonts w:ascii="宋体" w:hAnsi="宋体" w:eastAsia="宋体" w:cs="宋体"/>
          <w:color w:val="auto"/>
          <w:highlight w:val="none"/>
        </w:rPr>
        <w:t>录有关</w:t>
      </w:r>
      <w:r>
        <w:rPr>
          <w:rFonts w:ascii="宋体" w:hAnsi="宋体" w:eastAsia="宋体" w:cs="宋体"/>
          <w:color w:val="auto"/>
          <w:spacing w:val="-4"/>
          <w:highlight w:val="none"/>
        </w:rPr>
        <w:t>问题的通知》桂</w:t>
      </w:r>
      <w:r>
        <w:rPr>
          <w:rFonts w:ascii="宋体" w:hAnsi="宋体" w:eastAsia="宋体" w:cs="宋体"/>
          <w:color w:val="auto"/>
          <w:spacing w:val="-3"/>
          <w:highlight w:val="none"/>
        </w:rPr>
        <w:t>财</w:t>
      </w:r>
      <w:r>
        <w:rPr>
          <w:rFonts w:ascii="宋体" w:hAnsi="宋体" w:eastAsia="宋体" w:cs="宋体"/>
          <w:color w:val="auto"/>
          <w:spacing w:val="-2"/>
          <w:highlight w:val="none"/>
        </w:rPr>
        <w:t>采〔2016〕37 号的通知，在对第一中标候选人的中标资格进行信用查询：</w:t>
      </w:r>
    </w:p>
    <w:p>
      <w:pPr>
        <w:spacing w:before="1" w:line="334" w:lineRule="auto"/>
        <w:ind w:left="1" w:right="75" w:firstLine="418"/>
        <w:rPr>
          <w:rFonts w:ascii="宋体" w:hAnsi="宋体" w:eastAsia="宋体" w:cs="宋体"/>
          <w:color w:val="auto"/>
          <w:highlight w:val="none"/>
        </w:rPr>
      </w:pPr>
      <w:r>
        <w:rPr>
          <w:rFonts w:ascii="宋体" w:hAnsi="宋体" w:eastAsia="宋体" w:cs="宋体"/>
          <w:color w:val="auto"/>
          <w:spacing w:val="-12"/>
          <w:highlight w:val="none"/>
        </w:rPr>
        <w:t>⑴查</w:t>
      </w:r>
      <w:r>
        <w:rPr>
          <w:rFonts w:ascii="宋体" w:hAnsi="宋体" w:eastAsia="宋体" w:cs="宋体"/>
          <w:color w:val="auto"/>
          <w:spacing w:val="-7"/>
          <w:highlight w:val="none"/>
        </w:rPr>
        <w:t>询</w:t>
      </w:r>
      <w:r>
        <w:rPr>
          <w:rFonts w:ascii="宋体" w:hAnsi="宋体" w:eastAsia="宋体" w:cs="宋体"/>
          <w:color w:val="auto"/>
          <w:spacing w:val="-6"/>
          <w:highlight w:val="none"/>
        </w:rPr>
        <w:t>渠道：“信用中国”网站(www.creditchina.gov.cn)、中国政府采购网(www.ccgp.gov.cn)</w:t>
      </w:r>
      <w:r>
        <w:rPr>
          <w:rFonts w:ascii="宋体" w:hAnsi="宋体" w:eastAsia="宋体" w:cs="宋体"/>
          <w:color w:val="auto"/>
          <w:highlight w:val="none"/>
        </w:rPr>
        <w:t xml:space="preserve"> </w:t>
      </w:r>
      <w:r>
        <w:rPr>
          <w:rFonts w:ascii="宋体" w:hAnsi="宋体" w:eastAsia="宋体" w:cs="宋体"/>
          <w:color w:val="auto"/>
          <w:spacing w:val="-15"/>
          <w:highlight w:val="none"/>
        </w:rPr>
        <w:t>等</w:t>
      </w:r>
      <w:r>
        <w:rPr>
          <w:rFonts w:ascii="宋体" w:hAnsi="宋体" w:eastAsia="宋体" w:cs="宋体"/>
          <w:color w:val="auto"/>
          <w:spacing w:val="-14"/>
          <w:highlight w:val="none"/>
        </w:rPr>
        <w:t>；</w:t>
      </w:r>
    </w:p>
    <w:p>
      <w:pPr>
        <w:spacing w:before="1" w:line="219" w:lineRule="auto"/>
        <w:ind w:left="420"/>
        <w:rPr>
          <w:rFonts w:ascii="宋体" w:hAnsi="宋体" w:eastAsia="宋体" w:cs="宋体"/>
          <w:color w:val="auto"/>
          <w:highlight w:val="none"/>
        </w:rPr>
      </w:pPr>
      <w:r>
        <w:rPr>
          <w:rFonts w:ascii="宋体" w:hAnsi="宋体" w:eastAsia="宋体" w:cs="宋体"/>
          <w:color w:val="auto"/>
          <w:spacing w:val="-1"/>
          <w:highlight w:val="none"/>
        </w:rPr>
        <w:t>⑵查询</w:t>
      </w:r>
      <w:r>
        <w:rPr>
          <w:rFonts w:ascii="宋体" w:hAnsi="宋体" w:eastAsia="宋体" w:cs="宋体"/>
          <w:color w:val="auto"/>
          <w:highlight w:val="none"/>
        </w:rPr>
        <w:t>截止时点：中标通知书发出前；</w:t>
      </w:r>
    </w:p>
    <w:p>
      <w:pPr>
        <w:spacing w:before="68" w:line="334" w:lineRule="auto"/>
        <w:ind w:left="2" w:firstLine="419"/>
        <w:rPr>
          <w:rFonts w:ascii="宋体" w:hAnsi="宋体" w:eastAsia="宋体" w:cs="宋体"/>
          <w:color w:val="auto"/>
          <w:highlight w:val="none"/>
        </w:rPr>
      </w:pPr>
      <w:r>
        <w:rPr>
          <w:rFonts w:ascii="宋体" w:hAnsi="宋体" w:eastAsia="宋体" w:cs="宋体"/>
          <w:color w:val="auto"/>
          <w:spacing w:val="-2"/>
          <w:highlight w:val="none"/>
        </w:rPr>
        <w:t>⑶信用信息查询记录和证据留存方式：在查询网站中直接打印查询记录，打印材料作</w:t>
      </w:r>
      <w:r>
        <w:rPr>
          <w:rFonts w:ascii="宋体" w:hAnsi="宋体" w:eastAsia="宋体" w:cs="宋体"/>
          <w:color w:val="auto"/>
          <w:spacing w:val="-1"/>
          <w:highlight w:val="none"/>
        </w:rPr>
        <w:t>为</w:t>
      </w:r>
      <w:r>
        <w:rPr>
          <w:rFonts w:ascii="宋体" w:hAnsi="宋体" w:eastAsia="宋体" w:cs="宋体"/>
          <w:color w:val="auto"/>
          <w:highlight w:val="none"/>
        </w:rPr>
        <w:t>招标活</w:t>
      </w:r>
      <w:r>
        <w:rPr>
          <w:rFonts w:ascii="宋体" w:hAnsi="宋体" w:eastAsia="宋体" w:cs="宋体"/>
          <w:color w:val="auto"/>
          <w:spacing w:val="-1"/>
          <w:highlight w:val="none"/>
        </w:rPr>
        <w:t>动资料保存。</w:t>
      </w:r>
    </w:p>
    <w:p>
      <w:pPr>
        <w:spacing w:before="1" w:line="334" w:lineRule="auto"/>
        <w:ind w:left="2" w:firstLine="359"/>
        <w:rPr>
          <w:rFonts w:ascii="宋体" w:hAnsi="宋体" w:eastAsia="宋体" w:cs="宋体"/>
          <w:color w:val="auto"/>
          <w:highlight w:val="none"/>
        </w:rPr>
      </w:pPr>
      <w:r>
        <w:rPr>
          <w:rFonts w:ascii="宋体" w:hAnsi="宋体" w:eastAsia="宋体" w:cs="宋体"/>
          <w:color w:val="auto"/>
          <w:spacing w:val="10"/>
          <w:highlight w:val="none"/>
        </w:rPr>
        <w:t>⑷信用信息</w:t>
      </w:r>
      <w:r>
        <w:rPr>
          <w:rFonts w:ascii="宋体" w:hAnsi="宋体" w:eastAsia="宋体" w:cs="宋体"/>
          <w:color w:val="auto"/>
          <w:spacing w:val="5"/>
          <w:highlight w:val="none"/>
        </w:rPr>
        <w:t>使用规则：对在“信用中国”网站(</w:t>
      </w:r>
      <w:r>
        <w:rPr>
          <w:rFonts w:ascii="宋体" w:hAnsi="宋体" w:eastAsia="宋体" w:cs="宋体"/>
          <w:color w:val="auto"/>
          <w:highlight w:val="none"/>
        </w:rPr>
        <w:t>www</w:t>
      </w:r>
      <w:r>
        <w:rPr>
          <w:rFonts w:ascii="宋体" w:hAnsi="宋体" w:eastAsia="宋体" w:cs="宋体"/>
          <w:color w:val="auto"/>
          <w:spacing w:val="5"/>
          <w:highlight w:val="none"/>
        </w:rPr>
        <w:t>.</w:t>
      </w:r>
      <w:r>
        <w:rPr>
          <w:rFonts w:ascii="宋体" w:hAnsi="宋体" w:eastAsia="宋体" w:cs="宋体"/>
          <w:color w:val="auto"/>
          <w:highlight w:val="none"/>
        </w:rPr>
        <w:t>creditchina</w:t>
      </w:r>
      <w:r>
        <w:rPr>
          <w:rFonts w:ascii="宋体" w:hAnsi="宋体" w:eastAsia="宋体" w:cs="宋体"/>
          <w:color w:val="auto"/>
          <w:spacing w:val="5"/>
          <w:highlight w:val="none"/>
        </w:rPr>
        <w:t>.</w:t>
      </w:r>
      <w:r>
        <w:rPr>
          <w:rFonts w:ascii="宋体" w:hAnsi="宋体" w:eastAsia="宋体" w:cs="宋体"/>
          <w:color w:val="auto"/>
          <w:highlight w:val="none"/>
        </w:rPr>
        <w:t>gov</w:t>
      </w:r>
      <w:r>
        <w:rPr>
          <w:rFonts w:ascii="宋体" w:hAnsi="宋体" w:eastAsia="宋体" w:cs="宋体"/>
          <w:color w:val="auto"/>
          <w:spacing w:val="5"/>
          <w:highlight w:val="none"/>
        </w:rPr>
        <w:t>.</w:t>
      </w:r>
      <w:r>
        <w:rPr>
          <w:rFonts w:ascii="宋体" w:hAnsi="宋体" w:eastAsia="宋体" w:cs="宋体"/>
          <w:color w:val="auto"/>
          <w:highlight w:val="none"/>
        </w:rPr>
        <w:t>cn</w:t>
      </w:r>
      <w:r>
        <w:rPr>
          <w:rFonts w:ascii="宋体" w:hAnsi="宋体" w:eastAsia="宋体" w:cs="宋体"/>
          <w:color w:val="auto"/>
          <w:spacing w:val="5"/>
          <w:highlight w:val="none"/>
        </w:rPr>
        <w:t>)、中国政府采购网</w:t>
      </w:r>
      <w:r>
        <w:rPr>
          <w:rFonts w:ascii="宋体" w:hAnsi="宋体" w:eastAsia="宋体" w:cs="宋体"/>
          <w:color w:val="auto"/>
          <w:highlight w:val="none"/>
        </w:rPr>
        <w:t xml:space="preserve"> </w:t>
      </w:r>
      <w:r>
        <w:rPr>
          <w:rFonts w:ascii="宋体" w:hAnsi="宋体" w:eastAsia="宋体" w:cs="宋体"/>
          <w:color w:val="auto"/>
          <w:spacing w:val="1"/>
          <w:highlight w:val="none"/>
        </w:rPr>
        <w:t>(</w:t>
      </w:r>
      <w:r>
        <w:rPr>
          <w:rFonts w:ascii="宋体" w:hAnsi="宋体" w:eastAsia="宋体" w:cs="宋体"/>
          <w:color w:val="auto"/>
          <w:highlight w:val="none"/>
        </w:rPr>
        <w:t>www</w:t>
      </w:r>
      <w:r>
        <w:rPr>
          <w:rFonts w:ascii="宋体" w:hAnsi="宋体" w:eastAsia="宋体" w:cs="宋体"/>
          <w:color w:val="auto"/>
          <w:spacing w:val="1"/>
          <w:highlight w:val="none"/>
        </w:rPr>
        <w:t>.</w:t>
      </w:r>
      <w:r>
        <w:rPr>
          <w:rFonts w:ascii="宋体" w:hAnsi="宋体" w:eastAsia="宋体" w:cs="宋体"/>
          <w:color w:val="auto"/>
          <w:highlight w:val="none"/>
        </w:rPr>
        <w:t>ccgp</w:t>
      </w:r>
      <w:r>
        <w:rPr>
          <w:rFonts w:ascii="宋体" w:hAnsi="宋体" w:eastAsia="宋体" w:cs="宋体"/>
          <w:color w:val="auto"/>
          <w:spacing w:val="1"/>
          <w:highlight w:val="none"/>
        </w:rPr>
        <w:t>.</w:t>
      </w:r>
      <w:r>
        <w:rPr>
          <w:rFonts w:ascii="宋体" w:hAnsi="宋体" w:eastAsia="宋体" w:cs="宋体"/>
          <w:color w:val="auto"/>
          <w:highlight w:val="none"/>
        </w:rPr>
        <w:t>gov</w:t>
      </w:r>
      <w:r>
        <w:rPr>
          <w:rFonts w:ascii="宋体" w:hAnsi="宋体" w:eastAsia="宋体" w:cs="宋体"/>
          <w:color w:val="auto"/>
          <w:spacing w:val="1"/>
          <w:highlight w:val="none"/>
        </w:rPr>
        <w:t>.</w:t>
      </w:r>
      <w:r>
        <w:rPr>
          <w:rFonts w:ascii="宋体" w:hAnsi="宋体" w:eastAsia="宋体" w:cs="宋体"/>
          <w:color w:val="auto"/>
          <w:highlight w:val="none"/>
        </w:rPr>
        <w:t>cn</w:t>
      </w:r>
      <w:r>
        <w:rPr>
          <w:rFonts w:ascii="宋体" w:hAnsi="宋体" w:eastAsia="宋体" w:cs="宋体"/>
          <w:color w:val="auto"/>
          <w:spacing w:val="1"/>
          <w:highlight w:val="none"/>
        </w:rPr>
        <w:t>)等渠道列入失信被执行人、</w:t>
      </w:r>
      <w:r>
        <w:rPr>
          <w:rFonts w:hint="eastAsia" w:ascii="宋体" w:hAnsi="宋体" w:eastAsia="宋体" w:cs="宋体"/>
          <w:color w:val="auto"/>
          <w:spacing w:val="1"/>
          <w:highlight w:val="none"/>
        </w:rPr>
        <w:t>重大税收违法失信主体</w:t>
      </w:r>
      <w:r>
        <w:rPr>
          <w:rFonts w:ascii="宋体" w:hAnsi="宋体" w:eastAsia="宋体" w:cs="宋体"/>
          <w:color w:val="auto"/>
          <w:highlight w:val="none"/>
        </w:rPr>
        <w:t>、政府采购严重违法</w:t>
      </w:r>
      <w:r>
        <w:rPr>
          <w:rFonts w:ascii="宋体" w:hAnsi="宋体" w:eastAsia="宋体" w:cs="宋体"/>
          <w:color w:val="auto"/>
          <w:spacing w:val="-2"/>
          <w:highlight w:val="none"/>
        </w:rPr>
        <w:t>失信行为记录名单及其他不符合《中华人民共和国政府采购法》第二十二条规</w:t>
      </w:r>
      <w:r>
        <w:rPr>
          <w:rFonts w:ascii="宋体" w:hAnsi="宋体" w:eastAsia="宋体" w:cs="宋体"/>
          <w:color w:val="auto"/>
          <w:spacing w:val="-1"/>
          <w:highlight w:val="none"/>
        </w:rPr>
        <w:t>定条件的投标人，不</w:t>
      </w:r>
      <w:r>
        <w:rPr>
          <w:rFonts w:ascii="宋体" w:hAnsi="宋体" w:eastAsia="宋体" w:cs="宋体"/>
          <w:color w:val="auto"/>
          <w:spacing w:val="-2"/>
          <w:highlight w:val="none"/>
        </w:rPr>
        <w:t>得参与政府招标活动，取消其中标人资格。招标人依法按照评审报告中评标</w:t>
      </w:r>
      <w:r>
        <w:rPr>
          <w:rFonts w:ascii="宋体" w:hAnsi="宋体" w:eastAsia="宋体" w:cs="宋体"/>
          <w:color w:val="auto"/>
          <w:spacing w:val="-1"/>
          <w:highlight w:val="none"/>
        </w:rPr>
        <w:t>委员会推荐成交候选人排序</w:t>
      </w:r>
      <w:r>
        <w:rPr>
          <w:rFonts w:ascii="宋体" w:hAnsi="宋体" w:eastAsia="宋体" w:cs="宋体"/>
          <w:color w:val="auto"/>
          <w:highlight w:val="none"/>
        </w:rPr>
        <w:t>表确定排名第二的中标候选人为中标人或者重新组织采购。</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6.8 履约能力审查</w:t>
      </w:r>
    </w:p>
    <w:p>
      <w:pPr>
        <w:spacing w:before="124" w:line="334" w:lineRule="auto"/>
        <w:ind w:left="2" w:firstLine="424"/>
        <w:rPr>
          <w:rFonts w:ascii="宋体" w:hAnsi="宋体" w:eastAsia="宋体" w:cs="宋体"/>
          <w:color w:val="auto"/>
          <w:spacing w:val="-2"/>
          <w:highlight w:val="none"/>
        </w:rPr>
      </w:pPr>
      <w:r>
        <w:rPr>
          <w:rFonts w:ascii="宋体" w:hAnsi="宋体" w:eastAsia="宋体" w:cs="宋体"/>
          <w:color w:val="auto"/>
          <w:spacing w:val="-2"/>
          <w:highlight w:val="none"/>
        </w:rPr>
        <w:t>在中标通知书发出前，如果中标候选人的经营、财务状况发生较大变化，可能造成不能履行合同、无法按照招标文件要求提交履约保证金等情形，不符合中标条件的，应在中标公示期及时书面告知招标人。</w:t>
      </w:r>
    </w:p>
    <w:p>
      <w:pPr>
        <w:spacing w:before="124" w:line="334" w:lineRule="auto"/>
        <w:ind w:left="2" w:firstLine="424"/>
        <w:rPr>
          <w:rFonts w:ascii="宋体" w:hAnsi="宋体" w:eastAsia="宋体" w:cs="宋体"/>
          <w:color w:val="auto"/>
          <w:spacing w:val="-2"/>
          <w:highlight w:val="none"/>
        </w:rPr>
      </w:pPr>
      <w:r>
        <w:rPr>
          <w:rFonts w:ascii="宋体" w:hAnsi="宋体" w:eastAsia="宋体" w:cs="宋体"/>
          <w:color w:val="auto"/>
          <w:spacing w:val="-2"/>
          <w:highlight w:val="none"/>
        </w:rPr>
        <w:t>如招标人认为中标候选人的经营、财务状况发生较大变化或者存在违法行为可能影响其履约能力的，应当在中标通知书发出前由原评标委员会按照招标文件规定的标准和方法审查确认。</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7. 合同授予</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7.1 定标方式</w:t>
      </w:r>
    </w:p>
    <w:p>
      <w:pPr>
        <w:spacing w:before="124" w:line="334" w:lineRule="auto"/>
        <w:ind w:left="2" w:firstLine="424"/>
        <w:rPr>
          <w:rFonts w:ascii="宋体" w:hAnsi="宋体" w:eastAsia="宋体" w:cs="宋体"/>
          <w:color w:val="auto"/>
          <w:spacing w:val="-2"/>
          <w:highlight w:val="none"/>
        </w:rPr>
      </w:pPr>
      <w:r>
        <w:rPr>
          <w:rFonts w:ascii="宋体" w:hAnsi="宋体" w:eastAsia="宋体" w:cs="宋体"/>
          <w:color w:val="auto"/>
          <w:spacing w:val="-2"/>
          <w:highlight w:val="none"/>
        </w:rPr>
        <w:t>除“投标人须知前附表”规定评标委员会直接确定中标人外，招标人依据评标委员会推荐的中标候选人确定中标人，评标委员会推荐中标候选人的人数见“投标人须知前附表”。</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7.2 中标通知及中标公告</w:t>
      </w:r>
    </w:p>
    <w:p>
      <w:pPr>
        <w:spacing w:before="124" w:line="334" w:lineRule="auto"/>
        <w:ind w:left="2" w:firstLine="424"/>
        <w:rPr>
          <w:rFonts w:ascii="宋体" w:hAnsi="宋体" w:eastAsia="宋体" w:cs="宋体"/>
          <w:color w:val="auto"/>
          <w:spacing w:val="-2"/>
          <w:highlight w:val="none"/>
        </w:rPr>
      </w:pPr>
      <w:r>
        <w:rPr>
          <w:rFonts w:ascii="宋体" w:hAnsi="宋体" w:eastAsia="宋体" w:cs="宋体"/>
          <w:color w:val="auto"/>
          <w:spacing w:val="-2"/>
          <w:highlight w:val="none"/>
        </w:rPr>
        <w:t>7.2.1 招标代理机构于评标结束后两个工作日内将评标报告送交采购人，采购人应当</w:t>
      </w:r>
      <w:r>
        <w:rPr>
          <w:rFonts w:ascii="宋体" w:hAnsi="宋体" w:eastAsia="宋体" w:cs="宋体"/>
          <w:color w:val="auto"/>
          <w:spacing w:val="-1"/>
          <w:highlight w:val="none"/>
        </w:rPr>
        <w:t>自</w:t>
      </w:r>
      <w:r>
        <w:rPr>
          <w:rFonts w:ascii="宋体" w:hAnsi="宋体" w:eastAsia="宋体" w:cs="宋体"/>
          <w:color w:val="auto"/>
          <w:highlight w:val="none"/>
        </w:rPr>
        <w:t>收到评</w:t>
      </w:r>
      <w:r>
        <w:rPr>
          <w:rFonts w:ascii="宋体" w:hAnsi="宋体" w:eastAsia="宋体" w:cs="宋体"/>
          <w:color w:val="auto"/>
          <w:spacing w:val="-2"/>
          <w:highlight w:val="none"/>
        </w:rPr>
        <w:t>标报告五个工作日内在评标报告推荐的中标候选人中按顺序确定中标人，招</w:t>
      </w:r>
      <w:r>
        <w:rPr>
          <w:rFonts w:ascii="宋体" w:hAnsi="宋体" w:eastAsia="宋体" w:cs="宋体"/>
          <w:color w:val="auto"/>
          <w:spacing w:val="-1"/>
          <w:highlight w:val="none"/>
        </w:rPr>
        <w:t>标代理机构在中标人确</w:t>
      </w:r>
      <w:r>
        <w:rPr>
          <w:rFonts w:ascii="宋体" w:hAnsi="宋体" w:eastAsia="宋体" w:cs="宋体"/>
          <w:color w:val="auto"/>
          <w:spacing w:val="-2"/>
          <w:highlight w:val="none"/>
        </w:rPr>
        <w:t>定之日起两个工作日内发出中标通知书， 并在指定媒体上公告中标信息。</w:t>
      </w:r>
    </w:p>
    <w:p>
      <w:pPr>
        <w:spacing w:before="124" w:line="334" w:lineRule="auto"/>
        <w:ind w:left="2" w:firstLine="424"/>
        <w:rPr>
          <w:rFonts w:ascii="宋体" w:hAnsi="宋体" w:eastAsia="宋体" w:cs="宋体"/>
          <w:color w:val="auto"/>
          <w:spacing w:val="-2"/>
          <w:highlight w:val="none"/>
        </w:rPr>
      </w:pPr>
      <w:r>
        <w:rPr>
          <w:rFonts w:ascii="宋体" w:hAnsi="宋体" w:eastAsia="宋体" w:cs="宋体"/>
          <w:color w:val="auto"/>
          <w:spacing w:val="-2"/>
          <w:highlight w:val="none"/>
        </w:rPr>
        <w:t>7.2.2 在发布中标公告的同时，招标代理机构向中标人发出中标通知书。中标人自接到通知之日起七个工作日内，办理中标通知书领取手续。</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7.3 履约担保</w:t>
      </w:r>
    </w:p>
    <w:p>
      <w:pPr>
        <w:spacing w:before="121" w:line="334" w:lineRule="auto"/>
        <w:ind w:firstLine="366"/>
        <w:rPr>
          <w:rFonts w:ascii="宋体" w:hAnsi="宋体" w:eastAsia="宋体" w:cs="宋体"/>
          <w:color w:val="auto"/>
          <w:highlight w:val="none"/>
        </w:rPr>
      </w:pPr>
      <w:r>
        <w:rPr>
          <w:rFonts w:ascii="宋体" w:hAnsi="宋体" w:eastAsia="宋体" w:cs="宋体"/>
          <w:color w:val="auto"/>
          <w:spacing w:val="-8"/>
          <w:highlight w:val="none"/>
        </w:rPr>
        <w:t>7.3.1 履约</w:t>
      </w:r>
      <w:r>
        <w:rPr>
          <w:rFonts w:ascii="宋体" w:hAnsi="宋体" w:eastAsia="宋体" w:cs="宋体"/>
          <w:color w:val="auto"/>
          <w:spacing w:val="-7"/>
          <w:highlight w:val="none"/>
        </w:rPr>
        <w:t>保</w:t>
      </w:r>
      <w:r>
        <w:rPr>
          <w:rFonts w:ascii="宋体" w:hAnsi="宋体" w:eastAsia="宋体" w:cs="宋体"/>
          <w:color w:val="auto"/>
          <w:spacing w:val="-4"/>
          <w:highlight w:val="none"/>
        </w:rPr>
        <w:t>证金金额按中标价的 3% (人民币， 四舍五入到元) 缴纳，由中标人在签订合同前</w:t>
      </w:r>
      <w:r>
        <w:rPr>
          <w:rFonts w:ascii="宋体" w:hAnsi="宋体" w:eastAsia="宋体" w:cs="宋体"/>
          <w:color w:val="auto"/>
          <w:spacing w:val="-2"/>
          <w:highlight w:val="none"/>
        </w:rPr>
        <w:t>将履约保证金以支票、汇票、本票或者金融机构、担保机构出具的保函</w:t>
      </w:r>
      <w:r>
        <w:rPr>
          <w:rFonts w:ascii="宋体" w:hAnsi="宋体" w:eastAsia="宋体" w:cs="宋体"/>
          <w:color w:val="auto"/>
          <w:spacing w:val="-1"/>
          <w:highlight w:val="none"/>
        </w:rPr>
        <w:t>等非现金形式缴入招标人指定账户</w:t>
      </w:r>
      <w:r>
        <w:rPr>
          <w:rFonts w:ascii="宋体" w:hAnsi="宋体" w:eastAsia="宋体" w:cs="宋体"/>
          <w:color w:val="auto"/>
          <w:highlight w:val="none"/>
        </w:rPr>
        <w:t>。</w:t>
      </w:r>
    </w:p>
    <w:p>
      <w:pPr>
        <w:spacing w:line="333" w:lineRule="auto"/>
        <w:ind w:left="5" w:right="9" w:firstLine="355"/>
        <w:rPr>
          <w:rFonts w:ascii="宋体" w:hAnsi="宋体" w:eastAsia="宋体" w:cs="宋体"/>
          <w:color w:val="auto"/>
          <w:highlight w:val="none"/>
        </w:rPr>
      </w:pPr>
      <w:r>
        <w:rPr>
          <w:rFonts w:ascii="宋体" w:hAnsi="宋体" w:eastAsia="宋体" w:cs="宋体"/>
          <w:color w:val="auto"/>
          <w:spacing w:val="8"/>
          <w:highlight w:val="none"/>
        </w:rPr>
        <w:t>注：根据桂林</w:t>
      </w:r>
      <w:r>
        <w:rPr>
          <w:rFonts w:ascii="宋体" w:hAnsi="宋体" w:eastAsia="宋体" w:cs="宋体"/>
          <w:color w:val="auto"/>
          <w:spacing w:val="5"/>
          <w:highlight w:val="none"/>
        </w:rPr>
        <w:t>市</w:t>
      </w:r>
      <w:r>
        <w:rPr>
          <w:rFonts w:ascii="宋体" w:hAnsi="宋体" w:eastAsia="宋体" w:cs="宋体"/>
          <w:color w:val="auto"/>
          <w:spacing w:val="4"/>
          <w:highlight w:val="none"/>
        </w:rPr>
        <w:t>财政局《关于进一步贯彻落实政府采购优化营商环境百日攻坚行动方案的通</w:t>
      </w:r>
      <w:r>
        <w:rPr>
          <w:rFonts w:ascii="宋体" w:hAnsi="宋体" w:eastAsia="宋体" w:cs="宋体"/>
          <w:color w:val="auto"/>
          <w:spacing w:val="-7"/>
          <w:highlight w:val="none"/>
        </w:rPr>
        <w:t>知</w:t>
      </w:r>
      <w:r>
        <w:rPr>
          <w:rFonts w:ascii="宋体" w:hAnsi="宋体" w:eastAsia="宋体" w:cs="宋体"/>
          <w:color w:val="auto"/>
          <w:spacing w:val="-4"/>
          <w:highlight w:val="none"/>
        </w:rPr>
        <w:t>》，本项目中标人如为小微企业的，则免收履约保证金。</w:t>
      </w:r>
    </w:p>
    <w:p>
      <w:pPr>
        <w:spacing w:before="2" w:line="334" w:lineRule="auto"/>
        <w:ind w:left="6" w:firstLine="360"/>
        <w:rPr>
          <w:rFonts w:ascii="宋体" w:hAnsi="宋体" w:eastAsia="宋体" w:cs="宋体"/>
          <w:color w:val="auto"/>
          <w:highlight w:val="none"/>
        </w:rPr>
      </w:pPr>
      <w:r>
        <w:rPr>
          <w:rFonts w:ascii="宋体" w:hAnsi="宋体" w:eastAsia="宋体" w:cs="宋体"/>
          <w:color w:val="auto"/>
          <w:spacing w:val="-8"/>
          <w:highlight w:val="none"/>
        </w:rPr>
        <w:t>7.3.2 中标</w:t>
      </w:r>
      <w:r>
        <w:rPr>
          <w:rFonts w:ascii="宋体" w:hAnsi="宋体" w:eastAsia="宋体" w:cs="宋体"/>
          <w:color w:val="auto"/>
          <w:spacing w:val="-7"/>
          <w:highlight w:val="none"/>
        </w:rPr>
        <w:t>人</w:t>
      </w:r>
      <w:r>
        <w:rPr>
          <w:rFonts w:ascii="宋体" w:hAnsi="宋体" w:eastAsia="宋体" w:cs="宋体"/>
          <w:color w:val="auto"/>
          <w:spacing w:val="-4"/>
          <w:highlight w:val="none"/>
        </w:rPr>
        <w:t>没能按上述第 7.3.1 款规定执行的，视为放弃中标，招标人将有权取消该中标决</w:t>
      </w:r>
      <w:r>
        <w:rPr>
          <w:rFonts w:ascii="宋体" w:hAnsi="宋体" w:eastAsia="宋体" w:cs="宋体"/>
          <w:color w:val="auto"/>
          <w:spacing w:val="-2"/>
          <w:highlight w:val="none"/>
        </w:rPr>
        <w:t>定并</w:t>
      </w:r>
      <w:r>
        <w:rPr>
          <w:rFonts w:ascii="宋体" w:hAnsi="宋体" w:eastAsia="宋体" w:cs="宋体"/>
          <w:color w:val="auto"/>
          <w:spacing w:val="-1"/>
          <w:highlight w:val="none"/>
        </w:rPr>
        <w:t>将标授予本采购项目其他投标人或重新招标。</w:t>
      </w:r>
    </w:p>
    <w:p>
      <w:pPr>
        <w:spacing w:before="4" w:line="333" w:lineRule="auto"/>
        <w:ind w:firstLine="365"/>
        <w:rPr>
          <w:rFonts w:ascii="宋体" w:hAnsi="宋体" w:eastAsia="宋体" w:cs="宋体"/>
          <w:color w:val="auto"/>
          <w:highlight w:val="none"/>
        </w:rPr>
      </w:pPr>
      <w:r>
        <w:rPr>
          <w:rFonts w:ascii="宋体" w:hAnsi="宋体" w:eastAsia="宋体" w:cs="宋体"/>
          <w:color w:val="auto"/>
          <w:spacing w:val="-1"/>
          <w:highlight w:val="none"/>
        </w:rPr>
        <w:t>7.3.3 中标人履行完合同约定权利义务事</w:t>
      </w:r>
      <w:r>
        <w:rPr>
          <w:rFonts w:ascii="宋体" w:hAnsi="宋体" w:eastAsia="宋体" w:cs="宋体"/>
          <w:color w:val="auto"/>
          <w:highlight w:val="none"/>
        </w:rPr>
        <w:t>项后，凭《政府采购项目履约验收单》和履约保证金</w:t>
      </w:r>
      <w:r>
        <w:rPr>
          <w:rFonts w:ascii="宋体" w:hAnsi="宋体" w:eastAsia="宋体" w:cs="宋体"/>
          <w:color w:val="auto"/>
          <w:spacing w:val="-4"/>
          <w:highlight w:val="none"/>
        </w:rPr>
        <w:t>转款凭证向采购人申请办理退还手续，采购人应当自收到退还资料之日起 5 个工作日内退还其履约</w:t>
      </w:r>
      <w:r>
        <w:rPr>
          <w:rFonts w:ascii="宋体" w:hAnsi="宋体" w:eastAsia="宋体" w:cs="宋体"/>
          <w:color w:val="auto"/>
          <w:spacing w:val="-8"/>
          <w:highlight w:val="none"/>
        </w:rPr>
        <w:t>保</w:t>
      </w:r>
      <w:r>
        <w:rPr>
          <w:rFonts w:ascii="宋体" w:hAnsi="宋体" w:eastAsia="宋体" w:cs="宋体"/>
          <w:color w:val="auto"/>
          <w:spacing w:val="-4"/>
          <w:highlight w:val="none"/>
        </w:rPr>
        <w:t>证金。如中标人不按双方签订的合同规定履约，则没收其全部履约保证金，履约保证金不足以赔</w:t>
      </w:r>
      <w:r>
        <w:rPr>
          <w:rFonts w:ascii="宋体" w:hAnsi="宋体" w:eastAsia="宋体" w:cs="宋体"/>
          <w:color w:val="auto"/>
          <w:spacing w:val="-9"/>
          <w:highlight w:val="none"/>
        </w:rPr>
        <w:t>偿损失的，按实际损失赔偿</w:t>
      </w:r>
      <w:r>
        <w:rPr>
          <w:rFonts w:ascii="宋体" w:hAnsi="宋体" w:eastAsia="宋体" w:cs="宋体"/>
          <w:color w:val="auto"/>
          <w:spacing w:val="-7"/>
          <w:highlight w:val="none"/>
        </w:rPr>
        <w:t>。</w:t>
      </w:r>
    </w:p>
    <w:p>
      <w:pPr>
        <w:spacing w:before="1" w:line="345" w:lineRule="auto"/>
        <w:ind w:left="4" w:firstLine="362"/>
        <w:rPr>
          <w:rFonts w:ascii="宋体" w:hAnsi="宋体" w:eastAsia="宋体" w:cs="宋体"/>
          <w:color w:val="auto"/>
          <w:highlight w:val="none"/>
        </w:rPr>
      </w:pPr>
      <w:r>
        <w:rPr>
          <w:rFonts w:ascii="宋体" w:hAnsi="宋体" w:eastAsia="宋体" w:cs="宋体"/>
          <w:color w:val="auto"/>
          <w:spacing w:val="-1"/>
          <w:highlight w:val="none"/>
        </w:rPr>
        <w:t>7.3.4 在履约保证金到期退还前，若中标</w:t>
      </w:r>
      <w:r>
        <w:rPr>
          <w:rFonts w:ascii="宋体" w:hAnsi="宋体" w:eastAsia="宋体" w:cs="宋体"/>
          <w:color w:val="auto"/>
          <w:highlight w:val="none"/>
        </w:rPr>
        <w:t>人的开户名称、开户银行、账号有变动的，请以书面</w:t>
      </w:r>
      <w:r>
        <w:rPr>
          <w:rFonts w:ascii="宋体" w:hAnsi="宋体" w:eastAsia="宋体" w:cs="宋体"/>
          <w:color w:val="auto"/>
          <w:spacing w:val="-1"/>
          <w:highlight w:val="none"/>
        </w:rPr>
        <w:t>形式通知招标人，否则由此产生的后果由中标人</w:t>
      </w:r>
      <w:r>
        <w:rPr>
          <w:rFonts w:ascii="宋体" w:hAnsi="宋体" w:eastAsia="宋体" w:cs="宋体"/>
          <w:color w:val="auto"/>
          <w:highlight w:val="none"/>
        </w:rPr>
        <w:t>自负。</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7.4 签订合同</w:t>
      </w:r>
    </w:p>
    <w:p>
      <w:pPr>
        <w:spacing w:before="117" w:line="334" w:lineRule="auto"/>
        <w:ind w:right="74" w:firstLine="425"/>
        <w:rPr>
          <w:rFonts w:ascii="宋体" w:hAnsi="宋体" w:eastAsia="宋体" w:cs="宋体"/>
          <w:color w:val="auto"/>
          <w:highlight w:val="none"/>
        </w:rPr>
      </w:pPr>
      <w:r>
        <w:rPr>
          <w:rFonts w:ascii="宋体" w:hAnsi="宋体" w:eastAsia="宋体" w:cs="宋体"/>
          <w:color w:val="auto"/>
          <w:spacing w:val="-4"/>
          <w:highlight w:val="none"/>
        </w:rPr>
        <w:t>7.4.1 招标人和中标人应当在投标有效期内以及中标通知书发出之日起 25 天内，根据招标</w:t>
      </w:r>
      <w:r>
        <w:rPr>
          <w:rFonts w:ascii="宋体" w:hAnsi="宋体" w:eastAsia="宋体" w:cs="宋体"/>
          <w:color w:val="auto"/>
          <w:spacing w:val="-2"/>
          <w:highlight w:val="none"/>
        </w:rPr>
        <w:t>文</w:t>
      </w:r>
      <w:r>
        <w:rPr>
          <w:rFonts w:ascii="宋体" w:hAnsi="宋体" w:eastAsia="宋体" w:cs="宋体"/>
          <w:color w:val="auto"/>
          <w:spacing w:val="-4"/>
          <w:highlight w:val="none"/>
        </w:rPr>
        <w:t>件和中标人的投标文件</w:t>
      </w:r>
      <w:r>
        <w:rPr>
          <w:rFonts w:ascii="宋体" w:hAnsi="宋体" w:eastAsia="宋体" w:cs="宋体"/>
          <w:color w:val="auto"/>
          <w:spacing w:val="-2"/>
          <w:highlight w:val="none"/>
        </w:rPr>
        <w:t>订立书面合同。中标人无正当理由拒签合同的，招标人取消其中标资格。</w:t>
      </w:r>
    </w:p>
    <w:p>
      <w:pPr>
        <w:spacing w:before="4" w:line="333" w:lineRule="auto"/>
        <w:ind w:right="4" w:firstLine="430"/>
        <w:rPr>
          <w:rFonts w:ascii="宋体" w:hAnsi="宋体" w:eastAsia="宋体" w:cs="宋体"/>
          <w:color w:val="auto"/>
          <w:highlight w:val="none"/>
        </w:rPr>
      </w:pPr>
      <w:r>
        <w:rPr>
          <w:rFonts w:ascii="宋体" w:hAnsi="宋体" w:eastAsia="宋体" w:cs="宋体"/>
          <w:color w:val="auto"/>
          <w:spacing w:val="-8"/>
          <w:highlight w:val="none"/>
        </w:rPr>
        <w:t>7.4.2</w:t>
      </w:r>
      <w:r>
        <w:rPr>
          <w:rFonts w:ascii="宋体" w:hAnsi="宋体" w:eastAsia="宋体" w:cs="宋体"/>
          <w:color w:val="auto"/>
          <w:spacing w:val="-5"/>
          <w:highlight w:val="none"/>
        </w:rPr>
        <w:t xml:space="preserve"> </w:t>
      </w:r>
      <w:r>
        <w:rPr>
          <w:rFonts w:ascii="宋体" w:hAnsi="宋体" w:eastAsia="宋体" w:cs="宋体"/>
          <w:color w:val="auto"/>
          <w:spacing w:val="-4"/>
          <w:highlight w:val="none"/>
        </w:rPr>
        <w:t>招标人应当确定排名第一的中标候选人为中标人。排名第一的中标候选人放弃中标，或</w:t>
      </w:r>
      <w:r>
        <w:rPr>
          <w:rFonts w:ascii="宋体" w:hAnsi="宋体" w:eastAsia="宋体" w:cs="宋体"/>
          <w:color w:val="auto"/>
          <w:spacing w:val="6"/>
          <w:highlight w:val="none"/>
        </w:rPr>
        <w:t>因不</w:t>
      </w:r>
      <w:r>
        <w:rPr>
          <w:rFonts w:ascii="宋体" w:hAnsi="宋体" w:eastAsia="宋体" w:cs="宋体"/>
          <w:color w:val="auto"/>
          <w:spacing w:val="5"/>
          <w:highlight w:val="none"/>
        </w:rPr>
        <w:t>可</w:t>
      </w:r>
      <w:r>
        <w:rPr>
          <w:rFonts w:ascii="宋体" w:hAnsi="宋体" w:eastAsia="宋体" w:cs="宋体"/>
          <w:color w:val="auto"/>
          <w:spacing w:val="3"/>
          <w:highlight w:val="none"/>
        </w:rPr>
        <w:t>抗力提出不能履行合同，或者被查实存在影响中标结果的违法行为等情形，不符合中标条</w:t>
      </w:r>
      <w:r>
        <w:rPr>
          <w:rFonts w:ascii="宋体" w:hAnsi="宋体" w:eastAsia="宋体" w:cs="宋体"/>
          <w:color w:val="auto"/>
          <w:spacing w:val="-4"/>
          <w:highlight w:val="none"/>
        </w:rPr>
        <w:t>件的，招标人可以按照</w:t>
      </w:r>
      <w:r>
        <w:rPr>
          <w:rFonts w:ascii="宋体" w:hAnsi="宋体" w:eastAsia="宋体" w:cs="宋体"/>
          <w:color w:val="auto"/>
          <w:spacing w:val="-2"/>
          <w:highlight w:val="none"/>
        </w:rPr>
        <w:t>评标委员会提出的中标候选人名单排序依次确定其他中标候选人为中标人。</w:t>
      </w:r>
      <w:r>
        <w:rPr>
          <w:rFonts w:ascii="宋体" w:hAnsi="宋体" w:eastAsia="宋体" w:cs="宋体"/>
          <w:color w:val="auto"/>
          <w:spacing w:val="1"/>
          <w:highlight w:val="none"/>
        </w:rPr>
        <w:t>依次确定其他中标候选人与</w:t>
      </w:r>
      <w:r>
        <w:rPr>
          <w:rFonts w:ascii="宋体" w:hAnsi="宋体" w:eastAsia="宋体" w:cs="宋体"/>
          <w:color w:val="auto"/>
          <w:highlight w:val="none"/>
        </w:rPr>
        <w:t>招标人预期差距较大，或者对招标人明显不利的，招标人可以重新招</w:t>
      </w:r>
      <w:r>
        <w:rPr>
          <w:rFonts w:ascii="宋体" w:hAnsi="宋体" w:eastAsia="宋体" w:cs="宋体"/>
          <w:color w:val="auto"/>
          <w:spacing w:val="-9"/>
          <w:highlight w:val="none"/>
        </w:rPr>
        <w:t>标。</w:t>
      </w:r>
    </w:p>
    <w:p>
      <w:pPr>
        <w:spacing w:line="334" w:lineRule="auto"/>
        <w:ind w:left="1" w:right="74" w:firstLine="429"/>
        <w:rPr>
          <w:rFonts w:ascii="宋体" w:hAnsi="宋体" w:eastAsia="宋体" w:cs="宋体"/>
          <w:color w:val="auto"/>
          <w:highlight w:val="none"/>
        </w:rPr>
      </w:pPr>
      <w:r>
        <w:rPr>
          <w:rFonts w:ascii="宋体" w:hAnsi="宋体" w:eastAsia="宋体" w:cs="宋体"/>
          <w:color w:val="auto"/>
          <w:spacing w:val="-2"/>
          <w:highlight w:val="none"/>
        </w:rPr>
        <w:t>7.4.3 发出中标通知书后，招标人无正当理由拒签合同的，由有关行政监督部门给予警告</w:t>
      </w:r>
      <w:r>
        <w:rPr>
          <w:rFonts w:ascii="宋体" w:hAnsi="宋体" w:eastAsia="宋体" w:cs="宋体"/>
          <w:color w:val="auto"/>
          <w:spacing w:val="-1"/>
          <w:highlight w:val="none"/>
        </w:rPr>
        <w:t>，</w:t>
      </w:r>
      <w:r>
        <w:rPr>
          <w:rFonts w:ascii="宋体" w:hAnsi="宋体" w:eastAsia="宋体" w:cs="宋体"/>
          <w:color w:val="auto"/>
          <w:highlight w:val="none"/>
        </w:rPr>
        <w:t>责</w:t>
      </w:r>
      <w:r>
        <w:rPr>
          <w:rFonts w:ascii="宋体" w:hAnsi="宋体" w:eastAsia="宋体" w:cs="宋体"/>
          <w:color w:val="auto"/>
          <w:spacing w:val="-10"/>
          <w:highlight w:val="none"/>
        </w:rPr>
        <w:t>令</w:t>
      </w:r>
      <w:r>
        <w:rPr>
          <w:rFonts w:ascii="宋体" w:hAnsi="宋体" w:eastAsia="宋体" w:cs="宋体"/>
          <w:color w:val="auto"/>
          <w:spacing w:val="-9"/>
          <w:highlight w:val="none"/>
        </w:rPr>
        <w:t>改</w:t>
      </w:r>
      <w:r>
        <w:rPr>
          <w:rFonts w:ascii="宋体" w:hAnsi="宋体" w:eastAsia="宋体" w:cs="宋体"/>
          <w:color w:val="auto"/>
          <w:spacing w:val="-5"/>
          <w:highlight w:val="none"/>
        </w:rPr>
        <w:t>正。给中标人造成损失的，还应当赔偿损失。</w:t>
      </w:r>
    </w:p>
    <w:p>
      <w:pPr>
        <w:spacing w:before="1" w:line="334" w:lineRule="auto"/>
        <w:ind w:left="1" w:right="74" w:firstLine="424"/>
        <w:rPr>
          <w:rFonts w:ascii="宋体" w:hAnsi="宋体" w:eastAsia="宋体" w:cs="宋体"/>
          <w:color w:val="auto"/>
          <w:highlight w:val="none"/>
        </w:rPr>
      </w:pPr>
      <w:r>
        <w:rPr>
          <w:rFonts w:ascii="宋体" w:hAnsi="宋体" w:eastAsia="宋体" w:cs="宋体"/>
          <w:color w:val="auto"/>
          <w:spacing w:val="-5"/>
          <w:highlight w:val="none"/>
        </w:rPr>
        <w:t>7</w:t>
      </w:r>
      <w:r>
        <w:rPr>
          <w:rFonts w:ascii="宋体" w:hAnsi="宋体" w:eastAsia="宋体" w:cs="宋体"/>
          <w:color w:val="auto"/>
          <w:spacing w:val="-4"/>
          <w:highlight w:val="none"/>
        </w:rPr>
        <w:t>.4.4 合同存档：政府采购合同双方自签订之日起 1 个工作日内将合同原件两份交采购代理机</w:t>
      </w:r>
      <w:r>
        <w:rPr>
          <w:rFonts w:ascii="宋体" w:hAnsi="宋体" w:eastAsia="宋体" w:cs="宋体"/>
          <w:color w:val="auto"/>
          <w:spacing w:val="-2"/>
          <w:highlight w:val="none"/>
        </w:rPr>
        <w:t>构。采购代理机构将政府采购合同在省级以上人民政府财政部门指定媒体上公</w:t>
      </w:r>
      <w:r>
        <w:rPr>
          <w:rFonts w:ascii="宋体" w:hAnsi="宋体" w:eastAsia="宋体" w:cs="宋体"/>
          <w:color w:val="auto"/>
          <w:spacing w:val="-1"/>
          <w:highlight w:val="none"/>
        </w:rPr>
        <w:t>告并于合同签订之日</w:t>
      </w:r>
      <w:r>
        <w:rPr>
          <w:rFonts w:ascii="宋体" w:hAnsi="宋体" w:eastAsia="宋体" w:cs="宋体"/>
          <w:color w:val="auto"/>
          <w:spacing w:val="-5"/>
          <w:highlight w:val="none"/>
        </w:rPr>
        <w:t>起</w:t>
      </w:r>
      <w:r>
        <w:rPr>
          <w:rFonts w:ascii="宋体" w:hAnsi="宋体" w:eastAsia="宋体" w:cs="宋体"/>
          <w:color w:val="auto"/>
          <w:spacing w:val="-4"/>
          <w:highlight w:val="none"/>
        </w:rPr>
        <w:t xml:space="preserve"> 7 个工作日内将一份合同原件送</w:t>
      </w:r>
      <w:r>
        <w:rPr>
          <w:rFonts w:hint="eastAsia" w:ascii="宋体" w:hAnsi="宋体" w:eastAsia="宋体" w:cs="宋体"/>
          <w:color w:val="auto"/>
          <w:spacing w:val="-4"/>
          <w:highlight w:val="none"/>
        </w:rPr>
        <w:t>龙胜县</w:t>
      </w:r>
      <w:r>
        <w:rPr>
          <w:rFonts w:ascii="宋体" w:hAnsi="宋体" w:eastAsia="宋体" w:cs="宋体"/>
          <w:color w:val="auto"/>
          <w:spacing w:val="-4"/>
          <w:highlight w:val="none"/>
        </w:rPr>
        <w:t>政府采购管理办公室备案，一份由招标代理机构存</w:t>
      </w:r>
      <w:r>
        <w:rPr>
          <w:rFonts w:ascii="宋体" w:hAnsi="宋体" w:eastAsia="宋体" w:cs="宋体"/>
          <w:color w:val="auto"/>
          <w:spacing w:val="-10"/>
          <w:highlight w:val="none"/>
        </w:rPr>
        <w:t>档</w:t>
      </w:r>
      <w:r>
        <w:rPr>
          <w:rFonts w:ascii="宋体" w:hAnsi="宋体" w:eastAsia="宋体" w:cs="宋体"/>
          <w:color w:val="auto"/>
          <w:spacing w:val="-9"/>
          <w:highlight w:val="none"/>
        </w:rPr>
        <w:t>。</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8.重新招标和不再招标</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8.1 重新招标</w:t>
      </w:r>
    </w:p>
    <w:p>
      <w:pPr>
        <w:spacing w:before="117" w:line="221" w:lineRule="auto"/>
        <w:ind w:left="421"/>
        <w:rPr>
          <w:rFonts w:ascii="宋体" w:hAnsi="宋体" w:eastAsia="宋体" w:cs="宋体"/>
          <w:color w:val="auto"/>
          <w:highlight w:val="none"/>
        </w:rPr>
      </w:pPr>
      <w:r>
        <w:rPr>
          <w:rFonts w:ascii="宋体" w:hAnsi="宋体" w:eastAsia="宋体" w:cs="宋体"/>
          <w:color w:val="auto"/>
          <w:spacing w:val="-8"/>
          <w:highlight w:val="none"/>
        </w:rPr>
        <w:t>有</w:t>
      </w:r>
      <w:r>
        <w:rPr>
          <w:rFonts w:ascii="宋体" w:hAnsi="宋体" w:eastAsia="宋体" w:cs="宋体"/>
          <w:color w:val="auto"/>
          <w:spacing w:val="-7"/>
          <w:highlight w:val="none"/>
        </w:rPr>
        <w:t>下列情形之一的，招标人将重新招标：</w:t>
      </w:r>
    </w:p>
    <w:p>
      <w:pPr>
        <w:spacing w:before="128" w:line="221" w:lineRule="auto"/>
        <w:ind w:left="427"/>
        <w:rPr>
          <w:rFonts w:ascii="宋体" w:hAnsi="宋体" w:eastAsia="宋体" w:cs="宋体"/>
          <w:color w:val="auto"/>
          <w:highlight w:val="none"/>
        </w:rPr>
      </w:pPr>
      <w:r>
        <w:rPr>
          <w:rFonts w:ascii="宋体" w:hAnsi="宋体" w:eastAsia="宋体" w:cs="宋体"/>
          <w:color w:val="auto"/>
          <w:spacing w:val="-10"/>
          <w:highlight w:val="none"/>
        </w:rPr>
        <w:t>(</w:t>
      </w:r>
      <w:r>
        <w:rPr>
          <w:rFonts w:ascii="宋体" w:hAnsi="宋体" w:eastAsia="宋体" w:cs="宋体"/>
          <w:color w:val="auto"/>
          <w:spacing w:val="-7"/>
          <w:highlight w:val="none"/>
        </w:rPr>
        <w:t>1</w:t>
      </w:r>
      <w:r>
        <w:rPr>
          <w:rFonts w:ascii="宋体" w:hAnsi="宋体" w:eastAsia="宋体" w:cs="宋体"/>
          <w:color w:val="auto"/>
          <w:spacing w:val="-5"/>
          <w:highlight w:val="none"/>
        </w:rPr>
        <w:t>) 投标截止时，投标人少于 3 个的；</w:t>
      </w:r>
    </w:p>
    <w:p>
      <w:pPr>
        <w:spacing w:before="131" w:line="333" w:lineRule="auto"/>
        <w:ind w:right="74" w:firstLine="426"/>
        <w:rPr>
          <w:rFonts w:ascii="宋体" w:hAnsi="宋体" w:eastAsia="宋体" w:cs="宋体"/>
          <w:color w:val="auto"/>
          <w:highlight w:val="none"/>
        </w:rPr>
      </w:pPr>
      <w:r>
        <w:rPr>
          <w:rFonts w:ascii="宋体" w:hAnsi="宋体" w:eastAsia="宋体" w:cs="宋体"/>
          <w:color w:val="auto"/>
          <w:spacing w:val="-2"/>
          <w:highlight w:val="none"/>
        </w:rPr>
        <w:t xml:space="preserve">(2) 经评标委员会评审后，所有投标被否决或者部分投标被否决后，有效投标不足 3 </w:t>
      </w:r>
      <w:r>
        <w:rPr>
          <w:rFonts w:ascii="宋体" w:hAnsi="宋体" w:eastAsia="宋体" w:cs="宋体"/>
          <w:color w:val="auto"/>
          <w:highlight w:val="none"/>
        </w:rPr>
        <w:t>个，导</w:t>
      </w:r>
      <w:r>
        <w:rPr>
          <w:rFonts w:ascii="宋体" w:hAnsi="宋体" w:eastAsia="宋体" w:cs="宋体"/>
          <w:color w:val="auto"/>
          <w:spacing w:val="-4"/>
          <w:highlight w:val="none"/>
        </w:rPr>
        <w:t>致投标</w:t>
      </w:r>
      <w:r>
        <w:rPr>
          <w:rFonts w:ascii="宋体" w:hAnsi="宋体" w:eastAsia="宋体" w:cs="宋体"/>
          <w:color w:val="auto"/>
          <w:spacing w:val="-3"/>
          <w:highlight w:val="none"/>
        </w:rPr>
        <w:t>明</w:t>
      </w:r>
      <w:r>
        <w:rPr>
          <w:rFonts w:ascii="宋体" w:hAnsi="宋体" w:eastAsia="宋体" w:cs="宋体"/>
          <w:color w:val="auto"/>
          <w:spacing w:val="-2"/>
          <w:highlight w:val="none"/>
        </w:rPr>
        <w:t>显缺乏竞争的；</w:t>
      </w:r>
    </w:p>
    <w:p>
      <w:pPr>
        <w:spacing w:before="1" w:line="220" w:lineRule="auto"/>
        <w:ind w:left="427"/>
        <w:rPr>
          <w:rFonts w:ascii="宋体" w:hAnsi="宋体" w:eastAsia="宋体" w:cs="宋体"/>
          <w:color w:val="auto"/>
          <w:highlight w:val="none"/>
        </w:rPr>
      </w:pPr>
      <w:r>
        <w:rPr>
          <w:rFonts w:ascii="宋体" w:hAnsi="宋体" w:eastAsia="宋体" w:cs="宋体"/>
          <w:color w:val="auto"/>
          <w:spacing w:val="3"/>
          <w:highlight w:val="none"/>
        </w:rPr>
        <w:t>(3) 其他有关法规和文件规定的应当重新招标的情形。</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8.2 不再招标</w:t>
      </w:r>
    </w:p>
    <w:p>
      <w:pPr>
        <w:spacing w:before="131" w:line="333" w:lineRule="auto"/>
        <w:ind w:right="74" w:firstLine="426"/>
        <w:rPr>
          <w:rFonts w:ascii="宋体" w:hAnsi="宋体" w:eastAsia="宋体" w:cs="宋体"/>
          <w:color w:val="auto"/>
          <w:spacing w:val="-2"/>
          <w:highlight w:val="none"/>
        </w:rPr>
      </w:pPr>
      <w:r>
        <w:rPr>
          <w:rFonts w:ascii="宋体" w:hAnsi="宋体" w:eastAsia="宋体" w:cs="宋体"/>
          <w:color w:val="auto"/>
          <w:spacing w:val="-2"/>
          <w:highlight w:val="none"/>
        </w:rPr>
        <w:t>重新招标后投标人仍少于 3 个或者重新招标后所有投标被否决的，属于必须审批或核准的工程建设项目，经原审批或核准部门批准后可不再进行招标。</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9.纪律和监督</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9.1 对招标人的纪律要求</w:t>
      </w:r>
    </w:p>
    <w:p>
      <w:pPr>
        <w:spacing w:before="120" w:line="334" w:lineRule="auto"/>
        <w:ind w:right="74" w:firstLine="421"/>
        <w:rPr>
          <w:rFonts w:ascii="宋体" w:hAnsi="宋体" w:eastAsia="宋体" w:cs="宋体"/>
          <w:color w:val="auto"/>
          <w:highlight w:val="none"/>
        </w:rPr>
      </w:pPr>
      <w:r>
        <w:rPr>
          <w:rFonts w:ascii="宋体" w:hAnsi="宋体" w:eastAsia="宋体" w:cs="宋体"/>
          <w:color w:val="auto"/>
          <w:spacing w:val="-8"/>
          <w:highlight w:val="none"/>
        </w:rPr>
        <w:t>招标人</w:t>
      </w:r>
      <w:r>
        <w:rPr>
          <w:rFonts w:ascii="宋体" w:hAnsi="宋体" w:eastAsia="宋体" w:cs="宋体"/>
          <w:color w:val="auto"/>
          <w:spacing w:val="-6"/>
          <w:highlight w:val="none"/>
        </w:rPr>
        <w:t>不</w:t>
      </w:r>
      <w:r>
        <w:rPr>
          <w:rFonts w:ascii="宋体" w:hAnsi="宋体" w:eastAsia="宋体" w:cs="宋体"/>
          <w:color w:val="auto"/>
          <w:spacing w:val="-4"/>
          <w:highlight w:val="none"/>
        </w:rPr>
        <w:t>得泄漏招标投标活动中应当保密的情况和资料，不得与投标人串通损害国家利益、社</w:t>
      </w:r>
      <w:r>
        <w:rPr>
          <w:rFonts w:ascii="宋体" w:hAnsi="宋体" w:eastAsia="宋体" w:cs="宋体"/>
          <w:color w:val="auto"/>
          <w:highlight w:val="none"/>
        </w:rPr>
        <w:t>会公共利益或者他人合法权益。有下列情形之一的，属于招标人与投标人串通投标：</w:t>
      </w:r>
    </w:p>
    <w:p>
      <w:pPr>
        <w:spacing w:line="220" w:lineRule="auto"/>
        <w:ind w:left="427"/>
        <w:rPr>
          <w:rFonts w:ascii="宋体" w:hAnsi="宋体" w:eastAsia="宋体" w:cs="宋体"/>
          <w:color w:val="auto"/>
          <w:highlight w:val="none"/>
        </w:rPr>
      </w:pPr>
      <w:r>
        <w:rPr>
          <w:rFonts w:ascii="宋体" w:hAnsi="宋体" w:eastAsia="宋体" w:cs="宋体"/>
          <w:color w:val="auto"/>
          <w:spacing w:val="3"/>
          <w:highlight w:val="none"/>
        </w:rPr>
        <w:t>(1) 招标人在开标前开启投标文件并将有关信息泄露给其他投标人</w:t>
      </w:r>
      <w:r>
        <w:rPr>
          <w:rFonts w:ascii="宋体" w:hAnsi="宋体" w:eastAsia="宋体" w:cs="宋体"/>
          <w:color w:val="auto"/>
          <w:spacing w:val="2"/>
          <w:highlight w:val="none"/>
        </w:rPr>
        <w:t>；</w:t>
      </w:r>
    </w:p>
    <w:p>
      <w:pPr>
        <w:spacing w:before="128" w:line="220" w:lineRule="auto"/>
        <w:ind w:left="427"/>
        <w:rPr>
          <w:rFonts w:ascii="宋体" w:hAnsi="宋体" w:eastAsia="宋体" w:cs="宋体"/>
          <w:color w:val="auto"/>
          <w:highlight w:val="none"/>
        </w:rPr>
      </w:pPr>
      <w:r>
        <w:rPr>
          <w:rFonts w:ascii="宋体" w:hAnsi="宋体" w:eastAsia="宋体" w:cs="宋体"/>
          <w:color w:val="auto"/>
          <w:spacing w:val="4"/>
          <w:highlight w:val="none"/>
        </w:rPr>
        <w:t>(2</w:t>
      </w:r>
      <w:r>
        <w:rPr>
          <w:rFonts w:ascii="宋体" w:hAnsi="宋体" w:eastAsia="宋体" w:cs="宋体"/>
          <w:color w:val="auto"/>
          <w:spacing w:val="3"/>
          <w:highlight w:val="none"/>
        </w:rPr>
        <w:t>)</w:t>
      </w:r>
      <w:r>
        <w:rPr>
          <w:rFonts w:ascii="宋体" w:hAnsi="宋体" w:eastAsia="宋体" w:cs="宋体"/>
          <w:color w:val="auto"/>
          <w:spacing w:val="2"/>
          <w:highlight w:val="none"/>
        </w:rPr>
        <w:t xml:space="preserve"> 招标人直接或者间接向投标人泄露标底、评标委员会成员等信息；</w:t>
      </w:r>
    </w:p>
    <w:p>
      <w:pPr>
        <w:spacing w:before="132" w:line="219" w:lineRule="auto"/>
        <w:ind w:left="427"/>
        <w:rPr>
          <w:rFonts w:ascii="宋体" w:hAnsi="宋体" w:eastAsia="宋体" w:cs="宋体"/>
          <w:color w:val="auto"/>
          <w:highlight w:val="none"/>
        </w:rPr>
      </w:pPr>
      <w:r>
        <w:rPr>
          <w:rFonts w:ascii="宋体" w:hAnsi="宋体" w:eastAsia="宋体" w:cs="宋体"/>
          <w:color w:val="auto"/>
          <w:spacing w:val="4"/>
          <w:highlight w:val="none"/>
        </w:rPr>
        <w:t xml:space="preserve">(3) </w:t>
      </w:r>
      <w:r>
        <w:rPr>
          <w:rFonts w:ascii="宋体" w:hAnsi="宋体" w:eastAsia="宋体" w:cs="宋体"/>
          <w:color w:val="auto"/>
          <w:spacing w:val="2"/>
          <w:highlight w:val="none"/>
        </w:rPr>
        <w:t>招标人明示或者暗示投标人压低或者抬高投标报价；</w:t>
      </w:r>
    </w:p>
    <w:p>
      <w:pPr>
        <w:spacing w:before="130" w:line="221" w:lineRule="auto"/>
        <w:ind w:left="427"/>
        <w:rPr>
          <w:rFonts w:ascii="宋体" w:hAnsi="宋体" w:eastAsia="宋体" w:cs="宋体"/>
          <w:color w:val="auto"/>
          <w:highlight w:val="none"/>
        </w:rPr>
      </w:pPr>
      <w:r>
        <w:rPr>
          <w:rFonts w:ascii="宋体" w:hAnsi="宋体" w:eastAsia="宋体" w:cs="宋体"/>
          <w:color w:val="auto"/>
          <w:spacing w:val="6"/>
          <w:highlight w:val="none"/>
        </w:rPr>
        <w:t>(</w:t>
      </w:r>
      <w:r>
        <w:rPr>
          <w:rFonts w:ascii="宋体" w:hAnsi="宋体" w:eastAsia="宋体" w:cs="宋体"/>
          <w:color w:val="auto"/>
          <w:spacing w:val="3"/>
          <w:highlight w:val="none"/>
        </w:rPr>
        <w:t>4) 招标人授意投标人撤换、修改投标文件；</w:t>
      </w:r>
    </w:p>
    <w:p>
      <w:pPr>
        <w:spacing w:before="128" w:line="220" w:lineRule="auto"/>
        <w:ind w:left="427"/>
        <w:rPr>
          <w:rFonts w:ascii="宋体" w:hAnsi="宋体" w:eastAsia="宋体" w:cs="宋体"/>
          <w:color w:val="auto"/>
          <w:highlight w:val="none"/>
        </w:rPr>
      </w:pPr>
      <w:r>
        <w:rPr>
          <w:rFonts w:ascii="宋体" w:hAnsi="宋体" w:eastAsia="宋体" w:cs="宋体"/>
          <w:color w:val="auto"/>
          <w:spacing w:val="4"/>
          <w:highlight w:val="none"/>
        </w:rPr>
        <w:t>(5) 招标</w:t>
      </w:r>
      <w:r>
        <w:rPr>
          <w:rFonts w:ascii="宋体" w:hAnsi="宋体" w:eastAsia="宋体" w:cs="宋体"/>
          <w:color w:val="auto"/>
          <w:spacing w:val="2"/>
          <w:highlight w:val="none"/>
        </w:rPr>
        <w:t>人明示或者暗示投标人为特定投标人中标提供方便；</w:t>
      </w:r>
    </w:p>
    <w:p>
      <w:pPr>
        <w:spacing w:before="132" w:line="220" w:lineRule="auto"/>
        <w:ind w:left="427"/>
        <w:rPr>
          <w:rFonts w:ascii="宋体" w:hAnsi="宋体" w:eastAsia="宋体" w:cs="宋体"/>
          <w:color w:val="auto"/>
          <w:highlight w:val="none"/>
        </w:rPr>
      </w:pPr>
      <w:r>
        <w:rPr>
          <w:rFonts w:ascii="宋体" w:hAnsi="宋体" w:eastAsia="宋体" w:cs="宋体"/>
          <w:color w:val="auto"/>
          <w:spacing w:val="3"/>
          <w:highlight w:val="none"/>
        </w:rPr>
        <w:t>(6) 招标人与投标人为谋求特定投标人中标而采取的其他串通行为</w:t>
      </w:r>
      <w:r>
        <w:rPr>
          <w:rFonts w:ascii="宋体" w:hAnsi="宋体" w:eastAsia="宋体" w:cs="宋体"/>
          <w:color w:val="auto"/>
          <w:spacing w:val="2"/>
          <w:highlight w:val="none"/>
        </w:rPr>
        <w:t>。</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9.2 对投标人的纪律要求</w:t>
      </w:r>
    </w:p>
    <w:p>
      <w:pPr>
        <w:spacing w:before="120" w:line="334" w:lineRule="auto"/>
        <w:ind w:right="74" w:firstLine="421"/>
        <w:rPr>
          <w:rFonts w:ascii="宋体" w:hAnsi="宋体" w:eastAsia="宋体" w:cs="宋体"/>
          <w:color w:val="auto"/>
          <w:spacing w:val="-4"/>
          <w:highlight w:val="none"/>
        </w:rPr>
      </w:pPr>
      <w:r>
        <w:rPr>
          <w:rFonts w:ascii="宋体" w:hAnsi="宋体" w:eastAsia="宋体" w:cs="宋体"/>
          <w:color w:val="auto"/>
          <w:spacing w:val="-4"/>
          <w:highlight w:val="none"/>
        </w:rPr>
        <w:t>9.2.1 投标人不得相互串通投标或者与招标人串通投标，不得向招标人或者评标委员会成员行贿谋取中标，不得以他人名义投标或者以其他方式弄虚作假骗取中标；投标人不得以任何方式干扰、影响评标工作。有下列情形之一的， 属于投标人相互串通投标：</w:t>
      </w:r>
    </w:p>
    <w:p>
      <w:pPr>
        <w:spacing w:before="128" w:line="219" w:lineRule="auto"/>
        <w:ind w:left="427"/>
        <w:rPr>
          <w:rFonts w:ascii="宋体" w:hAnsi="宋体" w:eastAsia="宋体" w:cs="宋体"/>
          <w:color w:val="auto"/>
          <w:highlight w:val="none"/>
        </w:rPr>
      </w:pPr>
      <w:r>
        <w:rPr>
          <w:rFonts w:ascii="宋体" w:hAnsi="宋体" w:eastAsia="宋体" w:cs="宋体"/>
          <w:color w:val="auto"/>
          <w:spacing w:val="4"/>
          <w:highlight w:val="none"/>
        </w:rPr>
        <w:t xml:space="preserve">(1) </w:t>
      </w:r>
      <w:r>
        <w:rPr>
          <w:rFonts w:ascii="宋体" w:hAnsi="宋体" w:eastAsia="宋体" w:cs="宋体"/>
          <w:color w:val="auto"/>
          <w:spacing w:val="2"/>
          <w:highlight w:val="none"/>
        </w:rPr>
        <w:t>投标人之间协商投标报价等投标文件的实质性内容；</w:t>
      </w:r>
    </w:p>
    <w:p>
      <w:pPr>
        <w:spacing w:before="130" w:line="221" w:lineRule="auto"/>
        <w:ind w:left="427"/>
        <w:rPr>
          <w:rFonts w:ascii="宋体" w:hAnsi="宋体" w:eastAsia="宋体" w:cs="宋体"/>
          <w:color w:val="auto"/>
          <w:highlight w:val="none"/>
        </w:rPr>
      </w:pPr>
      <w:r>
        <w:rPr>
          <w:rFonts w:ascii="宋体" w:hAnsi="宋体" w:eastAsia="宋体" w:cs="宋体"/>
          <w:color w:val="auto"/>
          <w:spacing w:val="8"/>
          <w:highlight w:val="none"/>
        </w:rPr>
        <w:t>(2</w:t>
      </w:r>
      <w:r>
        <w:rPr>
          <w:rFonts w:ascii="宋体" w:hAnsi="宋体" w:eastAsia="宋体" w:cs="宋体"/>
          <w:color w:val="auto"/>
          <w:spacing w:val="4"/>
          <w:highlight w:val="none"/>
        </w:rPr>
        <w:t>) 投标人之间约定中标人；</w:t>
      </w:r>
    </w:p>
    <w:p>
      <w:pPr>
        <w:spacing w:before="129" w:line="221" w:lineRule="auto"/>
        <w:ind w:left="427"/>
        <w:rPr>
          <w:rFonts w:ascii="宋体" w:hAnsi="宋体" w:eastAsia="宋体" w:cs="宋体"/>
          <w:color w:val="auto"/>
          <w:highlight w:val="none"/>
        </w:rPr>
      </w:pPr>
      <w:r>
        <w:rPr>
          <w:rFonts w:ascii="宋体" w:hAnsi="宋体" w:eastAsia="宋体" w:cs="宋体"/>
          <w:color w:val="auto"/>
          <w:spacing w:val="6"/>
          <w:highlight w:val="none"/>
        </w:rPr>
        <w:t>(3) 投标</w:t>
      </w:r>
      <w:r>
        <w:rPr>
          <w:rFonts w:ascii="宋体" w:hAnsi="宋体" w:eastAsia="宋体" w:cs="宋体"/>
          <w:color w:val="auto"/>
          <w:spacing w:val="4"/>
          <w:highlight w:val="none"/>
        </w:rPr>
        <w:t>人</w:t>
      </w:r>
      <w:r>
        <w:rPr>
          <w:rFonts w:ascii="宋体" w:hAnsi="宋体" w:eastAsia="宋体" w:cs="宋体"/>
          <w:color w:val="auto"/>
          <w:spacing w:val="3"/>
          <w:highlight w:val="none"/>
        </w:rPr>
        <w:t>之间约定部分投标人放弃投标或者中标；</w:t>
      </w:r>
    </w:p>
    <w:p>
      <w:pPr>
        <w:spacing w:before="128" w:line="220" w:lineRule="auto"/>
        <w:ind w:left="427"/>
        <w:rPr>
          <w:rFonts w:ascii="宋体" w:hAnsi="宋体" w:eastAsia="宋体" w:cs="宋体"/>
          <w:color w:val="auto"/>
          <w:highlight w:val="none"/>
        </w:rPr>
      </w:pPr>
      <w:r>
        <w:rPr>
          <w:rFonts w:ascii="宋体" w:hAnsi="宋体" w:eastAsia="宋体" w:cs="宋体"/>
          <w:color w:val="auto"/>
          <w:spacing w:val="2"/>
          <w:highlight w:val="none"/>
        </w:rPr>
        <w:t>(4) 属于同一集团、协会、商会等组织成员的投标人按照该组织要求协同投</w:t>
      </w:r>
      <w:r>
        <w:rPr>
          <w:rFonts w:ascii="宋体" w:hAnsi="宋体" w:eastAsia="宋体" w:cs="宋体"/>
          <w:color w:val="auto"/>
          <w:spacing w:val="1"/>
          <w:highlight w:val="none"/>
        </w:rPr>
        <w:t>标</w:t>
      </w:r>
      <w:r>
        <w:rPr>
          <w:rFonts w:ascii="宋体" w:hAnsi="宋体" w:eastAsia="宋体" w:cs="宋体"/>
          <w:color w:val="auto"/>
          <w:highlight w:val="none"/>
        </w:rPr>
        <w:t>；</w:t>
      </w:r>
    </w:p>
    <w:p>
      <w:pPr>
        <w:spacing w:before="128" w:line="220" w:lineRule="auto"/>
        <w:ind w:left="427"/>
        <w:rPr>
          <w:rFonts w:ascii="宋体" w:hAnsi="宋体" w:eastAsia="宋体" w:cs="宋体"/>
          <w:color w:val="auto"/>
          <w:highlight w:val="none"/>
        </w:rPr>
      </w:pPr>
      <w:r>
        <w:rPr>
          <w:rFonts w:ascii="宋体" w:hAnsi="宋体" w:eastAsia="宋体" w:cs="宋体"/>
          <w:color w:val="auto"/>
          <w:spacing w:val="3"/>
          <w:highlight w:val="none"/>
        </w:rPr>
        <w:t>(5) 投标人之间为谋取中标或者排斥特定投标人而采取的其他联合</w:t>
      </w:r>
      <w:r>
        <w:rPr>
          <w:rFonts w:ascii="宋体" w:hAnsi="宋体" w:eastAsia="宋体" w:cs="宋体"/>
          <w:color w:val="auto"/>
          <w:spacing w:val="2"/>
          <w:highlight w:val="none"/>
        </w:rPr>
        <w:t>行</w:t>
      </w:r>
      <w:r>
        <w:rPr>
          <w:rFonts w:ascii="宋体" w:hAnsi="宋体" w:eastAsia="宋体" w:cs="宋体"/>
          <w:color w:val="auto"/>
          <w:highlight w:val="none"/>
        </w:rPr>
        <w:t>动；</w:t>
      </w:r>
    </w:p>
    <w:p>
      <w:pPr>
        <w:spacing w:before="131" w:line="221" w:lineRule="auto"/>
        <w:ind w:left="427"/>
        <w:rPr>
          <w:rFonts w:ascii="宋体" w:hAnsi="宋体" w:eastAsia="宋体" w:cs="宋体"/>
          <w:color w:val="auto"/>
          <w:highlight w:val="none"/>
        </w:rPr>
      </w:pPr>
      <w:r>
        <w:rPr>
          <w:rFonts w:ascii="宋体" w:hAnsi="宋体" w:eastAsia="宋体" w:cs="宋体"/>
          <w:color w:val="auto"/>
          <w:spacing w:val="4"/>
          <w:highlight w:val="none"/>
        </w:rPr>
        <w:t>(6) 不同投标</w:t>
      </w:r>
      <w:r>
        <w:rPr>
          <w:rFonts w:ascii="宋体" w:hAnsi="宋体" w:eastAsia="宋体" w:cs="宋体"/>
          <w:color w:val="auto"/>
          <w:spacing w:val="3"/>
          <w:highlight w:val="none"/>
        </w:rPr>
        <w:t>人</w:t>
      </w:r>
      <w:r>
        <w:rPr>
          <w:rFonts w:ascii="宋体" w:hAnsi="宋体" w:eastAsia="宋体" w:cs="宋体"/>
          <w:color w:val="auto"/>
          <w:spacing w:val="2"/>
          <w:highlight w:val="none"/>
        </w:rPr>
        <w:t>的投标文件由同一单位或者个人编制；</w:t>
      </w:r>
    </w:p>
    <w:p>
      <w:pPr>
        <w:spacing w:before="127" w:line="221" w:lineRule="auto"/>
        <w:ind w:left="427"/>
        <w:rPr>
          <w:rFonts w:ascii="宋体" w:hAnsi="宋体" w:eastAsia="宋体" w:cs="宋体"/>
          <w:color w:val="auto"/>
          <w:highlight w:val="none"/>
        </w:rPr>
      </w:pPr>
      <w:r>
        <w:rPr>
          <w:rFonts w:ascii="宋体" w:hAnsi="宋体" w:eastAsia="宋体" w:cs="宋体"/>
          <w:color w:val="auto"/>
          <w:spacing w:val="4"/>
          <w:highlight w:val="none"/>
        </w:rPr>
        <w:t>(7) 不同投标</w:t>
      </w:r>
      <w:r>
        <w:rPr>
          <w:rFonts w:ascii="宋体" w:hAnsi="宋体" w:eastAsia="宋体" w:cs="宋体"/>
          <w:color w:val="auto"/>
          <w:spacing w:val="3"/>
          <w:highlight w:val="none"/>
        </w:rPr>
        <w:t>人</w:t>
      </w:r>
      <w:r>
        <w:rPr>
          <w:rFonts w:ascii="宋体" w:hAnsi="宋体" w:eastAsia="宋体" w:cs="宋体"/>
          <w:color w:val="auto"/>
          <w:spacing w:val="2"/>
          <w:highlight w:val="none"/>
        </w:rPr>
        <w:t>委托同一单位或者个人办理投标事宜；</w:t>
      </w:r>
    </w:p>
    <w:p>
      <w:pPr>
        <w:spacing w:before="128" w:line="221" w:lineRule="auto"/>
        <w:ind w:left="427"/>
        <w:rPr>
          <w:rFonts w:ascii="宋体" w:hAnsi="宋体" w:eastAsia="宋体" w:cs="宋体"/>
          <w:color w:val="auto"/>
          <w:highlight w:val="none"/>
        </w:rPr>
      </w:pPr>
      <w:r>
        <w:rPr>
          <w:rFonts w:ascii="宋体" w:hAnsi="宋体" w:eastAsia="宋体" w:cs="宋体"/>
          <w:color w:val="auto"/>
          <w:spacing w:val="6"/>
          <w:highlight w:val="none"/>
        </w:rPr>
        <w:t>(8)</w:t>
      </w:r>
      <w:r>
        <w:rPr>
          <w:rFonts w:ascii="宋体" w:hAnsi="宋体" w:eastAsia="宋体" w:cs="宋体"/>
          <w:color w:val="auto"/>
          <w:spacing w:val="5"/>
          <w:highlight w:val="none"/>
        </w:rPr>
        <w:t xml:space="preserve"> </w:t>
      </w:r>
      <w:r>
        <w:rPr>
          <w:rFonts w:ascii="宋体" w:hAnsi="宋体" w:eastAsia="宋体" w:cs="宋体"/>
          <w:color w:val="auto"/>
          <w:spacing w:val="3"/>
          <w:highlight w:val="none"/>
        </w:rPr>
        <w:t>不同投标人的投标文件载明的项目管理成员为同一人；</w:t>
      </w:r>
    </w:p>
    <w:p>
      <w:pPr>
        <w:spacing w:before="131" w:line="219" w:lineRule="auto"/>
        <w:ind w:left="427"/>
        <w:rPr>
          <w:rFonts w:ascii="宋体" w:hAnsi="宋体" w:eastAsia="宋体" w:cs="宋体"/>
          <w:color w:val="auto"/>
          <w:highlight w:val="none"/>
        </w:rPr>
      </w:pPr>
      <w:r>
        <w:rPr>
          <w:rFonts w:ascii="宋体" w:hAnsi="宋体" w:eastAsia="宋体" w:cs="宋体"/>
          <w:color w:val="auto"/>
          <w:spacing w:val="4"/>
          <w:highlight w:val="none"/>
        </w:rPr>
        <w:t xml:space="preserve">(9) </w:t>
      </w:r>
      <w:r>
        <w:rPr>
          <w:rFonts w:ascii="宋体" w:hAnsi="宋体" w:eastAsia="宋体" w:cs="宋体"/>
          <w:color w:val="auto"/>
          <w:spacing w:val="2"/>
          <w:highlight w:val="none"/>
        </w:rPr>
        <w:t>不同投标人的投标文件异常一致或者投标报价呈规律性差异；</w:t>
      </w:r>
    </w:p>
    <w:p>
      <w:pPr>
        <w:spacing w:before="129" w:line="221" w:lineRule="auto"/>
        <w:ind w:left="427"/>
        <w:rPr>
          <w:rFonts w:ascii="宋体" w:hAnsi="宋体" w:eastAsia="宋体" w:cs="宋体"/>
          <w:color w:val="auto"/>
          <w:highlight w:val="none"/>
        </w:rPr>
      </w:pPr>
      <w:r>
        <w:rPr>
          <w:rFonts w:ascii="宋体" w:hAnsi="宋体" w:eastAsia="宋体" w:cs="宋体"/>
          <w:color w:val="auto"/>
          <w:spacing w:val="6"/>
          <w:highlight w:val="none"/>
        </w:rPr>
        <w:t>(10</w:t>
      </w:r>
      <w:r>
        <w:rPr>
          <w:rFonts w:ascii="宋体" w:hAnsi="宋体" w:eastAsia="宋体" w:cs="宋体"/>
          <w:color w:val="auto"/>
          <w:spacing w:val="5"/>
          <w:highlight w:val="none"/>
        </w:rPr>
        <w:t>)</w:t>
      </w:r>
      <w:r>
        <w:rPr>
          <w:rFonts w:ascii="宋体" w:hAnsi="宋体" w:eastAsia="宋体" w:cs="宋体"/>
          <w:color w:val="auto"/>
          <w:spacing w:val="3"/>
          <w:highlight w:val="none"/>
        </w:rPr>
        <w:t xml:space="preserve"> 不同投标人的投标文件相互混编；</w:t>
      </w:r>
    </w:p>
    <w:p>
      <w:pPr>
        <w:spacing w:before="129" w:line="221" w:lineRule="auto"/>
        <w:ind w:left="427"/>
        <w:rPr>
          <w:rFonts w:ascii="宋体" w:hAnsi="宋体" w:eastAsia="宋体" w:cs="宋体"/>
          <w:color w:val="auto"/>
          <w:highlight w:val="none"/>
        </w:rPr>
      </w:pPr>
      <w:r>
        <w:rPr>
          <w:rFonts w:ascii="宋体" w:hAnsi="宋体" w:eastAsia="宋体" w:cs="宋体"/>
          <w:color w:val="auto"/>
          <w:spacing w:val="4"/>
          <w:highlight w:val="none"/>
        </w:rPr>
        <w:t>(</w:t>
      </w:r>
      <w:r>
        <w:rPr>
          <w:rFonts w:ascii="宋体" w:hAnsi="宋体" w:eastAsia="宋体" w:cs="宋体"/>
          <w:color w:val="auto"/>
          <w:spacing w:val="3"/>
          <w:highlight w:val="none"/>
        </w:rPr>
        <w:t>11) 不同投标人的投标文件由同一单位、个人或同一台电脑编制；</w:t>
      </w:r>
    </w:p>
    <w:p>
      <w:pPr>
        <w:spacing w:before="130" w:line="220" w:lineRule="auto"/>
        <w:ind w:left="427"/>
        <w:rPr>
          <w:rFonts w:ascii="宋体" w:hAnsi="宋体" w:eastAsia="宋体" w:cs="宋体"/>
          <w:color w:val="auto"/>
          <w:highlight w:val="none"/>
        </w:rPr>
      </w:pPr>
      <w:r>
        <w:rPr>
          <w:rFonts w:ascii="宋体" w:hAnsi="宋体" w:eastAsia="宋体" w:cs="宋体"/>
          <w:color w:val="auto"/>
          <w:spacing w:val="4"/>
          <w:highlight w:val="none"/>
        </w:rPr>
        <w:t>(12) 不同投标人的投标文件上传的机器码一致</w:t>
      </w:r>
      <w:r>
        <w:rPr>
          <w:rFonts w:ascii="宋体" w:hAnsi="宋体" w:eastAsia="宋体" w:cs="宋体"/>
          <w:color w:val="auto"/>
          <w:spacing w:val="3"/>
          <w:highlight w:val="none"/>
        </w:rPr>
        <w:t>的</w:t>
      </w:r>
      <w:r>
        <w:rPr>
          <w:rFonts w:ascii="宋体" w:hAnsi="宋体" w:eastAsia="宋体" w:cs="宋体"/>
          <w:color w:val="auto"/>
          <w:highlight w:val="none"/>
        </w:rPr>
        <w:t>。</w:t>
      </w:r>
    </w:p>
    <w:p>
      <w:pPr>
        <w:spacing w:before="129" w:line="220" w:lineRule="auto"/>
        <w:ind w:left="421"/>
        <w:rPr>
          <w:rFonts w:ascii="宋体" w:hAnsi="宋体" w:eastAsia="宋体" w:cs="宋体"/>
          <w:color w:val="auto"/>
          <w:highlight w:val="none"/>
        </w:rPr>
      </w:pPr>
      <w:r>
        <w:rPr>
          <w:rFonts w:ascii="宋体" w:hAnsi="宋体" w:eastAsia="宋体" w:cs="宋体"/>
          <w:color w:val="auto"/>
          <w:spacing w:val="-2"/>
          <w:highlight w:val="none"/>
        </w:rPr>
        <w:t>9.2.2 投标人不得向招标人或评标委员会成员或其他</w:t>
      </w:r>
      <w:r>
        <w:rPr>
          <w:rFonts w:ascii="宋体" w:hAnsi="宋体" w:eastAsia="宋体" w:cs="宋体"/>
          <w:color w:val="auto"/>
          <w:spacing w:val="-1"/>
          <w:highlight w:val="none"/>
        </w:rPr>
        <w:t>有关人员索问评标过程的情况和材料。</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9.3 对评标委员会成员的纪律要求</w:t>
      </w:r>
    </w:p>
    <w:p>
      <w:pPr>
        <w:spacing w:before="123" w:line="333" w:lineRule="auto"/>
        <w:ind w:right="59" w:firstLine="419"/>
        <w:rPr>
          <w:rFonts w:ascii="宋体" w:hAnsi="宋体" w:eastAsia="宋体" w:cs="宋体"/>
          <w:color w:val="auto"/>
          <w:highlight w:val="none"/>
        </w:rPr>
      </w:pPr>
      <w:r>
        <w:rPr>
          <w:rFonts w:ascii="宋体" w:hAnsi="宋体" w:eastAsia="宋体" w:cs="宋体"/>
          <w:color w:val="auto"/>
          <w:spacing w:val="6"/>
          <w:highlight w:val="none"/>
        </w:rPr>
        <w:t>评标委员会</w:t>
      </w:r>
      <w:r>
        <w:rPr>
          <w:rFonts w:ascii="宋体" w:hAnsi="宋体" w:eastAsia="宋体" w:cs="宋体"/>
          <w:color w:val="auto"/>
          <w:spacing w:val="3"/>
          <w:highlight w:val="none"/>
        </w:rPr>
        <w:t>成员不得收受他人的财物或者其他好处，不得向他人透漏对投标文件的评审和比</w:t>
      </w:r>
      <w:r>
        <w:rPr>
          <w:rFonts w:ascii="宋体" w:hAnsi="宋体" w:eastAsia="宋体" w:cs="宋体"/>
          <w:color w:val="auto"/>
          <w:spacing w:val="-8"/>
          <w:highlight w:val="none"/>
        </w:rPr>
        <w:t>较</w:t>
      </w:r>
      <w:r>
        <w:rPr>
          <w:rFonts w:ascii="宋体" w:hAnsi="宋体" w:eastAsia="宋体" w:cs="宋体"/>
          <w:color w:val="auto"/>
          <w:spacing w:val="-5"/>
          <w:highlight w:val="none"/>
        </w:rPr>
        <w:t>、</w:t>
      </w:r>
      <w:r>
        <w:rPr>
          <w:rFonts w:ascii="宋体" w:hAnsi="宋体" w:eastAsia="宋体" w:cs="宋体"/>
          <w:color w:val="auto"/>
          <w:spacing w:val="-4"/>
          <w:highlight w:val="none"/>
        </w:rPr>
        <w:t>中标候选人的推荐情况以及评标有关的其他情况。在评标活动中，评标委员会成员不得擅离职</w:t>
      </w:r>
      <w:r>
        <w:rPr>
          <w:rFonts w:ascii="宋体" w:hAnsi="宋体" w:eastAsia="宋体" w:cs="宋体"/>
          <w:color w:val="auto"/>
          <w:spacing w:val="-1"/>
          <w:highlight w:val="none"/>
        </w:rPr>
        <w:t>守，影响评标程序正常进行，不得使用第三章“评标办法”没有规定的评审因素和标准进行评标。</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9.4 对与评标活动有关的工作人员的纪律要求</w:t>
      </w:r>
    </w:p>
    <w:p>
      <w:pPr>
        <w:spacing w:before="118" w:line="335" w:lineRule="auto"/>
        <w:ind w:right="59" w:firstLine="425"/>
        <w:rPr>
          <w:rFonts w:ascii="宋体" w:hAnsi="宋体" w:eastAsia="宋体" w:cs="宋体"/>
          <w:color w:val="auto"/>
          <w:highlight w:val="none"/>
        </w:rPr>
      </w:pPr>
      <w:r>
        <w:rPr>
          <w:rFonts w:ascii="宋体" w:hAnsi="宋体" w:eastAsia="宋体" w:cs="宋体"/>
          <w:color w:val="auto"/>
          <w:spacing w:val="-3"/>
          <w:highlight w:val="none"/>
        </w:rPr>
        <w:t>与</w:t>
      </w:r>
      <w:r>
        <w:rPr>
          <w:rFonts w:ascii="宋体" w:hAnsi="宋体" w:eastAsia="宋体" w:cs="宋体"/>
          <w:color w:val="auto"/>
          <w:spacing w:val="-2"/>
          <w:highlight w:val="none"/>
        </w:rPr>
        <w:t>评标活动有关的工作人员不得收受他人的财物或者其他好处，不得向他人透漏对投标文件的</w:t>
      </w:r>
      <w:r>
        <w:rPr>
          <w:rFonts w:ascii="宋体" w:hAnsi="宋体" w:eastAsia="宋体" w:cs="宋体"/>
          <w:color w:val="auto"/>
          <w:highlight w:val="none"/>
        </w:rPr>
        <w:t xml:space="preserve"> </w:t>
      </w:r>
      <w:r>
        <w:rPr>
          <w:rFonts w:ascii="宋体" w:hAnsi="宋体" w:eastAsia="宋体" w:cs="宋体"/>
          <w:color w:val="auto"/>
          <w:spacing w:val="-12"/>
          <w:highlight w:val="none"/>
        </w:rPr>
        <w:t>评审和</w:t>
      </w:r>
      <w:r>
        <w:rPr>
          <w:rFonts w:ascii="宋体" w:hAnsi="宋体" w:eastAsia="宋体" w:cs="宋体"/>
          <w:color w:val="auto"/>
          <w:spacing w:val="-9"/>
          <w:highlight w:val="none"/>
        </w:rPr>
        <w:t>比</w:t>
      </w:r>
      <w:r>
        <w:rPr>
          <w:rFonts w:ascii="宋体" w:hAnsi="宋体" w:eastAsia="宋体" w:cs="宋体"/>
          <w:color w:val="auto"/>
          <w:spacing w:val="-6"/>
          <w:highlight w:val="none"/>
        </w:rPr>
        <w:t>较、中标候选人的推荐情况以及评标有关的其他情况。在评标活动中，与评标活动有关的工</w:t>
      </w:r>
      <w:r>
        <w:rPr>
          <w:rFonts w:ascii="宋体" w:hAnsi="宋体" w:eastAsia="宋体" w:cs="宋体"/>
          <w:color w:val="auto"/>
          <w:spacing w:val="-1"/>
          <w:highlight w:val="none"/>
        </w:rPr>
        <w:t>作人员不</w:t>
      </w:r>
      <w:r>
        <w:rPr>
          <w:rFonts w:ascii="宋体" w:hAnsi="宋体" w:eastAsia="宋体" w:cs="宋体"/>
          <w:color w:val="auto"/>
          <w:highlight w:val="none"/>
        </w:rPr>
        <w:t>得擅离职守，影响评标程序正常进行。</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9.5 投诉</w:t>
      </w:r>
    </w:p>
    <w:p>
      <w:pPr>
        <w:spacing w:before="119" w:line="334" w:lineRule="auto"/>
        <w:ind w:left="14" w:right="59" w:firstLine="411"/>
        <w:rPr>
          <w:rFonts w:ascii="宋体" w:hAnsi="宋体" w:eastAsia="宋体" w:cs="宋体"/>
          <w:color w:val="auto"/>
          <w:highlight w:val="none"/>
        </w:rPr>
      </w:pPr>
      <w:r>
        <w:rPr>
          <w:rFonts w:ascii="宋体" w:hAnsi="宋体" w:eastAsia="宋体" w:cs="宋体"/>
          <w:color w:val="auto"/>
          <w:spacing w:val="-8"/>
          <w:highlight w:val="none"/>
        </w:rPr>
        <w:t>投标人和</w:t>
      </w:r>
      <w:r>
        <w:rPr>
          <w:rFonts w:ascii="宋体" w:hAnsi="宋体" w:eastAsia="宋体" w:cs="宋体"/>
          <w:color w:val="auto"/>
          <w:spacing w:val="-5"/>
          <w:highlight w:val="none"/>
        </w:rPr>
        <w:t>其</w:t>
      </w:r>
      <w:r>
        <w:rPr>
          <w:rFonts w:ascii="宋体" w:hAnsi="宋体" w:eastAsia="宋体" w:cs="宋体"/>
          <w:color w:val="auto"/>
          <w:spacing w:val="-4"/>
          <w:highlight w:val="none"/>
        </w:rPr>
        <w:t>他利害关系人认为本次招标活动违反法律、法规和规章规定的</w:t>
      </w:r>
      <w:r>
        <w:rPr>
          <w:rFonts w:hint="eastAsia" w:ascii="宋体" w:hAnsi="宋体" w:eastAsia="宋体" w:cs="宋体"/>
          <w:color w:val="auto"/>
          <w:spacing w:val="-4"/>
          <w:highlight w:val="none"/>
        </w:rPr>
        <w:t>，</w:t>
      </w:r>
      <w:r>
        <w:rPr>
          <w:rFonts w:ascii="宋体" w:hAnsi="宋体" w:eastAsia="宋体" w:cs="宋体"/>
          <w:color w:val="auto"/>
          <w:spacing w:val="-4"/>
          <w:highlight w:val="none"/>
        </w:rPr>
        <w:t>可以在知道或者应</w:t>
      </w:r>
      <w:r>
        <w:rPr>
          <w:rFonts w:ascii="宋体" w:hAnsi="宋体" w:eastAsia="宋体" w:cs="宋体"/>
          <w:color w:val="auto"/>
          <w:spacing w:val="-8"/>
          <w:highlight w:val="none"/>
        </w:rPr>
        <w:t>当知道之</w:t>
      </w:r>
      <w:r>
        <w:rPr>
          <w:rFonts w:ascii="宋体" w:hAnsi="宋体" w:eastAsia="宋体" w:cs="宋体"/>
          <w:color w:val="auto"/>
          <w:spacing w:val="-6"/>
          <w:highlight w:val="none"/>
        </w:rPr>
        <w:t>日</w:t>
      </w:r>
      <w:r>
        <w:rPr>
          <w:rFonts w:ascii="宋体" w:hAnsi="宋体" w:eastAsia="宋体" w:cs="宋体"/>
          <w:color w:val="auto"/>
          <w:spacing w:val="-4"/>
          <w:highlight w:val="none"/>
        </w:rPr>
        <w:t>起十日内向当地有关监督管理部门提出书面投诉。投诉事项应先提出异议， 没有提出异</w:t>
      </w:r>
      <w:r>
        <w:rPr>
          <w:rFonts w:ascii="宋体" w:hAnsi="宋体" w:eastAsia="宋体" w:cs="宋体"/>
          <w:color w:val="auto"/>
          <w:spacing w:val="-16"/>
          <w:highlight w:val="none"/>
        </w:rPr>
        <w:t>议</w:t>
      </w:r>
      <w:r>
        <w:rPr>
          <w:rFonts w:ascii="宋体" w:hAnsi="宋体" w:eastAsia="宋体" w:cs="宋体"/>
          <w:color w:val="auto"/>
          <w:spacing w:val="-12"/>
          <w:highlight w:val="none"/>
        </w:rPr>
        <w:t>的，不予受理。</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10. 需要补充的其他内容</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10.1 词语定义</w:t>
      </w:r>
    </w:p>
    <w:p>
      <w:pPr>
        <w:spacing w:before="127" w:line="220" w:lineRule="auto"/>
        <w:ind w:left="424"/>
        <w:rPr>
          <w:rFonts w:ascii="宋体" w:hAnsi="宋体" w:eastAsia="宋体" w:cs="宋体"/>
          <w:color w:val="auto"/>
          <w:highlight w:val="none"/>
        </w:rPr>
      </w:pPr>
      <w:r>
        <w:rPr>
          <w:rFonts w:ascii="宋体" w:hAnsi="宋体" w:eastAsia="宋体" w:cs="宋体"/>
          <w:color w:val="auto"/>
          <w:spacing w:val="-1"/>
          <w:highlight w:val="none"/>
        </w:rPr>
        <w:t>见“投标人须知前</w:t>
      </w:r>
      <w:r>
        <w:rPr>
          <w:rFonts w:ascii="宋体" w:hAnsi="宋体" w:eastAsia="宋体" w:cs="宋体"/>
          <w:color w:val="auto"/>
          <w:highlight w:val="none"/>
        </w:rPr>
        <w:t>附表”。</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10.2 招标控制价</w:t>
      </w:r>
    </w:p>
    <w:p>
      <w:pPr>
        <w:spacing w:before="119" w:line="334" w:lineRule="auto"/>
        <w:ind w:left="14" w:right="59" w:firstLine="411"/>
        <w:rPr>
          <w:rFonts w:ascii="宋体" w:hAnsi="宋体" w:eastAsia="宋体" w:cs="宋体"/>
          <w:color w:val="auto"/>
          <w:spacing w:val="-4"/>
          <w:highlight w:val="none"/>
        </w:rPr>
      </w:pPr>
      <w:r>
        <w:rPr>
          <w:rFonts w:ascii="宋体" w:hAnsi="宋体" w:eastAsia="宋体" w:cs="宋体"/>
          <w:color w:val="auto"/>
          <w:spacing w:val="-4"/>
          <w:highlight w:val="none"/>
        </w:rPr>
        <w:t>招标控制价设置要求见“投标人须知前附表”。</w:t>
      </w:r>
    </w:p>
    <w:p>
      <w:pPr>
        <w:spacing w:before="119" w:line="334" w:lineRule="auto"/>
        <w:ind w:left="14" w:right="59" w:firstLine="411"/>
        <w:rPr>
          <w:rFonts w:ascii="宋体" w:hAnsi="宋体" w:eastAsia="宋体" w:cs="宋体"/>
          <w:color w:val="auto"/>
          <w:spacing w:val="-4"/>
          <w:highlight w:val="none"/>
        </w:rPr>
      </w:pPr>
      <w:r>
        <w:rPr>
          <w:rFonts w:ascii="宋体" w:hAnsi="宋体" w:eastAsia="宋体" w:cs="宋体"/>
          <w:color w:val="auto"/>
          <w:spacing w:val="-4"/>
          <w:highlight w:val="none"/>
        </w:rPr>
        <w:t>招标人或受其委托具有相应资质的中介机构，按照国家和地区的相关规定及第五章的要求编制招标工程的招标控制价。原则上招标控制价应于投标截止时间前 15 日通过招标公告发布的同一媒介向所有投标人公布，最迟应当在投标截止时间 7 日前公布。潜在投标人或者其他利害关系人对招标控制价有异议的，应当在投标截止时间 5 日前提出。招标人应当自收到异议之日起 3 日内作出答复。招标人需重新公布招标控制价的，其最终公布的时间到投标截止时间不足 7 天可能影响投标文件编制的，应顺延提交投标文件的截止时间。</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10.3 招标代理服务费</w:t>
      </w:r>
    </w:p>
    <w:p>
      <w:pPr>
        <w:spacing w:before="176" w:line="387" w:lineRule="auto"/>
        <w:ind w:firstLine="433"/>
        <w:rPr>
          <w:rFonts w:ascii="宋体" w:hAnsi="宋体" w:eastAsia="宋体" w:cs="宋体"/>
          <w:color w:val="auto"/>
          <w:highlight w:val="none"/>
        </w:rPr>
      </w:pPr>
      <w:r>
        <w:rPr>
          <w:rFonts w:ascii="宋体" w:hAnsi="宋体" w:eastAsia="宋体" w:cs="宋体"/>
          <w:color w:val="auto"/>
          <w:spacing w:val="1"/>
          <w:highlight w:val="none"/>
        </w:rPr>
        <w:t>10.3.1 中标人领取</w:t>
      </w:r>
      <w:r>
        <w:rPr>
          <w:rFonts w:ascii="宋体" w:hAnsi="宋体" w:eastAsia="宋体" w:cs="宋体"/>
          <w:color w:val="auto"/>
          <w:highlight w:val="none"/>
        </w:rPr>
        <w:t>中标通知书前，向</w:t>
      </w:r>
      <w:r>
        <w:rPr>
          <w:rFonts w:hint="eastAsia" w:ascii="宋体" w:hAnsi="宋体" w:eastAsia="宋体" w:cs="宋体"/>
          <w:color w:val="auto"/>
          <w:highlight w:val="none"/>
        </w:rPr>
        <w:t>广西鑫渠工程咨询有限公司</w:t>
      </w:r>
      <w:r>
        <w:rPr>
          <w:rFonts w:ascii="宋体" w:hAnsi="宋体" w:eastAsia="宋体" w:cs="宋体"/>
          <w:color w:val="auto"/>
          <w:highlight w:val="none"/>
        </w:rPr>
        <w:t>一次性付清招标代</w:t>
      </w:r>
      <w:r>
        <w:rPr>
          <w:rFonts w:ascii="宋体" w:hAnsi="宋体" w:eastAsia="宋体" w:cs="宋体"/>
          <w:color w:val="auto"/>
          <w:spacing w:val="1"/>
          <w:highlight w:val="none"/>
        </w:rPr>
        <w:t>理服务费，本项目的招标代理服务收费标准参照计价</w:t>
      </w:r>
      <w:r>
        <w:rPr>
          <w:rFonts w:ascii="宋体" w:hAnsi="宋体" w:eastAsia="宋体" w:cs="宋体"/>
          <w:color w:val="auto"/>
          <w:highlight w:val="none"/>
        </w:rPr>
        <w:t>格〔2002〕1980 号《招标代理服务收费管理</w:t>
      </w:r>
      <w:r>
        <w:rPr>
          <w:rFonts w:ascii="宋体" w:hAnsi="宋体" w:eastAsia="宋体" w:cs="宋体"/>
          <w:color w:val="auto"/>
          <w:spacing w:val="-6"/>
          <w:highlight w:val="none"/>
        </w:rPr>
        <w:t>暂行</w:t>
      </w:r>
      <w:r>
        <w:rPr>
          <w:rFonts w:ascii="宋体" w:hAnsi="宋体" w:eastAsia="宋体" w:cs="宋体"/>
          <w:color w:val="auto"/>
          <w:spacing w:val="-3"/>
          <w:highlight w:val="none"/>
        </w:rPr>
        <w:t>办法》工程类收费标准向中标人收取。</w:t>
      </w:r>
    </w:p>
    <w:p>
      <w:pPr>
        <w:spacing w:before="123" w:line="216" w:lineRule="auto"/>
        <w:ind w:left="3426"/>
        <w:rPr>
          <w:rFonts w:ascii="宋体" w:hAnsi="宋体" w:eastAsia="宋体" w:cs="宋体"/>
          <w:color w:val="auto"/>
          <w:spacing w:val="-1"/>
          <w:highlight w:val="none"/>
        </w:rPr>
      </w:pPr>
    </w:p>
    <w:p>
      <w:pPr>
        <w:spacing w:before="123" w:line="216" w:lineRule="auto"/>
        <w:ind w:left="3426"/>
        <w:rPr>
          <w:rFonts w:ascii="宋体" w:hAnsi="宋体" w:eastAsia="宋体" w:cs="宋体"/>
          <w:color w:val="auto"/>
          <w:spacing w:val="-1"/>
          <w:highlight w:val="none"/>
        </w:rPr>
      </w:pPr>
    </w:p>
    <w:p>
      <w:pPr>
        <w:rPr>
          <w:rFonts w:ascii="宋体" w:hAnsi="宋体" w:eastAsia="宋体" w:cs="宋体"/>
          <w:color w:val="auto"/>
          <w:spacing w:val="-1"/>
          <w:highlight w:val="none"/>
        </w:rPr>
      </w:pPr>
      <w:r>
        <w:rPr>
          <w:rFonts w:ascii="宋体" w:hAnsi="宋体" w:eastAsia="宋体" w:cs="宋体"/>
          <w:color w:val="auto"/>
          <w:spacing w:val="-1"/>
          <w:highlight w:val="none"/>
        </w:rPr>
        <w:br w:type="page"/>
      </w:r>
    </w:p>
    <w:p>
      <w:pPr>
        <w:spacing w:before="123" w:line="216" w:lineRule="auto"/>
        <w:ind w:left="3426"/>
        <w:rPr>
          <w:rFonts w:ascii="宋体" w:hAnsi="宋体" w:eastAsia="宋体" w:cs="宋体"/>
          <w:color w:val="auto"/>
          <w:highlight w:val="none"/>
        </w:rPr>
      </w:pPr>
      <w:r>
        <w:rPr>
          <w:rFonts w:ascii="宋体" w:hAnsi="宋体" w:eastAsia="宋体" w:cs="宋体"/>
          <w:color w:val="auto"/>
          <w:spacing w:val="-1"/>
          <w:highlight w:val="none"/>
        </w:rPr>
        <w:t>招标代理服务</w:t>
      </w:r>
      <w:r>
        <w:rPr>
          <w:rFonts w:ascii="宋体" w:hAnsi="宋体" w:eastAsia="宋体" w:cs="宋体"/>
          <w:color w:val="auto"/>
          <w:highlight w:val="none"/>
        </w:rPr>
        <w:t>收费标准</w:t>
      </w:r>
    </w:p>
    <w:tbl>
      <w:tblPr>
        <w:tblStyle w:val="16"/>
        <w:tblW w:w="862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78"/>
        <w:gridCol w:w="1979"/>
        <w:gridCol w:w="1979"/>
        <w:gridCol w:w="19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5" w:hRule="atLeast"/>
          <w:jc w:val="center"/>
        </w:trPr>
        <w:tc>
          <w:tcPr>
            <w:tcW w:w="2678" w:type="dxa"/>
          </w:tcPr>
          <w:p>
            <w:pPr>
              <w:spacing w:before="118" w:line="222" w:lineRule="auto"/>
              <w:ind w:left="1523"/>
              <w:rPr>
                <w:rFonts w:ascii="宋体" w:hAnsi="宋体" w:eastAsia="宋体" w:cs="宋体"/>
                <w:color w:val="auto"/>
                <w:highlight w:val="none"/>
              </w:rPr>
            </w:pPr>
            <w:r>
              <w:rPr>
                <w:color w:val="auto"/>
                <w:highlight w:val="none"/>
              </w:rPr>
              <mc:AlternateContent>
                <mc:Choice Requires="wps">
                  <w:drawing>
                    <wp:anchor distT="0" distB="0" distL="114300" distR="114300" simplePos="0" relativeHeight="251673600" behindDoc="1" locked="0" layoutInCell="1" allowOverlap="1">
                      <wp:simplePos x="0" y="0"/>
                      <wp:positionH relativeFrom="column">
                        <wp:posOffset>-3175</wp:posOffset>
                      </wp:positionH>
                      <wp:positionV relativeFrom="paragraph">
                        <wp:posOffset>-2540</wp:posOffset>
                      </wp:positionV>
                      <wp:extent cx="1699895" cy="1387475"/>
                      <wp:effectExtent l="0" t="0" r="5080" b="3175"/>
                      <wp:wrapNone/>
                      <wp:docPr id="10" name="任意多边形 10"/>
                      <wp:cNvGraphicFramePr/>
                      <a:graphic xmlns:a="http://schemas.openxmlformats.org/drawingml/2006/main">
                        <a:graphicData uri="http://schemas.microsoft.com/office/word/2010/wordprocessingShape">
                          <wps:wsp>
                            <wps:cNvSpPr/>
                            <wps:spPr>
                              <a:xfrm>
                                <a:off x="0" y="0"/>
                                <a:ext cx="1699895" cy="1387475"/>
                              </a:xfrm>
                              <a:custGeom>
                                <a:avLst/>
                                <a:gdLst/>
                                <a:ahLst/>
                                <a:cxnLst/>
                                <a:rect l="0" t="0" r="0" b="0"/>
                                <a:pathLst>
                                  <a:path w="2677" h="2185">
                                    <a:moveTo>
                                      <a:pt x="2668" y="2176"/>
                                    </a:moveTo>
                                    <a:lnTo>
                                      <a:pt x="7" y="880"/>
                                    </a:lnTo>
                                    <a:moveTo>
                                      <a:pt x="2668" y="2176"/>
                                    </a:moveTo>
                                    <a:lnTo>
                                      <a:pt x="680" y="7"/>
                                    </a:lnTo>
                                  </a:path>
                                </a:pathLst>
                              </a:custGeom>
                              <a:noFill/>
                              <a:ln w="9525" cap="rnd"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0.25pt;margin-top:-0.2pt;height:109.25pt;width:133.85pt;z-index:-251642880;mso-width-relative:page;mso-height-relative:page;" filled="f" stroked="t" coordsize="2677,2185" o:gfxdata="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R5Jy41wAA&#10;AAcBAAAPAAAAAAAAAAEAIAAAACIAAABkcnMvZG93bnJldi54bWxQSwECFAAUAAAACACHTuJA1FxB&#10;IVgCAAAMBQAADgAAAAAAAAABACAAAAAmAQAAZHJzL2Uyb0RvYy54bWxQSwUGAAAAAAYABgBZAQAA&#10;8AUAAAAA&#10;" path="m2668,2176l7,880m2668,2176l680,7e">
                      <v:fill on="f" focussize="0,0"/>
                      <v:stroke color="#000000" joinstyle="round" endcap="round"/>
                      <v:imagedata o:title=""/>
                      <o:lock v:ext="edit" aspectratio="f"/>
                    </v:shape>
                  </w:pict>
                </mc:Fallback>
              </mc:AlternateContent>
            </w:r>
            <w:r>
              <w:rPr>
                <w:rFonts w:ascii="宋体" w:hAnsi="宋体" w:eastAsia="宋体" w:cs="宋体"/>
                <w:color w:val="auto"/>
                <w:highlight w:val="none"/>
              </w:rPr>
              <w:t>服</w:t>
            </w:r>
          </w:p>
          <w:p>
            <w:pPr>
              <w:spacing w:before="107" w:line="360" w:lineRule="exact"/>
              <w:ind w:left="1722"/>
              <w:rPr>
                <w:rFonts w:ascii="宋体" w:hAnsi="宋体" w:eastAsia="宋体" w:cs="宋体"/>
                <w:color w:val="auto"/>
                <w:highlight w:val="none"/>
              </w:rPr>
            </w:pP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219710</wp:posOffset>
                      </wp:positionH>
                      <wp:positionV relativeFrom="paragraph">
                        <wp:posOffset>55245</wp:posOffset>
                      </wp:positionV>
                      <wp:extent cx="147320" cy="18542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47320" cy="185420"/>
                              </a:xfrm>
                              <a:prstGeom prst="rect">
                                <a:avLst/>
                              </a:prstGeom>
                              <a:noFill/>
                              <a:ln>
                                <a:noFill/>
                              </a:ln>
                            </wps:spPr>
                            <wps:txbx>
                              <w:txbxContent>
                                <w:p>
                                  <w:pPr>
                                    <w:spacing w:before="20" w:line="221" w:lineRule="auto"/>
                                    <w:ind w:left="20"/>
                                    <w:rPr>
                                      <w:rFonts w:ascii="宋体" w:hAnsi="宋体" w:eastAsia="宋体" w:cs="宋体"/>
                                    </w:rPr>
                                  </w:pPr>
                                  <w:r>
                                    <w:rPr>
                                      <w:rFonts w:ascii="宋体" w:hAnsi="宋体" w:eastAsia="宋体" w:cs="宋体"/>
                                    </w:rPr>
                                    <w:t>费</w:t>
                                  </w:r>
                                </w:p>
                              </w:txbxContent>
                            </wps:txbx>
                            <wps:bodyPr lIns="0" tIns="0" rIns="0" bIns="0" upright="1"/>
                          </wps:wsp>
                        </a:graphicData>
                      </a:graphic>
                    </wp:anchor>
                  </w:drawing>
                </mc:Choice>
                <mc:Fallback>
                  <w:pict>
                    <v:shape id="_x0000_s1026" o:spid="_x0000_s1026" o:spt="202" type="#_x0000_t202" style="position:absolute;left:0pt;margin-left:17.3pt;margin-top:4.35pt;height:14.6pt;width:11.6pt;z-index:251674624;mso-width-relative:page;mso-height-relative:page;" filled="f" stroked="f" coordsize="21600,21600" o:gfxdata="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wVEU3WAAAABgEAAA8AAAAAAAAAAQAgAAAAIgAAAGRycy9kb3ducmV2LnhtbFBLAQIUABQA&#10;AAAIAIdO4kDHeiC0uQEAAHMDAAAOAAAAAAAAAAEAIAAAACUBAABkcnMvZTJvRG9jLnhtbFBLBQYA&#10;AAAABgAGAFkBAABQBQAAAAA=&#10;">
                      <v:fill on="f" focussize="0,0"/>
                      <v:stroke on="f"/>
                      <v:imagedata o:title=""/>
                      <o:lock v:ext="edit" aspectratio="f"/>
                      <v:textbox inset="0mm,0mm,0mm,0mm">
                        <w:txbxContent>
                          <w:p>
                            <w:pPr>
                              <w:spacing w:before="20" w:line="221" w:lineRule="auto"/>
                              <w:ind w:left="20"/>
                              <w:rPr>
                                <w:rFonts w:ascii="宋体" w:hAnsi="宋体" w:eastAsia="宋体" w:cs="宋体"/>
                              </w:rPr>
                            </w:pPr>
                            <w:r>
                              <w:rPr>
                                <w:rFonts w:ascii="宋体" w:hAnsi="宋体" w:eastAsia="宋体" w:cs="宋体"/>
                              </w:rPr>
                              <w:t>费</w:t>
                            </w:r>
                          </w:p>
                        </w:txbxContent>
                      </v:textbox>
                    </v:shape>
                  </w:pict>
                </mc:Fallback>
              </mc:AlternateContent>
            </w:r>
            <w:r>
              <w:rPr>
                <w:rFonts w:ascii="宋体" w:hAnsi="宋体" w:eastAsia="宋体" w:cs="宋体"/>
                <w:color w:val="auto"/>
                <w:position w:val="11"/>
                <w:highlight w:val="none"/>
              </w:rPr>
              <w:t>务</w:t>
            </w:r>
          </w:p>
          <w:p>
            <w:pPr>
              <w:spacing w:line="220" w:lineRule="auto"/>
              <w:ind w:left="1931"/>
              <w:rPr>
                <w:rFonts w:ascii="宋体" w:hAnsi="宋体" w:eastAsia="宋体" w:cs="宋体"/>
                <w:color w:val="auto"/>
                <w:highlight w:val="none"/>
              </w:rPr>
            </w:pPr>
            <w:r>
              <w:rPr>
                <w:rFonts w:ascii="宋体" w:hAnsi="宋体" w:eastAsia="宋体" w:cs="宋体"/>
                <w:color w:val="auto"/>
                <w:highlight w:val="none"/>
              </w:rPr>
              <w:t>类</w:t>
            </w:r>
          </w:p>
          <w:p>
            <w:pPr>
              <w:spacing w:before="108" w:line="221" w:lineRule="auto"/>
              <w:ind w:left="1196"/>
              <w:rPr>
                <w:rFonts w:ascii="宋体" w:hAnsi="宋体" w:eastAsia="宋体" w:cs="宋体"/>
                <w:color w:val="auto"/>
                <w:highlight w:val="none"/>
              </w:rPr>
            </w:pPr>
            <w:r>
              <w:rPr>
                <w:rFonts w:ascii="宋体" w:hAnsi="宋体" w:eastAsia="宋体" w:cs="宋体"/>
                <w:color w:val="auto"/>
                <w:spacing w:val="1"/>
                <w:highlight w:val="none"/>
              </w:rPr>
              <w:t xml:space="preserve">率    </w:t>
            </w:r>
            <w:r>
              <w:rPr>
                <w:rFonts w:ascii="宋体" w:hAnsi="宋体" w:eastAsia="宋体" w:cs="宋体"/>
                <w:color w:val="auto"/>
                <w:highlight w:val="none"/>
              </w:rPr>
              <w:t xml:space="preserve">   型</w:t>
            </w:r>
          </w:p>
          <w:p>
            <w:pPr>
              <w:spacing w:line="398" w:lineRule="auto"/>
              <w:rPr>
                <w:color w:val="auto"/>
                <w:highlight w:val="none"/>
              </w:rPr>
            </w:pPr>
          </w:p>
          <w:p>
            <w:pPr>
              <w:spacing w:before="68" w:line="221" w:lineRule="auto"/>
              <w:ind w:left="163"/>
              <w:rPr>
                <w:rFonts w:ascii="宋体" w:hAnsi="宋体" w:eastAsia="宋体" w:cs="宋体"/>
                <w:color w:val="auto"/>
                <w:highlight w:val="none"/>
              </w:rPr>
            </w:pPr>
            <w:r>
              <w:rPr>
                <w:rFonts w:ascii="宋体" w:hAnsi="宋体" w:eastAsia="宋体" w:cs="宋体"/>
                <w:color w:val="auto"/>
                <w:spacing w:val="10"/>
                <w:highlight w:val="none"/>
              </w:rPr>
              <w:t>中标金额(万元)</w:t>
            </w:r>
          </w:p>
        </w:tc>
        <w:tc>
          <w:tcPr>
            <w:tcW w:w="1979" w:type="dxa"/>
          </w:tcPr>
          <w:p>
            <w:pPr>
              <w:spacing w:line="314" w:lineRule="auto"/>
              <w:rPr>
                <w:color w:val="auto"/>
                <w:highlight w:val="none"/>
              </w:rPr>
            </w:pPr>
          </w:p>
          <w:p>
            <w:pPr>
              <w:spacing w:line="315" w:lineRule="auto"/>
              <w:rPr>
                <w:color w:val="auto"/>
                <w:highlight w:val="none"/>
              </w:rPr>
            </w:pPr>
          </w:p>
          <w:p>
            <w:pPr>
              <w:spacing w:line="315" w:lineRule="auto"/>
              <w:rPr>
                <w:color w:val="auto"/>
                <w:highlight w:val="none"/>
              </w:rPr>
            </w:pPr>
          </w:p>
          <w:p>
            <w:pPr>
              <w:spacing w:before="68" w:line="220" w:lineRule="auto"/>
              <w:ind w:left="579"/>
              <w:rPr>
                <w:rFonts w:ascii="宋体" w:hAnsi="宋体" w:eastAsia="宋体" w:cs="宋体"/>
                <w:color w:val="auto"/>
                <w:highlight w:val="none"/>
              </w:rPr>
            </w:pPr>
            <w:r>
              <w:rPr>
                <w:rFonts w:ascii="宋体" w:hAnsi="宋体" w:eastAsia="宋体" w:cs="宋体"/>
                <w:color w:val="auto"/>
                <w:spacing w:val="-4"/>
                <w:highlight w:val="none"/>
              </w:rPr>
              <w:t>货</w:t>
            </w:r>
            <w:r>
              <w:rPr>
                <w:rFonts w:ascii="宋体" w:hAnsi="宋体" w:eastAsia="宋体" w:cs="宋体"/>
                <w:color w:val="auto"/>
                <w:spacing w:val="-2"/>
                <w:highlight w:val="none"/>
              </w:rPr>
              <w:t>物招标</w:t>
            </w:r>
          </w:p>
        </w:tc>
        <w:tc>
          <w:tcPr>
            <w:tcW w:w="1979" w:type="dxa"/>
          </w:tcPr>
          <w:p>
            <w:pPr>
              <w:spacing w:line="314" w:lineRule="auto"/>
              <w:rPr>
                <w:color w:val="auto"/>
                <w:highlight w:val="none"/>
              </w:rPr>
            </w:pPr>
          </w:p>
          <w:p>
            <w:pPr>
              <w:spacing w:line="314" w:lineRule="auto"/>
              <w:rPr>
                <w:color w:val="auto"/>
                <w:highlight w:val="none"/>
              </w:rPr>
            </w:pPr>
          </w:p>
          <w:p>
            <w:pPr>
              <w:spacing w:line="315" w:lineRule="auto"/>
              <w:rPr>
                <w:color w:val="auto"/>
                <w:highlight w:val="none"/>
              </w:rPr>
            </w:pPr>
          </w:p>
          <w:p>
            <w:pPr>
              <w:spacing w:before="69" w:line="221" w:lineRule="auto"/>
              <w:ind w:left="575"/>
              <w:rPr>
                <w:rFonts w:ascii="宋体" w:hAnsi="宋体" w:eastAsia="宋体" w:cs="宋体"/>
                <w:color w:val="auto"/>
                <w:highlight w:val="none"/>
              </w:rPr>
            </w:pPr>
            <w:r>
              <w:rPr>
                <w:rFonts w:ascii="宋体" w:hAnsi="宋体" w:eastAsia="宋体" w:cs="宋体"/>
                <w:color w:val="auto"/>
                <w:spacing w:val="-2"/>
                <w:highlight w:val="none"/>
              </w:rPr>
              <w:t>服</w:t>
            </w:r>
            <w:r>
              <w:rPr>
                <w:rFonts w:ascii="宋体" w:hAnsi="宋体" w:eastAsia="宋体" w:cs="宋体"/>
                <w:color w:val="auto"/>
                <w:spacing w:val="-1"/>
                <w:highlight w:val="none"/>
              </w:rPr>
              <w:t>务招标</w:t>
            </w:r>
          </w:p>
        </w:tc>
        <w:tc>
          <w:tcPr>
            <w:tcW w:w="1984" w:type="dxa"/>
          </w:tcPr>
          <w:p>
            <w:pPr>
              <w:spacing w:line="314" w:lineRule="auto"/>
              <w:rPr>
                <w:color w:val="auto"/>
                <w:highlight w:val="none"/>
              </w:rPr>
            </w:pPr>
          </w:p>
          <w:p>
            <w:pPr>
              <w:spacing w:line="315" w:lineRule="auto"/>
              <w:rPr>
                <w:color w:val="auto"/>
                <w:highlight w:val="none"/>
              </w:rPr>
            </w:pPr>
          </w:p>
          <w:p>
            <w:pPr>
              <w:spacing w:line="315" w:lineRule="auto"/>
              <w:rPr>
                <w:color w:val="auto"/>
                <w:highlight w:val="none"/>
              </w:rPr>
            </w:pPr>
          </w:p>
          <w:p>
            <w:pPr>
              <w:spacing w:before="68" w:line="221" w:lineRule="auto"/>
              <w:ind w:left="579"/>
              <w:rPr>
                <w:rFonts w:ascii="宋体" w:hAnsi="宋体" w:eastAsia="宋体" w:cs="宋体"/>
                <w:color w:val="auto"/>
                <w:highlight w:val="none"/>
              </w:rPr>
            </w:pPr>
            <w:r>
              <w:rPr>
                <w:rFonts w:ascii="宋体" w:hAnsi="宋体" w:eastAsia="宋体" w:cs="宋体"/>
                <w:color w:val="auto"/>
                <w:spacing w:val="-2"/>
                <w:highlight w:val="none"/>
              </w:rPr>
              <w:t>工程招标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jc w:val="center"/>
        </w:trPr>
        <w:tc>
          <w:tcPr>
            <w:tcW w:w="2678" w:type="dxa"/>
          </w:tcPr>
          <w:p>
            <w:pPr>
              <w:spacing w:before="111" w:line="222" w:lineRule="auto"/>
              <w:ind w:left="979"/>
              <w:rPr>
                <w:rFonts w:ascii="宋体" w:hAnsi="宋体" w:eastAsia="宋体" w:cs="宋体"/>
                <w:color w:val="auto"/>
                <w:highlight w:val="none"/>
              </w:rPr>
            </w:pPr>
            <w:r>
              <w:rPr>
                <w:rFonts w:ascii="宋体" w:hAnsi="宋体" w:eastAsia="宋体" w:cs="宋体"/>
                <w:color w:val="auto"/>
                <w:spacing w:val="-14"/>
                <w:highlight w:val="none"/>
              </w:rPr>
              <w:t>1</w:t>
            </w:r>
            <w:r>
              <w:rPr>
                <w:rFonts w:ascii="宋体" w:hAnsi="宋体" w:eastAsia="宋体" w:cs="宋体"/>
                <w:color w:val="auto"/>
                <w:spacing w:val="-9"/>
                <w:highlight w:val="none"/>
              </w:rPr>
              <w:t>00 以下</w:t>
            </w:r>
          </w:p>
        </w:tc>
        <w:tc>
          <w:tcPr>
            <w:tcW w:w="1979" w:type="dxa"/>
          </w:tcPr>
          <w:p>
            <w:pPr>
              <w:spacing w:before="145" w:line="186" w:lineRule="auto"/>
              <w:ind w:left="800"/>
              <w:rPr>
                <w:rFonts w:ascii="宋体" w:hAnsi="宋体" w:eastAsia="宋体" w:cs="宋体"/>
                <w:color w:val="auto"/>
                <w:highlight w:val="none"/>
              </w:rPr>
            </w:pPr>
            <w:r>
              <w:rPr>
                <w:rFonts w:ascii="宋体" w:hAnsi="宋体" w:eastAsia="宋体" w:cs="宋体"/>
                <w:color w:val="auto"/>
                <w:spacing w:val="-4"/>
                <w:highlight w:val="none"/>
              </w:rPr>
              <w:t>1.5%</w:t>
            </w:r>
          </w:p>
        </w:tc>
        <w:tc>
          <w:tcPr>
            <w:tcW w:w="1979" w:type="dxa"/>
          </w:tcPr>
          <w:p>
            <w:pPr>
              <w:spacing w:before="145" w:line="186" w:lineRule="auto"/>
              <w:ind w:left="802"/>
              <w:rPr>
                <w:rFonts w:ascii="宋体" w:hAnsi="宋体" w:eastAsia="宋体" w:cs="宋体"/>
                <w:color w:val="auto"/>
                <w:highlight w:val="none"/>
              </w:rPr>
            </w:pPr>
            <w:r>
              <w:rPr>
                <w:rFonts w:ascii="宋体" w:hAnsi="宋体" w:eastAsia="宋体" w:cs="宋体"/>
                <w:color w:val="auto"/>
                <w:spacing w:val="-4"/>
                <w:highlight w:val="none"/>
              </w:rPr>
              <w:t>1.5%</w:t>
            </w:r>
          </w:p>
        </w:tc>
        <w:tc>
          <w:tcPr>
            <w:tcW w:w="1984" w:type="dxa"/>
          </w:tcPr>
          <w:p>
            <w:pPr>
              <w:spacing w:before="145" w:line="186" w:lineRule="auto"/>
              <w:ind w:left="803"/>
              <w:rPr>
                <w:rFonts w:ascii="宋体" w:hAnsi="宋体" w:eastAsia="宋体" w:cs="宋体"/>
                <w:color w:val="auto"/>
                <w:highlight w:val="none"/>
              </w:rPr>
            </w:pPr>
            <w:r>
              <w:rPr>
                <w:rFonts w:ascii="宋体" w:hAnsi="宋体" w:eastAsia="宋体" w:cs="宋体"/>
                <w:color w:val="auto"/>
                <w:spacing w:val="-6"/>
                <w:highlight w:val="none"/>
              </w:rPr>
              <w:t>1</w:t>
            </w:r>
            <w:r>
              <w:rPr>
                <w:rFonts w:ascii="宋体" w:hAnsi="宋体" w:eastAsia="宋体" w:cs="宋体"/>
                <w:color w:val="auto"/>
                <w:spacing w:val="-4"/>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jc w:val="center"/>
        </w:trPr>
        <w:tc>
          <w:tcPr>
            <w:tcW w:w="2678" w:type="dxa"/>
          </w:tcPr>
          <w:p>
            <w:pPr>
              <w:spacing w:before="143" w:line="184" w:lineRule="auto"/>
              <w:ind w:left="1006"/>
              <w:rPr>
                <w:rFonts w:ascii="宋体" w:hAnsi="宋体" w:eastAsia="宋体" w:cs="宋体"/>
                <w:color w:val="auto"/>
                <w:highlight w:val="none"/>
              </w:rPr>
            </w:pPr>
            <w:r>
              <w:rPr>
                <w:rFonts w:ascii="宋体" w:hAnsi="宋体" w:eastAsia="宋体" w:cs="宋体"/>
                <w:color w:val="auto"/>
                <w:spacing w:val="-3"/>
                <w:highlight w:val="none"/>
              </w:rPr>
              <w:t>100-500</w:t>
            </w:r>
          </w:p>
        </w:tc>
        <w:tc>
          <w:tcPr>
            <w:tcW w:w="1979" w:type="dxa"/>
          </w:tcPr>
          <w:p>
            <w:pPr>
              <w:spacing w:before="142" w:line="186" w:lineRule="auto"/>
              <w:ind w:left="800"/>
              <w:rPr>
                <w:rFonts w:ascii="宋体" w:hAnsi="宋体" w:eastAsia="宋体" w:cs="宋体"/>
                <w:color w:val="auto"/>
                <w:highlight w:val="none"/>
              </w:rPr>
            </w:pPr>
            <w:r>
              <w:rPr>
                <w:rFonts w:ascii="宋体" w:hAnsi="宋体" w:eastAsia="宋体" w:cs="宋体"/>
                <w:color w:val="auto"/>
                <w:spacing w:val="-4"/>
                <w:highlight w:val="none"/>
              </w:rPr>
              <w:t>1</w:t>
            </w:r>
            <w:r>
              <w:rPr>
                <w:rFonts w:ascii="宋体" w:hAnsi="宋体" w:eastAsia="宋体" w:cs="宋体"/>
                <w:color w:val="auto"/>
                <w:spacing w:val="-3"/>
                <w:highlight w:val="none"/>
              </w:rPr>
              <w:t>.</w:t>
            </w:r>
            <w:r>
              <w:rPr>
                <w:rFonts w:ascii="宋体" w:hAnsi="宋体" w:eastAsia="宋体" w:cs="宋体"/>
                <w:color w:val="auto"/>
                <w:spacing w:val="-2"/>
                <w:highlight w:val="none"/>
              </w:rPr>
              <w:t>1%</w:t>
            </w:r>
          </w:p>
        </w:tc>
        <w:tc>
          <w:tcPr>
            <w:tcW w:w="1979" w:type="dxa"/>
          </w:tcPr>
          <w:p>
            <w:pPr>
              <w:spacing w:before="144" w:line="183" w:lineRule="auto"/>
              <w:ind w:left="788"/>
              <w:rPr>
                <w:rFonts w:ascii="宋体" w:hAnsi="宋体" w:eastAsia="宋体" w:cs="宋体"/>
                <w:color w:val="auto"/>
                <w:highlight w:val="none"/>
              </w:rPr>
            </w:pPr>
            <w:r>
              <w:rPr>
                <w:rFonts w:ascii="宋体" w:hAnsi="宋体" w:eastAsia="宋体" w:cs="宋体"/>
                <w:color w:val="auto"/>
                <w:spacing w:val="-1"/>
                <w:highlight w:val="none"/>
              </w:rPr>
              <w:t>0.8%</w:t>
            </w:r>
          </w:p>
        </w:tc>
        <w:tc>
          <w:tcPr>
            <w:tcW w:w="1984" w:type="dxa"/>
          </w:tcPr>
          <w:p>
            <w:pPr>
              <w:spacing w:before="144" w:line="183" w:lineRule="auto"/>
              <w:ind w:left="790"/>
              <w:rPr>
                <w:rFonts w:ascii="宋体" w:hAnsi="宋体" w:eastAsia="宋体" w:cs="宋体"/>
                <w:color w:val="auto"/>
                <w:highlight w:val="none"/>
              </w:rPr>
            </w:pPr>
            <w:r>
              <w:rPr>
                <w:rFonts w:ascii="宋体" w:hAnsi="宋体" w:eastAsia="宋体" w:cs="宋体"/>
                <w:color w:val="auto"/>
                <w:spacing w:val="-1"/>
                <w:highlight w:val="none"/>
              </w:rPr>
              <w:t>0.</w:t>
            </w:r>
            <w:r>
              <w:rPr>
                <w:rFonts w:ascii="宋体" w:hAnsi="宋体" w:eastAsia="宋体" w:cs="宋体"/>
                <w:color w:val="auto"/>
                <w:highlight w:val="none"/>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jc w:val="center"/>
        </w:trPr>
        <w:tc>
          <w:tcPr>
            <w:tcW w:w="2678" w:type="dxa"/>
          </w:tcPr>
          <w:p>
            <w:pPr>
              <w:spacing w:before="144" w:line="184" w:lineRule="auto"/>
              <w:ind w:left="942"/>
              <w:rPr>
                <w:rFonts w:ascii="宋体" w:hAnsi="宋体" w:eastAsia="宋体" w:cs="宋体"/>
                <w:color w:val="auto"/>
                <w:highlight w:val="none"/>
              </w:rPr>
            </w:pPr>
            <w:r>
              <w:rPr>
                <w:rFonts w:ascii="宋体" w:hAnsi="宋体" w:eastAsia="宋体" w:cs="宋体"/>
                <w:color w:val="auto"/>
                <w:spacing w:val="-2"/>
                <w:highlight w:val="none"/>
              </w:rPr>
              <w:t>50</w:t>
            </w:r>
            <w:r>
              <w:rPr>
                <w:rFonts w:ascii="宋体" w:hAnsi="宋体" w:eastAsia="宋体" w:cs="宋体"/>
                <w:color w:val="auto"/>
                <w:spacing w:val="-1"/>
                <w:highlight w:val="none"/>
              </w:rPr>
              <w:t>0-1000</w:t>
            </w:r>
          </w:p>
        </w:tc>
        <w:tc>
          <w:tcPr>
            <w:tcW w:w="1979" w:type="dxa"/>
          </w:tcPr>
          <w:p>
            <w:pPr>
              <w:spacing w:before="145" w:line="183" w:lineRule="auto"/>
              <w:ind w:left="787"/>
              <w:rPr>
                <w:rFonts w:ascii="宋体" w:hAnsi="宋体" w:eastAsia="宋体" w:cs="宋体"/>
                <w:color w:val="auto"/>
                <w:highlight w:val="none"/>
              </w:rPr>
            </w:pPr>
            <w:r>
              <w:rPr>
                <w:rFonts w:ascii="宋体" w:hAnsi="宋体" w:eastAsia="宋体" w:cs="宋体"/>
                <w:color w:val="auto"/>
                <w:spacing w:val="-1"/>
                <w:highlight w:val="none"/>
              </w:rPr>
              <w:t>0.8%</w:t>
            </w:r>
          </w:p>
        </w:tc>
        <w:tc>
          <w:tcPr>
            <w:tcW w:w="1979" w:type="dxa"/>
          </w:tcPr>
          <w:p>
            <w:pPr>
              <w:spacing w:before="145" w:line="183" w:lineRule="auto"/>
              <w:ind w:left="735"/>
              <w:rPr>
                <w:rFonts w:ascii="宋体" w:hAnsi="宋体" w:eastAsia="宋体" w:cs="宋体"/>
                <w:color w:val="auto"/>
                <w:highlight w:val="none"/>
              </w:rPr>
            </w:pPr>
            <w:r>
              <w:rPr>
                <w:rFonts w:ascii="宋体" w:hAnsi="宋体" w:eastAsia="宋体" w:cs="宋体"/>
                <w:color w:val="auto"/>
                <w:spacing w:val="-2"/>
                <w:highlight w:val="none"/>
              </w:rPr>
              <w:t>0.</w:t>
            </w:r>
            <w:r>
              <w:rPr>
                <w:rFonts w:ascii="宋体" w:hAnsi="宋体" w:eastAsia="宋体" w:cs="宋体"/>
                <w:color w:val="auto"/>
                <w:spacing w:val="-1"/>
                <w:highlight w:val="none"/>
              </w:rPr>
              <w:t>45%</w:t>
            </w:r>
          </w:p>
        </w:tc>
        <w:tc>
          <w:tcPr>
            <w:tcW w:w="1984" w:type="dxa"/>
          </w:tcPr>
          <w:p>
            <w:pPr>
              <w:spacing w:before="145" w:line="183" w:lineRule="auto"/>
              <w:ind w:left="737"/>
              <w:rPr>
                <w:rFonts w:ascii="宋体" w:hAnsi="宋体" w:eastAsia="宋体" w:cs="宋体"/>
                <w:color w:val="auto"/>
                <w:highlight w:val="none"/>
              </w:rPr>
            </w:pPr>
            <w:r>
              <w:rPr>
                <w:rFonts w:ascii="宋体" w:hAnsi="宋体" w:eastAsia="宋体" w:cs="宋体"/>
                <w:color w:val="auto"/>
                <w:spacing w:val="-1"/>
                <w:highlight w:val="none"/>
              </w:rPr>
              <w:t>0.55</w:t>
            </w:r>
            <w:r>
              <w:rPr>
                <w:rFonts w:ascii="宋体" w:hAnsi="宋体" w:eastAsia="宋体" w:cs="宋体"/>
                <w:color w:val="auto"/>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jc w:val="center"/>
        </w:trPr>
        <w:tc>
          <w:tcPr>
            <w:tcW w:w="2678" w:type="dxa"/>
          </w:tcPr>
          <w:p>
            <w:pPr>
              <w:spacing w:before="144" w:line="184" w:lineRule="auto"/>
              <w:ind w:left="900"/>
              <w:rPr>
                <w:rFonts w:ascii="宋体" w:hAnsi="宋体" w:eastAsia="宋体" w:cs="宋体"/>
                <w:color w:val="auto"/>
                <w:highlight w:val="none"/>
              </w:rPr>
            </w:pPr>
            <w:r>
              <w:rPr>
                <w:rFonts w:ascii="宋体" w:hAnsi="宋体" w:eastAsia="宋体" w:cs="宋体"/>
                <w:color w:val="auto"/>
                <w:spacing w:val="-4"/>
                <w:highlight w:val="none"/>
              </w:rPr>
              <w:t>1</w:t>
            </w:r>
            <w:r>
              <w:rPr>
                <w:rFonts w:ascii="宋体" w:hAnsi="宋体" w:eastAsia="宋体" w:cs="宋体"/>
                <w:color w:val="auto"/>
                <w:spacing w:val="-3"/>
                <w:highlight w:val="none"/>
              </w:rPr>
              <w:t>0</w:t>
            </w:r>
            <w:r>
              <w:rPr>
                <w:rFonts w:ascii="宋体" w:hAnsi="宋体" w:eastAsia="宋体" w:cs="宋体"/>
                <w:color w:val="auto"/>
                <w:spacing w:val="-2"/>
                <w:highlight w:val="none"/>
              </w:rPr>
              <w:t>00-5000</w:t>
            </w:r>
          </w:p>
        </w:tc>
        <w:tc>
          <w:tcPr>
            <w:tcW w:w="1979" w:type="dxa"/>
          </w:tcPr>
          <w:p>
            <w:pPr>
              <w:spacing w:before="145" w:line="183" w:lineRule="auto"/>
              <w:ind w:left="787"/>
              <w:rPr>
                <w:rFonts w:ascii="宋体" w:hAnsi="宋体" w:eastAsia="宋体" w:cs="宋体"/>
                <w:color w:val="auto"/>
                <w:highlight w:val="none"/>
              </w:rPr>
            </w:pPr>
            <w:r>
              <w:rPr>
                <w:rFonts w:ascii="宋体" w:hAnsi="宋体" w:eastAsia="宋体" w:cs="宋体"/>
                <w:color w:val="auto"/>
                <w:spacing w:val="-1"/>
                <w:highlight w:val="none"/>
              </w:rPr>
              <w:t>0.</w:t>
            </w:r>
            <w:r>
              <w:rPr>
                <w:rFonts w:ascii="宋体" w:hAnsi="宋体" w:eastAsia="宋体" w:cs="宋体"/>
                <w:color w:val="auto"/>
                <w:highlight w:val="none"/>
              </w:rPr>
              <w:t>5%</w:t>
            </w:r>
          </w:p>
        </w:tc>
        <w:tc>
          <w:tcPr>
            <w:tcW w:w="1979" w:type="dxa"/>
          </w:tcPr>
          <w:p>
            <w:pPr>
              <w:spacing w:before="145" w:line="183" w:lineRule="auto"/>
              <w:ind w:left="735"/>
              <w:rPr>
                <w:rFonts w:ascii="宋体" w:hAnsi="宋体" w:eastAsia="宋体" w:cs="宋体"/>
                <w:color w:val="auto"/>
                <w:highlight w:val="none"/>
              </w:rPr>
            </w:pPr>
            <w:r>
              <w:rPr>
                <w:rFonts w:ascii="宋体" w:hAnsi="宋体" w:eastAsia="宋体" w:cs="宋体"/>
                <w:color w:val="auto"/>
                <w:spacing w:val="-1"/>
                <w:highlight w:val="none"/>
              </w:rPr>
              <w:t>0.25</w:t>
            </w:r>
            <w:r>
              <w:rPr>
                <w:rFonts w:ascii="宋体" w:hAnsi="宋体" w:eastAsia="宋体" w:cs="宋体"/>
                <w:color w:val="auto"/>
                <w:highlight w:val="none"/>
              </w:rPr>
              <w:t>%</w:t>
            </w:r>
          </w:p>
        </w:tc>
        <w:tc>
          <w:tcPr>
            <w:tcW w:w="1984" w:type="dxa"/>
          </w:tcPr>
          <w:p>
            <w:pPr>
              <w:spacing w:before="145" w:line="183" w:lineRule="auto"/>
              <w:ind w:left="737"/>
              <w:rPr>
                <w:rFonts w:ascii="宋体" w:hAnsi="宋体" w:eastAsia="宋体" w:cs="宋体"/>
                <w:color w:val="auto"/>
                <w:highlight w:val="none"/>
              </w:rPr>
            </w:pPr>
            <w:r>
              <w:rPr>
                <w:rFonts w:ascii="宋体" w:hAnsi="宋体" w:eastAsia="宋体" w:cs="宋体"/>
                <w:color w:val="auto"/>
                <w:spacing w:val="-1"/>
                <w:highlight w:val="none"/>
              </w:rPr>
              <w:t>0.35</w:t>
            </w:r>
            <w:r>
              <w:rPr>
                <w:rFonts w:ascii="宋体" w:hAnsi="宋体" w:eastAsia="宋体" w:cs="宋体"/>
                <w:color w:val="auto"/>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jc w:val="center"/>
        </w:trPr>
        <w:tc>
          <w:tcPr>
            <w:tcW w:w="2678" w:type="dxa"/>
          </w:tcPr>
          <w:p>
            <w:pPr>
              <w:spacing w:before="145" w:line="184" w:lineRule="auto"/>
              <w:ind w:left="836"/>
              <w:rPr>
                <w:rFonts w:ascii="宋体" w:hAnsi="宋体" w:eastAsia="宋体" w:cs="宋体"/>
                <w:color w:val="auto"/>
                <w:highlight w:val="none"/>
              </w:rPr>
            </w:pPr>
            <w:r>
              <w:rPr>
                <w:rFonts w:ascii="宋体" w:hAnsi="宋体" w:eastAsia="宋体" w:cs="宋体"/>
                <w:color w:val="auto"/>
                <w:spacing w:val="-1"/>
                <w:highlight w:val="none"/>
              </w:rPr>
              <w:t>5000-1000</w:t>
            </w:r>
            <w:r>
              <w:rPr>
                <w:rFonts w:ascii="宋体" w:hAnsi="宋体" w:eastAsia="宋体" w:cs="宋体"/>
                <w:color w:val="auto"/>
                <w:highlight w:val="none"/>
              </w:rPr>
              <w:t>0</w:t>
            </w:r>
          </w:p>
        </w:tc>
        <w:tc>
          <w:tcPr>
            <w:tcW w:w="1979" w:type="dxa"/>
          </w:tcPr>
          <w:p>
            <w:pPr>
              <w:spacing w:before="146" w:line="183" w:lineRule="auto"/>
              <w:ind w:left="734"/>
              <w:rPr>
                <w:rFonts w:ascii="宋体" w:hAnsi="宋体" w:eastAsia="宋体" w:cs="宋体"/>
                <w:color w:val="auto"/>
                <w:highlight w:val="none"/>
              </w:rPr>
            </w:pPr>
            <w:r>
              <w:rPr>
                <w:rFonts w:ascii="宋体" w:hAnsi="宋体" w:eastAsia="宋体" w:cs="宋体"/>
                <w:color w:val="auto"/>
                <w:spacing w:val="-1"/>
                <w:highlight w:val="none"/>
              </w:rPr>
              <w:t>0.25</w:t>
            </w:r>
            <w:r>
              <w:rPr>
                <w:rFonts w:ascii="宋体" w:hAnsi="宋体" w:eastAsia="宋体" w:cs="宋体"/>
                <w:color w:val="auto"/>
                <w:highlight w:val="none"/>
              </w:rPr>
              <w:t>%</w:t>
            </w:r>
          </w:p>
        </w:tc>
        <w:tc>
          <w:tcPr>
            <w:tcW w:w="1979" w:type="dxa"/>
          </w:tcPr>
          <w:p>
            <w:pPr>
              <w:spacing w:before="145" w:line="184" w:lineRule="auto"/>
              <w:ind w:left="788"/>
              <w:rPr>
                <w:rFonts w:ascii="宋体" w:hAnsi="宋体" w:eastAsia="宋体" w:cs="宋体"/>
                <w:color w:val="auto"/>
                <w:highlight w:val="none"/>
              </w:rPr>
            </w:pPr>
            <w:r>
              <w:rPr>
                <w:rFonts w:ascii="宋体" w:hAnsi="宋体" w:eastAsia="宋体" w:cs="宋体"/>
                <w:color w:val="auto"/>
                <w:spacing w:val="1"/>
                <w:highlight w:val="none"/>
              </w:rPr>
              <w:t>0.1</w:t>
            </w:r>
            <w:r>
              <w:rPr>
                <w:rFonts w:ascii="宋体" w:hAnsi="宋体" w:eastAsia="宋体" w:cs="宋体"/>
                <w:color w:val="auto"/>
                <w:highlight w:val="none"/>
              </w:rPr>
              <w:t>%</w:t>
            </w:r>
          </w:p>
        </w:tc>
        <w:tc>
          <w:tcPr>
            <w:tcW w:w="1984" w:type="dxa"/>
          </w:tcPr>
          <w:p>
            <w:pPr>
              <w:spacing w:before="146" w:line="183" w:lineRule="auto"/>
              <w:ind w:left="790"/>
              <w:rPr>
                <w:rFonts w:ascii="宋体" w:hAnsi="宋体" w:eastAsia="宋体" w:cs="宋体"/>
                <w:color w:val="auto"/>
                <w:highlight w:val="none"/>
              </w:rPr>
            </w:pPr>
            <w:r>
              <w:rPr>
                <w:rFonts w:ascii="宋体" w:hAnsi="宋体" w:eastAsia="宋体" w:cs="宋体"/>
                <w:color w:val="auto"/>
                <w:spacing w:val="-1"/>
                <w:highlight w:val="none"/>
              </w:rPr>
              <w:t>0.2</w:t>
            </w:r>
            <w:r>
              <w:rPr>
                <w:rFonts w:ascii="宋体" w:hAnsi="宋体" w:eastAsia="宋体" w:cs="宋体"/>
                <w:color w:val="auto"/>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jc w:val="center"/>
        </w:trPr>
        <w:tc>
          <w:tcPr>
            <w:tcW w:w="2678" w:type="dxa"/>
          </w:tcPr>
          <w:p>
            <w:pPr>
              <w:spacing w:before="145" w:line="184" w:lineRule="auto"/>
              <w:ind w:left="744"/>
              <w:rPr>
                <w:rFonts w:ascii="宋体" w:hAnsi="宋体" w:eastAsia="宋体" w:cs="宋体"/>
                <w:color w:val="auto"/>
                <w:highlight w:val="none"/>
              </w:rPr>
            </w:pPr>
            <w:r>
              <w:rPr>
                <w:rFonts w:ascii="宋体" w:hAnsi="宋体" w:eastAsia="宋体" w:cs="宋体"/>
                <w:color w:val="auto"/>
                <w:spacing w:val="-2"/>
                <w:highlight w:val="none"/>
              </w:rPr>
              <w:t>10000-100</w:t>
            </w:r>
            <w:r>
              <w:rPr>
                <w:rFonts w:ascii="宋体" w:hAnsi="宋体" w:eastAsia="宋体" w:cs="宋体"/>
                <w:color w:val="auto"/>
                <w:spacing w:val="-1"/>
                <w:highlight w:val="none"/>
              </w:rPr>
              <w:t>000</w:t>
            </w:r>
          </w:p>
        </w:tc>
        <w:tc>
          <w:tcPr>
            <w:tcW w:w="1979" w:type="dxa"/>
          </w:tcPr>
          <w:p>
            <w:pPr>
              <w:spacing w:before="147" w:line="183" w:lineRule="auto"/>
              <w:ind w:left="734"/>
              <w:rPr>
                <w:rFonts w:ascii="宋体" w:hAnsi="宋体" w:eastAsia="宋体" w:cs="宋体"/>
                <w:color w:val="auto"/>
                <w:highlight w:val="none"/>
              </w:rPr>
            </w:pPr>
            <w:r>
              <w:rPr>
                <w:rFonts w:ascii="宋体" w:hAnsi="宋体" w:eastAsia="宋体" w:cs="宋体"/>
                <w:color w:val="auto"/>
                <w:spacing w:val="-1"/>
                <w:highlight w:val="none"/>
              </w:rPr>
              <w:t>0.05%</w:t>
            </w:r>
          </w:p>
        </w:tc>
        <w:tc>
          <w:tcPr>
            <w:tcW w:w="1979" w:type="dxa"/>
          </w:tcPr>
          <w:p>
            <w:pPr>
              <w:spacing w:before="147" w:line="183" w:lineRule="auto"/>
              <w:ind w:left="735"/>
              <w:rPr>
                <w:rFonts w:ascii="宋体" w:hAnsi="宋体" w:eastAsia="宋体" w:cs="宋体"/>
                <w:color w:val="auto"/>
                <w:highlight w:val="none"/>
              </w:rPr>
            </w:pPr>
            <w:r>
              <w:rPr>
                <w:rFonts w:ascii="宋体" w:hAnsi="宋体" w:eastAsia="宋体" w:cs="宋体"/>
                <w:color w:val="auto"/>
                <w:spacing w:val="-1"/>
                <w:highlight w:val="none"/>
              </w:rPr>
              <w:t>0.05%</w:t>
            </w:r>
          </w:p>
        </w:tc>
        <w:tc>
          <w:tcPr>
            <w:tcW w:w="1984" w:type="dxa"/>
          </w:tcPr>
          <w:p>
            <w:pPr>
              <w:spacing w:before="147" w:line="183" w:lineRule="auto"/>
              <w:ind w:left="737"/>
              <w:rPr>
                <w:rFonts w:ascii="宋体" w:hAnsi="宋体" w:eastAsia="宋体" w:cs="宋体"/>
                <w:color w:val="auto"/>
                <w:highlight w:val="none"/>
              </w:rPr>
            </w:pPr>
            <w:r>
              <w:rPr>
                <w:rFonts w:ascii="宋体" w:hAnsi="宋体" w:eastAsia="宋体" w:cs="宋体"/>
                <w:color w:val="auto"/>
                <w:spacing w:val="-1"/>
                <w:highlight w:val="none"/>
              </w:rPr>
              <w:t>0.05%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jc w:val="center"/>
        </w:trPr>
        <w:tc>
          <w:tcPr>
            <w:tcW w:w="2678" w:type="dxa"/>
          </w:tcPr>
          <w:p>
            <w:pPr>
              <w:spacing w:before="114" w:line="223" w:lineRule="auto"/>
              <w:ind w:left="771"/>
              <w:rPr>
                <w:rFonts w:ascii="宋体" w:hAnsi="宋体" w:eastAsia="宋体" w:cs="宋体"/>
                <w:color w:val="auto"/>
                <w:highlight w:val="none"/>
              </w:rPr>
            </w:pPr>
            <w:r>
              <w:rPr>
                <w:rFonts w:ascii="宋体" w:hAnsi="宋体" w:eastAsia="宋体" w:cs="宋体"/>
                <w:color w:val="auto"/>
                <w:spacing w:val="-6"/>
                <w:highlight w:val="none"/>
              </w:rPr>
              <w:t>1000000 以</w:t>
            </w:r>
            <w:r>
              <w:rPr>
                <w:rFonts w:ascii="宋体" w:hAnsi="宋体" w:eastAsia="宋体" w:cs="宋体"/>
                <w:color w:val="auto"/>
                <w:spacing w:val="-5"/>
                <w:highlight w:val="none"/>
              </w:rPr>
              <w:t>上</w:t>
            </w:r>
          </w:p>
        </w:tc>
        <w:tc>
          <w:tcPr>
            <w:tcW w:w="1979" w:type="dxa"/>
          </w:tcPr>
          <w:p>
            <w:pPr>
              <w:spacing w:before="148" w:line="184" w:lineRule="auto"/>
              <w:ind w:left="734"/>
              <w:rPr>
                <w:rFonts w:ascii="宋体" w:hAnsi="宋体" w:eastAsia="宋体" w:cs="宋体"/>
                <w:color w:val="auto"/>
                <w:highlight w:val="none"/>
              </w:rPr>
            </w:pPr>
            <w:r>
              <w:rPr>
                <w:rFonts w:ascii="宋体" w:hAnsi="宋体" w:eastAsia="宋体" w:cs="宋体"/>
                <w:color w:val="auto"/>
                <w:spacing w:val="-1"/>
                <w:highlight w:val="none"/>
              </w:rPr>
              <w:t>0.01%</w:t>
            </w:r>
          </w:p>
        </w:tc>
        <w:tc>
          <w:tcPr>
            <w:tcW w:w="1979" w:type="dxa"/>
          </w:tcPr>
          <w:p>
            <w:pPr>
              <w:spacing w:before="148" w:line="184" w:lineRule="auto"/>
              <w:ind w:left="735"/>
              <w:rPr>
                <w:rFonts w:ascii="宋体" w:hAnsi="宋体" w:eastAsia="宋体" w:cs="宋体"/>
                <w:color w:val="auto"/>
                <w:highlight w:val="none"/>
              </w:rPr>
            </w:pPr>
            <w:r>
              <w:rPr>
                <w:rFonts w:ascii="宋体" w:hAnsi="宋体" w:eastAsia="宋体" w:cs="宋体"/>
                <w:color w:val="auto"/>
                <w:spacing w:val="-1"/>
                <w:highlight w:val="none"/>
              </w:rPr>
              <w:t>0.01%</w:t>
            </w:r>
          </w:p>
        </w:tc>
        <w:tc>
          <w:tcPr>
            <w:tcW w:w="1984" w:type="dxa"/>
          </w:tcPr>
          <w:p>
            <w:pPr>
              <w:spacing w:before="148" w:line="184" w:lineRule="auto"/>
              <w:ind w:left="737"/>
              <w:rPr>
                <w:rFonts w:ascii="宋体" w:hAnsi="宋体" w:eastAsia="宋体" w:cs="宋体"/>
                <w:color w:val="auto"/>
                <w:highlight w:val="none"/>
              </w:rPr>
            </w:pPr>
            <w:r>
              <w:rPr>
                <w:rFonts w:ascii="宋体" w:hAnsi="宋体" w:eastAsia="宋体" w:cs="宋体"/>
                <w:color w:val="auto"/>
                <w:spacing w:val="-1"/>
                <w:highlight w:val="none"/>
              </w:rPr>
              <w:t>0.01%</w:t>
            </w:r>
          </w:p>
        </w:tc>
      </w:tr>
    </w:tbl>
    <w:p>
      <w:pPr>
        <w:spacing w:before="124" w:line="379" w:lineRule="exact"/>
        <w:ind w:left="357"/>
        <w:rPr>
          <w:rFonts w:ascii="宋体" w:hAnsi="宋体" w:eastAsia="宋体" w:cs="宋体"/>
          <w:color w:val="auto"/>
          <w:highlight w:val="none"/>
        </w:rPr>
      </w:pPr>
      <w:r>
        <w:rPr>
          <w:rFonts w:ascii="宋体" w:hAnsi="宋体" w:eastAsia="宋体" w:cs="宋体"/>
          <w:color w:val="auto"/>
          <w:spacing w:val="-5"/>
          <w:position w:val="12"/>
          <w:highlight w:val="none"/>
        </w:rPr>
        <w:t>注： 招标代理服务收费按差额定率累进法计算</w:t>
      </w:r>
      <w:r>
        <w:rPr>
          <w:rFonts w:ascii="宋体" w:hAnsi="宋体" w:eastAsia="宋体" w:cs="宋体"/>
          <w:color w:val="auto"/>
          <w:spacing w:val="-3"/>
          <w:position w:val="12"/>
          <w:highlight w:val="none"/>
        </w:rPr>
        <w:t>。</w:t>
      </w:r>
    </w:p>
    <w:p>
      <w:pPr>
        <w:spacing w:before="1" w:line="220" w:lineRule="auto"/>
        <w:ind w:left="373"/>
        <w:rPr>
          <w:rFonts w:ascii="宋体" w:hAnsi="宋体" w:eastAsia="宋体" w:cs="宋体"/>
          <w:color w:val="auto"/>
          <w:highlight w:val="none"/>
        </w:rPr>
      </w:pPr>
      <w:r>
        <w:rPr>
          <w:rFonts w:ascii="宋体" w:hAnsi="宋体" w:eastAsia="宋体" w:cs="宋体"/>
          <w:color w:val="auto"/>
          <w:spacing w:val="-4"/>
          <w:highlight w:val="none"/>
        </w:rPr>
        <w:t>10.3.2 招标代理服务费缴纳账户</w:t>
      </w:r>
      <w:r>
        <w:rPr>
          <w:rFonts w:ascii="宋体" w:hAnsi="宋体" w:eastAsia="宋体" w:cs="宋体"/>
          <w:color w:val="auto"/>
          <w:spacing w:val="-2"/>
          <w:highlight w:val="none"/>
        </w:rPr>
        <w:t>：</w:t>
      </w:r>
    </w:p>
    <w:p>
      <w:pPr>
        <w:pStyle w:val="8"/>
        <w:spacing w:line="360" w:lineRule="exact"/>
        <w:ind w:firstLine="420" w:firstLineChars="200"/>
        <w:rPr>
          <w:rFonts w:hAnsi="宋体" w:cs="宋体"/>
          <w:bCs/>
          <w:color w:val="auto"/>
          <w:szCs w:val="21"/>
          <w:highlight w:val="none"/>
        </w:rPr>
      </w:pPr>
      <w:r>
        <w:rPr>
          <w:rFonts w:hint="eastAsia" w:hAnsi="宋体" w:cs="宋体"/>
          <w:bCs/>
          <w:color w:val="auto"/>
          <w:szCs w:val="21"/>
          <w:highlight w:val="none"/>
        </w:rPr>
        <w:t>账户名称：广西鑫渠工程咨询有限公司</w:t>
      </w:r>
    </w:p>
    <w:p>
      <w:pPr>
        <w:pStyle w:val="8"/>
        <w:spacing w:line="360" w:lineRule="exact"/>
        <w:ind w:firstLine="420" w:firstLineChars="200"/>
        <w:rPr>
          <w:rFonts w:hAnsi="宋体" w:cs="宋体"/>
          <w:bCs/>
          <w:color w:val="auto"/>
          <w:szCs w:val="21"/>
          <w:highlight w:val="none"/>
        </w:rPr>
      </w:pPr>
      <w:r>
        <w:rPr>
          <w:rFonts w:hint="eastAsia" w:hAnsi="宋体" w:cs="宋体"/>
          <w:bCs/>
          <w:color w:val="auto"/>
          <w:szCs w:val="21"/>
          <w:highlight w:val="none"/>
        </w:rPr>
        <w:t>开户银行：中国银行股份有限公司桂林市中隐路支行</w:t>
      </w:r>
    </w:p>
    <w:p>
      <w:pPr>
        <w:pStyle w:val="8"/>
        <w:spacing w:line="360" w:lineRule="exact"/>
        <w:ind w:firstLine="420" w:firstLineChars="200"/>
        <w:rPr>
          <w:rFonts w:hAnsi="宋体" w:cs="宋体"/>
          <w:bCs/>
          <w:color w:val="auto"/>
          <w:szCs w:val="21"/>
          <w:highlight w:val="none"/>
        </w:rPr>
      </w:pPr>
      <w:r>
        <w:rPr>
          <w:rFonts w:hint="eastAsia" w:hAnsi="宋体" w:cs="宋体"/>
          <w:bCs/>
          <w:color w:val="auto"/>
          <w:szCs w:val="21"/>
          <w:highlight w:val="none"/>
        </w:rPr>
        <w:t>银行账号：613277425860</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10.4 知识产权</w:t>
      </w:r>
    </w:p>
    <w:p>
      <w:pPr>
        <w:spacing w:before="130" w:line="220" w:lineRule="auto"/>
        <w:ind w:left="418"/>
        <w:rPr>
          <w:rFonts w:ascii="宋体" w:hAnsi="宋体" w:eastAsia="宋体" w:cs="宋体"/>
          <w:color w:val="auto"/>
          <w:highlight w:val="none"/>
        </w:rPr>
      </w:pPr>
      <w:r>
        <w:rPr>
          <w:rFonts w:ascii="宋体" w:hAnsi="宋体" w:eastAsia="宋体" w:cs="宋体"/>
          <w:color w:val="auto"/>
          <w:spacing w:val="-1"/>
          <w:highlight w:val="none"/>
        </w:rPr>
        <w:t>招标人</w:t>
      </w:r>
      <w:r>
        <w:rPr>
          <w:rFonts w:ascii="宋体" w:hAnsi="宋体" w:eastAsia="宋体" w:cs="宋体"/>
          <w:color w:val="auto"/>
          <w:highlight w:val="none"/>
        </w:rPr>
        <w:t>对其知识产权的具体要求见“投标人须知前附表”。</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10.5 重新招标的其他情形</w:t>
      </w:r>
    </w:p>
    <w:p>
      <w:pPr>
        <w:spacing w:before="127" w:line="220" w:lineRule="auto"/>
        <w:ind w:left="360"/>
        <w:rPr>
          <w:rFonts w:ascii="宋体" w:hAnsi="宋体" w:eastAsia="宋体" w:cs="宋体"/>
          <w:color w:val="auto"/>
          <w:highlight w:val="none"/>
        </w:rPr>
      </w:pPr>
      <w:r>
        <w:rPr>
          <w:rFonts w:ascii="宋体" w:hAnsi="宋体" w:eastAsia="宋体" w:cs="宋体"/>
          <w:color w:val="auto"/>
          <w:spacing w:val="-1"/>
          <w:highlight w:val="none"/>
        </w:rPr>
        <w:t>见“投标人须知前</w:t>
      </w:r>
      <w:r>
        <w:rPr>
          <w:rFonts w:ascii="宋体" w:hAnsi="宋体" w:eastAsia="宋体" w:cs="宋体"/>
          <w:color w:val="auto"/>
          <w:highlight w:val="none"/>
        </w:rPr>
        <w:t>附表”。</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10.6 同义词语</w:t>
      </w:r>
    </w:p>
    <w:p>
      <w:pPr>
        <w:spacing w:before="127" w:line="220" w:lineRule="auto"/>
        <w:ind w:left="360"/>
        <w:rPr>
          <w:rFonts w:ascii="宋体" w:hAnsi="宋体" w:eastAsia="宋体" w:cs="宋体"/>
          <w:color w:val="auto"/>
          <w:highlight w:val="none"/>
        </w:rPr>
      </w:pPr>
      <w:r>
        <w:rPr>
          <w:rFonts w:ascii="宋体" w:hAnsi="宋体" w:eastAsia="宋体" w:cs="宋体"/>
          <w:color w:val="auto"/>
          <w:spacing w:val="-1"/>
          <w:highlight w:val="none"/>
        </w:rPr>
        <w:t>见“投标人须知前</w:t>
      </w:r>
      <w:r>
        <w:rPr>
          <w:rFonts w:ascii="宋体" w:hAnsi="宋体" w:eastAsia="宋体" w:cs="宋体"/>
          <w:color w:val="auto"/>
          <w:highlight w:val="none"/>
        </w:rPr>
        <w:t>附表”。</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10.7 监督</w:t>
      </w:r>
    </w:p>
    <w:p>
      <w:pPr>
        <w:spacing w:before="130" w:line="220" w:lineRule="auto"/>
        <w:ind w:left="358"/>
        <w:rPr>
          <w:rFonts w:ascii="宋体" w:hAnsi="宋体" w:eastAsia="宋体" w:cs="宋体"/>
          <w:color w:val="auto"/>
          <w:highlight w:val="none"/>
        </w:rPr>
      </w:pPr>
      <w:r>
        <w:rPr>
          <w:rFonts w:ascii="宋体" w:hAnsi="宋体" w:eastAsia="宋体" w:cs="宋体"/>
          <w:color w:val="auto"/>
          <w:spacing w:val="-1"/>
          <w:highlight w:val="none"/>
        </w:rPr>
        <w:t>本项目招标的监督部门见“投标人须知前附</w:t>
      </w:r>
      <w:r>
        <w:rPr>
          <w:rFonts w:ascii="宋体" w:hAnsi="宋体" w:eastAsia="宋体" w:cs="宋体"/>
          <w:color w:val="auto"/>
          <w:highlight w:val="none"/>
        </w:rPr>
        <w:t>表”。</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10.8 解释权</w:t>
      </w:r>
    </w:p>
    <w:p>
      <w:pPr>
        <w:spacing w:before="128" w:line="220" w:lineRule="auto"/>
        <w:ind w:left="360"/>
        <w:rPr>
          <w:rFonts w:ascii="宋体" w:hAnsi="宋体" w:eastAsia="宋体" w:cs="宋体"/>
          <w:color w:val="auto"/>
          <w:highlight w:val="none"/>
        </w:rPr>
      </w:pPr>
      <w:r>
        <w:rPr>
          <w:rFonts w:ascii="宋体" w:hAnsi="宋体" w:eastAsia="宋体" w:cs="宋体"/>
          <w:color w:val="auto"/>
          <w:spacing w:val="-1"/>
          <w:highlight w:val="none"/>
        </w:rPr>
        <w:t>见“投标人须知前</w:t>
      </w:r>
      <w:r>
        <w:rPr>
          <w:rFonts w:ascii="宋体" w:hAnsi="宋体" w:eastAsia="宋体" w:cs="宋体"/>
          <w:color w:val="auto"/>
          <w:highlight w:val="none"/>
        </w:rPr>
        <w:t>附表”。</w:t>
      </w:r>
    </w:p>
    <w:p>
      <w:pPr>
        <w:rPr>
          <w:color w:val="auto"/>
          <w:sz w:val="24"/>
          <w:szCs w:val="24"/>
          <w:highlight w:val="none"/>
        </w:rPr>
        <w:sectPr>
          <w:footerReference r:id="rId7" w:type="default"/>
          <w:pgSz w:w="11907" w:h="16839"/>
          <w:pgMar w:top="1440" w:right="1080" w:bottom="1440" w:left="1080" w:header="0" w:footer="993" w:gutter="0"/>
          <w:cols w:space="720" w:num="1"/>
        </w:sectPr>
      </w:pPr>
    </w:p>
    <w:p>
      <w:pPr>
        <w:spacing w:line="275" w:lineRule="auto"/>
        <w:rPr>
          <w:color w:val="auto"/>
          <w:highlight w:val="none"/>
        </w:rPr>
      </w:pPr>
    </w:p>
    <w:p>
      <w:pPr>
        <w:spacing w:line="275" w:lineRule="auto"/>
        <w:rPr>
          <w:color w:val="auto"/>
          <w:highlight w:val="none"/>
        </w:rPr>
      </w:pPr>
    </w:p>
    <w:p>
      <w:pPr>
        <w:spacing w:before="69" w:line="220" w:lineRule="auto"/>
        <w:ind w:left="24"/>
        <w:rPr>
          <w:rFonts w:ascii="宋体" w:hAnsi="宋体" w:eastAsia="宋体" w:cs="宋体"/>
          <w:color w:val="auto"/>
          <w:highlight w:val="none"/>
        </w:rPr>
      </w:pPr>
      <w:r>
        <w:rPr>
          <w:rFonts w:ascii="宋体" w:hAnsi="宋体" w:eastAsia="宋体" w:cs="宋体"/>
          <w:color w:val="auto"/>
          <w:spacing w:val="-3"/>
          <w:highlight w:val="none"/>
        </w:rPr>
        <w:t>附</w:t>
      </w:r>
      <w:r>
        <w:rPr>
          <w:rFonts w:ascii="宋体" w:hAnsi="宋体" w:eastAsia="宋体" w:cs="宋体"/>
          <w:color w:val="auto"/>
          <w:spacing w:val="-2"/>
          <w:highlight w:val="none"/>
        </w:rPr>
        <w:t>表一：问题澄清通知</w:t>
      </w:r>
    </w:p>
    <w:p>
      <w:pPr>
        <w:spacing w:before="161" w:line="226" w:lineRule="auto"/>
        <w:ind w:left="3569"/>
        <w:rPr>
          <w:rFonts w:ascii="宋体" w:hAnsi="宋体" w:eastAsia="宋体" w:cs="宋体"/>
          <w:color w:val="auto"/>
          <w:sz w:val="31"/>
          <w:szCs w:val="31"/>
          <w:highlight w:val="none"/>
        </w:rPr>
      </w:pPr>
      <w:r>
        <w:rPr>
          <w:rFonts w:ascii="宋体" w:hAnsi="宋体" w:eastAsia="宋体" w:cs="宋体"/>
          <w:color w:val="auto"/>
          <w:spacing w:val="1"/>
          <w:sz w:val="31"/>
          <w:szCs w:val="31"/>
          <w:highlight w:val="none"/>
          <w14:textOutline w14:w="5791" w14:cap="flat" w14:cmpd="sng" w14:algn="ctr">
            <w14:solidFill>
              <w14:srgbClr w14:val="000000"/>
            </w14:solidFill>
            <w14:prstDash w14:val="solid"/>
            <w14:miter w14:val="0"/>
          </w14:textOutline>
        </w:rPr>
        <w:t>问题澄清通知</w:t>
      </w:r>
    </w:p>
    <w:p>
      <w:pPr>
        <w:spacing w:before="145" w:line="624" w:lineRule="exact"/>
        <w:ind w:left="3764"/>
        <w:rPr>
          <w:rFonts w:ascii="宋体" w:hAnsi="宋体" w:eastAsia="宋体" w:cs="宋体"/>
          <w:color w:val="auto"/>
          <w:highlight w:val="none"/>
        </w:rPr>
      </w:pPr>
      <w:r>
        <w:rPr>
          <w:rFonts w:ascii="宋体" w:hAnsi="宋体" w:eastAsia="宋体" w:cs="宋体"/>
          <w:color w:val="auto"/>
          <w:spacing w:val="-14"/>
          <w:position w:val="32"/>
          <w:highlight w:val="none"/>
        </w:rPr>
        <w:t>编</w:t>
      </w:r>
      <w:r>
        <w:rPr>
          <w:rFonts w:ascii="宋体" w:hAnsi="宋体" w:eastAsia="宋体" w:cs="宋体"/>
          <w:color w:val="auto"/>
          <w:spacing w:val="-12"/>
          <w:position w:val="32"/>
          <w:highlight w:val="none"/>
        </w:rPr>
        <w:t>号：</w:t>
      </w:r>
    </w:p>
    <w:p>
      <w:pPr>
        <w:tabs>
          <w:tab w:val="left" w:pos="2221"/>
        </w:tabs>
        <w:spacing w:line="221" w:lineRule="auto"/>
        <w:rPr>
          <w:rFonts w:ascii="宋体" w:hAnsi="宋体" w:eastAsia="宋体" w:cs="宋体"/>
          <w:color w:val="auto"/>
          <w:highlight w:val="none"/>
        </w:rPr>
      </w:pPr>
      <w:r>
        <w:rPr>
          <w:rFonts w:ascii="宋体" w:hAnsi="宋体" w:eastAsia="宋体" w:cs="宋体"/>
          <w:color w:val="auto"/>
          <w:highlight w:val="none"/>
          <w:u w:val="single"/>
        </w:rPr>
        <w:tab/>
      </w:r>
      <w:r>
        <w:rPr>
          <w:rFonts w:ascii="宋体" w:hAnsi="宋体" w:eastAsia="宋体" w:cs="宋体"/>
          <w:color w:val="auto"/>
          <w:spacing w:val="7"/>
          <w:highlight w:val="none"/>
        </w:rPr>
        <w:t>(</w:t>
      </w:r>
      <w:r>
        <w:rPr>
          <w:rFonts w:ascii="宋体" w:hAnsi="宋体" w:eastAsia="宋体" w:cs="宋体"/>
          <w:color w:val="auto"/>
          <w:spacing w:val="5"/>
          <w:highlight w:val="none"/>
        </w:rPr>
        <w:t>投标人名称)：</w:t>
      </w:r>
    </w:p>
    <w:p>
      <w:pPr>
        <w:spacing w:line="302" w:lineRule="auto"/>
        <w:rPr>
          <w:color w:val="auto"/>
          <w:highlight w:val="none"/>
        </w:rPr>
      </w:pPr>
    </w:p>
    <w:p>
      <w:pPr>
        <w:tabs>
          <w:tab w:val="left" w:pos="853"/>
        </w:tabs>
        <w:spacing w:before="68" w:line="287" w:lineRule="auto"/>
        <w:ind w:left="7" w:right="81" w:firstLine="203"/>
        <w:rPr>
          <w:rFonts w:ascii="宋体" w:hAnsi="宋体" w:eastAsia="宋体" w:cs="宋体"/>
          <w:color w:val="auto"/>
          <w:highlight w:val="none"/>
        </w:rPr>
      </w:pPr>
      <w:r>
        <w:rPr>
          <w:rFonts w:ascii="宋体" w:hAnsi="宋体" w:eastAsia="宋体" w:cs="宋体"/>
          <w:color w:val="auto"/>
          <w:highlight w:val="none"/>
          <w:u w:val="single"/>
        </w:rPr>
        <w:tab/>
      </w:r>
      <w:r>
        <w:rPr>
          <w:rFonts w:ascii="宋体" w:hAnsi="宋体" w:eastAsia="宋体" w:cs="宋体"/>
          <w:color w:val="auto"/>
          <w:spacing w:val="-8"/>
          <w:highlight w:val="none"/>
          <w:u w:val="single"/>
          <w14:textOutline w14:w="3835" w14:cap="flat" w14:cmpd="sng" w14:algn="ctr">
            <w14:solidFill>
              <w14:srgbClr w14:val="000000"/>
            </w14:solidFill>
            <w14:prstDash w14:val="solid"/>
            <w14:miter w14:val="0"/>
          </w14:textOutline>
        </w:rPr>
        <w:t>(项目名称</w:t>
      </w:r>
      <w:r>
        <w:rPr>
          <w:rFonts w:ascii="宋体" w:hAnsi="宋体" w:eastAsia="宋体" w:cs="宋体"/>
          <w:color w:val="auto"/>
          <w:spacing w:val="-4"/>
          <w:highlight w:val="none"/>
          <w:u w:val="single"/>
          <w14:textOutline w14:w="3835" w14:cap="flat" w14:cmpd="sng" w14:algn="ctr">
            <w14:solidFill>
              <w14:srgbClr w14:val="000000"/>
            </w14:solidFill>
            <w14:prstDash w14:val="solid"/>
            <w14:miter w14:val="0"/>
          </w14:textOutline>
        </w:rPr>
        <w:t>)</w:t>
      </w:r>
      <w:r>
        <w:rPr>
          <w:rFonts w:ascii="宋体" w:hAnsi="宋体" w:eastAsia="宋体" w:cs="宋体"/>
          <w:color w:val="auto"/>
          <w:spacing w:val="-4"/>
          <w:highlight w:val="none"/>
          <w:u w:val="single"/>
        </w:rPr>
        <w:t xml:space="preserve">    </w:t>
      </w:r>
      <w:r>
        <w:rPr>
          <w:rFonts w:ascii="宋体" w:hAnsi="宋体" w:eastAsia="宋体" w:cs="宋体"/>
          <w:color w:val="auto"/>
          <w:spacing w:val="-4"/>
          <w:highlight w:val="none"/>
        </w:rPr>
        <w:t xml:space="preserve"> 施工招标的评标委员会，对你方的投标文件进行了仔细的审查，现需你方</w:t>
      </w:r>
      <w:r>
        <w:rPr>
          <w:rFonts w:ascii="宋体" w:hAnsi="宋体" w:eastAsia="宋体" w:cs="宋体"/>
          <w:color w:val="auto"/>
          <w:spacing w:val="-1"/>
          <w:highlight w:val="none"/>
        </w:rPr>
        <w:t>对下列</w:t>
      </w:r>
      <w:r>
        <w:rPr>
          <w:rFonts w:ascii="宋体" w:hAnsi="宋体" w:eastAsia="宋体" w:cs="宋体"/>
          <w:color w:val="auto"/>
          <w:highlight w:val="none"/>
        </w:rPr>
        <w:t>问题以书面形式予以澄清：</w:t>
      </w:r>
    </w:p>
    <w:p>
      <w:pPr>
        <w:spacing w:line="247" w:lineRule="auto"/>
        <w:rPr>
          <w:color w:val="auto"/>
          <w:highlight w:val="none"/>
        </w:rPr>
      </w:pPr>
    </w:p>
    <w:p>
      <w:pPr>
        <w:spacing w:before="68" w:line="186" w:lineRule="auto"/>
        <w:ind w:left="23" w:firstLine="396" w:firstLineChars="200"/>
        <w:rPr>
          <w:rFonts w:ascii="宋体" w:hAnsi="宋体" w:eastAsia="宋体" w:cs="宋体"/>
          <w:color w:val="auto"/>
          <w:highlight w:val="none"/>
        </w:rPr>
      </w:pPr>
      <w:r>
        <w:rPr>
          <w:rFonts w:ascii="宋体" w:hAnsi="宋体" w:eastAsia="宋体" w:cs="宋体"/>
          <w:color w:val="auto"/>
          <w:spacing w:val="-6"/>
          <w:highlight w:val="none"/>
        </w:rPr>
        <w:t>1</w:t>
      </w:r>
      <w:r>
        <w:rPr>
          <w:rFonts w:ascii="宋体" w:hAnsi="宋体" w:eastAsia="宋体" w:cs="宋体"/>
          <w:color w:val="auto"/>
          <w:spacing w:val="-4"/>
          <w:highlight w:val="none"/>
        </w:rPr>
        <w:t>.</w:t>
      </w:r>
    </w:p>
    <w:p>
      <w:pPr>
        <w:spacing w:before="101" w:line="185" w:lineRule="auto"/>
        <w:ind w:left="10" w:firstLine="428" w:firstLineChars="200"/>
        <w:rPr>
          <w:rFonts w:ascii="宋体" w:hAnsi="宋体" w:eastAsia="宋体" w:cs="宋体"/>
          <w:color w:val="auto"/>
          <w:highlight w:val="none"/>
        </w:rPr>
      </w:pPr>
      <w:r>
        <w:rPr>
          <w:rFonts w:ascii="宋体" w:hAnsi="宋体" w:eastAsia="宋体" w:cs="宋体"/>
          <w:color w:val="auto"/>
          <w:spacing w:val="2"/>
          <w:highlight w:val="none"/>
        </w:rPr>
        <w:t>2</w:t>
      </w:r>
      <w:r>
        <w:rPr>
          <w:rFonts w:ascii="宋体" w:hAnsi="宋体" w:eastAsia="宋体" w:cs="宋体"/>
          <w:color w:val="auto"/>
          <w:spacing w:val="1"/>
          <w:highlight w:val="none"/>
        </w:rPr>
        <w:t>.</w:t>
      </w:r>
    </w:p>
    <w:p>
      <w:pPr>
        <w:spacing w:line="305" w:lineRule="auto"/>
        <w:ind w:firstLine="828" w:firstLineChars="200"/>
        <w:rPr>
          <w:rFonts w:eastAsia="宋体"/>
          <w:color w:val="auto"/>
          <w:highlight w:val="none"/>
        </w:rPr>
      </w:pPr>
      <w:r>
        <w:rPr>
          <w:rFonts w:hint="eastAsia" w:ascii="宋体" w:hAnsi="宋体" w:eastAsia="宋体" w:cs="宋体"/>
          <w:color w:val="auto"/>
          <w:spacing w:val="102"/>
          <w:highlight w:val="none"/>
        </w:rPr>
        <w:t>......</w:t>
      </w:r>
    </w:p>
    <w:p>
      <w:pPr>
        <w:spacing w:line="298" w:lineRule="auto"/>
        <w:rPr>
          <w:color w:val="auto"/>
          <w:highlight w:val="none"/>
        </w:rPr>
      </w:pPr>
    </w:p>
    <w:p>
      <w:pPr>
        <w:spacing w:before="68" w:line="287" w:lineRule="auto"/>
        <w:ind w:left="7" w:firstLine="419"/>
        <w:rPr>
          <w:rFonts w:ascii="宋体" w:hAnsi="宋体" w:eastAsia="宋体" w:cs="宋体"/>
          <w:color w:val="auto"/>
          <w:highlight w:val="none"/>
        </w:rPr>
      </w:pPr>
      <w:r>
        <w:rPr>
          <w:rFonts w:ascii="宋体" w:hAnsi="宋体" w:eastAsia="宋体" w:cs="宋体"/>
          <w:color w:val="auto"/>
          <w:spacing w:val="1"/>
          <w:highlight w:val="none"/>
        </w:rPr>
        <w:t>请</w:t>
      </w:r>
      <w:r>
        <w:rPr>
          <w:rFonts w:ascii="宋体" w:hAnsi="宋体" w:eastAsia="宋体" w:cs="宋体"/>
          <w:color w:val="auto"/>
          <w:highlight w:val="none"/>
        </w:rPr>
        <w:t>将上述问题的澄清于</w:t>
      </w:r>
      <w:r>
        <w:rPr>
          <w:rFonts w:ascii="宋体" w:hAnsi="宋体" w:eastAsia="宋体" w:cs="宋体"/>
          <w:color w:val="auto"/>
          <w:highlight w:val="none"/>
          <w:u w:val="single"/>
        </w:rPr>
        <w:t xml:space="preserve">    </w:t>
      </w:r>
      <w:r>
        <w:rPr>
          <w:rFonts w:ascii="宋体" w:hAnsi="宋体" w:eastAsia="宋体" w:cs="宋体"/>
          <w:color w:val="auto"/>
          <w:highlight w:val="none"/>
        </w:rPr>
        <w:t>年</w:t>
      </w:r>
      <w:r>
        <w:rPr>
          <w:rFonts w:ascii="宋体" w:hAnsi="宋体" w:eastAsia="宋体" w:cs="宋体"/>
          <w:color w:val="auto"/>
          <w:highlight w:val="none"/>
          <w:u w:val="single"/>
        </w:rPr>
        <w:t xml:space="preserve"> </w:t>
      </w:r>
      <w:r>
        <w:rPr>
          <w:rFonts w:ascii="宋体" w:hAnsi="宋体" w:eastAsia="宋体" w:cs="宋体"/>
          <w:color w:val="auto"/>
          <w:highlight w:val="none"/>
        </w:rPr>
        <w:t xml:space="preserve"> 月</w:t>
      </w:r>
      <w:r>
        <w:rPr>
          <w:rFonts w:ascii="宋体" w:hAnsi="宋体" w:eastAsia="宋体" w:cs="宋体"/>
          <w:color w:val="auto"/>
          <w:highlight w:val="none"/>
          <w:u w:val="single"/>
        </w:rPr>
        <w:t xml:space="preserve"> </w:t>
      </w:r>
      <w:r>
        <w:rPr>
          <w:rFonts w:ascii="宋体" w:hAnsi="宋体" w:eastAsia="宋体" w:cs="宋体"/>
          <w:color w:val="auto"/>
          <w:highlight w:val="none"/>
        </w:rPr>
        <w:t xml:space="preserve"> 日</w:t>
      </w:r>
      <w:r>
        <w:rPr>
          <w:rFonts w:ascii="宋体" w:hAnsi="宋体" w:eastAsia="宋体" w:cs="宋体"/>
          <w:color w:val="auto"/>
          <w:highlight w:val="none"/>
          <w:u w:val="single"/>
        </w:rPr>
        <w:t xml:space="preserve"> </w:t>
      </w:r>
      <w:r>
        <w:rPr>
          <w:rFonts w:ascii="宋体" w:hAnsi="宋体" w:eastAsia="宋体" w:cs="宋体"/>
          <w:color w:val="auto"/>
          <w:highlight w:val="none"/>
        </w:rPr>
        <w:t xml:space="preserve"> 前递交至</w:t>
      </w:r>
      <w:r>
        <w:rPr>
          <w:rFonts w:ascii="宋体" w:hAnsi="宋体" w:eastAsia="宋体" w:cs="宋体"/>
          <w:color w:val="auto"/>
          <w:highlight w:val="none"/>
          <w:u w:val="single"/>
        </w:rPr>
        <w:t xml:space="preserve">(详细地址) </w:t>
      </w:r>
      <w:r>
        <w:rPr>
          <w:rFonts w:ascii="宋体" w:hAnsi="宋体" w:eastAsia="宋体" w:cs="宋体"/>
          <w:color w:val="auto"/>
          <w:highlight w:val="none"/>
        </w:rPr>
        <w:t>或传真至</w:t>
      </w:r>
      <w:r>
        <w:rPr>
          <w:rFonts w:ascii="宋体" w:hAnsi="宋体" w:eastAsia="宋体" w:cs="宋体"/>
          <w:color w:val="auto"/>
          <w:highlight w:val="none"/>
          <w:u w:val="single"/>
        </w:rPr>
        <w:t xml:space="preserve">      </w:t>
      </w:r>
      <w:r>
        <w:rPr>
          <w:rFonts w:ascii="宋体" w:hAnsi="宋体" w:eastAsia="宋体" w:cs="宋体"/>
          <w:color w:val="auto"/>
          <w:highlight w:val="none"/>
        </w:rPr>
        <w:t xml:space="preserve"> (传真号码)。 </w:t>
      </w:r>
      <w:r>
        <w:rPr>
          <w:rFonts w:ascii="宋体" w:hAnsi="宋体" w:eastAsia="宋体" w:cs="宋体"/>
          <w:color w:val="auto"/>
          <w:spacing w:val="-1"/>
          <w:highlight w:val="none"/>
        </w:rPr>
        <w:t>采用</w:t>
      </w:r>
      <w:r>
        <w:rPr>
          <w:rFonts w:ascii="宋体" w:hAnsi="宋体" w:eastAsia="宋体" w:cs="宋体"/>
          <w:color w:val="auto"/>
          <w:highlight w:val="none"/>
        </w:rPr>
        <w:t>传真方式的，应在</w:t>
      </w:r>
      <w:r>
        <w:rPr>
          <w:rFonts w:ascii="宋体" w:hAnsi="宋体" w:eastAsia="宋体" w:cs="宋体"/>
          <w:color w:val="auto"/>
          <w:highlight w:val="none"/>
          <w:u w:val="single"/>
        </w:rPr>
        <w:t xml:space="preserve">   </w:t>
      </w:r>
      <w:r>
        <w:rPr>
          <w:rFonts w:ascii="宋体" w:hAnsi="宋体" w:eastAsia="宋体" w:cs="宋体"/>
          <w:color w:val="auto"/>
          <w:highlight w:val="none"/>
        </w:rPr>
        <w:t xml:space="preserve"> 年</w:t>
      </w:r>
      <w:r>
        <w:rPr>
          <w:rFonts w:ascii="宋体" w:hAnsi="宋体" w:eastAsia="宋体" w:cs="宋体"/>
          <w:color w:val="auto"/>
          <w:highlight w:val="none"/>
          <w:u w:val="single"/>
        </w:rPr>
        <w:t xml:space="preserve">  </w:t>
      </w:r>
      <w:r>
        <w:rPr>
          <w:rFonts w:ascii="宋体" w:hAnsi="宋体" w:eastAsia="宋体" w:cs="宋体"/>
          <w:color w:val="auto"/>
          <w:highlight w:val="none"/>
        </w:rPr>
        <w:t>月</w:t>
      </w:r>
      <w:r>
        <w:rPr>
          <w:rFonts w:ascii="宋体" w:hAnsi="宋体" w:eastAsia="宋体" w:cs="宋体"/>
          <w:color w:val="auto"/>
          <w:highlight w:val="none"/>
          <w:u w:val="single"/>
        </w:rPr>
        <w:t xml:space="preserve">  </w:t>
      </w:r>
      <w:r>
        <w:rPr>
          <w:rFonts w:ascii="宋体" w:hAnsi="宋体" w:eastAsia="宋体" w:cs="宋体"/>
          <w:color w:val="auto"/>
          <w:highlight w:val="none"/>
        </w:rPr>
        <w:t>日</w:t>
      </w:r>
      <w:r>
        <w:rPr>
          <w:rFonts w:ascii="宋体" w:hAnsi="宋体" w:eastAsia="宋体" w:cs="宋体"/>
          <w:color w:val="auto"/>
          <w:highlight w:val="none"/>
          <w:u w:val="single"/>
        </w:rPr>
        <w:t xml:space="preserve">  </w:t>
      </w:r>
      <w:r>
        <w:rPr>
          <w:rFonts w:ascii="宋体" w:hAnsi="宋体" w:eastAsia="宋体" w:cs="宋体"/>
          <w:color w:val="auto"/>
          <w:highlight w:val="none"/>
        </w:rPr>
        <w:t>时前将原件递交至</w:t>
      </w:r>
      <w:r>
        <w:rPr>
          <w:rFonts w:ascii="宋体" w:hAnsi="宋体" w:eastAsia="宋体" w:cs="宋体"/>
          <w:color w:val="auto"/>
          <w:highlight w:val="none"/>
          <w:u w:val="single"/>
        </w:rPr>
        <w:t xml:space="preserve"> (详细地址) </w:t>
      </w:r>
      <w:r>
        <w:rPr>
          <w:rFonts w:ascii="宋体" w:hAnsi="宋体" w:eastAsia="宋体" w:cs="宋体"/>
          <w:color w:val="auto"/>
          <w:highlight w:val="none"/>
        </w:rPr>
        <w:t>。</w:t>
      </w:r>
    </w:p>
    <w:p>
      <w:pPr>
        <w:spacing w:before="283" w:line="221" w:lineRule="auto"/>
        <w:ind w:left="3543"/>
        <w:rPr>
          <w:rFonts w:ascii="宋体" w:hAnsi="宋体" w:eastAsia="宋体" w:cs="宋体"/>
          <w:color w:val="auto"/>
          <w:highlight w:val="none"/>
        </w:rPr>
      </w:pPr>
      <w:r>
        <w:rPr>
          <w:rFonts w:ascii="宋体" w:hAnsi="宋体" w:eastAsia="宋体" w:cs="宋体"/>
          <w:color w:val="auto"/>
          <w:spacing w:val="-6"/>
          <w:highlight w:val="none"/>
        </w:rPr>
        <w:t>评标</w:t>
      </w:r>
      <w:r>
        <w:rPr>
          <w:rFonts w:ascii="宋体" w:hAnsi="宋体" w:eastAsia="宋体" w:cs="宋体"/>
          <w:color w:val="auto"/>
          <w:spacing w:val="-3"/>
          <w:highlight w:val="none"/>
        </w:rPr>
        <w:t>工作组负责人： /</w:t>
      </w:r>
      <w:r>
        <w:rPr>
          <w:rFonts w:ascii="宋体" w:hAnsi="宋体" w:eastAsia="宋体" w:cs="宋体"/>
          <w:color w:val="auto"/>
          <w:spacing w:val="-3"/>
          <w:highlight w:val="none"/>
          <w:u w:val="single"/>
        </w:rPr>
        <w:t xml:space="preserve">            </w:t>
      </w:r>
      <w:r>
        <w:rPr>
          <w:rFonts w:ascii="宋体" w:hAnsi="宋体" w:eastAsia="宋体" w:cs="宋体"/>
          <w:color w:val="auto"/>
          <w:spacing w:val="-3"/>
          <w:highlight w:val="none"/>
        </w:rPr>
        <w:t>(签字)</w:t>
      </w:r>
    </w:p>
    <w:p>
      <w:pPr>
        <w:spacing w:line="306" w:lineRule="auto"/>
        <w:rPr>
          <w:color w:val="auto"/>
          <w:highlight w:val="none"/>
        </w:rPr>
      </w:pPr>
    </w:p>
    <w:p>
      <w:pPr>
        <w:spacing w:line="306" w:lineRule="auto"/>
        <w:rPr>
          <w:color w:val="auto"/>
          <w:highlight w:val="none"/>
        </w:rPr>
      </w:pPr>
    </w:p>
    <w:p>
      <w:pPr>
        <w:tabs>
          <w:tab w:val="left" w:pos="6100"/>
        </w:tabs>
        <w:spacing w:before="69" w:line="221" w:lineRule="auto"/>
        <w:ind w:left="5566"/>
        <w:rPr>
          <w:rFonts w:ascii="宋体" w:hAnsi="宋体" w:eastAsia="宋体" w:cs="宋体"/>
          <w:color w:val="auto"/>
          <w:highlight w:val="none"/>
        </w:rPr>
      </w:pPr>
      <w:r>
        <w:rPr>
          <w:rFonts w:ascii="宋体" w:hAnsi="宋体" w:eastAsia="宋体" w:cs="宋体"/>
          <w:color w:val="auto"/>
          <w:highlight w:val="none"/>
          <w:u w:val="single"/>
        </w:rPr>
        <w:tab/>
      </w:r>
      <w:r>
        <w:rPr>
          <w:rFonts w:ascii="宋体" w:hAnsi="宋体" w:eastAsia="宋体" w:cs="宋体"/>
          <w:color w:val="auto"/>
          <w:spacing w:val="5"/>
          <w:highlight w:val="none"/>
        </w:rPr>
        <w:t>年</w:t>
      </w:r>
      <w:r>
        <w:rPr>
          <w:rFonts w:ascii="宋体" w:hAnsi="宋体" w:eastAsia="宋体" w:cs="宋体"/>
          <w:color w:val="auto"/>
          <w:spacing w:val="3"/>
          <w:highlight w:val="none"/>
          <w:u w:val="single"/>
        </w:rPr>
        <w:t xml:space="preserve">    </w:t>
      </w:r>
      <w:r>
        <w:rPr>
          <w:rFonts w:ascii="宋体" w:hAnsi="宋体" w:eastAsia="宋体" w:cs="宋体"/>
          <w:color w:val="auto"/>
          <w:spacing w:val="3"/>
          <w:highlight w:val="none"/>
        </w:rPr>
        <w:t>月</w:t>
      </w:r>
      <w:r>
        <w:rPr>
          <w:rFonts w:ascii="宋体" w:hAnsi="宋体" w:eastAsia="宋体" w:cs="宋体"/>
          <w:color w:val="auto"/>
          <w:spacing w:val="3"/>
          <w:highlight w:val="none"/>
          <w:u w:val="single"/>
        </w:rPr>
        <w:t xml:space="preserve">    </w:t>
      </w:r>
      <w:r>
        <w:rPr>
          <w:rFonts w:ascii="宋体" w:hAnsi="宋体" w:eastAsia="宋体" w:cs="宋体"/>
          <w:color w:val="auto"/>
          <w:spacing w:val="3"/>
          <w:highlight w:val="none"/>
        </w:rPr>
        <w:t>日</w:t>
      </w:r>
    </w:p>
    <w:p>
      <w:pPr>
        <w:spacing w:before="61" w:line="220" w:lineRule="auto"/>
        <w:ind w:left="24"/>
        <w:rPr>
          <w:rFonts w:ascii="宋体" w:hAnsi="宋体" w:eastAsia="宋体" w:cs="宋体"/>
          <w:color w:val="auto"/>
          <w:highlight w:val="none"/>
        </w:rPr>
      </w:pPr>
      <w:r>
        <w:rPr>
          <w:rFonts w:ascii="宋体" w:hAnsi="宋体" w:eastAsia="宋体" w:cs="宋体"/>
          <w:color w:val="auto"/>
          <w:spacing w:val="-4"/>
          <w:highlight w:val="none"/>
        </w:rPr>
        <w:t>附</w:t>
      </w:r>
      <w:r>
        <w:rPr>
          <w:rFonts w:ascii="宋体" w:hAnsi="宋体" w:eastAsia="宋体" w:cs="宋体"/>
          <w:color w:val="auto"/>
          <w:spacing w:val="-3"/>
          <w:highlight w:val="none"/>
        </w:rPr>
        <w:t>表</w:t>
      </w:r>
      <w:r>
        <w:rPr>
          <w:rFonts w:ascii="宋体" w:hAnsi="宋体" w:eastAsia="宋体" w:cs="宋体"/>
          <w:color w:val="auto"/>
          <w:spacing w:val="-2"/>
          <w:highlight w:val="none"/>
        </w:rPr>
        <w:t>二：问题的澄清</w:t>
      </w:r>
    </w:p>
    <w:p>
      <w:pPr>
        <w:spacing w:line="339" w:lineRule="auto"/>
        <w:rPr>
          <w:color w:val="auto"/>
          <w:highlight w:val="none"/>
        </w:rPr>
      </w:pPr>
    </w:p>
    <w:p>
      <w:pPr>
        <w:spacing w:line="340" w:lineRule="auto"/>
        <w:rPr>
          <w:color w:val="auto"/>
          <w:highlight w:val="none"/>
        </w:rPr>
      </w:pPr>
    </w:p>
    <w:p>
      <w:pPr>
        <w:spacing w:before="101" w:line="226" w:lineRule="auto"/>
        <w:ind w:left="3730"/>
        <w:outlineLvl w:val="0"/>
        <w:rPr>
          <w:rFonts w:ascii="宋体" w:hAnsi="宋体" w:eastAsia="宋体" w:cs="宋体"/>
          <w:color w:val="auto"/>
          <w:sz w:val="31"/>
          <w:szCs w:val="31"/>
          <w:highlight w:val="none"/>
        </w:rPr>
      </w:pPr>
      <w:bookmarkStart w:id="13" w:name="_Toc23979"/>
      <w:bookmarkStart w:id="14" w:name="_Toc25371"/>
      <w:r>
        <w:rPr>
          <w:rFonts w:ascii="宋体" w:hAnsi="宋体" w:eastAsia="宋体" w:cs="宋体"/>
          <w:color w:val="auto"/>
          <w:spacing w:val="-1"/>
          <w:sz w:val="31"/>
          <w:szCs w:val="31"/>
          <w:highlight w:val="none"/>
          <w14:textOutline w14:w="5791" w14:cap="flat" w14:cmpd="sng" w14:algn="ctr">
            <w14:solidFill>
              <w14:srgbClr w14:val="000000"/>
            </w14:solidFill>
            <w14:prstDash w14:val="solid"/>
            <w14:miter w14:val="0"/>
          </w14:textOutline>
        </w:rPr>
        <w:t>问题的</w:t>
      </w:r>
      <w:r>
        <w:rPr>
          <w:rFonts w:ascii="宋体" w:hAnsi="宋体" w:eastAsia="宋体" w:cs="宋体"/>
          <w:color w:val="auto"/>
          <w:sz w:val="31"/>
          <w:szCs w:val="31"/>
          <w:highlight w:val="none"/>
          <w14:textOutline w14:w="5791" w14:cap="flat" w14:cmpd="sng" w14:algn="ctr">
            <w14:solidFill>
              <w14:srgbClr w14:val="000000"/>
            </w14:solidFill>
            <w14:prstDash w14:val="solid"/>
            <w14:miter w14:val="0"/>
          </w14:textOutline>
        </w:rPr>
        <w:t>澄清</w:t>
      </w:r>
      <w:bookmarkEnd w:id="13"/>
      <w:bookmarkEnd w:id="14"/>
    </w:p>
    <w:p>
      <w:pPr>
        <w:spacing w:line="387" w:lineRule="auto"/>
        <w:rPr>
          <w:color w:val="auto"/>
          <w:highlight w:val="none"/>
        </w:rPr>
      </w:pPr>
    </w:p>
    <w:p>
      <w:pPr>
        <w:spacing w:before="69" w:line="221" w:lineRule="auto"/>
        <w:ind w:left="3694"/>
        <w:rPr>
          <w:rFonts w:ascii="宋体" w:hAnsi="宋体" w:eastAsia="宋体" w:cs="宋体"/>
          <w:color w:val="auto"/>
          <w:highlight w:val="none"/>
        </w:rPr>
      </w:pPr>
      <w:r>
        <w:rPr>
          <w:rFonts w:ascii="宋体" w:hAnsi="宋体" w:eastAsia="宋体" w:cs="宋体"/>
          <w:color w:val="auto"/>
          <w:spacing w:val="-14"/>
          <w:highlight w:val="none"/>
        </w:rPr>
        <w:t>编</w:t>
      </w:r>
      <w:r>
        <w:rPr>
          <w:rFonts w:ascii="宋体" w:hAnsi="宋体" w:eastAsia="宋体" w:cs="宋体"/>
          <w:color w:val="auto"/>
          <w:spacing w:val="-12"/>
          <w:highlight w:val="none"/>
        </w:rPr>
        <w:t>号：</w:t>
      </w:r>
    </w:p>
    <w:p>
      <w:pPr>
        <w:spacing w:line="302" w:lineRule="auto"/>
        <w:rPr>
          <w:color w:val="auto"/>
          <w:highlight w:val="none"/>
        </w:rPr>
      </w:pPr>
    </w:p>
    <w:p>
      <w:pPr>
        <w:tabs>
          <w:tab w:val="left" w:pos="956"/>
        </w:tabs>
        <w:spacing w:before="69" w:line="220" w:lineRule="auto"/>
        <w:rPr>
          <w:rFonts w:ascii="宋体" w:hAnsi="宋体" w:eastAsia="宋体" w:cs="宋体"/>
          <w:color w:val="auto"/>
          <w:highlight w:val="none"/>
        </w:rPr>
      </w:pPr>
      <w:r>
        <w:rPr>
          <w:rFonts w:ascii="宋体" w:hAnsi="宋体" w:eastAsia="宋体" w:cs="宋体"/>
          <w:color w:val="auto"/>
          <w:highlight w:val="none"/>
          <w:u w:val="single"/>
        </w:rPr>
        <w:tab/>
      </w:r>
      <w:r>
        <w:rPr>
          <w:rFonts w:ascii="宋体" w:hAnsi="宋体" w:eastAsia="宋体" w:cs="宋体"/>
          <w:color w:val="auto"/>
          <w:spacing w:val="-4"/>
          <w:highlight w:val="none"/>
          <w:u w:val="single"/>
          <w14:textOutline w14:w="3835" w14:cap="flat" w14:cmpd="sng" w14:algn="ctr">
            <w14:solidFill>
              <w14:srgbClr w14:val="000000"/>
            </w14:solidFill>
            <w14:prstDash w14:val="solid"/>
            <w14:miter w14:val="0"/>
          </w14:textOutline>
        </w:rPr>
        <w:t>(项目名</w:t>
      </w:r>
      <w:r>
        <w:rPr>
          <w:rFonts w:ascii="宋体" w:hAnsi="宋体" w:eastAsia="宋体" w:cs="宋体"/>
          <w:color w:val="auto"/>
          <w:spacing w:val="-2"/>
          <w:highlight w:val="none"/>
          <w:u w:val="single"/>
          <w14:textOutline w14:w="3835" w14:cap="flat" w14:cmpd="sng" w14:algn="ctr">
            <w14:solidFill>
              <w14:srgbClr w14:val="000000"/>
            </w14:solidFill>
            <w14:prstDash w14:val="solid"/>
            <w14:miter w14:val="0"/>
          </w14:textOutline>
        </w:rPr>
        <w:t>称)</w:t>
      </w:r>
      <w:r>
        <w:rPr>
          <w:rFonts w:ascii="宋体" w:hAnsi="宋体" w:eastAsia="宋体" w:cs="宋体"/>
          <w:color w:val="auto"/>
          <w:spacing w:val="-2"/>
          <w:highlight w:val="none"/>
          <w:u w:val="single"/>
        </w:rPr>
        <w:t xml:space="preserve"> </w:t>
      </w:r>
      <w:r>
        <w:rPr>
          <w:rFonts w:ascii="宋体" w:hAnsi="宋体" w:eastAsia="宋体" w:cs="宋体"/>
          <w:color w:val="auto"/>
          <w:spacing w:val="-2"/>
          <w:highlight w:val="none"/>
        </w:rPr>
        <w:t>施工招标评标委员会：</w:t>
      </w:r>
    </w:p>
    <w:p>
      <w:pPr>
        <w:spacing w:before="61" w:line="305" w:lineRule="auto"/>
        <w:ind w:left="452"/>
        <w:rPr>
          <w:rFonts w:ascii="宋体" w:hAnsi="宋体" w:eastAsia="宋体" w:cs="宋体"/>
          <w:color w:val="auto"/>
          <w:highlight w:val="none"/>
        </w:rPr>
      </w:pPr>
      <w:r>
        <w:rPr>
          <w:rFonts w:ascii="宋体" w:hAnsi="宋体" w:eastAsia="宋体" w:cs="宋体"/>
          <w:color w:val="auto"/>
          <w:spacing w:val="-2"/>
          <w:highlight w:val="none"/>
        </w:rPr>
        <w:t>问题澄</w:t>
      </w:r>
      <w:r>
        <w:rPr>
          <w:rFonts w:ascii="宋体" w:hAnsi="宋体" w:eastAsia="宋体" w:cs="宋体"/>
          <w:color w:val="auto"/>
          <w:spacing w:val="-1"/>
          <w:highlight w:val="none"/>
        </w:rPr>
        <w:t>清通知(编号：</w:t>
      </w:r>
      <w:r>
        <w:rPr>
          <w:rFonts w:ascii="宋体" w:hAnsi="宋体" w:eastAsia="宋体" w:cs="宋体"/>
          <w:color w:val="auto"/>
          <w:spacing w:val="-1"/>
          <w:highlight w:val="none"/>
          <w:u w:val="single"/>
        </w:rPr>
        <w:t xml:space="preserve">        </w:t>
      </w:r>
      <w:r>
        <w:rPr>
          <w:rFonts w:ascii="宋体" w:hAnsi="宋体" w:eastAsia="宋体" w:cs="宋体"/>
          <w:color w:val="auto"/>
          <w:spacing w:val="-1"/>
          <w:highlight w:val="none"/>
        </w:rPr>
        <w:t>) 已收悉，现澄清如下：</w:t>
      </w:r>
    </w:p>
    <w:p>
      <w:pPr>
        <w:spacing w:before="1" w:line="185" w:lineRule="auto"/>
        <w:ind w:left="448"/>
        <w:rPr>
          <w:rFonts w:ascii="宋体" w:hAnsi="宋体" w:eastAsia="宋体" w:cs="宋体"/>
          <w:color w:val="auto"/>
          <w:highlight w:val="none"/>
        </w:rPr>
      </w:pPr>
      <w:r>
        <w:rPr>
          <w:rFonts w:ascii="宋体" w:hAnsi="宋体" w:eastAsia="宋体" w:cs="宋体"/>
          <w:color w:val="auto"/>
          <w:spacing w:val="-6"/>
          <w:highlight w:val="none"/>
        </w:rPr>
        <w:t>1</w:t>
      </w:r>
      <w:r>
        <w:rPr>
          <w:rFonts w:ascii="宋体" w:hAnsi="宋体" w:eastAsia="宋体" w:cs="宋体"/>
          <w:color w:val="auto"/>
          <w:spacing w:val="-4"/>
          <w:highlight w:val="none"/>
        </w:rPr>
        <w:t>.</w:t>
      </w:r>
    </w:p>
    <w:p>
      <w:pPr>
        <w:spacing w:before="102" w:line="185" w:lineRule="auto"/>
        <w:ind w:left="435"/>
        <w:rPr>
          <w:rFonts w:ascii="宋体" w:hAnsi="宋体" w:eastAsia="宋体" w:cs="宋体"/>
          <w:color w:val="auto"/>
          <w:highlight w:val="none"/>
        </w:rPr>
      </w:pPr>
      <w:r>
        <w:rPr>
          <w:rFonts w:ascii="宋体" w:hAnsi="宋体" w:eastAsia="宋体" w:cs="宋体"/>
          <w:color w:val="auto"/>
          <w:spacing w:val="2"/>
          <w:highlight w:val="none"/>
        </w:rPr>
        <w:t>2</w:t>
      </w:r>
      <w:r>
        <w:rPr>
          <w:rFonts w:ascii="宋体" w:hAnsi="宋体" w:eastAsia="宋体" w:cs="宋体"/>
          <w:color w:val="auto"/>
          <w:spacing w:val="1"/>
          <w:highlight w:val="none"/>
        </w:rPr>
        <w:t>.</w:t>
      </w:r>
    </w:p>
    <w:p>
      <w:pPr>
        <w:spacing w:line="305" w:lineRule="auto"/>
        <w:ind w:firstLine="828" w:firstLineChars="200"/>
        <w:rPr>
          <w:rFonts w:eastAsia="宋体"/>
          <w:color w:val="auto"/>
          <w:highlight w:val="none"/>
        </w:rPr>
      </w:pPr>
      <w:r>
        <w:rPr>
          <w:rFonts w:hint="eastAsia" w:ascii="宋体" w:hAnsi="宋体" w:eastAsia="宋体" w:cs="宋体"/>
          <w:color w:val="auto"/>
          <w:spacing w:val="102"/>
          <w:highlight w:val="none"/>
        </w:rPr>
        <w:t>......</w:t>
      </w:r>
    </w:p>
    <w:p>
      <w:pPr>
        <w:spacing w:line="305" w:lineRule="auto"/>
        <w:rPr>
          <w:color w:val="auto"/>
          <w:highlight w:val="none"/>
        </w:rPr>
      </w:pPr>
    </w:p>
    <w:p>
      <w:pPr>
        <w:spacing w:before="68" w:line="548" w:lineRule="auto"/>
        <w:ind w:left="4262" w:right="22" w:firstLine="1"/>
        <w:rPr>
          <w:rFonts w:ascii="宋体" w:hAnsi="宋体" w:eastAsia="宋体" w:cs="宋体"/>
          <w:color w:val="auto"/>
          <w:highlight w:val="none"/>
        </w:rPr>
      </w:pPr>
      <w:r>
        <w:rPr>
          <w:rFonts w:ascii="宋体" w:hAnsi="宋体" w:eastAsia="宋体" w:cs="宋体"/>
          <w:color w:val="auto"/>
          <w:spacing w:val="-6"/>
          <w:highlight w:val="none"/>
        </w:rPr>
        <w:t>投标人：</w:t>
      </w:r>
      <w:r>
        <w:rPr>
          <w:rFonts w:ascii="宋体" w:hAnsi="宋体" w:eastAsia="宋体" w:cs="宋体"/>
          <w:color w:val="auto"/>
          <w:spacing w:val="-6"/>
          <w:highlight w:val="none"/>
          <w:u w:val="single"/>
        </w:rPr>
        <w:t xml:space="preserve">    </w:t>
      </w:r>
      <w:r>
        <w:rPr>
          <w:rFonts w:ascii="宋体" w:hAnsi="宋体" w:eastAsia="宋体" w:cs="宋体"/>
          <w:color w:val="auto"/>
          <w:spacing w:val="-3"/>
          <w:highlight w:val="none"/>
          <w:u w:val="single"/>
        </w:rPr>
        <w:t xml:space="preserve">                    </w:t>
      </w:r>
      <w:r>
        <w:rPr>
          <w:rFonts w:ascii="宋体" w:hAnsi="宋体" w:eastAsia="宋体" w:cs="宋体"/>
          <w:color w:val="auto"/>
          <w:spacing w:val="-3"/>
          <w:highlight w:val="none"/>
        </w:rPr>
        <w:t>(盖单位章)</w:t>
      </w:r>
      <w:r>
        <w:rPr>
          <w:rFonts w:ascii="宋体" w:hAnsi="宋体" w:eastAsia="宋体" w:cs="宋体"/>
          <w:color w:val="auto"/>
          <w:highlight w:val="none"/>
        </w:rPr>
        <w:t xml:space="preserve">    </w:t>
      </w:r>
    </w:p>
    <w:p>
      <w:pPr>
        <w:spacing w:before="68" w:line="548" w:lineRule="auto"/>
        <w:ind w:left="4262" w:right="22" w:firstLine="1"/>
        <w:rPr>
          <w:rFonts w:ascii="宋体" w:hAnsi="宋体" w:eastAsia="宋体" w:cs="宋体"/>
          <w:color w:val="auto"/>
          <w:highlight w:val="none"/>
        </w:rPr>
      </w:pPr>
      <w:r>
        <w:rPr>
          <w:rFonts w:ascii="宋体" w:hAnsi="宋体" w:eastAsia="宋体" w:cs="宋体"/>
          <w:color w:val="auto"/>
          <w:spacing w:val="-12"/>
          <w:highlight w:val="none"/>
        </w:rPr>
        <w:t>法定</w:t>
      </w:r>
      <w:r>
        <w:rPr>
          <w:rFonts w:ascii="宋体" w:hAnsi="宋体" w:eastAsia="宋体" w:cs="宋体"/>
          <w:color w:val="auto"/>
          <w:spacing w:val="-8"/>
          <w:highlight w:val="none"/>
        </w:rPr>
        <w:t>代</w:t>
      </w:r>
      <w:r>
        <w:rPr>
          <w:rFonts w:ascii="宋体" w:hAnsi="宋体" w:eastAsia="宋体" w:cs="宋体"/>
          <w:color w:val="auto"/>
          <w:spacing w:val="-6"/>
          <w:highlight w:val="none"/>
        </w:rPr>
        <w:t>表人或其委托代理人：</w:t>
      </w:r>
      <w:r>
        <w:rPr>
          <w:rFonts w:ascii="宋体" w:hAnsi="宋体" w:eastAsia="宋体" w:cs="宋体"/>
          <w:color w:val="auto"/>
          <w:spacing w:val="-6"/>
          <w:highlight w:val="none"/>
          <w:u w:val="single"/>
        </w:rPr>
        <w:t xml:space="preserve">        </w:t>
      </w:r>
      <w:r>
        <w:rPr>
          <w:rFonts w:ascii="宋体" w:hAnsi="宋体" w:eastAsia="宋体" w:cs="宋体"/>
          <w:color w:val="auto"/>
          <w:spacing w:val="-6"/>
          <w:highlight w:val="none"/>
        </w:rPr>
        <w:t>(签字、盖章)</w:t>
      </w:r>
    </w:p>
    <w:p>
      <w:pPr>
        <w:tabs>
          <w:tab w:val="left" w:pos="6310"/>
        </w:tabs>
        <w:spacing w:before="1" w:line="221" w:lineRule="auto"/>
        <w:ind w:left="5672"/>
        <w:rPr>
          <w:color w:val="auto"/>
          <w:highlight w:val="none"/>
        </w:rPr>
        <w:sectPr>
          <w:footerReference r:id="rId8" w:type="default"/>
          <w:pgSz w:w="11907" w:h="16839"/>
          <w:pgMar w:top="1440" w:right="1080" w:bottom="1440" w:left="1080" w:header="0" w:footer="993" w:gutter="0"/>
          <w:cols w:space="720" w:num="1"/>
        </w:sectPr>
      </w:pPr>
      <w:r>
        <w:rPr>
          <w:rFonts w:ascii="宋体" w:hAnsi="宋体" w:eastAsia="宋体" w:cs="宋体"/>
          <w:color w:val="auto"/>
          <w:highlight w:val="none"/>
          <w:u w:val="single"/>
        </w:rPr>
        <w:tab/>
      </w:r>
      <w:r>
        <w:rPr>
          <w:rFonts w:ascii="宋体" w:hAnsi="宋体" w:eastAsia="宋体" w:cs="宋体"/>
          <w:color w:val="auto"/>
          <w:spacing w:val="4"/>
          <w:highlight w:val="none"/>
        </w:rPr>
        <w:t>年</w:t>
      </w:r>
      <w:r>
        <w:rPr>
          <w:rFonts w:ascii="宋体" w:hAnsi="宋体" w:eastAsia="宋体" w:cs="宋体"/>
          <w:color w:val="auto"/>
          <w:spacing w:val="4"/>
          <w:highlight w:val="none"/>
          <w:u w:val="single"/>
        </w:rPr>
        <w:t xml:space="preserve">  </w:t>
      </w:r>
      <w:r>
        <w:rPr>
          <w:rFonts w:ascii="宋体" w:hAnsi="宋体" w:eastAsia="宋体" w:cs="宋体"/>
          <w:color w:val="auto"/>
          <w:spacing w:val="2"/>
          <w:highlight w:val="none"/>
          <w:u w:val="single"/>
        </w:rPr>
        <w:t xml:space="preserve">   </w:t>
      </w:r>
      <w:r>
        <w:rPr>
          <w:rFonts w:ascii="宋体" w:hAnsi="宋体" w:eastAsia="宋体" w:cs="宋体"/>
          <w:color w:val="auto"/>
          <w:spacing w:val="2"/>
          <w:highlight w:val="none"/>
        </w:rPr>
        <w:t xml:space="preserve"> 月</w:t>
      </w:r>
      <w:r>
        <w:rPr>
          <w:rFonts w:ascii="宋体" w:hAnsi="宋体" w:eastAsia="宋体" w:cs="宋体"/>
          <w:color w:val="auto"/>
          <w:spacing w:val="2"/>
          <w:highlight w:val="none"/>
          <w:u w:val="single"/>
        </w:rPr>
        <w:t xml:space="preserve">      </w:t>
      </w:r>
      <w:r>
        <w:rPr>
          <w:rFonts w:ascii="宋体" w:hAnsi="宋体" w:eastAsia="宋体" w:cs="宋体"/>
          <w:color w:val="auto"/>
          <w:spacing w:val="2"/>
          <w:highlight w:val="none"/>
        </w:rPr>
        <w:t>日</w:t>
      </w:r>
    </w:p>
    <w:p>
      <w:pPr>
        <w:spacing w:line="245" w:lineRule="auto"/>
        <w:rPr>
          <w:color w:val="auto"/>
          <w:highlight w:val="none"/>
        </w:rPr>
      </w:pPr>
    </w:p>
    <w:p>
      <w:pPr>
        <w:pStyle w:val="3"/>
        <w:spacing w:before="0" w:after="0" w:line="360" w:lineRule="auto"/>
        <w:jc w:val="center"/>
        <w:rPr>
          <w:color w:val="auto"/>
          <w:highlight w:val="none"/>
        </w:rPr>
      </w:pPr>
      <w:bookmarkStart w:id="15" w:name="_bookmark3"/>
      <w:bookmarkEnd w:id="15"/>
      <w:bookmarkStart w:id="16" w:name="_Toc32695"/>
      <w:bookmarkStart w:id="17" w:name="_Toc8220"/>
      <w:bookmarkStart w:id="18" w:name="_Toc11573"/>
      <w:r>
        <w:rPr>
          <w:color w:val="auto"/>
          <w:highlight w:val="none"/>
        </w:rPr>
        <w:t>第三章 评标办法(综合评估法)</w:t>
      </w:r>
      <w:bookmarkEnd w:id="16"/>
      <w:bookmarkEnd w:id="17"/>
      <w:bookmarkEnd w:id="18"/>
    </w:p>
    <w:p>
      <w:pPr>
        <w:spacing w:line="219" w:lineRule="auto"/>
        <w:ind w:left="3435"/>
        <w:rPr>
          <w:rFonts w:ascii="宋体" w:hAnsi="宋体" w:eastAsia="宋体" w:cs="宋体"/>
          <w:color w:val="auto"/>
          <w:sz w:val="28"/>
          <w:szCs w:val="28"/>
          <w:highlight w:val="none"/>
          <w14:textOutline w14:w="5092" w14:cap="flat" w14:cmpd="sng" w14:algn="ctr">
            <w14:solidFill>
              <w14:srgbClr w14:val="000000"/>
            </w14:solidFill>
            <w14:prstDash w14:val="solid"/>
            <w14:miter w14:val="0"/>
          </w14:textOutline>
        </w:rPr>
      </w:pPr>
      <w:r>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评标</w:t>
      </w:r>
      <w:r>
        <w:rPr>
          <w:rFonts w:ascii="宋体" w:hAnsi="宋体" w:eastAsia="宋体" w:cs="宋体"/>
          <w:color w:val="auto"/>
          <w:sz w:val="28"/>
          <w:szCs w:val="28"/>
          <w:highlight w:val="none"/>
          <w14:textOutline w14:w="5092" w14:cap="flat" w14:cmpd="sng" w14:algn="ctr">
            <w14:solidFill>
              <w14:srgbClr w14:val="000000"/>
            </w14:solidFill>
            <w14:prstDash w14:val="solid"/>
            <w14:miter w14:val="0"/>
          </w14:textOutline>
        </w:rPr>
        <w:t>办法前附表</w:t>
      </w:r>
    </w:p>
    <w:p>
      <w:pPr>
        <w:pStyle w:val="2"/>
        <w:rPr>
          <w:color w:val="auto"/>
          <w:highlight w:val="none"/>
        </w:rPr>
      </w:pPr>
    </w:p>
    <w:tbl>
      <w:tblPr>
        <w:tblStyle w:val="1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18"/>
        <w:gridCol w:w="751"/>
        <w:gridCol w:w="2929"/>
        <w:gridCol w:w="5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0" w:type="pct"/>
            <w:gridSpan w:val="2"/>
            <w:vAlign w:val="center"/>
          </w:tcPr>
          <w:p>
            <w:pPr>
              <w:jc w:val="center"/>
              <w:rPr>
                <w:rFonts w:ascii="宋体" w:hAnsi="宋体"/>
                <w:color w:val="auto"/>
                <w:sz w:val="24"/>
                <w:highlight w:val="none"/>
              </w:rPr>
            </w:pPr>
            <w:r>
              <w:rPr>
                <w:rFonts w:hint="eastAsia" w:ascii="宋体" w:hAnsi="宋体" w:cs="MingLiU"/>
                <w:color w:val="auto"/>
                <w:spacing w:val="1"/>
                <w:highlight w:val="none"/>
              </w:rPr>
              <w:t>条款号</w:t>
            </w:r>
          </w:p>
        </w:tc>
        <w:tc>
          <w:tcPr>
            <w:tcW w:w="1502" w:type="pct"/>
            <w:vAlign w:val="center"/>
          </w:tcPr>
          <w:p>
            <w:pPr>
              <w:spacing w:line="400" w:lineRule="exact"/>
              <w:jc w:val="center"/>
              <w:rPr>
                <w:rFonts w:ascii="宋体" w:hAnsi="宋体"/>
                <w:color w:val="auto"/>
                <w:sz w:val="24"/>
                <w:highlight w:val="none"/>
              </w:rPr>
            </w:pPr>
            <w:r>
              <w:rPr>
                <w:rFonts w:hint="eastAsia" w:ascii="宋体" w:hAnsi="宋体" w:cs="MingLiU"/>
                <w:color w:val="auto"/>
                <w:spacing w:val="1"/>
                <w:highlight w:val="none"/>
              </w:rPr>
              <w:t>评审因素</w:t>
            </w:r>
          </w:p>
        </w:tc>
        <w:tc>
          <w:tcPr>
            <w:tcW w:w="2797" w:type="pct"/>
            <w:vAlign w:val="center"/>
          </w:tcPr>
          <w:p>
            <w:pPr>
              <w:spacing w:line="400" w:lineRule="exact"/>
              <w:jc w:val="center"/>
              <w:rPr>
                <w:rFonts w:ascii="宋体" w:hAnsi="宋体"/>
                <w:color w:val="auto"/>
                <w:sz w:val="24"/>
                <w:highlight w:val="none"/>
              </w:rPr>
            </w:pPr>
            <w:r>
              <w:rPr>
                <w:rFonts w:hint="eastAsia" w:ascii="宋体" w:hAnsi="宋体" w:cs="MingLiU"/>
                <w:color w:val="auto"/>
                <w:spacing w:val="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3" w:hRule="atLeast"/>
          <w:jc w:val="center"/>
        </w:trPr>
        <w:tc>
          <w:tcPr>
            <w:tcW w:w="314" w:type="pct"/>
            <w:vMerge w:val="restart"/>
            <w:vAlign w:val="center"/>
          </w:tcPr>
          <w:p>
            <w:pPr>
              <w:rPr>
                <w:rFonts w:ascii="宋体" w:hAnsi="宋体"/>
                <w:color w:val="auto"/>
                <w:sz w:val="24"/>
                <w:highlight w:val="none"/>
              </w:rPr>
            </w:pPr>
            <w:r>
              <w:rPr>
                <w:rFonts w:ascii="宋体" w:hAnsi="宋体"/>
                <w:color w:val="auto"/>
                <w:spacing w:val="1"/>
                <w:highlight w:val="none"/>
              </w:rPr>
              <w:t>2</w:t>
            </w:r>
            <w:r>
              <w:rPr>
                <w:rFonts w:ascii="宋体" w:hAnsi="宋体"/>
                <w:color w:val="auto"/>
                <w:highlight w:val="none"/>
              </w:rPr>
              <w:t>.1.</w:t>
            </w:r>
            <w:r>
              <w:rPr>
                <w:rFonts w:hint="eastAsia" w:ascii="宋体" w:hAnsi="宋体"/>
                <w:color w:val="auto"/>
                <w:highlight w:val="none"/>
              </w:rPr>
              <w:t>1</w:t>
            </w:r>
          </w:p>
        </w:tc>
        <w:tc>
          <w:tcPr>
            <w:tcW w:w="385" w:type="pct"/>
            <w:vMerge w:val="restart"/>
            <w:textDirection w:val="tbRlV"/>
            <w:vAlign w:val="center"/>
          </w:tcPr>
          <w:p>
            <w:pPr>
              <w:spacing w:line="460" w:lineRule="exact"/>
              <w:ind w:left="113" w:right="113"/>
              <w:jc w:val="center"/>
              <w:rPr>
                <w:rFonts w:ascii="宋体" w:hAnsi="宋体"/>
                <w:color w:val="auto"/>
                <w:sz w:val="24"/>
                <w:highlight w:val="none"/>
              </w:rPr>
            </w:pPr>
            <w:r>
              <w:rPr>
                <w:rFonts w:hint="eastAsia" w:ascii="宋体" w:hAnsi="宋体" w:cs="MingLiU"/>
                <w:color w:val="auto"/>
                <w:highlight w:val="none"/>
              </w:rPr>
              <w:t>资格评审标准</w:t>
            </w:r>
          </w:p>
        </w:tc>
        <w:tc>
          <w:tcPr>
            <w:tcW w:w="1502" w:type="pct"/>
            <w:vAlign w:val="center"/>
          </w:tcPr>
          <w:p>
            <w:pPr>
              <w:spacing w:line="400" w:lineRule="exact"/>
              <w:jc w:val="center"/>
              <w:rPr>
                <w:rFonts w:ascii="宋体" w:hAnsi="宋体"/>
                <w:color w:val="auto"/>
                <w:sz w:val="24"/>
                <w:highlight w:val="none"/>
              </w:rPr>
            </w:pPr>
            <w:r>
              <w:rPr>
                <w:rFonts w:hint="eastAsia" w:ascii="宋体" w:hAnsi="宋体" w:cs="MingLiU"/>
                <w:color w:val="auto"/>
                <w:highlight w:val="none"/>
              </w:rPr>
              <w:t>营业执照</w:t>
            </w:r>
          </w:p>
        </w:tc>
        <w:tc>
          <w:tcPr>
            <w:tcW w:w="2797" w:type="pct"/>
            <w:vAlign w:val="center"/>
          </w:tcPr>
          <w:p>
            <w:pPr>
              <w:spacing w:line="400" w:lineRule="exact"/>
              <w:rPr>
                <w:rFonts w:ascii="宋体" w:hAnsi="宋体"/>
                <w:color w:val="auto"/>
                <w:sz w:val="24"/>
                <w:highlight w:val="none"/>
              </w:rPr>
            </w:pPr>
            <w:r>
              <w:rPr>
                <w:rFonts w:hint="eastAsia" w:ascii="宋体" w:hAnsi="宋体" w:cs="MingLiU"/>
                <w:color w:val="auto"/>
                <w:highlight w:val="none"/>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3" w:hRule="atLeast"/>
          <w:jc w:val="center"/>
        </w:trPr>
        <w:tc>
          <w:tcPr>
            <w:tcW w:w="314" w:type="pct"/>
            <w:vMerge w:val="continue"/>
            <w:vAlign w:val="center"/>
          </w:tcPr>
          <w:p>
            <w:pPr>
              <w:rPr>
                <w:rFonts w:ascii="宋体" w:hAnsi="宋体"/>
                <w:color w:val="auto"/>
                <w:spacing w:val="1"/>
                <w:highlight w:val="none"/>
              </w:rPr>
            </w:pPr>
          </w:p>
        </w:tc>
        <w:tc>
          <w:tcPr>
            <w:tcW w:w="385" w:type="pct"/>
            <w:vMerge w:val="continue"/>
            <w:textDirection w:val="tbRlV"/>
            <w:vAlign w:val="center"/>
          </w:tcPr>
          <w:p>
            <w:pPr>
              <w:spacing w:line="460" w:lineRule="exact"/>
              <w:ind w:left="113" w:right="113"/>
              <w:jc w:val="center"/>
              <w:rPr>
                <w:rFonts w:ascii="宋体" w:hAnsi="宋体" w:cs="MingLiU"/>
                <w:color w:val="auto"/>
                <w:highlight w:val="none"/>
              </w:rPr>
            </w:pPr>
          </w:p>
        </w:tc>
        <w:tc>
          <w:tcPr>
            <w:tcW w:w="1502" w:type="pct"/>
            <w:vAlign w:val="center"/>
          </w:tcPr>
          <w:p>
            <w:pPr>
              <w:spacing w:line="400" w:lineRule="exact"/>
              <w:jc w:val="center"/>
              <w:rPr>
                <w:rFonts w:ascii="宋体" w:hAnsi="宋体" w:cs="MingLiU"/>
                <w:color w:val="auto"/>
                <w:highlight w:val="none"/>
              </w:rPr>
            </w:pPr>
            <w:r>
              <w:rPr>
                <w:rFonts w:hint="eastAsia" w:ascii="宋体" w:hAnsi="宋体" w:cs="MingLiU"/>
                <w:color w:val="auto"/>
                <w:highlight w:val="none"/>
              </w:rPr>
              <w:t>资质等级</w:t>
            </w:r>
          </w:p>
        </w:tc>
        <w:tc>
          <w:tcPr>
            <w:tcW w:w="2797" w:type="pct"/>
            <w:vAlign w:val="center"/>
          </w:tcPr>
          <w:p>
            <w:pPr>
              <w:spacing w:line="400" w:lineRule="exact"/>
              <w:rPr>
                <w:rFonts w:ascii="宋体" w:hAnsi="宋体" w:cs="MingLiU"/>
                <w:color w:val="auto"/>
                <w:highlight w:val="none"/>
              </w:rPr>
            </w:pPr>
            <w:r>
              <w:rPr>
                <w:rFonts w:hint="eastAsia" w:ascii="宋体" w:hAnsi="宋体" w:cs="MingLiU"/>
                <w:color w:val="auto"/>
                <w:highlight w:val="none"/>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1" w:hRule="atLeast"/>
          <w:jc w:val="center"/>
        </w:trPr>
        <w:tc>
          <w:tcPr>
            <w:tcW w:w="314" w:type="pct"/>
            <w:vMerge w:val="continue"/>
            <w:vAlign w:val="center"/>
          </w:tcPr>
          <w:p>
            <w:pPr>
              <w:rPr>
                <w:rFonts w:ascii="宋体" w:hAnsi="宋体"/>
                <w:color w:val="auto"/>
                <w:sz w:val="24"/>
                <w:highlight w:val="none"/>
              </w:rPr>
            </w:pPr>
          </w:p>
        </w:tc>
        <w:tc>
          <w:tcPr>
            <w:tcW w:w="385" w:type="pct"/>
            <w:vMerge w:val="continue"/>
            <w:vAlign w:val="center"/>
          </w:tcPr>
          <w:p>
            <w:pPr>
              <w:spacing w:line="460" w:lineRule="exact"/>
              <w:jc w:val="center"/>
              <w:rPr>
                <w:rFonts w:ascii="宋体" w:hAnsi="宋体"/>
                <w:color w:val="auto"/>
                <w:sz w:val="24"/>
                <w:highlight w:val="none"/>
              </w:rPr>
            </w:pPr>
          </w:p>
        </w:tc>
        <w:tc>
          <w:tcPr>
            <w:tcW w:w="1502" w:type="pct"/>
            <w:vAlign w:val="center"/>
          </w:tcPr>
          <w:p>
            <w:pPr>
              <w:spacing w:line="400" w:lineRule="exact"/>
              <w:jc w:val="center"/>
              <w:rPr>
                <w:rFonts w:ascii="宋体" w:hAnsi="宋体"/>
                <w:color w:val="auto"/>
                <w:sz w:val="24"/>
                <w:highlight w:val="none"/>
              </w:rPr>
            </w:pPr>
            <w:r>
              <w:rPr>
                <w:rFonts w:hint="eastAsia" w:ascii="宋体" w:hAnsi="宋体" w:cs="MingLiU"/>
                <w:color w:val="auto"/>
                <w:highlight w:val="none"/>
              </w:rPr>
              <w:t>安全生产许可证</w:t>
            </w:r>
          </w:p>
        </w:tc>
        <w:tc>
          <w:tcPr>
            <w:tcW w:w="2797" w:type="pct"/>
            <w:vAlign w:val="center"/>
          </w:tcPr>
          <w:p>
            <w:pPr>
              <w:spacing w:line="400" w:lineRule="exact"/>
              <w:rPr>
                <w:rFonts w:ascii="宋体" w:hAnsi="宋体"/>
                <w:color w:val="auto"/>
                <w:sz w:val="24"/>
                <w:highlight w:val="none"/>
              </w:rPr>
            </w:pPr>
            <w:r>
              <w:rPr>
                <w:rFonts w:hint="eastAsia" w:ascii="宋体" w:hAnsi="宋体" w:cs="MingLiU"/>
                <w:color w:val="auto"/>
                <w:highlight w:val="none"/>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8" w:hRule="atLeast"/>
          <w:jc w:val="center"/>
        </w:trPr>
        <w:tc>
          <w:tcPr>
            <w:tcW w:w="314" w:type="pct"/>
            <w:vMerge w:val="continue"/>
            <w:vAlign w:val="center"/>
          </w:tcPr>
          <w:p>
            <w:pPr>
              <w:rPr>
                <w:rFonts w:ascii="宋体" w:hAnsi="宋体"/>
                <w:color w:val="auto"/>
                <w:sz w:val="24"/>
                <w:highlight w:val="none"/>
              </w:rPr>
            </w:pPr>
          </w:p>
        </w:tc>
        <w:tc>
          <w:tcPr>
            <w:tcW w:w="385" w:type="pct"/>
            <w:vMerge w:val="continue"/>
            <w:vAlign w:val="center"/>
          </w:tcPr>
          <w:p>
            <w:pPr>
              <w:spacing w:line="460" w:lineRule="exact"/>
              <w:jc w:val="center"/>
              <w:rPr>
                <w:rFonts w:ascii="宋体" w:hAnsi="宋体"/>
                <w:color w:val="auto"/>
                <w:sz w:val="24"/>
                <w:highlight w:val="none"/>
              </w:rPr>
            </w:pPr>
          </w:p>
        </w:tc>
        <w:tc>
          <w:tcPr>
            <w:tcW w:w="1502" w:type="pct"/>
            <w:vAlign w:val="center"/>
          </w:tcPr>
          <w:p>
            <w:pPr>
              <w:spacing w:line="400" w:lineRule="exact"/>
              <w:jc w:val="center"/>
              <w:rPr>
                <w:rFonts w:ascii="宋体" w:hAnsi="宋体" w:cs="MingLiU"/>
                <w:color w:val="auto"/>
                <w:highlight w:val="none"/>
              </w:rPr>
            </w:pPr>
            <w:r>
              <w:rPr>
                <w:color w:val="auto"/>
                <w:highlight w:val="none"/>
              </w:rPr>
              <w:t>诚信</w:t>
            </w:r>
            <w:r>
              <w:rPr>
                <w:rFonts w:hint="eastAsia"/>
                <w:color w:val="auto"/>
                <w:highlight w:val="none"/>
              </w:rPr>
              <w:t>要求</w:t>
            </w:r>
          </w:p>
        </w:tc>
        <w:tc>
          <w:tcPr>
            <w:tcW w:w="2797" w:type="pct"/>
            <w:vAlign w:val="center"/>
          </w:tcPr>
          <w:p>
            <w:pPr>
              <w:spacing w:line="400" w:lineRule="exact"/>
              <w:rPr>
                <w:rFonts w:ascii="宋体" w:hAnsi="宋体" w:cs="MingLiU"/>
                <w:color w:val="auto"/>
                <w:highlight w:val="none"/>
              </w:rPr>
            </w:pPr>
            <w:r>
              <w:rPr>
                <w:rFonts w:hint="eastAsia" w:ascii="宋体" w:hAnsi="宋体" w:cs="MingLiU"/>
                <w:color w:val="auto"/>
                <w:highlight w:val="none"/>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3" w:hRule="atLeast"/>
          <w:jc w:val="center"/>
        </w:trPr>
        <w:tc>
          <w:tcPr>
            <w:tcW w:w="314" w:type="pct"/>
            <w:vMerge w:val="continue"/>
            <w:vAlign w:val="center"/>
          </w:tcPr>
          <w:p>
            <w:pPr>
              <w:rPr>
                <w:rFonts w:ascii="宋体" w:hAnsi="宋体"/>
                <w:color w:val="auto"/>
                <w:sz w:val="24"/>
                <w:highlight w:val="none"/>
              </w:rPr>
            </w:pPr>
          </w:p>
        </w:tc>
        <w:tc>
          <w:tcPr>
            <w:tcW w:w="385" w:type="pct"/>
            <w:vMerge w:val="continue"/>
            <w:vAlign w:val="center"/>
          </w:tcPr>
          <w:p>
            <w:pPr>
              <w:spacing w:line="460" w:lineRule="exact"/>
              <w:jc w:val="center"/>
              <w:rPr>
                <w:rFonts w:ascii="宋体" w:hAnsi="宋体"/>
                <w:color w:val="auto"/>
                <w:sz w:val="24"/>
                <w:highlight w:val="none"/>
              </w:rPr>
            </w:pPr>
          </w:p>
        </w:tc>
        <w:tc>
          <w:tcPr>
            <w:tcW w:w="1502" w:type="pct"/>
            <w:vAlign w:val="center"/>
          </w:tcPr>
          <w:p>
            <w:pPr>
              <w:spacing w:line="400" w:lineRule="exact"/>
              <w:jc w:val="center"/>
              <w:rPr>
                <w:rFonts w:ascii="宋体" w:hAnsi="宋体"/>
                <w:color w:val="auto"/>
                <w:highlight w:val="none"/>
              </w:rPr>
            </w:pPr>
            <w:r>
              <w:rPr>
                <w:rFonts w:ascii="宋体" w:hAnsi="宋体"/>
                <w:color w:val="auto"/>
                <w:highlight w:val="none"/>
              </w:rPr>
              <w:t>财务状况表</w:t>
            </w:r>
          </w:p>
        </w:tc>
        <w:tc>
          <w:tcPr>
            <w:tcW w:w="2797" w:type="pct"/>
            <w:vAlign w:val="center"/>
          </w:tcPr>
          <w:p>
            <w:pPr>
              <w:spacing w:line="400" w:lineRule="exact"/>
              <w:rPr>
                <w:rFonts w:ascii="宋体" w:hAnsi="宋体" w:cs="MingLiU"/>
                <w:color w:val="auto"/>
                <w:highlight w:val="none"/>
              </w:rPr>
            </w:pPr>
            <w:r>
              <w:rPr>
                <w:rFonts w:hint="eastAsia" w:ascii="宋体" w:hAnsi="宋体" w:cs="MingLiU"/>
                <w:color w:val="auto"/>
                <w:highlight w:val="none"/>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3" w:hRule="atLeast"/>
          <w:jc w:val="center"/>
        </w:trPr>
        <w:tc>
          <w:tcPr>
            <w:tcW w:w="314" w:type="pct"/>
            <w:vMerge w:val="continue"/>
            <w:vAlign w:val="center"/>
          </w:tcPr>
          <w:p>
            <w:pPr>
              <w:rPr>
                <w:rFonts w:ascii="宋体" w:hAnsi="宋体"/>
                <w:color w:val="auto"/>
                <w:sz w:val="24"/>
                <w:highlight w:val="none"/>
              </w:rPr>
            </w:pPr>
          </w:p>
        </w:tc>
        <w:tc>
          <w:tcPr>
            <w:tcW w:w="385" w:type="pct"/>
            <w:vMerge w:val="continue"/>
            <w:vAlign w:val="center"/>
          </w:tcPr>
          <w:p>
            <w:pPr>
              <w:spacing w:line="460" w:lineRule="exact"/>
              <w:jc w:val="center"/>
              <w:rPr>
                <w:rFonts w:ascii="宋体" w:hAnsi="宋体"/>
                <w:color w:val="auto"/>
                <w:sz w:val="24"/>
                <w:highlight w:val="none"/>
              </w:rPr>
            </w:pPr>
          </w:p>
        </w:tc>
        <w:tc>
          <w:tcPr>
            <w:tcW w:w="1502" w:type="pct"/>
            <w:vAlign w:val="center"/>
          </w:tcPr>
          <w:p>
            <w:pPr>
              <w:spacing w:line="400" w:lineRule="exact"/>
              <w:jc w:val="center"/>
              <w:rPr>
                <w:rFonts w:ascii="宋体" w:hAnsi="宋体"/>
                <w:color w:val="auto"/>
                <w:highlight w:val="none"/>
              </w:rPr>
            </w:pPr>
            <w:r>
              <w:rPr>
                <w:rFonts w:hint="eastAsia"/>
                <w:color w:val="auto"/>
                <w:highlight w:val="none"/>
              </w:rPr>
              <w:t>人员要求</w:t>
            </w:r>
          </w:p>
        </w:tc>
        <w:tc>
          <w:tcPr>
            <w:tcW w:w="2797" w:type="pct"/>
            <w:vAlign w:val="center"/>
          </w:tcPr>
          <w:p>
            <w:pPr>
              <w:tabs>
                <w:tab w:val="left" w:pos="826"/>
              </w:tabs>
              <w:spacing w:line="420" w:lineRule="exact"/>
              <w:rPr>
                <w:rFonts w:ascii="宋体" w:hAnsi="宋体"/>
                <w:color w:val="auto"/>
                <w:highlight w:val="none"/>
              </w:rPr>
            </w:pPr>
            <w:r>
              <w:rPr>
                <w:rFonts w:hint="eastAsia" w:ascii="宋体" w:hAnsi="宋体" w:cs="MingLiU"/>
                <w:color w:val="auto"/>
                <w:highlight w:val="none"/>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3" w:hRule="atLeast"/>
          <w:jc w:val="center"/>
        </w:trPr>
        <w:tc>
          <w:tcPr>
            <w:tcW w:w="314" w:type="pct"/>
            <w:vMerge w:val="continue"/>
            <w:vAlign w:val="center"/>
          </w:tcPr>
          <w:p>
            <w:pPr>
              <w:rPr>
                <w:rFonts w:ascii="宋体" w:hAnsi="宋体"/>
                <w:color w:val="auto"/>
                <w:sz w:val="24"/>
                <w:highlight w:val="none"/>
              </w:rPr>
            </w:pPr>
          </w:p>
        </w:tc>
        <w:tc>
          <w:tcPr>
            <w:tcW w:w="385" w:type="pct"/>
            <w:vMerge w:val="continue"/>
            <w:vAlign w:val="center"/>
          </w:tcPr>
          <w:p>
            <w:pPr>
              <w:spacing w:line="460" w:lineRule="exact"/>
              <w:jc w:val="center"/>
              <w:rPr>
                <w:rFonts w:ascii="宋体" w:hAnsi="宋体"/>
                <w:color w:val="auto"/>
                <w:sz w:val="24"/>
                <w:highlight w:val="none"/>
              </w:rPr>
            </w:pPr>
          </w:p>
        </w:tc>
        <w:tc>
          <w:tcPr>
            <w:tcW w:w="1502" w:type="pct"/>
            <w:vAlign w:val="center"/>
          </w:tcPr>
          <w:p>
            <w:pPr>
              <w:spacing w:line="400" w:lineRule="exact"/>
              <w:jc w:val="center"/>
              <w:rPr>
                <w:rFonts w:ascii="宋体" w:hAnsi="宋体" w:cs="MingLiU"/>
                <w:color w:val="auto"/>
                <w:highlight w:val="none"/>
              </w:rPr>
            </w:pPr>
            <w:r>
              <w:rPr>
                <w:rFonts w:hint="eastAsia" w:ascii="宋体" w:hAnsi="宋体" w:cs="MingLiU"/>
                <w:color w:val="auto"/>
                <w:highlight w:val="none"/>
              </w:rPr>
              <w:t>其他材料</w:t>
            </w:r>
          </w:p>
        </w:tc>
        <w:tc>
          <w:tcPr>
            <w:tcW w:w="2797" w:type="pct"/>
            <w:vAlign w:val="center"/>
          </w:tcPr>
          <w:p>
            <w:pPr>
              <w:spacing w:line="400" w:lineRule="exact"/>
              <w:rPr>
                <w:rFonts w:ascii="宋体" w:hAnsi="宋体"/>
                <w:color w:val="auto"/>
                <w:highlight w:val="none"/>
              </w:rPr>
            </w:pPr>
            <w:r>
              <w:rPr>
                <w:rFonts w:ascii="宋体" w:hAnsi="宋体"/>
                <w:color w:val="auto"/>
                <w:highlight w:val="none"/>
              </w:rPr>
              <w:t>①诚信声明</w:t>
            </w:r>
            <w:r>
              <w:rPr>
                <w:rFonts w:hint="eastAsia" w:ascii="宋体" w:hAnsi="宋体"/>
                <w:color w:val="auto"/>
                <w:highlight w:val="none"/>
              </w:rPr>
              <w:t xml:space="preserve">；②项目经理、专职安全员无在建工程承诺书；符合招标文件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3" w:hRule="atLeast"/>
          <w:jc w:val="center"/>
        </w:trPr>
        <w:tc>
          <w:tcPr>
            <w:tcW w:w="314" w:type="pct"/>
            <w:vMerge w:val="continue"/>
            <w:vAlign w:val="center"/>
          </w:tcPr>
          <w:p>
            <w:pPr>
              <w:rPr>
                <w:rFonts w:ascii="宋体" w:hAnsi="宋体"/>
                <w:color w:val="auto"/>
                <w:sz w:val="24"/>
                <w:highlight w:val="none"/>
              </w:rPr>
            </w:pPr>
          </w:p>
        </w:tc>
        <w:tc>
          <w:tcPr>
            <w:tcW w:w="385" w:type="pct"/>
            <w:vMerge w:val="continue"/>
            <w:vAlign w:val="center"/>
          </w:tcPr>
          <w:p>
            <w:pPr>
              <w:spacing w:line="460" w:lineRule="exact"/>
              <w:jc w:val="center"/>
              <w:rPr>
                <w:rFonts w:ascii="宋体" w:hAnsi="宋体"/>
                <w:color w:val="auto"/>
                <w:sz w:val="24"/>
                <w:highlight w:val="none"/>
              </w:rPr>
            </w:pPr>
          </w:p>
        </w:tc>
        <w:tc>
          <w:tcPr>
            <w:tcW w:w="1502" w:type="pct"/>
            <w:vAlign w:val="center"/>
          </w:tcPr>
          <w:p>
            <w:pPr>
              <w:spacing w:line="400" w:lineRule="exact"/>
              <w:jc w:val="center"/>
              <w:rPr>
                <w:rFonts w:ascii="宋体" w:hAnsi="宋体" w:cs="MingLiU"/>
                <w:color w:val="auto"/>
                <w:highlight w:val="none"/>
              </w:rPr>
            </w:pPr>
            <w:r>
              <w:rPr>
                <w:rFonts w:hint="eastAsia" w:ascii="宋体" w:hAnsi="宋体" w:cs="MingLiU"/>
                <w:color w:val="auto"/>
                <w:highlight w:val="none"/>
              </w:rPr>
              <w:t>项目管理机构组成</w:t>
            </w:r>
          </w:p>
        </w:tc>
        <w:tc>
          <w:tcPr>
            <w:tcW w:w="2797" w:type="pct"/>
            <w:vAlign w:val="center"/>
          </w:tcPr>
          <w:p>
            <w:pPr>
              <w:spacing w:line="400" w:lineRule="exact"/>
              <w:rPr>
                <w:rFonts w:ascii="宋体" w:hAnsi="宋体" w:cs="MingLiU"/>
                <w:color w:val="auto"/>
                <w:highlight w:val="none"/>
              </w:rPr>
            </w:pPr>
            <w:r>
              <w:rPr>
                <w:rFonts w:hint="eastAsia" w:ascii="宋体" w:hAnsi="宋体" w:cs="MingLiU"/>
                <w:color w:val="auto"/>
                <w:highlight w:val="none"/>
              </w:rPr>
              <w:t>符合第二章“投标人须知”第 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3" w:hRule="atLeast"/>
          <w:jc w:val="center"/>
        </w:trPr>
        <w:tc>
          <w:tcPr>
            <w:tcW w:w="314" w:type="pct"/>
            <w:vMerge w:val="continue"/>
            <w:vAlign w:val="center"/>
          </w:tcPr>
          <w:p>
            <w:pPr>
              <w:rPr>
                <w:rFonts w:ascii="宋体" w:hAnsi="宋体"/>
                <w:color w:val="auto"/>
                <w:sz w:val="24"/>
                <w:highlight w:val="none"/>
              </w:rPr>
            </w:pPr>
          </w:p>
        </w:tc>
        <w:tc>
          <w:tcPr>
            <w:tcW w:w="385" w:type="pct"/>
            <w:vMerge w:val="continue"/>
            <w:vAlign w:val="center"/>
          </w:tcPr>
          <w:p>
            <w:pPr>
              <w:spacing w:line="460" w:lineRule="exact"/>
              <w:jc w:val="center"/>
              <w:rPr>
                <w:rFonts w:ascii="宋体" w:hAnsi="宋体"/>
                <w:color w:val="auto"/>
                <w:sz w:val="24"/>
                <w:highlight w:val="none"/>
              </w:rPr>
            </w:pPr>
          </w:p>
        </w:tc>
        <w:tc>
          <w:tcPr>
            <w:tcW w:w="1502" w:type="pct"/>
            <w:vAlign w:val="center"/>
          </w:tcPr>
          <w:p>
            <w:pPr>
              <w:spacing w:line="400" w:lineRule="exact"/>
              <w:jc w:val="center"/>
              <w:rPr>
                <w:rFonts w:ascii="宋体" w:hAnsi="宋体" w:cs="MingLiU"/>
                <w:color w:val="auto"/>
                <w:highlight w:val="none"/>
              </w:rPr>
            </w:pPr>
            <w:r>
              <w:rPr>
                <w:rFonts w:hint="eastAsia" w:hAnsi="宋体"/>
                <w:color w:val="auto"/>
                <w:highlight w:val="none"/>
              </w:rPr>
              <w:t>信用信息的书面声明</w:t>
            </w:r>
          </w:p>
        </w:tc>
        <w:tc>
          <w:tcPr>
            <w:tcW w:w="2797" w:type="pct"/>
            <w:vAlign w:val="center"/>
          </w:tcPr>
          <w:p>
            <w:pPr>
              <w:spacing w:line="400" w:lineRule="exact"/>
              <w:rPr>
                <w:rFonts w:ascii="宋体" w:hAnsi="宋体" w:cs="MingLiU"/>
                <w:color w:val="auto"/>
                <w:highlight w:val="none"/>
              </w:rPr>
            </w:pPr>
            <w:r>
              <w:rPr>
                <w:rFonts w:hint="eastAsia" w:ascii="宋体" w:hAnsi="宋体" w:cs="MingLiU"/>
                <w:color w:val="auto"/>
                <w:highlight w:val="none"/>
              </w:rPr>
              <w:t>参加政府采购活动前3年内在经营活动中没有重大违法记录及有关信用信息的书面声明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3" w:hRule="atLeast"/>
          <w:jc w:val="center"/>
        </w:trPr>
        <w:tc>
          <w:tcPr>
            <w:tcW w:w="314" w:type="pct"/>
            <w:vMerge w:val="continue"/>
            <w:vAlign w:val="center"/>
          </w:tcPr>
          <w:p>
            <w:pPr>
              <w:rPr>
                <w:rFonts w:ascii="宋体" w:hAnsi="宋体"/>
                <w:color w:val="auto"/>
                <w:sz w:val="24"/>
                <w:highlight w:val="none"/>
              </w:rPr>
            </w:pPr>
          </w:p>
        </w:tc>
        <w:tc>
          <w:tcPr>
            <w:tcW w:w="385" w:type="pct"/>
            <w:vMerge w:val="continue"/>
            <w:vAlign w:val="center"/>
          </w:tcPr>
          <w:p>
            <w:pPr>
              <w:spacing w:line="460" w:lineRule="exact"/>
              <w:jc w:val="center"/>
              <w:rPr>
                <w:rFonts w:ascii="宋体" w:hAnsi="宋体"/>
                <w:color w:val="auto"/>
                <w:sz w:val="24"/>
                <w:highlight w:val="none"/>
              </w:rPr>
            </w:pPr>
          </w:p>
        </w:tc>
        <w:tc>
          <w:tcPr>
            <w:tcW w:w="1502" w:type="pct"/>
            <w:vAlign w:val="center"/>
          </w:tcPr>
          <w:p>
            <w:pPr>
              <w:spacing w:line="400" w:lineRule="exact"/>
              <w:jc w:val="center"/>
              <w:rPr>
                <w:rFonts w:ascii="宋体" w:hAnsi="宋体" w:cs="MingLiU"/>
                <w:color w:val="auto"/>
                <w:highlight w:val="none"/>
              </w:rPr>
            </w:pPr>
            <w:r>
              <w:rPr>
                <w:rFonts w:hint="eastAsia" w:ascii="宋体" w:hAnsi="宋体" w:cs="MingLiU"/>
                <w:color w:val="auto"/>
                <w:highlight w:val="none"/>
              </w:rPr>
              <w:t>农民工工资保障金承诺书</w:t>
            </w:r>
          </w:p>
        </w:tc>
        <w:tc>
          <w:tcPr>
            <w:tcW w:w="2797" w:type="pct"/>
            <w:vAlign w:val="center"/>
          </w:tcPr>
          <w:p>
            <w:pPr>
              <w:spacing w:line="400" w:lineRule="exact"/>
              <w:rPr>
                <w:rFonts w:ascii="宋体" w:hAnsi="宋体" w:cs="MingLiU"/>
                <w:color w:val="auto"/>
                <w:highlight w:val="none"/>
              </w:rPr>
            </w:pPr>
            <w:r>
              <w:rPr>
                <w:color w:val="auto"/>
                <w:highlight w:val="none"/>
              </w:rPr>
              <w:t>符合桂劳社发[2009]50号文规定并作出承诺。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2" w:hRule="atLeast"/>
          <w:jc w:val="center"/>
        </w:trPr>
        <w:tc>
          <w:tcPr>
            <w:tcW w:w="314" w:type="pct"/>
            <w:vMerge w:val="continue"/>
            <w:vAlign w:val="center"/>
          </w:tcPr>
          <w:p>
            <w:pPr>
              <w:rPr>
                <w:rFonts w:ascii="宋体" w:hAnsi="宋体"/>
                <w:color w:val="auto"/>
                <w:sz w:val="24"/>
                <w:highlight w:val="none"/>
              </w:rPr>
            </w:pPr>
          </w:p>
        </w:tc>
        <w:tc>
          <w:tcPr>
            <w:tcW w:w="385" w:type="pct"/>
            <w:vMerge w:val="continue"/>
            <w:vAlign w:val="center"/>
          </w:tcPr>
          <w:p>
            <w:pPr>
              <w:spacing w:line="460" w:lineRule="exact"/>
              <w:jc w:val="center"/>
              <w:rPr>
                <w:rFonts w:ascii="宋体" w:hAnsi="宋体"/>
                <w:color w:val="auto"/>
                <w:sz w:val="24"/>
                <w:highlight w:val="none"/>
              </w:rPr>
            </w:pPr>
          </w:p>
        </w:tc>
        <w:tc>
          <w:tcPr>
            <w:tcW w:w="1502" w:type="pct"/>
            <w:vAlign w:val="center"/>
          </w:tcPr>
          <w:p>
            <w:pPr>
              <w:spacing w:line="400" w:lineRule="exact"/>
              <w:jc w:val="center"/>
              <w:rPr>
                <w:rFonts w:ascii="宋体" w:hAnsi="宋体" w:cs="MingLiU"/>
                <w:color w:val="auto"/>
                <w:highlight w:val="none"/>
              </w:rPr>
            </w:pPr>
            <w:r>
              <w:rPr>
                <w:rFonts w:hint="eastAsia" w:ascii="宋体" w:hAnsi="宋体"/>
                <w:color w:val="auto"/>
                <w:highlight w:val="none"/>
              </w:rPr>
              <w:t>工程渣土清运承诺书</w:t>
            </w:r>
          </w:p>
        </w:tc>
        <w:tc>
          <w:tcPr>
            <w:tcW w:w="2797" w:type="pct"/>
            <w:vAlign w:val="center"/>
          </w:tcPr>
          <w:p>
            <w:pPr>
              <w:spacing w:line="400" w:lineRule="exact"/>
              <w:rPr>
                <w:rFonts w:ascii="宋体" w:hAnsi="宋体" w:cs="MingLiU"/>
                <w:color w:val="auto"/>
                <w:highlight w:val="none"/>
              </w:rPr>
            </w:pPr>
            <w:r>
              <w:rPr>
                <w:rFonts w:ascii="宋体" w:hAnsi="宋体"/>
                <w:color w:val="auto"/>
                <w:highlight w:val="none"/>
              </w:rPr>
              <w:t>按照桂林市建设工程招标站市建招字[2011]02号的规定承诺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jc w:val="center"/>
        </w:trPr>
        <w:tc>
          <w:tcPr>
            <w:tcW w:w="314" w:type="pct"/>
            <w:vMerge w:val="restart"/>
            <w:vAlign w:val="center"/>
          </w:tcPr>
          <w:p>
            <w:pPr>
              <w:jc w:val="center"/>
              <w:rPr>
                <w:color w:val="auto"/>
                <w:highlight w:val="none"/>
              </w:rPr>
            </w:pPr>
            <w:r>
              <w:rPr>
                <w:color w:val="auto"/>
                <w:highlight w:val="none"/>
              </w:rPr>
              <w:t>2.1.2</w:t>
            </w:r>
          </w:p>
        </w:tc>
        <w:tc>
          <w:tcPr>
            <w:tcW w:w="385" w:type="pct"/>
            <w:vMerge w:val="restart"/>
            <w:vAlign w:val="center"/>
          </w:tcPr>
          <w:p>
            <w:pPr>
              <w:jc w:val="center"/>
              <w:rPr>
                <w:color w:val="auto"/>
                <w:highlight w:val="none"/>
              </w:rPr>
            </w:pPr>
            <w:r>
              <w:rPr>
                <w:rFonts w:hint="eastAsia"/>
                <w:color w:val="auto"/>
                <w:highlight w:val="none"/>
              </w:rPr>
              <w:t>符合</w:t>
            </w:r>
            <w:r>
              <w:rPr>
                <w:color w:val="auto"/>
                <w:highlight w:val="none"/>
              </w:rPr>
              <w:t>评审标准</w:t>
            </w:r>
          </w:p>
        </w:tc>
        <w:tc>
          <w:tcPr>
            <w:tcW w:w="4299" w:type="pct"/>
            <w:gridSpan w:val="2"/>
            <w:vAlign w:val="center"/>
          </w:tcPr>
          <w:p>
            <w:pPr>
              <w:rPr>
                <w:color w:val="auto"/>
                <w:highlight w:val="none"/>
              </w:rPr>
            </w:pPr>
            <w:r>
              <w:rPr>
                <w:b/>
                <w:bCs/>
                <w:color w:val="auto"/>
                <w:highlight w:val="none"/>
              </w:rPr>
              <w:t>合格标准：缺少任何一项或有任何一项不合格者，其形式评审视为不合格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jc w:val="center"/>
        </w:trPr>
        <w:tc>
          <w:tcPr>
            <w:tcW w:w="314" w:type="pct"/>
            <w:vMerge w:val="continue"/>
            <w:vAlign w:val="center"/>
          </w:tcPr>
          <w:p>
            <w:pPr>
              <w:rPr>
                <w:color w:val="auto"/>
                <w:highlight w:val="none"/>
              </w:rPr>
            </w:pPr>
          </w:p>
        </w:tc>
        <w:tc>
          <w:tcPr>
            <w:tcW w:w="385" w:type="pct"/>
            <w:vMerge w:val="continue"/>
            <w:vAlign w:val="center"/>
          </w:tcPr>
          <w:p>
            <w:pPr>
              <w:rPr>
                <w:color w:val="auto"/>
                <w:highlight w:val="none"/>
              </w:rPr>
            </w:pPr>
          </w:p>
        </w:tc>
        <w:tc>
          <w:tcPr>
            <w:tcW w:w="1502" w:type="pct"/>
            <w:vAlign w:val="center"/>
          </w:tcPr>
          <w:p>
            <w:pPr>
              <w:rPr>
                <w:color w:val="auto"/>
                <w:highlight w:val="none"/>
              </w:rPr>
            </w:pPr>
            <w:r>
              <w:rPr>
                <w:color w:val="auto"/>
                <w:highlight w:val="none"/>
              </w:rPr>
              <w:t>投标人名称</w:t>
            </w:r>
          </w:p>
        </w:tc>
        <w:tc>
          <w:tcPr>
            <w:tcW w:w="2797" w:type="pct"/>
            <w:vAlign w:val="center"/>
          </w:tcPr>
          <w:p>
            <w:pPr>
              <w:rPr>
                <w:color w:val="auto"/>
                <w:highlight w:val="none"/>
              </w:rPr>
            </w:pPr>
            <w:r>
              <w:rPr>
                <w:color w:val="auto"/>
                <w:highlight w:val="none"/>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jc w:val="center"/>
        </w:trPr>
        <w:tc>
          <w:tcPr>
            <w:tcW w:w="314" w:type="pct"/>
            <w:vMerge w:val="continue"/>
            <w:vAlign w:val="center"/>
          </w:tcPr>
          <w:p>
            <w:pPr>
              <w:rPr>
                <w:color w:val="auto"/>
                <w:highlight w:val="none"/>
              </w:rPr>
            </w:pPr>
          </w:p>
        </w:tc>
        <w:tc>
          <w:tcPr>
            <w:tcW w:w="385" w:type="pct"/>
            <w:vMerge w:val="continue"/>
            <w:vAlign w:val="center"/>
          </w:tcPr>
          <w:p>
            <w:pPr>
              <w:rPr>
                <w:color w:val="auto"/>
                <w:highlight w:val="none"/>
              </w:rPr>
            </w:pPr>
          </w:p>
        </w:tc>
        <w:tc>
          <w:tcPr>
            <w:tcW w:w="1502" w:type="pct"/>
            <w:vAlign w:val="center"/>
          </w:tcPr>
          <w:p>
            <w:pPr>
              <w:rPr>
                <w:color w:val="auto"/>
                <w:highlight w:val="none"/>
              </w:rPr>
            </w:pPr>
            <w:r>
              <w:rPr>
                <w:color w:val="auto"/>
                <w:highlight w:val="none"/>
              </w:rPr>
              <w:t>投标函签字盖章</w:t>
            </w:r>
          </w:p>
        </w:tc>
        <w:tc>
          <w:tcPr>
            <w:tcW w:w="2797" w:type="pct"/>
            <w:vAlign w:val="center"/>
          </w:tcPr>
          <w:p>
            <w:pPr>
              <w:rPr>
                <w:color w:val="auto"/>
                <w:highlight w:val="none"/>
              </w:rPr>
            </w:pPr>
            <w:r>
              <w:rPr>
                <w:rFonts w:hint="eastAsia"/>
                <w:color w:val="auto"/>
                <w:sz w:val="22"/>
                <w:szCs w:val="22"/>
                <w:highlight w:val="none"/>
              </w:rPr>
              <w:t>符合第二章“投标人须知”第</w:t>
            </w:r>
            <w:r>
              <w:rPr>
                <w:color w:val="auto"/>
                <w:sz w:val="22"/>
                <w:szCs w:val="22"/>
                <w:highlight w:val="none"/>
              </w:rPr>
              <w:t>3.</w:t>
            </w:r>
            <w:r>
              <w:rPr>
                <w:rFonts w:hint="eastAsia"/>
                <w:color w:val="auto"/>
                <w:sz w:val="22"/>
                <w:szCs w:val="22"/>
                <w:highlight w:val="none"/>
              </w:rPr>
              <w:t>6</w:t>
            </w:r>
            <w:r>
              <w:rPr>
                <w:color w:val="auto"/>
                <w:sz w:val="22"/>
                <w:szCs w:val="22"/>
                <w:highlight w:val="none"/>
              </w:rPr>
              <w:t>.3</w:t>
            </w:r>
            <w:r>
              <w:rPr>
                <w:rFonts w:hint="eastAsia"/>
                <w:color w:val="auto"/>
                <w:sz w:val="22"/>
                <w:szCs w:val="22"/>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90" w:hRule="atLeast"/>
          <w:jc w:val="center"/>
        </w:trPr>
        <w:tc>
          <w:tcPr>
            <w:tcW w:w="314" w:type="pct"/>
            <w:vMerge w:val="continue"/>
            <w:vAlign w:val="center"/>
          </w:tcPr>
          <w:p>
            <w:pPr>
              <w:rPr>
                <w:color w:val="auto"/>
                <w:highlight w:val="none"/>
              </w:rPr>
            </w:pPr>
          </w:p>
        </w:tc>
        <w:tc>
          <w:tcPr>
            <w:tcW w:w="385" w:type="pct"/>
            <w:vMerge w:val="continue"/>
            <w:vAlign w:val="center"/>
          </w:tcPr>
          <w:p>
            <w:pPr>
              <w:rPr>
                <w:color w:val="auto"/>
                <w:highlight w:val="none"/>
              </w:rPr>
            </w:pPr>
          </w:p>
        </w:tc>
        <w:tc>
          <w:tcPr>
            <w:tcW w:w="1502" w:type="pct"/>
            <w:vAlign w:val="center"/>
          </w:tcPr>
          <w:p>
            <w:pPr>
              <w:rPr>
                <w:color w:val="auto"/>
                <w:highlight w:val="none"/>
              </w:rPr>
            </w:pPr>
            <w:r>
              <w:rPr>
                <w:color w:val="auto"/>
                <w:highlight w:val="none"/>
              </w:rPr>
              <w:t>投标文件格式</w:t>
            </w:r>
          </w:p>
        </w:tc>
        <w:tc>
          <w:tcPr>
            <w:tcW w:w="2797" w:type="pct"/>
            <w:vAlign w:val="center"/>
          </w:tcPr>
          <w:p>
            <w:pPr>
              <w:rPr>
                <w:color w:val="auto"/>
                <w:highlight w:val="none"/>
              </w:rPr>
            </w:pPr>
            <w:r>
              <w:rPr>
                <w:rFonts w:hint="eastAsia" w:ascii="宋体" w:hAnsi="宋体" w:cs="MingLiU"/>
                <w:color w:val="auto"/>
                <w:highlight w:val="none"/>
              </w:rPr>
              <w:t>符合第八章</w:t>
            </w:r>
            <w:r>
              <w:rPr>
                <w:rFonts w:ascii="宋体" w:hAnsi="宋体"/>
                <w:color w:val="auto"/>
                <w:highlight w:val="none"/>
              </w:rPr>
              <w:t>“</w:t>
            </w:r>
            <w:r>
              <w:rPr>
                <w:rFonts w:hint="eastAsia" w:ascii="宋体" w:hAnsi="宋体" w:cs="MingLiU"/>
                <w:color w:val="auto"/>
                <w:highlight w:val="none"/>
              </w:rPr>
              <w:t>投标文件格式</w:t>
            </w:r>
            <w:r>
              <w:rPr>
                <w:rFonts w:ascii="宋体" w:hAnsi="宋体"/>
                <w:color w:val="auto"/>
                <w:highlight w:val="none"/>
              </w:rPr>
              <w:t>”</w:t>
            </w:r>
            <w:r>
              <w:rPr>
                <w:rFonts w:hint="eastAsia" w:ascii="宋体" w:hAnsi="宋体" w:cs="MingLiU"/>
                <w:color w:val="auto"/>
                <w:highlight w:val="none"/>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jc w:val="center"/>
        </w:trPr>
        <w:tc>
          <w:tcPr>
            <w:tcW w:w="314" w:type="pct"/>
            <w:vMerge w:val="continue"/>
            <w:vAlign w:val="center"/>
          </w:tcPr>
          <w:p>
            <w:pPr>
              <w:rPr>
                <w:color w:val="auto"/>
                <w:highlight w:val="none"/>
              </w:rPr>
            </w:pPr>
          </w:p>
        </w:tc>
        <w:tc>
          <w:tcPr>
            <w:tcW w:w="385" w:type="pct"/>
            <w:vMerge w:val="continue"/>
            <w:vAlign w:val="center"/>
          </w:tcPr>
          <w:p>
            <w:pPr>
              <w:rPr>
                <w:color w:val="auto"/>
                <w:highlight w:val="none"/>
              </w:rPr>
            </w:pPr>
          </w:p>
        </w:tc>
        <w:tc>
          <w:tcPr>
            <w:tcW w:w="1502" w:type="pct"/>
            <w:vAlign w:val="center"/>
          </w:tcPr>
          <w:p>
            <w:pPr>
              <w:rPr>
                <w:color w:val="auto"/>
                <w:highlight w:val="none"/>
              </w:rPr>
            </w:pPr>
            <w:r>
              <w:rPr>
                <w:color w:val="auto"/>
                <w:highlight w:val="none"/>
              </w:rPr>
              <w:t>报价唯一</w:t>
            </w:r>
          </w:p>
        </w:tc>
        <w:tc>
          <w:tcPr>
            <w:tcW w:w="2797" w:type="pct"/>
            <w:vAlign w:val="center"/>
          </w:tcPr>
          <w:p>
            <w:pPr>
              <w:rPr>
                <w:color w:val="auto"/>
                <w:highlight w:val="none"/>
              </w:rPr>
            </w:pPr>
            <w:r>
              <w:rPr>
                <w:color w:val="auto"/>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jc w:val="center"/>
        </w:trPr>
        <w:tc>
          <w:tcPr>
            <w:tcW w:w="314" w:type="pct"/>
            <w:vMerge w:val="continue"/>
            <w:vAlign w:val="center"/>
          </w:tcPr>
          <w:p>
            <w:pPr>
              <w:rPr>
                <w:color w:val="auto"/>
                <w:highlight w:val="none"/>
              </w:rPr>
            </w:pPr>
          </w:p>
        </w:tc>
        <w:tc>
          <w:tcPr>
            <w:tcW w:w="385" w:type="pct"/>
            <w:vMerge w:val="continue"/>
            <w:vAlign w:val="center"/>
          </w:tcPr>
          <w:p>
            <w:pPr>
              <w:rPr>
                <w:color w:val="auto"/>
                <w:highlight w:val="none"/>
              </w:rPr>
            </w:pPr>
          </w:p>
        </w:tc>
        <w:tc>
          <w:tcPr>
            <w:tcW w:w="1502" w:type="pct"/>
            <w:vAlign w:val="center"/>
          </w:tcPr>
          <w:p>
            <w:pPr>
              <w:rPr>
                <w:color w:val="auto"/>
                <w:highlight w:val="none"/>
              </w:rPr>
            </w:pPr>
            <w:r>
              <w:rPr>
                <w:color w:val="auto"/>
                <w:highlight w:val="none"/>
              </w:rPr>
              <w:t>投标内容</w:t>
            </w:r>
          </w:p>
        </w:tc>
        <w:tc>
          <w:tcPr>
            <w:tcW w:w="2797" w:type="pct"/>
            <w:vAlign w:val="center"/>
          </w:tcPr>
          <w:p>
            <w:pPr>
              <w:rPr>
                <w:color w:val="auto"/>
                <w:highlight w:val="none"/>
              </w:rPr>
            </w:pPr>
            <w:r>
              <w:rPr>
                <w:color w:val="auto"/>
                <w:highlight w:val="none"/>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jc w:val="center"/>
        </w:trPr>
        <w:tc>
          <w:tcPr>
            <w:tcW w:w="314" w:type="pct"/>
            <w:vMerge w:val="continue"/>
            <w:vAlign w:val="center"/>
          </w:tcPr>
          <w:p>
            <w:pPr>
              <w:rPr>
                <w:color w:val="auto"/>
                <w:highlight w:val="none"/>
              </w:rPr>
            </w:pPr>
          </w:p>
        </w:tc>
        <w:tc>
          <w:tcPr>
            <w:tcW w:w="385" w:type="pct"/>
            <w:vMerge w:val="continue"/>
            <w:vAlign w:val="center"/>
          </w:tcPr>
          <w:p>
            <w:pPr>
              <w:rPr>
                <w:color w:val="auto"/>
                <w:highlight w:val="none"/>
              </w:rPr>
            </w:pPr>
          </w:p>
        </w:tc>
        <w:tc>
          <w:tcPr>
            <w:tcW w:w="1502" w:type="pct"/>
            <w:vAlign w:val="center"/>
          </w:tcPr>
          <w:p>
            <w:pPr>
              <w:rPr>
                <w:color w:val="auto"/>
                <w:highlight w:val="none"/>
              </w:rPr>
            </w:pPr>
            <w:r>
              <w:rPr>
                <w:color w:val="auto"/>
                <w:highlight w:val="none"/>
              </w:rPr>
              <w:t>工期</w:t>
            </w:r>
          </w:p>
        </w:tc>
        <w:tc>
          <w:tcPr>
            <w:tcW w:w="2797" w:type="pct"/>
            <w:vAlign w:val="center"/>
          </w:tcPr>
          <w:p>
            <w:pPr>
              <w:rPr>
                <w:color w:val="auto"/>
                <w:highlight w:val="none"/>
              </w:rPr>
            </w:pPr>
            <w:r>
              <w:rPr>
                <w:color w:val="auto"/>
                <w:highlight w:val="none"/>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jc w:val="center"/>
        </w:trPr>
        <w:tc>
          <w:tcPr>
            <w:tcW w:w="314" w:type="pct"/>
            <w:vMerge w:val="continue"/>
            <w:vAlign w:val="center"/>
          </w:tcPr>
          <w:p>
            <w:pPr>
              <w:rPr>
                <w:color w:val="auto"/>
                <w:highlight w:val="none"/>
              </w:rPr>
            </w:pPr>
          </w:p>
        </w:tc>
        <w:tc>
          <w:tcPr>
            <w:tcW w:w="385" w:type="pct"/>
            <w:vMerge w:val="continue"/>
            <w:vAlign w:val="center"/>
          </w:tcPr>
          <w:p>
            <w:pPr>
              <w:rPr>
                <w:color w:val="auto"/>
                <w:highlight w:val="none"/>
              </w:rPr>
            </w:pPr>
          </w:p>
        </w:tc>
        <w:tc>
          <w:tcPr>
            <w:tcW w:w="1502" w:type="pct"/>
            <w:vAlign w:val="center"/>
          </w:tcPr>
          <w:p>
            <w:pPr>
              <w:rPr>
                <w:color w:val="auto"/>
                <w:highlight w:val="none"/>
              </w:rPr>
            </w:pPr>
            <w:r>
              <w:rPr>
                <w:color w:val="auto"/>
                <w:highlight w:val="none"/>
              </w:rPr>
              <w:t>工程质量</w:t>
            </w:r>
          </w:p>
        </w:tc>
        <w:tc>
          <w:tcPr>
            <w:tcW w:w="2797" w:type="pct"/>
            <w:vAlign w:val="center"/>
          </w:tcPr>
          <w:p>
            <w:pPr>
              <w:rPr>
                <w:color w:val="auto"/>
                <w:highlight w:val="none"/>
              </w:rPr>
            </w:pPr>
            <w:r>
              <w:rPr>
                <w:color w:val="auto"/>
                <w:highlight w:val="none"/>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jc w:val="center"/>
        </w:trPr>
        <w:tc>
          <w:tcPr>
            <w:tcW w:w="314" w:type="pct"/>
            <w:vMerge w:val="continue"/>
            <w:vAlign w:val="center"/>
          </w:tcPr>
          <w:p>
            <w:pPr>
              <w:rPr>
                <w:color w:val="auto"/>
                <w:highlight w:val="none"/>
              </w:rPr>
            </w:pPr>
          </w:p>
        </w:tc>
        <w:tc>
          <w:tcPr>
            <w:tcW w:w="385" w:type="pct"/>
            <w:vMerge w:val="continue"/>
            <w:vAlign w:val="center"/>
          </w:tcPr>
          <w:p>
            <w:pPr>
              <w:rPr>
                <w:color w:val="auto"/>
                <w:highlight w:val="none"/>
              </w:rPr>
            </w:pPr>
          </w:p>
        </w:tc>
        <w:tc>
          <w:tcPr>
            <w:tcW w:w="1502" w:type="pct"/>
            <w:vAlign w:val="center"/>
          </w:tcPr>
          <w:p>
            <w:pPr>
              <w:rPr>
                <w:color w:val="auto"/>
                <w:highlight w:val="none"/>
              </w:rPr>
            </w:pPr>
            <w:r>
              <w:rPr>
                <w:color w:val="auto"/>
                <w:highlight w:val="none"/>
              </w:rPr>
              <w:t>投标有效期</w:t>
            </w:r>
          </w:p>
        </w:tc>
        <w:tc>
          <w:tcPr>
            <w:tcW w:w="2797" w:type="pct"/>
            <w:vAlign w:val="center"/>
          </w:tcPr>
          <w:p>
            <w:pPr>
              <w:rPr>
                <w:color w:val="auto"/>
                <w:highlight w:val="none"/>
              </w:rPr>
            </w:pPr>
            <w:r>
              <w:rPr>
                <w:color w:val="auto"/>
                <w:highlight w:val="none"/>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jc w:val="center"/>
        </w:trPr>
        <w:tc>
          <w:tcPr>
            <w:tcW w:w="314" w:type="pct"/>
            <w:vMerge w:val="continue"/>
            <w:vAlign w:val="center"/>
          </w:tcPr>
          <w:p>
            <w:pPr>
              <w:rPr>
                <w:color w:val="auto"/>
                <w:highlight w:val="none"/>
              </w:rPr>
            </w:pPr>
          </w:p>
        </w:tc>
        <w:tc>
          <w:tcPr>
            <w:tcW w:w="385" w:type="pct"/>
            <w:vMerge w:val="continue"/>
            <w:vAlign w:val="center"/>
          </w:tcPr>
          <w:p>
            <w:pPr>
              <w:rPr>
                <w:color w:val="auto"/>
                <w:highlight w:val="none"/>
              </w:rPr>
            </w:pPr>
          </w:p>
        </w:tc>
        <w:tc>
          <w:tcPr>
            <w:tcW w:w="1502" w:type="pct"/>
            <w:vAlign w:val="center"/>
          </w:tcPr>
          <w:p>
            <w:pPr>
              <w:rPr>
                <w:color w:val="auto"/>
                <w:highlight w:val="none"/>
              </w:rPr>
            </w:pPr>
            <w:r>
              <w:rPr>
                <w:color w:val="auto"/>
                <w:highlight w:val="none"/>
              </w:rPr>
              <w:t>权利义务</w:t>
            </w:r>
          </w:p>
        </w:tc>
        <w:tc>
          <w:tcPr>
            <w:tcW w:w="2797" w:type="pct"/>
            <w:vAlign w:val="center"/>
          </w:tcPr>
          <w:p>
            <w:pPr>
              <w:rPr>
                <w:color w:val="auto"/>
                <w:highlight w:val="none"/>
              </w:rPr>
            </w:pPr>
            <w:r>
              <w:rPr>
                <w:color w:val="auto"/>
                <w:highlight w:val="none"/>
              </w:rPr>
              <w:t>投标函附录中的相关承诺符合或优于第四章“合同条款及格式”的相关规定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jc w:val="center"/>
        </w:trPr>
        <w:tc>
          <w:tcPr>
            <w:tcW w:w="314" w:type="pct"/>
            <w:vMerge w:val="continue"/>
            <w:vAlign w:val="center"/>
          </w:tcPr>
          <w:p>
            <w:pPr>
              <w:rPr>
                <w:color w:val="auto"/>
                <w:highlight w:val="none"/>
              </w:rPr>
            </w:pPr>
          </w:p>
        </w:tc>
        <w:tc>
          <w:tcPr>
            <w:tcW w:w="385" w:type="pct"/>
            <w:vMerge w:val="continue"/>
            <w:vAlign w:val="center"/>
          </w:tcPr>
          <w:p>
            <w:pPr>
              <w:rPr>
                <w:color w:val="auto"/>
                <w:highlight w:val="none"/>
              </w:rPr>
            </w:pPr>
          </w:p>
        </w:tc>
        <w:tc>
          <w:tcPr>
            <w:tcW w:w="1502" w:type="pct"/>
            <w:vAlign w:val="center"/>
          </w:tcPr>
          <w:p>
            <w:pPr>
              <w:rPr>
                <w:color w:val="auto"/>
                <w:highlight w:val="none"/>
              </w:rPr>
            </w:pPr>
            <w:r>
              <w:rPr>
                <w:color w:val="auto"/>
                <w:highlight w:val="none"/>
              </w:rPr>
              <w:t>技术标准和要求</w:t>
            </w:r>
          </w:p>
        </w:tc>
        <w:tc>
          <w:tcPr>
            <w:tcW w:w="2797" w:type="pct"/>
            <w:vAlign w:val="center"/>
          </w:tcPr>
          <w:p>
            <w:pPr>
              <w:rPr>
                <w:color w:val="auto"/>
                <w:highlight w:val="none"/>
              </w:rPr>
            </w:pPr>
            <w:r>
              <w:rPr>
                <w:color w:val="auto"/>
                <w:highlight w:val="none"/>
              </w:rPr>
              <w:t>符合第</w:t>
            </w:r>
            <w:r>
              <w:rPr>
                <w:rFonts w:hint="eastAsia"/>
                <w:color w:val="auto"/>
                <w:highlight w:val="none"/>
              </w:rPr>
              <w:t>七</w:t>
            </w:r>
            <w:r>
              <w:rPr>
                <w:color w:val="auto"/>
                <w:highlight w:val="none"/>
              </w:rPr>
              <w:t>章 “技术标准和要求”规定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jc w:val="center"/>
        </w:trPr>
        <w:tc>
          <w:tcPr>
            <w:tcW w:w="314" w:type="pct"/>
            <w:vMerge w:val="continue"/>
            <w:vAlign w:val="center"/>
          </w:tcPr>
          <w:p>
            <w:pPr>
              <w:rPr>
                <w:color w:val="auto"/>
                <w:highlight w:val="none"/>
              </w:rPr>
            </w:pPr>
          </w:p>
        </w:tc>
        <w:tc>
          <w:tcPr>
            <w:tcW w:w="385" w:type="pct"/>
            <w:vMerge w:val="continue"/>
            <w:vAlign w:val="center"/>
          </w:tcPr>
          <w:p>
            <w:pPr>
              <w:rPr>
                <w:color w:val="auto"/>
                <w:highlight w:val="none"/>
              </w:rPr>
            </w:pPr>
          </w:p>
        </w:tc>
        <w:tc>
          <w:tcPr>
            <w:tcW w:w="1502" w:type="pct"/>
            <w:vAlign w:val="center"/>
          </w:tcPr>
          <w:p>
            <w:pPr>
              <w:rPr>
                <w:color w:val="auto"/>
                <w:highlight w:val="none"/>
              </w:rPr>
            </w:pPr>
            <w:r>
              <w:rPr>
                <w:color w:val="auto"/>
                <w:highlight w:val="none"/>
              </w:rPr>
              <w:t>投标价格</w:t>
            </w:r>
          </w:p>
        </w:tc>
        <w:tc>
          <w:tcPr>
            <w:tcW w:w="2797" w:type="pct"/>
            <w:vAlign w:val="center"/>
          </w:tcPr>
          <w:p>
            <w:pPr>
              <w:rPr>
                <w:color w:val="auto"/>
                <w:highlight w:val="none"/>
              </w:rPr>
            </w:pPr>
            <w:r>
              <w:rPr>
                <w:color w:val="auto"/>
                <w:highlight w:val="none"/>
              </w:rPr>
              <w:t>低于（含等于）招标人公布的招标控制价。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jc w:val="center"/>
        </w:trPr>
        <w:tc>
          <w:tcPr>
            <w:tcW w:w="314" w:type="pct"/>
            <w:vMerge w:val="continue"/>
            <w:vAlign w:val="center"/>
          </w:tcPr>
          <w:p>
            <w:pPr>
              <w:rPr>
                <w:color w:val="auto"/>
                <w:highlight w:val="none"/>
              </w:rPr>
            </w:pPr>
          </w:p>
        </w:tc>
        <w:tc>
          <w:tcPr>
            <w:tcW w:w="385" w:type="pct"/>
            <w:vMerge w:val="continue"/>
            <w:vAlign w:val="center"/>
          </w:tcPr>
          <w:p>
            <w:pPr>
              <w:rPr>
                <w:color w:val="auto"/>
                <w:highlight w:val="none"/>
              </w:rPr>
            </w:pPr>
          </w:p>
        </w:tc>
        <w:tc>
          <w:tcPr>
            <w:tcW w:w="1502" w:type="pct"/>
            <w:vAlign w:val="center"/>
          </w:tcPr>
          <w:p>
            <w:pPr>
              <w:rPr>
                <w:color w:val="auto"/>
                <w:highlight w:val="none"/>
              </w:rPr>
            </w:pPr>
            <w:r>
              <w:rPr>
                <w:color w:val="auto"/>
                <w:highlight w:val="none"/>
              </w:rPr>
              <w:t>已标价工程量清单</w:t>
            </w:r>
          </w:p>
        </w:tc>
        <w:tc>
          <w:tcPr>
            <w:tcW w:w="2797" w:type="pct"/>
            <w:vAlign w:val="center"/>
          </w:tcPr>
          <w:p>
            <w:pPr>
              <w:rPr>
                <w:color w:val="auto"/>
                <w:highlight w:val="none"/>
              </w:rPr>
            </w:pPr>
            <w:r>
              <w:rPr>
                <w:color w:val="auto"/>
                <w:highlight w:val="none"/>
              </w:rPr>
              <w:t>符合第五章“工程量清单”的编制要求且无本章附件B否决投标条件的相应情况。</w:t>
            </w:r>
          </w:p>
        </w:tc>
      </w:tr>
    </w:tbl>
    <w:p>
      <w:pPr>
        <w:rPr>
          <w:color w:val="auto"/>
          <w:highlight w:val="none"/>
        </w:rPr>
      </w:pPr>
    </w:p>
    <w:p>
      <w:pPr>
        <w:pStyle w:val="36"/>
        <w:rPr>
          <w:rFonts w:ascii="宋体" w:hAnsi="宋体" w:cs="宋体"/>
          <w:b/>
          <w:color w:val="auto"/>
          <w:sz w:val="20"/>
          <w:highlight w:val="none"/>
        </w:rPr>
      </w:pPr>
      <w:r>
        <w:rPr>
          <w:rFonts w:hint="eastAsia" w:ascii="宋体" w:hAnsi="宋体" w:cs="宋体"/>
          <w:b/>
          <w:color w:val="auto"/>
          <w:sz w:val="20"/>
          <w:highlight w:val="none"/>
        </w:rPr>
        <w:t>合格标准：缺少任何一项或有任何一项不合格者，其资格评审、符合性评审视为不合格</w:t>
      </w:r>
    </w:p>
    <w:p>
      <w:pPr>
        <w:pStyle w:val="36"/>
        <w:rPr>
          <w:rFonts w:ascii="宋体" w:hAnsi="宋体" w:cs="宋体"/>
          <w:b/>
          <w:color w:val="auto"/>
          <w:sz w:val="20"/>
          <w:highlight w:val="none"/>
        </w:rPr>
      </w:pPr>
    </w:p>
    <w:p>
      <w:pPr>
        <w:pStyle w:val="36"/>
        <w:rPr>
          <w:color w:val="auto"/>
          <w:highlight w:val="none"/>
        </w:rPr>
      </w:pPr>
    </w:p>
    <w:p>
      <w:pPr>
        <w:rPr>
          <w:rFonts w:ascii="宋体" w:hAnsi="宋体"/>
          <w:b/>
          <w:color w:val="auto"/>
          <w:sz w:val="28"/>
          <w:szCs w:val="28"/>
          <w:highlight w:val="none"/>
        </w:rPr>
      </w:pPr>
      <w:r>
        <w:rPr>
          <w:color w:val="auto"/>
          <w:highlight w:val="none"/>
        </w:rPr>
        <w:t xml:space="preserve"> </w:t>
      </w:r>
      <w:r>
        <w:rPr>
          <w:rFonts w:hint="eastAsia" w:ascii="宋体" w:hAnsi="宋体"/>
          <w:b/>
          <w:color w:val="auto"/>
          <w:sz w:val="28"/>
          <w:szCs w:val="28"/>
          <w:highlight w:val="none"/>
        </w:rPr>
        <w:t>2.2分值构成与评分标准</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10"/>
        <w:gridCol w:w="1538"/>
        <w:gridCol w:w="1327"/>
        <w:gridCol w:w="6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31" w:type="pct"/>
            <w:gridSpan w:val="3"/>
            <w:vAlign w:val="center"/>
          </w:tcPr>
          <w:p>
            <w:pPr>
              <w:spacing w:line="400" w:lineRule="exact"/>
              <w:jc w:val="center"/>
              <w:rPr>
                <w:rFonts w:ascii="Times New Roman" w:hAnsi="Times New Roman" w:cs="Times New Roman"/>
                <w:color w:val="auto"/>
                <w:highlight w:val="none"/>
                <w:lang w:val="zh-CN"/>
              </w:rPr>
            </w:pPr>
            <w:r>
              <w:rPr>
                <w:rFonts w:ascii="Times New Roman" w:hAnsi="Times New Roman" w:cs="Times New Roman"/>
                <w:color w:val="auto"/>
                <w:highlight w:val="none"/>
              </w:rPr>
              <w:t>条款号</w:t>
            </w:r>
          </w:p>
        </w:tc>
        <w:tc>
          <w:tcPr>
            <w:tcW w:w="666" w:type="pct"/>
            <w:vAlign w:val="center"/>
          </w:tcPr>
          <w:p>
            <w:pPr>
              <w:spacing w:line="400" w:lineRule="exact"/>
              <w:jc w:val="center"/>
              <w:rPr>
                <w:rFonts w:ascii="Times New Roman" w:hAnsi="Times New Roman" w:cs="Times New Roman"/>
                <w:color w:val="auto"/>
                <w:highlight w:val="none"/>
                <w:lang w:val="zh-CN"/>
              </w:rPr>
            </w:pPr>
            <w:r>
              <w:rPr>
                <w:rFonts w:ascii="Times New Roman" w:hAnsi="Times New Roman" w:cs="Times New Roman"/>
                <w:color w:val="auto"/>
                <w:highlight w:val="none"/>
              </w:rPr>
              <w:t>条款内容</w:t>
            </w:r>
          </w:p>
        </w:tc>
        <w:tc>
          <w:tcPr>
            <w:tcW w:w="3102" w:type="pct"/>
            <w:vAlign w:val="center"/>
          </w:tcPr>
          <w:p>
            <w:pPr>
              <w:spacing w:line="400" w:lineRule="exact"/>
              <w:jc w:val="center"/>
              <w:rPr>
                <w:rFonts w:ascii="Times New Roman" w:hAnsi="Times New Roman" w:cs="Times New Roman"/>
                <w:color w:val="auto"/>
                <w:highlight w:val="none"/>
                <w:lang w:val="zh-CN"/>
              </w:rPr>
            </w:pPr>
            <w:r>
              <w:rPr>
                <w:rFonts w:ascii="Times New Roman" w:hAnsi="Times New Roman" w:cs="Times New Roman"/>
                <w:color w:val="auto"/>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59" w:type="pct"/>
            <w:gridSpan w:val="2"/>
            <w:vAlign w:val="center"/>
          </w:tcPr>
          <w:p>
            <w:pPr>
              <w:spacing w:line="400" w:lineRule="exact"/>
              <w:jc w:val="center"/>
              <w:rPr>
                <w:rFonts w:ascii="Times New Roman" w:hAnsi="Times New Roman" w:cs="Times New Roman"/>
                <w:color w:val="auto"/>
                <w:highlight w:val="none"/>
              </w:rPr>
            </w:pPr>
            <w:r>
              <w:rPr>
                <w:rFonts w:ascii="Times New Roman" w:hAnsi="Times New Roman" w:cs="Times New Roman"/>
                <w:color w:val="auto"/>
                <w:highlight w:val="none"/>
              </w:rPr>
              <w:t>2.2.1</w:t>
            </w:r>
          </w:p>
        </w:tc>
        <w:tc>
          <w:tcPr>
            <w:tcW w:w="772" w:type="pct"/>
            <w:vAlign w:val="center"/>
          </w:tcPr>
          <w:p>
            <w:pPr>
              <w:spacing w:line="400" w:lineRule="exact"/>
              <w:jc w:val="center"/>
              <w:rPr>
                <w:rFonts w:ascii="Times New Roman" w:hAnsi="Times New Roman" w:cs="Times New Roman"/>
                <w:color w:val="auto"/>
                <w:highlight w:val="none"/>
              </w:rPr>
            </w:pPr>
            <w:r>
              <w:rPr>
                <w:rFonts w:ascii="Times New Roman" w:hAnsi="Times New Roman" w:cs="Times New Roman"/>
                <w:color w:val="auto"/>
                <w:highlight w:val="none"/>
              </w:rPr>
              <w:t>分值构成</w:t>
            </w:r>
          </w:p>
        </w:tc>
        <w:tc>
          <w:tcPr>
            <w:tcW w:w="666" w:type="pct"/>
            <w:vAlign w:val="center"/>
          </w:tcPr>
          <w:p>
            <w:pPr>
              <w:spacing w:line="400" w:lineRule="exact"/>
              <w:rPr>
                <w:rFonts w:ascii="Times New Roman" w:hAnsi="Times New Roman" w:cs="Times New Roman"/>
                <w:color w:val="auto"/>
                <w:highlight w:val="none"/>
              </w:rPr>
            </w:pPr>
            <w:r>
              <w:rPr>
                <w:rFonts w:ascii="Times New Roman" w:hAnsi="Times New Roman" w:cs="Times New Roman"/>
                <w:color w:val="auto"/>
                <w:highlight w:val="none"/>
              </w:rPr>
              <w:t>分值构成</w:t>
            </w:r>
          </w:p>
          <w:p>
            <w:pPr>
              <w:spacing w:line="400" w:lineRule="exact"/>
              <w:rPr>
                <w:rFonts w:ascii="Times New Roman" w:hAnsi="Times New Roman" w:cs="Times New Roman"/>
                <w:color w:val="auto"/>
                <w:highlight w:val="none"/>
              </w:rPr>
            </w:pPr>
            <w:r>
              <w:rPr>
                <w:rFonts w:ascii="Times New Roman" w:hAnsi="Times New Roman" w:cs="Times New Roman"/>
                <w:color w:val="auto"/>
                <w:highlight w:val="none"/>
              </w:rPr>
              <w:t>（总分100分）</w:t>
            </w:r>
          </w:p>
        </w:tc>
        <w:tc>
          <w:tcPr>
            <w:tcW w:w="3102" w:type="pct"/>
          </w:tcPr>
          <w:p>
            <w:pPr>
              <w:spacing w:line="400" w:lineRule="exact"/>
              <w:rPr>
                <w:rFonts w:ascii="Times New Roman" w:hAnsi="Times New Roman" w:cs="Times New Roman"/>
                <w:color w:val="auto"/>
                <w:highlight w:val="none"/>
              </w:rPr>
            </w:pPr>
            <w:r>
              <w:rPr>
                <w:rFonts w:ascii="Times New Roman" w:hAnsi="Times New Roman" w:cs="Times New Roman"/>
                <w:color w:val="auto"/>
                <w:highlight w:val="none"/>
              </w:rPr>
              <w:t>投标报价：60 分</w:t>
            </w:r>
          </w:p>
          <w:p>
            <w:pPr>
              <w:spacing w:line="400" w:lineRule="exact"/>
              <w:rPr>
                <w:rFonts w:ascii="Times New Roman" w:hAnsi="Times New Roman" w:cs="Times New Roman"/>
                <w:color w:val="auto"/>
                <w:highlight w:val="none"/>
              </w:rPr>
            </w:pPr>
            <w:r>
              <w:rPr>
                <w:rFonts w:ascii="Times New Roman" w:hAnsi="Times New Roman" w:cs="Times New Roman"/>
                <w:color w:val="auto"/>
                <w:highlight w:val="none"/>
              </w:rPr>
              <w:t>技术标：35 分</w:t>
            </w:r>
          </w:p>
          <w:p>
            <w:pPr>
              <w:spacing w:line="400" w:lineRule="exact"/>
              <w:rPr>
                <w:rFonts w:ascii="Times New Roman" w:hAnsi="Times New Roman" w:cs="Times New Roman"/>
                <w:color w:val="auto"/>
                <w:highlight w:val="none"/>
              </w:rPr>
            </w:pPr>
            <w:r>
              <w:rPr>
                <w:rFonts w:ascii="Times New Roman" w:hAnsi="Times New Roman" w:cs="Times New Roman"/>
                <w:color w:val="auto"/>
                <w:highlight w:val="none"/>
              </w:rPr>
              <w:t>企业信誉政策分：5分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59" w:type="pct"/>
            <w:gridSpan w:val="2"/>
            <w:vAlign w:val="center"/>
          </w:tcPr>
          <w:p>
            <w:pPr>
              <w:spacing w:line="400" w:lineRule="exact"/>
              <w:jc w:val="center"/>
              <w:rPr>
                <w:rFonts w:ascii="Times New Roman" w:hAnsi="Times New Roman" w:cs="Times New Roman"/>
                <w:color w:val="auto"/>
                <w:highlight w:val="none"/>
              </w:rPr>
            </w:pPr>
            <w:r>
              <w:rPr>
                <w:rFonts w:ascii="Times New Roman" w:hAnsi="Times New Roman" w:cs="Times New Roman"/>
                <w:color w:val="auto"/>
                <w:highlight w:val="none"/>
              </w:rPr>
              <w:t>2.2.2</w:t>
            </w:r>
          </w:p>
        </w:tc>
        <w:tc>
          <w:tcPr>
            <w:tcW w:w="772" w:type="pct"/>
            <w:vAlign w:val="center"/>
          </w:tcPr>
          <w:p>
            <w:pPr>
              <w:spacing w:line="400" w:lineRule="exact"/>
              <w:jc w:val="center"/>
              <w:rPr>
                <w:rFonts w:ascii="Times New Roman" w:hAnsi="Times New Roman" w:cs="Times New Roman"/>
                <w:color w:val="auto"/>
                <w:highlight w:val="none"/>
              </w:rPr>
            </w:pPr>
            <w:r>
              <w:rPr>
                <w:rFonts w:ascii="Times New Roman" w:hAnsi="Times New Roman" w:cs="Times New Roman"/>
                <w:color w:val="auto"/>
                <w:highlight w:val="none"/>
              </w:rPr>
              <w:t>评标基准价计算</w:t>
            </w:r>
          </w:p>
        </w:tc>
        <w:tc>
          <w:tcPr>
            <w:tcW w:w="3768" w:type="pct"/>
            <w:gridSpan w:val="2"/>
          </w:tcPr>
          <w:p>
            <w:pPr>
              <w:pStyle w:val="39"/>
              <w:tabs>
                <w:tab w:val="left" w:pos="319"/>
              </w:tabs>
              <w:spacing w:line="364" w:lineRule="auto"/>
              <w:ind w:left="107" w:right="-29"/>
              <w:rPr>
                <w:rFonts w:ascii="Times New Roman" w:hAnsi="Times New Roman" w:cs="Times New Roman"/>
                <w:color w:val="auto"/>
                <w:spacing w:val="-4"/>
                <w:sz w:val="21"/>
                <w:highlight w:val="none"/>
              </w:rPr>
            </w:pPr>
            <w:r>
              <w:rPr>
                <w:rFonts w:ascii="Times New Roman" w:hAnsi="Times New Roman" w:cs="Times New Roman"/>
                <w:color w:val="auto"/>
                <w:spacing w:val="-4"/>
                <w:sz w:val="21"/>
                <w:highlight w:val="none"/>
              </w:rPr>
              <w:t>（</w:t>
            </w:r>
            <w:r>
              <w:rPr>
                <w:rFonts w:ascii="Times New Roman" w:hAnsi="Times New Roman" w:cs="Times New Roman"/>
                <w:color w:val="auto"/>
                <w:spacing w:val="-4"/>
                <w:sz w:val="21"/>
                <w:highlight w:val="none"/>
                <w:lang w:val="en-US"/>
              </w:rPr>
              <w:t>1</w:t>
            </w:r>
            <w:r>
              <w:rPr>
                <w:rFonts w:ascii="Times New Roman" w:hAnsi="Times New Roman" w:cs="Times New Roman"/>
                <w:color w:val="auto"/>
                <w:spacing w:val="-4"/>
                <w:sz w:val="21"/>
                <w:highlight w:val="none"/>
              </w:rPr>
              <w:t>）投标报价有效报价范围：为投标总价低于或等于招标控制价，通过资格评审、形式评审、响应性评审且技术标评审合格，经评标委员会审定不存在严重不平衡、不合理、不低于其企业成本的投标人投标总价。</w:t>
            </w:r>
          </w:p>
          <w:p>
            <w:pPr>
              <w:pStyle w:val="39"/>
              <w:tabs>
                <w:tab w:val="left" w:pos="319"/>
              </w:tabs>
              <w:spacing w:line="364" w:lineRule="auto"/>
              <w:ind w:left="107" w:right="-29"/>
              <w:rPr>
                <w:rFonts w:ascii="Times New Roman" w:hAnsi="Times New Roman" w:cs="Times New Roman"/>
                <w:color w:val="auto"/>
                <w:spacing w:val="-4"/>
                <w:sz w:val="21"/>
                <w:highlight w:val="none"/>
              </w:rPr>
            </w:pPr>
            <w:r>
              <w:rPr>
                <w:rFonts w:ascii="Times New Roman" w:hAnsi="Times New Roman" w:cs="Times New Roman"/>
                <w:color w:val="auto"/>
                <w:spacing w:val="-4"/>
                <w:sz w:val="21"/>
                <w:highlight w:val="none"/>
              </w:rPr>
              <w:t>（</w:t>
            </w:r>
            <w:r>
              <w:rPr>
                <w:rFonts w:ascii="Times New Roman" w:hAnsi="Times New Roman" w:cs="Times New Roman"/>
                <w:color w:val="auto"/>
                <w:spacing w:val="-4"/>
                <w:sz w:val="21"/>
                <w:highlight w:val="none"/>
                <w:lang w:val="en-US"/>
              </w:rPr>
              <w:t>2</w:t>
            </w:r>
            <w:r>
              <w:rPr>
                <w:rFonts w:ascii="Times New Roman" w:hAnsi="Times New Roman" w:cs="Times New Roman"/>
                <w:color w:val="auto"/>
                <w:spacing w:val="-4"/>
                <w:sz w:val="21"/>
                <w:highlight w:val="none"/>
              </w:rPr>
              <w:t>）将通过资格审查且在有效报价范围内的合格投标人按其投标报价由低到高的  顺序依次排出名次。</w:t>
            </w:r>
          </w:p>
          <w:p>
            <w:pPr>
              <w:pStyle w:val="39"/>
              <w:tabs>
                <w:tab w:val="left" w:pos="319"/>
              </w:tabs>
              <w:spacing w:line="364" w:lineRule="auto"/>
              <w:ind w:left="107" w:right="-29"/>
              <w:rPr>
                <w:rFonts w:ascii="Times New Roman" w:hAnsi="Times New Roman" w:cs="Times New Roman"/>
                <w:color w:val="auto"/>
                <w:szCs w:val="21"/>
                <w:highlight w:val="none"/>
              </w:rPr>
            </w:pPr>
            <w:r>
              <w:rPr>
                <w:rFonts w:ascii="Times New Roman" w:hAnsi="Times New Roman" w:cs="Times New Roman"/>
                <w:color w:val="auto"/>
                <w:spacing w:val="-4"/>
                <w:sz w:val="21"/>
                <w:highlight w:val="none"/>
              </w:rPr>
              <w:t>（</w:t>
            </w:r>
            <w:r>
              <w:rPr>
                <w:rFonts w:ascii="Times New Roman" w:hAnsi="Times New Roman" w:cs="Times New Roman"/>
                <w:color w:val="auto"/>
                <w:spacing w:val="-4"/>
                <w:sz w:val="21"/>
                <w:highlight w:val="none"/>
                <w:lang w:val="en-US"/>
              </w:rPr>
              <w:t>3</w:t>
            </w:r>
            <w:r>
              <w:rPr>
                <w:rFonts w:ascii="Times New Roman" w:hAnsi="Times New Roman" w:cs="Times New Roman"/>
                <w:color w:val="auto"/>
                <w:spacing w:val="-4"/>
                <w:sz w:val="21"/>
                <w:highlight w:val="none"/>
              </w:rPr>
              <w:t>）通过资格审查且报价有效的合格投标人在 10 家以上的，去掉 n 家最高投标报价和 n 家（如总数为奇数，则取 n-1 家）最低投标报价后（当出现两个或两个以上相同最高或最低投标报价时，一并去掉），取 10 家（如不足 10 家，按实际最多家数计取）投标人报价进入基准评标价计算范围，再取其中的有效报价的平均值作为评标基准价；通过资格审查合格且报价有效的合格投标人在 10 家（含 10 家）以下的，将在有效报价范围内的全部合格投标人有效投标报价的算术平均值作为评标基准价（本条适用于资格审查采用合格制）。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31" w:type="pct"/>
            <w:gridSpan w:val="3"/>
            <w:vAlign w:val="center"/>
          </w:tcPr>
          <w:p>
            <w:pPr>
              <w:spacing w:line="400" w:lineRule="exact"/>
              <w:jc w:val="center"/>
              <w:rPr>
                <w:rFonts w:ascii="Times New Roman" w:hAnsi="Times New Roman" w:cs="Times New Roman"/>
                <w:color w:val="auto"/>
                <w:highlight w:val="none"/>
                <w:lang w:val="zh-CN"/>
              </w:rPr>
            </w:pPr>
            <w:r>
              <w:rPr>
                <w:rFonts w:ascii="Times New Roman" w:hAnsi="Times New Roman" w:cs="Times New Roman"/>
                <w:color w:val="auto"/>
                <w:highlight w:val="none"/>
              </w:rPr>
              <w:t>条款号</w:t>
            </w:r>
          </w:p>
        </w:tc>
        <w:tc>
          <w:tcPr>
            <w:tcW w:w="666" w:type="pct"/>
          </w:tcPr>
          <w:p>
            <w:pPr>
              <w:spacing w:line="400" w:lineRule="exact"/>
              <w:jc w:val="center"/>
              <w:rPr>
                <w:rFonts w:ascii="Times New Roman" w:hAnsi="Times New Roman" w:cs="Times New Roman"/>
                <w:color w:val="auto"/>
                <w:highlight w:val="none"/>
                <w:lang w:val="zh-CN"/>
              </w:rPr>
            </w:pPr>
            <w:r>
              <w:rPr>
                <w:rFonts w:ascii="Times New Roman" w:hAnsi="Times New Roman" w:cs="Times New Roman"/>
                <w:color w:val="auto"/>
                <w:highlight w:val="none"/>
              </w:rPr>
              <w:t>评分因素</w:t>
            </w:r>
          </w:p>
        </w:tc>
        <w:tc>
          <w:tcPr>
            <w:tcW w:w="3102" w:type="pct"/>
          </w:tcPr>
          <w:p>
            <w:pPr>
              <w:spacing w:line="400" w:lineRule="exact"/>
              <w:jc w:val="center"/>
              <w:rPr>
                <w:rFonts w:ascii="Times New Roman" w:hAnsi="Times New Roman" w:cs="Times New Roman"/>
                <w:color w:val="auto"/>
                <w:highlight w:val="none"/>
                <w:lang w:val="zh-CN"/>
              </w:rPr>
            </w:pPr>
            <w:r>
              <w:rPr>
                <w:rFonts w:ascii="Times New Roman" w:hAnsi="Times New Roman" w:cs="Times New Roman"/>
                <w:color w:val="auto"/>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59" w:type="pct"/>
            <w:gridSpan w:val="2"/>
            <w:vAlign w:val="center"/>
          </w:tcPr>
          <w:p>
            <w:pPr>
              <w:spacing w:line="400" w:lineRule="exact"/>
              <w:jc w:val="center"/>
              <w:rPr>
                <w:rFonts w:ascii="Times New Roman" w:hAnsi="Times New Roman" w:cs="Times New Roman"/>
                <w:color w:val="auto"/>
                <w:highlight w:val="none"/>
              </w:rPr>
            </w:pPr>
          </w:p>
        </w:tc>
        <w:tc>
          <w:tcPr>
            <w:tcW w:w="772" w:type="pct"/>
            <w:vAlign w:val="center"/>
          </w:tcPr>
          <w:p>
            <w:pPr>
              <w:spacing w:line="400" w:lineRule="exact"/>
              <w:jc w:val="center"/>
              <w:rPr>
                <w:rFonts w:ascii="Times New Roman" w:hAnsi="Times New Roman" w:cs="Times New Roman"/>
                <w:color w:val="auto"/>
                <w:highlight w:val="none"/>
              </w:rPr>
            </w:pPr>
          </w:p>
        </w:tc>
        <w:tc>
          <w:tcPr>
            <w:tcW w:w="3768" w:type="pct"/>
            <w:gridSpan w:val="2"/>
          </w:tcPr>
          <w:p>
            <w:pPr>
              <w:spacing w:line="400" w:lineRule="exact"/>
              <w:rPr>
                <w:rFonts w:ascii="Times New Roman" w:hAnsi="Times New Roman" w:cs="Times New Roman"/>
                <w:color w:val="auto"/>
                <w:highlight w:val="none"/>
              </w:rPr>
            </w:pPr>
            <w:r>
              <w:rPr>
                <w:rFonts w:ascii="Times New Roman" w:hAnsi="Times New Roman" w:cs="Times New Roman"/>
                <w:color w:val="auto"/>
                <w:highlight w:val="none"/>
              </w:rPr>
              <w:t>技术标得分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6" w:hRule="atLeast"/>
          <w:jc w:val="center"/>
        </w:trPr>
        <w:tc>
          <w:tcPr>
            <w:tcW w:w="459" w:type="pct"/>
            <w:gridSpan w:val="2"/>
            <w:vMerge w:val="restart"/>
            <w:vAlign w:val="center"/>
          </w:tcPr>
          <w:p>
            <w:pPr>
              <w:spacing w:line="400" w:lineRule="exact"/>
              <w:jc w:val="center"/>
              <w:rPr>
                <w:rFonts w:ascii="Times New Roman" w:hAnsi="Times New Roman" w:cs="Times New Roman"/>
                <w:color w:val="auto"/>
                <w:highlight w:val="none"/>
              </w:rPr>
            </w:pPr>
            <w:r>
              <w:rPr>
                <w:rFonts w:ascii="Times New Roman" w:hAnsi="Times New Roman" w:cs="Times New Roman"/>
                <w:color w:val="auto"/>
                <w:highlight w:val="none"/>
              </w:rPr>
              <w:t>2.2.2（1）</w:t>
            </w:r>
          </w:p>
        </w:tc>
        <w:tc>
          <w:tcPr>
            <w:tcW w:w="772" w:type="pct"/>
            <w:vMerge w:val="restart"/>
          </w:tcPr>
          <w:p>
            <w:pPr>
              <w:pStyle w:val="39"/>
              <w:rPr>
                <w:rFonts w:ascii="Times New Roman" w:hAnsi="Times New Roman" w:cs="Times New Roman"/>
                <w:b/>
                <w:color w:val="auto"/>
                <w:sz w:val="20"/>
                <w:highlight w:val="none"/>
              </w:rPr>
            </w:pPr>
          </w:p>
          <w:p>
            <w:pPr>
              <w:pStyle w:val="39"/>
              <w:rPr>
                <w:rFonts w:ascii="Times New Roman" w:hAnsi="Times New Roman" w:cs="Times New Roman"/>
                <w:b/>
                <w:color w:val="auto"/>
                <w:sz w:val="20"/>
                <w:highlight w:val="none"/>
              </w:rPr>
            </w:pPr>
          </w:p>
          <w:p>
            <w:pPr>
              <w:pStyle w:val="39"/>
              <w:rPr>
                <w:rFonts w:ascii="Times New Roman" w:hAnsi="Times New Roman" w:cs="Times New Roman"/>
                <w:b/>
                <w:color w:val="auto"/>
                <w:sz w:val="20"/>
                <w:highlight w:val="none"/>
              </w:rPr>
            </w:pPr>
          </w:p>
          <w:p>
            <w:pPr>
              <w:pStyle w:val="39"/>
              <w:rPr>
                <w:rFonts w:ascii="Times New Roman" w:hAnsi="Times New Roman" w:cs="Times New Roman"/>
                <w:b/>
                <w:color w:val="auto"/>
                <w:sz w:val="20"/>
                <w:highlight w:val="none"/>
              </w:rPr>
            </w:pPr>
          </w:p>
          <w:p>
            <w:pPr>
              <w:pStyle w:val="39"/>
              <w:rPr>
                <w:rFonts w:ascii="Times New Roman" w:hAnsi="Times New Roman" w:cs="Times New Roman"/>
                <w:b/>
                <w:color w:val="auto"/>
                <w:sz w:val="20"/>
                <w:highlight w:val="none"/>
              </w:rPr>
            </w:pPr>
          </w:p>
          <w:p>
            <w:pPr>
              <w:pStyle w:val="39"/>
              <w:rPr>
                <w:rFonts w:ascii="Times New Roman" w:hAnsi="Times New Roman" w:cs="Times New Roman"/>
                <w:b/>
                <w:color w:val="auto"/>
                <w:sz w:val="20"/>
                <w:highlight w:val="none"/>
              </w:rPr>
            </w:pPr>
          </w:p>
          <w:p>
            <w:pPr>
              <w:pStyle w:val="39"/>
              <w:rPr>
                <w:rFonts w:ascii="Times New Roman" w:hAnsi="Times New Roman" w:cs="Times New Roman"/>
                <w:b/>
                <w:color w:val="auto"/>
                <w:sz w:val="20"/>
                <w:highlight w:val="none"/>
              </w:rPr>
            </w:pPr>
          </w:p>
          <w:p>
            <w:pPr>
              <w:pStyle w:val="39"/>
              <w:rPr>
                <w:rFonts w:ascii="Times New Roman" w:hAnsi="Times New Roman" w:cs="Times New Roman"/>
                <w:b/>
                <w:color w:val="auto"/>
                <w:sz w:val="20"/>
                <w:highlight w:val="none"/>
              </w:rPr>
            </w:pPr>
          </w:p>
          <w:p>
            <w:pPr>
              <w:pStyle w:val="39"/>
              <w:spacing w:before="8"/>
              <w:rPr>
                <w:rFonts w:ascii="Times New Roman" w:hAnsi="Times New Roman" w:cs="Times New Roman"/>
                <w:b/>
                <w:color w:val="auto"/>
                <w:sz w:val="29"/>
                <w:highlight w:val="none"/>
              </w:rPr>
            </w:pPr>
          </w:p>
          <w:p>
            <w:pPr>
              <w:pStyle w:val="39"/>
              <w:spacing w:line="321" w:lineRule="auto"/>
              <w:ind w:left="150" w:right="134"/>
              <w:jc w:val="center"/>
              <w:rPr>
                <w:rFonts w:ascii="Times New Roman" w:hAnsi="Times New Roman" w:cs="Times New Roman"/>
                <w:color w:val="auto"/>
                <w:sz w:val="21"/>
                <w:highlight w:val="none"/>
              </w:rPr>
            </w:pPr>
            <w:r>
              <w:rPr>
                <w:rFonts w:ascii="Times New Roman" w:hAnsi="Times New Roman" w:cs="Times New Roman"/>
                <w:color w:val="auto"/>
                <w:sz w:val="21"/>
                <w:highlight w:val="none"/>
              </w:rPr>
              <w:t>技术标评分标准（施工组织设计）</w:t>
            </w:r>
          </w:p>
          <w:p>
            <w:pPr>
              <w:pStyle w:val="39"/>
              <w:spacing w:line="267" w:lineRule="exact"/>
              <w:ind w:left="34" w:right="1"/>
              <w:jc w:val="center"/>
              <w:rPr>
                <w:rFonts w:ascii="Times New Roman" w:hAnsi="Times New Roman" w:cs="Times New Roman"/>
                <w:color w:val="auto"/>
                <w:sz w:val="21"/>
                <w:highlight w:val="none"/>
              </w:rPr>
            </w:pPr>
            <w:r>
              <w:rPr>
                <w:rFonts w:ascii="Times New Roman" w:hAnsi="Times New Roman" w:cs="Times New Roman"/>
                <w:color w:val="auto"/>
                <w:sz w:val="21"/>
                <w:highlight w:val="none"/>
              </w:rPr>
              <w:t>（满分</w:t>
            </w:r>
          </w:p>
          <w:p>
            <w:pPr>
              <w:pStyle w:val="39"/>
              <w:spacing w:line="267" w:lineRule="exact"/>
              <w:ind w:left="34" w:right="1"/>
              <w:jc w:val="center"/>
              <w:rPr>
                <w:rFonts w:ascii="Times New Roman" w:hAnsi="Times New Roman" w:cs="Times New Roman"/>
                <w:color w:val="auto"/>
                <w:szCs w:val="21"/>
                <w:highlight w:val="none"/>
              </w:rPr>
            </w:pPr>
            <w:r>
              <w:rPr>
                <w:rFonts w:ascii="Times New Roman" w:hAnsi="Times New Roman" w:cs="Times New Roman"/>
                <w:color w:val="auto"/>
                <w:sz w:val="21"/>
                <w:highlight w:val="none"/>
              </w:rPr>
              <w:t xml:space="preserve"> </w:t>
            </w:r>
            <w:r>
              <w:rPr>
                <w:rFonts w:ascii="Times New Roman" w:hAnsi="Times New Roman" w:cs="Times New Roman"/>
                <w:color w:val="auto"/>
                <w:sz w:val="21"/>
                <w:highlight w:val="none"/>
                <w:u w:val="single"/>
                <w:lang w:val="en-US"/>
              </w:rPr>
              <w:t>35</w:t>
            </w:r>
            <w:r>
              <w:rPr>
                <w:rFonts w:ascii="Times New Roman" w:hAnsi="Times New Roman" w:cs="Times New Roman"/>
                <w:color w:val="auto"/>
                <w:sz w:val="21"/>
                <w:highlight w:val="none"/>
              </w:rPr>
              <w:t xml:space="preserve"> 分）</w:t>
            </w:r>
          </w:p>
        </w:tc>
        <w:tc>
          <w:tcPr>
            <w:tcW w:w="666" w:type="pct"/>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总体概述</w:t>
            </w:r>
          </w:p>
          <w:p>
            <w:pPr>
              <w:jc w:val="center"/>
              <w:rPr>
                <w:rFonts w:ascii="Times New Roman" w:hAnsi="Times New Roman" w:cs="Times New Roman"/>
                <w:color w:val="auto"/>
                <w:highlight w:val="none"/>
              </w:rPr>
            </w:pPr>
            <w:r>
              <w:rPr>
                <w:rFonts w:ascii="Times New Roman" w:hAnsi="Times New Roman" w:cs="Times New Roman"/>
                <w:color w:val="auto"/>
                <w:highlight w:val="none"/>
              </w:rPr>
              <w:t>优 3 分</w:t>
            </w:r>
          </w:p>
          <w:p>
            <w:pPr>
              <w:jc w:val="center"/>
              <w:rPr>
                <w:rFonts w:ascii="Times New Roman" w:hAnsi="Times New Roman" w:cs="Times New Roman"/>
                <w:color w:val="auto"/>
                <w:highlight w:val="none"/>
              </w:rPr>
            </w:pPr>
            <w:r>
              <w:rPr>
                <w:rFonts w:ascii="Times New Roman" w:hAnsi="Times New Roman" w:cs="Times New Roman"/>
                <w:color w:val="auto"/>
                <w:highlight w:val="none"/>
              </w:rPr>
              <w:t>良</w:t>
            </w:r>
            <w:r>
              <w:rPr>
                <w:rFonts w:hint="eastAsia" w:ascii="Times New Roman" w:hAnsi="Times New Roman" w:eastAsia="宋体" w:cs="Times New Roman"/>
                <w:color w:val="auto"/>
                <w:highlight w:val="none"/>
              </w:rPr>
              <w:t xml:space="preserve"> </w:t>
            </w:r>
            <w:r>
              <w:rPr>
                <w:rFonts w:ascii="Times New Roman" w:hAnsi="Times New Roman" w:cs="Times New Roman"/>
                <w:color w:val="auto"/>
                <w:highlight w:val="none"/>
              </w:rPr>
              <w:t>2 分</w:t>
            </w:r>
          </w:p>
          <w:p>
            <w:pPr>
              <w:jc w:val="center"/>
              <w:rPr>
                <w:rFonts w:ascii="Times New Roman" w:hAnsi="Times New Roman" w:cs="Times New Roman"/>
                <w:color w:val="auto"/>
                <w:highlight w:val="none"/>
              </w:rPr>
            </w:pPr>
            <w:r>
              <w:rPr>
                <w:rFonts w:ascii="Times New Roman" w:hAnsi="Times New Roman" w:cs="Times New Roman"/>
                <w:color w:val="auto"/>
                <w:highlight w:val="none"/>
              </w:rPr>
              <w:t>中 1 分</w:t>
            </w:r>
          </w:p>
          <w:p>
            <w:pPr>
              <w:jc w:val="center"/>
              <w:rPr>
                <w:rFonts w:ascii="Times New Roman" w:hAnsi="Times New Roman" w:cs="Times New Roman"/>
                <w:color w:val="auto"/>
                <w:highlight w:val="none"/>
              </w:rPr>
            </w:pPr>
            <w:r>
              <w:rPr>
                <w:rFonts w:ascii="Times New Roman" w:hAnsi="Times New Roman" w:cs="Times New Roman"/>
                <w:color w:val="auto"/>
                <w:highlight w:val="none"/>
              </w:rPr>
              <w:t>差 0 分</w:t>
            </w:r>
          </w:p>
        </w:tc>
        <w:tc>
          <w:tcPr>
            <w:tcW w:w="3102" w:type="pct"/>
            <w:vAlign w:val="center"/>
          </w:tcPr>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优：</w:t>
            </w:r>
            <w:r>
              <w:rPr>
                <w:rFonts w:ascii="Times New Roman" w:hAnsi="Times New Roman" w:cs="Times New Roman"/>
                <w:color w:val="auto"/>
                <w:highlight w:val="none"/>
              </w:rPr>
              <w:t xml:space="preserve">对项目总体有深刻认识，表达清晰、完整、严谨、合理，措施先进、具体、有效、成熟；施工段划分清晰、合理，符合规范要求。 </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良：</w:t>
            </w:r>
            <w:r>
              <w:rPr>
                <w:rFonts w:ascii="Times New Roman" w:hAnsi="Times New Roman" w:cs="Times New Roman"/>
                <w:color w:val="auto"/>
                <w:highlight w:val="none"/>
              </w:rPr>
              <w:t xml:space="preserve">对项目总体有一定认识，表达清晰、完整，措施具体有效；施工段划分清晰，符合规范要求。 </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中：</w:t>
            </w:r>
            <w:r>
              <w:rPr>
                <w:rFonts w:ascii="Times New Roman" w:hAnsi="Times New Roman" w:cs="Times New Roman"/>
                <w:color w:val="auto"/>
                <w:highlight w:val="none"/>
              </w:rPr>
              <w:t xml:space="preserve">对项目总体有认识，有一定的措施但部分不具体；施工段划分较合理，符合规范要求。 </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差：</w:t>
            </w:r>
            <w:r>
              <w:rPr>
                <w:rFonts w:ascii="Times New Roman" w:hAnsi="Times New Roman" w:cs="Times New Roman"/>
                <w:color w:val="auto"/>
                <w:highlight w:val="none"/>
              </w:rPr>
              <w:t>对项目认识不足，表达不清晰，措施不具体；施工段划分不合理。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8" w:hRule="atLeast"/>
          <w:jc w:val="center"/>
        </w:trPr>
        <w:tc>
          <w:tcPr>
            <w:tcW w:w="459" w:type="pct"/>
            <w:gridSpan w:val="2"/>
            <w:vMerge w:val="continue"/>
            <w:vAlign w:val="center"/>
          </w:tcPr>
          <w:p>
            <w:pPr>
              <w:spacing w:line="400" w:lineRule="exact"/>
              <w:jc w:val="center"/>
              <w:rPr>
                <w:rFonts w:ascii="Times New Roman" w:hAnsi="Times New Roman" w:cs="Times New Roman"/>
                <w:color w:val="auto"/>
                <w:highlight w:val="none"/>
              </w:rPr>
            </w:pPr>
          </w:p>
        </w:tc>
        <w:tc>
          <w:tcPr>
            <w:tcW w:w="772" w:type="pct"/>
            <w:vMerge w:val="continue"/>
            <w:vAlign w:val="center"/>
          </w:tcPr>
          <w:p>
            <w:pPr>
              <w:spacing w:line="400" w:lineRule="exact"/>
              <w:jc w:val="center"/>
              <w:rPr>
                <w:rFonts w:ascii="Times New Roman" w:hAnsi="Times New Roman" w:cs="Times New Roman"/>
                <w:color w:val="auto"/>
                <w:highlight w:val="none"/>
              </w:rPr>
            </w:pPr>
          </w:p>
        </w:tc>
        <w:tc>
          <w:tcPr>
            <w:tcW w:w="666" w:type="pct"/>
          </w:tcPr>
          <w:p>
            <w:pPr>
              <w:jc w:val="center"/>
              <w:rPr>
                <w:rFonts w:ascii="Times New Roman" w:hAnsi="Times New Roman" w:cs="Times New Roman"/>
                <w:color w:val="auto"/>
                <w:highlight w:val="none"/>
              </w:rPr>
            </w:pPr>
          </w:p>
          <w:p>
            <w:pPr>
              <w:jc w:val="center"/>
              <w:rPr>
                <w:rFonts w:ascii="Times New Roman" w:hAnsi="Times New Roman" w:cs="Times New Roman"/>
                <w:color w:val="auto"/>
                <w:highlight w:val="none"/>
              </w:rPr>
            </w:pPr>
          </w:p>
          <w:p>
            <w:pPr>
              <w:jc w:val="center"/>
              <w:rPr>
                <w:rFonts w:ascii="Times New Roman" w:hAnsi="Times New Roman" w:cs="Times New Roman"/>
                <w:color w:val="auto"/>
                <w:highlight w:val="none"/>
              </w:rPr>
            </w:pPr>
            <w:r>
              <w:rPr>
                <w:rFonts w:ascii="Times New Roman" w:hAnsi="Times New Roman" w:cs="Times New Roman"/>
                <w:color w:val="auto"/>
                <w:highlight w:val="none"/>
              </w:rPr>
              <w:t>主要施工方法</w:t>
            </w:r>
          </w:p>
          <w:p>
            <w:pPr>
              <w:jc w:val="center"/>
              <w:rPr>
                <w:rFonts w:ascii="Times New Roman" w:hAnsi="Times New Roman" w:cs="Times New Roman"/>
                <w:color w:val="auto"/>
                <w:highlight w:val="none"/>
              </w:rPr>
            </w:pPr>
            <w:r>
              <w:rPr>
                <w:rFonts w:ascii="Times New Roman" w:hAnsi="Times New Roman" w:cs="Times New Roman"/>
                <w:color w:val="auto"/>
                <w:highlight w:val="none"/>
              </w:rPr>
              <w:t>优 4 分</w:t>
            </w:r>
          </w:p>
          <w:p>
            <w:pPr>
              <w:jc w:val="center"/>
              <w:rPr>
                <w:rFonts w:ascii="Times New Roman" w:hAnsi="Times New Roman" w:cs="Times New Roman"/>
                <w:color w:val="auto"/>
                <w:highlight w:val="none"/>
              </w:rPr>
            </w:pPr>
            <w:r>
              <w:rPr>
                <w:rFonts w:ascii="Times New Roman" w:hAnsi="Times New Roman" w:cs="Times New Roman"/>
                <w:color w:val="auto"/>
                <w:highlight w:val="none"/>
              </w:rPr>
              <w:t>良 3 分</w:t>
            </w:r>
          </w:p>
          <w:p>
            <w:pPr>
              <w:jc w:val="center"/>
              <w:rPr>
                <w:rFonts w:ascii="Times New Roman" w:hAnsi="Times New Roman" w:cs="Times New Roman"/>
                <w:color w:val="auto"/>
                <w:highlight w:val="none"/>
              </w:rPr>
            </w:pPr>
            <w:r>
              <w:rPr>
                <w:rFonts w:ascii="Times New Roman" w:hAnsi="Times New Roman" w:cs="Times New Roman"/>
                <w:color w:val="auto"/>
                <w:highlight w:val="none"/>
              </w:rPr>
              <w:t>中 2</w:t>
            </w:r>
            <w:r>
              <w:rPr>
                <w:rFonts w:ascii="Times New Roman" w:hAnsi="Times New Roman" w:eastAsia="宋体" w:cs="Times New Roman"/>
                <w:color w:val="auto"/>
                <w:highlight w:val="none"/>
              </w:rPr>
              <w:t xml:space="preserve"> </w:t>
            </w:r>
            <w:r>
              <w:rPr>
                <w:rFonts w:ascii="Times New Roman" w:hAnsi="Times New Roman" w:cs="Times New Roman"/>
                <w:color w:val="auto"/>
                <w:highlight w:val="none"/>
              </w:rPr>
              <w:t>分</w:t>
            </w:r>
          </w:p>
          <w:p>
            <w:pPr>
              <w:jc w:val="center"/>
              <w:rPr>
                <w:rFonts w:ascii="Times New Roman" w:hAnsi="Times New Roman" w:cs="Times New Roman"/>
                <w:color w:val="auto"/>
                <w:highlight w:val="none"/>
              </w:rPr>
            </w:pPr>
            <w:r>
              <w:rPr>
                <w:rFonts w:ascii="Times New Roman" w:hAnsi="Times New Roman" w:cs="Times New Roman"/>
                <w:color w:val="auto"/>
                <w:highlight w:val="none"/>
              </w:rPr>
              <w:t>差 0 分</w:t>
            </w:r>
          </w:p>
        </w:tc>
        <w:tc>
          <w:tcPr>
            <w:tcW w:w="3102" w:type="pct"/>
            <w:vAlign w:val="center"/>
          </w:tcPr>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优：</w:t>
            </w:r>
            <w:r>
              <w:rPr>
                <w:rFonts w:ascii="Times New Roman" w:hAnsi="Times New Roman" w:cs="Times New Roman"/>
                <w:color w:val="auto"/>
                <w:highlight w:val="none"/>
              </w:rPr>
              <w:t xml:space="preserve">各主要分部施工方法符合项目实际，有详尽的施工技术方案，工艺先进、方法科学合理、可行，能指导具体施工并确保安全； </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良：</w:t>
            </w:r>
            <w:r>
              <w:rPr>
                <w:rFonts w:ascii="Times New Roman" w:hAnsi="Times New Roman" w:cs="Times New Roman"/>
                <w:color w:val="auto"/>
                <w:highlight w:val="none"/>
              </w:rPr>
              <w:t xml:space="preserve">各主要分部施工方法符合项目实际，有较详尽的施工技术方案，工艺较好、方法科学合理、可行，能指导具体施工并确保安全； </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中：</w:t>
            </w:r>
            <w:r>
              <w:rPr>
                <w:rFonts w:ascii="Times New Roman" w:hAnsi="Times New Roman" w:cs="Times New Roman"/>
                <w:color w:val="auto"/>
                <w:highlight w:val="none"/>
              </w:rPr>
              <w:t xml:space="preserve">各主要分部施工方法能满足项目需求，有施工技术方案，能指导具体施工并确保安全； </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差：</w:t>
            </w:r>
            <w:r>
              <w:rPr>
                <w:rFonts w:ascii="Times New Roman" w:hAnsi="Times New Roman" w:cs="Times New Roman"/>
                <w:color w:val="auto"/>
                <w:highlight w:val="none"/>
              </w:rPr>
              <w:t>各主要分部施工方法不能满足项目需求，没有施工技术方案，不能指导具体施工并确保安全。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59" w:type="pct"/>
            <w:gridSpan w:val="2"/>
            <w:vMerge w:val="continue"/>
            <w:vAlign w:val="center"/>
          </w:tcPr>
          <w:p>
            <w:pPr>
              <w:spacing w:line="400" w:lineRule="exact"/>
              <w:jc w:val="center"/>
              <w:rPr>
                <w:rFonts w:ascii="Times New Roman" w:hAnsi="Times New Roman" w:cs="Times New Roman"/>
                <w:color w:val="auto"/>
                <w:highlight w:val="none"/>
              </w:rPr>
            </w:pPr>
          </w:p>
        </w:tc>
        <w:tc>
          <w:tcPr>
            <w:tcW w:w="772" w:type="pct"/>
            <w:vMerge w:val="continue"/>
            <w:vAlign w:val="center"/>
          </w:tcPr>
          <w:p>
            <w:pPr>
              <w:spacing w:line="400" w:lineRule="exact"/>
              <w:jc w:val="center"/>
              <w:rPr>
                <w:rFonts w:ascii="Times New Roman" w:hAnsi="Times New Roman" w:cs="Times New Roman"/>
                <w:color w:val="auto"/>
                <w:highlight w:val="none"/>
              </w:rPr>
            </w:pPr>
          </w:p>
        </w:tc>
        <w:tc>
          <w:tcPr>
            <w:tcW w:w="666" w:type="pct"/>
          </w:tcPr>
          <w:p>
            <w:pPr>
              <w:jc w:val="center"/>
              <w:rPr>
                <w:rFonts w:ascii="Times New Roman" w:hAnsi="Times New Roman" w:cs="Times New Roman"/>
                <w:color w:val="auto"/>
                <w:highlight w:val="none"/>
              </w:rPr>
            </w:pPr>
            <w:r>
              <w:rPr>
                <w:rFonts w:ascii="Times New Roman" w:hAnsi="Times New Roman" w:cs="Times New Roman"/>
                <w:color w:val="auto"/>
                <w:highlight w:val="none"/>
              </w:rPr>
              <w:t>施工进度、施工进度计划和各阶段进度的保证措施</w:t>
            </w:r>
          </w:p>
          <w:p>
            <w:pPr>
              <w:jc w:val="center"/>
              <w:rPr>
                <w:rFonts w:ascii="Times New Roman" w:hAnsi="Times New Roman" w:cs="Times New Roman"/>
                <w:color w:val="auto"/>
                <w:highlight w:val="none"/>
              </w:rPr>
            </w:pPr>
            <w:r>
              <w:rPr>
                <w:rFonts w:ascii="Times New Roman" w:hAnsi="Times New Roman" w:cs="Times New Roman"/>
                <w:color w:val="auto"/>
                <w:highlight w:val="none"/>
              </w:rPr>
              <w:t>优 4 分</w:t>
            </w:r>
          </w:p>
          <w:p>
            <w:pPr>
              <w:jc w:val="center"/>
              <w:rPr>
                <w:rFonts w:ascii="Times New Roman" w:hAnsi="Times New Roman" w:cs="Times New Roman"/>
                <w:color w:val="auto"/>
                <w:highlight w:val="none"/>
              </w:rPr>
            </w:pPr>
            <w:r>
              <w:rPr>
                <w:rFonts w:ascii="Times New Roman" w:hAnsi="Times New Roman" w:cs="Times New Roman"/>
                <w:color w:val="auto"/>
                <w:highlight w:val="none"/>
              </w:rPr>
              <w:t>良 3</w:t>
            </w:r>
            <w:r>
              <w:rPr>
                <w:rFonts w:ascii="Times New Roman" w:hAnsi="Times New Roman" w:eastAsia="宋体" w:cs="Times New Roman"/>
                <w:color w:val="auto"/>
                <w:highlight w:val="none"/>
              </w:rPr>
              <w:t xml:space="preserve"> </w:t>
            </w:r>
            <w:r>
              <w:rPr>
                <w:rFonts w:ascii="Times New Roman" w:hAnsi="Times New Roman" w:cs="Times New Roman"/>
                <w:color w:val="auto"/>
                <w:highlight w:val="none"/>
              </w:rPr>
              <w:t>分</w:t>
            </w:r>
          </w:p>
          <w:p>
            <w:pPr>
              <w:jc w:val="center"/>
              <w:rPr>
                <w:rFonts w:ascii="Times New Roman" w:hAnsi="Times New Roman" w:cs="Times New Roman"/>
                <w:color w:val="auto"/>
                <w:highlight w:val="none"/>
              </w:rPr>
            </w:pPr>
            <w:r>
              <w:rPr>
                <w:rFonts w:ascii="Times New Roman" w:hAnsi="Times New Roman" w:cs="Times New Roman"/>
                <w:color w:val="auto"/>
                <w:highlight w:val="none"/>
              </w:rPr>
              <w:t>中</w:t>
            </w:r>
            <w:r>
              <w:rPr>
                <w:rFonts w:ascii="Times New Roman" w:hAnsi="Times New Roman" w:eastAsia="宋体" w:cs="Times New Roman"/>
                <w:color w:val="auto"/>
                <w:highlight w:val="none"/>
              </w:rPr>
              <w:t xml:space="preserve"> </w:t>
            </w:r>
            <w:r>
              <w:rPr>
                <w:rFonts w:ascii="Times New Roman" w:hAnsi="Times New Roman" w:cs="Times New Roman"/>
                <w:color w:val="auto"/>
                <w:highlight w:val="none"/>
              </w:rPr>
              <w:t>2 分</w:t>
            </w:r>
          </w:p>
          <w:p>
            <w:pPr>
              <w:jc w:val="center"/>
              <w:rPr>
                <w:rFonts w:ascii="Times New Roman" w:hAnsi="Times New Roman" w:cs="Times New Roman"/>
                <w:color w:val="auto"/>
                <w:highlight w:val="none"/>
              </w:rPr>
            </w:pPr>
            <w:r>
              <w:rPr>
                <w:rFonts w:ascii="Times New Roman" w:hAnsi="Times New Roman" w:cs="Times New Roman"/>
                <w:color w:val="auto"/>
                <w:highlight w:val="none"/>
              </w:rPr>
              <w:t>差 0 分</w:t>
            </w:r>
          </w:p>
        </w:tc>
        <w:tc>
          <w:tcPr>
            <w:tcW w:w="3102" w:type="pct"/>
            <w:vAlign w:val="center"/>
          </w:tcPr>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优：</w:t>
            </w:r>
            <w:r>
              <w:rPr>
                <w:rFonts w:ascii="Times New Roman" w:hAnsi="Times New Roman" w:cs="Times New Roman"/>
                <w:color w:val="auto"/>
                <w:highlight w:val="none"/>
              </w:rPr>
              <w:t xml:space="preserve">关键线路清晰、准确、完整，计划编制合理、可行，关键节点的控制措施有力、合理、可行。 </w:t>
            </w:r>
          </w:p>
          <w:p>
            <w:pPr>
              <w:spacing w:line="400" w:lineRule="exact"/>
              <w:rPr>
                <w:rFonts w:ascii="Times New Roman" w:hAnsi="Times New Roman" w:cs="Times New Roman"/>
                <w:color w:val="auto"/>
                <w:highlight w:val="none"/>
              </w:rPr>
            </w:pPr>
            <w:r>
              <w:rPr>
                <w:rFonts w:ascii="Times New Roman" w:hAnsi="Times New Roman" w:cs="Times New Roman"/>
                <w:color w:val="auto"/>
                <w:highlight w:val="none"/>
              </w:rPr>
              <w:t xml:space="preserve">良：关键线路清晰、准确、完整，计划编制可行，关键节点的控制措施合理、可行。 </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中：</w:t>
            </w:r>
            <w:r>
              <w:rPr>
                <w:rFonts w:ascii="Times New Roman" w:hAnsi="Times New Roman" w:cs="Times New Roman"/>
                <w:color w:val="auto"/>
                <w:highlight w:val="none"/>
              </w:rPr>
              <w:t xml:space="preserve">关键线路基本准确，计划编制合理，关键节点的控制措施基本可行。 </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差：</w:t>
            </w:r>
            <w:r>
              <w:rPr>
                <w:rFonts w:ascii="Times New Roman" w:hAnsi="Times New Roman" w:cs="Times New Roman"/>
                <w:color w:val="auto"/>
                <w:highlight w:val="none"/>
              </w:rPr>
              <w:t>关键线路不准确，计划编制不合理，关键节点的控制不可行。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0" w:hRule="atLeast"/>
          <w:jc w:val="center"/>
        </w:trPr>
        <w:tc>
          <w:tcPr>
            <w:tcW w:w="459" w:type="pct"/>
            <w:gridSpan w:val="2"/>
            <w:vMerge w:val="continue"/>
            <w:vAlign w:val="center"/>
          </w:tcPr>
          <w:p>
            <w:pPr>
              <w:spacing w:line="400" w:lineRule="exact"/>
              <w:jc w:val="center"/>
              <w:rPr>
                <w:rFonts w:ascii="Times New Roman" w:hAnsi="Times New Roman" w:cs="Times New Roman"/>
                <w:color w:val="auto"/>
                <w:highlight w:val="none"/>
              </w:rPr>
            </w:pPr>
          </w:p>
        </w:tc>
        <w:tc>
          <w:tcPr>
            <w:tcW w:w="772" w:type="pct"/>
            <w:vMerge w:val="continue"/>
            <w:vAlign w:val="center"/>
          </w:tcPr>
          <w:p>
            <w:pPr>
              <w:spacing w:line="400" w:lineRule="exact"/>
              <w:jc w:val="center"/>
              <w:rPr>
                <w:rFonts w:ascii="Times New Roman" w:hAnsi="Times New Roman" w:cs="Times New Roman"/>
                <w:color w:val="auto"/>
                <w:highlight w:val="none"/>
              </w:rPr>
            </w:pPr>
          </w:p>
        </w:tc>
        <w:tc>
          <w:tcPr>
            <w:tcW w:w="666" w:type="pct"/>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劳动力和材料投入计划及其保证措施</w:t>
            </w:r>
          </w:p>
          <w:p>
            <w:pPr>
              <w:jc w:val="center"/>
              <w:rPr>
                <w:rFonts w:ascii="Times New Roman" w:hAnsi="Times New Roman" w:cs="Times New Roman"/>
                <w:color w:val="auto"/>
                <w:highlight w:val="none"/>
              </w:rPr>
            </w:pPr>
            <w:r>
              <w:rPr>
                <w:rFonts w:ascii="Times New Roman" w:hAnsi="Times New Roman" w:cs="Times New Roman"/>
                <w:color w:val="auto"/>
                <w:highlight w:val="none"/>
              </w:rPr>
              <w:t>优 4 分</w:t>
            </w:r>
          </w:p>
          <w:p>
            <w:pPr>
              <w:jc w:val="center"/>
              <w:rPr>
                <w:rFonts w:ascii="Times New Roman" w:hAnsi="Times New Roman" w:cs="Times New Roman"/>
                <w:color w:val="auto"/>
                <w:highlight w:val="none"/>
              </w:rPr>
            </w:pPr>
            <w:r>
              <w:rPr>
                <w:rFonts w:ascii="Times New Roman" w:hAnsi="Times New Roman" w:cs="Times New Roman"/>
                <w:color w:val="auto"/>
                <w:highlight w:val="none"/>
              </w:rPr>
              <w:t>良 3 分</w:t>
            </w:r>
          </w:p>
          <w:p>
            <w:pPr>
              <w:jc w:val="center"/>
              <w:rPr>
                <w:rFonts w:ascii="Times New Roman" w:hAnsi="Times New Roman" w:cs="Times New Roman"/>
                <w:color w:val="auto"/>
                <w:highlight w:val="none"/>
              </w:rPr>
            </w:pPr>
            <w:r>
              <w:rPr>
                <w:rFonts w:ascii="Times New Roman" w:hAnsi="Times New Roman" w:cs="Times New Roman"/>
                <w:color w:val="auto"/>
                <w:highlight w:val="none"/>
              </w:rPr>
              <w:t>中 2 分</w:t>
            </w:r>
          </w:p>
          <w:p>
            <w:pPr>
              <w:jc w:val="center"/>
              <w:rPr>
                <w:rFonts w:ascii="Times New Roman" w:hAnsi="Times New Roman" w:cs="Times New Roman"/>
                <w:color w:val="auto"/>
                <w:highlight w:val="none"/>
              </w:rPr>
            </w:pPr>
            <w:r>
              <w:rPr>
                <w:rFonts w:ascii="Times New Roman" w:hAnsi="Times New Roman" w:cs="Times New Roman"/>
                <w:color w:val="auto"/>
                <w:highlight w:val="none"/>
              </w:rPr>
              <w:t>差 0 分</w:t>
            </w:r>
          </w:p>
        </w:tc>
        <w:tc>
          <w:tcPr>
            <w:tcW w:w="3102" w:type="pct"/>
            <w:vAlign w:val="center"/>
          </w:tcPr>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优：</w:t>
            </w:r>
            <w:r>
              <w:rPr>
                <w:rFonts w:ascii="Times New Roman" w:hAnsi="Times New Roman" w:cs="Times New Roman"/>
                <w:color w:val="auto"/>
                <w:highlight w:val="none"/>
              </w:rPr>
              <w:t xml:space="preserve">投入计划与进度计划呼应，较好满足施工需要，调配投入计划合理、准确。 </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良：</w:t>
            </w:r>
            <w:r>
              <w:rPr>
                <w:rFonts w:ascii="Times New Roman" w:hAnsi="Times New Roman" w:cs="Times New Roman"/>
                <w:color w:val="auto"/>
                <w:highlight w:val="none"/>
              </w:rPr>
              <w:t xml:space="preserve">投入计划与进度计划呼应，基本满足施工需要，调配投入计划基本合理、准确。 </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中：</w:t>
            </w:r>
            <w:r>
              <w:rPr>
                <w:rFonts w:ascii="Times New Roman" w:hAnsi="Times New Roman" w:cs="Times New Roman"/>
                <w:color w:val="auto"/>
                <w:highlight w:val="none"/>
              </w:rPr>
              <w:t xml:space="preserve">投入计划与进度计划呼应，基本满足施工需要，调配投入计划基本合理。 </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差：</w:t>
            </w:r>
            <w:r>
              <w:rPr>
                <w:rFonts w:ascii="Times New Roman" w:hAnsi="Times New Roman" w:cs="Times New Roman"/>
                <w:color w:val="auto"/>
                <w:highlight w:val="none"/>
              </w:rPr>
              <w:t>投入计划与进度计划不呼应，不能满足施工需要。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5" w:hRule="atLeast"/>
          <w:jc w:val="center"/>
        </w:trPr>
        <w:tc>
          <w:tcPr>
            <w:tcW w:w="459" w:type="pct"/>
            <w:gridSpan w:val="2"/>
            <w:vMerge w:val="continue"/>
            <w:vAlign w:val="center"/>
          </w:tcPr>
          <w:p>
            <w:pPr>
              <w:spacing w:line="400" w:lineRule="exact"/>
              <w:jc w:val="center"/>
              <w:rPr>
                <w:rFonts w:ascii="Times New Roman" w:hAnsi="Times New Roman" w:cs="Times New Roman"/>
                <w:color w:val="auto"/>
                <w:highlight w:val="none"/>
              </w:rPr>
            </w:pPr>
          </w:p>
        </w:tc>
        <w:tc>
          <w:tcPr>
            <w:tcW w:w="772" w:type="pct"/>
            <w:vMerge w:val="continue"/>
            <w:vAlign w:val="center"/>
          </w:tcPr>
          <w:p>
            <w:pPr>
              <w:spacing w:line="400" w:lineRule="exact"/>
              <w:jc w:val="center"/>
              <w:rPr>
                <w:rFonts w:ascii="Times New Roman" w:hAnsi="Times New Roman" w:cs="Times New Roman"/>
                <w:color w:val="auto"/>
                <w:highlight w:val="none"/>
              </w:rPr>
            </w:pPr>
          </w:p>
        </w:tc>
        <w:tc>
          <w:tcPr>
            <w:tcW w:w="666" w:type="pct"/>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施工平面布置和临时设施布置</w:t>
            </w:r>
          </w:p>
          <w:p>
            <w:pPr>
              <w:jc w:val="center"/>
              <w:rPr>
                <w:rFonts w:ascii="Times New Roman" w:hAnsi="Times New Roman" w:cs="Times New Roman"/>
                <w:color w:val="auto"/>
                <w:highlight w:val="none"/>
              </w:rPr>
            </w:pPr>
            <w:r>
              <w:rPr>
                <w:rFonts w:ascii="Times New Roman" w:hAnsi="Times New Roman" w:cs="Times New Roman"/>
                <w:color w:val="auto"/>
                <w:highlight w:val="none"/>
              </w:rPr>
              <w:t>优</w:t>
            </w:r>
            <w:r>
              <w:rPr>
                <w:rFonts w:ascii="Times New Roman" w:hAnsi="Times New Roman" w:eastAsia="宋体" w:cs="Times New Roman"/>
                <w:color w:val="auto"/>
                <w:highlight w:val="none"/>
              </w:rPr>
              <w:t xml:space="preserve"> </w:t>
            </w:r>
            <w:r>
              <w:rPr>
                <w:rFonts w:ascii="Times New Roman" w:hAnsi="Times New Roman" w:cs="Times New Roman"/>
                <w:color w:val="auto"/>
                <w:highlight w:val="none"/>
              </w:rPr>
              <w:t>4 分</w:t>
            </w:r>
          </w:p>
          <w:p>
            <w:pPr>
              <w:jc w:val="center"/>
              <w:rPr>
                <w:rFonts w:ascii="Times New Roman" w:hAnsi="Times New Roman" w:cs="Times New Roman"/>
                <w:color w:val="auto"/>
                <w:highlight w:val="none"/>
              </w:rPr>
            </w:pPr>
            <w:r>
              <w:rPr>
                <w:rFonts w:ascii="Times New Roman" w:hAnsi="Times New Roman" w:cs="Times New Roman"/>
                <w:color w:val="auto"/>
                <w:highlight w:val="none"/>
              </w:rPr>
              <w:t>良 3</w:t>
            </w:r>
            <w:r>
              <w:rPr>
                <w:rFonts w:ascii="Times New Roman" w:hAnsi="Times New Roman" w:eastAsia="宋体" w:cs="Times New Roman"/>
                <w:color w:val="auto"/>
                <w:highlight w:val="none"/>
              </w:rPr>
              <w:t xml:space="preserve"> </w:t>
            </w:r>
            <w:r>
              <w:rPr>
                <w:rFonts w:ascii="Times New Roman" w:hAnsi="Times New Roman" w:cs="Times New Roman"/>
                <w:color w:val="auto"/>
                <w:highlight w:val="none"/>
              </w:rPr>
              <w:t>分</w:t>
            </w:r>
          </w:p>
          <w:p>
            <w:pPr>
              <w:jc w:val="center"/>
              <w:rPr>
                <w:rFonts w:ascii="Times New Roman" w:hAnsi="Times New Roman" w:cs="Times New Roman"/>
                <w:color w:val="auto"/>
                <w:highlight w:val="none"/>
              </w:rPr>
            </w:pPr>
            <w:r>
              <w:rPr>
                <w:rFonts w:ascii="Times New Roman" w:hAnsi="Times New Roman" w:cs="Times New Roman"/>
                <w:color w:val="auto"/>
                <w:highlight w:val="none"/>
              </w:rPr>
              <w:t>中 2 分</w:t>
            </w:r>
          </w:p>
          <w:p>
            <w:pPr>
              <w:jc w:val="center"/>
              <w:rPr>
                <w:rFonts w:ascii="Times New Roman" w:hAnsi="Times New Roman" w:cs="Times New Roman"/>
                <w:color w:val="auto"/>
                <w:highlight w:val="none"/>
              </w:rPr>
            </w:pPr>
            <w:r>
              <w:rPr>
                <w:rFonts w:ascii="Times New Roman" w:hAnsi="Times New Roman" w:cs="Times New Roman"/>
                <w:color w:val="auto"/>
                <w:highlight w:val="none"/>
              </w:rPr>
              <w:t>差 0 分</w:t>
            </w:r>
          </w:p>
        </w:tc>
        <w:tc>
          <w:tcPr>
            <w:tcW w:w="3102" w:type="pct"/>
            <w:vAlign w:val="center"/>
          </w:tcPr>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优：</w:t>
            </w:r>
            <w:r>
              <w:rPr>
                <w:rFonts w:ascii="Times New Roman" w:hAnsi="Times New Roman" w:cs="Times New Roman"/>
                <w:color w:val="auto"/>
                <w:highlight w:val="none"/>
              </w:rPr>
              <w:t xml:space="preserve">总体布置有针对性、合理，较好满足施工需要，符合安全、文明生产要求。 </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良：</w:t>
            </w:r>
            <w:r>
              <w:rPr>
                <w:rFonts w:ascii="Times New Roman" w:hAnsi="Times New Roman" w:cs="Times New Roman"/>
                <w:color w:val="auto"/>
                <w:highlight w:val="none"/>
              </w:rPr>
              <w:t xml:space="preserve">总体布置合理，能满足施工需要，基本符合安全、文明生产要求。 </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中：</w:t>
            </w:r>
            <w:r>
              <w:rPr>
                <w:rFonts w:ascii="Times New Roman" w:hAnsi="Times New Roman" w:cs="Times New Roman"/>
                <w:color w:val="auto"/>
                <w:highlight w:val="none"/>
              </w:rPr>
              <w:t xml:space="preserve">总体布置基本合理，基本满足施工需要。 </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差：</w:t>
            </w:r>
            <w:r>
              <w:rPr>
                <w:rFonts w:ascii="Times New Roman" w:hAnsi="Times New Roman" w:cs="Times New Roman"/>
                <w:color w:val="auto"/>
                <w:highlight w:val="none"/>
              </w:rPr>
              <w:t>总体布置不合理，不符合安全、文明生产要求。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459" w:type="pct"/>
            <w:gridSpan w:val="2"/>
            <w:vMerge w:val="continue"/>
            <w:vAlign w:val="center"/>
          </w:tcPr>
          <w:p>
            <w:pPr>
              <w:spacing w:line="400" w:lineRule="exact"/>
              <w:jc w:val="center"/>
              <w:rPr>
                <w:rFonts w:ascii="Times New Roman" w:hAnsi="Times New Roman" w:cs="Times New Roman"/>
                <w:color w:val="auto"/>
                <w:highlight w:val="none"/>
              </w:rPr>
            </w:pPr>
          </w:p>
        </w:tc>
        <w:tc>
          <w:tcPr>
            <w:tcW w:w="772" w:type="pct"/>
            <w:vMerge w:val="continue"/>
            <w:vAlign w:val="center"/>
          </w:tcPr>
          <w:p>
            <w:pPr>
              <w:spacing w:line="400" w:lineRule="exact"/>
              <w:jc w:val="center"/>
              <w:rPr>
                <w:rFonts w:ascii="Times New Roman" w:hAnsi="Times New Roman" w:cs="Times New Roman"/>
                <w:color w:val="auto"/>
                <w:highlight w:val="none"/>
              </w:rPr>
            </w:pPr>
          </w:p>
        </w:tc>
        <w:tc>
          <w:tcPr>
            <w:tcW w:w="666" w:type="pct"/>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关键施工技术、工艺及工程实施的重点、难点和解决方案</w:t>
            </w:r>
          </w:p>
          <w:p>
            <w:pPr>
              <w:jc w:val="center"/>
              <w:rPr>
                <w:rFonts w:ascii="Times New Roman" w:hAnsi="Times New Roman" w:cs="Times New Roman"/>
                <w:color w:val="auto"/>
                <w:highlight w:val="none"/>
              </w:rPr>
            </w:pPr>
            <w:r>
              <w:rPr>
                <w:rFonts w:ascii="Times New Roman" w:hAnsi="Times New Roman" w:cs="Times New Roman"/>
                <w:color w:val="auto"/>
                <w:highlight w:val="none"/>
              </w:rPr>
              <w:t>优</w:t>
            </w:r>
            <w:r>
              <w:rPr>
                <w:rFonts w:ascii="Times New Roman" w:hAnsi="Times New Roman" w:eastAsia="宋体" w:cs="Times New Roman"/>
                <w:color w:val="auto"/>
                <w:highlight w:val="none"/>
              </w:rPr>
              <w:t xml:space="preserve"> </w:t>
            </w:r>
            <w:r>
              <w:rPr>
                <w:rFonts w:ascii="Times New Roman" w:hAnsi="Times New Roman" w:cs="Times New Roman"/>
                <w:color w:val="auto"/>
                <w:highlight w:val="none"/>
              </w:rPr>
              <w:t>4</w:t>
            </w:r>
            <w:r>
              <w:rPr>
                <w:rFonts w:ascii="Times New Roman" w:hAnsi="Times New Roman" w:eastAsia="宋体" w:cs="Times New Roman"/>
                <w:color w:val="auto"/>
                <w:highlight w:val="none"/>
              </w:rPr>
              <w:t xml:space="preserve"> </w:t>
            </w:r>
            <w:r>
              <w:rPr>
                <w:rFonts w:ascii="Times New Roman" w:hAnsi="Times New Roman" w:cs="Times New Roman"/>
                <w:color w:val="auto"/>
                <w:highlight w:val="none"/>
              </w:rPr>
              <w:t>分</w:t>
            </w:r>
          </w:p>
          <w:p>
            <w:pPr>
              <w:jc w:val="center"/>
              <w:rPr>
                <w:rFonts w:ascii="Times New Roman" w:hAnsi="Times New Roman" w:cs="Times New Roman"/>
                <w:color w:val="auto"/>
                <w:highlight w:val="none"/>
              </w:rPr>
            </w:pPr>
            <w:r>
              <w:rPr>
                <w:rFonts w:ascii="Times New Roman" w:hAnsi="Times New Roman" w:cs="Times New Roman"/>
                <w:color w:val="auto"/>
                <w:highlight w:val="none"/>
              </w:rPr>
              <w:t>良</w:t>
            </w:r>
            <w:r>
              <w:rPr>
                <w:rFonts w:ascii="Times New Roman" w:hAnsi="Times New Roman" w:eastAsia="宋体" w:cs="Times New Roman"/>
                <w:color w:val="auto"/>
                <w:highlight w:val="none"/>
              </w:rPr>
              <w:t xml:space="preserve"> </w:t>
            </w:r>
            <w:r>
              <w:rPr>
                <w:rFonts w:ascii="Times New Roman" w:hAnsi="Times New Roman" w:cs="Times New Roman"/>
                <w:color w:val="auto"/>
                <w:highlight w:val="none"/>
              </w:rPr>
              <w:t>3</w:t>
            </w:r>
            <w:r>
              <w:rPr>
                <w:rFonts w:ascii="Times New Roman" w:hAnsi="Times New Roman" w:eastAsia="宋体" w:cs="Times New Roman"/>
                <w:color w:val="auto"/>
                <w:highlight w:val="none"/>
              </w:rPr>
              <w:t xml:space="preserve"> </w:t>
            </w:r>
            <w:r>
              <w:rPr>
                <w:rFonts w:ascii="Times New Roman" w:hAnsi="Times New Roman" w:cs="Times New Roman"/>
                <w:color w:val="auto"/>
                <w:highlight w:val="none"/>
              </w:rPr>
              <w:t>分</w:t>
            </w:r>
          </w:p>
          <w:p>
            <w:pPr>
              <w:jc w:val="center"/>
              <w:rPr>
                <w:rFonts w:ascii="Times New Roman" w:hAnsi="Times New Roman" w:cs="Times New Roman"/>
                <w:color w:val="auto"/>
                <w:highlight w:val="none"/>
              </w:rPr>
            </w:pPr>
            <w:r>
              <w:rPr>
                <w:rFonts w:ascii="Times New Roman" w:hAnsi="Times New Roman" w:cs="Times New Roman"/>
                <w:color w:val="auto"/>
                <w:highlight w:val="none"/>
              </w:rPr>
              <w:t>中</w:t>
            </w:r>
            <w:r>
              <w:rPr>
                <w:rFonts w:ascii="Times New Roman" w:hAnsi="Times New Roman" w:eastAsia="宋体" w:cs="Times New Roman"/>
                <w:color w:val="auto"/>
                <w:highlight w:val="none"/>
              </w:rPr>
              <w:t xml:space="preserve"> </w:t>
            </w:r>
            <w:r>
              <w:rPr>
                <w:rFonts w:ascii="Times New Roman" w:hAnsi="Times New Roman" w:cs="Times New Roman"/>
                <w:color w:val="auto"/>
                <w:highlight w:val="none"/>
              </w:rPr>
              <w:t>2</w:t>
            </w:r>
            <w:r>
              <w:rPr>
                <w:rFonts w:ascii="Times New Roman" w:hAnsi="Times New Roman" w:eastAsia="宋体" w:cs="Times New Roman"/>
                <w:color w:val="auto"/>
                <w:highlight w:val="none"/>
              </w:rPr>
              <w:t xml:space="preserve"> </w:t>
            </w:r>
            <w:r>
              <w:rPr>
                <w:rFonts w:ascii="Times New Roman" w:hAnsi="Times New Roman" w:cs="Times New Roman"/>
                <w:color w:val="auto"/>
                <w:highlight w:val="none"/>
              </w:rPr>
              <w:t>分</w:t>
            </w:r>
          </w:p>
          <w:p>
            <w:pPr>
              <w:jc w:val="center"/>
              <w:rPr>
                <w:rFonts w:ascii="Times New Roman" w:hAnsi="Times New Roman" w:cs="Times New Roman"/>
                <w:color w:val="auto"/>
                <w:highlight w:val="none"/>
              </w:rPr>
            </w:pPr>
            <w:r>
              <w:rPr>
                <w:rFonts w:ascii="Times New Roman" w:hAnsi="Times New Roman" w:cs="Times New Roman"/>
                <w:color w:val="auto"/>
                <w:highlight w:val="none"/>
              </w:rPr>
              <w:t>差</w:t>
            </w:r>
            <w:r>
              <w:rPr>
                <w:rFonts w:ascii="Times New Roman" w:hAnsi="Times New Roman" w:eastAsia="宋体" w:cs="Times New Roman"/>
                <w:color w:val="auto"/>
                <w:highlight w:val="none"/>
              </w:rPr>
              <w:t xml:space="preserve"> </w:t>
            </w:r>
            <w:r>
              <w:rPr>
                <w:rFonts w:ascii="Times New Roman" w:hAnsi="Times New Roman" w:cs="Times New Roman"/>
                <w:color w:val="auto"/>
                <w:highlight w:val="none"/>
              </w:rPr>
              <w:t>0 分</w:t>
            </w:r>
          </w:p>
        </w:tc>
        <w:tc>
          <w:tcPr>
            <w:tcW w:w="3102" w:type="pct"/>
            <w:vAlign w:val="center"/>
          </w:tcPr>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优：</w:t>
            </w:r>
            <w:r>
              <w:rPr>
                <w:rFonts w:ascii="Times New Roman" w:hAnsi="Times New Roman" w:cs="Times New Roman"/>
                <w:color w:val="auto"/>
                <w:highlight w:val="none"/>
              </w:rPr>
              <w:t xml:space="preserve">对项目关键技术、工艺有深入的表达，对重点、难点有先进合理的施工措施并有可行的安全措施，解决方案完整、经济、安全、切实可行，措施得力。 </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良：</w:t>
            </w:r>
            <w:r>
              <w:rPr>
                <w:rFonts w:ascii="Times New Roman" w:hAnsi="Times New Roman" w:cs="Times New Roman"/>
                <w:color w:val="auto"/>
                <w:highlight w:val="none"/>
              </w:rPr>
              <w:t xml:space="preserve">对项目关键技术、工艺有深入的表达，对重点、难点有合理的建议，解决方案经济、安全、基本可行。 </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中：</w:t>
            </w:r>
            <w:r>
              <w:rPr>
                <w:rFonts w:ascii="Times New Roman" w:hAnsi="Times New Roman" w:cs="Times New Roman"/>
                <w:color w:val="auto"/>
                <w:highlight w:val="none"/>
              </w:rPr>
              <w:t xml:space="preserve">对项目关键技术有一定了解，对重点、难点有建议，解决方案基本可行。 </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差：</w:t>
            </w:r>
            <w:r>
              <w:rPr>
                <w:rFonts w:ascii="Times New Roman" w:hAnsi="Times New Roman" w:cs="Times New Roman"/>
                <w:color w:val="auto"/>
                <w:highlight w:val="none"/>
              </w:rPr>
              <w:t>对项目关键技术有表述，对重点、难点有建议，解决方案不可行。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5" w:hRule="atLeast"/>
          <w:jc w:val="center"/>
        </w:trPr>
        <w:tc>
          <w:tcPr>
            <w:tcW w:w="459" w:type="pct"/>
            <w:gridSpan w:val="2"/>
            <w:vMerge w:val="continue"/>
            <w:vAlign w:val="center"/>
          </w:tcPr>
          <w:p>
            <w:pPr>
              <w:spacing w:line="400" w:lineRule="exact"/>
              <w:jc w:val="center"/>
              <w:rPr>
                <w:rFonts w:ascii="Times New Roman" w:hAnsi="Times New Roman" w:cs="Times New Roman"/>
                <w:color w:val="auto"/>
                <w:highlight w:val="none"/>
              </w:rPr>
            </w:pPr>
          </w:p>
        </w:tc>
        <w:tc>
          <w:tcPr>
            <w:tcW w:w="772" w:type="pct"/>
            <w:vMerge w:val="continue"/>
            <w:vAlign w:val="center"/>
          </w:tcPr>
          <w:p>
            <w:pPr>
              <w:spacing w:line="400" w:lineRule="exact"/>
              <w:jc w:val="center"/>
              <w:rPr>
                <w:rFonts w:ascii="Times New Roman" w:hAnsi="Times New Roman" w:cs="Times New Roman"/>
                <w:color w:val="auto"/>
                <w:highlight w:val="none"/>
              </w:rPr>
            </w:pPr>
          </w:p>
        </w:tc>
        <w:tc>
          <w:tcPr>
            <w:tcW w:w="666" w:type="pct"/>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安全文明施工措施</w:t>
            </w:r>
          </w:p>
          <w:p>
            <w:pPr>
              <w:jc w:val="center"/>
              <w:rPr>
                <w:rFonts w:ascii="Times New Roman" w:hAnsi="Times New Roman" w:cs="Times New Roman"/>
                <w:color w:val="auto"/>
                <w:highlight w:val="none"/>
              </w:rPr>
            </w:pPr>
            <w:r>
              <w:rPr>
                <w:rFonts w:ascii="Times New Roman" w:hAnsi="Times New Roman" w:cs="Times New Roman"/>
                <w:color w:val="auto"/>
                <w:highlight w:val="none"/>
              </w:rPr>
              <w:t>优 4 分</w:t>
            </w:r>
          </w:p>
          <w:p>
            <w:pPr>
              <w:jc w:val="center"/>
              <w:rPr>
                <w:rFonts w:ascii="Times New Roman" w:hAnsi="Times New Roman" w:cs="Times New Roman"/>
                <w:color w:val="auto"/>
                <w:highlight w:val="none"/>
              </w:rPr>
            </w:pPr>
            <w:r>
              <w:rPr>
                <w:rFonts w:ascii="Times New Roman" w:hAnsi="Times New Roman" w:cs="Times New Roman"/>
                <w:color w:val="auto"/>
                <w:highlight w:val="none"/>
              </w:rPr>
              <w:t>良 3 分</w:t>
            </w:r>
          </w:p>
          <w:p>
            <w:pPr>
              <w:jc w:val="center"/>
              <w:rPr>
                <w:rFonts w:ascii="Times New Roman" w:hAnsi="Times New Roman" w:cs="Times New Roman"/>
                <w:color w:val="auto"/>
                <w:highlight w:val="none"/>
              </w:rPr>
            </w:pPr>
            <w:r>
              <w:rPr>
                <w:rFonts w:ascii="Times New Roman" w:hAnsi="Times New Roman" w:cs="Times New Roman"/>
                <w:color w:val="auto"/>
                <w:highlight w:val="none"/>
              </w:rPr>
              <w:t>中</w:t>
            </w:r>
            <w:r>
              <w:rPr>
                <w:rFonts w:ascii="Times New Roman" w:hAnsi="Times New Roman" w:eastAsia="宋体" w:cs="Times New Roman"/>
                <w:color w:val="auto"/>
                <w:highlight w:val="none"/>
              </w:rPr>
              <w:t xml:space="preserve"> </w:t>
            </w:r>
            <w:r>
              <w:rPr>
                <w:rFonts w:ascii="Times New Roman" w:hAnsi="Times New Roman" w:cs="Times New Roman"/>
                <w:color w:val="auto"/>
                <w:highlight w:val="none"/>
              </w:rPr>
              <w:t>2 分</w:t>
            </w:r>
          </w:p>
          <w:p>
            <w:pPr>
              <w:jc w:val="center"/>
              <w:rPr>
                <w:rFonts w:ascii="Times New Roman" w:hAnsi="Times New Roman" w:cs="Times New Roman"/>
                <w:color w:val="auto"/>
                <w:highlight w:val="none"/>
              </w:rPr>
            </w:pPr>
            <w:r>
              <w:rPr>
                <w:rFonts w:ascii="Times New Roman" w:hAnsi="Times New Roman" w:cs="Times New Roman"/>
                <w:color w:val="auto"/>
                <w:highlight w:val="none"/>
              </w:rPr>
              <w:t>差 0 分</w:t>
            </w:r>
          </w:p>
        </w:tc>
        <w:tc>
          <w:tcPr>
            <w:tcW w:w="3102" w:type="pct"/>
            <w:vAlign w:val="center"/>
          </w:tcPr>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优：</w:t>
            </w:r>
            <w:r>
              <w:rPr>
                <w:rFonts w:ascii="Times New Roman" w:hAnsi="Times New Roman" w:cs="Times New Roman"/>
                <w:color w:val="auto"/>
                <w:highlight w:val="none"/>
              </w:rPr>
              <w:t xml:space="preserve">针对项目实际情况，有先进、具体、完整、可行的实施措施，采用规范正确、清晰。 </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良：</w:t>
            </w:r>
            <w:r>
              <w:rPr>
                <w:rFonts w:ascii="Times New Roman" w:hAnsi="Times New Roman" w:cs="Times New Roman"/>
                <w:color w:val="auto"/>
                <w:highlight w:val="none"/>
              </w:rPr>
              <w:t xml:space="preserve">针对项目实际情况，有合理的措施且具体、完整，采用规范正确。 </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中：</w:t>
            </w:r>
            <w:r>
              <w:rPr>
                <w:rFonts w:ascii="Times New Roman" w:hAnsi="Times New Roman" w:cs="Times New Roman"/>
                <w:color w:val="auto"/>
                <w:highlight w:val="none"/>
              </w:rPr>
              <w:t xml:space="preserve">有基本合理的措施，采用规范正确。 </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差：</w:t>
            </w:r>
            <w:r>
              <w:rPr>
                <w:rFonts w:ascii="Times New Roman" w:hAnsi="Times New Roman" w:cs="Times New Roman"/>
                <w:color w:val="auto"/>
                <w:highlight w:val="none"/>
              </w:rPr>
              <w:t>安全文明措施不得力，采用规范不正确。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5" w:hRule="atLeast"/>
          <w:jc w:val="center"/>
        </w:trPr>
        <w:tc>
          <w:tcPr>
            <w:tcW w:w="459" w:type="pct"/>
            <w:gridSpan w:val="2"/>
            <w:vMerge w:val="continue"/>
            <w:vAlign w:val="center"/>
          </w:tcPr>
          <w:p>
            <w:pPr>
              <w:spacing w:line="400" w:lineRule="exact"/>
              <w:jc w:val="center"/>
              <w:rPr>
                <w:rFonts w:ascii="Times New Roman" w:hAnsi="Times New Roman" w:cs="Times New Roman"/>
                <w:color w:val="auto"/>
                <w:highlight w:val="none"/>
              </w:rPr>
            </w:pPr>
          </w:p>
        </w:tc>
        <w:tc>
          <w:tcPr>
            <w:tcW w:w="772" w:type="pct"/>
            <w:vMerge w:val="continue"/>
            <w:vAlign w:val="center"/>
          </w:tcPr>
          <w:p>
            <w:pPr>
              <w:spacing w:line="400" w:lineRule="exact"/>
              <w:jc w:val="center"/>
              <w:rPr>
                <w:rFonts w:ascii="Times New Roman" w:hAnsi="Times New Roman" w:cs="Times New Roman"/>
                <w:color w:val="auto"/>
                <w:highlight w:val="none"/>
              </w:rPr>
            </w:pPr>
          </w:p>
        </w:tc>
        <w:tc>
          <w:tcPr>
            <w:tcW w:w="666" w:type="pct"/>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质量保证与承诺</w:t>
            </w:r>
          </w:p>
          <w:p>
            <w:pPr>
              <w:jc w:val="center"/>
              <w:rPr>
                <w:rFonts w:ascii="Times New Roman" w:hAnsi="Times New Roman" w:cs="Times New Roman"/>
                <w:color w:val="auto"/>
                <w:highlight w:val="none"/>
              </w:rPr>
            </w:pPr>
            <w:r>
              <w:rPr>
                <w:rFonts w:ascii="Times New Roman" w:hAnsi="Times New Roman" w:cs="Times New Roman"/>
                <w:color w:val="auto"/>
                <w:highlight w:val="none"/>
              </w:rPr>
              <w:t>优 4 分</w:t>
            </w:r>
          </w:p>
          <w:p>
            <w:pPr>
              <w:jc w:val="center"/>
              <w:rPr>
                <w:rFonts w:ascii="Times New Roman" w:hAnsi="Times New Roman" w:cs="Times New Roman"/>
                <w:color w:val="auto"/>
                <w:highlight w:val="none"/>
              </w:rPr>
            </w:pPr>
            <w:r>
              <w:rPr>
                <w:rFonts w:ascii="Times New Roman" w:hAnsi="Times New Roman" w:cs="Times New Roman"/>
                <w:color w:val="auto"/>
                <w:highlight w:val="none"/>
              </w:rPr>
              <w:t>良 3</w:t>
            </w:r>
            <w:r>
              <w:rPr>
                <w:rFonts w:ascii="Times New Roman" w:hAnsi="Times New Roman" w:eastAsia="宋体" w:cs="Times New Roman"/>
                <w:color w:val="auto"/>
                <w:highlight w:val="none"/>
              </w:rPr>
              <w:t xml:space="preserve"> </w:t>
            </w:r>
            <w:r>
              <w:rPr>
                <w:rFonts w:ascii="Times New Roman" w:hAnsi="Times New Roman" w:cs="Times New Roman"/>
                <w:color w:val="auto"/>
                <w:highlight w:val="none"/>
              </w:rPr>
              <w:t>分</w:t>
            </w:r>
          </w:p>
          <w:p>
            <w:pPr>
              <w:jc w:val="center"/>
              <w:rPr>
                <w:rFonts w:ascii="Times New Roman" w:hAnsi="Times New Roman" w:cs="Times New Roman"/>
                <w:color w:val="auto"/>
                <w:highlight w:val="none"/>
              </w:rPr>
            </w:pPr>
            <w:r>
              <w:rPr>
                <w:rFonts w:ascii="Times New Roman" w:hAnsi="Times New Roman" w:cs="Times New Roman"/>
                <w:color w:val="auto"/>
                <w:highlight w:val="none"/>
              </w:rPr>
              <w:t>中 2 分</w:t>
            </w:r>
          </w:p>
          <w:p>
            <w:pPr>
              <w:jc w:val="center"/>
              <w:rPr>
                <w:rFonts w:ascii="Times New Roman" w:hAnsi="Times New Roman" w:cs="Times New Roman"/>
                <w:color w:val="auto"/>
                <w:highlight w:val="none"/>
              </w:rPr>
            </w:pPr>
            <w:r>
              <w:rPr>
                <w:rFonts w:ascii="Times New Roman" w:hAnsi="Times New Roman" w:cs="Times New Roman"/>
                <w:color w:val="auto"/>
                <w:highlight w:val="none"/>
              </w:rPr>
              <w:t>差 0 分</w:t>
            </w:r>
          </w:p>
        </w:tc>
        <w:tc>
          <w:tcPr>
            <w:tcW w:w="3102" w:type="pct"/>
            <w:vAlign w:val="center"/>
          </w:tcPr>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优：</w:t>
            </w:r>
            <w:r>
              <w:rPr>
                <w:rFonts w:ascii="Times New Roman" w:hAnsi="Times New Roman" w:cs="Times New Roman"/>
                <w:color w:val="auto"/>
                <w:highlight w:val="none"/>
              </w:rPr>
              <w:t xml:space="preserve">针对项目实际提出先进、可行、具体的保证措施，超过招标文件的质量要求及施工验收规范要求。 </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良：</w:t>
            </w:r>
            <w:r>
              <w:rPr>
                <w:rFonts w:ascii="Times New Roman" w:hAnsi="Times New Roman" w:cs="Times New Roman"/>
                <w:color w:val="auto"/>
                <w:highlight w:val="none"/>
              </w:rPr>
              <w:t xml:space="preserve">针对项目实际提出先进、可行、具体的保证措施，满足招标文件的质量要求。 </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中：</w:t>
            </w:r>
            <w:r>
              <w:rPr>
                <w:rFonts w:ascii="Times New Roman" w:hAnsi="Times New Roman" w:cs="Times New Roman"/>
                <w:color w:val="auto"/>
                <w:highlight w:val="none"/>
              </w:rPr>
              <w:t xml:space="preserve">具体措施可行，满足招标文件的质量要求。 </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差：</w:t>
            </w:r>
            <w:r>
              <w:rPr>
                <w:rFonts w:ascii="Times New Roman" w:hAnsi="Times New Roman" w:cs="Times New Roman"/>
                <w:color w:val="auto"/>
                <w:highlight w:val="none"/>
              </w:rPr>
              <w:t>措施不可行。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59" w:type="pct"/>
            <w:gridSpan w:val="2"/>
            <w:vMerge w:val="continue"/>
            <w:vAlign w:val="center"/>
          </w:tcPr>
          <w:p>
            <w:pPr>
              <w:spacing w:line="400" w:lineRule="exact"/>
              <w:jc w:val="center"/>
              <w:rPr>
                <w:rFonts w:ascii="Times New Roman" w:hAnsi="Times New Roman" w:cs="Times New Roman"/>
                <w:color w:val="auto"/>
                <w:highlight w:val="none"/>
              </w:rPr>
            </w:pPr>
          </w:p>
        </w:tc>
        <w:tc>
          <w:tcPr>
            <w:tcW w:w="772" w:type="pct"/>
            <w:vMerge w:val="continue"/>
            <w:vAlign w:val="center"/>
          </w:tcPr>
          <w:p>
            <w:pPr>
              <w:spacing w:line="400" w:lineRule="exact"/>
              <w:jc w:val="center"/>
              <w:rPr>
                <w:rFonts w:ascii="Times New Roman" w:hAnsi="Times New Roman" w:cs="Times New Roman"/>
                <w:color w:val="auto"/>
                <w:highlight w:val="none"/>
              </w:rPr>
            </w:pPr>
          </w:p>
        </w:tc>
        <w:tc>
          <w:tcPr>
            <w:tcW w:w="666" w:type="pct"/>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新技术应用与承诺</w:t>
            </w:r>
          </w:p>
          <w:p>
            <w:pPr>
              <w:jc w:val="center"/>
              <w:rPr>
                <w:rFonts w:ascii="Times New Roman" w:hAnsi="Times New Roman" w:cs="Times New Roman"/>
                <w:color w:val="auto"/>
                <w:highlight w:val="none"/>
              </w:rPr>
            </w:pPr>
            <w:r>
              <w:rPr>
                <w:rFonts w:ascii="Times New Roman" w:hAnsi="Times New Roman" w:cs="Times New Roman"/>
                <w:color w:val="auto"/>
                <w:highlight w:val="none"/>
              </w:rPr>
              <w:t>优 4</w:t>
            </w:r>
            <w:r>
              <w:rPr>
                <w:rFonts w:ascii="Times New Roman" w:hAnsi="Times New Roman" w:eastAsia="宋体" w:cs="Times New Roman"/>
                <w:color w:val="auto"/>
                <w:highlight w:val="none"/>
              </w:rPr>
              <w:t xml:space="preserve"> </w:t>
            </w:r>
            <w:r>
              <w:rPr>
                <w:rFonts w:ascii="Times New Roman" w:hAnsi="Times New Roman" w:cs="Times New Roman"/>
                <w:color w:val="auto"/>
                <w:highlight w:val="none"/>
              </w:rPr>
              <w:t>分</w:t>
            </w:r>
          </w:p>
          <w:p>
            <w:pPr>
              <w:jc w:val="center"/>
              <w:rPr>
                <w:rFonts w:ascii="Times New Roman" w:hAnsi="Times New Roman" w:cs="Times New Roman"/>
                <w:color w:val="auto"/>
                <w:highlight w:val="none"/>
              </w:rPr>
            </w:pPr>
            <w:r>
              <w:rPr>
                <w:rFonts w:ascii="Times New Roman" w:hAnsi="Times New Roman" w:cs="Times New Roman"/>
                <w:color w:val="auto"/>
                <w:highlight w:val="none"/>
              </w:rPr>
              <w:t>良 3</w:t>
            </w:r>
            <w:r>
              <w:rPr>
                <w:rFonts w:ascii="Times New Roman" w:hAnsi="Times New Roman" w:eastAsia="宋体" w:cs="Times New Roman"/>
                <w:color w:val="auto"/>
                <w:highlight w:val="none"/>
              </w:rPr>
              <w:t xml:space="preserve"> </w:t>
            </w:r>
            <w:r>
              <w:rPr>
                <w:rFonts w:ascii="Times New Roman" w:hAnsi="Times New Roman" w:cs="Times New Roman"/>
                <w:color w:val="auto"/>
                <w:highlight w:val="none"/>
              </w:rPr>
              <w:t>分</w:t>
            </w:r>
          </w:p>
          <w:p>
            <w:pPr>
              <w:jc w:val="center"/>
              <w:rPr>
                <w:rFonts w:ascii="Times New Roman" w:hAnsi="Times New Roman" w:cs="Times New Roman"/>
                <w:color w:val="auto"/>
                <w:highlight w:val="none"/>
              </w:rPr>
            </w:pPr>
            <w:r>
              <w:rPr>
                <w:rFonts w:ascii="Times New Roman" w:hAnsi="Times New Roman" w:cs="Times New Roman"/>
                <w:color w:val="auto"/>
                <w:highlight w:val="none"/>
              </w:rPr>
              <w:t>中 2</w:t>
            </w:r>
            <w:r>
              <w:rPr>
                <w:rFonts w:ascii="Times New Roman" w:hAnsi="Times New Roman" w:eastAsia="宋体" w:cs="Times New Roman"/>
                <w:color w:val="auto"/>
                <w:highlight w:val="none"/>
              </w:rPr>
              <w:t xml:space="preserve"> </w:t>
            </w:r>
            <w:r>
              <w:rPr>
                <w:rFonts w:ascii="Times New Roman" w:hAnsi="Times New Roman" w:cs="Times New Roman"/>
                <w:color w:val="auto"/>
                <w:highlight w:val="none"/>
              </w:rPr>
              <w:t>分</w:t>
            </w:r>
          </w:p>
          <w:p>
            <w:pPr>
              <w:jc w:val="center"/>
              <w:rPr>
                <w:rFonts w:ascii="Times New Roman" w:hAnsi="Times New Roman" w:cs="Times New Roman"/>
                <w:color w:val="auto"/>
                <w:highlight w:val="none"/>
              </w:rPr>
            </w:pPr>
            <w:r>
              <w:rPr>
                <w:rFonts w:ascii="Times New Roman" w:hAnsi="Times New Roman" w:cs="Times New Roman"/>
                <w:color w:val="auto"/>
                <w:highlight w:val="none"/>
              </w:rPr>
              <w:t>差 0 分</w:t>
            </w:r>
          </w:p>
        </w:tc>
        <w:tc>
          <w:tcPr>
            <w:tcW w:w="3102" w:type="pct"/>
            <w:vAlign w:val="center"/>
          </w:tcPr>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优：</w:t>
            </w:r>
            <w:r>
              <w:rPr>
                <w:rFonts w:ascii="Times New Roman" w:hAnsi="Times New Roman" w:cs="Times New Roman"/>
                <w:color w:val="auto"/>
                <w:highlight w:val="none"/>
              </w:rPr>
              <w:t>针对项目实际，提出采用新技术的具体措施。新技术的验证材料可靠，对节约投资和工期的保证措施得力、具体、严谨。对采用新技术可能产生的风险预见充分，对新技术的实施有安全生产的可靠方案。</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 xml:space="preserve">良： </w:t>
            </w:r>
            <w:r>
              <w:rPr>
                <w:rFonts w:ascii="Times New Roman" w:hAnsi="Times New Roman" w:cs="Times New Roman"/>
                <w:color w:val="auto"/>
                <w:highlight w:val="none"/>
              </w:rPr>
              <w:t xml:space="preserve">针对项目实际，提出采用新技术的具体措施。新技术的验证材料可靠，对节约投资和工期有保证措施。对采用新技术可能产生的风险有一定的预见。 </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中：</w:t>
            </w:r>
            <w:r>
              <w:rPr>
                <w:rFonts w:ascii="Times New Roman" w:hAnsi="Times New Roman" w:cs="Times New Roman"/>
                <w:color w:val="auto"/>
                <w:highlight w:val="none"/>
              </w:rPr>
              <w:t>有新技术措施，但验证材料不充分，对节约投资和工期可能有一定收益，对采用新技术可能产生的风险预见不足。</w:t>
            </w:r>
          </w:p>
          <w:p>
            <w:pPr>
              <w:spacing w:line="400" w:lineRule="exact"/>
              <w:rPr>
                <w:rFonts w:ascii="Times New Roman" w:hAnsi="Times New Roman" w:cs="Times New Roman"/>
                <w:color w:val="auto"/>
                <w:highlight w:val="none"/>
              </w:rPr>
            </w:pPr>
            <w:r>
              <w:rPr>
                <w:rFonts w:ascii="Times New Roman" w:hAnsi="Times New Roman" w:cs="Times New Roman"/>
                <w:b/>
                <w:bCs/>
                <w:color w:val="auto"/>
                <w:highlight w:val="none"/>
              </w:rPr>
              <w:t>差：</w:t>
            </w:r>
            <w:r>
              <w:rPr>
                <w:rFonts w:ascii="Times New Roman" w:hAnsi="Times New Roman" w:cs="Times New Roman"/>
                <w:color w:val="auto"/>
                <w:highlight w:val="none"/>
              </w:rPr>
              <w:t>采用的新技术针对性不强或验证材料不可靠，对节约投资和工期没有具体收益。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459" w:type="pct"/>
            <w:gridSpan w:val="2"/>
            <w:vAlign w:val="center"/>
          </w:tcPr>
          <w:p>
            <w:pPr>
              <w:spacing w:line="400" w:lineRule="exact"/>
              <w:jc w:val="center"/>
              <w:rPr>
                <w:rFonts w:ascii="Times New Roman" w:hAnsi="Times New Roman" w:cs="Times New Roman"/>
                <w:color w:val="auto"/>
                <w:highlight w:val="none"/>
              </w:rPr>
            </w:pPr>
            <w:r>
              <w:rPr>
                <w:rFonts w:ascii="Times New Roman" w:hAnsi="Times New Roman" w:cs="Times New Roman"/>
                <w:color w:val="auto"/>
                <w:highlight w:val="none"/>
              </w:rPr>
              <w:t>2.2.2</w:t>
            </w:r>
          </w:p>
          <w:p>
            <w:pPr>
              <w:spacing w:line="400" w:lineRule="exact"/>
              <w:jc w:val="center"/>
              <w:rPr>
                <w:rFonts w:ascii="Times New Roman" w:hAnsi="Times New Roman" w:cs="Times New Roman"/>
                <w:color w:val="auto"/>
                <w:highlight w:val="none"/>
              </w:rPr>
            </w:pPr>
            <w:r>
              <w:rPr>
                <w:rFonts w:ascii="Times New Roman" w:hAnsi="Times New Roman" w:cs="Times New Roman"/>
                <w:color w:val="auto"/>
                <w:highlight w:val="none"/>
              </w:rPr>
              <w:t>（2）</w:t>
            </w:r>
          </w:p>
        </w:tc>
        <w:tc>
          <w:tcPr>
            <w:tcW w:w="772" w:type="pct"/>
            <w:vAlign w:val="center"/>
          </w:tcPr>
          <w:p>
            <w:pPr>
              <w:spacing w:line="400" w:lineRule="exact"/>
              <w:jc w:val="center"/>
              <w:rPr>
                <w:rFonts w:ascii="Times New Roman" w:hAnsi="Times New Roman" w:cs="Times New Roman"/>
                <w:color w:val="auto"/>
                <w:highlight w:val="none"/>
              </w:rPr>
            </w:pPr>
            <w:r>
              <w:rPr>
                <w:rFonts w:ascii="Times New Roman" w:hAnsi="Times New Roman" w:cs="Times New Roman"/>
                <w:color w:val="auto"/>
                <w:highlight w:val="none"/>
              </w:rPr>
              <w:t>投标总报价评 分</w:t>
            </w:r>
          </w:p>
          <w:p>
            <w:pPr>
              <w:spacing w:line="400" w:lineRule="exact"/>
              <w:jc w:val="center"/>
              <w:rPr>
                <w:rFonts w:ascii="Times New Roman" w:hAnsi="Times New Roman" w:cs="Times New Roman"/>
                <w:color w:val="auto"/>
                <w:highlight w:val="none"/>
              </w:rPr>
            </w:pPr>
            <w:r>
              <w:rPr>
                <w:rFonts w:ascii="Times New Roman" w:hAnsi="Times New Roman" w:cs="Times New Roman"/>
                <w:color w:val="auto"/>
                <w:highlight w:val="none"/>
              </w:rPr>
              <w:t>（满分60分）</w:t>
            </w:r>
          </w:p>
        </w:tc>
        <w:tc>
          <w:tcPr>
            <w:tcW w:w="3768" w:type="pct"/>
            <w:gridSpan w:val="2"/>
          </w:tcPr>
          <w:p>
            <w:pPr>
              <w:spacing w:line="400" w:lineRule="exact"/>
              <w:rPr>
                <w:rFonts w:ascii="Times New Roman" w:hAnsi="Times New Roman" w:cs="Times New Roman"/>
                <w:color w:val="auto"/>
                <w:highlight w:val="none"/>
              </w:rPr>
            </w:pPr>
            <w:r>
              <w:rPr>
                <w:rFonts w:ascii="Times New Roman" w:hAnsi="Times New Roman" w:cs="Times New Roman"/>
                <w:color w:val="auto"/>
                <w:highlight w:val="none"/>
              </w:rPr>
              <w:t>以投标报价的评标基准价为满分，采用内插法计算，投标人报价每高于评标基准价1％的扣1.5分，每低于评标基准价1％的扣1分，计算出投标人的投标报价得分。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459" w:type="pct"/>
            <w:gridSpan w:val="2"/>
            <w:vAlign w:val="center"/>
          </w:tcPr>
          <w:p>
            <w:pPr>
              <w:spacing w:line="400" w:lineRule="exact"/>
              <w:rPr>
                <w:rFonts w:ascii="Times New Roman" w:hAnsi="Times New Roman" w:cs="Times New Roman"/>
                <w:color w:val="auto"/>
                <w:highlight w:val="none"/>
              </w:rPr>
            </w:pPr>
            <w:r>
              <w:rPr>
                <w:rFonts w:ascii="Times New Roman" w:hAnsi="Times New Roman" w:cs="Times New Roman"/>
                <w:color w:val="auto"/>
                <w:highlight w:val="none"/>
              </w:rPr>
              <w:t>2.2.2</w:t>
            </w:r>
          </w:p>
          <w:p>
            <w:pPr>
              <w:spacing w:line="400" w:lineRule="exact"/>
              <w:rPr>
                <w:rFonts w:ascii="Times New Roman" w:hAnsi="Times New Roman" w:cs="Times New Roman"/>
                <w:color w:val="auto"/>
                <w:highlight w:val="none"/>
              </w:rPr>
            </w:pPr>
            <w:r>
              <w:rPr>
                <w:rFonts w:ascii="Times New Roman" w:hAnsi="Times New Roman" w:cs="Times New Roman"/>
                <w:color w:val="auto"/>
                <w:highlight w:val="none"/>
              </w:rPr>
              <w:t>（3）</w:t>
            </w:r>
          </w:p>
        </w:tc>
        <w:tc>
          <w:tcPr>
            <w:tcW w:w="772" w:type="pct"/>
            <w:vAlign w:val="center"/>
          </w:tcPr>
          <w:p>
            <w:pPr>
              <w:spacing w:line="400" w:lineRule="exact"/>
              <w:rPr>
                <w:rFonts w:ascii="Times New Roman" w:hAnsi="Times New Roman" w:cs="Times New Roman"/>
                <w:color w:val="auto"/>
                <w:highlight w:val="none"/>
              </w:rPr>
            </w:pPr>
            <w:r>
              <w:rPr>
                <w:rFonts w:ascii="Times New Roman" w:hAnsi="Times New Roman" w:cs="Times New Roman"/>
                <w:color w:val="auto"/>
                <w:highlight w:val="none"/>
              </w:rPr>
              <w:t>企业信誉政策分</w:t>
            </w:r>
          </w:p>
          <w:p>
            <w:pPr>
              <w:spacing w:line="400" w:lineRule="exact"/>
              <w:rPr>
                <w:rFonts w:ascii="Times New Roman" w:hAnsi="Times New Roman" w:cs="Times New Roman"/>
                <w:color w:val="auto"/>
                <w:highlight w:val="none"/>
              </w:rPr>
            </w:pPr>
            <w:r>
              <w:rPr>
                <w:rFonts w:ascii="Times New Roman" w:hAnsi="Times New Roman" w:cs="Times New Roman"/>
                <w:color w:val="auto"/>
                <w:highlight w:val="none"/>
              </w:rPr>
              <w:t>（满分5 分）</w:t>
            </w:r>
          </w:p>
        </w:tc>
        <w:tc>
          <w:tcPr>
            <w:tcW w:w="3768" w:type="pct"/>
            <w:gridSpan w:val="2"/>
          </w:tcPr>
          <w:p>
            <w:pPr>
              <w:spacing w:line="400" w:lineRule="exact"/>
              <w:rPr>
                <w:rFonts w:ascii="Times New Roman" w:hAnsi="Times New Roman" w:cs="Times New Roman"/>
                <w:color w:val="auto"/>
                <w:highlight w:val="none"/>
              </w:rPr>
            </w:pPr>
            <w:r>
              <w:rPr>
                <w:rFonts w:ascii="Times New Roman" w:hAnsi="Times New Roman" w:cs="Times New Roman"/>
                <w:color w:val="auto"/>
                <w:highlight w:val="none"/>
              </w:rPr>
              <w:t>（1）投标人为小微企业的，在采用原报价进行评分的基础上增加其价格得分的5%作为其价格分（最高加3分）</w:t>
            </w:r>
          </w:p>
          <w:p>
            <w:pPr>
              <w:pStyle w:val="36"/>
              <w:spacing w:line="400" w:lineRule="exact"/>
              <w:rPr>
                <w:color w:val="auto"/>
                <w:szCs w:val="21"/>
                <w:highlight w:val="none"/>
              </w:rPr>
            </w:pPr>
            <w:r>
              <w:rPr>
                <w:color w:val="auto"/>
                <w:highlight w:val="none"/>
              </w:rPr>
              <w:t>（2）项目经理：</w:t>
            </w:r>
            <w:r>
              <w:rPr>
                <w:color w:val="auto"/>
                <w:szCs w:val="21"/>
                <w:highlight w:val="none"/>
                <w:lang w:bidi="ar"/>
              </w:rPr>
              <w:t>市政工程专业二级以上（含二级）</w:t>
            </w:r>
            <w:r>
              <w:rPr>
                <w:color w:val="auto"/>
                <w:szCs w:val="21"/>
                <w:highlight w:val="none"/>
              </w:rPr>
              <w:t>注册建造师证和有效的安全生产考核合格证书（B类），同时有市政专业中级或以上职称</w:t>
            </w:r>
            <w:r>
              <w:rPr>
                <w:color w:val="auto"/>
                <w:highlight w:val="none"/>
              </w:rPr>
              <w:t>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231" w:type="pct"/>
            <w:gridSpan w:val="3"/>
            <w:vAlign w:val="center"/>
          </w:tcPr>
          <w:p>
            <w:pPr>
              <w:spacing w:line="400" w:lineRule="exact"/>
              <w:rPr>
                <w:rFonts w:ascii="Times New Roman" w:hAnsi="Times New Roman" w:cs="Times New Roman"/>
                <w:color w:val="auto"/>
                <w:highlight w:val="none"/>
              </w:rPr>
            </w:pPr>
            <w:r>
              <w:rPr>
                <w:rFonts w:ascii="Times New Roman" w:hAnsi="Times New Roman" w:cs="Times New Roman"/>
                <w:color w:val="auto"/>
                <w:highlight w:val="none"/>
              </w:rPr>
              <w:t>投标人汇总得分</w:t>
            </w:r>
          </w:p>
        </w:tc>
        <w:tc>
          <w:tcPr>
            <w:tcW w:w="3768" w:type="pct"/>
            <w:gridSpan w:val="2"/>
            <w:vAlign w:val="center"/>
          </w:tcPr>
          <w:p>
            <w:pPr>
              <w:spacing w:line="400" w:lineRule="exact"/>
              <w:rPr>
                <w:rFonts w:ascii="Times New Roman" w:hAnsi="Times New Roman" w:cs="Times New Roman"/>
                <w:color w:val="auto"/>
                <w:highlight w:val="none"/>
              </w:rPr>
            </w:pPr>
            <w:r>
              <w:rPr>
                <w:rFonts w:ascii="Times New Roman" w:hAnsi="Times New Roman" w:cs="Times New Roman"/>
                <w:color w:val="auto"/>
                <w:highlight w:val="none"/>
              </w:rPr>
              <w:t>投标人汇总得分（满分 100 分）=该投标人的技术标得分+商务标得分+企业信誉</w:t>
            </w:r>
          </w:p>
          <w:p>
            <w:pPr>
              <w:spacing w:line="400" w:lineRule="exact"/>
              <w:rPr>
                <w:rFonts w:ascii="Times New Roman" w:hAnsi="Times New Roman" w:cs="Times New Roman"/>
                <w:color w:val="auto"/>
                <w:highlight w:val="none"/>
              </w:rPr>
            </w:pPr>
            <w:r>
              <w:rPr>
                <w:rFonts w:ascii="Times New Roman" w:hAnsi="Times New Roman" w:cs="Times New Roman"/>
                <w:color w:val="auto"/>
                <w:highlight w:val="none"/>
              </w:rPr>
              <w:t>政策得分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454" w:type="pct"/>
            <w:vAlign w:val="center"/>
          </w:tcPr>
          <w:p>
            <w:pPr>
              <w:spacing w:line="400" w:lineRule="exact"/>
              <w:rPr>
                <w:rFonts w:ascii="Times New Roman" w:hAnsi="Times New Roman" w:cs="Times New Roman"/>
                <w:color w:val="auto"/>
                <w:highlight w:val="none"/>
              </w:rPr>
            </w:pPr>
            <w:r>
              <w:rPr>
                <w:rFonts w:ascii="Times New Roman" w:hAnsi="Times New Roman" w:cs="Times New Roman"/>
                <w:color w:val="auto"/>
                <w:highlight w:val="none"/>
              </w:rPr>
              <w:t>3</w:t>
            </w:r>
          </w:p>
        </w:tc>
        <w:tc>
          <w:tcPr>
            <w:tcW w:w="777" w:type="pct"/>
            <w:gridSpan w:val="2"/>
            <w:vAlign w:val="center"/>
          </w:tcPr>
          <w:p>
            <w:pPr>
              <w:spacing w:line="400" w:lineRule="exact"/>
              <w:rPr>
                <w:rFonts w:ascii="Times New Roman" w:hAnsi="Times New Roman" w:cs="Times New Roman"/>
                <w:color w:val="auto"/>
                <w:highlight w:val="none"/>
              </w:rPr>
            </w:pPr>
            <w:r>
              <w:rPr>
                <w:rFonts w:ascii="Times New Roman" w:hAnsi="Times New Roman" w:cs="Times New Roman"/>
                <w:color w:val="auto"/>
                <w:highlight w:val="none"/>
              </w:rPr>
              <w:t>评标程序</w:t>
            </w:r>
          </w:p>
        </w:tc>
        <w:tc>
          <w:tcPr>
            <w:tcW w:w="3768" w:type="pct"/>
            <w:gridSpan w:val="2"/>
            <w:vAlign w:val="center"/>
          </w:tcPr>
          <w:p>
            <w:pPr>
              <w:spacing w:line="400" w:lineRule="exact"/>
              <w:rPr>
                <w:rFonts w:ascii="Times New Roman" w:hAnsi="Times New Roman" w:cs="Times New Roman"/>
                <w:color w:val="auto"/>
                <w:highlight w:val="none"/>
              </w:rPr>
            </w:pPr>
            <w:r>
              <w:rPr>
                <w:rFonts w:ascii="Times New Roman" w:hAnsi="Times New Roman" w:cs="Times New Roman"/>
                <w:color w:val="auto"/>
                <w:highlight w:val="none"/>
              </w:rPr>
              <w:t>详见本章附件A：评标详细程序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atLeast"/>
          <w:jc w:val="center"/>
        </w:trPr>
        <w:tc>
          <w:tcPr>
            <w:tcW w:w="454" w:type="pct"/>
            <w:vAlign w:val="center"/>
          </w:tcPr>
          <w:p>
            <w:pPr>
              <w:spacing w:line="400" w:lineRule="exact"/>
              <w:rPr>
                <w:rFonts w:ascii="Times New Roman" w:hAnsi="Times New Roman" w:cs="Times New Roman"/>
                <w:color w:val="auto"/>
                <w:highlight w:val="none"/>
              </w:rPr>
            </w:pPr>
            <w:r>
              <w:rPr>
                <w:rFonts w:ascii="Times New Roman" w:hAnsi="Times New Roman" w:cs="Times New Roman"/>
                <w:color w:val="auto"/>
                <w:highlight w:val="none"/>
              </w:rPr>
              <w:t>3.1.2</w:t>
            </w:r>
          </w:p>
        </w:tc>
        <w:tc>
          <w:tcPr>
            <w:tcW w:w="777" w:type="pct"/>
            <w:gridSpan w:val="2"/>
            <w:vAlign w:val="center"/>
          </w:tcPr>
          <w:p>
            <w:pPr>
              <w:spacing w:line="400" w:lineRule="exact"/>
              <w:rPr>
                <w:rFonts w:ascii="Times New Roman" w:hAnsi="Times New Roman" w:cs="Times New Roman"/>
                <w:color w:val="auto"/>
                <w:highlight w:val="none"/>
              </w:rPr>
            </w:pPr>
            <w:r>
              <w:rPr>
                <w:rFonts w:ascii="Times New Roman" w:hAnsi="Times New Roman" w:cs="Times New Roman"/>
                <w:color w:val="auto"/>
                <w:highlight w:val="none"/>
              </w:rPr>
              <w:t>否决投标条件</w:t>
            </w:r>
          </w:p>
        </w:tc>
        <w:tc>
          <w:tcPr>
            <w:tcW w:w="3768" w:type="pct"/>
            <w:gridSpan w:val="2"/>
            <w:vAlign w:val="center"/>
          </w:tcPr>
          <w:p>
            <w:pPr>
              <w:spacing w:line="400" w:lineRule="exact"/>
              <w:rPr>
                <w:rFonts w:ascii="Times New Roman" w:hAnsi="Times New Roman" w:cs="Times New Roman"/>
                <w:color w:val="auto"/>
                <w:highlight w:val="none"/>
              </w:rPr>
            </w:pPr>
            <w:r>
              <w:rPr>
                <w:rFonts w:ascii="Times New Roman" w:hAnsi="Times New Roman" w:cs="Times New Roman"/>
                <w:color w:val="auto"/>
                <w:highlight w:val="none"/>
              </w:rPr>
              <w:t>详见本章附件B：否决投标条件</w:t>
            </w:r>
          </w:p>
        </w:tc>
      </w:tr>
    </w:tbl>
    <w:p>
      <w:pPr>
        <w:spacing w:line="320" w:lineRule="exact"/>
        <w:rPr>
          <w:rFonts w:ascii="宋体" w:hAnsi="宋体"/>
          <w:b/>
          <w:color w:val="auto"/>
          <w:highlight w:val="none"/>
        </w:rPr>
      </w:pPr>
    </w:p>
    <w:p>
      <w:pPr>
        <w:pStyle w:val="2"/>
        <w:rPr>
          <w:color w:val="auto"/>
          <w:highlight w:val="none"/>
        </w:rPr>
      </w:pPr>
    </w:p>
    <w:p>
      <w:pPr>
        <w:spacing w:line="174" w:lineRule="exact"/>
        <w:rPr>
          <w:color w:val="auto"/>
          <w:highlight w:val="none"/>
        </w:rPr>
      </w:pPr>
    </w:p>
    <w:p>
      <w:pPr>
        <w:spacing w:line="255" w:lineRule="auto"/>
        <w:rPr>
          <w:color w:val="auto"/>
          <w:highlight w:val="none"/>
        </w:rPr>
      </w:pPr>
    </w:p>
    <w:p>
      <w:pPr>
        <w:pStyle w:val="2"/>
        <w:rPr>
          <w:rFonts w:ascii="Arial"/>
          <w:color w:val="auto"/>
          <w:highlight w:val="none"/>
        </w:rPr>
      </w:pPr>
    </w:p>
    <w:p>
      <w:pPr>
        <w:pStyle w:val="2"/>
        <w:rPr>
          <w:rFonts w:ascii="Arial"/>
          <w:color w:val="auto"/>
          <w:highlight w:val="none"/>
        </w:rPr>
      </w:pPr>
    </w:p>
    <w:p>
      <w:pPr>
        <w:pStyle w:val="2"/>
        <w:rPr>
          <w:rFonts w:ascii="Arial"/>
          <w:color w:val="auto"/>
          <w:highlight w:val="none"/>
        </w:rPr>
      </w:pPr>
    </w:p>
    <w:p>
      <w:pPr>
        <w:pStyle w:val="2"/>
        <w:rPr>
          <w:rFonts w:ascii="Arial"/>
          <w:color w:val="auto"/>
          <w:highlight w:val="none"/>
        </w:rPr>
      </w:pPr>
    </w:p>
    <w:p>
      <w:pPr>
        <w:pStyle w:val="2"/>
        <w:rPr>
          <w:rFonts w:ascii="Arial"/>
          <w:color w:val="auto"/>
          <w:highlight w:val="none"/>
        </w:rPr>
      </w:pPr>
    </w:p>
    <w:p>
      <w:pPr>
        <w:pStyle w:val="2"/>
        <w:rPr>
          <w:rFonts w:ascii="Arial"/>
          <w:color w:val="auto"/>
          <w:highlight w:val="none"/>
        </w:rPr>
      </w:pPr>
    </w:p>
    <w:p>
      <w:pPr>
        <w:pStyle w:val="2"/>
        <w:rPr>
          <w:rFonts w:ascii="Arial"/>
          <w:color w:val="auto"/>
          <w:highlight w:val="none"/>
        </w:rPr>
      </w:pPr>
    </w:p>
    <w:p>
      <w:pPr>
        <w:pStyle w:val="2"/>
        <w:rPr>
          <w:rFonts w:ascii="Arial"/>
          <w:color w:val="auto"/>
          <w:highlight w:val="none"/>
        </w:rPr>
      </w:pPr>
    </w:p>
    <w:p>
      <w:pPr>
        <w:pStyle w:val="2"/>
        <w:rPr>
          <w:rFonts w:ascii="Arial"/>
          <w:color w:val="auto"/>
          <w:highlight w:val="none"/>
        </w:rPr>
      </w:pPr>
    </w:p>
    <w:p>
      <w:pPr>
        <w:rPr>
          <w:rFonts w:ascii="宋体" w:hAnsi="宋体" w:eastAsia="宋体" w:cs="宋体"/>
          <w:color w:val="auto"/>
          <w:spacing w:val="15"/>
          <w:sz w:val="28"/>
          <w:szCs w:val="28"/>
          <w:highlight w:val="none"/>
          <w14:textOutline w14:w="5092" w14:cap="flat" w14:cmpd="sng" w14:algn="ctr">
            <w14:solidFill>
              <w14:srgbClr w14:val="000000"/>
            </w14:solidFill>
            <w14:prstDash w14:val="solid"/>
            <w14:miter w14:val="0"/>
          </w14:textOutline>
        </w:rPr>
      </w:pPr>
      <w:r>
        <w:rPr>
          <w:rFonts w:ascii="宋体" w:hAnsi="宋体" w:eastAsia="宋体" w:cs="宋体"/>
          <w:color w:val="auto"/>
          <w:spacing w:val="15"/>
          <w:sz w:val="28"/>
          <w:szCs w:val="28"/>
          <w:highlight w:val="none"/>
          <w14:textOutline w14:w="5092" w14:cap="flat" w14:cmpd="sng" w14:algn="ctr">
            <w14:solidFill>
              <w14:srgbClr w14:val="000000"/>
            </w14:solidFill>
            <w14:prstDash w14:val="solid"/>
            <w14:miter w14:val="0"/>
          </w14:textOutline>
        </w:rPr>
        <w:br w:type="page"/>
      </w:r>
    </w:p>
    <w:p>
      <w:pPr>
        <w:jc w:val="center"/>
        <w:rPr>
          <w:rFonts w:ascii="宋体" w:hAnsi="宋体" w:eastAsia="宋体" w:cs="宋体"/>
          <w:color w:val="auto"/>
          <w:sz w:val="28"/>
          <w:szCs w:val="28"/>
          <w:highlight w:val="none"/>
        </w:rPr>
      </w:pPr>
      <w:r>
        <w:rPr>
          <w:rFonts w:ascii="宋体" w:hAnsi="宋体" w:eastAsia="宋体" w:cs="宋体"/>
          <w:color w:val="auto"/>
          <w:spacing w:val="15"/>
          <w:sz w:val="28"/>
          <w:szCs w:val="28"/>
          <w:highlight w:val="none"/>
          <w14:textOutline w14:w="5092" w14:cap="flat" w14:cmpd="sng" w14:algn="ctr">
            <w14:solidFill>
              <w14:srgbClr w14:val="000000"/>
            </w14:solidFill>
            <w14:prstDash w14:val="solid"/>
            <w14:miter w14:val="0"/>
          </w14:textOutline>
        </w:rPr>
        <w:t>评</w:t>
      </w:r>
      <w:r>
        <w:rPr>
          <w:rFonts w:ascii="宋体" w:hAnsi="宋体" w:eastAsia="宋体" w:cs="宋体"/>
          <w:color w:val="auto"/>
          <w:spacing w:val="9"/>
          <w:sz w:val="28"/>
          <w:szCs w:val="28"/>
          <w:highlight w:val="none"/>
          <w14:textOutline w14:w="5092" w14:cap="flat" w14:cmpd="sng" w14:algn="ctr">
            <w14:solidFill>
              <w14:srgbClr w14:val="000000"/>
            </w14:solidFill>
            <w14:prstDash w14:val="solid"/>
            <w14:miter w14:val="0"/>
          </w14:textOutline>
        </w:rPr>
        <w:t>标办法(综合评估法)</w:t>
      </w:r>
      <w:r>
        <w:rPr>
          <w:rFonts w:ascii="宋体" w:hAnsi="宋体" w:eastAsia="宋体" w:cs="宋体"/>
          <w:color w:val="auto"/>
          <w:spacing w:val="9"/>
          <w:sz w:val="28"/>
          <w:szCs w:val="28"/>
          <w:highlight w:val="none"/>
        </w:rPr>
        <w:t xml:space="preserve"> </w:t>
      </w:r>
      <w:r>
        <w:rPr>
          <w:rFonts w:ascii="宋体" w:hAnsi="宋体" w:eastAsia="宋体" w:cs="宋体"/>
          <w:color w:val="auto"/>
          <w:spacing w:val="9"/>
          <w:sz w:val="28"/>
          <w:szCs w:val="28"/>
          <w:highlight w:val="none"/>
          <w14:textOutline w14:w="5092" w14:cap="flat" w14:cmpd="sng" w14:algn="ctr">
            <w14:solidFill>
              <w14:srgbClr w14:val="000000"/>
            </w14:solidFill>
            <w14:prstDash w14:val="solid"/>
            <w14:miter w14:val="0"/>
          </w14:textOutline>
        </w:rPr>
        <w:t>正文部分</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1、评标方法</w:t>
      </w:r>
    </w:p>
    <w:p>
      <w:pPr>
        <w:spacing w:before="144" w:line="352" w:lineRule="auto"/>
        <w:ind w:left="4" w:firstLine="436"/>
        <w:rPr>
          <w:rFonts w:ascii="宋体" w:hAnsi="宋体" w:eastAsia="宋体" w:cs="宋体"/>
          <w:color w:val="auto"/>
          <w:highlight w:val="none"/>
        </w:rPr>
      </w:pPr>
      <w:r>
        <w:rPr>
          <w:rFonts w:ascii="宋体" w:hAnsi="宋体" w:eastAsia="宋体" w:cs="宋体"/>
          <w:color w:val="auto"/>
          <w:spacing w:val="2"/>
          <w:highlight w:val="none"/>
        </w:rPr>
        <w:t>本次评标采用综合评估法。评</w:t>
      </w:r>
      <w:r>
        <w:rPr>
          <w:rFonts w:ascii="宋体" w:hAnsi="宋体" w:eastAsia="宋体" w:cs="宋体"/>
          <w:color w:val="auto"/>
          <w:spacing w:val="1"/>
          <w:highlight w:val="none"/>
        </w:rPr>
        <w:t>标委员会对满足招标文件实质性要求的投标文件，按照本章</w:t>
      </w:r>
      <w:r>
        <w:rPr>
          <w:rFonts w:ascii="宋体" w:hAnsi="宋体" w:eastAsia="宋体" w:cs="宋体"/>
          <w:color w:val="auto"/>
          <w:highlight w:val="none"/>
        </w:rPr>
        <w:t xml:space="preserve"> </w:t>
      </w:r>
      <w:r>
        <w:rPr>
          <w:rFonts w:ascii="宋体" w:hAnsi="宋体" w:eastAsia="宋体" w:cs="宋体"/>
          <w:color w:val="auto"/>
          <w:spacing w:val="-10"/>
          <w:highlight w:val="none"/>
        </w:rPr>
        <w:t>“评</w:t>
      </w:r>
      <w:r>
        <w:rPr>
          <w:rFonts w:ascii="宋体" w:hAnsi="宋体" w:eastAsia="宋体" w:cs="宋体"/>
          <w:color w:val="auto"/>
          <w:spacing w:val="-5"/>
          <w:highlight w:val="none"/>
        </w:rPr>
        <w:t>标办法前附表”第 2.1、2.2 款规定的评分标准进行打分，并按综合得分由高到低顺序推荐</w:t>
      </w:r>
      <w:r>
        <w:rPr>
          <w:rFonts w:ascii="宋体" w:hAnsi="宋体" w:eastAsia="宋体" w:cs="宋体"/>
          <w:color w:val="auto"/>
          <w:spacing w:val="2"/>
          <w:highlight w:val="none"/>
        </w:rPr>
        <w:t>中标候选人</w:t>
      </w:r>
      <w:r>
        <w:rPr>
          <w:rFonts w:ascii="宋体" w:hAnsi="宋体" w:eastAsia="宋体" w:cs="宋体"/>
          <w:color w:val="auto"/>
          <w:spacing w:val="1"/>
          <w:highlight w:val="none"/>
        </w:rPr>
        <w:t>。综合评分相</w:t>
      </w:r>
      <w:r>
        <w:rPr>
          <w:rFonts w:ascii="宋体" w:hAnsi="宋体" w:eastAsia="宋体" w:cs="宋体"/>
          <w:color w:val="auto"/>
          <w:spacing w:val="2"/>
          <w:highlight w:val="none"/>
        </w:rPr>
        <w:t>等时，以投标报价低的优先；投标价也相等时，以企业</w:t>
      </w:r>
      <w:r>
        <w:rPr>
          <w:rFonts w:ascii="宋体" w:hAnsi="宋体" w:eastAsia="宋体" w:cs="宋体"/>
          <w:color w:val="auto"/>
          <w:spacing w:val="1"/>
          <w:highlight w:val="none"/>
        </w:rPr>
        <w:t>信誉实力分高的优先；企业信誉实力分</w:t>
      </w:r>
      <w:r>
        <w:rPr>
          <w:rFonts w:ascii="宋体" w:hAnsi="宋体" w:eastAsia="宋体" w:cs="宋体"/>
          <w:color w:val="auto"/>
          <w:spacing w:val="-12"/>
          <w:highlight w:val="none"/>
        </w:rPr>
        <w:t>也相等的</w:t>
      </w:r>
      <w:r>
        <w:rPr>
          <w:rFonts w:hint="eastAsia" w:ascii="宋体" w:hAnsi="宋体" w:eastAsia="宋体" w:cs="宋体"/>
          <w:color w:val="auto"/>
          <w:spacing w:val="-12"/>
          <w:highlight w:val="none"/>
        </w:rPr>
        <w:t>，</w:t>
      </w:r>
      <w:r>
        <w:rPr>
          <w:rFonts w:ascii="宋体" w:hAnsi="宋体" w:eastAsia="宋体" w:cs="宋体"/>
          <w:color w:val="auto"/>
          <w:spacing w:val="-6"/>
          <w:highlight w:val="none"/>
        </w:rPr>
        <w:t xml:space="preserve"> 以企业用于该项工程投标的资质高的优先；企业用于该项工程投标的资质也相等的，</w:t>
      </w:r>
      <w:r>
        <w:rPr>
          <w:rFonts w:ascii="宋体" w:hAnsi="宋体" w:eastAsia="宋体" w:cs="宋体"/>
          <w:color w:val="auto"/>
          <w:spacing w:val="-4"/>
          <w:highlight w:val="none"/>
        </w:rPr>
        <w:t>以技术标得分高的优先；技</w:t>
      </w:r>
      <w:r>
        <w:rPr>
          <w:rFonts w:ascii="宋体" w:hAnsi="宋体" w:eastAsia="宋体" w:cs="宋体"/>
          <w:color w:val="auto"/>
          <w:spacing w:val="-3"/>
          <w:highlight w:val="none"/>
        </w:rPr>
        <w:t>术</w:t>
      </w:r>
      <w:r>
        <w:rPr>
          <w:rFonts w:ascii="宋体" w:hAnsi="宋体" w:eastAsia="宋体" w:cs="宋体"/>
          <w:color w:val="auto"/>
          <w:spacing w:val="-2"/>
          <w:highlight w:val="none"/>
        </w:rPr>
        <w:t>标得分也相等的，由评标委员会采用记名投票方式确定。</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2、评审标准</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2.1 初步评审标准</w:t>
      </w:r>
    </w:p>
    <w:p>
      <w:pPr>
        <w:spacing w:before="151" w:line="351" w:lineRule="auto"/>
        <w:ind w:left="21" w:right="63" w:firstLine="421"/>
        <w:rPr>
          <w:rFonts w:ascii="宋体" w:hAnsi="宋体" w:eastAsia="宋体" w:cs="宋体"/>
          <w:color w:val="auto"/>
          <w:highlight w:val="none"/>
        </w:rPr>
      </w:pPr>
      <w:r>
        <w:rPr>
          <w:rFonts w:ascii="宋体" w:hAnsi="宋体" w:eastAsia="宋体" w:cs="宋体"/>
          <w:color w:val="auto"/>
          <w:spacing w:val="2"/>
          <w:highlight w:val="none"/>
        </w:rPr>
        <w:t>2.1.1 资格</w:t>
      </w:r>
      <w:r>
        <w:rPr>
          <w:rFonts w:ascii="宋体" w:hAnsi="宋体" w:eastAsia="宋体" w:cs="宋体"/>
          <w:color w:val="auto"/>
          <w:spacing w:val="1"/>
          <w:highlight w:val="none"/>
        </w:rPr>
        <w:t>评审标准：见“评标办法前附表”。所有在投标截止时间前提交投标文件的投</w:t>
      </w:r>
      <w:r>
        <w:rPr>
          <w:rFonts w:ascii="宋体" w:hAnsi="宋体" w:eastAsia="宋体" w:cs="宋体"/>
          <w:color w:val="auto"/>
          <w:spacing w:val="-2"/>
          <w:highlight w:val="none"/>
        </w:rPr>
        <w:t>标人均有资格参加</w:t>
      </w:r>
      <w:r>
        <w:rPr>
          <w:rFonts w:ascii="宋体" w:hAnsi="宋体" w:eastAsia="宋体" w:cs="宋体"/>
          <w:color w:val="auto"/>
          <w:spacing w:val="-1"/>
          <w:highlight w:val="none"/>
        </w:rPr>
        <w:t>资格评审。</w:t>
      </w:r>
    </w:p>
    <w:p>
      <w:pPr>
        <w:spacing w:line="220" w:lineRule="auto"/>
        <w:ind w:left="442"/>
        <w:rPr>
          <w:rFonts w:ascii="宋体" w:hAnsi="宋体" w:eastAsia="宋体" w:cs="宋体"/>
          <w:color w:val="auto"/>
          <w:highlight w:val="none"/>
        </w:rPr>
      </w:pPr>
      <w:r>
        <w:rPr>
          <w:rFonts w:ascii="宋体" w:hAnsi="宋体" w:eastAsia="宋体" w:cs="宋体"/>
          <w:color w:val="auto"/>
          <w:spacing w:val="-1"/>
          <w:highlight w:val="none"/>
        </w:rPr>
        <w:t xml:space="preserve">2.1.2 </w:t>
      </w:r>
      <w:r>
        <w:rPr>
          <w:rFonts w:ascii="宋体" w:hAnsi="宋体" w:eastAsia="宋体" w:cs="宋体"/>
          <w:color w:val="auto"/>
          <w:highlight w:val="none"/>
        </w:rPr>
        <w:t>形式评审标准：见“评标办法前附表”。</w:t>
      </w:r>
    </w:p>
    <w:p>
      <w:pPr>
        <w:spacing w:before="150" w:line="221" w:lineRule="auto"/>
        <w:ind w:left="442"/>
        <w:rPr>
          <w:rFonts w:ascii="宋体" w:hAnsi="宋体" w:eastAsia="宋体" w:cs="宋体"/>
          <w:color w:val="auto"/>
          <w:highlight w:val="none"/>
        </w:rPr>
      </w:pPr>
      <w:r>
        <w:rPr>
          <w:rFonts w:ascii="宋体" w:hAnsi="宋体" w:eastAsia="宋体" w:cs="宋体"/>
          <w:color w:val="auto"/>
          <w:spacing w:val="-8"/>
          <w:highlight w:val="none"/>
        </w:rPr>
        <w:t>2.</w:t>
      </w:r>
      <w:r>
        <w:rPr>
          <w:rFonts w:ascii="宋体" w:hAnsi="宋体" w:eastAsia="宋体" w:cs="宋体"/>
          <w:color w:val="auto"/>
          <w:spacing w:val="-4"/>
          <w:highlight w:val="none"/>
        </w:rPr>
        <w:t>1.3 响应性评审标准： 见“评标办法前附表”。</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2.2 详细评审标准</w:t>
      </w:r>
    </w:p>
    <w:p>
      <w:pPr>
        <w:spacing w:before="148" w:line="221" w:lineRule="auto"/>
        <w:ind w:left="442"/>
        <w:rPr>
          <w:rFonts w:ascii="宋体" w:hAnsi="宋体" w:eastAsia="宋体" w:cs="宋体"/>
          <w:color w:val="auto"/>
          <w:highlight w:val="none"/>
        </w:rPr>
      </w:pPr>
      <w:r>
        <w:rPr>
          <w:rFonts w:ascii="宋体" w:hAnsi="宋体" w:eastAsia="宋体" w:cs="宋体"/>
          <w:color w:val="auto"/>
          <w:spacing w:val="-1"/>
          <w:highlight w:val="none"/>
        </w:rPr>
        <w:t xml:space="preserve">2.2.1 </w:t>
      </w:r>
      <w:r>
        <w:rPr>
          <w:rFonts w:ascii="宋体" w:hAnsi="宋体" w:eastAsia="宋体" w:cs="宋体"/>
          <w:color w:val="auto"/>
          <w:highlight w:val="none"/>
        </w:rPr>
        <w:t>分值构成：见“评标办法前附表”。</w:t>
      </w:r>
    </w:p>
    <w:p>
      <w:pPr>
        <w:spacing w:before="150" w:line="221" w:lineRule="auto"/>
        <w:ind w:left="442"/>
        <w:rPr>
          <w:rFonts w:ascii="宋体" w:hAnsi="宋体" w:eastAsia="宋体" w:cs="宋体"/>
          <w:color w:val="auto"/>
          <w:highlight w:val="none"/>
        </w:rPr>
      </w:pPr>
      <w:r>
        <w:rPr>
          <w:rFonts w:ascii="宋体" w:hAnsi="宋体" w:eastAsia="宋体" w:cs="宋体"/>
          <w:color w:val="auto"/>
          <w:spacing w:val="-1"/>
          <w:highlight w:val="none"/>
        </w:rPr>
        <w:t>2.2.2 评分</w:t>
      </w:r>
      <w:r>
        <w:rPr>
          <w:rFonts w:ascii="宋体" w:hAnsi="宋体" w:eastAsia="宋体" w:cs="宋体"/>
          <w:color w:val="auto"/>
          <w:highlight w:val="none"/>
        </w:rPr>
        <w:t>标准</w:t>
      </w:r>
    </w:p>
    <w:p>
      <w:pPr>
        <w:spacing w:before="147" w:line="221" w:lineRule="auto"/>
        <w:ind w:left="446"/>
        <w:rPr>
          <w:rFonts w:ascii="宋体" w:hAnsi="宋体" w:eastAsia="宋体" w:cs="宋体"/>
          <w:color w:val="auto"/>
          <w:highlight w:val="none"/>
        </w:rPr>
      </w:pPr>
      <w:r>
        <w:rPr>
          <w:rFonts w:ascii="宋体" w:hAnsi="宋体" w:eastAsia="宋体" w:cs="宋体"/>
          <w:color w:val="auto"/>
          <w:spacing w:val="-1"/>
          <w:highlight w:val="none"/>
        </w:rPr>
        <w:t>(1) 技术标评分标准</w:t>
      </w:r>
      <w:r>
        <w:rPr>
          <w:rFonts w:ascii="宋体" w:hAnsi="宋体" w:eastAsia="宋体" w:cs="宋体"/>
          <w:color w:val="auto"/>
          <w:highlight w:val="none"/>
        </w:rPr>
        <w:t>： 见“评标办法前附表”。</w:t>
      </w:r>
    </w:p>
    <w:p>
      <w:pPr>
        <w:spacing w:before="150" w:line="219" w:lineRule="auto"/>
        <w:ind w:left="446"/>
        <w:rPr>
          <w:rFonts w:ascii="宋体" w:hAnsi="宋体" w:eastAsia="宋体" w:cs="宋体"/>
          <w:color w:val="auto"/>
          <w:highlight w:val="none"/>
        </w:rPr>
      </w:pPr>
      <w:r>
        <w:rPr>
          <w:rFonts w:ascii="宋体" w:hAnsi="宋体" w:eastAsia="宋体" w:cs="宋体"/>
          <w:color w:val="auto"/>
          <w:spacing w:val="6"/>
          <w:highlight w:val="none"/>
        </w:rPr>
        <w:t>(2) 评标</w:t>
      </w:r>
      <w:r>
        <w:rPr>
          <w:rFonts w:ascii="宋体" w:hAnsi="宋体" w:eastAsia="宋体" w:cs="宋体"/>
          <w:color w:val="auto"/>
          <w:spacing w:val="4"/>
          <w:highlight w:val="none"/>
        </w:rPr>
        <w:t>基</w:t>
      </w:r>
      <w:r>
        <w:rPr>
          <w:rFonts w:ascii="宋体" w:hAnsi="宋体" w:eastAsia="宋体" w:cs="宋体"/>
          <w:color w:val="auto"/>
          <w:spacing w:val="3"/>
          <w:highlight w:val="none"/>
        </w:rPr>
        <w:t>准价计算方法：见“评标办法前附表”。</w:t>
      </w:r>
    </w:p>
    <w:p>
      <w:pPr>
        <w:spacing w:before="151" w:line="221" w:lineRule="auto"/>
        <w:ind w:left="446"/>
        <w:rPr>
          <w:rFonts w:ascii="宋体" w:hAnsi="宋体" w:eastAsia="宋体" w:cs="宋体"/>
          <w:color w:val="auto"/>
          <w:highlight w:val="none"/>
        </w:rPr>
      </w:pPr>
      <w:r>
        <w:rPr>
          <w:rFonts w:ascii="宋体" w:hAnsi="宋体" w:eastAsia="宋体" w:cs="宋体"/>
          <w:color w:val="auto"/>
          <w:spacing w:val="-1"/>
          <w:highlight w:val="none"/>
        </w:rPr>
        <w:t>(3) 商务标评分标准</w:t>
      </w:r>
      <w:r>
        <w:rPr>
          <w:rFonts w:ascii="宋体" w:hAnsi="宋体" w:eastAsia="宋体" w:cs="宋体"/>
          <w:color w:val="auto"/>
          <w:highlight w:val="none"/>
        </w:rPr>
        <w:t>： 见“评标办法前附表”。</w:t>
      </w:r>
    </w:p>
    <w:p>
      <w:pPr>
        <w:spacing w:before="147" w:line="220" w:lineRule="auto"/>
        <w:ind w:left="446"/>
        <w:rPr>
          <w:rFonts w:ascii="宋体" w:hAnsi="宋体" w:eastAsia="宋体" w:cs="宋体"/>
          <w:color w:val="auto"/>
          <w:highlight w:val="none"/>
        </w:rPr>
      </w:pPr>
      <w:r>
        <w:rPr>
          <w:rFonts w:ascii="宋体" w:hAnsi="宋体" w:eastAsia="宋体" w:cs="宋体"/>
          <w:color w:val="auto"/>
          <w:spacing w:val="-1"/>
          <w:highlight w:val="none"/>
        </w:rPr>
        <w:t>(4) 企业信誉实力分</w:t>
      </w:r>
      <w:r>
        <w:rPr>
          <w:rFonts w:ascii="宋体" w:hAnsi="宋体" w:eastAsia="宋体" w:cs="宋体"/>
          <w:color w:val="auto"/>
          <w:highlight w:val="none"/>
        </w:rPr>
        <w:t>评分标准： 见“评标办法前附表”。</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3、评标程序</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3.1 初步评审</w:t>
      </w:r>
    </w:p>
    <w:p>
      <w:pPr>
        <w:spacing w:before="147" w:line="220" w:lineRule="auto"/>
        <w:ind w:left="444"/>
        <w:rPr>
          <w:rFonts w:ascii="宋体" w:hAnsi="宋体" w:eastAsia="宋体" w:cs="宋体"/>
          <w:color w:val="auto"/>
          <w:highlight w:val="none"/>
        </w:rPr>
      </w:pPr>
      <w:r>
        <w:rPr>
          <w:rFonts w:ascii="宋体" w:hAnsi="宋体" w:eastAsia="宋体" w:cs="宋体"/>
          <w:color w:val="auto"/>
          <w:spacing w:val="-10"/>
          <w:highlight w:val="none"/>
        </w:rPr>
        <w:t xml:space="preserve">3.1.1 </w:t>
      </w:r>
      <w:r>
        <w:rPr>
          <w:rFonts w:ascii="宋体" w:hAnsi="宋体" w:eastAsia="宋体" w:cs="宋体"/>
          <w:color w:val="auto"/>
          <w:spacing w:val="-7"/>
          <w:highlight w:val="none"/>
        </w:rPr>
        <w:t>评</w:t>
      </w:r>
      <w:r>
        <w:rPr>
          <w:rFonts w:ascii="宋体" w:hAnsi="宋体" w:eastAsia="宋体" w:cs="宋体"/>
          <w:color w:val="auto"/>
          <w:spacing w:val="-5"/>
          <w:highlight w:val="none"/>
        </w:rPr>
        <w:t>标委员会依据本章第 2.1 款规定的标准对投标文件进行初步评审。有一项不符合评</w:t>
      </w:r>
    </w:p>
    <w:p>
      <w:pPr>
        <w:spacing w:before="151" w:line="221" w:lineRule="auto"/>
        <w:ind w:left="26"/>
        <w:rPr>
          <w:rFonts w:ascii="宋体" w:hAnsi="宋体" w:eastAsia="宋体" w:cs="宋体"/>
          <w:color w:val="auto"/>
          <w:highlight w:val="none"/>
        </w:rPr>
      </w:pPr>
      <w:r>
        <w:rPr>
          <w:rFonts w:ascii="宋体" w:hAnsi="宋体" w:eastAsia="宋体" w:cs="宋体"/>
          <w:color w:val="auto"/>
          <w:spacing w:val="-15"/>
          <w:highlight w:val="none"/>
        </w:rPr>
        <w:t>审</w:t>
      </w:r>
      <w:r>
        <w:rPr>
          <w:rFonts w:ascii="宋体" w:hAnsi="宋体" w:eastAsia="宋体" w:cs="宋体"/>
          <w:color w:val="auto"/>
          <w:spacing w:val="-9"/>
          <w:highlight w:val="none"/>
        </w:rPr>
        <w:t>标准的，作否决投标处理。</w:t>
      </w:r>
    </w:p>
    <w:p>
      <w:pPr>
        <w:spacing w:before="149" w:line="221" w:lineRule="auto"/>
        <w:ind w:left="444"/>
        <w:rPr>
          <w:rFonts w:ascii="宋体" w:hAnsi="宋体" w:eastAsia="宋体" w:cs="宋体"/>
          <w:color w:val="auto"/>
          <w:highlight w:val="none"/>
        </w:rPr>
      </w:pPr>
      <w:r>
        <w:rPr>
          <w:rFonts w:ascii="宋体" w:hAnsi="宋体" w:eastAsia="宋体" w:cs="宋体"/>
          <w:color w:val="auto"/>
          <w:spacing w:val="-1"/>
          <w:highlight w:val="none"/>
        </w:rPr>
        <w:t xml:space="preserve">3.1.2 </w:t>
      </w:r>
      <w:r>
        <w:rPr>
          <w:rFonts w:ascii="宋体" w:hAnsi="宋体" w:eastAsia="宋体" w:cs="宋体"/>
          <w:color w:val="auto"/>
          <w:highlight w:val="none"/>
        </w:rPr>
        <w:t>投标人有以下情形之一的，其投标作否决投标处理：</w:t>
      </w:r>
    </w:p>
    <w:p>
      <w:pPr>
        <w:spacing w:before="147" w:line="220" w:lineRule="auto"/>
        <w:ind w:left="446"/>
        <w:rPr>
          <w:rFonts w:ascii="宋体" w:hAnsi="宋体" w:eastAsia="宋体" w:cs="宋体"/>
          <w:color w:val="auto"/>
          <w:highlight w:val="none"/>
        </w:rPr>
      </w:pPr>
      <w:r>
        <w:rPr>
          <w:rFonts w:ascii="宋体" w:hAnsi="宋体" w:eastAsia="宋体" w:cs="宋体"/>
          <w:color w:val="auto"/>
          <w:spacing w:val="2"/>
          <w:highlight w:val="none"/>
        </w:rPr>
        <w:t>(1) 第二章</w:t>
      </w:r>
      <w:r>
        <w:rPr>
          <w:rFonts w:ascii="宋体" w:hAnsi="宋体" w:eastAsia="宋体" w:cs="宋体"/>
          <w:color w:val="auto"/>
          <w:spacing w:val="1"/>
          <w:highlight w:val="none"/>
        </w:rPr>
        <w:t>“投标人须知”第 1.4.3 项规定的任何一种情形的：</w:t>
      </w:r>
    </w:p>
    <w:p>
      <w:pPr>
        <w:spacing w:before="151" w:line="220" w:lineRule="auto"/>
        <w:ind w:left="446"/>
        <w:rPr>
          <w:rFonts w:ascii="宋体" w:hAnsi="宋体" w:eastAsia="宋体" w:cs="宋体"/>
          <w:color w:val="auto"/>
          <w:highlight w:val="none"/>
        </w:rPr>
      </w:pPr>
      <w:r>
        <w:rPr>
          <w:rFonts w:ascii="宋体" w:hAnsi="宋体" w:eastAsia="宋体" w:cs="宋体"/>
          <w:color w:val="auto"/>
          <w:spacing w:val="6"/>
          <w:highlight w:val="none"/>
        </w:rPr>
        <w:t>(</w:t>
      </w:r>
      <w:r>
        <w:rPr>
          <w:rFonts w:ascii="宋体" w:hAnsi="宋体" w:eastAsia="宋体" w:cs="宋体"/>
          <w:color w:val="auto"/>
          <w:spacing w:val="4"/>
          <w:highlight w:val="none"/>
        </w:rPr>
        <w:t>2) 串通投标或弄虚作假或有其他违法行为的；</w:t>
      </w:r>
    </w:p>
    <w:p>
      <w:pPr>
        <w:spacing w:before="151" w:line="220" w:lineRule="auto"/>
        <w:ind w:left="446"/>
        <w:rPr>
          <w:rFonts w:ascii="宋体" w:hAnsi="宋体" w:eastAsia="宋体" w:cs="宋体"/>
          <w:color w:val="auto"/>
          <w:highlight w:val="none"/>
        </w:rPr>
      </w:pPr>
      <w:r>
        <w:rPr>
          <w:rFonts w:ascii="宋体" w:hAnsi="宋体" w:eastAsia="宋体" w:cs="宋体"/>
          <w:color w:val="auto"/>
          <w:spacing w:val="6"/>
          <w:highlight w:val="none"/>
        </w:rPr>
        <w:t>(</w:t>
      </w:r>
      <w:r>
        <w:rPr>
          <w:rFonts w:ascii="宋体" w:hAnsi="宋体" w:eastAsia="宋体" w:cs="宋体"/>
          <w:color w:val="auto"/>
          <w:spacing w:val="4"/>
          <w:highlight w:val="none"/>
        </w:rPr>
        <w:t>3) 不按评标委员会要求澄清、说明或补正的。</w:t>
      </w:r>
    </w:p>
    <w:p>
      <w:pPr>
        <w:spacing w:before="149" w:line="352" w:lineRule="auto"/>
        <w:ind w:left="22" w:right="59" w:firstLine="421"/>
        <w:rPr>
          <w:rFonts w:ascii="宋体" w:hAnsi="宋体" w:eastAsia="宋体" w:cs="宋体"/>
          <w:color w:val="auto"/>
          <w:highlight w:val="none"/>
        </w:rPr>
      </w:pPr>
      <w:r>
        <w:rPr>
          <w:rFonts w:ascii="宋体" w:hAnsi="宋体" w:eastAsia="宋体" w:cs="宋体"/>
          <w:color w:val="auto"/>
          <w:spacing w:val="-6"/>
          <w:highlight w:val="none"/>
        </w:rPr>
        <w:t>3.1.3 投标报价有算术错误的， 评标委员会按以下原则对投标报价进行修正，修正的价格</w:t>
      </w:r>
      <w:r>
        <w:rPr>
          <w:rFonts w:ascii="宋体" w:hAnsi="宋体" w:eastAsia="宋体" w:cs="宋体"/>
          <w:color w:val="auto"/>
          <w:spacing w:val="-5"/>
          <w:highlight w:val="none"/>
        </w:rPr>
        <w:t>经</w:t>
      </w:r>
      <w:r>
        <w:rPr>
          <w:rFonts w:ascii="宋体" w:hAnsi="宋体" w:eastAsia="宋体" w:cs="宋体"/>
          <w:color w:val="auto"/>
          <w:spacing w:val="-1"/>
          <w:highlight w:val="none"/>
        </w:rPr>
        <w:t>投标人</w:t>
      </w:r>
      <w:r>
        <w:rPr>
          <w:rFonts w:ascii="宋体" w:hAnsi="宋体" w:eastAsia="宋体" w:cs="宋体"/>
          <w:color w:val="auto"/>
          <w:highlight w:val="none"/>
        </w:rPr>
        <w:t>书面确认后具有约束力。投标人不接受修正价格的，其投标作否决投标处理。</w:t>
      </w:r>
    </w:p>
    <w:p>
      <w:pPr>
        <w:spacing w:before="1" w:line="220" w:lineRule="auto"/>
        <w:ind w:left="446"/>
        <w:rPr>
          <w:rFonts w:ascii="宋体" w:hAnsi="宋体" w:eastAsia="宋体" w:cs="宋体"/>
          <w:color w:val="auto"/>
          <w:highlight w:val="none"/>
        </w:rPr>
      </w:pPr>
      <w:r>
        <w:rPr>
          <w:rFonts w:ascii="宋体" w:hAnsi="宋体" w:eastAsia="宋体" w:cs="宋体"/>
          <w:color w:val="auto"/>
          <w:spacing w:val="-1"/>
          <w:highlight w:val="none"/>
        </w:rPr>
        <w:t>(1) 投标文件中的</w:t>
      </w:r>
      <w:r>
        <w:rPr>
          <w:rFonts w:ascii="宋体" w:hAnsi="宋体" w:eastAsia="宋体" w:cs="宋体"/>
          <w:color w:val="auto"/>
          <w:highlight w:val="none"/>
        </w:rPr>
        <w:t>大写金额与小写金额不一致的， 以大写金额为准；</w:t>
      </w:r>
    </w:p>
    <w:p>
      <w:pPr>
        <w:spacing w:before="148" w:line="361" w:lineRule="auto"/>
        <w:ind w:left="26" w:right="59" w:firstLine="420"/>
        <w:rPr>
          <w:rFonts w:ascii="宋体" w:hAnsi="宋体" w:eastAsia="宋体" w:cs="宋体"/>
          <w:color w:val="auto"/>
          <w:highlight w:val="none"/>
        </w:rPr>
      </w:pPr>
      <w:r>
        <w:rPr>
          <w:rFonts w:ascii="宋体" w:hAnsi="宋体" w:eastAsia="宋体" w:cs="宋体"/>
          <w:color w:val="auto"/>
          <w:spacing w:val="2"/>
          <w:highlight w:val="none"/>
        </w:rPr>
        <w:t>(2) 总价金额与</w:t>
      </w:r>
      <w:r>
        <w:rPr>
          <w:rFonts w:ascii="宋体" w:hAnsi="宋体" w:eastAsia="宋体" w:cs="宋体"/>
          <w:color w:val="auto"/>
          <w:spacing w:val="1"/>
          <w:highlight w:val="none"/>
        </w:rPr>
        <w:t>依据单价计算出的结果不一致的，以单价金额为准修正总价，但单价金额</w:t>
      </w:r>
      <w:r>
        <w:rPr>
          <w:rFonts w:ascii="宋体" w:hAnsi="宋体" w:eastAsia="宋体" w:cs="宋体"/>
          <w:color w:val="auto"/>
          <w:spacing w:val="-1"/>
          <w:highlight w:val="none"/>
        </w:rPr>
        <w:t>小数点有明显错误的除外</w:t>
      </w:r>
      <w:r>
        <w:rPr>
          <w:rFonts w:ascii="宋体" w:hAnsi="宋体" w:eastAsia="宋体" w:cs="宋体"/>
          <w:color w:val="auto"/>
          <w:highlight w:val="none"/>
        </w:rPr>
        <w:t>。</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3.2 详细评审</w:t>
      </w:r>
    </w:p>
    <w:p>
      <w:pPr>
        <w:spacing w:before="150" w:line="351" w:lineRule="auto"/>
        <w:ind w:left="25" w:firstLine="419"/>
        <w:rPr>
          <w:rFonts w:ascii="宋体" w:hAnsi="宋体" w:eastAsia="宋体" w:cs="宋体"/>
          <w:color w:val="auto"/>
          <w:highlight w:val="none"/>
        </w:rPr>
      </w:pPr>
      <w:r>
        <w:rPr>
          <w:rFonts w:ascii="宋体" w:hAnsi="宋体" w:eastAsia="宋体" w:cs="宋体"/>
          <w:color w:val="auto"/>
          <w:spacing w:val="1"/>
          <w:highlight w:val="none"/>
        </w:rPr>
        <w:t>3.2.1 评</w:t>
      </w:r>
      <w:r>
        <w:rPr>
          <w:rFonts w:ascii="宋体" w:hAnsi="宋体" w:eastAsia="宋体" w:cs="宋体"/>
          <w:color w:val="auto"/>
          <w:highlight w:val="none"/>
        </w:rPr>
        <w:t>标委员会按照本章“评标办法前附表”第2.2款规定的量化因素和分值进行打分，</w:t>
      </w:r>
      <w:r>
        <w:rPr>
          <w:rFonts w:ascii="宋体" w:hAnsi="宋体" w:eastAsia="宋体" w:cs="宋体"/>
          <w:color w:val="auto"/>
          <w:spacing w:val="-4"/>
          <w:highlight w:val="none"/>
        </w:rPr>
        <w:t>并</w:t>
      </w:r>
      <w:r>
        <w:rPr>
          <w:rFonts w:ascii="宋体" w:hAnsi="宋体" w:eastAsia="宋体" w:cs="宋体"/>
          <w:color w:val="auto"/>
          <w:spacing w:val="-3"/>
          <w:highlight w:val="none"/>
        </w:rPr>
        <w:t>计</w:t>
      </w:r>
      <w:r>
        <w:rPr>
          <w:rFonts w:ascii="宋体" w:hAnsi="宋体" w:eastAsia="宋体" w:cs="宋体"/>
          <w:color w:val="auto"/>
          <w:spacing w:val="-2"/>
          <w:highlight w:val="none"/>
        </w:rPr>
        <w:t>算出综合评估得分。</w:t>
      </w:r>
    </w:p>
    <w:p>
      <w:pPr>
        <w:spacing w:line="220" w:lineRule="auto"/>
        <w:ind w:left="444"/>
        <w:rPr>
          <w:rFonts w:ascii="宋体" w:hAnsi="宋体" w:eastAsia="宋体" w:cs="宋体"/>
          <w:color w:val="auto"/>
          <w:highlight w:val="none"/>
        </w:rPr>
      </w:pPr>
      <w:r>
        <w:rPr>
          <w:rFonts w:ascii="宋体" w:hAnsi="宋体" w:eastAsia="宋体" w:cs="宋体"/>
          <w:color w:val="auto"/>
          <w:spacing w:val="-6"/>
          <w:highlight w:val="none"/>
        </w:rPr>
        <w:t>3</w:t>
      </w:r>
      <w:r>
        <w:rPr>
          <w:rFonts w:ascii="宋体" w:hAnsi="宋体" w:eastAsia="宋体" w:cs="宋体"/>
          <w:color w:val="auto"/>
          <w:spacing w:val="-3"/>
          <w:highlight w:val="none"/>
        </w:rPr>
        <w:t>.2.2 评分分值计算保留小数点后两位，小数点后第三位“四舍五入”。</w:t>
      </w:r>
    </w:p>
    <w:p>
      <w:pPr>
        <w:spacing w:before="149" w:line="221" w:lineRule="auto"/>
        <w:ind w:left="444"/>
        <w:rPr>
          <w:rFonts w:ascii="宋体" w:hAnsi="宋体" w:eastAsia="宋体" w:cs="宋体"/>
          <w:color w:val="auto"/>
          <w:highlight w:val="none"/>
        </w:rPr>
      </w:pPr>
      <w:r>
        <w:rPr>
          <w:rFonts w:ascii="宋体" w:hAnsi="宋体" w:eastAsia="宋体" w:cs="宋体"/>
          <w:color w:val="auto"/>
          <w:spacing w:val="-1"/>
          <w:highlight w:val="none"/>
        </w:rPr>
        <w:t>3.2.3 投标</w:t>
      </w:r>
      <w:r>
        <w:rPr>
          <w:rFonts w:ascii="宋体" w:hAnsi="宋体" w:eastAsia="宋体" w:cs="宋体"/>
          <w:color w:val="auto"/>
          <w:highlight w:val="none"/>
        </w:rPr>
        <w:t>人综合得分(满分100分) =商务标分+技术标分+企业信誉实力分。</w:t>
      </w:r>
    </w:p>
    <w:p>
      <w:pPr>
        <w:spacing w:before="146" w:line="352" w:lineRule="auto"/>
        <w:ind w:left="19" w:right="65" w:firstLine="424"/>
        <w:rPr>
          <w:rFonts w:ascii="宋体" w:hAnsi="宋体" w:eastAsia="宋体" w:cs="宋体"/>
          <w:color w:val="auto"/>
          <w:highlight w:val="none"/>
        </w:rPr>
      </w:pPr>
      <w:r>
        <w:rPr>
          <w:rFonts w:ascii="宋体" w:hAnsi="宋体" w:eastAsia="宋体" w:cs="宋体"/>
          <w:color w:val="auto"/>
          <w:spacing w:val="2"/>
          <w:highlight w:val="none"/>
        </w:rPr>
        <w:t>3.2.</w:t>
      </w:r>
      <w:r>
        <w:rPr>
          <w:rFonts w:ascii="宋体" w:hAnsi="宋体" w:eastAsia="宋体" w:cs="宋体"/>
          <w:color w:val="auto"/>
          <w:spacing w:val="1"/>
          <w:highlight w:val="none"/>
        </w:rPr>
        <w:t>4 评标委员会发现投标人的报价明显低于其他投标报价，或者在设有标底时明显低于</w:t>
      </w:r>
      <w:r>
        <w:rPr>
          <w:rFonts w:ascii="宋体" w:hAnsi="宋体" w:eastAsia="宋体" w:cs="宋体"/>
          <w:color w:val="auto"/>
          <w:spacing w:val="2"/>
          <w:highlight w:val="none"/>
        </w:rPr>
        <w:t>标底，使得其投标报</w:t>
      </w:r>
      <w:r>
        <w:rPr>
          <w:rFonts w:ascii="宋体" w:hAnsi="宋体" w:eastAsia="宋体" w:cs="宋体"/>
          <w:color w:val="auto"/>
          <w:spacing w:val="1"/>
          <w:highlight w:val="none"/>
        </w:rPr>
        <w:t>价可能低于其个别成本的，应当要求该投标人作出书面说明并提供相应的</w:t>
      </w:r>
      <w:r>
        <w:rPr>
          <w:rFonts w:ascii="宋体" w:hAnsi="宋体" w:eastAsia="宋体" w:cs="宋体"/>
          <w:color w:val="auto"/>
          <w:spacing w:val="2"/>
          <w:highlight w:val="none"/>
        </w:rPr>
        <w:t>证明材料。投标人不</w:t>
      </w:r>
      <w:r>
        <w:rPr>
          <w:rFonts w:ascii="宋体" w:hAnsi="宋体" w:eastAsia="宋体" w:cs="宋体"/>
          <w:color w:val="auto"/>
          <w:spacing w:val="1"/>
          <w:highlight w:val="none"/>
        </w:rPr>
        <w:t>能合理说明或者不能提供相应证明材料的，由评标委员会认定该投标人以</w:t>
      </w:r>
      <w:r>
        <w:rPr>
          <w:rFonts w:ascii="宋体" w:hAnsi="宋体" w:eastAsia="宋体" w:cs="宋体"/>
          <w:color w:val="auto"/>
          <w:spacing w:val="-3"/>
          <w:highlight w:val="none"/>
        </w:rPr>
        <w:t>低</w:t>
      </w:r>
      <w:r>
        <w:rPr>
          <w:rFonts w:ascii="宋体" w:hAnsi="宋体" w:eastAsia="宋体" w:cs="宋体"/>
          <w:color w:val="auto"/>
          <w:spacing w:val="-2"/>
          <w:highlight w:val="none"/>
        </w:rPr>
        <w:t>于成本报价竞标。</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3.3 投标文件的澄清和补正</w:t>
      </w:r>
    </w:p>
    <w:p>
      <w:pPr>
        <w:spacing w:before="152" w:line="351" w:lineRule="auto"/>
        <w:ind w:left="19" w:right="65" w:firstLine="424"/>
        <w:rPr>
          <w:rFonts w:ascii="宋体" w:hAnsi="宋体" w:eastAsia="宋体" w:cs="宋体"/>
          <w:color w:val="auto"/>
          <w:highlight w:val="none"/>
        </w:rPr>
      </w:pPr>
      <w:r>
        <w:rPr>
          <w:rFonts w:ascii="宋体" w:hAnsi="宋体" w:eastAsia="宋体" w:cs="宋体"/>
          <w:color w:val="auto"/>
          <w:spacing w:val="2"/>
          <w:highlight w:val="none"/>
        </w:rPr>
        <w:t>3.3.</w:t>
      </w:r>
      <w:r>
        <w:rPr>
          <w:rFonts w:ascii="宋体" w:hAnsi="宋体" w:eastAsia="宋体" w:cs="宋体"/>
          <w:color w:val="auto"/>
          <w:spacing w:val="1"/>
          <w:highlight w:val="none"/>
        </w:rPr>
        <w:t>1 在评标过程中，评标委员会可以要求投标人对所提交的投标文件中不明确的内容进</w:t>
      </w:r>
      <w:r>
        <w:rPr>
          <w:rFonts w:ascii="宋体" w:hAnsi="宋体" w:eastAsia="宋体" w:cs="宋体"/>
          <w:color w:val="auto"/>
          <w:spacing w:val="2"/>
          <w:highlight w:val="none"/>
        </w:rPr>
        <w:t>行澄清或说明，也可</w:t>
      </w:r>
      <w:r>
        <w:rPr>
          <w:rFonts w:ascii="宋体" w:hAnsi="宋体" w:eastAsia="宋体" w:cs="宋体"/>
          <w:color w:val="auto"/>
          <w:spacing w:val="1"/>
          <w:highlight w:val="none"/>
        </w:rPr>
        <w:t>以要求投标人对细微偏差进行补正。澄清、说明和补正必须由评标委员会</w:t>
      </w:r>
      <w:r>
        <w:rPr>
          <w:rFonts w:ascii="宋体" w:hAnsi="宋体" w:eastAsia="宋体" w:cs="宋体"/>
          <w:color w:val="auto"/>
          <w:spacing w:val="2"/>
          <w:highlight w:val="none"/>
        </w:rPr>
        <w:t>在线提出、投标人在</w:t>
      </w:r>
      <w:r>
        <w:rPr>
          <w:rFonts w:ascii="宋体" w:hAnsi="宋体" w:eastAsia="宋体" w:cs="宋体"/>
          <w:color w:val="auto"/>
          <w:spacing w:val="1"/>
          <w:highlight w:val="none"/>
        </w:rPr>
        <w:t>线答复，否则无效。评标委员会不接受投标人主动提出的澄清、说明或补</w:t>
      </w:r>
      <w:r>
        <w:rPr>
          <w:rFonts w:ascii="宋体" w:hAnsi="宋体" w:eastAsia="宋体" w:cs="宋体"/>
          <w:color w:val="auto"/>
          <w:highlight w:val="none"/>
        </w:rPr>
        <w:t xml:space="preserve"> </w:t>
      </w:r>
      <w:r>
        <w:rPr>
          <w:rFonts w:ascii="宋体" w:hAnsi="宋体" w:eastAsia="宋体" w:cs="宋体"/>
          <w:color w:val="auto"/>
          <w:spacing w:val="-9"/>
          <w:highlight w:val="none"/>
        </w:rPr>
        <w:t>正。</w:t>
      </w:r>
    </w:p>
    <w:p>
      <w:pPr>
        <w:spacing w:before="1" w:line="352" w:lineRule="auto"/>
        <w:ind w:left="21" w:right="65" w:firstLine="423"/>
        <w:rPr>
          <w:rFonts w:ascii="宋体" w:hAnsi="宋体" w:eastAsia="宋体" w:cs="宋体"/>
          <w:color w:val="auto"/>
          <w:highlight w:val="none"/>
        </w:rPr>
      </w:pPr>
      <w:r>
        <w:rPr>
          <w:rFonts w:ascii="宋体" w:hAnsi="宋体" w:eastAsia="宋体" w:cs="宋体"/>
          <w:color w:val="auto"/>
          <w:spacing w:val="10"/>
          <w:highlight w:val="none"/>
        </w:rPr>
        <w:t>3</w:t>
      </w:r>
      <w:r>
        <w:rPr>
          <w:rFonts w:ascii="宋体" w:hAnsi="宋体" w:eastAsia="宋体" w:cs="宋体"/>
          <w:color w:val="auto"/>
          <w:spacing w:val="6"/>
          <w:highlight w:val="none"/>
        </w:rPr>
        <w:t>.3.2 澄清、说明和补正不得改变投标文件的实质性内容(算术性错误修正的除外)。投</w:t>
      </w:r>
      <w:r>
        <w:rPr>
          <w:rFonts w:ascii="宋体" w:hAnsi="宋体" w:eastAsia="宋体" w:cs="宋体"/>
          <w:color w:val="auto"/>
          <w:spacing w:val="-1"/>
          <w:highlight w:val="none"/>
        </w:rPr>
        <w:t>标人的书面澄清、说明和补正属于投标文件的组成部</w:t>
      </w:r>
      <w:r>
        <w:rPr>
          <w:rFonts w:ascii="宋体" w:hAnsi="宋体" w:eastAsia="宋体" w:cs="宋体"/>
          <w:color w:val="auto"/>
          <w:highlight w:val="none"/>
        </w:rPr>
        <w:t>分。</w:t>
      </w:r>
    </w:p>
    <w:p>
      <w:pPr>
        <w:spacing w:before="1" w:line="351" w:lineRule="auto"/>
        <w:ind w:left="20" w:right="65" w:firstLine="424"/>
        <w:rPr>
          <w:rFonts w:ascii="宋体" w:hAnsi="宋体" w:eastAsia="宋体" w:cs="宋体"/>
          <w:color w:val="auto"/>
          <w:highlight w:val="none"/>
        </w:rPr>
      </w:pPr>
      <w:r>
        <w:rPr>
          <w:rFonts w:ascii="宋体" w:hAnsi="宋体" w:eastAsia="宋体" w:cs="宋体"/>
          <w:color w:val="auto"/>
          <w:spacing w:val="2"/>
          <w:highlight w:val="none"/>
        </w:rPr>
        <w:t>3.3.</w:t>
      </w:r>
      <w:r>
        <w:rPr>
          <w:rFonts w:ascii="宋体" w:hAnsi="宋体" w:eastAsia="宋体" w:cs="宋体"/>
          <w:color w:val="auto"/>
          <w:spacing w:val="1"/>
          <w:highlight w:val="none"/>
        </w:rPr>
        <w:t>3 评标委员会对投标人提交的澄清、说明或补正有疑问的，可以要求投标人进一步澄</w:t>
      </w:r>
      <w:r>
        <w:rPr>
          <w:rFonts w:ascii="宋体" w:hAnsi="宋体" w:eastAsia="宋体" w:cs="宋体"/>
          <w:color w:val="auto"/>
          <w:spacing w:val="-1"/>
          <w:highlight w:val="none"/>
        </w:rPr>
        <w:t>清、说</w:t>
      </w:r>
      <w:r>
        <w:rPr>
          <w:rFonts w:ascii="宋体" w:hAnsi="宋体" w:eastAsia="宋体" w:cs="宋体"/>
          <w:color w:val="auto"/>
          <w:highlight w:val="none"/>
        </w:rPr>
        <w:t>明或补正，直至满足评标委员会的要求。</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3.4 评标结果</w:t>
      </w:r>
    </w:p>
    <w:p>
      <w:pPr>
        <w:spacing w:before="150" w:line="351" w:lineRule="auto"/>
        <w:ind w:left="19" w:right="65" w:firstLine="424"/>
        <w:rPr>
          <w:rFonts w:ascii="宋体" w:hAnsi="宋体" w:eastAsia="宋体" w:cs="宋体"/>
          <w:color w:val="auto"/>
          <w:highlight w:val="none"/>
        </w:rPr>
      </w:pPr>
      <w:r>
        <w:rPr>
          <w:rFonts w:ascii="宋体" w:hAnsi="宋体" w:eastAsia="宋体" w:cs="宋体"/>
          <w:color w:val="auto"/>
          <w:spacing w:val="2"/>
          <w:highlight w:val="none"/>
        </w:rPr>
        <w:t>3.4.</w:t>
      </w:r>
      <w:r>
        <w:rPr>
          <w:rFonts w:ascii="宋体" w:hAnsi="宋体" w:eastAsia="宋体" w:cs="宋体"/>
          <w:color w:val="auto"/>
          <w:spacing w:val="1"/>
          <w:highlight w:val="none"/>
        </w:rPr>
        <w:t>1 除第二章“投标人须知”前附表授权直接确定中标人外，评标委员会按照得分高到</w:t>
      </w:r>
      <w:r>
        <w:rPr>
          <w:rFonts w:ascii="宋体" w:hAnsi="宋体" w:eastAsia="宋体" w:cs="宋体"/>
          <w:color w:val="auto"/>
          <w:highlight w:val="none"/>
        </w:rPr>
        <w:t xml:space="preserve"> </w:t>
      </w:r>
      <w:r>
        <w:rPr>
          <w:rFonts w:ascii="宋体" w:hAnsi="宋体" w:eastAsia="宋体" w:cs="宋体"/>
          <w:color w:val="auto"/>
          <w:spacing w:val="-1"/>
          <w:highlight w:val="none"/>
        </w:rPr>
        <w:t>低的顺序</w:t>
      </w:r>
      <w:r>
        <w:rPr>
          <w:rFonts w:ascii="宋体" w:hAnsi="宋体" w:eastAsia="宋体" w:cs="宋体"/>
          <w:color w:val="auto"/>
          <w:highlight w:val="none"/>
        </w:rPr>
        <w:t>推荐中标候选人。</w:t>
      </w:r>
    </w:p>
    <w:p>
      <w:pPr>
        <w:spacing w:line="219" w:lineRule="auto"/>
        <w:ind w:left="444"/>
        <w:rPr>
          <w:rFonts w:ascii="宋体" w:hAnsi="宋体" w:eastAsia="宋体" w:cs="宋体"/>
          <w:color w:val="auto"/>
          <w:highlight w:val="none"/>
        </w:rPr>
      </w:pPr>
      <w:r>
        <w:rPr>
          <w:rFonts w:ascii="宋体" w:hAnsi="宋体" w:eastAsia="宋体" w:cs="宋体"/>
          <w:color w:val="auto"/>
          <w:spacing w:val="-6"/>
          <w:highlight w:val="none"/>
        </w:rPr>
        <w:t>3.4</w:t>
      </w:r>
      <w:r>
        <w:rPr>
          <w:rFonts w:ascii="宋体" w:hAnsi="宋体" w:eastAsia="宋体" w:cs="宋体"/>
          <w:color w:val="auto"/>
          <w:spacing w:val="-3"/>
          <w:highlight w:val="none"/>
        </w:rPr>
        <w:t>.2 评标委员会完成评标后， 由应当向招标人提交书面评标报告。</w:t>
      </w:r>
    </w:p>
    <w:p>
      <w:pPr>
        <w:spacing w:before="152" w:line="220" w:lineRule="auto"/>
        <w:ind w:left="444"/>
        <w:rPr>
          <w:rFonts w:ascii="宋体" w:hAnsi="宋体" w:eastAsia="宋体" w:cs="宋体"/>
          <w:color w:val="auto"/>
          <w:highlight w:val="none"/>
        </w:rPr>
      </w:pPr>
      <w:r>
        <w:rPr>
          <w:rFonts w:ascii="宋体" w:hAnsi="宋体" w:eastAsia="宋体" w:cs="宋体"/>
          <w:color w:val="auto"/>
          <w:spacing w:val="-1"/>
          <w:highlight w:val="none"/>
        </w:rPr>
        <w:t>3.4.3</w:t>
      </w:r>
      <w:r>
        <w:rPr>
          <w:rFonts w:ascii="宋体" w:hAnsi="宋体" w:eastAsia="宋体" w:cs="宋体"/>
          <w:color w:val="auto"/>
          <w:highlight w:val="none"/>
        </w:rPr>
        <w:t xml:space="preserve"> 评标委员会应将评标过程中使用的文件、表格以及其他材料应当即时归还招标人。</w:t>
      </w:r>
    </w:p>
    <w:p>
      <w:pPr>
        <w:rPr>
          <w:color w:val="auto"/>
          <w:highlight w:val="none"/>
        </w:rPr>
        <w:sectPr>
          <w:footerReference r:id="rId9" w:type="default"/>
          <w:pgSz w:w="11907" w:h="16839"/>
          <w:pgMar w:top="1440" w:right="1080" w:bottom="1440" w:left="1080" w:header="0" w:footer="1037" w:gutter="0"/>
          <w:cols w:space="720" w:num="1"/>
        </w:sectPr>
      </w:pPr>
    </w:p>
    <w:p>
      <w:pPr>
        <w:spacing w:line="256" w:lineRule="auto"/>
        <w:rPr>
          <w:color w:val="auto"/>
          <w:highlight w:val="none"/>
        </w:rPr>
      </w:pPr>
    </w:p>
    <w:p>
      <w:pPr>
        <w:spacing w:before="91" w:line="219" w:lineRule="auto"/>
        <w:ind w:left="3009"/>
        <w:rPr>
          <w:rFonts w:ascii="宋体" w:hAnsi="宋体" w:eastAsia="宋体" w:cs="宋体"/>
          <w:color w:val="auto"/>
          <w:sz w:val="28"/>
          <w:szCs w:val="28"/>
          <w:highlight w:val="none"/>
        </w:rPr>
      </w:pPr>
      <w:r>
        <w:rPr>
          <w:rFonts w:ascii="宋体" w:hAnsi="宋体" w:eastAsia="宋体" w:cs="宋体"/>
          <w:color w:val="auto"/>
          <w:spacing w:val="-18"/>
          <w:sz w:val="28"/>
          <w:szCs w:val="28"/>
          <w:highlight w:val="none"/>
          <w14:textOutline w14:w="5092" w14:cap="flat" w14:cmpd="sng" w14:algn="ctr">
            <w14:solidFill>
              <w14:srgbClr w14:val="000000"/>
            </w14:solidFill>
            <w14:prstDash w14:val="solid"/>
            <w14:miter w14:val="0"/>
          </w14:textOutline>
        </w:rPr>
        <w:t>附</w:t>
      </w:r>
      <w:r>
        <w:rPr>
          <w:rFonts w:ascii="宋体" w:hAnsi="宋体" w:eastAsia="宋体" w:cs="宋体"/>
          <w:color w:val="auto"/>
          <w:spacing w:val="-9"/>
          <w:sz w:val="28"/>
          <w:szCs w:val="28"/>
          <w:highlight w:val="none"/>
          <w14:textOutline w14:w="5092" w14:cap="flat" w14:cmpd="sng" w14:algn="ctr">
            <w14:solidFill>
              <w14:srgbClr w14:val="000000"/>
            </w14:solidFill>
            <w14:prstDash w14:val="solid"/>
            <w14:miter w14:val="0"/>
          </w14:textOutline>
        </w:rPr>
        <w:t>件</w:t>
      </w:r>
      <w:r>
        <w:rPr>
          <w:rFonts w:ascii="宋体" w:hAnsi="宋体" w:eastAsia="宋体" w:cs="宋体"/>
          <w:color w:val="auto"/>
          <w:spacing w:val="-9"/>
          <w:sz w:val="28"/>
          <w:szCs w:val="28"/>
          <w:highlight w:val="none"/>
        </w:rPr>
        <w:t xml:space="preserve"> </w:t>
      </w:r>
      <w:r>
        <w:rPr>
          <w:rFonts w:ascii="宋体" w:hAnsi="宋体" w:eastAsia="宋体" w:cs="宋体"/>
          <w:color w:val="auto"/>
          <w:spacing w:val="-9"/>
          <w:sz w:val="28"/>
          <w:szCs w:val="28"/>
          <w:highlight w:val="none"/>
          <w14:textOutline w14:w="5092" w14:cap="flat" w14:cmpd="sng" w14:algn="ctr">
            <w14:solidFill>
              <w14:srgbClr w14:val="000000"/>
            </w14:solidFill>
            <w14:prstDash w14:val="solid"/>
            <w14:miter w14:val="0"/>
          </w14:textOutline>
        </w:rPr>
        <w:t>A：评标详细程序</w:t>
      </w:r>
    </w:p>
    <w:p>
      <w:pPr>
        <w:spacing w:line="386" w:lineRule="auto"/>
        <w:rPr>
          <w:color w:val="auto"/>
          <w:highlight w:val="none"/>
        </w:rPr>
      </w:pP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A0 总  则</w:t>
      </w:r>
    </w:p>
    <w:p>
      <w:pPr>
        <w:spacing w:before="149" w:line="351" w:lineRule="auto"/>
        <w:ind w:left="19" w:firstLine="421"/>
        <w:rPr>
          <w:rFonts w:ascii="宋体" w:hAnsi="宋体" w:eastAsia="宋体" w:cs="宋体"/>
          <w:color w:val="auto"/>
          <w:highlight w:val="none"/>
        </w:rPr>
      </w:pPr>
      <w:r>
        <w:rPr>
          <w:rFonts w:ascii="宋体" w:hAnsi="宋体" w:eastAsia="宋体" w:cs="宋体"/>
          <w:color w:val="auto"/>
          <w:spacing w:val="-8"/>
          <w:highlight w:val="none"/>
        </w:rPr>
        <w:t>本附件是本章“评</w:t>
      </w:r>
      <w:r>
        <w:rPr>
          <w:rFonts w:ascii="宋体" w:hAnsi="宋体" w:eastAsia="宋体" w:cs="宋体"/>
          <w:color w:val="auto"/>
          <w:spacing w:val="-4"/>
          <w:highlight w:val="none"/>
        </w:rPr>
        <w:t>标办法”的组成部分，是对本章第 3 条所规定的评标程序的进一步细化，</w:t>
      </w:r>
      <w:r>
        <w:rPr>
          <w:rFonts w:ascii="宋体" w:hAnsi="宋体" w:eastAsia="宋体" w:cs="宋体"/>
          <w:color w:val="auto"/>
          <w:spacing w:val="-1"/>
          <w:highlight w:val="none"/>
        </w:rPr>
        <w:t>评</w:t>
      </w:r>
      <w:r>
        <w:rPr>
          <w:rFonts w:ascii="宋体" w:hAnsi="宋体" w:eastAsia="宋体" w:cs="宋体"/>
          <w:color w:val="auto"/>
          <w:highlight w:val="none"/>
        </w:rPr>
        <w:t>标委员会应当按照本附件所规定的详细程序开展并完成评标工作。</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A1 基本程序</w:t>
      </w:r>
    </w:p>
    <w:p>
      <w:pPr>
        <w:spacing w:before="150" w:line="221" w:lineRule="auto"/>
        <w:ind w:left="439"/>
        <w:rPr>
          <w:rFonts w:ascii="宋体" w:hAnsi="宋体" w:eastAsia="宋体" w:cs="宋体"/>
          <w:color w:val="auto"/>
          <w:highlight w:val="none"/>
        </w:rPr>
      </w:pPr>
      <w:r>
        <w:rPr>
          <w:rFonts w:ascii="宋体" w:hAnsi="宋体" w:eastAsia="宋体" w:cs="宋体"/>
          <w:color w:val="auto"/>
          <w:spacing w:val="-1"/>
          <w:highlight w:val="none"/>
        </w:rPr>
        <w:t>评标活</w:t>
      </w:r>
      <w:r>
        <w:rPr>
          <w:rFonts w:ascii="宋体" w:hAnsi="宋体" w:eastAsia="宋体" w:cs="宋体"/>
          <w:color w:val="auto"/>
          <w:highlight w:val="none"/>
        </w:rPr>
        <w:t>动将按以下五个步骤进行：</w:t>
      </w:r>
    </w:p>
    <w:p>
      <w:pPr>
        <w:spacing w:before="150" w:line="221" w:lineRule="auto"/>
        <w:ind w:left="446"/>
        <w:rPr>
          <w:rFonts w:ascii="宋体" w:hAnsi="宋体" w:eastAsia="宋体" w:cs="宋体"/>
          <w:color w:val="auto"/>
          <w:highlight w:val="none"/>
        </w:rPr>
      </w:pPr>
      <w:r>
        <w:rPr>
          <w:rFonts w:ascii="宋体" w:hAnsi="宋体" w:eastAsia="宋体" w:cs="宋体"/>
          <w:color w:val="auto"/>
          <w:spacing w:val="13"/>
          <w:highlight w:val="none"/>
        </w:rPr>
        <w:t>(</w:t>
      </w:r>
      <w:r>
        <w:rPr>
          <w:rFonts w:ascii="宋体" w:hAnsi="宋体" w:eastAsia="宋体" w:cs="宋体"/>
          <w:color w:val="auto"/>
          <w:spacing w:val="10"/>
          <w:highlight w:val="none"/>
        </w:rPr>
        <w:t>1) 评标准备；</w:t>
      </w:r>
    </w:p>
    <w:p>
      <w:pPr>
        <w:spacing w:before="146" w:line="221" w:lineRule="auto"/>
        <w:ind w:left="446"/>
        <w:rPr>
          <w:rFonts w:ascii="宋体" w:hAnsi="宋体" w:eastAsia="宋体" w:cs="宋体"/>
          <w:color w:val="auto"/>
          <w:highlight w:val="none"/>
        </w:rPr>
      </w:pPr>
      <w:r>
        <w:rPr>
          <w:rFonts w:ascii="宋体" w:hAnsi="宋体" w:eastAsia="宋体" w:cs="宋体"/>
          <w:color w:val="auto"/>
          <w:spacing w:val="13"/>
          <w:highlight w:val="none"/>
        </w:rPr>
        <w:t>(</w:t>
      </w:r>
      <w:r>
        <w:rPr>
          <w:rFonts w:ascii="宋体" w:hAnsi="宋体" w:eastAsia="宋体" w:cs="宋体"/>
          <w:color w:val="auto"/>
          <w:spacing w:val="10"/>
          <w:highlight w:val="none"/>
        </w:rPr>
        <w:t>2) 初步评审：</w:t>
      </w:r>
    </w:p>
    <w:p>
      <w:pPr>
        <w:spacing w:before="150" w:line="221" w:lineRule="auto"/>
        <w:ind w:left="446"/>
        <w:rPr>
          <w:rFonts w:ascii="宋体" w:hAnsi="宋体" w:eastAsia="宋体" w:cs="宋体"/>
          <w:color w:val="auto"/>
          <w:highlight w:val="none"/>
        </w:rPr>
      </w:pPr>
      <w:r>
        <w:rPr>
          <w:rFonts w:ascii="宋体" w:hAnsi="宋体" w:eastAsia="宋体" w:cs="宋体"/>
          <w:color w:val="auto"/>
          <w:spacing w:val="13"/>
          <w:highlight w:val="none"/>
        </w:rPr>
        <w:t>(</w:t>
      </w:r>
      <w:r>
        <w:rPr>
          <w:rFonts w:ascii="宋体" w:hAnsi="宋体" w:eastAsia="宋体" w:cs="宋体"/>
          <w:color w:val="auto"/>
          <w:spacing w:val="10"/>
          <w:highlight w:val="none"/>
        </w:rPr>
        <w:t>3) 详细评审；</w:t>
      </w:r>
    </w:p>
    <w:p>
      <w:pPr>
        <w:spacing w:before="150" w:line="221" w:lineRule="auto"/>
        <w:ind w:left="446"/>
        <w:rPr>
          <w:rFonts w:ascii="宋体" w:hAnsi="宋体" w:eastAsia="宋体" w:cs="宋体"/>
          <w:color w:val="auto"/>
          <w:highlight w:val="none"/>
        </w:rPr>
      </w:pPr>
      <w:r>
        <w:rPr>
          <w:rFonts w:ascii="宋体" w:hAnsi="宋体" w:eastAsia="宋体" w:cs="宋体"/>
          <w:color w:val="auto"/>
          <w:spacing w:val="9"/>
          <w:highlight w:val="none"/>
        </w:rPr>
        <w:t>(</w:t>
      </w:r>
      <w:r>
        <w:rPr>
          <w:rFonts w:ascii="宋体" w:hAnsi="宋体" w:eastAsia="宋体" w:cs="宋体"/>
          <w:color w:val="auto"/>
          <w:spacing w:val="7"/>
          <w:highlight w:val="none"/>
        </w:rPr>
        <w:t>4) 澄清、说明或补正；</w:t>
      </w:r>
    </w:p>
    <w:p>
      <w:pPr>
        <w:spacing w:before="147" w:line="219" w:lineRule="auto"/>
        <w:ind w:left="446"/>
        <w:rPr>
          <w:rFonts w:ascii="宋体" w:hAnsi="宋体" w:eastAsia="宋体" w:cs="宋体"/>
          <w:color w:val="auto"/>
          <w:highlight w:val="none"/>
        </w:rPr>
      </w:pPr>
      <w:r>
        <w:rPr>
          <w:rFonts w:ascii="宋体" w:hAnsi="宋体" w:eastAsia="宋体" w:cs="宋体"/>
          <w:color w:val="auto"/>
          <w:spacing w:val="6"/>
          <w:highlight w:val="none"/>
        </w:rPr>
        <w:t>(5)</w:t>
      </w:r>
      <w:r>
        <w:rPr>
          <w:rFonts w:ascii="宋体" w:hAnsi="宋体" w:eastAsia="宋体" w:cs="宋体"/>
          <w:color w:val="auto"/>
          <w:spacing w:val="5"/>
          <w:highlight w:val="none"/>
        </w:rPr>
        <w:t xml:space="preserve"> </w:t>
      </w:r>
      <w:r>
        <w:rPr>
          <w:rFonts w:ascii="宋体" w:hAnsi="宋体" w:eastAsia="宋体" w:cs="宋体"/>
          <w:color w:val="auto"/>
          <w:spacing w:val="3"/>
          <w:highlight w:val="none"/>
        </w:rPr>
        <w:t>推荐中标候选人或者直接确定中标人及提交评标报告。</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A2 评标准备</w:t>
      </w:r>
    </w:p>
    <w:p>
      <w:pPr>
        <w:spacing w:before="149" w:line="220" w:lineRule="auto"/>
        <w:ind w:left="433"/>
        <w:rPr>
          <w:rFonts w:ascii="宋体" w:hAnsi="宋体" w:eastAsia="宋体" w:cs="宋体"/>
          <w:color w:val="auto"/>
          <w:highlight w:val="none"/>
        </w:rPr>
      </w:pPr>
      <w:r>
        <w:rPr>
          <w:rFonts w:ascii="宋体" w:hAnsi="宋体" w:eastAsia="宋体" w:cs="宋体"/>
          <w:color w:val="auto"/>
          <w:spacing w:val="-3"/>
          <w:highlight w:val="none"/>
        </w:rPr>
        <w:t>A</w:t>
      </w:r>
      <w:r>
        <w:rPr>
          <w:rFonts w:ascii="宋体" w:hAnsi="宋体" w:eastAsia="宋体" w:cs="宋体"/>
          <w:color w:val="auto"/>
          <w:spacing w:val="-6"/>
          <w:highlight w:val="none"/>
        </w:rPr>
        <w:t>2.1</w:t>
      </w:r>
      <w:r>
        <w:rPr>
          <w:rFonts w:ascii="宋体" w:hAnsi="宋体" w:eastAsia="宋体" w:cs="宋体"/>
          <w:color w:val="auto"/>
          <w:spacing w:val="-4"/>
          <w:highlight w:val="none"/>
        </w:rPr>
        <w:t xml:space="preserve"> </w:t>
      </w:r>
      <w:r>
        <w:rPr>
          <w:rFonts w:ascii="宋体" w:hAnsi="宋体" w:eastAsia="宋体" w:cs="宋体"/>
          <w:color w:val="auto"/>
          <w:spacing w:val="-3"/>
          <w:highlight w:val="none"/>
        </w:rPr>
        <w:t>评标委员会成员签到</w:t>
      </w:r>
    </w:p>
    <w:p>
      <w:pPr>
        <w:spacing w:before="148" w:line="401" w:lineRule="exact"/>
        <w:ind w:left="439"/>
        <w:rPr>
          <w:rFonts w:ascii="宋体" w:hAnsi="宋体" w:eastAsia="宋体" w:cs="宋体"/>
          <w:color w:val="auto"/>
          <w:highlight w:val="none"/>
        </w:rPr>
      </w:pPr>
      <w:r>
        <w:rPr>
          <w:rFonts w:ascii="宋体" w:hAnsi="宋体" w:eastAsia="宋体" w:cs="宋体"/>
          <w:color w:val="auto"/>
          <w:spacing w:val="-1"/>
          <w:position w:val="14"/>
          <w:highlight w:val="none"/>
        </w:rPr>
        <w:t>评标委员会成员到达评标现场时应在</w:t>
      </w:r>
      <w:r>
        <w:rPr>
          <w:rFonts w:ascii="宋体" w:hAnsi="宋体" w:eastAsia="宋体" w:cs="宋体"/>
          <w:color w:val="auto"/>
          <w:position w:val="14"/>
          <w:highlight w:val="none"/>
        </w:rPr>
        <w:t>签到表上签到以证明其出席。</w:t>
      </w:r>
    </w:p>
    <w:p>
      <w:pPr>
        <w:spacing w:before="1" w:line="219" w:lineRule="auto"/>
        <w:ind w:left="433"/>
        <w:rPr>
          <w:rFonts w:ascii="宋体" w:hAnsi="宋体" w:eastAsia="宋体" w:cs="宋体"/>
          <w:color w:val="auto"/>
          <w:highlight w:val="none"/>
        </w:rPr>
      </w:pPr>
      <w:r>
        <w:rPr>
          <w:rFonts w:ascii="宋体" w:hAnsi="宋体" w:eastAsia="宋体" w:cs="宋体"/>
          <w:color w:val="auto"/>
          <w:spacing w:val="-4"/>
          <w:highlight w:val="none"/>
        </w:rPr>
        <w:t>A2.2 评标委员会的分工</w:t>
      </w:r>
    </w:p>
    <w:p>
      <w:pPr>
        <w:spacing w:before="152" w:line="351" w:lineRule="auto"/>
        <w:ind w:left="433" w:right="356" w:firstLine="5"/>
        <w:rPr>
          <w:rFonts w:ascii="宋体" w:hAnsi="宋体" w:eastAsia="宋体" w:cs="宋体"/>
          <w:color w:val="auto"/>
          <w:highlight w:val="none"/>
        </w:rPr>
      </w:pPr>
      <w:r>
        <w:rPr>
          <w:rFonts w:ascii="宋体" w:hAnsi="宋体" w:eastAsia="宋体" w:cs="宋体"/>
          <w:color w:val="auto"/>
          <w:spacing w:val="-1"/>
          <w:highlight w:val="none"/>
        </w:rPr>
        <w:t>评标委员会首先推选一名评标委员会主任。评标委员会主任负责评标</w:t>
      </w:r>
      <w:r>
        <w:rPr>
          <w:rFonts w:ascii="宋体" w:hAnsi="宋体" w:eastAsia="宋体" w:cs="宋体"/>
          <w:color w:val="auto"/>
          <w:highlight w:val="none"/>
        </w:rPr>
        <w:t xml:space="preserve">活动的组织工作。 </w:t>
      </w:r>
    </w:p>
    <w:p>
      <w:pPr>
        <w:spacing w:before="152" w:line="351" w:lineRule="auto"/>
        <w:ind w:left="433" w:right="356" w:firstLine="5"/>
        <w:rPr>
          <w:rFonts w:ascii="宋体" w:hAnsi="宋体" w:eastAsia="宋体" w:cs="宋体"/>
          <w:color w:val="auto"/>
          <w:highlight w:val="none"/>
        </w:rPr>
      </w:pPr>
      <w:r>
        <w:rPr>
          <w:rFonts w:ascii="宋体" w:hAnsi="宋体" w:eastAsia="宋体" w:cs="宋体"/>
          <w:color w:val="auto"/>
          <w:spacing w:val="-4"/>
          <w:highlight w:val="none"/>
        </w:rPr>
        <w:t>A</w:t>
      </w:r>
      <w:r>
        <w:rPr>
          <w:rFonts w:ascii="宋体" w:hAnsi="宋体" w:eastAsia="宋体" w:cs="宋体"/>
          <w:color w:val="auto"/>
          <w:spacing w:val="-8"/>
          <w:highlight w:val="none"/>
        </w:rPr>
        <w:t>2.</w:t>
      </w:r>
      <w:r>
        <w:rPr>
          <w:rFonts w:ascii="宋体" w:hAnsi="宋体" w:eastAsia="宋体" w:cs="宋体"/>
          <w:color w:val="auto"/>
          <w:spacing w:val="-4"/>
          <w:highlight w:val="none"/>
        </w:rPr>
        <w:t>3 熟悉文件资料</w:t>
      </w:r>
    </w:p>
    <w:p>
      <w:pPr>
        <w:spacing w:before="2" w:line="351" w:lineRule="auto"/>
        <w:ind w:left="21" w:right="91" w:firstLine="412"/>
        <w:rPr>
          <w:rFonts w:ascii="宋体" w:hAnsi="宋体" w:eastAsia="宋体" w:cs="宋体"/>
          <w:color w:val="auto"/>
          <w:highlight w:val="none"/>
        </w:rPr>
      </w:pPr>
      <w:r>
        <w:rPr>
          <w:rFonts w:ascii="宋体" w:hAnsi="宋体" w:eastAsia="宋体" w:cs="宋体"/>
          <w:color w:val="auto"/>
          <w:spacing w:val="-4"/>
          <w:highlight w:val="none"/>
        </w:rPr>
        <w:t>A</w:t>
      </w:r>
      <w:r>
        <w:rPr>
          <w:rFonts w:ascii="宋体" w:hAnsi="宋体" w:eastAsia="宋体" w:cs="宋体"/>
          <w:color w:val="auto"/>
          <w:spacing w:val="-7"/>
          <w:highlight w:val="none"/>
        </w:rPr>
        <w:t>2</w:t>
      </w:r>
      <w:r>
        <w:rPr>
          <w:rFonts w:ascii="宋体" w:hAnsi="宋体" w:eastAsia="宋体" w:cs="宋体"/>
          <w:color w:val="auto"/>
          <w:spacing w:val="-4"/>
          <w:highlight w:val="none"/>
        </w:rPr>
        <w:t>.3.1 评标委员会主任应组织评标委员会成员认真研究招标文件，了解和熟悉招标目的</w:t>
      </w:r>
      <w:r>
        <w:rPr>
          <w:rFonts w:hint="eastAsia" w:ascii="宋体" w:hAnsi="宋体" w:eastAsia="宋体" w:cs="宋体"/>
          <w:color w:val="auto"/>
          <w:spacing w:val="-4"/>
          <w:highlight w:val="none"/>
        </w:rPr>
        <w:t>、</w:t>
      </w:r>
      <w:r>
        <w:rPr>
          <w:rFonts w:ascii="宋体" w:hAnsi="宋体" w:eastAsia="宋体" w:cs="宋体"/>
          <w:color w:val="auto"/>
          <w:spacing w:val="-4"/>
          <w:highlight w:val="none"/>
        </w:rPr>
        <w:t>招标范围、主要合同</w:t>
      </w:r>
      <w:r>
        <w:rPr>
          <w:rFonts w:ascii="宋体" w:hAnsi="宋体" w:eastAsia="宋体" w:cs="宋体"/>
          <w:color w:val="auto"/>
          <w:spacing w:val="-2"/>
          <w:highlight w:val="none"/>
        </w:rPr>
        <w:t>条件、技术标准和要求、质量标准和工期要求等，掌握评标标准和方法，</w:t>
      </w:r>
      <w:r>
        <w:rPr>
          <w:rFonts w:ascii="宋体" w:hAnsi="宋体" w:eastAsia="宋体" w:cs="宋体"/>
          <w:color w:val="auto"/>
          <w:spacing w:val="-1"/>
          <w:highlight w:val="none"/>
        </w:rPr>
        <w:t>熟悉本章</w:t>
      </w:r>
      <w:r>
        <w:rPr>
          <w:rFonts w:ascii="宋体" w:hAnsi="宋体" w:eastAsia="宋体" w:cs="宋体"/>
          <w:color w:val="auto"/>
          <w:highlight w:val="none"/>
        </w:rPr>
        <w:t>及附件中包括的评标表格的使用。</w:t>
      </w:r>
    </w:p>
    <w:p>
      <w:pPr>
        <w:spacing w:before="1" w:line="219" w:lineRule="auto"/>
        <w:ind w:left="433"/>
        <w:rPr>
          <w:rFonts w:ascii="宋体" w:hAnsi="宋体" w:eastAsia="宋体" w:cs="宋体"/>
          <w:color w:val="auto"/>
          <w:highlight w:val="none"/>
        </w:rPr>
      </w:pPr>
      <w:r>
        <w:rPr>
          <w:rFonts w:ascii="宋体" w:hAnsi="宋体" w:eastAsia="宋体" w:cs="宋体"/>
          <w:color w:val="auto"/>
          <w:spacing w:val="-1"/>
          <w:highlight w:val="none"/>
        </w:rPr>
        <w:t>A</w:t>
      </w:r>
      <w:r>
        <w:rPr>
          <w:rFonts w:ascii="宋体" w:hAnsi="宋体" w:eastAsia="宋体" w:cs="宋体"/>
          <w:color w:val="auto"/>
          <w:spacing w:val="-2"/>
          <w:highlight w:val="none"/>
        </w:rPr>
        <w:t>2.3.2 招标人或招标代理机构应向评标委员会提供评标所</w:t>
      </w:r>
      <w:r>
        <w:rPr>
          <w:rFonts w:ascii="宋体" w:hAnsi="宋体" w:eastAsia="宋体" w:cs="宋体"/>
          <w:color w:val="auto"/>
          <w:spacing w:val="-1"/>
          <w:highlight w:val="none"/>
        </w:rPr>
        <w:t>需的信息和数据。</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A3 初步评审</w:t>
      </w:r>
    </w:p>
    <w:p>
      <w:pPr>
        <w:spacing w:before="147" w:line="221" w:lineRule="auto"/>
        <w:ind w:left="433"/>
        <w:rPr>
          <w:rFonts w:ascii="宋体" w:hAnsi="宋体" w:eastAsia="宋体" w:cs="宋体"/>
          <w:color w:val="auto"/>
          <w:highlight w:val="none"/>
        </w:rPr>
      </w:pPr>
      <w:r>
        <w:rPr>
          <w:rFonts w:ascii="宋体" w:hAnsi="宋体" w:eastAsia="宋体" w:cs="宋体"/>
          <w:color w:val="auto"/>
          <w:spacing w:val="-5"/>
          <w:highlight w:val="none"/>
        </w:rPr>
        <w:t>A</w:t>
      </w:r>
      <w:r>
        <w:rPr>
          <w:rFonts w:ascii="宋体" w:hAnsi="宋体" w:eastAsia="宋体" w:cs="宋体"/>
          <w:color w:val="auto"/>
          <w:spacing w:val="-10"/>
          <w:highlight w:val="none"/>
        </w:rPr>
        <w:t>3</w:t>
      </w:r>
      <w:r>
        <w:rPr>
          <w:rFonts w:ascii="宋体" w:hAnsi="宋体" w:eastAsia="宋体" w:cs="宋体"/>
          <w:color w:val="auto"/>
          <w:spacing w:val="-7"/>
          <w:highlight w:val="none"/>
        </w:rPr>
        <w:t>.</w:t>
      </w:r>
      <w:r>
        <w:rPr>
          <w:rFonts w:ascii="宋体" w:hAnsi="宋体" w:eastAsia="宋体" w:cs="宋体"/>
          <w:color w:val="auto"/>
          <w:spacing w:val="-5"/>
          <w:highlight w:val="none"/>
        </w:rPr>
        <w:t>1 资格评审</w:t>
      </w:r>
    </w:p>
    <w:p>
      <w:pPr>
        <w:spacing w:before="151" w:line="351" w:lineRule="auto"/>
        <w:ind w:left="23" w:right="61" w:firstLine="408"/>
        <w:rPr>
          <w:rFonts w:ascii="宋体" w:hAnsi="宋体" w:eastAsia="宋体" w:cs="宋体"/>
          <w:color w:val="auto"/>
          <w:highlight w:val="none"/>
        </w:rPr>
      </w:pPr>
      <w:r>
        <w:rPr>
          <w:rFonts w:ascii="宋体" w:hAnsi="宋体" w:eastAsia="宋体" w:cs="宋体"/>
          <w:color w:val="auto"/>
          <w:spacing w:val="-6"/>
          <w:highlight w:val="none"/>
        </w:rPr>
        <w:t>评标委员会根据“评</w:t>
      </w:r>
      <w:r>
        <w:rPr>
          <w:rFonts w:ascii="宋体" w:hAnsi="宋体" w:eastAsia="宋体" w:cs="宋体"/>
          <w:color w:val="auto"/>
          <w:spacing w:val="-3"/>
          <w:highlight w:val="none"/>
        </w:rPr>
        <w:t>标办法前附表”中规定的评审因素和评审标准，对投标人的投标文件进</w:t>
      </w:r>
      <w:r>
        <w:rPr>
          <w:rFonts w:ascii="宋体" w:hAnsi="宋体" w:eastAsia="宋体" w:cs="宋体"/>
          <w:color w:val="auto"/>
          <w:spacing w:val="-9"/>
          <w:highlight w:val="none"/>
        </w:rPr>
        <w:t>行</w:t>
      </w:r>
      <w:r>
        <w:rPr>
          <w:rFonts w:ascii="宋体" w:hAnsi="宋体" w:eastAsia="宋体" w:cs="宋体"/>
          <w:color w:val="auto"/>
          <w:spacing w:val="-8"/>
          <w:highlight w:val="none"/>
        </w:rPr>
        <w:t>资格评审。</w:t>
      </w:r>
    </w:p>
    <w:p>
      <w:pPr>
        <w:spacing w:line="221" w:lineRule="auto"/>
        <w:ind w:left="433"/>
        <w:rPr>
          <w:rFonts w:ascii="宋体" w:hAnsi="宋体" w:eastAsia="宋体" w:cs="宋体"/>
          <w:color w:val="auto"/>
          <w:highlight w:val="none"/>
        </w:rPr>
      </w:pPr>
      <w:r>
        <w:rPr>
          <w:rFonts w:ascii="宋体" w:hAnsi="宋体" w:eastAsia="宋体" w:cs="宋体"/>
          <w:color w:val="auto"/>
          <w:spacing w:val="-5"/>
          <w:highlight w:val="none"/>
        </w:rPr>
        <w:t>A</w:t>
      </w:r>
      <w:r>
        <w:rPr>
          <w:rFonts w:ascii="宋体" w:hAnsi="宋体" w:eastAsia="宋体" w:cs="宋体"/>
          <w:color w:val="auto"/>
          <w:spacing w:val="-10"/>
          <w:highlight w:val="none"/>
        </w:rPr>
        <w:t>3</w:t>
      </w:r>
      <w:r>
        <w:rPr>
          <w:rFonts w:ascii="宋体" w:hAnsi="宋体" w:eastAsia="宋体" w:cs="宋体"/>
          <w:color w:val="auto"/>
          <w:spacing w:val="-7"/>
          <w:highlight w:val="none"/>
        </w:rPr>
        <w:t>.</w:t>
      </w:r>
      <w:r>
        <w:rPr>
          <w:rFonts w:ascii="宋体" w:hAnsi="宋体" w:eastAsia="宋体" w:cs="宋体"/>
          <w:color w:val="auto"/>
          <w:spacing w:val="-5"/>
          <w:highlight w:val="none"/>
        </w:rPr>
        <w:t>2 形式评审</w:t>
      </w:r>
    </w:p>
    <w:p>
      <w:pPr>
        <w:spacing w:before="148" w:line="352" w:lineRule="auto"/>
        <w:ind w:left="23" w:right="61" w:firstLine="408"/>
        <w:rPr>
          <w:rFonts w:ascii="宋体" w:hAnsi="宋体" w:eastAsia="宋体" w:cs="宋体"/>
          <w:color w:val="auto"/>
          <w:highlight w:val="none"/>
        </w:rPr>
      </w:pPr>
      <w:r>
        <w:rPr>
          <w:rFonts w:ascii="宋体" w:hAnsi="宋体" w:eastAsia="宋体" w:cs="宋体"/>
          <w:color w:val="auto"/>
          <w:spacing w:val="-6"/>
          <w:highlight w:val="none"/>
        </w:rPr>
        <w:t>评标委员会根据“评</w:t>
      </w:r>
      <w:r>
        <w:rPr>
          <w:rFonts w:ascii="宋体" w:hAnsi="宋体" w:eastAsia="宋体" w:cs="宋体"/>
          <w:color w:val="auto"/>
          <w:spacing w:val="-3"/>
          <w:highlight w:val="none"/>
        </w:rPr>
        <w:t>标办法前附表”中规定的评审因素和评审标准，对投标人的投标文件进</w:t>
      </w:r>
      <w:r>
        <w:rPr>
          <w:rFonts w:ascii="宋体" w:hAnsi="宋体" w:eastAsia="宋体" w:cs="宋体"/>
          <w:color w:val="auto"/>
          <w:spacing w:val="-9"/>
          <w:highlight w:val="none"/>
        </w:rPr>
        <w:t>行</w:t>
      </w:r>
      <w:r>
        <w:rPr>
          <w:rFonts w:ascii="宋体" w:hAnsi="宋体" w:eastAsia="宋体" w:cs="宋体"/>
          <w:color w:val="auto"/>
          <w:spacing w:val="-8"/>
          <w:highlight w:val="none"/>
        </w:rPr>
        <w:t>形式评审。</w:t>
      </w:r>
    </w:p>
    <w:p>
      <w:pPr>
        <w:spacing w:before="1" w:line="221" w:lineRule="auto"/>
        <w:ind w:left="433"/>
        <w:rPr>
          <w:rFonts w:ascii="宋体" w:hAnsi="宋体" w:eastAsia="宋体" w:cs="宋体"/>
          <w:color w:val="auto"/>
          <w:highlight w:val="none"/>
        </w:rPr>
      </w:pPr>
      <w:r>
        <w:rPr>
          <w:rFonts w:ascii="宋体" w:hAnsi="宋体" w:eastAsia="宋体" w:cs="宋体"/>
          <w:color w:val="auto"/>
          <w:highlight w:val="none"/>
        </w:rPr>
        <w:t>A</w:t>
      </w:r>
      <w:r>
        <w:rPr>
          <w:rFonts w:ascii="宋体" w:hAnsi="宋体" w:eastAsia="宋体" w:cs="宋体"/>
          <w:color w:val="auto"/>
          <w:spacing w:val="1"/>
          <w:highlight w:val="none"/>
        </w:rPr>
        <w:t>3</w:t>
      </w:r>
      <w:r>
        <w:rPr>
          <w:rFonts w:ascii="宋体" w:hAnsi="宋体" w:eastAsia="宋体" w:cs="宋体"/>
          <w:color w:val="auto"/>
          <w:highlight w:val="none"/>
        </w:rPr>
        <w:t>.3 响应性评审</w:t>
      </w:r>
    </w:p>
    <w:p>
      <w:pPr>
        <w:spacing w:before="149" w:line="351" w:lineRule="auto"/>
        <w:ind w:left="21" w:right="59" w:firstLine="412"/>
        <w:rPr>
          <w:rFonts w:ascii="宋体" w:hAnsi="宋体" w:eastAsia="宋体" w:cs="宋体"/>
          <w:color w:val="auto"/>
          <w:highlight w:val="none"/>
        </w:rPr>
      </w:pPr>
      <w:r>
        <w:rPr>
          <w:rFonts w:ascii="宋体" w:hAnsi="宋体" w:eastAsia="宋体" w:cs="宋体"/>
          <w:color w:val="auto"/>
          <w:spacing w:val="-3"/>
          <w:highlight w:val="none"/>
        </w:rPr>
        <w:t>A</w:t>
      </w:r>
      <w:r>
        <w:rPr>
          <w:rFonts w:ascii="宋体" w:hAnsi="宋体" w:eastAsia="宋体" w:cs="宋体"/>
          <w:color w:val="auto"/>
          <w:spacing w:val="-6"/>
          <w:highlight w:val="none"/>
        </w:rPr>
        <w:t>3.3.1</w:t>
      </w:r>
      <w:r>
        <w:rPr>
          <w:rFonts w:ascii="宋体" w:hAnsi="宋体" w:eastAsia="宋体" w:cs="宋体"/>
          <w:color w:val="auto"/>
          <w:spacing w:val="-3"/>
          <w:highlight w:val="none"/>
        </w:rPr>
        <w:t xml:space="preserve"> 评标委员会根据“评标办法前附表”中规定的评审因素和评审标准， 对投标人的投</w:t>
      </w:r>
      <w:r>
        <w:rPr>
          <w:rFonts w:ascii="宋体" w:hAnsi="宋体" w:eastAsia="宋体" w:cs="宋体"/>
          <w:color w:val="auto"/>
          <w:spacing w:val="-2"/>
          <w:highlight w:val="none"/>
        </w:rPr>
        <w:t>标文件进行响应性评审</w:t>
      </w:r>
      <w:r>
        <w:rPr>
          <w:rFonts w:ascii="宋体" w:hAnsi="宋体" w:eastAsia="宋体" w:cs="宋体"/>
          <w:color w:val="auto"/>
          <w:spacing w:val="-1"/>
          <w:highlight w:val="none"/>
        </w:rPr>
        <w:t>。</w:t>
      </w:r>
    </w:p>
    <w:p>
      <w:pPr>
        <w:spacing w:before="3" w:line="358" w:lineRule="auto"/>
        <w:ind w:left="20" w:right="61" w:firstLine="413"/>
        <w:rPr>
          <w:rFonts w:ascii="宋体" w:hAnsi="宋体" w:eastAsia="宋体" w:cs="宋体"/>
          <w:color w:val="auto"/>
          <w:spacing w:val="-4"/>
          <w:highlight w:val="none"/>
        </w:rPr>
      </w:pPr>
      <w:r>
        <w:rPr>
          <w:rFonts w:ascii="宋体" w:hAnsi="宋体" w:eastAsia="宋体" w:cs="宋体"/>
          <w:color w:val="auto"/>
          <w:spacing w:val="-3"/>
          <w:highlight w:val="none"/>
        </w:rPr>
        <w:t>A</w:t>
      </w:r>
      <w:r>
        <w:rPr>
          <w:rFonts w:ascii="宋体" w:hAnsi="宋体" w:eastAsia="宋体" w:cs="宋体"/>
          <w:color w:val="auto"/>
          <w:spacing w:val="-6"/>
          <w:highlight w:val="none"/>
        </w:rPr>
        <w:t>3</w:t>
      </w:r>
      <w:r>
        <w:rPr>
          <w:rFonts w:ascii="宋体" w:hAnsi="宋体" w:eastAsia="宋体" w:cs="宋体"/>
          <w:color w:val="auto"/>
          <w:spacing w:val="-5"/>
          <w:highlight w:val="none"/>
        </w:rPr>
        <w:t>.</w:t>
      </w:r>
      <w:r>
        <w:rPr>
          <w:rFonts w:ascii="宋体" w:hAnsi="宋体" w:eastAsia="宋体" w:cs="宋体"/>
          <w:color w:val="auto"/>
          <w:spacing w:val="-3"/>
          <w:highlight w:val="none"/>
        </w:rPr>
        <w:t>3.2 投标人投标报价不得超出(含等于) 第二章““投标人须知”前附表第 10.2 款载明</w:t>
      </w:r>
      <w:r>
        <w:rPr>
          <w:rFonts w:ascii="宋体" w:hAnsi="宋体" w:eastAsia="宋体" w:cs="宋体"/>
          <w:color w:val="auto"/>
          <w:spacing w:val="2"/>
          <w:highlight w:val="none"/>
        </w:rPr>
        <w:t>的最高投标限价，</w:t>
      </w:r>
      <w:r>
        <w:rPr>
          <w:rFonts w:ascii="宋体" w:hAnsi="宋体" w:eastAsia="宋体" w:cs="宋体"/>
          <w:color w:val="auto"/>
          <w:spacing w:val="1"/>
          <w:highlight w:val="none"/>
        </w:rPr>
        <w:t>凡投标人的投标报价超出最高投标限价的，该投标人的投标文件不能通过响</w:t>
      </w:r>
      <w:r>
        <w:rPr>
          <w:rFonts w:ascii="宋体" w:hAnsi="宋体" w:eastAsia="宋体" w:cs="宋体"/>
          <w:color w:val="auto"/>
          <w:spacing w:val="-4"/>
          <w:highlight w:val="none"/>
        </w:rPr>
        <w:t>应性评审。</w:t>
      </w:r>
    </w:p>
    <w:p>
      <w:pPr>
        <w:spacing w:before="68" w:line="221" w:lineRule="auto"/>
        <w:ind w:left="433"/>
        <w:rPr>
          <w:rFonts w:ascii="宋体" w:hAnsi="宋体" w:eastAsia="宋体" w:cs="宋体"/>
          <w:color w:val="auto"/>
          <w:highlight w:val="none"/>
        </w:rPr>
      </w:pPr>
      <w:r>
        <w:rPr>
          <w:rFonts w:ascii="宋体" w:hAnsi="宋体" w:eastAsia="宋体" w:cs="宋体"/>
          <w:color w:val="auto"/>
          <w:highlight w:val="none"/>
        </w:rPr>
        <w:t>A</w:t>
      </w:r>
      <w:r>
        <w:rPr>
          <w:rFonts w:ascii="宋体" w:hAnsi="宋体" w:eastAsia="宋体" w:cs="宋体"/>
          <w:color w:val="auto"/>
          <w:spacing w:val="1"/>
          <w:highlight w:val="none"/>
        </w:rPr>
        <w:t>3</w:t>
      </w:r>
      <w:r>
        <w:rPr>
          <w:rFonts w:ascii="宋体" w:hAnsi="宋体" w:eastAsia="宋体" w:cs="宋体"/>
          <w:color w:val="auto"/>
          <w:highlight w:val="none"/>
        </w:rPr>
        <w:t>.4 施工组织设计评审</w:t>
      </w:r>
    </w:p>
    <w:p>
      <w:pPr>
        <w:spacing w:before="150" w:line="351" w:lineRule="auto"/>
        <w:ind w:left="20" w:right="75" w:firstLine="411"/>
        <w:rPr>
          <w:rFonts w:ascii="宋体" w:hAnsi="宋体" w:eastAsia="宋体" w:cs="宋体"/>
          <w:color w:val="auto"/>
          <w:highlight w:val="none"/>
        </w:rPr>
      </w:pPr>
      <w:r>
        <w:rPr>
          <w:rFonts w:ascii="宋体" w:hAnsi="宋体" w:eastAsia="宋体" w:cs="宋体"/>
          <w:color w:val="auto"/>
          <w:spacing w:val="-6"/>
          <w:highlight w:val="none"/>
        </w:rPr>
        <w:t>评标委员会根据“评</w:t>
      </w:r>
      <w:r>
        <w:rPr>
          <w:rFonts w:ascii="宋体" w:hAnsi="宋体" w:eastAsia="宋体" w:cs="宋体"/>
          <w:color w:val="auto"/>
          <w:spacing w:val="-3"/>
          <w:highlight w:val="none"/>
        </w:rPr>
        <w:t>标办法前附表”中规定的评审因素和评审标准，对投标人的施工组织设</w:t>
      </w:r>
      <w:r>
        <w:rPr>
          <w:rFonts w:ascii="宋体" w:hAnsi="宋体" w:eastAsia="宋体" w:cs="宋体"/>
          <w:color w:val="auto"/>
          <w:spacing w:val="-12"/>
          <w:highlight w:val="none"/>
        </w:rPr>
        <w:t>计</w:t>
      </w:r>
      <w:r>
        <w:rPr>
          <w:rFonts w:ascii="宋体" w:hAnsi="宋体" w:eastAsia="宋体" w:cs="宋体"/>
          <w:color w:val="auto"/>
          <w:spacing w:val="-7"/>
          <w:highlight w:val="none"/>
        </w:rPr>
        <w:t>进行评审。</w:t>
      </w:r>
    </w:p>
    <w:p>
      <w:pPr>
        <w:spacing w:line="220" w:lineRule="auto"/>
        <w:ind w:left="433"/>
        <w:rPr>
          <w:rFonts w:ascii="宋体" w:hAnsi="宋体" w:eastAsia="宋体" w:cs="宋体"/>
          <w:color w:val="auto"/>
          <w:highlight w:val="none"/>
        </w:rPr>
      </w:pPr>
      <w:r>
        <w:rPr>
          <w:rFonts w:ascii="宋体" w:hAnsi="宋体" w:eastAsia="宋体" w:cs="宋体"/>
          <w:color w:val="auto"/>
          <w:highlight w:val="none"/>
        </w:rPr>
        <w:t>A3.5 判断投标是否为否决投标</w:t>
      </w:r>
    </w:p>
    <w:p>
      <w:pPr>
        <w:spacing w:before="150" w:line="351" w:lineRule="auto"/>
        <w:ind w:left="19" w:right="74" w:firstLine="414"/>
        <w:rPr>
          <w:rFonts w:ascii="宋体" w:hAnsi="宋体" w:eastAsia="宋体" w:cs="宋体"/>
          <w:color w:val="auto"/>
          <w:highlight w:val="none"/>
        </w:rPr>
      </w:pPr>
      <w:r>
        <w:rPr>
          <w:rFonts w:ascii="宋体" w:hAnsi="宋体" w:eastAsia="宋体" w:cs="宋体"/>
          <w:color w:val="auto"/>
          <w:highlight w:val="none"/>
        </w:rPr>
        <w:t>A</w:t>
      </w:r>
      <w:r>
        <w:rPr>
          <w:rFonts w:ascii="宋体" w:hAnsi="宋体" w:eastAsia="宋体" w:cs="宋体"/>
          <w:color w:val="auto"/>
          <w:spacing w:val="6"/>
          <w:highlight w:val="none"/>
        </w:rPr>
        <w:t>3.5.1 判断投标</w:t>
      </w:r>
      <w:r>
        <w:rPr>
          <w:rFonts w:ascii="宋体" w:hAnsi="宋体" w:eastAsia="宋体" w:cs="宋体"/>
          <w:color w:val="auto"/>
          <w:spacing w:val="5"/>
          <w:highlight w:val="none"/>
        </w:rPr>
        <w:t>人</w:t>
      </w:r>
      <w:r>
        <w:rPr>
          <w:rFonts w:ascii="宋体" w:hAnsi="宋体" w:eastAsia="宋体" w:cs="宋体"/>
          <w:color w:val="auto"/>
          <w:spacing w:val="3"/>
          <w:highlight w:val="none"/>
        </w:rPr>
        <w:t>的投标是否为否决投标的全部条件(包括本章第 3.1.2 项中规定的条</w:t>
      </w:r>
      <w:r>
        <w:rPr>
          <w:rFonts w:ascii="宋体" w:hAnsi="宋体" w:eastAsia="宋体" w:cs="宋体"/>
          <w:color w:val="auto"/>
          <w:spacing w:val="-6"/>
          <w:highlight w:val="none"/>
        </w:rPr>
        <w:t>件)， 在本章附件 B 中集中列示。</w:t>
      </w:r>
    </w:p>
    <w:p>
      <w:pPr>
        <w:spacing w:before="2" w:line="351" w:lineRule="auto"/>
        <w:ind w:left="20" w:right="74" w:firstLine="413"/>
        <w:rPr>
          <w:rFonts w:ascii="宋体" w:hAnsi="宋体" w:eastAsia="宋体" w:cs="宋体"/>
          <w:color w:val="auto"/>
          <w:highlight w:val="none"/>
        </w:rPr>
      </w:pPr>
      <w:r>
        <w:rPr>
          <w:rFonts w:ascii="宋体" w:hAnsi="宋体" w:eastAsia="宋体" w:cs="宋体"/>
          <w:color w:val="auto"/>
          <w:spacing w:val="-3"/>
          <w:highlight w:val="none"/>
        </w:rPr>
        <w:t>A</w:t>
      </w:r>
      <w:r>
        <w:rPr>
          <w:rFonts w:ascii="宋体" w:hAnsi="宋体" w:eastAsia="宋体" w:cs="宋体"/>
          <w:color w:val="auto"/>
          <w:spacing w:val="-6"/>
          <w:highlight w:val="none"/>
        </w:rPr>
        <w:t>3.5.</w:t>
      </w:r>
      <w:r>
        <w:rPr>
          <w:rFonts w:ascii="宋体" w:hAnsi="宋体" w:eastAsia="宋体" w:cs="宋体"/>
          <w:color w:val="auto"/>
          <w:spacing w:val="-3"/>
          <w:highlight w:val="none"/>
        </w:rPr>
        <w:t>2 本章附件 B 集中列示的否决投标条件不应与第二章“投标人须知”和本章正文部分</w:t>
      </w:r>
      <w:r>
        <w:rPr>
          <w:rFonts w:ascii="宋体" w:hAnsi="宋体" w:eastAsia="宋体" w:cs="宋体"/>
          <w:color w:val="auto"/>
          <w:spacing w:val="2"/>
          <w:highlight w:val="none"/>
        </w:rPr>
        <w:t>包括的否决投标条</w:t>
      </w:r>
      <w:r>
        <w:rPr>
          <w:rFonts w:ascii="宋体" w:hAnsi="宋体" w:eastAsia="宋体" w:cs="宋体"/>
          <w:color w:val="auto"/>
          <w:spacing w:val="1"/>
          <w:highlight w:val="none"/>
        </w:rPr>
        <w:t>件抵触，如果出现相互矛盾的情况，以第二章“投标人须知”和本章正文部</w:t>
      </w:r>
      <w:r>
        <w:rPr>
          <w:rFonts w:ascii="宋体" w:hAnsi="宋体" w:eastAsia="宋体" w:cs="宋体"/>
          <w:color w:val="auto"/>
          <w:spacing w:val="-3"/>
          <w:highlight w:val="none"/>
        </w:rPr>
        <w:t>分的规定为准</w:t>
      </w:r>
      <w:r>
        <w:rPr>
          <w:rFonts w:ascii="宋体" w:hAnsi="宋体" w:eastAsia="宋体" w:cs="宋体"/>
          <w:color w:val="auto"/>
          <w:spacing w:val="-2"/>
          <w:highlight w:val="none"/>
        </w:rPr>
        <w:t>。</w:t>
      </w:r>
    </w:p>
    <w:p>
      <w:pPr>
        <w:spacing w:before="1" w:line="351" w:lineRule="auto"/>
        <w:ind w:left="26" w:right="74" w:firstLine="406"/>
        <w:rPr>
          <w:rFonts w:ascii="宋体" w:hAnsi="宋体" w:eastAsia="宋体" w:cs="宋体"/>
          <w:color w:val="auto"/>
          <w:highlight w:val="none"/>
        </w:rPr>
      </w:pPr>
      <w:r>
        <w:rPr>
          <w:rFonts w:ascii="宋体" w:hAnsi="宋体" w:eastAsia="宋体" w:cs="宋体"/>
          <w:color w:val="auto"/>
          <w:highlight w:val="none"/>
        </w:rPr>
        <w:t>A</w:t>
      </w:r>
      <w:r>
        <w:rPr>
          <w:rFonts w:ascii="宋体" w:hAnsi="宋体" w:eastAsia="宋体" w:cs="宋体"/>
          <w:color w:val="auto"/>
          <w:spacing w:val="2"/>
          <w:highlight w:val="none"/>
        </w:rPr>
        <w:t>3.5.3 评标委员会在评标(包括初步评</w:t>
      </w:r>
      <w:r>
        <w:rPr>
          <w:rFonts w:ascii="宋体" w:hAnsi="宋体" w:eastAsia="宋体" w:cs="宋体"/>
          <w:color w:val="auto"/>
          <w:spacing w:val="1"/>
          <w:highlight w:val="none"/>
        </w:rPr>
        <w:t xml:space="preserve">审和详细评审)过程中，依据本章附件 </w:t>
      </w:r>
      <w:r>
        <w:rPr>
          <w:rFonts w:ascii="宋体" w:hAnsi="宋体" w:eastAsia="宋体" w:cs="宋体"/>
          <w:color w:val="auto"/>
          <w:highlight w:val="none"/>
        </w:rPr>
        <w:t>B</w:t>
      </w:r>
      <w:r>
        <w:rPr>
          <w:rFonts w:ascii="宋体" w:hAnsi="宋体" w:eastAsia="宋体" w:cs="宋体"/>
          <w:color w:val="auto"/>
          <w:spacing w:val="1"/>
          <w:highlight w:val="none"/>
        </w:rPr>
        <w:t xml:space="preserve"> 中规定的</w:t>
      </w:r>
      <w:r>
        <w:rPr>
          <w:rFonts w:ascii="宋体" w:hAnsi="宋体" w:eastAsia="宋体" w:cs="宋体"/>
          <w:color w:val="auto"/>
          <w:spacing w:val="-2"/>
          <w:highlight w:val="none"/>
        </w:rPr>
        <w:t>否决投</w:t>
      </w:r>
      <w:r>
        <w:rPr>
          <w:rFonts w:ascii="宋体" w:hAnsi="宋体" w:eastAsia="宋体" w:cs="宋体"/>
          <w:color w:val="auto"/>
          <w:spacing w:val="-1"/>
          <w:highlight w:val="none"/>
        </w:rPr>
        <w:t>标条件判断投标人的投标是否为否决投标。</w:t>
      </w:r>
    </w:p>
    <w:p>
      <w:pPr>
        <w:spacing w:line="220" w:lineRule="auto"/>
        <w:ind w:left="433"/>
        <w:rPr>
          <w:rFonts w:ascii="宋体" w:hAnsi="宋体" w:eastAsia="宋体" w:cs="宋体"/>
          <w:color w:val="auto"/>
          <w:highlight w:val="none"/>
        </w:rPr>
      </w:pPr>
      <w:r>
        <w:rPr>
          <w:rFonts w:ascii="宋体" w:hAnsi="宋体" w:eastAsia="宋体" w:cs="宋体"/>
          <w:color w:val="auto"/>
          <w:spacing w:val="-4"/>
          <w:highlight w:val="none"/>
        </w:rPr>
        <w:t>A</w:t>
      </w:r>
      <w:r>
        <w:rPr>
          <w:rFonts w:ascii="宋体" w:hAnsi="宋体" w:eastAsia="宋体" w:cs="宋体"/>
          <w:color w:val="auto"/>
          <w:spacing w:val="-8"/>
          <w:highlight w:val="none"/>
        </w:rPr>
        <w:t>3.</w:t>
      </w:r>
      <w:r>
        <w:rPr>
          <w:rFonts w:ascii="宋体" w:hAnsi="宋体" w:eastAsia="宋体" w:cs="宋体"/>
          <w:color w:val="auto"/>
          <w:spacing w:val="-4"/>
          <w:highlight w:val="none"/>
        </w:rPr>
        <w:t>6 算术错误修正</w:t>
      </w:r>
    </w:p>
    <w:p>
      <w:pPr>
        <w:spacing w:before="151" w:line="351" w:lineRule="auto"/>
        <w:ind w:left="22" w:right="77" w:firstLine="417"/>
        <w:rPr>
          <w:rFonts w:ascii="宋体" w:hAnsi="宋体" w:eastAsia="宋体" w:cs="宋体"/>
          <w:color w:val="auto"/>
          <w:highlight w:val="none"/>
        </w:rPr>
      </w:pPr>
      <w:r>
        <w:rPr>
          <w:rFonts w:ascii="宋体" w:hAnsi="宋体" w:eastAsia="宋体" w:cs="宋体"/>
          <w:color w:val="auto"/>
          <w:spacing w:val="-2"/>
          <w:highlight w:val="none"/>
        </w:rPr>
        <w:t>评标委员会依据本章中规</w:t>
      </w:r>
      <w:r>
        <w:rPr>
          <w:rFonts w:ascii="宋体" w:hAnsi="宋体" w:eastAsia="宋体" w:cs="宋体"/>
          <w:color w:val="auto"/>
          <w:spacing w:val="-1"/>
          <w:highlight w:val="none"/>
        </w:rPr>
        <w:t>定的相关原则对投标总报价中存在的算术错误进行修正， 并根据</w:t>
      </w:r>
      <w:r>
        <w:rPr>
          <w:rFonts w:ascii="宋体" w:hAnsi="宋体" w:eastAsia="宋体" w:cs="宋体"/>
          <w:color w:val="auto"/>
          <w:spacing w:val="-2"/>
          <w:highlight w:val="none"/>
        </w:rPr>
        <w:t>算术错误修正结果计算评标价</w:t>
      </w:r>
      <w:r>
        <w:rPr>
          <w:rFonts w:ascii="宋体" w:hAnsi="宋体" w:eastAsia="宋体" w:cs="宋体"/>
          <w:color w:val="auto"/>
          <w:highlight w:val="none"/>
        </w:rPr>
        <w:t>。</w:t>
      </w:r>
    </w:p>
    <w:p>
      <w:pPr>
        <w:spacing w:before="1" w:line="220" w:lineRule="auto"/>
        <w:ind w:left="433"/>
        <w:rPr>
          <w:rFonts w:ascii="宋体" w:hAnsi="宋体" w:eastAsia="宋体" w:cs="宋体"/>
          <w:color w:val="auto"/>
          <w:highlight w:val="none"/>
        </w:rPr>
      </w:pPr>
      <w:r>
        <w:rPr>
          <w:rFonts w:ascii="宋体" w:hAnsi="宋体" w:eastAsia="宋体" w:cs="宋体"/>
          <w:color w:val="auto"/>
          <w:spacing w:val="-4"/>
          <w:highlight w:val="none"/>
        </w:rPr>
        <w:t>A3.7 澄清、说明或补正</w:t>
      </w:r>
    </w:p>
    <w:p>
      <w:pPr>
        <w:spacing w:before="148" w:line="352" w:lineRule="auto"/>
        <w:ind w:left="22" w:firstLine="416"/>
        <w:rPr>
          <w:rFonts w:ascii="宋体" w:hAnsi="宋体" w:eastAsia="宋体" w:cs="宋体"/>
          <w:color w:val="auto"/>
          <w:highlight w:val="none"/>
        </w:rPr>
      </w:pPr>
      <w:r>
        <w:rPr>
          <w:rFonts w:ascii="宋体" w:hAnsi="宋体" w:eastAsia="宋体" w:cs="宋体"/>
          <w:color w:val="auto"/>
          <w:spacing w:val="-2"/>
          <w:highlight w:val="none"/>
        </w:rPr>
        <w:t>在初步评审过程中</w:t>
      </w:r>
      <w:r>
        <w:rPr>
          <w:rFonts w:ascii="宋体" w:hAnsi="宋体" w:eastAsia="宋体" w:cs="宋体"/>
          <w:color w:val="auto"/>
          <w:spacing w:val="-1"/>
          <w:highlight w:val="none"/>
        </w:rPr>
        <w:t>，评标委员会应当就投标文件中不明确的内容要求投标人进行澄清、说</w:t>
      </w:r>
      <w:r>
        <w:rPr>
          <w:rFonts w:ascii="宋体" w:hAnsi="宋体" w:eastAsia="宋体" w:cs="宋体"/>
          <w:color w:val="auto"/>
          <w:spacing w:val="-8"/>
          <w:highlight w:val="none"/>
        </w:rPr>
        <w:t>明或者</w:t>
      </w:r>
      <w:r>
        <w:rPr>
          <w:rFonts w:ascii="宋体" w:hAnsi="宋体" w:eastAsia="宋体" w:cs="宋体"/>
          <w:color w:val="auto"/>
          <w:spacing w:val="-7"/>
          <w:highlight w:val="none"/>
        </w:rPr>
        <w:t>补</w:t>
      </w:r>
      <w:r>
        <w:rPr>
          <w:rFonts w:ascii="宋体" w:hAnsi="宋体" w:eastAsia="宋体" w:cs="宋体"/>
          <w:color w:val="auto"/>
          <w:spacing w:val="-4"/>
          <w:highlight w:val="none"/>
        </w:rPr>
        <w:t>正。投标人应当根据问题澄清通知要求，以书面形式予以澄清、说明或者补正。澄清、</w:t>
      </w:r>
      <w:r>
        <w:rPr>
          <w:rFonts w:ascii="宋体" w:hAnsi="宋体" w:eastAsia="宋体" w:cs="宋体"/>
          <w:color w:val="auto"/>
          <w:spacing w:val="-8"/>
          <w:highlight w:val="none"/>
        </w:rPr>
        <w:t>说</w:t>
      </w:r>
      <w:r>
        <w:rPr>
          <w:rFonts w:ascii="宋体" w:hAnsi="宋体" w:eastAsia="宋体" w:cs="宋体"/>
          <w:color w:val="auto"/>
          <w:spacing w:val="-5"/>
          <w:highlight w:val="none"/>
        </w:rPr>
        <w:t>明或补正根据本章第 3.3 款的规定进行。</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A4 详细评审</w:t>
      </w:r>
    </w:p>
    <w:p>
      <w:pPr>
        <w:spacing w:before="149" w:line="398" w:lineRule="exact"/>
        <w:ind w:left="452"/>
        <w:rPr>
          <w:rFonts w:ascii="宋体" w:hAnsi="宋体" w:eastAsia="宋体" w:cs="宋体"/>
          <w:color w:val="auto"/>
          <w:highlight w:val="none"/>
        </w:rPr>
      </w:pPr>
      <w:r>
        <w:rPr>
          <w:rFonts w:ascii="宋体" w:hAnsi="宋体" w:eastAsia="宋体" w:cs="宋体"/>
          <w:color w:val="auto"/>
          <w:spacing w:val="-1"/>
          <w:position w:val="14"/>
          <w:highlight w:val="none"/>
        </w:rPr>
        <w:t>只有通过了初步评审、被判定为</w:t>
      </w:r>
      <w:r>
        <w:rPr>
          <w:rFonts w:ascii="宋体" w:hAnsi="宋体" w:eastAsia="宋体" w:cs="宋体"/>
          <w:color w:val="auto"/>
          <w:position w:val="14"/>
          <w:highlight w:val="none"/>
        </w:rPr>
        <w:t>合格的投标方可进入详细评审。</w:t>
      </w:r>
    </w:p>
    <w:p>
      <w:pPr>
        <w:spacing w:before="1" w:line="220" w:lineRule="auto"/>
        <w:ind w:left="433"/>
        <w:rPr>
          <w:rFonts w:ascii="宋体" w:hAnsi="宋体" w:eastAsia="宋体" w:cs="宋体"/>
          <w:color w:val="auto"/>
          <w:highlight w:val="none"/>
        </w:rPr>
      </w:pPr>
      <w:r>
        <w:rPr>
          <w:rFonts w:ascii="宋体" w:hAnsi="宋体" w:eastAsia="宋体" w:cs="宋体"/>
          <w:color w:val="auto"/>
          <w:highlight w:val="none"/>
        </w:rPr>
        <w:t>A</w:t>
      </w:r>
      <w:r>
        <w:rPr>
          <w:rFonts w:ascii="宋体" w:hAnsi="宋体" w:eastAsia="宋体" w:cs="宋体"/>
          <w:color w:val="auto"/>
          <w:spacing w:val="2"/>
          <w:highlight w:val="none"/>
        </w:rPr>
        <w:t>4.1 对投标文件进行基础</w:t>
      </w:r>
      <w:r>
        <w:rPr>
          <w:rFonts w:ascii="宋体" w:hAnsi="宋体" w:eastAsia="宋体" w:cs="宋体"/>
          <w:color w:val="auto"/>
          <w:spacing w:val="1"/>
          <w:highlight w:val="none"/>
        </w:rPr>
        <w:t>性数据分析和整理工作(清标)</w:t>
      </w:r>
    </w:p>
    <w:p>
      <w:pPr>
        <w:spacing w:before="150" w:line="219" w:lineRule="auto"/>
        <w:ind w:left="433"/>
        <w:rPr>
          <w:rFonts w:ascii="宋体" w:hAnsi="宋体" w:eastAsia="宋体" w:cs="宋体"/>
          <w:color w:val="auto"/>
          <w:highlight w:val="none"/>
        </w:rPr>
      </w:pPr>
      <w:r>
        <w:rPr>
          <w:rFonts w:ascii="宋体" w:hAnsi="宋体" w:eastAsia="宋体" w:cs="宋体"/>
          <w:color w:val="auto"/>
          <w:spacing w:val="-5"/>
          <w:highlight w:val="none"/>
        </w:rPr>
        <w:t>A</w:t>
      </w:r>
      <w:r>
        <w:rPr>
          <w:rFonts w:ascii="宋体" w:hAnsi="宋体" w:eastAsia="宋体" w:cs="宋体"/>
          <w:color w:val="auto"/>
          <w:spacing w:val="-10"/>
          <w:highlight w:val="none"/>
        </w:rPr>
        <w:t>4</w:t>
      </w:r>
      <w:r>
        <w:rPr>
          <w:rFonts w:ascii="宋体" w:hAnsi="宋体" w:eastAsia="宋体" w:cs="宋体"/>
          <w:color w:val="auto"/>
          <w:spacing w:val="-7"/>
          <w:highlight w:val="none"/>
        </w:rPr>
        <w:t>.</w:t>
      </w:r>
      <w:r>
        <w:rPr>
          <w:rFonts w:ascii="宋体" w:hAnsi="宋体" w:eastAsia="宋体" w:cs="宋体"/>
          <w:color w:val="auto"/>
          <w:spacing w:val="-5"/>
          <w:highlight w:val="none"/>
        </w:rPr>
        <w:t>2 价格折算</w:t>
      </w:r>
    </w:p>
    <w:p>
      <w:pPr>
        <w:spacing w:before="152" w:line="398" w:lineRule="exact"/>
        <w:ind w:left="439"/>
        <w:rPr>
          <w:rFonts w:ascii="宋体" w:hAnsi="宋体" w:eastAsia="宋体" w:cs="宋体"/>
          <w:color w:val="auto"/>
          <w:highlight w:val="none"/>
        </w:rPr>
      </w:pPr>
      <w:r>
        <w:rPr>
          <w:rFonts w:ascii="宋体" w:hAnsi="宋体" w:eastAsia="宋体" w:cs="宋体"/>
          <w:color w:val="auto"/>
          <w:spacing w:val="-1"/>
          <w:position w:val="14"/>
          <w:highlight w:val="none"/>
        </w:rPr>
        <w:t>评标</w:t>
      </w:r>
      <w:r>
        <w:rPr>
          <w:rFonts w:ascii="宋体" w:hAnsi="宋体" w:eastAsia="宋体" w:cs="宋体"/>
          <w:color w:val="auto"/>
          <w:position w:val="14"/>
          <w:highlight w:val="none"/>
        </w:rPr>
        <w:t>委员会根据评标办法对投标报价计算出评标价。</w:t>
      </w:r>
    </w:p>
    <w:p>
      <w:pPr>
        <w:spacing w:line="219" w:lineRule="auto"/>
        <w:ind w:left="433"/>
        <w:rPr>
          <w:rFonts w:ascii="宋体" w:hAnsi="宋体" w:eastAsia="宋体" w:cs="宋体"/>
          <w:color w:val="auto"/>
          <w:highlight w:val="none"/>
        </w:rPr>
      </w:pPr>
      <w:r>
        <w:rPr>
          <w:rFonts w:ascii="宋体" w:hAnsi="宋体" w:eastAsia="宋体" w:cs="宋体"/>
          <w:color w:val="auto"/>
          <w:highlight w:val="none"/>
        </w:rPr>
        <w:t>A</w:t>
      </w:r>
      <w:r>
        <w:rPr>
          <w:rFonts w:ascii="宋体" w:hAnsi="宋体" w:eastAsia="宋体" w:cs="宋体"/>
          <w:color w:val="auto"/>
          <w:spacing w:val="1"/>
          <w:highlight w:val="none"/>
        </w:rPr>
        <w:t>4</w:t>
      </w:r>
      <w:r>
        <w:rPr>
          <w:rFonts w:ascii="宋体" w:hAnsi="宋体" w:eastAsia="宋体" w:cs="宋体"/>
          <w:color w:val="auto"/>
          <w:highlight w:val="none"/>
        </w:rPr>
        <w:t>.3 判断投标总报价是否低于成本</w:t>
      </w:r>
    </w:p>
    <w:p>
      <w:pPr>
        <w:spacing w:before="152" w:line="401" w:lineRule="exact"/>
        <w:ind w:left="465"/>
        <w:rPr>
          <w:rFonts w:ascii="宋体" w:hAnsi="宋体" w:eastAsia="宋体" w:cs="宋体"/>
          <w:color w:val="auto"/>
          <w:highlight w:val="none"/>
        </w:rPr>
      </w:pPr>
      <w:r>
        <w:rPr>
          <w:rFonts w:ascii="宋体" w:hAnsi="宋体" w:eastAsia="宋体" w:cs="宋体"/>
          <w:color w:val="auto"/>
          <w:spacing w:val="-2"/>
          <w:position w:val="14"/>
          <w:highlight w:val="none"/>
        </w:rPr>
        <w:t>由评标委员会认定</w:t>
      </w:r>
      <w:r>
        <w:rPr>
          <w:rFonts w:ascii="宋体" w:hAnsi="宋体" w:eastAsia="宋体" w:cs="宋体"/>
          <w:color w:val="auto"/>
          <w:spacing w:val="-1"/>
          <w:position w:val="14"/>
          <w:highlight w:val="none"/>
        </w:rPr>
        <w:t>投标人是否以低于成本竞标。</w:t>
      </w:r>
    </w:p>
    <w:p>
      <w:pPr>
        <w:spacing w:line="220" w:lineRule="auto"/>
        <w:ind w:left="433"/>
        <w:rPr>
          <w:rFonts w:ascii="宋体" w:hAnsi="宋体" w:eastAsia="宋体" w:cs="宋体"/>
          <w:color w:val="auto"/>
          <w:highlight w:val="none"/>
        </w:rPr>
      </w:pPr>
      <w:r>
        <w:rPr>
          <w:rFonts w:ascii="宋体" w:hAnsi="宋体" w:eastAsia="宋体" w:cs="宋体"/>
          <w:color w:val="auto"/>
          <w:spacing w:val="-4"/>
          <w:highlight w:val="none"/>
        </w:rPr>
        <w:t>A4.4 澄清、说明或补正</w:t>
      </w:r>
    </w:p>
    <w:p>
      <w:pPr>
        <w:spacing w:before="147" w:line="352" w:lineRule="auto"/>
        <w:ind w:left="19" w:right="74" w:firstLine="419"/>
        <w:rPr>
          <w:rFonts w:ascii="宋体" w:hAnsi="宋体" w:eastAsia="宋体" w:cs="宋体"/>
          <w:color w:val="auto"/>
          <w:highlight w:val="none"/>
        </w:rPr>
      </w:pPr>
      <w:r>
        <w:rPr>
          <w:rFonts w:ascii="宋体" w:hAnsi="宋体" w:eastAsia="宋体" w:cs="宋体"/>
          <w:color w:val="auto"/>
          <w:spacing w:val="2"/>
          <w:highlight w:val="none"/>
        </w:rPr>
        <w:t>在评审过程中，评标委员会应当就投标文</w:t>
      </w:r>
      <w:r>
        <w:rPr>
          <w:rFonts w:ascii="宋体" w:hAnsi="宋体" w:eastAsia="宋体" w:cs="宋体"/>
          <w:color w:val="auto"/>
          <w:spacing w:val="1"/>
          <w:highlight w:val="none"/>
        </w:rPr>
        <w:t>件中不明确的内容要求投标人进行澄清、说明或</w:t>
      </w:r>
      <w:r>
        <w:rPr>
          <w:rFonts w:ascii="宋体" w:hAnsi="宋体" w:eastAsia="宋体" w:cs="宋体"/>
          <w:color w:val="auto"/>
          <w:spacing w:val="2"/>
          <w:highlight w:val="none"/>
        </w:rPr>
        <w:t>者补正。投标人应当</w:t>
      </w:r>
      <w:r>
        <w:rPr>
          <w:rFonts w:ascii="宋体" w:hAnsi="宋体" w:eastAsia="宋体" w:cs="宋体"/>
          <w:color w:val="auto"/>
          <w:spacing w:val="1"/>
          <w:highlight w:val="none"/>
        </w:rPr>
        <w:t>根据问题澄清通知要求，予以澄清、说明或者补正。澄清、说明或补正根</w:t>
      </w:r>
      <w:r>
        <w:rPr>
          <w:rFonts w:ascii="宋体" w:hAnsi="宋体" w:eastAsia="宋体" w:cs="宋体"/>
          <w:color w:val="auto"/>
          <w:highlight w:val="none"/>
        </w:rPr>
        <w:t xml:space="preserve"> </w:t>
      </w:r>
      <w:r>
        <w:rPr>
          <w:rFonts w:ascii="宋体" w:hAnsi="宋体" w:eastAsia="宋体" w:cs="宋体"/>
          <w:color w:val="auto"/>
          <w:spacing w:val="-14"/>
          <w:highlight w:val="none"/>
        </w:rPr>
        <w:t>据</w:t>
      </w:r>
      <w:r>
        <w:rPr>
          <w:rFonts w:ascii="宋体" w:hAnsi="宋体" w:eastAsia="宋体" w:cs="宋体"/>
          <w:color w:val="auto"/>
          <w:spacing w:val="-12"/>
          <w:highlight w:val="none"/>
        </w:rPr>
        <w:t>本</w:t>
      </w:r>
      <w:r>
        <w:rPr>
          <w:rFonts w:ascii="宋体" w:hAnsi="宋体" w:eastAsia="宋体" w:cs="宋体"/>
          <w:color w:val="auto"/>
          <w:spacing w:val="-7"/>
          <w:highlight w:val="none"/>
        </w:rPr>
        <w:t>章第 3.3 款的规定进行。</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A5 推荐中标候选人或者直接确定中标人</w:t>
      </w:r>
    </w:p>
    <w:p>
      <w:pPr>
        <w:spacing w:before="151" w:line="221" w:lineRule="auto"/>
        <w:ind w:left="433"/>
        <w:rPr>
          <w:rFonts w:ascii="宋体" w:hAnsi="宋体" w:eastAsia="宋体" w:cs="宋体"/>
          <w:color w:val="auto"/>
          <w:highlight w:val="none"/>
        </w:rPr>
      </w:pPr>
      <w:r>
        <w:rPr>
          <w:rFonts w:ascii="宋体" w:hAnsi="宋体" w:eastAsia="宋体" w:cs="宋体"/>
          <w:color w:val="auto"/>
          <w:spacing w:val="-4"/>
          <w:highlight w:val="none"/>
        </w:rPr>
        <w:t>A</w:t>
      </w:r>
      <w:r>
        <w:rPr>
          <w:rFonts w:ascii="宋体" w:hAnsi="宋体" w:eastAsia="宋体" w:cs="宋体"/>
          <w:color w:val="auto"/>
          <w:spacing w:val="-8"/>
          <w:highlight w:val="none"/>
        </w:rPr>
        <w:t>5.</w:t>
      </w:r>
      <w:r>
        <w:rPr>
          <w:rFonts w:ascii="宋体" w:hAnsi="宋体" w:eastAsia="宋体" w:cs="宋体"/>
          <w:color w:val="auto"/>
          <w:spacing w:val="-4"/>
          <w:highlight w:val="none"/>
        </w:rPr>
        <w:t>1 汇总评标结果</w:t>
      </w:r>
    </w:p>
    <w:p>
      <w:pPr>
        <w:spacing w:before="149" w:line="399" w:lineRule="exact"/>
        <w:ind w:left="442"/>
        <w:rPr>
          <w:rFonts w:ascii="宋体" w:hAnsi="宋体" w:eastAsia="宋体" w:cs="宋体"/>
          <w:color w:val="auto"/>
          <w:highlight w:val="none"/>
        </w:rPr>
      </w:pPr>
      <w:r>
        <w:rPr>
          <w:rFonts w:ascii="宋体" w:hAnsi="宋体" w:eastAsia="宋体" w:cs="宋体"/>
          <w:color w:val="auto"/>
          <w:spacing w:val="-8"/>
          <w:position w:val="14"/>
          <w:highlight w:val="none"/>
        </w:rPr>
        <w:t>投</w:t>
      </w:r>
      <w:r>
        <w:rPr>
          <w:rFonts w:ascii="宋体" w:hAnsi="宋体" w:eastAsia="宋体" w:cs="宋体"/>
          <w:color w:val="auto"/>
          <w:spacing w:val="-5"/>
          <w:position w:val="14"/>
          <w:highlight w:val="none"/>
        </w:rPr>
        <w:t>标</w:t>
      </w:r>
      <w:r>
        <w:rPr>
          <w:rFonts w:ascii="宋体" w:hAnsi="宋体" w:eastAsia="宋体" w:cs="宋体"/>
          <w:color w:val="auto"/>
          <w:spacing w:val="-4"/>
          <w:position w:val="14"/>
          <w:highlight w:val="none"/>
        </w:rPr>
        <w:t>报价评审工作全部结束后， 评标委员会对评标结果进行汇总。</w:t>
      </w:r>
    </w:p>
    <w:p>
      <w:pPr>
        <w:spacing w:before="1" w:line="219" w:lineRule="auto"/>
        <w:ind w:left="433"/>
        <w:rPr>
          <w:rFonts w:ascii="宋体" w:hAnsi="宋体" w:eastAsia="宋体" w:cs="宋体"/>
          <w:color w:val="auto"/>
          <w:highlight w:val="none"/>
        </w:rPr>
      </w:pPr>
      <w:r>
        <w:rPr>
          <w:rFonts w:ascii="宋体" w:hAnsi="宋体" w:eastAsia="宋体" w:cs="宋体"/>
          <w:color w:val="auto"/>
          <w:highlight w:val="none"/>
        </w:rPr>
        <w:t>A</w:t>
      </w:r>
      <w:r>
        <w:rPr>
          <w:rFonts w:ascii="宋体" w:hAnsi="宋体" w:eastAsia="宋体" w:cs="宋体"/>
          <w:color w:val="auto"/>
          <w:spacing w:val="1"/>
          <w:highlight w:val="none"/>
        </w:rPr>
        <w:t>5</w:t>
      </w:r>
      <w:r>
        <w:rPr>
          <w:rFonts w:ascii="宋体" w:hAnsi="宋体" w:eastAsia="宋体" w:cs="宋体"/>
          <w:color w:val="auto"/>
          <w:highlight w:val="none"/>
        </w:rPr>
        <w:t>.2 推荐中标候选人</w:t>
      </w:r>
    </w:p>
    <w:p>
      <w:pPr>
        <w:spacing w:before="150" w:line="221" w:lineRule="auto"/>
        <w:ind w:firstLine="420" w:firstLineChars="200"/>
        <w:rPr>
          <w:rFonts w:ascii="宋体" w:hAnsi="宋体" w:eastAsia="宋体" w:cs="宋体"/>
          <w:color w:val="auto"/>
          <w:highlight w:val="none"/>
        </w:rPr>
      </w:pPr>
      <w:r>
        <w:rPr>
          <w:rFonts w:ascii="宋体" w:hAnsi="宋体" w:eastAsia="宋体" w:cs="宋体"/>
          <w:color w:val="auto"/>
          <w:highlight w:val="none"/>
        </w:rPr>
        <w:t>A</w:t>
      </w:r>
      <w:r>
        <w:rPr>
          <w:rFonts w:ascii="宋体" w:hAnsi="宋体" w:eastAsia="宋体" w:cs="宋体"/>
          <w:color w:val="auto"/>
          <w:spacing w:val="-1"/>
          <w:highlight w:val="none"/>
        </w:rPr>
        <w:t>5.2.1 除第二章“投标人须知”前附表授权直接确定中标人外，评标委员会在推荐中标</w:t>
      </w:r>
      <w:r>
        <w:rPr>
          <w:rFonts w:ascii="宋体" w:hAnsi="宋体" w:eastAsia="宋体" w:cs="宋体"/>
          <w:color w:val="auto"/>
          <w:highlight w:val="none"/>
        </w:rPr>
        <w:t>候</w:t>
      </w:r>
      <w:r>
        <w:rPr>
          <w:rFonts w:ascii="宋体" w:hAnsi="宋体" w:eastAsia="宋体" w:cs="宋体"/>
          <w:color w:val="auto"/>
          <w:spacing w:val="-1"/>
          <w:highlight w:val="none"/>
        </w:rPr>
        <w:t>选人时，</w:t>
      </w:r>
      <w:r>
        <w:rPr>
          <w:rFonts w:ascii="宋体" w:hAnsi="宋体" w:eastAsia="宋体" w:cs="宋体"/>
          <w:color w:val="auto"/>
          <w:highlight w:val="none"/>
        </w:rPr>
        <w:t>应遵照以下原则：</w:t>
      </w:r>
    </w:p>
    <w:p>
      <w:pPr>
        <w:spacing w:before="150" w:line="351" w:lineRule="auto"/>
        <w:ind w:left="25" w:right="91" w:firstLine="425"/>
        <w:rPr>
          <w:rFonts w:ascii="宋体" w:hAnsi="宋体" w:eastAsia="宋体" w:cs="宋体"/>
          <w:color w:val="auto"/>
          <w:highlight w:val="none"/>
        </w:rPr>
      </w:pPr>
      <w:r>
        <w:rPr>
          <w:rFonts w:ascii="宋体" w:hAnsi="宋体" w:eastAsia="宋体" w:cs="宋体"/>
          <w:color w:val="auto"/>
          <w:spacing w:val="2"/>
          <w:highlight w:val="none"/>
        </w:rPr>
        <w:t xml:space="preserve">(1) </w:t>
      </w:r>
      <w:r>
        <w:rPr>
          <w:rFonts w:ascii="宋体" w:hAnsi="宋体" w:eastAsia="宋体" w:cs="宋体"/>
          <w:color w:val="auto"/>
          <w:spacing w:val="1"/>
          <w:highlight w:val="none"/>
        </w:rPr>
        <w:t>评标委员会按照最终得分由高到底的次序排列，根据第二章“投标人须知”前附表第</w:t>
      </w:r>
      <w:r>
        <w:rPr>
          <w:rFonts w:ascii="宋体" w:hAnsi="宋体" w:eastAsia="宋体" w:cs="宋体"/>
          <w:color w:val="auto"/>
          <w:highlight w:val="none"/>
        </w:rPr>
        <w:t xml:space="preserve"> </w:t>
      </w:r>
      <w:r>
        <w:rPr>
          <w:rFonts w:ascii="宋体" w:hAnsi="宋体" w:eastAsia="宋体" w:cs="宋体"/>
          <w:color w:val="auto"/>
          <w:spacing w:val="-7"/>
          <w:highlight w:val="none"/>
        </w:rPr>
        <w:t>7</w:t>
      </w:r>
      <w:r>
        <w:rPr>
          <w:rFonts w:ascii="宋体" w:hAnsi="宋体" w:eastAsia="宋体" w:cs="宋体"/>
          <w:color w:val="auto"/>
          <w:spacing w:val="-5"/>
          <w:highlight w:val="none"/>
        </w:rPr>
        <w:t>.1 款的规定推荐中标候选人。</w:t>
      </w:r>
    </w:p>
    <w:p>
      <w:pPr>
        <w:spacing w:before="3" w:line="351" w:lineRule="auto"/>
        <w:ind w:left="21" w:right="90" w:firstLine="425"/>
        <w:rPr>
          <w:rFonts w:ascii="宋体" w:hAnsi="宋体" w:eastAsia="宋体" w:cs="宋体"/>
          <w:color w:val="auto"/>
          <w:highlight w:val="none"/>
        </w:rPr>
      </w:pPr>
      <w:r>
        <w:rPr>
          <w:rFonts w:ascii="宋体" w:hAnsi="宋体" w:eastAsia="宋体" w:cs="宋体"/>
          <w:color w:val="auto"/>
          <w:spacing w:val="2"/>
          <w:highlight w:val="none"/>
        </w:rPr>
        <w:t>(2) 如果评标委</w:t>
      </w:r>
      <w:r>
        <w:rPr>
          <w:rFonts w:ascii="宋体" w:hAnsi="宋体" w:eastAsia="宋体" w:cs="宋体"/>
          <w:color w:val="auto"/>
          <w:spacing w:val="1"/>
          <w:highlight w:val="none"/>
        </w:rPr>
        <w:t>员会根据本章的规定作否决投标处理后，有效投标不足三个，且少于第二</w:t>
      </w:r>
      <w:r>
        <w:rPr>
          <w:rFonts w:ascii="宋体" w:hAnsi="宋体" w:eastAsia="宋体" w:cs="宋体"/>
          <w:color w:val="auto"/>
          <w:highlight w:val="none"/>
        </w:rPr>
        <w:t xml:space="preserve"> </w:t>
      </w:r>
      <w:r>
        <w:rPr>
          <w:rFonts w:ascii="宋体" w:hAnsi="宋体" w:eastAsia="宋体" w:cs="宋体"/>
          <w:color w:val="auto"/>
          <w:spacing w:val="-10"/>
          <w:highlight w:val="none"/>
        </w:rPr>
        <w:t>章 “投标</w:t>
      </w:r>
      <w:r>
        <w:rPr>
          <w:rFonts w:ascii="宋体" w:hAnsi="宋体" w:eastAsia="宋体" w:cs="宋体"/>
          <w:color w:val="auto"/>
          <w:spacing w:val="-9"/>
          <w:highlight w:val="none"/>
        </w:rPr>
        <w:t>人</w:t>
      </w:r>
      <w:r>
        <w:rPr>
          <w:rFonts w:ascii="宋体" w:hAnsi="宋体" w:eastAsia="宋体" w:cs="宋体"/>
          <w:color w:val="auto"/>
          <w:spacing w:val="-5"/>
          <w:highlight w:val="none"/>
        </w:rPr>
        <w:t>须知”前附表第 7.1 款规定的中标候选人数量的，则评标委员会可以将所有有效投</w:t>
      </w:r>
      <w:r>
        <w:rPr>
          <w:rFonts w:ascii="宋体" w:hAnsi="宋体" w:eastAsia="宋体" w:cs="宋体"/>
          <w:color w:val="auto"/>
          <w:highlight w:val="none"/>
        </w:rPr>
        <w:t xml:space="preserve"> </w:t>
      </w:r>
      <w:r>
        <w:rPr>
          <w:rFonts w:ascii="宋体" w:hAnsi="宋体" w:eastAsia="宋体" w:cs="宋体"/>
          <w:color w:val="auto"/>
          <w:spacing w:val="2"/>
          <w:highlight w:val="none"/>
        </w:rPr>
        <w:t>标按评标分数由</w:t>
      </w:r>
      <w:r>
        <w:rPr>
          <w:rFonts w:ascii="宋体" w:hAnsi="宋体" w:eastAsia="宋体" w:cs="宋体"/>
          <w:color w:val="auto"/>
          <w:spacing w:val="1"/>
          <w:highlight w:val="none"/>
        </w:rPr>
        <w:t>高至低的次序作为中标候选人向招标人推荐。如果因有效投标不足三个使得投</w:t>
      </w:r>
      <w:r>
        <w:rPr>
          <w:rFonts w:ascii="宋体" w:hAnsi="宋体" w:eastAsia="宋体" w:cs="宋体"/>
          <w:color w:val="auto"/>
          <w:spacing w:val="-4"/>
          <w:highlight w:val="none"/>
        </w:rPr>
        <w:t>标明显缺乏竞争的，评标委员会可以建议招标人重新招标。</w:t>
      </w:r>
    </w:p>
    <w:p>
      <w:pPr>
        <w:spacing w:line="351" w:lineRule="auto"/>
        <w:ind w:left="22" w:right="91" w:firstLine="411"/>
        <w:rPr>
          <w:rFonts w:ascii="宋体" w:hAnsi="宋体" w:eastAsia="宋体" w:cs="宋体"/>
          <w:color w:val="auto"/>
          <w:highlight w:val="none"/>
        </w:rPr>
      </w:pPr>
      <w:r>
        <w:rPr>
          <w:rFonts w:ascii="宋体" w:hAnsi="宋体" w:eastAsia="宋体" w:cs="宋体"/>
          <w:color w:val="auto"/>
          <w:highlight w:val="none"/>
        </w:rPr>
        <w:t>A</w:t>
      </w:r>
      <w:r>
        <w:rPr>
          <w:rFonts w:ascii="宋体" w:hAnsi="宋体" w:eastAsia="宋体" w:cs="宋体"/>
          <w:color w:val="auto"/>
          <w:spacing w:val="-1"/>
          <w:highlight w:val="none"/>
        </w:rPr>
        <w:t>5.2.2 投标截止时间前递交投标文件的投标人数量少于三个或者所有投标被否决的，招标人应当依法重新</w:t>
      </w:r>
      <w:r>
        <w:rPr>
          <w:rFonts w:ascii="宋体" w:hAnsi="宋体" w:eastAsia="宋体" w:cs="宋体"/>
          <w:color w:val="auto"/>
          <w:highlight w:val="none"/>
        </w:rPr>
        <w:t>招标。</w:t>
      </w:r>
    </w:p>
    <w:p>
      <w:pPr>
        <w:spacing w:line="221" w:lineRule="auto"/>
        <w:ind w:left="433"/>
        <w:rPr>
          <w:rFonts w:ascii="宋体" w:hAnsi="宋体" w:eastAsia="宋体" w:cs="宋体"/>
          <w:color w:val="auto"/>
          <w:highlight w:val="none"/>
        </w:rPr>
      </w:pPr>
      <w:r>
        <w:rPr>
          <w:rFonts w:ascii="宋体" w:hAnsi="宋体" w:eastAsia="宋体" w:cs="宋体"/>
          <w:color w:val="auto"/>
          <w:spacing w:val="-4"/>
          <w:highlight w:val="none"/>
        </w:rPr>
        <w:t>A</w:t>
      </w:r>
      <w:r>
        <w:rPr>
          <w:rFonts w:ascii="宋体" w:hAnsi="宋体" w:eastAsia="宋体" w:cs="宋体"/>
          <w:color w:val="auto"/>
          <w:spacing w:val="-8"/>
          <w:highlight w:val="none"/>
        </w:rPr>
        <w:t>5</w:t>
      </w:r>
      <w:r>
        <w:rPr>
          <w:rFonts w:ascii="宋体" w:hAnsi="宋体" w:eastAsia="宋体" w:cs="宋体"/>
          <w:color w:val="auto"/>
          <w:spacing w:val="-4"/>
          <w:highlight w:val="none"/>
        </w:rPr>
        <w:t>.3 直接确定中标人</w:t>
      </w:r>
    </w:p>
    <w:p>
      <w:pPr>
        <w:spacing w:before="150" w:line="351" w:lineRule="auto"/>
        <w:ind w:left="21" w:right="94" w:firstLine="419"/>
        <w:rPr>
          <w:rFonts w:ascii="宋体" w:hAnsi="宋体" w:eastAsia="宋体" w:cs="宋体"/>
          <w:color w:val="auto"/>
          <w:highlight w:val="none"/>
        </w:rPr>
      </w:pPr>
      <w:r>
        <w:rPr>
          <w:rFonts w:ascii="宋体" w:hAnsi="宋体" w:eastAsia="宋体" w:cs="宋体"/>
          <w:color w:val="auto"/>
          <w:spacing w:val="2"/>
          <w:highlight w:val="none"/>
        </w:rPr>
        <w:t>第二章“投标人须知”前附表授</w:t>
      </w:r>
      <w:r>
        <w:rPr>
          <w:rFonts w:ascii="宋体" w:hAnsi="宋体" w:eastAsia="宋体" w:cs="宋体"/>
          <w:color w:val="auto"/>
          <w:spacing w:val="1"/>
          <w:highlight w:val="none"/>
        </w:rPr>
        <w:t>权评标委员会直接确定中标人的，评标委员会对有效的投</w:t>
      </w:r>
      <w:r>
        <w:rPr>
          <w:rFonts w:ascii="宋体" w:hAnsi="宋体" w:eastAsia="宋体" w:cs="宋体"/>
          <w:color w:val="auto"/>
          <w:spacing w:val="-1"/>
          <w:highlight w:val="none"/>
        </w:rPr>
        <w:t>标按照评标得分由高至低的次序排列，并</w:t>
      </w:r>
      <w:r>
        <w:rPr>
          <w:rFonts w:ascii="宋体" w:hAnsi="宋体" w:eastAsia="宋体" w:cs="宋体"/>
          <w:color w:val="auto"/>
          <w:highlight w:val="none"/>
        </w:rPr>
        <w:t>确定排名第一的投标人为中标人。</w:t>
      </w:r>
    </w:p>
    <w:p>
      <w:pPr>
        <w:spacing w:line="219" w:lineRule="auto"/>
        <w:ind w:left="433"/>
        <w:rPr>
          <w:rFonts w:ascii="宋体" w:hAnsi="宋体" w:eastAsia="宋体" w:cs="宋体"/>
          <w:color w:val="auto"/>
          <w:highlight w:val="none"/>
        </w:rPr>
      </w:pPr>
      <w:r>
        <w:rPr>
          <w:rFonts w:ascii="宋体" w:hAnsi="宋体" w:eastAsia="宋体" w:cs="宋体"/>
          <w:color w:val="auto"/>
          <w:highlight w:val="none"/>
        </w:rPr>
        <w:t>A</w:t>
      </w:r>
      <w:r>
        <w:rPr>
          <w:rFonts w:ascii="宋体" w:hAnsi="宋体" w:eastAsia="宋体" w:cs="宋体"/>
          <w:color w:val="auto"/>
          <w:spacing w:val="1"/>
          <w:highlight w:val="none"/>
        </w:rPr>
        <w:t>5</w:t>
      </w:r>
      <w:r>
        <w:rPr>
          <w:rFonts w:ascii="宋体" w:hAnsi="宋体" w:eastAsia="宋体" w:cs="宋体"/>
          <w:color w:val="auto"/>
          <w:highlight w:val="none"/>
        </w:rPr>
        <w:t>.4 编制及提交评标报告</w:t>
      </w:r>
    </w:p>
    <w:p>
      <w:pPr>
        <w:spacing w:before="152" w:line="351" w:lineRule="auto"/>
        <w:ind w:left="20" w:right="37" w:firstLine="419"/>
        <w:rPr>
          <w:rFonts w:ascii="宋体" w:hAnsi="宋体" w:eastAsia="宋体" w:cs="宋体"/>
          <w:color w:val="auto"/>
          <w:highlight w:val="none"/>
        </w:rPr>
      </w:pPr>
      <w:r>
        <w:rPr>
          <w:rFonts w:ascii="宋体" w:hAnsi="宋体" w:eastAsia="宋体" w:cs="宋体"/>
          <w:color w:val="auto"/>
          <w:spacing w:val="-2"/>
          <w:highlight w:val="none"/>
        </w:rPr>
        <w:t>评标委员会应向招标人提</w:t>
      </w:r>
      <w:r>
        <w:rPr>
          <w:rFonts w:ascii="宋体" w:hAnsi="宋体" w:eastAsia="宋体" w:cs="宋体"/>
          <w:color w:val="auto"/>
          <w:spacing w:val="-1"/>
          <w:highlight w:val="none"/>
        </w:rPr>
        <w:t>交评标报告。评标报告应当由全体评标委员会成员签字， 一式三</w:t>
      </w:r>
      <w:r>
        <w:rPr>
          <w:rFonts w:ascii="宋体" w:hAnsi="宋体" w:eastAsia="宋体" w:cs="宋体"/>
          <w:color w:val="auto"/>
          <w:spacing w:val="-8"/>
          <w:highlight w:val="none"/>
        </w:rPr>
        <w:t>份，招标人、招</w:t>
      </w:r>
      <w:r>
        <w:rPr>
          <w:rFonts w:ascii="宋体" w:hAnsi="宋体" w:eastAsia="宋体" w:cs="宋体"/>
          <w:color w:val="auto"/>
          <w:spacing w:val="-5"/>
          <w:highlight w:val="none"/>
        </w:rPr>
        <w:t>标</w:t>
      </w:r>
      <w:r>
        <w:rPr>
          <w:rFonts w:ascii="宋体" w:hAnsi="宋体" w:eastAsia="宋体" w:cs="宋体"/>
          <w:color w:val="auto"/>
          <w:spacing w:val="-4"/>
          <w:highlight w:val="none"/>
        </w:rPr>
        <w:t>代理人、招投标监督管理部门各一份。评标报告应当包括但不限于以下内容：</w:t>
      </w:r>
    </w:p>
    <w:p>
      <w:pPr>
        <w:spacing w:before="1" w:line="219" w:lineRule="auto"/>
        <w:ind w:left="446"/>
        <w:rPr>
          <w:rFonts w:ascii="宋体" w:hAnsi="宋体" w:eastAsia="宋体" w:cs="宋体"/>
          <w:color w:val="auto"/>
          <w:highlight w:val="none"/>
        </w:rPr>
      </w:pPr>
      <w:r>
        <w:rPr>
          <w:rFonts w:ascii="宋体" w:hAnsi="宋体" w:eastAsia="宋体" w:cs="宋体"/>
          <w:color w:val="auto"/>
          <w:spacing w:val="9"/>
          <w:highlight w:val="none"/>
        </w:rPr>
        <w:t>(</w:t>
      </w:r>
      <w:r>
        <w:rPr>
          <w:rFonts w:ascii="宋体" w:hAnsi="宋体" w:eastAsia="宋体" w:cs="宋体"/>
          <w:color w:val="auto"/>
          <w:spacing w:val="7"/>
          <w:highlight w:val="none"/>
        </w:rPr>
        <w:t>1) 基本情况和数据表；</w:t>
      </w:r>
    </w:p>
    <w:p>
      <w:pPr>
        <w:spacing w:before="151" w:line="220" w:lineRule="auto"/>
        <w:ind w:left="446"/>
        <w:rPr>
          <w:rFonts w:ascii="宋体" w:hAnsi="宋体" w:eastAsia="宋体" w:cs="宋体"/>
          <w:color w:val="auto"/>
          <w:highlight w:val="none"/>
        </w:rPr>
      </w:pPr>
      <w:r>
        <w:rPr>
          <w:rFonts w:ascii="宋体" w:hAnsi="宋体" w:eastAsia="宋体" w:cs="宋体"/>
          <w:color w:val="auto"/>
          <w:spacing w:val="12"/>
          <w:highlight w:val="none"/>
        </w:rPr>
        <w:t>(</w:t>
      </w:r>
      <w:r>
        <w:rPr>
          <w:rFonts w:ascii="宋体" w:hAnsi="宋体" w:eastAsia="宋体" w:cs="宋体"/>
          <w:color w:val="auto"/>
          <w:spacing w:val="8"/>
          <w:highlight w:val="none"/>
        </w:rPr>
        <w:t>2</w:t>
      </w:r>
      <w:r>
        <w:rPr>
          <w:rFonts w:ascii="宋体" w:hAnsi="宋体" w:eastAsia="宋体" w:cs="宋体"/>
          <w:color w:val="auto"/>
          <w:spacing w:val="6"/>
          <w:highlight w:val="none"/>
        </w:rPr>
        <w:t>) 评标委员会成员名单；</w:t>
      </w:r>
    </w:p>
    <w:p>
      <w:pPr>
        <w:spacing w:before="149" w:line="221" w:lineRule="auto"/>
        <w:ind w:left="446"/>
        <w:rPr>
          <w:rFonts w:ascii="宋体" w:hAnsi="宋体" w:eastAsia="宋体" w:cs="宋体"/>
          <w:color w:val="auto"/>
          <w:highlight w:val="none"/>
        </w:rPr>
      </w:pPr>
      <w:r>
        <w:rPr>
          <w:rFonts w:ascii="宋体" w:hAnsi="宋体" w:eastAsia="宋体" w:cs="宋体"/>
          <w:color w:val="auto"/>
          <w:spacing w:val="13"/>
          <w:highlight w:val="none"/>
        </w:rPr>
        <w:t>(</w:t>
      </w:r>
      <w:r>
        <w:rPr>
          <w:rFonts w:ascii="宋体" w:hAnsi="宋体" w:eastAsia="宋体" w:cs="宋体"/>
          <w:color w:val="auto"/>
          <w:spacing w:val="10"/>
          <w:highlight w:val="none"/>
        </w:rPr>
        <w:t>3) 开标记录；</w:t>
      </w:r>
    </w:p>
    <w:p>
      <w:pPr>
        <w:spacing w:before="148" w:line="221" w:lineRule="auto"/>
        <w:ind w:left="446"/>
        <w:rPr>
          <w:rFonts w:ascii="宋体" w:hAnsi="宋体" w:eastAsia="宋体" w:cs="宋体"/>
          <w:color w:val="auto"/>
          <w:highlight w:val="none"/>
        </w:rPr>
      </w:pPr>
      <w:r>
        <w:rPr>
          <w:rFonts w:ascii="宋体" w:hAnsi="宋体" w:eastAsia="宋体" w:cs="宋体"/>
          <w:color w:val="auto"/>
          <w:spacing w:val="18"/>
          <w:highlight w:val="none"/>
        </w:rPr>
        <w:t>(</w:t>
      </w:r>
      <w:r>
        <w:rPr>
          <w:rFonts w:ascii="宋体" w:hAnsi="宋体" w:eastAsia="宋体" w:cs="宋体"/>
          <w:color w:val="auto"/>
          <w:spacing w:val="9"/>
          <w:highlight w:val="none"/>
        </w:rPr>
        <w:t>4) 资格审查情况表(如果是资格后审)</w:t>
      </w:r>
    </w:p>
    <w:p>
      <w:pPr>
        <w:spacing w:before="150" w:line="221" w:lineRule="auto"/>
        <w:ind w:left="446"/>
        <w:rPr>
          <w:rFonts w:ascii="宋体" w:hAnsi="宋体" w:eastAsia="宋体" w:cs="宋体"/>
          <w:color w:val="auto"/>
          <w:highlight w:val="none"/>
        </w:rPr>
      </w:pPr>
      <w:r>
        <w:rPr>
          <w:rFonts w:ascii="宋体" w:hAnsi="宋体" w:eastAsia="宋体" w:cs="宋体"/>
          <w:color w:val="auto"/>
          <w:spacing w:val="8"/>
          <w:highlight w:val="none"/>
        </w:rPr>
        <w:t>(5</w:t>
      </w:r>
      <w:r>
        <w:rPr>
          <w:rFonts w:ascii="宋体" w:hAnsi="宋体" w:eastAsia="宋体" w:cs="宋体"/>
          <w:color w:val="auto"/>
          <w:spacing w:val="4"/>
          <w:highlight w:val="none"/>
        </w:rPr>
        <w:t>) 符合要求的投标一览表；</w:t>
      </w:r>
    </w:p>
    <w:p>
      <w:pPr>
        <w:spacing w:before="147" w:line="221" w:lineRule="auto"/>
        <w:ind w:left="446"/>
        <w:rPr>
          <w:rFonts w:ascii="宋体" w:hAnsi="宋体" w:eastAsia="宋体" w:cs="宋体"/>
          <w:color w:val="auto"/>
          <w:highlight w:val="none"/>
        </w:rPr>
      </w:pPr>
      <w:r>
        <w:rPr>
          <w:rFonts w:ascii="宋体" w:hAnsi="宋体" w:eastAsia="宋体" w:cs="宋体"/>
          <w:color w:val="auto"/>
          <w:spacing w:val="9"/>
          <w:highlight w:val="none"/>
        </w:rPr>
        <w:t>(</w:t>
      </w:r>
      <w:r>
        <w:rPr>
          <w:rFonts w:ascii="宋体" w:hAnsi="宋体" w:eastAsia="宋体" w:cs="宋体"/>
          <w:color w:val="auto"/>
          <w:spacing w:val="7"/>
          <w:highlight w:val="none"/>
        </w:rPr>
        <w:t>6) 否决投标情况说明；</w:t>
      </w:r>
    </w:p>
    <w:p>
      <w:pPr>
        <w:spacing w:before="149" w:line="221" w:lineRule="auto"/>
        <w:ind w:left="446"/>
        <w:rPr>
          <w:rFonts w:ascii="宋体" w:hAnsi="宋体" w:eastAsia="宋体" w:cs="宋体"/>
          <w:color w:val="auto"/>
          <w:highlight w:val="none"/>
        </w:rPr>
      </w:pPr>
      <w:r>
        <w:rPr>
          <w:rFonts w:ascii="宋体" w:hAnsi="宋体" w:eastAsia="宋体" w:cs="宋体"/>
          <w:color w:val="auto"/>
          <w:spacing w:val="6"/>
          <w:highlight w:val="none"/>
        </w:rPr>
        <w:t>(</w:t>
      </w:r>
      <w:r>
        <w:rPr>
          <w:rFonts w:ascii="宋体" w:hAnsi="宋体" w:eastAsia="宋体" w:cs="宋体"/>
          <w:color w:val="auto"/>
          <w:spacing w:val="4"/>
          <w:highlight w:val="none"/>
        </w:rPr>
        <w:t>7) 评标标准、评标方法或者评标因素一览表；</w:t>
      </w:r>
    </w:p>
    <w:p>
      <w:pPr>
        <w:spacing w:before="151" w:line="351" w:lineRule="auto"/>
        <w:ind w:left="22" w:right="90" w:firstLine="424"/>
        <w:rPr>
          <w:rFonts w:ascii="宋体" w:hAnsi="宋体" w:eastAsia="宋体" w:cs="宋体"/>
          <w:color w:val="auto"/>
          <w:highlight w:val="none"/>
        </w:rPr>
      </w:pPr>
      <w:r>
        <w:rPr>
          <w:rFonts w:ascii="宋体" w:hAnsi="宋体" w:eastAsia="宋体" w:cs="宋体"/>
          <w:color w:val="auto"/>
          <w:spacing w:val="4"/>
          <w:highlight w:val="none"/>
        </w:rPr>
        <w:t>(8) 经评审的价格一览表(包括评标委员会在评标过程中所形成的所有记载评标结</w:t>
      </w:r>
      <w:r>
        <w:rPr>
          <w:rFonts w:ascii="宋体" w:hAnsi="宋体" w:eastAsia="宋体" w:cs="宋体"/>
          <w:color w:val="auto"/>
          <w:spacing w:val="3"/>
          <w:highlight w:val="none"/>
        </w:rPr>
        <w:t>果</w:t>
      </w:r>
      <w:r>
        <w:rPr>
          <w:rFonts w:ascii="宋体" w:hAnsi="宋体" w:eastAsia="宋体" w:cs="宋体"/>
          <w:color w:val="auto"/>
          <w:highlight w:val="none"/>
        </w:rPr>
        <w:t>、结</w:t>
      </w:r>
      <w:r>
        <w:rPr>
          <w:rFonts w:ascii="宋体" w:hAnsi="宋体" w:eastAsia="宋体" w:cs="宋体"/>
          <w:color w:val="auto"/>
          <w:spacing w:val="-1"/>
          <w:highlight w:val="none"/>
        </w:rPr>
        <w:t>论的表格、说明</w:t>
      </w:r>
      <w:r>
        <w:rPr>
          <w:rFonts w:ascii="宋体" w:hAnsi="宋体" w:eastAsia="宋体" w:cs="宋体"/>
          <w:color w:val="auto"/>
          <w:highlight w:val="none"/>
        </w:rPr>
        <w:t>、记录等文件) ：</w:t>
      </w:r>
    </w:p>
    <w:p>
      <w:pPr>
        <w:spacing w:line="221" w:lineRule="auto"/>
        <w:ind w:left="446"/>
        <w:rPr>
          <w:rFonts w:ascii="宋体" w:hAnsi="宋体" w:eastAsia="宋体" w:cs="宋体"/>
          <w:color w:val="auto"/>
          <w:highlight w:val="none"/>
        </w:rPr>
      </w:pPr>
      <w:r>
        <w:rPr>
          <w:rFonts w:ascii="宋体" w:hAnsi="宋体" w:eastAsia="宋体" w:cs="宋体"/>
          <w:color w:val="auto"/>
          <w:spacing w:val="12"/>
          <w:highlight w:val="none"/>
        </w:rPr>
        <w:t>(</w:t>
      </w:r>
      <w:r>
        <w:rPr>
          <w:rFonts w:ascii="宋体" w:hAnsi="宋体" w:eastAsia="宋体" w:cs="宋体"/>
          <w:color w:val="auto"/>
          <w:spacing w:val="8"/>
          <w:highlight w:val="none"/>
        </w:rPr>
        <w:t>9</w:t>
      </w:r>
      <w:r>
        <w:rPr>
          <w:rFonts w:ascii="宋体" w:hAnsi="宋体" w:eastAsia="宋体" w:cs="宋体"/>
          <w:color w:val="auto"/>
          <w:spacing w:val="6"/>
          <w:highlight w:val="none"/>
        </w:rPr>
        <w:t>) 经评审的投标人排序；</w:t>
      </w:r>
    </w:p>
    <w:p>
      <w:pPr>
        <w:spacing w:before="149" w:line="220" w:lineRule="auto"/>
        <w:ind w:left="446"/>
        <w:rPr>
          <w:rFonts w:ascii="宋体" w:hAnsi="宋体" w:eastAsia="宋体" w:cs="宋体"/>
          <w:color w:val="auto"/>
          <w:highlight w:val="none"/>
        </w:rPr>
      </w:pPr>
      <w:r>
        <w:rPr>
          <w:rFonts w:ascii="宋体" w:hAnsi="宋体" w:eastAsia="宋体" w:cs="宋体"/>
          <w:color w:val="auto"/>
          <w:spacing w:val="6"/>
          <w:highlight w:val="none"/>
        </w:rPr>
        <w:t>(10) 推荐的中</w:t>
      </w:r>
      <w:r>
        <w:rPr>
          <w:rFonts w:ascii="宋体" w:hAnsi="宋体" w:eastAsia="宋体" w:cs="宋体"/>
          <w:color w:val="auto"/>
          <w:spacing w:val="5"/>
          <w:highlight w:val="none"/>
        </w:rPr>
        <w:t>标</w:t>
      </w:r>
      <w:r>
        <w:rPr>
          <w:rFonts w:ascii="宋体" w:hAnsi="宋体" w:eastAsia="宋体" w:cs="宋体"/>
          <w:color w:val="auto"/>
          <w:spacing w:val="3"/>
          <w:highlight w:val="none"/>
        </w:rPr>
        <w:t>候选人名单及后选人项目经理、安全员、项目技术负责人、施工员名单</w:t>
      </w:r>
    </w:p>
    <w:p>
      <w:pPr>
        <w:spacing w:before="149" w:line="352" w:lineRule="auto"/>
        <w:ind w:left="24" w:firstLine="2"/>
        <w:rPr>
          <w:rFonts w:ascii="宋体" w:hAnsi="宋体" w:eastAsia="宋体" w:cs="宋体"/>
          <w:color w:val="auto"/>
          <w:highlight w:val="none"/>
        </w:rPr>
      </w:pPr>
      <w:r>
        <w:rPr>
          <w:rFonts w:ascii="宋体" w:hAnsi="宋体" w:eastAsia="宋体" w:cs="宋体"/>
          <w:color w:val="auto"/>
          <w:spacing w:val="-2"/>
          <w:highlight w:val="none"/>
        </w:rPr>
        <w:t>(如果第二章“投标人须知”前附表授权评标委员会直接确</w:t>
      </w:r>
      <w:r>
        <w:rPr>
          <w:rFonts w:ascii="宋体" w:hAnsi="宋体" w:eastAsia="宋体" w:cs="宋体"/>
          <w:color w:val="auto"/>
          <w:spacing w:val="-1"/>
          <w:highlight w:val="none"/>
        </w:rPr>
        <w:t>定中标人， 则为“确定的中标人”)</w:t>
      </w:r>
      <w:r>
        <w:rPr>
          <w:rFonts w:ascii="宋体" w:hAnsi="宋体" w:eastAsia="宋体" w:cs="宋体"/>
          <w:color w:val="auto"/>
          <w:highlight w:val="none"/>
        </w:rPr>
        <w:t xml:space="preserve"> </w:t>
      </w:r>
      <w:r>
        <w:rPr>
          <w:rFonts w:ascii="宋体" w:hAnsi="宋体" w:eastAsia="宋体" w:cs="宋体"/>
          <w:color w:val="auto"/>
          <w:spacing w:val="-4"/>
          <w:highlight w:val="none"/>
        </w:rPr>
        <w:t>与签订合</w:t>
      </w:r>
      <w:r>
        <w:rPr>
          <w:rFonts w:ascii="宋体" w:hAnsi="宋体" w:eastAsia="宋体" w:cs="宋体"/>
          <w:color w:val="auto"/>
          <w:spacing w:val="-2"/>
          <w:highlight w:val="none"/>
        </w:rPr>
        <w:t>同前要处理的事宜；</w:t>
      </w:r>
    </w:p>
    <w:p>
      <w:pPr>
        <w:spacing w:before="1" w:line="220" w:lineRule="auto"/>
        <w:ind w:left="446"/>
        <w:rPr>
          <w:rFonts w:ascii="宋体" w:hAnsi="宋体" w:eastAsia="宋体" w:cs="宋体"/>
          <w:color w:val="auto"/>
          <w:highlight w:val="none"/>
        </w:rPr>
      </w:pPr>
      <w:r>
        <w:rPr>
          <w:rFonts w:ascii="宋体" w:hAnsi="宋体" w:eastAsia="宋体" w:cs="宋体"/>
          <w:color w:val="auto"/>
          <w:spacing w:val="8"/>
          <w:highlight w:val="none"/>
        </w:rPr>
        <w:t>(1</w:t>
      </w:r>
      <w:r>
        <w:rPr>
          <w:rFonts w:ascii="宋体" w:hAnsi="宋体" w:eastAsia="宋体" w:cs="宋体"/>
          <w:color w:val="auto"/>
          <w:spacing w:val="4"/>
          <w:highlight w:val="none"/>
        </w:rPr>
        <w:t>1) 澄清、说明或补正事项纪要。</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A6 特殊情况的处置程序</w:t>
      </w:r>
    </w:p>
    <w:p>
      <w:pPr>
        <w:spacing w:before="150" w:line="221" w:lineRule="auto"/>
        <w:ind w:left="433"/>
        <w:rPr>
          <w:rFonts w:ascii="宋体" w:hAnsi="宋体" w:eastAsia="宋体" w:cs="宋体"/>
          <w:color w:val="auto"/>
          <w:highlight w:val="none"/>
        </w:rPr>
      </w:pPr>
      <w:r>
        <w:rPr>
          <w:rFonts w:ascii="宋体" w:hAnsi="宋体" w:eastAsia="宋体" w:cs="宋体"/>
          <w:color w:val="auto"/>
          <w:highlight w:val="none"/>
        </w:rPr>
        <w:t>A</w:t>
      </w:r>
      <w:r>
        <w:rPr>
          <w:rFonts w:ascii="宋体" w:hAnsi="宋体" w:eastAsia="宋体" w:cs="宋体"/>
          <w:color w:val="auto"/>
          <w:spacing w:val="1"/>
          <w:highlight w:val="none"/>
        </w:rPr>
        <w:t>6</w:t>
      </w:r>
      <w:r>
        <w:rPr>
          <w:rFonts w:ascii="宋体" w:hAnsi="宋体" w:eastAsia="宋体" w:cs="宋体"/>
          <w:color w:val="auto"/>
          <w:highlight w:val="none"/>
        </w:rPr>
        <w:t>.1 关于评标活动暂停</w:t>
      </w:r>
    </w:p>
    <w:p>
      <w:pPr>
        <w:spacing w:before="150" w:line="351" w:lineRule="auto"/>
        <w:ind w:left="22" w:right="93" w:firstLine="411"/>
        <w:rPr>
          <w:rFonts w:ascii="宋体" w:hAnsi="宋体" w:eastAsia="宋体" w:cs="宋体"/>
          <w:color w:val="auto"/>
          <w:highlight w:val="none"/>
        </w:rPr>
      </w:pPr>
      <w:r>
        <w:rPr>
          <w:rFonts w:ascii="宋体" w:hAnsi="宋体" w:eastAsia="宋体" w:cs="宋体"/>
          <w:color w:val="auto"/>
          <w:spacing w:val="-3"/>
          <w:highlight w:val="none"/>
        </w:rPr>
        <w:t>A</w:t>
      </w:r>
      <w:r>
        <w:rPr>
          <w:rFonts w:ascii="宋体" w:hAnsi="宋体" w:eastAsia="宋体" w:cs="宋体"/>
          <w:color w:val="auto"/>
          <w:spacing w:val="-6"/>
          <w:highlight w:val="none"/>
        </w:rPr>
        <w:t xml:space="preserve">6.1.1 </w:t>
      </w:r>
      <w:r>
        <w:rPr>
          <w:rFonts w:ascii="宋体" w:hAnsi="宋体" w:eastAsia="宋体" w:cs="宋体"/>
          <w:color w:val="auto"/>
          <w:spacing w:val="-3"/>
          <w:highlight w:val="none"/>
        </w:rPr>
        <w:t>评标委员会应当执行连续评标的原则， 按评标办法中规定的程序、内容、方法、标</w:t>
      </w:r>
      <w:r>
        <w:rPr>
          <w:rFonts w:ascii="宋体" w:hAnsi="宋体" w:eastAsia="宋体" w:cs="宋体"/>
          <w:color w:val="auto"/>
          <w:spacing w:val="-1"/>
          <w:highlight w:val="none"/>
        </w:rPr>
        <w:t>准完</w:t>
      </w:r>
      <w:r>
        <w:rPr>
          <w:rFonts w:ascii="宋体" w:hAnsi="宋体" w:eastAsia="宋体" w:cs="宋体"/>
          <w:color w:val="auto"/>
          <w:highlight w:val="none"/>
        </w:rPr>
        <w:t>成全部评标工作。只有发生不可抗力导致评标工作无法继续时，评标活动方可暂停。</w:t>
      </w:r>
    </w:p>
    <w:p>
      <w:pPr>
        <w:spacing w:before="1" w:line="219" w:lineRule="auto"/>
        <w:ind w:left="433"/>
        <w:rPr>
          <w:rFonts w:ascii="宋体" w:hAnsi="宋体" w:eastAsia="宋体" w:cs="宋体"/>
          <w:color w:val="auto"/>
          <w:highlight w:val="none"/>
        </w:rPr>
      </w:pPr>
      <w:r>
        <w:rPr>
          <w:rFonts w:ascii="宋体" w:hAnsi="宋体" w:eastAsia="宋体" w:cs="宋体"/>
          <w:color w:val="auto"/>
          <w:spacing w:val="-3"/>
          <w:highlight w:val="none"/>
        </w:rPr>
        <w:t>A</w:t>
      </w:r>
      <w:r>
        <w:rPr>
          <w:rFonts w:ascii="宋体" w:hAnsi="宋体" w:eastAsia="宋体" w:cs="宋体"/>
          <w:color w:val="auto"/>
          <w:spacing w:val="-6"/>
          <w:highlight w:val="none"/>
        </w:rPr>
        <w:t>6.1.2</w:t>
      </w:r>
      <w:r>
        <w:rPr>
          <w:rFonts w:ascii="宋体" w:hAnsi="宋体" w:eastAsia="宋体" w:cs="宋体"/>
          <w:color w:val="auto"/>
          <w:spacing w:val="-5"/>
          <w:highlight w:val="none"/>
        </w:rPr>
        <w:t xml:space="preserve"> </w:t>
      </w:r>
      <w:r>
        <w:rPr>
          <w:rFonts w:ascii="宋体" w:hAnsi="宋体" w:eastAsia="宋体" w:cs="宋体"/>
          <w:color w:val="auto"/>
          <w:spacing w:val="-3"/>
          <w:highlight w:val="none"/>
        </w:rPr>
        <w:t>发生评标暂停情况时， 评标委员会应当封存全部投标文件和评标记录，待不可抗力</w:t>
      </w:r>
      <w:r>
        <w:rPr>
          <w:rFonts w:ascii="宋体" w:hAnsi="宋体" w:eastAsia="宋体" w:cs="宋体"/>
          <w:color w:val="auto"/>
          <w:spacing w:val="-2"/>
          <w:highlight w:val="none"/>
        </w:rPr>
        <w:t>的影响结束</w:t>
      </w:r>
    </w:p>
    <w:p>
      <w:pPr>
        <w:spacing w:before="68" w:line="220" w:lineRule="auto"/>
        <w:rPr>
          <w:rFonts w:ascii="宋体" w:hAnsi="宋体" w:eastAsia="宋体" w:cs="宋体"/>
          <w:color w:val="auto"/>
          <w:highlight w:val="none"/>
        </w:rPr>
      </w:pPr>
      <w:r>
        <w:rPr>
          <w:rFonts w:ascii="宋体" w:hAnsi="宋体" w:eastAsia="宋体" w:cs="宋体"/>
          <w:color w:val="auto"/>
          <w:spacing w:val="-1"/>
          <w:highlight w:val="none"/>
        </w:rPr>
        <w:t>且具备继续评标的条件时，由原评标委员会继续评标。</w:t>
      </w:r>
    </w:p>
    <w:p>
      <w:pPr>
        <w:spacing w:before="150" w:line="220" w:lineRule="auto"/>
        <w:ind w:left="433"/>
        <w:rPr>
          <w:rFonts w:ascii="宋体" w:hAnsi="宋体" w:eastAsia="宋体" w:cs="宋体"/>
          <w:color w:val="auto"/>
          <w:highlight w:val="none"/>
        </w:rPr>
      </w:pPr>
      <w:r>
        <w:rPr>
          <w:rFonts w:ascii="宋体" w:hAnsi="宋体" w:eastAsia="宋体" w:cs="宋体"/>
          <w:color w:val="auto"/>
          <w:highlight w:val="none"/>
        </w:rPr>
        <w:t>A</w:t>
      </w:r>
      <w:r>
        <w:rPr>
          <w:rFonts w:ascii="宋体" w:hAnsi="宋体" w:eastAsia="宋体" w:cs="宋体"/>
          <w:color w:val="auto"/>
          <w:spacing w:val="1"/>
          <w:highlight w:val="none"/>
        </w:rPr>
        <w:t>6</w:t>
      </w:r>
      <w:r>
        <w:rPr>
          <w:rFonts w:ascii="宋体" w:hAnsi="宋体" w:eastAsia="宋体" w:cs="宋体"/>
          <w:color w:val="auto"/>
          <w:highlight w:val="none"/>
        </w:rPr>
        <w:t>.2 关于评标中途更换评标委员会成员</w:t>
      </w:r>
    </w:p>
    <w:p>
      <w:pPr>
        <w:spacing w:before="148" w:line="220" w:lineRule="auto"/>
        <w:ind w:left="433"/>
        <w:rPr>
          <w:rFonts w:ascii="宋体" w:hAnsi="宋体" w:eastAsia="宋体" w:cs="宋体"/>
          <w:color w:val="auto"/>
          <w:highlight w:val="none"/>
        </w:rPr>
      </w:pPr>
      <w:r>
        <w:rPr>
          <w:rFonts w:ascii="宋体" w:hAnsi="宋体" w:eastAsia="宋体" w:cs="宋体"/>
          <w:color w:val="auto"/>
          <w:spacing w:val="-3"/>
          <w:highlight w:val="none"/>
        </w:rPr>
        <w:t>A</w:t>
      </w:r>
      <w:r>
        <w:rPr>
          <w:rFonts w:ascii="宋体" w:hAnsi="宋体" w:eastAsia="宋体" w:cs="宋体"/>
          <w:color w:val="auto"/>
          <w:spacing w:val="-6"/>
          <w:highlight w:val="none"/>
        </w:rPr>
        <w:t xml:space="preserve">6.2.1 </w:t>
      </w:r>
      <w:r>
        <w:rPr>
          <w:rFonts w:ascii="宋体" w:hAnsi="宋体" w:eastAsia="宋体" w:cs="宋体"/>
          <w:color w:val="auto"/>
          <w:spacing w:val="-4"/>
          <w:highlight w:val="none"/>
        </w:rPr>
        <w:t>除</w:t>
      </w:r>
      <w:r>
        <w:rPr>
          <w:rFonts w:ascii="宋体" w:hAnsi="宋体" w:eastAsia="宋体" w:cs="宋体"/>
          <w:color w:val="auto"/>
          <w:spacing w:val="-3"/>
          <w:highlight w:val="none"/>
        </w:rPr>
        <w:t>非发生下列情况之一， 评标委员会成员不得在评标中途更换：</w:t>
      </w:r>
    </w:p>
    <w:p>
      <w:pPr>
        <w:spacing w:before="150" w:line="221" w:lineRule="auto"/>
        <w:ind w:left="446"/>
        <w:rPr>
          <w:rFonts w:ascii="宋体" w:hAnsi="宋体" w:eastAsia="宋体" w:cs="宋体"/>
          <w:color w:val="auto"/>
          <w:highlight w:val="none"/>
        </w:rPr>
      </w:pPr>
      <w:r>
        <w:rPr>
          <w:rFonts w:ascii="宋体" w:hAnsi="宋体" w:eastAsia="宋体" w:cs="宋体"/>
          <w:color w:val="auto"/>
          <w:spacing w:val="4"/>
          <w:highlight w:val="none"/>
        </w:rPr>
        <w:t>(1) 因不可</w:t>
      </w:r>
      <w:r>
        <w:rPr>
          <w:rFonts w:ascii="宋体" w:hAnsi="宋体" w:eastAsia="宋体" w:cs="宋体"/>
          <w:color w:val="auto"/>
          <w:spacing w:val="2"/>
          <w:highlight w:val="none"/>
        </w:rPr>
        <w:t>抗拒的客观原因，不能到场或需在评标中途退出评标活动。</w:t>
      </w:r>
    </w:p>
    <w:p>
      <w:pPr>
        <w:spacing w:before="149" w:line="221" w:lineRule="auto"/>
        <w:ind w:left="446"/>
        <w:rPr>
          <w:rFonts w:ascii="宋体" w:hAnsi="宋体" w:eastAsia="宋体" w:cs="宋体"/>
          <w:color w:val="auto"/>
          <w:highlight w:val="none"/>
        </w:rPr>
      </w:pPr>
      <w:r>
        <w:rPr>
          <w:rFonts w:ascii="宋体" w:hAnsi="宋体" w:eastAsia="宋体" w:cs="宋体"/>
          <w:color w:val="auto"/>
          <w:spacing w:val="4"/>
          <w:highlight w:val="none"/>
        </w:rPr>
        <w:t>(2) 根据法律法</w:t>
      </w:r>
      <w:r>
        <w:rPr>
          <w:rFonts w:ascii="宋体" w:hAnsi="宋体" w:eastAsia="宋体" w:cs="宋体"/>
          <w:color w:val="auto"/>
          <w:spacing w:val="2"/>
          <w:highlight w:val="none"/>
        </w:rPr>
        <w:t>规规定，某个或某几个评标委员会成员需要回避。</w:t>
      </w:r>
    </w:p>
    <w:p>
      <w:pPr>
        <w:spacing w:before="148" w:line="352" w:lineRule="auto"/>
        <w:ind w:left="21" w:firstLine="412"/>
        <w:rPr>
          <w:rFonts w:ascii="宋体" w:hAnsi="宋体" w:eastAsia="宋体" w:cs="宋体"/>
          <w:color w:val="auto"/>
          <w:highlight w:val="none"/>
        </w:rPr>
      </w:pPr>
      <w:r>
        <w:rPr>
          <w:rFonts w:ascii="宋体" w:hAnsi="宋体" w:eastAsia="宋体" w:cs="宋体"/>
          <w:color w:val="auto"/>
          <w:spacing w:val="-3"/>
          <w:highlight w:val="none"/>
        </w:rPr>
        <w:t>A</w:t>
      </w:r>
      <w:r>
        <w:rPr>
          <w:rFonts w:ascii="宋体" w:hAnsi="宋体" w:eastAsia="宋体" w:cs="宋体"/>
          <w:color w:val="auto"/>
          <w:spacing w:val="-6"/>
          <w:highlight w:val="none"/>
        </w:rPr>
        <w:t xml:space="preserve">6.2.2 </w:t>
      </w:r>
      <w:r>
        <w:rPr>
          <w:rFonts w:ascii="宋体" w:hAnsi="宋体" w:eastAsia="宋体" w:cs="宋体"/>
          <w:color w:val="auto"/>
          <w:spacing w:val="-3"/>
          <w:highlight w:val="none"/>
        </w:rPr>
        <w:t>退出评标的评标委员会成员， 其已完成的评标行为无效。由招标人根据本招标文件</w:t>
      </w:r>
      <w:r>
        <w:rPr>
          <w:rFonts w:ascii="宋体" w:hAnsi="宋体" w:eastAsia="宋体" w:cs="宋体"/>
          <w:color w:val="auto"/>
          <w:spacing w:val="-1"/>
          <w:highlight w:val="none"/>
        </w:rPr>
        <w:t>规定的</w:t>
      </w:r>
      <w:r>
        <w:rPr>
          <w:rFonts w:ascii="宋体" w:hAnsi="宋体" w:eastAsia="宋体" w:cs="宋体"/>
          <w:color w:val="auto"/>
          <w:highlight w:val="none"/>
        </w:rPr>
        <w:t>评标委员会成员产生方式另行确定替代者进行评标。</w:t>
      </w:r>
    </w:p>
    <w:p>
      <w:pPr>
        <w:spacing w:before="1" w:line="220" w:lineRule="auto"/>
        <w:ind w:left="433"/>
        <w:rPr>
          <w:rFonts w:ascii="宋体" w:hAnsi="宋体" w:eastAsia="宋体" w:cs="宋体"/>
          <w:color w:val="auto"/>
          <w:highlight w:val="none"/>
        </w:rPr>
      </w:pPr>
      <w:r>
        <w:rPr>
          <w:rFonts w:ascii="宋体" w:hAnsi="宋体" w:eastAsia="宋体" w:cs="宋体"/>
          <w:color w:val="auto"/>
          <w:highlight w:val="none"/>
        </w:rPr>
        <w:t>A</w:t>
      </w:r>
      <w:r>
        <w:rPr>
          <w:rFonts w:ascii="宋体" w:hAnsi="宋体" w:eastAsia="宋体" w:cs="宋体"/>
          <w:color w:val="auto"/>
          <w:spacing w:val="1"/>
          <w:highlight w:val="none"/>
        </w:rPr>
        <w:t>6</w:t>
      </w:r>
      <w:r>
        <w:rPr>
          <w:rFonts w:ascii="宋体" w:hAnsi="宋体" w:eastAsia="宋体" w:cs="宋体"/>
          <w:color w:val="auto"/>
          <w:highlight w:val="none"/>
        </w:rPr>
        <w:t>.3 记名投票</w:t>
      </w:r>
    </w:p>
    <w:p>
      <w:pPr>
        <w:spacing w:before="147" w:line="353" w:lineRule="auto"/>
        <w:ind w:left="22" w:firstLine="417"/>
        <w:rPr>
          <w:rFonts w:ascii="宋体" w:hAnsi="宋体" w:eastAsia="宋体" w:cs="宋体"/>
          <w:color w:val="auto"/>
          <w:highlight w:val="none"/>
        </w:rPr>
      </w:pPr>
      <w:r>
        <w:rPr>
          <w:rFonts w:ascii="宋体" w:hAnsi="宋体" w:eastAsia="宋体" w:cs="宋体"/>
          <w:color w:val="auto"/>
          <w:spacing w:val="-4"/>
          <w:highlight w:val="none"/>
        </w:rPr>
        <w:t>在任何评标环节中， 需评标委员会就某项定性的评审结论做出表决的， 由评标委员会</w:t>
      </w:r>
      <w:r>
        <w:rPr>
          <w:rFonts w:ascii="宋体" w:hAnsi="宋体" w:eastAsia="宋体" w:cs="宋体"/>
          <w:color w:val="auto"/>
          <w:highlight w:val="none"/>
        </w:rPr>
        <w:t>全体</w:t>
      </w:r>
      <w:r>
        <w:rPr>
          <w:rFonts w:ascii="宋体" w:hAnsi="宋体" w:eastAsia="宋体" w:cs="宋体"/>
          <w:color w:val="auto"/>
          <w:spacing w:val="-5"/>
          <w:highlight w:val="none"/>
        </w:rPr>
        <w:t>成员按照少数服从多数的原则， 以记名投票方式表决。</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A7 补充条款</w:t>
      </w:r>
    </w:p>
    <w:p>
      <w:pPr>
        <w:spacing w:before="150" w:line="355" w:lineRule="auto"/>
        <w:ind w:left="19" w:firstLine="420"/>
        <w:rPr>
          <w:color w:val="auto"/>
          <w:highlight w:val="none"/>
        </w:rPr>
        <w:sectPr>
          <w:footerReference r:id="rId10" w:type="default"/>
          <w:pgSz w:w="11907" w:h="16839"/>
          <w:pgMar w:top="1440" w:right="1080" w:bottom="1440" w:left="1080" w:header="0" w:footer="1037" w:gutter="0"/>
          <w:cols w:space="720" w:num="1"/>
        </w:sectPr>
      </w:pPr>
      <w:r>
        <w:rPr>
          <w:rFonts w:ascii="宋体" w:hAnsi="宋体" w:eastAsia="宋体" w:cs="宋体"/>
          <w:color w:val="auto"/>
          <w:spacing w:val="2"/>
          <w:highlight w:val="none"/>
        </w:rPr>
        <w:t>根据《评标委员会和评标方法暂</w:t>
      </w:r>
      <w:r>
        <w:rPr>
          <w:rFonts w:ascii="宋体" w:hAnsi="宋体" w:eastAsia="宋体" w:cs="宋体"/>
          <w:color w:val="auto"/>
          <w:spacing w:val="1"/>
          <w:highlight w:val="none"/>
        </w:rPr>
        <w:t>行规定》《评标专家和评标专家库管理暂行办法》等相关</w:t>
      </w:r>
      <w:r>
        <w:rPr>
          <w:rFonts w:ascii="宋体" w:hAnsi="宋体" w:eastAsia="宋体" w:cs="宋体"/>
          <w:color w:val="auto"/>
          <w:highlight w:val="none"/>
        </w:rPr>
        <w:t xml:space="preserve"> </w:t>
      </w:r>
      <w:r>
        <w:rPr>
          <w:rFonts w:ascii="宋体" w:hAnsi="宋体" w:eastAsia="宋体" w:cs="宋体"/>
          <w:color w:val="auto"/>
          <w:spacing w:val="2"/>
          <w:highlight w:val="none"/>
        </w:rPr>
        <w:t>规定，评标委员会不</w:t>
      </w:r>
      <w:r>
        <w:rPr>
          <w:rFonts w:ascii="宋体" w:hAnsi="宋体" w:eastAsia="宋体" w:cs="宋体"/>
          <w:color w:val="auto"/>
          <w:spacing w:val="1"/>
          <w:highlight w:val="none"/>
        </w:rPr>
        <w:t>得透露对投标文件的评审和比较、中标候选人的推荐情况以及与评标有关</w:t>
      </w:r>
      <w:r>
        <w:rPr>
          <w:rFonts w:ascii="宋体" w:hAnsi="宋体" w:eastAsia="宋体" w:cs="宋体"/>
          <w:color w:val="auto"/>
          <w:spacing w:val="2"/>
          <w:highlight w:val="none"/>
        </w:rPr>
        <w:t>的其他情况。对评标</w:t>
      </w:r>
      <w:r>
        <w:rPr>
          <w:rFonts w:ascii="宋体" w:hAnsi="宋体" w:eastAsia="宋体" w:cs="宋体"/>
          <w:color w:val="auto"/>
          <w:spacing w:val="1"/>
          <w:highlight w:val="none"/>
        </w:rPr>
        <w:t>结论持有异议的评标委员会成员可以书面方式阐述其不同意见和理由。评</w:t>
      </w:r>
      <w:r>
        <w:rPr>
          <w:rFonts w:ascii="宋体" w:hAnsi="宋体" w:eastAsia="宋体" w:cs="宋体"/>
          <w:color w:val="auto"/>
          <w:highlight w:val="none"/>
        </w:rPr>
        <w:t xml:space="preserve"> </w:t>
      </w:r>
      <w:r>
        <w:rPr>
          <w:rFonts w:ascii="宋体" w:hAnsi="宋体" w:eastAsia="宋体" w:cs="宋体"/>
          <w:color w:val="auto"/>
          <w:spacing w:val="2"/>
          <w:highlight w:val="none"/>
        </w:rPr>
        <w:t>标委员会成员拒绝在</w:t>
      </w:r>
      <w:r>
        <w:rPr>
          <w:rFonts w:ascii="宋体" w:hAnsi="宋体" w:eastAsia="宋体" w:cs="宋体"/>
          <w:color w:val="auto"/>
          <w:spacing w:val="1"/>
          <w:highlight w:val="none"/>
        </w:rPr>
        <w:t>评标报告上签字且不陈述其不同意见和理由的，视为同意评标结论；评标</w:t>
      </w:r>
      <w:r>
        <w:rPr>
          <w:rFonts w:ascii="宋体" w:hAnsi="宋体" w:eastAsia="宋体" w:cs="宋体"/>
          <w:color w:val="auto"/>
          <w:spacing w:val="-1"/>
          <w:highlight w:val="none"/>
        </w:rPr>
        <w:t>委员会</w:t>
      </w:r>
      <w:r>
        <w:rPr>
          <w:rFonts w:ascii="宋体" w:hAnsi="宋体" w:eastAsia="宋体" w:cs="宋体"/>
          <w:color w:val="auto"/>
          <w:highlight w:val="none"/>
        </w:rPr>
        <w:t>应当对此作出书面说明并记录在案。</w:t>
      </w:r>
    </w:p>
    <w:p>
      <w:pPr>
        <w:spacing w:line="256" w:lineRule="auto"/>
        <w:rPr>
          <w:color w:val="auto"/>
          <w:highlight w:val="none"/>
        </w:rPr>
      </w:pPr>
    </w:p>
    <w:p>
      <w:pPr>
        <w:spacing w:before="91" w:line="219" w:lineRule="auto"/>
        <w:ind w:left="3009"/>
        <w:outlineLvl w:val="0"/>
        <w:rPr>
          <w:rFonts w:ascii="宋体" w:hAnsi="宋体" w:eastAsia="宋体" w:cs="宋体"/>
          <w:color w:val="auto"/>
          <w:sz w:val="28"/>
          <w:szCs w:val="28"/>
          <w:highlight w:val="none"/>
        </w:rPr>
      </w:pPr>
      <w:bookmarkStart w:id="19" w:name="_Toc27678"/>
      <w:bookmarkStart w:id="20" w:name="_Toc26488"/>
      <w:r>
        <w:rPr>
          <w:rFonts w:ascii="宋体" w:hAnsi="宋体" w:eastAsia="宋体" w:cs="宋体"/>
          <w:color w:val="auto"/>
          <w:spacing w:val="-14"/>
          <w:sz w:val="28"/>
          <w:szCs w:val="28"/>
          <w:highlight w:val="none"/>
          <w14:textOutline w14:w="5092" w14:cap="flat" w14:cmpd="sng" w14:algn="ctr">
            <w14:solidFill>
              <w14:srgbClr w14:val="000000"/>
            </w14:solidFill>
            <w14:prstDash w14:val="solid"/>
            <w14:miter w14:val="0"/>
          </w14:textOutline>
        </w:rPr>
        <w:t>附</w:t>
      </w:r>
      <w:r>
        <w:rPr>
          <w:rFonts w:ascii="宋体" w:hAnsi="宋体" w:eastAsia="宋体" w:cs="宋体"/>
          <w:color w:val="auto"/>
          <w:spacing w:val="-9"/>
          <w:sz w:val="28"/>
          <w:szCs w:val="28"/>
          <w:highlight w:val="none"/>
          <w14:textOutline w14:w="5092" w14:cap="flat" w14:cmpd="sng" w14:algn="ctr">
            <w14:solidFill>
              <w14:srgbClr w14:val="000000"/>
            </w14:solidFill>
            <w14:prstDash w14:val="solid"/>
            <w14:miter w14:val="0"/>
          </w14:textOutline>
        </w:rPr>
        <w:t>件</w:t>
      </w:r>
      <w:r>
        <w:rPr>
          <w:rFonts w:ascii="宋体" w:hAnsi="宋体" w:eastAsia="宋体" w:cs="宋体"/>
          <w:color w:val="auto"/>
          <w:spacing w:val="-9"/>
          <w:sz w:val="28"/>
          <w:szCs w:val="28"/>
          <w:highlight w:val="none"/>
        </w:rPr>
        <w:t xml:space="preserve"> </w:t>
      </w:r>
      <w:r>
        <w:rPr>
          <w:rFonts w:ascii="宋体" w:hAnsi="宋体" w:eastAsia="宋体" w:cs="宋体"/>
          <w:color w:val="auto"/>
          <w:spacing w:val="-9"/>
          <w:sz w:val="28"/>
          <w:szCs w:val="28"/>
          <w:highlight w:val="none"/>
          <w14:textOutline w14:w="5092" w14:cap="flat" w14:cmpd="sng" w14:algn="ctr">
            <w14:solidFill>
              <w14:srgbClr w14:val="000000"/>
            </w14:solidFill>
            <w14:prstDash w14:val="solid"/>
            <w14:miter w14:val="0"/>
          </w14:textOutline>
        </w:rPr>
        <w:t>B：否决投标条件</w:t>
      </w:r>
      <w:bookmarkEnd w:id="19"/>
      <w:bookmarkEnd w:id="20"/>
    </w:p>
    <w:p>
      <w:pPr>
        <w:spacing w:line="386" w:lineRule="auto"/>
        <w:rPr>
          <w:color w:val="auto"/>
          <w:highlight w:val="none"/>
        </w:rPr>
      </w:pP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B0 总  则</w:t>
      </w:r>
    </w:p>
    <w:p>
      <w:pPr>
        <w:spacing w:before="147" w:line="352" w:lineRule="auto"/>
        <w:ind w:left="20" w:right="46" w:firstLine="420"/>
        <w:rPr>
          <w:rFonts w:ascii="宋体" w:hAnsi="宋体" w:eastAsia="宋体" w:cs="宋体"/>
          <w:color w:val="auto"/>
          <w:highlight w:val="none"/>
        </w:rPr>
      </w:pPr>
      <w:r>
        <w:rPr>
          <w:rFonts w:ascii="宋体" w:hAnsi="宋体" w:eastAsia="宋体" w:cs="宋体"/>
          <w:color w:val="auto"/>
          <w:spacing w:val="-2"/>
          <w:highlight w:val="none"/>
        </w:rPr>
        <w:t>本附件所集中列示的</w:t>
      </w:r>
      <w:r>
        <w:rPr>
          <w:rFonts w:ascii="宋体" w:hAnsi="宋体" w:eastAsia="宋体" w:cs="宋体"/>
          <w:color w:val="auto"/>
          <w:spacing w:val="-1"/>
          <w:highlight w:val="none"/>
        </w:rPr>
        <w:t>否决投标条件，是本章“评标办法”的组成部分， 是对第二章“投标</w:t>
      </w:r>
      <w:r>
        <w:rPr>
          <w:rFonts w:ascii="宋体" w:hAnsi="宋体" w:eastAsia="宋体" w:cs="宋体"/>
          <w:color w:val="auto"/>
          <w:highlight w:val="none"/>
        </w:rPr>
        <w:t xml:space="preserve"> </w:t>
      </w:r>
      <w:r>
        <w:rPr>
          <w:rFonts w:ascii="宋体" w:hAnsi="宋体" w:eastAsia="宋体" w:cs="宋体"/>
          <w:color w:val="auto"/>
          <w:spacing w:val="2"/>
          <w:highlight w:val="none"/>
        </w:rPr>
        <w:t>人须知”和本章正</w:t>
      </w:r>
      <w:r>
        <w:rPr>
          <w:rFonts w:ascii="宋体" w:hAnsi="宋体" w:eastAsia="宋体" w:cs="宋体"/>
          <w:color w:val="auto"/>
          <w:spacing w:val="1"/>
          <w:highlight w:val="none"/>
        </w:rPr>
        <w:t>文部分所规定的否决投标条件的总结和补充，如果出现相互矛盾的情况，以</w:t>
      </w:r>
      <w:r>
        <w:rPr>
          <w:rFonts w:ascii="宋体" w:hAnsi="宋体" w:eastAsia="宋体" w:cs="宋体"/>
          <w:color w:val="auto"/>
          <w:highlight w:val="none"/>
        </w:rPr>
        <w:t xml:space="preserve"> </w:t>
      </w:r>
      <w:r>
        <w:rPr>
          <w:rFonts w:ascii="宋体" w:hAnsi="宋体" w:eastAsia="宋体" w:cs="宋体"/>
          <w:color w:val="auto"/>
          <w:spacing w:val="-1"/>
          <w:highlight w:val="none"/>
        </w:rPr>
        <w:t>第二章</w:t>
      </w:r>
      <w:r>
        <w:rPr>
          <w:rFonts w:ascii="宋体" w:hAnsi="宋体" w:eastAsia="宋体" w:cs="宋体"/>
          <w:color w:val="auto"/>
          <w:highlight w:val="none"/>
        </w:rPr>
        <w:t>“投标人须知”和本章正文部分的规定为准。</w:t>
      </w:r>
    </w:p>
    <w:p>
      <w:pPr>
        <w:spacing w:before="115" w:line="360" w:lineRule="auto"/>
        <w:ind w:firstLine="410" w:firstLineChars="200"/>
        <w:rPr>
          <w:rFonts w:ascii="宋体" w:hAnsi="宋体" w:eastAsia="宋体" w:cs="宋体"/>
          <w:b/>
          <w:bCs/>
          <w:color w:val="auto"/>
          <w:spacing w:val="-3"/>
          <w:highlight w:val="none"/>
        </w:rPr>
      </w:pPr>
      <w:r>
        <w:rPr>
          <w:rFonts w:hint="eastAsia" w:ascii="宋体" w:hAnsi="宋体" w:eastAsia="宋体" w:cs="宋体"/>
          <w:b/>
          <w:bCs/>
          <w:color w:val="auto"/>
          <w:spacing w:val="-3"/>
          <w:highlight w:val="none"/>
        </w:rPr>
        <w:t>B1 否决投标条件</w:t>
      </w:r>
    </w:p>
    <w:p>
      <w:pPr>
        <w:spacing w:before="149" w:line="399" w:lineRule="exact"/>
        <w:ind w:left="442"/>
        <w:rPr>
          <w:rFonts w:ascii="宋体" w:hAnsi="宋体" w:eastAsia="宋体" w:cs="宋体"/>
          <w:color w:val="auto"/>
          <w:highlight w:val="none"/>
        </w:rPr>
      </w:pPr>
      <w:r>
        <w:rPr>
          <w:rFonts w:ascii="宋体" w:hAnsi="宋体" w:eastAsia="宋体" w:cs="宋体"/>
          <w:color w:val="auto"/>
          <w:spacing w:val="-8"/>
          <w:position w:val="14"/>
          <w:highlight w:val="none"/>
        </w:rPr>
        <w:t>投标人</w:t>
      </w:r>
      <w:r>
        <w:rPr>
          <w:rFonts w:ascii="宋体" w:hAnsi="宋体" w:eastAsia="宋体" w:cs="宋体"/>
          <w:color w:val="auto"/>
          <w:spacing w:val="-6"/>
          <w:position w:val="14"/>
          <w:highlight w:val="none"/>
        </w:rPr>
        <w:t>或</w:t>
      </w:r>
      <w:r>
        <w:rPr>
          <w:rFonts w:ascii="宋体" w:hAnsi="宋体" w:eastAsia="宋体" w:cs="宋体"/>
          <w:color w:val="auto"/>
          <w:spacing w:val="-4"/>
          <w:position w:val="14"/>
          <w:highlight w:val="none"/>
        </w:rPr>
        <w:t>其投标文件有下列情形之一的， 其投标作否决投标处理：</w:t>
      </w:r>
    </w:p>
    <w:p>
      <w:pPr>
        <w:spacing w:before="1" w:line="219" w:lineRule="auto"/>
        <w:ind w:left="435"/>
        <w:rPr>
          <w:rFonts w:ascii="宋体" w:hAnsi="宋体" w:eastAsia="宋体" w:cs="宋体"/>
          <w:color w:val="auto"/>
          <w:highlight w:val="none"/>
        </w:rPr>
      </w:pPr>
      <w:r>
        <w:rPr>
          <w:rFonts w:ascii="宋体" w:hAnsi="宋体" w:eastAsia="宋体" w:cs="宋体"/>
          <w:color w:val="auto"/>
          <w:spacing w:val="-5"/>
          <w:highlight w:val="none"/>
        </w:rPr>
        <w:t>B</w:t>
      </w:r>
      <w:r>
        <w:rPr>
          <w:rFonts w:ascii="宋体" w:hAnsi="宋体" w:eastAsia="宋体" w:cs="宋体"/>
          <w:color w:val="auto"/>
          <w:spacing w:val="-6"/>
          <w:highlight w:val="none"/>
        </w:rPr>
        <w:t>1</w:t>
      </w:r>
      <w:r>
        <w:rPr>
          <w:rFonts w:ascii="宋体" w:hAnsi="宋体" w:eastAsia="宋体" w:cs="宋体"/>
          <w:color w:val="auto"/>
          <w:spacing w:val="-5"/>
          <w:highlight w:val="none"/>
        </w:rPr>
        <w:t>.1 有第二章“投标人须知”第 1.4.3 项规定的任何一种情形的；</w:t>
      </w:r>
    </w:p>
    <w:p>
      <w:pPr>
        <w:spacing w:before="150" w:line="220" w:lineRule="auto"/>
        <w:ind w:left="435"/>
        <w:rPr>
          <w:rFonts w:ascii="宋体" w:hAnsi="宋体" w:eastAsia="宋体" w:cs="宋体"/>
          <w:color w:val="auto"/>
          <w:highlight w:val="none"/>
        </w:rPr>
      </w:pPr>
      <w:r>
        <w:rPr>
          <w:rFonts w:ascii="宋体" w:hAnsi="宋体" w:eastAsia="宋体" w:cs="宋体"/>
          <w:color w:val="auto"/>
          <w:spacing w:val="-3"/>
          <w:highlight w:val="none"/>
        </w:rPr>
        <w:t>B</w:t>
      </w:r>
      <w:r>
        <w:rPr>
          <w:rFonts w:ascii="宋体" w:hAnsi="宋体" w:eastAsia="宋体" w:cs="宋体"/>
          <w:color w:val="auto"/>
          <w:spacing w:val="-6"/>
          <w:highlight w:val="none"/>
        </w:rPr>
        <w:t>1</w:t>
      </w:r>
      <w:r>
        <w:rPr>
          <w:rFonts w:ascii="宋体" w:hAnsi="宋体" w:eastAsia="宋体" w:cs="宋体"/>
          <w:color w:val="auto"/>
          <w:spacing w:val="-3"/>
          <w:highlight w:val="none"/>
        </w:rPr>
        <w:t>.2 有串通投标或弄虚作假或有其他违法行为的；</w:t>
      </w:r>
    </w:p>
    <w:p>
      <w:pPr>
        <w:spacing w:before="151" w:line="220" w:lineRule="auto"/>
        <w:ind w:left="435"/>
        <w:rPr>
          <w:rFonts w:ascii="宋体" w:hAnsi="宋体" w:eastAsia="宋体" w:cs="宋体"/>
          <w:color w:val="auto"/>
          <w:highlight w:val="none"/>
        </w:rPr>
      </w:pPr>
      <w:r>
        <w:rPr>
          <w:rFonts w:ascii="宋体" w:hAnsi="宋体" w:eastAsia="宋体" w:cs="宋体"/>
          <w:color w:val="auto"/>
          <w:spacing w:val="-2"/>
          <w:highlight w:val="none"/>
        </w:rPr>
        <w:t>B</w:t>
      </w:r>
      <w:r>
        <w:rPr>
          <w:rFonts w:ascii="宋体" w:hAnsi="宋体" w:eastAsia="宋体" w:cs="宋体"/>
          <w:color w:val="auto"/>
          <w:spacing w:val="-4"/>
          <w:highlight w:val="none"/>
        </w:rPr>
        <w:t>1.</w:t>
      </w:r>
      <w:r>
        <w:rPr>
          <w:rFonts w:ascii="宋体" w:hAnsi="宋体" w:eastAsia="宋体" w:cs="宋体"/>
          <w:color w:val="auto"/>
          <w:spacing w:val="-3"/>
          <w:highlight w:val="none"/>
        </w:rPr>
        <w:t>3</w:t>
      </w:r>
      <w:r>
        <w:rPr>
          <w:rFonts w:ascii="宋体" w:hAnsi="宋体" w:eastAsia="宋体" w:cs="宋体"/>
          <w:color w:val="auto"/>
          <w:spacing w:val="-2"/>
          <w:highlight w:val="none"/>
        </w:rPr>
        <w:t xml:space="preserve"> 不按评标委员会要求澄清、说明或补正的；</w:t>
      </w:r>
    </w:p>
    <w:p>
      <w:pPr>
        <w:spacing w:before="149" w:line="352" w:lineRule="auto"/>
        <w:ind w:left="21" w:right="47" w:firstLine="414"/>
        <w:rPr>
          <w:rFonts w:ascii="宋体" w:hAnsi="宋体" w:eastAsia="宋体" w:cs="宋体"/>
          <w:color w:val="auto"/>
          <w:highlight w:val="none"/>
        </w:rPr>
      </w:pPr>
      <w:r>
        <w:rPr>
          <w:rFonts w:ascii="宋体" w:hAnsi="宋体" w:eastAsia="宋体" w:cs="宋体"/>
          <w:color w:val="auto"/>
          <w:spacing w:val="-2"/>
          <w:highlight w:val="none"/>
        </w:rPr>
        <w:t>B</w:t>
      </w:r>
      <w:r>
        <w:rPr>
          <w:rFonts w:ascii="宋体" w:hAnsi="宋体" w:eastAsia="宋体" w:cs="宋体"/>
          <w:color w:val="auto"/>
          <w:spacing w:val="-6"/>
          <w:highlight w:val="none"/>
        </w:rPr>
        <w:t>1.4 在资格评审、形式评审、响应性评审中，评标委员会认定投标人的投标文件不符合“评</w:t>
      </w:r>
      <w:r>
        <w:rPr>
          <w:rFonts w:ascii="宋体" w:hAnsi="宋体" w:eastAsia="宋体" w:cs="宋体"/>
          <w:color w:val="auto"/>
          <w:spacing w:val="-1"/>
          <w:highlight w:val="none"/>
        </w:rPr>
        <w:t>标办法前</w:t>
      </w:r>
      <w:r>
        <w:rPr>
          <w:rFonts w:ascii="宋体" w:hAnsi="宋体" w:eastAsia="宋体" w:cs="宋体"/>
          <w:color w:val="auto"/>
          <w:highlight w:val="none"/>
        </w:rPr>
        <w:t>附表”中规定的任何一项评审标准的；</w:t>
      </w:r>
    </w:p>
    <w:p>
      <w:pPr>
        <w:spacing w:before="1" w:line="219" w:lineRule="auto"/>
        <w:ind w:left="435"/>
        <w:rPr>
          <w:rFonts w:ascii="宋体" w:hAnsi="宋体" w:eastAsia="宋体" w:cs="宋体"/>
          <w:color w:val="auto"/>
          <w:highlight w:val="none"/>
        </w:rPr>
      </w:pPr>
      <w:r>
        <w:rPr>
          <w:rFonts w:ascii="宋体" w:hAnsi="宋体" w:eastAsia="宋体" w:cs="宋体"/>
          <w:color w:val="auto"/>
          <w:spacing w:val="-5"/>
          <w:highlight w:val="none"/>
        </w:rPr>
        <w:t>B</w:t>
      </w:r>
      <w:r>
        <w:rPr>
          <w:rFonts w:ascii="宋体" w:hAnsi="宋体" w:eastAsia="宋体" w:cs="宋体"/>
          <w:color w:val="auto"/>
          <w:spacing w:val="-10"/>
          <w:highlight w:val="none"/>
        </w:rPr>
        <w:t>1.</w:t>
      </w:r>
      <w:r>
        <w:rPr>
          <w:rFonts w:ascii="宋体" w:hAnsi="宋体" w:eastAsia="宋体" w:cs="宋体"/>
          <w:color w:val="auto"/>
          <w:spacing w:val="-6"/>
          <w:highlight w:val="none"/>
        </w:rPr>
        <w:t>5</w:t>
      </w:r>
      <w:r>
        <w:rPr>
          <w:rFonts w:ascii="宋体" w:hAnsi="宋体" w:eastAsia="宋体" w:cs="宋体"/>
          <w:color w:val="auto"/>
          <w:spacing w:val="-5"/>
          <w:highlight w:val="none"/>
        </w:rPr>
        <w:t xml:space="preserve"> 不按第二章投标须知前附表第 3.1.1 条内容提供资料的；</w:t>
      </w:r>
    </w:p>
    <w:p>
      <w:pPr>
        <w:spacing w:before="149" w:line="352" w:lineRule="auto"/>
        <w:ind w:left="22" w:right="46" w:firstLine="413"/>
        <w:rPr>
          <w:rFonts w:ascii="宋体" w:hAnsi="宋体" w:eastAsia="宋体" w:cs="宋体"/>
          <w:color w:val="auto"/>
          <w:highlight w:val="none"/>
        </w:rPr>
      </w:pPr>
      <w:r>
        <w:rPr>
          <w:rFonts w:ascii="宋体" w:hAnsi="宋体" w:eastAsia="宋体" w:cs="宋体"/>
          <w:color w:val="auto"/>
          <w:spacing w:val="-3"/>
          <w:highlight w:val="none"/>
        </w:rPr>
        <w:t>B</w:t>
      </w:r>
      <w:r>
        <w:rPr>
          <w:rFonts w:ascii="宋体" w:hAnsi="宋体" w:eastAsia="宋体" w:cs="宋体"/>
          <w:color w:val="auto"/>
          <w:spacing w:val="-6"/>
          <w:highlight w:val="none"/>
        </w:rPr>
        <w:t>1.6</w:t>
      </w:r>
      <w:r>
        <w:rPr>
          <w:rFonts w:ascii="宋体" w:hAnsi="宋体" w:eastAsia="宋体" w:cs="宋体"/>
          <w:color w:val="auto"/>
          <w:spacing w:val="-5"/>
          <w:highlight w:val="none"/>
        </w:rPr>
        <w:t xml:space="preserve"> </w:t>
      </w:r>
      <w:r>
        <w:rPr>
          <w:rFonts w:ascii="宋体" w:hAnsi="宋体" w:eastAsia="宋体" w:cs="宋体"/>
          <w:color w:val="auto"/>
          <w:spacing w:val="-3"/>
          <w:highlight w:val="none"/>
        </w:rPr>
        <w:t>没有在招标文件规定的投标文件相关位置加盖投标人单位公章 (CA 签章) 、法定代表</w:t>
      </w:r>
      <w:r>
        <w:rPr>
          <w:rFonts w:ascii="宋体" w:hAnsi="宋体" w:eastAsia="宋体" w:cs="宋体"/>
          <w:color w:val="auto"/>
          <w:spacing w:val="-12"/>
          <w:highlight w:val="none"/>
        </w:rPr>
        <w:t>人或</w:t>
      </w:r>
      <w:r>
        <w:rPr>
          <w:rFonts w:ascii="宋体" w:hAnsi="宋体" w:eastAsia="宋体" w:cs="宋体"/>
          <w:color w:val="auto"/>
          <w:spacing w:val="-9"/>
          <w:highlight w:val="none"/>
        </w:rPr>
        <w:t>授</w:t>
      </w:r>
      <w:r>
        <w:rPr>
          <w:rFonts w:ascii="宋体" w:hAnsi="宋体" w:eastAsia="宋体" w:cs="宋体"/>
          <w:color w:val="auto"/>
          <w:spacing w:val="-6"/>
          <w:highlight w:val="none"/>
        </w:rPr>
        <w:t>权代理人签字或个人 CA 签章的；</w:t>
      </w:r>
    </w:p>
    <w:p>
      <w:pPr>
        <w:spacing w:before="1" w:line="220" w:lineRule="auto"/>
        <w:ind w:left="435"/>
        <w:rPr>
          <w:rFonts w:ascii="宋体" w:hAnsi="宋体" w:eastAsia="宋体" w:cs="宋体"/>
          <w:color w:val="auto"/>
          <w:highlight w:val="none"/>
        </w:rPr>
      </w:pPr>
      <w:r>
        <w:rPr>
          <w:rFonts w:ascii="宋体" w:hAnsi="宋体" w:eastAsia="宋体" w:cs="宋体"/>
          <w:color w:val="auto"/>
          <w:spacing w:val="-3"/>
          <w:highlight w:val="none"/>
        </w:rPr>
        <w:t>B</w:t>
      </w:r>
      <w:r>
        <w:rPr>
          <w:rFonts w:ascii="宋体" w:hAnsi="宋体" w:eastAsia="宋体" w:cs="宋体"/>
          <w:color w:val="auto"/>
          <w:spacing w:val="-6"/>
          <w:highlight w:val="none"/>
        </w:rPr>
        <w:t>1</w:t>
      </w:r>
      <w:r>
        <w:rPr>
          <w:rFonts w:ascii="宋体" w:hAnsi="宋体" w:eastAsia="宋体" w:cs="宋体"/>
          <w:color w:val="auto"/>
          <w:spacing w:val="-3"/>
          <w:highlight w:val="none"/>
        </w:rPr>
        <w:t>.7 投标文件的关键内容字迹模糊、辨认不清的；</w:t>
      </w:r>
    </w:p>
    <w:p>
      <w:pPr>
        <w:spacing w:before="148" w:line="352" w:lineRule="auto"/>
        <w:ind w:left="24" w:right="54" w:firstLine="410"/>
        <w:rPr>
          <w:rFonts w:ascii="宋体" w:hAnsi="宋体" w:eastAsia="宋体" w:cs="宋体"/>
          <w:color w:val="auto"/>
          <w:highlight w:val="none"/>
        </w:rPr>
      </w:pPr>
      <w:r>
        <w:rPr>
          <w:rFonts w:ascii="宋体" w:hAnsi="宋体" w:eastAsia="宋体" w:cs="宋体"/>
          <w:color w:val="auto"/>
          <w:spacing w:val="-3"/>
          <w:highlight w:val="none"/>
        </w:rPr>
        <w:t>B</w:t>
      </w:r>
      <w:r>
        <w:rPr>
          <w:rFonts w:ascii="宋体" w:hAnsi="宋体" w:eastAsia="宋体" w:cs="宋体"/>
          <w:color w:val="auto"/>
          <w:spacing w:val="-6"/>
          <w:highlight w:val="none"/>
        </w:rPr>
        <w:t>1.8 投标</w:t>
      </w:r>
      <w:r>
        <w:rPr>
          <w:rFonts w:ascii="宋体" w:hAnsi="宋体" w:eastAsia="宋体" w:cs="宋体"/>
          <w:color w:val="auto"/>
          <w:spacing w:val="-3"/>
          <w:highlight w:val="none"/>
        </w:rPr>
        <w:t>人不接受评标委员会按第三章“评标办法”第 3.1.3 条的原则对投标报价进行修</w:t>
      </w:r>
      <w:r>
        <w:rPr>
          <w:rFonts w:ascii="宋体" w:hAnsi="宋体" w:eastAsia="宋体" w:cs="宋体"/>
          <w:color w:val="auto"/>
          <w:spacing w:val="-13"/>
          <w:highlight w:val="none"/>
        </w:rPr>
        <w:t>正的；</w:t>
      </w:r>
    </w:p>
    <w:p>
      <w:pPr>
        <w:spacing w:before="2" w:line="351" w:lineRule="auto"/>
        <w:ind w:left="37" w:right="54" w:firstLine="397"/>
        <w:rPr>
          <w:rFonts w:ascii="宋体" w:hAnsi="宋体" w:eastAsia="宋体" w:cs="宋体"/>
          <w:color w:val="auto"/>
          <w:highlight w:val="none"/>
        </w:rPr>
      </w:pPr>
      <w:r>
        <w:rPr>
          <w:rFonts w:ascii="宋体" w:hAnsi="宋体" w:eastAsia="宋体" w:cs="宋体"/>
          <w:color w:val="auto"/>
          <w:spacing w:val="-1"/>
          <w:highlight w:val="none"/>
        </w:rPr>
        <w:t>B</w:t>
      </w:r>
      <w:r>
        <w:rPr>
          <w:rFonts w:ascii="宋体" w:hAnsi="宋体" w:eastAsia="宋体" w:cs="宋体"/>
          <w:color w:val="auto"/>
          <w:spacing w:val="-2"/>
          <w:highlight w:val="none"/>
        </w:rPr>
        <w:t>1.9 投标人不具</w:t>
      </w:r>
      <w:r>
        <w:rPr>
          <w:rFonts w:ascii="宋体" w:hAnsi="宋体" w:eastAsia="宋体" w:cs="宋体"/>
          <w:color w:val="auto"/>
          <w:spacing w:val="-1"/>
          <w:highlight w:val="none"/>
        </w:rPr>
        <w:t>备独立法人资格或作为独立法人资格但就本工程提交一个以上的投标文件</w:t>
      </w:r>
      <w:r>
        <w:rPr>
          <w:rFonts w:ascii="宋体" w:hAnsi="宋体" w:eastAsia="宋体" w:cs="宋体"/>
          <w:color w:val="auto"/>
          <w:spacing w:val="-13"/>
          <w:highlight w:val="none"/>
        </w:rPr>
        <w:t>的</w:t>
      </w:r>
      <w:r>
        <w:rPr>
          <w:rFonts w:ascii="宋体" w:hAnsi="宋体" w:eastAsia="宋体" w:cs="宋体"/>
          <w:color w:val="auto"/>
          <w:spacing w:val="-12"/>
          <w:highlight w:val="none"/>
        </w:rPr>
        <w:t>；</w:t>
      </w:r>
    </w:p>
    <w:p>
      <w:pPr>
        <w:spacing w:line="219" w:lineRule="auto"/>
        <w:ind w:left="435"/>
        <w:rPr>
          <w:rFonts w:ascii="宋体" w:hAnsi="宋体" w:eastAsia="宋体" w:cs="宋体"/>
          <w:color w:val="auto"/>
          <w:highlight w:val="none"/>
        </w:rPr>
      </w:pPr>
      <w:r>
        <w:rPr>
          <w:rFonts w:ascii="宋体" w:hAnsi="宋体" w:eastAsia="宋体" w:cs="宋体"/>
          <w:color w:val="auto"/>
          <w:spacing w:val="-1"/>
          <w:highlight w:val="none"/>
        </w:rPr>
        <w:t>B</w:t>
      </w:r>
      <w:r>
        <w:rPr>
          <w:rFonts w:ascii="宋体" w:hAnsi="宋体" w:eastAsia="宋体" w:cs="宋体"/>
          <w:color w:val="auto"/>
          <w:spacing w:val="-2"/>
          <w:highlight w:val="none"/>
        </w:rPr>
        <w:t>1.10 投标人没有提供建设工程项目管理承诺书的；</w:t>
      </w:r>
    </w:p>
    <w:p>
      <w:pPr>
        <w:spacing w:before="151" w:line="219" w:lineRule="auto"/>
        <w:ind w:left="435"/>
        <w:rPr>
          <w:rFonts w:ascii="宋体" w:hAnsi="宋体" w:eastAsia="宋体" w:cs="宋体"/>
          <w:color w:val="auto"/>
          <w:highlight w:val="none"/>
        </w:rPr>
      </w:pPr>
      <w:r>
        <w:rPr>
          <w:rFonts w:ascii="宋体" w:hAnsi="宋体" w:eastAsia="宋体" w:cs="宋体"/>
          <w:color w:val="auto"/>
          <w:spacing w:val="-1"/>
          <w:highlight w:val="none"/>
        </w:rPr>
        <w:t>B</w:t>
      </w:r>
      <w:r>
        <w:rPr>
          <w:rFonts w:ascii="宋体" w:hAnsi="宋体" w:eastAsia="宋体" w:cs="宋体"/>
          <w:color w:val="auto"/>
          <w:spacing w:val="-2"/>
          <w:highlight w:val="none"/>
        </w:rPr>
        <w:t>1.11 投标人采用总价优惠或</w:t>
      </w:r>
      <w:r>
        <w:rPr>
          <w:rFonts w:ascii="宋体" w:hAnsi="宋体" w:eastAsia="宋体" w:cs="宋体"/>
          <w:color w:val="auto"/>
          <w:spacing w:val="-1"/>
          <w:highlight w:val="none"/>
        </w:rPr>
        <w:t>以总价百分比优惠的方式进行投标报价的；</w:t>
      </w:r>
    </w:p>
    <w:p>
      <w:pPr>
        <w:spacing w:before="150" w:line="219" w:lineRule="auto"/>
        <w:ind w:left="435"/>
        <w:rPr>
          <w:rFonts w:ascii="宋体" w:hAnsi="宋体" w:eastAsia="宋体" w:cs="宋体"/>
          <w:color w:val="auto"/>
          <w:highlight w:val="none"/>
        </w:rPr>
      </w:pPr>
      <w:r>
        <w:rPr>
          <w:rFonts w:ascii="宋体" w:hAnsi="宋体" w:eastAsia="宋体" w:cs="宋体"/>
          <w:color w:val="auto"/>
          <w:spacing w:val="-2"/>
          <w:highlight w:val="none"/>
        </w:rPr>
        <w:t>B</w:t>
      </w:r>
      <w:r>
        <w:rPr>
          <w:rFonts w:ascii="宋体" w:hAnsi="宋体" w:eastAsia="宋体" w:cs="宋体"/>
          <w:color w:val="auto"/>
          <w:spacing w:val="-4"/>
          <w:highlight w:val="none"/>
        </w:rPr>
        <w:t>1.12 安全文</w:t>
      </w:r>
      <w:r>
        <w:rPr>
          <w:rFonts w:ascii="宋体" w:hAnsi="宋体" w:eastAsia="宋体" w:cs="宋体"/>
          <w:color w:val="auto"/>
          <w:spacing w:val="-2"/>
          <w:highlight w:val="none"/>
        </w:rPr>
        <w:t>明施工费和规费、增值税不按我区费用定额及造价管理相关文件规定报价的；</w:t>
      </w:r>
    </w:p>
    <w:p>
      <w:pPr>
        <w:spacing w:before="150" w:line="352" w:lineRule="auto"/>
        <w:ind w:left="20" w:right="49" w:firstLine="415"/>
        <w:rPr>
          <w:rFonts w:ascii="宋体" w:hAnsi="宋体" w:eastAsia="宋体" w:cs="宋体"/>
          <w:color w:val="auto"/>
          <w:highlight w:val="none"/>
        </w:rPr>
      </w:pPr>
      <w:r>
        <w:rPr>
          <w:rFonts w:ascii="宋体" w:hAnsi="宋体" w:eastAsia="宋体" w:cs="宋体"/>
          <w:color w:val="auto"/>
          <w:spacing w:val="-5"/>
          <w:highlight w:val="none"/>
        </w:rPr>
        <w:t>B</w:t>
      </w:r>
      <w:r>
        <w:rPr>
          <w:rFonts w:ascii="宋体" w:hAnsi="宋体" w:eastAsia="宋体" w:cs="宋体"/>
          <w:color w:val="auto"/>
          <w:spacing w:val="-10"/>
          <w:highlight w:val="none"/>
        </w:rPr>
        <w:t>1.1</w:t>
      </w:r>
      <w:r>
        <w:rPr>
          <w:rFonts w:ascii="宋体" w:hAnsi="宋体" w:eastAsia="宋体" w:cs="宋体"/>
          <w:color w:val="auto"/>
          <w:spacing w:val="-7"/>
          <w:highlight w:val="none"/>
        </w:rPr>
        <w:t>3</w:t>
      </w:r>
      <w:r>
        <w:rPr>
          <w:rFonts w:ascii="宋体" w:hAnsi="宋体" w:eastAsia="宋体" w:cs="宋体"/>
          <w:color w:val="auto"/>
          <w:spacing w:val="-5"/>
          <w:highlight w:val="none"/>
        </w:rPr>
        <w:t xml:space="preserve"> 评标中， 如项目编码与项目名称、项目特征不一致，以项目编码 (共 12 位) 为准；</w:t>
      </w:r>
      <w:r>
        <w:rPr>
          <w:rFonts w:ascii="宋体" w:hAnsi="宋体" w:eastAsia="宋体" w:cs="宋体"/>
          <w:color w:val="auto"/>
          <w:highlight w:val="none"/>
        </w:rPr>
        <w:t xml:space="preserve"> </w:t>
      </w:r>
      <w:r>
        <w:rPr>
          <w:rFonts w:ascii="宋体" w:hAnsi="宋体" w:eastAsia="宋体" w:cs="宋体"/>
          <w:color w:val="auto"/>
          <w:spacing w:val="2"/>
          <w:highlight w:val="none"/>
        </w:rPr>
        <w:t>如项目编码与计量</w:t>
      </w:r>
      <w:r>
        <w:rPr>
          <w:rFonts w:ascii="宋体" w:hAnsi="宋体" w:eastAsia="宋体" w:cs="宋体"/>
          <w:color w:val="auto"/>
          <w:spacing w:val="1"/>
          <w:highlight w:val="none"/>
        </w:rPr>
        <w:t>单位、工程数量无法一一对应，该清单项目作废，该清单项目的费用视为包</w:t>
      </w:r>
      <w:r>
        <w:rPr>
          <w:rFonts w:ascii="宋体" w:hAnsi="宋体" w:eastAsia="宋体" w:cs="宋体"/>
          <w:color w:val="auto"/>
          <w:spacing w:val="-2"/>
          <w:highlight w:val="none"/>
        </w:rPr>
        <w:t>含在其他清单</w:t>
      </w:r>
      <w:r>
        <w:rPr>
          <w:rFonts w:ascii="宋体" w:hAnsi="宋体" w:eastAsia="宋体" w:cs="宋体"/>
          <w:color w:val="auto"/>
          <w:spacing w:val="-1"/>
          <w:highlight w:val="none"/>
        </w:rPr>
        <w:t>中；如作废的清单项目达到 3 项以上 (含本数) 或作废的清单项目造价累计超过</w:t>
      </w:r>
      <w:r>
        <w:rPr>
          <w:rFonts w:ascii="宋体" w:hAnsi="宋体" w:eastAsia="宋体" w:cs="宋体"/>
          <w:color w:val="auto"/>
          <w:highlight w:val="none"/>
        </w:rPr>
        <w:t xml:space="preserve"> </w:t>
      </w:r>
      <w:r>
        <w:rPr>
          <w:rFonts w:ascii="宋体" w:hAnsi="宋体" w:eastAsia="宋体" w:cs="宋体"/>
          <w:color w:val="auto"/>
          <w:spacing w:val="-1"/>
          <w:highlight w:val="none"/>
        </w:rPr>
        <w:t>单位工程投标总价的2% (含本数) ，视为不响应招标文</w:t>
      </w:r>
      <w:r>
        <w:rPr>
          <w:rFonts w:ascii="宋体" w:hAnsi="宋体" w:eastAsia="宋体" w:cs="宋体"/>
          <w:color w:val="auto"/>
          <w:highlight w:val="none"/>
        </w:rPr>
        <w:t>件实质性内容；</w:t>
      </w:r>
    </w:p>
    <w:p>
      <w:pPr>
        <w:spacing w:before="1" w:line="219" w:lineRule="auto"/>
        <w:ind w:left="435"/>
        <w:rPr>
          <w:rFonts w:ascii="宋体" w:hAnsi="宋体" w:eastAsia="宋体" w:cs="宋体"/>
          <w:color w:val="auto"/>
          <w:highlight w:val="none"/>
        </w:rPr>
      </w:pPr>
      <w:r>
        <w:rPr>
          <w:rFonts w:ascii="宋体" w:hAnsi="宋体" w:eastAsia="宋体" w:cs="宋体"/>
          <w:color w:val="auto"/>
          <w:spacing w:val="-1"/>
          <w:highlight w:val="none"/>
        </w:rPr>
        <w:t>B</w:t>
      </w:r>
      <w:r>
        <w:rPr>
          <w:rFonts w:ascii="宋体" w:hAnsi="宋体" w:eastAsia="宋体" w:cs="宋体"/>
          <w:color w:val="auto"/>
          <w:spacing w:val="-2"/>
          <w:highlight w:val="none"/>
        </w:rPr>
        <w:t>1.14 投标函中的报价与已标价的工程</w:t>
      </w:r>
      <w:r>
        <w:rPr>
          <w:rFonts w:ascii="宋体" w:hAnsi="宋体" w:eastAsia="宋体" w:cs="宋体"/>
          <w:color w:val="auto"/>
          <w:spacing w:val="-1"/>
          <w:highlight w:val="none"/>
        </w:rPr>
        <w:t>量清单汇总表不一致的；</w:t>
      </w:r>
    </w:p>
    <w:p>
      <w:pPr>
        <w:spacing w:before="150" w:line="352" w:lineRule="auto"/>
        <w:ind w:left="20" w:right="46" w:firstLine="415"/>
        <w:rPr>
          <w:rFonts w:ascii="宋体" w:hAnsi="宋体" w:eastAsia="宋体" w:cs="宋体"/>
          <w:color w:val="auto"/>
          <w:highlight w:val="none"/>
        </w:rPr>
      </w:pPr>
      <w:r>
        <w:rPr>
          <w:rFonts w:ascii="宋体" w:hAnsi="宋体" w:eastAsia="宋体" w:cs="宋体"/>
          <w:color w:val="auto"/>
          <w:spacing w:val="-5"/>
          <w:highlight w:val="none"/>
        </w:rPr>
        <w:t>B</w:t>
      </w:r>
      <w:r>
        <w:rPr>
          <w:rFonts w:ascii="宋体" w:hAnsi="宋体" w:eastAsia="宋体" w:cs="宋体"/>
          <w:color w:val="auto"/>
          <w:spacing w:val="-10"/>
          <w:highlight w:val="none"/>
        </w:rPr>
        <w:t>1.15 设</w:t>
      </w:r>
      <w:r>
        <w:rPr>
          <w:rFonts w:ascii="宋体" w:hAnsi="宋体" w:eastAsia="宋体" w:cs="宋体"/>
          <w:color w:val="auto"/>
          <w:spacing w:val="-9"/>
          <w:highlight w:val="none"/>
        </w:rPr>
        <w:t>有</w:t>
      </w:r>
      <w:r>
        <w:rPr>
          <w:rFonts w:ascii="宋体" w:hAnsi="宋体" w:eastAsia="宋体" w:cs="宋体"/>
          <w:color w:val="auto"/>
          <w:spacing w:val="-5"/>
          <w:highlight w:val="none"/>
        </w:rPr>
        <w:t>暂估价、暂列金额的， 投标时未按招标人工程量清单给出的暂估价总价、暂列金</w:t>
      </w:r>
      <w:r>
        <w:rPr>
          <w:rFonts w:ascii="宋体" w:hAnsi="宋体" w:eastAsia="宋体" w:cs="宋体"/>
          <w:color w:val="auto"/>
          <w:spacing w:val="-4"/>
          <w:highlight w:val="none"/>
        </w:rPr>
        <w:t>额</w:t>
      </w:r>
      <w:r>
        <w:rPr>
          <w:rFonts w:ascii="宋体" w:hAnsi="宋体" w:eastAsia="宋体" w:cs="宋体"/>
          <w:color w:val="auto"/>
          <w:spacing w:val="-3"/>
          <w:highlight w:val="none"/>
        </w:rPr>
        <w:t>总</w:t>
      </w:r>
      <w:r>
        <w:rPr>
          <w:rFonts w:ascii="宋体" w:hAnsi="宋体" w:eastAsia="宋体" w:cs="宋体"/>
          <w:color w:val="auto"/>
          <w:spacing w:val="-2"/>
          <w:highlight w:val="none"/>
        </w:rPr>
        <w:t>价计入投标总报价中的；</w:t>
      </w:r>
    </w:p>
    <w:p>
      <w:pPr>
        <w:spacing w:before="1" w:line="220" w:lineRule="auto"/>
        <w:ind w:left="435"/>
        <w:rPr>
          <w:rFonts w:ascii="宋体" w:hAnsi="宋体" w:eastAsia="宋体" w:cs="宋体"/>
          <w:color w:val="auto"/>
          <w:highlight w:val="none"/>
        </w:rPr>
      </w:pPr>
      <w:r>
        <w:rPr>
          <w:rFonts w:ascii="宋体" w:hAnsi="宋体" w:eastAsia="宋体" w:cs="宋体"/>
          <w:color w:val="auto"/>
          <w:spacing w:val="-1"/>
          <w:highlight w:val="none"/>
        </w:rPr>
        <w:t>B</w:t>
      </w:r>
      <w:r>
        <w:rPr>
          <w:rFonts w:ascii="宋体" w:hAnsi="宋体" w:eastAsia="宋体" w:cs="宋体"/>
          <w:color w:val="auto"/>
          <w:spacing w:val="-2"/>
          <w:highlight w:val="none"/>
        </w:rPr>
        <w:t>1.16 投标文件实质上没有响应招标文件的要求的；</w:t>
      </w:r>
    </w:p>
    <w:p>
      <w:pPr>
        <w:spacing w:before="148" w:line="352" w:lineRule="auto"/>
        <w:ind w:left="20" w:right="52" w:firstLine="415"/>
        <w:rPr>
          <w:rFonts w:ascii="宋体" w:hAnsi="宋体" w:eastAsia="宋体" w:cs="宋体"/>
          <w:color w:val="auto"/>
          <w:highlight w:val="none"/>
        </w:rPr>
      </w:pPr>
      <w:r>
        <w:rPr>
          <w:rFonts w:ascii="宋体" w:hAnsi="宋体" w:eastAsia="宋体" w:cs="宋体"/>
          <w:color w:val="auto"/>
          <w:highlight w:val="none"/>
        </w:rPr>
        <w:t>B</w:t>
      </w:r>
      <w:r>
        <w:rPr>
          <w:rFonts w:ascii="宋体" w:hAnsi="宋体" w:eastAsia="宋体" w:cs="宋体"/>
          <w:color w:val="auto"/>
          <w:spacing w:val="12"/>
          <w:highlight w:val="none"/>
        </w:rPr>
        <w:t>1.</w:t>
      </w:r>
      <w:r>
        <w:rPr>
          <w:rFonts w:ascii="宋体" w:hAnsi="宋体" w:eastAsia="宋体" w:cs="宋体"/>
          <w:color w:val="auto"/>
          <w:spacing w:val="8"/>
          <w:highlight w:val="none"/>
        </w:rPr>
        <w:t>1</w:t>
      </w:r>
      <w:r>
        <w:rPr>
          <w:rFonts w:ascii="宋体" w:hAnsi="宋体" w:eastAsia="宋体" w:cs="宋体"/>
          <w:color w:val="auto"/>
          <w:spacing w:val="6"/>
          <w:highlight w:val="none"/>
        </w:rPr>
        <w:t>7 (1)投标人拟投入本工程的项目经理在在建项目中任项目经理的(符合法规规定的</w:t>
      </w:r>
      <w:r>
        <w:rPr>
          <w:rFonts w:ascii="宋体" w:hAnsi="宋体" w:eastAsia="宋体" w:cs="宋体"/>
          <w:color w:val="auto"/>
          <w:spacing w:val="-12"/>
          <w:highlight w:val="none"/>
        </w:rPr>
        <w:t>特殊情况和</w:t>
      </w:r>
      <w:r>
        <w:rPr>
          <w:rFonts w:ascii="宋体" w:hAnsi="宋体" w:eastAsia="宋体" w:cs="宋体"/>
          <w:color w:val="auto"/>
          <w:spacing w:val="-6"/>
          <w:highlight w:val="none"/>
        </w:rPr>
        <w:t>桂建管﹝ 2013 ﹞ 17 号文要求的除外) 或无有效安全生产考核合格证(B 类) 的；</w:t>
      </w:r>
    </w:p>
    <w:p>
      <w:pPr>
        <w:spacing w:before="1" w:line="219" w:lineRule="auto"/>
        <w:ind w:left="446"/>
        <w:rPr>
          <w:color w:val="auto"/>
          <w:highlight w:val="none"/>
        </w:rPr>
        <w:sectPr>
          <w:footerReference r:id="rId11" w:type="default"/>
          <w:pgSz w:w="11907" w:h="16839"/>
          <w:pgMar w:top="1440" w:right="1080" w:bottom="1440" w:left="1080" w:header="0" w:footer="1037" w:gutter="0"/>
          <w:cols w:space="720" w:num="1"/>
        </w:sectPr>
      </w:pPr>
      <w:r>
        <w:rPr>
          <w:rFonts w:ascii="宋体" w:hAnsi="宋体" w:eastAsia="宋体" w:cs="宋体"/>
          <w:color w:val="auto"/>
          <w:spacing w:val="4"/>
          <w:highlight w:val="none"/>
        </w:rPr>
        <w:t>(2) 投标人拟投入本工程的项目专职安全人员在在建项目中任专职安全员的(符合法</w:t>
      </w:r>
      <w:r>
        <w:rPr>
          <w:rFonts w:ascii="宋体" w:hAnsi="宋体" w:eastAsia="宋体" w:cs="宋体"/>
          <w:color w:val="auto"/>
          <w:highlight w:val="none"/>
        </w:rPr>
        <w:t>规规</w:t>
      </w:r>
      <w:r>
        <w:rPr>
          <w:rFonts w:ascii="宋体" w:hAnsi="宋体" w:eastAsia="宋体" w:cs="宋体"/>
          <w:color w:val="auto"/>
          <w:spacing w:val="-11"/>
          <w:highlight w:val="none"/>
        </w:rPr>
        <w:t>定</w:t>
      </w:r>
      <w:r>
        <w:rPr>
          <w:rFonts w:ascii="宋体" w:hAnsi="宋体" w:eastAsia="宋体" w:cs="宋体"/>
          <w:color w:val="auto"/>
          <w:spacing w:val="-8"/>
          <w:highlight w:val="none"/>
        </w:rPr>
        <w:t>的特殊情</w:t>
      </w:r>
    </w:p>
    <w:p>
      <w:pPr>
        <w:spacing w:line="276" w:lineRule="auto"/>
        <w:rPr>
          <w:color w:val="auto"/>
          <w:highlight w:val="none"/>
        </w:rPr>
      </w:pPr>
    </w:p>
    <w:p>
      <w:pPr>
        <w:spacing w:before="68" w:line="360" w:lineRule="auto"/>
        <w:ind w:left="25"/>
        <w:rPr>
          <w:rFonts w:ascii="宋体" w:hAnsi="宋体" w:eastAsia="宋体" w:cs="宋体"/>
          <w:color w:val="auto"/>
          <w:highlight w:val="none"/>
        </w:rPr>
      </w:pPr>
      <w:r>
        <w:rPr>
          <w:rFonts w:ascii="宋体" w:hAnsi="宋体" w:eastAsia="宋体" w:cs="宋体"/>
          <w:color w:val="auto"/>
          <w:spacing w:val="-8"/>
          <w:highlight w:val="none"/>
        </w:rPr>
        <w:t>况和桂建管﹝ 2013 ﹞ 17 号文要求的除外) 或无有效安全生产考核合格证(C 类) 的；</w:t>
      </w:r>
    </w:p>
    <w:p>
      <w:pPr>
        <w:spacing w:before="150" w:line="360" w:lineRule="auto"/>
        <w:ind w:left="435" w:right="1685"/>
        <w:rPr>
          <w:rFonts w:ascii="宋体" w:hAnsi="宋体" w:eastAsia="宋体" w:cs="宋体"/>
          <w:color w:val="auto"/>
          <w:spacing w:val="-1"/>
          <w:highlight w:val="none"/>
        </w:rPr>
      </w:pPr>
      <w:r>
        <w:rPr>
          <w:rFonts w:ascii="宋体" w:hAnsi="宋体" w:eastAsia="宋体" w:cs="宋体"/>
          <w:color w:val="auto"/>
          <w:highlight w:val="none"/>
        </w:rPr>
        <w:t>B</w:t>
      </w:r>
      <w:r>
        <w:rPr>
          <w:rFonts w:ascii="宋体" w:hAnsi="宋体" w:eastAsia="宋体" w:cs="宋体"/>
          <w:color w:val="auto"/>
          <w:spacing w:val="-3"/>
          <w:highlight w:val="none"/>
        </w:rPr>
        <w:t>1.18 组成联合体投标的，投标文件未附联合体各方共同投标协议书的</w:t>
      </w:r>
      <w:r>
        <w:rPr>
          <w:rFonts w:ascii="宋体" w:hAnsi="宋体" w:eastAsia="宋体" w:cs="宋体"/>
          <w:color w:val="auto"/>
          <w:spacing w:val="-1"/>
          <w:highlight w:val="none"/>
        </w:rPr>
        <w:t>；</w:t>
      </w:r>
    </w:p>
    <w:p>
      <w:pPr>
        <w:spacing w:before="150" w:line="360" w:lineRule="auto"/>
        <w:ind w:right="1685" w:firstLine="408" w:firstLineChars="200"/>
        <w:rPr>
          <w:rFonts w:ascii="宋体" w:hAnsi="宋体" w:eastAsia="宋体" w:cs="宋体"/>
          <w:color w:val="auto"/>
          <w:highlight w:val="none"/>
        </w:rPr>
      </w:pPr>
      <w:r>
        <w:rPr>
          <w:rFonts w:ascii="宋体" w:hAnsi="宋体" w:eastAsia="宋体" w:cs="宋体"/>
          <w:color w:val="auto"/>
          <w:spacing w:val="-3"/>
          <w:highlight w:val="none"/>
        </w:rPr>
        <w:t>B</w:t>
      </w:r>
      <w:r>
        <w:rPr>
          <w:rFonts w:ascii="宋体" w:hAnsi="宋体" w:eastAsia="宋体" w:cs="宋体"/>
          <w:color w:val="auto"/>
          <w:spacing w:val="-6"/>
          <w:highlight w:val="none"/>
        </w:rPr>
        <w:t>1.</w:t>
      </w:r>
      <w:r>
        <w:rPr>
          <w:rFonts w:ascii="宋体" w:hAnsi="宋体" w:eastAsia="宋体" w:cs="宋体"/>
          <w:color w:val="auto"/>
          <w:spacing w:val="-4"/>
          <w:highlight w:val="none"/>
        </w:rPr>
        <w:t>1</w:t>
      </w:r>
      <w:r>
        <w:rPr>
          <w:rFonts w:ascii="宋体" w:hAnsi="宋体" w:eastAsia="宋体" w:cs="宋体"/>
          <w:color w:val="auto"/>
          <w:spacing w:val="-3"/>
          <w:highlight w:val="none"/>
        </w:rPr>
        <w:t>9 投标人的投标总价超出招标控制价的；</w:t>
      </w:r>
    </w:p>
    <w:p>
      <w:pPr>
        <w:spacing w:line="360" w:lineRule="auto"/>
        <w:ind w:left="435"/>
        <w:rPr>
          <w:rFonts w:ascii="宋体" w:hAnsi="宋体" w:eastAsia="宋体" w:cs="宋体"/>
          <w:color w:val="auto"/>
          <w:highlight w:val="none"/>
        </w:rPr>
      </w:pPr>
      <w:r>
        <w:rPr>
          <w:rFonts w:ascii="宋体" w:hAnsi="宋体" w:eastAsia="宋体" w:cs="宋体"/>
          <w:color w:val="auto"/>
          <w:spacing w:val="-1"/>
          <w:highlight w:val="none"/>
        </w:rPr>
        <w:t>B</w:t>
      </w:r>
      <w:r>
        <w:rPr>
          <w:rFonts w:ascii="宋体" w:hAnsi="宋体" w:eastAsia="宋体" w:cs="宋体"/>
          <w:color w:val="auto"/>
          <w:spacing w:val="-2"/>
          <w:highlight w:val="none"/>
        </w:rPr>
        <w:t>1.20 投标人对招标工程量清</w:t>
      </w:r>
      <w:r>
        <w:rPr>
          <w:rFonts w:ascii="宋体" w:hAnsi="宋体" w:eastAsia="宋体" w:cs="宋体"/>
          <w:color w:val="auto"/>
          <w:spacing w:val="-1"/>
          <w:highlight w:val="none"/>
        </w:rPr>
        <w:t>单内容进行增减或对招标范围进行调整的；</w:t>
      </w:r>
    </w:p>
    <w:p>
      <w:pPr>
        <w:spacing w:before="150" w:line="360" w:lineRule="auto"/>
        <w:ind w:left="25" w:right="54" w:firstLine="409"/>
        <w:rPr>
          <w:rFonts w:ascii="宋体" w:hAnsi="宋体" w:eastAsia="宋体" w:cs="宋体"/>
          <w:color w:val="auto"/>
          <w:highlight w:val="none"/>
        </w:rPr>
      </w:pPr>
      <w:r>
        <w:rPr>
          <w:rFonts w:ascii="宋体" w:hAnsi="宋体" w:eastAsia="宋体" w:cs="宋体"/>
          <w:color w:val="auto"/>
          <w:spacing w:val="-3"/>
          <w:highlight w:val="none"/>
        </w:rPr>
        <w:t>B</w:t>
      </w:r>
      <w:r>
        <w:rPr>
          <w:rFonts w:ascii="宋体" w:hAnsi="宋体" w:eastAsia="宋体" w:cs="宋体"/>
          <w:color w:val="auto"/>
          <w:spacing w:val="-6"/>
          <w:highlight w:val="none"/>
        </w:rPr>
        <w:t>1.21 除</w:t>
      </w:r>
      <w:r>
        <w:rPr>
          <w:rFonts w:ascii="宋体" w:hAnsi="宋体" w:eastAsia="宋体" w:cs="宋体"/>
          <w:color w:val="auto"/>
          <w:spacing w:val="-5"/>
          <w:highlight w:val="none"/>
        </w:rPr>
        <w:t>投</w:t>
      </w:r>
      <w:r>
        <w:rPr>
          <w:rFonts w:ascii="宋体" w:hAnsi="宋体" w:eastAsia="宋体" w:cs="宋体"/>
          <w:color w:val="auto"/>
          <w:spacing w:val="-3"/>
          <w:highlight w:val="none"/>
        </w:rPr>
        <w:t>标报价文件投标函除外；未经有资格的工程造价专业人员在其执业范围内《按广</w:t>
      </w:r>
      <w:r>
        <w:rPr>
          <w:rFonts w:ascii="宋体" w:hAnsi="宋体" w:eastAsia="宋体" w:cs="宋体"/>
          <w:color w:val="auto"/>
          <w:highlight w:val="none"/>
        </w:rPr>
        <w:t xml:space="preserve"> </w:t>
      </w:r>
      <w:r>
        <w:rPr>
          <w:rFonts w:ascii="宋体" w:hAnsi="宋体" w:eastAsia="宋体" w:cs="宋体"/>
          <w:color w:val="auto"/>
          <w:spacing w:val="-2"/>
          <w:highlight w:val="none"/>
        </w:rPr>
        <w:t>西工程量清单实施细则规定》签字</w:t>
      </w:r>
      <w:r>
        <w:rPr>
          <w:rFonts w:ascii="宋体" w:hAnsi="宋体" w:eastAsia="宋体" w:cs="宋体"/>
          <w:color w:val="auto"/>
          <w:spacing w:val="-1"/>
          <w:highlight w:val="none"/>
        </w:rPr>
        <w:t>或加盖执业专用章的；</w:t>
      </w:r>
    </w:p>
    <w:p>
      <w:pPr>
        <w:spacing w:line="360" w:lineRule="auto"/>
        <w:ind w:left="435"/>
        <w:rPr>
          <w:rFonts w:ascii="宋体" w:hAnsi="宋体" w:eastAsia="宋体" w:cs="宋体"/>
          <w:color w:val="auto"/>
          <w:highlight w:val="none"/>
        </w:rPr>
      </w:pPr>
      <w:r>
        <w:rPr>
          <w:rFonts w:ascii="宋体" w:hAnsi="宋体" w:eastAsia="宋体" w:cs="宋体"/>
          <w:color w:val="auto"/>
          <w:spacing w:val="-2"/>
          <w:position w:val="14"/>
          <w:highlight w:val="none"/>
        </w:rPr>
        <w:t>B</w:t>
      </w:r>
      <w:r>
        <w:rPr>
          <w:rFonts w:ascii="宋体" w:hAnsi="宋体" w:eastAsia="宋体" w:cs="宋体"/>
          <w:color w:val="auto"/>
          <w:spacing w:val="-4"/>
          <w:position w:val="14"/>
          <w:highlight w:val="none"/>
        </w:rPr>
        <w:t>1.22 投标</w:t>
      </w:r>
      <w:r>
        <w:rPr>
          <w:rFonts w:ascii="宋体" w:hAnsi="宋体" w:eastAsia="宋体" w:cs="宋体"/>
          <w:color w:val="auto"/>
          <w:spacing w:val="-2"/>
          <w:position w:val="14"/>
          <w:highlight w:val="none"/>
        </w:rPr>
        <w:t>人提供虚假或与事实不符的不良纪录情况承诺书；</w:t>
      </w:r>
    </w:p>
    <w:p>
      <w:pPr>
        <w:spacing w:before="1" w:line="360" w:lineRule="auto"/>
        <w:ind w:left="437"/>
        <w:rPr>
          <w:rFonts w:ascii="宋体" w:hAnsi="宋体" w:eastAsia="宋体" w:cs="宋体"/>
          <w:color w:val="auto"/>
          <w:highlight w:val="none"/>
        </w:rPr>
      </w:pPr>
      <w:r>
        <w:rPr>
          <w:rFonts w:ascii="宋体" w:hAnsi="宋体" w:eastAsia="宋体" w:cs="宋体"/>
          <w:color w:val="auto"/>
          <w:spacing w:val="-2"/>
          <w:highlight w:val="none"/>
        </w:rPr>
        <w:t>B</w:t>
      </w:r>
      <w:r>
        <w:rPr>
          <w:rFonts w:ascii="宋体" w:hAnsi="宋体" w:eastAsia="宋体" w:cs="宋体"/>
          <w:color w:val="auto"/>
          <w:spacing w:val="-4"/>
          <w:highlight w:val="none"/>
        </w:rPr>
        <w:t>1.23 法规</w:t>
      </w:r>
      <w:r>
        <w:rPr>
          <w:rFonts w:ascii="宋体" w:hAnsi="宋体" w:eastAsia="宋体" w:cs="宋体"/>
          <w:color w:val="auto"/>
          <w:spacing w:val="-2"/>
          <w:highlight w:val="none"/>
        </w:rPr>
        <w:t>规定的其他否决投标条款。</w:t>
      </w:r>
    </w:p>
    <w:p>
      <w:pPr>
        <w:spacing w:line="360" w:lineRule="auto"/>
        <w:rPr>
          <w:color w:val="auto"/>
          <w:highlight w:val="none"/>
        </w:rPr>
        <w:sectPr>
          <w:footerReference r:id="rId12" w:type="default"/>
          <w:pgSz w:w="11907" w:h="16839"/>
          <w:pgMar w:top="1440" w:right="1080" w:bottom="1440" w:left="1080" w:header="0" w:footer="1037" w:gutter="0"/>
          <w:cols w:space="720" w:num="1"/>
        </w:sectPr>
      </w:pPr>
    </w:p>
    <w:p>
      <w:pPr>
        <w:spacing w:line="263" w:lineRule="auto"/>
        <w:rPr>
          <w:color w:val="auto"/>
          <w:highlight w:val="none"/>
        </w:rPr>
      </w:pPr>
    </w:p>
    <w:p>
      <w:pPr>
        <w:spacing w:line="263" w:lineRule="auto"/>
        <w:rPr>
          <w:color w:val="auto"/>
          <w:highlight w:val="none"/>
        </w:rPr>
      </w:pPr>
    </w:p>
    <w:p>
      <w:pPr>
        <w:spacing w:line="263" w:lineRule="auto"/>
        <w:rPr>
          <w:color w:val="auto"/>
          <w:highlight w:val="none"/>
        </w:rPr>
      </w:pPr>
    </w:p>
    <w:p>
      <w:pPr>
        <w:spacing w:line="264" w:lineRule="auto"/>
        <w:rPr>
          <w:color w:val="auto"/>
          <w:highlight w:val="none"/>
        </w:rPr>
      </w:pPr>
    </w:p>
    <w:p>
      <w:pPr>
        <w:spacing w:line="264" w:lineRule="auto"/>
        <w:rPr>
          <w:color w:val="auto"/>
          <w:highlight w:val="none"/>
        </w:rPr>
      </w:pPr>
    </w:p>
    <w:p>
      <w:pPr>
        <w:pStyle w:val="3"/>
        <w:spacing w:before="0" w:after="0" w:line="360" w:lineRule="auto"/>
        <w:jc w:val="center"/>
        <w:rPr>
          <w:color w:val="auto"/>
          <w:highlight w:val="none"/>
        </w:rPr>
      </w:pPr>
      <w:bookmarkStart w:id="21" w:name="_bookmark4"/>
      <w:bookmarkEnd w:id="21"/>
      <w:bookmarkStart w:id="22" w:name="_Toc2726"/>
      <w:bookmarkStart w:id="23" w:name="_Toc16372"/>
      <w:bookmarkStart w:id="24" w:name="_Toc2965"/>
      <w:r>
        <w:rPr>
          <w:color w:val="auto"/>
          <w:highlight w:val="none"/>
        </w:rPr>
        <w:t>第四章 合同条款及格式</w:t>
      </w:r>
      <w:bookmarkEnd w:id="22"/>
      <w:bookmarkEnd w:id="23"/>
      <w:bookmarkEnd w:id="24"/>
    </w:p>
    <w:p>
      <w:pPr>
        <w:spacing w:line="280" w:lineRule="auto"/>
        <w:rPr>
          <w:color w:val="auto"/>
          <w:highlight w:val="none"/>
        </w:rPr>
      </w:pPr>
    </w:p>
    <w:p>
      <w:pPr>
        <w:spacing w:line="281" w:lineRule="auto"/>
        <w:rPr>
          <w:color w:val="auto"/>
          <w:highlight w:val="none"/>
        </w:rPr>
      </w:pPr>
    </w:p>
    <w:p>
      <w:pPr>
        <w:spacing w:line="281" w:lineRule="auto"/>
        <w:rPr>
          <w:color w:val="auto"/>
          <w:highlight w:val="none"/>
        </w:rPr>
      </w:pPr>
    </w:p>
    <w:p>
      <w:pPr>
        <w:spacing w:before="101" w:line="225" w:lineRule="auto"/>
        <w:ind w:left="37" w:firstLine="2768" w:firstLineChars="800"/>
        <w:rPr>
          <w:rFonts w:ascii="仿宋" w:hAnsi="仿宋" w:eastAsia="仿宋" w:cs="仿宋"/>
          <w:color w:val="auto"/>
          <w:sz w:val="31"/>
          <w:szCs w:val="31"/>
          <w:highlight w:val="none"/>
        </w:rPr>
      </w:pPr>
      <w:r>
        <w:rPr>
          <w:rFonts w:ascii="仿宋" w:hAnsi="仿宋" w:eastAsia="仿宋" w:cs="仿宋"/>
          <w:color w:val="auto"/>
          <w:spacing w:val="18"/>
          <w:sz w:val="31"/>
          <w:szCs w:val="31"/>
          <w:highlight w:val="none"/>
        </w:rPr>
        <w:t>(</w:t>
      </w:r>
      <w:r>
        <w:rPr>
          <w:rFonts w:ascii="Times New Roman" w:hAnsi="Times New Roman" w:eastAsia="Times New Roman" w:cs="Times New Roman"/>
          <w:color w:val="auto"/>
          <w:sz w:val="31"/>
          <w:szCs w:val="31"/>
          <w:highlight w:val="none"/>
        </w:rPr>
        <w:t>GF</w:t>
      </w:r>
      <w:r>
        <w:rPr>
          <w:rFonts w:ascii="Times New Roman" w:hAnsi="Times New Roman" w:eastAsia="Times New Roman" w:cs="Times New Roman"/>
          <w:color w:val="auto"/>
          <w:spacing w:val="18"/>
          <w:sz w:val="31"/>
          <w:szCs w:val="31"/>
          <w:highlight w:val="none"/>
        </w:rPr>
        <w:t>—2017—0201</w:t>
      </w:r>
      <w:r>
        <w:rPr>
          <w:rFonts w:ascii="仿宋" w:hAnsi="仿宋" w:eastAsia="仿宋" w:cs="仿宋"/>
          <w:color w:val="auto"/>
          <w:spacing w:val="15"/>
          <w:sz w:val="31"/>
          <w:szCs w:val="31"/>
          <w:highlight w:val="none"/>
        </w:rPr>
        <w:t>)</w:t>
      </w:r>
    </w:p>
    <w:p>
      <w:pPr>
        <w:spacing w:line="259" w:lineRule="auto"/>
        <w:rPr>
          <w:color w:val="auto"/>
          <w:highlight w:val="none"/>
        </w:rPr>
      </w:pPr>
    </w:p>
    <w:p>
      <w:pPr>
        <w:spacing w:line="260" w:lineRule="auto"/>
        <w:rPr>
          <w:color w:val="auto"/>
          <w:highlight w:val="none"/>
        </w:rPr>
      </w:pPr>
    </w:p>
    <w:p>
      <w:pPr>
        <w:spacing w:line="260" w:lineRule="auto"/>
        <w:rPr>
          <w:color w:val="auto"/>
          <w:highlight w:val="none"/>
        </w:rPr>
      </w:pPr>
    </w:p>
    <w:p>
      <w:pPr>
        <w:spacing w:line="260" w:lineRule="auto"/>
        <w:rPr>
          <w:color w:val="auto"/>
          <w:highlight w:val="none"/>
        </w:rPr>
      </w:pPr>
    </w:p>
    <w:p>
      <w:pPr>
        <w:spacing w:line="260" w:lineRule="auto"/>
        <w:rPr>
          <w:color w:val="auto"/>
          <w:highlight w:val="none"/>
        </w:rPr>
      </w:pPr>
    </w:p>
    <w:p>
      <w:pPr>
        <w:spacing w:line="260" w:lineRule="auto"/>
        <w:rPr>
          <w:color w:val="auto"/>
          <w:highlight w:val="none"/>
        </w:rPr>
      </w:pPr>
    </w:p>
    <w:p>
      <w:pPr>
        <w:spacing w:line="260" w:lineRule="auto"/>
        <w:rPr>
          <w:color w:val="auto"/>
          <w:highlight w:val="none"/>
        </w:rPr>
      </w:pPr>
    </w:p>
    <w:p>
      <w:pPr>
        <w:spacing w:line="260" w:lineRule="auto"/>
        <w:rPr>
          <w:color w:val="auto"/>
          <w:highlight w:val="none"/>
        </w:rPr>
      </w:pPr>
    </w:p>
    <w:p>
      <w:pPr>
        <w:spacing w:line="260" w:lineRule="auto"/>
        <w:rPr>
          <w:color w:val="auto"/>
          <w:highlight w:val="none"/>
        </w:rPr>
      </w:pPr>
    </w:p>
    <w:p>
      <w:pPr>
        <w:rPr>
          <w:rFonts w:ascii="宋体" w:hAnsi="宋体" w:eastAsia="宋体" w:cs="宋体"/>
          <w:color w:val="auto"/>
          <w:spacing w:val="-2"/>
          <w:sz w:val="72"/>
          <w:szCs w:val="72"/>
          <w:highlight w:val="none"/>
          <w14:textOutline w14:w="13068" w14:cap="flat" w14:cmpd="sng" w14:algn="ctr">
            <w14:solidFill>
              <w14:srgbClr w14:val="000000"/>
            </w14:solidFill>
            <w14:prstDash w14:val="solid"/>
            <w14:miter w14:val="0"/>
          </w14:textOutline>
        </w:rPr>
      </w:pPr>
      <w:r>
        <w:rPr>
          <w:rFonts w:ascii="宋体" w:hAnsi="宋体" w:eastAsia="宋体" w:cs="宋体"/>
          <w:color w:val="auto"/>
          <w:spacing w:val="-2"/>
          <w:sz w:val="72"/>
          <w:szCs w:val="72"/>
          <w:highlight w:val="none"/>
          <w14:textOutline w14:w="13068" w14:cap="flat" w14:cmpd="sng" w14:algn="ctr">
            <w14:solidFill>
              <w14:srgbClr w14:val="000000"/>
            </w14:solidFill>
            <w14:prstDash w14:val="solid"/>
            <w14:miter w14:val="0"/>
          </w14:textOutline>
        </w:rPr>
        <w:br w:type="page"/>
      </w:r>
    </w:p>
    <w:p>
      <w:pPr>
        <w:spacing w:before="234" w:line="220" w:lineRule="auto"/>
        <w:ind w:left="1477"/>
        <w:rPr>
          <w:rFonts w:ascii="宋体" w:hAnsi="宋体" w:eastAsia="宋体" w:cs="宋体"/>
          <w:color w:val="auto"/>
          <w:sz w:val="72"/>
          <w:szCs w:val="72"/>
          <w:highlight w:val="none"/>
        </w:rPr>
      </w:pPr>
      <w:r>
        <w:rPr>
          <w:rFonts w:ascii="宋体" w:hAnsi="宋体" w:eastAsia="宋体" w:cs="宋体"/>
          <w:color w:val="auto"/>
          <w:spacing w:val="-2"/>
          <w:sz w:val="72"/>
          <w:szCs w:val="72"/>
          <w:highlight w:val="none"/>
          <w14:textOutline w14:w="13068" w14:cap="flat" w14:cmpd="sng" w14:algn="ctr">
            <w14:solidFill>
              <w14:srgbClr w14:val="000000"/>
            </w14:solidFill>
            <w14:prstDash w14:val="solid"/>
            <w14:miter w14:val="0"/>
          </w14:textOutline>
        </w:rPr>
        <w:t>建设工程</w:t>
      </w:r>
      <w:r>
        <w:rPr>
          <w:rFonts w:ascii="宋体" w:hAnsi="宋体" w:eastAsia="宋体" w:cs="宋体"/>
          <w:color w:val="auto"/>
          <w:spacing w:val="-1"/>
          <w:sz w:val="72"/>
          <w:szCs w:val="72"/>
          <w:highlight w:val="none"/>
          <w14:textOutline w14:w="13068" w14:cap="flat" w14:cmpd="sng" w14:algn="ctr">
            <w14:solidFill>
              <w14:srgbClr w14:val="000000"/>
            </w14:solidFill>
            <w14:prstDash w14:val="solid"/>
            <w14:miter w14:val="0"/>
          </w14:textOutline>
        </w:rPr>
        <w:t>施工合同</w:t>
      </w:r>
    </w:p>
    <w:p>
      <w:pPr>
        <w:spacing w:before="147" w:line="219" w:lineRule="auto"/>
        <w:ind w:left="2863"/>
        <w:rPr>
          <w:rFonts w:ascii="宋体" w:hAnsi="宋体" w:eastAsia="宋体" w:cs="宋体"/>
          <w:color w:val="auto"/>
          <w:sz w:val="52"/>
          <w:szCs w:val="52"/>
          <w:highlight w:val="none"/>
        </w:rPr>
      </w:pPr>
      <w:r>
        <w:rPr>
          <w:rFonts w:ascii="宋体" w:hAnsi="宋体" w:eastAsia="宋体" w:cs="宋体"/>
          <w:color w:val="auto"/>
          <w:spacing w:val="19"/>
          <w:sz w:val="52"/>
          <w:szCs w:val="52"/>
          <w:highlight w:val="none"/>
          <w14:textOutline w14:w="9448" w14:cap="flat" w14:cmpd="sng" w14:algn="ctr">
            <w14:solidFill>
              <w14:srgbClr w14:val="000000"/>
            </w14:solidFill>
            <w14:prstDash w14:val="solid"/>
            <w14:miter w14:val="0"/>
          </w14:textOutline>
        </w:rPr>
        <w:t>(</w:t>
      </w:r>
      <w:r>
        <w:rPr>
          <w:rFonts w:ascii="宋体" w:hAnsi="宋体" w:eastAsia="宋体" w:cs="宋体"/>
          <w:color w:val="auto"/>
          <w:spacing w:val="18"/>
          <w:sz w:val="52"/>
          <w:szCs w:val="52"/>
          <w:highlight w:val="none"/>
          <w14:textOutline w14:w="9448" w14:cap="flat" w14:cmpd="sng" w14:algn="ctr">
            <w14:solidFill>
              <w14:srgbClr w14:val="000000"/>
            </w14:solidFill>
            <w14:prstDash w14:val="solid"/>
            <w14:miter w14:val="0"/>
          </w14:textOutline>
        </w:rPr>
        <w:t>示范文本)</w:t>
      </w:r>
    </w:p>
    <w:p>
      <w:pPr>
        <w:spacing w:line="243" w:lineRule="auto"/>
        <w:rPr>
          <w:color w:val="auto"/>
          <w:highlight w:val="none"/>
        </w:rPr>
      </w:pPr>
    </w:p>
    <w:p>
      <w:pPr>
        <w:spacing w:line="243" w:lineRule="auto"/>
        <w:rPr>
          <w:color w:val="auto"/>
          <w:highlight w:val="none"/>
        </w:rPr>
      </w:pPr>
    </w:p>
    <w:p>
      <w:pPr>
        <w:spacing w:line="243" w:lineRule="auto"/>
        <w:rPr>
          <w:color w:val="auto"/>
          <w:highlight w:val="none"/>
        </w:rPr>
      </w:pPr>
    </w:p>
    <w:p>
      <w:pPr>
        <w:spacing w:line="243" w:lineRule="auto"/>
        <w:rPr>
          <w:color w:val="auto"/>
          <w:highlight w:val="none"/>
        </w:rPr>
      </w:pPr>
    </w:p>
    <w:p>
      <w:pPr>
        <w:spacing w:line="243" w:lineRule="auto"/>
        <w:rPr>
          <w:color w:val="auto"/>
          <w:highlight w:val="none"/>
        </w:rPr>
      </w:pPr>
    </w:p>
    <w:p>
      <w:pPr>
        <w:spacing w:line="244" w:lineRule="auto"/>
        <w:rPr>
          <w:color w:val="auto"/>
          <w:highlight w:val="none"/>
        </w:rPr>
      </w:pPr>
    </w:p>
    <w:p>
      <w:pPr>
        <w:spacing w:line="244" w:lineRule="auto"/>
        <w:rPr>
          <w:color w:val="auto"/>
          <w:highlight w:val="none"/>
        </w:rPr>
      </w:pPr>
    </w:p>
    <w:p>
      <w:pPr>
        <w:spacing w:line="244" w:lineRule="auto"/>
        <w:rPr>
          <w:color w:val="auto"/>
          <w:highlight w:val="none"/>
        </w:rPr>
      </w:pPr>
    </w:p>
    <w:p>
      <w:pPr>
        <w:spacing w:line="244" w:lineRule="auto"/>
        <w:rPr>
          <w:color w:val="auto"/>
          <w:highlight w:val="none"/>
        </w:rPr>
      </w:pPr>
    </w:p>
    <w:p>
      <w:pPr>
        <w:spacing w:line="244" w:lineRule="auto"/>
        <w:rPr>
          <w:color w:val="auto"/>
          <w:highlight w:val="none"/>
        </w:rPr>
      </w:pPr>
    </w:p>
    <w:p>
      <w:pPr>
        <w:spacing w:line="244" w:lineRule="auto"/>
        <w:rPr>
          <w:color w:val="auto"/>
          <w:highlight w:val="none"/>
        </w:rPr>
      </w:pPr>
    </w:p>
    <w:p>
      <w:pPr>
        <w:spacing w:line="244" w:lineRule="auto"/>
        <w:rPr>
          <w:color w:val="auto"/>
          <w:highlight w:val="none"/>
        </w:rPr>
      </w:pPr>
    </w:p>
    <w:p>
      <w:pPr>
        <w:spacing w:line="244" w:lineRule="auto"/>
        <w:rPr>
          <w:color w:val="auto"/>
          <w:highlight w:val="none"/>
        </w:rPr>
      </w:pPr>
    </w:p>
    <w:p>
      <w:pPr>
        <w:spacing w:line="244" w:lineRule="auto"/>
        <w:rPr>
          <w:color w:val="auto"/>
          <w:highlight w:val="none"/>
        </w:rPr>
      </w:pPr>
    </w:p>
    <w:p>
      <w:pPr>
        <w:spacing w:line="244" w:lineRule="auto"/>
        <w:rPr>
          <w:color w:val="auto"/>
          <w:highlight w:val="none"/>
        </w:rPr>
      </w:pPr>
    </w:p>
    <w:p>
      <w:pPr>
        <w:spacing w:line="244" w:lineRule="auto"/>
        <w:rPr>
          <w:color w:val="auto"/>
          <w:highlight w:val="none"/>
        </w:rPr>
      </w:pPr>
    </w:p>
    <w:p>
      <w:pPr>
        <w:spacing w:line="244" w:lineRule="auto"/>
        <w:rPr>
          <w:color w:val="auto"/>
          <w:highlight w:val="none"/>
        </w:rPr>
      </w:pPr>
    </w:p>
    <w:p>
      <w:pPr>
        <w:spacing w:line="244" w:lineRule="auto"/>
        <w:rPr>
          <w:color w:val="auto"/>
          <w:highlight w:val="none"/>
        </w:rPr>
      </w:pPr>
    </w:p>
    <w:p>
      <w:pPr>
        <w:spacing w:before="101" w:line="415" w:lineRule="exact"/>
        <w:ind w:left="1597"/>
        <w:rPr>
          <w:rFonts w:ascii="宋体" w:hAnsi="宋体" w:eastAsia="宋体" w:cs="宋体"/>
          <w:color w:val="auto"/>
          <w:sz w:val="31"/>
          <w:szCs w:val="31"/>
          <w:highlight w:val="none"/>
        </w:rPr>
      </w:pPr>
      <w:r>
        <w:rPr>
          <w:color w:val="auto"/>
          <w:highlight w:val="none"/>
        </w:rPr>
        <w:pict>
          <v:shape id="_x0000_s1029" o:spid="_x0000_s1029" o:spt="202" type="#_x0000_t202" style="position:absolute;left:0pt;margin-left:311.75pt;margin-top:10.75pt;height:38.75pt;width:59.75pt;z-index:251662336;mso-width-relative:page;mso-height-relative:page;" filled="f" stroked="f" coordsize="21600,21600">
            <v:path/>
            <v:fill on="f" focussize="0,0"/>
            <v:stroke on="f"/>
            <v:imagedata o:title=""/>
            <o:lock v:ext="edit"/>
            <v:textbox inset="0mm,0mm,0mm,0mm">
              <w:txbxContent>
                <w:p>
                  <w:pPr>
                    <w:spacing w:line="20" w:lineRule="exact"/>
                  </w:pPr>
                </w:p>
                <w:tbl>
                  <w:tblPr>
                    <w:tblStyle w:val="16"/>
                    <w:tblW w:w="1140" w:type="dxa"/>
                    <w:tblInd w:w="27" w:type="dxa"/>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Layout w:type="fixed"/>
                    <w:tblCellMar>
                      <w:top w:w="0" w:type="dxa"/>
                      <w:left w:w="0" w:type="dxa"/>
                      <w:bottom w:w="0" w:type="dxa"/>
                      <w:right w:w="0" w:type="dxa"/>
                    </w:tblCellMar>
                  </w:tblPr>
                  <w:tblGrid>
                    <w:gridCol w:w="1140"/>
                  </w:tblGrid>
                  <w:tr>
                    <w:tblPrEx>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CellMar>
                        <w:top w:w="0" w:type="dxa"/>
                        <w:left w:w="0" w:type="dxa"/>
                        <w:bottom w:w="0" w:type="dxa"/>
                        <w:right w:w="0" w:type="dxa"/>
                      </w:tblCellMar>
                    </w:tblPrEx>
                    <w:trPr>
                      <w:trHeight w:val="705" w:hRule="atLeast"/>
                    </w:trPr>
                    <w:tc>
                      <w:tcPr>
                        <w:tcW w:w="1140" w:type="dxa"/>
                      </w:tcPr>
                      <w:p>
                        <w:pPr>
                          <w:spacing w:before="121" w:line="226" w:lineRule="auto"/>
                          <w:ind w:left="159"/>
                          <w:rPr>
                            <w:rFonts w:ascii="宋体" w:hAnsi="宋体" w:eastAsia="宋体" w:cs="宋体"/>
                            <w:sz w:val="31"/>
                            <w:szCs w:val="31"/>
                          </w:rPr>
                        </w:pPr>
                        <w:r>
                          <w:rPr>
                            <w:rFonts w:ascii="宋体" w:hAnsi="宋体" w:eastAsia="宋体" w:cs="宋体"/>
                            <w:spacing w:val="4"/>
                            <w:sz w:val="31"/>
                            <w:szCs w:val="31"/>
                            <w14:textOutline w14:w="5791" w14:cap="rnd" w14:cmpd="sng" w14:algn="ctr">
                              <w14:solidFill>
                                <w14:srgbClr w14:val="000000"/>
                              </w14:solidFill>
                              <w14:prstDash w14:val="solid"/>
                              <w14:miter w14:val="0"/>
                            </w14:textOutline>
                          </w:rPr>
                          <w:t>制</w:t>
                        </w:r>
                        <w:r>
                          <w:rPr>
                            <w:rFonts w:ascii="宋体" w:hAnsi="宋体" w:eastAsia="宋体" w:cs="宋体"/>
                            <w:spacing w:val="3"/>
                            <w:sz w:val="31"/>
                            <w:szCs w:val="31"/>
                            <w14:textOutline w14:w="5791" w14:cap="rnd" w14:cmpd="sng" w14:algn="ctr">
                              <w14:solidFill>
                                <w14:srgbClr w14:val="000000"/>
                              </w14:solidFill>
                              <w14:prstDash w14:val="solid"/>
                              <w14:miter w14:val="0"/>
                            </w14:textOutline>
                          </w:rPr>
                          <w:t>定</w:t>
                        </w:r>
                      </w:p>
                    </w:tc>
                  </w:tr>
                </w:tbl>
                <w:p/>
              </w:txbxContent>
            </v:textbox>
          </v:shape>
        </w:pict>
      </w:r>
      <w:r>
        <w:rPr>
          <w:rFonts w:ascii="宋体" w:hAnsi="宋体" w:eastAsia="宋体" w:cs="宋体"/>
          <w:color w:val="auto"/>
          <w:spacing w:val="28"/>
          <w:position w:val="6"/>
          <w:sz w:val="31"/>
          <w:szCs w:val="31"/>
          <w:highlight w:val="none"/>
          <w14:textOutline w14:w="5791" w14:cap="flat" w14:cmpd="sng" w14:algn="ctr">
            <w14:solidFill>
              <w14:srgbClr w14:val="000000"/>
            </w14:solidFill>
            <w14:prstDash w14:val="solid"/>
            <w14:miter w14:val="0"/>
          </w14:textOutline>
        </w:rPr>
        <w:t>住</w:t>
      </w:r>
      <w:r>
        <w:rPr>
          <w:rFonts w:ascii="宋体" w:hAnsi="宋体" w:eastAsia="宋体" w:cs="宋体"/>
          <w:color w:val="auto"/>
          <w:spacing w:val="28"/>
          <w:position w:val="6"/>
          <w:sz w:val="31"/>
          <w:szCs w:val="31"/>
          <w:highlight w:val="none"/>
        </w:rPr>
        <w:t xml:space="preserve"> </w:t>
      </w:r>
      <w:r>
        <w:rPr>
          <w:rFonts w:ascii="宋体" w:hAnsi="宋体" w:eastAsia="宋体" w:cs="宋体"/>
          <w:color w:val="auto"/>
          <w:spacing w:val="28"/>
          <w:position w:val="6"/>
          <w:sz w:val="31"/>
          <w:szCs w:val="31"/>
          <w:highlight w:val="none"/>
          <w14:textOutline w14:w="5791" w14:cap="flat" w14:cmpd="sng" w14:algn="ctr">
            <w14:solidFill>
              <w14:srgbClr w14:val="000000"/>
            </w14:solidFill>
            <w14:prstDash w14:val="solid"/>
            <w14:miter w14:val="0"/>
          </w14:textOutline>
        </w:rPr>
        <w:t>房</w:t>
      </w:r>
      <w:r>
        <w:rPr>
          <w:rFonts w:ascii="宋体" w:hAnsi="宋体" w:eastAsia="宋体" w:cs="宋体"/>
          <w:color w:val="auto"/>
          <w:spacing w:val="28"/>
          <w:position w:val="6"/>
          <w:sz w:val="31"/>
          <w:szCs w:val="31"/>
          <w:highlight w:val="none"/>
        </w:rPr>
        <w:t xml:space="preserve"> </w:t>
      </w:r>
      <w:r>
        <w:rPr>
          <w:rFonts w:ascii="宋体" w:hAnsi="宋体" w:eastAsia="宋体" w:cs="宋体"/>
          <w:color w:val="auto"/>
          <w:spacing w:val="28"/>
          <w:position w:val="6"/>
          <w:sz w:val="31"/>
          <w:szCs w:val="31"/>
          <w:highlight w:val="none"/>
          <w14:textOutline w14:w="5791" w14:cap="flat" w14:cmpd="sng" w14:algn="ctr">
            <w14:solidFill>
              <w14:srgbClr w14:val="000000"/>
            </w14:solidFill>
            <w14:prstDash w14:val="solid"/>
            <w14:miter w14:val="0"/>
          </w14:textOutline>
        </w:rPr>
        <w:t>城</w:t>
      </w:r>
      <w:r>
        <w:rPr>
          <w:rFonts w:ascii="宋体" w:hAnsi="宋体" w:eastAsia="宋体" w:cs="宋体"/>
          <w:color w:val="auto"/>
          <w:spacing w:val="28"/>
          <w:position w:val="6"/>
          <w:sz w:val="31"/>
          <w:szCs w:val="31"/>
          <w:highlight w:val="none"/>
        </w:rPr>
        <w:t xml:space="preserve"> </w:t>
      </w:r>
      <w:r>
        <w:rPr>
          <w:rFonts w:ascii="宋体" w:hAnsi="宋体" w:eastAsia="宋体" w:cs="宋体"/>
          <w:color w:val="auto"/>
          <w:spacing w:val="28"/>
          <w:position w:val="6"/>
          <w:sz w:val="31"/>
          <w:szCs w:val="31"/>
          <w:highlight w:val="none"/>
          <w14:textOutline w14:w="5791" w14:cap="flat" w14:cmpd="sng" w14:algn="ctr">
            <w14:solidFill>
              <w14:srgbClr w14:val="000000"/>
            </w14:solidFill>
            <w14:prstDash w14:val="solid"/>
            <w14:miter w14:val="0"/>
          </w14:textOutline>
        </w:rPr>
        <w:t>乡</w:t>
      </w:r>
      <w:r>
        <w:rPr>
          <w:rFonts w:ascii="宋体" w:hAnsi="宋体" w:eastAsia="宋体" w:cs="宋体"/>
          <w:color w:val="auto"/>
          <w:spacing w:val="28"/>
          <w:position w:val="6"/>
          <w:sz w:val="31"/>
          <w:szCs w:val="31"/>
          <w:highlight w:val="none"/>
        </w:rPr>
        <w:t xml:space="preserve"> </w:t>
      </w:r>
      <w:r>
        <w:rPr>
          <w:rFonts w:ascii="宋体" w:hAnsi="宋体" w:eastAsia="宋体" w:cs="宋体"/>
          <w:color w:val="auto"/>
          <w:spacing w:val="28"/>
          <w:position w:val="6"/>
          <w:sz w:val="31"/>
          <w:szCs w:val="31"/>
          <w:highlight w:val="none"/>
          <w14:textOutline w14:w="5791" w14:cap="flat" w14:cmpd="sng" w14:algn="ctr">
            <w14:solidFill>
              <w14:srgbClr w14:val="000000"/>
            </w14:solidFill>
            <w14:prstDash w14:val="solid"/>
            <w14:miter w14:val="0"/>
          </w14:textOutline>
        </w:rPr>
        <w:t>建</w:t>
      </w:r>
      <w:r>
        <w:rPr>
          <w:rFonts w:ascii="宋体" w:hAnsi="宋体" w:eastAsia="宋体" w:cs="宋体"/>
          <w:color w:val="auto"/>
          <w:spacing w:val="28"/>
          <w:position w:val="6"/>
          <w:sz w:val="31"/>
          <w:szCs w:val="31"/>
          <w:highlight w:val="none"/>
        </w:rPr>
        <w:t xml:space="preserve"> </w:t>
      </w:r>
      <w:r>
        <w:rPr>
          <w:rFonts w:ascii="宋体" w:hAnsi="宋体" w:eastAsia="宋体" w:cs="宋体"/>
          <w:color w:val="auto"/>
          <w:spacing w:val="28"/>
          <w:position w:val="6"/>
          <w:sz w:val="31"/>
          <w:szCs w:val="31"/>
          <w:highlight w:val="none"/>
          <w14:textOutline w14:w="5791" w14:cap="flat" w14:cmpd="sng" w14:algn="ctr">
            <w14:solidFill>
              <w14:srgbClr w14:val="000000"/>
            </w14:solidFill>
            <w14:prstDash w14:val="solid"/>
            <w14:miter w14:val="0"/>
          </w14:textOutline>
        </w:rPr>
        <w:t>设</w:t>
      </w:r>
      <w:r>
        <w:rPr>
          <w:rFonts w:ascii="宋体" w:hAnsi="宋体" w:eastAsia="宋体" w:cs="宋体"/>
          <w:color w:val="auto"/>
          <w:spacing w:val="28"/>
          <w:position w:val="6"/>
          <w:sz w:val="31"/>
          <w:szCs w:val="31"/>
          <w:highlight w:val="none"/>
        </w:rPr>
        <w:t xml:space="preserve"> </w:t>
      </w:r>
      <w:r>
        <w:rPr>
          <w:rFonts w:ascii="宋体" w:hAnsi="宋体" w:eastAsia="宋体" w:cs="宋体"/>
          <w:color w:val="auto"/>
          <w:spacing w:val="26"/>
          <w:position w:val="6"/>
          <w:sz w:val="31"/>
          <w:szCs w:val="31"/>
          <w:highlight w:val="none"/>
          <w14:textOutline w14:w="5791" w14:cap="flat" w14:cmpd="sng" w14:algn="ctr">
            <w14:solidFill>
              <w14:srgbClr w14:val="000000"/>
            </w14:solidFill>
            <w14:prstDash w14:val="solid"/>
            <w14:miter w14:val="0"/>
          </w14:textOutline>
        </w:rPr>
        <w:t>部</w:t>
      </w:r>
    </w:p>
    <w:p>
      <w:pPr>
        <w:spacing w:before="2" w:line="224" w:lineRule="auto"/>
        <w:ind w:left="1661"/>
        <w:rPr>
          <w:rFonts w:ascii="宋体" w:hAnsi="宋体" w:eastAsia="宋体" w:cs="宋体"/>
          <w:color w:val="auto"/>
          <w:sz w:val="31"/>
          <w:szCs w:val="31"/>
          <w:highlight w:val="none"/>
        </w:rPr>
      </w:pPr>
      <w:r>
        <w:rPr>
          <w:rFonts w:ascii="宋体" w:hAnsi="宋体" w:eastAsia="宋体" w:cs="宋体"/>
          <w:color w:val="auto"/>
          <w:spacing w:val="29"/>
          <w:sz w:val="31"/>
          <w:szCs w:val="31"/>
          <w:highlight w:val="none"/>
          <w14:textOutline w14:w="5791" w14:cap="flat" w14:cmpd="sng" w14:algn="ctr">
            <w14:solidFill>
              <w14:srgbClr w14:val="000000"/>
            </w14:solidFill>
            <w14:prstDash w14:val="solid"/>
            <w14:miter w14:val="0"/>
          </w14:textOutline>
        </w:rPr>
        <w:t>国家工商行政管理总</w:t>
      </w:r>
      <w:r>
        <w:rPr>
          <w:rFonts w:ascii="宋体" w:hAnsi="宋体" w:eastAsia="宋体" w:cs="宋体"/>
          <w:color w:val="auto"/>
          <w:spacing w:val="27"/>
          <w:sz w:val="31"/>
          <w:szCs w:val="31"/>
          <w:highlight w:val="none"/>
          <w14:textOutline w14:w="5791" w14:cap="flat" w14:cmpd="sng" w14:algn="ctr">
            <w14:solidFill>
              <w14:srgbClr w14:val="000000"/>
            </w14:solidFill>
            <w14:prstDash w14:val="solid"/>
            <w14:miter w14:val="0"/>
          </w14:textOutline>
        </w:rPr>
        <w:t>局</w:t>
      </w:r>
    </w:p>
    <w:p>
      <w:pPr>
        <w:rPr>
          <w:color w:val="auto"/>
          <w:highlight w:val="none"/>
        </w:rPr>
        <w:sectPr>
          <w:footerReference r:id="rId13" w:type="default"/>
          <w:pgSz w:w="11907" w:h="16839"/>
          <w:pgMar w:top="1440" w:right="1080" w:bottom="1440" w:left="1080" w:header="0" w:footer="1037" w:gutter="0"/>
          <w:cols w:space="720" w:num="1"/>
        </w:sectPr>
      </w:pPr>
    </w:p>
    <w:p>
      <w:pPr>
        <w:spacing w:line="255" w:lineRule="auto"/>
        <w:rPr>
          <w:color w:val="auto"/>
          <w:highlight w:val="none"/>
        </w:rPr>
      </w:pPr>
    </w:p>
    <w:p>
      <w:pPr>
        <w:spacing w:line="256" w:lineRule="auto"/>
        <w:rPr>
          <w:color w:val="auto"/>
          <w:highlight w:val="none"/>
        </w:rPr>
      </w:pPr>
    </w:p>
    <w:p>
      <w:pPr>
        <w:pStyle w:val="21"/>
        <w:spacing w:line="340" w:lineRule="exact"/>
        <w:jc w:val="center"/>
        <w:rPr>
          <w:rFonts w:ascii="宋体" w:cs="宋体"/>
          <w:color w:val="auto"/>
          <w:highlight w:val="none"/>
        </w:rPr>
      </w:pPr>
      <w:bookmarkStart w:id="25" w:name="_Toc1858"/>
      <w:bookmarkStart w:id="26" w:name="_Toc14698"/>
      <w:bookmarkStart w:id="27" w:name="_Toc27303"/>
      <w:bookmarkStart w:id="28" w:name="_Toc1063"/>
      <w:bookmarkStart w:id="29" w:name="_Toc256000031"/>
      <w:bookmarkStart w:id="30" w:name="_Toc522201558"/>
      <w:bookmarkStart w:id="31" w:name="_Toc6184"/>
      <w:bookmarkStart w:id="32" w:name="_Toc351203652"/>
      <w:r>
        <w:rPr>
          <w:rFonts w:hint="eastAsia" w:ascii="宋体" w:cs="宋体"/>
          <w:color w:val="auto"/>
          <w:highlight w:val="none"/>
        </w:rPr>
        <w:t>第一部分 合同协议书</w:t>
      </w:r>
      <w:bookmarkEnd w:id="25"/>
      <w:bookmarkEnd w:id="26"/>
      <w:bookmarkEnd w:id="27"/>
      <w:bookmarkEnd w:id="28"/>
      <w:bookmarkEnd w:id="29"/>
      <w:bookmarkEnd w:id="30"/>
      <w:bookmarkEnd w:id="31"/>
    </w:p>
    <w:p>
      <w:pPr>
        <w:pStyle w:val="20"/>
        <w:adjustRightInd w:val="0"/>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rPr>
        <w:t>发包人（全称）：</w:t>
      </w:r>
      <w:r>
        <w:rPr>
          <w:rFonts w:hint="eastAsia" w:ascii="宋体" w:hAnsi="宋体" w:cs="宋体"/>
          <w:color w:val="auto"/>
          <w:szCs w:val="21"/>
          <w:highlight w:val="none"/>
          <w:u w:val="single"/>
        </w:rPr>
        <w:t xml:space="preserve">                       </w:t>
      </w:r>
    </w:p>
    <w:p>
      <w:pPr>
        <w:pStyle w:val="20"/>
        <w:adjustRightInd w:val="0"/>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rPr>
        <w:t>承包人（全称）：</w:t>
      </w:r>
      <w:r>
        <w:rPr>
          <w:rFonts w:hint="eastAsia" w:ascii="宋体" w:hAnsi="宋体" w:cs="宋体"/>
          <w:color w:val="auto"/>
          <w:szCs w:val="21"/>
          <w:highlight w:val="none"/>
          <w:u w:val="single"/>
        </w:rPr>
        <w:t xml:space="preserve">                       </w:t>
      </w:r>
    </w:p>
    <w:p>
      <w:pPr>
        <w:pStyle w:val="20"/>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根据《中华人民共和国民法典》、《中华人民共和国建筑法》及有关法律规定，遵循平等、自愿、公平和诚实信用的原则，双方就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工程施工及有关事项协商一致，共同达成如下协议：</w:t>
      </w:r>
      <w:bookmarkStart w:id="33" w:name="_Toc351203481"/>
    </w:p>
    <w:p>
      <w:pPr>
        <w:pStyle w:val="25"/>
        <w:adjustRightInd w:val="0"/>
        <w:snapToGrid w:val="0"/>
        <w:spacing w:line="400" w:lineRule="exact"/>
        <w:ind w:firstLine="422"/>
        <w:outlineLvl w:val="0"/>
        <w:rPr>
          <w:rFonts w:ascii="宋体" w:hAnsi="宋体" w:cs="宋体"/>
          <w:b/>
          <w:color w:val="auto"/>
          <w:highlight w:val="none"/>
        </w:rPr>
      </w:pPr>
      <w:bookmarkStart w:id="34" w:name="_Toc19512"/>
      <w:bookmarkStart w:id="35" w:name="_Toc32537"/>
      <w:bookmarkStart w:id="36" w:name="_Toc26416"/>
      <w:bookmarkStart w:id="37" w:name="_Toc942"/>
      <w:bookmarkStart w:id="38" w:name="_Toc522201559"/>
      <w:bookmarkStart w:id="39" w:name="_Toc20764"/>
      <w:bookmarkStart w:id="40" w:name="_Toc406419153"/>
      <w:bookmarkStart w:id="41" w:name="_Toc406522028"/>
      <w:bookmarkStart w:id="42" w:name="_Toc2732"/>
      <w:r>
        <w:rPr>
          <w:rFonts w:hint="eastAsia" w:ascii="宋体" w:hAnsi="宋体" w:cs="宋体"/>
          <w:b/>
          <w:color w:val="auto"/>
          <w:highlight w:val="none"/>
        </w:rPr>
        <w:t>一、工程概况</w:t>
      </w:r>
      <w:bookmarkEnd w:id="33"/>
      <w:bookmarkEnd w:id="34"/>
      <w:bookmarkEnd w:id="35"/>
      <w:bookmarkEnd w:id="36"/>
      <w:bookmarkEnd w:id="37"/>
      <w:bookmarkEnd w:id="38"/>
      <w:bookmarkEnd w:id="39"/>
      <w:bookmarkEnd w:id="40"/>
      <w:bookmarkEnd w:id="41"/>
      <w:bookmarkEnd w:id="42"/>
    </w:p>
    <w:p>
      <w:pPr>
        <w:pStyle w:val="20"/>
        <w:adjustRightInd w:val="0"/>
        <w:snapToGrid w:val="0"/>
        <w:spacing w:line="400" w:lineRule="exact"/>
        <w:ind w:firstLine="459"/>
        <w:rPr>
          <w:rFonts w:ascii="宋体" w:hAnsi="宋体" w:cs="宋体"/>
          <w:color w:val="auto"/>
          <w:szCs w:val="21"/>
          <w:highlight w:val="none"/>
        </w:rPr>
      </w:pPr>
      <w:r>
        <w:rPr>
          <w:rFonts w:hint="eastAsia" w:ascii="宋体" w:hAnsi="宋体" w:cs="宋体"/>
          <w:color w:val="auto"/>
          <w:szCs w:val="21"/>
          <w:highlight w:val="none"/>
        </w:rPr>
        <w:t>1.工程名称：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0"/>
        <w:adjustRightInd w:val="0"/>
        <w:snapToGrid w:val="0"/>
        <w:spacing w:line="400" w:lineRule="exact"/>
        <w:ind w:firstLine="459"/>
        <w:rPr>
          <w:rFonts w:ascii="宋体" w:hAnsi="宋体" w:cs="宋体"/>
          <w:color w:val="auto"/>
          <w:szCs w:val="21"/>
          <w:highlight w:val="none"/>
        </w:rPr>
      </w:pPr>
      <w:r>
        <w:rPr>
          <w:rFonts w:hint="eastAsia" w:ascii="宋体" w:hAnsi="宋体" w:cs="宋体"/>
          <w:color w:val="auto"/>
          <w:szCs w:val="21"/>
          <w:highlight w:val="none"/>
        </w:rPr>
        <w:t>2.工程地点：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0"/>
        <w:adjustRightInd w:val="0"/>
        <w:snapToGrid w:val="0"/>
        <w:spacing w:line="400" w:lineRule="exact"/>
        <w:ind w:firstLine="459"/>
        <w:rPr>
          <w:rFonts w:ascii="宋体" w:hAnsi="宋体" w:cs="宋体"/>
          <w:color w:val="auto"/>
          <w:szCs w:val="21"/>
          <w:highlight w:val="none"/>
        </w:rPr>
      </w:pPr>
      <w:r>
        <w:rPr>
          <w:rFonts w:hint="eastAsia" w:ascii="宋体" w:hAnsi="宋体" w:cs="宋体"/>
          <w:color w:val="auto"/>
          <w:szCs w:val="21"/>
          <w:highlight w:val="none"/>
        </w:rPr>
        <w:t>3.资金来源：</w:t>
      </w:r>
      <w:r>
        <w:rPr>
          <w:rFonts w:hint="eastAsia" w:ascii="宋体" w:hAnsi="宋体" w:cs="宋体"/>
          <w:color w:val="auto"/>
          <w:szCs w:val="21"/>
          <w:highlight w:val="none"/>
          <w:u w:val="single"/>
        </w:rPr>
        <w:t xml:space="preserve">                       。</w:t>
      </w:r>
    </w:p>
    <w:p>
      <w:pPr>
        <w:pStyle w:val="20"/>
        <w:adjustRightInd w:val="0"/>
        <w:snapToGrid w:val="0"/>
        <w:spacing w:line="400" w:lineRule="exact"/>
        <w:ind w:firstLine="459"/>
        <w:rPr>
          <w:rFonts w:ascii="宋体" w:hAnsi="宋体" w:cs="宋体"/>
          <w:color w:val="auto"/>
          <w:szCs w:val="21"/>
          <w:highlight w:val="none"/>
        </w:rPr>
      </w:pPr>
      <w:r>
        <w:rPr>
          <w:rFonts w:hint="eastAsia" w:ascii="宋体" w:hAnsi="宋体" w:cs="宋体"/>
          <w:color w:val="auto"/>
          <w:szCs w:val="21"/>
          <w:highlight w:val="none"/>
        </w:rPr>
        <w:t>4.工程内容：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0"/>
        <w:adjustRightInd w:val="0"/>
        <w:snapToGrid w:val="0"/>
        <w:spacing w:line="400" w:lineRule="exact"/>
        <w:ind w:firstLine="459"/>
        <w:rPr>
          <w:rFonts w:ascii="宋体" w:hAnsi="宋体" w:cs="宋体"/>
          <w:bCs/>
          <w:color w:val="auto"/>
          <w:szCs w:val="21"/>
          <w:highlight w:val="none"/>
        </w:rPr>
      </w:pPr>
      <w:r>
        <w:rPr>
          <w:rFonts w:hint="eastAsia" w:ascii="宋体" w:hAnsi="宋体" w:cs="宋体"/>
          <w:color w:val="auto"/>
          <w:szCs w:val="21"/>
          <w:highlight w:val="none"/>
        </w:rPr>
        <w:t>5.工程承包范围：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5"/>
        <w:adjustRightInd w:val="0"/>
        <w:snapToGrid w:val="0"/>
        <w:spacing w:line="400" w:lineRule="exact"/>
        <w:ind w:firstLine="422"/>
        <w:outlineLvl w:val="0"/>
        <w:rPr>
          <w:rFonts w:ascii="宋体" w:hAnsi="宋体" w:cs="宋体"/>
          <w:b/>
          <w:color w:val="auto"/>
          <w:highlight w:val="none"/>
        </w:rPr>
      </w:pPr>
      <w:bookmarkStart w:id="43" w:name="_Toc11202"/>
      <w:bookmarkStart w:id="44" w:name="_Toc211"/>
      <w:bookmarkStart w:id="45" w:name="_Toc349"/>
      <w:bookmarkStart w:id="46" w:name="_Toc522201560"/>
      <w:bookmarkStart w:id="47" w:name="_Toc15922"/>
      <w:bookmarkStart w:id="48" w:name="_Toc19935"/>
      <w:bookmarkStart w:id="49" w:name="_Toc406522029"/>
      <w:bookmarkStart w:id="50" w:name="_Toc406419154"/>
      <w:bookmarkStart w:id="51" w:name="_Toc351203482"/>
      <w:bookmarkStart w:id="52" w:name="_Toc22892"/>
      <w:r>
        <w:rPr>
          <w:rFonts w:hint="eastAsia" w:ascii="宋体" w:hAnsi="宋体" w:cs="宋体"/>
          <w:b/>
          <w:color w:val="auto"/>
          <w:highlight w:val="none"/>
        </w:rPr>
        <w:t>二、合同工期</w:t>
      </w:r>
      <w:bookmarkEnd w:id="43"/>
      <w:bookmarkEnd w:id="44"/>
      <w:bookmarkEnd w:id="45"/>
      <w:bookmarkEnd w:id="46"/>
      <w:bookmarkEnd w:id="47"/>
      <w:bookmarkEnd w:id="48"/>
      <w:bookmarkEnd w:id="49"/>
      <w:bookmarkEnd w:id="50"/>
      <w:bookmarkEnd w:id="51"/>
      <w:bookmarkEnd w:id="52"/>
    </w:p>
    <w:p>
      <w:pPr>
        <w:pStyle w:val="20"/>
        <w:adjustRightInd w:val="0"/>
        <w:snapToGrid w:val="0"/>
        <w:spacing w:line="400" w:lineRule="exact"/>
        <w:ind w:firstLine="459"/>
        <w:rPr>
          <w:rFonts w:ascii="宋体" w:hAnsi="宋体" w:cs="宋体"/>
          <w:color w:val="auto"/>
          <w:szCs w:val="21"/>
          <w:highlight w:val="none"/>
        </w:rPr>
      </w:pPr>
      <w:r>
        <w:rPr>
          <w:rFonts w:hint="eastAsia" w:ascii="宋体" w:hAnsi="宋体" w:cs="宋体"/>
          <w:color w:val="auto"/>
          <w:szCs w:val="21"/>
          <w:highlight w:val="none"/>
        </w:rPr>
        <w:t>计划开工日期：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日。（实际开工日期以开工令为准）</w:t>
      </w:r>
    </w:p>
    <w:p>
      <w:pPr>
        <w:pStyle w:val="20"/>
        <w:adjustRightInd w:val="0"/>
        <w:snapToGrid w:val="0"/>
        <w:spacing w:line="400" w:lineRule="exact"/>
        <w:ind w:firstLine="459"/>
        <w:rPr>
          <w:rFonts w:ascii="宋体" w:hAnsi="宋体" w:cs="宋体"/>
          <w:color w:val="auto"/>
          <w:szCs w:val="21"/>
          <w:highlight w:val="none"/>
        </w:rPr>
      </w:pPr>
      <w:r>
        <w:rPr>
          <w:rFonts w:hint="eastAsia" w:ascii="宋体" w:hAnsi="宋体" w:cs="宋体"/>
          <w:color w:val="auto"/>
          <w:szCs w:val="21"/>
          <w:highlight w:val="none"/>
        </w:rPr>
        <w:t>计划竣工日期：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pStyle w:val="20"/>
        <w:adjustRightInd w:val="0"/>
        <w:snapToGrid w:val="0"/>
        <w:spacing w:line="400" w:lineRule="exact"/>
        <w:ind w:firstLine="459"/>
        <w:rPr>
          <w:rFonts w:ascii="宋体" w:hAnsi="宋体" w:cs="宋体"/>
          <w:color w:val="auto"/>
          <w:szCs w:val="21"/>
          <w:highlight w:val="none"/>
        </w:rPr>
      </w:pPr>
      <w:r>
        <w:rPr>
          <w:rFonts w:hint="eastAsia" w:ascii="宋体" w:hAnsi="宋体" w:cs="宋体"/>
          <w:color w:val="auto"/>
          <w:szCs w:val="21"/>
          <w:highlight w:val="none"/>
        </w:rPr>
        <w:t>工期总日历天数：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天。工期总日历天数与根据前述计划开竣工日期计算的工期天数不一致的，以工期总日历天数为准。</w:t>
      </w:r>
    </w:p>
    <w:p>
      <w:pPr>
        <w:pStyle w:val="25"/>
        <w:adjustRightInd w:val="0"/>
        <w:snapToGrid w:val="0"/>
        <w:spacing w:line="400" w:lineRule="exact"/>
        <w:ind w:firstLine="422"/>
        <w:outlineLvl w:val="0"/>
        <w:rPr>
          <w:rFonts w:ascii="宋体" w:hAnsi="宋体" w:cs="宋体"/>
          <w:b/>
          <w:color w:val="auto"/>
          <w:highlight w:val="none"/>
        </w:rPr>
      </w:pPr>
      <w:bookmarkStart w:id="53" w:name="_Toc15469"/>
      <w:bookmarkStart w:id="54" w:name="_Toc522201561"/>
      <w:bookmarkStart w:id="55" w:name="_Toc406522030"/>
      <w:bookmarkStart w:id="56" w:name="_Toc406419155"/>
      <w:bookmarkStart w:id="57" w:name="_Toc28346"/>
      <w:bookmarkStart w:id="58" w:name="_Toc18863"/>
      <w:bookmarkStart w:id="59" w:name="_Toc15140"/>
      <w:bookmarkStart w:id="60" w:name="_Toc12524"/>
      <w:bookmarkStart w:id="61" w:name="_Toc20974"/>
      <w:bookmarkStart w:id="62" w:name="_Toc351203483"/>
      <w:r>
        <w:rPr>
          <w:rFonts w:hint="eastAsia" w:ascii="宋体" w:hAnsi="宋体" w:cs="宋体"/>
          <w:b/>
          <w:color w:val="auto"/>
          <w:highlight w:val="none"/>
        </w:rPr>
        <w:t>三、质量标准</w:t>
      </w:r>
      <w:bookmarkEnd w:id="53"/>
      <w:bookmarkEnd w:id="54"/>
      <w:bookmarkEnd w:id="55"/>
      <w:bookmarkEnd w:id="56"/>
      <w:bookmarkEnd w:id="57"/>
      <w:bookmarkEnd w:id="58"/>
      <w:bookmarkEnd w:id="59"/>
      <w:bookmarkEnd w:id="60"/>
      <w:bookmarkEnd w:id="61"/>
      <w:bookmarkEnd w:id="62"/>
    </w:p>
    <w:p>
      <w:pPr>
        <w:pStyle w:val="20"/>
        <w:adjustRightInd w:val="0"/>
        <w:snapToGrid w:val="0"/>
        <w:spacing w:line="400" w:lineRule="exact"/>
        <w:ind w:firstLine="459"/>
        <w:rPr>
          <w:rFonts w:ascii="宋体" w:hAnsi="宋体" w:cs="宋体"/>
          <w:color w:val="auto"/>
          <w:szCs w:val="21"/>
          <w:highlight w:val="none"/>
        </w:rPr>
      </w:pPr>
      <w:r>
        <w:rPr>
          <w:rFonts w:hint="eastAsia" w:ascii="宋体" w:hAnsi="宋体" w:cs="宋体"/>
          <w:color w:val="auto"/>
          <w:szCs w:val="21"/>
          <w:highlight w:val="none"/>
        </w:rPr>
        <w:t>工程质量符合</w:t>
      </w:r>
      <w:r>
        <w:rPr>
          <w:rFonts w:hint="eastAsia" w:ascii="宋体" w:hAnsi="宋体" w:cs="宋体"/>
          <w:color w:val="auto"/>
          <w:szCs w:val="21"/>
          <w:highlight w:val="none"/>
          <w:u w:val="single"/>
        </w:rPr>
        <w:t xml:space="preserve"> 合格 </w:t>
      </w:r>
      <w:r>
        <w:rPr>
          <w:rFonts w:hint="eastAsia" w:ascii="宋体" w:hAnsi="宋体" w:cs="宋体"/>
          <w:color w:val="auto"/>
          <w:szCs w:val="21"/>
          <w:highlight w:val="none"/>
        </w:rPr>
        <w:t>标准。</w:t>
      </w:r>
    </w:p>
    <w:p>
      <w:pPr>
        <w:pStyle w:val="25"/>
        <w:adjustRightInd w:val="0"/>
        <w:snapToGrid w:val="0"/>
        <w:spacing w:line="400" w:lineRule="exact"/>
        <w:ind w:firstLine="422"/>
        <w:outlineLvl w:val="0"/>
        <w:rPr>
          <w:rFonts w:ascii="宋体" w:hAnsi="宋体" w:cs="宋体"/>
          <w:b/>
          <w:color w:val="auto"/>
          <w:highlight w:val="none"/>
        </w:rPr>
      </w:pPr>
      <w:bookmarkStart w:id="63" w:name="_Toc18819"/>
      <w:bookmarkStart w:id="64" w:name="_Toc406419156"/>
      <w:bookmarkStart w:id="65" w:name="_Toc351203484"/>
      <w:bookmarkStart w:id="66" w:name="_Toc29473"/>
      <w:bookmarkStart w:id="67" w:name="_Toc14449"/>
      <w:bookmarkStart w:id="68" w:name="_Toc26862"/>
      <w:bookmarkStart w:id="69" w:name="_Toc8031"/>
      <w:bookmarkStart w:id="70" w:name="_Toc406522031"/>
      <w:bookmarkStart w:id="71" w:name="_Toc522201562"/>
      <w:bookmarkStart w:id="72" w:name="_Toc27953"/>
      <w:r>
        <w:rPr>
          <w:rFonts w:hint="eastAsia" w:ascii="宋体" w:hAnsi="宋体" w:cs="宋体"/>
          <w:b/>
          <w:color w:val="auto"/>
          <w:highlight w:val="none"/>
        </w:rPr>
        <w:t>四、签约合同价与合同价格形式</w:t>
      </w:r>
      <w:bookmarkEnd w:id="63"/>
      <w:bookmarkEnd w:id="64"/>
      <w:bookmarkEnd w:id="65"/>
      <w:bookmarkEnd w:id="66"/>
      <w:bookmarkEnd w:id="67"/>
      <w:bookmarkEnd w:id="68"/>
      <w:bookmarkEnd w:id="69"/>
      <w:bookmarkEnd w:id="70"/>
      <w:bookmarkEnd w:id="71"/>
      <w:bookmarkEnd w:id="72"/>
    </w:p>
    <w:p>
      <w:pPr>
        <w:pStyle w:val="20"/>
        <w:adjustRightInd w:val="0"/>
        <w:snapToGrid w:val="0"/>
        <w:spacing w:line="400" w:lineRule="exact"/>
        <w:ind w:firstLine="459"/>
        <w:rPr>
          <w:rFonts w:ascii="宋体" w:hAnsi="宋体" w:cs="宋体"/>
          <w:color w:val="auto"/>
          <w:szCs w:val="21"/>
          <w:highlight w:val="none"/>
        </w:rPr>
      </w:pPr>
      <w:r>
        <w:rPr>
          <w:rFonts w:hint="eastAsia" w:ascii="宋体" w:hAnsi="宋体" w:cs="宋体"/>
          <w:color w:val="auto"/>
          <w:szCs w:val="21"/>
          <w:highlight w:val="none"/>
        </w:rPr>
        <w:t>1. 签约合同价为：</w:t>
      </w:r>
    </w:p>
    <w:p>
      <w:pPr>
        <w:pStyle w:val="20"/>
        <w:adjustRightInd w:val="0"/>
        <w:snapToGrid w:val="0"/>
        <w:spacing w:line="400" w:lineRule="exact"/>
        <w:ind w:firstLine="525" w:firstLineChars="250"/>
        <w:jc w:val="left"/>
        <w:rPr>
          <w:rFonts w:ascii="宋体" w:hAnsi="宋体" w:cs="宋体"/>
          <w:color w:val="auto"/>
          <w:szCs w:val="21"/>
          <w:highlight w:val="none"/>
        </w:rPr>
      </w:pPr>
      <w:r>
        <w:rPr>
          <w:rFonts w:hint="eastAsia" w:ascii="宋体" w:hAnsi="宋体" w:cs="宋体"/>
          <w:color w:val="auto"/>
          <w:szCs w:val="21"/>
          <w:highlight w:val="none"/>
        </w:rPr>
        <w:t>总价：人民币（大写）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pStyle w:val="20"/>
        <w:adjustRightInd w:val="0"/>
        <w:snapToGrid w:val="0"/>
        <w:spacing w:line="40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其中：</w:t>
      </w:r>
    </w:p>
    <w:p>
      <w:pPr>
        <w:pStyle w:val="20"/>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（1）投标报价：</w:t>
      </w:r>
    </w:p>
    <w:p>
      <w:pPr>
        <w:pStyle w:val="20"/>
        <w:adjustRightInd w:val="0"/>
        <w:snapToGrid w:val="0"/>
        <w:spacing w:line="400" w:lineRule="exact"/>
        <w:ind w:firstLine="978" w:firstLineChars="466"/>
        <w:rPr>
          <w:rFonts w:ascii="宋体" w:hAnsi="宋体" w:cs="宋体"/>
          <w:color w:val="auto"/>
          <w:szCs w:val="21"/>
          <w:highlight w:val="none"/>
        </w:rPr>
      </w:pPr>
      <w:r>
        <w:rPr>
          <w:rFonts w:hint="eastAsia" w:ascii="宋体" w:hAnsi="宋体" w:cs="宋体"/>
          <w:color w:val="auto"/>
          <w:szCs w:val="21"/>
          <w:highlight w:val="none"/>
        </w:rPr>
        <w:t>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pStyle w:val="20"/>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（2）安全文明施工费：</w:t>
      </w:r>
    </w:p>
    <w:p>
      <w:pPr>
        <w:pStyle w:val="20"/>
        <w:adjustRightInd w:val="0"/>
        <w:snapToGrid w:val="0"/>
        <w:spacing w:line="400" w:lineRule="exact"/>
        <w:ind w:firstLine="978" w:firstLineChars="466"/>
        <w:rPr>
          <w:rFonts w:ascii="宋体" w:hAnsi="宋体" w:cs="宋体"/>
          <w:color w:val="auto"/>
          <w:szCs w:val="21"/>
          <w:highlight w:val="none"/>
        </w:rPr>
      </w:pPr>
      <w:r>
        <w:rPr>
          <w:rFonts w:hint="eastAsia" w:ascii="宋体" w:hAnsi="宋体" w:cs="宋体"/>
          <w:color w:val="auto"/>
          <w:szCs w:val="21"/>
          <w:highlight w:val="none"/>
        </w:rPr>
        <w:t>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pStyle w:val="20"/>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（3）规费：人民币（大写）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pStyle w:val="20"/>
        <w:adjustRightInd w:val="0"/>
        <w:snapToGrid w:val="0"/>
        <w:spacing w:line="400" w:lineRule="exact"/>
        <w:ind w:firstLine="1050" w:firstLineChars="500"/>
        <w:rPr>
          <w:rFonts w:ascii="宋体" w:hAnsi="宋体" w:cs="宋体"/>
          <w:color w:val="auto"/>
          <w:szCs w:val="21"/>
          <w:highlight w:val="none"/>
        </w:rPr>
      </w:pPr>
      <w:r>
        <w:rPr>
          <w:rFonts w:hint="eastAsia" w:ascii="宋体" w:hAnsi="宋体" w:cs="宋体"/>
          <w:color w:val="auto"/>
          <w:szCs w:val="21"/>
          <w:highlight w:val="none"/>
        </w:rPr>
        <w:t>其中社会保险费：</w:t>
      </w:r>
    </w:p>
    <w:p>
      <w:pPr>
        <w:pStyle w:val="20"/>
        <w:adjustRightInd w:val="0"/>
        <w:snapToGrid w:val="0"/>
        <w:spacing w:line="400" w:lineRule="exact"/>
        <w:ind w:left="420" w:leftChars="200" w:firstLine="638" w:firstLineChars="304"/>
        <w:rPr>
          <w:rFonts w:ascii="宋体" w:hAnsi="宋体" w:cs="宋体"/>
          <w:color w:val="auto"/>
          <w:szCs w:val="21"/>
          <w:highlight w:val="none"/>
        </w:rPr>
      </w:pPr>
      <w:r>
        <w:rPr>
          <w:rFonts w:hint="eastAsia" w:ascii="宋体" w:hAnsi="宋体" w:cs="宋体"/>
          <w:color w:val="auto"/>
          <w:szCs w:val="21"/>
          <w:highlight w:val="none"/>
        </w:rPr>
        <w:t>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pStyle w:val="20"/>
        <w:adjustRightInd w:val="0"/>
        <w:snapToGrid w:val="0"/>
        <w:spacing w:line="400" w:lineRule="exact"/>
        <w:ind w:firstLine="945" w:firstLineChars="450"/>
        <w:rPr>
          <w:rFonts w:ascii="宋体" w:hAnsi="宋体" w:cs="宋体"/>
          <w:color w:val="auto"/>
          <w:szCs w:val="21"/>
          <w:highlight w:val="none"/>
        </w:rPr>
      </w:pPr>
      <w:r>
        <w:rPr>
          <w:rFonts w:hint="eastAsia" w:ascii="宋体" w:hAnsi="宋体" w:cs="宋体"/>
          <w:color w:val="auto"/>
          <w:szCs w:val="21"/>
          <w:highlight w:val="none"/>
        </w:rPr>
        <w:t>其他：人民币（大写）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pStyle w:val="20"/>
        <w:numPr>
          <w:ilvl w:val="0"/>
          <w:numId w:val="2"/>
        </w:numPr>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增值税/税费：</w:t>
      </w:r>
    </w:p>
    <w:p>
      <w:pPr>
        <w:pStyle w:val="20"/>
        <w:adjustRightInd w:val="0"/>
        <w:snapToGrid w:val="0"/>
        <w:spacing w:line="400" w:lineRule="exact"/>
        <w:ind w:left="420" w:leftChars="200" w:firstLine="420" w:firstLineChars="200"/>
        <w:rPr>
          <w:rFonts w:ascii="宋体" w:hAnsi="宋体" w:cs="宋体"/>
          <w:color w:val="auto"/>
          <w:szCs w:val="21"/>
          <w:highlight w:val="none"/>
        </w:rPr>
      </w:pPr>
      <w:r>
        <w:rPr>
          <w:rFonts w:hint="eastAsia" w:ascii="宋体" w:hAnsi="宋体" w:cs="宋体"/>
          <w:color w:val="auto"/>
          <w:szCs w:val="21"/>
          <w:highlight w:val="none"/>
        </w:rPr>
        <w:t>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pStyle w:val="20"/>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（5）材料和工程设备暂估价金额：</w:t>
      </w:r>
    </w:p>
    <w:p>
      <w:pPr>
        <w:pStyle w:val="20"/>
        <w:adjustRightInd w:val="0"/>
        <w:snapToGrid w:val="0"/>
        <w:spacing w:line="400" w:lineRule="exact"/>
        <w:ind w:firstLine="945" w:firstLineChars="450"/>
        <w:rPr>
          <w:rFonts w:ascii="宋体" w:hAnsi="宋体" w:cs="宋体"/>
          <w:color w:val="auto"/>
          <w:szCs w:val="21"/>
          <w:highlight w:val="none"/>
        </w:rPr>
      </w:pPr>
      <w:r>
        <w:rPr>
          <w:rFonts w:hint="eastAsia" w:ascii="宋体" w:hAnsi="宋体" w:cs="宋体"/>
          <w:color w:val="auto"/>
          <w:szCs w:val="21"/>
          <w:highlight w:val="none"/>
        </w:rPr>
        <w:t>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pStyle w:val="20"/>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（6）专业工程暂估价金额：</w:t>
      </w:r>
    </w:p>
    <w:p>
      <w:pPr>
        <w:pStyle w:val="20"/>
        <w:adjustRightInd w:val="0"/>
        <w:snapToGrid w:val="0"/>
        <w:spacing w:line="400" w:lineRule="exact"/>
        <w:ind w:firstLine="945" w:firstLineChars="450"/>
        <w:rPr>
          <w:rFonts w:ascii="宋体" w:hAnsi="宋体" w:cs="宋体"/>
          <w:color w:val="auto"/>
          <w:szCs w:val="21"/>
          <w:highlight w:val="none"/>
        </w:rPr>
      </w:pPr>
      <w:r>
        <w:rPr>
          <w:rFonts w:hint="eastAsia" w:ascii="宋体" w:hAnsi="宋体" w:cs="宋体"/>
          <w:color w:val="auto"/>
          <w:szCs w:val="21"/>
          <w:highlight w:val="none"/>
        </w:rPr>
        <w:t xml:space="preserve">人民币（大写）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pStyle w:val="20"/>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（7）暂列金额：</w:t>
      </w:r>
    </w:p>
    <w:p>
      <w:pPr>
        <w:pStyle w:val="20"/>
        <w:adjustRightInd w:val="0"/>
        <w:snapToGrid w:val="0"/>
        <w:spacing w:line="400" w:lineRule="exact"/>
        <w:ind w:firstLine="945" w:firstLineChars="450"/>
        <w:rPr>
          <w:rFonts w:ascii="宋体" w:hAnsi="宋体" w:cs="宋体"/>
          <w:color w:val="auto"/>
          <w:szCs w:val="21"/>
          <w:highlight w:val="none"/>
        </w:rPr>
      </w:pPr>
      <w:r>
        <w:rPr>
          <w:rFonts w:hint="eastAsia" w:ascii="宋体" w:hAnsi="宋体" w:cs="宋体"/>
          <w:color w:val="auto"/>
          <w:szCs w:val="21"/>
          <w:highlight w:val="none"/>
        </w:rPr>
        <w:t>人民币（大写）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pStyle w:val="20"/>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 根据市住建〔2016〕34号文《关于市建成区、临桂新区、灵川县范围内建筑工程新增扬尘防治费用的通知》，另计扬尘防治费，本项目扬尘防治费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p>
    <w:p>
      <w:pPr>
        <w:pStyle w:val="20"/>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 合同价格形式：</w:t>
      </w:r>
      <w:r>
        <w:rPr>
          <w:rFonts w:hint="eastAsia" w:ascii="宋体" w:hAnsi="宋体" w:cs="宋体"/>
          <w:color w:val="auto"/>
          <w:szCs w:val="21"/>
          <w:highlight w:val="none"/>
          <w:u w:val="single"/>
        </w:rPr>
        <w:t>采用固定综合单价合同形式</w:t>
      </w:r>
      <w:r>
        <w:rPr>
          <w:rFonts w:hint="eastAsia" w:ascii="宋体" w:hAnsi="宋体" w:cs="宋体"/>
          <w:color w:val="auto"/>
          <w:szCs w:val="21"/>
          <w:highlight w:val="none"/>
        </w:rPr>
        <w:t>。</w:t>
      </w:r>
    </w:p>
    <w:p>
      <w:pPr>
        <w:pStyle w:val="25"/>
        <w:adjustRightInd w:val="0"/>
        <w:snapToGrid w:val="0"/>
        <w:spacing w:line="400" w:lineRule="exact"/>
        <w:ind w:firstLine="422"/>
        <w:outlineLvl w:val="0"/>
        <w:rPr>
          <w:rFonts w:ascii="宋体" w:hAnsi="宋体" w:cs="宋体"/>
          <w:b/>
          <w:color w:val="auto"/>
          <w:highlight w:val="none"/>
        </w:rPr>
      </w:pPr>
      <w:bookmarkStart w:id="73" w:name="_Toc351203485"/>
      <w:bookmarkStart w:id="74" w:name="_Toc406522032"/>
      <w:bookmarkStart w:id="75" w:name="_Toc8377"/>
      <w:bookmarkStart w:id="76" w:name="_Toc406419157"/>
      <w:bookmarkStart w:id="77" w:name="_Toc10860"/>
      <w:bookmarkStart w:id="78" w:name="_Toc18320"/>
      <w:bookmarkStart w:id="79" w:name="_Toc28229"/>
      <w:bookmarkStart w:id="80" w:name="_Toc522201563"/>
      <w:bookmarkStart w:id="81" w:name="_Toc3292"/>
      <w:bookmarkStart w:id="82" w:name="_Toc28569"/>
      <w:r>
        <w:rPr>
          <w:rFonts w:hint="eastAsia" w:ascii="宋体" w:hAnsi="宋体" w:cs="宋体"/>
          <w:b/>
          <w:color w:val="auto"/>
          <w:highlight w:val="none"/>
        </w:rPr>
        <w:t>五、</w:t>
      </w:r>
      <w:bookmarkEnd w:id="73"/>
      <w:r>
        <w:rPr>
          <w:rFonts w:hint="eastAsia" w:ascii="宋体" w:hAnsi="宋体" w:cs="宋体"/>
          <w:b/>
          <w:color w:val="auto"/>
          <w:highlight w:val="none"/>
        </w:rPr>
        <w:t>项目经理</w:t>
      </w:r>
      <w:bookmarkEnd w:id="74"/>
      <w:bookmarkEnd w:id="75"/>
      <w:bookmarkEnd w:id="76"/>
      <w:bookmarkEnd w:id="77"/>
      <w:bookmarkEnd w:id="78"/>
      <w:bookmarkEnd w:id="79"/>
      <w:bookmarkEnd w:id="80"/>
      <w:bookmarkEnd w:id="81"/>
      <w:bookmarkEnd w:id="82"/>
    </w:p>
    <w:p>
      <w:pPr>
        <w:pStyle w:val="20"/>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承包人项目经理：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5"/>
        <w:adjustRightInd w:val="0"/>
        <w:snapToGrid w:val="0"/>
        <w:spacing w:line="400" w:lineRule="exact"/>
        <w:ind w:firstLine="422"/>
        <w:outlineLvl w:val="0"/>
        <w:rPr>
          <w:rFonts w:ascii="宋体" w:hAnsi="宋体" w:cs="宋体"/>
          <w:b/>
          <w:color w:val="auto"/>
          <w:highlight w:val="none"/>
        </w:rPr>
      </w:pPr>
      <w:bookmarkStart w:id="83" w:name="_Toc7192"/>
      <w:bookmarkStart w:id="84" w:name="_Toc406522033"/>
      <w:bookmarkStart w:id="85" w:name="_Toc351203486"/>
      <w:bookmarkStart w:id="86" w:name="_Toc22942"/>
      <w:bookmarkStart w:id="87" w:name="_Toc32754"/>
      <w:bookmarkStart w:id="88" w:name="_Toc3185"/>
      <w:bookmarkStart w:id="89" w:name="_Toc406419158"/>
      <w:bookmarkStart w:id="90" w:name="_Toc522201564"/>
      <w:bookmarkStart w:id="91" w:name="_Toc17445"/>
      <w:bookmarkStart w:id="92" w:name="_Toc23735"/>
      <w:r>
        <w:rPr>
          <w:rFonts w:hint="eastAsia" w:ascii="宋体" w:hAnsi="宋体" w:cs="宋体"/>
          <w:b/>
          <w:color w:val="auto"/>
          <w:highlight w:val="none"/>
        </w:rPr>
        <w:t>六、合同文件构成</w:t>
      </w:r>
      <w:bookmarkEnd w:id="83"/>
      <w:bookmarkEnd w:id="84"/>
      <w:bookmarkEnd w:id="85"/>
      <w:bookmarkEnd w:id="86"/>
      <w:bookmarkEnd w:id="87"/>
      <w:bookmarkEnd w:id="88"/>
      <w:bookmarkEnd w:id="89"/>
      <w:bookmarkEnd w:id="90"/>
      <w:bookmarkEnd w:id="91"/>
      <w:bookmarkEnd w:id="92"/>
    </w:p>
    <w:p>
      <w:pPr>
        <w:pStyle w:val="20"/>
        <w:adjustRightInd w:val="0"/>
        <w:snapToGrid w:val="0"/>
        <w:spacing w:line="400" w:lineRule="exact"/>
        <w:ind w:firstLine="420" w:firstLineChars="200"/>
        <w:rPr>
          <w:rFonts w:ascii="宋体" w:hAnsi="宋体" w:cs="宋体"/>
          <w:color w:val="auto"/>
          <w:szCs w:val="21"/>
          <w:highlight w:val="none"/>
        </w:rPr>
      </w:pPr>
      <w:bookmarkStart w:id="93" w:name="_Toc351203487"/>
      <w:bookmarkStart w:id="94" w:name="_Toc406522034"/>
      <w:bookmarkStart w:id="95" w:name="_Toc7021"/>
      <w:bookmarkStart w:id="96" w:name="_Toc406419159"/>
      <w:r>
        <w:rPr>
          <w:rFonts w:hint="eastAsia" w:ascii="宋体" w:hAnsi="宋体" w:cs="宋体"/>
          <w:color w:val="auto"/>
          <w:szCs w:val="21"/>
          <w:highlight w:val="none"/>
        </w:rPr>
        <w:t>本协议书与下列文件一起构成合同文件：</w:t>
      </w:r>
    </w:p>
    <w:p>
      <w:pPr>
        <w:pStyle w:val="20"/>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（1）中标通知书（如果有）；</w:t>
      </w:r>
    </w:p>
    <w:p>
      <w:pPr>
        <w:pStyle w:val="20"/>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（2）投标函及其附录（如果有）； </w:t>
      </w:r>
    </w:p>
    <w:p>
      <w:pPr>
        <w:pStyle w:val="20"/>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（3）专用合同条款及其附件；</w:t>
      </w:r>
    </w:p>
    <w:p>
      <w:pPr>
        <w:pStyle w:val="20"/>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（4）通用合同条款；</w:t>
      </w:r>
    </w:p>
    <w:p>
      <w:pPr>
        <w:pStyle w:val="20"/>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（5）技术标准和要求；</w:t>
      </w:r>
    </w:p>
    <w:p>
      <w:pPr>
        <w:pStyle w:val="20"/>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（6）图纸；</w:t>
      </w:r>
    </w:p>
    <w:p>
      <w:pPr>
        <w:pStyle w:val="20"/>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（7）已标价工程量清单或预算书；</w:t>
      </w:r>
    </w:p>
    <w:p>
      <w:pPr>
        <w:pStyle w:val="20"/>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（8）其他合同文件。</w:t>
      </w:r>
    </w:p>
    <w:p>
      <w:pPr>
        <w:pStyle w:val="20"/>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在合同订立及履行过程中形成的与合同有关的文件均构成合同文件组成部分。</w:t>
      </w:r>
    </w:p>
    <w:p>
      <w:pPr>
        <w:pStyle w:val="20"/>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上述各项合同文件包括合同当事人就该项合同文件所作出的补充和修改，属于同一类内容的文件，应以最新签署的为准。专用合同条款及其附件须经合同当事人签字或盖章。</w:t>
      </w:r>
    </w:p>
    <w:p>
      <w:pPr>
        <w:pStyle w:val="25"/>
        <w:adjustRightInd w:val="0"/>
        <w:snapToGrid w:val="0"/>
        <w:spacing w:line="400" w:lineRule="exact"/>
        <w:ind w:firstLine="422"/>
        <w:outlineLvl w:val="0"/>
        <w:rPr>
          <w:rFonts w:ascii="宋体" w:hAnsi="宋体" w:cs="宋体"/>
          <w:b/>
          <w:color w:val="auto"/>
          <w:highlight w:val="none"/>
        </w:rPr>
      </w:pPr>
      <w:bookmarkStart w:id="97" w:name="_Toc522201565"/>
      <w:bookmarkStart w:id="98" w:name="_Toc3860"/>
      <w:bookmarkStart w:id="99" w:name="_Toc4228"/>
      <w:bookmarkStart w:id="100" w:name="_Toc29127"/>
      <w:bookmarkStart w:id="101" w:name="_Toc24875"/>
      <w:bookmarkStart w:id="102" w:name="_Toc25856"/>
      <w:r>
        <w:rPr>
          <w:rFonts w:hint="eastAsia" w:ascii="宋体" w:hAnsi="宋体" w:cs="宋体"/>
          <w:b/>
          <w:color w:val="auto"/>
          <w:highlight w:val="none"/>
        </w:rPr>
        <w:t>七、承诺</w:t>
      </w:r>
      <w:bookmarkEnd w:id="93"/>
      <w:bookmarkEnd w:id="94"/>
      <w:bookmarkEnd w:id="95"/>
      <w:bookmarkEnd w:id="96"/>
      <w:bookmarkEnd w:id="97"/>
      <w:bookmarkEnd w:id="98"/>
      <w:bookmarkEnd w:id="99"/>
      <w:bookmarkEnd w:id="100"/>
      <w:bookmarkEnd w:id="101"/>
      <w:bookmarkEnd w:id="102"/>
    </w:p>
    <w:p>
      <w:pPr>
        <w:pStyle w:val="20"/>
        <w:adjustRightInd w:val="0"/>
        <w:snapToGrid w:val="0"/>
        <w:spacing w:line="400" w:lineRule="exact"/>
        <w:ind w:firstLine="420" w:firstLineChars="200"/>
        <w:rPr>
          <w:rFonts w:ascii="宋体" w:hAnsi="宋体" w:cs="宋体"/>
          <w:color w:val="auto"/>
          <w:szCs w:val="21"/>
          <w:highlight w:val="none"/>
        </w:rPr>
      </w:pPr>
      <w:bookmarkStart w:id="103" w:name="_Toc406522035"/>
      <w:bookmarkStart w:id="104" w:name="_Toc11962"/>
      <w:bookmarkStart w:id="105" w:name="_Toc351203488"/>
      <w:bookmarkStart w:id="106" w:name="_Toc406419160"/>
      <w:r>
        <w:rPr>
          <w:rFonts w:hint="eastAsia" w:ascii="宋体" w:hAnsi="宋体" w:cs="宋体"/>
          <w:color w:val="auto"/>
          <w:szCs w:val="21"/>
          <w:highlight w:val="none"/>
        </w:rPr>
        <w:t>1.发包人承诺按照法律规定履行项目审批手续、筹集工程建设资金并按照合同约定的期限和方式支付合同价款。</w:t>
      </w:r>
    </w:p>
    <w:p>
      <w:pPr>
        <w:pStyle w:val="20"/>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2.承包人承诺按照法律规定及合同约定组织完成工程施工，确保工程质量和安全，不进行转包及违法分包，并在缺陷责任期及保修期内承担相应的工程维修责任。</w:t>
      </w:r>
    </w:p>
    <w:p>
      <w:pPr>
        <w:pStyle w:val="20"/>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3.发包人和承包人通过招投标形式签订合同的，双方理解并承诺不再就同一工程另行签订与合同实质性内容相背离的协议。</w:t>
      </w:r>
    </w:p>
    <w:p>
      <w:pPr>
        <w:pStyle w:val="25"/>
        <w:adjustRightInd w:val="0"/>
        <w:snapToGrid w:val="0"/>
        <w:spacing w:line="400" w:lineRule="exact"/>
        <w:ind w:firstLine="422"/>
        <w:outlineLvl w:val="0"/>
        <w:rPr>
          <w:rFonts w:ascii="宋体" w:hAnsi="宋体" w:cs="宋体"/>
          <w:b/>
          <w:color w:val="auto"/>
          <w:highlight w:val="none"/>
        </w:rPr>
      </w:pPr>
      <w:bookmarkStart w:id="107" w:name="_Toc19946"/>
      <w:bookmarkStart w:id="108" w:name="_Toc7874"/>
      <w:bookmarkStart w:id="109" w:name="_Toc3641"/>
      <w:bookmarkStart w:id="110" w:name="_Toc15431"/>
      <w:bookmarkStart w:id="111" w:name="_Toc19121"/>
      <w:bookmarkStart w:id="112" w:name="_Toc522201566"/>
      <w:r>
        <w:rPr>
          <w:rFonts w:hint="eastAsia" w:ascii="宋体" w:hAnsi="宋体" w:cs="宋体"/>
          <w:b/>
          <w:color w:val="auto"/>
          <w:highlight w:val="none"/>
        </w:rPr>
        <w:t>八、词语含义</w:t>
      </w:r>
      <w:bookmarkEnd w:id="103"/>
      <w:bookmarkEnd w:id="104"/>
      <w:bookmarkEnd w:id="105"/>
      <w:bookmarkEnd w:id="106"/>
      <w:bookmarkEnd w:id="107"/>
      <w:bookmarkEnd w:id="108"/>
      <w:bookmarkEnd w:id="109"/>
      <w:bookmarkEnd w:id="110"/>
      <w:bookmarkEnd w:id="111"/>
      <w:bookmarkEnd w:id="112"/>
    </w:p>
    <w:p>
      <w:pPr>
        <w:pStyle w:val="20"/>
        <w:adjustRightInd w:val="0"/>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本协议书中词语含义与第二部分通用合同条款中赋予的含义相同。</w:t>
      </w:r>
    </w:p>
    <w:p>
      <w:pPr>
        <w:pStyle w:val="25"/>
        <w:adjustRightInd w:val="0"/>
        <w:snapToGrid w:val="0"/>
        <w:spacing w:line="400" w:lineRule="exact"/>
        <w:ind w:firstLine="422"/>
        <w:outlineLvl w:val="0"/>
        <w:rPr>
          <w:rFonts w:ascii="宋体" w:hAnsi="宋体" w:cs="宋体"/>
          <w:b/>
          <w:color w:val="auto"/>
          <w:highlight w:val="none"/>
        </w:rPr>
      </w:pPr>
      <w:bookmarkStart w:id="113" w:name="_Toc351203489"/>
      <w:bookmarkStart w:id="114" w:name="_Toc522201567"/>
      <w:bookmarkStart w:id="115" w:name="_Toc14003"/>
      <w:bookmarkStart w:id="116" w:name="_Toc20817"/>
      <w:bookmarkStart w:id="117" w:name="_Toc18102"/>
      <w:bookmarkStart w:id="118" w:name="_Toc3934"/>
      <w:bookmarkStart w:id="119" w:name="_Toc406419161"/>
      <w:bookmarkStart w:id="120" w:name="_Toc27797"/>
      <w:bookmarkStart w:id="121" w:name="_Toc22011"/>
      <w:bookmarkStart w:id="122" w:name="_Toc406522036"/>
      <w:r>
        <w:rPr>
          <w:rFonts w:hint="eastAsia" w:ascii="宋体" w:hAnsi="宋体" w:cs="宋体"/>
          <w:b/>
          <w:color w:val="auto"/>
          <w:highlight w:val="none"/>
        </w:rPr>
        <w:t>九、签订时间</w:t>
      </w:r>
      <w:bookmarkEnd w:id="113"/>
      <w:bookmarkEnd w:id="114"/>
      <w:bookmarkEnd w:id="115"/>
      <w:bookmarkEnd w:id="116"/>
      <w:bookmarkEnd w:id="117"/>
      <w:bookmarkEnd w:id="118"/>
      <w:bookmarkEnd w:id="119"/>
      <w:bookmarkEnd w:id="120"/>
      <w:bookmarkEnd w:id="121"/>
      <w:bookmarkEnd w:id="122"/>
    </w:p>
    <w:p>
      <w:pPr>
        <w:pStyle w:val="20"/>
        <w:adjustRightInd w:val="0"/>
        <w:snapToGrid w:val="0"/>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本合同于</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年</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月</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日签订。</w:t>
      </w:r>
    </w:p>
    <w:p>
      <w:pPr>
        <w:pStyle w:val="25"/>
        <w:adjustRightInd w:val="0"/>
        <w:snapToGrid w:val="0"/>
        <w:spacing w:line="400" w:lineRule="exact"/>
        <w:ind w:firstLine="422"/>
        <w:outlineLvl w:val="0"/>
        <w:rPr>
          <w:rFonts w:ascii="宋体" w:hAnsi="宋体" w:cs="宋体"/>
          <w:b/>
          <w:color w:val="auto"/>
          <w:highlight w:val="none"/>
        </w:rPr>
      </w:pPr>
      <w:bookmarkStart w:id="123" w:name="_Toc351203490"/>
      <w:bookmarkStart w:id="124" w:name="_Toc406522037"/>
      <w:bookmarkStart w:id="125" w:name="_Toc24427"/>
      <w:bookmarkStart w:id="126" w:name="_Toc522201568"/>
      <w:bookmarkStart w:id="127" w:name="_Toc3692"/>
      <w:bookmarkStart w:id="128" w:name="_Toc21579"/>
      <w:bookmarkStart w:id="129" w:name="_Toc28415"/>
      <w:bookmarkStart w:id="130" w:name="_Toc6625"/>
      <w:bookmarkStart w:id="131" w:name="_Toc29932"/>
      <w:bookmarkStart w:id="132" w:name="_Toc406419162"/>
      <w:r>
        <w:rPr>
          <w:rFonts w:hint="eastAsia" w:ascii="宋体" w:hAnsi="宋体" w:cs="宋体"/>
          <w:b/>
          <w:color w:val="auto"/>
          <w:highlight w:val="none"/>
        </w:rPr>
        <w:t>十、签订地点</w:t>
      </w:r>
      <w:bookmarkEnd w:id="123"/>
      <w:bookmarkEnd w:id="124"/>
      <w:bookmarkEnd w:id="125"/>
      <w:bookmarkEnd w:id="126"/>
      <w:bookmarkEnd w:id="127"/>
      <w:bookmarkEnd w:id="128"/>
      <w:bookmarkEnd w:id="129"/>
      <w:bookmarkEnd w:id="130"/>
      <w:bookmarkEnd w:id="131"/>
      <w:bookmarkEnd w:id="132"/>
    </w:p>
    <w:p>
      <w:pPr>
        <w:pStyle w:val="20"/>
        <w:adjustRightInd w:val="0"/>
        <w:snapToGrid w:val="0"/>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本合同在</w:t>
      </w:r>
      <w:r>
        <w:rPr>
          <w:rFonts w:hint="eastAsia" w:ascii="宋体" w:hAnsi="宋体" w:cs="宋体"/>
          <w:bCs/>
          <w:color w:val="auto"/>
          <w:szCs w:val="21"/>
          <w:highlight w:val="none"/>
          <w:u w:val="single"/>
        </w:rPr>
        <w:t xml:space="preserve">  广西桂林市龙胜县 </w:t>
      </w:r>
      <w:r>
        <w:rPr>
          <w:rFonts w:hint="eastAsia" w:ascii="宋体" w:hAnsi="宋体" w:cs="宋体"/>
          <w:bCs/>
          <w:color w:val="auto"/>
          <w:szCs w:val="21"/>
          <w:highlight w:val="none"/>
        </w:rPr>
        <w:t>签订。</w:t>
      </w:r>
    </w:p>
    <w:p>
      <w:pPr>
        <w:pStyle w:val="25"/>
        <w:adjustRightInd w:val="0"/>
        <w:snapToGrid w:val="0"/>
        <w:spacing w:line="400" w:lineRule="exact"/>
        <w:ind w:firstLine="422"/>
        <w:outlineLvl w:val="0"/>
        <w:rPr>
          <w:rFonts w:ascii="宋体" w:hAnsi="宋体" w:cs="宋体"/>
          <w:b/>
          <w:color w:val="auto"/>
          <w:highlight w:val="none"/>
        </w:rPr>
      </w:pPr>
      <w:bookmarkStart w:id="133" w:name="_Toc9576"/>
      <w:bookmarkStart w:id="134" w:name="_Toc406522038"/>
      <w:bookmarkStart w:id="135" w:name="_Toc24600"/>
      <w:bookmarkStart w:id="136" w:name="_Toc4159"/>
      <w:bookmarkStart w:id="137" w:name="_Toc351203491"/>
      <w:bookmarkStart w:id="138" w:name="_Toc22501"/>
      <w:bookmarkStart w:id="139" w:name="_Toc11004"/>
      <w:bookmarkStart w:id="140" w:name="_Toc406419163"/>
      <w:bookmarkStart w:id="141" w:name="_Toc522201569"/>
      <w:bookmarkStart w:id="142" w:name="_Toc15340"/>
      <w:r>
        <w:rPr>
          <w:rFonts w:hint="eastAsia" w:ascii="宋体" w:hAnsi="宋体" w:cs="宋体"/>
          <w:b/>
          <w:color w:val="auto"/>
          <w:highlight w:val="none"/>
        </w:rPr>
        <w:t>十一、补充协议</w:t>
      </w:r>
      <w:bookmarkEnd w:id="133"/>
      <w:bookmarkEnd w:id="134"/>
      <w:bookmarkEnd w:id="135"/>
      <w:bookmarkEnd w:id="136"/>
      <w:bookmarkEnd w:id="137"/>
      <w:bookmarkEnd w:id="138"/>
      <w:bookmarkEnd w:id="139"/>
      <w:bookmarkEnd w:id="140"/>
      <w:bookmarkEnd w:id="141"/>
      <w:bookmarkEnd w:id="142"/>
    </w:p>
    <w:p>
      <w:pPr>
        <w:pStyle w:val="20"/>
        <w:adjustRightInd w:val="0"/>
        <w:snapToGrid w:val="0"/>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合同未尽事宜，合同当事人另行签订补充协议，补充协议是合同的组成部分。</w:t>
      </w:r>
    </w:p>
    <w:p>
      <w:pPr>
        <w:pStyle w:val="25"/>
        <w:adjustRightInd w:val="0"/>
        <w:snapToGrid w:val="0"/>
        <w:spacing w:line="400" w:lineRule="exact"/>
        <w:ind w:firstLine="422"/>
        <w:outlineLvl w:val="0"/>
        <w:rPr>
          <w:rFonts w:ascii="宋体" w:hAnsi="宋体" w:cs="宋体"/>
          <w:b/>
          <w:color w:val="auto"/>
          <w:highlight w:val="none"/>
        </w:rPr>
      </w:pPr>
      <w:bookmarkStart w:id="143" w:name="_Toc406419164"/>
      <w:bookmarkStart w:id="144" w:name="_Toc19343"/>
      <w:bookmarkStart w:id="145" w:name="_Toc3996"/>
      <w:bookmarkStart w:id="146" w:name="_Toc406522039"/>
      <w:bookmarkStart w:id="147" w:name="_Toc16757"/>
      <w:bookmarkStart w:id="148" w:name="_Toc12175"/>
      <w:bookmarkStart w:id="149" w:name="_Toc522201570"/>
      <w:bookmarkStart w:id="150" w:name="_Toc12766"/>
      <w:bookmarkStart w:id="151" w:name="_Toc351203492"/>
      <w:bookmarkStart w:id="152" w:name="_Toc32443"/>
      <w:r>
        <w:rPr>
          <w:rFonts w:hint="eastAsia" w:ascii="宋体" w:hAnsi="宋体" w:cs="宋体"/>
          <w:b/>
          <w:color w:val="auto"/>
          <w:highlight w:val="none"/>
        </w:rPr>
        <w:t>十二、合同生效</w:t>
      </w:r>
      <w:bookmarkEnd w:id="143"/>
      <w:bookmarkEnd w:id="144"/>
      <w:bookmarkEnd w:id="145"/>
      <w:bookmarkEnd w:id="146"/>
      <w:bookmarkEnd w:id="147"/>
      <w:bookmarkEnd w:id="148"/>
      <w:bookmarkEnd w:id="149"/>
      <w:bookmarkEnd w:id="150"/>
      <w:bookmarkEnd w:id="151"/>
      <w:bookmarkEnd w:id="152"/>
    </w:p>
    <w:p>
      <w:pPr>
        <w:pStyle w:val="20"/>
        <w:adjustRightInd w:val="0"/>
        <w:snapToGrid w:val="0"/>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本合同自</w:t>
      </w:r>
      <w:r>
        <w:rPr>
          <w:rFonts w:hint="eastAsia" w:ascii="宋体" w:hAnsi="宋体" w:cs="宋体"/>
          <w:bCs/>
          <w:color w:val="auto"/>
          <w:szCs w:val="21"/>
          <w:highlight w:val="none"/>
          <w:u w:val="single"/>
        </w:rPr>
        <w:t xml:space="preserve">  </w:t>
      </w:r>
      <w:r>
        <w:rPr>
          <w:rFonts w:hint="eastAsia" w:ascii="宋体" w:hAnsi="宋体" w:cs="宋体"/>
          <w:color w:val="auto"/>
          <w:szCs w:val="21"/>
          <w:highlight w:val="none"/>
          <w:u w:val="single"/>
        </w:rPr>
        <w:t>双方法定代表人或其委托代理人签字或盖章并加盖单位公章后</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生效。</w:t>
      </w:r>
    </w:p>
    <w:p>
      <w:pPr>
        <w:pStyle w:val="25"/>
        <w:adjustRightInd w:val="0"/>
        <w:snapToGrid w:val="0"/>
        <w:spacing w:line="400" w:lineRule="exact"/>
        <w:ind w:firstLine="422"/>
        <w:outlineLvl w:val="0"/>
        <w:rPr>
          <w:rFonts w:ascii="宋体" w:hAnsi="宋体" w:cs="宋体"/>
          <w:b/>
          <w:color w:val="auto"/>
          <w:highlight w:val="none"/>
        </w:rPr>
      </w:pPr>
      <w:bookmarkStart w:id="153" w:name="_Toc23010"/>
      <w:bookmarkStart w:id="154" w:name="_Toc21153"/>
      <w:bookmarkStart w:id="155" w:name="_Toc23745"/>
      <w:bookmarkStart w:id="156" w:name="_Toc406419165"/>
      <w:bookmarkStart w:id="157" w:name="_Toc351203493"/>
      <w:bookmarkStart w:id="158" w:name="_Toc406522040"/>
      <w:bookmarkStart w:id="159" w:name="_Toc14945"/>
      <w:bookmarkStart w:id="160" w:name="_Toc26212"/>
      <w:bookmarkStart w:id="161" w:name="_Toc522201571"/>
      <w:bookmarkStart w:id="162" w:name="_Toc28605"/>
      <w:r>
        <w:rPr>
          <w:rFonts w:hint="eastAsia" w:ascii="宋体" w:hAnsi="宋体" w:cs="宋体"/>
          <w:b/>
          <w:color w:val="auto"/>
          <w:highlight w:val="none"/>
        </w:rPr>
        <w:t>十三、合同份数</w:t>
      </w:r>
      <w:bookmarkEnd w:id="153"/>
      <w:bookmarkEnd w:id="154"/>
      <w:bookmarkEnd w:id="155"/>
      <w:bookmarkEnd w:id="156"/>
      <w:bookmarkEnd w:id="157"/>
      <w:bookmarkEnd w:id="158"/>
      <w:bookmarkEnd w:id="159"/>
      <w:bookmarkEnd w:id="160"/>
      <w:bookmarkEnd w:id="161"/>
      <w:bookmarkEnd w:id="162"/>
    </w:p>
    <w:p>
      <w:pPr>
        <w:pStyle w:val="20"/>
        <w:adjustRightInd w:val="0"/>
        <w:snapToGrid w:val="0"/>
        <w:spacing w:line="40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本合同一式</w:t>
      </w:r>
      <w:r>
        <w:rPr>
          <w:rFonts w:hint="eastAsia" w:ascii="宋体" w:hAnsi="宋体" w:cs="宋体"/>
          <w:bCs/>
          <w:color w:val="auto"/>
          <w:szCs w:val="21"/>
          <w:highlight w:val="none"/>
          <w:u w:val="single"/>
        </w:rPr>
        <w:t xml:space="preserve"> 拾 </w:t>
      </w:r>
      <w:r>
        <w:rPr>
          <w:rFonts w:hint="eastAsia" w:ascii="宋体" w:hAnsi="宋体" w:cs="宋体"/>
          <w:bCs/>
          <w:color w:val="auto"/>
          <w:szCs w:val="21"/>
          <w:highlight w:val="none"/>
        </w:rPr>
        <w:t>份，均具有同等法律效力，发包人执</w:t>
      </w:r>
      <w:r>
        <w:rPr>
          <w:rFonts w:hint="eastAsia" w:ascii="宋体" w:hAnsi="宋体" w:cs="宋体"/>
          <w:bCs/>
          <w:color w:val="auto"/>
          <w:szCs w:val="21"/>
          <w:highlight w:val="none"/>
          <w:u w:val="single"/>
        </w:rPr>
        <w:t xml:space="preserve">  肆  </w:t>
      </w:r>
      <w:r>
        <w:rPr>
          <w:rFonts w:hint="eastAsia" w:ascii="宋体" w:hAnsi="宋体" w:cs="宋体"/>
          <w:bCs/>
          <w:color w:val="auto"/>
          <w:szCs w:val="21"/>
          <w:highlight w:val="none"/>
        </w:rPr>
        <w:t>份，承包人执</w:t>
      </w:r>
      <w:r>
        <w:rPr>
          <w:rFonts w:hint="eastAsia" w:ascii="宋体" w:hAnsi="宋体" w:cs="宋体"/>
          <w:bCs/>
          <w:color w:val="auto"/>
          <w:szCs w:val="21"/>
          <w:highlight w:val="none"/>
          <w:u w:val="single"/>
        </w:rPr>
        <w:t xml:space="preserve"> 肆 </w:t>
      </w:r>
      <w:r>
        <w:rPr>
          <w:rFonts w:hint="eastAsia" w:ascii="宋体" w:hAnsi="宋体" w:cs="宋体"/>
          <w:bCs/>
          <w:color w:val="auto"/>
          <w:szCs w:val="21"/>
          <w:highlight w:val="none"/>
        </w:rPr>
        <w:t>份，招标代理机构执</w:t>
      </w:r>
      <w:r>
        <w:rPr>
          <w:rFonts w:hint="eastAsia" w:ascii="宋体" w:hAnsi="宋体" w:cs="宋体"/>
          <w:bCs/>
          <w:color w:val="auto"/>
          <w:szCs w:val="21"/>
          <w:highlight w:val="none"/>
          <w:u w:val="single"/>
        </w:rPr>
        <w:t xml:space="preserve"> 贰 </w:t>
      </w:r>
      <w:r>
        <w:rPr>
          <w:rFonts w:hint="eastAsia" w:ascii="宋体" w:hAnsi="宋体" w:cs="宋体"/>
          <w:bCs/>
          <w:color w:val="auto"/>
          <w:szCs w:val="21"/>
          <w:highlight w:val="none"/>
        </w:rPr>
        <w:t>份。</w:t>
      </w:r>
    </w:p>
    <w:p>
      <w:pPr>
        <w:pStyle w:val="20"/>
        <w:adjustRightInd w:val="0"/>
        <w:snapToGrid w:val="0"/>
        <w:spacing w:line="400" w:lineRule="exact"/>
        <w:ind w:firstLine="420" w:firstLineChars="200"/>
        <w:rPr>
          <w:rFonts w:ascii="宋体" w:hAnsi="宋体" w:cs="宋体"/>
          <w:bCs/>
          <w:color w:val="auto"/>
          <w:szCs w:val="21"/>
          <w:highlight w:val="none"/>
        </w:rPr>
      </w:pPr>
    </w:p>
    <w:p>
      <w:pPr>
        <w:pStyle w:val="20"/>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发包人：  </w:t>
      </w:r>
    </w:p>
    <w:p>
      <w:pPr>
        <w:pStyle w:val="20"/>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（盖章）                           承包人：  （盖章）</w:t>
      </w:r>
    </w:p>
    <w:p>
      <w:pPr>
        <w:pStyle w:val="20"/>
        <w:adjustRightInd w:val="0"/>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rPr>
        <w:t xml:space="preserve">                                 </w:t>
      </w:r>
    </w:p>
    <w:p>
      <w:pPr>
        <w:pStyle w:val="20"/>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法定代表人或其委托代理人：                    法定代表人或其委托代理人：</w:t>
      </w:r>
    </w:p>
    <w:p>
      <w:pPr>
        <w:pStyle w:val="20"/>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 xml:space="preserve">（签字或盖章）                               （签字或盖章）   </w:t>
      </w:r>
    </w:p>
    <w:p>
      <w:pPr>
        <w:pStyle w:val="20"/>
        <w:adjustRightInd w:val="0"/>
        <w:snapToGrid w:val="0"/>
        <w:spacing w:line="400" w:lineRule="exact"/>
        <w:rPr>
          <w:rFonts w:ascii="宋体" w:hAnsi="宋体" w:cs="宋体"/>
          <w:color w:val="auto"/>
          <w:szCs w:val="21"/>
          <w:highlight w:val="none"/>
          <w:u w:val="single"/>
        </w:rPr>
      </w:pPr>
    </w:p>
    <w:p>
      <w:pPr>
        <w:pStyle w:val="20"/>
        <w:tabs>
          <w:tab w:val="left" w:pos="4410"/>
        </w:tabs>
        <w:adjustRightInd w:val="0"/>
        <w:snapToGrid w:val="0"/>
        <w:spacing w:line="400" w:lineRule="exact"/>
        <w:rPr>
          <w:rFonts w:ascii="宋体" w:hAnsi="宋体" w:cs="宋体"/>
          <w:color w:val="auto"/>
          <w:szCs w:val="21"/>
          <w:highlight w:val="none"/>
        </w:rPr>
      </w:pPr>
      <w:r>
        <w:rPr>
          <w:rFonts w:hint="eastAsia" w:ascii="宋体" w:hAnsi="宋体" w:cs="宋体"/>
          <w:bCs/>
          <w:color w:val="auto"/>
          <w:szCs w:val="21"/>
          <w:highlight w:val="none"/>
        </w:rPr>
        <w:t>统一社会信用</w:t>
      </w:r>
      <w:r>
        <w:rPr>
          <w:rFonts w:hint="eastAsia" w:ascii="宋体" w:hAnsi="宋体" w:cs="宋体"/>
          <w:color w:val="auto"/>
          <w:szCs w:val="21"/>
          <w:highlight w:val="none"/>
        </w:rPr>
        <w:t>代码：</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 xml:space="preserve">            统一社会信用</w:t>
      </w:r>
      <w:r>
        <w:rPr>
          <w:rFonts w:hint="eastAsia" w:ascii="宋体" w:hAnsi="宋体" w:cs="宋体"/>
          <w:color w:val="auto"/>
          <w:szCs w:val="21"/>
          <w:highlight w:val="none"/>
        </w:rPr>
        <w:t>代码：</w:t>
      </w:r>
      <w:r>
        <w:rPr>
          <w:rFonts w:hint="eastAsia" w:ascii="宋体" w:hAnsi="宋体" w:cs="宋体"/>
          <w:bCs/>
          <w:color w:val="auto"/>
          <w:szCs w:val="21"/>
          <w:highlight w:val="none"/>
          <w:u w:val="single"/>
        </w:rPr>
        <w:t xml:space="preserve">                </w:t>
      </w:r>
    </w:p>
    <w:p>
      <w:pPr>
        <w:pStyle w:val="20"/>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地  址：</w:t>
      </w:r>
      <w:r>
        <w:rPr>
          <w:rFonts w:hint="eastAsia" w:ascii="宋体" w:hAnsi="宋体" w:cs="宋体"/>
          <w:bCs/>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地  址：</w:t>
      </w:r>
      <w:r>
        <w:rPr>
          <w:rFonts w:hint="eastAsia" w:ascii="宋体" w:hAnsi="宋体" w:cs="宋体"/>
          <w:bCs/>
          <w:color w:val="auto"/>
          <w:szCs w:val="21"/>
          <w:highlight w:val="none"/>
          <w:u w:val="single"/>
        </w:rPr>
        <w:t xml:space="preserve">                          </w:t>
      </w:r>
    </w:p>
    <w:p>
      <w:pPr>
        <w:pStyle w:val="20"/>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邮政编码：</w:t>
      </w:r>
      <w:r>
        <w:rPr>
          <w:rFonts w:hint="eastAsia" w:ascii="宋体" w:hAnsi="宋体" w:cs="宋体"/>
          <w:bCs/>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邮政编码：</w:t>
      </w:r>
      <w:r>
        <w:rPr>
          <w:rFonts w:hint="eastAsia" w:ascii="宋体" w:hAnsi="宋体" w:cs="宋体"/>
          <w:bCs/>
          <w:color w:val="auto"/>
          <w:szCs w:val="21"/>
          <w:highlight w:val="none"/>
          <w:u w:val="single"/>
        </w:rPr>
        <w:t xml:space="preserve">                        </w:t>
      </w:r>
    </w:p>
    <w:p>
      <w:pPr>
        <w:pStyle w:val="20"/>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法定代表人：</w:t>
      </w:r>
      <w:r>
        <w:rPr>
          <w:rFonts w:hint="eastAsia" w:ascii="宋体" w:hAnsi="宋体" w:cs="宋体"/>
          <w:bCs/>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法定代表人：</w:t>
      </w:r>
      <w:r>
        <w:rPr>
          <w:rFonts w:hint="eastAsia" w:ascii="宋体" w:hAnsi="宋体" w:cs="宋体"/>
          <w:bCs/>
          <w:color w:val="auto"/>
          <w:szCs w:val="21"/>
          <w:highlight w:val="none"/>
          <w:u w:val="single"/>
        </w:rPr>
        <w:t xml:space="preserve">                         </w:t>
      </w:r>
    </w:p>
    <w:p>
      <w:pPr>
        <w:pStyle w:val="20"/>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委托代理人：</w:t>
      </w:r>
      <w:r>
        <w:rPr>
          <w:rFonts w:hint="eastAsia" w:ascii="宋体" w:hAnsi="宋体" w:cs="宋体"/>
          <w:bCs/>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委托代理人：</w:t>
      </w:r>
      <w:r>
        <w:rPr>
          <w:rFonts w:hint="eastAsia" w:ascii="宋体" w:hAnsi="宋体" w:cs="宋体"/>
          <w:bCs/>
          <w:color w:val="auto"/>
          <w:szCs w:val="21"/>
          <w:highlight w:val="none"/>
          <w:u w:val="single"/>
        </w:rPr>
        <w:t xml:space="preserve">                          </w:t>
      </w:r>
    </w:p>
    <w:p>
      <w:pPr>
        <w:pStyle w:val="20"/>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电  话：</w:t>
      </w:r>
      <w:r>
        <w:rPr>
          <w:rFonts w:hint="eastAsia" w:ascii="宋体" w:hAnsi="宋体" w:cs="宋体"/>
          <w:bCs/>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电  话：</w:t>
      </w:r>
      <w:r>
        <w:rPr>
          <w:rFonts w:hint="eastAsia" w:ascii="宋体" w:hAnsi="宋体" w:cs="宋体"/>
          <w:bCs/>
          <w:color w:val="auto"/>
          <w:szCs w:val="21"/>
          <w:highlight w:val="none"/>
          <w:u w:val="single"/>
        </w:rPr>
        <w:t xml:space="preserve">                                </w:t>
      </w:r>
    </w:p>
    <w:p>
      <w:pPr>
        <w:pStyle w:val="20"/>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传  真：</w:t>
      </w:r>
      <w:r>
        <w:rPr>
          <w:rFonts w:hint="eastAsia" w:ascii="宋体" w:hAnsi="宋体" w:cs="宋体"/>
          <w:bCs/>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传  真：</w:t>
      </w:r>
      <w:r>
        <w:rPr>
          <w:rFonts w:hint="eastAsia" w:ascii="宋体" w:hAnsi="宋体" w:cs="宋体"/>
          <w:bCs/>
          <w:color w:val="auto"/>
          <w:szCs w:val="21"/>
          <w:highlight w:val="none"/>
          <w:u w:val="single"/>
        </w:rPr>
        <w:t xml:space="preserve">                          </w:t>
      </w:r>
    </w:p>
    <w:p>
      <w:pPr>
        <w:pStyle w:val="20"/>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电子信箱：</w:t>
      </w:r>
      <w:r>
        <w:rPr>
          <w:rFonts w:hint="eastAsia" w:ascii="宋体" w:hAnsi="宋体" w:cs="宋体"/>
          <w:bCs/>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电子信箱：</w:t>
      </w:r>
      <w:r>
        <w:rPr>
          <w:rFonts w:hint="eastAsia" w:ascii="宋体" w:hAnsi="宋体" w:cs="宋体"/>
          <w:bCs/>
          <w:color w:val="auto"/>
          <w:szCs w:val="21"/>
          <w:highlight w:val="none"/>
          <w:u w:val="single"/>
        </w:rPr>
        <w:t xml:space="preserve">                              </w:t>
      </w:r>
    </w:p>
    <w:p>
      <w:pPr>
        <w:pStyle w:val="20"/>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开户银行：</w:t>
      </w:r>
      <w:r>
        <w:rPr>
          <w:rFonts w:hint="eastAsia" w:ascii="宋体" w:hAnsi="宋体" w:cs="宋体"/>
          <w:bCs/>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开户银行：</w:t>
      </w:r>
      <w:r>
        <w:rPr>
          <w:rFonts w:hint="eastAsia" w:ascii="宋体" w:hAnsi="宋体" w:cs="宋体"/>
          <w:bCs/>
          <w:color w:val="auto"/>
          <w:szCs w:val="21"/>
          <w:highlight w:val="none"/>
          <w:u w:val="single"/>
        </w:rPr>
        <w:t xml:space="preserve">                           </w:t>
      </w:r>
    </w:p>
    <w:p>
      <w:pPr>
        <w:pStyle w:val="20"/>
        <w:adjustRightInd w:val="0"/>
        <w:snapToGrid w:val="0"/>
        <w:spacing w:line="400" w:lineRule="exact"/>
        <w:rPr>
          <w:rFonts w:ascii="宋体" w:hAnsi="宋体" w:cs="宋体"/>
          <w:bCs/>
          <w:color w:val="auto"/>
          <w:szCs w:val="21"/>
          <w:highlight w:val="none"/>
          <w:u w:val="single"/>
        </w:rPr>
      </w:pPr>
      <w:r>
        <w:rPr>
          <w:rFonts w:hint="eastAsia" w:ascii="宋体" w:hAnsi="宋体" w:cs="宋体"/>
          <w:color w:val="auto"/>
          <w:szCs w:val="21"/>
          <w:highlight w:val="none"/>
        </w:rPr>
        <w:t>账  号：</w:t>
      </w:r>
      <w:r>
        <w:rPr>
          <w:rFonts w:hint="eastAsia" w:ascii="宋体" w:hAnsi="宋体" w:cs="宋体"/>
          <w:bCs/>
          <w:color w:val="auto"/>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账  号：</w:t>
      </w:r>
      <w:r>
        <w:rPr>
          <w:rFonts w:hint="eastAsia" w:ascii="宋体" w:hAnsi="宋体" w:cs="宋体"/>
          <w:bCs/>
          <w:color w:val="auto"/>
          <w:szCs w:val="21"/>
          <w:highlight w:val="none"/>
          <w:u w:val="single"/>
        </w:rPr>
        <w:t xml:space="preserve">                              </w:t>
      </w:r>
    </w:p>
    <w:p>
      <w:pPr>
        <w:pStyle w:val="20"/>
        <w:adjustRightInd w:val="0"/>
        <w:snapToGrid w:val="0"/>
        <w:spacing w:line="400" w:lineRule="exact"/>
        <w:jc w:val="center"/>
        <w:rPr>
          <w:rFonts w:ascii="宋体" w:hAnsi="宋体" w:cs="宋体"/>
          <w:b/>
          <w:bCs/>
          <w:color w:val="auto"/>
          <w:szCs w:val="21"/>
          <w:highlight w:val="none"/>
        </w:rPr>
      </w:pPr>
    </w:p>
    <w:p>
      <w:pPr>
        <w:pStyle w:val="21"/>
        <w:jc w:val="center"/>
        <w:rPr>
          <w:rFonts w:eastAsia="黑体"/>
          <w:b w:val="0"/>
          <w:bCs w:val="0"/>
          <w:color w:val="auto"/>
          <w:sz w:val="32"/>
          <w:szCs w:val="32"/>
          <w:highlight w:val="none"/>
        </w:rPr>
      </w:pPr>
      <w:r>
        <w:rPr>
          <w:b w:val="0"/>
          <w:bCs w:val="0"/>
          <w:color w:val="auto"/>
          <w:highlight w:val="none"/>
        </w:rPr>
        <w:br w:type="page"/>
      </w:r>
      <w:bookmarkStart w:id="163" w:name="_Toc2370"/>
      <w:bookmarkStart w:id="164" w:name="_Toc351203494"/>
      <w:bookmarkStart w:id="165" w:name="_Toc756"/>
      <w:bookmarkStart w:id="166" w:name="_Toc4058"/>
      <w:bookmarkStart w:id="167" w:name="_Toc256000032"/>
      <w:bookmarkStart w:id="168" w:name="_Toc4799"/>
      <w:bookmarkStart w:id="169" w:name="_Toc3105"/>
      <w:bookmarkStart w:id="170" w:name="_Toc522201572"/>
      <w:bookmarkStart w:id="171" w:name="_Toc9329"/>
      <w:r>
        <w:rPr>
          <w:rFonts w:ascii="宋体"/>
          <w:color w:val="auto"/>
          <w:sz w:val="32"/>
          <w:highlight w:val="none"/>
        </w:rPr>
        <w:t>第二部分 通用合同条款</w:t>
      </w:r>
      <w:bookmarkEnd w:id="163"/>
      <w:bookmarkEnd w:id="164"/>
      <w:bookmarkEnd w:id="165"/>
      <w:bookmarkEnd w:id="166"/>
      <w:bookmarkEnd w:id="167"/>
      <w:bookmarkEnd w:id="168"/>
      <w:bookmarkEnd w:id="169"/>
      <w:bookmarkEnd w:id="170"/>
      <w:bookmarkEnd w:id="171"/>
      <w:bookmarkStart w:id="172" w:name="_Toc337558727"/>
    </w:p>
    <w:bookmarkEnd w:id="172"/>
    <w:p>
      <w:pPr>
        <w:pStyle w:val="21"/>
        <w:spacing w:line="360" w:lineRule="auto"/>
        <w:rPr>
          <w:rFonts w:ascii="宋体" w:cs="宋体"/>
          <w:color w:val="auto"/>
          <w:highlight w:val="none"/>
        </w:rPr>
      </w:pPr>
      <w:bookmarkStart w:id="173" w:name="_Toc351203495"/>
      <w:bookmarkStart w:id="174" w:name="_Toc4877"/>
      <w:bookmarkStart w:id="175" w:name="_Toc7493"/>
      <w:bookmarkStart w:id="176" w:name="_Toc522201573"/>
      <w:bookmarkStart w:id="177" w:name="_Toc497747000"/>
      <w:bookmarkStart w:id="178" w:name="_Toc256000033"/>
      <w:bookmarkStart w:id="179" w:name="_Toc418751618"/>
      <w:bookmarkStart w:id="180" w:name="_Toc418752064"/>
      <w:bookmarkStart w:id="181" w:name="_Toc406522042"/>
      <w:bookmarkStart w:id="182" w:name="_Toc18299"/>
      <w:bookmarkStart w:id="183" w:name="_Toc10387"/>
      <w:bookmarkStart w:id="184" w:name="_Toc6113"/>
      <w:r>
        <w:rPr>
          <w:rFonts w:hint="eastAsia" w:ascii="宋体" w:cs="宋体"/>
          <w:color w:val="auto"/>
          <w:highlight w:val="none"/>
        </w:rPr>
        <w:t>1.</w:t>
      </w:r>
      <w:bookmarkStart w:id="185" w:name="_Toc303538975"/>
      <w:bookmarkEnd w:id="185"/>
      <w:bookmarkStart w:id="186" w:name="_Toc303538976"/>
      <w:bookmarkEnd w:id="186"/>
      <w:bookmarkStart w:id="187" w:name="_Toc303538973"/>
      <w:bookmarkEnd w:id="187"/>
      <w:bookmarkStart w:id="188" w:name="_Toc303538974"/>
      <w:bookmarkEnd w:id="188"/>
      <w:bookmarkStart w:id="189" w:name="_Toc303538972"/>
      <w:bookmarkEnd w:id="189"/>
      <w:bookmarkStart w:id="190" w:name="_Toc296346528"/>
      <w:bookmarkStart w:id="191" w:name="_Toc296503027"/>
      <w:r>
        <w:rPr>
          <w:rFonts w:hint="eastAsia" w:ascii="宋体" w:cs="宋体"/>
          <w:color w:val="auto"/>
          <w:highlight w:val="none"/>
        </w:rPr>
        <w:t xml:space="preserve"> 一般约定</w:t>
      </w:r>
      <w:bookmarkEnd w:id="173"/>
      <w:bookmarkEnd w:id="174"/>
      <w:bookmarkEnd w:id="175"/>
      <w:bookmarkEnd w:id="176"/>
      <w:bookmarkEnd w:id="177"/>
      <w:bookmarkEnd w:id="178"/>
      <w:bookmarkEnd w:id="179"/>
      <w:bookmarkEnd w:id="180"/>
      <w:bookmarkEnd w:id="181"/>
      <w:bookmarkEnd w:id="182"/>
      <w:bookmarkEnd w:id="183"/>
      <w:bookmarkEnd w:id="184"/>
      <w:bookmarkEnd w:id="190"/>
      <w:bookmarkEnd w:id="191"/>
      <w:bookmarkStart w:id="192" w:name="_Toc296346529"/>
      <w:bookmarkStart w:id="193" w:name="_Toc337558728"/>
      <w:bookmarkStart w:id="194" w:name="_Toc296503028"/>
      <w:bookmarkStart w:id="195" w:name="_Toc497747001"/>
      <w:bookmarkStart w:id="196" w:name="_Toc418752065"/>
      <w:bookmarkStart w:id="197" w:name="_Toc418751619"/>
      <w:bookmarkStart w:id="198" w:name="_Toc406522043"/>
      <w:bookmarkStart w:id="199" w:name="_Toc351203496"/>
    </w:p>
    <w:p>
      <w:pPr>
        <w:pStyle w:val="21"/>
        <w:spacing w:line="360" w:lineRule="auto"/>
        <w:ind w:firstLine="422" w:firstLineChars="200"/>
        <w:rPr>
          <w:rFonts w:ascii="宋体" w:cs="宋体"/>
          <w:color w:val="auto"/>
          <w:highlight w:val="none"/>
        </w:rPr>
      </w:pPr>
      <w:bookmarkStart w:id="200" w:name="_Toc10705"/>
      <w:bookmarkStart w:id="201" w:name="_Toc13104"/>
      <w:bookmarkStart w:id="202" w:name="_Toc256000034"/>
      <w:bookmarkStart w:id="203" w:name="_Toc522201574"/>
      <w:bookmarkStart w:id="204" w:name="_Toc29229"/>
      <w:bookmarkStart w:id="205" w:name="_Toc22056"/>
      <w:bookmarkStart w:id="206" w:name="_Toc23037"/>
      <w:r>
        <w:rPr>
          <w:rFonts w:hint="eastAsia" w:ascii="宋体" w:cs="宋体"/>
          <w:color w:val="auto"/>
          <w:highlight w:val="none"/>
        </w:rPr>
        <w:t>1.1词语定义</w:t>
      </w:r>
      <w:bookmarkEnd w:id="192"/>
      <w:bookmarkEnd w:id="193"/>
      <w:bookmarkEnd w:id="194"/>
      <w:r>
        <w:rPr>
          <w:rFonts w:hint="eastAsia" w:ascii="宋体" w:cs="宋体"/>
          <w:color w:val="auto"/>
          <w:highlight w:val="none"/>
        </w:rPr>
        <w:t>与解释</w:t>
      </w:r>
      <w:bookmarkEnd w:id="195"/>
      <w:bookmarkEnd w:id="196"/>
      <w:bookmarkEnd w:id="197"/>
      <w:bookmarkEnd w:id="198"/>
      <w:bookmarkEnd w:id="199"/>
      <w:bookmarkEnd w:id="200"/>
      <w:bookmarkEnd w:id="201"/>
      <w:bookmarkEnd w:id="202"/>
      <w:bookmarkEnd w:id="203"/>
      <w:bookmarkEnd w:id="204"/>
      <w:bookmarkEnd w:id="205"/>
      <w:bookmarkEnd w:id="206"/>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合同协议书、通用合同条款、专用合同条款中的下列词语具有本款所赋予的含义：</w:t>
      </w:r>
    </w:p>
    <w:p>
      <w:pPr>
        <w:pStyle w:val="28"/>
        <w:spacing w:line="360" w:lineRule="auto"/>
        <w:ind w:firstLine="422"/>
        <w:outlineLvl w:val="0"/>
        <w:rPr>
          <w:rFonts w:ascii="宋体" w:hAnsi="宋体" w:cs="宋体"/>
          <w:b/>
          <w:color w:val="auto"/>
          <w:highlight w:val="none"/>
        </w:rPr>
      </w:pPr>
      <w:bookmarkStart w:id="207" w:name="_Toc522201575"/>
      <w:bookmarkStart w:id="208" w:name="_Toc406419169"/>
      <w:bookmarkStart w:id="209" w:name="_Toc27483"/>
      <w:bookmarkStart w:id="210" w:name="_Toc17710"/>
      <w:bookmarkStart w:id="211" w:name="_Toc418752066"/>
      <w:bookmarkStart w:id="212" w:name="_Toc406522044"/>
      <w:bookmarkStart w:id="213" w:name="_Toc23945"/>
      <w:bookmarkStart w:id="214" w:name="_Toc497747002"/>
      <w:bookmarkStart w:id="215" w:name="_Toc25107"/>
      <w:bookmarkStart w:id="216" w:name="_Toc418751620"/>
      <w:bookmarkStart w:id="217" w:name="_Toc20811"/>
      <w:r>
        <w:rPr>
          <w:rFonts w:hint="eastAsia" w:ascii="宋体" w:hAnsi="宋体" w:cs="宋体"/>
          <w:b/>
          <w:color w:val="auto"/>
          <w:highlight w:val="none"/>
        </w:rPr>
        <w:t>1.1.1 合同</w:t>
      </w:r>
      <w:bookmarkEnd w:id="207"/>
      <w:bookmarkEnd w:id="208"/>
      <w:bookmarkEnd w:id="209"/>
      <w:bookmarkEnd w:id="210"/>
      <w:bookmarkEnd w:id="211"/>
      <w:bookmarkEnd w:id="212"/>
      <w:bookmarkEnd w:id="213"/>
      <w:bookmarkEnd w:id="214"/>
      <w:bookmarkEnd w:id="215"/>
      <w:bookmarkEnd w:id="216"/>
      <w:bookmarkEnd w:id="217"/>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bookmarkStart w:id="218" w:name="_Toc497747003"/>
      <w:bookmarkStart w:id="219" w:name="_Toc406419170"/>
      <w:bookmarkStart w:id="220" w:name="_Toc406522045"/>
      <w:bookmarkStart w:id="221" w:name="_Toc418751621"/>
      <w:bookmarkStart w:id="222" w:name="_Toc418752067"/>
      <w:r>
        <w:rPr>
          <w:rFonts w:hint="eastAsia" w:ascii="宋体" w:hAnsi="宋体" w:cs="宋体"/>
          <w:color w:val="auto"/>
          <w:kern w:val="0"/>
          <w:szCs w:val="21"/>
          <w:highlight w:val="none"/>
        </w:rPr>
        <w:t>1.1.1.1 合同：是指根据法律规定和合同当事人约定具有约束力的文件，构成合同的文件包括合同协议书、中标通知书（如果有）、投标函及其附录（如果有）、专用合同条款及其附件、通用合同条款、技术标准和要求、图纸、已标价工程量清单或预算书以及其他合同文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1.1.1.2 合同协议书：是指构成合同的由发包人和承包人共同签署的称为“合同协议书”的书面文件。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1.1.1.3 中标通知书：是指构成合同的由发包人通知承包人中标的书面文件。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1.1.1.4 投标函：是指构成合同的由承包人填写并签署的用于投标的称为“投标函”的文件。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1.1.1.5 投标函附录：是指构成合同的附在投标函后的称为“投标函附录”的文件。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1.1.1.6 技术标准和要求：是指构成合同的施工应当遵守的或指导施工的国家、行业或地方的技术标准和要求，以及合同约定的技术标准和要求。</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1.1.1.7 图纸：是指构成合同的图纸，包括由发包人按照合同约定提供或经发包人批准的设计文件、施工图、鸟瞰图及模型等，以及在合同履行过程中形成的图纸文件。图纸应当按照法律规定审查合格。</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1.1.1.8 已标价工程量清单：是指构成合同的由承包人按照规定的格式和要求填写并标明价格的工程量清单，包括说明和表格。</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1.1.1.9 预算书：是指构成合同的由承包人按照发包人规定的格式和要求编制的工程预算文件。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1.1.1.10 其他合同文件：是指经合同当事人约定的与工程施工有关的具有合同约束力的文件或书面协议。合同当事人可以在专用合同条款中进行约定。</w:t>
      </w:r>
    </w:p>
    <w:p>
      <w:pPr>
        <w:pStyle w:val="28"/>
        <w:spacing w:line="360" w:lineRule="auto"/>
        <w:ind w:firstLine="422"/>
        <w:outlineLvl w:val="0"/>
        <w:rPr>
          <w:rFonts w:ascii="宋体" w:hAnsi="宋体" w:cs="宋体"/>
          <w:b/>
          <w:color w:val="auto"/>
          <w:highlight w:val="none"/>
        </w:rPr>
      </w:pPr>
      <w:bookmarkStart w:id="223" w:name="_Toc19683"/>
      <w:bookmarkStart w:id="224" w:name="_Toc13202"/>
      <w:bookmarkStart w:id="225" w:name="_Toc23866"/>
      <w:bookmarkStart w:id="226" w:name="_Toc522201576"/>
      <w:bookmarkStart w:id="227" w:name="_Toc30212"/>
      <w:bookmarkStart w:id="228" w:name="_Toc605"/>
      <w:r>
        <w:rPr>
          <w:rFonts w:hint="eastAsia" w:ascii="宋体" w:hAnsi="宋体" w:cs="宋体"/>
          <w:b/>
          <w:color w:val="auto"/>
          <w:highlight w:val="none"/>
        </w:rPr>
        <w:t>1.1.2 合同当事人及其他相关方</w:t>
      </w:r>
      <w:bookmarkEnd w:id="218"/>
      <w:bookmarkEnd w:id="219"/>
      <w:bookmarkEnd w:id="220"/>
      <w:bookmarkEnd w:id="221"/>
      <w:bookmarkEnd w:id="222"/>
      <w:bookmarkEnd w:id="223"/>
      <w:bookmarkEnd w:id="224"/>
      <w:bookmarkEnd w:id="225"/>
      <w:bookmarkEnd w:id="226"/>
      <w:bookmarkEnd w:id="227"/>
      <w:bookmarkEnd w:id="228"/>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bookmarkStart w:id="229" w:name="_Toc497747004"/>
      <w:bookmarkStart w:id="230" w:name="_Toc406522046"/>
      <w:bookmarkStart w:id="231" w:name="_Toc418752068"/>
      <w:bookmarkStart w:id="232" w:name="_Toc406419171"/>
      <w:bookmarkStart w:id="233" w:name="_Toc418751622"/>
      <w:r>
        <w:rPr>
          <w:rFonts w:hint="eastAsia" w:ascii="宋体" w:hAnsi="宋体" w:cs="宋体"/>
          <w:color w:val="auto"/>
          <w:kern w:val="0"/>
          <w:szCs w:val="21"/>
          <w:highlight w:val="none"/>
        </w:rPr>
        <w:t>1.1.2.1 合同当事人：是指发包人和（或）承包人。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1.1.2.2 发包人：是指与承包人签订合同协议书的当事人及取得该当事人资格的合法继承人。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1.1.2.3 承包人：是指与发包人签订合同协议书的，具有相应工程施工承包资质的当事人及取得该当事人资格的合法继承人。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1.1.2.4 监理人：是指在专用合同条款中指明的，受发包人委托按照法律规定进行工程监督管理的法人或其他组织。</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1.1.2.5 设计人：是指在专用合同条款中指明的，受发包人委托负责工程设计并具备相应工程设计资质的法人或其他组织。</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1.1.2.6 分包人：</w:t>
      </w:r>
      <w:bookmarkStart w:id="234" w:name="#go5"/>
      <w:bookmarkEnd w:id="234"/>
      <w:r>
        <w:rPr>
          <w:rFonts w:hint="eastAsia" w:ascii="宋体" w:hAnsi="宋体" w:cs="宋体"/>
          <w:color w:val="auto"/>
          <w:kern w:val="0"/>
          <w:szCs w:val="21"/>
          <w:highlight w:val="none"/>
        </w:rPr>
        <w:t>是指按照法律规定和合同约定，分包部分工程或工作，并与承包人签订分包合同的具有相应资质的法人。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1.1.2.7 发包人代表：是指由发包人任命并派驻施工现场在发包人授权范围内行使发包人权利的人。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1.1.2.8 项目经理：是指由承包人任命并派驻施工现场，在承包人授权范围内负责合同履行，且按照法律规定具有相应资格的项目负责人。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1.1.2.9 总监理工程师：是指由监理人任命并派驻施工现场进行工程监理的总负责人。</w:t>
      </w:r>
    </w:p>
    <w:p>
      <w:pPr>
        <w:pStyle w:val="28"/>
        <w:spacing w:line="360" w:lineRule="auto"/>
        <w:ind w:firstLine="422"/>
        <w:outlineLvl w:val="0"/>
        <w:rPr>
          <w:rFonts w:ascii="宋体" w:hAnsi="宋体" w:cs="宋体"/>
          <w:b/>
          <w:color w:val="auto"/>
          <w:highlight w:val="none"/>
        </w:rPr>
      </w:pPr>
      <w:bookmarkStart w:id="235" w:name="_Toc25230"/>
      <w:bookmarkStart w:id="236" w:name="_Toc108"/>
      <w:bookmarkStart w:id="237" w:name="_Toc26675"/>
      <w:bookmarkStart w:id="238" w:name="_Toc522201577"/>
      <w:bookmarkStart w:id="239" w:name="_Toc16517"/>
      <w:bookmarkStart w:id="240" w:name="_Toc22731"/>
      <w:r>
        <w:rPr>
          <w:rFonts w:hint="eastAsia" w:ascii="宋体" w:hAnsi="宋体" w:cs="宋体"/>
          <w:b/>
          <w:color w:val="auto"/>
          <w:highlight w:val="none"/>
        </w:rPr>
        <w:t>1.1.3 工程和设备</w:t>
      </w:r>
      <w:bookmarkEnd w:id="229"/>
      <w:bookmarkEnd w:id="230"/>
      <w:bookmarkEnd w:id="231"/>
      <w:bookmarkEnd w:id="232"/>
      <w:bookmarkEnd w:id="233"/>
      <w:bookmarkEnd w:id="235"/>
      <w:bookmarkEnd w:id="236"/>
      <w:bookmarkEnd w:id="237"/>
      <w:bookmarkEnd w:id="238"/>
      <w:bookmarkEnd w:id="239"/>
      <w:bookmarkEnd w:id="240"/>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bookmarkStart w:id="241" w:name="_Toc497747005"/>
      <w:bookmarkStart w:id="242" w:name="_Toc406419172"/>
      <w:bookmarkStart w:id="243" w:name="_Toc418752069"/>
      <w:bookmarkStart w:id="244" w:name="_Toc406522047"/>
      <w:bookmarkStart w:id="245" w:name="_Toc418751623"/>
      <w:r>
        <w:rPr>
          <w:rFonts w:hint="eastAsia" w:ascii="宋体" w:hAnsi="宋体" w:cs="宋体"/>
          <w:color w:val="auto"/>
          <w:kern w:val="0"/>
          <w:szCs w:val="21"/>
          <w:highlight w:val="none"/>
        </w:rPr>
        <w:t>1.1.3.1 工程：是指与合同协议书中工程承包范围对应的永久工程和（或）临时工程。</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1.1.3.2 永久工程：是指按合同约定建造并移交给发包人的工程，包括工程设备。</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1.1.3.3 临时工程：是指为完成合同约定的永久工程所修建的各类临时性工程，不包括施工设备。</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1.1.3.4 单位工程：是指在合同协议书中指明的，具备独立施工条件并能形成独立使用功能的永久工程。</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1.1.3.5 工程设备：是指构成永久工程的机电设备、金属结构设备、仪器及其他类似的设备和装置。</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1.1.3.6 施工设备：是指为完成合同约定的各项工作所需的设备、器具和其他物品，但不包括工程设备、临时工程和材料。</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1.1.3.7 施工现场：是指用于工程施工的场所，以及在专用合同条款中指明作为施工场所组成部分的其他场所，包括永久占地和临时占地。</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1.1.3.8临时设施：是指为完成合同约定的各项工作所服务的临时性生产和生活设施。</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1.1.3.9 永久占地：是指专用合同条款中指明为实施工程需永久占用的土地。</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1.1.3.10 临时占地：是指专用合同条款中指明为实施工程需要临时占用的土地。</w:t>
      </w:r>
    </w:p>
    <w:p>
      <w:pPr>
        <w:pStyle w:val="28"/>
        <w:spacing w:line="360" w:lineRule="auto"/>
        <w:ind w:firstLine="422"/>
        <w:outlineLvl w:val="0"/>
        <w:rPr>
          <w:rFonts w:ascii="宋体" w:hAnsi="宋体" w:cs="宋体"/>
          <w:b/>
          <w:color w:val="auto"/>
          <w:highlight w:val="none"/>
        </w:rPr>
      </w:pPr>
      <w:bookmarkStart w:id="246" w:name="_Toc6473"/>
      <w:bookmarkStart w:id="247" w:name="_Toc15048"/>
      <w:bookmarkStart w:id="248" w:name="_Toc27149"/>
      <w:bookmarkStart w:id="249" w:name="_Toc27136"/>
      <w:bookmarkStart w:id="250" w:name="_Toc21658"/>
      <w:bookmarkStart w:id="251" w:name="_Toc522201578"/>
      <w:r>
        <w:rPr>
          <w:rFonts w:hint="eastAsia" w:ascii="宋体" w:hAnsi="宋体" w:cs="宋体"/>
          <w:b/>
          <w:color w:val="auto"/>
          <w:highlight w:val="none"/>
        </w:rPr>
        <w:t>1.1.4 日期和期限</w:t>
      </w:r>
      <w:bookmarkEnd w:id="241"/>
      <w:bookmarkEnd w:id="242"/>
      <w:bookmarkEnd w:id="243"/>
      <w:bookmarkEnd w:id="244"/>
      <w:bookmarkEnd w:id="245"/>
      <w:bookmarkEnd w:id="246"/>
      <w:bookmarkEnd w:id="247"/>
      <w:bookmarkEnd w:id="248"/>
      <w:bookmarkEnd w:id="249"/>
      <w:bookmarkEnd w:id="250"/>
      <w:bookmarkEnd w:id="251"/>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bookmarkStart w:id="252" w:name="_Toc418751624"/>
      <w:bookmarkStart w:id="253" w:name="_Toc406419173"/>
      <w:bookmarkStart w:id="254" w:name="_Toc406522048"/>
      <w:bookmarkStart w:id="255" w:name="_Toc497747006"/>
      <w:bookmarkStart w:id="256" w:name="_Toc418752070"/>
      <w:r>
        <w:rPr>
          <w:rFonts w:hint="eastAsia" w:ascii="宋体" w:hAnsi="宋体" w:cs="宋体"/>
          <w:color w:val="auto"/>
          <w:kern w:val="0"/>
          <w:szCs w:val="21"/>
          <w:highlight w:val="none"/>
        </w:rPr>
        <w:t>1.1.4.1 开工日期：包括计划开工日期和实际开工日期。计划开工日期是指合同协议书约定的开工日期；实际开工日期是指监理人按照第7.3.2项〔开工通知〕约定发出的符合法律规定的开工通知中载明的开工日期。</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1.1.4.2 竣工日期：包括计划竣工日期和实际竣工日期。计划竣工日期是指合同协议书约定的竣工日期；实际竣工日期按照第13.2.3项〔竣工日期〕的约定确定。 </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1.1.4.3 工期：是指在合同协议书约定的承包人完成工程所需的期限，包括按照合同约定所作的期限变更。</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1.1.4.4 缺陷责任期：是指承包人按照合同约定承担缺陷修复义务，且发包人预留质量保证金的期限，自工程实际竣工日期起计算。</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1.1.4.5 保修期：是指承包人按照合同约定对工程承担保修责任的期限，从工程竣工验收合格之日起计算。</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1.1.4.6 基准日期：招标发包的工程以投标截止日前28天的日期为基准日期，直接发包的工程以合同签订日前28天的日期为基准日期。</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1.1.4.7 天：除特别指明外，均指日历天。合同中按天计算时间的，开始当天不计入，从次日开始计算，期限最后一天的截止时间为当天24:00时。</w:t>
      </w:r>
    </w:p>
    <w:p>
      <w:pPr>
        <w:pStyle w:val="28"/>
        <w:spacing w:line="360" w:lineRule="auto"/>
        <w:ind w:firstLine="422"/>
        <w:outlineLvl w:val="0"/>
        <w:rPr>
          <w:rFonts w:ascii="宋体" w:hAnsi="宋体" w:cs="宋体"/>
          <w:b/>
          <w:color w:val="auto"/>
          <w:highlight w:val="none"/>
        </w:rPr>
      </w:pPr>
      <w:bookmarkStart w:id="257" w:name="_Toc14938"/>
      <w:bookmarkStart w:id="258" w:name="_Toc11776"/>
      <w:bookmarkStart w:id="259" w:name="_Toc28316"/>
      <w:bookmarkStart w:id="260" w:name="_Toc5356"/>
      <w:bookmarkStart w:id="261" w:name="_Toc522201579"/>
      <w:bookmarkStart w:id="262" w:name="_Toc18100"/>
      <w:r>
        <w:rPr>
          <w:rFonts w:hint="eastAsia" w:ascii="宋体" w:hAnsi="宋体" w:cs="宋体"/>
          <w:b/>
          <w:color w:val="auto"/>
          <w:highlight w:val="none"/>
        </w:rPr>
        <w:t>1.1.5 合同价格和费用</w:t>
      </w:r>
      <w:bookmarkEnd w:id="252"/>
      <w:bookmarkEnd w:id="253"/>
      <w:bookmarkEnd w:id="254"/>
      <w:bookmarkEnd w:id="255"/>
      <w:bookmarkEnd w:id="256"/>
      <w:bookmarkEnd w:id="257"/>
      <w:bookmarkEnd w:id="258"/>
      <w:bookmarkEnd w:id="259"/>
      <w:bookmarkEnd w:id="260"/>
      <w:bookmarkEnd w:id="261"/>
      <w:bookmarkEnd w:id="262"/>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bookmarkStart w:id="263" w:name="_Toc406522049"/>
      <w:bookmarkStart w:id="264" w:name="_Toc418752071"/>
      <w:bookmarkStart w:id="265" w:name="_Toc497747007"/>
      <w:bookmarkStart w:id="266" w:name="_Toc406419174"/>
      <w:bookmarkStart w:id="267" w:name="_Toc418751625"/>
      <w:r>
        <w:rPr>
          <w:rFonts w:hint="eastAsia" w:ascii="宋体" w:hAnsi="宋体" w:cs="宋体"/>
          <w:color w:val="auto"/>
          <w:kern w:val="0"/>
          <w:szCs w:val="21"/>
          <w:highlight w:val="none"/>
        </w:rPr>
        <w:t>1.1.5.1 签约合同价：是指发包人和承包人在合同协议书中确定的总金额，包括安全文明施工费、暂估价及暂列金额等。</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1.1.5.2 合同价格：是指发包人用于支付承包人按照合同约定完成承包范围内全部工作的金额，包括合同履行过程中按合同约定发生的价格变化。</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1.1.5.3 费用：是指为履行合同所发生的或将要发生的所有必需的开支，包括管理费和应分摊的其他费用，但不包括利润。</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1.1.5.4 暂估价：是指发包人在工程量清单或预算书中提供的用于支付必然发生但暂时不能确定价格的材料、工程设备的单价、专业工程以及服务工作的金额。</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1.1.5.6 计日工：是指合同履行过程中，承包人完成发包人提出的零星工作或需要采用计日工计价的变更工作时，按合同中约定的单价计价的一种方式。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1.1.5.7 质量保证金</w:t>
      </w:r>
      <w:bookmarkStart w:id="268" w:name="#go2"/>
      <w:bookmarkEnd w:id="268"/>
      <w:r>
        <w:rPr>
          <w:rFonts w:hint="eastAsia" w:ascii="宋体" w:hAnsi="宋体" w:cs="宋体"/>
          <w:color w:val="auto"/>
          <w:kern w:val="0"/>
          <w:szCs w:val="21"/>
          <w:highlight w:val="none"/>
        </w:rPr>
        <w:t>：是指按照第15.3款〔质量保证金〕约定承包人用于保证其在缺陷责任期内履行缺陷修补义务的担保。</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1.1.5.8 总价项目：是指在现行国家、行业以及地方的计量规则中无工程量计算规则，在已标价工程量清单或预算书中以总价或以费率形式计算的项目。</w:t>
      </w:r>
    </w:p>
    <w:p>
      <w:pPr>
        <w:pStyle w:val="28"/>
        <w:spacing w:line="360" w:lineRule="auto"/>
        <w:ind w:firstLine="422"/>
        <w:outlineLvl w:val="0"/>
        <w:rPr>
          <w:rFonts w:ascii="宋体" w:hAnsi="宋体" w:cs="宋体"/>
          <w:b/>
          <w:color w:val="auto"/>
          <w:highlight w:val="none"/>
        </w:rPr>
      </w:pPr>
      <w:bookmarkStart w:id="269" w:name="_Toc20358"/>
      <w:bookmarkStart w:id="270" w:name="_Toc5637"/>
      <w:bookmarkStart w:id="271" w:name="_Toc2764"/>
      <w:bookmarkStart w:id="272" w:name="_Toc5904"/>
      <w:bookmarkStart w:id="273" w:name="_Toc522201580"/>
      <w:bookmarkStart w:id="274" w:name="_Toc18914"/>
      <w:r>
        <w:rPr>
          <w:rFonts w:hint="eastAsia" w:ascii="宋体" w:hAnsi="宋体" w:cs="宋体"/>
          <w:b/>
          <w:color w:val="auto"/>
          <w:highlight w:val="none"/>
        </w:rPr>
        <w:t>1.1.6 其他</w:t>
      </w:r>
      <w:bookmarkEnd w:id="263"/>
      <w:bookmarkEnd w:id="264"/>
      <w:bookmarkEnd w:id="265"/>
      <w:bookmarkEnd w:id="266"/>
      <w:bookmarkEnd w:id="267"/>
      <w:bookmarkEnd w:id="269"/>
      <w:bookmarkEnd w:id="270"/>
      <w:bookmarkEnd w:id="271"/>
      <w:bookmarkEnd w:id="272"/>
      <w:bookmarkEnd w:id="273"/>
      <w:bookmarkEnd w:id="274"/>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bookmarkStart w:id="275" w:name="_Toc418751626"/>
      <w:bookmarkStart w:id="276" w:name="_Toc296346530"/>
      <w:bookmarkStart w:id="277" w:name="_Toc337558729"/>
      <w:bookmarkStart w:id="278" w:name="_Toc418752072"/>
      <w:bookmarkStart w:id="279" w:name="_Toc296503029"/>
      <w:bookmarkStart w:id="280" w:name="_Toc406522050"/>
      <w:bookmarkStart w:id="281" w:name="_Toc351203497"/>
      <w:bookmarkStart w:id="282" w:name="_Toc497747008"/>
      <w:r>
        <w:rPr>
          <w:rFonts w:hint="eastAsia" w:ascii="宋体" w:hAnsi="宋体" w:cs="宋体"/>
          <w:color w:val="auto"/>
          <w:kern w:val="0"/>
          <w:szCs w:val="21"/>
          <w:highlight w:val="none"/>
        </w:rPr>
        <w:t>1.1.6.1 书面形式：是指合同文件、信函、电报、传真等可以有形地表现所载内容的形式。</w:t>
      </w:r>
    </w:p>
    <w:p>
      <w:pPr>
        <w:pStyle w:val="21"/>
        <w:spacing w:line="360" w:lineRule="auto"/>
        <w:ind w:firstLine="422" w:firstLineChars="200"/>
        <w:rPr>
          <w:rFonts w:ascii="宋体" w:cs="宋体"/>
          <w:color w:val="auto"/>
          <w:highlight w:val="none"/>
        </w:rPr>
      </w:pPr>
      <w:bookmarkStart w:id="283" w:name="_Toc256000035"/>
      <w:bookmarkStart w:id="284" w:name="_Toc1771"/>
      <w:bookmarkStart w:id="285" w:name="_Toc17978"/>
      <w:bookmarkStart w:id="286" w:name="_Toc7083"/>
      <w:bookmarkStart w:id="287" w:name="_Toc16458"/>
      <w:bookmarkStart w:id="288" w:name="_Toc522201581"/>
      <w:bookmarkStart w:id="289" w:name="_Toc29654"/>
      <w:r>
        <w:rPr>
          <w:rFonts w:hint="eastAsia" w:ascii="宋体" w:cs="宋体"/>
          <w:color w:val="auto"/>
          <w:highlight w:val="none"/>
        </w:rPr>
        <w:t>1.2语言文字</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合同以中国的汉语简体文字编写、解释和说明。合同当事人在专用合同条款中约定使用两种以上语言时，汉语为优先解释和说明合同的语言。</w:t>
      </w:r>
    </w:p>
    <w:p>
      <w:pPr>
        <w:pStyle w:val="21"/>
        <w:spacing w:line="360" w:lineRule="auto"/>
        <w:ind w:firstLine="422" w:firstLineChars="200"/>
        <w:rPr>
          <w:rFonts w:ascii="宋体" w:cs="宋体"/>
          <w:color w:val="auto"/>
          <w:highlight w:val="none"/>
        </w:rPr>
      </w:pPr>
      <w:bookmarkStart w:id="290" w:name="_Toc12319"/>
      <w:bookmarkStart w:id="291" w:name="_Toc337558730"/>
      <w:bookmarkStart w:id="292" w:name="_Toc12605"/>
      <w:bookmarkStart w:id="293" w:name="_Toc23918"/>
      <w:bookmarkStart w:id="294" w:name="_Toc296503030"/>
      <w:bookmarkStart w:id="295" w:name="_Toc16084"/>
      <w:bookmarkStart w:id="296" w:name="_Toc418751627"/>
      <w:bookmarkStart w:id="297" w:name="_Toc351203498"/>
      <w:bookmarkStart w:id="298" w:name="_Toc497747009"/>
      <w:bookmarkStart w:id="299" w:name="_Toc522201582"/>
      <w:bookmarkStart w:id="300" w:name="_Toc296346531"/>
      <w:bookmarkStart w:id="301" w:name="_Toc21706"/>
      <w:bookmarkStart w:id="302" w:name="_Toc406522051"/>
      <w:bookmarkStart w:id="303" w:name="_Toc256000036"/>
      <w:bookmarkStart w:id="304" w:name="_Toc418752073"/>
      <w:r>
        <w:rPr>
          <w:rFonts w:hint="eastAsia" w:ascii="宋体" w:cs="宋体"/>
          <w:color w:val="auto"/>
          <w:highlight w:val="none"/>
        </w:rPr>
        <w:t>1.3法律</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bookmarkStart w:id="305" w:name="_Toc351203499"/>
      <w:bookmarkStart w:id="306" w:name="_Toc406522052"/>
      <w:bookmarkStart w:id="307" w:name="_Toc418752074"/>
      <w:bookmarkStart w:id="308" w:name="_Toc418751628"/>
      <w:bookmarkStart w:id="309" w:name="_Toc497747010"/>
      <w:r>
        <w:rPr>
          <w:rFonts w:hint="eastAsia" w:ascii="宋体" w:hAnsi="宋体" w:cs="宋体"/>
          <w:color w:val="auto"/>
          <w:kern w:val="0"/>
          <w:szCs w:val="21"/>
          <w:highlight w:val="none"/>
        </w:rPr>
        <w:t>合同所称法律是指中华人民共和国法律、行政法规、部门规章，以及工程所在地的地方性法规、自治条例、单行条例和地方政府规章等。</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合同当事人可以在专用合同条款中约定合同适用的其他规范性文件。</w:t>
      </w:r>
    </w:p>
    <w:p>
      <w:pPr>
        <w:pStyle w:val="21"/>
        <w:spacing w:line="360" w:lineRule="auto"/>
        <w:ind w:firstLine="422" w:firstLineChars="200"/>
        <w:rPr>
          <w:rFonts w:ascii="宋体" w:cs="宋体"/>
          <w:color w:val="auto"/>
          <w:highlight w:val="none"/>
        </w:rPr>
      </w:pPr>
      <w:bookmarkStart w:id="310" w:name="_Toc256000037"/>
      <w:bookmarkStart w:id="311" w:name="_Toc20192"/>
      <w:bookmarkStart w:id="312" w:name="_Toc7711"/>
      <w:bookmarkStart w:id="313" w:name="_Toc522201583"/>
      <w:bookmarkStart w:id="314" w:name="_Toc32636"/>
      <w:bookmarkStart w:id="315" w:name="_Toc28797"/>
      <w:bookmarkStart w:id="316" w:name="_Toc7340"/>
      <w:r>
        <w:rPr>
          <w:rFonts w:hint="eastAsia" w:ascii="宋体" w:cs="宋体"/>
          <w:color w:val="auto"/>
          <w:highlight w:val="none"/>
        </w:rPr>
        <w:t>1.4 标准和规范</w:t>
      </w:r>
      <w:bookmarkEnd w:id="305"/>
      <w:bookmarkEnd w:id="306"/>
      <w:bookmarkEnd w:id="307"/>
      <w:bookmarkEnd w:id="308"/>
      <w:bookmarkEnd w:id="309"/>
      <w:bookmarkEnd w:id="310"/>
      <w:bookmarkEnd w:id="311"/>
      <w:bookmarkEnd w:id="312"/>
      <w:bookmarkEnd w:id="313"/>
      <w:bookmarkEnd w:id="314"/>
      <w:bookmarkEnd w:id="315"/>
      <w:bookmarkEnd w:id="316"/>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bookmarkStart w:id="317" w:name="_Toc497747011"/>
      <w:bookmarkStart w:id="318" w:name="_Toc406522053"/>
      <w:bookmarkStart w:id="319" w:name="_Toc418752075"/>
      <w:bookmarkStart w:id="320" w:name="_Toc418751629"/>
      <w:bookmarkStart w:id="321" w:name="_Toc351203500"/>
      <w:r>
        <w:rPr>
          <w:rFonts w:hint="eastAsia" w:ascii="宋体" w:hAnsi="宋体" w:cs="宋体"/>
          <w:color w:val="auto"/>
          <w:kern w:val="0"/>
          <w:szCs w:val="21"/>
          <w:highlight w:val="none"/>
        </w:rPr>
        <w:t>1.4.1 适用于工程的国家标准、行业标准、工程所在地的地方性标准，以及相应的规范、规程等，合同当事人有特别要求的，应在专用合同条款中约定。</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发包人要求使用国外标准、规范的，发包人负责提供原文版本和中文译本，并在专用合同条款中约定提供标准规范的名称、份数和时间。</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pStyle w:val="21"/>
        <w:spacing w:line="360" w:lineRule="auto"/>
        <w:ind w:firstLine="422" w:firstLineChars="200"/>
        <w:rPr>
          <w:rFonts w:ascii="宋体" w:cs="宋体"/>
          <w:color w:val="auto"/>
          <w:highlight w:val="none"/>
        </w:rPr>
      </w:pPr>
      <w:bookmarkStart w:id="322" w:name="_Toc256000038"/>
      <w:bookmarkStart w:id="323" w:name="_Toc12019"/>
      <w:bookmarkStart w:id="324" w:name="_Toc2039"/>
      <w:bookmarkStart w:id="325" w:name="_Toc6232"/>
      <w:bookmarkStart w:id="326" w:name="_Toc21883"/>
      <w:bookmarkStart w:id="327" w:name="_Toc5505"/>
      <w:bookmarkStart w:id="328" w:name="_Toc522201584"/>
      <w:r>
        <w:rPr>
          <w:rFonts w:hint="eastAsia" w:ascii="宋体" w:cs="宋体"/>
          <w:color w:val="auto"/>
          <w:highlight w:val="none"/>
        </w:rPr>
        <w:t>1</w:t>
      </w:r>
      <w:bookmarkStart w:id="329" w:name="_Toc296346532"/>
      <w:bookmarkStart w:id="330" w:name="_Toc296503031"/>
      <w:bookmarkStart w:id="331" w:name="_Toc337558731"/>
      <w:r>
        <w:rPr>
          <w:rFonts w:hint="eastAsia" w:ascii="宋体" w:cs="宋体"/>
          <w:color w:val="auto"/>
          <w:highlight w:val="none"/>
        </w:rPr>
        <w:t>.5 合同文件的优先顺序</w:t>
      </w:r>
      <w:bookmarkEnd w:id="317"/>
      <w:bookmarkEnd w:id="318"/>
      <w:bookmarkEnd w:id="319"/>
      <w:bookmarkEnd w:id="320"/>
      <w:bookmarkEnd w:id="321"/>
      <w:bookmarkEnd w:id="322"/>
      <w:bookmarkEnd w:id="323"/>
      <w:bookmarkEnd w:id="324"/>
      <w:bookmarkEnd w:id="325"/>
      <w:bookmarkEnd w:id="326"/>
      <w:bookmarkEnd w:id="327"/>
      <w:bookmarkEnd w:id="328"/>
    </w:p>
    <w:bookmarkEnd w:id="329"/>
    <w:bookmarkEnd w:id="330"/>
    <w:bookmarkEnd w:id="331"/>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bookmarkStart w:id="332" w:name="_Toc497747012"/>
      <w:bookmarkStart w:id="333" w:name="_Toc418752076"/>
      <w:bookmarkStart w:id="334" w:name="_Toc418751630"/>
      <w:bookmarkStart w:id="335" w:name="_Toc406522054"/>
      <w:bookmarkStart w:id="336" w:name="_Toc351203501"/>
      <w:r>
        <w:rPr>
          <w:rFonts w:hint="eastAsia" w:ascii="宋体" w:hAnsi="宋体" w:cs="宋体"/>
          <w:color w:val="auto"/>
          <w:kern w:val="0"/>
          <w:szCs w:val="21"/>
          <w:highlight w:val="none"/>
        </w:rPr>
        <w:t>组成合同的各项文件应互相解释，互为说明。除专用合同条款另有约定外，解释合同文件的优先顺序如下：</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（1）合同协议书；</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（2）中标通知书（如果有）；</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（3）投标函及其附录（如果有）；</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（4）专用合同条款及其附件；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（5）通用合同条款；</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（6）技术标准和要求；</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（7）图纸；</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（8）已标价工程量清单或预算书；</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（9）其他合同文件。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上述各项合同文件包括合同当事人就该项合同文件所作出的补充和修改，属于同一类内容的文件，应以最新签署的为准。</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在合同订立及履行过程中形成的与合同有关的文件均构成合同文件组成部分，并根据其性质确定优先解释顺序。</w:t>
      </w:r>
    </w:p>
    <w:bookmarkEnd w:id="332"/>
    <w:bookmarkEnd w:id="333"/>
    <w:bookmarkEnd w:id="334"/>
    <w:bookmarkEnd w:id="335"/>
    <w:bookmarkEnd w:id="336"/>
    <w:p>
      <w:pPr>
        <w:pStyle w:val="21"/>
        <w:spacing w:line="360" w:lineRule="auto"/>
        <w:ind w:firstLine="422" w:firstLineChars="200"/>
        <w:rPr>
          <w:rFonts w:ascii="宋体" w:cs="宋体"/>
          <w:color w:val="auto"/>
          <w:highlight w:val="none"/>
        </w:rPr>
      </w:pPr>
      <w:bookmarkStart w:id="337" w:name="_Toc522201585"/>
      <w:bookmarkStart w:id="338" w:name="_Toc26417"/>
      <w:bookmarkStart w:id="339" w:name="_Toc256000039"/>
      <w:bookmarkStart w:id="340" w:name="_Toc16388"/>
      <w:bookmarkStart w:id="341" w:name="_Toc31907"/>
      <w:bookmarkStart w:id="342" w:name="_Toc22556"/>
      <w:bookmarkStart w:id="343" w:name="_Toc29194"/>
      <w:r>
        <w:rPr>
          <w:rFonts w:hint="eastAsia" w:ascii="宋体" w:cs="宋体"/>
          <w:color w:val="auto"/>
          <w:highlight w:val="none"/>
        </w:rPr>
        <w:t>1</w:t>
      </w:r>
      <w:bookmarkStart w:id="344" w:name="_Toc296346533"/>
      <w:bookmarkStart w:id="345" w:name="_Toc296503032"/>
      <w:bookmarkStart w:id="346" w:name="_Toc337558732"/>
      <w:r>
        <w:rPr>
          <w:rFonts w:hint="eastAsia" w:ascii="宋体" w:cs="宋体"/>
          <w:color w:val="auto"/>
          <w:highlight w:val="none"/>
        </w:rPr>
        <w:t>.6图纸和承包人文件</w:t>
      </w:r>
      <w:bookmarkEnd w:id="337"/>
      <w:bookmarkEnd w:id="338"/>
      <w:bookmarkEnd w:id="339"/>
      <w:bookmarkEnd w:id="340"/>
      <w:bookmarkEnd w:id="341"/>
      <w:bookmarkEnd w:id="342"/>
      <w:bookmarkEnd w:id="343"/>
    </w:p>
    <w:bookmarkEnd w:id="344"/>
    <w:bookmarkEnd w:id="345"/>
    <w:bookmarkEnd w:id="346"/>
    <w:p>
      <w:pPr>
        <w:pStyle w:val="28"/>
        <w:spacing w:line="360" w:lineRule="auto"/>
        <w:ind w:firstLine="422"/>
        <w:outlineLvl w:val="0"/>
        <w:rPr>
          <w:rFonts w:ascii="宋体" w:hAnsi="宋体" w:cs="宋体"/>
          <w:b/>
          <w:color w:val="auto"/>
          <w:highlight w:val="none"/>
        </w:rPr>
      </w:pPr>
      <w:bookmarkStart w:id="347" w:name="_Toc22203"/>
      <w:bookmarkStart w:id="348" w:name="_Toc20623"/>
      <w:bookmarkStart w:id="349" w:name="_Toc26723"/>
      <w:bookmarkStart w:id="350" w:name="_Toc522201586"/>
      <w:bookmarkStart w:id="351" w:name="_Toc769"/>
      <w:bookmarkStart w:id="352" w:name="_Toc22041"/>
      <w:r>
        <w:rPr>
          <w:rFonts w:hint="eastAsia" w:ascii="宋体" w:hAnsi="宋体" w:cs="宋体"/>
          <w:b/>
          <w:color w:val="auto"/>
          <w:highlight w:val="none"/>
        </w:rPr>
        <w:t>1.6.1 图纸的提供和交底</w:t>
      </w:r>
      <w:bookmarkEnd w:id="347"/>
      <w:bookmarkEnd w:id="348"/>
      <w:bookmarkEnd w:id="349"/>
      <w:bookmarkEnd w:id="350"/>
      <w:bookmarkEnd w:id="351"/>
      <w:bookmarkEnd w:id="352"/>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因发包人未按合同约定提供图纸导致承包人费用增加和（或）工期延误的，按照第7.5.1项〔因发包人原因导致工期延误〕约定办理。</w:t>
      </w:r>
    </w:p>
    <w:p>
      <w:pPr>
        <w:pStyle w:val="28"/>
        <w:spacing w:line="360" w:lineRule="auto"/>
        <w:ind w:firstLine="422"/>
        <w:outlineLvl w:val="0"/>
        <w:rPr>
          <w:rFonts w:ascii="宋体" w:hAnsi="宋体" w:cs="宋体"/>
          <w:b/>
          <w:color w:val="auto"/>
          <w:highlight w:val="none"/>
        </w:rPr>
      </w:pPr>
      <w:bookmarkStart w:id="353" w:name="_Toc10469"/>
      <w:bookmarkStart w:id="354" w:name="_Toc522201587"/>
      <w:bookmarkStart w:id="355" w:name="_Toc16796"/>
      <w:bookmarkStart w:id="356" w:name="_Toc19002"/>
      <w:bookmarkStart w:id="357" w:name="_Toc3311"/>
      <w:bookmarkStart w:id="358" w:name="_Toc20637"/>
      <w:r>
        <w:rPr>
          <w:rFonts w:hint="eastAsia" w:ascii="宋体" w:hAnsi="宋体" w:cs="宋体"/>
          <w:b/>
          <w:color w:val="auto"/>
          <w:highlight w:val="none"/>
        </w:rPr>
        <w:t>1.6.2 图纸的错误</w:t>
      </w:r>
      <w:bookmarkEnd w:id="353"/>
      <w:bookmarkEnd w:id="354"/>
      <w:bookmarkEnd w:id="355"/>
      <w:bookmarkEnd w:id="356"/>
      <w:bookmarkEnd w:id="357"/>
      <w:bookmarkEnd w:id="358"/>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pStyle w:val="28"/>
        <w:spacing w:line="360" w:lineRule="auto"/>
        <w:ind w:firstLine="422"/>
        <w:outlineLvl w:val="0"/>
        <w:rPr>
          <w:rFonts w:ascii="宋体" w:hAnsi="宋体" w:cs="宋体"/>
          <w:color w:val="auto"/>
          <w:highlight w:val="none"/>
        </w:rPr>
      </w:pPr>
      <w:bookmarkStart w:id="359" w:name="_Toc522201588"/>
      <w:bookmarkStart w:id="360" w:name="_Toc12920"/>
      <w:bookmarkStart w:id="361" w:name="_Toc30898"/>
      <w:bookmarkStart w:id="362" w:name="_Toc13102"/>
      <w:bookmarkStart w:id="363" w:name="_Toc6549"/>
      <w:bookmarkStart w:id="364" w:name="_Toc31854"/>
      <w:r>
        <w:rPr>
          <w:rFonts w:hint="eastAsia" w:ascii="宋体" w:hAnsi="宋体" w:cs="宋体"/>
          <w:b/>
          <w:color w:val="auto"/>
          <w:highlight w:val="none"/>
        </w:rPr>
        <w:t>1.6.3 图纸的修改和补充</w:t>
      </w:r>
      <w:bookmarkEnd w:id="359"/>
      <w:bookmarkEnd w:id="360"/>
      <w:bookmarkEnd w:id="361"/>
      <w:bookmarkEnd w:id="362"/>
      <w:bookmarkEnd w:id="363"/>
      <w:bookmarkEnd w:id="364"/>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图纸需要修改和补充的，应经图纸原设计人及审批部门同意，并由监理人在工程或工程相应部位施工前将修改后的图纸或补充图纸提交给承包人，承包人应按修改或补充后的图纸施工。</w:t>
      </w:r>
    </w:p>
    <w:p>
      <w:pPr>
        <w:pStyle w:val="28"/>
        <w:spacing w:line="360" w:lineRule="auto"/>
        <w:ind w:firstLine="422"/>
        <w:outlineLvl w:val="0"/>
        <w:rPr>
          <w:rFonts w:ascii="宋体" w:hAnsi="宋体" w:cs="宋体"/>
          <w:b/>
          <w:color w:val="auto"/>
          <w:highlight w:val="none"/>
        </w:rPr>
      </w:pPr>
      <w:bookmarkStart w:id="365" w:name="_Toc1580"/>
      <w:bookmarkStart w:id="366" w:name="_Toc27571"/>
      <w:bookmarkStart w:id="367" w:name="_Toc22116"/>
      <w:bookmarkStart w:id="368" w:name="_Toc970"/>
      <w:bookmarkStart w:id="369" w:name="_Toc8634"/>
      <w:bookmarkStart w:id="370" w:name="_Toc522201589"/>
      <w:r>
        <w:rPr>
          <w:rFonts w:hint="eastAsia" w:ascii="宋体" w:hAnsi="宋体" w:cs="宋体"/>
          <w:b/>
          <w:color w:val="auto"/>
          <w:highlight w:val="none"/>
        </w:rPr>
        <w:t>1.6.4 承包人文件</w:t>
      </w:r>
      <w:bookmarkEnd w:id="365"/>
      <w:bookmarkEnd w:id="366"/>
      <w:bookmarkEnd w:id="367"/>
      <w:bookmarkEnd w:id="368"/>
      <w:bookmarkEnd w:id="369"/>
      <w:bookmarkEnd w:id="370"/>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承包人应按照专用合同条款的约定提供应当由其编制的与工程施工有关的文件，并按照专用合同条款约定的期限、数量和形式提交监理人，并由监理人报送发包人。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pStyle w:val="28"/>
        <w:spacing w:line="360" w:lineRule="auto"/>
        <w:ind w:firstLine="422"/>
        <w:outlineLvl w:val="0"/>
        <w:rPr>
          <w:rFonts w:ascii="宋体" w:hAnsi="宋体" w:cs="宋体"/>
          <w:b/>
          <w:color w:val="auto"/>
          <w:highlight w:val="none"/>
        </w:rPr>
      </w:pPr>
      <w:bookmarkStart w:id="371" w:name="_Toc1805"/>
      <w:bookmarkStart w:id="372" w:name="_Toc19366"/>
      <w:bookmarkStart w:id="373" w:name="_Toc26595"/>
      <w:bookmarkStart w:id="374" w:name="_Toc24940"/>
      <w:bookmarkStart w:id="375" w:name="_Toc5183"/>
      <w:bookmarkStart w:id="376" w:name="_Toc522201590"/>
      <w:r>
        <w:rPr>
          <w:rFonts w:hint="eastAsia" w:ascii="宋体" w:hAnsi="宋体" w:cs="宋体"/>
          <w:b/>
          <w:color w:val="auto"/>
          <w:highlight w:val="none"/>
        </w:rPr>
        <w:t>1.6.5 图纸和承包人文件的保管</w:t>
      </w:r>
      <w:bookmarkEnd w:id="371"/>
      <w:bookmarkEnd w:id="372"/>
      <w:bookmarkEnd w:id="373"/>
      <w:bookmarkEnd w:id="374"/>
      <w:bookmarkEnd w:id="375"/>
      <w:bookmarkEnd w:id="376"/>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除专用合同条款另有约定外，承包人应在施工现场另外保存一套完整的图纸和承包人文件，供发包人、监理人及有关人员进行工程检查时使用。</w:t>
      </w:r>
    </w:p>
    <w:p>
      <w:pPr>
        <w:pStyle w:val="21"/>
        <w:spacing w:line="360" w:lineRule="auto"/>
        <w:ind w:firstLine="422" w:firstLineChars="200"/>
        <w:rPr>
          <w:rFonts w:ascii="宋体" w:cs="宋体"/>
          <w:color w:val="auto"/>
          <w:highlight w:val="none"/>
        </w:rPr>
      </w:pPr>
      <w:bookmarkStart w:id="377" w:name="_Toc15291"/>
      <w:bookmarkStart w:id="378" w:name="_Toc14099"/>
      <w:bookmarkStart w:id="379" w:name="_Toc256000040"/>
      <w:bookmarkStart w:id="380" w:name="_Toc8747"/>
      <w:bookmarkStart w:id="381" w:name="_Toc30881"/>
      <w:bookmarkStart w:id="382" w:name="_Toc351203502"/>
      <w:bookmarkStart w:id="383" w:name="_Toc26109"/>
      <w:bookmarkStart w:id="384" w:name="_Toc522201591"/>
      <w:r>
        <w:rPr>
          <w:rFonts w:hint="eastAsia" w:ascii="宋体" w:cs="宋体"/>
          <w:color w:val="auto"/>
          <w:highlight w:val="none"/>
        </w:rPr>
        <w:t>1</w:t>
      </w:r>
      <w:bookmarkStart w:id="385" w:name="_Toc296346534"/>
      <w:bookmarkStart w:id="386" w:name="_Toc337558733"/>
      <w:bookmarkStart w:id="387" w:name="_Toc296503033"/>
      <w:r>
        <w:rPr>
          <w:rFonts w:hint="eastAsia" w:ascii="宋体" w:cs="宋体"/>
          <w:color w:val="auto"/>
          <w:highlight w:val="none"/>
        </w:rPr>
        <w:t>.7联络</w:t>
      </w:r>
      <w:bookmarkEnd w:id="377"/>
      <w:bookmarkEnd w:id="378"/>
      <w:bookmarkEnd w:id="379"/>
      <w:bookmarkEnd w:id="380"/>
      <w:bookmarkEnd w:id="381"/>
      <w:bookmarkEnd w:id="382"/>
      <w:bookmarkEnd w:id="383"/>
      <w:bookmarkEnd w:id="384"/>
    </w:p>
    <w:bookmarkEnd w:id="385"/>
    <w:bookmarkEnd w:id="386"/>
    <w:bookmarkEnd w:id="387"/>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与合同有关的通知、批准、证明、证书、指示、指令、要求、请求、同意、意见、确定和决定等，均应采用书面形式，并应在合同约定的期限内送达接收人和送达地点。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1.7.2 发包人和承包人应在专用合同条款中约定各自的送达接收人和送达地点。任何一方合同当事人指定的接收人或送达地点发生变动的，应提前3天以书面形式通知对方。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1.7.3 发包人和承包人应当及时签收另一方送达至送达地点和指定接收人的来往信函。拒不签收的，由此增加的费用和（或）延误的工期由拒绝接收一方承担。</w:t>
      </w:r>
    </w:p>
    <w:p>
      <w:pPr>
        <w:pStyle w:val="21"/>
        <w:spacing w:line="360" w:lineRule="auto"/>
        <w:ind w:firstLine="422" w:firstLineChars="200"/>
        <w:rPr>
          <w:rFonts w:ascii="宋体" w:cs="宋体"/>
          <w:color w:val="auto"/>
          <w:highlight w:val="none"/>
        </w:rPr>
      </w:pPr>
      <w:bookmarkStart w:id="388" w:name="_Toc522201592"/>
      <w:bookmarkStart w:id="389" w:name="_Toc28079"/>
      <w:bookmarkStart w:id="390" w:name="_Toc351203503"/>
      <w:bookmarkStart w:id="391" w:name="_Toc30304"/>
      <w:bookmarkStart w:id="392" w:name="_Toc256000041"/>
      <w:bookmarkStart w:id="393" w:name="_Toc29920"/>
      <w:bookmarkStart w:id="394" w:name="_Toc30391"/>
      <w:bookmarkStart w:id="395" w:name="_Toc7088"/>
      <w:r>
        <w:rPr>
          <w:rFonts w:hint="eastAsia" w:ascii="宋体" w:cs="宋体"/>
          <w:color w:val="auto"/>
          <w:highlight w:val="none"/>
        </w:rPr>
        <w:t>1</w:t>
      </w:r>
      <w:bookmarkStart w:id="396" w:name="_Toc296503035"/>
      <w:bookmarkStart w:id="397" w:name="_Toc296346536"/>
      <w:bookmarkStart w:id="398" w:name="_Toc337558734"/>
      <w:r>
        <w:rPr>
          <w:rFonts w:hint="eastAsia" w:ascii="宋体" w:cs="宋体"/>
          <w:color w:val="auto"/>
          <w:highlight w:val="none"/>
        </w:rPr>
        <w:t>.8严禁贿赂</w:t>
      </w:r>
      <w:bookmarkEnd w:id="388"/>
      <w:bookmarkEnd w:id="389"/>
      <w:bookmarkEnd w:id="390"/>
      <w:bookmarkEnd w:id="391"/>
      <w:bookmarkEnd w:id="392"/>
      <w:bookmarkEnd w:id="393"/>
      <w:bookmarkEnd w:id="394"/>
      <w:bookmarkEnd w:id="395"/>
    </w:p>
    <w:bookmarkEnd w:id="396"/>
    <w:bookmarkEnd w:id="397"/>
    <w:bookmarkEnd w:id="398"/>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合同当事人不得以贿赂或变相贿赂的方式，谋取非法利益或损害对方权益。因一方合同当事人的贿赂造成对方损失的，应赔偿损失，并承担相应的法律责任。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21"/>
        <w:spacing w:line="360" w:lineRule="auto"/>
        <w:ind w:firstLine="422" w:firstLineChars="200"/>
        <w:rPr>
          <w:rFonts w:ascii="宋体" w:cs="宋体"/>
          <w:color w:val="auto"/>
          <w:highlight w:val="none"/>
        </w:rPr>
      </w:pPr>
      <w:bookmarkStart w:id="399" w:name="_Toc13750"/>
      <w:bookmarkStart w:id="400" w:name="_Toc522201593"/>
      <w:bookmarkStart w:id="401" w:name="_Toc351203504"/>
      <w:bookmarkStart w:id="402" w:name="_Toc5078"/>
      <w:bookmarkStart w:id="403" w:name="_Toc22919"/>
      <w:bookmarkStart w:id="404" w:name="_Toc30160"/>
      <w:bookmarkStart w:id="405" w:name="_Toc256000042"/>
      <w:bookmarkStart w:id="406" w:name="_Toc13135"/>
      <w:r>
        <w:rPr>
          <w:rFonts w:hint="eastAsia" w:ascii="宋体" w:cs="宋体"/>
          <w:color w:val="auto"/>
          <w:highlight w:val="none"/>
        </w:rPr>
        <w:t>1</w:t>
      </w:r>
      <w:bookmarkStart w:id="407" w:name="_Toc296503036"/>
      <w:bookmarkStart w:id="408" w:name="_Toc337558735"/>
      <w:bookmarkStart w:id="409" w:name="_Toc296346537"/>
      <w:r>
        <w:rPr>
          <w:rFonts w:hint="eastAsia" w:ascii="宋体" w:cs="宋体"/>
          <w:color w:val="auto"/>
          <w:highlight w:val="none"/>
        </w:rPr>
        <w:t>.9化石、文物</w:t>
      </w:r>
      <w:bookmarkEnd w:id="399"/>
      <w:bookmarkEnd w:id="400"/>
      <w:bookmarkEnd w:id="401"/>
      <w:bookmarkEnd w:id="402"/>
      <w:bookmarkEnd w:id="403"/>
      <w:bookmarkEnd w:id="404"/>
      <w:bookmarkEnd w:id="405"/>
      <w:bookmarkEnd w:id="406"/>
    </w:p>
    <w:bookmarkEnd w:id="407"/>
    <w:bookmarkEnd w:id="408"/>
    <w:bookmarkEnd w:id="409"/>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发包人、监理人和承包人应按有关政府行政管理部门要求采取妥善的保护措施，由此增加的费用和（或）延误的工期由发包人承担。</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承包人发现文物后不及时报告或隐瞒不报，致使文物丢失或损坏的，应赔偿损失，并承担相应的法律责任。</w:t>
      </w:r>
    </w:p>
    <w:p>
      <w:pPr>
        <w:pStyle w:val="21"/>
        <w:spacing w:line="360" w:lineRule="auto"/>
        <w:ind w:firstLine="422" w:firstLineChars="200"/>
        <w:rPr>
          <w:rFonts w:ascii="宋体" w:cs="宋体"/>
          <w:color w:val="auto"/>
          <w:highlight w:val="none"/>
        </w:rPr>
      </w:pPr>
      <w:bookmarkStart w:id="410" w:name="_Toc14867"/>
      <w:bookmarkStart w:id="411" w:name="_Toc24196"/>
      <w:bookmarkStart w:id="412" w:name="_Toc23922"/>
      <w:bookmarkStart w:id="413" w:name="_Toc351203505"/>
      <w:bookmarkStart w:id="414" w:name="_Toc522201594"/>
      <w:bookmarkStart w:id="415" w:name="_Toc26414"/>
      <w:bookmarkStart w:id="416" w:name="_Toc256000043"/>
      <w:bookmarkStart w:id="417" w:name="_Toc24616"/>
      <w:r>
        <w:rPr>
          <w:rFonts w:hint="eastAsia" w:ascii="宋体" w:cs="宋体"/>
          <w:color w:val="auto"/>
          <w:highlight w:val="none"/>
        </w:rPr>
        <w:t>1</w:t>
      </w:r>
      <w:bookmarkStart w:id="418" w:name="_Toc337558736"/>
      <w:r>
        <w:rPr>
          <w:rFonts w:hint="eastAsia" w:ascii="宋体" w:cs="宋体"/>
          <w:color w:val="auto"/>
          <w:highlight w:val="none"/>
        </w:rPr>
        <w:t>.10交通运输</w:t>
      </w:r>
      <w:bookmarkEnd w:id="410"/>
      <w:bookmarkEnd w:id="411"/>
      <w:bookmarkEnd w:id="412"/>
      <w:bookmarkEnd w:id="413"/>
      <w:bookmarkEnd w:id="414"/>
      <w:bookmarkEnd w:id="415"/>
      <w:bookmarkEnd w:id="416"/>
      <w:bookmarkEnd w:id="417"/>
    </w:p>
    <w:bookmarkEnd w:id="418"/>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1.10.1 出入现场的权利</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承包人应在订立合同前查勘施工现场，并根据工程规模及技术参数合理预见工程施工所需的进出施工现场的方式、手段、路径等。因承包人未合理预见所增加的费用和（或）延误的工期由承包人承担。</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1.10.2 场外交通</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1.10.3场内交通</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场外交通和场内交通的边界由合同当事人在专用合同条款中约定。</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1.10.4 超大件和超重件的运输</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1.10.5 道路和桥梁的损坏责任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因承包人运输造成施工场地内外公共道路和桥梁损坏的，由承包人承担修复损坏的全部费用和可能引起的赔偿。</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1.10.6 水路和航空运输</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本款前述各项的内容适用于水路运输和航空运输，其中“道路”一词的涵义包括河道、航线、船闸、机场、码头、堤防以及水路或航空运输中其他相似结构物；“车辆”一词的涵义包括船舶和飞机等。</w:t>
      </w:r>
    </w:p>
    <w:p>
      <w:pPr>
        <w:pStyle w:val="21"/>
        <w:spacing w:line="360" w:lineRule="auto"/>
        <w:ind w:firstLine="422" w:firstLineChars="200"/>
        <w:rPr>
          <w:rFonts w:ascii="宋体" w:cs="宋体"/>
          <w:color w:val="auto"/>
          <w:highlight w:val="none"/>
        </w:rPr>
      </w:pPr>
      <w:bookmarkStart w:id="419" w:name="_Toc10359"/>
      <w:bookmarkStart w:id="420" w:name="_Toc5899"/>
      <w:bookmarkStart w:id="421" w:name="_Toc256000044"/>
      <w:bookmarkStart w:id="422" w:name="_Toc30036"/>
      <w:bookmarkStart w:id="423" w:name="_Toc17590"/>
      <w:bookmarkStart w:id="424" w:name="_Toc16950"/>
      <w:bookmarkStart w:id="425" w:name="_Toc351203506"/>
      <w:bookmarkStart w:id="426" w:name="_Toc522201595"/>
      <w:r>
        <w:rPr>
          <w:rFonts w:hint="eastAsia" w:ascii="宋体" w:cs="宋体"/>
          <w:color w:val="auto"/>
          <w:highlight w:val="none"/>
        </w:rPr>
        <w:t>1</w:t>
      </w:r>
      <w:bookmarkStart w:id="427" w:name="_Toc337558737"/>
      <w:bookmarkStart w:id="428" w:name="_Toc296503037"/>
      <w:bookmarkStart w:id="429" w:name="_Toc296346538"/>
      <w:r>
        <w:rPr>
          <w:rFonts w:hint="eastAsia" w:ascii="宋体" w:cs="宋体"/>
          <w:color w:val="auto"/>
          <w:highlight w:val="none"/>
        </w:rPr>
        <w:t>.11知识产权</w:t>
      </w:r>
      <w:bookmarkEnd w:id="419"/>
      <w:bookmarkEnd w:id="420"/>
      <w:bookmarkEnd w:id="421"/>
      <w:bookmarkEnd w:id="422"/>
      <w:bookmarkEnd w:id="423"/>
      <w:bookmarkEnd w:id="424"/>
      <w:bookmarkEnd w:id="425"/>
      <w:bookmarkEnd w:id="426"/>
      <w:r>
        <w:rPr>
          <w:rFonts w:hint="eastAsia" w:ascii="宋体" w:cs="宋体"/>
          <w:color w:val="auto"/>
          <w:highlight w:val="none"/>
        </w:rPr>
        <w:t xml:space="preserve"> </w:t>
      </w:r>
      <w:bookmarkEnd w:id="427"/>
    </w:p>
    <w:bookmarkEnd w:id="428"/>
    <w:bookmarkEnd w:id="429"/>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1.11.4 除专用合同条款另有约定外，承包人在合同签订前和签订时已确定采用的专利、专有技术、技术秘密的使用费已包含在签约合同价中。</w:t>
      </w:r>
    </w:p>
    <w:p>
      <w:pPr>
        <w:pStyle w:val="21"/>
        <w:spacing w:line="360" w:lineRule="auto"/>
        <w:ind w:firstLine="422" w:firstLineChars="200"/>
        <w:rPr>
          <w:rFonts w:ascii="宋体" w:cs="宋体"/>
          <w:color w:val="auto"/>
          <w:highlight w:val="none"/>
        </w:rPr>
      </w:pPr>
      <w:bookmarkStart w:id="430" w:name="_Toc256000045"/>
      <w:bookmarkStart w:id="431" w:name="_Toc522201596"/>
      <w:bookmarkStart w:id="432" w:name="_Toc19382"/>
      <w:bookmarkStart w:id="433" w:name="_Toc31797"/>
      <w:bookmarkStart w:id="434" w:name="_Toc351203507"/>
      <w:bookmarkStart w:id="435" w:name="_Toc29664"/>
      <w:bookmarkStart w:id="436" w:name="_Toc10898"/>
      <w:bookmarkStart w:id="437" w:name="_Toc31978"/>
      <w:r>
        <w:rPr>
          <w:rFonts w:hint="eastAsia" w:ascii="宋体" w:cs="宋体"/>
          <w:color w:val="auto"/>
          <w:highlight w:val="none"/>
        </w:rPr>
        <w:t>1</w:t>
      </w:r>
      <w:bookmarkStart w:id="438" w:name="_Toc337558738"/>
      <w:r>
        <w:rPr>
          <w:rFonts w:hint="eastAsia" w:ascii="宋体" w:cs="宋体"/>
          <w:color w:val="auto"/>
          <w:highlight w:val="none"/>
        </w:rPr>
        <w:t>.12保密</w:t>
      </w:r>
      <w:bookmarkEnd w:id="430"/>
      <w:bookmarkEnd w:id="431"/>
      <w:bookmarkEnd w:id="432"/>
      <w:bookmarkEnd w:id="433"/>
      <w:bookmarkEnd w:id="434"/>
      <w:bookmarkEnd w:id="435"/>
      <w:bookmarkEnd w:id="436"/>
      <w:bookmarkEnd w:id="437"/>
    </w:p>
    <w:bookmarkEnd w:id="438"/>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除法律规定或合同另有约定外，未经发包人同意，承包人不得将发包人提供的图纸、文件以及声明需要保密的资料信息等商业秘密泄露给第三方。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除法律规定或合同另有约定外，未经承包人同意，发包人不得将承包人提供的技术秘密及声明需要保密的资料信息等商业秘密泄露给第三方。</w:t>
      </w:r>
    </w:p>
    <w:p>
      <w:pPr>
        <w:pStyle w:val="21"/>
        <w:spacing w:line="360" w:lineRule="auto"/>
        <w:ind w:firstLine="422" w:firstLineChars="200"/>
        <w:rPr>
          <w:rFonts w:ascii="宋体" w:cs="宋体"/>
          <w:color w:val="auto"/>
          <w:highlight w:val="none"/>
        </w:rPr>
      </w:pPr>
      <w:bookmarkStart w:id="439" w:name="_Toc11488"/>
      <w:bookmarkStart w:id="440" w:name="_Toc10902"/>
      <w:bookmarkStart w:id="441" w:name="_Toc351203508"/>
      <w:bookmarkStart w:id="442" w:name="_Toc8742"/>
      <w:bookmarkStart w:id="443" w:name="_Toc256000046"/>
      <w:bookmarkStart w:id="444" w:name="_Toc14643"/>
      <w:bookmarkStart w:id="445" w:name="_Toc18576"/>
      <w:bookmarkStart w:id="446" w:name="_Toc522201597"/>
      <w:r>
        <w:rPr>
          <w:rFonts w:hint="eastAsia" w:ascii="宋体" w:cs="宋体"/>
          <w:color w:val="auto"/>
          <w:highlight w:val="none"/>
        </w:rPr>
        <w:t>1.13工程量清单错误的修正</w:t>
      </w:r>
      <w:bookmarkEnd w:id="439"/>
      <w:bookmarkEnd w:id="440"/>
      <w:bookmarkEnd w:id="441"/>
      <w:bookmarkEnd w:id="442"/>
      <w:bookmarkEnd w:id="443"/>
      <w:bookmarkEnd w:id="444"/>
      <w:bookmarkEnd w:id="445"/>
      <w:bookmarkEnd w:id="446"/>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除专用合同条款另有约定外，发包人提供的工程量清单，应被认为是准确的和完整的。出现下列情形之一时，发包人应予以修正，并相应调整合同价格：</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（1）工程量清单存在缺项、漏项的；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（2）工程量清单偏差超出专用合同条款约定的工程量偏差范围的；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（3）未按照国家现行计量规范强制性规定计量的。</w:t>
      </w:r>
    </w:p>
    <w:p>
      <w:pPr>
        <w:pStyle w:val="21"/>
        <w:spacing w:line="360" w:lineRule="auto"/>
        <w:rPr>
          <w:rFonts w:ascii="宋体" w:cs="宋体"/>
          <w:color w:val="auto"/>
          <w:highlight w:val="none"/>
        </w:rPr>
      </w:pPr>
      <w:bookmarkStart w:id="447" w:name="_Toc25853"/>
      <w:bookmarkStart w:id="448" w:name="_Toc351203509"/>
      <w:bookmarkStart w:id="449" w:name="_Toc256000047"/>
      <w:bookmarkStart w:id="450" w:name="_Toc522201598"/>
      <w:bookmarkStart w:id="451" w:name="_Toc2712"/>
      <w:bookmarkStart w:id="452" w:name="_Toc26645"/>
      <w:bookmarkStart w:id="453" w:name="_Toc11187"/>
      <w:bookmarkStart w:id="454" w:name="_Toc24502"/>
      <w:r>
        <w:rPr>
          <w:rFonts w:hint="eastAsia" w:ascii="宋体" w:cs="宋体"/>
          <w:color w:val="auto"/>
          <w:highlight w:val="none"/>
        </w:rPr>
        <w:t>2</w:t>
      </w:r>
      <w:bookmarkStart w:id="455" w:name="_Toc296503038"/>
      <w:bookmarkStart w:id="456" w:name="_Toc337558739"/>
      <w:bookmarkStart w:id="457" w:name="_Toc296346539"/>
      <w:bookmarkStart w:id="458" w:name="OLE_LINK2"/>
      <w:r>
        <w:rPr>
          <w:rFonts w:hint="eastAsia" w:ascii="宋体" w:cs="宋体"/>
          <w:color w:val="auto"/>
          <w:highlight w:val="none"/>
        </w:rPr>
        <w:t>. 发包人</w:t>
      </w:r>
      <w:bookmarkEnd w:id="447"/>
      <w:bookmarkEnd w:id="448"/>
      <w:bookmarkEnd w:id="449"/>
      <w:bookmarkEnd w:id="450"/>
      <w:bookmarkEnd w:id="451"/>
      <w:bookmarkEnd w:id="452"/>
      <w:bookmarkEnd w:id="453"/>
      <w:bookmarkEnd w:id="454"/>
    </w:p>
    <w:bookmarkEnd w:id="455"/>
    <w:bookmarkEnd w:id="456"/>
    <w:bookmarkEnd w:id="457"/>
    <w:p>
      <w:pPr>
        <w:pStyle w:val="21"/>
        <w:spacing w:line="360" w:lineRule="auto"/>
        <w:ind w:firstLine="422" w:firstLineChars="200"/>
        <w:rPr>
          <w:rFonts w:ascii="宋体" w:cs="宋体"/>
          <w:color w:val="auto"/>
          <w:highlight w:val="none"/>
        </w:rPr>
      </w:pPr>
      <w:bookmarkStart w:id="459" w:name="_Toc522201599"/>
      <w:bookmarkStart w:id="460" w:name="_Toc60"/>
      <w:bookmarkStart w:id="461" w:name="_Toc256000048"/>
      <w:bookmarkStart w:id="462" w:name="_Toc7157"/>
      <w:bookmarkStart w:id="463" w:name="_Toc17867"/>
      <w:bookmarkStart w:id="464" w:name="_Toc2066"/>
      <w:bookmarkStart w:id="465" w:name="_Toc351203510"/>
      <w:bookmarkStart w:id="466" w:name="_Toc24098"/>
      <w:r>
        <w:rPr>
          <w:rFonts w:hint="eastAsia" w:ascii="宋体" w:cs="宋体"/>
          <w:color w:val="auto"/>
          <w:highlight w:val="none"/>
        </w:rPr>
        <w:t>2</w:t>
      </w:r>
      <w:bookmarkStart w:id="467" w:name="_Toc337558740"/>
      <w:bookmarkStart w:id="468" w:name="_Toc296503039"/>
      <w:bookmarkStart w:id="469" w:name="_Toc296346540"/>
      <w:r>
        <w:rPr>
          <w:rFonts w:hint="eastAsia" w:ascii="宋体" w:cs="宋体"/>
          <w:color w:val="auto"/>
          <w:highlight w:val="none"/>
        </w:rPr>
        <w:t>.1 许可或批准</w:t>
      </w:r>
      <w:bookmarkEnd w:id="459"/>
      <w:bookmarkEnd w:id="460"/>
      <w:bookmarkEnd w:id="461"/>
      <w:bookmarkEnd w:id="462"/>
      <w:bookmarkEnd w:id="463"/>
      <w:bookmarkEnd w:id="464"/>
      <w:bookmarkEnd w:id="465"/>
      <w:bookmarkEnd w:id="466"/>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因发包人原因未能及时办理完毕前述许可、批准或备案，由发包人承担由此增加的费用和（或）延误的工期，并支付承包人合理的利润。</w:t>
      </w:r>
    </w:p>
    <w:p>
      <w:pPr>
        <w:pStyle w:val="21"/>
        <w:spacing w:line="360" w:lineRule="auto"/>
        <w:ind w:firstLine="422" w:firstLineChars="200"/>
        <w:rPr>
          <w:rFonts w:ascii="宋体" w:cs="宋体"/>
          <w:color w:val="auto"/>
          <w:highlight w:val="none"/>
        </w:rPr>
      </w:pPr>
      <w:bookmarkStart w:id="470" w:name="_Toc12951"/>
      <w:bookmarkStart w:id="471" w:name="_Toc351203511"/>
      <w:bookmarkStart w:id="472" w:name="_Toc522201600"/>
      <w:bookmarkStart w:id="473" w:name="_Toc256000049"/>
      <w:bookmarkStart w:id="474" w:name="_Toc1626"/>
      <w:bookmarkStart w:id="475" w:name="_Toc11281"/>
      <w:bookmarkStart w:id="476" w:name="_Toc15453"/>
      <w:bookmarkStart w:id="477" w:name="_Toc24133"/>
      <w:r>
        <w:rPr>
          <w:rFonts w:hint="eastAsia" w:ascii="宋体" w:cs="宋体"/>
          <w:color w:val="auto"/>
          <w:highlight w:val="none"/>
        </w:rPr>
        <w:t>2.2 发包人代表</w:t>
      </w:r>
      <w:bookmarkEnd w:id="470"/>
      <w:bookmarkEnd w:id="471"/>
      <w:bookmarkEnd w:id="472"/>
      <w:bookmarkEnd w:id="473"/>
      <w:bookmarkEnd w:id="474"/>
      <w:bookmarkEnd w:id="475"/>
      <w:bookmarkEnd w:id="476"/>
      <w:bookmarkEnd w:id="477"/>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发包人代表不能按照合同约定履行其职责及义务，并导致合同无法继续正常履行的，承包人可以要求发包人撤换发包人代表。</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不属于法定必须监理的工程，监理人的职权可以由发包人代表或发包人指定的其他人员行使。</w:t>
      </w:r>
    </w:p>
    <w:p>
      <w:pPr>
        <w:pStyle w:val="21"/>
        <w:spacing w:line="360" w:lineRule="auto"/>
        <w:ind w:firstLine="422" w:firstLineChars="200"/>
        <w:rPr>
          <w:rFonts w:ascii="宋体" w:cs="宋体"/>
          <w:color w:val="auto"/>
          <w:highlight w:val="none"/>
        </w:rPr>
      </w:pPr>
      <w:bookmarkStart w:id="478" w:name="_Toc351203512"/>
      <w:bookmarkStart w:id="479" w:name="_Toc7774"/>
      <w:bookmarkStart w:id="480" w:name="_Toc256000050"/>
      <w:bookmarkStart w:id="481" w:name="_Toc522201601"/>
      <w:bookmarkStart w:id="482" w:name="_Toc25549"/>
      <w:bookmarkStart w:id="483" w:name="_Toc12406"/>
      <w:bookmarkStart w:id="484" w:name="_Toc30019"/>
      <w:bookmarkStart w:id="485" w:name="_Toc2748"/>
      <w:r>
        <w:rPr>
          <w:rFonts w:hint="eastAsia" w:ascii="宋体" w:cs="宋体"/>
          <w:color w:val="auto"/>
          <w:highlight w:val="none"/>
        </w:rPr>
        <w:t>2.3 发包人人员</w:t>
      </w:r>
      <w:bookmarkEnd w:id="478"/>
      <w:bookmarkEnd w:id="479"/>
      <w:bookmarkEnd w:id="480"/>
      <w:bookmarkEnd w:id="481"/>
      <w:bookmarkEnd w:id="482"/>
      <w:bookmarkEnd w:id="483"/>
      <w:bookmarkEnd w:id="484"/>
      <w:bookmarkEnd w:id="485"/>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发包人应要求在施工现场的发包人人员遵守法律及有关安全、质量、环境保护、文明施工等规定，并保障承包人免于承受因发包人人员未遵守上述要求给承包人造成的损失和责任。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发包人人员包括发包人代表及其他由发包人派驻施工现场的人员。</w:t>
      </w:r>
      <w:bookmarkEnd w:id="467"/>
      <w:bookmarkEnd w:id="468"/>
      <w:bookmarkEnd w:id="469"/>
    </w:p>
    <w:p>
      <w:pPr>
        <w:pStyle w:val="21"/>
        <w:spacing w:line="360" w:lineRule="auto"/>
        <w:ind w:firstLine="422" w:firstLineChars="200"/>
        <w:rPr>
          <w:rFonts w:ascii="宋体" w:cs="宋体"/>
          <w:color w:val="auto"/>
          <w:highlight w:val="none"/>
        </w:rPr>
      </w:pPr>
      <w:bookmarkStart w:id="486" w:name="_Toc30383"/>
      <w:bookmarkStart w:id="487" w:name="_Toc256000051"/>
      <w:bookmarkStart w:id="488" w:name="_Toc558"/>
      <w:bookmarkStart w:id="489" w:name="_Toc351203513"/>
      <w:bookmarkStart w:id="490" w:name="_Toc30697"/>
      <w:bookmarkStart w:id="491" w:name="_Toc6399"/>
      <w:bookmarkStart w:id="492" w:name="_Toc6859"/>
      <w:bookmarkStart w:id="493" w:name="_Toc522201602"/>
      <w:r>
        <w:rPr>
          <w:rFonts w:hint="eastAsia" w:ascii="宋体" w:cs="宋体"/>
          <w:color w:val="auto"/>
          <w:highlight w:val="none"/>
        </w:rPr>
        <w:t>2</w:t>
      </w:r>
      <w:bookmarkStart w:id="494" w:name="_Toc337558741"/>
      <w:bookmarkStart w:id="495" w:name="_Toc296346541"/>
      <w:bookmarkStart w:id="496" w:name="_Toc296503040"/>
      <w:r>
        <w:rPr>
          <w:rFonts w:hint="eastAsia" w:ascii="宋体" w:cs="宋体"/>
          <w:color w:val="auto"/>
          <w:highlight w:val="none"/>
        </w:rPr>
        <w:t>.4 施工现场、施工条件和基础资料的提供</w:t>
      </w:r>
      <w:bookmarkEnd w:id="486"/>
      <w:bookmarkEnd w:id="487"/>
      <w:bookmarkEnd w:id="488"/>
      <w:bookmarkEnd w:id="489"/>
      <w:bookmarkEnd w:id="490"/>
      <w:bookmarkEnd w:id="491"/>
      <w:bookmarkEnd w:id="492"/>
      <w:bookmarkEnd w:id="493"/>
      <w:r>
        <w:rPr>
          <w:rFonts w:hint="eastAsia" w:ascii="宋体" w:cs="宋体"/>
          <w:color w:val="auto"/>
          <w:highlight w:val="none"/>
        </w:rPr>
        <w:t xml:space="preserve"> </w:t>
      </w:r>
      <w:bookmarkEnd w:id="494"/>
      <w:bookmarkEnd w:id="495"/>
      <w:bookmarkEnd w:id="496"/>
      <w:r>
        <w:rPr>
          <w:rFonts w:hint="eastAsia" w:ascii="宋体" w:cs="宋体"/>
          <w:color w:val="auto"/>
          <w:highlight w:val="none"/>
        </w:rPr>
        <w:t xml:space="preserve"> </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2.4.1 提供施工现场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w:t>
      </w:r>
      <w:bookmarkEnd w:id="458"/>
      <w:r>
        <w:rPr>
          <w:rFonts w:hint="eastAsia" w:ascii="宋体" w:hAnsi="宋体" w:cs="宋体"/>
          <w:color w:val="auto"/>
          <w:kern w:val="0"/>
          <w:szCs w:val="21"/>
          <w:highlight w:val="none"/>
        </w:rPr>
        <w:t>专用合同条款另有约定外，发包人应最迟于开工日期7天前向承包人移交施工现场。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2.4.2 提供施工条件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除专用合同条款另有约定外，发包人应负责提供施工所需要的条件，包括：</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（1）将施工用水、电力、通讯线路等施工所必需的条件接至施工现场内；</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（2）保证向承包人提供正常施工所需要的进入施工现场的交通条件；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（3）协调处理施工现场周围地下管线和邻近建筑物、构筑物、古树名木的保护工作，并承担相关费用；</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（4）按照专用合同条款约定应提供的其他设施和条件。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2.4.3 提供基础资料</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按照法律规定确需在开工后方能提供的基础资料，发包人应尽其努力及时地在相应工程施工前的合理期限内提供，合理期限应以不影响承包人的正常施工为限。</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2.4.4 逾期提供的责任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因发包人原因未能按合同约定及时向承包人提供施工现场、施工条件、基础资料的，由发包人承担由此增加的费用和（或）延误的工期。</w:t>
      </w:r>
    </w:p>
    <w:p>
      <w:pPr>
        <w:pStyle w:val="21"/>
        <w:spacing w:line="360" w:lineRule="auto"/>
        <w:ind w:firstLine="422" w:firstLineChars="200"/>
        <w:rPr>
          <w:rFonts w:ascii="宋体" w:cs="宋体"/>
          <w:color w:val="auto"/>
          <w:highlight w:val="none"/>
        </w:rPr>
      </w:pPr>
      <w:bookmarkStart w:id="497" w:name="_Toc522201603"/>
      <w:bookmarkStart w:id="498" w:name="_Toc23273"/>
      <w:bookmarkStart w:id="499" w:name="_Toc29898"/>
      <w:bookmarkStart w:id="500" w:name="_Toc23249"/>
      <w:bookmarkStart w:id="501" w:name="_Toc12612"/>
      <w:bookmarkStart w:id="502" w:name="_Toc19834"/>
      <w:bookmarkStart w:id="503" w:name="_Toc351203514"/>
      <w:bookmarkStart w:id="504" w:name="_Toc256000052"/>
      <w:r>
        <w:rPr>
          <w:rFonts w:hint="eastAsia" w:ascii="宋体" w:cs="宋体"/>
          <w:color w:val="auto"/>
          <w:highlight w:val="none"/>
        </w:rPr>
        <w:t>2</w:t>
      </w:r>
      <w:bookmarkStart w:id="505" w:name="_Toc337558745"/>
      <w:bookmarkStart w:id="506" w:name="_Toc296503042"/>
      <w:bookmarkStart w:id="507" w:name="_Toc296346543"/>
      <w:r>
        <w:rPr>
          <w:rFonts w:hint="eastAsia" w:ascii="宋体" w:cs="宋体"/>
          <w:color w:val="auto"/>
          <w:highlight w:val="none"/>
        </w:rPr>
        <w:t>.5 资</w:t>
      </w:r>
      <w:bookmarkEnd w:id="505"/>
      <w:bookmarkEnd w:id="506"/>
      <w:bookmarkEnd w:id="507"/>
      <w:r>
        <w:rPr>
          <w:rFonts w:hint="eastAsia" w:ascii="宋体" w:cs="宋体"/>
          <w:color w:val="auto"/>
          <w:highlight w:val="none"/>
        </w:rPr>
        <w:t>金来源证明及支付担保</w:t>
      </w:r>
      <w:bookmarkEnd w:id="497"/>
      <w:bookmarkEnd w:id="498"/>
      <w:bookmarkEnd w:id="499"/>
      <w:bookmarkEnd w:id="500"/>
      <w:bookmarkEnd w:id="501"/>
      <w:bookmarkEnd w:id="502"/>
      <w:bookmarkEnd w:id="503"/>
      <w:bookmarkEnd w:id="504"/>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除专用合同条款另有约定外，发包人应在收到承包人要求提供资金来源证明的书面通知后28天内，向承包人提供能够按照合同约定支付合同价款的相应资金来源证明。</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21"/>
        <w:spacing w:line="360" w:lineRule="auto"/>
        <w:ind w:firstLine="422" w:firstLineChars="200"/>
        <w:rPr>
          <w:rFonts w:ascii="宋体" w:cs="宋体"/>
          <w:color w:val="auto"/>
          <w:highlight w:val="none"/>
        </w:rPr>
      </w:pPr>
      <w:bookmarkStart w:id="508" w:name="_Toc256000053"/>
      <w:bookmarkStart w:id="509" w:name="_Toc903"/>
      <w:bookmarkStart w:id="510" w:name="_Toc2347"/>
      <w:bookmarkStart w:id="511" w:name="_Toc522201604"/>
      <w:bookmarkStart w:id="512" w:name="_Toc6007"/>
      <w:bookmarkStart w:id="513" w:name="_Toc351203515"/>
      <w:bookmarkStart w:id="514" w:name="_Toc31064"/>
      <w:bookmarkStart w:id="515" w:name="_Toc15513"/>
      <w:r>
        <w:rPr>
          <w:rFonts w:hint="eastAsia" w:ascii="宋体" w:cs="宋体"/>
          <w:color w:val="auto"/>
          <w:highlight w:val="none"/>
        </w:rPr>
        <w:t>2.6 支付合同价款</w:t>
      </w:r>
      <w:bookmarkEnd w:id="508"/>
      <w:bookmarkEnd w:id="509"/>
      <w:bookmarkEnd w:id="510"/>
      <w:bookmarkEnd w:id="511"/>
      <w:bookmarkEnd w:id="512"/>
      <w:bookmarkEnd w:id="513"/>
      <w:bookmarkEnd w:id="514"/>
      <w:bookmarkEnd w:id="515"/>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发包人应按合同约定向承包人及时支付合同价款。</w:t>
      </w:r>
    </w:p>
    <w:p>
      <w:pPr>
        <w:pStyle w:val="21"/>
        <w:spacing w:line="360" w:lineRule="auto"/>
        <w:ind w:firstLine="422" w:firstLineChars="200"/>
        <w:rPr>
          <w:rFonts w:ascii="宋体" w:cs="宋体"/>
          <w:color w:val="auto"/>
          <w:highlight w:val="none"/>
        </w:rPr>
      </w:pPr>
      <w:bookmarkStart w:id="516" w:name="_Toc16832"/>
      <w:bookmarkStart w:id="517" w:name="_Toc351203516"/>
      <w:bookmarkStart w:id="518" w:name="_Toc14290"/>
      <w:bookmarkStart w:id="519" w:name="_Toc23790"/>
      <w:bookmarkStart w:id="520" w:name="_Toc11372"/>
      <w:bookmarkStart w:id="521" w:name="_Toc256000054"/>
      <w:bookmarkStart w:id="522" w:name="_Toc23696"/>
      <w:bookmarkStart w:id="523" w:name="_Toc522201605"/>
      <w:r>
        <w:rPr>
          <w:rFonts w:hint="eastAsia" w:ascii="宋体" w:cs="宋体"/>
          <w:color w:val="auto"/>
          <w:highlight w:val="none"/>
        </w:rPr>
        <w:t>2.7 组织竣工验收</w:t>
      </w:r>
      <w:bookmarkEnd w:id="516"/>
      <w:bookmarkEnd w:id="517"/>
      <w:bookmarkEnd w:id="518"/>
      <w:bookmarkEnd w:id="519"/>
      <w:bookmarkEnd w:id="520"/>
      <w:bookmarkEnd w:id="521"/>
      <w:bookmarkEnd w:id="522"/>
      <w:bookmarkEnd w:id="523"/>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发包人应按合同约定及时组织竣工验收。</w:t>
      </w:r>
    </w:p>
    <w:p>
      <w:pPr>
        <w:pStyle w:val="21"/>
        <w:spacing w:line="360" w:lineRule="auto"/>
        <w:ind w:firstLine="422" w:firstLineChars="200"/>
        <w:rPr>
          <w:rFonts w:ascii="宋体" w:cs="宋体"/>
          <w:color w:val="auto"/>
          <w:highlight w:val="none"/>
        </w:rPr>
      </w:pPr>
      <w:bookmarkStart w:id="524" w:name="_Toc25805"/>
      <w:bookmarkStart w:id="525" w:name="_Toc351203517"/>
      <w:bookmarkStart w:id="526" w:name="_Toc22821"/>
      <w:bookmarkStart w:id="527" w:name="_Toc7775"/>
      <w:bookmarkStart w:id="528" w:name="_Toc256000055"/>
      <w:bookmarkStart w:id="529" w:name="_Toc522201606"/>
      <w:bookmarkStart w:id="530" w:name="_Toc18047"/>
      <w:bookmarkStart w:id="531" w:name="_Toc9916"/>
      <w:r>
        <w:rPr>
          <w:rFonts w:hint="eastAsia" w:ascii="宋体" w:cs="宋体"/>
          <w:color w:val="auto"/>
          <w:highlight w:val="none"/>
        </w:rPr>
        <w:t>2.8 现场统一管理协议</w:t>
      </w:r>
      <w:bookmarkEnd w:id="524"/>
      <w:bookmarkEnd w:id="525"/>
      <w:bookmarkEnd w:id="526"/>
      <w:bookmarkEnd w:id="527"/>
      <w:bookmarkEnd w:id="528"/>
      <w:bookmarkEnd w:id="529"/>
      <w:bookmarkEnd w:id="530"/>
      <w:bookmarkEnd w:id="531"/>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发包人应与承包人、由发包人直接发包的专业工程的承包人签订施工现场统一管理协议，明确各方的权利义务。施工现场统一管理协议作为专用合同条款的附件。</w:t>
      </w:r>
    </w:p>
    <w:p>
      <w:pPr>
        <w:pStyle w:val="21"/>
        <w:spacing w:line="360" w:lineRule="auto"/>
        <w:rPr>
          <w:rFonts w:ascii="宋体" w:cs="宋体"/>
          <w:color w:val="auto"/>
          <w:highlight w:val="none"/>
        </w:rPr>
      </w:pPr>
      <w:bookmarkStart w:id="532" w:name="_Toc804"/>
      <w:bookmarkStart w:id="533" w:name="_Toc522201607"/>
      <w:bookmarkStart w:id="534" w:name="_Toc16234"/>
      <w:bookmarkStart w:id="535" w:name="_Toc14891"/>
      <w:bookmarkStart w:id="536" w:name="_Toc22713"/>
      <w:bookmarkStart w:id="537" w:name="_Toc256000056"/>
      <w:bookmarkStart w:id="538" w:name="_Toc351203518"/>
      <w:bookmarkStart w:id="539" w:name="_Toc16750"/>
      <w:r>
        <w:rPr>
          <w:rFonts w:hint="eastAsia" w:ascii="宋体" w:cs="宋体"/>
          <w:color w:val="auto"/>
          <w:highlight w:val="none"/>
        </w:rPr>
        <w:t>3</w:t>
      </w:r>
      <w:bookmarkStart w:id="540" w:name="_Toc296346546"/>
      <w:bookmarkStart w:id="541" w:name="_Toc296503045"/>
      <w:bookmarkStart w:id="542" w:name="_Toc337558746"/>
      <w:r>
        <w:rPr>
          <w:rFonts w:hint="eastAsia" w:ascii="宋体" w:cs="宋体"/>
          <w:color w:val="auto"/>
          <w:highlight w:val="none"/>
        </w:rPr>
        <w:t>. 承包人</w:t>
      </w:r>
      <w:bookmarkEnd w:id="532"/>
      <w:bookmarkEnd w:id="533"/>
      <w:bookmarkEnd w:id="534"/>
      <w:bookmarkEnd w:id="535"/>
      <w:bookmarkEnd w:id="536"/>
      <w:bookmarkEnd w:id="537"/>
      <w:bookmarkEnd w:id="538"/>
      <w:bookmarkEnd w:id="539"/>
    </w:p>
    <w:bookmarkEnd w:id="540"/>
    <w:bookmarkEnd w:id="541"/>
    <w:bookmarkEnd w:id="542"/>
    <w:p>
      <w:pPr>
        <w:pStyle w:val="21"/>
        <w:spacing w:line="360" w:lineRule="auto"/>
        <w:ind w:firstLine="422" w:firstLineChars="200"/>
        <w:rPr>
          <w:rFonts w:ascii="宋体" w:cs="宋体"/>
          <w:color w:val="auto"/>
          <w:highlight w:val="none"/>
        </w:rPr>
      </w:pPr>
      <w:bookmarkStart w:id="543" w:name="_Toc30204"/>
      <w:bookmarkStart w:id="544" w:name="_Toc30603"/>
      <w:bookmarkStart w:id="545" w:name="_Toc439"/>
      <w:bookmarkStart w:id="546" w:name="_Toc256000057"/>
      <w:bookmarkStart w:id="547" w:name="_Toc17164"/>
      <w:bookmarkStart w:id="548" w:name="_Toc351203519"/>
      <w:bookmarkStart w:id="549" w:name="_Toc522201608"/>
      <w:bookmarkStart w:id="550" w:name="_Toc11130"/>
      <w:r>
        <w:rPr>
          <w:rFonts w:hint="eastAsia" w:ascii="宋体" w:cs="宋体"/>
          <w:color w:val="auto"/>
          <w:highlight w:val="none"/>
        </w:rPr>
        <w:t>3</w:t>
      </w:r>
      <w:bookmarkStart w:id="551" w:name="_Toc337558747"/>
      <w:bookmarkStart w:id="552" w:name="_Toc296503046"/>
      <w:bookmarkStart w:id="553" w:name="_Toc296346547"/>
      <w:r>
        <w:rPr>
          <w:rFonts w:hint="eastAsia" w:ascii="宋体" w:cs="宋体"/>
          <w:color w:val="auto"/>
          <w:highlight w:val="none"/>
        </w:rPr>
        <w:t>.1 承包人的一般义务</w:t>
      </w:r>
      <w:bookmarkEnd w:id="543"/>
      <w:bookmarkEnd w:id="544"/>
      <w:bookmarkEnd w:id="545"/>
      <w:bookmarkEnd w:id="546"/>
      <w:bookmarkEnd w:id="547"/>
      <w:bookmarkEnd w:id="548"/>
      <w:bookmarkEnd w:id="549"/>
      <w:bookmarkEnd w:id="550"/>
    </w:p>
    <w:bookmarkEnd w:id="551"/>
    <w:bookmarkEnd w:id="552"/>
    <w:bookmarkEnd w:id="553"/>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承包人在履行合同过程中应遵守法律和工程建设标准规范，并履行以下义务：</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办理法律规定应由承包人办理的许可和批准，并将办理结果书面报送发包人留存；</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（2）按法律规定和合同约定完成工程，并在保修期内承担保修义务；</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（3）按法律规定和合同约定采取施工安全和环境保护措施，办理工伤保险，确保工程及人员、材料、设备和设施的安全；</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（4）按合同约定的工作内容和施工进度要求，编制施工组织设计和施工措施计划，并对所有施工作业和施工方法的完备性和安全可靠性负责；</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（6）按照第6.3款〔环境保护〕约定负责施工场地及其周边环境与生态的保护工作；</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（7）按第6.1款〔安全文明施工〕约定采取施工安全措施，确保工程及其人员、材料、设备和设施的安全，防止因工程施工造成的人身伤害和财产损失；</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（8）将发包人按合同约定支付的各项价款专用于合同工程，且应及时支付其雇用人员工资，并及时向分包人支付合同价款；</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（9）按照法律规定和合同约定编制竣工资料，完成竣工资料立卷及归档，并按专用合同条款约定的竣工资料的套数、内容、时间等要求移交发包人；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（10）应履行的其他义务。</w:t>
      </w:r>
    </w:p>
    <w:p>
      <w:pPr>
        <w:pStyle w:val="21"/>
        <w:spacing w:line="360" w:lineRule="auto"/>
        <w:ind w:firstLine="422" w:firstLineChars="200"/>
        <w:rPr>
          <w:rFonts w:ascii="宋体" w:cs="宋体"/>
          <w:b w:val="0"/>
          <w:color w:val="auto"/>
          <w:highlight w:val="none"/>
        </w:rPr>
      </w:pPr>
      <w:bookmarkStart w:id="554" w:name="_Toc351203520"/>
      <w:bookmarkStart w:id="555" w:name="_Toc522201609"/>
      <w:bookmarkStart w:id="556" w:name="_Toc19904"/>
      <w:bookmarkStart w:id="557" w:name="_Toc256000058"/>
      <w:bookmarkStart w:id="558" w:name="_Toc24184"/>
      <w:bookmarkStart w:id="559" w:name="_Toc9683"/>
      <w:bookmarkStart w:id="560" w:name="_Toc6869"/>
      <w:bookmarkStart w:id="561" w:name="_Toc25801"/>
      <w:r>
        <w:rPr>
          <w:rFonts w:hint="eastAsia" w:ascii="宋体" w:cs="宋体"/>
          <w:color w:val="auto"/>
          <w:highlight w:val="none"/>
        </w:rPr>
        <w:t>3</w:t>
      </w:r>
      <w:bookmarkStart w:id="562" w:name="_Toc337558748"/>
      <w:bookmarkStart w:id="563" w:name="_Toc296503047"/>
      <w:bookmarkStart w:id="564" w:name="_Toc296346548"/>
      <w:r>
        <w:rPr>
          <w:rFonts w:hint="eastAsia" w:ascii="宋体" w:cs="宋体"/>
          <w:color w:val="auto"/>
          <w:highlight w:val="none"/>
        </w:rPr>
        <w:t xml:space="preserve">.2 </w:t>
      </w:r>
      <w:bookmarkEnd w:id="554"/>
      <w:r>
        <w:rPr>
          <w:rFonts w:hint="eastAsia" w:ascii="宋体" w:cs="宋体"/>
          <w:color w:val="auto"/>
          <w:highlight w:val="none"/>
        </w:rPr>
        <w:t>项目经理</w:t>
      </w:r>
      <w:bookmarkEnd w:id="555"/>
      <w:bookmarkEnd w:id="556"/>
      <w:bookmarkEnd w:id="557"/>
      <w:bookmarkEnd w:id="558"/>
      <w:bookmarkEnd w:id="559"/>
      <w:bookmarkEnd w:id="560"/>
      <w:bookmarkEnd w:id="561"/>
    </w:p>
    <w:bookmarkEnd w:id="562"/>
    <w:bookmarkEnd w:id="563"/>
    <w:bookmarkEnd w:id="564"/>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承包人违反上述约定的，应按照专用合同条款的约定，承担违约责任。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3.2.5 项目经理因特殊情况授权其下属人员履行其某项工作职责的，该下属人员应具备履行相应职责的能力，并应提前7天将上述人员的姓名和授权范围书面通知监理人，并征得发包人书面同意。</w:t>
      </w:r>
    </w:p>
    <w:p>
      <w:pPr>
        <w:pStyle w:val="21"/>
        <w:spacing w:line="360" w:lineRule="auto"/>
        <w:ind w:firstLine="422" w:firstLineChars="200"/>
        <w:rPr>
          <w:rFonts w:ascii="宋体" w:cs="宋体"/>
          <w:color w:val="auto"/>
          <w:highlight w:val="none"/>
        </w:rPr>
      </w:pPr>
      <w:bookmarkStart w:id="565" w:name="_Toc522201610"/>
      <w:bookmarkStart w:id="566" w:name="_Toc18979"/>
      <w:bookmarkStart w:id="567" w:name="_Toc17210"/>
      <w:bookmarkStart w:id="568" w:name="_Toc351203521"/>
      <w:bookmarkStart w:id="569" w:name="_Toc256000059"/>
      <w:bookmarkStart w:id="570" w:name="_Toc24190"/>
      <w:bookmarkStart w:id="571" w:name="_Toc31161"/>
      <w:bookmarkStart w:id="572" w:name="_Toc15564"/>
      <w:r>
        <w:rPr>
          <w:rFonts w:hint="eastAsia" w:ascii="宋体" w:cs="宋体"/>
          <w:color w:val="auto"/>
          <w:highlight w:val="none"/>
        </w:rPr>
        <w:t>3</w:t>
      </w:r>
      <w:bookmarkStart w:id="573" w:name="_Toc296346549"/>
      <w:bookmarkStart w:id="574" w:name="_Toc296503048"/>
      <w:bookmarkStart w:id="575" w:name="_Toc337558749"/>
      <w:r>
        <w:rPr>
          <w:rFonts w:hint="eastAsia" w:ascii="宋体" w:cs="宋体"/>
          <w:color w:val="auto"/>
          <w:highlight w:val="none"/>
        </w:rPr>
        <w:t xml:space="preserve">.3 </w:t>
      </w:r>
      <w:bookmarkEnd w:id="573"/>
      <w:bookmarkEnd w:id="574"/>
      <w:r>
        <w:rPr>
          <w:rFonts w:hint="eastAsia" w:ascii="宋体" w:cs="宋体"/>
          <w:color w:val="auto"/>
          <w:highlight w:val="none"/>
        </w:rPr>
        <w:t>承包人人员</w:t>
      </w:r>
      <w:bookmarkEnd w:id="565"/>
      <w:bookmarkEnd w:id="566"/>
      <w:bookmarkEnd w:id="567"/>
      <w:bookmarkEnd w:id="568"/>
      <w:bookmarkEnd w:id="569"/>
      <w:bookmarkEnd w:id="570"/>
      <w:bookmarkEnd w:id="571"/>
      <w:bookmarkEnd w:id="572"/>
    </w:p>
    <w:bookmarkEnd w:id="575"/>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特殊工种作业人员均应持有相应的资格证明，监理人可以随时检查。</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3.3.5 承包人擅自更换主要施工管理人员，或前述人员未经监理人或发包人同意擅自离开施工现场的，应按照专用合同条款约定承担违约责任。 </w:t>
      </w:r>
    </w:p>
    <w:p>
      <w:pPr>
        <w:pStyle w:val="21"/>
        <w:spacing w:line="360" w:lineRule="auto"/>
        <w:ind w:firstLine="422" w:firstLineChars="200"/>
        <w:rPr>
          <w:rFonts w:ascii="宋体" w:cs="宋体"/>
          <w:color w:val="auto"/>
          <w:highlight w:val="none"/>
        </w:rPr>
      </w:pPr>
      <w:bookmarkStart w:id="576" w:name="_Toc522201611"/>
      <w:bookmarkStart w:id="577" w:name="_Toc9298"/>
      <w:bookmarkStart w:id="578" w:name="_Toc12282"/>
      <w:bookmarkStart w:id="579" w:name="_Toc24778"/>
      <w:bookmarkStart w:id="580" w:name="_Toc351203522"/>
      <w:bookmarkStart w:id="581" w:name="_Toc256000060"/>
      <w:bookmarkStart w:id="582" w:name="_Toc20883"/>
      <w:bookmarkStart w:id="583" w:name="_Toc15776"/>
      <w:r>
        <w:rPr>
          <w:rFonts w:hint="eastAsia" w:ascii="宋体" w:cs="宋体"/>
          <w:color w:val="auto"/>
          <w:highlight w:val="none"/>
        </w:rPr>
        <w:t>3</w:t>
      </w:r>
      <w:bookmarkStart w:id="584" w:name="_Toc296503050"/>
      <w:bookmarkStart w:id="585" w:name="_Toc337558750"/>
      <w:bookmarkStart w:id="586" w:name="_Toc296346551"/>
      <w:r>
        <w:rPr>
          <w:rFonts w:hint="eastAsia" w:ascii="宋体" w:cs="宋体"/>
          <w:color w:val="auto"/>
          <w:highlight w:val="none"/>
        </w:rPr>
        <w:t>.4 承包人现场查勘</w:t>
      </w:r>
      <w:bookmarkEnd w:id="576"/>
      <w:bookmarkEnd w:id="577"/>
      <w:bookmarkEnd w:id="578"/>
      <w:bookmarkEnd w:id="579"/>
      <w:bookmarkEnd w:id="580"/>
      <w:bookmarkEnd w:id="581"/>
      <w:bookmarkEnd w:id="582"/>
      <w:bookmarkEnd w:id="583"/>
    </w:p>
    <w:bookmarkEnd w:id="584"/>
    <w:bookmarkEnd w:id="585"/>
    <w:bookmarkEnd w:id="586"/>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承包人应对基于发包人按照第2.4.3项〔提供基础资料〕提交的基础资料所做出的解释和推断负责，但因基础资料存在错误、遗漏导致承包人解释或推断失实的，由发包人承担责任。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21"/>
        <w:spacing w:line="360" w:lineRule="auto"/>
        <w:ind w:firstLine="422" w:firstLineChars="200"/>
        <w:rPr>
          <w:rFonts w:ascii="宋体" w:cs="宋体"/>
          <w:color w:val="auto"/>
          <w:highlight w:val="none"/>
        </w:rPr>
      </w:pPr>
      <w:bookmarkStart w:id="587" w:name="_Toc7917"/>
      <w:bookmarkStart w:id="588" w:name="_Toc8906"/>
      <w:bookmarkStart w:id="589" w:name="_Toc256000061"/>
      <w:bookmarkStart w:id="590" w:name="_Toc522201612"/>
      <w:bookmarkStart w:id="591" w:name="_Toc351203523"/>
      <w:bookmarkStart w:id="592" w:name="_Toc4507"/>
      <w:bookmarkStart w:id="593" w:name="_Toc12198"/>
      <w:bookmarkStart w:id="594" w:name="_Toc6415"/>
      <w:r>
        <w:rPr>
          <w:rFonts w:hint="eastAsia" w:ascii="宋体" w:cs="宋体"/>
          <w:color w:val="auto"/>
          <w:highlight w:val="none"/>
        </w:rPr>
        <w:t>3</w:t>
      </w:r>
      <w:bookmarkStart w:id="595" w:name="_Toc296503051"/>
      <w:bookmarkStart w:id="596" w:name="_Toc296346552"/>
      <w:bookmarkStart w:id="597" w:name="_Toc337558751"/>
      <w:r>
        <w:rPr>
          <w:rFonts w:hint="eastAsia" w:ascii="宋体" w:cs="宋体"/>
          <w:color w:val="auto"/>
          <w:highlight w:val="none"/>
        </w:rPr>
        <w:t>.5 分包</w:t>
      </w:r>
      <w:bookmarkEnd w:id="587"/>
      <w:bookmarkEnd w:id="588"/>
      <w:bookmarkEnd w:id="589"/>
      <w:bookmarkEnd w:id="590"/>
      <w:bookmarkEnd w:id="591"/>
      <w:bookmarkEnd w:id="592"/>
      <w:bookmarkEnd w:id="593"/>
      <w:bookmarkEnd w:id="594"/>
    </w:p>
    <w:bookmarkEnd w:id="595"/>
    <w:bookmarkEnd w:id="596"/>
    <w:bookmarkEnd w:id="597"/>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3.5.1 分包的一般约定</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承包人不得以劳务分包的名义转包或违法分包工程。</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3.5.2 分包的确定</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3.5.3 分包管理</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承包人应向监理人提交分包人的主要施工管理人员表，并对分包人的施工人员进行实名制管理，包括但不限于进出场管理、登记造册以及各种证照的办理。</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3.5.4 分包合同价款</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（1）除本项第（2）目约定的情况或专用合同条款另有约定外，分包合同价款由承包人与分包人结算，未经承包人同意，发包人不得向分包人支付分包工程价款；</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（2）生效法律文书要求发包人向分包人支付分包合同价款的，发包人有权从应付承包人工程款中扣除该部分款项。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3.5.5 分包合同权益的转让</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598" w:name="_Toc351203524"/>
    </w:p>
    <w:p>
      <w:pPr>
        <w:pStyle w:val="21"/>
        <w:spacing w:line="360" w:lineRule="auto"/>
        <w:ind w:firstLine="422" w:firstLineChars="200"/>
        <w:rPr>
          <w:rFonts w:ascii="宋体" w:cs="宋体"/>
          <w:color w:val="auto"/>
          <w:highlight w:val="none"/>
        </w:rPr>
      </w:pPr>
      <w:bookmarkStart w:id="599" w:name="_Toc32192"/>
      <w:bookmarkStart w:id="600" w:name="_Toc256000062"/>
      <w:bookmarkStart w:id="601" w:name="_Toc7170"/>
      <w:bookmarkStart w:id="602" w:name="_Toc522201613"/>
      <w:bookmarkStart w:id="603" w:name="_Toc9883"/>
      <w:bookmarkStart w:id="604" w:name="_Toc18254"/>
      <w:bookmarkStart w:id="605" w:name="_Toc10154"/>
      <w:r>
        <w:rPr>
          <w:rFonts w:hint="eastAsia" w:ascii="宋体" w:cs="宋体"/>
          <w:color w:val="auto"/>
          <w:highlight w:val="none"/>
        </w:rPr>
        <w:t>3.6 工程照管与成品、半成品保护</w:t>
      </w:r>
      <w:bookmarkEnd w:id="598"/>
      <w:bookmarkEnd w:id="599"/>
      <w:bookmarkEnd w:id="600"/>
      <w:bookmarkEnd w:id="601"/>
      <w:bookmarkEnd w:id="602"/>
      <w:bookmarkEnd w:id="603"/>
      <w:bookmarkEnd w:id="604"/>
      <w:bookmarkEnd w:id="605"/>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（1）除专用合同条款另有约定外，自发包人向承包人移交施工现场之日起，承包人应负责照管工程及工程相关的材料、工程设备，直到颁发工程接收证书之日止。</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（2）在承包人负责照管期间，因承包人原因造成工程、材料、工程设备损坏的，由承包人负责修复或更换，并承担由此增加的费用和（或）延误的工期。</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（3）对合同内分期完成的成品和半成品，在工程接收证书颁发前，由承包人承担保护责任。因承包人原因造成成品或半成品损坏的，由承包人负责修复或更换，并承担由此增加的费用和（或）延误的工期。</w:t>
      </w:r>
    </w:p>
    <w:p>
      <w:pPr>
        <w:pStyle w:val="21"/>
        <w:spacing w:line="360" w:lineRule="auto"/>
        <w:ind w:firstLine="422" w:firstLineChars="200"/>
        <w:rPr>
          <w:rFonts w:ascii="宋体" w:cs="宋体"/>
          <w:color w:val="auto"/>
          <w:highlight w:val="none"/>
        </w:rPr>
      </w:pPr>
      <w:bookmarkStart w:id="606" w:name="_Toc18433"/>
      <w:bookmarkStart w:id="607" w:name="_Toc24734"/>
      <w:bookmarkStart w:id="608" w:name="_Toc27092"/>
      <w:bookmarkStart w:id="609" w:name="_Toc522201614"/>
      <w:bookmarkStart w:id="610" w:name="_Toc351203525"/>
      <w:bookmarkStart w:id="611" w:name="_Toc256000063"/>
      <w:bookmarkStart w:id="612" w:name="_Toc14910"/>
      <w:bookmarkStart w:id="613" w:name="_Toc8274"/>
      <w:r>
        <w:rPr>
          <w:rFonts w:hint="eastAsia" w:ascii="宋体" w:cs="宋体"/>
          <w:color w:val="auto"/>
          <w:highlight w:val="none"/>
        </w:rPr>
        <w:t>3</w:t>
      </w:r>
      <w:bookmarkStart w:id="614" w:name="_Toc296503052"/>
      <w:bookmarkStart w:id="615" w:name="_Toc337558752"/>
      <w:bookmarkStart w:id="616" w:name="_Toc296346553"/>
      <w:r>
        <w:rPr>
          <w:rFonts w:hint="eastAsia" w:ascii="宋体" w:cs="宋体"/>
          <w:color w:val="auto"/>
          <w:highlight w:val="none"/>
        </w:rPr>
        <w:t>.7 履约担保</w:t>
      </w:r>
      <w:bookmarkEnd w:id="606"/>
      <w:bookmarkEnd w:id="607"/>
      <w:bookmarkEnd w:id="608"/>
      <w:bookmarkEnd w:id="609"/>
      <w:bookmarkEnd w:id="610"/>
      <w:bookmarkEnd w:id="611"/>
      <w:bookmarkEnd w:id="612"/>
      <w:bookmarkEnd w:id="613"/>
    </w:p>
    <w:bookmarkEnd w:id="614"/>
    <w:bookmarkEnd w:id="615"/>
    <w:bookmarkEnd w:id="616"/>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发包人需要承包人提供履约担保的，由合同当事人在专用合同条款中约定履约担保的方式、金额及期限等。履约担保可以采用银行保函或担保公司担保等形式，具体由合同当事人在专用合同条款中约定。</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因承包人原因导致工期延长的，继续提供履约担保所增加的费用由承包人承担；非因承包人原因导致工期延长的，继续提供履约担保所增加的费用由发包人承担。</w:t>
      </w:r>
    </w:p>
    <w:p>
      <w:pPr>
        <w:pStyle w:val="21"/>
        <w:spacing w:line="360" w:lineRule="auto"/>
        <w:ind w:firstLine="422" w:firstLineChars="200"/>
        <w:rPr>
          <w:rFonts w:ascii="宋体" w:cs="宋体"/>
          <w:color w:val="auto"/>
          <w:highlight w:val="none"/>
        </w:rPr>
      </w:pPr>
      <w:bookmarkStart w:id="617" w:name="_Toc6370"/>
      <w:bookmarkStart w:id="618" w:name="_Toc522201615"/>
      <w:bookmarkStart w:id="619" w:name="_Toc351203526"/>
      <w:bookmarkStart w:id="620" w:name="_Toc18669"/>
      <w:bookmarkStart w:id="621" w:name="_Toc256000064"/>
      <w:bookmarkStart w:id="622" w:name="_Toc3568"/>
      <w:bookmarkStart w:id="623" w:name="_Toc32064"/>
      <w:bookmarkStart w:id="624" w:name="_Toc19106"/>
      <w:r>
        <w:rPr>
          <w:rFonts w:hint="eastAsia" w:ascii="宋体" w:cs="宋体"/>
          <w:color w:val="auto"/>
          <w:highlight w:val="none"/>
        </w:rPr>
        <w:t>3.8 联合体</w:t>
      </w:r>
      <w:bookmarkEnd w:id="617"/>
      <w:bookmarkEnd w:id="618"/>
      <w:bookmarkEnd w:id="619"/>
      <w:bookmarkEnd w:id="620"/>
      <w:bookmarkEnd w:id="621"/>
      <w:bookmarkEnd w:id="622"/>
      <w:bookmarkEnd w:id="623"/>
      <w:bookmarkEnd w:id="624"/>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3.8.1 联合体各方应共同与发包人签订合同协议书。联合体各方应为履行合同向发包人承担连带责任。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3.8.2 联合体协议经发包人确认后作为合同附件。在履行合同过程中，未经发包人同意，不得修改联合体协议。</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3.8.3 联合体牵头人负责与发包人和监理人联系，并接受指示，负责组织联合体各成员全面履行合同。</w:t>
      </w:r>
    </w:p>
    <w:p>
      <w:pPr>
        <w:pStyle w:val="21"/>
        <w:spacing w:line="360" w:lineRule="auto"/>
        <w:rPr>
          <w:rFonts w:ascii="宋体" w:cs="宋体"/>
          <w:color w:val="auto"/>
          <w:highlight w:val="none"/>
        </w:rPr>
      </w:pPr>
      <w:bookmarkStart w:id="625" w:name="_Toc11138"/>
      <w:bookmarkStart w:id="626" w:name="_Toc21102"/>
      <w:bookmarkStart w:id="627" w:name="_Toc4213"/>
      <w:bookmarkStart w:id="628" w:name="_Toc4415"/>
      <w:bookmarkStart w:id="629" w:name="_Toc256000065"/>
      <w:bookmarkStart w:id="630" w:name="_Toc351203527"/>
      <w:bookmarkStart w:id="631" w:name="_Toc522201616"/>
      <w:bookmarkStart w:id="632" w:name="_Toc11739"/>
      <w:r>
        <w:rPr>
          <w:rFonts w:hint="eastAsia" w:ascii="宋体" w:cs="宋体"/>
          <w:color w:val="auto"/>
          <w:highlight w:val="none"/>
        </w:rPr>
        <w:t>4</w:t>
      </w:r>
      <w:bookmarkStart w:id="633" w:name="_Toc296503053"/>
      <w:bookmarkStart w:id="634" w:name="_Toc296346554"/>
      <w:bookmarkStart w:id="635" w:name="_Toc337558753"/>
      <w:r>
        <w:rPr>
          <w:rFonts w:hint="eastAsia" w:ascii="宋体" w:cs="宋体"/>
          <w:color w:val="auto"/>
          <w:highlight w:val="none"/>
        </w:rPr>
        <w:t>. 监</w:t>
      </w:r>
      <w:bookmarkEnd w:id="633"/>
      <w:bookmarkEnd w:id="634"/>
      <w:r>
        <w:rPr>
          <w:rFonts w:hint="eastAsia" w:ascii="宋体" w:cs="宋体"/>
          <w:color w:val="auto"/>
          <w:highlight w:val="none"/>
        </w:rPr>
        <w:t>理人</w:t>
      </w:r>
      <w:bookmarkEnd w:id="625"/>
      <w:bookmarkEnd w:id="626"/>
      <w:bookmarkEnd w:id="627"/>
      <w:bookmarkEnd w:id="628"/>
      <w:bookmarkEnd w:id="629"/>
      <w:bookmarkEnd w:id="630"/>
      <w:bookmarkEnd w:id="631"/>
      <w:bookmarkEnd w:id="632"/>
    </w:p>
    <w:bookmarkEnd w:id="635"/>
    <w:p>
      <w:pPr>
        <w:pStyle w:val="21"/>
        <w:spacing w:line="360" w:lineRule="auto"/>
        <w:ind w:firstLine="422" w:firstLineChars="200"/>
        <w:rPr>
          <w:rFonts w:ascii="宋体" w:cs="宋体"/>
          <w:color w:val="auto"/>
          <w:highlight w:val="none"/>
        </w:rPr>
      </w:pPr>
      <w:bookmarkStart w:id="636" w:name="_Toc29467"/>
      <w:bookmarkStart w:id="637" w:name="_Toc256000066"/>
      <w:bookmarkStart w:id="638" w:name="_Toc12267"/>
      <w:bookmarkStart w:id="639" w:name="_Toc1527"/>
      <w:bookmarkStart w:id="640" w:name="_Toc522201617"/>
      <w:bookmarkStart w:id="641" w:name="_Toc351203528"/>
      <w:bookmarkStart w:id="642" w:name="_Toc21932"/>
      <w:bookmarkStart w:id="643" w:name="_Toc27148"/>
      <w:r>
        <w:rPr>
          <w:rFonts w:hint="eastAsia" w:ascii="宋体" w:cs="宋体"/>
          <w:color w:val="auto"/>
          <w:highlight w:val="none"/>
        </w:rPr>
        <w:t>4</w:t>
      </w:r>
      <w:bookmarkStart w:id="644" w:name="_Toc296503054"/>
      <w:bookmarkStart w:id="645" w:name="_Toc337558754"/>
      <w:bookmarkStart w:id="646" w:name="_Toc296346555"/>
      <w:r>
        <w:rPr>
          <w:rFonts w:hint="eastAsia" w:ascii="宋体" w:cs="宋体"/>
          <w:color w:val="auto"/>
          <w:highlight w:val="none"/>
        </w:rPr>
        <w:t>.1监理人的一般规定</w:t>
      </w:r>
      <w:bookmarkEnd w:id="636"/>
      <w:bookmarkEnd w:id="637"/>
      <w:bookmarkEnd w:id="638"/>
      <w:bookmarkEnd w:id="639"/>
      <w:bookmarkEnd w:id="640"/>
      <w:bookmarkEnd w:id="641"/>
      <w:bookmarkEnd w:id="642"/>
      <w:bookmarkEnd w:id="643"/>
    </w:p>
    <w:bookmarkEnd w:id="644"/>
    <w:bookmarkEnd w:id="645"/>
    <w:bookmarkEnd w:id="646"/>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除专用合同条款另有约定外，监理人在施工现场的办公场所、生活场所由承包人提供，所发生的费用由发包人承担。</w:t>
      </w:r>
    </w:p>
    <w:p>
      <w:pPr>
        <w:pStyle w:val="21"/>
        <w:spacing w:line="360" w:lineRule="auto"/>
        <w:ind w:firstLine="422" w:firstLineChars="200"/>
        <w:rPr>
          <w:rFonts w:ascii="宋体" w:cs="宋体"/>
          <w:color w:val="auto"/>
          <w:highlight w:val="none"/>
        </w:rPr>
      </w:pPr>
      <w:bookmarkStart w:id="647" w:name="_Toc9604"/>
      <w:bookmarkStart w:id="648" w:name="_Toc256000067"/>
      <w:bookmarkStart w:id="649" w:name="_Toc8685"/>
      <w:bookmarkStart w:id="650" w:name="_Toc522201618"/>
      <w:bookmarkStart w:id="651" w:name="_Toc31612"/>
      <w:bookmarkStart w:id="652" w:name="_Toc10316"/>
      <w:bookmarkStart w:id="653" w:name="_Toc351203529"/>
      <w:bookmarkStart w:id="654" w:name="_Toc7075"/>
      <w:r>
        <w:rPr>
          <w:rFonts w:hint="eastAsia" w:ascii="宋体" w:cs="宋体"/>
          <w:color w:val="auto"/>
          <w:highlight w:val="none"/>
        </w:rPr>
        <w:t>4</w:t>
      </w:r>
      <w:bookmarkStart w:id="655" w:name="_Toc337558755"/>
      <w:r>
        <w:rPr>
          <w:rFonts w:hint="eastAsia" w:ascii="宋体" w:cs="宋体"/>
          <w:color w:val="auto"/>
          <w:highlight w:val="none"/>
        </w:rPr>
        <w:t>.2监理人员</w:t>
      </w:r>
      <w:bookmarkEnd w:id="647"/>
      <w:bookmarkEnd w:id="648"/>
      <w:bookmarkEnd w:id="649"/>
      <w:bookmarkEnd w:id="650"/>
      <w:bookmarkEnd w:id="651"/>
      <w:bookmarkEnd w:id="652"/>
      <w:bookmarkEnd w:id="653"/>
      <w:bookmarkEnd w:id="654"/>
    </w:p>
    <w:bookmarkEnd w:id="655"/>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21"/>
        <w:spacing w:line="360" w:lineRule="auto"/>
        <w:ind w:firstLine="422" w:firstLineChars="200"/>
        <w:rPr>
          <w:rFonts w:ascii="宋体" w:cs="宋体"/>
          <w:color w:val="auto"/>
          <w:highlight w:val="none"/>
        </w:rPr>
      </w:pPr>
      <w:bookmarkStart w:id="656" w:name="_Toc22477"/>
      <w:bookmarkStart w:id="657" w:name="_Toc21819"/>
      <w:bookmarkStart w:id="658" w:name="_Toc13345"/>
      <w:bookmarkStart w:id="659" w:name="_Toc522201619"/>
      <w:bookmarkStart w:id="660" w:name="_Toc351203530"/>
      <w:bookmarkStart w:id="661" w:name="_Toc7034"/>
      <w:bookmarkStart w:id="662" w:name="_Toc3532"/>
      <w:bookmarkStart w:id="663" w:name="_Toc256000068"/>
      <w:r>
        <w:rPr>
          <w:rFonts w:hint="eastAsia" w:ascii="宋体" w:cs="宋体"/>
          <w:color w:val="auto"/>
          <w:highlight w:val="none"/>
        </w:rPr>
        <w:t>4</w:t>
      </w:r>
      <w:bookmarkStart w:id="664" w:name="_Toc296346556"/>
      <w:bookmarkStart w:id="665" w:name="_Toc296503055"/>
      <w:bookmarkStart w:id="666" w:name="_Toc337558756"/>
      <w:r>
        <w:rPr>
          <w:rFonts w:hint="eastAsia" w:ascii="宋体" w:cs="宋体"/>
          <w:color w:val="auto"/>
          <w:highlight w:val="none"/>
        </w:rPr>
        <w:t>.3</w:t>
      </w:r>
      <w:bookmarkEnd w:id="664"/>
      <w:bookmarkEnd w:id="665"/>
      <w:r>
        <w:rPr>
          <w:rFonts w:hint="eastAsia" w:ascii="宋体" w:cs="宋体"/>
          <w:color w:val="auto"/>
          <w:highlight w:val="none"/>
        </w:rPr>
        <w:t>监理人的指</w:t>
      </w:r>
      <w:bookmarkEnd w:id="666"/>
      <w:r>
        <w:rPr>
          <w:rFonts w:hint="eastAsia" w:ascii="宋体" w:cs="宋体"/>
          <w:color w:val="auto"/>
          <w:highlight w:val="none"/>
        </w:rPr>
        <w:t>示</w:t>
      </w:r>
      <w:bookmarkEnd w:id="656"/>
      <w:bookmarkEnd w:id="657"/>
      <w:bookmarkEnd w:id="658"/>
      <w:bookmarkEnd w:id="659"/>
      <w:bookmarkEnd w:id="660"/>
      <w:bookmarkEnd w:id="661"/>
      <w:bookmarkEnd w:id="662"/>
      <w:bookmarkEnd w:id="663"/>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承包人对监理人发出的指示有疑问的，应向监理人提出书面异议，监理人应在48小时内对该指示予以确认、更改或撤销，监理人逾期未回复的，承包人有权拒绝执行上述指示。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监理人对承包人的任何工作、工程或其采用的材料和工程设备未在约定的或合理期限内提出意见的，视为批准，但不免除或减轻承包人对该工作、工程、材料、工程设备等应承担的责任和义务。</w:t>
      </w:r>
    </w:p>
    <w:p>
      <w:pPr>
        <w:pStyle w:val="21"/>
        <w:spacing w:line="360" w:lineRule="auto"/>
        <w:ind w:firstLine="422" w:firstLineChars="200"/>
        <w:rPr>
          <w:rFonts w:ascii="宋体" w:cs="宋体"/>
          <w:color w:val="auto"/>
          <w:highlight w:val="none"/>
        </w:rPr>
      </w:pPr>
      <w:bookmarkStart w:id="667" w:name="_Toc9341"/>
      <w:bookmarkStart w:id="668" w:name="_Toc351203531"/>
      <w:bookmarkStart w:id="669" w:name="_Toc19227"/>
      <w:bookmarkStart w:id="670" w:name="_Toc3567"/>
      <w:bookmarkStart w:id="671" w:name="_Toc10477"/>
      <w:bookmarkStart w:id="672" w:name="_Toc522201620"/>
      <w:bookmarkStart w:id="673" w:name="_Toc256000069"/>
      <w:bookmarkStart w:id="674" w:name="_Toc30420"/>
      <w:r>
        <w:rPr>
          <w:rFonts w:hint="eastAsia" w:ascii="宋体" w:cs="宋体"/>
          <w:color w:val="auto"/>
          <w:highlight w:val="none"/>
        </w:rPr>
        <w:t>4</w:t>
      </w:r>
      <w:bookmarkStart w:id="675" w:name="_Toc296503057"/>
      <w:bookmarkStart w:id="676" w:name="_Toc337558757"/>
      <w:bookmarkStart w:id="677" w:name="_Toc296346558"/>
      <w:r>
        <w:rPr>
          <w:rFonts w:hint="eastAsia" w:ascii="宋体" w:cs="宋体"/>
          <w:color w:val="auto"/>
          <w:highlight w:val="none"/>
        </w:rPr>
        <w:t>.4 商定或确定</w:t>
      </w:r>
      <w:bookmarkEnd w:id="667"/>
      <w:bookmarkEnd w:id="668"/>
      <w:bookmarkEnd w:id="669"/>
      <w:bookmarkEnd w:id="670"/>
      <w:bookmarkEnd w:id="671"/>
      <w:bookmarkEnd w:id="672"/>
      <w:bookmarkEnd w:id="673"/>
      <w:bookmarkEnd w:id="674"/>
    </w:p>
    <w:bookmarkEnd w:id="675"/>
    <w:bookmarkEnd w:id="676"/>
    <w:bookmarkEnd w:id="677"/>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合同当事人进行商定或确定时，总监理工程师应当会同合同当事人尽量通过协商达成一致，不能达成一致的，由总监理工程师按照合同约定审慎做出公正的确定。</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pStyle w:val="21"/>
        <w:spacing w:line="360" w:lineRule="auto"/>
        <w:rPr>
          <w:rFonts w:ascii="宋体" w:cs="宋体"/>
          <w:color w:val="auto"/>
          <w:highlight w:val="none"/>
        </w:rPr>
      </w:pPr>
      <w:bookmarkStart w:id="678" w:name="_Toc256000070"/>
      <w:bookmarkStart w:id="679" w:name="_Toc351203532"/>
      <w:bookmarkStart w:id="680" w:name="_Toc21874"/>
      <w:bookmarkStart w:id="681" w:name="_Toc7271"/>
      <w:bookmarkStart w:id="682" w:name="_Toc27975"/>
      <w:bookmarkStart w:id="683" w:name="_Toc6691"/>
      <w:bookmarkStart w:id="684" w:name="_Toc522201621"/>
      <w:bookmarkStart w:id="685" w:name="_Toc11189"/>
      <w:r>
        <w:rPr>
          <w:rFonts w:hint="eastAsia" w:ascii="宋体" w:cs="宋体"/>
          <w:color w:val="auto"/>
          <w:highlight w:val="none"/>
        </w:rPr>
        <w:t>5</w:t>
      </w:r>
      <w:bookmarkStart w:id="686" w:name="_Toc337558758"/>
      <w:r>
        <w:rPr>
          <w:rFonts w:hint="eastAsia" w:ascii="宋体" w:cs="宋体"/>
          <w:color w:val="auto"/>
          <w:highlight w:val="none"/>
        </w:rPr>
        <w:t>. 工程质量</w:t>
      </w:r>
      <w:bookmarkEnd w:id="678"/>
      <w:bookmarkEnd w:id="679"/>
      <w:bookmarkEnd w:id="680"/>
      <w:bookmarkEnd w:id="681"/>
      <w:bookmarkEnd w:id="682"/>
      <w:bookmarkEnd w:id="683"/>
      <w:bookmarkEnd w:id="684"/>
      <w:bookmarkEnd w:id="685"/>
    </w:p>
    <w:bookmarkEnd w:id="686"/>
    <w:p>
      <w:pPr>
        <w:pStyle w:val="21"/>
        <w:spacing w:line="360" w:lineRule="auto"/>
        <w:ind w:firstLine="422" w:firstLineChars="200"/>
        <w:rPr>
          <w:rFonts w:ascii="宋体" w:cs="宋体"/>
          <w:color w:val="auto"/>
          <w:highlight w:val="none"/>
        </w:rPr>
      </w:pPr>
      <w:bookmarkStart w:id="687" w:name="_Toc18052"/>
      <w:bookmarkStart w:id="688" w:name="_Toc522201622"/>
      <w:bookmarkStart w:id="689" w:name="_Toc21736"/>
      <w:bookmarkStart w:id="690" w:name="_Toc31544"/>
      <w:bookmarkStart w:id="691" w:name="_Toc11666"/>
      <w:bookmarkStart w:id="692" w:name="_Toc351203533"/>
      <w:bookmarkStart w:id="693" w:name="_Toc32301"/>
      <w:bookmarkStart w:id="694" w:name="_Toc256000071"/>
      <w:r>
        <w:rPr>
          <w:rFonts w:hint="eastAsia" w:ascii="宋体" w:cs="宋体"/>
          <w:color w:val="auto"/>
          <w:highlight w:val="none"/>
        </w:rPr>
        <w:t>5</w:t>
      </w:r>
      <w:bookmarkStart w:id="695" w:name="_Toc337558759"/>
      <w:r>
        <w:rPr>
          <w:rFonts w:hint="eastAsia" w:ascii="宋体" w:cs="宋体"/>
          <w:color w:val="auto"/>
          <w:highlight w:val="none"/>
        </w:rPr>
        <w:t>.1质量要求</w:t>
      </w:r>
      <w:bookmarkEnd w:id="687"/>
      <w:bookmarkEnd w:id="688"/>
      <w:bookmarkEnd w:id="689"/>
      <w:bookmarkEnd w:id="690"/>
      <w:bookmarkEnd w:id="691"/>
      <w:bookmarkEnd w:id="692"/>
      <w:bookmarkEnd w:id="693"/>
      <w:bookmarkEnd w:id="694"/>
    </w:p>
    <w:bookmarkEnd w:id="695"/>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5.1.1 工程质量标准必须符合现行国家有关工程施工质量验收规范和标准的要求。有关工程质量的特殊标准或要求由合同当事人在专用合同条款中约定。</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5.1.2 因发包人原因造成工程质量未达到合同约定标准的，由发包人承担由此增加的费用和（或）延误的工期，并支付承包人合理的利润。</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5.1.3 因承包人原因造成工程质量未达到合同约定标准的，发包人有权要求承包人返工直至工程质量达到合同约定的标准为止，并由承包人承担由此增加的费用和（或）延误的工期。</w:t>
      </w:r>
    </w:p>
    <w:p>
      <w:pPr>
        <w:pStyle w:val="21"/>
        <w:spacing w:line="360" w:lineRule="auto"/>
        <w:ind w:firstLine="422" w:firstLineChars="200"/>
        <w:rPr>
          <w:rFonts w:ascii="宋体" w:cs="宋体"/>
          <w:color w:val="auto"/>
          <w:highlight w:val="none"/>
        </w:rPr>
      </w:pPr>
      <w:bookmarkStart w:id="696" w:name="_Toc351203534"/>
      <w:bookmarkStart w:id="697" w:name="_Toc256000072"/>
      <w:bookmarkStart w:id="698" w:name="_Toc522201623"/>
      <w:bookmarkStart w:id="699" w:name="_Toc32615"/>
      <w:bookmarkStart w:id="700" w:name="_Toc27805"/>
      <w:bookmarkStart w:id="701" w:name="_Toc31190"/>
      <w:bookmarkStart w:id="702" w:name="_Toc30301"/>
      <w:bookmarkStart w:id="703" w:name="_Toc20708"/>
      <w:r>
        <w:rPr>
          <w:rFonts w:hint="eastAsia" w:ascii="宋体" w:cs="宋体"/>
          <w:color w:val="auto"/>
          <w:highlight w:val="none"/>
        </w:rPr>
        <w:t>5</w:t>
      </w:r>
      <w:bookmarkStart w:id="704" w:name="_Toc337558760"/>
      <w:r>
        <w:rPr>
          <w:rFonts w:hint="eastAsia" w:ascii="宋体" w:cs="宋体"/>
          <w:color w:val="auto"/>
          <w:highlight w:val="none"/>
        </w:rPr>
        <w:t>.2质量保证措施</w:t>
      </w:r>
      <w:bookmarkEnd w:id="696"/>
      <w:bookmarkEnd w:id="697"/>
      <w:bookmarkEnd w:id="698"/>
      <w:bookmarkEnd w:id="699"/>
      <w:bookmarkEnd w:id="700"/>
      <w:bookmarkEnd w:id="701"/>
      <w:bookmarkEnd w:id="702"/>
      <w:bookmarkEnd w:id="703"/>
    </w:p>
    <w:bookmarkEnd w:id="704"/>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5.2.1 发包人的质量管理</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发包人应按照法律规定及合同约定完成与工程质量有关的各项工作。</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5.2.2 承包人的质量管理</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承包人应对施工人员进行质量教育和技术培训，定期考核施工人员的劳动技能，严格执行施工规范和操作规程。</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5.2.3 监理人的质量检查和检验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21"/>
        <w:spacing w:line="360" w:lineRule="auto"/>
        <w:ind w:firstLine="422" w:firstLineChars="200"/>
        <w:rPr>
          <w:rFonts w:ascii="宋体" w:cs="宋体"/>
          <w:color w:val="auto"/>
          <w:highlight w:val="none"/>
        </w:rPr>
      </w:pPr>
      <w:bookmarkStart w:id="705" w:name="_Toc522201624"/>
      <w:bookmarkStart w:id="706" w:name="_Toc31946"/>
      <w:bookmarkStart w:id="707" w:name="_Toc28912"/>
      <w:bookmarkStart w:id="708" w:name="_Toc14418"/>
      <w:bookmarkStart w:id="709" w:name="_Toc1109"/>
      <w:bookmarkStart w:id="710" w:name="_Toc6234"/>
      <w:bookmarkStart w:id="711" w:name="_Toc256000073"/>
      <w:bookmarkStart w:id="712" w:name="_Toc351203535"/>
      <w:r>
        <w:rPr>
          <w:rFonts w:hint="eastAsia" w:ascii="宋体" w:cs="宋体"/>
          <w:color w:val="auto"/>
          <w:highlight w:val="none"/>
        </w:rPr>
        <w:t>5</w:t>
      </w:r>
      <w:bookmarkStart w:id="713" w:name="_Toc337558761"/>
      <w:r>
        <w:rPr>
          <w:rFonts w:hint="eastAsia" w:ascii="宋体" w:cs="宋体"/>
          <w:color w:val="auto"/>
          <w:highlight w:val="none"/>
        </w:rPr>
        <w:t>.3 隐蔽工程检查</w:t>
      </w:r>
      <w:bookmarkEnd w:id="705"/>
      <w:bookmarkEnd w:id="706"/>
      <w:bookmarkEnd w:id="707"/>
      <w:bookmarkEnd w:id="708"/>
      <w:bookmarkEnd w:id="709"/>
      <w:bookmarkEnd w:id="710"/>
      <w:bookmarkEnd w:id="711"/>
      <w:bookmarkEnd w:id="712"/>
    </w:p>
    <w:bookmarkEnd w:id="713"/>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5.3.1承包人自检</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承包人应当对工程隐蔽部位进行自检，并经自检确认是否具备覆盖条件。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5.3.2检查程序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5.3.3 重新检查</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5.3.4 承包人私自覆盖</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承包人未通知监理人到场检查，私自将工程隐蔽部位覆盖的，监理人有权指示承包人钻孔探测或揭开检查，无论工程隐蔽部位质量是否合格，由此增加的费用和（或）延误的工期均由承包人承担。</w:t>
      </w:r>
    </w:p>
    <w:p>
      <w:pPr>
        <w:pStyle w:val="21"/>
        <w:spacing w:line="360" w:lineRule="auto"/>
        <w:ind w:firstLine="422" w:firstLineChars="200"/>
        <w:rPr>
          <w:rFonts w:ascii="宋体" w:cs="宋体"/>
          <w:color w:val="auto"/>
          <w:highlight w:val="none"/>
        </w:rPr>
      </w:pPr>
      <w:bookmarkStart w:id="714" w:name="_Toc522201625"/>
      <w:bookmarkStart w:id="715" w:name="_Toc525"/>
      <w:bookmarkStart w:id="716" w:name="_Toc1799"/>
      <w:bookmarkStart w:id="717" w:name="_Toc15361"/>
      <w:bookmarkStart w:id="718" w:name="_Toc256000074"/>
      <w:bookmarkStart w:id="719" w:name="_Toc11445"/>
      <w:bookmarkStart w:id="720" w:name="_Toc29353"/>
      <w:bookmarkStart w:id="721" w:name="_Toc351203536"/>
      <w:r>
        <w:rPr>
          <w:rFonts w:hint="eastAsia" w:ascii="宋体" w:cs="宋体"/>
          <w:color w:val="auto"/>
          <w:highlight w:val="none"/>
        </w:rPr>
        <w:t>5</w:t>
      </w:r>
      <w:bookmarkStart w:id="722" w:name="_Toc337558762"/>
      <w:r>
        <w:rPr>
          <w:rFonts w:hint="eastAsia" w:ascii="宋体" w:cs="宋体"/>
          <w:color w:val="auto"/>
          <w:highlight w:val="none"/>
        </w:rPr>
        <w:t>.4不合格工程的处理</w:t>
      </w:r>
      <w:bookmarkEnd w:id="714"/>
      <w:bookmarkEnd w:id="715"/>
      <w:bookmarkEnd w:id="716"/>
      <w:bookmarkEnd w:id="717"/>
      <w:bookmarkEnd w:id="718"/>
      <w:bookmarkEnd w:id="719"/>
      <w:bookmarkEnd w:id="720"/>
      <w:bookmarkEnd w:id="721"/>
    </w:p>
    <w:bookmarkEnd w:id="722"/>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5.4.2 因发包人原因造成工程不合格的，由此增加的费用和（或）延误的工期由发包人承担，并支付承包人合理的利润。</w:t>
      </w:r>
    </w:p>
    <w:p>
      <w:pPr>
        <w:pStyle w:val="21"/>
        <w:spacing w:line="360" w:lineRule="auto"/>
        <w:ind w:firstLine="422" w:firstLineChars="200"/>
        <w:rPr>
          <w:rFonts w:ascii="宋体" w:cs="宋体"/>
          <w:color w:val="auto"/>
          <w:highlight w:val="none"/>
        </w:rPr>
      </w:pPr>
      <w:bookmarkStart w:id="723" w:name="_Toc25229"/>
      <w:bookmarkStart w:id="724" w:name="_Toc29531"/>
      <w:bookmarkStart w:id="725" w:name="_Toc522201626"/>
      <w:bookmarkStart w:id="726" w:name="_Toc256000075"/>
      <w:bookmarkStart w:id="727" w:name="_Toc11942"/>
      <w:bookmarkStart w:id="728" w:name="_Toc351203537"/>
      <w:bookmarkStart w:id="729" w:name="_Toc1658"/>
      <w:bookmarkStart w:id="730" w:name="_Toc24753"/>
      <w:r>
        <w:rPr>
          <w:rFonts w:hint="eastAsia" w:ascii="宋体" w:cs="宋体"/>
          <w:color w:val="auto"/>
          <w:highlight w:val="none"/>
        </w:rPr>
        <w:t>5.5 质量争议检测</w:t>
      </w:r>
      <w:bookmarkEnd w:id="723"/>
      <w:bookmarkEnd w:id="724"/>
      <w:bookmarkEnd w:id="725"/>
      <w:bookmarkEnd w:id="726"/>
      <w:bookmarkEnd w:id="727"/>
      <w:bookmarkEnd w:id="728"/>
      <w:bookmarkEnd w:id="729"/>
      <w:bookmarkEnd w:id="730"/>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合同当事人对工程质量有争议的，由双方协商确定的工程质量检测机构鉴定，由此产生的费用及因此造成的损失，由责任方承担。</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合同当事人均有责任的，由双方根据其责任分别承担。合同当事人无法达成一致的，按照第4.4款〔商定或确定〕执行。</w:t>
      </w:r>
    </w:p>
    <w:p>
      <w:pPr>
        <w:pStyle w:val="21"/>
        <w:spacing w:line="360" w:lineRule="auto"/>
        <w:rPr>
          <w:rFonts w:ascii="宋体" w:cs="宋体"/>
          <w:color w:val="auto"/>
          <w:highlight w:val="none"/>
        </w:rPr>
      </w:pPr>
      <w:bookmarkStart w:id="731" w:name="_Toc351203538"/>
      <w:bookmarkStart w:id="732" w:name="_Toc32158"/>
      <w:bookmarkStart w:id="733" w:name="_Toc8639"/>
      <w:bookmarkStart w:id="734" w:name="_Toc256000076"/>
      <w:bookmarkStart w:id="735" w:name="_Toc28371"/>
      <w:bookmarkStart w:id="736" w:name="_Toc30456"/>
      <w:bookmarkStart w:id="737" w:name="_Toc3822"/>
      <w:bookmarkStart w:id="738" w:name="_Toc522201627"/>
      <w:r>
        <w:rPr>
          <w:rFonts w:hint="eastAsia" w:ascii="宋体" w:cs="宋体"/>
          <w:color w:val="auto"/>
          <w:highlight w:val="none"/>
        </w:rPr>
        <w:t>6</w:t>
      </w:r>
      <w:bookmarkStart w:id="739" w:name="_Toc337558763"/>
      <w:r>
        <w:rPr>
          <w:rFonts w:hint="eastAsia" w:ascii="宋体" w:cs="宋体"/>
          <w:color w:val="auto"/>
          <w:highlight w:val="none"/>
        </w:rPr>
        <w:t>. 安全文明施工与环境保护</w:t>
      </w:r>
      <w:bookmarkEnd w:id="731"/>
      <w:bookmarkEnd w:id="732"/>
      <w:bookmarkEnd w:id="733"/>
      <w:bookmarkEnd w:id="734"/>
      <w:bookmarkEnd w:id="735"/>
      <w:bookmarkEnd w:id="736"/>
      <w:bookmarkEnd w:id="737"/>
      <w:bookmarkEnd w:id="738"/>
    </w:p>
    <w:bookmarkEnd w:id="739"/>
    <w:p>
      <w:pPr>
        <w:pStyle w:val="21"/>
        <w:spacing w:line="360" w:lineRule="auto"/>
        <w:ind w:firstLine="422" w:firstLineChars="200"/>
        <w:rPr>
          <w:rFonts w:ascii="宋体" w:cs="宋体"/>
          <w:color w:val="auto"/>
          <w:highlight w:val="none"/>
        </w:rPr>
      </w:pPr>
      <w:bookmarkStart w:id="740" w:name="_Toc20261"/>
      <w:bookmarkStart w:id="741" w:name="_Toc522201628"/>
      <w:bookmarkStart w:id="742" w:name="_Toc15983"/>
      <w:bookmarkStart w:id="743" w:name="_Toc351203539"/>
      <w:bookmarkStart w:id="744" w:name="_Toc256000077"/>
      <w:bookmarkStart w:id="745" w:name="_Toc12495"/>
      <w:bookmarkStart w:id="746" w:name="_Toc21429"/>
      <w:bookmarkStart w:id="747" w:name="_Toc1025"/>
      <w:r>
        <w:rPr>
          <w:rFonts w:hint="eastAsia" w:ascii="宋体" w:cs="宋体"/>
          <w:color w:val="auto"/>
          <w:highlight w:val="none"/>
        </w:rPr>
        <w:t>6</w:t>
      </w:r>
      <w:bookmarkStart w:id="748" w:name="_Toc337558764"/>
      <w:r>
        <w:rPr>
          <w:rFonts w:hint="eastAsia" w:ascii="宋体" w:cs="宋体"/>
          <w:color w:val="auto"/>
          <w:highlight w:val="none"/>
        </w:rPr>
        <w:t>.1安全文明施工</w:t>
      </w:r>
      <w:bookmarkEnd w:id="740"/>
      <w:bookmarkEnd w:id="741"/>
      <w:bookmarkEnd w:id="742"/>
      <w:bookmarkEnd w:id="743"/>
      <w:bookmarkEnd w:id="744"/>
      <w:bookmarkEnd w:id="745"/>
      <w:bookmarkEnd w:id="746"/>
      <w:bookmarkEnd w:id="747"/>
    </w:p>
    <w:bookmarkEnd w:id="748"/>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6.1.1安全生产要求</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在施工过程中，如遇到突发的地质变动、事先未知的地下施工障碍等影响施工安全的紧急情况，承包人应及时报告监理人和发包人，发包人应当及时下令停工并报政府有关行政管理部门采取应急措施。</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因安全生产需要暂停施工的，按照第7.8款〔暂停施工〕的约定执行。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6.1.2 安全生产保证措施</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6.1.3特别安全生产事项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承包人在动力设备、输电线路、地下管道、密封防震车间、易燃易爆地段以及临街交通要道附近施工时，施工开始前应向发包人和监理人提出安全防护措施，经发包人认可后实施。 </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实施爆破作业，在放射、毒害性环境中施工（含储存、运输、使用）及使用毒害性、腐蚀性物品施工时，承包人应在施工前7天以书面通知发包人和监理人，并报送相应的安全防护措施，经发包人认可后实施。</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需单独编制危险性较大分部分项专项工程施工方案的，及要求进行专家论证的超过一定规模的危险性较大的分部分项工程，承包人应及时编制和组织论证。</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6.1.4 治安保卫</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除专用合同条款另有约定外，发包人应与当地公安部门协商，在现场建立治安管理机构或联防组织，统一管理施工场地的治安保卫事项，履行合同工程的治安保卫职责。</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发包人和承包人除应协助现场治安管理机构或联防组织维护施工场地的社会治安外，还应做好包括生活区在内的各自管辖区的治安保卫工作。</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6.1.5 文明施工</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6.1.6 安全文明施工费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安全文明施工费由发包人承担，发包人不得以任何形式扣减该部分费用。因基准日期后合同所适用的法律或政府有关规定发生变化，增加的安全文明施工费由发包人承担。</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6.1.7 紧急情况处理</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6.1.8 事故处理</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6.1.9 安全生产责任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6.1.9.1 发包人的安全责任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发包人应负责赔偿以下各种情况造成的损失：</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（1）工程或工程的任何部分对土地的占用所造成的第三者财产损失；</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（2）由于发包人原因在施工场地及其毗邻地带造成的第三者人身伤亡和财产损失；</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（3）由于发包人原因对承包人、监理人造成的人员人身伤亡和财产损失；</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（4）由于发包人原因造成的发包人自身人员的人身伤害以及财产损失。</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6.1.9.2 承包人的安全责任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由于承包人原因在施工场地内及其毗邻地带造成的发包人、监理人以及第三者人员伤亡和财产损失，由承包人负责赔偿。</w:t>
      </w:r>
    </w:p>
    <w:p>
      <w:pPr>
        <w:pStyle w:val="21"/>
        <w:spacing w:line="360" w:lineRule="auto"/>
        <w:ind w:firstLine="422" w:firstLineChars="200"/>
        <w:rPr>
          <w:rFonts w:ascii="宋体" w:cs="宋体"/>
          <w:color w:val="auto"/>
          <w:highlight w:val="none"/>
        </w:rPr>
      </w:pPr>
      <w:bookmarkStart w:id="749" w:name="_Toc6530"/>
      <w:bookmarkStart w:id="750" w:name="_Toc31295"/>
      <w:bookmarkStart w:id="751" w:name="_Toc12136"/>
      <w:bookmarkStart w:id="752" w:name="_Toc19028"/>
      <w:bookmarkStart w:id="753" w:name="_Toc12341"/>
      <w:bookmarkStart w:id="754" w:name="_Toc256000078"/>
      <w:bookmarkStart w:id="755" w:name="_Toc351203540"/>
      <w:bookmarkStart w:id="756" w:name="_Toc522201629"/>
      <w:r>
        <w:rPr>
          <w:rFonts w:hint="eastAsia" w:ascii="宋体" w:cs="宋体"/>
          <w:color w:val="auto"/>
          <w:highlight w:val="none"/>
        </w:rPr>
        <w:t>6</w:t>
      </w:r>
      <w:bookmarkStart w:id="757" w:name="_Toc337558765"/>
      <w:r>
        <w:rPr>
          <w:rFonts w:hint="eastAsia" w:ascii="宋体" w:cs="宋体"/>
          <w:color w:val="auto"/>
          <w:highlight w:val="none"/>
        </w:rPr>
        <w:t>.2 职业健康</w:t>
      </w:r>
      <w:bookmarkEnd w:id="749"/>
      <w:bookmarkEnd w:id="750"/>
      <w:bookmarkEnd w:id="751"/>
      <w:bookmarkEnd w:id="752"/>
      <w:bookmarkEnd w:id="753"/>
      <w:bookmarkEnd w:id="754"/>
      <w:bookmarkEnd w:id="755"/>
      <w:bookmarkEnd w:id="756"/>
    </w:p>
    <w:bookmarkEnd w:id="757"/>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6.2.1 劳动保护</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承包人应按法律规定安排工作时间，保证其雇佣人员享有休息和休假的权利。因工程施工的特殊需要占用休假日或延长工作时间的，应不超过法律规定的限度，并按法律规定给予补休或付酬。</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6.2.2 生活条件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21"/>
        <w:spacing w:line="360" w:lineRule="auto"/>
        <w:ind w:firstLine="422" w:firstLineChars="200"/>
        <w:rPr>
          <w:rFonts w:ascii="宋体" w:cs="宋体"/>
          <w:color w:val="auto"/>
          <w:highlight w:val="none"/>
        </w:rPr>
      </w:pPr>
      <w:bookmarkStart w:id="758" w:name="_Toc30417"/>
      <w:bookmarkStart w:id="759" w:name="_Toc623"/>
      <w:bookmarkStart w:id="760" w:name="_Toc351203541"/>
      <w:bookmarkStart w:id="761" w:name="_Toc256000079"/>
      <w:bookmarkStart w:id="762" w:name="_Toc15046"/>
      <w:bookmarkStart w:id="763" w:name="_Toc25351"/>
      <w:bookmarkStart w:id="764" w:name="_Toc2604"/>
      <w:bookmarkStart w:id="765" w:name="_Toc522201630"/>
      <w:r>
        <w:rPr>
          <w:rFonts w:hint="eastAsia" w:ascii="宋体" w:cs="宋体"/>
          <w:color w:val="auto"/>
          <w:highlight w:val="none"/>
        </w:rPr>
        <w:t>6</w:t>
      </w:r>
      <w:bookmarkStart w:id="766" w:name="_Toc337558766"/>
      <w:r>
        <w:rPr>
          <w:rFonts w:hint="eastAsia" w:ascii="宋体" w:cs="宋体"/>
          <w:color w:val="auto"/>
          <w:highlight w:val="none"/>
        </w:rPr>
        <w:t>.3 环境保护</w:t>
      </w:r>
      <w:bookmarkEnd w:id="758"/>
      <w:bookmarkEnd w:id="759"/>
      <w:bookmarkEnd w:id="760"/>
      <w:bookmarkEnd w:id="761"/>
      <w:bookmarkEnd w:id="762"/>
      <w:bookmarkEnd w:id="763"/>
      <w:bookmarkEnd w:id="764"/>
      <w:bookmarkEnd w:id="765"/>
    </w:p>
    <w:bookmarkEnd w:id="766"/>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承包人应当承担因其原因引起的环境污染侵权损害赔偿责任，因上述环境污染引起纠纷而导致暂停施工的，由此增加的费用和（或）延误的工期由承包人承担。</w:t>
      </w:r>
    </w:p>
    <w:p>
      <w:pPr>
        <w:pStyle w:val="21"/>
        <w:spacing w:line="360" w:lineRule="auto"/>
        <w:rPr>
          <w:rFonts w:ascii="宋体" w:cs="宋体"/>
          <w:color w:val="auto"/>
          <w:highlight w:val="none"/>
        </w:rPr>
      </w:pPr>
      <w:bookmarkStart w:id="767" w:name="_Toc4642"/>
      <w:bookmarkStart w:id="768" w:name="_Toc256000080"/>
      <w:bookmarkStart w:id="769" w:name="_Toc59"/>
      <w:bookmarkStart w:id="770" w:name="_Toc351203542"/>
      <w:bookmarkStart w:id="771" w:name="_Toc18399"/>
      <w:bookmarkStart w:id="772" w:name="_Toc21742"/>
      <w:bookmarkStart w:id="773" w:name="_Toc522201631"/>
      <w:bookmarkStart w:id="774" w:name="_Toc20210"/>
      <w:r>
        <w:rPr>
          <w:rFonts w:hint="eastAsia" w:ascii="宋体" w:cs="宋体"/>
          <w:color w:val="auto"/>
          <w:highlight w:val="none"/>
        </w:rPr>
        <w:t>7</w:t>
      </w:r>
      <w:bookmarkStart w:id="775" w:name="_Toc337558767"/>
      <w:r>
        <w:rPr>
          <w:rFonts w:hint="eastAsia" w:ascii="宋体" w:cs="宋体"/>
          <w:color w:val="auto"/>
          <w:highlight w:val="none"/>
        </w:rPr>
        <w:t>. 工期和进度</w:t>
      </w:r>
      <w:bookmarkEnd w:id="767"/>
      <w:bookmarkEnd w:id="768"/>
      <w:bookmarkEnd w:id="769"/>
      <w:bookmarkEnd w:id="770"/>
      <w:bookmarkEnd w:id="771"/>
      <w:bookmarkEnd w:id="772"/>
      <w:bookmarkEnd w:id="773"/>
      <w:bookmarkEnd w:id="774"/>
    </w:p>
    <w:bookmarkEnd w:id="775"/>
    <w:p>
      <w:pPr>
        <w:pStyle w:val="21"/>
        <w:spacing w:line="360" w:lineRule="auto"/>
        <w:ind w:firstLine="422" w:firstLineChars="200"/>
        <w:rPr>
          <w:rFonts w:ascii="宋体" w:cs="宋体"/>
          <w:color w:val="auto"/>
          <w:highlight w:val="none"/>
        </w:rPr>
      </w:pPr>
      <w:bookmarkStart w:id="776" w:name="_Toc4442"/>
      <w:bookmarkStart w:id="777" w:name="_Toc256000081"/>
      <w:bookmarkStart w:id="778" w:name="_Toc13827"/>
      <w:bookmarkStart w:id="779" w:name="_Toc522201632"/>
      <w:bookmarkStart w:id="780" w:name="_Toc15413"/>
      <w:bookmarkStart w:id="781" w:name="_Toc4763"/>
      <w:bookmarkStart w:id="782" w:name="_Toc14223"/>
      <w:bookmarkStart w:id="783" w:name="_Toc351203543"/>
      <w:r>
        <w:rPr>
          <w:rFonts w:hint="eastAsia" w:ascii="宋体" w:cs="宋体"/>
          <w:color w:val="auto"/>
          <w:highlight w:val="none"/>
        </w:rPr>
        <w:t>7</w:t>
      </w:r>
      <w:bookmarkStart w:id="784" w:name="_Toc337558768"/>
      <w:bookmarkStart w:id="785" w:name="_Toc296503066"/>
      <w:bookmarkStart w:id="786" w:name="_Toc296346567"/>
      <w:r>
        <w:rPr>
          <w:rFonts w:hint="eastAsia" w:ascii="宋体" w:cs="宋体"/>
          <w:color w:val="auto"/>
          <w:highlight w:val="none"/>
        </w:rPr>
        <w:t>.1施工组织设计</w:t>
      </w:r>
      <w:bookmarkEnd w:id="776"/>
      <w:bookmarkEnd w:id="777"/>
      <w:bookmarkEnd w:id="778"/>
      <w:bookmarkEnd w:id="779"/>
      <w:bookmarkEnd w:id="780"/>
      <w:bookmarkEnd w:id="781"/>
      <w:bookmarkEnd w:id="782"/>
      <w:bookmarkEnd w:id="783"/>
    </w:p>
    <w:bookmarkEnd w:id="784"/>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7.1.1 施工组织设计的内容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施工组织设计应包含以下内容：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（1）施工方案； </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（2）施工现场平面布置图；</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（3）施工进度计划和保证措施； </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（4）劳动力及材料供应计划；</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（5）施工机械设备的选用；</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（6）质量保证体系及措施；</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（7）安全生产、文明施工措施；</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（8）环境保护、成本控制措施；</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（9）合同当事人约定的其他内容。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7.1.2 施工组织设计的提交和修改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施工进度计划的编制和修改按照第7.2款〔施工进度计划〕执行。</w:t>
      </w:r>
    </w:p>
    <w:p>
      <w:pPr>
        <w:pStyle w:val="21"/>
        <w:spacing w:line="360" w:lineRule="auto"/>
        <w:ind w:firstLine="422" w:firstLineChars="200"/>
        <w:rPr>
          <w:rFonts w:ascii="宋体" w:cs="宋体"/>
          <w:color w:val="auto"/>
          <w:highlight w:val="none"/>
        </w:rPr>
      </w:pPr>
      <w:bookmarkStart w:id="787" w:name="_Toc18437"/>
      <w:bookmarkStart w:id="788" w:name="_Toc25613"/>
      <w:bookmarkStart w:id="789" w:name="_Toc351203544"/>
      <w:bookmarkStart w:id="790" w:name="_Toc256000082"/>
      <w:bookmarkStart w:id="791" w:name="_Toc22795"/>
      <w:bookmarkStart w:id="792" w:name="_Toc522201633"/>
      <w:bookmarkStart w:id="793" w:name="_Toc28361"/>
      <w:bookmarkStart w:id="794" w:name="_Toc520"/>
      <w:r>
        <w:rPr>
          <w:rFonts w:hint="eastAsia" w:ascii="宋体" w:cs="宋体"/>
          <w:color w:val="auto"/>
          <w:highlight w:val="none"/>
        </w:rPr>
        <w:t>7</w:t>
      </w:r>
      <w:bookmarkStart w:id="795" w:name="_Toc337558769"/>
      <w:r>
        <w:rPr>
          <w:rFonts w:hint="eastAsia" w:ascii="宋体" w:cs="宋体"/>
          <w:color w:val="auto"/>
          <w:highlight w:val="none"/>
        </w:rPr>
        <w:t>.2 施工进度计划</w:t>
      </w:r>
      <w:bookmarkEnd w:id="787"/>
      <w:bookmarkEnd w:id="788"/>
      <w:bookmarkEnd w:id="789"/>
      <w:bookmarkEnd w:id="790"/>
      <w:bookmarkEnd w:id="791"/>
      <w:bookmarkEnd w:id="792"/>
      <w:bookmarkEnd w:id="793"/>
      <w:bookmarkEnd w:id="794"/>
    </w:p>
    <w:bookmarkEnd w:id="795"/>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7.2.1 施工进度计划的编制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7.2.2 施工进度计划的修订</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21"/>
        <w:spacing w:line="360" w:lineRule="auto"/>
        <w:ind w:firstLine="422" w:firstLineChars="200"/>
        <w:rPr>
          <w:rFonts w:ascii="宋体" w:cs="宋体"/>
          <w:color w:val="auto"/>
          <w:highlight w:val="none"/>
        </w:rPr>
      </w:pPr>
      <w:bookmarkStart w:id="796" w:name="_Toc522201634"/>
      <w:bookmarkStart w:id="797" w:name="_Toc15883"/>
      <w:bookmarkStart w:id="798" w:name="_Toc16272"/>
      <w:bookmarkStart w:id="799" w:name="_Toc351203545"/>
      <w:bookmarkStart w:id="800" w:name="_Toc29350"/>
      <w:bookmarkStart w:id="801" w:name="_Toc256000083"/>
      <w:bookmarkStart w:id="802" w:name="_Toc808"/>
      <w:bookmarkStart w:id="803" w:name="_Toc9958"/>
      <w:r>
        <w:rPr>
          <w:rFonts w:hint="eastAsia" w:ascii="宋体" w:cs="宋体"/>
          <w:color w:val="auto"/>
          <w:highlight w:val="none"/>
        </w:rPr>
        <w:t>7</w:t>
      </w:r>
      <w:bookmarkStart w:id="804" w:name="_Toc337558770"/>
      <w:r>
        <w:rPr>
          <w:rFonts w:hint="eastAsia" w:ascii="宋体" w:cs="宋体"/>
          <w:color w:val="auto"/>
          <w:highlight w:val="none"/>
        </w:rPr>
        <w:t>.3 开工</w:t>
      </w:r>
      <w:bookmarkEnd w:id="796"/>
      <w:bookmarkEnd w:id="797"/>
      <w:bookmarkEnd w:id="798"/>
      <w:bookmarkEnd w:id="799"/>
      <w:bookmarkEnd w:id="800"/>
      <w:bookmarkEnd w:id="801"/>
      <w:bookmarkEnd w:id="802"/>
      <w:bookmarkEnd w:id="803"/>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7.3.1 开工准备</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除专用合同条款另有约定外，合同当事人应按约定完成开工准备工作。</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7.3.2 开工通知</w:t>
      </w:r>
    </w:p>
    <w:bookmarkEnd w:id="804"/>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21"/>
        <w:spacing w:line="360" w:lineRule="auto"/>
        <w:ind w:firstLine="422" w:firstLineChars="200"/>
        <w:rPr>
          <w:rFonts w:ascii="宋体" w:cs="宋体"/>
          <w:color w:val="auto"/>
          <w:highlight w:val="none"/>
        </w:rPr>
      </w:pPr>
      <w:bookmarkStart w:id="805" w:name="_Toc17974"/>
      <w:bookmarkStart w:id="806" w:name="_Toc8565"/>
      <w:bookmarkStart w:id="807" w:name="_Toc522201635"/>
      <w:bookmarkStart w:id="808" w:name="_Toc16574"/>
      <w:bookmarkStart w:id="809" w:name="_Toc14266"/>
      <w:bookmarkStart w:id="810" w:name="_Toc351203546"/>
      <w:bookmarkStart w:id="811" w:name="_Toc256000084"/>
      <w:bookmarkStart w:id="812" w:name="_Toc3986"/>
      <w:r>
        <w:rPr>
          <w:rFonts w:hint="eastAsia" w:ascii="宋体" w:cs="宋体"/>
          <w:color w:val="auto"/>
          <w:highlight w:val="none"/>
        </w:rPr>
        <w:t>7.4测量放线</w:t>
      </w:r>
      <w:bookmarkEnd w:id="805"/>
      <w:bookmarkEnd w:id="806"/>
      <w:bookmarkEnd w:id="807"/>
      <w:bookmarkEnd w:id="808"/>
      <w:bookmarkEnd w:id="809"/>
      <w:bookmarkEnd w:id="810"/>
      <w:bookmarkEnd w:id="811"/>
      <w:bookmarkEnd w:id="812"/>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7.4.2 承包人负责施工过程中的全部施工测量放线工作，并配置具有相应资质的人员、合格的仪器、设备和其他物品。承包人应矫正工程的位置、标高、尺寸或准线中出现的任何差错，并对工程各部分的定位负责。</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施工过程中对施工现场内水准点等测量标志物的保护工作由承包人负责。</w:t>
      </w:r>
      <w:bookmarkStart w:id="813" w:name="_Toc351203547"/>
    </w:p>
    <w:p>
      <w:pPr>
        <w:pStyle w:val="21"/>
        <w:spacing w:line="360" w:lineRule="auto"/>
        <w:ind w:firstLine="422" w:firstLineChars="200"/>
        <w:rPr>
          <w:rFonts w:ascii="宋体" w:cs="宋体"/>
          <w:color w:val="auto"/>
          <w:highlight w:val="none"/>
        </w:rPr>
      </w:pPr>
      <w:bookmarkStart w:id="814" w:name="_Toc2536"/>
      <w:bookmarkStart w:id="815" w:name="_Toc7681"/>
      <w:bookmarkStart w:id="816" w:name="_Toc10743"/>
      <w:bookmarkStart w:id="817" w:name="_Toc256000085"/>
      <w:bookmarkStart w:id="818" w:name="_Toc10771"/>
      <w:bookmarkStart w:id="819" w:name="_Toc522201636"/>
      <w:bookmarkStart w:id="820" w:name="_Toc8100"/>
      <w:r>
        <w:rPr>
          <w:rFonts w:hint="eastAsia" w:ascii="宋体" w:cs="宋体"/>
          <w:color w:val="auto"/>
          <w:highlight w:val="none"/>
        </w:rPr>
        <w:t>7</w:t>
      </w:r>
      <w:bookmarkEnd w:id="785"/>
      <w:bookmarkEnd w:id="786"/>
      <w:bookmarkStart w:id="821" w:name="_Toc296346574"/>
      <w:bookmarkStart w:id="822" w:name="_Toc337558772"/>
      <w:bookmarkStart w:id="823" w:name="_Toc296503073"/>
      <w:r>
        <w:rPr>
          <w:rFonts w:hint="eastAsia" w:ascii="宋体" w:cs="宋体"/>
          <w:color w:val="auto"/>
          <w:highlight w:val="none"/>
        </w:rPr>
        <w:t>.5 工期延误</w:t>
      </w:r>
      <w:bookmarkEnd w:id="813"/>
      <w:bookmarkEnd w:id="814"/>
      <w:bookmarkEnd w:id="815"/>
      <w:bookmarkEnd w:id="816"/>
      <w:bookmarkEnd w:id="817"/>
      <w:bookmarkEnd w:id="818"/>
      <w:bookmarkEnd w:id="819"/>
      <w:bookmarkEnd w:id="820"/>
    </w:p>
    <w:bookmarkEnd w:id="821"/>
    <w:bookmarkEnd w:id="822"/>
    <w:bookmarkEnd w:id="823"/>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7.5.1 因发包人原因导致工期延误</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在合同履行过程中，因下列情况导致工期延误和（或）费用增加的，由发包人承担由此延误的工期和（或）增加的费用，且发包人应支付承包人合理的利润： </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（1）发包人未能按合同约定提供图纸或所提供图纸不符合合同约定的；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（2）发包人未能按合同约定提供施工现场、施工条件、基础资料、许可、批准等开工条件的；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（3）发包人提供的测量基准点、基准线和水准点及其书面资料存在错误或疏漏的；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（4）发包人未能在计划开工日期之日起7天内同意下达开工通知的；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（5）发包人未能按合同约定日期支付工程预付款、进度款或竣工结算款的；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（6）监理人未按合同约定发出指示、批准等文件的；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（7）专用合同条款中约定的其他情形。</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7.5.2 因承包人原因导致工期延误</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bookmarkStart w:id="824" w:name="_Toc296503076"/>
      <w:bookmarkStart w:id="825" w:name="_Toc296346577"/>
      <w:r>
        <w:rPr>
          <w:rFonts w:hint="eastAsia" w:ascii="宋体" w:hAnsi="宋体" w:cs="宋体"/>
          <w:color w:val="auto"/>
          <w:kern w:val="0"/>
          <w:szCs w:val="21"/>
          <w:highlight w:val="none"/>
        </w:rPr>
        <w:t>因</w:t>
      </w:r>
      <w:bookmarkEnd w:id="824"/>
      <w:bookmarkEnd w:id="825"/>
      <w:r>
        <w:rPr>
          <w:rFonts w:hint="eastAsia" w:ascii="宋体" w:hAnsi="宋体" w:cs="宋体"/>
          <w:color w:val="auto"/>
          <w:kern w:val="0"/>
          <w:szCs w:val="21"/>
          <w:highlight w:val="none"/>
        </w:rPr>
        <w:t>承包人原因造成工期延误的，可以在专用合同条款中约定逾期竣工违约金的计算方法和逾期竣工违约金的上限。承包人支付逾期竣工违约金后，不免除承包人继续完成工程及修补缺陷的义务。</w:t>
      </w:r>
    </w:p>
    <w:p>
      <w:pPr>
        <w:pStyle w:val="21"/>
        <w:spacing w:line="360" w:lineRule="auto"/>
        <w:ind w:firstLine="422" w:firstLineChars="200"/>
        <w:rPr>
          <w:rFonts w:ascii="宋体" w:cs="宋体"/>
          <w:color w:val="auto"/>
          <w:highlight w:val="none"/>
        </w:rPr>
      </w:pPr>
      <w:bookmarkStart w:id="826" w:name="_Toc3751"/>
      <w:bookmarkStart w:id="827" w:name="_Toc12199"/>
      <w:bookmarkStart w:id="828" w:name="_Toc28592"/>
      <w:bookmarkStart w:id="829" w:name="_Toc31399"/>
      <w:bookmarkStart w:id="830" w:name="_Toc256000086"/>
      <w:bookmarkStart w:id="831" w:name="_Toc351203548"/>
      <w:bookmarkStart w:id="832" w:name="_Toc20482"/>
      <w:bookmarkStart w:id="833" w:name="_Toc522201637"/>
      <w:r>
        <w:rPr>
          <w:rFonts w:hint="eastAsia" w:ascii="宋体" w:cs="宋体"/>
          <w:color w:val="auto"/>
          <w:highlight w:val="none"/>
        </w:rPr>
        <w:t>7</w:t>
      </w:r>
      <w:bookmarkStart w:id="834" w:name="_Toc296346575"/>
      <w:bookmarkStart w:id="835" w:name="_Toc337558773"/>
      <w:bookmarkStart w:id="836" w:name="_Toc296503074"/>
      <w:bookmarkStart w:id="837" w:name="_Toc296346578"/>
      <w:bookmarkStart w:id="838" w:name="_Toc296503077"/>
      <w:r>
        <w:rPr>
          <w:rFonts w:hint="eastAsia" w:ascii="宋体" w:cs="宋体"/>
          <w:color w:val="auto"/>
          <w:highlight w:val="none"/>
        </w:rPr>
        <w:t>.6 不利物质条件</w:t>
      </w:r>
      <w:bookmarkEnd w:id="826"/>
      <w:bookmarkEnd w:id="827"/>
      <w:bookmarkEnd w:id="828"/>
      <w:bookmarkEnd w:id="829"/>
      <w:bookmarkEnd w:id="830"/>
      <w:bookmarkEnd w:id="831"/>
      <w:bookmarkEnd w:id="832"/>
      <w:bookmarkEnd w:id="833"/>
    </w:p>
    <w:bookmarkEnd w:id="834"/>
    <w:bookmarkEnd w:id="835"/>
    <w:bookmarkEnd w:id="836"/>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不利物质条件是指有经验的承包人在施工现场遇到的不可预见的自然物质条件、非自然的物质障碍和污染物，包括地表以下物质条件和水文条件以及专用合同条款约定的其他情形，但不包括气候条件。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pPr>
        <w:pStyle w:val="21"/>
        <w:spacing w:line="360" w:lineRule="auto"/>
        <w:ind w:firstLine="422" w:firstLineChars="200"/>
        <w:rPr>
          <w:rFonts w:ascii="宋体" w:cs="宋体"/>
          <w:color w:val="auto"/>
          <w:highlight w:val="none"/>
        </w:rPr>
      </w:pPr>
      <w:bookmarkStart w:id="839" w:name="_Toc256000087"/>
      <w:bookmarkStart w:id="840" w:name="_Toc351203549"/>
      <w:bookmarkStart w:id="841" w:name="_Toc2816"/>
      <w:bookmarkStart w:id="842" w:name="_Toc25770"/>
      <w:bookmarkStart w:id="843" w:name="_Toc11145"/>
      <w:bookmarkStart w:id="844" w:name="_Toc22549"/>
      <w:bookmarkStart w:id="845" w:name="_Toc522201638"/>
      <w:bookmarkStart w:id="846" w:name="_Toc9392"/>
      <w:r>
        <w:rPr>
          <w:rFonts w:hint="eastAsia" w:ascii="宋体" w:cs="宋体"/>
          <w:color w:val="auto"/>
          <w:highlight w:val="none"/>
        </w:rPr>
        <w:t>7</w:t>
      </w:r>
      <w:bookmarkStart w:id="847" w:name="_Toc296346576"/>
      <w:bookmarkStart w:id="848" w:name="_Toc296503075"/>
      <w:bookmarkStart w:id="849" w:name="_Toc337558774"/>
      <w:r>
        <w:rPr>
          <w:rFonts w:hint="eastAsia" w:ascii="宋体" w:cs="宋体"/>
          <w:color w:val="auto"/>
          <w:highlight w:val="none"/>
        </w:rPr>
        <w:t>.7 异常恶劣的气候条件</w:t>
      </w:r>
      <w:bookmarkEnd w:id="839"/>
      <w:bookmarkEnd w:id="840"/>
      <w:bookmarkEnd w:id="841"/>
      <w:bookmarkEnd w:id="842"/>
      <w:bookmarkEnd w:id="843"/>
      <w:bookmarkEnd w:id="844"/>
      <w:bookmarkEnd w:id="845"/>
      <w:bookmarkEnd w:id="846"/>
    </w:p>
    <w:bookmarkEnd w:id="847"/>
    <w:bookmarkEnd w:id="848"/>
    <w:bookmarkEnd w:id="849"/>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bookmarkStart w:id="850" w:name="_Toc351203550"/>
    </w:p>
    <w:p>
      <w:pPr>
        <w:pStyle w:val="21"/>
        <w:spacing w:line="360" w:lineRule="auto"/>
        <w:ind w:firstLine="422" w:firstLineChars="200"/>
        <w:rPr>
          <w:rFonts w:ascii="宋体" w:cs="宋体"/>
          <w:color w:val="auto"/>
          <w:highlight w:val="none"/>
        </w:rPr>
      </w:pPr>
      <w:bookmarkStart w:id="851" w:name="_Toc522201639"/>
      <w:bookmarkStart w:id="852" w:name="_Toc25785"/>
      <w:bookmarkStart w:id="853" w:name="_Toc256000088"/>
      <w:bookmarkStart w:id="854" w:name="_Toc10355"/>
      <w:bookmarkStart w:id="855" w:name="_Toc13072"/>
      <w:bookmarkStart w:id="856" w:name="_Toc15507"/>
      <w:bookmarkStart w:id="857" w:name="_Toc13124"/>
      <w:r>
        <w:rPr>
          <w:rFonts w:hint="eastAsia" w:ascii="宋体" w:cs="宋体"/>
          <w:color w:val="auto"/>
          <w:highlight w:val="none"/>
        </w:rPr>
        <w:t>7</w:t>
      </w:r>
      <w:bookmarkStart w:id="858" w:name="_Toc337558775"/>
      <w:r>
        <w:rPr>
          <w:rFonts w:hint="eastAsia" w:ascii="宋体" w:cs="宋体"/>
          <w:color w:val="auto"/>
          <w:highlight w:val="none"/>
        </w:rPr>
        <w:t>.8 暂停施工</w:t>
      </w:r>
      <w:bookmarkEnd w:id="850"/>
      <w:bookmarkEnd w:id="851"/>
      <w:bookmarkEnd w:id="852"/>
      <w:bookmarkEnd w:id="853"/>
      <w:bookmarkEnd w:id="854"/>
      <w:bookmarkEnd w:id="855"/>
      <w:bookmarkEnd w:id="856"/>
      <w:bookmarkEnd w:id="857"/>
    </w:p>
    <w:bookmarkEnd w:id="837"/>
    <w:bookmarkEnd w:id="838"/>
    <w:bookmarkEnd w:id="858"/>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7.8.1发包人原因引起的暂停施工</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因发包人原因引起暂停施工的，监理人经发包人同意后，应及时下达暂停施工指示。情况紧急且监理人未及时下达暂停施工指示的，按照第7.8.4项〔紧急情况下的暂停施工〕执行。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因发包人原因引起的暂停施工，发包人应承担由此增加的费用和（或）延误的工期，并支付承包人合理的利润。</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7.8.2 承包人原因引起的暂停施工</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7.8.3 指示暂停施工</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监理人认为有必要时，并经发包人批准后，可向承包人作出暂停施工的指示，承包人应按监理人指示暂停施工。</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7.8.4 紧急情况下的暂停施工</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7.8.5 暂停施工后的复工</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承包人无故拖延和拒绝复工的，承包人承担由此增加的费用和（或）延误的工期；因发包人原因无法按时复工的，按照第7.5.1项〔因发包人原因导致工期延误〕约定办理。</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7.8.6 暂停施工持续56天以上</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7.8.7 暂停施工期间的工程照管</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暂停施工期间，承包人应负责妥善照管工程并提供安全保障，由此增加的费用由责任方承担。</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7.8.8 暂停施工的措施</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暂停施工期间，发包人和承包人均应采取必要的措施确保工程质量及安全，防止因暂停施工扩大损失。</w:t>
      </w:r>
    </w:p>
    <w:p>
      <w:pPr>
        <w:pStyle w:val="21"/>
        <w:spacing w:line="360" w:lineRule="auto"/>
        <w:ind w:firstLine="422" w:firstLineChars="200"/>
        <w:rPr>
          <w:rFonts w:ascii="宋体" w:cs="宋体"/>
          <w:color w:val="auto"/>
          <w:highlight w:val="none"/>
        </w:rPr>
      </w:pPr>
      <w:bookmarkStart w:id="859" w:name="_Toc21764"/>
      <w:bookmarkStart w:id="860" w:name="_Toc30281"/>
      <w:bookmarkStart w:id="861" w:name="_Toc256000089"/>
      <w:bookmarkStart w:id="862" w:name="_Toc351203551"/>
      <w:bookmarkStart w:id="863" w:name="_Toc20760"/>
      <w:bookmarkStart w:id="864" w:name="_Toc7789"/>
      <w:bookmarkStart w:id="865" w:name="_Toc8724"/>
      <w:bookmarkStart w:id="866" w:name="_Toc522201640"/>
      <w:r>
        <w:rPr>
          <w:rFonts w:hint="eastAsia" w:ascii="宋体" w:cs="宋体"/>
          <w:color w:val="auto"/>
          <w:highlight w:val="none"/>
        </w:rPr>
        <w:t>7.9提前竣工</w:t>
      </w:r>
      <w:bookmarkEnd w:id="859"/>
      <w:bookmarkEnd w:id="860"/>
      <w:bookmarkEnd w:id="861"/>
      <w:bookmarkEnd w:id="862"/>
      <w:bookmarkEnd w:id="863"/>
      <w:bookmarkEnd w:id="864"/>
      <w:bookmarkEnd w:id="865"/>
      <w:bookmarkEnd w:id="866"/>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7.9.2 发包人要求承包人提前竣工，或承包人提出提前竣工的建议能够给发包人带来效益的，合同当事人可以在专用合同条款中约定提前竣工的奖励。</w:t>
      </w:r>
    </w:p>
    <w:p>
      <w:pPr>
        <w:pStyle w:val="21"/>
        <w:spacing w:line="360" w:lineRule="auto"/>
        <w:rPr>
          <w:rFonts w:ascii="宋体" w:cs="宋体"/>
          <w:color w:val="auto"/>
          <w:highlight w:val="none"/>
        </w:rPr>
      </w:pPr>
      <w:bookmarkStart w:id="867" w:name="_Toc351203552"/>
      <w:bookmarkStart w:id="868" w:name="_Toc256000090"/>
      <w:bookmarkStart w:id="869" w:name="_Toc16466"/>
      <w:bookmarkStart w:id="870" w:name="_Toc8707"/>
      <w:bookmarkStart w:id="871" w:name="_Toc522201641"/>
      <w:bookmarkStart w:id="872" w:name="_Toc16583"/>
      <w:bookmarkStart w:id="873" w:name="_Toc30884"/>
      <w:bookmarkStart w:id="874" w:name="_Toc18041"/>
      <w:r>
        <w:rPr>
          <w:rFonts w:hint="eastAsia" w:ascii="宋体" w:cs="宋体"/>
          <w:color w:val="auto"/>
          <w:highlight w:val="none"/>
        </w:rPr>
        <w:t>8</w:t>
      </w:r>
      <w:bookmarkStart w:id="875" w:name="_Toc296346559"/>
      <w:bookmarkStart w:id="876" w:name="_Toc296503058"/>
      <w:bookmarkStart w:id="877" w:name="_Toc337558776"/>
      <w:r>
        <w:rPr>
          <w:rFonts w:hint="eastAsia" w:ascii="宋体" w:cs="宋体"/>
          <w:color w:val="auto"/>
          <w:highlight w:val="none"/>
        </w:rPr>
        <w:t>. 材料与设备</w:t>
      </w:r>
      <w:bookmarkEnd w:id="867"/>
      <w:bookmarkEnd w:id="868"/>
      <w:bookmarkEnd w:id="869"/>
      <w:bookmarkEnd w:id="870"/>
      <w:bookmarkEnd w:id="871"/>
      <w:bookmarkEnd w:id="872"/>
      <w:bookmarkEnd w:id="873"/>
      <w:bookmarkEnd w:id="874"/>
    </w:p>
    <w:bookmarkEnd w:id="875"/>
    <w:bookmarkEnd w:id="876"/>
    <w:bookmarkEnd w:id="877"/>
    <w:p>
      <w:pPr>
        <w:pStyle w:val="21"/>
        <w:spacing w:line="360" w:lineRule="auto"/>
        <w:ind w:firstLine="422" w:firstLineChars="200"/>
        <w:rPr>
          <w:rFonts w:ascii="宋体" w:cs="宋体"/>
          <w:color w:val="auto"/>
          <w:highlight w:val="none"/>
        </w:rPr>
      </w:pPr>
      <w:bookmarkStart w:id="878" w:name="_Toc12054"/>
      <w:bookmarkStart w:id="879" w:name="_Toc22143"/>
      <w:bookmarkStart w:id="880" w:name="_Toc11504"/>
      <w:bookmarkStart w:id="881" w:name="_Toc2615"/>
      <w:bookmarkStart w:id="882" w:name="_Toc256000091"/>
      <w:bookmarkStart w:id="883" w:name="_Toc351203553"/>
      <w:bookmarkStart w:id="884" w:name="_Toc522201642"/>
      <w:bookmarkStart w:id="885" w:name="_Toc28815"/>
      <w:r>
        <w:rPr>
          <w:rFonts w:hint="eastAsia" w:ascii="宋体" w:cs="宋体"/>
          <w:color w:val="auto"/>
          <w:highlight w:val="none"/>
        </w:rPr>
        <w:t>8</w:t>
      </w:r>
      <w:bookmarkStart w:id="886" w:name="_Toc296503059"/>
      <w:bookmarkStart w:id="887" w:name="_Toc337558777"/>
      <w:bookmarkStart w:id="888" w:name="_Toc296346560"/>
      <w:bookmarkStart w:id="889" w:name="_Toc468936960"/>
      <w:r>
        <w:rPr>
          <w:rFonts w:hint="eastAsia" w:ascii="宋体" w:cs="宋体"/>
          <w:color w:val="auto"/>
          <w:highlight w:val="none"/>
        </w:rPr>
        <w:t>.1发包人供应材料与工程设备</w:t>
      </w:r>
      <w:bookmarkEnd w:id="878"/>
      <w:bookmarkEnd w:id="879"/>
      <w:bookmarkEnd w:id="880"/>
      <w:bookmarkEnd w:id="881"/>
      <w:bookmarkEnd w:id="882"/>
      <w:bookmarkEnd w:id="883"/>
      <w:bookmarkEnd w:id="884"/>
      <w:bookmarkEnd w:id="885"/>
    </w:p>
    <w:bookmarkEnd w:id="886"/>
    <w:bookmarkEnd w:id="887"/>
    <w:bookmarkEnd w:id="888"/>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发包人自行供应材料、工程设备的，应在签订合同时在专用合同条款的附件《发包人供应材料设备一览表》中明确材料、工程设备的品种、规格、型号、数量、单价、质量等级和送达地点。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pStyle w:val="21"/>
        <w:spacing w:line="360" w:lineRule="auto"/>
        <w:ind w:firstLine="422" w:firstLineChars="200"/>
        <w:rPr>
          <w:rFonts w:ascii="宋体" w:cs="宋体"/>
          <w:color w:val="auto"/>
          <w:highlight w:val="none"/>
        </w:rPr>
      </w:pPr>
      <w:bookmarkStart w:id="890" w:name="_Toc4100"/>
      <w:bookmarkStart w:id="891" w:name="_Toc2045"/>
      <w:bookmarkStart w:id="892" w:name="_Toc522201643"/>
      <w:bookmarkStart w:id="893" w:name="_Toc2839"/>
      <w:bookmarkStart w:id="894" w:name="_Toc256000092"/>
      <w:bookmarkStart w:id="895" w:name="_Toc16521"/>
      <w:bookmarkStart w:id="896" w:name="_Toc7175"/>
      <w:bookmarkStart w:id="897" w:name="_Toc351203554"/>
      <w:r>
        <w:rPr>
          <w:rFonts w:hint="eastAsia" w:ascii="宋体" w:cs="宋体"/>
          <w:color w:val="auto"/>
          <w:highlight w:val="none"/>
        </w:rPr>
        <w:t>8</w:t>
      </w:r>
      <w:bookmarkStart w:id="898" w:name="_Toc337558778"/>
      <w:bookmarkStart w:id="899" w:name="_Toc296346561"/>
      <w:bookmarkStart w:id="900" w:name="_Toc296503060"/>
      <w:r>
        <w:rPr>
          <w:rFonts w:hint="eastAsia" w:ascii="宋体" w:cs="宋体"/>
          <w:color w:val="auto"/>
          <w:highlight w:val="none"/>
        </w:rPr>
        <w:t>.2承包人采购材料与工程设备</w:t>
      </w:r>
      <w:bookmarkEnd w:id="890"/>
      <w:bookmarkEnd w:id="891"/>
      <w:bookmarkEnd w:id="892"/>
      <w:bookmarkEnd w:id="893"/>
      <w:bookmarkEnd w:id="894"/>
      <w:bookmarkEnd w:id="895"/>
      <w:bookmarkEnd w:id="896"/>
      <w:bookmarkEnd w:id="897"/>
    </w:p>
    <w:bookmarkEnd w:id="898"/>
    <w:bookmarkEnd w:id="899"/>
    <w:bookmarkEnd w:id="900"/>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pStyle w:val="21"/>
        <w:spacing w:line="360" w:lineRule="auto"/>
        <w:ind w:firstLine="422" w:firstLineChars="200"/>
        <w:rPr>
          <w:rFonts w:ascii="宋体" w:cs="宋体"/>
          <w:color w:val="auto"/>
          <w:highlight w:val="none"/>
        </w:rPr>
      </w:pPr>
      <w:bookmarkStart w:id="901" w:name="_Toc256000093"/>
      <w:bookmarkStart w:id="902" w:name="_Toc7624"/>
      <w:bookmarkStart w:id="903" w:name="_Toc522201644"/>
      <w:bookmarkStart w:id="904" w:name="_Toc10996"/>
      <w:bookmarkStart w:id="905" w:name="_Toc24701"/>
      <w:bookmarkStart w:id="906" w:name="_Toc351203555"/>
      <w:bookmarkStart w:id="907" w:name="_Toc16890"/>
      <w:bookmarkStart w:id="908" w:name="_Toc29841"/>
      <w:r>
        <w:rPr>
          <w:rFonts w:hint="eastAsia" w:ascii="宋体" w:cs="宋体"/>
          <w:color w:val="auto"/>
          <w:highlight w:val="none"/>
        </w:rPr>
        <w:t>8</w:t>
      </w:r>
      <w:bookmarkStart w:id="909" w:name="_Toc296503061"/>
      <w:bookmarkStart w:id="910" w:name="_Toc296346562"/>
      <w:bookmarkStart w:id="911" w:name="_Toc337558779"/>
      <w:r>
        <w:rPr>
          <w:rFonts w:hint="eastAsia" w:ascii="宋体" w:cs="宋体"/>
          <w:color w:val="auto"/>
          <w:highlight w:val="none"/>
        </w:rPr>
        <w:t>.3材料与工程设备的接收与拒收</w:t>
      </w:r>
      <w:bookmarkEnd w:id="901"/>
      <w:bookmarkEnd w:id="902"/>
      <w:bookmarkEnd w:id="903"/>
      <w:bookmarkEnd w:id="904"/>
      <w:bookmarkEnd w:id="905"/>
      <w:bookmarkEnd w:id="906"/>
      <w:bookmarkEnd w:id="907"/>
      <w:bookmarkEnd w:id="908"/>
    </w:p>
    <w:bookmarkEnd w:id="909"/>
    <w:bookmarkEnd w:id="910"/>
    <w:bookmarkEnd w:id="911"/>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发包人提供的材料和工程设备的规格、数量或质量不符合合同约定的，或因发包人原因导致交货日期延误或交货地点变更等情况的，按照第16.1款〔发包人违约〕约定办理。</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8.3.2 承包人采购的材料和工程设备，应保证产品质量合格，承包人应在材料和工程设备到货前24小时通知监理人检验。承</w:t>
      </w:r>
      <w:bookmarkStart w:id="912" w:name="_Toc250655469"/>
      <w:r>
        <w:rPr>
          <w:rFonts w:hint="eastAsia" w:ascii="宋体" w:hAnsi="宋体" w:cs="宋体"/>
          <w:color w:val="auto"/>
          <w:kern w:val="0"/>
          <w:szCs w:val="21"/>
          <w:highlight w:val="none"/>
        </w:rPr>
        <w:t>包人进行永久设备、材料的制造和生产的，应符合相关质量标准，并向监理人提交材料的样本以及有关资料，并应在使用该材料或工程设备之前获得监理人同意。</w:t>
      </w:r>
    </w:p>
    <w:bookmarkEnd w:id="912"/>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21"/>
        <w:spacing w:line="360" w:lineRule="auto"/>
        <w:ind w:firstLine="422" w:firstLineChars="200"/>
        <w:rPr>
          <w:rFonts w:ascii="宋体" w:cs="宋体"/>
          <w:color w:val="auto"/>
          <w:highlight w:val="none"/>
        </w:rPr>
      </w:pPr>
      <w:bookmarkStart w:id="913" w:name="_Toc351203556"/>
      <w:bookmarkStart w:id="914" w:name="_Toc26887"/>
      <w:bookmarkStart w:id="915" w:name="_Toc522201645"/>
      <w:bookmarkStart w:id="916" w:name="_Toc11831"/>
      <w:bookmarkStart w:id="917" w:name="_Toc17054"/>
      <w:bookmarkStart w:id="918" w:name="_Toc6144"/>
      <w:bookmarkStart w:id="919" w:name="_Toc256000094"/>
      <w:bookmarkStart w:id="920" w:name="_Toc12839"/>
      <w:r>
        <w:rPr>
          <w:rFonts w:hint="eastAsia" w:ascii="宋体" w:cs="宋体"/>
          <w:color w:val="auto"/>
          <w:highlight w:val="none"/>
        </w:rPr>
        <w:t>8</w:t>
      </w:r>
      <w:bookmarkStart w:id="921" w:name="_Toc296346563"/>
      <w:bookmarkStart w:id="922" w:name="_Toc337558780"/>
      <w:bookmarkStart w:id="923" w:name="_Toc296503062"/>
      <w:r>
        <w:rPr>
          <w:rFonts w:hint="eastAsia" w:ascii="宋体" w:cs="宋体"/>
          <w:color w:val="auto"/>
          <w:highlight w:val="none"/>
        </w:rPr>
        <w:t>.4材料与工程设备的保管与使用</w:t>
      </w:r>
      <w:bookmarkEnd w:id="913"/>
      <w:bookmarkEnd w:id="914"/>
      <w:bookmarkEnd w:id="915"/>
      <w:bookmarkEnd w:id="916"/>
      <w:bookmarkEnd w:id="917"/>
      <w:bookmarkEnd w:id="918"/>
      <w:bookmarkEnd w:id="919"/>
      <w:bookmarkEnd w:id="920"/>
    </w:p>
    <w:bookmarkEnd w:id="921"/>
    <w:bookmarkEnd w:id="922"/>
    <w:bookmarkEnd w:id="923"/>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8.4.1 发包人供应材料与工程设备的保管与使用</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发包人供应的材料和工程设备使用前，由承包人负责检验，检验费用由发包人承担，不合格的不得使用。</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8.4.2 承包人采购材料与工程设备的保管与使用</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发包人或监理人发现承包人使用不符合设计或有关标准要求的材料和工程设备时，有权要求承包人进行修复、拆除或重新采购，由此增加的费用和（或）延误的工期，由承包人承担。</w:t>
      </w:r>
    </w:p>
    <w:p>
      <w:pPr>
        <w:pStyle w:val="21"/>
        <w:spacing w:line="360" w:lineRule="auto"/>
        <w:ind w:firstLine="422" w:firstLineChars="200"/>
        <w:rPr>
          <w:rFonts w:ascii="宋体" w:cs="宋体"/>
          <w:color w:val="auto"/>
          <w:highlight w:val="none"/>
        </w:rPr>
      </w:pPr>
      <w:bookmarkStart w:id="924" w:name="_Toc256000095"/>
      <w:bookmarkStart w:id="925" w:name="_Toc351203557"/>
      <w:bookmarkStart w:id="926" w:name="_Toc22519"/>
      <w:bookmarkStart w:id="927" w:name="_Toc14373"/>
      <w:bookmarkStart w:id="928" w:name="_Toc26629"/>
      <w:bookmarkStart w:id="929" w:name="_Toc11655"/>
      <w:bookmarkStart w:id="930" w:name="_Toc1368"/>
      <w:bookmarkStart w:id="931" w:name="_Toc522201646"/>
      <w:r>
        <w:rPr>
          <w:rFonts w:hint="eastAsia" w:ascii="宋体" w:cs="宋体"/>
          <w:color w:val="auto"/>
          <w:highlight w:val="none"/>
        </w:rPr>
        <w:t>8.5禁止使用不合格的材料和工程设备</w:t>
      </w:r>
      <w:bookmarkEnd w:id="924"/>
      <w:bookmarkEnd w:id="925"/>
      <w:bookmarkEnd w:id="926"/>
      <w:bookmarkEnd w:id="927"/>
      <w:bookmarkEnd w:id="928"/>
      <w:bookmarkEnd w:id="929"/>
      <w:bookmarkEnd w:id="930"/>
      <w:bookmarkEnd w:id="931"/>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8.5.1 监理人有权拒绝承包人提供的不合格材料或工程设备，并要求承包人立即进行更换。监理人应在更换后再次进行检查和检验，由此增加的费用和（或）延误的工期由承包人承担。</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8.5.2 监理人发现承包人使用了不合格的材料和工程设备，承包人应按照监理人的指示立即改正，并禁止在工程中继续使用不合格的材料和工程设备。</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8.5.3 发包人提供的材料或工程设备不符合合同要求的，承包人有权拒绝，并可要求发包人更换，由此增加的费用和（或）延误的工期由发包人承担，并支付承包人合理的利润。</w:t>
      </w:r>
    </w:p>
    <w:p>
      <w:pPr>
        <w:pStyle w:val="21"/>
        <w:spacing w:line="360" w:lineRule="auto"/>
        <w:ind w:firstLine="422" w:firstLineChars="200"/>
        <w:rPr>
          <w:rFonts w:ascii="宋体" w:cs="宋体"/>
          <w:color w:val="auto"/>
          <w:highlight w:val="none"/>
        </w:rPr>
      </w:pPr>
      <w:bookmarkStart w:id="932" w:name="_Toc16103"/>
      <w:bookmarkStart w:id="933" w:name="_Toc522201647"/>
      <w:bookmarkStart w:id="934" w:name="_Toc7501"/>
      <w:bookmarkStart w:id="935" w:name="_Toc351203558"/>
      <w:bookmarkStart w:id="936" w:name="_Toc29960"/>
      <w:bookmarkStart w:id="937" w:name="_Toc31904"/>
      <w:bookmarkStart w:id="938" w:name="_Toc256000096"/>
      <w:bookmarkStart w:id="939" w:name="_Toc2220"/>
      <w:r>
        <w:rPr>
          <w:rFonts w:hint="eastAsia" w:ascii="宋体" w:cs="宋体"/>
          <w:color w:val="auto"/>
          <w:highlight w:val="none"/>
        </w:rPr>
        <w:t>8.6 样品</w:t>
      </w:r>
      <w:bookmarkEnd w:id="932"/>
      <w:bookmarkEnd w:id="933"/>
      <w:bookmarkEnd w:id="934"/>
      <w:bookmarkEnd w:id="935"/>
      <w:bookmarkEnd w:id="936"/>
      <w:bookmarkEnd w:id="937"/>
      <w:bookmarkEnd w:id="938"/>
      <w:bookmarkEnd w:id="939"/>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8.6.1</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样品的报送与封存</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需要承包人报送样品的材料或工程设备，样品的种类、名称、规格、数量等要求均应在专用合同条款中约定。样品的报送程序如下：</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（3）经发包人和监理人审批确认的样品应按约定的方法封样，封存的样品作为检验工程相关部分的标准之一。承包人在施工过程中不得使用与样品不符的材料或工程设备。</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8.6.2 样品的保管</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经批准的样品应由监理人负责封存于现场，承包人应在现场为保存样品提供适当和固定的场所并保持适当和良好的存储环境条件。</w:t>
      </w:r>
    </w:p>
    <w:p>
      <w:pPr>
        <w:pStyle w:val="21"/>
        <w:spacing w:line="360" w:lineRule="auto"/>
        <w:ind w:firstLine="422" w:firstLineChars="200"/>
        <w:rPr>
          <w:rFonts w:ascii="宋体" w:cs="宋体"/>
          <w:color w:val="auto"/>
          <w:highlight w:val="none"/>
        </w:rPr>
      </w:pPr>
      <w:bookmarkStart w:id="940" w:name="_Toc15549"/>
      <w:bookmarkStart w:id="941" w:name="_Toc5570"/>
      <w:bookmarkStart w:id="942" w:name="_Toc522201648"/>
      <w:bookmarkStart w:id="943" w:name="_Toc27435"/>
      <w:bookmarkStart w:id="944" w:name="_Toc30459"/>
      <w:bookmarkStart w:id="945" w:name="_Toc351203559"/>
      <w:bookmarkStart w:id="946" w:name="_Toc256000097"/>
      <w:bookmarkStart w:id="947" w:name="_Toc27326"/>
      <w:r>
        <w:rPr>
          <w:rFonts w:hint="eastAsia" w:ascii="宋体" w:cs="宋体"/>
          <w:color w:val="auto"/>
          <w:highlight w:val="none"/>
        </w:rPr>
        <w:t>8.7材料与工程设备的替代</w:t>
      </w:r>
      <w:bookmarkEnd w:id="940"/>
      <w:bookmarkEnd w:id="941"/>
      <w:bookmarkEnd w:id="942"/>
      <w:bookmarkEnd w:id="943"/>
      <w:bookmarkEnd w:id="944"/>
      <w:bookmarkEnd w:id="945"/>
      <w:bookmarkEnd w:id="946"/>
      <w:bookmarkEnd w:id="947"/>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8.7.1 出现下列情况需要使用替代材料和工程设备的，承包人应按照第8.7.2项约定的程序执行：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（1）基准日期后生效的法律规定禁止使用的；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（2）发包人要求使用替代品的；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（3）因其他原因必须使用替代品的。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8.7.2 承包人应在使用替代材料和工程设备28天前书面通知监理人，并附下列文件：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（1）被替代的材料和工程设备的名称、数量、规格、型号、品牌、性能、价格及其他相关资料；</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（2）替代品的名称、数量、规格、型号、品牌、性能、价格及其他相关资料；</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（3）替代品与被替代产品之间的差异以及使用替代品可能对工程产生的影响；</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（4）替代品与被替代产品的价格差异；</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（5）使用替代品的理由和原因说明；</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（6）监理人要求的其他文件。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监理人应在收到通知后14天内向承包人发出经发包人签认的书面指示；监理人逾期发出书面指示的，视为发包人和监理人同意使用替代品。</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pStyle w:val="21"/>
        <w:spacing w:line="360" w:lineRule="auto"/>
        <w:ind w:firstLine="422" w:firstLineChars="200"/>
        <w:rPr>
          <w:rFonts w:ascii="宋体" w:cs="宋体"/>
          <w:color w:val="auto"/>
          <w:highlight w:val="none"/>
        </w:rPr>
      </w:pPr>
      <w:bookmarkStart w:id="948" w:name="_Toc28617"/>
      <w:bookmarkStart w:id="949" w:name="_Toc522201649"/>
      <w:bookmarkStart w:id="950" w:name="_Toc351203560"/>
      <w:bookmarkStart w:id="951" w:name="_Toc256000098"/>
      <w:bookmarkStart w:id="952" w:name="_Toc10837"/>
      <w:bookmarkStart w:id="953" w:name="_Toc25247"/>
      <w:bookmarkStart w:id="954" w:name="_Toc19348"/>
      <w:bookmarkStart w:id="955" w:name="_Toc13139"/>
      <w:r>
        <w:rPr>
          <w:rFonts w:hint="eastAsia" w:ascii="宋体" w:cs="宋体"/>
          <w:color w:val="auto"/>
          <w:highlight w:val="none"/>
        </w:rPr>
        <w:t>8.8施工设备和临时设施</w:t>
      </w:r>
      <w:bookmarkEnd w:id="948"/>
      <w:bookmarkEnd w:id="949"/>
      <w:bookmarkEnd w:id="950"/>
      <w:bookmarkEnd w:id="951"/>
      <w:bookmarkEnd w:id="952"/>
      <w:bookmarkEnd w:id="953"/>
      <w:bookmarkEnd w:id="954"/>
      <w:bookmarkEnd w:id="955"/>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8.8.1 承包人提供的施工设备和临时设施</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承包人应按合同进度计划的要求，及时配置施工设备和修建临时设施。进入施工场地的承包人设备需经监理人核查后才能投入使用。承包人更换合同约定的承包人设备的，应报监理人批准。</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除专用合同条款另有约定外，承包人应自行承担修建临时设施的费用，需要临时占地的，应由发包人办理申请手续并承担相应费用。</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8.8.2发包人提供的施工设备和临时设施</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发包人提供的施工设备或临时设施在专用合同条款中约定。</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8.8.3要求承包人增加或更换施工设备</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承包人使用的施工设备不能满足合同进度计划和（或）质量要求时，监理人有权要求承包人增加或更换施工设备，承包人应及时增加或更换，由此增加的费用和（或）延误的工期由承包人承担。</w:t>
      </w:r>
    </w:p>
    <w:p>
      <w:pPr>
        <w:pStyle w:val="21"/>
        <w:spacing w:line="360" w:lineRule="auto"/>
        <w:ind w:firstLine="422" w:firstLineChars="200"/>
        <w:rPr>
          <w:rFonts w:ascii="宋体" w:cs="宋体"/>
          <w:color w:val="auto"/>
          <w:highlight w:val="none"/>
        </w:rPr>
      </w:pPr>
      <w:bookmarkStart w:id="956" w:name="_Toc351203561"/>
      <w:bookmarkStart w:id="957" w:name="_Toc256000099"/>
      <w:bookmarkStart w:id="958" w:name="_Toc19645"/>
      <w:bookmarkStart w:id="959" w:name="_Toc5519"/>
      <w:bookmarkStart w:id="960" w:name="_Toc19042"/>
      <w:bookmarkStart w:id="961" w:name="_Toc12691"/>
      <w:bookmarkStart w:id="962" w:name="_Toc522201650"/>
      <w:bookmarkStart w:id="963" w:name="_Toc22684"/>
      <w:r>
        <w:rPr>
          <w:rFonts w:hint="eastAsia" w:ascii="宋体" w:cs="宋体"/>
          <w:color w:val="auto"/>
          <w:highlight w:val="none"/>
        </w:rPr>
        <w:t>8</w:t>
      </w:r>
      <w:bookmarkStart w:id="964" w:name="_Toc296503063"/>
      <w:bookmarkStart w:id="965" w:name="_Toc337558781"/>
      <w:bookmarkStart w:id="966" w:name="_Toc296346564"/>
      <w:r>
        <w:rPr>
          <w:rFonts w:hint="eastAsia" w:ascii="宋体" w:cs="宋体"/>
          <w:color w:val="auto"/>
          <w:highlight w:val="none"/>
        </w:rPr>
        <w:t>.9材料与设备专用</w:t>
      </w:r>
      <w:bookmarkEnd w:id="956"/>
      <w:r>
        <w:rPr>
          <w:rFonts w:hint="eastAsia" w:ascii="宋体" w:cs="宋体"/>
          <w:color w:val="auto"/>
          <w:highlight w:val="none"/>
        </w:rPr>
        <w:t>要求</w:t>
      </w:r>
      <w:bookmarkEnd w:id="957"/>
      <w:bookmarkEnd w:id="958"/>
      <w:bookmarkEnd w:id="959"/>
      <w:bookmarkEnd w:id="960"/>
      <w:bookmarkEnd w:id="961"/>
      <w:bookmarkEnd w:id="962"/>
      <w:bookmarkEnd w:id="963"/>
    </w:p>
    <w:bookmarkEnd w:id="964"/>
    <w:bookmarkEnd w:id="965"/>
    <w:bookmarkEnd w:id="966"/>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承包人运入施工现场的材料、工程设备、施工设备以及在施工场地建设的临时设施，包括备品备件、安装工具与资料，必须专用于工程。未经发包人批准，承包人不得运出施工现场或挪作他用；</w:t>
      </w:r>
      <w:bookmarkEnd w:id="889"/>
      <w:r>
        <w:rPr>
          <w:rFonts w:hint="eastAsia" w:ascii="宋体" w:hAnsi="宋体" w:cs="宋体"/>
          <w:color w:val="auto"/>
          <w:kern w:val="0"/>
          <w:szCs w:val="21"/>
          <w:highlight w:val="none"/>
        </w:rPr>
        <w:t>经发包人批准，承包人可以根据施工进度计划撤走闲置的施工设备和其他物品。</w:t>
      </w:r>
    </w:p>
    <w:p>
      <w:pPr>
        <w:pStyle w:val="21"/>
        <w:spacing w:line="360" w:lineRule="auto"/>
        <w:rPr>
          <w:rFonts w:ascii="宋体" w:cs="宋体"/>
          <w:color w:val="auto"/>
          <w:highlight w:val="none"/>
        </w:rPr>
      </w:pPr>
      <w:bookmarkStart w:id="967" w:name="_Toc15228"/>
      <w:bookmarkStart w:id="968" w:name="_Toc351203562"/>
      <w:bookmarkStart w:id="969" w:name="_Toc11930"/>
      <w:bookmarkStart w:id="970" w:name="_Toc14095"/>
      <w:bookmarkStart w:id="971" w:name="_Toc13119"/>
      <w:bookmarkStart w:id="972" w:name="_Toc256000100"/>
      <w:bookmarkStart w:id="973" w:name="_Toc9107"/>
      <w:bookmarkStart w:id="974" w:name="_Toc522201651"/>
      <w:r>
        <w:rPr>
          <w:rFonts w:hint="eastAsia" w:ascii="宋体" w:cs="宋体"/>
          <w:color w:val="auto"/>
          <w:highlight w:val="none"/>
        </w:rPr>
        <w:t>9</w:t>
      </w:r>
      <w:bookmarkStart w:id="975" w:name="_Toc337558782"/>
      <w:bookmarkStart w:id="976" w:name="_Toc296346584"/>
      <w:bookmarkStart w:id="977" w:name="_Toc296503083"/>
      <w:r>
        <w:rPr>
          <w:rFonts w:hint="eastAsia" w:ascii="宋体" w:cs="宋体"/>
          <w:color w:val="auto"/>
          <w:highlight w:val="none"/>
        </w:rPr>
        <w:t>. 试验与检验</w:t>
      </w:r>
      <w:bookmarkEnd w:id="967"/>
      <w:bookmarkEnd w:id="968"/>
      <w:bookmarkEnd w:id="969"/>
      <w:bookmarkEnd w:id="970"/>
      <w:bookmarkEnd w:id="971"/>
      <w:bookmarkEnd w:id="972"/>
      <w:bookmarkEnd w:id="973"/>
      <w:bookmarkEnd w:id="974"/>
    </w:p>
    <w:bookmarkEnd w:id="975"/>
    <w:p>
      <w:pPr>
        <w:pStyle w:val="21"/>
        <w:spacing w:line="360" w:lineRule="auto"/>
        <w:ind w:firstLine="422" w:firstLineChars="200"/>
        <w:rPr>
          <w:rFonts w:ascii="宋体" w:cs="宋体"/>
          <w:color w:val="auto"/>
          <w:highlight w:val="none"/>
        </w:rPr>
      </w:pPr>
      <w:bookmarkStart w:id="978" w:name="_Toc522201652"/>
      <w:bookmarkStart w:id="979" w:name="_Toc351203563"/>
      <w:bookmarkStart w:id="980" w:name="_Toc256000101"/>
      <w:bookmarkStart w:id="981" w:name="_Toc8746"/>
      <w:bookmarkStart w:id="982" w:name="_Toc29848"/>
      <w:bookmarkStart w:id="983" w:name="_Toc13979"/>
      <w:bookmarkStart w:id="984" w:name="_Toc13440"/>
      <w:bookmarkStart w:id="985" w:name="_Toc29292"/>
      <w:r>
        <w:rPr>
          <w:rFonts w:hint="eastAsia" w:ascii="宋体" w:cs="宋体"/>
          <w:color w:val="auto"/>
          <w:highlight w:val="none"/>
        </w:rPr>
        <w:t>9</w:t>
      </w:r>
      <w:bookmarkStart w:id="986" w:name="_Toc337558783"/>
      <w:r>
        <w:rPr>
          <w:rFonts w:hint="eastAsia" w:ascii="宋体" w:cs="宋体"/>
          <w:color w:val="auto"/>
          <w:highlight w:val="none"/>
        </w:rPr>
        <w:t>.1试验设备与试验人员</w:t>
      </w:r>
      <w:bookmarkEnd w:id="978"/>
      <w:bookmarkEnd w:id="979"/>
      <w:bookmarkEnd w:id="980"/>
      <w:bookmarkEnd w:id="981"/>
      <w:bookmarkEnd w:id="982"/>
      <w:bookmarkEnd w:id="983"/>
      <w:bookmarkEnd w:id="984"/>
      <w:bookmarkEnd w:id="985"/>
    </w:p>
    <w:bookmarkEnd w:id="986"/>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9.1.2 承包人应按专用合同条款的约定提供试验设备、取样装置、试验场所和试验条件，并向监理人提交相应进场计划表。</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承包人配置的试验设备要符合相应试验规程的要求并经过具有资质的检测单位检测，且在正式使用该试验设备前，需要经过监理人与承包人共同校定。</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9.1.3 承包人应向监理人提交试验人员的名单及其岗位、资格等证明资料，试验人员必须能够熟练进行相应的检测试验，承包人对试验人员的试验程序和试验结果的正确性负责。</w:t>
      </w:r>
    </w:p>
    <w:p>
      <w:pPr>
        <w:pStyle w:val="21"/>
        <w:spacing w:line="360" w:lineRule="auto"/>
        <w:ind w:firstLine="422" w:firstLineChars="200"/>
        <w:rPr>
          <w:rFonts w:ascii="宋体" w:cs="宋体"/>
          <w:color w:val="auto"/>
          <w:highlight w:val="none"/>
        </w:rPr>
      </w:pPr>
      <w:bookmarkStart w:id="987" w:name="_Toc351203564"/>
      <w:bookmarkStart w:id="988" w:name="_Toc256000102"/>
      <w:bookmarkStart w:id="989" w:name="_Toc4593"/>
      <w:bookmarkStart w:id="990" w:name="_Toc9922"/>
      <w:bookmarkStart w:id="991" w:name="_Toc24170"/>
      <w:bookmarkStart w:id="992" w:name="_Toc26281"/>
      <w:bookmarkStart w:id="993" w:name="_Toc15067"/>
      <w:bookmarkStart w:id="994" w:name="_Toc522201653"/>
      <w:r>
        <w:rPr>
          <w:rFonts w:hint="eastAsia" w:ascii="宋体" w:cs="宋体"/>
          <w:color w:val="auto"/>
          <w:highlight w:val="none"/>
        </w:rPr>
        <w:t>9</w:t>
      </w:r>
      <w:bookmarkStart w:id="995" w:name="_Toc337558784"/>
      <w:r>
        <w:rPr>
          <w:rFonts w:hint="eastAsia" w:ascii="宋体" w:cs="宋体"/>
          <w:color w:val="auto"/>
          <w:highlight w:val="none"/>
        </w:rPr>
        <w:t>.2取样</w:t>
      </w:r>
      <w:bookmarkEnd w:id="987"/>
      <w:bookmarkEnd w:id="988"/>
      <w:bookmarkEnd w:id="989"/>
      <w:bookmarkEnd w:id="990"/>
      <w:bookmarkEnd w:id="991"/>
      <w:bookmarkEnd w:id="992"/>
      <w:bookmarkEnd w:id="993"/>
      <w:bookmarkEnd w:id="994"/>
    </w:p>
    <w:bookmarkEnd w:id="995"/>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试验属于自检性质的，承包人可以单独取样。试验属于监理人抽检性质的，可由监理人取样，也可由承包人的试验人员在监理人的监督下取样。</w:t>
      </w:r>
    </w:p>
    <w:p>
      <w:pPr>
        <w:pStyle w:val="21"/>
        <w:spacing w:line="360" w:lineRule="auto"/>
        <w:ind w:firstLine="422" w:firstLineChars="200"/>
        <w:rPr>
          <w:rFonts w:ascii="宋体" w:cs="宋体"/>
          <w:color w:val="auto"/>
          <w:highlight w:val="none"/>
        </w:rPr>
      </w:pPr>
      <w:bookmarkStart w:id="996" w:name="_Toc22785"/>
      <w:bookmarkStart w:id="997" w:name="_Toc256000103"/>
      <w:bookmarkStart w:id="998" w:name="_Toc27075"/>
      <w:bookmarkStart w:id="999" w:name="_Toc522201654"/>
      <w:bookmarkStart w:id="1000" w:name="_Toc14427"/>
      <w:bookmarkStart w:id="1001" w:name="_Toc351203565"/>
      <w:bookmarkStart w:id="1002" w:name="_Toc27283"/>
      <w:bookmarkStart w:id="1003" w:name="_Toc12650"/>
      <w:r>
        <w:rPr>
          <w:rFonts w:hint="eastAsia" w:ascii="宋体" w:cs="宋体"/>
          <w:color w:val="auto"/>
          <w:highlight w:val="none"/>
        </w:rPr>
        <w:t>9</w:t>
      </w:r>
      <w:bookmarkStart w:id="1004" w:name="_Toc337558785"/>
      <w:r>
        <w:rPr>
          <w:rFonts w:hint="eastAsia" w:ascii="宋体" w:cs="宋体"/>
          <w:color w:val="auto"/>
          <w:highlight w:val="none"/>
        </w:rPr>
        <w:t>.3材料、工程设备和工程的试验和检验</w:t>
      </w:r>
      <w:bookmarkEnd w:id="996"/>
      <w:bookmarkEnd w:id="997"/>
      <w:bookmarkEnd w:id="998"/>
      <w:bookmarkEnd w:id="999"/>
      <w:bookmarkEnd w:id="1000"/>
      <w:bookmarkEnd w:id="1001"/>
      <w:bookmarkEnd w:id="1002"/>
      <w:bookmarkEnd w:id="1003"/>
    </w:p>
    <w:bookmarkEnd w:id="1004"/>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21"/>
        <w:spacing w:line="360" w:lineRule="auto"/>
        <w:ind w:firstLine="422" w:firstLineChars="200"/>
        <w:rPr>
          <w:rFonts w:ascii="宋体" w:cs="宋体"/>
          <w:color w:val="auto"/>
          <w:highlight w:val="none"/>
        </w:rPr>
      </w:pPr>
      <w:bookmarkStart w:id="1005" w:name="_Toc256000104"/>
      <w:bookmarkStart w:id="1006" w:name="_Toc36"/>
      <w:bookmarkStart w:id="1007" w:name="_Toc522201655"/>
      <w:bookmarkStart w:id="1008" w:name="_Toc18844"/>
      <w:bookmarkStart w:id="1009" w:name="_Toc351203566"/>
      <w:bookmarkStart w:id="1010" w:name="_Toc16053"/>
      <w:bookmarkStart w:id="1011" w:name="_Toc16471"/>
      <w:bookmarkStart w:id="1012" w:name="_Toc12214"/>
      <w:r>
        <w:rPr>
          <w:rFonts w:hint="eastAsia" w:ascii="宋体" w:cs="宋体"/>
          <w:color w:val="auto"/>
          <w:highlight w:val="none"/>
        </w:rPr>
        <w:t>9</w:t>
      </w:r>
      <w:bookmarkStart w:id="1013" w:name="_Toc337558786"/>
      <w:r>
        <w:rPr>
          <w:rFonts w:hint="eastAsia" w:ascii="宋体" w:cs="宋体"/>
          <w:color w:val="auto"/>
          <w:highlight w:val="none"/>
        </w:rPr>
        <w:t>.4现场工艺试验</w:t>
      </w:r>
      <w:bookmarkEnd w:id="1005"/>
      <w:bookmarkEnd w:id="1006"/>
      <w:bookmarkEnd w:id="1007"/>
      <w:bookmarkEnd w:id="1008"/>
      <w:bookmarkEnd w:id="1009"/>
      <w:bookmarkEnd w:id="1010"/>
      <w:bookmarkEnd w:id="1011"/>
      <w:bookmarkEnd w:id="1012"/>
    </w:p>
    <w:bookmarkEnd w:id="1013"/>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承包人应按合同约定或监理人指示进行现场工艺试验。对大型的现场工艺试验，监理人认为必要时，承包人应根据监理人提出的工艺试验要求，编制工艺试验措施计划，报送监理人审查。</w:t>
      </w:r>
    </w:p>
    <w:p>
      <w:pPr>
        <w:pStyle w:val="21"/>
        <w:spacing w:line="360" w:lineRule="auto"/>
        <w:rPr>
          <w:rFonts w:ascii="宋体" w:cs="宋体"/>
          <w:color w:val="auto"/>
          <w:highlight w:val="none"/>
        </w:rPr>
      </w:pPr>
      <w:bookmarkStart w:id="1014" w:name="_Toc821"/>
      <w:bookmarkStart w:id="1015" w:name="_Toc27043"/>
      <w:bookmarkStart w:id="1016" w:name="_Toc256000105"/>
      <w:bookmarkStart w:id="1017" w:name="_Toc1625"/>
      <w:bookmarkStart w:id="1018" w:name="_Toc6561"/>
      <w:bookmarkStart w:id="1019" w:name="_Toc510"/>
      <w:bookmarkStart w:id="1020" w:name="_Toc522201656"/>
      <w:bookmarkStart w:id="1021" w:name="_Toc351203567"/>
      <w:r>
        <w:rPr>
          <w:rFonts w:hint="eastAsia" w:ascii="宋体" w:cs="宋体"/>
          <w:color w:val="auto"/>
          <w:highlight w:val="none"/>
        </w:rPr>
        <w:t>1</w:t>
      </w:r>
      <w:bookmarkStart w:id="1022" w:name="_Toc337558787"/>
      <w:r>
        <w:rPr>
          <w:rFonts w:hint="eastAsia" w:ascii="宋体" w:cs="宋体"/>
          <w:color w:val="auto"/>
          <w:highlight w:val="none"/>
        </w:rPr>
        <w:t>0. 变更</w:t>
      </w:r>
      <w:bookmarkEnd w:id="976"/>
      <w:bookmarkEnd w:id="977"/>
      <w:bookmarkEnd w:id="1014"/>
      <w:bookmarkEnd w:id="1015"/>
      <w:bookmarkEnd w:id="1016"/>
      <w:bookmarkEnd w:id="1017"/>
      <w:bookmarkEnd w:id="1018"/>
      <w:bookmarkEnd w:id="1019"/>
      <w:bookmarkEnd w:id="1020"/>
      <w:bookmarkEnd w:id="1021"/>
    </w:p>
    <w:bookmarkEnd w:id="1022"/>
    <w:p>
      <w:pPr>
        <w:pStyle w:val="21"/>
        <w:spacing w:line="360" w:lineRule="auto"/>
        <w:ind w:firstLine="422" w:firstLineChars="200"/>
        <w:rPr>
          <w:rFonts w:ascii="宋体" w:cs="宋体"/>
          <w:color w:val="auto"/>
          <w:highlight w:val="none"/>
        </w:rPr>
      </w:pPr>
      <w:bookmarkStart w:id="1023" w:name="_Toc7062"/>
      <w:bookmarkStart w:id="1024" w:name="_Toc17457"/>
      <w:bookmarkStart w:id="1025" w:name="_Toc256000106"/>
      <w:bookmarkStart w:id="1026" w:name="_Toc26492"/>
      <w:bookmarkStart w:id="1027" w:name="_Toc351203568"/>
      <w:bookmarkStart w:id="1028" w:name="_Toc32632"/>
      <w:bookmarkStart w:id="1029" w:name="_Toc522201657"/>
      <w:bookmarkStart w:id="1030" w:name="_Toc4043"/>
      <w:r>
        <w:rPr>
          <w:rFonts w:hint="eastAsia" w:ascii="宋体" w:cs="宋体"/>
          <w:color w:val="auto"/>
          <w:highlight w:val="none"/>
        </w:rPr>
        <w:t>1</w:t>
      </w:r>
      <w:bookmarkStart w:id="1031" w:name="_Toc296346585"/>
      <w:bookmarkStart w:id="1032" w:name="_Toc296503084"/>
      <w:bookmarkStart w:id="1033" w:name="_Toc337558788"/>
      <w:r>
        <w:rPr>
          <w:rFonts w:hint="eastAsia" w:ascii="宋体" w:cs="宋体"/>
          <w:color w:val="auto"/>
          <w:highlight w:val="none"/>
        </w:rPr>
        <w:t>0.1变更的范围</w:t>
      </w:r>
      <w:bookmarkEnd w:id="1023"/>
      <w:bookmarkEnd w:id="1024"/>
      <w:bookmarkEnd w:id="1025"/>
      <w:bookmarkEnd w:id="1026"/>
      <w:bookmarkEnd w:id="1027"/>
      <w:bookmarkEnd w:id="1028"/>
      <w:bookmarkEnd w:id="1029"/>
      <w:bookmarkEnd w:id="1030"/>
    </w:p>
    <w:bookmarkEnd w:id="1031"/>
    <w:bookmarkEnd w:id="1032"/>
    <w:bookmarkEnd w:id="1033"/>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除专用合同条款另有约定外，合同履行过程中发生以下情形的，应按照本条约定进行变更：</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（1）增加或减少合同中任何工作，或追加额外的工作；</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（2）取消合同中任何工作，但转由他人实施的工作除外；</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（3）改变合同中任何工作的质量标准或其他特性；</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（4）改变工程的基线、标高、位置和尺寸；</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（5）改变工程的时间安排或实施顺序。</w:t>
      </w:r>
    </w:p>
    <w:p>
      <w:pPr>
        <w:pStyle w:val="21"/>
        <w:spacing w:line="360" w:lineRule="auto"/>
        <w:ind w:firstLine="422" w:firstLineChars="200"/>
        <w:rPr>
          <w:rFonts w:ascii="宋体" w:cs="宋体"/>
          <w:color w:val="auto"/>
          <w:highlight w:val="none"/>
        </w:rPr>
      </w:pPr>
      <w:bookmarkStart w:id="1034" w:name="_Toc256000107"/>
      <w:bookmarkStart w:id="1035" w:name="_Toc23057"/>
      <w:bookmarkStart w:id="1036" w:name="_Toc12052"/>
      <w:bookmarkStart w:id="1037" w:name="_Toc15891"/>
      <w:bookmarkStart w:id="1038" w:name="_Toc522201658"/>
      <w:bookmarkStart w:id="1039" w:name="_Toc20318"/>
      <w:bookmarkStart w:id="1040" w:name="_Toc351203569"/>
      <w:bookmarkStart w:id="1041" w:name="_Toc22685"/>
      <w:r>
        <w:rPr>
          <w:rFonts w:hint="eastAsia" w:ascii="宋体" w:cs="宋体"/>
          <w:color w:val="auto"/>
          <w:highlight w:val="none"/>
        </w:rPr>
        <w:t>1</w:t>
      </w:r>
      <w:bookmarkStart w:id="1042" w:name="_Toc337558789"/>
      <w:bookmarkStart w:id="1043" w:name="_Toc296503085"/>
      <w:bookmarkStart w:id="1044" w:name="_Toc296346586"/>
      <w:r>
        <w:rPr>
          <w:rFonts w:hint="eastAsia" w:ascii="宋体" w:cs="宋体"/>
          <w:color w:val="auto"/>
          <w:highlight w:val="none"/>
        </w:rPr>
        <w:t>0.2变更权</w:t>
      </w:r>
      <w:bookmarkEnd w:id="1034"/>
      <w:bookmarkEnd w:id="1035"/>
      <w:bookmarkEnd w:id="1036"/>
      <w:bookmarkEnd w:id="1037"/>
      <w:bookmarkEnd w:id="1038"/>
      <w:bookmarkEnd w:id="1039"/>
      <w:bookmarkEnd w:id="1040"/>
      <w:bookmarkEnd w:id="1041"/>
    </w:p>
    <w:bookmarkEnd w:id="1042"/>
    <w:bookmarkEnd w:id="1043"/>
    <w:bookmarkEnd w:id="1044"/>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涉及设计变更的，应由设计人提供变更后的图纸和说明。如变更超过原设计标准或批准的建设规模时，发包人应及时办理规划、设计变更等审批手续。</w:t>
      </w:r>
    </w:p>
    <w:p>
      <w:pPr>
        <w:pStyle w:val="21"/>
        <w:spacing w:line="360" w:lineRule="auto"/>
        <w:ind w:firstLine="422" w:firstLineChars="200"/>
        <w:rPr>
          <w:rFonts w:ascii="宋体" w:cs="宋体"/>
          <w:color w:val="auto"/>
          <w:highlight w:val="none"/>
        </w:rPr>
      </w:pPr>
      <w:bookmarkStart w:id="1045" w:name="_Toc256000108"/>
      <w:bookmarkStart w:id="1046" w:name="_Toc8187"/>
      <w:bookmarkStart w:id="1047" w:name="_Toc30353"/>
      <w:bookmarkStart w:id="1048" w:name="_Toc522201659"/>
      <w:bookmarkStart w:id="1049" w:name="_Toc5658"/>
      <w:bookmarkStart w:id="1050" w:name="_Toc13189"/>
      <w:bookmarkStart w:id="1051" w:name="_Toc351203570"/>
      <w:bookmarkStart w:id="1052" w:name="_Toc1668"/>
      <w:r>
        <w:rPr>
          <w:rFonts w:hint="eastAsia" w:ascii="宋体" w:cs="宋体"/>
          <w:color w:val="auto"/>
          <w:highlight w:val="none"/>
        </w:rPr>
        <w:t>1</w:t>
      </w:r>
      <w:bookmarkStart w:id="1053" w:name="_Toc296346587"/>
      <w:bookmarkStart w:id="1054" w:name="_Toc337558790"/>
      <w:bookmarkStart w:id="1055" w:name="_Toc296503086"/>
      <w:r>
        <w:rPr>
          <w:rFonts w:hint="eastAsia" w:ascii="宋体" w:cs="宋体"/>
          <w:color w:val="auto"/>
          <w:highlight w:val="none"/>
        </w:rPr>
        <w:t>0.3变更程序</w:t>
      </w:r>
      <w:bookmarkEnd w:id="1045"/>
      <w:bookmarkEnd w:id="1046"/>
      <w:bookmarkEnd w:id="1047"/>
      <w:bookmarkEnd w:id="1048"/>
      <w:bookmarkEnd w:id="1049"/>
      <w:bookmarkEnd w:id="1050"/>
      <w:bookmarkEnd w:id="1051"/>
      <w:bookmarkEnd w:id="1052"/>
    </w:p>
    <w:bookmarkEnd w:id="1053"/>
    <w:bookmarkEnd w:id="1054"/>
    <w:bookmarkEnd w:id="1055"/>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10.3.1 发包人提出变更</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发包人提出变更的，应通过监理人向承包人发出变更指示，变更指示应说明计划变更的工程范围和变更的内容。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10.3.2 监理人提出变更建议</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10.3.3 变更执行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pStyle w:val="21"/>
        <w:spacing w:line="360" w:lineRule="auto"/>
        <w:ind w:firstLine="422" w:firstLineChars="200"/>
        <w:rPr>
          <w:rFonts w:ascii="宋体" w:cs="宋体"/>
          <w:color w:val="auto"/>
          <w:highlight w:val="none"/>
        </w:rPr>
      </w:pPr>
      <w:bookmarkStart w:id="1056" w:name="_Toc256000109"/>
      <w:bookmarkStart w:id="1057" w:name="_Toc28154"/>
      <w:bookmarkStart w:id="1058" w:name="_Toc522201660"/>
      <w:bookmarkStart w:id="1059" w:name="_Toc351203571"/>
      <w:bookmarkStart w:id="1060" w:name="_Toc8864"/>
      <w:bookmarkStart w:id="1061" w:name="_Toc28144"/>
      <w:bookmarkStart w:id="1062" w:name="_Toc3319"/>
      <w:bookmarkStart w:id="1063" w:name="_Toc9878"/>
      <w:r>
        <w:rPr>
          <w:rFonts w:hint="eastAsia" w:ascii="宋体" w:cs="宋体"/>
          <w:color w:val="auto"/>
          <w:highlight w:val="none"/>
        </w:rPr>
        <w:t>1</w:t>
      </w:r>
      <w:bookmarkStart w:id="1064" w:name="_Toc296346588"/>
      <w:bookmarkStart w:id="1065" w:name="_Toc296503087"/>
      <w:bookmarkStart w:id="1066" w:name="_Toc337558791"/>
      <w:r>
        <w:rPr>
          <w:rFonts w:hint="eastAsia" w:ascii="宋体" w:cs="宋体"/>
          <w:color w:val="auto"/>
          <w:highlight w:val="none"/>
        </w:rPr>
        <w:t>0.4变更估价</w:t>
      </w:r>
      <w:bookmarkEnd w:id="1056"/>
      <w:bookmarkEnd w:id="1057"/>
      <w:bookmarkEnd w:id="1058"/>
      <w:bookmarkEnd w:id="1059"/>
      <w:bookmarkEnd w:id="1060"/>
      <w:bookmarkEnd w:id="1061"/>
      <w:bookmarkEnd w:id="1062"/>
      <w:bookmarkEnd w:id="1063"/>
    </w:p>
    <w:bookmarkEnd w:id="1064"/>
    <w:bookmarkEnd w:id="1065"/>
    <w:bookmarkEnd w:id="1066"/>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10.4.1 变更估价原则</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除专用合同条款另有约定外，变更估价按照本款约定处理：</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（1）已标价工程量清单或预算书有相同项目的，按照相同项目单价认定；</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（2）已标价工程量清单或预算书中无相同项目，但有类似项目的，参照类似项目的单价认定；</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10.4.2 变更估价程序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因变更引起的价格调整应计入最近一期的进度款中支付。</w:t>
      </w:r>
    </w:p>
    <w:p>
      <w:pPr>
        <w:pStyle w:val="21"/>
        <w:spacing w:line="360" w:lineRule="auto"/>
        <w:ind w:firstLine="422" w:firstLineChars="200"/>
        <w:rPr>
          <w:rFonts w:ascii="宋体" w:cs="宋体"/>
          <w:color w:val="auto"/>
          <w:highlight w:val="none"/>
        </w:rPr>
      </w:pPr>
      <w:bookmarkStart w:id="1067" w:name="_Toc27156"/>
      <w:bookmarkStart w:id="1068" w:name="_Toc256000110"/>
      <w:bookmarkStart w:id="1069" w:name="_Toc8141"/>
      <w:bookmarkStart w:id="1070" w:name="_Toc1544"/>
      <w:bookmarkStart w:id="1071" w:name="_Toc13389"/>
      <w:bookmarkStart w:id="1072" w:name="_Toc13445"/>
      <w:bookmarkStart w:id="1073" w:name="_Toc351203572"/>
      <w:bookmarkStart w:id="1074" w:name="_Toc522201661"/>
      <w:r>
        <w:rPr>
          <w:rFonts w:hint="eastAsia" w:ascii="宋体" w:cs="宋体"/>
          <w:color w:val="auto"/>
          <w:highlight w:val="none"/>
        </w:rPr>
        <w:t>1</w:t>
      </w:r>
      <w:bookmarkStart w:id="1075" w:name="_Toc296503094"/>
      <w:bookmarkStart w:id="1076" w:name="_Toc296346595"/>
      <w:bookmarkStart w:id="1077" w:name="_Toc337558792"/>
      <w:r>
        <w:rPr>
          <w:rFonts w:hint="eastAsia" w:ascii="宋体" w:cs="宋体"/>
          <w:color w:val="auto"/>
          <w:highlight w:val="none"/>
        </w:rPr>
        <w:t>0.5承包人的合理化建议</w:t>
      </w:r>
      <w:bookmarkEnd w:id="1067"/>
      <w:bookmarkEnd w:id="1068"/>
      <w:bookmarkEnd w:id="1069"/>
      <w:bookmarkEnd w:id="1070"/>
      <w:bookmarkEnd w:id="1071"/>
      <w:bookmarkEnd w:id="1072"/>
      <w:bookmarkEnd w:id="1073"/>
      <w:bookmarkEnd w:id="1074"/>
    </w:p>
    <w:bookmarkEnd w:id="1075"/>
    <w:bookmarkEnd w:id="1076"/>
    <w:bookmarkEnd w:id="1077"/>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承包人提出合理化建议的，应向监理人提交合理化建议说明，说明建议的内容和理由，以及实施该建议对合同价格和工期的影响。</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合理化建议降低了合同价格或者提高了工程经济效益的，发包人可对承包人给予奖励，奖励的方法和金额在专用合同条款中约定。</w:t>
      </w:r>
    </w:p>
    <w:p>
      <w:pPr>
        <w:pStyle w:val="21"/>
        <w:spacing w:line="360" w:lineRule="auto"/>
        <w:ind w:firstLine="422" w:firstLineChars="200"/>
        <w:rPr>
          <w:rFonts w:ascii="宋体" w:cs="宋体"/>
          <w:color w:val="auto"/>
          <w:highlight w:val="none"/>
        </w:rPr>
      </w:pPr>
      <w:bookmarkStart w:id="1078" w:name="_Toc12596"/>
      <w:bookmarkStart w:id="1079" w:name="_Toc23652"/>
      <w:bookmarkStart w:id="1080" w:name="_Toc256000111"/>
      <w:bookmarkStart w:id="1081" w:name="_Toc25227"/>
      <w:bookmarkStart w:id="1082" w:name="_Toc24208"/>
      <w:bookmarkStart w:id="1083" w:name="_Toc21866"/>
      <w:bookmarkStart w:id="1084" w:name="_Toc522201662"/>
      <w:bookmarkStart w:id="1085" w:name="_Toc351203573"/>
      <w:r>
        <w:rPr>
          <w:rFonts w:hint="eastAsia" w:ascii="宋体" w:cs="宋体"/>
          <w:color w:val="auto"/>
          <w:highlight w:val="none"/>
        </w:rPr>
        <w:t>1</w:t>
      </w:r>
      <w:bookmarkStart w:id="1086" w:name="_Toc337558793"/>
      <w:r>
        <w:rPr>
          <w:rFonts w:hint="eastAsia" w:ascii="宋体" w:cs="宋体"/>
          <w:color w:val="auto"/>
          <w:highlight w:val="none"/>
        </w:rPr>
        <w:t>0.6变更引起的工期调整</w:t>
      </w:r>
      <w:bookmarkEnd w:id="1078"/>
      <w:bookmarkEnd w:id="1079"/>
      <w:bookmarkEnd w:id="1080"/>
      <w:bookmarkEnd w:id="1081"/>
      <w:bookmarkEnd w:id="1082"/>
      <w:bookmarkEnd w:id="1083"/>
      <w:bookmarkEnd w:id="1084"/>
      <w:bookmarkEnd w:id="1085"/>
      <w:r>
        <w:rPr>
          <w:rFonts w:hint="eastAsia" w:ascii="宋体" w:cs="宋体"/>
          <w:color w:val="auto"/>
          <w:highlight w:val="none"/>
        </w:rPr>
        <w:t xml:space="preserve"> </w:t>
      </w:r>
      <w:bookmarkEnd w:id="1086"/>
      <w:r>
        <w:rPr>
          <w:rFonts w:hint="eastAsia" w:ascii="宋体" w:cs="宋体"/>
          <w:color w:val="auto"/>
          <w:highlight w:val="none"/>
        </w:rPr>
        <w:t xml:space="preserve">  </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因变更引起工期变化的，合同当事人均可要求调整合同工期，由合同当事人按照第4.4款〔商定或确定〕并参考工程所在地的工期定额标准确定增减工期天数。</w:t>
      </w:r>
    </w:p>
    <w:p>
      <w:pPr>
        <w:pStyle w:val="21"/>
        <w:spacing w:line="360" w:lineRule="auto"/>
        <w:ind w:firstLine="422" w:firstLineChars="200"/>
        <w:rPr>
          <w:rFonts w:ascii="宋体" w:cs="宋体"/>
          <w:color w:val="auto"/>
          <w:highlight w:val="none"/>
        </w:rPr>
      </w:pPr>
      <w:bookmarkStart w:id="1087" w:name="_Toc351203574"/>
      <w:bookmarkStart w:id="1088" w:name="_Toc522201663"/>
      <w:bookmarkStart w:id="1089" w:name="_Toc10726"/>
      <w:bookmarkStart w:id="1090" w:name="_Toc2801"/>
      <w:bookmarkStart w:id="1091" w:name="_Toc10582"/>
      <w:bookmarkStart w:id="1092" w:name="_Toc17684"/>
      <w:bookmarkStart w:id="1093" w:name="_Toc21247"/>
      <w:bookmarkStart w:id="1094" w:name="_Toc256000112"/>
      <w:r>
        <w:rPr>
          <w:rFonts w:hint="eastAsia" w:ascii="宋体" w:cs="宋体"/>
          <w:color w:val="auto"/>
          <w:highlight w:val="none"/>
        </w:rPr>
        <w:t>10.7暂估价</w:t>
      </w:r>
      <w:bookmarkEnd w:id="1087"/>
      <w:bookmarkEnd w:id="1088"/>
      <w:bookmarkEnd w:id="1089"/>
      <w:bookmarkEnd w:id="1090"/>
      <w:bookmarkEnd w:id="1091"/>
      <w:bookmarkEnd w:id="1092"/>
      <w:bookmarkEnd w:id="1093"/>
      <w:bookmarkEnd w:id="1094"/>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暂估价专业分包工程、服务、材料和工程设备的明细由合同当事人在专用合同条款中约定。</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10.7.1 依法必须招标的暂估价项目</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对于依法必须招标的暂估价项目，采取以下第1种方式确定。合同当事人也可以在专用合同条款中选择其他招标方式。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第1种方式：对于依法必须招标的暂估价项目，由承包人招标，对该暂估价项目的确认和批准按照以下约定执行：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承包人应当根据施工进度计划，提前14天将招标文件通过监理人报送发包人审批，发包人应当在收到承包人报送的相关文件后7天内完成审批或提出修改意见；发包人有权确定招标控制价并按照法律规定参加评标；</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10.7.2不属于依法必须招标的暂估价项目</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除专用合同条款另有约定外，对于不属于依法必须招标的暂估价项目，采取以下第1种方式确定： </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第1种方式：对于不属于依法必须招标的暂估价项目，按本项约定确认和批准：</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（2）发包人认为承包人确定的供应商、分包人无法满足工程质量或合同要求的，发包人可以要求承包人重新确定暂估价项目的供应商、分包人;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（3）承包人应当在签订暂估价合同后7天内，将暂估价合同副本报送发包人留存。</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第2种方式：承包人按照第10.7.1项〔依法必须招标的暂估价项目〕约定的第1种方式确定暂估价项目。</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第3种方式：承包人直接实施的暂估价项目</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承包人具备实施暂估价项目的资格和条件的，经发包人和承包人协商一致后，可由承包人自行实施暂估价项目，合同当事人可以在专用合同条款约定具体事项。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21"/>
        <w:spacing w:line="360" w:lineRule="auto"/>
        <w:ind w:firstLine="422" w:firstLineChars="200"/>
        <w:rPr>
          <w:rFonts w:ascii="宋体" w:cs="宋体"/>
          <w:color w:val="auto"/>
          <w:highlight w:val="none"/>
        </w:rPr>
      </w:pPr>
      <w:bookmarkStart w:id="1095" w:name="_Toc351203575"/>
      <w:bookmarkStart w:id="1096" w:name="_Toc8720"/>
      <w:bookmarkStart w:id="1097" w:name="_Toc21129"/>
      <w:bookmarkStart w:id="1098" w:name="_Toc3407"/>
      <w:bookmarkStart w:id="1099" w:name="_Toc522201664"/>
      <w:bookmarkStart w:id="1100" w:name="_Toc20306"/>
      <w:bookmarkStart w:id="1101" w:name="_Toc31550"/>
      <w:bookmarkStart w:id="1102" w:name="_Toc256000113"/>
      <w:r>
        <w:rPr>
          <w:rFonts w:hint="eastAsia" w:ascii="宋体" w:cs="宋体"/>
          <w:color w:val="auto"/>
          <w:highlight w:val="none"/>
        </w:rPr>
        <w:t>1</w:t>
      </w:r>
      <w:bookmarkStart w:id="1103" w:name="_Toc337558794"/>
      <w:bookmarkStart w:id="1104" w:name="_Toc322522561"/>
      <w:bookmarkStart w:id="1105" w:name="_Toc296503090"/>
      <w:bookmarkStart w:id="1106" w:name="_Toc296346591"/>
      <w:r>
        <w:rPr>
          <w:rFonts w:hint="eastAsia" w:ascii="宋体" w:cs="宋体"/>
          <w:color w:val="auto"/>
          <w:highlight w:val="none"/>
        </w:rPr>
        <w:t>0.8暂列金额</w:t>
      </w:r>
      <w:bookmarkEnd w:id="1095"/>
      <w:bookmarkEnd w:id="1096"/>
      <w:bookmarkEnd w:id="1097"/>
      <w:bookmarkEnd w:id="1098"/>
      <w:bookmarkEnd w:id="1099"/>
      <w:bookmarkEnd w:id="1100"/>
      <w:bookmarkEnd w:id="1101"/>
      <w:bookmarkEnd w:id="1102"/>
    </w:p>
    <w:bookmarkEnd w:id="1103"/>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暂列金额应按照发包人的要求使用，发包人的要求应通过监理人发出。合同当事人可以在专用合同条款中协商确定有关事项。</w:t>
      </w:r>
    </w:p>
    <w:bookmarkEnd w:id="1104"/>
    <w:bookmarkEnd w:id="1105"/>
    <w:bookmarkEnd w:id="1106"/>
    <w:p>
      <w:pPr>
        <w:pStyle w:val="21"/>
        <w:spacing w:line="360" w:lineRule="auto"/>
        <w:ind w:firstLine="422" w:firstLineChars="200"/>
        <w:rPr>
          <w:rFonts w:ascii="宋体" w:cs="宋体"/>
          <w:color w:val="auto"/>
          <w:highlight w:val="none"/>
        </w:rPr>
      </w:pPr>
      <w:bookmarkStart w:id="1107" w:name="_Toc522201665"/>
      <w:bookmarkStart w:id="1108" w:name="_Toc6145"/>
      <w:bookmarkStart w:id="1109" w:name="_Toc11049"/>
      <w:bookmarkStart w:id="1110" w:name="_Toc4187"/>
      <w:bookmarkStart w:id="1111" w:name="_Toc6692"/>
      <w:bookmarkStart w:id="1112" w:name="_Toc351203576"/>
      <w:bookmarkStart w:id="1113" w:name="_Toc23017"/>
      <w:bookmarkStart w:id="1114" w:name="_Toc256000114"/>
      <w:r>
        <w:rPr>
          <w:rFonts w:hint="eastAsia" w:ascii="宋体" w:cs="宋体"/>
          <w:color w:val="auto"/>
          <w:highlight w:val="none"/>
        </w:rPr>
        <w:t>1</w:t>
      </w:r>
      <w:bookmarkStart w:id="1115" w:name="_Toc296503091"/>
      <w:bookmarkStart w:id="1116" w:name="_Toc296346592"/>
      <w:bookmarkStart w:id="1117" w:name="_Toc337558796"/>
      <w:r>
        <w:rPr>
          <w:rFonts w:hint="eastAsia" w:ascii="宋体" w:cs="宋体"/>
          <w:color w:val="auto"/>
          <w:highlight w:val="none"/>
        </w:rPr>
        <w:t>0.9计日工</w:t>
      </w:r>
      <w:bookmarkEnd w:id="1107"/>
      <w:bookmarkEnd w:id="1108"/>
      <w:bookmarkEnd w:id="1109"/>
      <w:bookmarkEnd w:id="1110"/>
      <w:bookmarkEnd w:id="1111"/>
      <w:bookmarkEnd w:id="1112"/>
      <w:bookmarkEnd w:id="1113"/>
      <w:bookmarkEnd w:id="1114"/>
      <w:r>
        <w:rPr>
          <w:rFonts w:hint="eastAsia" w:ascii="宋体" w:cs="宋体"/>
          <w:color w:val="auto"/>
          <w:highlight w:val="none"/>
        </w:rPr>
        <w:t xml:space="preserve"> </w:t>
      </w:r>
      <w:bookmarkEnd w:id="1115"/>
      <w:bookmarkEnd w:id="1116"/>
      <w:bookmarkEnd w:id="1117"/>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计日工的单价。</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采用计日工计价的任何一项工作，承包人应在该项工作实施过程中，每天提交以下报表和有关凭证报送监理人审查：</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（1）工作名称、内容和数量；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（2）投入该工作的所有人员的姓名、专业、工种、级别和耗用工时；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（3）投入该工作的材料类别和数量；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（4）投入该工作的施工设备型号、台数和耗用台时；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（5）其他有关资料和凭证。</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计日工由承包人汇总后，列入最近一期进度付款申请单，由监理人审查并经发包人批准后列入进度付款。</w:t>
      </w:r>
    </w:p>
    <w:p>
      <w:pPr>
        <w:pStyle w:val="21"/>
        <w:spacing w:line="360" w:lineRule="auto"/>
        <w:rPr>
          <w:rFonts w:ascii="宋体" w:cs="宋体"/>
          <w:color w:val="auto"/>
          <w:highlight w:val="none"/>
        </w:rPr>
      </w:pPr>
      <w:bookmarkStart w:id="1118" w:name="_Toc351203577"/>
      <w:bookmarkStart w:id="1119" w:name="_Toc21562"/>
      <w:bookmarkStart w:id="1120" w:name="_Toc19275"/>
      <w:bookmarkStart w:id="1121" w:name="_Toc1986"/>
      <w:bookmarkStart w:id="1122" w:name="_Toc522201666"/>
      <w:bookmarkStart w:id="1123" w:name="_Toc256000115"/>
      <w:bookmarkStart w:id="1124" w:name="_Toc20418"/>
      <w:bookmarkStart w:id="1125" w:name="_Toc31463"/>
      <w:r>
        <w:rPr>
          <w:rFonts w:hint="eastAsia" w:ascii="宋体" w:cs="宋体"/>
          <w:color w:val="auto"/>
          <w:highlight w:val="none"/>
        </w:rPr>
        <w:t>11. 价格调整</w:t>
      </w:r>
      <w:bookmarkEnd w:id="1118"/>
      <w:bookmarkEnd w:id="1119"/>
      <w:bookmarkEnd w:id="1120"/>
      <w:bookmarkEnd w:id="1121"/>
      <w:bookmarkEnd w:id="1122"/>
      <w:bookmarkEnd w:id="1123"/>
      <w:bookmarkEnd w:id="1124"/>
      <w:bookmarkEnd w:id="1125"/>
    </w:p>
    <w:p>
      <w:pPr>
        <w:pStyle w:val="21"/>
        <w:spacing w:line="360" w:lineRule="auto"/>
        <w:ind w:firstLine="422" w:firstLineChars="200"/>
        <w:rPr>
          <w:rFonts w:ascii="宋体" w:cs="宋体"/>
          <w:color w:val="auto"/>
          <w:highlight w:val="none"/>
        </w:rPr>
      </w:pPr>
      <w:bookmarkStart w:id="1126" w:name="_Toc351203578"/>
      <w:bookmarkStart w:id="1127" w:name="_Toc256000116"/>
      <w:bookmarkStart w:id="1128" w:name="_Toc30617"/>
      <w:bookmarkStart w:id="1129" w:name="_Toc28793"/>
      <w:bookmarkStart w:id="1130" w:name="_Toc1882"/>
      <w:bookmarkStart w:id="1131" w:name="_Toc522201667"/>
      <w:bookmarkStart w:id="1132" w:name="_Toc4294"/>
      <w:bookmarkStart w:id="1133" w:name="_Toc8395"/>
      <w:bookmarkStart w:id="1134" w:name="_Toc296346593"/>
      <w:bookmarkStart w:id="1135" w:name="_Toc296503092"/>
      <w:bookmarkStart w:id="1136" w:name="_Toc337558797"/>
      <w:r>
        <w:rPr>
          <w:rFonts w:hint="eastAsia" w:ascii="宋体" w:cs="宋体"/>
          <w:color w:val="auto"/>
          <w:highlight w:val="none"/>
        </w:rPr>
        <w:t>11.1市场价格波动引起的调整</w:t>
      </w:r>
      <w:bookmarkEnd w:id="1126"/>
      <w:bookmarkEnd w:id="1127"/>
      <w:bookmarkEnd w:id="1128"/>
      <w:bookmarkEnd w:id="1129"/>
      <w:bookmarkEnd w:id="1130"/>
      <w:bookmarkEnd w:id="1131"/>
      <w:bookmarkEnd w:id="1132"/>
      <w:bookmarkEnd w:id="1133"/>
    </w:p>
    <w:bookmarkEnd w:id="1134"/>
    <w:bookmarkEnd w:id="1135"/>
    <w:bookmarkEnd w:id="1136"/>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除专用合同条款另有约定外，市场价格波动超过合同当事人约定的范围，合同价格应当调整。合同当事人可以在专用合同条款中约定选择以下一种方式对合同价格进行调整：</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第1种方式：采用价格指数进行价格调整。</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（1）价格调整公式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因人工、材料和设备等价格波动影响合同价格时，根据专用合同条款中约定的数据，按以下公式计算差额并调整合同价格：</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object>
          <v:shape id="_x0000_i1025" o:spt="75" type="#_x0000_t75" style="height:44.3pt;width:360pt;" o:ole="t" filled="f" o:preferrelative="t" stroked="f" coordsize="21600,21600">
            <v:path/>
            <v:fill on="f" focussize="0,0"/>
            <v:stroke on="f" joinstyle="miter"/>
            <v:imagedata r:id="rId38" o:title=""/>
            <o:lock v:ext="edit" aspectratio="t"/>
            <w10:wrap type="none"/>
            <w10:anchorlock/>
          </v:shape>
          <o:OLEObject Type="Embed" ProgID="Equation.3" ShapeID="_x0000_i1025" DrawAspect="Content" ObjectID="_1468075725" r:id="rId37">
            <o:LockedField>false</o:LockedField>
          </o:OLEObject>
        </w:objec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公式中：ΔP——需调整的价格差额；</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object>
          <v:shape id="_x0000_i1026" o:spt="75" type="#_x0000_t75" style="height:18pt;width:18pt;" o:ole="t" filled="f" o:preferrelative="t" stroked="f" coordsize="21600,21600">
            <v:path/>
            <v:fill on="f" focussize="0,0"/>
            <v:stroke on="f" joinstyle="miter"/>
            <v:imagedata r:id="rId40" o:title=""/>
            <o:lock v:ext="edit" aspectratio="t"/>
            <w10:wrap type="none"/>
            <w10:anchorlock/>
          </v:shape>
          <o:OLEObject Type="Embed" ProgID="Equation.3" ShapeID="_x0000_i1026" DrawAspect="Content" ObjectID="_1468075726" r:id="rId39">
            <o:LockedField>false</o:LockedField>
          </o:OLEObject>
        </w:object>
      </w:r>
      <w:r>
        <w:rPr>
          <w:rFonts w:hint="eastAsia" w:ascii="宋体" w:hAnsi="宋体" w:cs="宋体"/>
          <w:color w:val="auto"/>
          <w:kern w:val="0"/>
          <w:szCs w:val="21"/>
          <w:highlight w:val="none"/>
        </w:rPr>
        <w:t>——约定的付款证书中承包人应得到的已完成工程量的金额。此项金额应不包括价格调整、不计质量保证金的扣留和支付、预付款的支付和扣回。约定的变更及其他金额已按现行价格计价的，也不计在内；</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A——定值权重（即不调部分的权重）；</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object>
          <v:shape id="_x0000_i1027" o:spt="75" type="#_x0000_t75" style="height:21pt;width:101.25pt;" o:ole="t" filled="f" o:preferrelative="t" stroked="f" coordsize="21600,21600">
            <v:path/>
            <v:fill on="f" focussize="0,0"/>
            <v:stroke on="f" joinstyle="miter"/>
            <v:imagedata r:id="rId42" o:title=""/>
            <o:lock v:ext="edit" aspectratio="t"/>
            <w10:wrap type="none"/>
            <w10:anchorlock/>
          </v:shape>
          <o:OLEObject Type="Embed" ProgID="Equation.3" ShapeID="_x0000_i1027" DrawAspect="Content" ObjectID="_1468075727" r:id="rId41">
            <o:LockedField>false</o:LockedField>
          </o:OLEObject>
        </w:object>
      </w:r>
      <w:r>
        <w:rPr>
          <w:rFonts w:hint="eastAsia" w:ascii="宋体" w:hAnsi="宋体" w:cs="宋体"/>
          <w:color w:val="auto"/>
          <w:kern w:val="0"/>
          <w:szCs w:val="21"/>
          <w:highlight w:val="none"/>
        </w:rPr>
        <w:t>——各可调因子的变值权重（即可调部分的权重），为各可调因子在签约合同价中所占的比例；</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object>
          <v:shape id="_x0000_i1028" o:spt="75" type="#_x0000_t75" style="height:20.25pt;width:102pt;" o:ole="t" filled="f" o:preferrelative="t" stroked="f" coordsize="21600,21600">
            <v:path/>
            <v:fill on="f" focussize="0,0"/>
            <v:stroke on="f" joinstyle="miter"/>
            <v:imagedata r:id="rId44" o:title=""/>
            <o:lock v:ext="edit" aspectratio="t"/>
            <w10:wrap type="none"/>
            <w10:anchorlock/>
          </v:shape>
          <o:OLEObject Type="Embed" ProgID="Equation.3" ShapeID="_x0000_i1028" DrawAspect="Content" ObjectID="_1468075728" r:id="rId43">
            <o:LockedField>false</o:LockedField>
          </o:OLEObject>
        </w:object>
      </w:r>
      <w:r>
        <w:rPr>
          <w:rFonts w:hint="eastAsia" w:ascii="宋体" w:hAnsi="宋体" w:cs="宋体"/>
          <w:color w:val="auto"/>
          <w:kern w:val="0"/>
          <w:szCs w:val="21"/>
          <w:highlight w:val="none"/>
        </w:rPr>
        <w:t>——各可调因子的现行价格指数，指约定的付款证书相关周期最后一天的前42天的各可调因子的价格指数；</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object>
          <v:shape id="_x0000_i1029" o:spt="75" type="#_x0000_t75" style="height:20.25pt;width:107.95pt;" o:ole="t" filled="f" o:preferrelative="t" stroked="f" coordsize="21600,21600">
            <v:path/>
            <v:fill on="f" focussize="0,0"/>
            <v:stroke on="f" joinstyle="miter"/>
            <v:imagedata r:id="rId46" o:title=""/>
            <o:lock v:ext="edit" aspectratio="t"/>
            <w10:wrap type="none"/>
            <w10:anchorlock/>
          </v:shape>
          <o:OLEObject Type="Embed" ProgID="Equation.3" ShapeID="_x0000_i1029" DrawAspect="Content" ObjectID="_1468075729" r:id="rId45">
            <o:LockedField>false</o:LockedField>
          </o:OLEObject>
        </w:object>
      </w:r>
      <w:r>
        <w:rPr>
          <w:rFonts w:hint="eastAsia" w:ascii="宋体" w:hAnsi="宋体" w:cs="宋体"/>
          <w:color w:val="auto"/>
          <w:kern w:val="0"/>
          <w:szCs w:val="21"/>
          <w:highlight w:val="none"/>
        </w:rPr>
        <w:t>——各可调因子的基本价格指数，指基准日期的各可调因子的价格指数。</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（2）暂时确定调整差额</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在计算调整差额时无现行价格指数的，合同当事人同意暂用前次价格指数计算。实际价格指数有调整的，合同当事人进行相应调整。</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（3）权重的调整</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因变更导致合同约定的权重不合理时，按照第4.4款〔商定或确定〕执行。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（4）因承包人原因工期延误后的价格调整</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因承包人原因未按期竣工的，对合同约定的竣工日期后继续施工的工程，在使用价格调整公式时，应采用计划竣工日期与实际竣工日期的两个价格指数中较低的一个作为现行价格指数。</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第2种方式：采用造价信息进行价格调整。</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（2）材料、工程设备价格变化的价款调整按照发包人提供的基准价格，按以下风险范围规定执行: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②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③承包人在已标价工程量清单或预算书中载明材料单价等于基准价格的：除专用合同条款另有约定外，合同履行期间材料单价涨跌幅以基准价格为基础超过±5%时，其超过部分据实调整。</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bookmarkStart w:id="1137" w:name="OLE_LINK3"/>
      <w:r>
        <w:rPr>
          <w:rFonts w:hint="eastAsia" w:ascii="宋体" w:hAnsi="宋体" w:cs="宋体"/>
          <w:color w:val="auto"/>
          <w:kern w:val="0"/>
          <w:szCs w:val="21"/>
          <w:highlight w:val="none"/>
        </w:rPr>
        <w:t>前述基准价格是指由发包人在招标文件或专用合同条款中给定的材料、工程设备的价格，该价格原则上应当按照省级或行业建设主管部门或其授权的工程造价管理机构发布的信息价编制。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（3）施工机械台班单价或施工机械使用费发生变化超过省级或行业建设主管部门或其授权的工程造价管理机构规定的范围时，按规定调整合同价格。</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第3种方式：专用合同条款约定的其他方式。</w:t>
      </w:r>
    </w:p>
    <w:p>
      <w:pPr>
        <w:pStyle w:val="21"/>
        <w:spacing w:line="360" w:lineRule="auto"/>
        <w:ind w:firstLine="422" w:firstLineChars="200"/>
        <w:rPr>
          <w:rFonts w:ascii="宋体" w:cs="宋体"/>
          <w:color w:val="auto"/>
          <w:highlight w:val="none"/>
        </w:rPr>
      </w:pPr>
      <w:bookmarkStart w:id="1138" w:name="_Toc256000117"/>
      <w:bookmarkStart w:id="1139" w:name="_Toc24682"/>
      <w:bookmarkStart w:id="1140" w:name="_Toc522201668"/>
      <w:bookmarkStart w:id="1141" w:name="_Toc25852"/>
      <w:bookmarkStart w:id="1142" w:name="_Toc351203579"/>
      <w:bookmarkStart w:id="1143" w:name="_Toc11117"/>
      <w:bookmarkStart w:id="1144" w:name="_Toc20193"/>
      <w:bookmarkStart w:id="1145" w:name="_Toc1573"/>
      <w:bookmarkStart w:id="1146" w:name="_Toc296346594"/>
      <w:bookmarkStart w:id="1147" w:name="_Toc296503093"/>
      <w:bookmarkStart w:id="1148" w:name="_Toc337558798"/>
      <w:r>
        <w:rPr>
          <w:rFonts w:hint="eastAsia" w:ascii="宋体" w:cs="宋体"/>
          <w:color w:val="auto"/>
          <w:highlight w:val="none"/>
        </w:rPr>
        <w:t>11.2法律变化引起的调整</w:t>
      </w:r>
      <w:bookmarkEnd w:id="1138"/>
      <w:bookmarkEnd w:id="1139"/>
      <w:bookmarkEnd w:id="1140"/>
      <w:bookmarkEnd w:id="1141"/>
      <w:bookmarkEnd w:id="1142"/>
      <w:bookmarkEnd w:id="1143"/>
      <w:bookmarkEnd w:id="1144"/>
      <w:bookmarkEnd w:id="1145"/>
    </w:p>
    <w:bookmarkEnd w:id="1146"/>
    <w:bookmarkEnd w:id="1147"/>
    <w:bookmarkEnd w:id="1148"/>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因法律变化引起的合同价格和工期调整，合同当事人无法达成一致的，由总监理工程师按第4.4款〔商定或确定〕的约定处理。</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因承包人原因造成工期延误，在工期延误期间出现法律变化的，由此增加的费用和（或）延误的工期由承包人承担。</w:t>
      </w:r>
    </w:p>
    <w:p>
      <w:pPr>
        <w:pStyle w:val="21"/>
        <w:spacing w:line="360" w:lineRule="auto"/>
        <w:rPr>
          <w:rFonts w:ascii="宋体" w:cs="宋体"/>
          <w:color w:val="auto"/>
          <w:highlight w:val="none"/>
        </w:rPr>
      </w:pPr>
      <w:bookmarkStart w:id="1149" w:name="_Toc6610"/>
      <w:bookmarkStart w:id="1150" w:name="_Toc256000118"/>
      <w:bookmarkStart w:id="1151" w:name="_Toc18612"/>
      <w:bookmarkStart w:id="1152" w:name="_Toc17843"/>
      <w:bookmarkStart w:id="1153" w:name="_Toc30854"/>
      <w:bookmarkStart w:id="1154" w:name="_Toc11053"/>
      <w:bookmarkStart w:id="1155" w:name="_Toc522201669"/>
      <w:bookmarkStart w:id="1156" w:name="_Toc351203580"/>
      <w:bookmarkStart w:id="1157" w:name="_Toc337558799"/>
      <w:bookmarkStart w:id="1158" w:name="_Toc296346597"/>
      <w:bookmarkStart w:id="1159" w:name="_Toc296503096"/>
      <w:r>
        <w:rPr>
          <w:rFonts w:hint="eastAsia" w:ascii="宋体" w:cs="宋体"/>
          <w:color w:val="auto"/>
          <w:highlight w:val="none"/>
        </w:rPr>
        <w:t>12. 合同价格、计量与支付</w:t>
      </w:r>
      <w:bookmarkEnd w:id="1149"/>
      <w:bookmarkEnd w:id="1150"/>
      <w:bookmarkEnd w:id="1151"/>
      <w:bookmarkEnd w:id="1152"/>
      <w:bookmarkEnd w:id="1153"/>
      <w:bookmarkEnd w:id="1154"/>
      <w:bookmarkEnd w:id="1155"/>
      <w:bookmarkEnd w:id="1156"/>
    </w:p>
    <w:bookmarkEnd w:id="1157"/>
    <w:p>
      <w:pPr>
        <w:pStyle w:val="21"/>
        <w:spacing w:line="360" w:lineRule="auto"/>
        <w:ind w:firstLine="422" w:firstLineChars="200"/>
        <w:rPr>
          <w:rFonts w:ascii="宋体" w:cs="宋体"/>
          <w:color w:val="auto"/>
          <w:highlight w:val="none"/>
        </w:rPr>
      </w:pPr>
      <w:bookmarkStart w:id="1160" w:name="_Toc20248"/>
      <w:bookmarkStart w:id="1161" w:name="_Toc522201670"/>
      <w:bookmarkStart w:id="1162" w:name="_Toc256000119"/>
      <w:bookmarkStart w:id="1163" w:name="_Toc351203581"/>
      <w:bookmarkStart w:id="1164" w:name="_Toc31902"/>
      <w:bookmarkStart w:id="1165" w:name="_Toc7779"/>
      <w:bookmarkStart w:id="1166" w:name="_Toc20539"/>
      <w:bookmarkStart w:id="1167" w:name="_Toc16729"/>
      <w:bookmarkStart w:id="1168" w:name="_Toc337558800"/>
      <w:r>
        <w:rPr>
          <w:rFonts w:hint="eastAsia" w:ascii="宋体" w:cs="宋体"/>
          <w:color w:val="auto"/>
          <w:highlight w:val="none"/>
        </w:rPr>
        <w:t>12.1 合同价</w:t>
      </w:r>
      <w:bookmarkEnd w:id="1158"/>
      <w:bookmarkEnd w:id="1159"/>
      <w:r>
        <w:rPr>
          <w:rFonts w:hint="eastAsia" w:ascii="宋体" w:cs="宋体"/>
          <w:color w:val="auto"/>
          <w:highlight w:val="none"/>
        </w:rPr>
        <w:t>格形式</w:t>
      </w:r>
      <w:bookmarkEnd w:id="1160"/>
      <w:bookmarkEnd w:id="1161"/>
      <w:bookmarkEnd w:id="1162"/>
      <w:bookmarkEnd w:id="1163"/>
      <w:bookmarkEnd w:id="1164"/>
      <w:bookmarkEnd w:id="1165"/>
      <w:bookmarkEnd w:id="1166"/>
      <w:bookmarkEnd w:id="1167"/>
    </w:p>
    <w:bookmarkEnd w:id="1168"/>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发包人和承包人应在合同协议书中选择下列一种合同价格形式： </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1.单价合同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11.1款〔市场价格波动引起的调整〕约定执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2.总价合同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3.其它价格形式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合同当事人可在专用合同条款中约定其他合同价格形式。</w:t>
      </w:r>
    </w:p>
    <w:p>
      <w:pPr>
        <w:pStyle w:val="21"/>
        <w:spacing w:line="360" w:lineRule="auto"/>
        <w:ind w:firstLine="422" w:firstLineChars="200"/>
        <w:rPr>
          <w:rFonts w:ascii="宋体" w:cs="宋体"/>
          <w:color w:val="auto"/>
          <w:highlight w:val="none"/>
        </w:rPr>
      </w:pPr>
      <w:bookmarkStart w:id="1169" w:name="_Toc296503097"/>
      <w:bookmarkStart w:id="1170" w:name="_Toc296346598"/>
      <w:bookmarkStart w:id="1171" w:name="_Toc2442"/>
      <w:bookmarkStart w:id="1172" w:name="_Toc5398"/>
      <w:bookmarkStart w:id="1173" w:name="_Toc13264"/>
      <w:bookmarkStart w:id="1174" w:name="_Toc522201671"/>
      <w:bookmarkStart w:id="1175" w:name="_Toc351203582"/>
      <w:bookmarkStart w:id="1176" w:name="_Toc256000120"/>
      <w:bookmarkStart w:id="1177" w:name="_Toc8338"/>
      <w:bookmarkStart w:id="1178" w:name="_Toc25798"/>
      <w:bookmarkStart w:id="1179" w:name="_Toc337558801"/>
      <w:r>
        <w:rPr>
          <w:rFonts w:hint="eastAsia" w:ascii="宋体" w:cs="宋体"/>
          <w:color w:val="auto"/>
          <w:highlight w:val="none"/>
        </w:rPr>
        <w:t>12.2预</w:t>
      </w:r>
      <w:bookmarkEnd w:id="1169"/>
      <w:bookmarkEnd w:id="1170"/>
      <w:bookmarkStart w:id="1180" w:name="_Toc296346601"/>
      <w:bookmarkStart w:id="1181" w:name="_Toc296503100"/>
      <w:r>
        <w:rPr>
          <w:rFonts w:hint="eastAsia" w:ascii="宋体" w:cs="宋体"/>
          <w:color w:val="auto"/>
          <w:highlight w:val="none"/>
        </w:rPr>
        <w:t>付款</w:t>
      </w:r>
      <w:bookmarkEnd w:id="1171"/>
      <w:bookmarkEnd w:id="1172"/>
      <w:bookmarkEnd w:id="1173"/>
      <w:bookmarkEnd w:id="1174"/>
      <w:bookmarkEnd w:id="1175"/>
      <w:bookmarkEnd w:id="1176"/>
      <w:bookmarkEnd w:id="1177"/>
      <w:bookmarkEnd w:id="1178"/>
    </w:p>
    <w:bookmarkEnd w:id="1179"/>
    <w:bookmarkEnd w:id="1180"/>
    <w:bookmarkEnd w:id="1181"/>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12.2.1预付款的支付</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预付款的支付按照专用合同条款约定执行，但至迟应在开工通知载明的开工日期7天前支付。预付款应当用于材料、工程设备、施工设备的采购及修建临时工程、组织施工队伍进场等。</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除专用合同条款另有约定外，预付款在进度付款中同比例扣回。</w:t>
      </w:r>
      <w:bookmarkEnd w:id="1137"/>
      <w:r>
        <w:rPr>
          <w:rFonts w:hint="eastAsia" w:ascii="宋体" w:hAnsi="宋体" w:cs="宋体"/>
          <w:color w:val="auto"/>
          <w:kern w:val="0"/>
          <w:szCs w:val="21"/>
          <w:highlight w:val="none"/>
        </w:rPr>
        <w:t>在颁发工程接收证书前，提前解除合同的，尚未扣完的预付款应与合同价款一并结算。</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发包人逾期支付预付款超过7天的，承包人有权向发包人发出要求预付的催告通知，发包人收到通知后7天内仍未支付的，承包人有权暂停施工，并按第16.1.1项〔发包人违约的情形〕执行。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12.2.2 预付款担保</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发包人在工程款中逐期扣回预付款后，预付款担保额度应相应减少，但剩余的预付款担保金额不得低于未被扣回的预付款金额。</w:t>
      </w:r>
    </w:p>
    <w:p>
      <w:pPr>
        <w:pStyle w:val="21"/>
        <w:spacing w:line="360" w:lineRule="auto"/>
        <w:ind w:firstLine="422" w:firstLineChars="200"/>
        <w:rPr>
          <w:rFonts w:ascii="宋体" w:cs="宋体"/>
          <w:color w:val="auto"/>
          <w:highlight w:val="none"/>
        </w:rPr>
      </w:pPr>
      <w:bookmarkStart w:id="1182" w:name="_Toc256000121"/>
      <w:bookmarkStart w:id="1183" w:name="_Toc10820"/>
      <w:bookmarkStart w:id="1184" w:name="_Toc522201672"/>
      <w:bookmarkStart w:id="1185" w:name="_Toc351203583"/>
      <w:bookmarkStart w:id="1186" w:name="_Toc16123"/>
      <w:bookmarkStart w:id="1187" w:name="_Toc25603"/>
      <w:bookmarkStart w:id="1188" w:name="_Toc1116"/>
      <w:bookmarkStart w:id="1189" w:name="_Toc28986"/>
      <w:bookmarkStart w:id="1190" w:name="_Toc337558802"/>
      <w:r>
        <w:rPr>
          <w:rFonts w:hint="eastAsia" w:ascii="宋体" w:cs="宋体"/>
          <w:color w:val="auto"/>
          <w:highlight w:val="none"/>
        </w:rPr>
        <w:t>12.3计量</w:t>
      </w:r>
      <w:bookmarkEnd w:id="1182"/>
      <w:bookmarkEnd w:id="1183"/>
      <w:bookmarkEnd w:id="1184"/>
      <w:bookmarkEnd w:id="1185"/>
      <w:bookmarkEnd w:id="1186"/>
      <w:bookmarkEnd w:id="1187"/>
      <w:bookmarkEnd w:id="1188"/>
      <w:bookmarkEnd w:id="1189"/>
    </w:p>
    <w:bookmarkEnd w:id="1190"/>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12.3.1 计量原则</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工程量计量按照合同约定的工程量计算规则、图纸及变更指示等进行计量。工程量计算规则应以相关的国家标准、行业标准等为依据，由合同当事人在专用合同条款中约定。</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12.3.2 计量周期</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除专用合同条款另有约定外，工程量的计量按月进行。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12.3.3 单价合同的计量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除专用合同条款另有约定外，单价合同的计量按照本项约定执行：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（1）承包人应于每月25日向监理人报送上月20日至当月19日已完成的工程量报告，并附具进度付款申请单、已完成工程量报表和有关资料。</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（3）监理人未在收到承包人提交的工程量报表后的7天内完成审核的，承包人报送的工程量报告中的工程量视为承包人实际完成的工程量，据此计算工程价款。</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12.3.4 总价合同的计量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除专用合同条款另有约定外，按月计量支付的总价合同，按照本项约定执行：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（1）承包人应于每月25日向监理人报送上月20日至当月19日已完成的工程量报告，并附具进度付款申请单、已完成工程量报表和有关资料。</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（3）监理人未在收到承包人提交的工程量报表后的7天内完成复核的，承包人提交的工程量报告中的工程量视为承包人实际完成的工程量。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12.3.5 总价合同采用支付分解表计量支付的，可以按照第12.3.4项〔总价合同的计量〕约定进行计量，但合同价款按照支付分解表进行支付。</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12.3.6 其他价格形式合同的计量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合同当事人可在专用合同条款中约定其他价格形式合同的计量方式和程序。</w:t>
      </w:r>
    </w:p>
    <w:p>
      <w:pPr>
        <w:pStyle w:val="21"/>
        <w:spacing w:line="360" w:lineRule="auto"/>
        <w:ind w:firstLine="422" w:firstLineChars="200"/>
        <w:rPr>
          <w:rFonts w:ascii="宋体" w:cs="宋体"/>
          <w:color w:val="auto"/>
          <w:highlight w:val="none"/>
        </w:rPr>
      </w:pPr>
      <w:bookmarkStart w:id="1191" w:name="_Toc296503101"/>
      <w:bookmarkStart w:id="1192" w:name="_Toc296346602"/>
      <w:bookmarkStart w:id="1193" w:name="_Toc522201673"/>
      <w:bookmarkStart w:id="1194" w:name="_Toc351203584"/>
      <w:bookmarkStart w:id="1195" w:name="_Toc256000122"/>
      <w:bookmarkStart w:id="1196" w:name="_Toc30676"/>
      <w:bookmarkStart w:id="1197" w:name="_Toc23368"/>
      <w:bookmarkStart w:id="1198" w:name="_Toc9086"/>
      <w:bookmarkStart w:id="1199" w:name="_Toc19516"/>
      <w:bookmarkStart w:id="1200" w:name="_Toc2959"/>
      <w:bookmarkStart w:id="1201" w:name="_Toc337558803"/>
      <w:r>
        <w:rPr>
          <w:rFonts w:hint="eastAsia" w:ascii="宋体" w:cs="宋体"/>
          <w:color w:val="auto"/>
          <w:highlight w:val="none"/>
        </w:rPr>
        <w:t>12.4工程进度款支</w:t>
      </w:r>
      <w:bookmarkEnd w:id="1191"/>
      <w:bookmarkEnd w:id="1192"/>
      <w:r>
        <w:rPr>
          <w:rFonts w:hint="eastAsia" w:ascii="宋体" w:cs="宋体"/>
          <w:color w:val="auto"/>
          <w:highlight w:val="none"/>
        </w:rPr>
        <w:t>付</w:t>
      </w:r>
      <w:bookmarkEnd w:id="1193"/>
      <w:bookmarkEnd w:id="1194"/>
      <w:bookmarkEnd w:id="1195"/>
      <w:bookmarkEnd w:id="1196"/>
      <w:bookmarkEnd w:id="1197"/>
      <w:bookmarkEnd w:id="1198"/>
      <w:bookmarkEnd w:id="1199"/>
      <w:bookmarkEnd w:id="1200"/>
    </w:p>
    <w:bookmarkEnd w:id="1201"/>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12.4.1 付款周期</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除专用合同条款另有约定外，付款周期应按照第12.3.2项〔计量周期〕的约定与计量周期保持一致。</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12.4.2 进度付款申请单的编制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除专用合同条款另有约定外，进度付款申请单应包括下列内容：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（1）截至本次付款周期已完成工作对应的金额；</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（2）根据第10条〔变更〕应增加和扣减的变更金额；</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（3）根据第12.2款〔预付款〕约定应支付的预付款和扣减的返还预付款；</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（4）根据第15.3款〔质量保证金〕约定应扣减的质量保证金；</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（5）根据第19条〔索赔〕应增加和扣减的索赔金额；</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（6）对已签发的进度款支付证书中出现错误的修正，应在本次进度付款中支付或扣除的金额；</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（7）根据合同约定应增加和扣减的其他金额。</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12.4.3 进度付款申请单的提交</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（1）单价合同进度付款申请单的提交</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（2）总价合同进度付款申请单的提交</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总价合同按月计量支付的，承包人按照第12.3.4项〔总价合同的计量〕约定的时间按月向监理人提交进度付款申请单，并附上已完成工程量报表和有关资料。</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总价合同按支付分解表支付的，承包人应按照第12.4.6项〔支付分解表〕及第12.4.2项〔进度付款申请单的编制〕的约定向监理人提交进度付款申请单。</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（3）其他价格形式合同的进度付款申请单的提交</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合同当事人可在专用合同条款中约定其他价格形式合同的进度付款申请单的编制和提交程序。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12.4.4 进度款审核和支付</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（2）除专用合同条款另有约定外，发包人应在进度款支付证书或临时进度款支付证书签发后14天内完成支付，发包人逾期支付进度款的，应按照中国人民银行发布的同期同类贷款基准利率支付违约金。</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（3）发包人签发进度款支付证书或临时进度款支付证书，不表明发包人已同意、批准或接受了承包人完成的相应部分的工作。</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12.4.5 进度付款的修正</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在对已签发的进度款支付证书进行阶段汇总和复核中发现错误、遗漏或重复的，发包人和承包人均有权提出修正申请。经发包人和承包人同意的修正，应在下期进度付款中支付或扣除。</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12.4.6 支付分解表</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1.支付分解表的编制要求</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（1）支付分解表中所列的每期付款金额，应为第12.4.2项〔进度付款申请单的编制〕第（1）目的估算金额；</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（2）实际进度与施工进度计划不一致的，合同当事人可按照第4.4款〔商定或确定〕修改支付分解表；</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（3）不采用支付分解表的，承包人应向发包人和监理人提交按季度编制的支付估算分解表，用于支付参考。</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2.总价合同支付分解表的编制与审批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（2）监理人应在收到支付分解表后7天内完成审核并报送发包人。发包人应在收到经监理人审核的支付分解表后7天内完成审批，经发包人批准的支付分解表为有约束力的支付分解表。</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（3）发包人逾期未完成支付分解表审批的，也未及时要求承包人进行修正和提供补充资料的，则承包人提交的支付分解表视为已经获得发包人批准。</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3.单价合同的总价项目支付分解表的编制与审批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21"/>
        <w:spacing w:line="360" w:lineRule="auto"/>
        <w:ind w:firstLine="422" w:firstLineChars="200"/>
        <w:rPr>
          <w:rFonts w:ascii="宋体" w:cs="宋体"/>
          <w:color w:val="auto"/>
          <w:highlight w:val="none"/>
        </w:rPr>
      </w:pPr>
      <w:bookmarkStart w:id="1202" w:name="_Toc522201674"/>
      <w:bookmarkStart w:id="1203" w:name="_Toc351203585"/>
      <w:bookmarkStart w:id="1204" w:name="_Toc31285"/>
      <w:bookmarkStart w:id="1205" w:name="_Toc10841"/>
      <w:bookmarkStart w:id="1206" w:name="_Toc18879"/>
      <w:bookmarkStart w:id="1207" w:name="_Toc27927"/>
      <w:bookmarkStart w:id="1208" w:name="_Toc7642"/>
      <w:bookmarkStart w:id="1209" w:name="_Toc256000123"/>
      <w:r>
        <w:rPr>
          <w:rFonts w:hint="eastAsia" w:ascii="宋体" w:cs="宋体"/>
          <w:color w:val="auto"/>
          <w:highlight w:val="none"/>
        </w:rPr>
        <w:t>12.5支付账户</w:t>
      </w:r>
      <w:bookmarkEnd w:id="1202"/>
      <w:bookmarkEnd w:id="1203"/>
      <w:bookmarkEnd w:id="1204"/>
      <w:bookmarkEnd w:id="1205"/>
      <w:bookmarkEnd w:id="1206"/>
      <w:bookmarkEnd w:id="1207"/>
      <w:bookmarkEnd w:id="1208"/>
      <w:bookmarkEnd w:id="1209"/>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发包人应将合同价款支付至合同协议书中约定的承包人账户。</w:t>
      </w:r>
    </w:p>
    <w:p>
      <w:pPr>
        <w:pStyle w:val="21"/>
        <w:spacing w:line="360" w:lineRule="auto"/>
        <w:rPr>
          <w:rFonts w:ascii="宋体" w:cs="宋体"/>
          <w:color w:val="auto"/>
          <w:highlight w:val="none"/>
        </w:rPr>
      </w:pPr>
      <w:bookmarkStart w:id="1210" w:name="_Toc20257"/>
      <w:bookmarkStart w:id="1211" w:name="_Toc26222"/>
      <w:bookmarkStart w:id="1212" w:name="_Toc522201675"/>
      <w:bookmarkStart w:id="1213" w:name="_Toc351203586"/>
      <w:bookmarkStart w:id="1214" w:name="_Toc256000124"/>
      <w:bookmarkStart w:id="1215" w:name="_Toc3228"/>
      <w:bookmarkStart w:id="1216" w:name="_Toc30853"/>
      <w:bookmarkStart w:id="1217" w:name="_Toc1335"/>
      <w:bookmarkStart w:id="1218" w:name="_Toc296503106"/>
      <w:bookmarkStart w:id="1219" w:name="_Toc337558804"/>
      <w:bookmarkStart w:id="1220" w:name="_Toc296346607"/>
      <w:bookmarkStart w:id="1221" w:name="_Toc322522574"/>
      <w:r>
        <w:rPr>
          <w:rFonts w:hint="eastAsia" w:ascii="宋体" w:cs="宋体"/>
          <w:color w:val="auto"/>
          <w:highlight w:val="none"/>
        </w:rPr>
        <w:t>13. 验收和工程试车</w:t>
      </w:r>
      <w:bookmarkEnd w:id="1210"/>
      <w:bookmarkEnd w:id="1211"/>
      <w:bookmarkEnd w:id="1212"/>
      <w:bookmarkEnd w:id="1213"/>
      <w:bookmarkEnd w:id="1214"/>
      <w:bookmarkEnd w:id="1215"/>
      <w:bookmarkEnd w:id="1216"/>
      <w:bookmarkEnd w:id="1217"/>
    </w:p>
    <w:bookmarkEnd w:id="1218"/>
    <w:bookmarkEnd w:id="1219"/>
    <w:bookmarkEnd w:id="1220"/>
    <w:bookmarkEnd w:id="1221"/>
    <w:p>
      <w:pPr>
        <w:pStyle w:val="21"/>
        <w:spacing w:line="360" w:lineRule="auto"/>
        <w:ind w:firstLine="422" w:firstLineChars="200"/>
        <w:rPr>
          <w:rFonts w:ascii="宋体" w:cs="宋体"/>
          <w:color w:val="auto"/>
          <w:highlight w:val="none"/>
        </w:rPr>
      </w:pPr>
      <w:bookmarkStart w:id="1222" w:name="_Toc522201676"/>
      <w:bookmarkStart w:id="1223" w:name="_Toc3241"/>
      <w:bookmarkStart w:id="1224" w:name="_Toc18328"/>
      <w:bookmarkStart w:id="1225" w:name="_Toc351203587"/>
      <w:bookmarkStart w:id="1226" w:name="_Toc28157"/>
      <w:bookmarkStart w:id="1227" w:name="_Toc1377"/>
      <w:bookmarkStart w:id="1228" w:name="_Toc256000125"/>
      <w:bookmarkStart w:id="1229" w:name="_Toc27288"/>
      <w:bookmarkStart w:id="1230" w:name="_Toc337558805"/>
      <w:bookmarkStart w:id="1231" w:name="_Toc296346611"/>
      <w:bookmarkStart w:id="1232" w:name="_Toc296503110"/>
      <w:r>
        <w:rPr>
          <w:rFonts w:hint="eastAsia" w:ascii="宋体" w:cs="宋体"/>
          <w:color w:val="auto"/>
          <w:highlight w:val="none"/>
        </w:rPr>
        <w:t>13.1分部分项工程验收</w:t>
      </w:r>
      <w:bookmarkEnd w:id="1222"/>
      <w:bookmarkEnd w:id="1223"/>
      <w:bookmarkEnd w:id="1224"/>
      <w:bookmarkEnd w:id="1225"/>
      <w:bookmarkEnd w:id="1226"/>
      <w:bookmarkEnd w:id="1227"/>
      <w:bookmarkEnd w:id="1228"/>
      <w:bookmarkEnd w:id="1229"/>
    </w:p>
    <w:bookmarkEnd w:id="1230"/>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13.1.1 分部分项工程质量应符合国家有关工程施工验收规范、标准及合同约定，承包人应按照施工组织设计的要求完成分部分项工程施工。</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13.1.2 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分部分项工程的验收资料应当作为竣工资料的组成部分。</w:t>
      </w:r>
    </w:p>
    <w:p>
      <w:pPr>
        <w:pStyle w:val="21"/>
        <w:spacing w:line="360" w:lineRule="auto"/>
        <w:ind w:firstLine="422" w:firstLineChars="200"/>
        <w:rPr>
          <w:rFonts w:ascii="宋体" w:cs="宋体"/>
          <w:color w:val="auto"/>
          <w:highlight w:val="none"/>
        </w:rPr>
      </w:pPr>
      <w:bookmarkStart w:id="1233" w:name="_Toc522201677"/>
      <w:bookmarkStart w:id="1234" w:name="_Toc256000126"/>
      <w:bookmarkStart w:id="1235" w:name="_Toc10875"/>
      <w:bookmarkStart w:id="1236" w:name="_Toc27154"/>
      <w:bookmarkStart w:id="1237" w:name="_Toc5509"/>
      <w:bookmarkStart w:id="1238" w:name="_Toc30151"/>
      <w:bookmarkStart w:id="1239" w:name="_Toc351203588"/>
      <w:bookmarkStart w:id="1240" w:name="_Toc21686"/>
      <w:bookmarkStart w:id="1241" w:name="_Toc337558806"/>
      <w:r>
        <w:rPr>
          <w:rFonts w:hint="eastAsia" w:ascii="宋体" w:cs="宋体"/>
          <w:color w:val="auto"/>
          <w:highlight w:val="none"/>
        </w:rPr>
        <w:t>13.2竣工验收</w:t>
      </w:r>
      <w:bookmarkEnd w:id="1233"/>
      <w:bookmarkEnd w:id="1234"/>
      <w:bookmarkEnd w:id="1235"/>
      <w:bookmarkEnd w:id="1236"/>
      <w:bookmarkEnd w:id="1237"/>
      <w:bookmarkEnd w:id="1238"/>
      <w:bookmarkEnd w:id="1239"/>
      <w:bookmarkEnd w:id="1240"/>
    </w:p>
    <w:bookmarkEnd w:id="1231"/>
    <w:bookmarkEnd w:id="1232"/>
    <w:bookmarkEnd w:id="1241"/>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13.2.1竣工验收条件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工程具备以下条件的，承包人可以申请竣工验收：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（1）除发包人同意的甩项工作和缺陷修补工作外，合同范围内的全部工程以及有关工作，包括合同要求的试验、试运行以及检验均已完成，并符合合同要求；</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（2）已按合同约定编制了甩项工作和缺陷修补工作清单以及相应的施工计划；</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（3）已按合同约定的内容和份数备齐竣工资料。</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13.2.2竣工验收程序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除专用合同条款另有约定外，承包人申请竣工验收的，应当按照以下程序进行：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（3）竣工验收合格的，发包人应在验收合格后14天内向承包人签发工程接收证书。发包人无正当理由逾期不颁发工程接收证书的，自验收合格后第15天起视为已颁发工程接收证书。</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（5）工程未经验收或验收不合格，发包人擅自使用的，应在转移占有工程后7天内向承包人颁发工程接收证书；发包人无正当理由逾期不颁发工程接收证书的，自转移占有后第15天起视为已颁发工程接收证书。</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除专用合同条款另有约定外，发包人不按照本项约定组织竣工验收、颁发工程接收证书的，每逾期一天，应以签约合同价为基数，按照中国人民银行发布的同期同类贷款基准利率支付违约金。</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13.2.3竣工日期</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w:t>
      </w:r>
      <w:bookmarkStart w:id="1242" w:name="#go14"/>
      <w:bookmarkEnd w:id="1242"/>
      <w:r>
        <w:rPr>
          <w:rFonts w:hint="eastAsia" w:ascii="宋体" w:hAnsi="宋体" w:cs="宋体"/>
          <w:color w:val="auto"/>
          <w:kern w:val="0"/>
          <w:szCs w:val="21"/>
          <w:highlight w:val="none"/>
        </w:rPr>
        <w:t>收申请报告的日期为实际竣工日期；工程未经竣工验收，发包人擅自使用的，以转移占有工程之日为实际竣工日期。</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13.2.4 拒绝接收全部或部分工程</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13.2.5 移交、接收全部与部分工程</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除专用合同条款另有约定外，合同当事人应当在颁发工程接收证书后7天内完成工程的移交。</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发包人无正当理由不接收工程的，发包人自应当接收工程之日起，承担工程照管、成品保护、保管等与工程有关的各项费用，合同当事人可以在专用合同条款中另行约定发包人逾期接收工程的违约责任。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承包人无正当理由不移交工程的，承包人应承担工程照管、成品保护、保管等与工程有关的各项费用，合同当事人可以在专用合同条款中另行约定承包人无正当理由不移交工程的违约责任。</w:t>
      </w:r>
    </w:p>
    <w:p>
      <w:pPr>
        <w:pStyle w:val="21"/>
        <w:spacing w:line="360" w:lineRule="auto"/>
        <w:ind w:firstLine="422" w:firstLineChars="200"/>
        <w:rPr>
          <w:rFonts w:ascii="宋体" w:cs="宋体"/>
          <w:color w:val="auto"/>
          <w:highlight w:val="none"/>
        </w:rPr>
      </w:pPr>
      <w:bookmarkStart w:id="1243" w:name="_Toc25833"/>
      <w:bookmarkStart w:id="1244" w:name="_Toc32274"/>
      <w:bookmarkStart w:id="1245" w:name="_Toc522201678"/>
      <w:bookmarkStart w:id="1246" w:name="_Toc256000127"/>
      <w:bookmarkStart w:id="1247" w:name="_Toc32146"/>
      <w:bookmarkStart w:id="1248" w:name="_Toc30374"/>
      <w:bookmarkStart w:id="1249" w:name="_Toc351203589"/>
      <w:bookmarkStart w:id="1250" w:name="_Toc1517"/>
      <w:bookmarkStart w:id="1251" w:name="_Toc296503111"/>
      <w:bookmarkStart w:id="1252" w:name="_Toc337558807"/>
      <w:bookmarkStart w:id="1253" w:name="_Toc296346612"/>
      <w:r>
        <w:rPr>
          <w:rFonts w:hint="eastAsia" w:ascii="宋体" w:cs="宋体"/>
          <w:color w:val="auto"/>
          <w:highlight w:val="none"/>
        </w:rPr>
        <w:t>13.3工程试车</w:t>
      </w:r>
      <w:bookmarkEnd w:id="1243"/>
      <w:bookmarkEnd w:id="1244"/>
      <w:bookmarkEnd w:id="1245"/>
      <w:bookmarkEnd w:id="1246"/>
      <w:bookmarkEnd w:id="1247"/>
      <w:bookmarkEnd w:id="1248"/>
      <w:bookmarkEnd w:id="1249"/>
      <w:bookmarkEnd w:id="1250"/>
    </w:p>
    <w:bookmarkEnd w:id="1251"/>
    <w:bookmarkEnd w:id="1252"/>
    <w:bookmarkEnd w:id="1253"/>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13.3.1试车程序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工程需要试车的，除专用合同条款另有约定外，试车内容应与承包人承包范围相一致，试车费用由承包人承担。工程试车应按如下程序进行：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13.3.2 试车中的责任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13.3.3 投料试车</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如需进行投料试车的，发包人应在工程竣工验收后组织投料试车。发包人要求在工程竣工验收前进行或需要承包人配合时，应征得承包人同意，并在专用合同条款中约定有关事项。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pStyle w:val="21"/>
        <w:spacing w:line="360" w:lineRule="auto"/>
        <w:ind w:firstLine="422" w:firstLineChars="200"/>
        <w:rPr>
          <w:rFonts w:ascii="宋体" w:cs="宋体"/>
          <w:b w:val="0"/>
          <w:color w:val="auto"/>
          <w:highlight w:val="none"/>
        </w:rPr>
      </w:pPr>
      <w:bookmarkStart w:id="1254" w:name="_Toc522201679"/>
      <w:bookmarkStart w:id="1255" w:name="_Toc256000128"/>
      <w:bookmarkStart w:id="1256" w:name="_Toc22768"/>
      <w:bookmarkStart w:id="1257" w:name="_Toc14115"/>
      <w:bookmarkStart w:id="1258" w:name="_Toc21006"/>
      <w:bookmarkStart w:id="1259" w:name="_Toc28613"/>
      <w:bookmarkStart w:id="1260" w:name="_Toc4210"/>
      <w:bookmarkStart w:id="1261" w:name="_Toc351203590"/>
      <w:bookmarkStart w:id="1262" w:name="_Toc337558808"/>
      <w:r>
        <w:rPr>
          <w:rFonts w:hint="eastAsia" w:ascii="宋体" w:cs="宋体"/>
          <w:color w:val="auto"/>
          <w:highlight w:val="none"/>
        </w:rPr>
        <w:t>13.4提前交付单位工程的验收</w:t>
      </w:r>
      <w:bookmarkEnd w:id="1254"/>
      <w:bookmarkEnd w:id="1255"/>
      <w:bookmarkEnd w:id="1256"/>
      <w:bookmarkEnd w:id="1257"/>
      <w:bookmarkEnd w:id="1258"/>
      <w:bookmarkEnd w:id="1259"/>
      <w:bookmarkEnd w:id="1260"/>
      <w:bookmarkEnd w:id="1261"/>
    </w:p>
    <w:bookmarkEnd w:id="1262"/>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13.4.1 发包人需要在工程竣工前使用单位工程的，或承包人提出提前交付已经竣工的单位工程且经发包人同意的，可进行单位工程验收，验收的程序按照第13.2款〔竣工验收〕的约定进行。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验收合格后，由监理人向承包人出具经发包人签认的单位工程接收证书。已签发单位工程接收证书的单位工程由发包人负责照管。单位工程的验收成果和结论作为整体工程竣工验收申请报告的附件。</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13.4.2 发包人要求在工程竣工前交付单位工程，由此导致承包人费用增加和（或）工期延误的，由发包人承担由此增加的费用和（或）延误的工期，并支付承包人合理的利润。</w:t>
      </w:r>
    </w:p>
    <w:p>
      <w:pPr>
        <w:pStyle w:val="21"/>
        <w:spacing w:line="360" w:lineRule="auto"/>
        <w:ind w:firstLine="422" w:firstLineChars="200"/>
        <w:rPr>
          <w:rFonts w:ascii="宋体" w:cs="宋体"/>
          <w:color w:val="auto"/>
          <w:highlight w:val="none"/>
        </w:rPr>
      </w:pPr>
      <w:bookmarkStart w:id="1263" w:name="_Toc522201680"/>
      <w:bookmarkStart w:id="1264" w:name="_Toc256000129"/>
      <w:bookmarkStart w:id="1265" w:name="_Toc13559"/>
      <w:bookmarkStart w:id="1266" w:name="_Toc2164"/>
      <w:bookmarkStart w:id="1267" w:name="_Toc26740"/>
      <w:bookmarkStart w:id="1268" w:name="_Toc8899"/>
      <w:bookmarkStart w:id="1269" w:name="_Toc9282"/>
      <w:bookmarkStart w:id="1270" w:name="_Toc351203591"/>
      <w:r>
        <w:rPr>
          <w:rFonts w:hint="eastAsia" w:ascii="宋体" w:cs="宋体"/>
          <w:color w:val="auto"/>
          <w:highlight w:val="none"/>
        </w:rPr>
        <w:t>13.5 施工期运行</w:t>
      </w:r>
      <w:bookmarkEnd w:id="1263"/>
      <w:bookmarkEnd w:id="1264"/>
      <w:bookmarkEnd w:id="1265"/>
      <w:bookmarkEnd w:id="1266"/>
      <w:bookmarkEnd w:id="1267"/>
      <w:bookmarkEnd w:id="1268"/>
      <w:bookmarkEnd w:id="1269"/>
      <w:bookmarkEnd w:id="1270"/>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13.5.2 在施工期运行中发现工程或工程设备损坏或存在缺陷的，由承包人按第15.2款〔缺陷责任期〕约定进行修复。</w:t>
      </w:r>
    </w:p>
    <w:p>
      <w:pPr>
        <w:pStyle w:val="21"/>
        <w:spacing w:line="360" w:lineRule="auto"/>
        <w:ind w:firstLine="422" w:firstLineChars="200"/>
        <w:rPr>
          <w:rFonts w:ascii="宋体" w:cs="宋体"/>
          <w:color w:val="auto"/>
          <w:highlight w:val="none"/>
        </w:rPr>
      </w:pPr>
      <w:bookmarkStart w:id="1271" w:name="_Toc296503112"/>
      <w:bookmarkStart w:id="1272" w:name="_Toc296346613"/>
      <w:bookmarkStart w:id="1273" w:name="_Toc21485"/>
      <w:bookmarkStart w:id="1274" w:name="_Toc522201681"/>
      <w:bookmarkStart w:id="1275" w:name="_Toc28125"/>
      <w:bookmarkStart w:id="1276" w:name="_Toc351203592"/>
      <w:bookmarkStart w:id="1277" w:name="_Toc2851"/>
      <w:bookmarkStart w:id="1278" w:name="_Toc7277"/>
      <w:bookmarkStart w:id="1279" w:name="_Toc20598"/>
      <w:bookmarkStart w:id="1280" w:name="_Toc256000130"/>
      <w:bookmarkStart w:id="1281" w:name="_Toc337558809"/>
      <w:r>
        <w:rPr>
          <w:rFonts w:hint="eastAsia" w:ascii="宋体" w:cs="宋体"/>
          <w:color w:val="auto"/>
          <w:highlight w:val="none"/>
        </w:rPr>
        <w:t>13.6 竣工退</w:t>
      </w:r>
      <w:bookmarkEnd w:id="1271"/>
      <w:bookmarkEnd w:id="1272"/>
      <w:r>
        <w:rPr>
          <w:rFonts w:hint="eastAsia" w:ascii="宋体" w:cs="宋体"/>
          <w:color w:val="auto"/>
          <w:highlight w:val="none"/>
        </w:rPr>
        <w:t>场</w:t>
      </w:r>
      <w:bookmarkEnd w:id="1273"/>
      <w:bookmarkEnd w:id="1274"/>
      <w:bookmarkEnd w:id="1275"/>
      <w:bookmarkEnd w:id="1276"/>
      <w:bookmarkEnd w:id="1277"/>
      <w:bookmarkEnd w:id="1278"/>
      <w:bookmarkEnd w:id="1279"/>
      <w:bookmarkEnd w:id="1280"/>
    </w:p>
    <w:bookmarkEnd w:id="1281"/>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13.6.1 竣工退场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颁发工程接收证书后，承包人应按以下要求对施工现场进行清理：</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（1）施工现场内残留的垃圾已全部清除出场；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（2）临时工程已拆除，场地已进行清理、平整或复原；</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（3）按合同约定应撤离的人员、承包人施工设备和剩余的材料，包括废弃的施工设备和材料，已按计划撤离施工现场；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（4）施工现场周边及其附近道路、河道的施工堆积物，已全部清理；</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（5）施工现场其他场地清理工作已全部完成。</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13.6.2 地表还原</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21"/>
        <w:spacing w:line="360" w:lineRule="auto"/>
        <w:rPr>
          <w:rFonts w:ascii="宋体" w:cs="宋体"/>
          <w:color w:val="auto"/>
          <w:highlight w:val="none"/>
        </w:rPr>
      </w:pPr>
      <w:bookmarkStart w:id="1282" w:name="_Toc14470"/>
      <w:bookmarkStart w:id="1283" w:name="_Toc3359"/>
      <w:bookmarkStart w:id="1284" w:name="_Toc1074"/>
      <w:bookmarkStart w:id="1285" w:name="_Toc522201682"/>
      <w:bookmarkStart w:id="1286" w:name="_Toc351203593"/>
      <w:bookmarkStart w:id="1287" w:name="_Toc25308"/>
      <w:bookmarkStart w:id="1288" w:name="_Toc256000131"/>
      <w:bookmarkStart w:id="1289" w:name="_Toc28442"/>
      <w:bookmarkStart w:id="1290" w:name="_Toc337558810"/>
      <w:bookmarkStart w:id="1291" w:name="_Toc296503113"/>
      <w:bookmarkStart w:id="1292" w:name="_Toc296346614"/>
      <w:r>
        <w:rPr>
          <w:rFonts w:hint="eastAsia" w:ascii="宋体" w:cs="宋体"/>
          <w:color w:val="auto"/>
          <w:highlight w:val="none"/>
        </w:rPr>
        <w:t>14. 竣工结算</w:t>
      </w:r>
      <w:bookmarkEnd w:id="1282"/>
      <w:bookmarkEnd w:id="1283"/>
      <w:bookmarkEnd w:id="1284"/>
      <w:bookmarkEnd w:id="1285"/>
      <w:bookmarkEnd w:id="1286"/>
      <w:bookmarkEnd w:id="1287"/>
      <w:bookmarkEnd w:id="1288"/>
      <w:bookmarkEnd w:id="1289"/>
    </w:p>
    <w:bookmarkEnd w:id="1290"/>
    <w:p>
      <w:pPr>
        <w:pStyle w:val="21"/>
        <w:spacing w:line="360" w:lineRule="auto"/>
        <w:ind w:firstLine="422" w:firstLineChars="200"/>
        <w:rPr>
          <w:rFonts w:ascii="宋体" w:cs="宋体"/>
          <w:color w:val="auto"/>
          <w:highlight w:val="none"/>
        </w:rPr>
      </w:pPr>
      <w:bookmarkStart w:id="1293" w:name="_Toc256000132"/>
      <w:bookmarkStart w:id="1294" w:name="_Toc522201683"/>
      <w:bookmarkStart w:id="1295" w:name="_Toc13496"/>
      <w:bookmarkStart w:id="1296" w:name="_Toc16363"/>
      <w:bookmarkStart w:id="1297" w:name="_Toc10454"/>
      <w:bookmarkStart w:id="1298" w:name="_Toc351203594"/>
      <w:bookmarkStart w:id="1299" w:name="_Toc24386"/>
      <w:bookmarkStart w:id="1300" w:name="_Toc11182"/>
      <w:bookmarkStart w:id="1301" w:name="_Toc337558811"/>
      <w:r>
        <w:rPr>
          <w:rFonts w:hint="eastAsia" w:ascii="宋体" w:cs="宋体"/>
          <w:color w:val="auto"/>
          <w:highlight w:val="none"/>
        </w:rPr>
        <w:t>14.1 竣工结算申请</w:t>
      </w:r>
      <w:bookmarkEnd w:id="1293"/>
      <w:bookmarkEnd w:id="1294"/>
      <w:bookmarkEnd w:id="1295"/>
      <w:bookmarkEnd w:id="1296"/>
      <w:bookmarkEnd w:id="1297"/>
      <w:bookmarkEnd w:id="1298"/>
      <w:bookmarkEnd w:id="1299"/>
      <w:bookmarkEnd w:id="1300"/>
    </w:p>
    <w:bookmarkEnd w:id="1301"/>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除专用合同条款另有约定外，竣工结算申请单应包括以下内容：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（1）竣工结算合同价格；</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（2）发包人已支付承包人的款项；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（3）应扣留的质量保证金。 </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（4）发包人应支付承包人的合同价款。</w:t>
      </w:r>
    </w:p>
    <w:p>
      <w:pPr>
        <w:pStyle w:val="21"/>
        <w:spacing w:line="360" w:lineRule="auto"/>
        <w:ind w:firstLine="422" w:firstLineChars="200"/>
        <w:rPr>
          <w:rFonts w:ascii="宋体" w:cs="宋体"/>
          <w:color w:val="auto"/>
          <w:highlight w:val="none"/>
        </w:rPr>
      </w:pPr>
      <w:bookmarkStart w:id="1302" w:name="_Toc15872"/>
      <w:bookmarkStart w:id="1303" w:name="_Toc31079"/>
      <w:bookmarkStart w:id="1304" w:name="_Toc16262"/>
      <w:bookmarkStart w:id="1305" w:name="_Toc351203595"/>
      <w:bookmarkStart w:id="1306" w:name="_Toc256000133"/>
      <w:bookmarkStart w:id="1307" w:name="_Toc522201684"/>
      <w:bookmarkStart w:id="1308" w:name="_Toc12679"/>
      <w:bookmarkStart w:id="1309" w:name="_Toc6584"/>
      <w:bookmarkStart w:id="1310" w:name="_Toc337558812"/>
      <w:r>
        <w:rPr>
          <w:rFonts w:hint="eastAsia" w:ascii="宋体" w:cs="宋体"/>
          <w:color w:val="auto"/>
          <w:highlight w:val="none"/>
        </w:rPr>
        <w:t>14.2 竣工结算审核</w:t>
      </w:r>
      <w:bookmarkEnd w:id="1302"/>
      <w:bookmarkEnd w:id="1303"/>
      <w:bookmarkEnd w:id="1304"/>
      <w:bookmarkEnd w:id="1305"/>
      <w:bookmarkEnd w:id="1306"/>
      <w:bookmarkEnd w:id="1307"/>
      <w:bookmarkEnd w:id="1308"/>
      <w:bookmarkEnd w:id="1309"/>
    </w:p>
    <w:bookmarkEnd w:id="1310"/>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pPr>
        <w:pStyle w:val="21"/>
        <w:spacing w:line="360" w:lineRule="auto"/>
        <w:ind w:firstLine="422" w:firstLineChars="200"/>
        <w:rPr>
          <w:rFonts w:ascii="宋体" w:cs="宋体"/>
          <w:color w:val="auto"/>
          <w:highlight w:val="none"/>
        </w:rPr>
      </w:pPr>
      <w:bookmarkStart w:id="1311" w:name="_Toc30275"/>
      <w:bookmarkStart w:id="1312" w:name="_Toc18949"/>
      <w:bookmarkStart w:id="1313" w:name="_Toc29355"/>
      <w:bookmarkStart w:id="1314" w:name="_Toc351203596"/>
      <w:bookmarkStart w:id="1315" w:name="_Toc25663"/>
      <w:bookmarkStart w:id="1316" w:name="_Toc29958"/>
      <w:bookmarkStart w:id="1317" w:name="_Toc256000134"/>
      <w:bookmarkStart w:id="1318" w:name="_Toc522201685"/>
      <w:bookmarkStart w:id="1319" w:name="_Toc337558813"/>
      <w:r>
        <w:rPr>
          <w:rFonts w:hint="eastAsia" w:ascii="宋体" w:cs="宋体"/>
          <w:color w:val="auto"/>
          <w:highlight w:val="none"/>
        </w:rPr>
        <w:t>14.3 甩项竣工协议</w:t>
      </w:r>
      <w:bookmarkEnd w:id="1311"/>
      <w:bookmarkEnd w:id="1312"/>
      <w:bookmarkEnd w:id="1313"/>
      <w:bookmarkEnd w:id="1314"/>
      <w:bookmarkEnd w:id="1315"/>
      <w:bookmarkEnd w:id="1316"/>
      <w:bookmarkEnd w:id="1317"/>
      <w:bookmarkEnd w:id="1318"/>
    </w:p>
    <w:bookmarkEnd w:id="1319"/>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要求甩项竣工的，合同当事人应签订甩项竣工协议。在甩项竣工协议中应明确，合同当事人按照第14.1款〔竣工结算申请〕及14.2款〔竣工结算审核〕的约定，对已完合格工程进行结算，并支付相应合同价款。</w:t>
      </w:r>
    </w:p>
    <w:p>
      <w:pPr>
        <w:pStyle w:val="21"/>
        <w:spacing w:line="360" w:lineRule="auto"/>
        <w:ind w:firstLine="422" w:firstLineChars="200"/>
        <w:rPr>
          <w:rFonts w:ascii="宋体" w:cs="宋体"/>
          <w:color w:val="auto"/>
          <w:highlight w:val="none"/>
        </w:rPr>
      </w:pPr>
      <w:bookmarkStart w:id="1320" w:name="_Toc522201686"/>
      <w:bookmarkStart w:id="1321" w:name="_Toc256000135"/>
      <w:bookmarkStart w:id="1322" w:name="_Toc114"/>
      <w:bookmarkStart w:id="1323" w:name="_Toc30254"/>
      <w:bookmarkStart w:id="1324" w:name="_Toc4768"/>
      <w:bookmarkStart w:id="1325" w:name="_Toc351203597"/>
      <w:bookmarkStart w:id="1326" w:name="_Toc24169"/>
      <w:bookmarkStart w:id="1327" w:name="_Toc11287"/>
      <w:bookmarkStart w:id="1328" w:name="_Toc337558814"/>
      <w:r>
        <w:rPr>
          <w:rFonts w:hint="eastAsia" w:ascii="宋体" w:cs="宋体"/>
          <w:color w:val="auto"/>
          <w:highlight w:val="none"/>
        </w:rPr>
        <w:t>14.4 最终结清</w:t>
      </w:r>
      <w:bookmarkEnd w:id="1320"/>
      <w:bookmarkEnd w:id="1321"/>
      <w:bookmarkEnd w:id="1322"/>
      <w:bookmarkEnd w:id="1323"/>
      <w:bookmarkEnd w:id="1324"/>
      <w:bookmarkEnd w:id="1325"/>
      <w:bookmarkEnd w:id="1326"/>
      <w:bookmarkEnd w:id="1327"/>
    </w:p>
    <w:bookmarkEnd w:id="1328"/>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14.4.1 最终结清申请单</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（1）除专用合同条款另有约定外，承包人应在缺陷责任期终止证书颁发后7天内，按专用合同条款约定的份数向发包人提交最终结清申请单，并提供相关证明材料。</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除专用合同条款另有约定外，最终结清申请单应列明质量保证金、应扣除的质量保证金、缺陷责任期内发生的增减费用。</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（2）发包人对最终结清申请单内容有异议的，有权要求承包人进行修正和提供补充资料，承包人应向发包人提交修正后的最终结清申请单。</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14.4.2 最终结清证书和支付</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（3）承包人对发包人颁发的最终结清证书有异议的，按第20条〔争议解决〕的约定办理。</w:t>
      </w:r>
    </w:p>
    <w:p>
      <w:pPr>
        <w:pStyle w:val="21"/>
        <w:spacing w:line="360" w:lineRule="auto"/>
        <w:rPr>
          <w:rFonts w:ascii="宋体" w:cs="宋体"/>
          <w:color w:val="auto"/>
          <w:highlight w:val="none"/>
        </w:rPr>
      </w:pPr>
      <w:bookmarkStart w:id="1329" w:name="_Toc26171"/>
      <w:bookmarkStart w:id="1330" w:name="_Toc22705"/>
      <w:bookmarkStart w:id="1331" w:name="_Toc522201687"/>
      <w:bookmarkStart w:id="1332" w:name="_Toc4454"/>
      <w:bookmarkStart w:id="1333" w:name="_Toc3804"/>
      <w:bookmarkStart w:id="1334" w:name="_Toc10735"/>
      <w:bookmarkStart w:id="1335" w:name="_Toc351203598"/>
      <w:bookmarkStart w:id="1336" w:name="_Toc256000136"/>
      <w:bookmarkStart w:id="1337" w:name="_Toc337558815"/>
      <w:r>
        <w:rPr>
          <w:rFonts w:hint="eastAsia" w:ascii="宋体" w:cs="宋体"/>
          <w:color w:val="auto"/>
          <w:highlight w:val="none"/>
        </w:rPr>
        <w:t>15. 缺陷责任与保修</w:t>
      </w:r>
      <w:bookmarkEnd w:id="1329"/>
      <w:bookmarkEnd w:id="1330"/>
      <w:bookmarkEnd w:id="1331"/>
      <w:bookmarkEnd w:id="1332"/>
      <w:bookmarkEnd w:id="1333"/>
      <w:bookmarkEnd w:id="1334"/>
      <w:bookmarkEnd w:id="1335"/>
      <w:bookmarkEnd w:id="1336"/>
    </w:p>
    <w:bookmarkEnd w:id="1291"/>
    <w:bookmarkEnd w:id="1292"/>
    <w:bookmarkEnd w:id="1337"/>
    <w:p>
      <w:pPr>
        <w:pStyle w:val="21"/>
        <w:spacing w:line="360" w:lineRule="auto"/>
        <w:ind w:firstLine="422" w:firstLineChars="200"/>
        <w:rPr>
          <w:rFonts w:ascii="宋体" w:cs="宋体"/>
          <w:color w:val="auto"/>
          <w:highlight w:val="none"/>
        </w:rPr>
      </w:pPr>
      <w:bookmarkStart w:id="1338" w:name="_Toc18664"/>
      <w:bookmarkStart w:id="1339" w:name="_Toc256000137"/>
      <w:bookmarkStart w:id="1340" w:name="_Toc22752"/>
      <w:bookmarkStart w:id="1341" w:name="_Toc31012"/>
      <w:bookmarkStart w:id="1342" w:name="_Toc351203599"/>
      <w:bookmarkStart w:id="1343" w:name="_Toc3425"/>
      <w:bookmarkStart w:id="1344" w:name="_Toc522201688"/>
      <w:bookmarkStart w:id="1345" w:name="_Toc26133"/>
      <w:bookmarkStart w:id="1346" w:name="_Toc337558816"/>
      <w:bookmarkStart w:id="1347" w:name="_Toc296503114"/>
      <w:bookmarkStart w:id="1348" w:name="_Toc296346615"/>
      <w:r>
        <w:rPr>
          <w:rFonts w:hint="eastAsia" w:ascii="宋体" w:cs="宋体"/>
          <w:color w:val="auto"/>
          <w:highlight w:val="none"/>
        </w:rPr>
        <w:t>15.1 工程保修的原则</w:t>
      </w:r>
      <w:bookmarkEnd w:id="1338"/>
      <w:bookmarkEnd w:id="1339"/>
      <w:bookmarkEnd w:id="1340"/>
      <w:bookmarkEnd w:id="1341"/>
      <w:bookmarkEnd w:id="1342"/>
      <w:bookmarkEnd w:id="1343"/>
      <w:bookmarkEnd w:id="1344"/>
      <w:bookmarkEnd w:id="1345"/>
    </w:p>
    <w:bookmarkEnd w:id="1346"/>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在工程移交发包人后，因承包人原因产生的质量缺陷，承包人应承担质量缺陷责任和保修义务。缺陷责任期届满，承包人仍应按合同约定的工程各部位保修年限承担保修义务。</w:t>
      </w:r>
    </w:p>
    <w:p>
      <w:pPr>
        <w:pStyle w:val="21"/>
        <w:spacing w:line="360" w:lineRule="auto"/>
        <w:ind w:firstLine="422" w:firstLineChars="200"/>
        <w:rPr>
          <w:rFonts w:ascii="宋体" w:cs="宋体"/>
          <w:color w:val="auto"/>
          <w:highlight w:val="none"/>
        </w:rPr>
      </w:pPr>
      <w:bookmarkStart w:id="1349" w:name="_Toc21132"/>
      <w:bookmarkStart w:id="1350" w:name="_Toc256000138"/>
      <w:bookmarkStart w:id="1351" w:name="_Toc351203600"/>
      <w:bookmarkStart w:id="1352" w:name="_Toc522201689"/>
      <w:bookmarkStart w:id="1353" w:name="_Toc23373"/>
      <w:bookmarkStart w:id="1354" w:name="_Toc11730"/>
      <w:bookmarkStart w:id="1355" w:name="_Toc39"/>
      <w:bookmarkStart w:id="1356" w:name="_Toc5909"/>
      <w:bookmarkStart w:id="1357" w:name="_Toc337558817"/>
      <w:r>
        <w:rPr>
          <w:rFonts w:hint="eastAsia" w:ascii="宋体" w:cs="宋体"/>
          <w:color w:val="auto"/>
          <w:highlight w:val="none"/>
        </w:rPr>
        <w:t>15.2 缺陷责任期</w:t>
      </w:r>
      <w:bookmarkEnd w:id="1347"/>
      <w:bookmarkEnd w:id="1348"/>
      <w:bookmarkEnd w:id="1349"/>
      <w:bookmarkEnd w:id="1350"/>
      <w:bookmarkEnd w:id="1351"/>
      <w:bookmarkEnd w:id="1352"/>
      <w:bookmarkEnd w:id="1353"/>
      <w:bookmarkEnd w:id="1354"/>
      <w:bookmarkEnd w:id="1355"/>
      <w:bookmarkEnd w:id="1356"/>
    </w:p>
    <w:bookmarkEnd w:id="1357"/>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15.2.1 缺陷责任期从工程通过竣工验收之日起计算，合同当事人应在专用合同条款约定缺陷责任期的具体期限，但该期限最长不超过24个月。</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15.2.2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发包人有权要求承包人延长缺陷责任期，并应在原缺陷责任期届满前发出延长通知。但缺陷责任期（含延长部分）最长不能超过24个月。</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由他人原因造成的缺陷，发包人负责组织维修，承包人不承担费用，且发包人不得从保证金中扣除费用。</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15.2.3 任何一项缺陷或损坏修复后，经检查证明其影响了工程或工程设备的使用性能，承包人应重新进行合同约定的试验和试运行，试验和试运行的全部费用应由责任方承担。</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15.2.4 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pStyle w:val="21"/>
        <w:spacing w:line="360" w:lineRule="auto"/>
        <w:ind w:firstLine="422" w:firstLineChars="200"/>
        <w:rPr>
          <w:rFonts w:ascii="宋体" w:cs="宋体"/>
          <w:color w:val="auto"/>
          <w:highlight w:val="none"/>
        </w:rPr>
      </w:pPr>
      <w:bookmarkStart w:id="1358" w:name="_Toc7679"/>
      <w:bookmarkStart w:id="1359" w:name="_Toc256000139"/>
      <w:bookmarkStart w:id="1360" w:name="_Toc24034"/>
      <w:bookmarkStart w:id="1361" w:name="_Toc351203601"/>
      <w:bookmarkStart w:id="1362" w:name="_Toc6964"/>
      <w:bookmarkStart w:id="1363" w:name="_Toc522201690"/>
      <w:bookmarkStart w:id="1364" w:name="_Toc29707"/>
      <w:bookmarkStart w:id="1365" w:name="_Toc12266"/>
      <w:bookmarkStart w:id="1366" w:name="_Toc337558818"/>
      <w:bookmarkStart w:id="1367" w:name="_Toc296346616"/>
      <w:bookmarkStart w:id="1368" w:name="_Toc296503115"/>
      <w:r>
        <w:rPr>
          <w:rFonts w:hint="eastAsia" w:ascii="宋体" w:cs="宋体"/>
          <w:color w:val="auto"/>
          <w:highlight w:val="none"/>
        </w:rPr>
        <w:t>15.3 质量保证金</w:t>
      </w:r>
      <w:bookmarkEnd w:id="1358"/>
      <w:bookmarkEnd w:id="1359"/>
      <w:bookmarkEnd w:id="1360"/>
      <w:bookmarkEnd w:id="1361"/>
      <w:bookmarkEnd w:id="1362"/>
      <w:bookmarkEnd w:id="1363"/>
      <w:bookmarkEnd w:id="1364"/>
      <w:bookmarkEnd w:id="1365"/>
    </w:p>
    <w:bookmarkEnd w:id="1366"/>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经合同当事人协商一致扣留质量保证金的，应在专用合同条款中予以明确。</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15.3.1 承包人提供质量保证金的方式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承包人提供质量保证金有以下三种方式：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（1）质量保证金保函； </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（2）相应比例的工程款；</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（3）双方约定的其他方式。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除专用合同条款另有约定外，质量保证金原则上采用上述第（1）种方式。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15.3.2 质量保证金的扣留</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质量保证金的扣留有以下三种方式：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（1）在支付工程进度款时逐次扣留，在此情形下，质量保证金的计算基数不包括预付款的支付、扣回以及价格调整的金额；</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（2）工</w:t>
      </w:r>
      <w:bookmarkStart w:id="1369" w:name="#go6"/>
      <w:bookmarkEnd w:id="1369"/>
      <w:r>
        <w:rPr>
          <w:rFonts w:hint="eastAsia" w:ascii="宋体" w:hAnsi="宋体" w:cs="宋体"/>
          <w:color w:val="auto"/>
          <w:kern w:val="0"/>
          <w:szCs w:val="21"/>
          <w:highlight w:val="none"/>
        </w:rPr>
        <w:t>程竣工结算时一次性扣留质量保证金；</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（3）双方约定的其他扣留方式。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除专用合同条款另有约定外，质量保证金的扣留原则上采用上述第（1）种方式。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w:t>
      </w:r>
      <w:bookmarkStart w:id="1370" w:name="#go4"/>
      <w:bookmarkEnd w:id="1370"/>
      <w:r>
        <w:rPr>
          <w:rFonts w:hint="eastAsia" w:ascii="宋体" w:hAnsi="宋体" w:cs="宋体"/>
          <w:color w:val="auto"/>
          <w:kern w:val="0"/>
          <w:szCs w:val="21"/>
          <w:highlight w:val="none"/>
        </w:rPr>
        <w:t>包人累计扣留的质量保证金不得超过工程价款结算总额的3%。如承包人在发包人签发竣工付款证书后28天内提交质量保证金保函，发包人应同时退还扣留的作为质量保证金的工程价款；保函金额不得超过工程价款结算总额的3%。</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发包人在退还质量保证金的同时按照中国人民银行发布的同期同类贷款基准利率支付利息。</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15.3.3 质量保证金的退还</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缺陷责任期内，承包人认真履行合同约定的责任，到期后，承包人可向发包人申请返还保证金。</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发包人和承包人对保证金预留、返还以及工程维修质量、费用有争议的，按本合同第20条约定的争议和纠纷解决程序处理。</w:t>
      </w:r>
    </w:p>
    <w:p>
      <w:pPr>
        <w:pStyle w:val="21"/>
        <w:spacing w:line="360" w:lineRule="auto"/>
        <w:ind w:firstLine="422" w:firstLineChars="200"/>
        <w:rPr>
          <w:rFonts w:ascii="宋体" w:cs="宋体"/>
          <w:color w:val="auto"/>
          <w:highlight w:val="none"/>
        </w:rPr>
      </w:pPr>
      <w:bookmarkStart w:id="1371" w:name="_Toc26415"/>
      <w:bookmarkStart w:id="1372" w:name="_Toc23762"/>
      <w:bookmarkStart w:id="1373" w:name="_Toc11815"/>
      <w:bookmarkStart w:id="1374" w:name="_Toc31153"/>
      <w:bookmarkStart w:id="1375" w:name="_Toc522201691"/>
      <w:bookmarkStart w:id="1376" w:name="_Toc351203602"/>
      <w:bookmarkStart w:id="1377" w:name="_Toc256000140"/>
      <w:bookmarkStart w:id="1378" w:name="_Toc23973"/>
      <w:bookmarkStart w:id="1379" w:name="_Toc337558819"/>
      <w:r>
        <w:rPr>
          <w:rFonts w:hint="eastAsia" w:ascii="宋体" w:cs="宋体"/>
          <w:color w:val="auto"/>
          <w:highlight w:val="none"/>
        </w:rPr>
        <w:t>15.4 保修</w:t>
      </w:r>
      <w:bookmarkEnd w:id="1371"/>
      <w:bookmarkEnd w:id="1372"/>
      <w:bookmarkEnd w:id="1373"/>
      <w:bookmarkEnd w:id="1374"/>
      <w:bookmarkEnd w:id="1375"/>
      <w:bookmarkEnd w:id="1376"/>
      <w:bookmarkEnd w:id="1377"/>
      <w:bookmarkEnd w:id="1378"/>
    </w:p>
    <w:bookmarkEnd w:id="1367"/>
    <w:bookmarkEnd w:id="1368"/>
    <w:bookmarkEnd w:id="1379"/>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15.4.1保修责任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发包人未经竣工验收擅自使用工程的，保修期自转移占有之日起算。</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15.4.2 修复费用</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保修期内，修复的费用按照以下约定处理：</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（1）保修期内，因承包人原因造成工程的缺陷、损坏，承包人应负责修复，并承担修复的费用以及因工程的缺陷、损坏造成的人身伤害和财产损失；</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（2）保修期内，因发包人使用不当造成工程的缺陷、损坏，可以委托承包人修复，但发包人应承担修复的费用，并支付承包人合理利润；</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（3）因其他原因造成工程的缺陷、损坏，可以委托承包人修复，发包人应承担修复的费用，并支付承包人合理的利润，因工程的缺陷、损坏造成的人身伤害和财产损失由责任方承担。</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15.4.3 修复通知</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15.4.4 未能修复</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15.4.5 承包人出入权</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21"/>
        <w:spacing w:line="360" w:lineRule="auto"/>
        <w:rPr>
          <w:rFonts w:ascii="宋体" w:cs="宋体"/>
          <w:color w:val="auto"/>
          <w:highlight w:val="none"/>
        </w:rPr>
      </w:pPr>
      <w:bookmarkStart w:id="1380" w:name="_Toc14492"/>
      <w:bookmarkStart w:id="1381" w:name="_Toc1450"/>
      <w:bookmarkStart w:id="1382" w:name="_Toc1096"/>
      <w:bookmarkStart w:id="1383" w:name="_Toc1564"/>
      <w:bookmarkStart w:id="1384" w:name="_Toc2321"/>
      <w:bookmarkStart w:id="1385" w:name="_Toc351203603"/>
      <w:bookmarkStart w:id="1386" w:name="_Toc256000141"/>
      <w:bookmarkStart w:id="1387" w:name="_Toc522201692"/>
      <w:bookmarkStart w:id="1388" w:name="_Toc337558820"/>
      <w:r>
        <w:rPr>
          <w:rFonts w:hint="eastAsia" w:ascii="宋体" w:cs="宋体"/>
          <w:color w:val="auto"/>
          <w:highlight w:val="none"/>
        </w:rPr>
        <w:t>16. 违约</w:t>
      </w:r>
      <w:bookmarkEnd w:id="1380"/>
      <w:bookmarkEnd w:id="1381"/>
      <w:bookmarkEnd w:id="1382"/>
      <w:bookmarkEnd w:id="1383"/>
      <w:bookmarkEnd w:id="1384"/>
      <w:bookmarkEnd w:id="1385"/>
      <w:bookmarkEnd w:id="1386"/>
      <w:bookmarkEnd w:id="1387"/>
    </w:p>
    <w:bookmarkEnd w:id="1388"/>
    <w:p>
      <w:pPr>
        <w:pStyle w:val="21"/>
        <w:spacing w:line="360" w:lineRule="auto"/>
        <w:ind w:firstLine="422" w:firstLineChars="200"/>
        <w:rPr>
          <w:rFonts w:ascii="宋体" w:cs="宋体"/>
          <w:color w:val="auto"/>
          <w:highlight w:val="none"/>
        </w:rPr>
      </w:pPr>
      <w:bookmarkStart w:id="1389" w:name="_Toc296503129"/>
      <w:bookmarkStart w:id="1390" w:name="_Toc296346630"/>
      <w:bookmarkStart w:id="1391" w:name="_Toc15020"/>
      <w:bookmarkStart w:id="1392" w:name="_Toc22583"/>
      <w:bookmarkStart w:id="1393" w:name="_Toc351203604"/>
      <w:bookmarkStart w:id="1394" w:name="_Toc19402"/>
      <w:bookmarkStart w:id="1395" w:name="_Toc256000142"/>
      <w:bookmarkStart w:id="1396" w:name="_Toc28393"/>
      <w:bookmarkStart w:id="1397" w:name="_Toc522201693"/>
      <w:bookmarkStart w:id="1398" w:name="_Toc22539"/>
      <w:bookmarkStart w:id="1399" w:name="_Toc337558821"/>
      <w:r>
        <w:rPr>
          <w:rFonts w:hint="eastAsia" w:ascii="宋体" w:cs="宋体"/>
          <w:color w:val="auto"/>
          <w:highlight w:val="none"/>
        </w:rPr>
        <w:t>16.1 发</w:t>
      </w:r>
      <w:bookmarkEnd w:id="1389"/>
      <w:bookmarkEnd w:id="1390"/>
      <w:r>
        <w:rPr>
          <w:rFonts w:hint="eastAsia" w:ascii="宋体" w:cs="宋体"/>
          <w:color w:val="auto"/>
          <w:highlight w:val="none"/>
        </w:rPr>
        <w:t>包人违约</w:t>
      </w:r>
      <w:bookmarkEnd w:id="1391"/>
      <w:bookmarkEnd w:id="1392"/>
      <w:bookmarkEnd w:id="1393"/>
      <w:bookmarkEnd w:id="1394"/>
      <w:bookmarkEnd w:id="1395"/>
      <w:bookmarkEnd w:id="1396"/>
      <w:bookmarkEnd w:id="1397"/>
      <w:bookmarkEnd w:id="1398"/>
    </w:p>
    <w:bookmarkEnd w:id="1399"/>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16.1.1 发包人违约的情形</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在合同履行过程中发生的下列情形，属于发包人违约：</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（1）因发包人原因未能在计划开工日期前7天内下达开工通知的；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（2）因发包人原因未能按合同约定支付合同价款的；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（3）发包人违反第10.1款〔变更的范围〕第（2）项约定，自行实施被取消的工作或转由他人实施的；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（4）发包人提供的材料、工程设备的规格、数量或质量不符合合同约定，或因发包人原因导致交货日期延误或交货地点变更等情况的；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（5）因发包人违反合同约定造成暂停施工的；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（6）发包人无正当理由没有在约定期限内发出复工指示，导致承包人无法复工的；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（7）发包人明确表示或者以其行为表明不履行合同主要义务的；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（8）发包人未能按照合同约定履行其他义务的。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16.1.2 发包人违约的责任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发包人应承担因其违约给承包人增加的费用和（或）延误的工期，并支付承包人合理的利润。此外，合同当事人可在专用合同条款中另行约定发包人违约责任的承担方式和计算方法。</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16.1.3 因发包人违约解除合同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16.1.4 因发包人违约解除合同后的付款</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承包人按照本款约定解除合同的，发包人应在解除合同后28天内支付下列款项，并解除履约担保：</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（1）合同解除前所完成工作的价款；</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（2）承包人为工程施工订购并已付款的材料、工程设备和其他物品的价款；</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（3）承包人撤离施工现场以及遣散承包人人员的款项；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（4）按照合同约定在合同解除前应支付的违约金；</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（5）按照合同约定应当支付给承包人的其他款项；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（6）按照合同约定应退还的质量保证金；</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（7）因解除合同给承包人造成的损失。</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合同当事人未能就解除合同后的结清达成一致的，按照第20条〔争议解决〕的约定处理。</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承包人应妥善做好已完工程和与工程有关的已购材料、工程设备的保护和移交工作，并将施工设备和人员撤出施工现场，发包人应为承包人撤出提供必要条件。</w:t>
      </w:r>
    </w:p>
    <w:p>
      <w:pPr>
        <w:pStyle w:val="21"/>
        <w:spacing w:line="360" w:lineRule="auto"/>
        <w:ind w:firstLine="422" w:firstLineChars="200"/>
        <w:rPr>
          <w:rFonts w:ascii="宋体" w:cs="宋体"/>
          <w:color w:val="auto"/>
          <w:highlight w:val="none"/>
        </w:rPr>
      </w:pPr>
      <w:bookmarkStart w:id="1400" w:name="_Toc256000143"/>
      <w:bookmarkStart w:id="1401" w:name="_Toc522201694"/>
      <w:bookmarkStart w:id="1402" w:name="_Toc22238"/>
      <w:bookmarkStart w:id="1403" w:name="_Toc16007"/>
      <w:bookmarkStart w:id="1404" w:name="_Toc16864"/>
      <w:bookmarkStart w:id="1405" w:name="_Toc351203605"/>
      <w:bookmarkStart w:id="1406" w:name="_Toc14639"/>
      <w:bookmarkStart w:id="1407" w:name="_Toc32079"/>
      <w:bookmarkStart w:id="1408" w:name="_Toc337558822"/>
      <w:bookmarkStart w:id="1409" w:name="_Toc296503131"/>
      <w:bookmarkStart w:id="1410" w:name="_Toc296346632"/>
      <w:r>
        <w:rPr>
          <w:rFonts w:hint="eastAsia" w:ascii="宋体" w:cs="宋体"/>
          <w:color w:val="auto"/>
          <w:highlight w:val="none"/>
        </w:rPr>
        <w:t>16.2 承包人违约</w:t>
      </w:r>
      <w:bookmarkEnd w:id="1400"/>
      <w:bookmarkEnd w:id="1401"/>
      <w:bookmarkEnd w:id="1402"/>
      <w:bookmarkEnd w:id="1403"/>
      <w:bookmarkEnd w:id="1404"/>
      <w:bookmarkEnd w:id="1405"/>
      <w:bookmarkEnd w:id="1406"/>
      <w:bookmarkEnd w:id="1407"/>
    </w:p>
    <w:bookmarkEnd w:id="1408"/>
    <w:bookmarkEnd w:id="1409"/>
    <w:bookmarkEnd w:id="1410"/>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16.2.1 承包人违约的情形</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在合同履行过程中发生的下列情形，属于承包人违约：</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（1）承包人违反合同约定进行转包或违法分包的；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（2）承包人违反合同约定采购和使用不合格的材料和工程设备的；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（3）因承包人原因导致工程质量不符合合同要求的； </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（4）承包人违反第8.9款〔材料与设备专用要求〕的约定，未经批准，私自将已按照合同约定进入施工现场的材料或设备撤离施工现场的；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（5）承包人未能按施工进度计划及时完成合同约定的工作，造成工期延误的；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（6）承包人在缺陷责任期及保修期内，未能在合理期限对工程缺陷进行修复，或拒绝按发包人要求进行修复的；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（7）承包人明确表示或者以其行为表明不履行合同主要义务的；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（8）承包人未能按照合同约定履行其他义务的。</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承包人发生除本项第（7）目约定以外的其他违约情况时，监理人可向承包人发出整改通知，要求其在指定的期限内改正。</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16.2.2 承包人违约的责任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承包人应承担因其违约行为而增加的费用和（或）延误的工期。此外，合同当事人可在专用合同条款中另行约定承包人违约责任的承担方式和计算方法。</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16.2.3 因承包人违约解除合同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16.2.4因承包人违约解除合同后的处理</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因承包人原因导致合同解除的，则合同当事人应在合同解除后28天内完成估价、付款和清算，并按以下约定执行：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（1）合同解除后，按第4.4款〔商定或确定〕商定或确定承包人实际完成工作对应的合同价款，以及承包人已提供的材料、工程设备、施工设备和临时工程等的价值；</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（2）合同解除后，承包人应支付的违约金；</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（3）合同解除后，因解除合同给发包人造成的损失；</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（4）合同解除后，承包人应按照发包人要求和监理人的指示完成现场的清理和撤离；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（5）发包人和承包人应在合同解除后进行清算，出具最终结清付款证书，结清全部款项。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因承包人违约解除合同的，发包人有权暂停对承包人的付款，查清各项付款和已扣款项。发包人和承包人未能就合同解除后的清算和款项支付达成一致的，按照第20条〔争议解决〕的约定处理。</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16.2.5采购合同权益转让</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21"/>
        <w:spacing w:line="360" w:lineRule="auto"/>
        <w:ind w:firstLine="422" w:firstLineChars="200"/>
        <w:rPr>
          <w:rFonts w:ascii="宋体" w:cs="宋体"/>
          <w:color w:val="auto"/>
          <w:highlight w:val="none"/>
        </w:rPr>
      </w:pPr>
      <w:bookmarkStart w:id="1411" w:name="_Toc5600"/>
      <w:bookmarkStart w:id="1412" w:name="_Toc16821"/>
      <w:bookmarkStart w:id="1413" w:name="_Toc13937"/>
      <w:bookmarkStart w:id="1414" w:name="_Toc522201695"/>
      <w:bookmarkStart w:id="1415" w:name="_Toc3083"/>
      <w:bookmarkStart w:id="1416" w:name="_Toc21189"/>
      <w:bookmarkStart w:id="1417" w:name="_Toc256000144"/>
      <w:bookmarkStart w:id="1418" w:name="_Toc351203606"/>
      <w:r>
        <w:rPr>
          <w:rFonts w:hint="eastAsia" w:ascii="宋体" w:cs="宋体"/>
          <w:color w:val="auto"/>
          <w:highlight w:val="none"/>
        </w:rPr>
        <w:t>16.3 第三人造成的违约</w:t>
      </w:r>
      <w:bookmarkEnd w:id="1411"/>
      <w:bookmarkEnd w:id="1412"/>
      <w:bookmarkEnd w:id="1413"/>
      <w:bookmarkEnd w:id="1414"/>
      <w:bookmarkEnd w:id="1415"/>
      <w:bookmarkEnd w:id="1416"/>
      <w:bookmarkEnd w:id="1417"/>
      <w:bookmarkEnd w:id="1418"/>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在履行合同过程中，一方当事人因第三人的原因造成违约的，应当向对方当事人承担违约责任。一方当事人和第三人之间的纠纷，依照法律规定或者按照约定解决。</w:t>
      </w:r>
    </w:p>
    <w:p>
      <w:pPr>
        <w:pStyle w:val="21"/>
        <w:spacing w:line="360" w:lineRule="auto"/>
        <w:rPr>
          <w:rFonts w:ascii="宋体" w:cs="宋体"/>
          <w:color w:val="auto"/>
          <w:highlight w:val="none"/>
        </w:rPr>
      </w:pPr>
      <w:bookmarkStart w:id="1419" w:name="_Toc2502"/>
      <w:bookmarkStart w:id="1420" w:name="_Toc351203607"/>
      <w:bookmarkStart w:id="1421" w:name="_Toc522201696"/>
      <w:bookmarkStart w:id="1422" w:name="_Toc7206"/>
      <w:bookmarkStart w:id="1423" w:name="_Toc14830"/>
      <w:bookmarkStart w:id="1424" w:name="_Toc256000145"/>
      <w:bookmarkStart w:id="1425" w:name="_Toc32612"/>
      <w:bookmarkStart w:id="1426" w:name="_Toc31979"/>
      <w:bookmarkStart w:id="1427" w:name="_Toc296346617"/>
      <w:bookmarkStart w:id="1428" w:name="_Toc337558823"/>
      <w:bookmarkStart w:id="1429" w:name="_Toc296503116"/>
      <w:r>
        <w:rPr>
          <w:rFonts w:hint="eastAsia" w:ascii="宋体" w:cs="宋体"/>
          <w:color w:val="auto"/>
          <w:highlight w:val="none"/>
        </w:rPr>
        <w:t>17. 不可抗力</w:t>
      </w:r>
      <w:bookmarkEnd w:id="1419"/>
      <w:bookmarkEnd w:id="1420"/>
      <w:bookmarkEnd w:id="1421"/>
      <w:bookmarkEnd w:id="1422"/>
      <w:bookmarkEnd w:id="1423"/>
      <w:bookmarkEnd w:id="1424"/>
      <w:bookmarkEnd w:id="1425"/>
      <w:bookmarkEnd w:id="1426"/>
      <w:r>
        <w:rPr>
          <w:rFonts w:hint="eastAsia" w:ascii="宋体" w:cs="宋体"/>
          <w:color w:val="auto"/>
          <w:highlight w:val="none"/>
        </w:rPr>
        <w:t xml:space="preserve"> </w:t>
      </w:r>
      <w:bookmarkEnd w:id="1427"/>
      <w:bookmarkEnd w:id="1428"/>
      <w:bookmarkEnd w:id="1429"/>
    </w:p>
    <w:p>
      <w:pPr>
        <w:pStyle w:val="21"/>
        <w:spacing w:line="360" w:lineRule="auto"/>
        <w:ind w:firstLine="422" w:firstLineChars="200"/>
        <w:rPr>
          <w:rFonts w:ascii="宋体" w:cs="宋体"/>
          <w:color w:val="auto"/>
          <w:highlight w:val="none"/>
        </w:rPr>
      </w:pPr>
      <w:bookmarkStart w:id="1430" w:name="_Toc7872"/>
      <w:bookmarkStart w:id="1431" w:name="_Toc351203608"/>
      <w:bookmarkStart w:id="1432" w:name="_Toc256000146"/>
      <w:bookmarkStart w:id="1433" w:name="_Toc26385"/>
      <w:bookmarkStart w:id="1434" w:name="_Toc522201697"/>
      <w:bookmarkStart w:id="1435" w:name="_Toc5872"/>
      <w:bookmarkStart w:id="1436" w:name="_Toc21678"/>
      <w:bookmarkStart w:id="1437" w:name="_Toc28485"/>
      <w:bookmarkStart w:id="1438" w:name="_Toc296346618"/>
      <w:bookmarkStart w:id="1439" w:name="_Toc296503117"/>
      <w:bookmarkStart w:id="1440" w:name="_Toc337558824"/>
      <w:r>
        <w:rPr>
          <w:rFonts w:hint="eastAsia" w:ascii="宋体" w:cs="宋体"/>
          <w:color w:val="auto"/>
          <w:highlight w:val="none"/>
        </w:rPr>
        <w:t>17.1 不可抗力的确认</w:t>
      </w:r>
      <w:bookmarkEnd w:id="1430"/>
      <w:bookmarkEnd w:id="1431"/>
      <w:bookmarkEnd w:id="1432"/>
      <w:bookmarkEnd w:id="1433"/>
      <w:bookmarkEnd w:id="1434"/>
      <w:bookmarkEnd w:id="1435"/>
      <w:bookmarkEnd w:id="1436"/>
      <w:bookmarkEnd w:id="1437"/>
    </w:p>
    <w:bookmarkEnd w:id="1438"/>
    <w:bookmarkEnd w:id="1439"/>
    <w:bookmarkEnd w:id="1440"/>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不可抗力是指合同当事人在签订合同时不可预见，在合同履行过程中不可避免且不能克服的自然灾害和社会性突发事件，如地震、海啸、瘟疫、骚乱、戒严、暴动、战争和专用合同条款中约定的其他情形。</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pStyle w:val="21"/>
        <w:spacing w:line="360" w:lineRule="auto"/>
        <w:ind w:firstLine="422" w:firstLineChars="200"/>
        <w:rPr>
          <w:rFonts w:ascii="宋体" w:cs="宋体"/>
          <w:color w:val="auto"/>
          <w:highlight w:val="none"/>
        </w:rPr>
      </w:pPr>
      <w:bookmarkStart w:id="1441" w:name="_Toc11547"/>
      <w:bookmarkStart w:id="1442" w:name="_Toc522201698"/>
      <w:bookmarkStart w:id="1443" w:name="_Toc351203609"/>
      <w:bookmarkStart w:id="1444" w:name="_Toc257"/>
      <w:bookmarkStart w:id="1445" w:name="_Toc256000147"/>
      <w:bookmarkStart w:id="1446" w:name="_Toc17587"/>
      <w:bookmarkStart w:id="1447" w:name="_Toc14658"/>
      <w:bookmarkStart w:id="1448" w:name="_Toc23782"/>
      <w:bookmarkStart w:id="1449" w:name="_Toc337558825"/>
      <w:bookmarkStart w:id="1450" w:name="_Toc296346619"/>
      <w:bookmarkStart w:id="1451" w:name="_Toc296503118"/>
      <w:r>
        <w:rPr>
          <w:rFonts w:hint="eastAsia" w:ascii="宋体" w:cs="宋体"/>
          <w:color w:val="auto"/>
          <w:highlight w:val="none"/>
        </w:rPr>
        <w:t>17.2 不可抗力的通知</w:t>
      </w:r>
      <w:bookmarkEnd w:id="1441"/>
      <w:bookmarkEnd w:id="1442"/>
      <w:bookmarkEnd w:id="1443"/>
      <w:bookmarkEnd w:id="1444"/>
      <w:bookmarkEnd w:id="1445"/>
      <w:bookmarkEnd w:id="1446"/>
      <w:bookmarkEnd w:id="1447"/>
      <w:bookmarkEnd w:id="1448"/>
    </w:p>
    <w:bookmarkEnd w:id="1449"/>
    <w:bookmarkEnd w:id="1450"/>
    <w:bookmarkEnd w:id="1451"/>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合同一方当事人遇到不可抗力事件，使其履行合同义务受到阻碍时，应立即通知合同另一方当事人和监理人，书面说明不可抗力和受阻碍的详细情况，并提供必要的证明。</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不可抗力持续发生的，合同一方当事人应及时向合同另一方当事人和监理人提交中间报告，说明不可抗力和履行合同受阻的情况，并于不可抗力事件结束后28天内提交最终报告及有关资料。</w:t>
      </w:r>
    </w:p>
    <w:p>
      <w:pPr>
        <w:pStyle w:val="21"/>
        <w:spacing w:line="360" w:lineRule="auto"/>
        <w:ind w:firstLine="422" w:firstLineChars="200"/>
        <w:rPr>
          <w:rFonts w:ascii="宋体" w:cs="宋体"/>
          <w:color w:val="auto"/>
          <w:highlight w:val="none"/>
        </w:rPr>
      </w:pPr>
      <w:bookmarkStart w:id="1452" w:name="_Toc28336"/>
      <w:bookmarkStart w:id="1453" w:name="_Toc522201699"/>
      <w:bookmarkStart w:id="1454" w:name="_Toc256000148"/>
      <w:bookmarkStart w:id="1455" w:name="_Toc29815"/>
      <w:bookmarkStart w:id="1456" w:name="_Toc13995"/>
      <w:bookmarkStart w:id="1457" w:name="_Toc351203610"/>
      <w:bookmarkStart w:id="1458" w:name="_Toc2294"/>
      <w:bookmarkStart w:id="1459" w:name="_Toc24806"/>
      <w:bookmarkStart w:id="1460" w:name="_Toc337558826"/>
      <w:bookmarkStart w:id="1461" w:name="_Toc296503119"/>
      <w:bookmarkStart w:id="1462" w:name="_Toc296346620"/>
      <w:r>
        <w:rPr>
          <w:rFonts w:hint="eastAsia" w:ascii="宋体" w:cs="宋体"/>
          <w:color w:val="auto"/>
          <w:highlight w:val="none"/>
        </w:rPr>
        <w:t>17.3 不可抗力后果的承担</w:t>
      </w:r>
      <w:bookmarkEnd w:id="1452"/>
      <w:bookmarkEnd w:id="1453"/>
      <w:bookmarkEnd w:id="1454"/>
      <w:bookmarkEnd w:id="1455"/>
      <w:bookmarkEnd w:id="1456"/>
      <w:bookmarkEnd w:id="1457"/>
      <w:bookmarkEnd w:id="1458"/>
      <w:bookmarkEnd w:id="1459"/>
    </w:p>
    <w:bookmarkEnd w:id="1460"/>
    <w:bookmarkEnd w:id="1461"/>
    <w:bookmarkEnd w:id="1462"/>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17.3.1 不可抗力引起的后果及造成的损失由合同当事人按照法律规定及合同约定各自承担。不可抗力发生前已完成的工程应当按照合同约定进行计量支付。</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17.3.2 不可抗力导致的人员伤亡、财产损失、费用增加和（或）工期延误等后果，由合同当事人按以下原则承担：</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（1）永久工程、已运至施工现场的材料和工程设备的损坏，以及因工程损坏造成的第三人人员伤亡和财产损失由发包人承担；</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（2）承包人施工设备的损坏由承包人承担；</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（3）发包人和承包人承担各自人员伤亡和财产的损失；</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（4）因不可抗力影响承包人履行合同约定的义务，已经引起或将引起工期延误的，应当顺延工期，由此导致承包人停工的费用损失由发包人和承包人合理分担，停工期间必须支付的工人工资由发包人承担；</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（5）因不可抗力引起或将引起工期延误，发包人要求赶工的，由此增加的赶工费用由发包人承担；</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（6）承包人在停工期间按照发包人要求照管、清理和修复工程的费用由发包人承担。</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不可抗力发生后，合同当事人均应采取措施尽量避免和减少损失的扩大，任何一方当事人没有采取有效措施导致损失扩大的，应对扩大的损失承担责任。</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因合同一方迟延履行合同义务，在迟延履行期间遭遇不可抗力的，不免除其违约责任。</w:t>
      </w:r>
    </w:p>
    <w:p>
      <w:pPr>
        <w:pStyle w:val="21"/>
        <w:spacing w:line="360" w:lineRule="auto"/>
        <w:ind w:firstLine="422" w:firstLineChars="200"/>
        <w:rPr>
          <w:rFonts w:ascii="宋体" w:cs="宋体"/>
          <w:color w:val="auto"/>
          <w:highlight w:val="none"/>
        </w:rPr>
      </w:pPr>
      <w:bookmarkStart w:id="1463" w:name="_Toc941"/>
      <w:bookmarkStart w:id="1464" w:name="_Toc17249"/>
      <w:bookmarkStart w:id="1465" w:name="_Toc256000149"/>
      <w:bookmarkStart w:id="1466" w:name="_Toc26747"/>
      <w:bookmarkStart w:id="1467" w:name="_Toc15332"/>
      <w:bookmarkStart w:id="1468" w:name="_Toc351203611"/>
      <w:bookmarkStart w:id="1469" w:name="_Toc522201700"/>
      <w:bookmarkStart w:id="1470" w:name="_Toc4339"/>
      <w:bookmarkStart w:id="1471" w:name="_Toc337558827"/>
      <w:r>
        <w:rPr>
          <w:rFonts w:hint="eastAsia" w:ascii="宋体" w:cs="宋体"/>
          <w:color w:val="auto"/>
          <w:highlight w:val="none"/>
        </w:rPr>
        <w:t>17.4 因不可抗力解除合同</w:t>
      </w:r>
      <w:bookmarkEnd w:id="1463"/>
      <w:bookmarkEnd w:id="1464"/>
      <w:bookmarkEnd w:id="1465"/>
      <w:bookmarkEnd w:id="1466"/>
      <w:bookmarkEnd w:id="1467"/>
      <w:bookmarkEnd w:id="1468"/>
      <w:bookmarkEnd w:id="1469"/>
      <w:bookmarkEnd w:id="1470"/>
    </w:p>
    <w:bookmarkEnd w:id="1471"/>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因不可抗力导致合同无法履行连续超过84天或累计超过140天的，发包人和承包人均有权解除合同。合同解除后，由双方当事人按照第4.4款〔商定或确定〕商定或确定发包人应支付的款项，该款项包括：</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（1）合同解除前承包人已完成工作的价款；</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（2）承包人为工程订购的并已交付给承包人，或承包人有责任接受交付的材料、工程设备和其他物品的价款；</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（3）发包人要求承包人退货或解除订货合同而产生的费用，或因不能退货或解除合同而产生的损失；</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（4）承包人撤离施工现场以及遣散承包人人员的费用；</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（5）按照合同约定在合同解除前应支付给承包人的其他款项；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（6）扣减承包人按照合同约定应向发包人支付的款项；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（7）双方商定或确定的其他款项。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除专用合同条款另有约定外，合同解除后，发包人应在商定或确定上述款项后28天内完成上述款项的支付。</w:t>
      </w:r>
    </w:p>
    <w:p>
      <w:pPr>
        <w:pStyle w:val="21"/>
        <w:spacing w:line="360" w:lineRule="auto"/>
        <w:rPr>
          <w:rFonts w:ascii="宋体" w:cs="宋体"/>
          <w:color w:val="auto"/>
          <w:highlight w:val="none"/>
        </w:rPr>
      </w:pPr>
      <w:bookmarkStart w:id="1472" w:name="_Toc14474"/>
      <w:bookmarkStart w:id="1473" w:name="_Toc21696"/>
      <w:bookmarkStart w:id="1474" w:name="_Toc12414"/>
      <w:bookmarkStart w:id="1475" w:name="_Toc256000150"/>
      <w:bookmarkStart w:id="1476" w:name="_Toc522201701"/>
      <w:bookmarkStart w:id="1477" w:name="_Toc351203612"/>
      <w:bookmarkStart w:id="1478" w:name="_Toc17945"/>
      <w:bookmarkStart w:id="1479" w:name="_Toc22156"/>
      <w:bookmarkStart w:id="1480" w:name="_Toc296503120"/>
      <w:bookmarkStart w:id="1481" w:name="_Toc337558828"/>
      <w:bookmarkStart w:id="1482" w:name="_Toc296346621"/>
      <w:r>
        <w:rPr>
          <w:rFonts w:hint="eastAsia" w:ascii="宋体" w:cs="宋体"/>
          <w:color w:val="auto"/>
          <w:highlight w:val="none"/>
        </w:rPr>
        <w:t>18. 保险</w:t>
      </w:r>
      <w:bookmarkEnd w:id="1472"/>
      <w:bookmarkEnd w:id="1473"/>
      <w:bookmarkEnd w:id="1474"/>
      <w:bookmarkEnd w:id="1475"/>
      <w:bookmarkEnd w:id="1476"/>
      <w:bookmarkEnd w:id="1477"/>
      <w:bookmarkEnd w:id="1478"/>
      <w:bookmarkEnd w:id="1479"/>
    </w:p>
    <w:bookmarkEnd w:id="1480"/>
    <w:bookmarkEnd w:id="1481"/>
    <w:bookmarkEnd w:id="1482"/>
    <w:p>
      <w:pPr>
        <w:pStyle w:val="21"/>
        <w:spacing w:line="360" w:lineRule="auto"/>
        <w:ind w:firstLine="422" w:firstLineChars="200"/>
        <w:rPr>
          <w:rFonts w:ascii="宋体" w:cs="宋体"/>
          <w:color w:val="auto"/>
          <w:highlight w:val="none"/>
        </w:rPr>
      </w:pPr>
      <w:bookmarkStart w:id="1483" w:name="_Toc28149"/>
      <w:bookmarkStart w:id="1484" w:name="_Toc522201702"/>
      <w:bookmarkStart w:id="1485" w:name="_Toc30828"/>
      <w:bookmarkStart w:id="1486" w:name="_Toc17951"/>
      <w:bookmarkStart w:id="1487" w:name="_Toc742"/>
      <w:bookmarkStart w:id="1488" w:name="_Toc256000151"/>
      <w:bookmarkStart w:id="1489" w:name="_Toc351203613"/>
      <w:bookmarkStart w:id="1490" w:name="_Toc6512"/>
      <w:bookmarkStart w:id="1491" w:name="_Toc296503121"/>
      <w:bookmarkStart w:id="1492" w:name="_Toc337558829"/>
      <w:bookmarkStart w:id="1493" w:name="_Toc296346622"/>
      <w:r>
        <w:rPr>
          <w:rFonts w:hint="eastAsia" w:ascii="宋体" w:cs="宋体"/>
          <w:color w:val="auto"/>
          <w:highlight w:val="none"/>
        </w:rPr>
        <w:t>18.1 工程保险</w:t>
      </w:r>
      <w:bookmarkEnd w:id="1483"/>
      <w:bookmarkEnd w:id="1484"/>
      <w:bookmarkEnd w:id="1485"/>
      <w:bookmarkEnd w:id="1486"/>
      <w:bookmarkEnd w:id="1487"/>
      <w:bookmarkEnd w:id="1488"/>
      <w:bookmarkEnd w:id="1489"/>
      <w:bookmarkEnd w:id="1490"/>
    </w:p>
    <w:bookmarkEnd w:id="1491"/>
    <w:bookmarkEnd w:id="1492"/>
    <w:bookmarkEnd w:id="1493"/>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除专用合同条款另有约定外，发包人应投保建筑工程一切险或安装工程一切险；发包人委托承包人投保的，因投保产生的保险费和其他相关费用由发包人承担。</w:t>
      </w:r>
    </w:p>
    <w:p>
      <w:pPr>
        <w:pStyle w:val="21"/>
        <w:spacing w:line="360" w:lineRule="auto"/>
        <w:ind w:firstLine="422" w:firstLineChars="200"/>
        <w:rPr>
          <w:rFonts w:ascii="宋体" w:cs="宋体"/>
          <w:color w:val="auto"/>
          <w:highlight w:val="none"/>
        </w:rPr>
      </w:pPr>
      <w:bookmarkStart w:id="1494" w:name="_Toc5866"/>
      <w:bookmarkStart w:id="1495" w:name="_Toc16271"/>
      <w:bookmarkStart w:id="1496" w:name="_Toc14972"/>
      <w:bookmarkStart w:id="1497" w:name="_Toc1899"/>
      <w:bookmarkStart w:id="1498" w:name="_Toc522201703"/>
      <w:bookmarkStart w:id="1499" w:name="_Toc224"/>
      <w:bookmarkStart w:id="1500" w:name="_Toc351203614"/>
      <w:bookmarkStart w:id="1501" w:name="_Toc256000152"/>
      <w:bookmarkStart w:id="1502" w:name="_Toc296503122"/>
      <w:bookmarkStart w:id="1503" w:name="_Toc337558830"/>
      <w:bookmarkStart w:id="1504" w:name="_Toc296346623"/>
      <w:r>
        <w:rPr>
          <w:rFonts w:hint="eastAsia" w:ascii="宋体" w:cs="宋体"/>
          <w:color w:val="auto"/>
          <w:highlight w:val="none"/>
        </w:rPr>
        <w:t>18.2 工伤保险</w:t>
      </w:r>
      <w:bookmarkEnd w:id="1494"/>
      <w:bookmarkEnd w:id="1495"/>
      <w:bookmarkEnd w:id="1496"/>
      <w:bookmarkEnd w:id="1497"/>
      <w:bookmarkEnd w:id="1498"/>
      <w:bookmarkEnd w:id="1499"/>
      <w:bookmarkEnd w:id="1500"/>
      <w:bookmarkEnd w:id="1501"/>
    </w:p>
    <w:bookmarkEnd w:id="1502"/>
    <w:bookmarkEnd w:id="1503"/>
    <w:bookmarkEnd w:id="1504"/>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18.2.1 发包人应依照法律规定参加工伤保险，并为在施工现场的全部员工办理工伤保险，缴纳工伤保险费，并要求监理人及由发包人为履行合同聘请的第三方依法参加工伤保险。</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18.2.2 承包人应依照法律规定参加工伤保险，并为其履行合同的全部员工办理工伤保险，缴纳工伤保险费，并要求分包人及由承包人为履行合同聘请的第三方依法参加工伤保险。</w:t>
      </w:r>
    </w:p>
    <w:p>
      <w:pPr>
        <w:pStyle w:val="21"/>
        <w:spacing w:line="360" w:lineRule="auto"/>
        <w:ind w:firstLine="422" w:firstLineChars="200"/>
        <w:rPr>
          <w:rFonts w:ascii="宋体" w:cs="宋体"/>
          <w:color w:val="auto"/>
          <w:highlight w:val="none"/>
        </w:rPr>
      </w:pPr>
      <w:bookmarkStart w:id="1505" w:name="_Toc2173"/>
      <w:bookmarkStart w:id="1506" w:name="_Toc6253"/>
      <w:bookmarkStart w:id="1507" w:name="_Toc256000153"/>
      <w:bookmarkStart w:id="1508" w:name="_Toc21292"/>
      <w:bookmarkStart w:id="1509" w:name="_Toc6780"/>
      <w:bookmarkStart w:id="1510" w:name="_Toc351203615"/>
      <w:bookmarkStart w:id="1511" w:name="_Toc18026"/>
      <w:bookmarkStart w:id="1512" w:name="_Toc522201704"/>
      <w:bookmarkStart w:id="1513" w:name="_Toc337558831"/>
      <w:bookmarkStart w:id="1514" w:name="_Toc296346626"/>
      <w:bookmarkStart w:id="1515" w:name="_Toc296503125"/>
      <w:r>
        <w:rPr>
          <w:rFonts w:hint="eastAsia" w:ascii="宋体" w:cs="宋体"/>
          <w:color w:val="auto"/>
          <w:highlight w:val="none"/>
        </w:rPr>
        <w:t>18.3其他保险</w:t>
      </w:r>
      <w:bookmarkEnd w:id="1505"/>
      <w:bookmarkEnd w:id="1506"/>
      <w:bookmarkEnd w:id="1507"/>
      <w:bookmarkEnd w:id="1508"/>
      <w:bookmarkEnd w:id="1509"/>
      <w:bookmarkEnd w:id="1510"/>
      <w:bookmarkEnd w:id="1511"/>
      <w:bookmarkEnd w:id="1512"/>
    </w:p>
    <w:bookmarkEnd w:id="1513"/>
    <w:bookmarkEnd w:id="1514"/>
    <w:bookmarkEnd w:id="1515"/>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发包人和承包人可以为其施工现场的全部人员办理意外伤害保险并支付保险费，包括其员工及为履行合同聘请的第三方的人员，具体事项由合同当事人在专用合同条款约定。</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除专用合同条款另有约定外，承包人应为其施工设备等办理财产保险。</w:t>
      </w:r>
    </w:p>
    <w:p>
      <w:pPr>
        <w:pStyle w:val="21"/>
        <w:spacing w:line="360" w:lineRule="auto"/>
        <w:ind w:firstLine="422" w:firstLineChars="200"/>
        <w:rPr>
          <w:rFonts w:ascii="宋体" w:cs="宋体"/>
          <w:color w:val="auto"/>
          <w:highlight w:val="none"/>
        </w:rPr>
      </w:pPr>
      <w:bookmarkStart w:id="1516" w:name="_Toc256000154"/>
      <w:bookmarkStart w:id="1517" w:name="_Toc22237"/>
      <w:bookmarkStart w:id="1518" w:name="_Toc522201705"/>
      <w:bookmarkStart w:id="1519" w:name="_Toc24966"/>
      <w:bookmarkStart w:id="1520" w:name="_Toc119"/>
      <w:bookmarkStart w:id="1521" w:name="_Toc27085"/>
      <w:bookmarkStart w:id="1522" w:name="_Toc351203616"/>
      <w:bookmarkStart w:id="1523" w:name="_Toc109"/>
      <w:r>
        <w:rPr>
          <w:rFonts w:hint="eastAsia" w:ascii="宋体" w:cs="宋体"/>
          <w:color w:val="auto"/>
          <w:highlight w:val="none"/>
        </w:rPr>
        <w:t>18.4持续保险</w:t>
      </w:r>
      <w:bookmarkEnd w:id="1516"/>
      <w:bookmarkEnd w:id="1517"/>
      <w:bookmarkEnd w:id="1518"/>
      <w:bookmarkEnd w:id="1519"/>
      <w:bookmarkEnd w:id="1520"/>
      <w:bookmarkEnd w:id="1521"/>
      <w:bookmarkEnd w:id="1522"/>
      <w:bookmarkEnd w:id="1523"/>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合同当事人应与保险人保持联系，使保险人能够随时了解工程实施中的变动，并确保按保险合同条款要求持续保险。</w:t>
      </w:r>
    </w:p>
    <w:p>
      <w:pPr>
        <w:pStyle w:val="21"/>
        <w:spacing w:line="360" w:lineRule="auto"/>
        <w:ind w:firstLine="422" w:firstLineChars="200"/>
        <w:rPr>
          <w:rFonts w:ascii="宋体" w:cs="宋体"/>
          <w:color w:val="auto"/>
          <w:highlight w:val="none"/>
        </w:rPr>
      </w:pPr>
      <w:bookmarkStart w:id="1524" w:name="_Toc256000155"/>
      <w:bookmarkStart w:id="1525" w:name="_Toc522201706"/>
      <w:bookmarkStart w:id="1526" w:name="_Toc12659"/>
      <w:bookmarkStart w:id="1527" w:name="_Toc21141"/>
      <w:bookmarkStart w:id="1528" w:name="_Toc26226"/>
      <w:bookmarkStart w:id="1529" w:name="_Toc17712"/>
      <w:bookmarkStart w:id="1530" w:name="_Toc29620"/>
      <w:bookmarkStart w:id="1531" w:name="_Toc351203617"/>
      <w:bookmarkStart w:id="1532" w:name="_Toc296346627"/>
      <w:bookmarkStart w:id="1533" w:name="_Toc296503126"/>
      <w:bookmarkStart w:id="1534" w:name="_Toc337558832"/>
      <w:r>
        <w:rPr>
          <w:rFonts w:hint="eastAsia" w:ascii="宋体" w:cs="宋体"/>
          <w:color w:val="auto"/>
          <w:highlight w:val="none"/>
        </w:rPr>
        <w:t>18.5 保险凭证</w:t>
      </w:r>
      <w:bookmarkEnd w:id="1524"/>
      <w:bookmarkEnd w:id="1525"/>
      <w:bookmarkEnd w:id="1526"/>
      <w:bookmarkEnd w:id="1527"/>
      <w:bookmarkEnd w:id="1528"/>
      <w:bookmarkEnd w:id="1529"/>
      <w:bookmarkEnd w:id="1530"/>
      <w:bookmarkEnd w:id="1531"/>
    </w:p>
    <w:bookmarkEnd w:id="1532"/>
    <w:bookmarkEnd w:id="1533"/>
    <w:bookmarkEnd w:id="1534"/>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合同当事人应及时向另一方当事人提交其已投保的各项保险的凭证和保险单复印件。</w:t>
      </w:r>
    </w:p>
    <w:p>
      <w:pPr>
        <w:pStyle w:val="21"/>
        <w:spacing w:line="360" w:lineRule="auto"/>
        <w:ind w:firstLine="422" w:firstLineChars="200"/>
        <w:rPr>
          <w:rFonts w:ascii="宋体" w:cs="宋体"/>
          <w:color w:val="auto"/>
          <w:highlight w:val="none"/>
        </w:rPr>
      </w:pPr>
      <w:bookmarkStart w:id="1535" w:name="_Toc3678"/>
      <w:bookmarkStart w:id="1536" w:name="_Toc24212"/>
      <w:bookmarkStart w:id="1537" w:name="_Toc351203618"/>
      <w:bookmarkStart w:id="1538" w:name="_Toc20519"/>
      <w:bookmarkStart w:id="1539" w:name="_Toc17219"/>
      <w:bookmarkStart w:id="1540" w:name="_Toc522201707"/>
      <w:bookmarkStart w:id="1541" w:name="_Toc256000156"/>
      <w:bookmarkStart w:id="1542" w:name="_Toc22290"/>
      <w:bookmarkStart w:id="1543" w:name="_Toc337558833"/>
      <w:bookmarkStart w:id="1544" w:name="_Toc296503127"/>
      <w:bookmarkStart w:id="1545" w:name="_Toc296346628"/>
      <w:r>
        <w:rPr>
          <w:rFonts w:hint="eastAsia" w:ascii="宋体" w:cs="宋体"/>
          <w:color w:val="auto"/>
          <w:highlight w:val="none"/>
        </w:rPr>
        <w:t>18.6 未按约定投保的补救</w:t>
      </w:r>
      <w:bookmarkEnd w:id="1535"/>
      <w:bookmarkEnd w:id="1536"/>
      <w:bookmarkEnd w:id="1537"/>
      <w:bookmarkEnd w:id="1538"/>
      <w:bookmarkEnd w:id="1539"/>
      <w:bookmarkEnd w:id="1540"/>
      <w:bookmarkEnd w:id="1541"/>
      <w:bookmarkEnd w:id="1542"/>
    </w:p>
    <w:bookmarkEnd w:id="1543"/>
    <w:bookmarkEnd w:id="1544"/>
    <w:bookmarkEnd w:id="1545"/>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18.6.1发包人未按合同约定办理保险，或未能使保险持续有效的，则承包人可代为办理，所需费用由发包人承担。发包人未按合同约定办理保险，导致未能得到足额赔偿的，由发包人负责补足。</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18.6.2承包人未按合同约定办理保险，或未能使保险持续有效的，则发包人可代为办理，所需费用由承包人承担。承包人未按合同约定办理保险，导致未能得到足额赔偿的，由承包人负责补足。</w:t>
      </w:r>
    </w:p>
    <w:p>
      <w:pPr>
        <w:pStyle w:val="21"/>
        <w:spacing w:line="360" w:lineRule="auto"/>
        <w:ind w:firstLine="422" w:firstLineChars="200"/>
        <w:rPr>
          <w:rFonts w:ascii="宋体" w:cs="宋体"/>
          <w:color w:val="auto"/>
          <w:highlight w:val="none"/>
        </w:rPr>
      </w:pPr>
      <w:bookmarkStart w:id="1546" w:name="_Toc5010"/>
      <w:bookmarkStart w:id="1547" w:name="_Toc256000157"/>
      <w:bookmarkStart w:id="1548" w:name="_Toc7753"/>
      <w:bookmarkStart w:id="1549" w:name="_Toc351203619"/>
      <w:bookmarkStart w:id="1550" w:name="_Toc522201708"/>
      <w:bookmarkStart w:id="1551" w:name="_Toc25520"/>
      <w:bookmarkStart w:id="1552" w:name="_Toc21229"/>
      <w:bookmarkStart w:id="1553" w:name="_Toc5609"/>
      <w:bookmarkStart w:id="1554" w:name="_Toc337558834"/>
      <w:r>
        <w:rPr>
          <w:rFonts w:hint="eastAsia" w:ascii="宋体" w:cs="宋体"/>
          <w:color w:val="auto"/>
          <w:highlight w:val="none"/>
        </w:rPr>
        <w:t>18.7 通知义务</w:t>
      </w:r>
      <w:bookmarkEnd w:id="1546"/>
      <w:bookmarkEnd w:id="1547"/>
      <w:bookmarkEnd w:id="1548"/>
      <w:bookmarkEnd w:id="1549"/>
      <w:bookmarkEnd w:id="1550"/>
      <w:bookmarkEnd w:id="1551"/>
      <w:bookmarkEnd w:id="1552"/>
      <w:bookmarkEnd w:id="1553"/>
    </w:p>
    <w:bookmarkEnd w:id="1554"/>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除专用合同条款另有约定外，发包人变更除工伤保险之外的保险合同时，应事先征得承包人同意，并通知监理人；承包人变更除工伤保险之外的保险合同时，应事先征得发包人同意，并通知监理人。</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保险事故发生时，投保人应按照保险合同规定的条件和期限及时向保险人报告。发包人和承包人应当在知道保险事故发生后及时通知对方。</w:t>
      </w:r>
    </w:p>
    <w:p>
      <w:pPr>
        <w:pStyle w:val="21"/>
        <w:spacing w:line="360" w:lineRule="auto"/>
        <w:rPr>
          <w:rFonts w:ascii="宋体" w:cs="宋体"/>
          <w:color w:val="auto"/>
          <w:highlight w:val="none"/>
        </w:rPr>
      </w:pPr>
      <w:bookmarkStart w:id="1555" w:name="_Toc21391"/>
      <w:bookmarkStart w:id="1556" w:name="_Toc5608"/>
      <w:bookmarkStart w:id="1557" w:name="_Toc522201709"/>
      <w:bookmarkStart w:id="1558" w:name="_Toc13183"/>
      <w:bookmarkStart w:id="1559" w:name="_Toc256000158"/>
      <w:bookmarkStart w:id="1560" w:name="_Toc351203620"/>
      <w:bookmarkStart w:id="1561" w:name="_Toc11109"/>
      <w:bookmarkStart w:id="1562" w:name="_Toc4608"/>
      <w:bookmarkStart w:id="1563" w:name="_Toc296346641"/>
      <w:bookmarkStart w:id="1564" w:name="_Toc337558835"/>
      <w:bookmarkStart w:id="1565" w:name="_Toc296503140"/>
      <w:r>
        <w:rPr>
          <w:rFonts w:hint="eastAsia" w:ascii="宋体" w:cs="宋体"/>
          <w:color w:val="auto"/>
          <w:highlight w:val="none"/>
        </w:rPr>
        <w:t>19. 索赔</w:t>
      </w:r>
      <w:bookmarkEnd w:id="1555"/>
      <w:bookmarkEnd w:id="1556"/>
      <w:bookmarkEnd w:id="1557"/>
      <w:bookmarkEnd w:id="1558"/>
      <w:bookmarkEnd w:id="1559"/>
      <w:bookmarkEnd w:id="1560"/>
      <w:bookmarkEnd w:id="1561"/>
      <w:bookmarkEnd w:id="1562"/>
    </w:p>
    <w:bookmarkEnd w:id="1563"/>
    <w:bookmarkEnd w:id="1564"/>
    <w:bookmarkEnd w:id="1565"/>
    <w:p>
      <w:pPr>
        <w:pStyle w:val="21"/>
        <w:spacing w:line="360" w:lineRule="auto"/>
        <w:ind w:firstLine="422" w:firstLineChars="200"/>
        <w:rPr>
          <w:rFonts w:ascii="宋体" w:cs="宋体"/>
          <w:color w:val="auto"/>
          <w:highlight w:val="none"/>
        </w:rPr>
      </w:pPr>
      <w:bookmarkStart w:id="1566" w:name="_Toc6199"/>
      <w:bookmarkStart w:id="1567" w:name="_Toc19890"/>
      <w:bookmarkStart w:id="1568" w:name="_Toc20588"/>
      <w:bookmarkStart w:id="1569" w:name="_Toc256000159"/>
      <w:bookmarkStart w:id="1570" w:name="_Toc351203621"/>
      <w:bookmarkStart w:id="1571" w:name="_Toc29513"/>
      <w:bookmarkStart w:id="1572" w:name="_Toc7126"/>
      <w:bookmarkStart w:id="1573" w:name="_Toc522201710"/>
      <w:bookmarkStart w:id="1574" w:name="_Toc296346642"/>
      <w:bookmarkStart w:id="1575" w:name="_Toc337558836"/>
      <w:bookmarkStart w:id="1576" w:name="_Toc296503141"/>
      <w:r>
        <w:rPr>
          <w:rFonts w:hint="eastAsia" w:ascii="宋体" w:cs="宋体"/>
          <w:color w:val="auto"/>
          <w:highlight w:val="none"/>
        </w:rPr>
        <w:t>19.1承包人的索赔</w:t>
      </w:r>
      <w:bookmarkEnd w:id="1566"/>
      <w:bookmarkEnd w:id="1567"/>
      <w:bookmarkEnd w:id="1568"/>
      <w:bookmarkEnd w:id="1569"/>
      <w:bookmarkEnd w:id="1570"/>
      <w:bookmarkEnd w:id="1571"/>
      <w:bookmarkEnd w:id="1572"/>
      <w:bookmarkEnd w:id="1573"/>
    </w:p>
    <w:bookmarkEnd w:id="1574"/>
    <w:bookmarkEnd w:id="1575"/>
    <w:bookmarkEnd w:id="1576"/>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根据合同约定，承包人认为有权得到追加付款和（或）延长工期的，应按以下程序向发包人提出索赔：</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（1）承包人应在知道或应当知道索赔事件发生后28天内，向监理人递交索赔意向通知书，并说明发生索赔事件的事由；承包人未在前述28天内发出索赔意向通知书的，丧失要求追加付款和（或）延长工期的权利；</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（2）承包人应在发出索赔意向通知书后28天内，向监理人正式递交索赔报告；索赔报告应详细说明索赔理由以及要求追加的付款金额和（或）延长的工期，并附必要的记录和证明材料；</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（3）索赔事件具有持续影响的，承包人应按合理时间间隔继续递交延续索赔通知，说明持续影响的实际情况和记录，列出累计的追加付款金额和（或）工期延长天数；</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（4）在索赔事件影响结束后28天内，承包人应向监理人递交最终索赔报告，说明最终要求索赔的追加付款金额和（或）延长的工期，并附必要的记录和证明材料。</w:t>
      </w:r>
    </w:p>
    <w:p>
      <w:pPr>
        <w:pStyle w:val="21"/>
        <w:spacing w:line="360" w:lineRule="auto"/>
        <w:ind w:firstLine="422" w:firstLineChars="200"/>
        <w:rPr>
          <w:rFonts w:ascii="宋体" w:cs="宋体"/>
          <w:color w:val="auto"/>
          <w:highlight w:val="none"/>
        </w:rPr>
      </w:pPr>
      <w:bookmarkStart w:id="1577" w:name="_Toc351203622"/>
      <w:bookmarkStart w:id="1578" w:name="_Toc29979"/>
      <w:bookmarkStart w:id="1579" w:name="_Toc13671"/>
      <w:bookmarkStart w:id="1580" w:name="_Toc19035"/>
      <w:bookmarkStart w:id="1581" w:name="_Toc522201711"/>
      <w:bookmarkStart w:id="1582" w:name="_Toc256000160"/>
      <w:bookmarkStart w:id="1583" w:name="_Toc11561"/>
      <w:bookmarkStart w:id="1584" w:name="_Toc20667"/>
      <w:bookmarkStart w:id="1585" w:name="_Toc296503142"/>
      <w:bookmarkStart w:id="1586" w:name="_Toc337558837"/>
      <w:bookmarkStart w:id="1587" w:name="_Toc296346643"/>
      <w:r>
        <w:rPr>
          <w:rFonts w:hint="eastAsia" w:ascii="宋体" w:cs="宋体"/>
          <w:color w:val="auto"/>
          <w:highlight w:val="none"/>
        </w:rPr>
        <w:t>19.2 对承包人索赔的处理</w:t>
      </w:r>
      <w:bookmarkEnd w:id="1577"/>
      <w:bookmarkEnd w:id="1578"/>
      <w:bookmarkEnd w:id="1579"/>
      <w:bookmarkEnd w:id="1580"/>
      <w:bookmarkEnd w:id="1581"/>
      <w:bookmarkEnd w:id="1582"/>
      <w:bookmarkEnd w:id="1583"/>
      <w:bookmarkEnd w:id="1584"/>
    </w:p>
    <w:bookmarkEnd w:id="1585"/>
    <w:bookmarkEnd w:id="1586"/>
    <w:bookmarkEnd w:id="1587"/>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对承包人索赔的处理如下：</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（1）监理人应在收到索赔报告后14天内完成审查并报送发包人。监理人对索赔报告存在异议的，有权要求承包人提交全部原始记录副本；</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（2）发包人应在监理人收到索赔报告或有关索赔的进一步证明材料后的28天内，由监理人向承包人出具经发包人签认的索赔处理结果。发包人逾期答复的，则视为认可承包人的索赔要求；</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（3）承包人接受索赔处理结果的，索赔款项在当期进度款中进行支付；承包人不接受索赔处理结果的，按照第20条〔争议解决〕约定处理。</w:t>
      </w:r>
    </w:p>
    <w:p>
      <w:pPr>
        <w:pStyle w:val="21"/>
        <w:spacing w:line="360" w:lineRule="auto"/>
        <w:ind w:firstLine="422" w:firstLineChars="200"/>
        <w:rPr>
          <w:rFonts w:ascii="宋体" w:cs="宋体"/>
          <w:color w:val="auto"/>
          <w:highlight w:val="none"/>
        </w:rPr>
      </w:pPr>
      <w:bookmarkStart w:id="1588" w:name="_Toc12225"/>
      <w:bookmarkStart w:id="1589" w:name="_Toc351203623"/>
      <w:bookmarkStart w:id="1590" w:name="_Toc256000161"/>
      <w:bookmarkStart w:id="1591" w:name="_Toc17488"/>
      <w:bookmarkStart w:id="1592" w:name="_Toc26322"/>
      <w:bookmarkStart w:id="1593" w:name="_Toc12328"/>
      <w:bookmarkStart w:id="1594" w:name="_Toc4334"/>
      <w:bookmarkStart w:id="1595" w:name="_Toc522201712"/>
      <w:bookmarkStart w:id="1596" w:name="_Toc337558838"/>
      <w:bookmarkStart w:id="1597" w:name="_Toc296503143"/>
      <w:bookmarkStart w:id="1598" w:name="_Toc296346644"/>
      <w:r>
        <w:rPr>
          <w:rFonts w:hint="eastAsia" w:ascii="宋体" w:cs="宋体"/>
          <w:color w:val="auto"/>
          <w:highlight w:val="none"/>
        </w:rPr>
        <w:t>19.3发包人的索赔</w:t>
      </w:r>
      <w:bookmarkEnd w:id="1588"/>
      <w:bookmarkEnd w:id="1589"/>
      <w:bookmarkEnd w:id="1590"/>
      <w:bookmarkEnd w:id="1591"/>
      <w:bookmarkEnd w:id="1592"/>
      <w:bookmarkEnd w:id="1593"/>
      <w:bookmarkEnd w:id="1594"/>
      <w:bookmarkEnd w:id="1595"/>
    </w:p>
    <w:bookmarkEnd w:id="1596"/>
    <w:bookmarkEnd w:id="1597"/>
    <w:bookmarkEnd w:id="1598"/>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根据合同约定，发包人认为有权得到赔付金额和（或）延长缺陷责任期的，监理人应向承包人发出通知并附有详细的证明。</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21"/>
        <w:spacing w:line="360" w:lineRule="auto"/>
        <w:ind w:firstLine="422" w:firstLineChars="200"/>
        <w:rPr>
          <w:rFonts w:ascii="宋体" w:cs="宋体"/>
          <w:color w:val="auto"/>
          <w:highlight w:val="none"/>
        </w:rPr>
      </w:pPr>
      <w:bookmarkStart w:id="1599" w:name="_Toc351203624"/>
      <w:bookmarkStart w:id="1600" w:name="_Toc24887"/>
      <w:bookmarkStart w:id="1601" w:name="_Toc25460"/>
      <w:bookmarkStart w:id="1602" w:name="_Toc16506"/>
      <w:bookmarkStart w:id="1603" w:name="_Toc19851"/>
      <w:bookmarkStart w:id="1604" w:name="_Toc522201713"/>
      <w:bookmarkStart w:id="1605" w:name="_Toc256000162"/>
      <w:bookmarkStart w:id="1606" w:name="_Toc883"/>
      <w:bookmarkStart w:id="1607" w:name="_Toc296346645"/>
      <w:bookmarkStart w:id="1608" w:name="_Toc296503144"/>
      <w:bookmarkStart w:id="1609" w:name="_Toc337558839"/>
      <w:r>
        <w:rPr>
          <w:rFonts w:hint="eastAsia" w:ascii="宋体" w:cs="宋体"/>
          <w:color w:val="auto"/>
          <w:highlight w:val="none"/>
        </w:rPr>
        <w:t>19.4 对发包人索赔的处理</w:t>
      </w:r>
      <w:bookmarkEnd w:id="1599"/>
      <w:bookmarkEnd w:id="1600"/>
      <w:bookmarkEnd w:id="1601"/>
      <w:bookmarkEnd w:id="1602"/>
      <w:bookmarkEnd w:id="1603"/>
      <w:bookmarkEnd w:id="1604"/>
      <w:bookmarkEnd w:id="1605"/>
      <w:bookmarkEnd w:id="1606"/>
    </w:p>
    <w:bookmarkEnd w:id="1607"/>
    <w:bookmarkEnd w:id="1608"/>
    <w:bookmarkEnd w:id="1609"/>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对发包人索赔的处理如下：</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（1）承包人收到发包人提交的索赔报告后，应及时审查索赔报告的内容、查验发包人证明材料；</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（2）承包人应在收到索赔报告或有关索赔的进一步证明材料后28天内，将索赔处理结果答复发包人。如果承包人未在上述期限内作出答复的，则视为对发包人索赔要求的认可；</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（3）承包人接受索赔处理结果的，发包人可从应支付给承包人的合同价款中扣除赔付的金额或延长缺陷责任期；发包人不接受索赔处理结果的，按第20条〔争议解决〕约定处理。</w:t>
      </w:r>
    </w:p>
    <w:p>
      <w:pPr>
        <w:pStyle w:val="21"/>
        <w:spacing w:line="360" w:lineRule="auto"/>
        <w:ind w:firstLine="422" w:firstLineChars="200"/>
        <w:rPr>
          <w:rFonts w:ascii="宋体" w:cs="宋体"/>
          <w:color w:val="auto"/>
          <w:highlight w:val="none"/>
        </w:rPr>
      </w:pPr>
      <w:bookmarkStart w:id="1610" w:name="_Toc2397"/>
      <w:bookmarkStart w:id="1611" w:name="_Toc256000163"/>
      <w:bookmarkStart w:id="1612" w:name="_Toc27121"/>
      <w:bookmarkStart w:id="1613" w:name="_Toc12565"/>
      <w:bookmarkStart w:id="1614" w:name="_Toc522201714"/>
      <w:bookmarkStart w:id="1615" w:name="_Toc19368"/>
      <w:bookmarkStart w:id="1616" w:name="_Toc31393"/>
      <w:bookmarkStart w:id="1617" w:name="_Toc351203625"/>
      <w:r>
        <w:rPr>
          <w:rFonts w:hint="eastAsia" w:ascii="宋体" w:cs="宋体"/>
          <w:color w:val="auto"/>
          <w:highlight w:val="none"/>
        </w:rPr>
        <w:t>19.5 提出索赔的期限</w:t>
      </w:r>
      <w:bookmarkEnd w:id="1610"/>
      <w:bookmarkEnd w:id="1611"/>
      <w:bookmarkEnd w:id="1612"/>
      <w:bookmarkEnd w:id="1613"/>
      <w:bookmarkEnd w:id="1614"/>
      <w:bookmarkEnd w:id="1615"/>
      <w:bookmarkEnd w:id="1616"/>
      <w:bookmarkEnd w:id="1617"/>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（1）承包人按第14.2款〔竣工结算审核〕约定接收竣工付款证书后，应被视为已无权再提出在工程接收证书颁发前所发生的任何索赔。</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（2）承包人按第14.4款〔最终结清〕提交的最终结清申请单中，只限于提出工程接收证书颁发后发生的索赔。提出索赔的期限自接受最终结清证书时终止。</w:t>
      </w:r>
    </w:p>
    <w:p>
      <w:pPr>
        <w:pStyle w:val="21"/>
        <w:spacing w:line="360" w:lineRule="auto"/>
        <w:rPr>
          <w:rFonts w:ascii="宋体" w:cs="宋体"/>
          <w:color w:val="auto"/>
          <w:highlight w:val="none"/>
        </w:rPr>
      </w:pPr>
      <w:bookmarkStart w:id="1618" w:name="_Toc31002"/>
      <w:bookmarkStart w:id="1619" w:name="_Toc522201715"/>
      <w:bookmarkStart w:id="1620" w:name="_Toc256000164"/>
      <w:bookmarkStart w:id="1621" w:name="_Toc27548"/>
      <w:bookmarkStart w:id="1622" w:name="_Toc23318"/>
      <w:bookmarkStart w:id="1623" w:name="_Toc28731"/>
      <w:bookmarkStart w:id="1624" w:name="_Toc351203626"/>
      <w:bookmarkStart w:id="1625" w:name="_Toc18088"/>
      <w:r>
        <w:rPr>
          <w:rFonts w:hint="eastAsia" w:ascii="宋体" w:cs="宋体"/>
          <w:color w:val="auto"/>
          <w:highlight w:val="none"/>
        </w:rPr>
        <w:t>20</w:t>
      </w:r>
      <w:bookmarkStart w:id="1626" w:name="_Toc337558840"/>
      <w:bookmarkStart w:id="1627" w:name="_Toc296503146"/>
      <w:bookmarkStart w:id="1628" w:name="_Toc296346647"/>
      <w:r>
        <w:rPr>
          <w:rFonts w:hint="eastAsia" w:ascii="宋体" w:cs="宋体"/>
          <w:color w:val="auto"/>
          <w:highlight w:val="none"/>
        </w:rPr>
        <w:t>. 争议解决</w:t>
      </w:r>
      <w:bookmarkEnd w:id="1618"/>
      <w:bookmarkEnd w:id="1619"/>
      <w:bookmarkEnd w:id="1620"/>
      <w:bookmarkEnd w:id="1621"/>
      <w:bookmarkEnd w:id="1622"/>
      <w:bookmarkEnd w:id="1623"/>
      <w:bookmarkEnd w:id="1624"/>
      <w:bookmarkEnd w:id="1625"/>
    </w:p>
    <w:bookmarkEnd w:id="1626"/>
    <w:bookmarkEnd w:id="1627"/>
    <w:bookmarkEnd w:id="1628"/>
    <w:p>
      <w:pPr>
        <w:pStyle w:val="21"/>
        <w:spacing w:line="360" w:lineRule="auto"/>
        <w:ind w:firstLine="422" w:firstLineChars="200"/>
        <w:rPr>
          <w:rFonts w:ascii="宋体" w:cs="宋体"/>
          <w:color w:val="auto"/>
          <w:highlight w:val="none"/>
        </w:rPr>
      </w:pPr>
      <w:bookmarkStart w:id="1629" w:name="_Toc9368"/>
      <w:bookmarkStart w:id="1630" w:name="_Toc351203627"/>
      <w:bookmarkStart w:id="1631" w:name="_Toc2067"/>
      <w:bookmarkStart w:id="1632" w:name="_Toc9926"/>
      <w:bookmarkStart w:id="1633" w:name="_Toc526"/>
      <w:bookmarkStart w:id="1634" w:name="_Toc10285"/>
      <w:bookmarkStart w:id="1635" w:name="_Toc522201716"/>
      <w:bookmarkStart w:id="1636" w:name="_Toc256000165"/>
      <w:bookmarkStart w:id="1637" w:name="_Toc337558841"/>
      <w:bookmarkStart w:id="1638" w:name="_Toc296346648"/>
      <w:bookmarkStart w:id="1639" w:name="_Toc296503147"/>
      <w:r>
        <w:rPr>
          <w:rFonts w:hint="eastAsia" w:ascii="宋体" w:cs="宋体"/>
          <w:color w:val="auto"/>
          <w:highlight w:val="none"/>
        </w:rPr>
        <w:t>20.1和解</w:t>
      </w:r>
      <w:bookmarkEnd w:id="1629"/>
      <w:bookmarkEnd w:id="1630"/>
      <w:bookmarkEnd w:id="1631"/>
      <w:bookmarkEnd w:id="1632"/>
      <w:bookmarkEnd w:id="1633"/>
      <w:bookmarkEnd w:id="1634"/>
      <w:bookmarkEnd w:id="1635"/>
      <w:bookmarkEnd w:id="1636"/>
    </w:p>
    <w:bookmarkEnd w:id="1637"/>
    <w:bookmarkEnd w:id="1638"/>
    <w:bookmarkEnd w:id="1639"/>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合同当事人可以就争议自行和解，自行和解达成协议的经双方签字并盖章后作为合同补充文件，双方均应遵照执行。</w:t>
      </w:r>
    </w:p>
    <w:p>
      <w:pPr>
        <w:pStyle w:val="21"/>
        <w:spacing w:line="360" w:lineRule="auto"/>
        <w:ind w:firstLine="422" w:firstLineChars="200"/>
        <w:rPr>
          <w:rFonts w:ascii="宋体" w:cs="宋体"/>
          <w:color w:val="auto"/>
          <w:highlight w:val="none"/>
        </w:rPr>
      </w:pPr>
      <w:bookmarkStart w:id="1640" w:name="_Toc522201717"/>
      <w:bookmarkStart w:id="1641" w:name="_Toc351203628"/>
      <w:bookmarkStart w:id="1642" w:name="_Toc256000166"/>
      <w:bookmarkStart w:id="1643" w:name="_Toc25943"/>
      <w:bookmarkStart w:id="1644" w:name="_Toc5389"/>
      <w:bookmarkStart w:id="1645" w:name="_Toc30595"/>
      <w:bookmarkStart w:id="1646" w:name="_Toc22296"/>
      <w:bookmarkStart w:id="1647" w:name="_Toc18120"/>
      <w:r>
        <w:rPr>
          <w:rFonts w:hint="eastAsia" w:ascii="宋体" w:cs="宋体"/>
          <w:color w:val="auto"/>
          <w:highlight w:val="none"/>
        </w:rPr>
        <w:t>20</w:t>
      </w:r>
      <w:bookmarkStart w:id="1648" w:name="_Toc296346649"/>
      <w:bookmarkStart w:id="1649" w:name="_Toc337558842"/>
      <w:bookmarkStart w:id="1650" w:name="_Toc296503148"/>
      <w:r>
        <w:rPr>
          <w:rFonts w:hint="eastAsia" w:ascii="宋体" w:cs="宋体"/>
          <w:color w:val="auto"/>
          <w:highlight w:val="none"/>
        </w:rPr>
        <w:t>.2调解</w:t>
      </w:r>
      <w:bookmarkEnd w:id="1640"/>
      <w:bookmarkEnd w:id="1641"/>
      <w:bookmarkEnd w:id="1642"/>
      <w:bookmarkEnd w:id="1643"/>
      <w:bookmarkEnd w:id="1644"/>
      <w:bookmarkEnd w:id="1645"/>
      <w:bookmarkEnd w:id="1646"/>
      <w:bookmarkEnd w:id="1647"/>
    </w:p>
    <w:bookmarkEnd w:id="1648"/>
    <w:bookmarkEnd w:id="1649"/>
    <w:bookmarkEnd w:id="1650"/>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合同当事人可以就争议请求建设行政主管部门、行业协会或其他第三方进行调解，调解达成协议的，经双方签字并盖章后作为合同补充文件，双方均应遵照执行。</w:t>
      </w:r>
    </w:p>
    <w:p>
      <w:pPr>
        <w:pStyle w:val="21"/>
        <w:spacing w:line="360" w:lineRule="auto"/>
        <w:ind w:firstLine="422" w:firstLineChars="200"/>
        <w:rPr>
          <w:rFonts w:ascii="宋体" w:cs="宋体"/>
          <w:color w:val="auto"/>
          <w:highlight w:val="none"/>
        </w:rPr>
      </w:pPr>
      <w:bookmarkStart w:id="1651" w:name="_Toc8111"/>
      <w:bookmarkStart w:id="1652" w:name="_Toc351203629"/>
      <w:bookmarkStart w:id="1653" w:name="_Toc256000167"/>
      <w:bookmarkStart w:id="1654" w:name="_Toc522201718"/>
      <w:bookmarkStart w:id="1655" w:name="_Toc27388"/>
      <w:bookmarkStart w:id="1656" w:name="_Toc13187"/>
      <w:bookmarkStart w:id="1657" w:name="_Toc19623"/>
      <w:bookmarkStart w:id="1658" w:name="_Toc8432"/>
      <w:bookmarkStart w:id="1659" w:name="_Toc337558843"/>
      <w:bookmarkStart w:id="1660" w:name="_Toc296503149"/>
      <w:bookmarkStart w:id="1661" w:name="_Toc296346650"/>
      <w:r>
        <w:rPr>
          <w:rFonts w:hint="eastAsia" w:ascii="宋体" w:cs="宋体"/>
          <w:color w:val="auto"/>
          <w:highlight w:val="none"/>
        </w:rPr>
        <w:t>20.3争议评审</w:t>
      </w:r>
      <w:bookmarkEnd w:id="1651"/>
      <w:bookmarkEnd w:id="1652"/>
      <w:bookmarkEnd w:id="1653"/>
      <w:bookmarkEnd w:id="1654"/>
      <w:bookmarkEnd w:id="1655"/>
      <w:bookmarkEnd w:id="1656"/>
      <w:bookmarkEnd w:id="1657"/>
      <w:bookmarkEnd w:id="1658"/>
    </w:p>
    <w:bookmarkEnd w:id="1659"/>
    <w:bookmarkEnd w:id="1660"/>
    <w:bookmarkEnd w:id="1661"/>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合同当事人在专用合同条款中约定采取争议评审方式解决争议以及评审规则，并按下列约定执行： </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20.3.1 争议评审小组的确定</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合同当事人可以共同选择一名或三名争议评审员，组成争议评审小组。除专用合同条款另有约定外，合同当事人应当自合同签订后28天内，或者争议发生后14天内，选定争议评审员。</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除专用合同条款另有约定外，评审员报酬由发包人和承包人各承担一半。</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20.3.2 争议评审小组的决定</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20.3.3 争议评审小组决定的效力</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争议评审小组作出的书面决定经合同当事人签字确认后，对双方具有约束力，双方应遵照执行。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任何一方当事人不接受争议评审小组决定或不履行争议评审小组决定的，双方可选择采用其他争议解决方式。</w:t>
      </w:r>
    </w:p>
    <w:p>
      <w:pPr>
        <w:pStyle w:val="21"/>
        <w:spacing w:line="360" w:lineRule="auto"/>
        <w:ind w:firstLine="422" w:firstLineChars="200"/>
        <w:rPr>
          <w:rFonts w:ascii="宋体" w:cs="宋体"/>
          <w:color w:val="auto"/>
          <w:highlight w:val="none"/>
        </w:rPr>
      </w:pPr>
      <w:bookmarkStart w:id="1662" w:name="_Toc15297"/>
      <w:bookmarkStart w:id="1663" w:name="_Toc522201719"/>
      <w:bookmarkStart w:id="1664" w:name="_Toc9866"/>
      <w:bookmarkStart w:id="1665" w:name="_Toc17507"/>
      <w:bookmarkStart w:id="1666" w:name="_Toc351203630"/>
      <w:bookmarkStart w:id="1667" w:name="_Toc29265"/>
      <w:bookmarkStart w:id="1668" w:name="_Toc12689"/>
      <w:bookmarkStart w:id="1669" w:name="_Toc256000168"/>
      <w:bookmarkStart w:id="1670" w:name="_Toc296503150"/>
      <w:bookmarkStart w:id="1671" w:name="_Toc296346651"/>
      <w:bookmarkStart w:id="1672" w:name="_Toc337558844"/>
      <w:r>
        <w:rPr>
          <w:rFonts w:hint="eastAsia" w:ascii="宋体" w:cs="宋体"/>
          <w:color w:val="auto"/>
          <w:highlight w:val="none"/>
        </w:rPr>
        <w:t>20.4仲裁或诉讼</w:t>
      </w:r>
      <w:bookmarkEnd w:id="1662"/>
      <w:bookmarkEnd w:id="1663"/>
      <w:bookmarkEnd w:id="1664"/>
      <w:bookmarkEnd w:id="1665"/>
      <w:bookmarkEnd w:id="1666"/>
      <w:bookmarkEnd w:id="1667"/>
      <w:bookmarkEnd w:id="1668"/>
      <w:bookmarkEnd w:id="1669"/>
    </w:p>
    <w:bookmarkEnd w:id="1670"/>
    <w:bookmarkEnd w:id="1671"/>
    <w:bookmarkEnd w:id="1672"/>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因合同及合同有关事项产生的争议，合同当事人可以在专用合同条款中约定以下一种方式解决争议：</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（1）向约定的仲裁委员会申请仲裁；</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（2）向有管辖权的人民法院起诉。</w:t>
      </w:r>
      <w:bookmarkStart w:id="1673" w:name="_Toc296503152"/>
      <w:bookmarkStart w:id="1674" w:name="_Toc522201720"/>
      <w:bookmarkStart w:id="1675" w:name="_Toc351203631"/>
      <w:bookmarkStart w:id="1676" w:name="_Toc296346653"/>
      <w:bookmarkStart w:id="1677" w:name="_Toc256000169"/>
      <w:bookmarkStart w:id="1678" w:name="_Toc337558845"/>
    </w:p>
    <w:p>
      <w:pPr>
        <w:pStyle w:val="23"/>
        <w:autoSpaceDE w:val="0"/>
        <w:autoSpaceDN w:val="0"/>
        <w:adjustRightInd w:val="0"/>
        <w:spacing w:line="360" w:lineRule="auto"/>
        <w:ind w:firstLine="422" w:firstLineChars="200"/>
        <w:jc w:val="left"/>
        <w:rPr>
          <w:rFonts w:ascii="宋体" w:hAnsi="宋体" w:cs="宋体"/>
          <w:b/>
          <w:color w:val="auto"/>
          <w:highlight w:val="none"/>
        </w:rPr>
      </w:pPr>
      <w:r>
        <w:rPr>
          <w:rFonts w:hint="eastAsia" w:ascii="宋体" w:hAnsi="宋体" w:cs="宋体"/>
          <w:b/>
          <w:color w:val="auto"/>
          <w:highlight w:val="none"/>
        </w:rPr>
        <w:t>20.5争议解决条款效力</w:t>
      </w:r>
      <w:bookmarkEnd w:id="1673"/>
      <w:bookmarkEnd w:id="1674"/>
      <w:bookmarkEnd w:id="1675"/>
      <w:bookmarkEnd w:id="1676"/>
      <w:bookmarkEnd w:id="1677"/>
      <w:bookmarkEnd w:id="1678"/>
      <w:bookmarkStart w:id="1679" w:name="_Toc256000170"/>
    </w:p>
    <w:p>
      <w:pPr>
        <w:pStyle w:val="23"/>
        <w:autoSpaceDE w:val="0"/>
        <w:autoSpaceDN w:val="0"/>
        <w:adjustRightInd w:val="0"/>
        <w:spacing w:line="360" w:lineRule="auto"/>
        <w:ind w:firstLine="420" w:firstLineChars="200"/>
        <w:jc w:val="left"/>
        <w:rPr>
          <w:rFonts w:ascii="宋体" w:hAnsi="宋体" w:cs="宋体"/>
          <w:bCs/>
          <w:color w:val="auto"/>
          <w:kern w:val="0"/>
          <w:highlight w:val="none"/>
        </w:rPr>
      </w:pPr>
      <w:r>
        <w:rPr>
          <w:rFonts w:hint="eastAsia" w:ascii="宋体" w:hAnsi="宋体" w:cs="宋体"/>
          <w:bCs/>
          <w:color w:val="auto"/>
          <w:kern w:val="0"/>
          <w:highlight w:val="none"/>
        </w:rPr>
        <w:t>合同有关争议解决的条款独立存在，合同的变更、解除、终止、无效或者被撤销均不影响其效力。</w:t>
      </w:r>
      <w:bookmarkEnd w:id="1679"/>
    </w:p>
    <w:p>
      <w:pPr>
        <w:pStyle w:val="24"/>
        <w:ind w:left="63" w:right="63"/>
        <w:rPr>
          <w:color w:val="auto"/>
          <w:highlight w:val="none"/>
        </w:rPr>
      </w:pPr>
    </w:p>
    <w:p>
      <w:pPr>
        <w:pStyle w:val="24"/>
        <w:ind w:left="63" w:right="63"/>
        <w:rPr>
          <w:color w:val="auto"/>
          <w:highlight w:val="none"/>
        </w:rPr>
      </w:pPr>
    </w:p>
    <w:p>
      <w:pPr>
        <w:pStyle w:val="24"/>
        <w:ind w:left="63" w:right="63"/>
        <w:rPr>
          <w:color w:val="auto"/>
          <w:highlight w:val="none"/>
        </w:rPr>
      </w:pPr>
    </w:p>
    <w:p>
      <w:pPr>
        <w:pStyle w:val="24"/>
        <w:ind w:left="63" w:right="63"/>
        <w:rPr>
          <w:color w:val="auto"/>
          <w:highlight w:val="none"/>
        </w:rPr>
      </w:pPr>
    </w:p>
    <w:p>
      <w:pPr>
        <w:pStyle w:val="24"/>
        <w:ind w:left="63" w:right="63"/>
        <w:rPr>
          <w:color w:val="auto"/>
          <w:highlight w:val="none"/>
        </w:rPr>
      </w:pPr>
    </w:p>
    <w:p>
      <w:pPr>
        <w:pStyle w:val="24"/>
        <w:ind w:left="63" w:right="63"/>
        <w:rPr>
          <w:color w:val="auto"/>
          <w:highlight w:val="none"/>
        </w:rPr>
      </w:pPr>
    </w:p>
    <w:p>
      <w:pPr>
        <w:pStyle w:val="24"/>
        <w:ind w:left="63" w:right="63"/>
        <w:rPr>
          <w:color w:val="auto"/>
          <w:highlight w:val="none"/>
        </w:rPr>
      </w:pPr>
    </w:p>
    <w:p>
      <w:pPr>
        <w:rPr>
          <w:rFonts w:ascii="宋体"/>
          <w:color w:val="auto"/>
          <w:sz w:val="32"/>
          <w:highlight w:val="none"/>
        </w:rPr>
      </w:pPr>
      <w:bookmarkStart w:id="1680" w:name="_Toc22443"/>
      <w:bookmarkStart w:id="1681" w:name="_Toc256000171"/>
      <w:r>
        <w:rPr>
          <w:rFonts w:ascii="宋体"/>
          <w:color w:val="auto"/>
          <w:sz w:val="32"/>
          <w:highlight w:val="none"/>
        </w:rPr>
        <w:br w:type="page"/>
      </w:r>
    </w:p>
    <w:p>
      <w:pPr>
        <w:pStyle w:val="21"/>
        <w:spacing w:line="400" w:lineRule="atLeast"/>
        <w:jc w:val="center"/>
        <w:rPr>
          <w:color w:val="auto"/>
          <w:highlight w:val="none"/>
        </w:rPr>
      </w:pPr>
      <w:bookmarkStart w:id="1682" w:name="_Toc13804"/>
      <w:bookmarkStart w:id="1683" w:name="_Toc14501"/>
      <w:bookmarkStart w:id="1684" w:name="_Toc16082"/>
      <w:bookmarkStart w:id="1685" w:name="_Toc5059"/>
      <w:r>
        <w:rPr>
          <w:rFonts w:ascii="宋体"/>
          <w:color w:val="auto"/>
          <w:sz w:val="32"/>
          <w:highlight w:val="none"/>
        </w:rPr>
        <w:t>第</w:t>
      </w:r>
      <w:r>
        <w:rPr>
          <w:rFonts w:hint="eastAsia" w:ascii="宋体"/>
          <w:color w:val="auto"/>
          <w:sz w:val="32"/>
          <w:highlight w:val="none"/>
        </w:rPr>
        <w:t>三</w:t>
      </w:r>
      <w:r>
        <w:rPr>
          <w:rFonts w:ascii="宋体"/>
          <w:color w:val="auto"/>
          <w:sz w:val="32"/>
          <w:highlight w:val="none"/>
        </w:rPr>
        <w:t>部分 专用合同条款</w:t>
      </w:r>
      <w:bookmarkEnd w:id="1680"/>
      <w:bookmarkEnd w:id="1681"/>
      <w:bookmarkEnd w:id="1682"/>
      <w:bookmarkEnd w:id="1683"/>
      <w:bookmarkEnd w:id="1684"/>
      <w:bookmarkEnd w:id="1685"/>
    </w:p>
    <w:p>
      <w:pPr>
        <w:pStyle w:val="21"/>
        <w:spacing w:line="360" w:lineRule="auto"/>
        <w:rPr>
          <w:rFonts w:ascii="宋体" w:cs="宋体"/>
          <w:color w:val="auto"/>
          <w:highlight w:val="none"/>
        </w:rPr>
      </w:pPr>
      <w:bookmarkStart w:id="1686" w:name="_Toc418751789"/>
      <w:bookmarkStart w:id="1687" w:name="_Toc8368"/>
      <w:bookmarkStart w:id="1688" w:name="_Toc12101"/>
      <w:bookmarkStart w:id="1689" w:name="_Toc27659"/>
      <w:bookmarkStart w:id="1690" w:name="_Toc418752235"/>
      <w:bookmarkStart w:id="1691" w:name="_Toc497747171"/>
      <w:bookmarkStart w:id="1692" w:name="_Toc256000172"/>
      <w:bookmarkStart w:id="1693" w:name="_Toc2771"/>
      <w:bookmarkStart w:id="1694" w:name="_Toc497746774"/>
      <w:bookmarkStart w:id="1695" w:name="_Toc406522213"/>
      <w:bookmarkStart w:id="1696" w:name="_Toc7805"/>
      <w:bookmarkStart w:id="1697" w:name="_Toc351203633"/>
      <w:bookmarkStart w:id="1698" w:name="_Toc522201723"/>
      <w:bookmarkStart w:id="1699" w:name="_Toc484024116"/>
      <w:r>
        <w:rPr>
          <w:rFonts w:hint="eastAsia" w:ascii="宋体" w:cs="宋体"/>
          <w:color w:val="auto"/>
          <w:highlight w:val="none"/>
        </w:rPr>
        <w:t>1</w:t>
      </w:r>
      <w:bookmarkStart w:id="1700" w:name="_Toc296347155"/>
      <w:bookmarkStart w:id="1701" w:name="_Toc297048342"/>
      <w:bookmarkStart w:id="1702" w:name="_Toc296503156"/>
      <w:bookmarkStart w:id="1703" w:name="_Toc296944495"/>
      <w:bookmarkStart w:id="1704" w:name="_Toc296891196"/>
      <w:bookmarkStart w:id="1705" w:name="_Toc292559866"/>
      <w:bookmarkStart w:id="1706" w:name="_Toc292559361"/>
      <w:bookmarkStart w:id="1707" w:name="_Toc296346657"/>
      <w:bookmarkStart w:id="1708" w:name="_Toc296890984"/>
      <w:bookmarkStart w:id="1709" w:name="_Toc297120456"/>
      <w:r>
        <w:rPr>
          <w:rFonts w:hint="eastAsia" w:ascii="宋体" w:cs="宋体"/>
          <w:color w:val="auto"/>
          <w:highlight w:val="none"/>
        </w:rPr>
        <w:t>. 一般约定</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p>
    <w:bookmarkEnd w:id="1700"/>
    <w:bookmarkEnd w:id="1701"/>
    <w:bookmarkEnd w:id="1702"/>
    <w:bookmarkEnd w:id="1703"/>
    <w:bookmarkEnd w:id="1704"/>
    <w:bookmarkEnd w:id="1705"/>
    <w:bookmarkEnd w:id="1706"/>
    <w:bookmarkEnd w:id="1707"/>
    <w:bookmarkEnd w:id="1708"/>
    <w:bookmarkEnd w:id="1709"/>
    <w:p>
      <w:pPr>
        <w:pStyle w:val="21"/>
        <w:spacing w:line="360" w:lineRule="auto"/>
        <w:ind w:firstLine="422" w:firstLineChars="200"/>
        <w:rPr>
          <w:rFonts w:ascii="宋体" w:cs="宋体"/>
          <w:color w:val="auto"/>
          <w:highlight w:val="none"/>
        </w:rPr>
      </w:pPr>
      <w:bookmarkStart w:id="1710" w:name="_Toc5171"/>
      <w:bookmarkStart w:id="1711" w:name="_Toc12548"/>
      <w:bookmarkStart w:id="1712" w:name="_Toc522201724"/>
      <w:bookmarkStart w:id="1713" w:name="_Toc497746775"/>
      <w:bookmarkStart w:id="1714" w:name="_Toc9325"/>
      <w:bookmarkStart w:id="1715" w:name="_Toc418751790"/>
      <w:bookmarkStart w:id="1716" w:name="_Toc497747172"/>
      <w:bookmarkStart w:id="1717" w:name="_Toc256000173"/>
      <w:bookmarkStart w:id="1718" w:name="_Toc406522214"/>
      <w:bookmarkStart w:id="1719" w:name="_Toc14374"/>
      <w:bookmarkStart w:id="1720" w:name="_Toc418752236"/>
      <w:bookmarkStart w:id="1721" w:name="_Toc21168"/>
      <w:r>
        <w:rPr>
          <w:rFonts w:hint="eastAsia" w:ascii="宋体" w:cs="宋体"/>
          <w:color w:val="auto"/>
          <w:highlight w:val="none"/>
        </w:rPr>
        <w:t>1.1 词语定义</w:t>
      </w:r>
      <w:bookmarkEnd w:id="1710"/>
      <w:bookmarkEnd w:id="1711"/>
      <w:bookmarkEnd w:id="1712"/>
      <w:bookmarkEnd w:id="1713"/>
      <w:bookmarkEnd w:id="1714"/>
      <w:bookmarkEnd w:id="1715"/>
      <w:bookmarkEnd w:id="1716"/>
      <w:bookmarkEnd w:id="1717"/>
      <w:bookmarkEnd w:id="1718"/>
      <w:bookmarkEnd w:id="1719"/>
      <w:bookmarkEnd w:id="1720"/>
      <w:bookmarkEnd w:id="1721"/>
    </w:p>
    <w:p>
      <w:pPr>
        <w:pStyle w:val="28"/>
        <w:spacing w:line="360" w:lineRule="auto"/>
        <w:rPr>
          <w:rFonts w:ascii="宋体" w:hAnsi="宋体" w:cs="宋体"/>
          <w:color w:val="auto"/>
          <w:highlight w:val="none"/>
        </w:rPr>
      </w:pPr>
      <w:r>
        <w:rPr>
          <w:rFonts w:hint="eastAsia" w:ascii="宋体" w:hAnsi="宋体" w:cs="宋体"/>
          <w:color w:val="auto"/>
          <w:highlight w:val="none"/>
        </w:rPr>
        <w:t>1.1.1合同</w:t>
      </w:r>
    </w:p>
    <w:p>
      <w:pPr>
        <w:pStyle w:val="28"/>
        <w:spacing w:line="360" w:lineRule="auto"/>
        <w:rPr>
          <w:rFonts w:ascii="宋体" w:hAnsi="宋体" w:cs="宋体"/>
          <w:color w:val="auto"/>
          <w:highlight w:val="none"/>
          <w:u w:val="single"/>
        </w:rPr>
      </w:pPr>
      <w:r>
        <w:rPr>
          <w:rFonts w:hint="eastAsia" w:ascii="宋体" w:hAnsi="宋体" w:cs="宋体"/>
          <w:color w:val="auto"/>
          <w:highlight w:val="none"/>
        </w:rPr>
        <w:t>1.1.1.10其他合同文件包括：</w:t>
      </w:r>
      <w:r>
        <w:rPr>
          <w:rFonts w:hint="eastAsia" w:ascii="宋体" w:hAnsi="宋体" w:cs="宋体"/>
          <w:color w:val="auto"/>
          <w:highlight w:val="none"/>
          <w:u w:val="single"/>
        </w:rPr>
        <w:t>（1）本合同协议书；（2）中标通知书；（3）投标书及其附件；（4）本合同专用条款及补充条款；（5）本合同通用条款；（6）标准、规范及有关技术文件；（7）图纸（含图纸修改通知单及图纸设计变更文件）；（8）工程量清单；（9）本工程预算控制价造价成果文件及其他合同文件</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1.1.2 合同当事人及其他相关方</w:t>
      </w:r>
    </w:p>
    <w:p>
      <w:pPr>
        <w:pStyle w:val="28"/>
        <w:spacing w:line="360" w:lineRule="auto"/>
        <w:rPr>
          <w:rFonts w:ascii="宋体" w:hAnsi="宋体" w:cs="宋体"/>
          <w:color w:val="auto"/>
          <w:highlight w:val="none"/>
        </w:rPr>
      </w:pPr>
      <w:r>
        <w:rPr>
          <w:rFonts w:hint="eastAsia" w:ascii="宋体" w:hAnsi="宋体" w:cs="宋体"/>
          <w:color w:val="auto"/>
          <w:highlight w:val="none"/>
        </w:rPr>
        <w:t>1.1.2.4监理人：</w:t>
      </w:r>
    </w:p>
    <w:p>
      <w:pPr>
        <w:pStyle w:val="28"/>
        <w:spacing w:line="360" w:lineRule="auto"/>
        <w:rPr>
          <w:rFonts w:ascii="宋体" w:hAnsi="宋体" w:cs="宋体"/>
          <w:color w:val="auto"/>
          <w:highlight w:val="none"/>
        </w:rPr>
      </w:pPr>
      <w:r>
        <w:rPr>
          <w:rFonts w:hint="eastAsia" w:ascii="宋体" w:hAnsi="宋体" w:cs="宋体"/>
          <w:color w:val="auto"/>
          <w:highlight w:val="none"/>
        </w:rPr>
        <w:t>名    称：</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资质类别和等级：</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联系电话：</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电子信箱：</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通信地址：</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1.1.2.5 设计人：</w:t>
      </w:r>
    </w:p>
    <w:p>
      <w:pPr>
        <w:pStyle w:val="28"/>
        <w:spacing w:line="360" w:lineRule="auto"/>
        <w:rPr>
          <w:rFonts w:ascii="宋体" w:hAnsi="宋体" w:cs="宋体"/>
          <w:color w:val="auto"/>
          <w:highlight w:val="none"/>
        </w:rPr>
      </w:pPr>
      <w:r>
        <w:rPr>
          <w:rFonts w:hint="eastAsia" w:ascii="宋体" w:hAnsi="宋体" w:cs="宋体"/>
          <w:color w:val="auto"/>
          <w:highlight w:val="none"/>
        </w:rPr>
        <w:t>名    称：</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资质类别和等级：</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联系电话：</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电子信箱：</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通信地址：</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1.1.3 工程和设备</w:t>
      </w:r>
    </w:p>
    <w:p>
      <w:pPr>
        <w:pStyle w:val="28"/>
        <w:spacing w:line="360" w:lineRule="auto"/>
        <w:rPr>
          <w:rFonts w:ascii="宋体" w:hAnsi="宋体" w:cs="宋体"/>
          <w:color w:val="auto"/>
          <w:highlight w:val="none"/>
        </w:rPr>
      </w:pPr>
      <w:r>
        <w:rPr>
          <w:rFonts w:hint="eastAsia" w:ascii="宋体" w:hAnsi="宋体" w:cs="宋体"/>
          <w:color w:val="auto"/>
          <w:highlight w:val="none"/>
        </w:rPr>
        <w:t>1.1.3.7 作为施工现场组成部分的其他场所包括：</w:t>
      </w:r>
      <w:r>
        <w:rPr>
          <w:rFonts w:hint="eastAsia" w:ascii="宋体" w:hAnsi="宋体" w:cs="宋体"/>
          <w:color w:val="auto"/>
          <w:highlight w:val="none"/>
          <w:u w:val="single"/>
        </w:rPr>
        <w:t xml:space="preserve">  按通用条款执行</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1.1.3.9 永久占地包括：</w:t>
      </w:r>
      <w:r>
        <w:rPr>
          <w:rFonts w:hint="eastAsia" w:ascii="宋体" w:hAnsi="宋体" w:cs="宋体"/>
          <w:color w:val="auto"/>
          <w:highlight w:val="none"/>
          <w:u w:val="single"/>
        </w:rPr>
        <w:t xml:space="preserve">  为实施工程需永久占用的土地</w:t>
      </w:r>
      <w:r>
        <w:rPr>
          <w:rFonts w:ascii="宋体" w:hAnsi="宋体" w:cs="宋体"/>
          <w:color w:val="auto"/>
          <w:highlight w:val="none"/>
          <w:u w:val="single"/>
        </w:rPr>
        <w:t></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1.1.3.10 临时占地包括：</w:t>
      </w:r>
      <w:r>
        <w:rPr>
          <w:rFonts w:hint="eastAsia" w:ascii="宋体" w:hAnsi="宋体" w:cs="宋体"/>
          <w:color w:val="auto"/>
          <w:highlight w:val="none"/>
          <w:u w:val="single"/>
        </w:rPr>
        <w:t xml:space="preserve"> 为实施工程需临时占用的土地 </w:t>
      </w:r>
      <w:r>
        <w:rPr>
          <w:rFonts w:hint="eastAsia" w:ascii="宋体" w:hAnsi="宋体" w:cs="宋体"/>
          <w:color w:val="auto"/>
          <w:highlight w:val="none"/>
        </w:rPr>
        <w:t>。</w:t>
      </w:r>
    </w:p>
    <w:p>
      <w:pPr>
        <w:pStyle w:val="21"/>
        <w:spacing w:line="360" w:lineRule="auto"/>
        <w:ind w:firstLine="422" w:firstLineChars="200"/>
        <w:rPr>
          <w:rFonts w:ascii="宋体" w:cs="宋体"/>
          <w:color w:val="auto"/>
          <w:highlight w:val="none"/>
        </w:rPr>
      </w:pPr>
      <w:bookmarkStart w:id="1722" w:name="_Toc27679"/>
      <w:bookmarkStart w:id="1723" w:name="_Toc497747173"/>
      <w:bookmarkStart w:id="1724" w:name="_Toc418752237"/>
      <w:bookmarkStart w:id="1725" w:name="_Toc497746776"/>
      <w:bookmarkStart w:id="1726" w:name="_Toc256000174"/>
      <w:bookmarkStart w:id="1727" w:name="_Toc16625"/>
      <w:bookmarkStart w:id="1728" w:name="_Toc4605"/>
      <w:bookmarkStart w:id="1729" w:name="_Toc406522215"/>
      <w:bookmarkStart w:id="1730" w:name="_Toc24700"/>
      <w:bookmarkStart w:id="1731" w:name="_Toc418751791"/>
      <w:bookmarkStart w:id="1732" w:name="_Toc522201725"/>
      <w:bookmarkStart w:id="1733" w:name="_Toc14901"/>
      <w:r>
        <w:rPr>
          <w:rFonts w:hint="eastAsia" w:ascii="宋体" w:cs="宋体"/>
          <w:color w:val="auto"/>
          <w:highlight w:val="none"/>
        </w:rPr>
        <w:t>1.3法律</w:t>
      </w:r>
      <w:bookmarkEnd w:id="1722"/>
      <w:bookmarkEnd w:id="1723"/>
      <w:bookmarkEnd w:id="1724"/>
      <w:bookmarkEnd w:id="1725"/>
      <w:bookmarkEnd w:id="1726"/>
      <w:bookmarkEnd w:id="1727"/>
      <w:bookmarkEnd w:id="1728"/>
      <w:bookmarkEnd w:id="1729"/>
      <w:bookmarkEnd w:id="1730"/>
      <w:bookmarkEnd w:id="1731"/>
      <w:bookmarkEnd w:id="1732"/>
      <w:bookmarkEnd w:id="1733"/>
      <w:r>
        <w:rPr>
          <w:rFonts w:hint="eastAsia" w:ascii="宋体" w:cs="宋体"/>
          <w:color w:val="auto"/>
          <w:highlight w:val="none"/>
        </w:rPr>
        <w:t xml:space="preserve"> </w:t>
      </w:r>
    </w:p>
    <w:p>
      <w:pPr>
        <w:pStyle w:val="28"/>
        <w:spacing w:line="360" w:lineRule="auto"/>
        <w:rPr>
          <w:rFonts w:ascii="宋体" w:hAnsi="宋体" w:cs="宋体"/>
          <w:color w:val="auto"/>
          <w:highlight w:val="none"/>
        </w:rPr>
      </w:pPr>
      <w:r>
        <w:rPr>
          <w:rFonts w:hint="eastAsia" w:ascii="宋体" w:hAnsi="宋体" w:cs="宋体"/>
          <w:color w:val="auto"/>
          <w:highlight w:val="none"/>
        </w:rPr>
        <w:t>适用于合同的其他规范性文件：</w:t>
      </w:r>
      <w:r>
        <w:rPr>
          <w:rFonts w:hint="eastAsia" w:ascii="宋体" w:hAnsi="宋体" w:cs="宋体"/>
          <w:color w:val="auto"/>
          <w:highlight w:val="none"/>
          <w:u w:val="single"/>
        </w:rPr>
        <w:t>同通用条款</w:t>
      </w:r>
      <w:r>
        <w:rPr>
          <w:rFonts w:hint="eastAsia" w:ascii="宋体" w:hAnsi="宋体" w:cs="宋体"/>
          <w:color w:val="auto"/>
          <w:highlight w:val="none"/>
        </w:rPr>
        <w:t>。</w:t>
      </w:r>
    </w:p>
    <w:p>
      <w:pPr>
        <w:pStyle w:val="21"/>
        <w:spacing w:line="360" w:lineRule="auto"/>
        <w:ind w:firstLine="422" w:firstLineChars="200"/>
        <w:rPr>
          <w:rFonts w:ascii="宋体" w:cs="宋体"/>
          <w:color w:val="auto"/>
          <w:highlight w:val="none"/>
        </w:rPr>
      </w:pPr>
      <w:bookmarkStart w:id="1734" w:name="_Toc256000175"/>
      <w:bookmarkStart w:id="1735" w:name="_Toc406522216"/>
      <w:bookmarkStart w:id="1736" w:name="_Toc24411"/>
      <w:bookmarkStart w:id="1737" w:name="_Toc3989"/>
      <w:bookmarkStart w:id="1738" w:name="_Toc522201726"/>
      <w:bookmarkStart w:id="1739" w:name="_Toc418751792"/>
      <w:bookmarkStart w:id="1740" w:name="_Toc5030"/>
      <w:bookmarkStart w:id="1741" w:name="_Toc7623"/>
      <w:bookmarkStart w:id="1742" w:name="_Toc497746777"/>
      <w:bookmarkStart w:id="1743" w:name="_Toc418752238"/>
      <w:bookmarkStart w:id="1744" w:name="_Toc497747174"/>
      <w:bookmarkStart w:id="1745" w:name="_Toc16187"/>
      <w:r>
        <w:rPr>
          <w:rFonts w:hint="eastAsia" w:ascii="宋体" w:cs="宋体"/>
          <w:color w:val="auto"/>
          <w:highlight w:val="none"/>
        </w:rPr>
        <w:t>1.4 标准和规范</w:t>
      </w:r>
      <w:bookmarkEnd w:id="1734"/>
      <w:bookmarkEnd w:id="1735"/>
      <w:bookmarkEnd w:id="1736"/>
      <w:bookmarkEnd w:id="1737"/>
      <w:bookmarkEnd w:id="1738"/>
      <w:bookmarkEnd w:id="1739"/>
      <w:bookmarkEnd w:id="1740"/>
      <w:bookmarkEnd w:id="1741"/>
      <w:bookmarkEnd w:id="1742"/>
      <w:bookmarkEnd w:id="1743"/>
      <w:bookmarkEnd w:id="1744"/>
      <w:bookmarkEnd w:id="1745"/>
    </w:p>
    <w:p>
      <w:pPr>
        <w:pStyle w:val="28"/>
        <w:spacing w:line="360" w:lineRule="auto"/>
        <w:rPr>
          <w:rFonts w:ascii="宋体" w:hAnsi="宋体" w:cs="宋体"/>
          <w:color w:val="auto"/>
          <w:highlight w:val="none"/>
        </w:rPr>
      </w:pPr>
      <w:r>
        <w:rPr>
          <w:rFonts w:hint="eastAsia" w:ascii="宋体" w:hAnsi="宋体" w:cs="宋体"/>
          <w:color w:val="auto"/>
          <w:highlight w:val="none"/>
        </w:rPr>
        <w:t>1.4.1适用于工程的标准规范包括：</w:t>
      </w:r>
      <w:r>
        <w:rPr>
          <w:rFonts w:hint="eastAsia" w:ascii="宋体" w:hAnsi="宋体" w:cs="宋体"/>
          <w:color w:val="auto"/>
          <w:highlight w:val="none"/>
          <w:u w:val="single"/>
        </w:rPr>
        <w:t>现行国家、地方、部门有关标准规范</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1.4.2 发包人提供国外标准、规范的名称：</w:t>
      </w:r>
      <w:r>
        <w:rPr>
          <w:rFonts w:hint="eastAsia" w:ascii="宋体" w:hAnsi="宋体" w:cs="宋体"/>
          <w:color w:val="auto"/>
          <w:highlight w:val="none"/>
          <w:u w:val="single"/>
        </w:rPr>
        <w:t xml:space="preserve"> 无 </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发包人提供国外标准、规范的份数：</w:t>
      </w:r>
      <w:r>
        <w:rPr>
          <w:rFonts w:hint="eastAsia" w:ascii="宋体" w:hAnsi="宋体" w:cs="宋体"/>
          <w:color w:val="auto"/>
          <w:highlight w:val="none"/>
          <w:u w:val="single"/>
        </w:rPr>
        <w:t xml:space="preserve">  无 </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发包人提供国外标准、规范的名称：</w:t>
      </w:r>
      <w:r>
        <w:rPr>
          <w:rFonts w:hint="eastAsia" w:ascii="宋体" w:hAnsi="宋体" w:cs="宋体"/>
          <w:color w:val="auto"/>
          <w:highlight w:val="none"/>
          <w:u w:val="single"/>
        </w:rPr>
        <w:t xml:space="preserve"> 无 </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1.4.3发包人对工程的技术标准和功能要求的特殊要求：</w:t>
      </w:r>
      <w:r>
        <w:rPr>
          <w:rFonts w:hint="eastAsia" w:ascii="宋体" w:hAnsi="宋体" w:cs="宋体"/>
          <w:color w:val="auto"/>
          <w:highlight w:val="none"/>
          <w:u w:val="single"/>
        </w:rPr>
        <w:t xml:space="preserve">无 </w:t>
      </w:r>
      <w:r>
        <w:rPr>
          <w:rFonts w:hint="eastAsia" w:ascii="宋体" w:hAnsi="宋体" w:cs="宋体"/>
          <w:color w:val="auto"/>
          <w:highlight w:val="none"/>
        </w:rPr>
        <w:t>。</w:t>
      </w:r>
    </w:p>
    <w:p>
      <w:pPr>
        <w:pStyle w:val="21"/>
        <w:spacing w:line="360" w:lineRule="auto"/>
        <w:ind w:firstLine="422" w:firstLineChars="200"/>
        <w:rPr>
          <w:rFonts w:ascii="宋体" w:cs="宋体"/>
          <w:color w:val="auto"/>
          <w:highlight w:val="none"/>
        </w:rPr>
      </w:pPr>
      <w:bookmarkStart w:id="1746" w:name="_Toc406522217"/>
      <w:bookmarkStart w:id="1747" w:name="_Toc13211"/>
      <w:bookmarkStart w:id="1748" w:name="_Toc256000176"/>
      <w:bookmarkStart w:id="1749" w:name="_Toc418751793"/>
      <w:bookmarkStart w:id="1750" w:name="_Toc10184"/>
      <w:bookmarkStart w:id="1751" w:name="_Toc497746778"/>
      <w:bookmarkStart w:id="1752" w:name="_Toc418752239"/>
      <w:bookmarkStart w:id="1753" w:name="_Toc8002"/>
      <w:bookmarkStart w:id="1754" w:name="_Toc522201727"/>
      <w:bookmarkStart w:id="1755" w:name="_Toc11485"/>
      <w:bookmarkStart w:id="1756" w:name="_Toc497747175"/>
      <w:bookmarkStart w:id="1757" w:name="_Toc31681"/>
      <w:r>
        <w:rPr>
          <w:rFonts w:hint="eastAsia" w:ascii="宋体" w:cs="宋体"/>
          <w:color w:val="auto"/>
          <w:highlight w:val="none"/>
        </w:rPr>
        <w:t>1.5 合同文件的优先顺序</w:t>
      </w:r>
      <w:bookmarkEnd w:id="1746"/>
      <w:bookmarkEnd w:id="1747"/>
      <w:bookmarkEnd w:id="1748"/>
      <w:bookmarkEnd w:id="1749"/>
      <w:bookmarkEnd w:id="1750"/>
      <w:bookmarkEnd w:id="1751"/>
      <w:bookmarkEnd w:id="1752"/>
      <w:bookmarkEnd w:id="1753"/>
      <w:bookmarkEnd w:id="1754"/>
      <w:bookmarkEnd w:id="1755"/>
      <w:bookmarkEnd w:id="1756"/>
      <w:bookmarkEnd w:id="1757"/>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合同文件组成及优先顺序为：</w:t>
      </w:r>
    </w:p>
    <w:p>
      <w:pPr>
        <w:pStyle w:val="23"/>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（1）合同协议书；</w:t>
      </w:r>
    </w:p>
    <w:p>
      <w:pPr>
        <w:pStyle w:val="23"/>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（2）中标通知书（如果有）；</w:t>
      </w:r>
    </w:p>
    <w:p>
      <w:pPr>
        <w:pStyle w:val="23"/>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（3）投标函及其附录（如果有）；</w:t>
      </w:r>
    </w:p>
    <w:p>
      <w:pPr>
        <w:pStyle w:val="23"/>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（4）专用合同条款及其附件；</w:t>
      </w:r>
    </w:p>
    <w:p>
      <w:pPr>
        <w:pStyle w:val="23"/>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（5）通用合同条款；</w:t>
      </w:r>
    </w:p>
    <w:p>
      <w:pPr>
        <w:pStyle w:val="23"/>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（6）技术标准和要求 ；</w:t>
      </w:r>
    </w:p>
    <w:p>
      <w:pPr>
        <w:pStyle w:val="23"/>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（7）图纸（含图纸修改通知单及图纸设计变更文件） ；</w:t>
      </w:r>
    </w:p>
    <w:p>
      <w:pPr>
        <w:pStyle w:val="23"/>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（8）已标价工程量清单 ；</w:t>
      </w:r>
    </w:p>
    <w:p>
      <w:pPr>
        <w:pStyle w:val="23"/>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（9）其他合同文件（包括本工程预算控制价造价成果文件、招标文件等文件）；</w:t>
      </w:r>
    </w:p>
    <w:p>
      <w:pPr>
        <w:pStyle w:val="23"/>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10）《建设工程工程量清单计价规范（GB5050-2013）》及其广西实施细则及《关于建筑业实施营业税改征增值税后广西壮族自治区建设工程计价依据调整的通知》（桂建标〔2016〕17号）、《建设工程工程量清单计算规范（GB50854～50862-2013）》及其广西实施细则（修订本）。</w:t>
      </w:r>
    </w:p>
    <w:p>
      <w:pPr>
        <w:pStyle w:val="21"/>
        <w:spacing w:line="360" w:lineRule="auto"/>
        <w:ind w:firstLine="422" w:firstLineChars="200"/>
        <w:rPr>
          <w:rFonts w:ascii="宋体" w:cs="宋体"/>
          <w:color w:val="auto"/>
          <w:kern w:val="0"/>
          <w:highlight w:val="none"/>
        </w:rPr>
      </w:pPr>
      <w:bookmarkStart w:id="1758" w:name="_Toc31634"/>
      <w:bookmarkStart w:id="1759" w:name="_Toc256000177"/>
      <w:bookmarkStart w:id="1760" w:name="_Toc6336"/>
      <w:bookmarkStart w:id="1761" w:name="_Toc6707"/>
      <w:bookmarkStart w:id="1762" w:name="_Toc1387"/>
      <w:bookmarkStart w:id="1763" w:name="_Toc532"/>
      <w:bookmarkStart w:id="1764" w:name="_Toc418751794"/>
      <w:bookmarkStart w:id="1765" w:name="_Toc497747176"/>
      <w:bookmarkStart w:id="1766" w:name="_Toc522201728"/>
      <w:bookmarkStart w:id="1767" w:name="_Toc418752240"/>
      <w:bookmarkStart w:id="1768" w:name="_Toc406522218"/>
      <w:bookmarkStart w:id="1769" w:name="_Toc497746779"/>
      <w:r>
        <w:rPr>
          <w:rFonts w:hint="eastAsia" w:ascii="宋体" w:cs="宋体"/>
          <w:color w:val="auto"/>
          <w:kern w:val="0"/>
          <w:highlight w:val="none"/>
        </w:rPr>
        <w:t>说明：（6）、（7）、（8）、（9）填空内容分别限于技术标准和要求、图纸、已标价工程量清单或预算书、其他合同文件四者之一，其优先顺序可根据采取的不同合同方式由双方约定。</w:t>
      </w:r>
      <w:bookmarkEnd w:id="1758"/>
      <w:bookmarkEnd w:id="1759"/>
      <w:bookmarkEnd w:id="1760"/>
      <w:bookmarkEnd w:id="1761"/>
      <w:bookmarkEnd w:id="1762"/>
      <w:bookmarkEnd w:id="1763"/>
    </w:p>
    <w:p>
      <w:pPr>
        <w:pStyle w:val="21"/>
        <w:spacing w:line="360" w:lineRule="auto"/>
        <w:ind w:firstLine="422" w:firstLineChars="200"/>
        <w:rPr>
          <w:rFonts w:ascii="宋体" w:cs="宋体"/>
          <w:color w:val="auto"/>
          <w:highlight w:val="none"/>
        </w:rPr>
      </w:pPr>
      <w:bookmarkStart w:id="1770" w:name="_Toc31374"/>
      <w:bookmarkStart w:id="1771" w:name="_Toc24964"/>
      <w:bookmarkStart w:id="1772" w:name="_Toc1425"/>
      <w:bookmarkStart w:id="1773" w:name="_Toc28881"/>
      <w:bookmarkStart w:id="1774" w:name="_Toc14764"/>
      <w:bookmarkStart w:id="1775" w:name="_Toc256000178"/>
      <w:r>
        <w:rPr>
          <w:rFonts w:hint="eastAsia" w:ascii="宋体" w:cs="宋体"/>
          <w:color w:val="auto"/>
          <w:highlight w:val="none"/>
        </w:rPr>
        <w:t>1.6 图纸和承包人文件</w:t>
      </w:r>
      <w:bookmarkEnd w:id="1764"/>
      <w:bookmarkEnd w:id="1765"/>
      <w:bookmarkEnd w:id="1766"/>
      <w:bookmarkEnd w:id="1767"/>
      <w:bookmarkEnd w:id="1768"/>
      <w:bookmarkEnd w:id="1769"/>
      <w:bookmarkEnd w:id="1770"/>
      <w:bookmarkEnd w:id="1771"/>
      <w:bookmarkEnd w:id="1772"/>
      <w:bookmarkEnd w:id="1773"/>
      <w:bookmarkEnd w:id="1774"/>
      <w:bookmarkEnd w:id="1775"/>
      <w:r>
        <w:rPr>
          <w:rFonts w:hint="eastAsia" w:ascii="宋体" w:cs="宋体"/>
          <w:color w:val="auto"/>
          <w:highlight w:val="none"/>
        </w:rPr>
        <w:tab/>
      </w:r>
    </w:p>
    <w:p>
      <w:pPr>
        <w:pStyle w:val="28"/>
        <w:spacing w:line="360" w:lineRule="auto"/>
        <w:rPr>
          <w:rFonts w:ascii="宋体" w:hAnsi="宋体" w:cs="宋体"/>
          <w:color w:val="auto"/>
          <w:highlight w:val="none"/>
        </w:rPr>
      </w:pPr>
      <w:r>
        <w:rPr>
          <w:rFonts w:hint="eastAsia" w:ascii="宋体" w:hAnsi="宋体" w:cs="宋体"/>
          <w:color w:val="auto"/>
          <w:highlight w:val="none"/>
        </w:rPr>
        <w:t>1.6.1 图纸的提供</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发包人向承包人提供图纸的期限：</w:t>
      </w:r>
      <w:r>
        <w:rPr>
          <w:rFonts w:hint="eastAsia" w:ascii="宋体" w:hAnsi="宋体" w:cs="宋体"/>
          <w:color w:val="auto"/>
          <w:szCs w:val="21"/>
          <w:highlight w:val="none"/>
          <w:u w:val="single"/>
        </w:rPr>
        <w:t>合同签订生效后7天内</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发包人向承包人提供图纸的数量：</w:t>
      </w:r>
      <w:r>
        <w:rPr>
          <w:rFonts w:hint="eastAsia" w:ascii="宋体" w:hAnsi="宋体" w:cs="宋体"/>
          <w:color w:val="auto"/>
          <w:szCs w:val="21"/>
          <w:highlight w:val="none"/>
          <w:u w:val="single"/>
        </w:rPr>
        <w:t>贰份，上述图纸及技术资料，未经监理工程师和发包人同意，承包人不得提供给与本工程无关的第三方。承包人需要增加图纸套数的，承包人自行复制，复制费用由承包人承担。</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发包人向承包人提供图纸的内容：</w:t>
      </w:r>
      <w:r>
        <w:rPr>
          <w:rFonts w:hint="eastAsia" w:ascii="宋体" w:hAnsi="宋体" w:cs="宋体"/>
          <w:color w:val="auto"/>
          <w:kern w:val="0"/>
          <w:szCs w:val="21"/>
          <w:highlight w:val="none"/>
          <w:u w:val="single"/>
        </w:rPr>
        <w:t>全套施工图纸和其他技术资料</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1.6.4 承包人文件</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需要由承包人提供的文件，包括：</w:t>
      </w:r>
      <w:r>
        <w:rPr>
          <w:rFonts w:hint="eastAsia" w:ascii="宋体" w:hAnsi="宋体" w:cs="宋体"/>
          <w:color w:val="auto"/>
          <w:szCs w:val="21"/>
          <w:highlight w:val="none"/>
          <w:u w:val="single"/>
        </w:rPr>
        <w:t>1、施工组织设计；2、工程进度计划；3、管理人员名单、职称、职务、上岗证等；4、安全文明施工措施；5、质量保证体系；6、每月25日前提供当月施工统计报表和下月进度计划各一份交监理工程师及发包人；7</w:t>
      </w:r>
      <w:r>
        <w:rPr>
          <w:rFonts w:hint="eastAsia" w:ascii="宋体" w:hAnsi="宋体" w:cs="宋体"/>
          <w:color w:val="auto"/>
          <w:szCs w:val="21"/>
          <w:highlight w:val="none"/>
          <w:u w:val="single"/>
          <w:lang w:val="zh-CN"/>
        </w:rPr>
        <w:t>、</w:t>
      </w:r>
      <w:r>
        <w:rPr>
          <w:rFonts w:hint="eastAsia" w:ascii="宋体" w:hAnsi="宋体" w:cs="宋体"/>
          <w:color w:val="auto"/>
          <w:szCs w:val="21"/>
          <w:highlight w:val="none"/>
          <w:u w:val="single"/>
        </w:rPr>
        <w:t>施工图以外的大样图、加工图、标准图、以及建筑装饰深化设计图纸设计优化建议等。但设计成果文件需经原设计单位审核及认可。最终设计成果归发包人所有。</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承包人提供的文件的期限为：</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u w:val="single"/>
        </w:rPr>
        <w:t xml:space="preserve">开始施工前7天内  </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承包人提供的文件的数量为：</w:t>
      </w:r>
      <w:r>
        <w:rPr>
          <w:rFonts w:hint="eastAsia" w:ascii="宋体" w:hAnsi="宋体" w:cs="宋体"/>
          <w:color w:val="auto"/>
          <w:szCs w:val="21"/>
          <w:highlight w:val="none"/>
          <w:u w:val="single"/>
        </w:rPr>
        <w:t xml:space="preserve">  6</w:t>
      </w:r>
      <w:r>
        <w:rPr>
          <w:rFonts w:hint="eastAsia" w:ascii="宋体" w:hAnsi="宋体" w:cs="宋体"/>
          <w:color w:val="auto"/>
          <w:kern w:val="0"/>
          <w:szCs w:val="21"/>
          <w:highlight w:val="none"/>
          <w:u w:val="single"/>
        </w:rPr>
        <w:t>份</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承包人提供的文件的形式为：</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u w:val="single"/>
        </w:rPr>
        <w:t>纸质版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发包人审批承包人文件的期限：</w:t>
      </w:r>
      <w:r>
        <w:rPr>
          <w:rFonts w:hint="eastAsia" w:ascii="宋体" w:hAnsi="宋体" w:cs="宋体"/>
          <w:color w:val="auto"/>
          <w:highlight w:val="none"/>
          <w:u w:val="single"/>
        </w:rPr>
        <w:t xml:space="preserve"> 收到承包人提供的文件后七天内 </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1.6.5 现场图纸准备</w:t>
      </w:r>
    </w:p>
    <w:p>
      <w:pPr>
        <w:pStyle w:val="28"/>
        <w:spacing w:line="360" w:lineRule="auto"/>
        <w:rPr>
          <w:rFonts w:ascii="宋体" w:hAnsi="宋体" w:cs="宋体"/>
          <w:color w:val="auto"/>
          <w:highlight w:val="none"/>
        </w:rPr>
      </w:pPr>
      <w:r>
        <w:rPr>
          <w:rFonts w:hint="eastAsia" w:ascii="宋体" w:hAnsi="宋体" w:cs="宋体"/>
          <w:color w:val="auto"/>
          <w:highlight w:val="none"/>
        </w:rPr>
        <w:t>关于现场图纸准备的约定：</w:t>
      </w:r>
      <w:r>
        <w:rPr>
          <w:rFonts w:hint="eastAsia" w:ascii="宋体" w:hAnsi="宋体" w:cs="宋体"/>
          <w:color w:val="auto"/>
          <w:highlight w:val="none"/>
          <w:u w:val="single"/>
        </w:rPr>
        <w:t xml:space="preserve">  按通用条款执行</w:t>
      </w:r>
      <w:r>
        <w:rPr>
          <w:rFonts w:hint="eastAsia" w:ascii="宋体" w:hAnsi="宋体" w:cs="宋体"/>
          <w:color w:val="auto"/>
          <w:highlight w:val="none"/>
        </w:rPr>
        <w:t>。</w:t>
      </w:r>
    </w:p>
    <w:p>
      <w:pPr>
        <w:pStyle w:val="21"/>
        <w:spacing w:line="360" w:lineRule="auto"/>
        <w:ind w:firstLine="422" w:firstLineChars="200"/>
        <w:rPr>
          <w:rFonts w:ascii="宋体" w:cs="宋体"/>
          <w:color w:val="auto"/>
          <w:highlight w:val="none"/>
        </w:rPr>
      </w:pPr>
      <w:bookmarkStart w:id="1776" w:name="_Toc21993"/>
      <w:bookmarkStart w:id="1777" w:name="_Toc497746780"/>
      <w:bookmarkStart w:id="1778" w:name="_Toc497747177"/>
      <w:bookmarkStart w:id="1779" w:name="_Toc418751795"/>
      <w:bookmarkStart w:id="1780" w:name="_Toc18330"/>
      <w:bookmarkStart w:id="1781" w:name="_Toc13099"/>
      <w:bookmarkStart w:id="1782" w:name="_Toc418752241"/>
      <w:bookmarkStart w:id="1783" w:name="_Toc522201729"/>
      <w:bookmarkStart w:id="1784" w:name="_Toc8839"/>
      <w:bookmarkStart w:id="1785" w:name="_Toc13425"/>
      <w:bookmarkStart w:id="1786" w:name="_Toc406522219"/>
      <w:bookmarkStart w:id="1787" w:name="_Toc256000179"/>
      <w:r>
        <w:rPr>
          <w:rFonts w:hint="eastAsia" w:ascii="宋体" w:cs="宋体"/>
          <w:color w:val="auto"/>
          <w:highlight w:val="none"/>
        </w:rPr>
        <w:t>1.7 联络</w:t>
      </w:r>
      <w:bookmarkEnd w:id="1776"/>
      <w:bookmarkEnd w:id="1777"/>
      <w:bookmarkEnd w:id="1778"/>
      <w:bookmarkEnd w:id="1779"/>
      <w:bookmarkEnd w:id="1780"/>
      <w:bookmarkEnd w:id="1781"/>
      <w:bookmarkEnd w:id="1782"/>
      <w:bookmarkEnd w:id="1783"/>
      <w:bookmarkEnd w:id="1784"/>
      <w:bookmarkEnd w:id="1785"/>
      <w:bookmarkEnd w:id="1786"/>
      <w:bookmarkEnd w:id="1787"/>
    </w:p>
    <w:p>
      <w:pPr>
        <w:pStyle w:val="28"/>
        <w:spacing w:line="360" w:lineRule="auto"/>
        <w:rPr>
          <w:rFonts w:ascii="宋体" w:hAnsi="宋体" w:cs="宋体"/>
          <w:color w:val="auto"/>
          <w:highlight w:val="none"/>
        </w:rPr>
      </w:pPr>
      <w:r>
        <w:rPr>
          <w:rFonts w:hint="eastAsia" w:ascii="宋体" w:hAnsi="宋体" w:cs="宋体"/>
          <w:color w:val="auto"/>
          <w:highlight w:val="none"/>
        </w:rPr>
        <w:t>1.7.1发包人和承包人应当在</w:t>
      </w:r>
      <w:r>
        <w:rPr>
          <w:rFonts w:hint="eastAsia" w:ascii="宋体" w:hAnsi="宋体" w:cs="宋体"/>
          <w:color w:val="auto"/>
          <w:highlight w:val="none"/>
          <w:u w:val="single"/>
        </w:rPr>
        <w:t xml:space="preserve">  7 </w:t>
      </w:r>
      <w:r>
        <w:rPr>
          <w:rFonts w:hint="eastAsia" w:ascii="宋体" w:hAnsi="宋体" w:cs="宋体"/>
          <w:color w:val="auto"/>
          <w:highlight w:val="none"/>
        </w:rPr>
        <w:t>天内将与合同有关的通知、批准、证明、证书、指示、指令、要求、请求、同意、意见、确定和决定等书面函件送达对方当事人。</w:t>
      </w:r>
    </w:p>
    <w:p>
      <w:pPr>
        <w:pStyle w:val="23"/>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1.7.2发包人接收文件的地点：</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rPr>
        <w:t>；</w:t>
      </w:r>
    </w:p>
    <w:p>
      <w:pPr>
        <w:pStyle w:val="23"/>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发包人指定的接收人为：</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pStyle w:val="23"/>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承包人接收文件的地点：</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u w:val="single"/>
        </w:rPr>
        <w:t>施工现场项目部</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rPr>
        <w:t>；</w:t>
      </w:r>
    </w:p>
    <w:p>
      <w:pPr>
        <w:pStyle w:val="23"/>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承包人指定的接收人为：</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rPr>
        <w:t>。</w:t>
      </w:r>
    </w:p>
    <w:p>
      <w:pPr>
        <w:pStyle w:val="23"/>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监理人接收文件的地点：</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监理人指定的接收人为：</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21"/>
        <w:spacing w:line="360" w:lineRule="auto"/>
        <w:ind w:firstLine="422" w:firstLineChars="200"/>
        <w:rPr>
          <w:rFonts w:ascii="宋体" w:cs="宋体"/>
          <w:color w:val="auto"/>
          <w:highlight w:val="none"/>
        </w:rPr>
      </w:pPr>
      <w:bookmarkStart w:id="1788" w:name="_Toc497746781"/>
      <w:bookmarkStart w:id="1789" w:name="_Toc22720"/>
      <w:bookmarkStart w:id="1790" w:name="_Toc418752242"/>
      <w:bookmarkStart w:id="1791" w:name="_Toc32563"/>
      <w:bookmarkStart w:id="1792" w:name="_Toc30840"/>
      <w:bookmarkStart w:id="1793" w:name="_Toc12396"/>
      <w:bookmarkStart w:id="1794" w:name="_Toc522201730"/>
      <w:bookmarkStart w:id="1795" w:name="_Toc24553"/>
      <w:bookmarkStart w:id="1796" w:name="_Toc256000180"/>
      <w:bookmarkStart w:id="1797" w:name="_Toc497747178"/>
      <w:bookmarkStart w:id="1798" w:name="_Toc418751796"/>
      <w:bookmarkStart w:id="1799" w:name="_Toc406522220"/>
      <w:r>
        <w:rPr>
          <w:rFonts w:hint="eastAsia" w:ascii="宋体" w:cs="宋体"/>
          <w:color w:val="auto"/>
          <w:highlight w:val="none"/>
        </w:rPr>
        <w:t>1.10 交通运输</w:t>
      </w:r>
      <w:bookmarkEnd w:id="1788"/>
      <w:bookmarkEnd w:id="1789"/>
      <w:bookmarkEnd w:id="1790"/>
      <w:bookmarkEnd w:id="1791"/>
      <w:bookmarkEnd w:id="1792"/>
      <w:bookmarkEnd w:id="1793"/>
      <w:bookmarkEnd w:id="1794"/>
      <w:bookmarkEnd w:id="1795"/>
      <w:bookmarkEnd w:id="1796"/>
      <w:bookmarkEnd w:id="1797"/>
      <w:bookmarkEnd w:id="1798"/>
      <w:bookmarkEnd w:id="1799"/>
    </w:p>
    <w:p>
      <w:pPr>
        <w:pStyle w:val="28"/>
        <w:spacing w:line="360" w:lineRule="auto"/>
        <w:rPr>
          <w:rFonts w:ascii="宋体" w:hAnsi="宋体" w:cs="宋体"/>
          <w:color w:val="auto"/>
          <w:highlight w:val="none"/>
        </w:rPr>
      </w:pPr>
      <w:r>
        <w:rPr>
          <w:rFonts w:hint="eastAsia" w:ascii="宋体" w:hAnsi="宋体" w:cs="宋体"/>
          <w:color w:val="auto"/>
          <w:highlight w:val="none"/>
        </w:rPr>
        <w:t>1</w:t>
      </w:r>
      <w:bookmarkStart w:id="1800" w:name="_Toc304295521"/>
      <w:bookmarkStart w:id="1801" w:name="_Toc300934943"/>
      <w:bookmarkStart w:id="1802" w:name="_Toc312677986"/>
      <w:bookmarkStart w:id="1803" w:name="_Toc303539100"/>
      <w:bookmarkStart w:id="1804" w:name="_Toc318581155"/>
      <w:r>
        <w:rPr>
          <w:rFonts w:hint="eastAsia" w:ascii="宋体" w:hAnsi="宋体" w:cs="宋体"/>
          <w:color w:val="auto"/>
          <w:highlight w:val="none"/>
        </w:rPr>
        <w:t>.10.1 出入现场的权利</w:t>
      </w:r>
    </w:p>
    <w:p>
      <w:pPr>
        <w:pStyle w:val="28"/>
        <w:spacing w:line="360" w:lineRule="auto"/>
        <w:rPr>
          <w:rFonts w:ascii="宋体" w:hAnsi="宋体" w:cs="宋体"/>
          <w:color w:val="auto"/>
          <w:highlight w:val="none"/>
        </w:rPr>
      </w:pPr>
      <w:r>
        <w:rPr>
          <w:rFonts w:hint="eastAsia" w:ascii="宋体" w:hAnsi="宋体" w:cs="宋体"/>
          <w:color w:val="auto"/>
          <w:highlight w:val="none"/>
        </w:rPr>
        <w:t>关于出入现场的权利的约定：</w:t>
      </w:r>
      <w:r>
        <w:rPr>
          <w:rFonts w:hint="eastAsia" w:ascii="宋体" w:hAnsi="宋体" w:cs="宋体"/>
          <w:color w:val="auto"/>
          <w:highlight w:val="none"/>
          <w:u w:val="single"/>
        </w:rPr>
        <w:t xml:space="preserve"> 除正常施工涉及的人员及车辆外，其他人员及车辆进出场内须经过发包人同意，且由承包人进行管理登记 </w:t>
      </w:r>
      <w:r>
        <w:rPr>
          <w:rFonts w:hint="eastAsia" w:ascii="宋体" w:hAnsi="宋体" w:cs="宋体"/>
          <w:color w:val="auto"/>
          <w:highlight w:val="none"/>
        </w:rPr>
        <w:t>。</w:t>
      </w:r>
    </w:p>
    <w:bookmarkEnd w:id="1800"/>
    <w:bookmarkEnd w:id="1801"/>
    <w:bookmarkEnd w:id="1802"/>
    <w:bookmarkEnd w:id="1803"/>
    <w:bookmarkEnd w:id="1804"/>
    <w:p>
      <w:pPr>
        <w:pStyle w:val="28"/>
        <w:spacing w:line="360" w:lineRule="auto"/>
        <w:rPr>
          <w:rFonts w:ascii="宋体" w:hAnsi="宋体" w:cs="宋体"/>
          <w:color w:val="auto"/>
          <w:highlight w:val="none"/>
        </w:rPr>
      </w:pPr>
      <w:r>
        <w:rPr>
          <w:rFonts w:hint="eastAsia" w:ascii="宋体" w:hAnsi="宋体" w:cs="宋体"/>
          <w:color w:val="auto"/>
          <w:highlight w:val="none"/>
        </w:rPr>
        <w:t>1</w:t>
      </w:r>
      <w:bookmarkStart w:id="1805" w:name="_Toc304295522"/>
      <w:bookmarkStart w:id="1806" w:name="_Toc300934944"/>
      <w:bookmarkStart w:id="1807" w:name="_Toc318581156"/>
      <w:bookmarkStart w:id="1808" w:name="_Toc312677987"/>
      <w:bookmarkStart w:id="1809" w:name="_Toc303539101"/>
      <w:r>
        <w:rPr>
          <w:rFonts w:hint="eastAsia" w:ascii="宋体" w:hAnsi="宋体" w:cs="宋体"/>
          <w:color w:val="auto"/>
          <w:highlight w:val="none"/>
        </w:rPr>
        <w:t>.10.3 场内交通</w:t>
      </w:r>
    </w:p>
    <w:p>
      <w:pPr>
        <w:pStyle w:val="28"/>
        <w:spacing w:line="360" w:lineRule="auto"/>
        <w:rPr>
          <w:rFonts w:ascii="宋体" w:hAnsi="宋体" w:cs="宋体"/>
          <w:color w:val="auto"/>
          <w:highlight w:val="none"/>
        </w:rPr>
      </w:pPr>
      <w:r>
        <w:rPr>
          <w:rFonts w:hint="eastAsia" w:ascii="宋体" w:hAnsi="宋体" w:cs="宋体"/>
          <w:color w:val="auto"/>
          <w:highlight w:val="none"/>
        </w:rPr>
        <w:t>关于场外交通和场内交通的边界的约定：</w:t>
      </w:r>
      <w:r>
        <w:rPr>
          <w:rFonts w:hint="eastAsia" w:ascii="宋体" w:hAnsi="宋体" w:cs="宋体"/>
          <w:color w:val="auto"/>
          <w:highlight w:val="none"/>
          <w:u w:val="single"/>
        </w:rPr>
        <w:t xml:space="preserve">  规划批复总平用地红线  </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关于发包人向承包人免费提供满足工程施工需要的场内道路和交通设施的约定：</w:t>
      </w:r>
      <w:r>
        <w:rPr>
          <w:rFonts w:hint="eastAsia" w:ascii="宋体" w:hAnsi="宋体" w:cs="宋体"/>
          <w:color w:val="auto"/>
          <w:highlight w:val="none"/>
          <w:u w:val="single"/>
        </w:rPr>
        <w:t>承包人负责场内道路和交通设施的修建并承担相应费用</w:t>
      </w:r>
      <w:r>
        <w:rPr>
          <w:rFonts w:hint="eastAsia" w:ascii="宋体" w:hAnsi="宋体" w:cs="宋体"/>
          <w:color w:val="auto"/>
          <w:highlight w:val="none"/>
        </w:rPr>
        <w:t>。</w:t>
      </w:r>
      <w:bookmarkEnd w:id="1805"/>
      <w:bookmarkEnd w:id="1806"/>
      <w:bookmarkEnd w:id="1807"/>
      <w:bookmarkEnd w:id="1808"/>
      <w:bookmarkEnd w:id="1809"/>
      <w:r>
        <w:rPr>
          <w:rFonts w:hint="eastAsia" w:ascii="宋体" w:hAnsi="宋体" w:cs="宋体"/>
          <w:color w:val="auto"/>
          <w:highlight w:val="none"/>
        </w:rPr>
        <w:t xml:space="preserve">  </w:t>
      </w:r>
      <w:bookmarkStart w:id="1810" w:name="_Toc318581157"/>
    </w:p>
    <w:p>
      <w:pPr>
        <w:pStyle w:val="28"/>
        <w:spacing w:line="360" w:lineRule="auto"/>
        <w:rPr>
          <w:rFonts w:ascii="宋体" w:hAnsi="宋体" w:cs="宋体"/>
          <w:color w:val="auto"/>
          <w:highlight w:val="none"/>
        </w:rPr>
      </w:pPr>
      <w:r>
        <w:rPr>
          <w:rFonts w:hint="eastAsia" w:ascii="宋体" w:hAnsi="宋体" w:cs="宋体"/>
          <w:color w:val="auto"/>
          <w:highlight w:val="none"/>
        </w:rPr>
        <w:t>1.10.4超大件和超重件的运输</w:t>
      </w:r>
    </w:p>
    <w:p>
      <w:pPr>
        <w:pStyle w:val="28"/>
        <w:spacing w:line="360" w:lineRule="auto"/>
        <w:rPr>
          <w:rFonts w:ascii="宋体" w:hAnsi="宋体" w:cs="宋体"/>
          <w:color w:val="auto"/>
          <w:highlight w:val="none"/>
        </w:rPr>
      </w:pPr>
      <w:r>
        <w:rPr>
          <w:rFonts w:hint="eastAsia" w:ascii="宋体" w:hAnsi="宋体" w:cs="宋体"/>
          <w:color w:val="auto"/>
          <w:highlight w:val="none"/>
        </w:rPr>
        <w:t>运输超大件或超重件所需的道路和桥梁临时加固改造费用和其他有关费用由</w:t>
      </w:r>
      <w:r>
        <w:rPr>
          <w:rFonts w:hint="eastAsia" w:ascii="宋体" w:hAnsi="宋体" w:cs="宋体"/>
          <w:color w:val="auto"/>
          <w:highlight w:val="none"/>
          <w:u w:val="single"/>
        </w:rPr>
        <w:t>承包人</w:t>
      </w:r>
      <w:r>
        <w:rPr>
          <w:rFonts w:hint="eastAsia" w:ascii="宋体" w:hAnsi="宋体" w:cs="宋体"/>
          <w:color w:val="auto"/>
          <w:highlight w:val="none"/>
        </w:rPr>
        <w:t>承担。</w:t>
      </w:r>
    </w:p>
    <w:bookmarkEnd w:id="1810"/>
    <w:p>
      <w:pPr>
        <w:pStyle w:val="21"/>
        <w:spacing w:line="360" w:lineRule="auto"/>
        <w:ind w:firstLine="422" w:firstLineChars="200"/>
        <w:rPr>
          <w:rFonts w:ascii="宋体" w:cs="宋体"/>
          <w:color w:val="auto"/>
          <w:highlight w:val="none"/>
        </w:rPr>
      </w:pPr>
      <w:bookmarkStart w:id="1811" w:name="_Toc20500"/>
      <w:bookmarkStart w:id="1812" w:name="_Toc522201731"/>
      <w:bookmarkStart w:id="1813" w:name="_Toc256000181"/>
      <w:bookmarkStart w:id="1814" w:name="_Toc6422"/>
      <w:bookmarkStart w:id="1815" w:name="_Toc7255"/>
      <w:bookmarkStart w:id="1816" w:name="_Toc406522221"/>
      <w:bookmarkStart w:id="1817" w:name="_Toc418752243"/>
      <w:bookmarkStart w:id="1818" w:name="_Toc1080"/>
      <w:bookmarkStart w:id="1819" w:name="_Toc418751797"/>
      <w:bookmarkStart w:id="1820" w:name="_Toc6441"/>
      <w:bookmarkStart w:id="1821" w:name="_Toc497747179"/>
      <w:bookmarkStart w:id="1822" w:name="_Toc497746782"/>
      <w:r>
        <w:rPr>
          <w:rFonts w:hint="eastAsia" w:ascii="宋体" w:cs="宋体"/>
          <w:color w:val="auto"/>
          <w:highlight w:val="none"/>
        </w:rPr>
        <w:t>1.11 知识产权</w:t>
      </w:r>
      <w:bookmarkEnd w:id="1811"/>
      <w:bookmarkEnd w:id="1812"/>
      <w:bookmarkEnd w:id="1813"/>
      <w:bookmarkEnd w:id="1814"/>
      <w:bookmarkEnd w:id="1815"/>
      <w:bookmarkEnd w:id="1816"/>
      <w:bookmarkEnd w:id="1817"/>
      <w:bookmarkEnd w:id="1818"/>
      <w:bookmarkEnd w:id="1819"/>
      <w:bookmarkEnd w:id="1820"/>
      <w:bookmarkEnd w:id="1821"/>
      <w:bookmarkEnd w:id="1822"/>
    </w:p>
    <w:p>
      <w:pPr>
        <w:pStyle w:val="28"/>
        <w:spacing w:line="360" w:lineRule="auto"/>
        <w:rPr>
          <w:rFonts w:ascii="宋体" w:hAnsi="宋体" w:cs="宋体"/>
          <w:color w:val="auto"/>
          <w:highlight w:val="none"/>
        </w:rPr>
      </w:pPr>
      <w:r>
        <w:rPr>
          <w:rFonts w:hint="eastAsia" w:ascii="宋体" w:hAnsi="宋体" w:cs="宋体"/>
          <w:color w:val="auto"/>
          <w:highlight w:val="none"/>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auto"/>
          <w:highlight w:val="none"/>
          <w:u w:val="single"/>
        </w:rPr>
        <w:t>著作权属于发包人</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关于发包人提供的上述文件的使用限制的要求：</w:t>
      </w:r>
      <w:r>
        <w:rPr>
          <w:rFonts w:hint="eastAsia" w:ascii="宋体" w:hAnsi="宋体" w:cs="宋体"/>
          <w:color w:val="auto"/>
          <w:highlight w:val="none"/>
          <w:u w:val="single"/>
        </w:rPr>
        <w:t>未经发包人同意，承包人不得为了合同以外的目的而复制、使用上述文件或将之提供给任何第三方</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1.11.2 关于承包人为实施工程所编制文件的著作权的归属：</w:t>
      </w:r>
      <w:r>
        <w:rPr>
          <w:rFonts w:hint="eastAsia" w:ascii="宋体" w:hAnsi="宋体" w:cs="宋体"/>
          <w:color w:val="auto"/>
          <w:highlight w:val="none"/>
          <w:u w:val="single"/>
        </w:rPr>
        <w:t>除署名以外著作权属于发包人</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关于承包人提供的上述文件的使用限制的要求：</w:t>
      </w:r>
      <w:r>
        <w:rPr>
          <w:rFonts w:hint="eastAsia" w:ascii="宋体" w:hAnsi="宋体" w:cs="宋体"/>
          <w:color w:val="auto"/>
          <w:highlight w:val="none"/>
          <w:u w:val="single"/>
        </w:rPr>
        <w:t>未经发包人同意，承包人不得为了合同以外的目的而复制、使用上述文件或将之提供给任何第三方</w:t>
      </w:r>
      <w:r>
        <w:rPr>
          <w:rFonts w:hint="eastAsia" w:ascii="宋体" w:hAnsi="宋体" w:cs="宋体"/>
          <w:color w:val="auto"/>
          <w:highlight w:val="none"/>
        </w:rPr>
        <w:t>。</w:t>
      </w:r>
    </w:p>
    <w:p>
      <w:pPr>
        <w:pStyle w:val="28"/>
        <w:spacing w:line="360" w:lineRule="auto"/>
        <w:rPr>
          <w:rFonts w:ascii="宋体" w:hAnsi="宋体" w:cs="宋体"/>
          <w:color w:val="auto"/>
          <w:highlight w:val="none"/>
          <w:u w:val="single"/>
        </w:rPr>
      </w:pPr>
      <w:r>
        <w:rPr>
          <w:rFonts w:hint="eastAsia" w:ascii="宋体" w:hAnsi="宋体" w:cs="宋体"/>
          <w:color w:val="auto"/>
          <w:highlight w:val="none"/>
        </w:rPr>
        <w:t>1.11.4 承包人在施工过程中所采用的专利、专有技术、技术秘密的使用费的承担方式：</w:t>
      </w:r>
      <w:r>
        <w:rPr>
          <w:rFonts w:hint="eastAsia" w:ascii="宋体" w:hAnsi="宋体" w:cs="宋体"/>
          <w:color w:val="auto"/>
          <w:highlight w:val="none"/>
          <w:u w:val="single"/>
        </w:rPr>
        <w:t>由承包人承担</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1.13工程量清单错误的修正</w:t>
      </w:r>
    </w:p>
    <w:p>
      <w:pPr>
        <w:pStyle w:val="28"/>
        <w:spacing w:line="360" w:lineRule="auto"/>
        <w:rPr>
          <w:rFonts w:ascii="宋体" w:hAnsi="宋体" w:cs="宋体"/>
          <w:color w:val="auto"/>
          <w:highlight w:val="none"/>
          <w:u w:val="single"/>
        </w:rPr>
      </w:pPr>
      <w:r>
        <w:rPr>
          <w:rFonts w:hint="eastAsia" w:ascii="宋体" w:hAnsi="宋体" w:cs="宋体"/>
          <w:color w:val="auto"/>
          <w:highlight w:val="none"/>
        </w:rPr>
        <w:t>出现工程量清单错误时，是否调整合同价格：</w:t>
      </w:r>
      <w:r>
        <w:rPr>
          <w:rFonts w:hint="eastAsia" w:ascii="宋体" w:hAnsi="宋体" w:cs="宋体"/>
          <w:color w:val="auto"/>
          <w:highlight w:val="none"/>
          <w:u w:val="single"/>
        </w:rPr>
        <w:t>按《建设工程工程量清单计价规范（GB5050-2013）》及其广西实施细则、《建设工程工程量清单计算规范（GB50854～50862-2013）》及其广西实施细则（修订本）等规定。</w:t>
      </w:r>
    </w:p>
    <w:p>
      <w:pPr>
        <w:pStyle w:val="28"/>
        <w:spacing w:line="360" w:lineRule="auto"/>
        <w:rPr>
          <w:rFonts w:ascii="宋体" w:hAnsi="宋体" w:cs="宋体"/>
          <w:color w:val="auto"/>
          <w:highlight w:val="none"/>
        </w:rPr>
      </w:pPr>
      <w:r>
        <w:rPr>
          <w:rFonts w:hint="eastAsia" w:ascii="宋体" w:hAnsi="宋体" w:cs="宋体"/>
          <w:color w:val="auto"/>
          <w:highlight w:val="none"/>
        </w:rPr>
        <w:t xml:space="preserve">允许调整合同价格的工程量偏差范围： </w:t>
      </w:r>
      <w:r>
        <w:rPr>
          <w:rFonts w:hint="eastAsia" w:ascii="宋体" w:hAnsi="宋体" w:cs="宋体"/>
          <w:color w:val="auto"/>
          <w:highlight w:val="none"/>
          <w:u w:val="single"/>
        </w:rPr>
        <w:t>无</w:t>
      </w:r>
      <w:r>
        <w:rPr>
          <w:rFonts w:hint="eastAsia" w:ascii="宋体" w:hAnsi="宋体" w:cs="宋体"/>
          <w:color w:val="auto"/>
          <w:highlight w:val="none"/>
        </w:rPr>
        <w:t>。</w:t>
      </w:r>
    </w:p>
    <w:p>
      <w:pPr>
        <w:pStyle w:val="21"/>
        <w:spacing w:line="360" w:lineRule="auto"/>
        <w:rPr>
          <w:rFonts w:ascii="宋体" w:cs="宋体"/>
          <w:color w:val="auto"/>
          <w:highlight w:val="none"/>
        </w:rPr>
      </w:pPr>
      <w:bookmarkStart w:id="1823" w:name="_Toc256000182"/>
      <w:bookmarkStart w:id="1824" w:name="_Toc497746783"/>
      <w:bookmarkStart w:id="1825" w:name="_Toc351203634"/>
      <w:bookmarkStart w:id="1826" w:name="_Toc15388"/>
      <w:bookmarkStart w:id="1827" w:name="_Toc22688"/>
      <w:bookmarkStart w:id="1828" w:name="_Toc703"/>
      <w:bookmarkStart w:id="1829" w:name="_Toc418751798"/>
      <w:bookmarkStart w:id="1830" w:name="_Toc497747180"/>
      <w:bookmarkStart w:id="1831" w:name="_Toc406522222"/>
      <w:bookmarkStart w:id="1832" w:name="_Toc418752244"/>
      <w:bookmarkStart w:id="1833" w:name="_Toc4103"/>
      <w:bookmarkStart w:id="1834" w:name="_Toc522201732"/>
      <w:bookmarkStart w:id="1835" w:name="_Toc27892"/>
      <w:r>
        <w:rPr>
          <w:rFonts w:hint="eastAsia" w:ascii="宋体" w:cs="宋体"/>
          <w:color w:val="auto"/>
          <w:highlight w:val="none"/>
        </w:rPr>
        <w:t>2</w:t>
      </w:r>
      <w:bookmarkStart w:id="1836" w:name="_Toc297120457"/>
      <w:bookmarkStart w:id="1837" w:name="_Toc296891197"/>
      <w:bookmarkStart w:id="1838" w:name="_Toc296944496"/>
      <w:bookmarkStart w:id="1839" w:name="_Toc296890985"/>
      <w:bookmarkStart w:id="1840" w:name="_Toc296346658"/>
      <w:bookmarkStart w:id="1841" w:name="_Toc296503157"/>
      <w:bookmarkStart w:id="1842" w:name="_Toc292559362"/>
      <w:bookmarkStart w:id="1843" w:name="_Toc297048343"/>
      <w:bookmarkStart w:id="1844" w:name="_Toc296347156"/>
      <w:bookmarkStart w:id="1845" w:name="_Toc292559867"/>
      <w:r>
        <w:rPr>
          <w:rFonts w:hint="eastAsia" w:ascii="宋体" w:cs="宋体"/>
          <w:color w:val="auto"/>
          <w:highlight w:val="none"/>
        </w:rPr>
        <w:t>. 发包人</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p>
    <w:bookmarkEnd w:id="1836"/>
    <w:bookmarkEnd w:id="1837"/>
    <w:bookmarkEnd w:id="1838"/>
    <w:bookmarkEnd w:id="1839"/>
    <w:bookmarkEnd w:id="1840"/>
    <w:bookmarkEnd w:id="1841"/>
    <w:bookmarkEnd w:id="1842"/>
    <w:bookmarkEnd w:id="1843"/>
    <w:bookmarkEnd w:id="1844"/>
    <w:bookmarkEnd w:id="1845"/>
    <w:p>
      <w:pPr>
        <w:pStyle w:val="21"/>
        <w:spacing w:line="360" w:lineRule="auto"/>
        <w:ind w:firstLine="422" w:firstLineChars="200"/>
        <w:rPr>
          <w:rFonts w:ascii="宋体" w:cs="宋体"/>
          <w:color w:val="auto"/>
          <w:highlight w:val="none"/>
        </w:rPr>
      </w:pPr>
      <w:bookmarkStart w:id="1846" w:name="_Toc8885"/>
      <w:bookmarkStart w:id="1847" w:name="_Toc418751799"/>
      <w:bookmarkStart w:id="1848" w:name="_Toc15010"/>
      <w:bookmarkStart w:id="1849" w:name="_Toc19441"/>
      <w:bookmarkStart w:id="1850" w:name="_Toc8473"/>
      <w:bookmarkStart w:id="1851" w:name="_Toc406522223"/>
      <w:bookmarkStart w:id="1852" w:name="_Toc522201733"/>
      <w:bookmarkStart w:id="1853" w:name="_Toc497747181"/>
      <w:bookmarkStart w:id="1854" w:name="_Toc418752245"/>
      <w:bookmarkStart w:id="1855" w:name="_Toc256000183"/>
      <w:bookmarkStart w:id="1856" w:name="_Toc497746784"/>
      <w:bookmarkStart w:id="1857" w:name="_Toc17464"/>
      <w:r>
        <w:rPr>
          <w:rFonts w:hint="eastAsia" w:ascii="宋体" w:cs="宋体"/>
          <w:color w:val="auto"/>
          <w:highlight w:val="none"/>
        </w:rPr>
        <w:t>2.2 发包人代表</w:t>
      </w:r>
      <w:bookmarkEnd w:id="1846"/>
      <w:bookmarkEnd w:id="1847"/>
      <w:bookmarkEnd w:id="1848"/>
      <w:bookmarkEnd w:id="1849"/>
      <w:bookmarkEnd w:id="1850"/>
      <w:bookmarkEnd w:id="1851"/>
      <w:bookmarkEnd w:id="1852"/>
      <w:bookmarkEnd w:id="1853"/>
      <w:bookmarkEnd w:id="1854"/>
      <w:bookmarkEnd w:id="1855"/>
      <w:bookmarkEnd w:id="1856"/>
      <w:bookmarkEnd w:id="1857"/>
    </w:p>
    <w:p>
      <w:pPr>
        <w:pStyle w:val="28"/>
        <w:spacing w:line="360" w:lineRule="auto"/>
        <w:rPr>
          <w:rFonts w:ascii="宋体" w:hAnsi="宋体" w:cs="宋体"/>
          <w:color w:val="auto"/>
          <w:highlight w:val="none"/>
        </w:rPr>
      </w:pPr>
      <w:r>
        <w:rPr>
          <w:rFonts w:hint="eastAsia" w:ascii="宋体" w:hAnsi="宋体" w:cs="宋体"/>
          <w:color w:val="auto"/>
          <w:highlight w:val="none"/>
        </w:rPr>
        <w:t>发包人代表：</w:t>
      </w:r>
    </w:p>
    <w:p>
      <w:pPr>
        <w:pStyle w:val="28"/>
        <w:spacing w:line="360" w:lineRule="auto"/>
        <w:rPr>
          <w:rFonts w:ascii="宋体" w:hAnsi="宋体" w:cs="宋体"/>
          <w:color w:val="auto"/>
          <w:highlight w:val="none"/>
        </w:rPr>
      </w:pPr>
      <w:r>
        <w:rPr>
          <w:rFonts w:hint="eastAsia" w:ascii="宋体" w:hAnsi="宋体" w:cs="宋体"/>
          <w:color w:val="auto"/>
          <w:highlight w:val="none"/>
        </w:rPr>
        <w:t>姓    名：</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职    务：</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联系电话：</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电子信箱：</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通信地址：</w:t>
      </w:r>
      <w:r>
        <w:rPr>
          <w:rFonts w:hint="eastAsia" w:ascii="宋体" w:hAnsi="宋体" w:cs="宋体"/>
          <w:color w:val="auto"/>
          <w:highlight w:val="none"/>
          <w:u w:val="single"/>
        </w:rPr>
        <w:t xml:space="preserve">                       </w:t>
      </w:r>
      <w:r>
        <w:rPr>
          <w:rFonts w:hint="eastAsia" w:ascii="宋体" w:hAnsi="宋体" w:cs="宋体"/>
          <w:color w:val="auto"/>
          <w:highlight w:val="none"/>
        </w:rPr>
        <w:t>。</w:t>
      </w:r>
    </w:p>
    <w:p>
      <w:pPr>
        <w:pStyle w:val="28"/>
        <w:spacing w:line="360" w:lineRule="auto"/>
        <w:rPr>
          <w:rFonts w:ascii="宋体" w:hAnsi="宋体" w:cs="宋体"/>
          <w:b/>
          <w:color w:val="auto"/>
          <w:highlight w:val="none"/>
        </w:rPr>
      </w:pPr>
      <w:r>
        <w:rPr>
          <w:rFonts w:hint="eastAsia" w:ascii="宋体" w:hAnsi="宋体" w:cs="宋体"/>
          <w:color w:val="auto"/>
          <w:highlight w:val="none"/>
        </w:rPr>
        <w:t>发包人对发包人代表的授权范围如下：</w:t>
      </w:r>
      <w:r>
        <w:rPr>
          <w:rFonts w:hint="eastAsia" w:ascii="宋体" w:hAnsi="宋体" w:cs="宋体"/>
          <w:color w:val="auto"/>
          <w:highlight w:val="none"/>
          <w:u w:val="single"/>
        </w:rPr>
        <w:t>对工程进度、质量进行监督、办理中间交工工程验收手续，负责现场签证，解决由发包人授权处理的事宜</w:t>
      </w:r>
      <w:r>
        <w:rPr>
          <w:rFonts w:hint="eastAsia" w:ascii="宋体" w:hAnsi="宋体" w:cs="宋体"/>
          <w:color w:val="auto"/>
          <w:highlight w:val="none"/>
        </w:rPr>
        <w:t>。</w:t>
      </w:r>
    </w:p>
    <w:p>
      <w:pPr>
        <w:pStyle w:val="21"/>
        <w:spacing w:line="360" w:lineRule="auto"/>
        <w:ind w:firstLine="422" w:firstLineChars="200"/>
        <w:rPr>
          <w:rFonts w:ascii="宋体" w:cs="宋体"/>
          <w:color w:val="auto"/>
          <w:highlight w:val="none"/>
        </w:rPr>
      </w:pPr>
      <w:bookmarkStart w:id="1858" w:name="_Toc4212"/>
      <w:bookmarkStart w:id="1859" w:name="_Toc418751800"/>
      <w:bookmarkStart w:id="1860" w:name="_Toc2887"/>
      <w:bookmarkStart w:id="1861" w:name="_Toc497747182"/>
      <w:bookmarkStart w:id="1862" w:name="_Toc406522224"/>
      <w:bookmarkStart w:id="1863" w:name="_Toc29132"/>
      <w:bookmarkStart w:id="1864" w:name="_Toc418752246"/>
      <w:bookmarkStart w:id="1865" w:name="_Toc497746785"/>
      <w:bookmarkStart w:id="1866" w:name="_Toc26205"/>
      <w:bookmarkStart w:id="1867" w:name="_Toc522201734"/>
      <w:bookmarkStart w:id="1868" w:name="_Toc9487"/>
      <w:bookmarkStart w:id="1869" w:name="_Toc256000184"/>
      <w:r>
        <w:rPr>
          <w:rFonts w:hint="eastAsia" w:ascii="宋体" w:cs="宋体"/>
          <w:color w:val="auto"/>
          <w:highlight w:val="none"/>
        </w:rPr>
        <w:t>2.4 施工现场、施工条件和基础资料的提供</w:t>
      </w:r>
      <w:bookmarkEnd w:id="1858"/>
      <w:bookmarkEnd w:id="1859"/>
      <w:bookmarkEnd w:id="1860"/>
      <w:bookmarkEnd w:id="1861"/>
      <w:bookmarkEnd w:id="1862"/>
      <w:bookmarkEnd w:id="1863"/>
      <w:bookmarkEnd w:id="1864"/>
      <w:bookmarkEnd w:id="1865"/>
      <w:bookmarkEnd w:id="1866"/>
      <w:bookmarkEnd w:id="1867"/>
      <w:bookmarkEnd w:id="1868"/>
      <w:bookmarkEnd w:id="1869"/>
    </w:p>
    <w:p>
      <w:pPr>
        <w:pStyle w:val="28"/>
        <w:spacing w:line="360" w:lineRule="auto"/>
        <w:rPr>
          <w:rFonts w:ascii="宋体" w:hAnsi="宋体" w:cs="宋体"/>
          <w:color w:val="auto"/>
          <w:highlight w:val="none"/>
        </w:rPr>
      </w:pPr>
      <w:r>
        <w:rPr>
          <w:rFonts w:hint="eastAsia" w:ascii="宋体" w:hAnsi="宋体" w:cs="宋体"/>
          <w:color w:val="auto"/>
          <w:highlight w:val="none"/>
        </w:rPr>
        <w:t>2.4.1 提供施工现场</w:t>
      </w:r>
    </w:p>
    <w:p>
      <w:pPr>
        <w:pStyle w:val="28"/>
        <w:spacing w:line="360" w:lineRule="auto"/>
        <w:rPr>
          <w:rFonts w:ascii="宋体" w:hAnsi="宋体" w:cs="宋体"/>
          <w:color w:val="auto"/>
          <w:highlight w:val="none"/>
        </w:rPr>
      </w:pPr>
      <w:r>
        <w:rPr>
          <w:rFonts w:hint="eastAsia" w:ascii="宋体" w:hAnsi="宋体" w:cs="宋体"/>
          <w:color w:val="auto"/>
          <w:highlight w:val="none"/>
        </w:rPr>
        <w:t>关于发包人移交施工现场的期限要求：</w:t>
      </w:r>
      <w:r>
        <w:rPr>
          <w:rFonts w:hint="eastAsia" w:ascii="宋体" w:hAnsi="宋体" w:cs="宋体"/>
          <w:color w:val="auto"/>
          <w:highlight w:val="none"/>
          <w:u w:val="single"/>
        </w:rPr>
        <w:t xml:space="preserve"> 施工场地应当在监理人发出的开工通知中载明的开工日期前七天具备施工条件并移交给承包人，具体施工条件在施工合同中约定。发包人最迟应当在移交施工场地的同时向承包人提供施工场地内地下管线和地下设施等有关资料，并保证资料的真实、准确和完整</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2.4.2 提供施工条件</w:t>
      </w:r>
    </w:p>
    <w:p>
      <w:pPr>
        <w:pStyle w:val="28"/>
        <w:spacing w:line="360" w:lineRule="auto"/>
        <w:rPr>
          <w:rFonts w:ascii="宋体" w:hAnsi="宋体" w:cs="宋体"/>
          <w:color w:val="auto"/>
          <w:highlight w:val="none"/>
          <w:u w:val="single"/>
        </w:rPr>
      </w:pPr>
      <w:r>
        <w:rPr>
          <w:rFonts w:hint="eastAsia" w:ascii="宋体" w:hAnsi="宋体" w:cs="宋体"/>
          <w:color w:val="auto"/>
          <w:highlight w:val="none"/>
        </w:rPr>
        <w:t>关于发包人应负责提供施工所需要的条件，包括：</w:t>
      </w:r>
      <w:r>
        <w:rPr>
          <w:rFonts w:hint="eastAsia" w:ascii="宋体" w:hAnsi="宋体" w:cs="宋体"/>
          <w:color w:val="auto"/>
          <w:highlight w:val="none"/>
          <w:u w:val="single"/>
        </w:rPr>
        <w:t>发包人可配合承包人办理开工所需手续及相关申请，费用由承包人自行解决，施工场地与公共道路的通道，由承包人负责实施，费用已包含在合同价中</w:t>
      </w:r>
      <w:r>
        <w:rPr>
          <w:rFonts w:hint="eastAsia" w:ascii="宋体" w:hAnsi="宋体" w:cs="宋体"/>
          <w:color w:val="auto"/>
          <w:highlight w:val="none"/>
        </w:rPr>
        <w:t>。</w:t>
      </w:r>
    </w:p>
    <w:p>
      <w:pPr>
        <w:pStyle w:val="21"/>
        <w:spacing w:line="360" w:lineRule="auto"/>
        <w:ind w:firstLine="422" w:firstLineChars="200"/>
        <w:rPr>
          <w:rFonts w:ascii="宋体" w:cs="宋体"/>
          <w:color w:val="auto"/>
          <w:highlight w:val="none"/>
        </w:rPr>
      </w:pPr>
      <w:bookmarkStart w:id="1870" w:name="_Toc418751801"/>
      <w:bookmarkStart w:id="1871" w:name="_Toc522201735"/>
      <w:bookmarkStart w:id="1872" w:name="_Toc13944"/>
      <w:bookmarkStart w:id="1873" w:name="_Toc497746786"/>
      <w:bookmarkStart w:id="1874" w:name="_Toc497747183"/>
      <w:bookmarkStart w:id="1875" w:name="_Toc25244"/>
      <w:bookmarkStart w:id="1876" w:name="_Toc418752247"/>
      <w:bookmarkStart w:id="1877" w:name="_Toc256000185"/>
      <w:bookmarkStart w:id="1878" w:name="_Toc17998"/>
      <w:bookmarkStart w:id="1879" w:name="_Toc13367"/>
      <w:bookmarkStart w:id="1880" w:name="_Toc6337"/>
      <w:bookmarkStart w:id="1881" w:name="_Toc406522225"/>
      <w:r>
        <w:rPr>
          <w:rFonts w:hint="eastAsia" w:ascii="宋体" w:cs="宋体"/>
          <w:color w:val="auto"/>
          <w:highlight w:val="none"/>
        </w:rPr>
        <w:t>2.5 资金来源证明及支付担保</w:t>
      </w:r>
      <w:bookmarkEnd w:id="1870"/>
      <w:bookmarkEnd w:id="1871"/>
      <w:bookmarkEnd w:id="1872"/>
      <w:bookmarkEnd w:id="1873"/>
      <w:bookmarkEnd w:id="1874"/>
      <w:bookmarkEnd w:id="1875"/>
      <w:bookmarkEnd w:id="1876"/>
      <w:bookmarkEnd w:id="1877"/>
      <w:bookmarkEnd w:id="1878"/>
      <w:bookmarkEnd w:id="1879"/>
      <w:bookmarkEnd w:id="1880"/>
      <w:bookmarkEnd w:id="1881"/>
    </w:p>
    <w:p>
      <w:pPr>
        <w:pStyle w:val="28"/>
        <w:spacing w:line="360" w:lineRule="auto"/>
        <w:rPr>
          <w:rFonts w:ascii="宋体" w:hAnsi="宋体" w:cs="宋体"/>
          <w:color w:val="auto"/>
          <w:highlight w:val="none"/>
        </w:rPr>
      </w:pPr>
      <w:r>
        <w:rPr>
          <w:rFonts w:hint="eastAsia" w:ascii="宋体" w:hAnsi="宋体" w:cs="宋体"/>
          <w:color w:val="auto"/>
          <w:highlight w:val="none"/>
        </w:rPr>
        <w:t>发包人提供资金来源证明的期限要求：</w:t>
      </w:r>
      <w:r>
        <w:rPr>
          <w:rFonts w:hint="eastAsia" w:ascii="宋体" w:hAnsi="宋体" w:cs="宋体"/>
          <w:color w:val="auto"/>
          <w:highlight w:val="none"/>
          <w:u w:val="single"/>
        </w:rPr>
        <w:t xml:space="preserve"> 无 </w:t>
      </w:r>
      <w:r>
        <w:rPr>
          <w:rFonts w:hint="eastAsia" w:ascii="宋体" w:hAnsi="宋体" w:cs="宋体"/>
          <w:color w:val="auto"/>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发包人是否提供支付担保：</w:t>
      </w:r>
      <w:r>
        <w:rPr>
          <w:rFonts w:hint="eastAsia" w:ascii="宋体" w:hAnsi="宋体" w:cs="宋体"/>
          <w:color w:val="auto"/>
          <w:highlight w:val="none"/>
          <w:u w:val="single"/>
        </w:rPr>
        <w:t xml:space="preserve">    否　　　   </w:t>
      </w:r>
      <w:r>
        <w:rPr>
          <w:rFonts w:hint="eastAsia" w:ascii="宋体" w:hAnsi="宋体" w:cs="宋体"/>
          <w:color w:val="auto"/>
          <w:highlight w:val="none"/>
        </w:rPr>
        <w:t>。</w:t>
      </w:r>
    </w:p>
    <w:p>
      <w:pPr>
        <w:pStyle w:val="28"/>
        <w:spacing w:line="360" w:lineRule="auto"/>
        <w:rPr>
          <w:rFonts w:ascii="宋体" w:hAnsi="宋体" w:cs="宋体"/>
          <w:color w:val="auto"/>
          <w:highlight w:val="none"/>
          <w:u w:val="single"/>
        </w:rPr>
      </w:pPr>
      <w:r>
        <w:rPr>
          <w:rFonts w:hint="eastAsia" w:ascii="宋体" w:hAnsi="宋体" w:cs="宋体"/>
          <w:color w:val="auto"/>
          <w:highlight w:val="none"/>
        </w:rPr>
        <w:t>发包人提供支付担保的形式：</w:t>
      </w:r>
      <w:r>
        <w:rPr>
          <w:rFonts w:hint="eastAsia" w:ascii="宋体" w:hAnsi="宋体" w:cs="宋体"/>
          <w:color w:val="auto"/>
          <w:highlight w:val="none"/>
          <w:u w:val="single"/>
        </w:rPr>
        <w:t xml:space="preserve">   /　       </w:t>
      </w:r>
      <w:r>
        <w:rPr>
          <w:rFonts w:hint="eastAsia" w:ascii="宋体" w:hAnsi="宋体" w:cs="宋体"/>
          <w:color w:val="auto"/>
          <w:highlight w:val="none"/>
        </w:rPr>
        <w:t>。</w:t>
      </w:r>
    </w:p>
    <w:p>
      <w:pPr>
        <w:pStyle w:val="21"/>
        <w:spacing w:line="360" w:lineRule="auto"/>
        <w:rPr>
          <w:rFonts w:ascii="宋体" w:cs="宋体"/>
          <w:color w:val="auto"/>
          <w:highlight w:val="none"/>
        </w:rPr>
      </w:pPr>
      <w:bookmarkStart w:id="1882" w:name="_Toc15865"/>
      <w:bookmarkStart w:id="1883" w:name="_Toc497746787"/>
      <w:bookmarkStart w:id="1884" w:name="_Toc406522226"/>
      <w:bookmarkStart w:id="1885" w:name="_Toc7553"/>
      <w:bookmarkStart w:id="1886" w:name="_Toc190"/>
      <w:bookmarkStart w:id="1887" w:name="_Toc13787"/>
      <w:bookmarkStart w:id="1888" w:name="_Toc418752248"/>
      <w:bookmarkStart w:id="1889" w:name="_Toc497747184"/>
      <w:bookmarkStart w:id="1890" w:name="_Toc256000186"/>
      <w:bookmarkStart w:id="1891" w:name="_Toc418751802"/>
      <w:bookmarkStart w:id="1892" w:name="_Toc522201736"/>
      <w:bookmarkStart w:id="1893" w:name="_Toc351203635"/>
      <w:bookmarkStart w:id="1894" w:name="_Toc12966"/>
      <w:r>
        <w:rPr>
          <w:rFonts w:hint="eastAsia" w:ascii="宋体" w:cs="宋体"/>
          <w:color w:val="auto"/>
          <w:highlight w:val="none"/>
        </w:rPr>
        <w:t>3</w:t>
      </w:r>
      <w:bookmarkStart w:id="1895" w:name="_Toc296890986"/>
      <w:bookmarkStart w:id="1896" w:name="_Toc292559363"/>
      <w:bookmarkStart w:id="1897" w:name="_Toc296347157"/>
      <w:bookmarkStart w:id="1898" w:name="_Toc297120458"/>
      <w:bookmarkStart w:id="1899" w:name="_Toc292559868"/>
      <w:bookmarkStart w:id="1900" w:name="_Toc296346659"/>
      <w:bookmarkStart w:id="1901" w:name="_Toc296891198"/>
      <w:bookmarkStart w:id="1902" w:name="_Toc296503158"/>
      <w:bookmarkStart w:id="1903" w:name="_Toc297048344"/>
      <w:bookmarkStart w:id="1904" w:name="_Toc296944497"/>
      <w:r>
        <w:rPr>
          <w:rFonts w:hint="eastAsia" w:ascii="宋体" w:cs="宋体"/>
          <w:color w:val="auto"/>
          <w:highlight w:val="none"/>
        </w:rPr>
        <w:t>. 承包人</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p>
    <w:bookmarkEnd w:id="1895"/>
    <w:bookmarkEnd w:id="1896"/>
    <w:bookmarkEnd w:id="1897"/>
    <w:bookmarkEnd w:id="1898"/>
    <w:bookmarkEnd w:id="1899"/>
    <w:bookmarkEnd w:id="1900"/>
    <w:bookmarkEnd w:id="1901"/>
    <w:bookmarkEnd w:id="1902"/>
    <w:bookmarkEnd w:id="1903"/>
    <w:bookmarkEnd w:id="1904"/>
    <w:p>
      <w:pPr>
        <w:pStyle w:val="21"/>
        <w:spacing w:line="360" w:lineRule="auto"/>
        <w:ind w:firstLine="422" w:firstLineChars="200"/>
        <w:rPr>
          <w:rFonts w:ascii="宋体" w:cs="宋体"/>
          <w:color w:val="auto"/>
          <w:highlight w:val="none"/>
        </w:rPr>
      </w:pPr>
      <w:bookmarkStart w:id="1905" w:name="_Toc10879"/>
      <w:bookmarkStart w:id="1906" w:name="_Toc31912"/>
      <w:bookmarkStart w:id="1907" w:name="_Toc418751803"/>
      <w:bookmarkStart w:id="1908" w:name="_Toc522201737"/>
      <w:bookmarkStart w:id="1909" w:name="_Toc31994"/>
      <w:bookmarkStart w:id="1910" w:name="_Toc3535"/>
      <w:bookmarkStart w:id="1911" w:name="_Toc418752249"/>
      <w:bookmarkStart w:id="1912" w:name="_Toc406522227"/>
      <w:bookmarkStart w:id="1913" w:name="_Toc256000187"/>
      <w:bookmarkStart w:id="1914" w:name="_Toc497746788"/>
      <w:bookmarkStart w:id="1915" w:name="_Toc497747185"/>
      <w:bookmarkStart w:id="1916" w:name="_Toc21517"/>
      <w:r>
        <w:rPr>
          <w:rFonts w:hint="eastAsia" w:ascii="宋体" w:cs="宋体"/>
          <w:color w:val="auto"/>
          <w:highlight w:val="none"/>
        </w:rPr>
        <w:t>3.1 承包人的一般义务</w:t>
      </w:r>
      <w:bookmarkEnd w:id="1905"/>
      <w:bookmarkEnd w:id="1906"/>
      <w:bookmarkEnd w:id="1907"/>
      <w:bookmarkEnd w:id="1908"/>
      <w:bookmarkEnd w:id="1909"/>
      <w:bookmarkEnd w:id="1910"/>
      <w:bookmarkEnd w:id="1911"/>
      <w:bookmarkEnd w:id="1912"/>
      <w:bookmarkEnd w:id="1913"/>
      <w:bookmarkEnd w:id="1914"/>
      <w:bookmarkEnd w:id="1915"/>
      <w:bookmarkEnd w:id="1916"/>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kern w:val="0"/>
          <w:szCs w:val="21"/>
          <w:highlight w:val="none"/>
        </w:rPr>
        <w:t>（9）</w:t>
      </w:r>
      <w:r>
        <w:rPr>
          <w:rFonts w:hint="eastAsia" w:ascii="宋体" w:hAnsi="宋体" w:cs="宋体"/>
          <w:color w:val="auto"/>
          <w:szCs w:val="21"/>
          <w:highlight w:val="none"/>
        </w:rPr>
        <w:t>承包人提交的竣工资料的内容：</w:t>
      </w:r>
      <w:r>
        <w:rPr>
          <w:rFonts w:hint="eastAsia" w:ascii="宋体" w:hAnsi="宋体" w:cs="宋体"/>
          <w:color w:val="auto"/>
          <w:szCs w:val="21"/>
          <w:highlight w:val="none"/>
          <w:u w:val="single"/>
        </w:rPr>
        <w:t>工程具备竣工验收条件，承包人按工程竣工验收有关规定，向发包人提交符合《建设工程文件归档整理规范》内容装订成册的完整竣工资料及竣工验收报告、工程竣工图</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承包人需要提交的竣工资料套数：</w:t>
      </w:r>
      <w:r>
        <w:rPr>
          <w:rFonts w:hint="eastAsia" w:ascii="宋体" w:hAnsi="宋体" w:cs="宋体"/>
          <w:color w:val="auto"/>
          <w:szCs w:val="21"/>
          <w:highlight w:val="none"/>
          <w:u w:val="single"/>
        </w:rPr>
        <w:t xml:space="preserve">  承包人向发包人提交竣工档案份数为一式四份；备案资料一式两份；建设工程质量监督档案一式两份  </w:t>
      </w:r>
      <w:r>
        <w:rPr>
          <w:rFonts w:hint="eastAsia" w:ascii="宋体" w:hAnsi="宋体" w:cs="宋体"/>
          <w:color w:val="auto"/>
          <w:szCs w:val="21"/>
          <w:highlight w:val="none"/>
        </w:rPr>
        <w:t>。</w:t>
      </w:r>
    </w:p>
    <w:p>
      <w:pPr>
        <w:pStyle w:val="23"/>
        <w:spacing w:line="360" w:lineRule="auto"/>
        <w:jc w:val="left"/>
        <w:rPr>
          <w:rFonts w:ascii="宋体" w:hAnsi="宋体" w:cs="宋体"/>
          <w:color w:val="auto"/>
          <w:szCs w:val="21"/>
          <w:highlight w:val="none"/>
        </w:rPr>
      </w:pPr>
      <w:r>
        <w:rPr>
          <w:rFonts w:hint="eastAsia" w:ascii="宋体" w:hAnsi="宋体" w:cs="宋体"/>
          <w:color w:val="auto"/>
          <w:szCs w:val="21"/>
          <w:highlight w:val="none"/>
        </w:rPr>
        <w:t xml:space="preserve">    承包人提交的竣工资料的费用承担：</w:t>
      </w:r>
      <w:r>
        <w:rPr>
          <w:rFonts w:hint="eastAsia" w:ascii="宋体" w:hAnsi="宋体" w:cs="宋体"/>
          <w:color w:val="auto"/>
          <w:szCs w:val="21"/>
          <w:highlight w:val="none"/>
          <w:u w:val="single"/>
        </w:rPr>
        <w:t xml:space="preserve">  由承包人承担相关费用 </w:t>
      </w:r>
      <w:r>
        <w:rPr>
          <w:rFonts w:hint="eastAsia" w:ascii="宋体" w:hAnsi="宋体" w:cs="宋体"/>
          <w:color w:val="auto"/>
          <w:szCs w:val="21"/>
          <w:highlight w:val="none"/>
        </w:rPr>
        <w:t>。</w:t>
      </w:r>
    </w:p>
    <w:p>
      <w:pPr>
        <w:pStyle w:val="23"/>
        <w:spacing w:line="360" w:lineRule="auto"/>
        <w:jc w:val="left"/>
        <w:rPr>
          <w:rFonts w:ascii="宋体" w:hAnsi="宋体" w:cs="宋体"/>
          <w:color w:val="auto"/>
          <w:szCs w:val="21"/>
          <w:highlight w:val="none"/>
        </w:rPr>
      </w:pPr>
      <w:r>
        <w:rPr>
          <w:rFonts w:hint="eastAsia" w:ascii="宋体" w:hAnsi="宋体" w:cs="宋体"/>
          <w:color w:val="auto"/>
          <w:szCs w:val="21"/>
          <w:highlight w:val="none"/>
        </w:rPr>
        <w:t xml:space="preserve">    承包人提交的竣工资料移交时间：</w:t>
      </w:r>
      <w:r>
        <w:rPr>
          <w:rFonts w:hint="eastAsia" w:ascii="宋体" w:hAnsi="宋体" w:cs="宋体"/>
          <w:color w:val="auto"/>
          <w:szCs w:val="21"/>
          <w:highlight w:val="none"/>
          <w:u w:val="single"/>
        </w:rPr>
        <w:t xml:space="preserve">  工程竣工验收合格后30天内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承包人提交的竣工资料形式要求：</w:t>
      </w:r>
      <w:r>
        <w:rPr>
          <w:rFonts w:hint="eastAsia" w:ascii="宋体" w:hAnsi="宋体" w:cs="宋体"/>
          <w:color w:val="auto"/>
          <w:szCs w:val="21"/>
          <w:highlight w:val="none"/>
          <w:u w:val="single"/>
        </w:rPr>
        <w:t>竣工档案（竣工档案的内容：施工单位竣工验收文件、施工文件、竣工图（按城市建设档案馆要求整理，相关费用由承包人承担）、备案资料（应由承包人提供的部分按桂林市住建局要求整理）、建设工程质量监督档案（应由承包人提供的部分按桂林市建设工程质量监督管理站要求整理）</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u w:val="single"/>
        </w:rPr>
      </w:pPr>
      <w:r>
        <w:rPr>
          <w:rFonts w:hint="eastAsia" w:ascii="宋体" w:hAnsi="宋体" w:cs="宋体"/>
          <w:color w:val="auto"/>
          <w:kern w:val="0"/>
          <w:szCs w:val="21"/>
          <w:highlight w:val="none"/>
        </w:rPr>
        <w:t>（10）承包人应履行的其他义务：</w:t>
      </w:r>
      <w:r>
        <w:rPr>
          <w:rFonts w:hint="eastAsia" w:ascii="宋体" w:hAnsi="宋体" w:cs="宋体"/>
          <w:color w:val="auto"/>
          <w:szCs w:val="21"/>
          <w:highlight w:val="none"/>
          <w:u w:val="single"/>
        </w:rPr>
        <w:t>①施工用水、用电按表计量，费用由承包人承担，由承包人指派专人配合发包人的计量工作，水费及电费按发包人要求进行交付；单位工程内其他单位用水、用电由承包人与相关用水、用电单位协商解决。②本工程在施工过程中如存在多个施工单位同时作业时，承包人必须顾全大局、相互协作、密切配合，严格服从发包人和监理单位的协调指挥；承包人须积极协调解决施工过程中存在的各类问题，处理好与相邻施工单位的施工接口关系，否则，发包人有权要求承包人整改或另行指定其他单位来完成相关配合工作，其发生的费用从承包人的工程进度款中扣除，且并不需要承包人同意。承包人应始终采取各种合理的预防措施，对于存在的问题及时反映，对于需要发包人协调解决的问题，要提前提出，否则，由此所造成的损失由承包人承担 。③承包人负责办理施工有关的交通特别通告证、有害污水、环卫、环保和噪音等审批手续，并承担费用，如因承包人未交纳相关费用，发包人有权从工程款中扣除用于支付相关费用并计入结算。承包人负责对施工场地内的化石、文物具有保护责任，并承担相应费用。承包人负责满足施工期间政府职能部门对工地消防设施有关要求，并承担相关费用。④承包人应负责协调解决本项目当地居民对工程施工的人为干扰，施工机械进出、材料运输如需通过村道及村民土地；承包人应当协调与施工现场周边农村及村民的关系，并承担相关费用，确保项目施工顺利进行。⑤承包人应始终采取各种合理的预防措施，防止承包人员或其内部发生任何非法的、骚动的或无序的行为，以保持安定，保护现场及第三人的财产和人身安全。⑥为发包人依法发包的专业工程承包商提供总承包管理与协调服务，并为专业工程承包商提供一切施工方便。为发包人和监理人在施工现场提供必要的办公室和办公桌椅等设备。⑦按建设行政主管部门有关规定配合发包人其他工程的施工等。⑧施工期间和施工完毕后，均应及时对施工场地和为其施工提供的公共道路进行保洁、维护以及维修，产生的垃圾和被破坏的场地，必须遵照监理人和发包人的指示进行清理、修复，并根据实际情况将场地恢复到原有状态，费用自理。⑨由于本工程施工现场为居民区，承包人应合理安排施工时间，确保做到不影响周边居民的正常生活，对居民的合理意见应积极整改，确保工程顺利进行。⑩配合发包人做好安全文明工程、领导检查、宣传等工作。以上相关费用均由承包人承担，并在投标报价清单中综合考虑，不再另计。</w:t>
      </w:r>
      <w:r>
        <w:rPr>
          <w:rFonts w:ascii="Cambria Math" w:hAnsi="Cambria Math" w:cs="Cambria Math"/>
          <w:color w:val="auto"/>
          <w:szCs w:val="21"/>
          <w:highlight w:val="none"/>
          <w:u w:val="single"/>
        </w:rPr>
        <w:t>⑪</w:t>
      </w:r>
      <w:r>
        <w:rPr>
          <w:rFonts w:hint="eastAsia" w:ascii="宋体" w:hAnsi="宋体" w:cs="宋体"/>
          <w:color w:val="auto"/>
          <w:szCs w:val="21"/>
          <w:highlight w:val="none"/>
          <w:u w:val="single"/>
        </w:rPr>
        <w:t>承包人在工程施工期间由于承包人原因引起的责任事故，全部由承包人承担经济责任和法律责任。</w:t>
      </w:r>
      <w:r>
        <w:rPr>
          <w:rFonts w:ascii="Cambria Math" w:hAnsi="Cambria Math" w:cs="Cambria Math"/>
          <w:color w:val="auto"/>
          <w:szCs w:val="21"/>
          <w:highlight w:val="none"/>
          <w:u w:val="single"/>
        </w:rPr>
        <w:t>⑫</w:t>
      </w:r>
      <w:r>
        <w:rPr>
          <w:rFonts w:hint="eastAsia" w:ascii="宋体" w:hAnsi="宋体" w:cs="宋体"/>
          <w:color w:val="auto"/>
          <w:szCs w:val="21"/>
          <w:highlight w:val="none"/>
          <w:u w:val="single"/>
        </w:rPr>
        <w:t>满足国家、行业、控制标准和验收规范，在质量管理过程中达到或超过质量标准，杜绝重大设备一般及以上质量事故，确保工程无永久性缺陷。</w:t>
      </w:r>
    </w:p>
    <w:p>
      <w:pPr>
        <w:pStyle w:val="21"/>
        <w:spacing w:line="360" w:lineRule="auto"/>
        <w:ind w:firstLine="422" w:firstLineChars="200"/>
        <w:rPr>
          <w:rFonts w:ascii="宋体" w:cs="宋体"/>
          <w:color w:val="auto"/>
          <w:highlight w:val="none"/>
        </w:rPr>
      </w:pPr>
      <w:bookmarkStart w:id="1917" w:name="_Toc373478355"/>
      <w:bookmarkStart w:id="1918" w:name="_Toc522201738"/>
      <w:bookmarkStart w:id="1919" w:name="_Toc1810"/>
      <w:bookmarkStart w:id="1920" w:name="_Toc256000188"/>
      <w:bookmarkStart w:id="1921" w:name="_Toc2398"/>
      <w:bookmarkStart w:id="1922" w:name="_Toc497747186"/>
      <w:bookmarkStart w:id="1923" w:name="_Toc418751804"/>
      <w:bookmarkStart w:id="1924" w:name="_Toc497746789"/>
      <w:bookmarkStart w:id="1925" w:name="_Toc418518118"/>
      <w:bookmarkStart w:id="1926" w:name="_Toc403578942"/>
      <w:bookmarkStart w:id="1927" w:name="_Toc30327"/>
      <w:bookmarkStart w:id="1928" w:name="_Toc418061319"/>
      <w:bookmarkStart w:id="1929" w:name="_Toc418752250"/>
      <w:bookmarkStart w:id="1930" w:name="_Toc418518354"/>
      <w:bookmarkStart w:id="1931" w:name="_Toc389065274"/>
      <w:bookmarkStart w:id="1932" w:name="_Toc31204"/>
      <w:bookmarkStart w:id="1933" w:name="_Toc373227708"/>
      <w:bookmarkStart w:id="1934" w:name="_Toc23480"/>
      <w:r>
        <w:rPr>
          <w:rFonts w:hint="eastAsia" w:ascii="宋体" w:cs="宋体"/>
          <w:color w:val="auto"/>
          <w:highlight w:val="none"/>
        </w:rPr>
        <w:t>3.2 项目经理</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 xml:space="preserve">3.2.1 </w:t>
      </w:r>
      <w:r>
        <w:rPr>
          <w:rFonts w:hint="eastAsia" w:ascii="宋体" w:hAnsi="宋体" w:cs="宋体"/>
          <w:color w:val="auto"/>
          <w:szCs w:val="21"/>
          <w:highlight w:val="none"/>
        </w:rPr>
        <w:t>项目经理：</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姓    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身份证号：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建造师执业资格等级：</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建造师注册证书号：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建造师执业印章号：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安全生产考核合格证书号：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广西建筑市场诚信卡卡号：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通信地址：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 xml:space="preserve">承包人对项目经理的授权范围如下： </w:t>
      </w:r>
      <w:r>
        <w:rPr>
          <w:rFonts w:hint="eastAsia" w:ascii="宋体" w:hAnsi="宋体" w:cs="宋体"/>
          <w:color w:val="auto"/>
          <w:szCs w:val="21"/>
          <w:highlight w:val="none"/>
          <w:u w:val="single"/>
        </w:rPr>
        <w:t>（1）对本工程的建设进行全面管理，行使合同约定的权利，履行合同约定的义务；（2）负责本工程的施工组织方案制定和施工组织设计；（3）负责本工程的劳动力组织和机械设备组织；（4）经发包人同意分包的专业工程，项目经理参与选择并使用具有相应资质的分包人； （5）合同约定由承包人采购的材料、工程设备，项目经理参与选择物资供应单位；（6）在授权范围内协调与项目有关的内、外部关系；（7）负责与发包人、监理人办理设计变更、现场签证等手续，及时办理本工程相关索赔；（8）负责签收发包人、监理人往来函件，承包人的要求、通知均应以书面形式由承包人项目经理签字并加盖承包人公司公章后递交发包人；（9）代表承包人接受监理工程师或发包人现场代表发出的指示和指令。但未经承包人盖章同意不得以承包人名义向外融资、 采购材料设备、 租用建筑周转材料、 雇佣劳动力、签订分包合同等从事一切为承包人设立义务或责任的行为</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关于项目经理每月在施工现场的时间要求：</w:t>
      </w:r>
      <w:r>
        <w:rPr>
          <w:rFonts w:hint="eastAsia" w:ascii="宋体" w:hAnsi="宋体" w:cs="宋体"/>
          <w:color w:val="auto"/>
          <w:szCs w:val="21"/>
          <w:highlight w:val="none"/>
          <w:u w:val="single"/>
        </w:rPr>
        <w:t xml:space="preserve">  不少于22个工作日,若项目经理每月在岗时间少于22个工作日，发包人有权更换项目经理，由此造成的一切损失由承包人承担</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u w:val="single"/>
        </w:rPr>
      </w:pPr>
      <w:r>
        <w:rPr>
          <w:rFonts w:hint="eastAsia" w:ascii="宋体" w:hAnsi="宋体" w:cs="宋体"/>
          <w:color w:val="auto"/>
          <w:kern w:val="0"/>
          <w:szCs w:val="21"/>
          <w:highlight w:val="none"/>
        </w:rPr>
        <w:t>承包人未提交劳动合同，以及没有为项目经理缴纳社会保险证明的违约责任：</w:t>
      </w:r>
      <w:r>
        <w:rPr>
          <w:rFonts w:hint="eastAsia" w:ascii="宋体" w:hAnsi="宋体" w:cs="宋体"/>
          <w:color w:val="auto"/>
          <w:szCs w:val="21"/>
          <w:highlight w:val="none"/>
          <w:u w:val="single"/>
        </w:rPr>
        <w:t>承包人不提交上述文件的，项目经理无权履行职责，发包人有权要求更换项目经理，由此增加的费用和延误的工期由承包人承担</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u w:val="single"/>
        </w:rPr>
      </w:pPr>
      <w:r>
        <w:rPr>
          <w:rFonts w:hint="eastAsia" w:ascii="宋体" w:hAnsi="宋体" w:cs="宋体"/>
          <w:color w:val="auto"/>
          <w:kern w:val="0"/>
          <w:szCs w:val="21"/>
          <w:highlight w:val="none"/>
        </w:rPr>
        <w:t>项目经理未经批准，擅自离开施工现场的违约责任：</w:t>
      </w:r>
      <w:r>
        <w:rPr>
          <w:rFonts w:hint="eastAsia" w:ascii="宋体" w:hAnsi="宋体" w:cs="宋体"/>
          <w:color w:val="auto"/>
          <w:szCs w:val="21"/>
          <w:highlight w:val="none"/>
          <w:u w:val="single"/>
        </w:rPr>
        <w:t>项目经理每月在岗带班时间不得少于22天。未经发包人同意或正当理由，项目经理每月在岗带班时间少于22天的，少在岗带班一天，发包人有权处违约金 500元/日（人民币）</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3.2.3 承包人擅自更换项目经理的违约责任：</w:t>
      </w:r>
      <w:r>
        <w:rPr>
          <w:rFonts w:hint="eastAsia" w:ascii="宋体" w:hAnsi="宋体" w:cs="宋体"/>
          <w:color w:val="auto"/>
          <w:szCs w:val="21"/>
          <w:highlight w:val="none"/>
          <w:u w:val="single"/>
        </w:rPr>
        <w:t>承包人项目经理必须与承包人投标时所承诺的人员一致，并在（开工日期）前到任。在监理人向承包人颁发（竣工证明材料名称）前，项目经理不得同时兼任其他任何项目的项目经理（符合桂建管﹝2013﹞17号和桂建管﹝2014﹞25号文除外）。未经发包人书面同意，承包人擅自更换项目经理的视为违约，违约金处10000元/人•次（人民币）</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3.2.4 承包人无正当理由拒绝更换项目经理的违约责任：</w:t>
      </w:r>
      <w:r>
        <w:rPr>
          <w:rFonts w:hint="eastAsia" w:ascii="宋体" w:hAnsi="宋体" w:cs="宋体"/>
          <w:color w:val="auto"/>
          <w:szCs w:val="21"/>
          <w:highlight w:val="none"/>
          <w:u w:val="single"/>
        </w:rPr>
        <w:t>因承包人项目经理不称职，发包人要求调换而未及时调换的，视为承包人违约，必须向发包人交纳处罚金5000元/人•次（人民币）</w:t>
      </w:r>
      <w:r>
        <w:rPr>
          <w:rFonts w:hint="eastAsia" w:ascii="宋体" w:hAnsi="宋体" w:cs="宋体"/>
          <w:color w:val="auto"/>
          <w:szCs w:val="21"/>
          <w:highlight w:val="none"/>
        </w:rPr>
        <w:t>。</w:t>
      </w:r>
    </w:p>
    <w:p>
      <w:pPr>
        <w:pStyle w:val="21"/>
        <w:spacing w:line="360" w:lineRule="auto"/>
        <w:ind w:firstLine="422" w:firstLineChars="200"/>
        <w:rPr>
          <w:rFonts w:ascii="宋体" w:cs="宋体"/>
          <w:color w:val="auto"/>
          <w:highlight w:val="none"/>
        </w:rPr>
      </w:pPr>
      <w:bookmarkStart w:id="1935" w:name="_Toc418518355"/>
      <w:bookmarkStart w:id="1936" w:name="_Toc373227709"/>
      <w:bookmarkStart w:id="1937" w:name="_Toc418061320"/>
      <w:bookmarkStart w:id="1938" w:name="_Toc522201739"/>
      <w:bookmarkStart w:id="1939" w:name="_Toc373478356"/>
      <w:bookmarkStart w:id="1940" w:name="_Toc18812"/>
      <w:bookmarkStart w:id="1941" w:name="_Toc9299"/>
      <w:bookmarkStart w:id="1942" w:name="_Toc14339"/>
      <w:bookmarkStart w:id="1943" w:name="_Toc256000189"/>
      <w:bookmarkStart w:id="1944" w:name="_Toc418518119"/>
      <w:bookmarkStart w:id="1945" w:name="_Toc418752251"/>
      <w:bookmarkStart w:id="1946" w:name="_Toc403578943"/>
      <w:bookmarkStart w:id="1947" w:name="_Toc31211"/>
      <w:bookmarkStart w:id="1948" w:name="_Toc32244"/>
      <w:bookmarkStart w:id="1949" w:name="_Toc389065275"/>
      <w:bookmarkStart w:id="1950" w:name="_Toc497746790"/>
      <w:bookmarkStart w:id="1951" w:name="_Toc418751805"/>
      <w:bookmarkStart w:id="1952" w:name="_Toc497747187"/>
      <w:r>
        <w:rPr>
          <w:rFonts w:hint="eastAsia" w:ascii="宋体" w:cs="宋体"/>
          <w:color w:val="auto"/>
          <w:highlight w:val="none"/>
        </w:rPr>
        <w:t>3.3 承包人人员</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3.3.1 承包人提交项目管理机构及施工现场管理人员安排报告（格式见合同附件6）的期限：</w:t>
      </w:r>
      <w:r>
        <w:rPr>
          <w:rFonts w:hint="eastAsia" w:ascii="宋体" w:hAnsi="宋体" w:cs="宋体"/>
          <w:color w:val="auto"/>
          <w:szCs w:val="21"/>
          <w:highlight w:val="none"/>
          <w:u w:val="single"/>
        </w:rPr>
        <w:t>开工前7日内</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3.3.3 承包人无正当理由拒绝撤换主要施工管理人员的违约责任：</w:t>
      </w:r>
      <w:r>
        <w:rPr>
          <w:rFonts w:hint="eastAsia" w:ascii="宋体" w:hAnsi="宋体" w:cs="宋体"/>
          <w:color w:val="auto"/>
          <w:szCs w:val="21"/>
          <w:highlight w:val="none"/>
          <w:u w:val="single"/>
        </w:rPr>
        <w:t>因承包人主要施工管理人员不称职，发包人要求调换而无正当理由拒绝撤换或未及时调换的，视为承包人违约，必须向发包人交纳处罚金，处罚标准：技术负责人3000元/人•次（人民币）；专业工程师1000元/人•次（人民币）</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3.3.4 承包人主要施工管理人员离开施工现场的批准要求：</w:t>
      </w:r>
      <w:r>
        <w:rPr>
          <w:rFonts w:hint="eastAsia" w:ascii="宋体" w:hAnsi="宋体" w:cs="宋体"/>
          <w:color w:val="auto"/>
          <w:szCs w:val="21"/>
          <w:highlight w:val="none"/>
          <w:u w:val="single"/>
        </w:rPr>
        <w:t>经建设单位及监理单位批准同意后</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3.3.5 承包人擅自更换主要施工管理人员的违约责任：</w:t>
      </w:r>
      <w:r>
        <w:rPr>
          <w:rFonts w:hint="eastAsia" w:ascii="宋体" w:hAnsi="宋体" w:cs="宋体"/>
          <w:color w:val="auto"/>
          <w:szCs w:val="21"/>
          <w:highlight w:val="none"/>
          <w:u w:val="single"/>
        </w:rPr>
        <w:t>项目技术负责人、专职安全员及其承诺的其它在场管理人员未经发包人书面同意不准擅自更换，擅自更换项目技术负责人处 3000元/人•次（人民币）违约金；擅自更换专职安全员处1000元/人•次（人民币）违约金；擅自更换其它在场管理人员处500元/人•次（人民币）违约金</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承包人主要施工管理人员擅自离开施工现场的违约责任：</w:t>
      </w:r>
      <w:r>
        <w:rPr>
          <w:rFonts w:hint="eastAsia" w:ascii="宋体" w:hAnsi="宋体" w:cs="宋体"/>
          <w:color w:val="auto"/>
          <w:szCs w:val="21"/>
          <w:highlight w:val="none"/>
          <w:u w:val="single"/>
        </w:rPr>
        <w:t>未经发包人同意，项目技术负责人擅自离岗的，视为承包人违约，发包人有权处违约金500元/人•次（人民币）；未经发包人同意，专职安全员擅自离岗的，视为承包人违约，发包人有权处违约金500元/人•次（人民币）；其它在场管理人员擅自离岗的，视为承包人违约，发包人有权处违约金300元/人•次（人民币）</w:t>
      </w:r>
      <w:r>
        <w:rPr>
          <w:rFonts w:hint="eastAsia" w:ascii="宋体" w:hAnsi="宋体" w:cs="宋体"/>
          <w:color w:val="auto"/>
          <w:szCs w:val="21"/>
          <w:highlight w:val="none"/>
        </w:rPr>
        <w:t>。</w:t>
      </w:r>
    </w:p>
    <w:p>
      <w:pPr>
        <w:pStyle w:val="21"/>
        <w:spacing w:line="360" w:lineRule="auto"/>
        <w:ind w:firstLine="422" w:firstLineChars="200"/>
        <w:rPr>
          <w:rFonts w:ascii="宋体" w:cs="宋体"/>
          <w:color w:val="auto"/>
          <w:highlight w:val="none"/>
        </w:rPr>
      </w:pPr>
      <w:bookmarkStart w:id="1953" w:name="_Toc1364"/>
      <w:bookmarkStart w:id="1954" w:name="_Toc418518120"/>
      <w:bookmarkStart w:id="1955" w:name="_Toc418752252"/>
      <w:bookmarkStart w:id="1956" w:name="_Toc522201740"/>
      <w:bookmarkStart w:id="1957" w:name="_Toc403578944"/>
      <w:bookmarkStart w:id="1958" w:name="_Toc25708"/>
      <w:bookmarkStart w:id="1959" w:name="_Toc418518356"/>
      <w:bookmarkStart w:id="1960" w:name="_Toc418751806"/>
      <w:bookmarkStart w:id="1961" w:name="_Toc373227710"/>
      <w:bookmarkStart w:id="1962" w:name="_Toc373478357"/>
      <w:bookmarkStart w:id="1963" w:name="_Toc497747188"/>
      <w:bookmarkStart w:id="1964" w:name="_Toc4158"/>
      <w:bookmarkStart w:id="1965" w:name="_Toc25787"/>
      <w:bookmarkStart w:id="1966" w:name="_Toc418061321"/>
      <w:bookmarkStart w:id="1967" w:name="_Toc256000190"/>
      <w:bookmarkStart w:id="1968" w:name="_Toc20308"/>
      <w:bookmarkStart w:id="1969" w:name="_Toc497746791"/>
      <w:bookmarkStart w:id="1970" w:name="_Toc389065276"/>
      <w:r>
        <w:rPr>
          <w:rFonts w:hint="eastAsia" w:ascii="宋体" w:cs="宋体"/>
          <w:color w:val="auto"/>
          <w:highlight w:val="none"/>
        </w:rPr>
        <w:t>3</w:t>
      </w:r>
      <w:bookmarkStart w:id="1971" w:name="_Toc303539102"/>
      <w:bookmarkStart w:id="1972" w:name="_Toc292559364"/>
      <w:bookmarkStart w:id="1973" w:name="_Toc312677988"/>
      <w:bookmarkStart w:id="1974" w:name="_Toc296503159"/>
      <w:bookmarkStart w:id="1975" w:name="_Toc297048345"/>
      <w:bookmarkStart w:id="1976" w:name="_Toc296891199"/>
      <w:bookmarkStart w:id="1977" w:name="_Toc296890987"/>
      <w:bookmarkStart w:id="1978" w:name="_Toc296346660"/>
      <w:bookmarkStart w:id="1979" w:name="_Toc297120459"/>
      <w:bookmarkStart w:id="1980" w:name="_Toc296944498"/>
      <w:bookmarkStart w:id="1981" w:name="_Toc300934945"/>
      <w:bookmarkStart w:id="1982" w:name="_Toc292559869"/>
      <w:bookmarkStart w:id="1983" w:name="_Toc296347158"/>
      <w:bookmarkStart w:id="1984" w:name="_Toc304295523"/>
      <w:bookmarkStart w:id="1985" w:name="_Toc297123492"/>
      <w:bookmarkStart w:id="1986" w:name="_Toc297216151"/>
      <w:r>
        <w:rPr>
          <w:rFonts w:hint="eastAsia" w:ascii="宋体" w:cs="宋体"/>
          <w:color w:val="auto"/>
          <w:highlight w:val="none"/>
        </w:rPr>
        <w:t>.5 分包</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w:t>
      </w:r>
      <w:bookmarkStart w:id="1987" w:name="_Toc292559870"/>
      <w:bookmarkStart w:id="1988" w:name="_Toc296890988"/>
      <w:bookmarkStart w:id="1989" w:name="_Toc304295524"/>
      <w:bookmarkStart w:id="1990" w:name="_Toc297120460"/>
      <w:bookmarkStart w:id="1991" w:name="_Toc296891200"/>
      <w:bookmarkStart w:id="1992" w:name="_Toc296347159"/>
      <w:bookmarkStart w:id="1993" w:name="_Toc303539103"/>
      <w:bookmarkStart w:id="1994" w:name="_Toc297123493"/>
      <w:bookmarkStart w:id="1995" w:name="_Toc312677989"/>
      <w:bookmarkStart w:id="1996" w:name="_Toc296503160"/>
      <w:bookmarkStart w:id="1997" w:name="_Toc300934946"/>
      <w:bookmarkStart w:id="1998" w:name="_Toc296346661"/>
      <w:bookmarkStart w:id="1999" w:name="_Toc297048346"/>
      <w:bookmarkStart w:id="2000" w:name="_Toc292559365"/>
      <w:bookmarkStart w:id="2001" w:name="_Toc318581158"/>
      <w:bookmarkStart w:id="2002" w:name="_Toc297216152"/>
      <w:bookmarkStart w:id="2003" w:name="_Toc296944499"/>
      <w:r>
        <w:rPr>
          <w:rFonts w:hint="eastAsia" w:ascii="宋体" w:hAnsi="宋体" w:cs="宋体"/>
          <w:color w:val="auto"/>
          <w:szCs w:val="21"/>
          <w:highlight w:val="none"/>
        </w:rPr>
        <w:t>.5.1 分包的一般约定</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禁止分包的工程包括：</w:t>
      </w:r>
      <w:r>
        <w:rPr>
          <w:rFonts w:ascii="宋体" w:hAnsi="宋体" w:cs="宋体"/>
          <w:color w:val="auto"/>
          <w:szCs w:val="21"/>
          <w:highlight w:val="none"/>
          <w:u w:val="single"/>
        </w:rPr>
        <w:t></w:t>
      </w:r>
      <w:r>
        <w:rPr>
          <w:rFonts w:hint="eastAsia" w:ascii="宋体" w:hAnsi="宋体" w:cs="宋体"/>
          <w:color w:val="auto"/>
          <w:szCs w:val="21"/>
          <w:highlight w:val="none"/>
          <w:u w:val="single"/>
        </w:rPr>
        <w:t xml:space="preserve">除劳务工程外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主体结构、关键性工作的范围：</w:t>
      </w:r>
      <w:r>
        <w:rPr>
          <w:rFonts w:ascii="宋体" w:hAnsi="宋体" w:cs="宋体"/>
          <w:color w:val="auto"/>
          <w:szCs w:val="21"/>
          <w:highlight w:val="none"/>
          <w:u w:val="single"/>
        </w:rPr>
        <w:t></w:t>
      </w:r>
      <w:r>
        <w:rPr>
          <w:rFonts w:hint="eastAsia" w:ascii="宋体" w:hAnsi="宋体" w:cs="宋体"/>
          <w:color w:val="auto"/>
          <w:szCs w:val="21"/>
          <w:highlight w:val="none"/>
          <w:u w:val="single"/>
        </w:rPr>
        <w:t xml:space="preserve">禁止分包  </w:t>
      </w:r>
      <w:r>
        <w:rPr>
          <w:rFonts w:hint="eastAsia" w:ascii="宋体" w:hAnsi="宋体" w:cs="宋体"/>
          <w:color w:val="auto"/>
          <w:szCs w:val="21"/>
          <w:highlight w:val="none"/>
        </w:rPr>
        <w:t>。</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w:t>
      </w:r>
      <w:bookmarkStart w:id="2004" w:name="_Toc312677990"/>
      <w:bookmarkStart w:id="2005" w:name="_Toc318581159"/>
      <w:r>
        <w:rPr>
          <w:rFonts w:hint="eastAsia" w:ascii="宋体" w:hAnsi="宋体" w:cs="宋体"/>
          <w:color w:val="auto"/>
          <w:szCs w:val="21"/>
          <w:highlight w:val="none"/>
        </w:rPr>
        <w:t>.5.2 分包的确定</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允许分包的专业工程包括：</w:t>
      </w:r>
      <w:r>
        <w:rPr>
          <w:rFonts w:hint="eastAsia" w:ascii="宋体" w:hAnsi="宋体" w:cs="宋体"/>
          <w:color w:val="auto"/>
          <w:szCs w:val="21"/>
          <w:highlight w:val="none"/>
          <w:u w:val="single"/>
        </w:rPr>
        <w:t xml:space="preserve">劳务工程  </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其他关于分包的约定：</w:t>
      </w:r>
    </w:p>
    <w:p>
      <w:pPr>
        <w:pStyle w:val="23"/>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除前款约定的分包内容外，经过发包人和监理人同意，承包人可以将其他非主体、非关键性工作分包给第三人，但分包人应当经过发包人和监理人审批。发包人和监理人有权拒绝承包人的分包请求和承包人选择的分包人。本项目分包人主要施工管理人员名单详见合同附件7。</w:t>
      </w:r>
    </w:p>
    <w:p>
      <w:pPr>
        <w:pStyle w:val="23"/>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（2）在相关分包合同签订并报送有关建设行政主管部门备案后7天内，承包人应当将一份副本提交给监理人，承包人应保障分包工作不得再次分包。</w:t>
      </w:r>
    </w:p>
    <w:p>
      <w:pPr>
        <w:pStyle w:val="23"/>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（3）未经承包人和监理人审批同意的分包工程和分包人，承包人有权拒绝验收分包工程和支付相应款项，由此引起的发包人费用增加和(或)延误的工期由发包人承担。</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3.5.4 分包合同价款 </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关于分包合同价款支付的约定：</w:t>
      </w:r>
      <w:r>
        <w:rPr>
          <w:rFonts w:hint="eastAsia" w:ascii="宋体" w:hAnsi="宋体" w:cs="宋体"/>
          <w:color w:val="auto"/>
          <w:szCs w:val="21"/>
          <w:highlight w:val="none"/>
          <w:u w:val="single"/>
        </w:rPr>
        <w:t>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p>
    <w:bookmarkEnd w:id="2004"/>
    <w:bookmarkEnd w:id="2005"/>
    <w:p>
      <w:pPr>
        <w:pStyle w:val="21"/>
        <w:spacing w:line="360" w:lineRule="auto"/>
        <w:ind w:firstLine="422" w:firstLineChars="200"/>
        <w:rPr>
          <w:rFonts w:ascii="宋体" w:cs="宋体"/>
          <w:color w:val="auto"/>
          <w:highlight w:val="none"/>
        </w:rPr>
      </w:pPr>
      <w:bookmarkStart w:id="2006" w:name="_Toc32124"/>
      <w:bookmarkStart w:id="2007" w:name="_Toc418061322"/>
      <w:bookmarkStart w:id="2008" w:name="_Toc403578945"/>
      <w:bookmarkStart w:id="2009" w:name="_Toc497747189"/>
      <w:bookmarkStart w:id="2010" w:name="_Toc522201741"/>
      <w:bookmarkStart w:id="2011" w:name="_Toc418751807"/>
      <w:bookmarkStart w:id="2012" w:name="_Toc418518357"/>
      <w:bookmarkStart w:id="2013" w:name="_Toc256000191"/>
      <w:bookmarkStart w:id="2014" w:name="_Toc14598"/>
      <w:bookmarkStart w:id="2015" w:name="_Toc418518121"/>
      <w:bookmarkStart w:id="2016" w:name="_Toc497746792"/>
      <w:bookmarkStart w:id="2017" w:name="_Toc790"/>
      <w:bookmarkStart w:id="2018" w:name="_Toc418752253"/>
      <w:bookmarkStart w:id="2019" w:name="_Toc373227711"/>
      <w:bookmarkStart w:id="2020" w:name="_Toc12060"/>
      <w:bookmarkStart w:id="2021" w:name="_Toc3750"/>
      <w:bookmarkStart w:id="2022" w:name="_Toc373478358"/>
      <w:bookmarkStart w:id="2023" w:name="_Toc389065277"/>
      <w:r>
        <w:rPr>
          <w:rFonts w:hint="eastAsia" w:ascii="宋体" w:cs="宋体"/>
          <w:color w:val="auto"/>
          <w:highlight w:val="none"/>
        </w:rPr>
        <w:t>3.6 工程照管与成品、半成品保护</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23"/>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承包人负责照管工程及工程相关的材料、工程设备的起始时间：</w:t>
      </w:r>
      <w:r>
        <w:rPr>
          <w:rFonts w:hint="eastAsia" w:ascii="宋体" w:hAnsi="宋体" w:cs="宋体"/>
          <w:color w:val="auto"/>
          <w:szCs w:val="21"/>
          <w:highlight w:val="none"/>
          <w:u w:val="single"/>
        </w:rPr>
        <w:t>自发包人向承包人移交施工现场之日起，到颁发工程接收证书之日止</w:t>
      </w:r>
      <w:r>
        <w:rPr>
          <w:rFonts w:hint="eastAsia" w:ascii="宋体" w:hAnsi="宋体" w:cs="宋体"/>
          <w:color w:val="auto"/>
          <w:kern w:val="0"/>
          <w:szCs w:val="21"/>
          <w:highlight w:val="none"/>
        </w:rPr>
        <w:t>。</w:t>
      </w:r>
    </w:p>
    <w:p>
      <w:pPr>
        <w:pStyle w:val="28"/>
        <w:spacing w:line="360" w:lineRule="auto"/>
        <w:rPr>
          <w:rFonts w:ascii="宋体" w:hAnsi="宋体" w:cs="宋体"/>
          <w:color w:val="auto"/>
          <w:highlight w:val="none"/>
        </w:rPr>
      </w:pPr>
      <w:r>
        <w:rPr>
          <w:rFonts w:hint="eastAsia" w:ascii="宋体" w:hAnsi="宋体" w:cs="宋体"/>
          <w:color w:val="auto"/>
          <w:highlight w:val="none"/>
        </w:rPr>
        <w:t>承包人负责照管工程及工程相关的材料、工程设备的范围：</w:t>
      </w:r>
      <w:r>
        <w:rPr>
          <w:rFonts w:hint="eastAsia" w:ascii="宋体" w:hAnsi="宋体" w:cs="宋体"/>
          <w:color w:val="auto"/>
          <w:highlight w:val="none"/>
          <w:u w:val="single"/>
        </w:rPr>
        <w:t>除承包人自身承包范围内的材料、工程设备外，也有义务照管与本项目相关的由发包人另行发包的其他专业工程设备。并有义务避免因自身的原因造成对其他承包人的成品、半成品的损坏、污染</w:t>
      </w:r>
      <w:r>
        <w:rPr>
          <w:rFonts w:hint="eastAsia" w:ascii="宋体" w:hAnsi="宋体" w:cs="宋体"/>
          <w:color w:val="auto"/>
          <w:highlight w:val="none"/>
        </w:rPr>
        <w:t>。</w:t>
      </w:r>
    </w:p>
    <w:p>
      <w:pPr>
        <w:pStyle w:val="21"/>
        <w:spacing w:line="360" w:lineRule="auto"/>
        <w:ind w:firstLine="422" w:firstLineChars="200"/>
        <w:rPr>
          <w:rFonts w:ascii="宋体" w:cs="宋体"/>
          <w:color w:val="auto"/>
          <w:highlight w:val="none"/>
        </w:rPr>
      </w:pPr>
      <w:bookmarkStart w:id="2024" w:name="_Toc418751808"/>
      <w:bookmarkStart w:id="2025" w:name="_Toc403578946"/>
      <w:bookmarkStart w:id="2026" w:name="_Toc497746793"/>
      <w:bookmarkStart w:id="2027" w:name="_Toc373478359"/>
      <w:bookmarkStart w:id="2028" w:name="_Toc497747190"/>
      <w:bookmarkStart w:id="2029" w:name="_Toc418061323"/>
      <w:bookmarkStart w:id="2030" w:name="_Toc418752254"/>
      <w:bookmarkStart w:id="2031" w:name="_Toc373227712"/>
      <w:bookmarkStart w:id="2032" w:name="_Toc418518358"/>
      <w:bookmarkStart w:id="2033" w:name="_Toc389065278"/>
      <w:bookmarkStart w:id="2034" w:name="_Toc522201742"/>
      <w:bookmarkStart w:id="2035" w:name="_Toc418518122"/>
      <w:bookmarkStart w:id="2036" w:name="_Toc26043"/>
      <w:bookmarkStart w:id="2037" w:name="_Toc11894"/>
      <w:bookmarkStart w:id="2038" w:name="_Toc5348"/>
      <w:bookmarkStart w:id="2039" w:name="_Toc23451"/>
      <w:bookmarkStart w:id="2040" w:name="_Toc256000192"/>
      <w:bookmarkStart w:id="2041" w:name="_Toc3861"/>
      <w:r>
        <w:rPr>
          <w:rFonts w:hint="eastAsia" w:ascii="宋体" w:cs="宋体"/>
          <w:color w:val="auto"/>
          <w:highlight w:val="none"/>
        </w:rPr>
        <w:t>3.7 履约</w:t>
      </w:r>
      <w:bookmarkEnd w:id="2024"/>
      <w:bookmarkEnd w:id="2025"/>
      <w:bookmarkEnd w:id="2026"/>
      <w:bookmarkEnd w:id="2027"/>
      <w:bookmarkEnd w:id="2028"/>
      <w:bookmarkEnd w:id="2029"/>
      <w:bookmarkEnd w:id="2030"/>
      <w:bookmarkEnd w:id="2031"/>
      <w:bookmarkEnd w:id="2032"/>
      <w:bookmarkEnd w:id="2033"/>
      <w:bookmarkEnd w:id="2034"/>
      <w:bookmarkEnd w:id="2035"/>
      <w:r>
        <w:rPr>
          <w:rFonts w:hint="eastAsia" w:ascii="宋体" w:cs="宋体"/>
          <w:color w:val="auto"/>
          <w:highlight w:val="none"/>
        </w:rPr>
        <w:t>担保</w:t>
      </w:r>
      <w:bookmarkEnd w:id="2036"/>
      <w:bookmarkEnd w:id="2037"/>
      <w:bookmarkEnd w:id="2038"/>
      <w:bookmarkEnd w:id="2039"/>
      <w:bookmarkEnd w:id="2040"/>
      <w:bookmarkEnd w:id="2041"/>
    </w:p>
    <w:p>
      <w:pPr>
        <w:pStyle w:val="28"/>
        <w:spacing w:line="360" w:lineRule="auto"/>
        <w:rPr>
          <w:rFonts w:ascii="宋体" w:hAnsi="宋体" w:cs="宋体"/>
          <w:color w:val="auto"/>
          <w:highlight w:val="none"/>
        </w:rPr>
      </w:pPr>
      <w:bookmarkStart w:id="2042" w:name="_Toc418061324"/>
      <w:bookmarkStart w:id="2043" w:name="_Toc351203636"/>
      <w:bookmarkStart w:id="2044" w:name="_Toc418518123"/>
      <w:bookmarkStart w:id="2045" w:name="_Toc418518359"/>
      <w:bookmarkStart w:id="2046" w:name="_Toc418752255"/>
      <w:bookmarkStart w:id="2047" w:name="_Toc403578947"/>
      <w:bookmarkStart w:id="2048" w:name="_Toc373478360"/>
      <w:bookmarkStart w:id="2049" w:name="_Toc418751809"/>
      <w:bookmarkStart w:id="2050" w:name="_Toc373227713"/>
      <w:bookmarkStart w:id="2051" w:name="_Toc389065279"/>
      <w:r>
        <w:rPr>
          <w:rFonts w:hint="eastAsia" w:ascii="宋体" w:hAnsi="宋体" w:cs="宋体"/>
          <w:color w:val="auto"/>
          <w:highlight w:val="none"/>
        </w:rPr>
        <w:t>承包人是否提供履约担保：</w:t>
      </w:r>
      <w:r>
        <w:rPr>
          <w:rFonts w:hint="eastAsia" w:ascii="宋体" w:hAnsi="宋体" w:cs="宋体"/>
          <w:color w:val="auto"/>
          <w:highlight w:val="none"/>
          <w:u w:val="single"/>
        </w:rPr>
        <w:t xml:space="preserve">     是     　</w:t>
      </w:r>
      <w:r>
        <w:rPr>
          <w:rFonts w:hint="eastAsia" w:ascii="宋体" w:hAnsi="宋体" w:cs="宋体"/>
          <w:color w:val="auto"/>
          <w:highlight w:val="none"/>
        </w:rPr>
        <w:t>。</w:t>
      </w:r>
    </w:p>
    <w:p>
      <w:pPr>
        <w:pStyle w:val="23"/>
        <w:spacing w:line="360" w:lineRule="auto"/>
        <w:ind w:firstLine="420" w:firstLineChars="200"/>
        <w:rPr>
          <w:rFonts w:ascii="宋体" w:hAnsi="宋体" w:cs="宋体"/>
          <w:color w:val="auto"/>
          <w:kern w:val="0"/>
          <w:szCs w:val="21"/>
          <w:highlight w:val="none"/>
          <w:u w:val="single"/>
        </w:rPr>
      </w:pPr>
      <w:r>
        <w:rPr>
          <w:rFonts w:hint="eastAsia" w:ascii="宋体" w:hAnsi="宋体" w:cs="宋体"/>
          <w:color w:val="auto"/>
          <w:kern w:val="0"/>
          <w:szCs w:val="21"/>
          <w:highlight w:val="none"/>
        </w:rPr>
        <w:t>承包人提供履约担保的形式、金额及期限的：</w:t>
      </w:r>
      <w:r>
        <w:rPr>
          <w:rFonts w:hint="eastAsia" w:ascii="宋体" w:hAnsi="宋体" w:cs="宋体"/>
          <w:color w:val="auto"/>
          <w:szCs w:val="21"/>
          <w:highlight w:val="none"/>
          <w:u w:val="single"/>
        </w:rPr>
        <w:t>在收到中标通知书后，承包人须在</w:t>
      </w:r>
      <w:r>
        <w:rPr>
          <w:rFonts w:ascii="宋体" w:hAnsi="宋体" w:cs="宋体"/>
          <w:color w:val="auto"/>
          <w:szCs w:val="21"/>
          <w:highlight w:val="none"/>
          <w:u w:val="single"/>
        </w:rPr>
        <w:t>3</w:t>
      </w:r>
      <w:r>
        <w:rPr>
          <w:rFonts w:hint="eastAsia" w:ascii="宋体" w:hAnsi="宋体" w:cs="宋体"/>
          <w:color w:val="auto"/>
          <w:szCs w:val="21"/>
          <w:highlight w:val="none"/>
          <w:u w:val="single"/>
        </w:rPr>
        <w:t>0日内向发包人足额提交合同价款</w:t>
      </w:r>
      <w:r>
        <w:rPr>
          <w:rFonts w:hint="eastAsia" w:ascii="宋体" w:hAnsi="宋体" w:cs="宋体"/>
          <w:color w:val="auto"/>
          <w:highlight w:val="none"/>
          <w:u w:val="single"/>
        </w:rPr>
        <w:t>扣除安全文明施工费、规费、税金、暂列金额后</w:t>
      </w:r>
      <w:r>
        <w:rPr>
          <w:rFonts w:hint="eastAsia" w:ascii="宋体" w:hAnsi="宋体" w:cs="宋体"/>
          <w:color w:val="auto"/>
          <w:szCs w:val="21"/>
          <w:highlight w:val="none"/>
          <w:u w:val="single"/>
        </w:rPr>
        <w:t>的5%的现金或银行保函、工程担保、保证保险等形式履约担保（格式见合同附件8）。履约担保的有效期应当自本合同生效之日起至发包人签认并由监理人向承包人出具（竣工证明材料名称）之日止。如果承包人无法获得一份不带具体截止日期的担保，履约担保中应当有“变更工程竣工日期的，保证期间按照变更后的竣工日期做相应调整”或类似约定的条款。</w:t>
      </w:r>
    </w:p>
    <w:p>
      <w:pPr>
        <w:pStyle w:val="23"/>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工程竣工验收合格并对验收发现的问题完成整改后的7个日历天内，</w:t>
      </w:r>
      <w:r>
        <w:rPr>
          <w:rFonts w:hint="eastAsia" w:ascii="宋体" w:hAnsi="宋体" w:cs="宋体"/>
          <w:color w:val="auto"/>
          <w:szCs w:val="21"/>
          <w:highlight w:val="none"/>
        </w:rPr>
        <w:t>承包人可向发包人申请退还履约保证金或履约保函。发包人应在收到申请之日起28个日历天内</w:t>
      </w:r>
      <w:r>
        <w:rPr>
          <w:rFonts w:hint="eastAsia" w:ascii="宋体" w:hAnsi="宋体" w:cs="宋体"/>
          <w:color w:val="auto"/>
          <w:kern w:val="0"/>
          <w:szCs w:val="21"/>
          <w:highlight w:val="none"/>
        </w:rPr>
        <w:t>扣减承包人赔偿金和其他应从承包人扣回的款项后，</w:t>
      </w:r>
      <w:r>
        <w:rPr>
          <w:rFonts w:hint="eastAsia" w:ascii="宋体" w:hAnsi="宋体" w:cs="宋体"/>
          <w:color w:val="auto"/>
          <w:szCs w:val="21"/>
          <w:highlight w:val="none"/>
        </w:rPr>
        <w:t>将履约保证金退还给承包人（无息）。</w:t>
      </w:r>
    </w:p>
    <w:p>
      <w:pPr>
        <w:pStyle w:val="23"/>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签订合同前承包人必须按市财建（2018）73号文规定将农民工工资保障金存入帐户。工程竣工验收结算经审定后，按照规定程序，将农民工工资保障金没有使用或剩余的金额退还给承包人。</w:t>
      </w:r>
    </w:p>
    <w:p>
      <w:pPr>
        <w:pStyle w:val="21"/>
        <w:spacing w:line="360" w:lineRule="auto"/>
        <w:rPr>
          <w:rFonts w:ascii="宋体" w:cs="宋体"/>
          <w:color w:val="auto"/>
          <w:highlight w:val="none"/>
        </w:rPr>
      </w:pPr>
      <w:bookmarkStart w:id="2052" w:name="_Toc2800"/>
      <w:bookmarkStart w:id="2053" w:name="_Toc4156"/>
      <w:bookmarkStart w:id="2054" w:name="_Toc6841"/>
      <w:bookmarkStart w:id="2055" w:name="_Toc497747191"/>
      <w:bookmarkStart w:id="2056" w:name="_Toc27538"/>
      <w:bookmarkStart w:id="2057" w:name="_Toc2555"/>
      <w:bookmarkStart w:id="2058" w:name="_Toc497746794"/>
      <w:bookmarkStart w:id="2059" w:name="_Toc256000193"/>
      <w:bookmarkStart w:id="2060" w:name="_Toc522201743"/>
      <w:r>
        <w:rPr>
          <w:rFonts w:hint="eastAsia" w:ascii="宋体" w:cs="宋体"/>
          <w:color w:val="auto"/>
          <w:highlight w:val="none"/>
        </w:rPr>
        <w:t>4</w:t>
      </w:r>
      <w:bookmarkStart w:id="2061" w:name="_Toc296891202"/>
      <w:bookmarkStart w:id="2062" w:name="_Toc292559871"/>
      <w:bookmarkStart w:id="2063" w:name="_Toc297048348"/>
      <w:bookmarkStart w:id="2064" w:name="_Toc297120462"/>
      <w:bookmarkStart w:id="2065" w:name="_Toc296346663"/>
      <w:bookmarkStart w:id="2066" w:name="_Toc296347161"/>
      <w:bookmarkStart w:id="2067" w:name="_Toc267251413"/>
      <w:bookmarkStart w:id="2068" w:name="_Toc296890990"/>
      <w:bookmarkStart w:id="2069" w:name="_Toc292559366"/>
      <w:bookmarkStart w:id="2070" w:name="_Toc296503162"/>
      <w:bookmarkStart w:id="2071" w:name="_Toc296944501"/>
      <w:r>
        <w:rPr>
          <w:rFonts w:hint="eastAsia" w:ascii="宋体" w:cs="宋体"/>
          <w:color w:val="auto"/>
          <w:highlight w:val="none"/>
        </w:rPr>
        <w:t>. 监</w:t>
      </w:r>
      <w:bookmarkEnd w:id="2061"/>
      <w:bookmarkEnd w:id="2062"/>
      <w:bookmarkEnd w:id="2063"/>
      <w:bookmarkEnd w:id="2064"/>
      <w:bookmarkEnd w:id="2065"/>
      <w:bookmarkEnd w:id="2066"/>
      <w:bookmarkEnd w:id="2067"/>
      <w:bookmarkEnd w:id="2068"/>
      <w:bookmarkEnd w:id="2069"/>
      <w:bookmarkEnd w:id="2070"/>
      <w:bookmarkEnd w:id="2071"/>
      <w:r>
        <w:rPr>
          <w:rFonts w:hint="eastAsia" w:ascii="宋体" w:cs="宋体"/>
          <w:color w:val="auto"/>
          <w:highlight w:val="none"/>
        </w:rPr>
        <w:t>理人</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21"/>
        <w:spacing w:line="360" w:lineRule="auto"/>
        <w:ind w:firstLine="422" w:firstLineChars="200"/>
        <w:rPr>
          <w:rFonts w:ascii="宋体" w:cs="宋体"/>
          <w:color w:val="auto"/>
          <w:highlight w:val="none"/>
        </w:rPr>
      </w:pPr>
      <w:bookmarkStart w:id="2072" w:name="_Toc25181"/>
      <w:bookmarkStart w:id="2073" w:name="_Toc497747192"/>
      <w:bookmarkStart w:id="2074" w:name="_Toc9205"/>
      <w:bookmarkStart w:id="2075" w:name="_Toc418518360"/>
      <w:bookmarkStart w:id="2076" w:name="_Toc418751810"/>
      <w:bookmarkStart w:id="2077" w:name="_Toc389065280"/>
      <w:bookmarkStart w:id="2078" w:name="_Toc497746795"/>
      <w:bookmarkStart w:id="2079" w:name="_Toc403578948"/>
      <w:bookmarkStart w:id="2080" w:name="_Toc522201744"/>
      <w:bookmarkStart w:id="2081" w:name="_Toc418518124"/>
      <w:bookmarkStart w:id="2082" w:name="_Toc418061325"/>
      <w:bookmarkStart w:id="2083" w:name="_Toc29596"/>
      <w:bookmarkStart w:id="2084" w:name="_Toc373478361"/>
      <w:bookmarkStart w:id="2085" w:name="_Toc373227714"/>
      <w:bookmarkStart w:id="2086" w:name="_Toc20809"/>
      <w:bookmarkStart w:id="2087" w:name="_Toc418752256"/>
      <w:bookmarkStart w:id="2088" w:name="_Toc256000194"/>
      <w:bookmarkStart w:id="2089" w:name="_Toc20096"/>
      <w:r>
        <w:rPr>
          <w:rFonts w:hint="eastAsia" w:ascii="宋体" w:cs="宋体"/>
          <w:color w:val="auto"/>
          <w:highlight w:val="none"/>
        </w:rPr>
        <w:t>4.1 监理人的一般规定</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关于监理人的监理内容：</w:t>
      </w:r>
      <w:r>
        <w:rPr>
          <w:rFonts w:hint="eastAsia" w:ascii="宋体" w:hAnsi="宋体" w:cs="宋体"/>
          <w:color w:val="auto"/>
          <w:szCs w:val="21"/>
          <w:highlight w:val="none"/>
          <w:u w:val="single"/>
        </w:rPr>
        <w:t xml:space="preserve"> 检查施工承包人工程质量，安全生产管理制度及组织机构人员资格；审查施工承包人员提交的施工进度计划及工程施工范围内所有内容。</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关于监理人的监理权限：</w:t>
      </w:r>
      <w:r>
        <w:rPr>
          <w:rFonts w:hint="eastAsia" w:ascii="宋体" w:hAnsi="宋体" w:cs="宋体"/>
          <w:color w:val="auto"/>
          <w:szCs w:val="21"/>
          <w:highlight w:val="none"/>
          <w:u w:val="single"/>
        </w:rPr>
        <w:t>代表发包人对工程施工相关事项进行检查、查验、审核、验收，并签发相关指示，但监理人无权修改合同，且无权减轻或免除合同约定的承包人的任何责任与义务: 1、在发出施工进度计划和施工方案说明以及有关能引起工程费用实际增加（减少）或延长工期的指令前，应得到发包人的书面批准。2、监理工程师在向承包人发出有关技术规范的重大变更或有关变更合同条款的任何指令前均应获得发包人书面批准。3、工程实际竣工日期提前或超过工程承包合同规定的竣工期限的签证之前应得到发包人的书面批准。4、签证单监理只有证明权，无确认权。5、工程内容和材料变更确认应得到发包人的书面批准。不管通用合同条款如何约定，监理人履行须经发包人批准行使的权利时，应当向承包人出示其行使该权利已经取得发包人批准的文件或者其他合法有效的证明 。</w:t>
      </w:r>
      <w:r>
        <w:rPr>
          <w:rFonts w:hint="eastAsia" w:ascii="宋体" w:hAnsi="宋体" w:cs="宋体"/>
          <w:color w:val="auto"/>
          <w:szCs w:val="21"/>
          <w:highlight w:val="none"/>
        </w:rPr>
        <w:t xml:space="preserve">  </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关于监理人在施工现场的办公场所、生活场所的提供和费用承担的约定：</w:t>
      </w:r>
      <w:r>
        <w:rPr>
          <w:rFonts w:hint="eastAsia" w:ascii="宋体" w:hAnsi="宋体" w:cs="宋体"/>
          <w:color w:val="auto"/>
          <w:szCs w:val="21"/>
          <w:highlight w:val="none"/>
          <w:u w:val="single"/>
        </w:rPr>
        <w:t>由承包人为发包人、监理单位免费提供三间办公室</w:t>
      </w:r>
      <w:r>
        <w:rPr>
          <w:rFonts w:hint="eastAsia" w:ascii="宋体" w:hAnsi="宋体"/>
          <w:color w:val="auto"/>
          <w:szCs w:val="21"/>
          <w:highlight w:val="none"/>
          <w:u w:val="single"/>
        </w:rPr>
        <w:t>并承担相关费用</w:t>
      </w:r>
      <w:r>
        <w:rPr>
          <w:rFonts w:hint="eastAsia" w:ascii="宋体" w:hAnsi="宋体" w:cs="宋体"/>
          <w:color w:val="auto"/>
          <w:szCs w:val="21"/>
          <w:highlight w:val="none"/>
        </w:rPr>
        <w:t>。</w:t>
      </w:r>
    </w:p>
    <w:p>
      <w:pPr>
        <w:pStyle w:val="21"/>
        <w:spacing w:line="360" w:lineRule="auto"/>
        <w:ind w:firstLine="422" w:firstLineChars="200"/>
        <w:rPr>
          <w:rFonts w:ascii="宋体" w:cs="宋体"/>
          <w:color w:val="auto"/>
          <w:highlight w:val="none"/>
        </w:rPr>
      </w:pPr>
      <w:bookmarkStart w:id="2090" w:name="_Toc14393"/>
      <w:bookmarkStart w:id="2091" w:name="_Toc10489"/>
      <w:bookmarkStart w:id="2092" w:name="_Toc418751811"/>
      <w:bookmarkStart w:id="2093" w:name="_Toc26820"/>
      <w:bookmarkStart w:id="2094" w:name="_Toc497747193"/>
      <w:bookmarkStart w:id="2095" w:name="_Toc389065281"/>
      <w:bookmarkStart w:id="2096" w:name="_Toc256000195"/>
      <w:bookmarkStart w:id="2097" w:name="_Toc497746796"/>
      <w:bookmarkStart w:id="2098" w:name="_Toc403578949"/>
      <w:bookmarkStart w:id="2099" w:name="_Toc418752257"/>
      <w:bookmarkStart w:id="2100" w:name="_Toc32020"/>
      <w:bookmarkStart w:id="2101" w:name="_Toc418518361"/>
      <w:bookmarkStart w:id="2102" w:name="_Toc373227715"/>
      <w:bookmarkStart w:id="2103" w:name="_Toc26161"/>
      <w:bookmarkStart w:id="2104" w:name="_Toc418061326"/>
      <w:bookmarkStart w:id="2105" w:name="_Toc522201745"/>
      <w:bookmarkStart w:id="2106" w:name="_Toc373478362"/>
      <w:bookmarkStart w:id="2107" w:name="_Toc418518125"/>
      <w:r>
        <w:rPr>
          <w:rFonts w:hint="eastAsia" w:ascii="宋体" w:cs="宋体"/>
          <w:color w:val="auto"/>
          <w:highlight w:val="none"/>
        </w:rPr>
        <w:t>4.2 监理人员</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总监理工程师：</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姓    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职    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监理工程师执业资格证书号：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广西建筑市场诚信卡卡号：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电子信箱：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通信地址：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关于监理人的其他约定：</w:t>
      </w:r>
      <w:r>
        <w:rPr>
          <w:rFonts w:hint="eastAsia" w:ascii="宋体" w:hAnsi="宋体" w:cs="宋体"/>
          <w:color w:val="auto"/>
          <w:szCs w:val="21"/>
          <w:highlight w:val="none"/>
          <w:u w:val="single"/>
        </w:rPr>
        <w:t xml:space="preserve"> 见监理合同 </w:t>
      </w:r>
      <w:r>
        <w:rPr>
          <w:rFonts w:hint="eastAsia" w:ascii="宋体" w:hAnsi="宋体" w:cs="宋体"/>
          <w:color w:val="auto"/>
          <w:szCs w:val="21"/>
          <w:highlight w:val="none"/>
        </w:rPr>
        <w:t>。</w:t>
      </w:r>
    </w:p>
    <w:p>
      <w:pPr>
        <w:pStyle w:val="21"/>
        <w:spacing w:line="360" w:lineRule="auto"/>
        <w:ind w:firstLine="422" w:firstLineChars="200"/>
        <w:rPr>
          <w:rFonts w:ascii="宋体" w:cs="宋体"/>
          <w:color w:val="auto"/>
          <w:highlight w:val="none"/>
        </w:rPr>
      </w:pPr>
      <w:bookmarkStart w:id="2108" w:name="_Toc1225"/>
      <w:bookmarkStart w:id="2109" w:name="_Toc373227716"/>
      <w:bookmarkStart w:id="2110" w:name="_Toc418061327"/>
      <w:bookmarkStart w:id="2111" w:name="_Toc373478363"/>
      <w:bookmarkStart w:id="2112" w:name="_Toc389065282"/>
      <w:bookmarkStart w:id="2113" w:name="_Toc497746797"/>
      <w:bookmarkStart w:id="2114" w:name="_Toc418751812"/>
      <w:bookmarkStart w:id="2115" w:name="_Toc418518126"/>
      <w:bookmarkStart w:id="2116" w:name="_Toc403578950"/>
      <w:bookmarkStart w:id="2117" w:name="_Toc522201746"/>
      <w:bookmarkStart w:id="2118" w:name="_Toc32110"/>
      <w:bookmarkStart w:id="2119" w:name="_Toc418752258"/>
      <w:bookmarkStart w:id="2120" w:name="_Toc11027"/>
      <w:bookmarkStart w:id="2121" w:name="_Toc256000196"/>
      <w:bookmarkStart w:id="2122" w:name="_Toc7314"/>
      <w:bookmarkStart w:id="2123" w:name="_Toc497747194"/>
      <w:bookmarkStart w:id="2124" w:name="_Toc418518362"/>
      <w:bookmarkStart w:id="2125" w:name="_Toc21323"/>
      <w:r>
        <w:rPr>
          <w:rFonts w:hint="eastAsia" w:ascii="宋体" w:cs="宋体"/>
          <w:color w:val="auto"/>
          <w:highlight w:val="none"/>
        </w:rPr>
        <w:t>4.4 商定或确定</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pPr>
        <w:pStyle w:val="23"/>
        <w:spacing w:line="360" w:lineRule="auto"/>
        <w:ind w:firstLine="420" w:firstLineChars="200"/>
        <w:rPr>
          <w:rFonts w:ascii="宋体" w:hAnsi="宋体" w:cs="宋体"/>
          <w:color w:val="auto"/>
          <w:szCs w:val="21"/>
          <w:highlight w:val="none"/>
        </w:rPr>
      </w:pPr>
      <w:bookmarkStart w:id="2126" w:name="_Toc267251418"/>
      <w:r>
        <w:rPr>
          <w:rFonts w:hint="eastAsia" w:ascii="宋体" w:hAnsi="宋体" w:cs="宋体"/>
          <w:color w:val="auto"/>
          <w:szCs w:val="21"/>
          <w:highlight w:val="none"/>
        </w:rPr>
        <w:t>在发包人和承包人不能通过协商达成一致意见时，发包人授权监理人对以下事项进行确定：</w:t>
      </w:r>
      <w:r>
        <w:rPr>
          <w:rFonts w:hint="eastAsia" w:ascii="宋体" w:hAnsi="宋体" w:cs="宋体"/>
          <w:color w:val="auto"/>
          <w:kern w:val="0"/>
          <w:szCs w:val="21"/>
          <w:highlight w:val="none"/>
          <w:u w:val="single"/>
        </w:rPr>
        <w:t>无</w:t>
      </w:r>
      <w:r>
        <w:rPr>
          <w:rFonts w:hint="eastAsia" w:ascii="宋体" w:hAnsi="宋体" w:cs="宋体"/>
          <w:color w:val="auto"/>
          <w:szCs w:val="21"/>
          <w:highlight w:val="none"/>
        </w:rPr>
        <w:t>；</w:t>
      </w:r>
    </w:p>
    <w:p>
      <w:pPr>
        <w:pStyle w:val="21"/>
        <w:spacing w:line="360" w:lineRule="auto"/>
        <w:rPr>
          <w:rFonts w:ascii="宋体" w:cs="宋体"/>
          <w:color w:val="auto"/>
          <w:highlight w:val="none"/>
        </w:rPr>
      </w:pPr>
      <w:bookmarkStart w:id="2127" w:name="_Toc389065283"/>
      <w:bookmarkStart w:id="2128" w:name="_Toc373478364"/>
      <w:bookmarkStart w:id="2129" w:name="_Toc17065"/>
      <w:bookmarkStart w:id="2130" w:name="_Toc418752259"/>
      <w:bookmarkStart w:id="2131" w:name="_Toc256000197"/>
      <w:bookmarkStart w:id="2132" w:name="_Toc10696"/>
      <w:bookmarkStart w:id="2133" w:name="_Toc418751813"/>
      <w:bookmarkStart w:id="2134" w:name="_Toc373227717"/>
      <w:bookmarkStart w:id="2135" w:name="_Toc522201747"/>
      <w:bookmarkStart w:id="2136" w:name="_Toc7695"/>
      <w:bookmarkStart w:id="2137" w:name="_Toc497747195"/>
      <w:bookmarkStart w:id="2138" w:name="_Toc19304"/>
      <w:bookmarkStart w:id="2139" w:name="_Toc351203637"/>
      <w:bookmarkStart w:id="2140" w:name="_Toc418518363"/>
      <w:bookmarkStart w:id="2141" w:name="_Toc26561"/>
      <w:bookmarkStart w:id="2142" w:name="_Toc418518127"/>
      <w:bookmarkStart w:id="2143" w:name="_Toc403578951"/>
      <w:bookmarkStart w:id="2144" w:name="_Toc497746798"/>
      <w:bookmarkStart w:id="2145" w:name="_Toc418061328"/>
      <w:r>
        <w:rPr>
          <w:rFonts w:hint="eastAsia" w:ascii="宋体" w:cs="宋体"/>
          <w:color w:val="auto"/>
          <w:highlight w:val="none"/>
        </w:rPr>
        <w:t>5</w:t>
      </w:r>
      <w:bookmarkEnd w:id="2126"/>
      <w:bookmarkStart w:id="2146" w:name="_Toc296347162"/>
      <w:bookmarkStart w:id="2147" w:name="_Toc296891203"/>
      <w:bookmarkStart w:id="2148" w:name="_Toc292559872"/>
      <w:bookmarkStart w:id="2149" w:name="_Toc297120463"/>
      <w:bookmarkStart w:id="2150" w:name="_Toc292559367"/>
      <w:bookmarkStart w:id="2151" w:name="_Toc296503163"/>
      <w:bookmarkStart w:id="2152" w:name="_Toc297048349"/>
      <w:bookmarkStart w:id="2153" w:name="_Toc296944502"/>
      <w:bookmarkStart w:id="2154" w:name="_Toc296890991"/>
      <w:bookmarkStart w:id="2155" w:name="_Toc296346664"/>
      <w:r>
        <w:rPr>
          <w:rFonts w:hint="eastAsia" w:ascii="宋体" w:cs="宋体"/>
          <w:color w:val="auto"/>
          <w:highlight w:val="none"/>
        </w:rPr>
        <w:t>. 工程质量</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pPr>
        <w:pStyle w:val="21"/>
        <w:spacing w:line="360" w:lineRule="auto"/>
        <w:ind w:firstLine="422" w:firstLineChars="200"/>
        <w:rPr>
          <w:rFonts w:ascii="宋体" w:cs="宋体"/>
          <w:color w:val="auto"/>
          <w:highlight w:val="none"/>
        </w:rPr>
      </w:pPr>
      <w:bookmarkStart w:id="2156" w:name="_Toc373478365"/>
      <w:bookmarkStart w:id="2157" w:name="_Toc1532"/>
      <w:bookmarkStart w:id="2158" w:name="_Toc403578952"/>
      <w:bookmarkStart w:id="2159" w:name="_Toc4224"/>
      <w:bookmarkStart w:id="2160" w:name="_Toc418518364"/>
      <w:bookmarkStart w:id="2161" w:name="_Toc418518128"/>
      <w:bookmarkStart w:id="2162" w:name="_Toc13643"/>
      <w:bookmarkStart w:id="2163" w:name="_Toc256000198"/>
      <w:bookmarkStart w:id="2164" w:name="_Toc497747196"/>
      <w:bookmarkStart w:id="2165" w:name="_Toc1665"/>
      <w:bookmarkStart w:id="2166" w:name="_Toc418751814"/>
      <w:bookmarkStart w:id="2167" w:name="_Toc418752260"/>
      <w:bookmarkStart w:id="2168" w:name="_Toc418061329"/>
      <w:bookmarkStart w:id="2169" w:name="_Toc389065284"/>
      <w:bookmarkStart w:id="2170" w:name="_Toc373227718"/>
      <w:bookmarkStart w:id="2171" w:name="_Toc10739"/>
      <w:bookmarkStart w:id="2172" w:name="_Toc497746799"/>
      <w:bookmarkStart w:id="2173" w:name="_Toc522201748"/>
      <w:r>
        <w:rPr>
          <w:rFonts w:hint="eastAsia" w:ascii="宋体" w:cs="宋体"/>
          <w:color w:val="auto"/>
          <w:highlight w:val="none"/>
        </w:rPr>
        <w:t>5.1 质量要求</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5</w:t>
      </w:r>
      <w:bookmarkStart w:id="2174" w:name="_Toc312677997"/>
      <w:bookmarkStart w:id="2175" w:name="_Toc318581164"/>
      <w:bookmarkStart w:id="2176" w:name="_Toc297123496"/>
      <w:bookmarkStart w:id="2177" w:name="_Toc304295527"/>
      <w:bookmarkStart w:id="2178" w:name="_Toc297216155"/>
      <w:bookmarkStart w:id="2179" w:name="_Toc300934949"/>
      <w:bookmarkStart w:id="2180" w:name="_Toc303539106"/>
      <w:r>
        <w:rPr>
          <w:rFonts w:hint="eastAsia" w:ascii="宋体" w:hAnsi="宋体" w:cs="宋体"/>
          <w:color w:val="auto"/>
          <w:szCs w:val="21"/>
          <w:highlight w:val="none"/>
        </w:rPr>
        <w:t>.1.1 特殊质量标准和要求：</w:t>
      </w:r>
      <w:r>
        <w:rPr>
          <w:rFonts w:hint="eastAsia" w:ascii="宋体" w:hAnsi="宋体" w:cs="宋体"/>
          <w:color w:val="auto"/>
          <w:szCs w:val="21"/>
          <w:highlight w:val="none"/>
          <w:u w:val="single"/>
        </w:rPr>
        <w:t xml:space="preserve"> 工程质量达到国家验收合格标准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关于工程奖项的约定：</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5.3 隐蔽工程检查</w:t>
      </w:r>
    </w:p>
    <w:p>
      <w:pPr>
        <w:pStyle w:val="23"/>
        <w:spacing w:line="360" w:lineRule="auto"/>
        <w:ind w:firstLine="420" w:firstLineChars="200"/>
        <w:jc w:val="left"/>
        <w:rPr>
          <w:rFonts w:ascii="宋体" w:hAnsi="宋体" w:cs="宋体"/>
          <w:color w:val="auto"/>
          <w:kern w:val="0"/>
          <w:szCs w:val="21"/>
          <w:highlight w:val="none"/>
          <w:u w:val="single"/>
        </w:rPr>
      </w:pPr>
      <w:r>
        <w:rPr>
          <w:rFonts w:hint="eastAsia" w:ascii="宋体" w:hAnsi="宋体" w:cs="宋体"/>
          <w:color w:val="auto"/>
          <w:szCs w:val="21"/>
          <w:highlight w:val="none"/>
        </w:rPr>
        <w:t>5.3.2承包人提前通知监理人隐蔽工程检查的期限的约定：</w:t>
      </w:r>
      <w:r>
        <w:rPr>
          <w:rFonts w:hint="eastAsia" w:ascii="宋体" w:hAnsi="宋体" w:cs="宋体"/>
          <w:color w:val="auto"/>
          <w:kern w:val="0"/>
          <w:szCs w:val="21"/>
          <w:highlight w:val="none"/>
          <w:u w:val="single"/>
        </w:rPr>
        <w:t>任何部位的隐蔽工程需要覆盖或隐蔽前，承包人均应提前 48 小时通知发包人、监理工程师和质量监督站进行中间验收并拍照，没有发包人、监理工程师和质量监督站的批准，均不得隐蔽或验收。对相关单位所提出涉及工程质量、安全管理等存在问题时，必须进行整改，承包人应在监理人及相关人员指示的时间内修正返工后，由监理人及相关人员重新检查。否则发包人按规定有权进行经济处罚</w:t>
      </w:r>
      <w:r>
        <w:rPr>
          <w:rFonts w:hint="eastAsia" w:ascii="宋体" w:hAnsi="宋体" w:cs="宋体"/>
          <w:bCs/>
          <w:color w:val="auto"/>
          <w:szCs w:val="21"/>
          <w:highlight w:val="none"/>
          <w:u w:val="singl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监理人不能按时进行检查时，应提前</w:t>
      </w:r>
      <w:r>
        <w:rPr>
          <w:rFonts w:hint="eastAsia" w:ascii="宋体" w:hAnsi="宋体" w:cs="宋体"/>
          <w:color w:val="auto"/>
          <w:szCs w:val="21"/>
          <w:highlight w:val="none"/>
          <w:u w:val="single"/>
        </w:rPr>
        <w:t xml:space="preserve"> 24 </w:t>
      </w:r>
      <w:r>
        <w:rPr>
          <w:rFonts w:hint="eastAsia" w:ascii="宋体" w:hAnsi="宋体" w:cs="宋体"/>
          <w:color w:val="auto"/>
          <w:szCs w:val="21"/>
          <w:highlight w:val="none"/>
        </w:rPr>
        <w:t>小时提交书面延期要求。</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关于延期最长不得超过：</w:t>
      </w:r>
      <w:r>
        <w:rPr>
          <w:rFonts w:hint="eastAsia" w:ascii="宋体" w:hAnsi="宋体" w:cs="宋体"/>
          <w:color w:val="auto"/>
          <w:szCs w:val="21"/>
          <w:highlight w:val="none"/>
          <w:u w:val="single"/>
        </w:rPr>
        <w:t xml:space="preserve"> 48 </w:t>
      </w:r>
      <w:r>
        <w:rPr>
          <w:rFonts w:hint="eastAsia" w:ascii="宋体" w:hAnsi="宋体" w:cs="宋体"/>
          <w:color w:val="auto"/>
          <w:szCs w:val="21"/>
          <w:highlight w:val="none"/>
        </w:rPr>
        <w:t>小时。</w:t>
      </w:r>
    </w:p>
    <w:p>
      <w:pPr>
        <w:pStyle w:val="21"/>
        <w:spacing w:line="360" w:lineRule="auto"/>
        <w:rPr>
          <w:rFonts w:ascii="宋体" w:cs="宋体"/>
          <w:color w:val="auto"/>
          <w:highlight w:val="none"/>
        </w:rPr>
      </w:pPr>
      <w:bookmarkStart w:id="2181" w:name="_Toc418751815"/>
      <w:bookmarkStart w:id="2182" w:name="_Toc418518129"/>
      <w:bookmarkStart w:id="2183" w:name="_Toc373478366"/>
      <w:bookmarkStart w:id="2184" w:name="_Toc10076"/>
      <w:bookmarkStart w:id="2185" w:name="_Toc30046"/>
      <w:bookmarkStart w:id="2186" w:name="_Toc29064"/>
      <w:bookmarkStart w:id="2187" w:name="_Toc418752261"/>
      <w:bookmarkStart w:id="2188" w:name="_Toc11167"/>
      <w:bookmarkStart w:id="2189" w:name="_Toc418061330"/>
      <w:bookmarkStart w:id="2190" w:name="_Toc403578953"/>
      <w:bookmarkStart w:id="2191" w:name="_Toc389065285"/>
      <w:bookmarkStart w:id="2192" w:name="_Toc418518365"/>
      <w:bookmarkStart w:id="2193" w:name="_Toc5005"/>
      <w:bookmarkStart w:id="2194" w:name="_Toc351203638"/>
      <w:bookmarkStart w:id="2195" w:name="_Toc522201749"/>
      <w:bookmarkStart w:id="2196" w:name="_Toc497746800"/>
      <w:bookmarkStart w:id="2197" w:name="_Toc373227719"/>
      <w:bookmarkStart w:id="2198" w:name="_Toc497747197"/>
      <w:bookmarkStart w:id="2199" w:name="_Toc256000199"/>
      <w:r>
        <w:rPr>
          <w:rFonts w:hint="eastAsia" w:ascii="宋体" w:cs="宋体"/>
          <w:color w:val="auto"/>
          <w:highlight w:val="none"/>
        </w:rPr>
        <w:t>6. 安全文明施工与环境保护</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21"/>
        <w:spacing w:line="360" w:lineRule="auto"/>
        <w:ind w:firstLine="422" w:firstLineChars="200"/>
        <w:rPr>
          <w:rFonts w:ascii="宋体" w:cs="宋体"/>
          <w:color w:val="auto"/>
          <w:highlight w:val="none"/>
        </w:rPr>
      </w:pPr>
      <w:bookmarkStart w:id="2200" w:name="_Toc9579"/>
      <w:bookmarkStart w:id="2201" w:name="_Toc6820"/>
      <w:bookmarkStart w:id="2202" w:name="_Toc389065286"/>
      <w:bookmarkStart w:id="2203" w:name="_Toc29857"/>
      <w:bookmarkStart w:id="2204" w:name="_Toc418518366"/>
      <w:bookmarkStart w:id="2205" w:name="_Toc373227720"/>
      <w:bookmarkStart w:id="2206" w:name="_Toc418518130"/>
      <w:bookmarkStart w:id="2207" w:name="_Toc497746801"/>
      <w:bookmarkStart w:id="2208" w:name="_Toc373478367"/>
      <w:bookmarkStart w:id="2209" w:name="_Toc418751816"/>
      <w:bookmarkStart w:id="2210" w:name="_Toc256000200"/>
      <w:bookmarkStart w:id="2211" w:name="_Toc497747198"/>
      <w:bookmarkStart w:id="2212" w:name="_Toc403578954"/>
      <w:bookmarkStart w:id="2213" w:name="_Toc28505"/>
      <w:bookmarkStart w:id="2214" w:name="_Toc522201750"/>
      <w:bookmarkStart w:id="2215" w:name="_Toc418752262"/>
      <w:bookmarkStart w:id="2216" w:name="_Toc1935"/>
      <w:bookmarkStart w:id="2217" w:name="_Toc418061331"/>
      <w:r>
        <w:rPr>
          <w:rFonts w:hint="eastAsia" w:ascii="宋体" w:cs="宋体"/>
          <w:color w:val="auto"/>
          <w:highlight w:val="none"/>
        </w:rPr>
        <w:t>6.1 安全文明施工</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6.1.1 项目安全生产的达标目标及相应事项的约定：</w:t>
      </w:r>
      <w:r>
        <w:rPr>
          <w:rFonts w:hint="eastAsia" w:ascii="宋体" w:hAnsi="宋体" w:cs="宋体"/>
          <w:color w:val="auto"/>
          <w:szCs w:val="21"/>
          <w:highlight w:val="none"/>
          <w:u w:val="single"/>
        </w:rPr>
        <w:t xml:space="preserve"> 按照国家及地方安全文明施工的有关规定执行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关于安全文明施工奖项的约定：</w:t>
      </w:r>
      <w:r>
        <w:rPr>
          <w:rFonts w:hint="eastAsia" w:ascii="宋体" w:hAnsi="宋体" w:cs="宋体"/>
          <w:color w:val="auto"/>
          <w:szCs w:val="21"/>
          <w:highlight w:val="none"/>
          <w:u w:val="single"/>
        </w:rPr>
        <w:t xml:space="preserve">  承包人应当负责统一管理施工场地的治安保卫事项，履行合同工程的治安保卫职责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6.1.4 关于治安保卫的特别约定：</w:t>
      </w:r>
      <w:r>
        <w:rPr>
          <w:rFonts w:hint="eastAsia" w:ascii="宋体" w:hAnsi="宋体" w:cs="宋体"/>
          <w:color w:val="auto"/>
          <w:szCs w:val="21"/>
          <w:highlight w:val="none"/>
          <w:u w:val="single"/>
        </w:rPr>
        <w:t>承包人应承担施工安全保卫工作及非夜间施工照明的责任，承包人应采取一切合理的预防措施，防止人员伤亡、财产损失事故，费用由承包人承担。承包人生活设施及施工场应自费配备消防设备，防止火灾发生</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关于编制施工场地治安管理计划的约定：</w:t>
      </w:r>
      <w:r>
        <w:rPr>
          <w:rFonts w:hint="eastAsia" w:ascii="宋体" w:hAnsi="宋体" w:cs="宋体"/>
          <w:color w:val="auto"/>
          <w:szCs w:val="21"/>
          <w:highlight w:val="none"/>
          <w:u w:val="single"/>
        </w:rPr>
        <w:t xml:space="preserve">  开工前7天内承包人编制施工场地治安管理计划和突发治安事件紧急预案</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6.1.5 文明施工</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合同当事人对文明施工的要求：</w:t>
      </w:r>
      <w:r>
        <w:rPr>
          <w:rFonts w:hint="eastAsia" w:ascii="宋体" w:hAnsi="宋体" w:cs="宋体"/>
          <w:color w:val="auto"/>
          <w:szCs w:val="21"/>
          <w:highlight w:val="none"/>
          <w:u w:val="single"/>
        </w:rPr>
        <w:t>按照国家及地方安全文明施工的有关规定执行</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6.1.6 关于安全文明施工费支付比例和支付期限的约定： </w:t>
      </w:r>
      <w:r>
        <w:rPr>
          <w:rFonts w:hint="eastAsia" w:ascii="宋体" w:hAnsi="宋体" w:cs="宋体"/>
          <w:color w:val="auto"/>
          <w:szCs w:val="21"/>
          <w:highlight w:val="none"/>
          <w:u w:val="single"/>
        </w:rPr>
        <w:t>同通用条款。</w:t>
      </w:r>
      <w:r>
        <w:rPr>
          <w:rFonts w:hint="eastAsia" w:ascii="宋体" w:hAnsi="宋体" w:cs="宋体"/>
          <w:color w:val="auto"/>
          <w:szCs w:val="21"/>
          <w:highlight w:val="none"/>
        </w:rPr>
        <w:t xml:space="preserve">  </w:t>
      </w:r>
    </w:p>
    <w:p>
      <w:pPr>
        <w:pStyle w:val="28"/>
        <w:spacing w:line="360" w:lineRule="auto"/>
        <w:rPr>
          <w:rFonts w:ascii="宋体" w:hAnsi="宋体" w:cs="宋体"/>
          <w:color w:val="auto"/>
          <w:highlight w:val="none"/>
          <w:u w:val="single"/>
        </w:rPr>
      </w:pPr>
      <w:bookmarkStart w:id="2218" w:name="_Toc418751817"/>
      <w:bookmarkStart w:id="2219" w:name="_Toc418061332"/>
      <w:bookmarkStart w:id="2220" w:name="_Toc389065287"/>
      <w:bookmarkStart w:id="2221" w:name="_Toc418752263"/>
      <w:bookmarkStart w:id="2222" w:name="_Toc497746802"/>
      <w:bookmarkStart w:id="2223" w:name="_Toc418518367"/>
      <w:bookmarkStart w:id="2224" w:name="_Toc373478368"/>
      <w:bookmarkStart w:id="2225" w:name="_Toc373227721"/>
      <w:bookmarkStart w:id="2226" w:name="_Toc497747199"/>
      <w:bookmarkStart w:id="2227" w:name="_Toc418518131"/>
      <w:bookmarkStart w:id="2228" w:name="_Toc403578955"/>
      <w:r>
        <w:rPr>
          <w:rFonts w:hint="eastAsia" w:ascii="宋体" w:hAnsi="宋体" w:cs="宋体"/>
          <w:color w:val="auto"/>
          <w:highlight w:val="none"/>
        </w:rPr>
        <w:t>6.2职业健康</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6.2.3 扬尘防治：严格执行市住建【2016】71号《关于进一步加强全市建筑工地扬尘治理工作的通知》的相关规定。关于扬尘防治费支付比例和支付期限的约定为：</w:t>
      </w:r>
      <w:r>
        <w:rPr>
          <w:rFonts w:hint="eastAsia" w:ascii="宋体" w:hAnsi="宋体" w:cs="宋体"/>
          <w:color w:val="auto"/>
          <w:szCs w:val="21"/>
          <w:highlight w:val="none"/>
          <w:u w:val="single"/>
        </w:rPr>
        <w:t>市住建〔2016〕34号文规定 。</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 6.3 环境保护</w:t>
      </w:r>
      <w:bookmarkEnd w:id="2218"/>
      <w:bookmarkEnd w:id="2219"/>
      <w:bookmarkEnd w:id="2220"/>
      <w:bookmarkEnd w:id="2221"/>
      <w:bookmarkEnd w:id="2222"/>
      <w:bookmarkEnd w:id="2223"/>
      <w:bookmarkEnd w:id="2224"/>
      <w:bookmarkEnd w:id="2225"/>
      <w:bookmarkEnd w:id="2226"/>
      <w:bookmarkEnd w:id="2227"/>
      <w:bookmarkEnd w:id="2228"/>
      <w:r>
        <w:rPr>
          <w:rFonts w:hint="eastAsia" w:ascii="宋体" w:hAnsi="宋体" w:cs="宋体"/>
          <w:color w:val="auto"/>
          <w:szCs w:val="21"/>
          <w:highlight w:val="none"/>
        </w:rPr>
        <w:t>因施工需要，经发包人批准，由承包人办理有关施工场地交通、环卫和施工噪音管理等手续，费用由承包人负责。</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经过城市道路的施工车辆，必须按交警、城管、运输等部门相关规定执行。由于施工车辆造成的道路、环境等污染，其责任和费用均由承包人承担。</w:t>
      </w:r>
    </w:p>
    <w:p>
      <w:pPr>
        <w:pStyle w:val="28"/>
        <w:spacing w:line="360" w:lineRule="auto"/>
        <w:rPr>
          <w:rFonts w:ascii="宋体" w:hAnsi="宋体" w:cs="宋体"/>
          <w:color w:val="auto"/>
          <w:highlight w:val="none"/>
        </w:rPr>
      </w:pPr>
      <w:r>
        <w:rPr>
          <w:rFonts w:hint="eastAsia" w:ascii="宋体" w:hAnsi="宋体" w:cs="宋体"/>
          <w:color w:val="auto"/>
          <w:highlight w:val="none"/>
        </w:rPr>
        <w:t>环保工作的约定：</w:t>
      </w:r>
      <w:r>
        <w:rPr>
          <w:rFonts w:hint="eastAsia" w:ascii="宋体" w:hAnsi="宋体" w:cs="宋体"/>
          <w:color w:val="auto"/>
          <w:highlight w:val="none"/>
          <w:u w:val="single"/>
        </w:rPr>
        <w:t>承包人负责办理有关环保报批手续，并承担相应的费用。在施工期间对环境主要影响是机械声和废水、废渣、尘埃，对此承包人应采取相应的防治措施和严格管理，严格控制污染物排放，污染物排放前必须处理，达到排污标准后再排放。严禁把污染物直接排入江中。控制标准：《地面环境质量标准》GB3838-88Ⅱ。施工完毕后，承包人应及时将被破坏的场地，遵照监理工程师的指示进行清理、修正，并根据实际情况将场地恢复到原有状态，费用自理。</w:t>
      </w:r>
    </w:p>
    <w:bookmarkEnd w:id="2174"/>
    <w:bookmarkEnd w:id="2175"/>
    <w:bookmarkEnd w:id="2176"/>
    <w:bookmarkEnd w:id="2177"/>
    <w:bookmarkEnd w:id="2178"/>
    <w:bookmarkEnd w:id="2179"/>
    <w:bookmarkEnd w:id="2180"/>
    <w:p>
      <w:pPr>
        <w:pStyle w:val="21"/>
        <w:spacing w:line="360" w:lineRule="auto"/>
        <w:rPr>
          <w:rFonts w:ascii="宋体" w:cs="宋体"/>
          <w:color w:val="auto"/>
          <w:highlight w:val="none"/>
        </w:rPr>
      </w:pPr>
      <w:bookmarkStart w:id="2229" w:name="_Toc11842"/>
      <w:bookmarkStart w:id="2230" w:name="_Toc418518132"/>
      <w:bookmarkStart w:id="2231" w:name="_Toc403578956"/>
      <w:bookmarkStart w:id="2232" w:name="_Toc256000201"/>
      <w:bookmarkStart w:id="2233" w:name="_Toc418518368"/>
      <w:bookmarkStart w:id="2234" w:name="_Toc31060"/>
      <w:bookmarkStart w:id="2235" w:name="_Toc13681"/>
      <w:bookmarkStart w:id="2236" w:name="_Toc497747200"/>
      <w:bookmarkStart w:id="2237" w:name="_Toc418751818"/>
      <w:bookmarkStart w:id="2238" w:name="_Toc19819"/>
      <w:bookmarkStart w:id="2239" w:name="_Toc373227722"/>
      <w:bookmarkStart w:id="2240" w:name="_Toc373478369"/>
      <w:bookmarkStart w:id="2241" w:name="_Toc418061333"/>
      <w:bookmarkStart w:id="2242" w:name="_Toc497746803"/>
      <w:bookmarkStart w:id="2243" w:name="_Toc18439"/>
      <w:bookmarkStart w:id="2244" w:name="_Toc389065288"/>
      <w:bookmarkStart w:id="2245" w:name="_Toc418752264"/>
      <w:bookmarkStart w:id="2246" w:name="_Toc522201751"/>
      <w:bookmarkStart w:id="2247" w:name="_Toc351203639"/>
      <w:r>
        <w:rPr>
          <w:rFonts w:hint="eastAsia" w:ascii="宋体" w:cs="宋体"/>
          <w:color w:val="auto"/>
          <w:highlight w:val="none"/>
        </w:rPr>
        <w:t>7. 工期和进度</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pStyle w:val="21"/>
        <w:spacing w:line="360" w:lineRule="auto"/>
        <w:ind w:firstLine="422" w:firstLineChars="200"/>
        <w:rPr>
          <w:rFonts w:ascii="宋体" w:cs="宋体"/>
          <w:color w:val="auto"/>
          <w:highlight w:val="none"/>
        </w:rPr>
      </w:pPr>
      <w:bookmarkStart w:id="2248" w:name="_Toc7398"/>
      <w:bookmarkStart w:id="2249" w:name="_Toc418061334"/>
      <w:bookmarkStart w:id="2250" w:name="_Toc403578957"/>
      <w:bookmarkStart w:id="2251" w:name="_Toc4090"/>
      <w:bookmarkStart w:id="2252" w:name="_Toc373227723"/>
      <w:bookmarkStart w:id="2253" w:name="_Toc418752265"/>
      <w:bookmarkStart w:id="2254" w:name="_Toc19161"/>
      <w:bookmarkStart w:id="2255" w:name="_Toc418518133"/>
      <w:bookmarkStart w:id="2256" w:name="_Toc418518369"/>
      <w:bookmarkStart w:id="2257" w:name="_Toc373478370"/>
      <w:bookmarkStart w:id="2258" w:name="_Toc418751819"/>
      <w:bookmarkStart w:id="2259" w:name="_Toc522201752"/>
      <w:bookmarkStart w:id="2260" w:name="_Toc7855"/>
      <w:bookmarkStart w:id="2261" w:name="_Toc497747201"/>
      <w:bookmarkStart w:id="2262" w:name="_Toc389065289"/>
      <w:bookmarkStart w:id="2263" w:name="_Toc8005"/>
      <w:bookmarkStart w:id="2264" w:name="_Toc256000202"/>
      <w:bookmarkStart w:id="2265" w:name="_Toc497746804"/>
      <w:r>
        <w:rPr>
          <w:rFonts w:hint="eastAsia" w:ascii="宋体" w:cs="宋体"/>
          <w:color w:val="auto"/>
          <w:highlight w:val="none"/>
        </w:rPr>
        <w:t>7.1 施工组织设计</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28"/>
        <w:spacing w:line="360" w:lineRule="auto"/>
        <w:rPr>
          <w:rFonts w:ascii="宋体" w:hAnsi="宋体" w:cs="宋体"/>
          <w:color w:val="auto"/>
          <w:highlight w:val="none"/>
          <w:u w:val="single"/>
        </w:rPr>
      </w:pPr>
      <w:r>
        <w:rPr>
          <w:rFonts w:hint="eastAsia" w:ascii="宋体" w:hAnsi="宋体" w:cs="宋体"/>
          <w:color w:val="auto"/>
          <w:highlight w:val="none"/>
        </w:rPr>
        <w:t>7.1.1 合同当事人约定的施工组织设计应包括的其他内容：</w:t>
      </w:r>
      <w:r>
        <w:rPr>
          <w:rFonts w:hint="eastAsia" w:ascii="宋体" w:hAnsi="宋体" w:cs="宋体"/>
          <w:color w:val="auto"/>
          <w:highlight w:val="none"/>
          <w:u w:val="single"/>
        </w:rPr>
        <w:t>(1)管理人员名单，含职称、职务并附相关人员岗位证书等复印件；（2）施工进度计划包括总进度计划、分阶段和分项进度计划、设备材料人员进场计划；施工方案说明包括分部、分项工程或工程部位的名称及施工顺序和方法；（3）国家及地方有关规定应当提交的内容。</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szCs w:val="21"/>
          <w:highlight w:val="none"/>
        </w:rPr>
        <w:t xml:space="preserve">7.1.2 </w:t>
      </w:r>
      <w:r>
        <w:rPr>
          <w:rFonts w:hint="eastAsia" w:ascii="宋体" w:hAnsi="宋体" w:cs="宋体"/>
          <w:color w:val="auto"/>
          <w:kern w:val="0"/>
          <w:szCs w:val="21"/>
          <w:highlight w:val="none"/>
        </w:rPr>
        <w:t>施工组织设计的提交和修改</w:t>
      </w:r>
    </w:p>
    <w:p>
      <w:pPr>
        <w:pStyle w:val="23"/>
        <w:autoSpaceDE w:val="0"/>
        <w:autoSpaceDN w:val="0"/>
        <w:adjustRightIn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kern w:val="0"/>
          <w:szCs w:val="21"/>
          <w:highlight w:val="none"/>
        </w:rPr>
        <w:t>承包人提交详细施工组织设计的期限的约定：</w:t>
      </w:r>
      <w:r>
        <w:rPr>
          <w:rFonts w:hint="eastAsia" w:ascii="宋体" w:hAnsi="宋体" w:cs="宋体"/>
          <w:color w:val="auto"/>
          <w:szCs w:val="21"/>
          <w:highlight w:val="none"/>
          <w:u w:val="single"/>
        </w:rPr>
        <w:t xml:space="preserve">  </w:t>
      </w:r>
      <w:r>
        <w:rPr>
          <w:rFonts w:hint="eastAsia" w:ascii="宋体" w:hAnsi="宋体"/>
          <w:color w:val="auto"/>
          <w:szCs w:val="21"/>
          <w:highlight w:val="none"/>
          <w:u w:val="single"/>
        </w:rPr>
        <w:t>合同签订后14天内，最迟不得晚于开工通知载明的开工日期前7天</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发包人和监理人在收到详细的施工组织设计后确认或提出修改意见的期限：</w:t>
      </w:r>
      <w:r>
        <w:rPr>
          <w:rFonts w:hint="eastAsia" w:ascii="宋体" w:hAnsi="宋体"/>
          <w:color w:val="auto"/>
          <w:szCs w:val="21"/>
          <w:highlight w:val="none"/>
          <w:u w:val="single"/>
        </w:rPr>
        <w:t>收到施工组织设计后7天内确认或提出修改意见。</w:t>
      </w:r>
    </w:p>
    <w:p>
      <w:pPr>
        <w:pStyle w:val="21"/>
        <w:spacing w:line="360" w:lineRule="auto"/>
        <w:ind w:firstLine="422" w:firstLineChars="200"/>
        <w:rPr>
          <w:rFonts w:ascii="宋体" w:cs="宋体"/>
          <w:color w:val="auto"/>
          <w:highlight w:val="none"/>
        </w:rPr>
      </w:pPr>
      <w:bookmarkStart w:id="2266" w:name="_Toc8795"/>
      <w:bookmarkStart w:id="2267" w:name="_Toc418518370"/>
      <w:bookmarkStart w:id="2268" w:name="_Toc19006"/>
      <w:bookmarkStart w:id="2269" w:name="_Toc418752266"/>
      <w:bookmarkStart w:id="2270" w:name="_Toc373478371"/>
      <w:bookmarkStart w:id="2271" w:name="_Toc497746805"/>
      <w:bookmarkStart w:id="2272" w:name="_Toc418518134"/>
      <w:bookmarkStart w:id="2273" w:name="_Toc522201753"/>
      <w:bookmarkStart w:id="2274" w:name="_Toc9801"/>
      <w:bookmarkStart w:id="2275" w:name="_Toc403578958"/>
      <w:bookmarkStart w:id="2276" w:name="_Toc418061335"/>
      <w:bookmarkStart w:id="2277" w:name="_Toc497747202"/>
      <w:bookmarkStart w:id="2278" w:name="_Toc418751820"/>
      <w:bookmarkStart w:id="2279" w:name="_Toc373227724"/>
      <w:bookmarkStart w:id="2280" w:name="_Toc389065290"/>
      <w:bookmarkStart w:id="2281" w:name="_Toc14759"/>
      <w:bookmarkStart w:id="2282" w:name="_Toc256000203"/>
      <w:bookmarkStart w:id="2283" w:name="_Toc25656"/>
      <w:r>
        <w:rPr>
          <w:rFonts w:hint="eastAsia" w:ascii="宋体" w:cs="宋体"/>
          <w:color w:val="auto"/>
          <w:highlight w:val="none"/>
        </w:rPr>
        <w:t>7</w:t>
      </w:r>
      <w:bookmarkStart w:id="2284" w:name="_Toc304295541"/>
      <w:bookmarkStart w:id="2285" w:name="_Toc300934966"/>
      <w:bookmarkStart w:id="2286" w:name="_Toc312677479"/>
      <w:bookmarkStart w:id="2287" w:name="_Toc312678005"/>
      <w:bookmarkStart w:id="2288" w:name="_Toc303539123"/>
      <w:bookmarkStart w:id="2289" w:name="_Toc297216173"/>
      <w:bookmarkStart w:id="2290" w:name="_Toc297123514"/>
      <w:r>
        <w:rPr>
          <w:rFonts w:hint="eastAsia" w:ascii="宋体" w:cs="宋体"/>
          <w:color w:val="auto"/>
          <w:highlight w:val="none"/>
        </w:rPr>
        <w:t>.2 施工进度计划</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7.2.2 施工进度计划的修订</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（1）发包人和监理人在收到修订的施工进度计划后确认或提出修改意见的期限：</w:t>
      </w:r>
      <w:r>
        <w:rPr>
          <w:rFonts w:hint="eastAsia" w:ascii="宋体" w:hAnsi="宋体" w:cs="宋体"/>
          <w:color w:val="auto"/>
          <w:szCs w:val="21"/>
          <w:highlight w:val="none"/>
          <w:u w:val="single"/>
        </w:rPr>
        <w:t>自监理人收到承包人报送的相关进度计划后 7天内。</w:t>
      </w:r>
      <w:r>
        <w:rPr>
          <w:rFonts w:hint="eastAsia" w:ascii="宋体" w:hAnsi="宋体" w:cs="宋体"/>
          <w:color w:val="auto"/>
          <w:szCs w:val="21"/>
          <w:highlight w:val="none"/>
        </w:rPr>
        <w:t xml:space="preserve"> </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（2）承包人编制分阶段或分项施工进度计划和施工方案说明的内容：</w:t>
      </w:r>
      <w:r>
        <w:rPr>
          <w:rFonts w:hint="eastAsia" w:ascii="宋体" w:hAnsi="宋体" w:cs="宋体"/>
          <w:color w:val="auto"/>
          <w:szCs w:val="21"/>
          <w:highlight w:val="none"/>
          <w:u w:val="single"/>
        </w:rPr>
        <w:t>包含但不限于月进度计划、原地面测量方案、不良地基处理方案等。</w:t>
      </w:r>
      <w:r>
        <w:rPr>
          <w:rFonts w:hint="eastAsia" w:ascii="宋体" w:hAnsi="宋体" w:cs="宋体"/>
          <w:color w:val="auto"/>
          <w:szCs w:val="21"/>
          <w:highlight w:val="none"/>
        </w:rPr>
        <w:t xml:space="preserve"> </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（3） 承包人报送分阶段或分项施工进度计划和施工方案说明的期限： </w:t>
      </w:r>
      <w:r>
        <w:rPr>
          <w:rFonts w:hint="eastAsia" w:ascii="宋体" w:hAnsi="宋体" w:cs="宋体"/>
          <w:color w:val="auto"/>
          <w:szCs w:val="21"/>
          <w:highlight w:val="none"/>
          <w:u w:val="single"/>
        </w:rPr>
        <w:t>月进度计划于上月 30 日前提交，分项施工进度计划和施工方案说明应不迟于该分项工程施工前14 天提交。</w:t>
      </w:r>
    </w:p>
    <w:p>
      <w:pPr>
        <w:pStyle w:val="21"/>
        <w:spacing w:line="360" w:lineRule="auto"/>
        <w:ind w:firstLine="422" w:firstLineChars="200"/>
        <w:rPr>
          <w:rFonts w:ascii="宋体" w:cs="宋体"/>
          <w:color w:val="auto"/>
          <w:highlight w:val="none"/>
        </w:rPr>
      </w:pPr>
      <w:bookmarkStart w:id="2291" w:name="_Toc418518135"/>
      <w:bookmarkStart w:id="2292" w:name="_Toc497746806"/>
      <w:bookmarkStart w:id="2293" w:name="_Toc12799"/>
      <w:bookmarkStart w:id="2294" w:name="_Toc418061336"/>
      <w:bookmarkStart w:id="2295" w:name="_Toc373227725"/>
      <w:bookmarkStart w:id="2296" w:name="_Toc256000204"/>
      <w:bookmarkStart w:id="2297" w:name="_Toc15715"/>
      <w:bookmarkStart w:id="2298" w:name="_Toc403578959"/>
      <w:bookmarkStart w:id="2299" w:name="_Toc8673"/>
      <w:bookmarkStart w:id="2300" w:name="_Toc20946"/>
      <w:bookmarkStart w:id="2301" w:name="_Toc373478372"/>
      <w:bookmarkStart w:id="2302" w:name="_Toc389065291"/>
      <w:bookmarkStart w:id="2303" w:name="_Toc418518371"/>
      <w:bookmarkStart w:id="2304" w:name="_Toc418751821"/>
      <w:bookmarkStart w:id="2305" w:name="_Toc497747203"/>
      <w:bookmarkStart w:id="2306" w:name="_Toc10702"/>
      <w:bookmarkStart w:id="2307" w:name="_Toc418752267"/>
      <w:bookmarkStart w:id="2308" w:name="_Toc522201754"/>
      <w:r>
        <w:rPr>
          <w:rFonts w:hint="eastAsia" w:ascii="宋体" w:cs="宋体"/>
          <w:color w:val="auto"/>
          <w:highlight w:val="none"/>
        </w:rPr>
        <w:t>7.3 开工</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7.3.1 开工准备</w:t>
      </w:r>
    </w:p>
    <w:p>
      <w:pPr>
        <w:pStyle w:val="23"/>
        <w:spacing w:line="360" w:lineRule="auto"/>
        <w:ind w:firstLine="525" w:firstLineChars="250"/>
        <w:jc w:val="left"/>
        <w:rPr>
          <w:rFonts w:ascii="宋体" w:hAnsi="宋体" w:cs="宋体"/>
          <w:color w:val="auto"/>
          <w:szCs w:val="21"/>
          <w:highlight w:val="none"/>
          <w:u w:val="single"/>
        </w:rPr>
      </w:pPr>
      <w:r>
        <w:rPr>
          <w:rFonts w:hint="eastAsia" w:ascii="宋体" w:hAnsi="宋体" w:cs="宋体"/>
          <w:color w:val="auto"/>
          <w:szCs w:val="21"/>
          <w:highlight w:val="none"/>
        </w:rPr>
        <w:t>关于承包人提交</w:t>
      </w:r>
      <w:r>
        <w:rPr>
          <w:rFonts w:hint="eastAsia" w:ascii="宋体" w:hAnsi="宋体" w:cs="宋体"/>
          <w:color w:val="auto"/>
          <w:kern w:val="0"/>
          <w:szCs w:val="21"/>
          <w:highlight w:val="none"/>
        </w:rPr>
        <w:t>工程开工报审表的期限：</w:t>
      </w:r>
      <w:r>
        <w:rPr>
          <w:rFonts w:hint="eastAsia" w:ascii="宋体" w:hAnsi="宋体" w:cs="宋体"/>
          <w:color w:val="auto"/>
          <w:szCs w:val="21"/>
          <w:highlight w:val="none"/>
          <w:u w:val="single"/>
        </w:rPr>
        <w:t xml:space="preserve">  7天   </w:t>
      </w:r>
      <w:r>
        <w:rPr>
          <w:rFonts w:hint="eastAsia" w:ascii="宋体" w:hAnsi="宋体" w:cs="宋体"/>
          <w:color w:val="auto"/>
          <w:szCs w:val="21"/>
          <w:highlight w:val="none"/>
        </w:rPr>
        <w:t>。</w:t>
      </w:r>
    </w:p>
    <w:p>
      <w:pPr>
        <w:pStyle w:val="23"/>
        <w:spacing w:line="360" w:lineRule="auto"/>
        <w:jc w:val="left"/>
        <w:rPr>
          <w:rFonts w:ascii="宋体" w:hAnsi="宋体" w:cs="宋体"/>
          <w:color w:val="auto"/>
          <w:szCs w:val="21"/>
          <w:highlight w:val="none"/>
        </w:rPr>
      </w:pPr>
      <w:r>
        <w:rPr>
          <w:rFonts w:hint="eastAsia" w:ascii="宋体" w:hAnsi="宋体" w:cs="宋体"/>
          <w:color w:val="auto"/>
          <w:szCs w:val="21"/>
          <w:highlight w:val="none"/>
        </w:rPr>
        <w:t xml:space="preserve">     关于发包人应完成的其他开工准备工作及期限：</w:t>
      </w:r>
      <w:r>
        <w:rPr>
          <w:rFonts w:hint="eastAsia" w:ascii="宋体" w:hAnsi="宋体" w:cs="宋体"/>
          <w:color w:val="auto"/>
          <w:szCs w:val="21"/>
          <w:highlight w:val="none"/>
          <w:u w:val="single"/>
        </w:rPr>
        <w:t xml:space="preserve">   7天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 xml:space="preserve"> 关于承包人应完成的其他开工准备工作及期限：</w:t>
      </w:r>
      <w:r>
        <w:rPr>
          <w:rFonts w:hint="eastAsia" w:ascii="宋体" w:hAnsi="宋体" w:cs="宋体"/>
          <w:color w:val="auto"/>
          <w:szCs w:val="21"/>
          <w:highlight w:val="none"/>
          <w:u w:val="single"/>
        </w:rPr>
        <w:t xml:space="preserve">   7天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7.3.2 开工通知</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因发包人原因造成监理人未能在计划开工日期之日起</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天内发出开工通知的，承包人有权提出价格调整要求，或者解除合同。</w:t>
      </w:r>
    </w:p>
    <w:bookmarkEnd w:id="2284"/>
    <w:bookmarkEnd w:id="2285"/>
    <w:bookmarkEnd w:id="2286"/>
    <w:bookmarkEnd w:id="2287"/>
    <w:bookmarkEnd w:id="2288"/>
    <w:bookmarkEnd w:id="2289"/>
    <w:bookmarkEnd w:id="2290"/>
    <w:p>
      <w:pPr>
        <w:pStyle w:val="21"/>
        <w:spacing w:line="360" w:lineRule="auto"/>
        <w:ind w:firstLine="422" w:firstLineChars="200"/>
        <w:rPr>
          <w:rFonts w:ascii="宋体" w:cs="宋体"/>
          <w:color w:val="auto"/>
          <w:highlight w:val="none"/>
        </w:rPr>
      </w:pPr>
      <w:bookmarkStart w:id="2309" w:name="_Toc1201"/>
      <w:bookmarkStart w:id="2310" w:name="_Toc4076"/>
      <w:bookmarkStart w:id="2311" w:name="_Toc418061337"/>
      <w:bookmarkStart w:id="2312" w:name="_Toc418751822"/>
      <w:bookmarkStart w:id="2313" w:name="_Toc256000205"/>
      <w:bookmarkStart w:id="2314" w:name="_Toc418518136"/>
      <w:bookmarkStart w:id="2315" w:name="_Toc27111"/>
      <w:bookmarkStart w:id="2316" w:name="_Toc522201755"/>
      <w:bookmarkStart w:id="2317" w:name="_Toc403578960"/>
      <w:bookmarkStart w:id="2318" w:name="_Toc497747204"/>
      <w:bookmarkStart w:id="2319" w:name="_Toc418752268"/>
      <w:bookmarkStart w:id="2320" w:name="_Toc389065292"/>
      <w:bookmarkStart w:id="2321" w:name="_Toc418518372"/>
      <w:bookmarkStart w:id="2322" w:name="_Toc497746807"/>
      <w:bookmarkStart w:id="2323" w:name="_Toc17300"/>
      <w:bookmarkStart w:id="2324" w:name="_Toc15350"/>
      <w:bookmarkStart w:id="2325" w:name="_Toc373478373"/>
      <w:bookmarkStart w:id="2326" w:name="_Toc373227726"/>
      <w:r>
        <w:rPr>
          <w:rFonts w:hint="eastAsia" w:ascii="宋体" w:cs="宋体"/>
          <w:color w:val="auto"/>
          <w:highlight w:val="none"/>
        </w:rPr>
        <w:t>7.4 测量放线</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7.4.1发包人通过监理人向承包人提供测量基准点、基准线和水准点及其书面资料的期限：</w:t>
      </w:r>
      <w:r>
        <w:rPr>
          <w:rFonts w:hint="eastAsia" w:ascii="宋体" w:hAnsi="宋体" w:cs="宋体"/>
          <w:color w:val="auto"/>
          <w:szCs w:val="21"/>
          <w:highlight w:val="none"/>
          <w:u w:val="single"/>
        </w:rPr>
        <w:t>开工通知载明的开工日前 7 天，承包人进入工地后进行现场书面交桩。水准点、座标控制点交验完毕，即由承包人负责保护，此后由于破坏或失准带来的重新测量、放点费用及由此造成的其他损失均由承包人负担； 承包人应于开工通知后七天内现场校验，并根据国家测绘基准、测绘系统和工程测量技术规范，按上述基准点（线）以及合同工程精度要求，测设施工控制网，三方做好签认工作；承包人应于开工前3天，并在工程竣工后将施工控制网点移交发包人 。</w:t>
      </w:r>
    </w:p>
    <w:p>
      <w:pPr>
        <w:pStyle w:val="21"/>
        <w:spacing w:line="360" w:lineRule="auto"/>
        <w:ind w:firstLine="422" w:firstLineChars="200"/>
        <w:rPr>
          <w:rFonts w:ascii="宋体" w:cs="宋体"/>
          <w:color w:val="auto"/>
          <w:highlight w:val="none"/>
        </w:rPr>
      </w:pPr>
      <w:bookmarkStart w:id="2327" w:name="_Toc403578961"/>
      <w:bookmarkStart w:id="2328" w:name="_Toc30948"/>
      <w:bookmarkStart w:id="2329" w:name="_Toc418518137"/>
      <w:bookmarkStart w:id="2330" w:name="_Toc25439"/>
      <w:bookmarkStart w:id="2331" w:name="_Toc522201756"/>
      <w:bookmarkStart w:id="2332" w:name="_Toc27754"/>
      <w:bookmarkStart w:id="2333" w:name="_Toc373227727"/>
      <w:bookmarkStart w:id="2334" w:name="_Toc497747205"/>
      <w:bookmarkStart w:id="2335" w:name="_Toc389065293"/>
      <w:bookmarkStart w:id="2336" w:name="_Toc7260"/>
      <w:bookmarkStart w:id="2337" w:name="_Toc418518373"/>
      <w:bookmarkStart w:id="2338" w:name="_Toc373478374"/>
      <w:bookmarkStart w:id="2339" w:name="_Toc418751823"/>
      <w:bookmarkStart w:id="2340" w:name="_Toc497746808"/>
      <w:bookmarkStart w:id="2341" w:name="_Toc256000206"/>
      <w:bookmarkStart w:id="2342" w:name="_Toc11199"/>
      <w:bookmarkStart w:id="2343" w:name="_Toc418752269"/>
      <w:bookmarkStart w:id="2344" w:name="_Toc418061338"/>
      <w:r>
        <w:rPr>
          <w:rFonts w:hint="eastAsia" w:ascii="宋体" w:cs="宋体"/>
          <w:color w:val="auto"/>
          <w:highlight w:val="none"/>
        </w:rPr>
        <w:t>7</w:t>
      </w:r>
      <w:bookmarkStart w:id="2345" w:name="_Toc300934968"/>
      <w:bookmarkStart w:id="2346" w:name="_Toc304295546"/>
      <w:bookmarkStart w:id="2347" w:name="_Toc297123516"/>
      <w:bookmarkStart w:id="2348" w:name="_Toc312678010"/>
      <w:bookmarkStart w:id="2349" w:name="_Toc297216175"/>
      <w:bookmarkStart w:id="2350" w:name="_Toc312677484"/>
      <w:bookmarkStart w:id="2351" w:name="_Toc303539125"/>
      <w:r>
        <w:rPr>
          <w:rFonts w:hint="eastAsia" w:ascii="宋体" w:cs="宋体"/>
          <w:color w:val="auto"/>
          <w:highlight w:val="none"/>
        </w:rPr>
        <w:t>.5 工期延误</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bookmarkEnd w:id="2345"/>
    <w:bookmarkEnd w:id="2346"/>
    <w:bookmarkEnd w:id="2347"/>
    <w:bookmarkEnd w:id="2348"/>
    <w:bookmarkEnd w:id="2349"/>
    <w:bookmarkEnd w:id="2350"/>
    <w:bookmarkEnd w:id="2351"/>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7.5.1 因发包人原因导致工期延误</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（7）因发包人原因导致工期延误的其他情形：</w:t>
      </w:r>
      <w:r>
        <w:rPr>
          <w:rFonts w:hint="eastAsia" w:ascii="宋体" w:hAnsi="宋体" w:cs="宋体"/>
          <w:color w:val="auto"/>
          <w:szCs w:val="21"/>
          <w:highlight w:val="none"/>
          <w:u w:val="single"/>
        </w:rPr>
        <w:t xml:space="preserve">无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w:t>
      </w:r>
      <w:bookmarkStart w:id="2352" w:name="_Toc318581169"/>
      <w:bookmarkStart w:id="2353" w:name="_Toc312678012"/>
      <w:bookmarkStart w:id="2354" w:name="_Toc312677486"/>
      <w:bookmarkStart w:id="2355" w:name="_Toc297123518"/>
      <w:bookmarkStart w:id="2356" w:name="_Toc300934970"/>
      <w:bookmarkStart w:id="2357" w:name="_Toc297216177"/>
      <w:bookmarkStart w:id="2358" w:name="_Toc304295548"/>
      <w:bookmarkStart w:id="2359" w:name="_Toc303539127"/>
      <w:r>
        <w:rPr>
          <w:rFonts w:hint="eastAsia" w:ascii="宋体" w:hAnsi="宋体" w:cs="宋体"/>
          <w:color w:val="auto"/>
          <w:szCs w:val="21"/>
          <w:highlight w:val="none"/>
        </w:rPr>
        <w:t>.5.2 因承包人原因导致工期延误</w:t>
      </w:r>
    </w:p>
    <w:bookmarkEnd w:id="2352"/>
    <w:bookmarkEnd w:id="2353"/>
    <w:bookmarkEnd w:id="2354"/>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双方约定经监理工程师确认，工期相应顺延的情况：</w:t>
      </w:r>
      <w:r>
        <w:rPr>
          <w:rFonts w:hint="eastAsia" w:ascii="宋体" w:hAnsi="宋体" w:cs="宋体"/>
          <w:color w:val="auto"/>
          <w:szCs w:val="21"/>
          <w:highlight w:val="none"/>
          <w:u w:val="single"/>
        </w:rPr>
        <w:t xml:space="preserve">  非承包人原因导致的工期延误，合同工期相应顺延</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因</w:t>
      </w:r>
      <w:bookmarkStart w:id="2360" w:name="_Toc312678013"/>
      <w:bookmarkStart w:id="2361" w:name="_Toc312677487"/>
      <w:bookmarkStart w:id="2362" w:name="_Toc318581170"/>
      <w:r>
        <w:rPr>
          <w:rFonts w:hint="eastAsia" w:ascii="宋体" w:hAnsi="宋体" w:cs="宋体"/>
          <w:color w:val="auto"/>
          <w:szCs w:val="21"/>
          <w:highlight w:val="none"/>
        </w:rPr>
        <w:t>承包人原因造成工期延误，逾期竣工违约金的计算方法为：</w:t>
      </w:r>
      <w:r>
        <w:rPr>
          <w:rFonts w:hint="eastAsia" w:ascii="宋体" w:hAnsi="宋体" w:cs="宋体"/>
          <w:color w:val="auto"/>
          <w:szCs w:val="21"/>
          <w:highlight w:val="none"/>
          <w:u w:val="single"/>
        </w:rPr>
        <w:t xml:space="preserve">非上述原因，承包人不能按合同约定的时间竣工，承包人应承担违约责任，并应向发包人支付误期赔偿费（每天赔偿金额为合同价款扣除社会保险费、发包人材料价款、暂估专业工程、暂列金额后的的万分之四），误期时间从规定竣工日期起直到全部工程或相应部分工程竣工验收各方签章日期之间的天数（扣除发包人批准顺延的工期）。发包人可从应向承包人支付的任何金额中扣除此项赔款费或其他方式收回此款，此赔偿款的支付并不能解除承包人应完成工程的责任或合同规定的其他责任。如非承包人原因造成工期延误则承包人须在规定的时间内提出书面意见，逾期则视为承包人自行放弃。由于承包人原因造成本工程延期三个月的，除按上述标准赔偿给发包人外，发包人有权中止合同，并依法追究承包人的违约责任，由此造成的一切损失均由责任人负责。 </w:t>
      </w:r>
    </w:p>
    <w:bookmarkEnd w:id="2355"/>
    <w:bookmarkEnd w:id="2356"/>
    <w:bookmarkEnd w:id="2357"/>
    <w:bookmarkEnd w:id="2358"/>
    <w:bookmarkEnd w:id="2359"/>
    <w:bookmarkEnd w:id="2360"/>
    <w:bookmarkEnd w:id="2361"/>
    <w:bookmarkEnd w:id="2362"/>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因承包人原因造成工期延误，逾</w:t>
      </w:r>
      <w:bookmarkStart w:id="2363" w:name="_Toc312678014"/>
      <w:bookmarkStart w:id="2364" w:name="_Toc318581171"/>
      <w:r>
        <w:rPr>
          <w:rFonts w:hint="eastAsia" w:ascii="宋体" w:hAnsi="宋体" w:cs="宋体"/>
          <w:color w:val="auto"/>
          <w:szCs w:val="21"/>
          <w:highlight w:val="none"/>
        </w:rPr>
        <w:t>期竣工违约金的上限：</w:t>
      </w:r>
      <w:r>
        <w:rPr>
          <w:rFonts w:hint="eastAsia" w:ascii="宋体" w:hAnsi="宋体" w:cs="宋体"/>
          <w:color w:val="auto"/>
          <w:szCs w:val="21"/>
          <w:highlight w:val="none"/>
          <w:u w:val="single"/>
        </w:rPr>
        <w:t>结算价扣除社会保险费、发包人材料价款、暂估专业工程、暂列金额后的3%</w:t>
      </w:r>
      <w:r>
        <w:rPr>
          <w:rFonts w:hint="eastAsia" w:ascii="宋体" w:hAnsi="宋体" w:cs="宋体"/>
          <w:color w:val="auto"/>
          <w:szCs w:val="21"/>
          <w:highlight w:val="none"/>
        </w:rPr>
        <w:t>。</w:t>
      </w:r>
    </w:p>
    <w:bookmarkEnd w:id="2363"/>
    <w:bookmarkEnd w:id="2364"/>
    <w:p>
      <w:pPr>
        <w:pStyle w:val="21"/>
        <w:spacing w:line="360" w:lineRule="auto"/>
        <w:ind w:firstLine="422" w:firstLineChars="200"/>
        <w:rPr>
          <w:rFonts w:ascii="宋体" w:cs="宋体"/>
          <w:color w:val="auto"/>
          <w:highlight w:val="none"/>
        </w:rPr>
      </w:pPr>
      <w:bookmarkStart w:id="2365" w:name="_Toc2569"/>
      <w:bookmarkStart w:id="2366" w:name="_Toc603"/>
      <w:bookmarkStart w:id="2367" w:name="_Toc373227728"/>
      <w:bookmarkStart w:id="2368" w:name="_Toc30252"/>
      <w:bookmarkStart w:id="2369" w:name="_Toc418518138"/>
      <w:bookmarkStart w:id="2370" w:name="_Toc256000207"/>
      <w:bookmarkStart w:id="2371" w:name="_Toc418061339"/>
      <w:bookmarkStart w:id="2372" w:name="_Toc403578962"/>
      <w:bookmarkStart w:id="2373" w:name="_Toc418752270"/>
      <w:bookmarkStart w:id="2374" w:name="_Toc418751824"/>
      <w:bookmarkStart w:id="2375" w:name="_Toc20576"/>
      <w:bookmarkStart w:id="2376" w:name="_Toc418518374"/>
      <w:bookmarkStart w:id="2377" w:name="_Toc389065294"/>
      <w:bookmarkStart w:id="2378" w:name="_Toc497746809"/>
      <w:bookmarkStart w:id="2379" w:name="_Toc522201757"/>
      <w:bookmarkStart w:id="2380" w:name="_Toc373478375"/>
      <w:bookmarkStart w:id="2381" w:name="_Toc497747206"/>
      <w:bookmarkStart w:id="2382" w:name="_Toc11809"/>
      <w:r>
        <w:rPr>
          <w:rFonts w:hint="eastAsia" w:ascii="宋体" w:cs="宋体"/>
          <w:color w:val="auto"/>
          <w:highlight w:val="none"/>
        </w:rPr>
        <w:t>7</w:t>
      </w:r>
      <w:bookmarkStart w:id="2383" w:name="_Toc300934971"/>
      <w:bookmarkStart w:id="2384" w:name="_Toc312678015"/>
      <w:bookmarkStart w:id="2385" w:name="_Toc297123519"/>
      <w:bookmarkStart w:id="2386" w:name="_Toc304295549"/>
      <w:bookmarkStart w:id="2387" w:name="_Toc303539128"/>
      <w:bookmarkStart w:id="2388" w:name="_Toc297216178"/>
      <w:r>
        <w:rPr>
          <w:rFonts w:hint="eastAsia" w:ascii="宋体" w:cs="宋体"/>
          <w:color w:val="auto"/>
          <w:highlight w:val="none"/>
        </w:rPr>
        <w:t>.6 不</w:t>
      </w:r>
      <w:bookmarkEnd w:id="2383"/>
      <w:bookmarkEnd w:id="2384"/>
      <w:bookmarkEnd w:id="2385"/>
      <w:bookmarkEnd w:id="2386"/>
      <w:bookmarkEnd w:id="2387"/>
      <w:bookmarkEnd w:id="2388"/>
      <w:r>
        <w:rPr>
          <w:rFonts w:hint="eastAsia" w:ascii="宋体" w:cs="宋体"/>
          <w:color w:val="auto"/>
          <w:highlight w:val="none"/>
        </w:rPr>
        <w:t>利物质条件</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23"/>
        <w:spacing w:line="360" w:lineRule="auto"/>
        <w:ind w:firstLine="420" w:firstLineChars="200"/>
        <w:jc w:val="left"/>
        <w:rPr>
          <w:rFonts w:ascii="宋体" w:hAnsi="宋体" w:cs="宋体"/>
          <w:color w:val="auto"/>
          <w:szCs w:val="21"/>
          <w:highlight w:val="none"/>
          <w:u w:val="single"/>
        </w:rPr>
      </w:pPr>
      <w:bookmarkStart w:id="2389" w:name="_Toc304295550"/>
      <w:bookmarkStart w:id="2390" w:name="_Toc318581172"/>
      <w:bookmarkStart w:id="2391" w:name="_Toc303539129"/>
      <w:bookmarkStart w:id="2392" w:name="_Toc297216179"/>
      <w:bookmarkStart w:id="2393" w:name="_Toc297123520"/>
      <w:bookmarkStart w:id="2394" w:name="_Toc312678016"/>
      <w:bookmarkStart w:id="2395" w:name="_Toc300934972"/>
      <w:r>
        <w:rPr>
          <w:rFonts w:hint="eastAsia" w:ascii="宋体" w:hAnsi="宋体" w:cs="宋体"/>
          <w:color w:val="auto"/>
          <w:szCs w:val="21"/>
          <w:highlight w:val="none"/>
        </w:rPr>
        <w:t>不利物质条件的其他情形和有关约定：</w:t>
      </w:r>
      <w:r>
        <w:rPr>
          <w:rFonts w:hint="eastAsia" w:ascii="宋体" w:hAnsi="宋体" w:cs="宋体"/>
          <w:color w:val="auto"/>
          <w:szCs w:val="21"/>
          <w:highlight w:val="none"/>
          <w:u w:val="single"/>
        </w:rPr>
        <w:t xml:space="preserve">  一周内非承包人原因，停水、停电、停气造成停工连续超过8小时；重大设计变更和工程量增加；发包人手续不全致使施工不能正常进行；发包人未能按约定时间支付工程款致使施工不能正常进行的；非承包人原因的政府及发包人有关的停工通知，以上不利物质条件延误工期的相应延长工期，因发包人原因给承包人造成损失的由发包人相应赔偿承包人，属政府和环境等原因的，双方协商处理</w:t>
      </w:r>
      <w:r>
        <w:rPr>
          <w:rFonts w:hint="eastAsia" w:ascii="宋体" w:hAnsi="宋体" w:cs="宋体"/>
          <w:color w:val="auto"/>
          <w:szCs w:val="21"/>
          <w:highlight w:val="none"/>
        </w:rPr>
        <w:t>。</w:t>
      </w:r>
    </w:p>
    <w:bookmarkEnd w:id="2389"/>
    <w:bookmarkEnd w:id="2390"/>
    <w:bookmarkEnd w:id="2391"/>
    <w:bookmarkEnd w:id="2392"/>
    <w:bookmarkEnd w:id="2393"/>
    <w:bookmarkEnd w:id="2394"/>
    <w:bookmarkEnd w:id="2395"/>
    <w:p>
      <w:pPr>
        <w:pStyle w:val="21"/>
        <w:spacing w:line="360" w:lineRule="auto"/>
        <w:ind w:firstLine="422" w:firstLineChars="200"/>
        <w:rPr>
          <w:rFonts w:ascii="宋体" w:cs="宋体"/>
          <w:color w:val="auto"/>
          <w:highlight w:val="none"/>
        </w:rPr>
      </w:pPr>
      <w:bookmarkStart w:id="2396" w:name="_Toc403578963"/>
      <w:bookmarkStart w:id="2397" w:name="_Toc418752271"/>
      <w:bookmarkStart w:id="2398" w:name="_Toc497747207"/>
      <w:bookmarkStart w:id="2399" w:name="_Toc17196"/>
      <w:bookmarkStart w:id="2400" w:name="_Toc373478376"/>
      <w:bookmarkStart w:id="2401" w:name="_Toc497746810"/>
      <w:bookmarkStart w:id="2402" w:name="_Toc16645"/>
      <w:bookmarkStart w:id="2403" w:name="_Toc29027"/>
      <w:bookmarkStart w:id="2404" w:name="_Toc10061"/>
      <w:bookmarkStart w:id="2405" w:name="_Toc18524"/>
      <w:bookmarkStart w:id="2406" w:name="_Toc389065295"/>
      <w:bookmarkStart w:id="2407" w:name="_Toc418518139"/>
      <w:bookmarkStart w:id="2408" w:name="_Toc522201758"/>
      <w:bookmarkStart w:id="2409" w:name="_Toc256000208"/>
      <w:bookmarkStart w:id="2410" w:name="_Toc418751825"/>
      <w:bookmarkStart w:id="2411" w:name="_Toc418518375"/>
      <w:bookmarkStart w:id="2412" w:name="_Toc373227729"/>
      <w:bookmarkStart w:id="2413" w:name="_Toc418061340"/>
      <w:r>
        <w:rPr>
          <w:rFonts w:hint="eastAsia" w:ascii="宋体" w:cs="宋体"/>
          <w:color w:val="auto"/>
          <w:highlight w:val="none"/>
        </w:rPr>
        <w:t>7</w:t>
      </w:r>
      <w:bookmarkStart w:id="2414" w:name="_Toc297216180"/>
      <w:bookmarkStart w:id="2415" w:name="_Toc312678017"/>
      <w:bookmarkStart w:id="2416" w:name="_Toc304295551"/>
      <w:bookmarkStart w:id="2417" w:name="_Toc300934973"/>
      <w:bookmarkStart w:id="2418" w:name="_Toc303539130"/>
      <w:bookmarkStart w:id="2419" w:name="_Toc297123521"/>
      <w:r>
        <w:rPr>
          <w:rFonts w:hint="eastAsia" w:ascii="宋体" w:cs="宋体"/>
          <w:color w:val="auto"/>
          <w:highlight w:val="none"/>
        </w:rPr>
        <w:t>.7 异常恶劣的气候条件</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bookmarkEnd w:id="2414"/>
    <w:bookmarkEnd w:id="2415"/>
    <w:bookmarkEnd w:id="2416"/>
    <w:bookmarkEnd w:id="2417"/>
    <w:bookmarkEnd w:id="2418"/>
    <w:bookmarkEnd w:id="2419"/>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发包人和承包人同意以下情形视为异常恶劣的气候条件：</w:t>
      </w:r>
    </w:p>
    <w:p>
      <w:pPr>
        <w:pStyle w:val="23"/>
        <w:spacing w:line="360" w:lineRule="auto"/>
        <w:ind w:firstLine="420" w:firstLineChars="200"/>
        <w:rPr>
          <w:rFonts w:ascii="宋体" w:hAnsi="宋体" w:cs="宋体"/>
          <w:color w:val="auto"/>
          <w:szCs w:val="21"/>
          <w:highlight w:val="none"/>
          <w:u w:val="single"/>
        </w:rPr>
      </w:pPr>
      <w:bookmarkStart w:id="2420" w:name="_Toc418061341"/>
      <w:bookmarkStart w:id="2421" w:name="_Toc418518140"/>
      <w:bookmarkStart w:id="2422" w:name="_Toc497746811"/>
      <w:bookmarkStart w:id="2423" w:name="_Toc373478377"/>
      <w:bookmarkStart w:id="2424" w:name="_Toc418751826"/>
      <w:bookmarkStart w:id="2425" w:name="_Toc497747208"/>
      <w:bookmarkStart w:id="2426" w:name="_Toc418518376"/>
      <w:bookmarkStart w:id="2427" w:name="_Toc389065296"/>
      <w:bookmarkStart w:id="2428" w:name="_Toc418752272"/>
      <w:bookmarkStart w:id="2429" w:name="_Toc403578964"/>
      <w:bookmarkStart w:id="2430" w:name="_Toc373227730"/>
      <w:r>
        <w:rPr>
          <w:rFonts w:hint="eastAsia" w:ascii="宋体" w:hAnsi="宋体" w:cs="宋体"/>
          <w:color w:val="auto"/>
          <w:szCs w:val="21"/>
          <w:highlight w:val="none"/>
        </w:rPr>
        <w:t>（1）</w:t>
      </w:r>
      <w:r>
        <w:rPr>
          <w:rFonts w:hint="eastAsia" w:ascii="宋体" w:hAnsi="宋体" w:cs="宋体"/>
          <w:color w:val="auto"/>
          <w:szCs w:val="21"/>
          <w:highlight w:val="none"/>
          <w:u w:val="single"/>
        </w:rPr>
        <w:t>10级以上持续1天的大风；</w:t>
      </w:r>
    </w:p>
    <w:p>
      <w:pPr>
        <w:pStyle w:val="23"/>
        <w:numPr>
          <w:ilvl w:val="0"/>
          <w:numId w:val="3"/>
        </w:num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暴雨级以上持续2天的大雨；</w:t>
      </w:r>
    </w:p>
    <w:p>
      <w:pPr>
        <w:pStyle w:val="23"/>
        <w:numPr>
          <w:ilvl w:val="0"/>
          <w:numId w:val="3"/>
        </w:numPr>
        <w:spacing w:line="360" w:lineRule="auto"/>
        <w:ind w:firstLine="420" w:firstLineChars="200"/>
        <w:rPr>
          <w:rFonts w:ascii="宋体" w:hAnsi="宋体" w:cs="宋体"/>
          <w:color w:val="auto"/>
          <w:szCs w:val="21"/>
          <w:highlight w:val="none"/>
          <w:u w:val="single"/>
        </w:rPr>
      </w:pPr>
      <w:r>
        <w:rPr>
          <w:rFonts w:hint="eastAsia" w:ascii="宋体" w:hAnsi="宋体"/>
          <w:color w:val="auto"/>
          <w:szCs w:val="21"/>
          <w:highlight w:val="none"/>
          <w:u w:val="single"/>
        </w:rPr>
        <w:t>当地6级以上的破坏性地震；</w:t>
      </w:r>
    </w:p>
    <w:p>
      <w:pPr>
        <w:pStyle w:val="23"/>
        <w:numPr>
          <w:ilvl w:val="0"/>
          <w:numId w:val="3"/>
        </w:num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50年以上未发生过的持续2天的高温天气；</w:t>
      </w:r>
    </w:p>
    <w:p>
      <w:pPr>
        <w:pStyle w:val="23"/>
        <w:numPr>
          <w:ilvl w:val="0"/>
          <w:numId w:val="3"/>
        </w:num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50年以上未发生的持续2天的低温天气。</w:t>
      </w:r>
    </w:p>
    <w:p>
      <w:pPr>
        <w:pStyle w:val="23"/>
        <w:spacing w:line="360" w:lineRule="auto"/>
        <w:ind w:firstLine="630" w:firstLineChars="300"/>
        <w:rPr>
          <w:rFonts w:ascii="宋体" w:hAnsi="宋体" w:cs="宋体"/>
          <w:color w:val="auto"/>
          <w:szCs w:val="21"/>
          <w:highlight w:val="none"/>
          <w:u w:val="single"/>
        </w:rPr>
      </w:pPr>
      <w:r>
        <w:rPr>
          <w:rFonts w:hint="eastAsia" w:ascii="宋体" w:hAnsi="宋体" w:cs="宋体"/>
          <w:color w:val="auto"/>
          <w:szCs w:val="21"/>
          <w:highlight w:val="none"/>
          <w:u w:val="single"/>
        </w:rPr>
        <w:t>施工场地受淹超过发包人提供设计图纸指明的设计洪水位以及因天气原因无法施工并经监理确认引起延误的情况。承包人有权要求发包人延长工期, 但对上述几种情形，对工程施工造成影响和灾害的，需提供政府相关部门对不可抗力认定的证明材料为依据。</w:t>
      </w:r>
    </w:p>
    <w:p>
      <w:pPr>
        <w:pStyle w:val="23"/>
        <w:spacing w:line="360" w:lineRule="auto"/>
        <w:jc w:val="left"/>
        <w:rPr>
          <w:rFonts w:ascii="宋体" w:hAnsi="宋体" w:cs="宋体"/>
          <w:b/>
          <w:bCs/>
          <w:color w:val="auto"/>
          <w:szCs w:val="21"/>
          <w:highlight w:val="none"/>
        </w:rPr>
      </w:pPr>
      <w:r>
        <w:rPr>
          <w:rFonts w:hint="eastAsia" w:ascii="宋体" w:hAnsi="宋体" w:cs="宋体"/>
          <w:b/>
          <w:bCs/>
          <w:color w:val="auto"/>
          <w:szCs w:val="21"/>
          <w:highlight w:val="none"/>
        </w:rPr>
        <w:t>7.8暂停施工</w:t>
      </w:r>
    </w:p>
    <w:p>
      <w:pPr>
        <w:pStyle w:val="28"/>
        <w:spacing w:line="360" w:lineRule="auto"/>
        <w:ind w:firstLine="0" w:firstLineChars="0"/>
        <w:rPr>
          <w:rFonts w:ascii="宋体" w:hAnsi="宋体" w:cs="宋体"/>
          <w:b/>
          <w:color w:val="auto"/>
          <w:highlight w:val="none"/>
        </w:rPr>
      </w:pPr>
      <w:r>
        <w:rPr>
          <w:rFonts w:hint="eastAsia" w:ascii="宋体" w:hAnsi="宋体" w:cs="宋体"/>
          <w:b/>
          <w:color w:val="auto"/>
          <w:highlight w:val="none"/>
        </w:rPr>
        <w:t>7.8.2承包人原因引起的暂停施工</w:t>
      </w:r>
    </w:p>
    <w:p>
      <w:pPr>
        <w:pStyle w:val="23"/>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承包人承担暂停施工责任的其他情形：</w:t>
      </w:r>
      <w:r>
        <w:rPr>
          <w:rFonts w:hint="eastAsia" w:ascii="宋体" w:hAnsi="宋体" w:cs="宋体"/>
          <w:color w:val="auto"/>
          <w:szCs w:val="21"/>
          <w:highlight w:val="none"/>
          <w:u w:val="single"/>
        </w:rPr>
        <w:t>（1）监理工程师为保证工程质量和施工安全所指令的暂停施工；（2）因质量安全隐患或事故，被建设行政主管部门及安全生产监督责令暂停施工或自行暂停施工；（3）因承包人违反规范或任何工程质量不合格而进行返工、重建、修建的工期；（4）未按设计要求进行施工、或因施工组织方案不可行导致发包人未能按时审批而影响开工的；（5）工程验收不合格发现存在质量问题或技术问题需要修改的；（6）承包人与发包人未能在约定时间内达成一致而暂停施工；（7）工程质量未达到等级标准要求，发包人要求承包人返工的；（8）承包人因农忙时期而暂停施工；综述其工期不予顺延，责任自负。</w:t>
      </w:r>
    </w:p>
    <w:p>
      <w:pPr>
        <w:pStyle w:val="28"/>
        <w:spacing w:line="360" w:lineRule="auto"/>
        <w:rPr>
          <w:rFonts w:ascii="宋体" w:hAnsi="宋体" w:cs="宋体"/>
          <w:color w:val="auto"/>
          <w:highlight w:val="none"/>
          <w:u w:val="single"/>
        </w:rPr>
      </w:pPr>
      <w:r>
        <w:rPr>
          <w:rFonts w:hint="eastAsia" w:ascii="宋体" w:hAnsi="宋体" w:cs="宋体"/>
          <w:color w:val="auto"/>
          <w:highlight w:val="none"/>
          <w:u w:val="single"/>
        </w:rPr>
        <w:t>因承包人责任暂停施工延误施工时机而导致遭遇不利条件物质条件和异常恶劣的气候条件、不可抗力造成的工期延误和费用增加由承包人承担。</w:t>
      </w:r>
    </w:p>
    <w:p>
      <w:pPr>
        <w:pStyle w:val="28"/>
        <w:spacing w:line="360" w:lineRule="auto"/>
        <w:ind w:firstLine="0" w:firstLineChars="0"/>
        <w:rPr>
          <w:rFonts w:ascii="宋体" w:hAnsi="宋体" w:cs="宋体"/>
          <w:b/>
          <w:color w:val="auto"/>
          <w:highlight w:val="none"/>
        </w:rPr>
      </w:pPr>
      <w:r>
        <w:rPr>
          <w:rFonts w:hint="eastAsia" w:ascii="宋体" w:hAnsi="宋体" w:cs="宋体"/>
          <w:b/>
          <w:color w:val="auto"/>
          <w:highlight w:val="none"/>
        </w:rPr>
        <w:t>7.8.5暂停施工后的复工</w:t>
      </w:r>
    </w:p>
    <w:p>
      <w:pPr>
        <w:pStyle w:val="28"/>
        <w:spacing w:line="360" w:lineRule="auto"/>
        <w:rPr>
          <w:rFonts w:ascii="宋体" w:hAnsi="宋体" w:cs="宋体"/>
          <w:color w:val="auto"/>
          <w:highlight w:val="none"/>
        </w:rPr>
      </w:pPr>
      <w:r>
        <w:rPr>
          <w:rFonts w:hint="eastAsia" w:ascii="宋体" w:hAnsi="宋体" w:cs="宋体"/>
          <w:color w:val="auto"/>
          <w:highlight w:val="none"/>
          <w:u w:val="single"/>
        </w:rPr>
        <w:t>监理人发出复工通知后，监理人应和承包人一起对受到暂停施工影响的工程、材料和工程设备进行检查。承包人负责修复在暂停施工期间发生在工程、材料和工程设备上的任何损蚀、缺陷或损失，修复费用由承担暂停施工责任的责任人承担。</w:t>
      </w:r>
    </w:p>
    <w:p>
      <w:pPr>
        <w:pStyle w:val="21"/>
        <w:spacing w:line="360" w:lineRule="auto"/>
        <w:ind w:firstLine="422" w:firstLineChars="200"/>
        <w:rPr>
          <w:rFonts w:ascii="宋体" w:cs="宋体"/>
          <w:color w:val="auto"/>
          <w:highlight w:val="none"/>
        </w:rPr>
      </w:pPr>
      <w:bookmarkStart w:id="2431" w:name="_Toc3280"/>
      <w:bookmarkStart w:id="2432" w:name="_Toc522201759"/>
      <w:bookmarkStart w:id="2433" w:name="_Toc15753"/>
      <w:bookmarkStart w:id="2434" w:name="_Toc2378"/>
      <w:bookmarkStart w:id="2435" w:name="_Toc2348"/>
      <w:bookmarkStart w:id="2436" w:name="_Toc11168"/>
      <w:bookmarkStart w:id="2437" w:name="_Toc256000209"/>
      <w:r>
        <w:rPr>
          <w:rFonts w:hint="eastAsia" w:ascii="宋体" w:cs="宋体"/>
          <w:color w:val="auto"/>
          <w:highlight w:val="none"/>
        </w:rPr>
        <w:t>7.9 提前竣工</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7.9.2提前竣工的奖励：</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pStyle w:val="21"/>
        <w:numPr>
          <w:ilvl w:val="0"/>
          <w:numId w:val="4"/>
        </w:numPr>
        <w:spacing w:line="360" w:lineRule="auto"/>
        <w:rPr>
          <w:rFonts w:ascii="宋体" w:cs="宋体"/>
          <w:color w:val="auto"/>
          <w:highlight w:val="none"/>
        </w:rPr>
      </w:pPr>
      <w:bookmarkStart w:id="2438" w:name="_Toc403578965"/>
      <w:bookmarkStart w:id="2439" w:name="_Toc5076"/>
      <w:bookmarkStart w:id="2440" w:name="_Toc497747209"/>
      <w:bookmarkStart w:id="2441" w:name="_Toc22845"/>
      <w:bookmarkStart w:id="2442" w:name="_Toc418751827"/>
      <w:bookmarkStart w:id="2443" w:name="_Toc9880"/>
      <w:bookmarkStart w:id="2444" w:name="_Toc373478378"/>
      <w:bookmarkStart w:id="2445" w:name="_Toc373227731"/>
      <w:bookmarkStart w:id="2446" w:name="_Toc418518377"/>
      <w:bookmarkStart w:id="2447" w:name="_Toc256000210"/>
      <w:bookmarkStart w:id="2448" w:name="_Toc418061342"/>
      <w:bookmarkStart w:id="2449" w:name="_Toc32088"/>
      <w:bookmarkStart w:id="2450" w:name="_Toc351203640"/>
      <w:bookmarkStart w:id="2451" w:name="_Toc123"/>
      <w:bookmarkStart w:id="2452" w:name="_Toc497746812"/>
      <w:bookmarkStart w:id="2453" w:name="_Toc522201760"/>
      <w:bookmarkStart w:id="2454" w:name="_Toc418518141"/>
      <w:bookmarkStart w:id="2455" w:name="_Toc389065297"/>
      <w:bookmarkStart w:id="2456" w:name="_Toc418752273"/>
      <w:r>
        <w:rPr>
          <w:rFonts w:hint="eastAsia" w:ascii="宋体" w:cs="宋体"/>
          <w:color w:val="auto"/>
          <w:highlight w:val="none"/>
        </w:rPr>
        <w:t>材料与设备</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28"/>
        <w:spacing w:line="360" w:lineRule="auto"/>
        <w:rPr>
          <w:rFonts w:ascii="宋体" w:hAnsi="宋体" w:cs="宋体"/>
          <w:color w:val="auto"/>
          <w:highlight w:val="none"/>
        </w:rPr>
      </w:pPr>
      <w:r>
        <w:rPr>
          <w:rFonts w:ascii="宋体" w:hAnsi="宋体" w:cs="宋体"/>
          <w:color w:val="auto"/>
          <w:highlight w:val="none"/>
        </w:rPr>
        <w:t>承包人采购材料和设备的约定：</w:t>
      </w:r>
    </w:p>
    <w:bookmarkEnd w:id="2146"/>
    <w:bookmarkEnd w:id="2147"/>
    <w:bookmarkEnd w:id="2148"/>
    <w:bookmarkEnd w:id="2149"/>
    <w:bookmarkEnd w:id="2150"/>
    <w:bookmarkEnd w:id="2151"/>
    <w:bookmarkEnd w:id="2152"/>
    <w:bookmarkEnd w:id="2153"/>
    <w:bookmarkEnd w:id="2154"/>
    <w:bookmarkEnd w:id="2155"/>
    <w:p>
      <w:pPr>
        <w:pStyle w:val="21"/>
        <w:spacing w:line="360" w:lineRule="auto"/>
        <w:ind w:firstLine="422" w:firstLineChars="200"/>
        <w:rPr>
          <w:rFonts w:ascii="宋体" w:cs="宋体"/>
          <w:color w:val="auto"/>
          <w:highlight w:val="none"/>
        </w:rPr>
      </w:pPr>
      <w:bookmarkStart w:id="2457" w:name="_Toc497747210"/>
      <w:bookmarkStart w:id="2458" w:name="_Toc403578966"/>
      <w:bookmarkStart w:id="2459" w:name="_Toc497746813"/>
      <w:bookmarkStart w:id="2460" w:name="_Toc418752274"/>
      <w:bookmarkStart w:id="2461" w:name="_Toc522201761"/>
      <w:bookmarkStart w:id="2462" w:name="_Toc24344"/>
      <w:bookmarkStart w:id="2463" w:name="_Toc418518378"/>
      <w:bookmarkStart w:id="2464" w:name="_Toc418751828"/>
      <w:bookmarkStart w:id="2465" w:name="_Toc31690"/>
      <w:bookmarkStart w:id="2466" w:name="_Toc13515"/>
      <w:bookmarkStart w:id="2467" w:name="_Toc418518142"/>
      <w:bookmarkStart w:id="2468" w:name="_Toc373227732"/>
      <w:bookmarkStart w:id="2469" w:name="_Toc2968"/>
      <w:bookmarkStart w:id="2470" w:name="_Toc389065298"/>
      <w:bookmarkStart w:id="2471" w:name="_Toc418061343"/>
      <w:bookmarkStart w:id="2472" w:name="_Toc373478379"/>
      <w:bookmarkStart w:id="2473" w:name="_Toc256000211"/>
      <w:bookmarkStart w:id="2474" w:name="_Toc29660"/>
      <w:r>
        <w:rPr>
          <w:rFonts w:hint="eastAsia" w:ascii="宋体" w:cs="宋体"/>
          <w:color w:val="auto"/>
          <w:highlight w:val="none"/>
        </w:rPr>
        <w:t>8.2 承包人采购材料与工程设备</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除已标价工程量清单《发包人提供主要材料和工程设备一览表》（表-21）中明确的材料、工程设备外，由承包人负责材料和工程设备的采购、运输和保管。《</w:t>
      </w:r>
      <w:r>
        <w:rPr>
          <w:rFonts w:hint="eastAsia" w:ascii="宋体" w:hAnsi="宋体" w:cs="宋体"/>
          <w:color w:val="auto"/>
          <w:szCs w:val="21"/>
          <w:highlight w:val="none"/>
        </w:rPr>
        <w:t>承包人提供主要材料和工程设备一览表》</w:t>
      </w:r>
      <w:r>
        <w:rPr>
          <w:rFonts w:hint="eastAsia" w:ascii="宋体" w:hAnsi="宋体" w:cs="宋体"/>
          <w:color w:val="auto"/>
          <w:kern w:val="0"/>
          <w:szCs w:val="21"/>
          <w:highlight w:val="none"/>
        </w:rPr>
        <w:t>（表-22）见已标价工程量清单。</w:t>
      </w:r>
    </w:p>
    <w:p>
      <w:pPr>
        <w:pStyle w:val="21"/>
        <w:spacing w:line="360" w:lineRule="auto"/>
        <w:ind w:firstLine="422" w:firstLineChars="200"/>
        <w:rPr>
          <w:rFonts w:ascii="宋体" w:cs="宋体"/>
          <w:color w:val="auto"/>
          <w:highlight w:val="none"/>
        </w:rPr>
      </w:pPr>
      <w:bookmarkStart w:id="2475" w:name="_Toc418518379"/>
      <w:bookmarkStart w:id="2476" w:name="_Toc418751829"/>
      <w:bookmarkStart w:id="2477" w:name="_Toc522201762"/>
      <w:bookmarkStart w:id="2478" w:name="_Toc389065299"/>
      <w:bookmarkStart w:id="2479" w:name="_Toc373227733"/>
      <w:bookmarkStart w:id="2480" w:name="_Toc256000212"/>
      <w:bookmarkStart w:id="2481" w:name="_Toc646"/>
      <w:bookmarkStart w:id="2482" w:name="_Toc20555"/>
      <w:bookmarkStart w:id="2483" w:name="_Toc373478380"/>
      <w:bookmarkStart w:id="2484" w:name="_Toc418752275"/>
      <w:bookmarkStart w:id="2485" w:name="_Toc403578967"/>
      <w:bookmarkStart w:id="2486" w:name="_Toc497746814"/>
      <w:bookmarkStart w:id="2487" w:name="_Toc418061344"/>
      <w:bookmarkStart w:id="2488" w:name="_Toc6335"/>
      <w:bookmarkStart w:id="2489" w:name="_Toc13860"/>
      <w:bookmarkStart w:id="2490" w:name="_Toc22994"/>
      <w:bookmarkStart w:id="2491" w:name="_Toc418518143"/>
      <w:bookmarkStart w:id="2492" w:name="_Toc497747211"/>
      <w:r>
        <w:rPr>
          <w:rFonts w:hint="eastAsia" w:ascii="宋体" w:cs="宋体"/>
          <w:color w:val="auto"/>
          <w:highlight w:val="none"/>
        </w:rPr>
        <w:t>8</w:t>
      </w:r>
      <w:bookmarkStart w:id="2493" w:name="_Toc297120467"/>
      <w:bookmarkStart w:id="2494" w:name="_Toc312678019"/>
      <w:bookmarkStart w:id="2495" w:name="_Toc297048353"/>
      <w:bookmarkStart w:id="2496" w:name="_Toc304295556"/>
      <w:bookmarkStart w:id="2497" w:name="_Toc303539136"/>
      <w:bookmarkStart w:id="2498" w:name="_Toc297216186"/>
      <w:bookmarkStart w:id="2499" w:name="_Toc296347166"/>
      <w:bookmarkStart w:id="2500" w:name="_Toc292559877"/>
      <w:bookmarkStart w:id="2501" w:name="_Toc296503167"/>
      <w:bookmarkStart w:id="2502" w:name="_Toc296890995"/>
      <w:bookmarkStart w:id="2503" w:name="_Toc297123527"/>
      <w:bookmarkStart w:id="2504" w:name="_Toc296346668"/>
      <w:bookmarkStart w:id="2505" w:name="_Toc280868654"/>
      <w:bookmarkStart w:id="2506" w:name="_Toc312677493"/>
      <w:bookmarkStart w:id="2507" w:name="_Toc296944506"/>
      <w:bookmarkStart w:id="2508" w:name="_Toc300934979"/>
      <w:bookmarkStart w:id="2509" w:name="_Toc296891207"/>
      <w:bookmarkStart w:id="2510" w:name="_Toc292559372"/>
      <w:bookmarkStart w:id="2511" w:name="_Toc280868656"/>
      <w:bookmarkStart w:id="2512" w:name="_Toc280868655"/>
      <w:bookmarkStart w:id="2513" w:name="_Toc267251424"/>
      <w:r>
        <w:rPr>
          <w:rFonts w:hint="eastAsia" w:ascii="宋体" w:cs="宋体"/>
          <w:color w:val="auto"/>
          <w:highlight w:val="none"/>
        </w:rPr>
        <w:t>.4 材料与工程设备的保管与使用</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p>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8</w:t>
      </w:r>
      <w:bookmarkStart w:id="2514" w:name="_Toc292559373"/>
      <w:bookmarkStart w:id="2515" w:name="_Toc292559878"/>
      <w:bookmarkStart w:id="2516" w:name="_Toc297120468"/>
      <w:bookmarkStart w:id="2517" w:name="_Toc297123528"/>
      <w:bookmarkStart w:id="2518" w:name="_Toc296347167"/>
      <w:bookmarkStart w:id="2519" w:name="_Toc296891208"/>
      <w:bookmarkStart w:id="2520" w:name="_Toc312678020"/>
      <w:bookmarkStart w:id="2521" w:name="_Toc296890996"/>
      <w:bookmarkStart w:id="2522" w:name="_Toc312677494"/>
      <w:bookmarkStart w:id="2523" w:name="_Toc296503168"/>
      <w:bookmarkStart w:id="2524" w:name="_Toc318581173"/>
      <w:bookmarkStart w:id="2525" w:name="_Toc296346669"/>
      <w:bookmarkStart w:id="2526" w:name="_Toc303539137"/>
      <w:bookmarkStart w:id="2527" w:name="_Toc304295557"/>
      <w:bookmarkStart w:id="2528" w:name="_Toc297048354"/>
      <w:bookmarkStart w:id="2529" w:name="_Toc296944507"/>
      <w:bookmarkStart w:id="2530" w:name="_Toc300934980"/>
      <w:bookmarkStart w:id="2531" w:name="_Toc297216187"/>
      <w:r>
        <w:rPr>
          <w:rFonts w:hint="eastAsia" w:ascii="宋体" w:hAnsi="宋体" w:cs="宋体"/>
          <w:color w:val="auto"/>
          <w:szCs w:val="21"/>
          <w:highlight w:val="none"/>
        </w:rPr>
        <w:t>.4.1发包人供应的材料设备的保管费用的承担：</w:t>
      </w:r>
      <w:r>
        <w:rPr>
          <w:rFonts w:hint="eastAsia" w:ascii="宋体" w:hAnsi="宋体" w:cs="宋体"/>
          <w:color w:val="auto"/>
          <w:szCs w:val="21"/>
          <w:highlight w:val="none"/>
          <w:u w:val="single"/>
        </w:rPr>
        <w:t>发包人供应的材料和设备经三方验收合格后，保管费用由承包人承担</w:t>
      </w:r>
      <w:r>
        <w:rPr>
          <w:rFonts w:hint="eastAsia" w:ascii="宋体" w:hAnsi="宋体" w:cs="宋体"/>
          <w:color w:val="auto"/>
          <w:szCs w:val="21"/>
          <w:highlight w:val="none"/>
        </w:rPr>
        <w:t>。</w:t>
      </w:r>
    </w:p>
    <w:bookmarkEnd w:id="2514"/>
    <w:bookmarkEnd w:id="2515"/>
    <w:p>
      <w:pPr>
        <w:pStyle w:val="21"/>
        <w:spacing w:line="360" w:lineRule="auto"/>
        <w:ind w:firstLine="422" w:firstLineChars="200"/>
        <w:rPr>
          <w:rFonts w:ascii="宋体" w:cs="宋体"/>
          <w:color w:val="auto"/>
          <w:highlight w:val="none"/>
        </w:rPr>
      </w:pPr>
      <w:bookmarkStart w:id="2532" w:name="_Toc373227734"/>
      <w:bookmarkStart w:id="2533" w:name="_Toc12805"/>
      <w:bookmarkStart w:id="2534" w:name="_Toc418751830"/>
      <w:bookmarkStart w:id="2535" w:name="_Toc418752276"/>
      <w:bookmarkStart w:id="2536" w:name="_Toc256000213"/>
      <w:bookmarkStart w:id="2537" w:name="_Toc497747212"/>
      <w:bookmarkStart w:id="2538" w:name="_Toc10847"/>
      <w:bookmarkStart w:id="2539" w:name="_Toc497746815"/>
      <w:bookmarkStart w:id="2540" w:name="_Toc373478381"/>
      <w:bookmarkStart w:id="2541" w:name="_Toc14596"/>
      <w:bookmarkStart w:id="2542" w:name="_Toc418518380"/>
      <w:bookmarkStart w:id="2543" w:name="_Toc5420"/>
      <w:bookmarkStart w:id="2544" w:name="_Toc389065300"/>
      <w:bookmarkStart w:id="2545" w:name="_Toc522201763"/>
      <w:bookmarkStart w:id="2546" w:name="_Toc418061345"/>
      <w:bookmarkStart w:id="2547" w:name="_Toc418518144"/>
      <w:bookmarkStart w:id="2548" w:name="_Toc403578968"/>
      <w:bookmarkStart w:id="2549" w:name="_Toc18375"/>
      <w:r>
        <w:rPr>
          <w:rFonts w:hint="eastAsia" w:ascii="宋体" w:cs="宋体"/>
          <w:color w:val="auto"/>
          <w:highlight w:val="none"/>
        </w:rPr>
        <w:t>8.6 样品</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8.6.1 样品的报送与封存</w:t>
      </w:r>
    </w:p>
    <w:p>
      <w:pPr>
        <w:pStyle w:val="23"/>
        <w:autoSpaceDE w:val="0"/>
        <w:autoSpaceDN w:val="0"/>
        <w:adjustRightIn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kern w:val="0"/>
          <w:szCs w:val="21"/>
          <w:highlight w:val="none"/>
        </w:rPr>
        <w:t>需要承包人报送样品的材料或工程设备，样品的种类、名称、规格、数量要求：</w:t>
      </w:r>
      <w:r>
        <w:rPr>
          <w:rFonts w:hint="eastAsia" w:ascii="宋体" w:hAnsi="宋体" w:cs="宋体"/>
          <w:color w:val="auto"/>
          <w:szCs w:val="21"/>
          <w:highlight w:val="none"/>
          <w:u w:val="single"/>
        </w:rPr>
        <w:t>主要材料涉及品种、款式、颜色等方面内容的，承包人在进货前需将货物样品报送监理或发包人现场办公室，待设计及发包人确认样品，并封存样品后，承包人方可订货。除上述材料外招标文件和招标工程量清单中对材料、设备有档次或质量要求的，按招标文件和招标工程量清单确定；其他由合同各方协商确定。</w:t>
      </w:r>
    </w:p>
    <w:p>
      <w:pPr>
        <w:pStyle w:val="21"/>
        <w:spacing w:line="360" w:lineRule="auto"/>
        <w:ind w:firstLine="422" w:firstLineChars="200"/>
        <w:rPr>
          <w:rFonts w:ascii="宋体" w:cs="宋体"/>
          <w:color w:val="auto"/>
          <w:highlight w:val="none"/>
        </w:rPr>
      </w:pPr>
      <w:bookmarkStart w:id="2550" w:name="_Toc418061346"/>
      <w:bookmarkStart w:id="2551" w:name="_Toc23871"/>
      <w:bookmarkStart w:id="2552" w:name="_Toc10367"/>
      <w:bookmarkStart w:id="2553" w:name="_Toc522201764"/>
      <w:bookmarkStart w:id="2554" w:name="_Toc418518145"/>
      <w:bookmarkStart w:id="2555" w:name="_Toc497747213"/>
      <w:bookmarkStart w:id="2556" w:name="_Toc256000214"/>
      <w:bookmarkStart w:id="2557" w:name="_Toc403578969"/>
      <w:bookmarkStart w:id="2558" w:name="_Toc418518381"/>
      <w:bookmarkStart w:id="2559" w:name="_Toc31913"/>
      <w:bookmarkStart w:id="2560" w:name="_Toc29688"/>
      <w:bookmarkStart w:id="2561" w:name="_Toc13895"/>
      <w:bookmarkStart w:id="2562" w:name="_Toc373227735"/>
      <w:bookmarkStart w:id="2563" w:name="_Toc418751831"/>
      <w:bookmarkStart w:id="2564" w:name="_Toc418752277"/>
      <w:bookmarkStart w:id="2565" w:name="_Toc497746816"/>
      <w:bookmarkStart w:id="2566" w:name="_Toc389065301"/>
      <w:bookmarkStart w:id="2567" w:name="_Toc373478382"/>
      <w:r>
        <w:rPr>
          <w:rFonts w:hint="eastAsia" w:ascii="宋体" w:cs="宋体"/>
          <w:color w:val="auto"/>
          <w:highlight w:val="none"/>
        </w:rPr>
        <w:t>8.8 施工设备和临时设施</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pStyle w:val="23"/>
        <w:autoSpaceDE w:val="0"/>
        <w:autoSpaceDN w:val="0"/>
        <w:adjustRightIn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8.8.1 承包人提供的施工设备和临时设施</w:t>
      </w:r>
    </w:p>
    <w:p>
      <w:pPr>
        <w:pStyle w:val="23"/>
        <w:autoSpaceDE w:val="0"/>
        <w:autoSpaceDN w:val="0"/>
        <w:adjustRightIn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除专用合同条款另有约定的其他独立承包人和监理人指示的他人提供条件外，承包人运入施工场地的所有施工设备以及在施工场地建设的临时设施仅限于用于合同工程。承包人用于本工程的主要机械设备清单见合同附件5。</w:t>
      </w:r>
    </w:p>
    <w:p>
      <w:pPr>
        <w:pStyle w:val="23"/>
        <w:autoSpaceDE w:val="0"/>
        <w:autoSpaceDN w:val="0"/>
        <w:adjustRightIn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关于修建临时设施费用承担的约定：</w:t>
      </w:r>
    </w:p>
    <w:p>
      <w:pPr>
        <w:pStyle w:val="23"/>
        <w:autoSpaceDE w:val="0"/>
        <w:autoSpaceDN w:val="0"/>
        <w:adjustRightIn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u w:val="single"/>
        </w:rPr>
        <w:t xml:space="preserve">①承包人的临时用地（含项目部驻地等）租用费（含拆迁补偿）、临时用地的环保、恢复、临时用地的青苗补偿及地面附着物拆除等费用均由承包人负责，以上费用在投标报价中综合考虑。 </w:t>
      </w:r>
    </w:p>
    <w:p>
      <w:pPr>
        <w:pStyle w:val="23"/>
        <w:autoSpaceDE w:val="0"/>
        <w:autoSpaceDN w:val="0"/>
        <w:adjustRightIn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u w:val="single"/>
        </w:rPr>
        <w:t xml:space="preserve">②承包人负责合同实施期间其合同段内临时交通道路和交通设施的修建、维修、养护和交通管理工作，并承担一切费用。 </w:t>
      </w:r>
    </w:p>
    <w:p>
      <w:pPr>
        <w:pStyle w:val="23"/>
        <w:autoSpaceDE w:val="0"/>
        <w:autoSpaceDN w:val="0"/>
        <w:adjustRightIn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u w:val="single"/>
        </w:rPr>
        <w:t xml:space="preserve">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 </w:t>
      </w:r>
    </w:p>
    <w:p>
      <w:pPr>
        <w:pStyle w:val="23"/>
        <w:autoSpaceDE w:val="0"/>
        <w:autoSpaceDN w:val="0"/>
        <w:adjustRightIn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u w:val="single"/>
        </w:rPr>
        <w:t>④承包人在发包人拟开发区域内已经搭设的施工现场办公等临时设施，一旦发包人因开发需要，通知承包人搬迁、拆除的，承包人应无条件在规定期限内搬迁、拆除，发包人不另行支付搬迁、拆除等费用。承包人自行解决民工住宿问题，并承担因此而增加的交通费用、工人生产降效等相关费用。</w:t>
      </w:r>
    </w:p>
    <w:p>
      <w:pPr>
        <w:pStyle w:val="23"/>
        <w:autoSpaceDE w:val="0"/>
        <w:autoSpaceDN w:val="0"/>
        <w:adjustRightIn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8.8.2 发包人提供的施工设备和临时设施</w:t>
      </w:r>
    </w:p>
    <w:p>
      <w:pPr>
        <w:pStyle w:val="23"/>
        <w:autoSpaceDE w:val="0"/>
        <w:autoSpaceDN w:val="0"/>
        <w:adjustRightIn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发包人提供的施工设备和临时设施：</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pStyle w:val="23"/>
        <w:autoSpaceDE w:val="0"/>
        <w:autoSpaceDN w:val="0"/>
        <w:adjustRightIn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发包人提供的施工设备和临时设施的运行、维护、拆除、清运费用的承担人：</w:t>
      </w:r>
      <w:r>
        <w:rPr>
          <w:rFonts w:hint="eastAsia" w:ascii="宋体" w:hAnsi="宋体" w:cs="宋体"/>
          <w:color w:val="auto"/>
          <w:szCs w:val="21"/>
          <w:highlight w:val="none"/>
          <w:u w:val="single"/>
        </w:rPr>
        <w:t xml:space="preserve">  承包人  </w:t>
      </w:r>
      <w:r>
        <w:rPr>
          <w:rFonts w:hint="eastAsia" w:ascii="宋体" w:hAnsi="宋体" w:cs="宋体"/>
          <w:color w:val="auto"/>
          <w:szCs w:val="21"/>
          <w:highlight w:val="none"/>
        </w:rPr>
        <w:t>。</w:t>
      </w:r>
    </w:p>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Pr>
        <w:pStyle w:val="21"/>
        <w:spacing w:line="360" w:lineRule="auto"/>
        <w:rPr>
          <w:rFonts w:ascii="宋体" w:cs="宋体"/>
          <w:color w:val="auto"/>
          <w:highlight w:val="none"/>
        </w:rPr>
      </w:pPr>
      <w:bookmarkStart w:id="2568" w:name="_Toc418518382"/>
      <w:bookmarkStart w:id="2569" w:name="_Toc21550"/>
      <w:bookmarkStart w:id="2570" w:name="_Toc17797"/>
      <w:bookmarkStart w:id="2571" w:name="_Toc403578970"/>
      <w:bookmarkStart w:id="2572" w:name="_Toc351203641"/>
      <w:bookmarkStart w:id="2573" w:name="_Toc373227736"/>
      <w:bookmarkStart w:id="2574" w:name="_Toc373478383"/>
      <w:bookmarkStart w:id="2575" w:name="_Toc418518146"/>
      <w:bookmarkStart w:id="2576" w:name="_Toc17544"/>
      <w:bookmarkStart w:id="2577" w:name="_Toc418061347"/>
      <w:bookmarkStart w:id="2578" w:name="_Toc27217"/>
      <w:bookmarkStart w:id="2579" w:name="_Toc522201765"/>
      <w:bookmarkStart w:id="2580" w:name="_Toc497746817"/>
      <w:bookmarkStart w:id="2581" w:name="_Toc22084"/>
      <w:bookmarkStart w:id="2582" w:name="_Toc418751832"/>
      <w:bookmarkStart w:id="2583" w:name="_Toc418752278"/>
      <w:bookmarkStart w:id="2584" w:name="_Toc497747214"/>
      <w:bookmarkStart w:id="2585" w:name="_Toc256000215"/>
      <w:bookmarkStart w:id="2586" w:name="_Toc389065302"/>
      <w:r>
        <w:rPr>
          <w:rFonts w:hint="eastAsia" w:ascii="宋体" w:cs="宋体"/>
          <w:color w:val="auto"/>
          <w:highlight w:val="none"/>
        </w:rPr>
        <w:t>9</w:t>
      </w:r>
      <w:bookmarkEnd w:id="2511"/>
      <w:bookmarkEnd w:id="2512"/>
      <w:bookmarkEnd w:id="2513"/>
      <w:bookmarkStart w:id="2587" w:name="_Toc312678021"/>
      <w:bookmarkStart w:id="2588" w:name="_Toc300934982"/>
      <w:bookmarkStart w:id="2589" w:name="_Toc312677495"/>
      <w:bookmarkStart w:id="2590" w:name="_Toc303539139"/>
      <w:bookmarkStart w:id="2591" w:name="_Toc304295559"/>
      <w:bookmarkStart w:id="2592" w:name="_Toc297123533"/>
      <w:bookmarkStart w:id="2593" w:name="_Toc297216192"/>
      <w:bookmarkStart w:id="2594" w:name="_Toc296346674"/>
      <w:bookmarkStart w:id="2595" w:name="_Toc296347172"/>
      <w:bookmarkStart w:id="2596" w:name="_Toc296944512"/>
      <w:bookmarkStart w:id="2597" w:name="_Toc292559378"/>
      <w:bookmarkStart w:id="2598" w:name="_Toc296891001"/>
      <w:bookmarkStart w:id="2599" w:name="_Toc297120473"/>
      <w:bookmarkStart w:id="2600" w:name="_Toc267251427"/>
      <w:bookmarkStart w:id="2601" w:name="_Toc267251428"/>
      <w:bookmarkStart w:id="2602" w:name="_Toc296891213"/>
      <w:bookmarkStart w:id="2603" w:name="_Toc296503173"/>
      <w:bookmarkStart w:id="2604" w:name="_Toc292559883"/>
      <w:bookmarkStart w:id="2605" w:name="_Toc297048359"/>
      <w:r>
        <w:rPr>
          <w:rFonts w:hint="eastAsia" w:ascii="宋体" w:cs="宋体"/>
          <w:color w:val="auto"/>
          <w:highlight w:val="none"/>
        </w:rPr>
        <w:t>. 试验与检验</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bookmarkEnd w:id="2587"/>
    <w:bookmarkEnd w:id="2588"/>
    <w:bookmarkEnd w:id="2589"/>
    <w:bookmarkEnd w:id="2590"/>
    <w:bookmarkEnd w:id="2591"/>
    <w:bookmarkEnd w:id="2592"/>
    <w:bookmarkEnd w:id="2593"/>
    <w:p>
      <w:pPr>
        <w:pStyle w:val="21"/>
        <w:spacing w:line="360" w:lineRule="auto"/>
        <w:ind w:firstLine="422" w:firstLineChars="200"/>
        <w:rPr>
          <w:rFonts w:ascii="宋体" w:cs="宋体"/>
          <w:color w:val="auto"/>
          <w:highlight w:val="none"/>
        </w:rPr>
      </w:pPr>
      <w:bookmarkStart w:id="2606" w:name="_Toc373227737"/>
      <w:bookmarkStart w:id="2607" w:name="_Toc389065303"/>
      <w:bookmarkStart w:id="2608" w:name="_Toc522201766"/>
      <w:bookmarkStart w:id="2609" w:name="_Toc418518383"/>
      <w:bookmarkStart w:id="2610" w:name="_Toc418061348"/>
      <w:bookmarkStart w:id="2611" w:name="_Toc418752279"/>
      <w:bookmarkStart w:id="2612" w:name="_Toc30510"/>
      <w:bookmarkStart w:id="2613" w:name="_Toc418518147"/>
      <w:bookmarkStart w:id="2614" w:name="_Toc28428"/>
      <w:bookmarkStart w:id="2615" w:name="_Toc373478384"/>
      <w:bookmarkStart w:id="2616" w:name="_Toc418751833"/>
      <w:bookmarkStart w:id="2617" w:name="_Toc497747215"/>
      <w:bookmarkStart w:id="2618" w:name="_Toc256000216"/>
      <w:bookmarkStart w:id="2619" w:name="_Toc497746818"/>
      <w:bookmarkStart w:id="2620" w:name="_Toc22566"/>
      <w:bookmarkStart w:id="2621" w:name="_Toc403578971"/>
      <w:bookmarkStart w:id="2622" w:name="_Toc26140"/>
      <w:bookmarkStart w:id="2623" w:name="_Toc151"/>
      <w:r>
        <w:rPr>
          <w:rFonts w:hint="eastAsia" w:ascii="宋体" w:cs="宋体"/>
          <w:color w:val="auto"/>
          <w:highlight w:val="none"/>
        </w:rPr>
        <w:t>9</w:t>
      </w:r>
      <w:bookmarkStart w:id="2624" w:name="_Toc297123534"/>
      <w:bookmarkStart w:id="2625" w:name="_Toc304295560"/>
      <w:bookmarkStart w:id="2626" w:name="_Toc312678022"/>
      <w:bookmarkStart w:id="2627" w:name="_Toc300934983"/>
      <w:bookmarkStart w:id="2628" w:name="_Toc297216193"/>
      <w:bookmarkStart w:id="2629" w:name="_Toc312677496"/>
      <w:bookmarkStart w:id="2630" w:name="_Toc303539140"/>
      <w:r>
        <w:rPr>
          <w:rFonts w:hint="eastAsia" w:ascii="宋体" w:cs="宋体"/>
          <w:color w:val="auto"/>
          <w:highlight w:val="none"/>
        </w:rPr>
        <w:t>.1 试验设备与试验人员</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bookmarkEnd w:id="2624"/>
    <w:bookmarkEnd w:id="2625"/>
    <w:bookmarkEnd w:id="2626"/>
    <w:bookmarkEnd w:id="2627"/>
    <w:bookmarkEnd w:id="2628"/>
    <w:bookmarkEnd w:id="2629"/>
    <w:bookmarkEnd w:id="2630"/>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9</w:t>
      </w:r>
      <w:bookmarkStart w:id="2631" w:name="_Toc304295561"/>
      <w:bookmarkStart w:id="2632" w:name="_Toc312678023"/>
      <w:bookmarkStart w:id="2633" w:name="_Toc297123535"/>
      <w:bookmarkStart w:id="2634" w:name="_Toc297216194"/>
      <w:bookmarkStart w:id="2635" w:name="_Toc312677497"/>
      <w:bookmarkStart w:id="2636" w:name="_Toc303539141"/>
      <w:bookmarkStart w:id="2637" w:name="_Toc300934984"/>
      <w:bookmarkStart w:id="2638" w:name="_Toc318581174"/>
      <w:r>
        <w:rPr>
          <w:rFonts w:hint="eastAsia" w:ascii="宋体" w:hAnsi="宋体" w:cs="宋体"/>
          <w:color w:val="auto"/>
          <w:szCs w:val="21"/>
          <w:highlight w:val="none"/>
        </w:rPr>
        <w:t>.1.2 试验设备</w:t>
      </w:r>
    </w:p>
    <w:bookmarkEnd w:id="2631"/>
    <w:bookmarkEnd w:id="2632"/>
    <w:bookmarkEnd w:id="2633"/>
    <w:bookmarkEnd w:id="2634"/>
    <w:bookmarkEnd w:id="2635"/>
    <w:bookmarkEnd w:id="2636"/>
    <w:bookmarkEnd w:id="2637"/>
    <w:p>
      <w:pPr>
        <w:pStyle w:val="23"/>
        <w:spacing w:line="360" w:lineRule="auto"/>
        <w:ind w:firstLine="420" w:firstLineChars="200"/>
        <w:jc w:val="left"/>
        <w:rPr>
          <w:rFonts w:ascii="宋体" w:hAnsi="宋体" w:cs="宋体"/>
          <w:color w:val="auto"/>
          <w:szCs w:val="21"/>
          <w:highlight w:val="none"/>
        </w:rPr>
      </w:pPr>
      <w:bookmarkStart w:id="2639" w:name="_Toc297216195"/>
      <w:bookmarkStart w:id="2640" w:name="_Toc303539142"/>
      <w:bookmarkStart w:id="2641" w:name="_Toc312678024"/>
      <w:bookmarkStart w:id="2642" w:name="_Toc297123536"/>
      <w:bookmarkStart w:id="2643" w:name="_Toc312677498"/>
      <w:bookmarkStart w:id="2644" w:name="_Toc300934985"/>
      <w:bookmarkStart w:id="2645" w:name="_Toc304295562"/>
      <w:r>
        <w:rPr>
          <w:rFonts w:hint="eastAsia" w:ascii="宋体" w:hAnsi="宋体" w:cs="宋体"/>
          <w:color w:val="auto"/>
          <w:szCs w:val="21"/>
          <w:highlight w:val="none"/>
        </w:rPr>
        <w:t>施工现场需要配置的试验场所：</w:t>
      </w:r>
      <w:r>
        <w:rPr>
          <w:rFonts w:hint="eastAsia" w:ascii="宋体" w:hAnsi="宋体" w:cs="宋体"/>
          <w:color w:val="auto"/>
          <w:szCs w:val="21"/>
          <w:highlight w:val="none"/>
          <w:u w:val="single"/>
        </w:rPr>
        <w:t xml:space="preserve"> 由承包人承担，所需费用包含在投标报价中 </w:t>
      </w:r>
      <w:r>
        <w:rPr>
          <w:rFonts w:hint="eastAsia" w:ascii="宋体" w:hAnsi="宋体" w:cs="宋体"/>
          <w:color w:val="auto"/>
          <w:szCs w:val="21"/>
          <w:highlight w:val="none"/>
        </w:rPr>
        <w:t xml:space="preserve">。 </w:t>
      </w:r>
    </w:p>
    <w:p>
      <w:pPr>
        <w:pStyle w:val="23"/>
        <w:spacing w:line="360" w:lineRule="auto"/>
        <w:jc w:val="left"/>
        <w:rPr>
          <w:rFonts w:ascii="宋体" w:hAnsi="宋体" w:cs="宋体"/>
          <w:color w:val="auto"/>
          <w:szCs w:val="21"/>
          <w:highlight w:val="none"/>
        </w:rPr>
      </w:pPr>
      <w:r>
        <w:rPr>
          <w:rFonts w:hint="eastAsia" w:ascii="宋体" w:hAnsi="宋体" w:cs="宋体"/>
          <w:color w:val="auto"/>
          <w:szCs w:val="21"/>
          <w:highlight w:val="none"/>
        </w:rPr>
        <w:t xml:space="preserve">    施工现场需要配备的试验设备：</w:t>
      </w:r>
      <w:r>
        <w:rPr>
          <w:rFonts w:hint="eastAsia" w:ascii="宋体" w:hAnsi="宋体" w:cs="宋体"/>
          <w:color w:val="auto"/>
          <w:szCs w:val="21"/>
          <w:highlight w:val="none"/>
          <w:u w:val="single"/>
        </w:rPr>
        <w:t xml:space="preserve"> 由承包人承担，所需费用包含在投标报价中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施工现场需要具备的其他试验条件：</w:t>
      </w:r>
      <w:r>
        <w:rPr>
          <w:rFonts w:hint="eastAsia" w:ascii="宋体" w:hAnsi="宋体" w:cs="宋体"/>
          <w:color w:val="auto"/>
          <w:szCs w:val="21"/>
          <w:highlight w:val="none"/>
          <w:u w:val="single"/>
        </w:rPr>
        <w:t xml:space="preserve"> 由承包人承担，所需费用包含在投标报价中 </w:t>
      </w:r>
      <w:r>
        <w:rPr>
          <w:rFonts w:hint="eastAsia" w:ascii="宋体" w:hAnsi="宋体" w:cs="宋体"/>
          <w:color w:val="auto"/>
          <w:szCs w:val="21"/>
          <w:highlight w:val="none"/>
        </w:rPr>
        <w:t>。</w:t>
      </w:r>
    </w:p>
    <w:p>
      <w:pPr>
        <w:pStyle w:val="21"/>
        <w:spacing w:line="360" w:lineRule="auto"/>
        <w:ind w:firstLine="422" w:firstLineChars="200"/>
        <w:rPr>
          <w:rFonts w:ascii="宋体" w:cs="宋体"/>
          <w:color w:val="auto"/>
          <w:highlight w:val="none"/>
        </w:rPr>
      </w:pPr>
      <w:bookmarkStart w:id="2646" w:name="_Toc403578972"/>
      <w:bookmarkStart w:id="2647" w:name="_Toc418751834"/>
      <w:bookmarkStart w:id="2648" w:name="_Toc8929"/>
      <w:bookmarkStart w:id="2649" w:name="_Toc256000217"/>
      <w:bookmarkStart w:id="2650" w:name="_Toc373227738"/>
      <w:bookmarkStart w:id="2651" w:name="_Toc418518384"/>
      <w:bookmarkStart w:id="2652" w:name="_Toc522201767"/>
      <w:bookmarkStart w:id="2653" w:name="_Toc373478385"/>
      <w:bookmarkStart w:id="2654" w:name="_Toc27937"/>
      <w:bookmarkStart w:id="2655" w:name="_Toc418061349"/>
      <w:bookmarkStart w:id="2656" w:name="_Toc418752280"/>
      <w:bookmarkStart w:id="2657" w:name="_Toc4172"/>
      <w:bookmarkStart w:id="2658" w:name="_Toc418518148"/>
      <w:bookmarkStart w:id="2659" w:name="_Toc497747216"/>
      <w:bookmarkStart w:id="2660" w:name="_Toc6962"/>
      <w:bookmarkStart w:id="2661" w:name="_Toc497746819"/>
      <w:bookmarkStart w:id="2662" w:name="_Toc16567"/>
      <w:bookmarkStart w:id="2663" w:name="_Toc389065304"/>
      <w:r>
        <w:rPr>
          <w:rFonts w:hint="eastAsia" w:ascii="宋体" w:cs="宋体"/>
          <w:color w:val="auto"/>
          <w:highlight w:val="none"/>
        </w:rPr>
        <w:t>9.4 现场工艺试验</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r>
        <w:rPr>
          <w:rFonts w:hint="eastAsia" w:ascii="宋体" w:cs="宋体"/>
          <w:color w:val="auto"/>
          <w:highlight w:val="none"/>
        </w:rPr>
        <w:t xml:space="preserve"> </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现场工艺试验的有关约定：</w:t>
      </w:r>
      <w:r>
        <w:rPr>
          <w:rFonts w:hint="eastAsia" w:ascii="宋体" w:hAnsi="宋体" w:cs="宋体"/>
          <w:color w:val="auto"/>
          <w:szCs w:val="21"/>
          <w:highlight w:val="none"/>
          <w:u w:val="single"/>
        </w:rPr>
        <w:t xml:space="preserve">  按通用条款执行</w:t>
      </w:r>
      <w:r>
        <w:rPr>
          <w:rFonts w:hint="eastAsia" w:ascii="宋体" w:hAnsi="宋体" w:cs="宋体"/>
          <w:color w:val="auto"/>
          <w:szCs w:val="21"/>
          <w:highlight w:val="none"/>
        </w:rPr>
        <w:t>。</w:t>
      </w:r>
      <w:bookmarkStart w:id="2664" w:name="_Toc395382541"/>
      <w:bookmarkStart w:id="2665" w:name="_Toc406522259"/>
      <w:bookmarkStart w:id="2666" w:name="_Toc406420990"/>
      <w:bookmarkStart w:id="2667" w:name="OLE_LINK1"/>
    </w:p>
    <w:p>
      <w:pPr>
        <w:pStyle w:val="23"/>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9.5 检验费用</w:t>
      </w:r>
      <w:bookmarkEnd w:id="2664"/>
      <w:bookmarkEnd w:id="2665"/>
      <w:bookmarkEnd w:id="2666"/>
    </w:p>
    <w:p>
      <w:pPr>
        <w:pStyle w:val="23"/>
        <w:spacing w:line="360" w:lineRule="auto"/>
        <w:ind w:firstLine="411" w:firstLineChars="196"/>
        <w:rPr>
          <w:rFonts w:ascii="宋体" w:hAnsi="宋体" w:cs="宋体"/>
          <w:color w:val="auto"/>
          <w:szCs w:val="21"/>
          <w:highlight w:val="none"/>
        </w:rPr>
      </w:pPr>
      <w:r>
        <w:rPr>
          <w:rFonts w:hint="eastAsia" w:ascii="宋体" w:hAnsi="宋体" w:cs="宋体"/>
          <w:color w:val="auto"/>
          <w:szCs w:val="21"/>
          <w:highlight w:val="none"/>
        </w:rPr>
        <w:t>根据《建设工程质量检测管理办法》（建设部令第141号）以及</w:t>
      </w:r>
      <w:r>
        <w:rPr>
          <w:rFonts w:hint="eastAsia" w:ascii="宋体" w:hAnsi="宋体" w:cs="宋体"/>
          <w:bCs/>
          <w:color w:val="auto"/>
          <w:szCs w:val="21"/>
          <w:highlight w:val="none"/>
        </w:rPr>
        <w:t>《广西壮族自治区建设工程质量检测管理规定》（桂建管〔2013〕11号）</w:t>
      </w:r>
      <w:r>
        <w:rPr>
          <w:rFonts w:hint="eastAsia" w:ascii="宋体" w:hAnsi="宋体" w:cs="宋体"/>
          <w:color w:val="auto"/>
          <w:szCs w:val="21"/>
          <w:highlight w:val="none"/>
        </w:rPr>
        <w:t>规定，工程质量检测业务由发包人委托有相应资质的检测机构检测。费用从发包人的项目建设经费中支出并直接支付给检测机构，不计入合同价款内。</w:t>
      </w:r>
      <w:bookmarkEnd w:id="2667"/>
    </w:p>
    <w:bookmarkEnd w:id="2638"/>
    <w:bookmarkEnd w:id="2639"/>
    <w:bookmarkEnd w:id="2640"/>
    <w:bookmarkEnd w:id="2641"/>
    <w:bookmarkEnd w:id="2642"/>
    <w:bookmarkEnd w:id="2643"/>
    <w:bookmarkEnd w:id="2644"/>
    <w:bookmarkEnd w:id="2645"/>
    <w:p>
      <w:pPr>
        <w:pStyle w:val="21"/>
        <w:spacing w:line="360" w:lineRule="auto"/>
        <w:rPr>
          <w:rFonts w:ascii="宋体" w:cs="宋体"/>
          <w:color w:val="auto"/>
          <w:highlight w:val="none"/>
        </w:rPr>
      </w:pPr>
      <w:bookmarkStart w:id="2668" w:name="_Toc418518150"/>
      <w:bookmarkStart w:id="2669" w:name="_Toc497746821"/>
      <w:bookmarkStart w:id="2670" w:name="_Toc1492"/>
      <w:bookmarkStart w:id="2671" w:name="_Toc351203642"/>
      <w:bookmarkStart w:id="2672" w:name="_Toc522201768"/>
      <w:bookmarkStart w:id="2673" w:name="_Toc418518386"/>
      <w:bookmarkStart w:id="2674" w:name="_Toc13700"/>
      <w:bookmarkStart w:id="2675" w:name="_Toc256000218"/>
      <w:bookmarkStart w:id="2676" w:name="_Toc418061351"/>
      <w:bookmarkStart w:id="2677" w:name="_Toc418751836"/>
      <w:bookmarkStart w:id="2678" w:name="_Toc373478386"/>
      <w:bookmarkStart w:id="2679" w:name="_Toc497747218"/>
      <w:bookmarkStart w:id="2680" w:name="_Toc23876"/>
      <w:bookmarkStart w:id="2681" w:name="_Toc418752282"/>
      <w:bookmarkStart w:id="2682" w:name="_Toc5450"/>
      <w:bookmarkStart w:id="2683" w:name="_Toc389065305"/>
      <w:bookmarkStart w:id="2684" w:name="_Toc19099"/>
      <w:bookmarkStart w:id="2685" w:name="_Toc373227739"/>
      <w:bookmarkStart w:id="2686" w:name="_Toc403578974"/>
      <w:r>
        <w:rPr>
          <w:rFonts w:hint="eastAsia" w:ascii="宋体" w:cs="宋体"/>
          <w:color w:val="auto"/>
          <w:highlight w:val="none"/>
        </w:rPr>
        <w:t>1</w:t>
      </w:r>
      <w:bookmarkEnd w:id="2594"/>
      <w:bookmarkEnd w:id="2595"/>
      <w:bookmarkEnd w:id="2596"/>
      <w:bookmarkEnd w:id="2597"/>
      <w:bookmarkEnd w:id="2598"/>
      <w:bookmarkEnd w:id="2599"/>
      <w:bookmarkEnd w:id="2600"/>
      <w:bookmarkEnd w:id="2601"/>
      <w:bookmarkEnd w:id="2602"/>
      <w:bookmarkEnd w:id="2603"/>
      <w:bookmarkEnd w:id="2604"/>
      <w:bookmarkEnd w:id="2605"/>
      <w:bookmarkStart w:id="2687" w:name="_Toc296347192"/>
      <w:bookmarkStart w:id="2688" w:name="_Toc292559398"/>
      <w:bookmarkStart w:id="2689" w:name="_Toc304295566"/>
      <w:bookmarkStart w:id="2690" w:name="_Toc300934989"/>
      <w:bookmarkStart w:id="2691" w:name="_Toc296346694"/>
      <w:bookmarkStart w:id="2692" w:name="_Toc296891233"/>
      <w:bookmarkStart w:id="2693" w:name="_Toc292559903"/>
      <w:bookmarkStart w:id="2694" w:name="_Toc297048379"/>
      <w:bookmarkStart w:id="2695" w:name="_Toc296944532"/>
      <w:bookmarkStart w:id="2696" w:name="_Toc296503193"/>
      <w:bookmarkStart w:id="2697" w:name="_Toc297216199"/>
      <w:bookmarkStart w:id="2698" w:name="_Toc303539146"/>
      <w:bookmarkStart w:id="2699" w:name="_Toc297120493"/>
      <w:bookmarkStart w:id="2700" w:name="_Toc297123540"/>
      <w:bookmarkStart w:id="2701" w:name="_Toc296891021"/>
      <w:bookmarkStart w:id="2702" w:name="_Toc312678025"/>
      <w:bookmarkStart w:id="2703" w:name="_Toc312677499"/>
      <w:bookmarkStart w:id="2704" w:name="_Toc267251439"/>
      <w:bookmarkStart w:id="2705" w:name="_Toc267251433"/>
      <w:bookmarkStart w:id="2706" w:name="_Toc267251437"/>
      <w:bookmarkStart w:id="2707" w:name="_Toc267251440"/>
      <w:bookmarkStart w:id="2708" w:name="_Toc267251441"/>
      <w:bookmarkStart w:id="2709" w:name="_Toc267251435"/>
      <w:bookmarkStart w:id="2710" w:name="_Toc267251442"/>
      <w:r>
        <w:rPr>
          <w:rFonts w:hint="eastAsia" w:ascii="宋体" w:cs="宋体"/>
          <w:color w:val="auto"/>
          <w:highlight w:val="none"/>
        </w:rPr>
        <w:t>0. 变更</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bookmarkEnd w:id="2702"/>
    <w:bookmarkEnd w:id="2703"/>
    <w:p>
      <w:pPr>
        <w:pStyle w:val="21"/>
        <w:spacing w:line="360" w:lineRule="auto"/>
        <w:ind w:firstLine="422" w:firstLineChars="200"/>
        <w:rPr>
          <w:rFonts w:ascii="宋体" w:cs="宋体"/>
          <w:color w:val="auto"/>
          <w:highlight w:val="none"/>
        </w:rPr>
      </w:pPr>
      <w:bookmarkStart w:id="2711" w:name="_Toc497746822"/>
      <w:bookmarkStart w:id="2712" w:name="_Toc708"/>
      <w:bookmarkStart w:id="2713" w:name="_Toc389065306"/>
      <w:bookmarkStart w:id="2714" w:name="_Toc418061352"/>
      <w:bookmarkStart w:id="2715" w:name="_Toc418752283"/>
      <w:bookmarkStart w:id="2716" w:name="_Toc418518387"/>
      <w:bookmarkStart w:id="2717" w:name="_Toc1967"/>
      <w:bookmarkStart w:id="2718" w:name="_Toc256000219"/>
      <w:bookmarkStart w:id="2719" w:name="_Toc373478387"/>
      <w:bookmarkStart w:id="2720" w:name="_Toc8059"/>
      <w:bookmarkStart w:id="2721" w:name="_Toc418751837"/>
      <w:bookmarkStart w:id="2722" w:name="_Toc497747219"/>
      <w:bookmarkStart w:id="2723" w:name="_Toc22198"/>
      <w:bookmarkStart w:id="2724" w:name="_Toc403578975"/>
      <w:bookmarkStart w:id="2725" w:name="_Toc418518151"/>
      <w:bookmarkStart w:id="2726" w:name="_Toc522201769"/>
      <w:bookmarkStart w:id="2727" w:name="_Toc32657"/>
      <w:bookmarkStart w:id="2728" w:name="_Toc373227740"/>
      <w:r>
        <w:rPr>
          <w:rFonts w:hint="eastAsia" w:ascii="宋体" w:cs="宋体"/>
          <w:color w:val="auto"/>
          <w:highlight w:val="none"/>
        </w:rPr>
        <w:t>1</w:t>
      </w:r>
      <w:bookmarkStart w:id="2729" w:name="_Toc297120494"/>
      <w:bookmarkStart w:id="2730" w:name="_Toc297216200"/>
      <w:bookmarkStart w:id="2731" w:name="_Toc303539147"/>
      <w:bookmarkStart w:id="2732" w:name="_Toc312677500"/>
      <w:bookmarkStart w:id="2733" w:name="_Toc292559399"/>
      <w:bookmarkStart w:id="2734" w:name="_Toc312678026"/>
      <w:bookmarkStart w:id="2735" w:name="_Toc300934990"/>
      <w:bookmarkStart w:id="2736" w:name="_Toc296891234"/>
      <w:bookmarkStart w:id="2737" w:name="_Toc297123541"/>
      <w:bookmarkStart w:id="2738" w:name="_Toc296346695"/>
      <w:bookmarkStart w:id="2739" w:name="_Toc304295567"/>
      <w:bookmarkStart w:id="2740" w:name="_Toc292559904"/>
      <w:bookmarkStart w:id="2741" w:name="_Toc296347193"/>
      <w:bookmarkStart w:id="2742" w:name="_Toc296891022"/>
      <w:bookmarkStart w:id="2743" w:name="_Toc296503194"/>
      <w:bookmarkStart w:id="2744" w:name="_Toc296944533"/>
      <w:bookmarkStart w:id="2745" w:name="_Toc297048380"/>
      <w:r>
        <w:rPr>
          <w:rFonts w:hint="eastAsia" w:ascii="宋体" w:cs="宋体"/>
          <w:color w:val="auto"/>
          <w:highlight w:val="none"/>
        </w:rPr>
        <w:t>0.1 变更的范围</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p>
    <w:p>
      <w:pPr>
        <w:pStyle w:val="23"/>
        <w:spacing w:line="360" w:lineRule="auto"/>
        <w:ind w:firstLine="411" w:firstLineChars="196"/>
        <w:rPr>
          <w:rFonts w:ascii="宋体" w:hAnsi="宋体" w:cs="宋体"/>
          <w:color w:val="auto"/>
          <w:szCs w:val="21"/>
          <w:highlight w:val="none"/>
        </w:rPr>
      </w:pPr>
      <w:r>
        <w:rPr>
          <w:rFonts w:hint="eastAsia" w:ascii="宋体" w:hAnsi="宋体" w:cs="宋体"/>
          <w:color w:val="auto"/>
          <w:szCs w:val="21"/>
          <w:highlight w:val="none"/>
        </w:rPr>
        <w:t>关于变更的范围的约定：</w:t>
      </w:r>
      <w:r>
        <w:rPr>
          <w:rFonts w:hint="eastAsia" w:ascii="宋体" w:hAnsi="宋体" w:cs="宋体"/>
          <w:color w:val="auto"/>
          <w:szCs w:val="21"/>
          <w:highlight w:val="none"/>
          <w:u w:val="single"/>
        </w:rPr>
        <w:t>施工期间因不可预见因素或发包人要求所发生的工程量增减（由变更、签证产生），其工程量按实际发生并经监理工程师及发包人签证认可，工程变更综合单价按专用条款第10.4点规定执行</w:t>
      </w:r>
      <w:r>
        <w:rPr>
          <w:rFonts w:hint="eastAsia" w:ascii="宋体" w:hAnsi="宋体" w:cs="宋体"/>
          <w:color w:val="auto"/>
          <w:szCs w:val="21"/>
          <w:highlight w:val="none"/>
        </w:rPr>
        <w:t>。</w:t>
      </w:r>
      <w:bookmarkStart w:id="2746" w:name="_Toc395382544"/>
      <w:bookmarkStart w:id="2747" w:name="_Toc373478388"/>
      <w:bookmarkStart w:id="2748" w:name="_Toc389065307"/>
      <w:bookmarkStart w:id="2749" w:name="_Toc373227741"/>
      <w:bookmarkStart w:id="2750" w:name="_Toc406522262"/>
    </w:p>
    <w:p>
      <w:pPr>
        <w:pStyle w:val="21"/>
        <w:spacing w:line="360" w:lineRule="auto"/>
        <w:ind w:firstLine="422" w:firstLineChars="200"/>
        <w:rPr>
          <w:rFonts w:ascii="宋体" w:cs="宋体"/>
          <w:color w:val="auto"/>
          <w:highlight w:val="none"/>
        </w:rPr>
      </w:pPr>
      <w:bookmarkStart w:id="2751" w:name="_Toc191"/>
      <w:bookmarkStart w:id="2752" w:name="_Toc256000220"/>
      <w:bookmarkStart w:id="2753" w:name="_Toc23891"/>
      <w:bookmarkStart w:id="2754" w:name="_Toc24805"/>
      <w:bookmarkStart w:id="2755" w:name="_Toc27445"/>
      <w:bookmarkStart w:id="2756" w:name="_Toc1061"/>
      <w:r>
        <w:rPr>
          <w:rFonts w:hint="eastAsia" w:ascii="宋体" w:cs="宋体"/>
          <w:color w:val="auto"/>
          <w:highlight w:val="none"/>
        </w:rPr>
        <w:t>10.3 变更程序</w:t>
      </w:r>
      <w:bookmarkEnd w:id="2746"/>
      <w:bookmarkEnd w:id="2747"/>
      <w:bookmarkEnd w:id="2748"/>
      <w:bookmarkEnd w:id="2749"/>
      <w:bookmarkEnd w:id="2750"/>
      <w:bookmarkEnd w:id="2751"/>
      <w:bookmarkEnd w:id="2752"/>
      <w:bookmarkEnd w:id="2753"/>
      <w:bookmarkEnd w:id="2754"/>
      <w:bookmarkEnd w:id="2755"/>
      <w:bookmarkEnd w:id="2756"/>
    </w:p>
    <w:p>
      <w:pPr>
        <w:pStyle w:val="23"/>
        <w:spacing w:line="360" w:lineRule="auto"/>
        <w:ind w:firstLine="411" w:firstLineChars="196"/>
        <w:rPr>
          <w:rFonts w:ascii="宋体" w:hAnsi="宋体" w:cs="宋体"/>
          <w:color w:val="auto"/>
          <w:szCs w:val="21"/>
          <w:highlight w:val="none"/>
        </w:rPr>
      </w:pPr>
      <w:r>
        <w:rPr>
          <w:rFonts w:hint="eastAsia" w:ascii="宋体" w:hAnsi="宋体" w:cs="宋体"/>
          <w:color w:val="auto"/>
          <w:szCs w:val="21"/>
          <w:highlight w:val="none"/>
        </w:rPr>
        <w:t>10.3.1 国有投资项目：</w:t>
      </w:r>
    </w:p>
    <w:p>
      <w:pPr>
        <w:pStyle w:val="23"/>
        <w:spacing w:line="360" w:lineRule="auto"/>
        <w:ind w:firstLine="411" w:firstLineChars="196"/>
        <w:rPr>
          <w:rFonts w:ascii="宋体" w:hAnsi="宋体" w:cs="宋体"/>
          <w:color w:val="auto"/>
          <w:szCs w:val="21"/>
          <w:highlight w:val="none"/>
        </w:rPr>
      </w:pPr>
      <w:r>
        <w:rPr>
          <w:rFonts w:hint="eastAsia" w:ascii="宋体" w:hAnsi="宋体" w:cs="宋体"/>
          <w:color w:val="auto"/>
          <w:szCs w:val="21"/>
          <w:highlight w:val="none"/>
        </w:rPr>
        <w:t>⑴设计变更和工程签证，按各市政府或相关部门的规定办理。属不可抗力（自然灾害、突发事件等）造成变更的，按特事特办原则予以办理。</w:t>
      </w:r>
    </w:p>
    <w:p>
      <w:pPr>
        <w:pStyle w:val="23"/>
        <w:spacing w:line="360" w:lineRule="auto"/>
        <w:ind w:firstLine="411" w:firstLineChars="196"/>
        <w:rPr>
          <w:rFonts w:ascii="宋体" w:hAnsi="宋体" w:cs="宋体"/>
          <w:color w:val="auto"/>
          <w:szCs w:val="21"/>
          <w:highlight w:val="none"/>
        </w:rPr>
      </w:pPr>
      <w:r>
        <w:rPr>
          <w:rFonts w:hint="eastAsia" w:ascii="宋体" w:hAnsi="宋体" w:cs="宋体"/>
          <w:color w:val="auto"/>
          <w:szCs w:val="21"/>
          <w:highlight w:val="none"/>
        </w:rPr>
        <w:t>⑵发包人在实施项目过程中，若发生单价变动，由发包人、监理单位、承包人及其他相关单位共同商定并签字确认。</w:t>
      </w:r>
    </w:p>
    <w:p>
      <w:pPr>
        <w:pStyle w:val="23"/>
        <w:spacing w:line="360" w:lineRule="auto"/>
        <w:ind w:firstLine="411" w:firstLineChars="196"/>
        <w:rPr>
          <w:rFonts w:ascii="宋体" w:hAnsi="宋体" w:cs="宋体"/>
          <w:color w:val="auto"/>
          <w:szCs w:val="21"/>
          <w:highlight w:val="none"/>
        </w:rPr>
      </w:pPr>
      <w:r>
        <w:rPr>
          <w:rFonts w:hint="eastAsia" w:ascii="宋体" w:hAnsi="宋体" w:cs="宋体"/>
          <w:color w:val="auto"/>
          <w:szCs w:val="21"/>
          <w:highlight w:val="none"/>
        </w:rPr>
        <w:t>⑶ 当合同规定的合同价款调整情况发生后，承包人未在规定时间内通知发包人，或者未在规定时间内提出调整报告，发包人可以根据有关资料，决定是否调整和调整的金额，并书面通知承包人。</w:t>
      </w:r>
    </w:p>
    <w:p>
      <w:pPr>
        <w:pStyle w:val="23"/>
        <w:spacing w:line="360" w:lineRule="auto"/>
        <w:ind w:firstLine="411" w:firstLineChars="196"/>
        <w:rPr>
          <w:rFonts w:ascii="宋体" w:hAnsi="宋体" w:cs="宋体"/>
          <w:color w:val="auto"/>
          <w:szCs w:val="21"/>
          <w:highlight w:val="none"/>
        </w:rPr>
      </w:pPr>
      <w:r>
        <w:rPr>
          <w:rFonts w:hint="eastAsia" w:ascii="宋体" w:hAnsi="宋体" w:cs="宋体"/>
          <w:color w:val="auto"/>
          <w:szCs w:val="21"/>
          <w:highlight w:val="none"/>
        </w:rPr>
        <w:t>10.3.2 非国有投资项目： 同通用条款。</w:t>
      </w:r>
    </w:p>
    <w:p>
      <w:pPr>
        <w:pStyle w:val="21"/>
        <w:spacing w:line="360" w:lineRule="auto"/>
        <w:ind w:firstLine="422" w:firstLineChars="200"/>
        <w:rPr>
          <w:rFonts w:ascii="宋体" w:cs="宋体"/>
          <w:color w:val="auto"/>
          <w:highlight w:val="none"/>
        </w:rPr>
      </w:pPr>
      <w:bookmarkStart w:id="2757" w:name="_Toc418751839"/>
      <w:bookmarkStart w:id="2758" w:name="_Toc418518389"/>
      <w:bookmarkStart w:id="2759" w:name="_Toc256000221"/>
      <w:bookmarkStart w:id="2760" w:name="_Toc373478389"/>
      <w:bookmarkStart w:id="2761" w:name="_Toc19601"/>
      <w:bookmarkStart w:id="2762" w:name="_Toc6881"/>
      <w:bookmarkStart w:id="2763" w:name="_Toc403578977"/>
      <w:bookmarkStart w:id="2764" w:name="_Toc497746824"/>
      <w:bookmarkStart w:id="2765" w:name="_Toc418061354"/>
      <w:bookmarkStart w:id="2766" w:name="_Toc389065308"/>
      <w:bookmarkStart w:id="2767" w:name="_Toc12840"/>
      <w:bookmarkStart w:id="2768" w:name="_Toc418752285"/>
      <w:bookmarkStart w:id="2769" w:name="_Toc5411"/>
      <w:bookmarkStart w:id="2770" w:name="_Toc418518153"/>
      <w:bookmarkStart w:id="2771" w:name="_Toc13509"/>
      <w:bookmarkStart w:id="2772" w:name="_Toc522201770"/>
      <w:bookmarkStart w:id="2773" w:name="_Toc497747221"/>
      <w:bookmarkStart w:id="2774" w:name="_Toc373227742"/>
      <w:r>
        <w:rPr>
          <w:rFonts w:hint="eastAsia" w:ascii="宋体" w:cs="宋体"/>
          <w:color w:val="auto"/>
          <w:highlight w:val="none"/>
        </w:rPr>
        <w:t>10.4 变更估价</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10.4.1 变更估价原则</w:t>
      </w:r>
    </w:p>
    <w:p>
      <w:pPr>
        <w:pStyle w:val="23"/>
        <w:spacing w:line="360" w:lineRule="auto"/>
        <w:ind w:firstLine="426"/>
        <w:rPr>
          <w:rFonts w:ascii="宋体" w:hAnsi="宋体" w:cs="宋体"/>
          <w:color w:val="auto"/>
          <w:szCs w:val="21"/>
          <w:highlight w:val="none"/>
          <w:u w:val="single"/>
        </w:rPr>
      </w:pPr>
      <w:r>
        <w:rPr>
          <w:rFonts w:hint="eastAsia" w:ascii="宋体" w:hAnsi="宋体" w:cs="宋体"/>
          <w:color w:val="auto"/>
          <w:szCs w:val="21"/>
          <w:highlight w:val="none"/>
        </w:rPr>
        <w:t xml:space="preserve">关于变更估价的约定: </w:t>
      </w:r>
      <w:r>
        <w:rPr>
          <w:rFonts w:hint="eastAsia" w:ascii="宋体" w:hAnsi="宋体" w:cs="宋体"/>
          <w:color w:val="auto"/>
          <w:szCs w:val="21"/>
          <w:highlight w:val="none"/>
          <w:u w:val="single"/>
        </w:rPr>
        <w:t>（1）、投标报价中已有适用于变更工程的综合单价，按已有的综合单价；（2）、投标报价中有类似变更工程的综合单价，可参照投标报价中类似的综合单价确定；（3）、</w:t>
      </w:r>
      <w:r>
        <w:rPr>
          <w:rFonts w:ascii="宋体" w:hAnsi="宋体" w:cs="宋体"/>
          <w:color w:val="auto"/>
          <w:szCs w:val="21"/>
          <w:highlight w:val="none"/>
          <w:u w:val="single"/>
        </w:rPr>
        <w:t>投标报价中没有适用或类似于变更工程的综合单价，则有定额的套用定额计算，执行本工程编制招标控制价的参考依据，其中材料价格有信息价的按合同该新增子项实施期间《桂林市建设工程造价信息》中的平均价计取（信息价无相关信息的参照信息价中桂林市的平均价），无信息价时按市场价格共同协商初步确定；此类工程结算综合单价=按现行定额计算（管理费、利润取中值）的综合单价×中标下浮系数（中标人的投标报价÷经财政部门审核后的预算价），新增项目无定额可套用时，由发包人、承包人及监理三方共同协商初步确定，最终以</w:t>
      </w:r>
      <w:r>
        <w:rPr>
          <w:rFonts w:hint="eastAsia" w:ascii="宋体" w:hAnsi="宋体" w:cs="宋体"/>
          <w:color w:val="auto"/>
          <w:szCs w:val="21"/>
          <w:highlight w:val="none"/>
          <w:u w:val="single"/>
        </w:rPr>
        <w:t>桂林市财政局</w:t>
      </w:r>
      <w:r>
        <w:rPr>
          <w:rFonts w:ascii="宋体" w:hAnsi="宋体" w:cs="宋体"/>
          <w:color w:val="auto"/>
          <w:szCs w:val="21"/>
          <w:highlight w:val="none"/>
          <w:u w:val="single"/>
        </w:rPr>
        <w:t>审定或审计单位审定</w:t>
      </w:r>
      <w:r>
        <w:rPr>
          <w:rFonts w:hint="eastAsia" w:ascii="宋体" w:hAnsi="宋体" w:cs="宋体"/>
          <w:color w:val="auto"/>
          <w:szCs w:val="21"/>
          <w:highlight w:val="none"/>
          <w:u w:val="single"/>
        </w:rPr>
        <w:t>并经发包人及承包人双方确认的金额</w:t>
      </w:r>
      <w:r>
        <w:rPr>
          <w:rFonts w:ascii="宋体" w:hAnsi="宋体" w:cs="宋体"/>
          <w:color w:val="auto"/>
          <w:szCs w:val="21"/>
          <w:highlight w:val="none"/>
          <w:u w:val="single"/>
        </w:rPr>
        <w:t>为准</w:t>
      </w:r>
      <w:r>
        <w:rPr>
          <w:rFonts w:hint="eastAsia" w:ascii="宋体" w:hAnsi="宋体" w:cs="宋体"/>
          <w:color w:val="auto"/>
          <w:szCs w:val="21"/>
          <w:highlight w:val="none"/>
          <w:u w:val="single"/>
        </w:rPr>
        <w:t>。（4）</w:t>
      </w:r>
      <w:r>
        <w:rPr>
          <w:rFonts w:ascii="宋体" w:hAnsi="宋体" w:cs="宋体"/>
          <w:color w:val="auto"/>
          <w:szCs w:val="21"/>
          <w:highlight w:val="none"/>
          <w:u w:val="single"/>
        </w:rPr>
        <w:t>若发包人和监理人认为有关的工作不能以实物工程量的方法计算及估值时，则按以下的方法计算：若工程量清单中有计日工价目表，则以计日工价目表中相应的项目计价；若计日工作价目表中无类似项目，则按三方协商的价格估值。附带条件为，承包人须提交每天用于该项工作的时间的记录、相关工人的姓名及经发包人、监理人复核的所用物料的清单。上述数据须于该项工作执行后的一星期内提交给发包人及监理人</w:t>
      </w:r>
      <w:r>
        <w:rPr>
          <w:rFonts w:hint="eastAsia" w:ascii="宋体" w:hAnsi="宋体" w:cs="宋体"/>
          <w:color w:val="auto"/>
          <w:szCs w:val="21"/>
          <w:highlight w:val="none"/>
          <w:u w:val="single"/>
        </w:rPr>
        <w:t>。（5）暂定价调整方法为：暂定材料价格部分仅调整合同实施期间材料市场价与暂定价之间的材差并计相应的规费和增值税，投标书中相应的综合单价不再调整。专业工程暂估价的确定方法：由承包人申报单价，发包人组织监理人、造价审核机构共同询价确定。如发包人认为材料暂估价及专业工程暂估价需要进行市场询价的，应以询价小组（询价小组由发包人、承包人、监理人组成）调查确认的单价为准。（6）无约定的参照我区现行《建设工程工程量清单计价规范》及配套定额相关规定执行。（7） 本工程最终结算以桂林市财政局或发包人委托的造价咨询机构审定并经发包人及承包人双方确认的金额为准。</w:t>
      </w:r>
    </w:p>
    <w:p>
      <w:pPr>
        <w:pStyle w:val="21"/>
        <w:spacing w:line="360" w:lineRule="auto"/>
        <w:ind w:firstLine="422" w:firstLineChars="200"/>
        <w:rPr>
          <w:rFonts w:ascii="宋体" w:cs="宋体"/>
          <w:color w:val="auto"/>
          <w:highlight w:val="none"/>
        </w:rPr>
      </w:pPr>
      <w:bookmarkStart w:id="2775" w:name="_Toc2193"/>
      <w:bookmarkStart w:id="2776" w:name="_Toc24478"/>
      <w:bookmarkStart w:id="2777" w:name="_Toc373478390"/>
      <w:bookmarkStart w:id="2778" w:name="_Toc373227743"/>
      <w:bookmarkStart w:id="2779" w:name="_Toc497746825"/>
      <w:bookmarkStart w:id="2780" w:name="_Toc256000222"/>
      <w:bookmarkStart w:id="2781" w:name="_Toc389065309"/>
      <w:bookmarkStart w:id="2782" w:name="_Toc13780"/>
      <w:bookmarkStart w:id="2783" w:name="_Toc418518154"/>
      <w:bookmarkStart w:id="2784" w:name="_Toc14203"/>
      <w:bookmarkStart w:id="2785" w:name="_Toc418752286"/>
      <w:bookmarkStart w:id="2786" w:name="_Toc16986"/>
      <w:bookmarkStart w:id="2787" w:name="_Toc497747222"/>
      <w:bookmarkStart w:id="2788" w:name="_Toc522201771"/>
      <w:bookmarkStart w:id="2789" w:name="_Toc418751840"/>
      <w:bookmarkStart w:id="2790" w:name="_Toc403578978"/>
      <w:bookmarkStart w:id="2791" w:name="_Toc418061355"/>
      <w:bookmarkStart w:id="2792" w:name="_Toc418518390"/>
      <w:r>
        <w:rPr>
          <w:rFonts w:hint="eastAsia" w:ascii="宋体" w:cs="宋体"/>
          <w:color w:val="auto"/>
          <w:highlight w:val="none"/>
        </w:rPr>
        <w:t>1</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Start w:id="2793" w:name="_Toc303539150"/>
      <w:bookmarkStart w:id="2794" w:name="_Toc292559402"/>
      <w:bookmarkStart w:id="2795" w:name="_Toc296503197"/>
      <w:bookmarkStart w:id="2796" w:name="_Toc300934993"/>
      <w:bookmarkStart w:id="2797" w:name="_Toc296891025"/>
      <w:bookmarkStart w:id="2798" w:name="_Toc297120497"/>
      <w:bookmarkStart w:id="2799" w:name="_Toc296346698"/>
      <w:bookmarkStart w:id="2800" w:name="_Toc297048383"/>
      <w:bookmarkStart w:id="2801" w:name="_Toc296944536"/>
      <w:bookmarkStart w:id="2802" w:name="_Toc292559907"/>
      <w:bookmarkStart w:id="2803" w:name="_Toc297123544"/>
      <w:bookmarkStart w:id="2804" w:name="_Toc296891237"/>
      <w:bookmarkStart w:id="2805" w:name="_Toc297216203"/>
      <w:bookmarkStart w:id="2806" w:name="_Toc296347196"/>
      <w:bookmarkStart w:id="2807" w:name="_Toc304295570"/>
      <w:bookmarkStart w:id="2808" w:name="_Toc312678029"/>
      <w:bookmarkStart w:id="2809" w:name="_Toc312677503"/>
      <w:r>
        <w:rPr>
          <w:rFonts w:hint="eastAsia" w:ascii="宋体" w:cs="宋体"/>
          <w:color w:val="auto"/>
          <w:highlight w:val="none"/>
        </w:rPr>
        <w:t>0.5 承</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Start w:id="2810" w:name="_Toc296346704"/>
      <w:bookmarkStart w:id="2811" w:name="_Toc296503203"/>
      <w:bookmarkStart w:id="2812" w:name="_Toc297120503"/>
      <w:bookmarkStart w:id="2813" w:name="_Toc297048389"/>
      <w:bookmarkStart w:id="2814" w:name="_Toc297216204"/>
      <w:bookmarkStart w:id="2815" w:name="_Toc296891031"/>
      <w:bookmarkStart w:id="2816" w:name="_Toc296944542"/>
      <w:bookmarkStart w:id="2817" w:name="_Toc303539151"/>
      <w:bookmarkStart w:id="2818" w:name="_Toc297123545"/>
      <w:bookmarkStart w:id="2819" w:name="_Toc292559408"/>
      <w:bookmarkStart w:id="2820" w:name="_Toc296891243"/>
      <w:bookmarkStart w:id="2821" w:name="_Toc292559913"/>
      <w:bookmarkStart w:id="2822" w:name="_Toc296347202"/>
      <w:bookmarkStart w:id="2823" w:name="_Toc300934994"/>
      <w:r>
        <w:rPr>
          <w:rFonts w:hint="eastAsia" w:ascii="宋体" w:cs="宋体"/>
          <w:color w:val="auto"/>
          <w:highlight w:val="none"/>
        </w:rPr>
        <w:t>包人的合理化建议</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p>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监理人审查承包人合理化建议的期限：</w:t>
      </w:r>
      <w:r>
        <w:rPr>
          <w:rFonts w:hint="eastAsia" w:ascii="宋体" w:hAnsi="宋体" w:cs="宋体"/>
          <w:color w:val="auto"/>
          <w:szCs w:val="21"/>
          <w:highlight w:val="none"/>
          <w:u w:val="single"/>
        </w:rPr>
        <w:t>监理人应在收到承包人提交的合理化建议后7天内审查完毕并报送发包人，发现其中存在技术上的缺陷，应通知承包人修改</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发包人审批承包人合理化建议的期限：</w:t>
      </w:r>
      <w:r>
        <w:rPr>
          <w:rFonts w:hint="eastAsia" w:ascii="宋体" w:hAnsi="宋体" w:cs="宋体"/>
          <w:color w:val="auto"/>
          <w:szCs w:val="21"/>
          <w:highlight w:val="none"/>
          <w:u w:val="single"/>
        </w:rPr>
        <w:t>发包人应在收到监理人报送的合理化建议后7天内审批完毕</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承</w:t>
      </w:r>
      <w:bookmarkStart w:id="2824" w:name="_Toc292559914"/>
      <w:bookmarkStart w:id="2825" w:name="_Toc296346705"/>
      <w:bookmarkStart w:id="2826" w:name="_Toc296347203"/>
      <w:bookmarkStart w:id="2827" w:name="_Toc296891244"/>
      <w:bookmarkStart w:id="2828" w:name="_Toc318581175"/>
      <w:bookmarkStart w:id="2829" w:name="_Toc312677504"/>
      <w:bookmarkStart w:id="2830" w:name="_Toc296891032"/>
      <w:bookmarkStart w:id="2831" w:name="_Toc297123546"/>
      <w:bookmarkStart w:id="2832" w:name="_Toc300934995"/>
      <w:bookmarkStart w:id="2833" w:name="_Toc297216205"/>
      <w:bookmarkStart w:id="2834" w:name="_Toc312678030"/>
      <w:bookmarkStart w:id="2835" w:name="_Toc292559409"/>
      <w:bookmarkStart w:id="2836" w:name="_Toc303539152"/>
      <w:bookmarkStart w:id="2837" w:name="_Toc296503204"/>
      <w:bookmarkStart w:id="2838" w:name="_Toc297048390"/>
      <w:bookmarkStart w:id="2839" w:name="_Toc296944543"/>
      <w:bookmarkStart w:id="2840" w:name="_Toc297120504"/>
      <w:bookmarkStart w:id="2841" w:name="_Toc304295571"/>
      <w:r>
        <w:rPr>
          <w:rFonts w:hint="eastAsia" w:ascii="宋体" w:hAnsi="宋体" w:cs="宋体"/>
          <w:color w:val="auto"/>
          <w:szCs w:val="21"/>
          <w:highlight w:val="none"/>
        </w:rPr>
        <w:t>包人提出的合理化建议降低了合同价格或者提高了工程经济效益的奖励的方法和金额为：</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Pr>
        <w:pStyle w:val="21"/>
        <w:spacing w:line="360" w:lineRule="auto"/>
        <w:ind w:firstLine="422" w:firstLineChars="200"/>
        <w:rPr>
          <w:rFonts w:ascii="宋体" w:cs="宋体"/>
          <w:color w:val="auto"/>
          <w:highlight w:val="none"/>
        </w:rPr>
      </w:pPr>
      <w:bookmarkStart w:id="2842" w:name="_Toc256000223"/>
      <w:bookmarkStart w:id="2843" w:name="_Toc418061356"/>
      <w:bookmarkStart w:id="2844" w:name="_Toc497747223"/>
      <w:bookmarkStart w:id="2845" w:name="_Toc418752287"/>
      <w:bookmarkStart w:id="2846" w:name="_Toc403578979"/>
      <w:bookmarkStart w:id="2847" w:name="_Toc418518391"/>
      <w:bookmarkStart w:id="2848" w:name="_Toc4179"/>
      <w:bookmarkStart w:id="2849" w:name="_Toc373227744"/>
      <w:bookmarkStart w:id="2850" w:name="_Toc497746826"/>
      <w:bookmarkStart w:id="2851" w:name="_Toc32427"/>
      <w:bookmarkStart w:id="2852" w:name="_Toc522201772"/>
      <w:bookmarkStart w:id="2853" w:name="_Toc389065310"/>
      <w:bookmarkStart w:id="2854" w:name="_Toc15076"/>
      <w:bookmarkStart w:id="2855" w:name="_Toc30806"/>
      <w:bookmarkStart w:id="2856" w:name="_Toc373478391"/>
      <w:bookmarkStart w:id="2857" w:name="_Toc17805"/>
      <w:bookmarkStart w:id="2858" w:name="_Toc418751841"/>
      <w:bookmarkStart w:id="2859" w:name="_Toc418518155"/>
      <w:r>
        <w:rPr>
          <w:rFonts w:hint="eastAsia" w:ascii="宋体" w:cs="宋体"/>
          <w:color w:val="auto"/>
          <w:highlight w:val="none"/>
        </w:rPr>
        <w:t>1</w:t>
      </w:r>
      <w:bookmarkStart w:id="2860" w:name="_Toc297120499"/>
      <w:bookmarkStart w:id="2861" w:name="_Toc297216207"/>
      <w:bookmarkStart w:id="2862" w:name="_Toc292559909"/>
      <w:bookmarkStart w:id="2863" w:name="_Toc297048385"/>
      <w:bookmarkStart w:id="2864" w:name="_Toc296347198"/>
      <w:bookmarkStart w:id="2865" w:name="_Toc297123548"/>
      <w:bookmarkStart w:id="2866" w:name="_Toc296891027"/>
      <w:bookmarkStart w:id="2867" w:name="_Toc312677507"/>
      <w:bookmarkStart w:id="2868" w:name="_Toc296346700"/>
      <w:bookmarkStart w:id="2869" w:name="_Toc304295574"/>
      <w:bookmarkStart w:id="2870" w:name="_Toc296503199"/>
      <w:bookmarkStart w:id="2871" w:name="_Toc296944538"/>
      <w:bookmarkStart w:id="2872" w:name="_Toc296891239"/>
      <w:bookmarkStart w:id="2873" w:name="_Toc312678033"/>
      <w:bookmarkStart w:id="2874" w:name="_Toc300934997"/>
      <w:bookmarkStart w:id="2875" w:name="_Toc303539154"/>
      <w:bookmarkStart w:id="2876" w:name="_Toc292559404"/>
      <w:r>
        <w:rPr>
          <w:rFonts w:hint="eastAsia" w:ascii="宋体" w:cs="宋体"/>
          <w:color w:val="auto"/>
          <w:highlight w:val="none"/>
        </w:rPr>
        <w:t>0.7 暂估价</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暂</w:t>
      </w:r>
      <w:bookmarkStart w:id="2877" w:name="_Toc318581176"/>
      <w:bookmarkStart w:id="2878" w:name="_Toc312678034"/>
      <w:bookmarkStart w:id="2879" w:name="_Toc312677508"/>
      <w:r>
        <w:rPr>
          <w:rFonts w:hint="eastAsia" w:ascii="宋体" w:hAnsi="宋体" w:cs="宋体"/>
          <w:color w:val="auto"/>
          <w:kern w:val="0"/>
          <w:szCs w:val="21"/>
          <w:highlight w:val="none"/>
        </w:rPr>
        <w:t>估价材料和工程设备的明细详见已标价工程量清单《</w:t>
      </w:r>
      <w:r>
        <w:rPr>
          <w:rFonts w:hint="eastAsia" w:ascii="宋体" w:hAnsi="宋体" w:cs="宋体"/>
          <w:color w:val="auto"/>
          <w:szCs w:val="21"/>
          <w:highlight w:val="none"/>
        </w:rPr>
        <w:t>材料（工程设备）暂估价格及调整表》</w:t>
      </w:r>
      <w:r>
        <w:rPr>
          <w:rFonts w:hint="eastAsia" w:ascii="宋体" w:hAnsi="宋体" w:cs="宋体"/>
          <w:color w:val="auto"/>
          <w:kern w:val="0"/>
          <w:szCs w:val="21"/>
          <w:highlight w:val="none"/>
        </w:rPr>
        <w:t>（表12-2）和《</w:t>
      </w:r>
      <w:r>
        <w:rPr>
          <w:rFonts w:hint="eastAsia" w:ascii="宋体" w:hAnsi="宋体" w:cs="宋体"/>
          <w:color w:val="auto"/>
          <w:szCs w:val="21"/>
          <w:highlight w:val="none"/>
        </w:rPr>
        <w:t>专业工程暂估价表》（</w:t>
      </w:r>
      <w:r>
        <w:rPr>
          <w:rFonts w:hint="eastAsia" w:ascii="宋体" w:hAnsi="宋体" w:cs="宋体"/>
          <w:color w:val="auto"/>
          <w:kern w:val="0"/>
          <w:szCs w:val="21"/>
          <w:highlight w:val="none"/>
        </w:rPr>
        <w:t>表12-3）。</w:t>
      </w:r>
    </w:p>
    <w:bookmarkEnd w:id="2877"/>
    <w:bookmarkEnd w:id="2878"/>
    <w:bookmarkEnd w:id="2879"/>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w:t>
      </w:r>
      <w:bookmarkStart w:id="2880" w:name="_Toc312677509"/>
      <w:bookmarkStart w:id="2881" w:name="_Toc318581177"/>
      <w:bookmarkStart w:id="2882" w:name="_Toc312678035"/>
      <w:r>
        <w:rPr>
          <w:rFonts w:hint="eastAsia" w:ascii="宋体" w:hAnsi="宋体" w:cs="宋体"/>
          <w:color w:val="auto"/>
          <w:szCs w:val="21"/>
          <w:highlight w:val="none"/>
        </w:rPr>
        <w:t>0.7.1 依法必须招标的暂估价项目</w:t>
      </w:r>
    </w:p>
    <w:bookmarkEnd w:id="2880"/>
    <w:bookmarkEnd w:id="2881"/>
    <w:bookmarkEnd w:id="2882"/>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对于依法必须招标的暂估价项目的确认和批准采取第</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种方式确定。</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10.7.2 不属于依法必须招标的暂估价项目</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对于不属于依法必须招标的暂估价项目的确认和批准采取第</w:t>
      </w:r>
      <w:r>
        <w:rPr>
          <w:rFonts w:hint="eastAsia" w:ascii="宋体" w:hAnsi="宋体" w:cs="宋体"/>
          <w:color w:val="auto"/>
          <w:szCs w:val="21"/>
          <w:highlight w:val="none"/>
          <w:u w:val="single"/>
        </w:rPr>
        <w:t xml:space="preserve"> 1 </w:t>
      </w:r>
      <w:r>
        <w:rPr>
          <w:rFonts w:hint="eastAsia" w:ascii="宋体" w:hAnsi="宋体" w:cs="宋体"/>
          <w:color w:val="auto"/>
          <w:szCs w:val="21"/>
          <w:highlight w:val="none"/>
        </w:rPr>
        <w:t xml:space="preserve"> 种方式确定。</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szCs w:val="21"/>
          <w:highlight w:val="none"/>
        </w:rPr>
        <w:t>第3种方式：</w:t>
      </w:r>
      <w:r>
        <w:rPr>
          <w:rFonts w:hint="eastAsia" w:ascii="宋体" w:hAnsi="宋体" w:cs="宋体"/>
          <w:color w:val="auto"/>
          <w:kern w:val="0"/>
          <w:szCs w:val="21"/>
          <w:highlight w:val="none"/>
        </w:rPr>
        <w:t>承包人直接实施的暂估价项目</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承包人直接实施的暂估价项目的约定：</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pStyle w:val="21"/>
        <w:spacing w:line="360" w:lineRule="auto"/>
        <w:ind w:firstLine="422" w:firstLineChars="200"/>
        <w:rPr>
          <w:rFonts w:ascii="宋体" w:cs="宋体"/>
          <w:color w:val="auto"/>
          <w:highlight w:val="none"/>
        </w:rPr>
      </w:pPr>
      <w:bookmarkStart w:id="2883" w:name="_Toc29110"/>
      <w:bookmarkStart w:id="2884" w:name="_Toc20651"/>
      <w:bookmarkStart w:id="2885" w:name="_Toc373478392"/>
      <w:bookmarkStart w:id="2886" w:name="_Toc373227745"/>
      <w:bookmarkStart w:id="2887" w:name="_Toc522201773"/>
      <w:bookmarkStart w:id="2888" w:name="_Toc389065311"/>
      <w:bookmarkStart w:id="2889" w:name="_Toc3233"/>
      <w:bookmarkStart w:id="2890" w:name="_Toc418752288"/>
      <w:bookmarkStart w:id="2891" w:name="_Toc418518156"/>
      <w:bookmarkStart w:id="2892" w:name="_Toc418751842"/>
      <w:bookmarkStart w:id="2893" w:name="_Toc497746827"/>
      <w:bookmarkStart w:id="2894" w:name="_Toc418061357"/>
      <w:bookmarkStart w:id="2895" w:name="_Toc497747224"/>
      <w:bookmarkStart w:id="2896" w:name="_Toc17377"/>
      <w:bookmarkStart w:id="2897" w:name="_Toc403578980"/>
      <w:bookmarkStart w:id="2898" w:name="_Toc8600"/>
      <w:bookmarkStart w:id="2899" w:name="_Toc418518392"/>
      <w:bookmarkStart w:id="2900" w:name="_Toc256000224"/>
      <w:r>
        <w:rPr>
          <w:rFonts w:hint="eastAsia" w:ascii="宋体" w:cs="宋体"/>
          <w:color w:val="auto"/>
          <w:highlight w:val="none"/>
        </w:rPr>
        <w:t>10.8 暂列金额</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p>
    <w:p>
      <w:pPr>
        <w:pStyle w:val="23"/>
        <w:autoSpaceDE w:val="0"/>
        <w:autoSpaceDN w:val="0"/>
        <w:adjustRightIn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kern w:val="0"/>
          <w:szCs w:val="21"/>
          <w:highlight w:val="none"/>
        </w:rPr>
        <w:t>合同当事人关于暂列金额使用的约定：</w:t>
      </w:r>
      <w:r>
        <w:rPr>
          <w:rFonts w:hint="eastAsia" w:ascii="宋体" w:hAnsi="宋体" w:cs="宋体"/>
          <w:color w:val="auto"/>
          <w:szCs w:val="21"/>
          <w:highlight w:val="none"/>
          <w:u w:val="single"/>
        </w:rPr>
        <w:t xml:space="preserve">（1）已签约合同价中的暂列金额由发包人掌握使用。（2）发包人按照规定所作支付后，暂列金额如有余额归发包人 </w:t>
      </w:r>
      <w:r>
        <w:rPr>
          <w:rFonts w:hint="eastAsia" w:ascii="宋体" w:hAnsi="宋体" w:cs="宋体"/>
          <w:color w:val="auto"/>
          <w:kern w:val="0"/>
          <w:szCs w:val="21"/>
          <w:highlight w:val="none"/>
        </w:rPr>
        <w:t>。</w:t>
      </w:r>
    </w:p>
    <w:p>
      <w:pPr>
        <w:pStyle w:val="21"/>
        <w:spacing w:line="360" w:lineRule="auto"/>
        <w:rPr>
          <w:rFonts w:ascii="宋体" w:cs="宋体"/>
          <w:color w:val="auto"/>
          <w:highlight w:val="none"/>
        </w:rPr>
      </w:pPr>
      <w:bookmarkStart w:id="2901" w:name="_Toc389065312"/>
      <w:bookmarkStart w:id="2902" w:name="_Toc373478393"/>
      <w:bookmarkStart w:id="2903" w:name="_Toc418518393"/>
      <w:bookmarkStart w:id="2904" w:name="_Toc1886"/>
      <w:bookmarkStart w:id="2905" w:name="_Toc23958"/>
      <w:bookmarkStart w:id="2906" w:name="_Toc418751843"/>
      <w:bookmarkStart w:id="2907" w:name="_Toc418518157"/>
      <w:bookmarkStart w:id="2908" w:name="_Toc14065"/>
      <w:bookmarkStart w:id="2909" w:name="_Toc418752289"/>
      <w:bookmarkStart w:id="2910" w:name="_Toc373227746"/>
      <w:bookmarkStart w:id="2911" w:name="_Toc497746828"/>
      <w:bookmarkStart w:id="2912" w:name="_Toc522201774"/>
      <w:bookmarkStart w:id="2913" w:name="_Toc256000225"/>
      <w:bookmarkStart w:id="2914" w:name="_Toc497747225"/>
      <w:bookmarkStart w:id="2915" w:name="_Toc24914"/>
      <w:bookmarkStart w:id="2916" w:name="_Toc403578981"/>
      <w:bookmarkStart w:id="2917" w:name="_Toc351203643"/>
      <w:bookmarkStart w:id="2918" w:name="_Toc14254"/>
      <w:bookmarkStart w:id="2919" w:name="_Toc418061358"/>
      <w:r>
        <w:rPr>
          <w:rFonts w:hint="eastAsia" w:ascii="宋体" w:cs="宋体"/>
          <w:color w:val="auto"/>
          <w:highlight w:val="none"/>
        </w:rPr>
        <w:t>11. 价格调整</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21"/>
        <w:spacing w:line="360" w:lineRule="auto"/>
        <w:ind w:firstLine="422" w:firstLineChars="200"/>
        <w:rPr>
          <w:rFonts w:ascii="宋体" w:cs="宋体"/>
          <w:color w:val="auto"/>
          <w:highlight w:val="none"/>
        </w:rPr>
      </w:pPr>
      <w:bookmarkStart w:id="2920" w:name="_Toc5443"/>
      <w:bookmarkStart w:id="2921" w:name="_Toc418518394"/>
      <w:bookmarkStart w:id="2922" w:name="_Toc497747226"/>
      <w:bookmarkStart w:id="2923" w:name="_Toc256000226"/>
      <w:bookmarkStart w:id="2924" w:name="_Toc373478394"/>
      <w:bookmarkStart w:id="2925" w:name="_Toc21095"/>
      <w:bookmarkStart w:id="2926" w:name="_Toc10205"/>
      <w:bookmarkStart w:id="2927" w:name="_Toc418061359"/>
      <w:bookmarkStart w:id="2928" w:name="_Toc373227747"/>
      <w:bookmarkStart w:id="2929" w:name="_Toc497746829"/>
      <w:bookmarkStart w:id="2930" w:name="_Toc418752290"/>
      <w:bookmarkStart w:id="2931" w:name="_Toc403578982"/>
      <w:bookmarkStart w:id="2932" w:name="_Toc10244"/>
      <w:bookmarkStart w:id="2933" w:name="_Toc482"/>
      <w:bookmarkStart w:id="2934" w:name="_Toc418751844"/>
      <w:bookmarkStart w:id="2935" w:name="_Toc418518158"/>
      <w:bookmarkStart w:id="2936" w:name="_Toc389065313"/>
      <w:bookmarkStart w:id="2937" w:name="_Toc522201775"/>
      <w:bookmarkStart w:id="2938" w:name="_Toc296891029"/>
      <w:bookmarkStart w:id="2939" w:name="_Toc297120501"/>
      <w:bookmarkStart w:id="2940" w:name="_Toc303539157"/>
      <w:bookmarkStart w:id="2941" w:name="_Toc296503201"/>
      <w:bookmarkStart w:id="2942" w:name="_Toc297048387"/>
      <w:bookmarkStart w:id="2943" w:name="_Toc292559911"/>
      <w:bookmarkStart w:id="2944" w:name="_Toc304295577"/>
      <w:bookmarkStart w:id="2945" w:name="_Toc296346702"/>
      <w:bookmarkStart w:id="2946" w:name="_Toc296347200"/>
      <w:bookmarkStart w:id="2947" w:name="_Toc300935000"/>
      <w:bookmarkStart w:id="2948" w:name="_Toc292559406"/>
      <w:bookmarkStart w:id="2949" w:name="_Toc312678039"/>
      <w:bookmarkStart w:id="2950" w:name="_Toc296944540"/>
      <w:bookmarkStart w:id="2951" w:name="_Toc297123550"/>
      <w:bookmarkStart w:id="2952" w:name="_Toc297216209"/>
      <w:bookmarkStart w:id="2953" w:name="_Toc296891241"/>
      <w:r>
        <w:rPr>
          <w:rFonts w:hint="eastAsia" w:ascii="宋体" w:cs="宋体"/>
          <w:color w:val="auto"/>
          <w:highlight w:val="none"/>
        </w:rPr>
        <w:t>11.1 市场价格波动引起的调整</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市场价格波动是否调整合同价格的约定：</w:t>
      </w:r>
      <w:r>
        <w:rPr>
          <w:rFonts w:hint="eastAsia" w:ascii="宋体" w:hAnsi="宋体" w:cs="宋体"/>
          <w:color w:val="auto"/>
          <w:szCs w:val="21"/>
          <w:highlight w:val="none"/>
          <w:u w:val="single"/>
        </w:rPr>
        <w:t xml:space="preserve">  不调整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因市场价格波动调整合同价格，采用以下第</w:t>
      </w:r>
      <w:r>
        <w:rPr>
          <w:rFonts w:hint="eastAsia" w:ascii="宋体" w:hAnsi="宋体" w:cs="宋体"/>
          <w:color w:val="auto"/>
          <w:szCs w:val="21"/>
          <w:highlight w:val="none"/>
          <w:u w:val="single"/>
        </w:rPr>
        <w:t>/</w:t>
      </w:r>
      <w:r>
        <w:rPr>
          <w:rFonts w:hint="eastAsia" w:ascii="宋体" w:hAnsi="宋体" w:cs="宋体"/>
          <w:color w:val="auto"/>
          <w:szCs w:val="21"/>
          <w:highlight w:val="none"/>
        </w:rPr>
        <w:t>种方式对合同价格进行调整：</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第1种方式：采用价格指数进行价格调整。</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关于各可调因子、定值和变值权重，以及基本价格指数及其来源的约定：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 xml:space="preserve">；  </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第2种方式：采用造价信息进行价格调整。</w:t>
      </w:r>
    </w:p>
    <w:p>
      <w:pPr>
        <w:pStyle w:val="23"/>
        <w:spacing w:line="360" w:lineRule="auto"/>
        <w:ind w:firstLine="315" w:firstLineChars="150"/>
        <w:rPr>
          <w:rFonts w:ascii="宋体" w:hAnsi="宋体" w:cs="宋体"/>
          <w:color w:val="auto"/>
          <w:szCs w:val="21"/>
          <w:highlight w:val="none"/>
        </w:rPr>
      </w:pPr>
      <w:r>
        <w:rPr>
          <w:rFonts w:hint="eastAsia" w:ascii="宋体" w:hAnsi="宋体" w:cs="宋体"/>
          <w:color w:val="auto"/>
          <w:szCs w:val="21"/>
          <w:highlight w:val="none"/>
        </w:rPr>
        <w:t xml:space="preserve">（1）关于基准价格的约定： </w:t>
      </w:r>
      <w:r>
        <w:rPr>
          <w:rFonts w:hint="eastAsia" w:ascii="宋体" w:hAnsi="宋体"/>
          <w:color w:val="auto"/>
          <w:szCs w:val="21"/>
          <w:highlight w:val="none"/>
          <w:u w:val="single"/>
        </w:rPr>
        <w:t xml:space="preserve">                             </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szCs w:val="21"/>
          <w:highlight w:val="none"/>
        </w:rPr>
        <w:t>投</w:t>
      </w:r>
      <w:r>
        <w:rPr>
          <w:rFonts w:hint="eastAsia" w:ascii="宋体" w:hAnsi="宋体" w:cs="宋体"/>
          <w:color w:val="auto"/>
          <w:kern w:val="0"/>
          <w:szCs w:val="21"/>
          <w:highlight w:val="none"/>
        </w:rPr>
        <w:t>标人应根据施工期间材料可能由于市场价格上涨（或下跌）因素自行考虑由此引起的风险并计入投标报价中，投标人应对自己的报价承担风险，除本合同约定的钢筋、水泥、商品混凝土、沥青混凝土、碎石、砂、片石、沥青、管材、石材、土方（含购土与弃土）等项材料价格可做调整外，其余材料价格不作调整。</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①承包人在已标价工程量清单或预算书中载明的材料单价低于基准价格的，合同履行期间材料单价涨幅以基准价格为基础超过10%时，或材料单价跌幅以已标价工程量清单或预算书中载明材料单价为基础超过10%时，其超过部分据实调整。</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②承包人在已标价工程量清单或预算书中载明的材料单价高于基准价格的：专用合同条款合同履行期间材料单价跌幅以基准价格为基础超过10%时，材料单价涨幅以已标价工程量清单或预算书中载明材料单价为基础超过10%时，其超过部分据实调整。</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③承包人在已标价工程量清单或预算书中载明的材料单价等于基准单价的：专用合同条款合同履行期间材料单价涨跌幅以基准单价为基础超过±10%时，其超过部分据实调整。</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④除专用合同约定的钢筋、水泥、商品混凝土、沥青混凝土、碎石、砂、片石、沥青、管材、石材、土方</w:t>
      </w:r>
      <w:r>
        <w:rPr>
          <w:rFonts w:hint="eastAsia" w:ascii="宋体" w:hAnsi="宋体" w:cs="宋体"/>
          <w:color w:val="auto"/>
          <w:kern w:val="0"/>
          <w:szCs w:val="21"/>
          <w:highlight w:val="none"/>
        </w:rPr>
        <w:t>（含购土与弃土）</w:t>
      </w:r>
      <w:r>
        <w:rPr>
          <w:rFonts w:hint="eastAsia" w:ascii="宋体" w:hAnsi="宋体" w:cs="宋体"/>
          <w:color w:val="auto"/>
          <w:szCs w:val="21"/>
          <w:highlight w:val="none"/>
        </w:rPr>
        <w:t>等项材料外，其余材料价格不做调整。调整方法：钢筋、水泥、商品混凝土、沥青混凝土、碎石、砂、片石、沥青、管材、石材、土方</w:t>
      </w:r>
      <w:r>
        <w:rPr>
          <w:rFonts w:hint="eastAsia" w:ascii="宋体" w:hAnsi="宋体" w:cs="宋体"/>
          <w:color w:val="auto"/>
          <w:kern w:val="0"/>
          <w:szCs w:val="21"/>
          <w:highlight w:val="none"/>
        </w:rPr>
        <w:t>（含购土与弃土）</w:t>
      </w:r>
      <w:r>
        <w:rPr>
          <w:rFonts w:hint="eastAsia" w:ascii="宋体" w:hAnsi="宋体" w:cs="宋体"/>
          <w:color w:val="auto"/>
          <w:szCs w:val="21"/>
          <w:highlight w:val="none"/>
        </w:rPr>
        <w:t>价格超过部分×中标下浮系数（中标人的投标报价÷预算价），该部分费用列入税前独立费。</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在工程施工期间，国家及地区如有新的人工费调整政策文件出台，可按国家及地区相关文件进行人工费调差。</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szCs w:val="21"/>
          <w:highlight w:val="none"/>
        </w:rPr>
        <w:t>第3种方式：</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bookmarkEnd w:id="2704"/>
    <w:bookmarkEnd w:id="2705"/>
    <w:bookmarkEnd w:id="2706"/>
    <w:bookmarkEnd w:id="2707"/>
    <w:bookmarkEnd w:id="2708"/>
    <w:bookmarkEnd w:id="2709"/>
    <w:p>
      <w:pPr>
        <w:pStyle w:val="21"/>
        <w:spacing w:line="360" w:lineRule="auto"/>
        <w:rPr>
          <w:rFonts w:ascii="宋体" w:cs="宋体"/>
          <w:color w:val="auto"/>
          <w:highlight w:val="none"/>
        </w:rPr>
      </w:pPr>
      <w:bookmarkStart w:id="2954" w:name="_Toc296891245"/>
      <w:bookmarkStart w:id="2955" w:name="_Toc296346706"/>
      <w:bookmarkStart w:id="2956" w:name="_Toc297120505"/>
      <w:bookmarkStart w:id="2957" w:name="_Toc292559915"/>
      <w:bookmarkStart w:id="2958" w:name="_Toc296891033"/>
      <w:bookmarkStart w:id="2959" w:name="_Toc296503205"/>
      <w:bookmarkStart w:id="2960" w:name="_Toc296944544"/>
      <w:bookmarkStart w:id="2961" w:name="_Toc297048391"/>
      <w:bookmarkStart w:id="2962" w:name="_Toc296347204"/>
      <w:bookmarkStart w:id="2963" w:name="_Toc292559410"/>
      <w:bookmarkStart w:id="2964" w:name="_Toc497746830"/>
      <w:bookmarkStart w:id="2965" w:name="_Toc22926"/>
      <w:bookmarkStart w:id="2966" w:name="_Toc418061360"/>
      <w:bookmarkStart w:id="2967" w:name="_Toc351203644"/>
      <w:bookmarkStart w:id="2968" w:name="_Toc418752291"/>
      <w:bookmarkStart w:id="2969" w:name="_Toc418518395"/>
      <w:bookmarkStart w:id="2970" w:name="_Toc30863"/>
      <w:bookmarkStart w:id="2971" w:name="_Toc403578983"/>
      <w:bookmarkStart w:id="2972" w:name="_Toc418751845"/>
      <w:bookmarkStart w:id="2973" w:name="_Toc9608"/>
      <w:bookmarkStart w:id="2974" w:name="_Toc11681"/>
      <w:bookmarkStart w:id="2975" w:name="_Toc522201776"/>
      <w:bookmarkStart w:id="2976" w:name="_Toc30821"/>
      <w:bookmarkStart w:id="2977" w:name="_Toc373227748"/>
      <w:bookmarkStart w:id="2978" w:name="_Toc418518159"/>
      <w:bookmarkStart w:id="2979" w:name="_Toc256000227"/>
      <w:bookmarkStart w:id="2980" w:name="_Toc373478395"/>
      <w:bookmarkStart w:id="2981" w:name="_Toc497747227"/>
      <w:bookmarkStart w:id="2982" w:name="_Toc297123552"/>
      <w:bookmarkStart w:id="2983" w:name="_Toc312678040"/>
      <w:bookmarkStart w:id="2984" w:name="_Toc297216211"/>
      <w:bookmarkStart w:id="2985" w:name="_Toc300935002"/>
      <w:bookmarkStart w:id="2986" w:name="_Toc303539159"/>
      <w:bookmarkStart w:id="2987" w:name="_Toc304295579"/>
      <w:r>
        <w:rPr>
          <w:rFonts w:hint="eastAsia" w:ascii="宋体" w:cs="宋体"/>
          <w:color w:val="auto"/>
          <w:highlight w:val="none"/>
        </w:rPr>
        <w:t xml:space="preserve">12. </w:t>
      </w:r>
      <w:bookmarkEnd w:id="2954"/>
      <w:bookmarkEnd w:id="2955"/>
      <w:bookmarkEnd w:id="2956"/>
      <w:bookmarkEnd w:id="2957"/>
      <w:bookmarkEnd w:id="2958"/>
      <w:bookmarkEnd w:id="2959"/>
      <w:bookmarkEnd w:id="2960"/>
      <w:bookmarkEnd w:id="2961"/>
      <w:bookmarkEnd w:id="2962"/>
      <w:bookmarkEnd w:id="2963"/>
      <w:r>
        <w:rPr>
          <w:rFonts w:hint="eastAsia" w:ascii="宋体" w:cs="宋体"/>
          <w:color w:val="auto"/>
          <w:highlight w:val="none"/>
        </w:rPr>
        <w:t>合同价格、计量与支付</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p>
    <w:bookmarkEnd w:id="2982"/>
    <w:bookmarkEnd w:id="2983"/>
    <w:bookmarkEnd w:id="2984"/>
    <w:bookmarkEnd w:id="2985"/>
    <w:bookmarkEnd w:id="2986"/>
    <w:bookmarkEnd w:id="2987"/>
    <w:p>
      <w:pPr>
        <w:pStyle w:val="21"/>
        <w:spacing w:line="360" w:lineRule="auto"/>
        <w:ind w:firstLine="422" w:firstLineChars="200"/>
        <w:rPr>
          <w:rFonts w:ascii="宋体" w:cs="宋体"/>
          <w:color w:val="auto"/>
          <w:highlight w:val="none"/>
        </w:rPr>
      </w:pPr>
      <w:bookmarkStart w:id="2988" w:name="_Toc292559411"/>
      <w:bookmarkStart w:id="2989" w:name="_Toc292559916"/>
      <w:bookmarkStart w:id="2990" w:name="_Toc267251461"/>
      <w:bookmarkStart w:id="2991" w:name="_Toc297120506"/>
      <w:bookmarkStart w:id="2992" w:name="_Toc297048392"/>
      <w:bookmarkStart w:id="2993" w:name="_Toc296346707"/>
      <w:bookmarkStart w:id="2994" w:name="_Toc296891034"/>
      <w:bookmarkStart w:id="2995" w:name="_Toc296347205"/>
      <w:bookmarkStart w:id="2996" w:name="_Toc296891246"/>
      <w:bookmarkStart w:id="2997" w:name="_Toc296503206"/>
      <w:bookmarkStart w:id="2998" w:name="_Toc296944545"/>
      <w:bookmarkStart w:id="2999" w:name="_Toc30425"/>
      <w:bookmarkStart w:id="3000" w:name="_Toc418752292"/>
      <w:bookmarkStart w:id="3001" w:name="_Toc418751846"/>
      <w:bookmarkStart w:id="3002" w:name="_Toc256000228"/>
      <w:bookmarkStart w:id="3003" w:name="_Toc373478396"/>
      <w:bookmarkStart w:id="3004" w:name="_Toc522201777"/>
      <w:bookmarkStart w:id="3005" w:name="_Toc403578984"/>
      <w:bookmarkStart w:id="3006" w:name="_Toc418518396"/>
      <w:bookmarkStart w:id="3007" w:name="_Toc373227749"/>
      <w:bookmarkStart w:id="3008" w:name="_Toc6238"/>
      <w:bookmarkStart w:id="3009" w:name="_Toc497747228"/>
      <w:bookmarkStart w:id="3010" w:name="_Toc22794"/>
      <w:bookmarkStart w:id="3011" w:name="_Toc4222"/>
      <w:bookmarkStart w:id="3012" w:name="_Toc418061361"/>
      <w:bookmarkStart w:id="3013" w:name="_Toc22802"/>
      <w:bookmarkStart w:id="3014" w:name="_Toc418518160"/>
      <w:bookmarkStart w:id="3015" w:name="_Toc497746831"/>
      <w:bookmarkStart w:id="3016" w:name="_Toc389065314"/>
      <w:bookmarkStart w:id="3017" w:name="_Toc297216212"/>
      <w:bookmarkStart w:id="3018" w:name="_Toc297123553"/>
      <w:bookmarkStart w:id="3019" w:name="_Toc303539160"/>
      <w:bookmarkStart w:id="3020" w:name="_Toc312678041"/>
      <w:bookmarkStart w:id="3021" w:name="_Toc300935003"/>
      <w:bookmarkStart w:id="3022" w:name="_Toc304295580"/>
      <w:r>
        <w:rPr>
          <w:rFonts w:hint="eastAsia" w:ascii="宋体" w:cs="宋体"/>
          <w:color w:val="auto"/>
          <w:highlight w:val="none"/>
        </w:rPr>
        <w:t>12.1 合</w:t>
      </w:r>
      <w:bookmarkEnd w:id="2988"/>
      <w:bookmarkEnd w:id="2989"/>
      <w:bookmarkEnd w:id="2990"/>
      <w:r>
        <w:rPr>
          <w:rFonts w:hint="eastAsia" w:ascii="宋体" w:cs="宋体"/>
          <w:color w:val="auto"/>
          <w:highlight w:val="none"/>
        </w:rPr>
        <w:t>同价</w:t>
      </w:r>
      <w:bookmarkEnd w:id="2991"/>
      <w:bookmarkEnd w:id="2992"/>
      <w:bookmarkEnd w:id="2993"/>
      <w:bookmarkEnd w:id="2994"/>
      <w:bookmarkEnd w:id="2995"/>
      <w:bookmarkEnd w:id="2996"/>
      <w:bookmarkEnd w:id="2997"/>
      <w:bookmarkEnd w:id="2998"/>
      <w:r>
        <w:rPr>
          <w:rFonts w:hint="eastAsia" w:ascii="宋体" w:cs="宋体"/>
          <w:color w:val="auto"/>
          <w:highlight w:val="none"/>
        </w:rPr>
        <w:t>格形式</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bookmarkEnd w:id="3017"/>
    <w:bookmarkEnd w:id="3018"/>
    <w:bookmarkEnd w:id="3019"/>
    <w:bookmarkEnd w:id="3020"/>
    <w:bookmarkEnd w:id="3021"/>
    <w:bookmarkEnd w:id="3022"/>
    <w:p>
      <w:pPr>
        <w:pStyle w:val="23"/>
        <w:spacing w:line="360" w:lineRule="auto"/>
        <w:ind w:firstLine="420" w:firstLineChars="200"/>
        <w:jc w:val="left"/>
        <w:rPr>
          <w:rFonts w:ascii="宋体" w:hAnsi="宋体" w:cs="宋体"/>
          <w:color w:val="auto"/>
          <w:szCs w:val="21"/>
          <w:highlight w:val="none"/>
        </w:rPr>
      </w:pPr>
      <w:bookmarkStart w:id="3023" w:name="_Toc373227750"/>
      <w:bookmarkStart w:id="3024" w:name="_Toc389065315"/>
      <w:bookmarkStart w:id="3025" w:name="_Toc373478397"/>
      <w:bookmarkStart w:id="3026" w:name="_Toc312678042"/>
      <w:bookmarkStart w:id="3027" w:name="_Toc303539161"/>
      <w:bookmarkStart w:id="3028" w:name="_Toc304295581"/>
      <w:bookmarkStart w:id="3029" w:name="_Toc297123554"/>
      <w:bookmarkStart w:id="3030" w:name="_Toc297216213"/>
      <w:bookmarkStart w:id="3031" w:name="_Toc300935004"/>
      <w:bookmarkStart w:id="3032" w:name="_Toc296891247"/>
      <w:bookmarkStart w:id="3033" w:name="_Toc292559917"/>
      <w:bookmarkStart w:id="3034" w:name="_Toc296346708"/>
      <w:bookmarkStart w:id="3035" w:name="_Toc296944546"/>
      <w:bookmarkStart w:id="3036" w:name="_Toc297048393"/>
      <w:bookmarkStart w:id="3037" w:name="_Toc296891035"/>
      <w:bookmarkStart w:id="3038" w:name="_Toc296347206"/>
      <w:bookmarkStart w:id="3039" w:name="_Toc297120507"/>
      <w:bookmarkStart w:id="3040" w:name="_Toc292559412"/>
      <w:bookmarkStart w:id="3041" w:name="_Toc296503207"/>
      <w:r>
        <w:rPr>
          <w:rFonts w:hint="eastAsia" w:ascii="宋体" w:hAnsi="宋体" w:cs="宋体"/>
          <w:color w:val="auto"/>
          <w:szCs w:val="21"/>
          <w:highlight w:val="none"/>
        </w:rPr>
        <w:t>（1）单价合同。</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本合同价款采用</w:t>
      </w:r>
      <w:r>
        <w:rPr>
          <w:rFonts w:hint="eastAsia" w:ascii="宋体" w:hAnsi="宋体" w:cs="宋体"/>
          <w:color w:val="auto"/>
          <w:szCs w:val="21"/>
          <w:highlight w:val="none"/>
          <w:u w:val="single"/>
        </w:rPr>
        <w:t>固定综合单价方式</w:t>
      </w:r>
      <w:r>
        <w:rPr>
          <w:rFonts w:hint="eastAsia" w:ascii="宋体" w:hAnsi="宋体" w:cs="宋体"/>
          <w:color w:val="auto"/>
          <w:szCs w:val="21"/>
          <w:highlight w:val="none"/>
        </w:rPr>
        <w:t>确定。</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综合单价包含的风险范围：</w:t>
      </w:r>
      <w:r>
        <w:rPr>
          <w:rFonts w:hint="eastAsia" w:ascii="宋体" w:hAnsi="宋体" w:cs="宋体"/>
          <w:color w:val="auto"/>
          <w:szCs w:val="21"/>
          <w:highlight w:val="none"/>
          <w:u w:val="single"/>
        </w:rPr>
        <w:t>除工程变更、政策性调整、本合同约定的材料、设备价格变动风险以外因素。</w:t>
      </w:r>
    </w:p>
    <w:p>
      <w:pPr>
        <w:pStyle w:val="30"/>
        <w:spacing w:line="360" w:lineRule="auto"/>
        <w:ind w:firstLine="441" w:firstLineChars="210"/>
        <w:rPr>
          <w:rFonts w:hAnsi="宋体" w:cs="宋体"/>
          <w:color w:val="auto"/>
          <w:szCs w:val="21"/>
          <w:highlight w:val="none"/>
        </w:rPr>
      </w:pPr>
      <w:r>
        <w:rPr>
          <w:rFonts w:hint="eastAsia" w:hAnsi="宋体" w:cs="宋体"/>
          <w:color w:val="auto"/>
          <w:szCs w:val="21"/>
          <w:highlight w:val="none"/>
        </w:rPr>
        <w:t>风险范围以外合同价格的调整方法：</w:t>
      </w:r>
    </w:p>
    <w:p>
      <w:pPr>
        <w:pStyle w:val="30"/>
        <w:spacing w:line="360" w:lineRule="auto"/>
        <w:ind w:firstLine="441" w:firstLineChars="210"/>
        <w:rPr>
          <w:rFonts w:hAnsi="宋体" w:cs="宋体"/>
          <w:color w:val="auto"/>
          <w:szCs w:val="21"/>
          <w:highlight w:val="none"/>
        </w:rPr>
      </w:pPr>
      <w:r>
        <w:rPr>
          <w:rFonts w:hint="eastAsia" w:hAnsi="宋体" w:cs="宋体"/>
          <w:color w:val="auto"/>
          <w:szCs w:val="21"/>
          <w:highlight w:val="none"/>
        </w:rPr>
        <w:t>①工程变更：按10.4.1变更估价原则的约定调整。</w:t>
      </w:r>
    </w:p>
    <w:p>
      <w:pPr>
        <w:pStyle w:val="30"/>
        <w:spacing w:line="360" w:lineRule="auto"/>
        <w:ind w:firstLine="441" w:firstLineChars="210"/>
        <w:rPr>
          <w:rFonts w:hAnsi="宋体" w:cs="宋体"/>
          <w:color w:val="auto"/>
          <w:szCs w:val="21"/>
          <w:highlight w:val="none"/>
        </w:rPr>
      </w:pPr>
      <w:r>
        <w:rPr>
          <w:rFonts w:hint="eastAsia" w:hAnsi="宋体" w:cs="宋体"/>
          <w:color w:val="auto"/>
          <w:szCs w:val="21"/>
          <w:highlight w:val="none"/>
        </w:rPr>
        <w:t>②政策性调整：按自治区建设行政主管部门颁布的文件执行。</w:t>
      </w:r>
    </w:p>
    <w:p>
      <w:pPr>
        <w:pStyle w:val="30"/>
        <w:spacing w:line="360" w:lineRule="auto"/>
        <w:ind w:firstLine="441" w:firstLineChars="210"/>
        <w:rPr>
          <w:rFonts w:hAnsi="宋体" w:cs="宋体"/>
          <w:color w:val="auto"/>
          <w:szCs w:val="21"/>
          <w:highlight w:val="none"/>
        </w:rPr>
      </w:pPr>
      <w:r>
        <w:rPr>
          <w:rFonts w:hint="eastAsia" w:hAnsi="宋体" w:cs="宋体"/>
          <w:color w:val="auto"/>
          <w:szCs w:val="21"/>
          <w:highlight w:val="none"/>
        </w:rPr>
        <w:t>③材料、设备价格变动风险：按11.1的约定调整。</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④其它：</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（2）总价合同。</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总价包含的风险范围：</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风险范围以外合同价格的调整方法：</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（3）其他价格方式：</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Style w:val="21"/>
        <w:spacing w:line="360" w:lineRule="auto"/>
        <w:ind w:firstLine="422" w:firstLineChars="200"/>
        <w:rPr>
          <w:rFonts w:ascii="宋体" w:cs="宋体"/>
          <w:color w:val="auto"/>
          <w:highlight w:val="none"/>
        </w:rPr>
      </w:pPr>
      <w:bookmarkStart w:id="3042" w:name="_Toc418518161"/>
      <w:bookmarkStart w:id="3043" w:name="_Toc7466"/>
      <w:bookmarkStart w:id="3044" w:name="_Toc418752293"/>
      <w:bookmarkStart w:id="3045" w:name="_Toc24347"/>
      <w:bookmarkStart w:id="3046" w:name="_Toc19863"/>
      <w:bookmarkStart w:id="3047" w:name="_Toc418751847"/>
      <w:bookmarkStart w:id="3048" w:name="_Toc403578985"/>
      <w:bookmarkStart w:id="3049" w:name="_Toc522201778"/>
      <w:bookmarkStart w:id="3050" w:name="_Toc497746832"/>
      <w:bookmarkStart w:id="3051" w:name="_Toc256000229"/>
      <w:bookmarkStart w:id="3052" w:name="_Toc23796"/>
      <w:bookmarkStart w:id="3053" w:name="_Toc2211"/>
      <w:bookmarkStart w:id="3054" w:name="_Toc418518397"/>
      <w:bookmarkStart w:id="3055" w:name="_Toc418061362"/>
      <w:bookmarkStart w:id="3056" w:name="_Toc497747229"/>
      <w:r>
        <w:rPr>
          <w:rFonts w:hint="eastAsia" w:ascii="宋体" w:cs="宋体"/>
          <w:color w:val="auto"/>
          <w:highlight w:val="none"/>
        </w:rPr>
        <w:t>12.2 预付款</w:t>
      </w:r>
      <w:bookmarkEnd w:id="3023"/>
      <w:bookmarkEnd w:id="3024"/>
      <w:bookmarkEnd w:id="3025"/>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p>
    <w:bookmarkEnd w:id="3026"/>
    <w:bookmarkEnd w:id="3027"/>
    <w:bookmarkEnd w:id="3028"/>
    <w:bookmarkEnd w:id="3029"/>
    <w:bookmarkEnd w:id="3030"/>
    <w:bookmarkEnd w:id="3031"/>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12.2.1 预付款的支付</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预付款支付比例或金额：</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预付款支付期限：</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预付款扣回的方式：</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12.2.2 预付款担保</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承包人提交预付款担保的期限：</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预付款担保的形式为：</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预付款担保格式见合同附件9。</w:t>
      </w:r>
    </w:p>
    <w:bookmarkEnd w:id="3032"/>
    <w:bookmarkEnd w:id="3033"/>
    <w:bookmarkEnd w:id="3034"/>
    <w:bookmarkEnd w:id="3035"/>
    <w:bookmarkEnd w:id="3036"/>
    <w:bookmarkEnd w:id="3037"/>
    <w:bookmarkEnd w:id="3038"/>
    <w:bookmarkEnd w:id="3039"/>
    <w:bookmarkEnd w:id="3040"/>
    <w:bookmarkEnd w:id="3041"/>
    <w:p>
      <w:pPr>
        <w:pStyle w:val="21"/>
        <w:spacing w:line="360" w:lineRule="auto"/>
        <w:ind w:firstLine="422" w:firstLineChars="200"/>
        <w:rPr>
          <w:rFonts w:ascii="宋体" w:cs="宋体"/>
          <w:color w:val="auto"/>
          <w:highlight w:val="none"/>
        </w:rPr>
      </w:pPr>
      <w:bookmarkStart w:id="3057" w:name="_Toc24239"/>
      <w:bookmarkStart w:id="3058" w:name="_Toc256000230"/>
      <w:bookmarkStart w:id="3059" w:name="_Toc22673"/>
      <w:bookmarkStart w:id="3060" w:name="_Toc373478398"/>
      <w:bookmarkStart w:id="3061" w:name="_Toc14017"/>
      <w:bookmarkStart w:id="3062" w:name="_Toc497747230"/>
      <w:bookmarkStart w:id="3063" w:name="_Toc389065316"/>
      <w:bookmarkStart w:id="3064" w:name="_Toc23986"/>
      <w:bookmarkStart w:id="3065" w:name="_Toc418518398"/>
      <w:bookmarkStart w:id="3066" w:name="_Toc18071"/>
      <w:bookmarkStart w:id="3067" w:name="_Toc418518162"/>
      <w:bookmarkStart w:id="3068" w:name="_Toc418752294"/>
      <w:bookmarkStart w:id="3069" w:name="_Toc418061363"/>
      <w:bookmarkStart w:id="3070" w:name="_Toc497746833"/>
      <w:bookmarkStart w:id="3071" w:name="_Toc418751848"/>
      <w:bookmarkStart w:id="3072" w:name="_Toc522201779"/>
      <w:bookmarkStart w:id="3073" w:name="_Toc373227751"/>
      <w:bookmarkStart w:id="3074" w:name="_Toc403578986"/>
      <w:r>
        <w:rPr>
          <w:rFonts w:hint="eastAsia" w:ascii="宋体" w:cs="宋体"/>
          <w:color w:val="auto"/>
          <w:highlight w:val="none"/>
        </w:rPr>
        <w:t>12.3 计量</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pPr>
        <w:pStyle w:val="23"/>
        <w:spacing w:line="360" w:lineRule="auto"/>
        <w:ind w:firstLine="420" w:firstLineChars="200"/>
        <w:jc w:val="left"/>
        <w:rPr>
          <w:rFonts w:ascii="宋体" w:hAnsi="宋体" w:cs="宋体"/>
          <w:color w:val="auto"/>
          <w:szCs w:val="21"/>
          <w:highlight w:val="none"/>
        </w:rPr>
      </w:pPr>
      <w:bookmarkStart w:id="3075" w:name="_Toc418061364"/>
      <w:bookmarkStart w:id="3076" w:name="_Toc497746834"/>
      <w:bookmarkStart w:id="3077" w:name="_Toc418752295"/>
      <w:bookmarkStart w:id="3078" w:name="_Toc403578987"/>
      <w:bookmarkStart w:id="3079" w:name="_Toc497747231"/>
      <w:bookmarkStart w:id="3080" w:name="_Toc373227752"/>
      <w:bookmarkStart w:id="3081" w:name="_Toc389065317"/>
      <w:bookmarkStart w:id="3082" w:name="_Toc418518399"/>
      <w:bookmarkStart w:id="3083" w:name="_Toc418518163"/>
      <w:bookmarkStart w:id="3084" w:name="_Toc373478399"/>
      <w:bookmarkStart w:id="3085" w:name="_Toc418751849"/>
      <w:r>
        <w:rPr>
          <w:rFonts w:hint="eastAsia" w:ascii="宋体" w:hAnsi="宋体" w:cs="宋体"/>
          <w:color w:val="auto"/>
          <w:szCs w:val="21"/>
          <w:highlight w:val="none"/>
        </w:rPr>
        <w:t xml:space="preserve">12.3.1 计量原则 </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工程量计算规则：</w:t>
      </w:r>
      <w:r>
        <w:rPr>
          <w:rFonts w:hint="eastAsia" w:ascii="宋体" w:hAnsi="宋体" w:cs="宋体"/>
          <w:color w:val="auto"/>
          <w:szCs w:val="21"/>
          <w:highlight w:val="none"/>
          <w:u w:val="single"/>
        </w:rPr>
        <w:t>工程的计量均以《建设工程工程量清单计价规范》 （GB50500－2013）和及其广西壮族自治区实施细则、 《建设工程工程量清单计算规范》 （GB50854～50862－2013）及其广西实施细则（修订本）、本工程补充项目清单为准。</w:t>
      </w:r>
      <w:r>
        <w:rPr>
          <w:rFonts w:hint="eastAsia" w:ascii="宋体" w:hAnsi="宋体" w:cs="宋体"/>
          <w:color w:val="auto"/>
          <w:szCs w:val="21"/>
          <w:highlight w:val="none"/>
        </w:rPr>
        <w:t xml:space="preserve"> </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 xml:space="preserve">12.3.2 计量周期 </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关于计量周期的约定：</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承包人每月25日前向监理人报送上月20日至本月19日完成的工程量报告，并附具进度款申请单、已完成工程量报表和有关资料</w:t>
      </w:r>
      <w:r>
        <w:rPr>
          <w:rFonts w:hint="eastAsia" w:ascii="宋体" w:hAnsi="宋体" w:cs="宋体"/>
          <w:color w:val="auto"/>
          <w:szCs w:val="21"/>
          <w:highlight w:val="none"/>
          <w:u w:val="single"/>
        </w:rPr>
        <w:t>。</w:t>
      </w:r>
      <w:r>
        <w:rPr>
          <w:rFonts w:hint="eastAsia" w:ascii="宋体" w:hAnsi="宋体" w:cs="宋体"/>
          <w:color w:val="auto"/>
          <w:szCs w:val="21"/>
          <w:highlight w:val="none"/>
        </w:rPr>
        <w:t xml:space="preserve"> </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12.3.3 单价合同的计量 </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关于单价合同计量的约定：</w:t>
      </w:r>
      <w:r>
        <w:rPr>
          <w:rFonts w:hint="eastAsia" w:ascii="宋体" w:hAnsi="宋体" w:cs="宋体"/>
          <w:color w:val="auto"/>
          <w:szCs w:val="21"/>
          <w:highlight w:val="none"/>
          <w:u w:val="single"/>
        </w:rPr>
        <w:t xml:space="preserve"> (1) </w:t>
      </w:r>
      <w:r>
        <w:rPr>
          <w:rFonts w:ascii="宋体" w:hAnsi="宋体" w:cs="宋体"/>
          <w:color w:val="auto"/>
          <w:szCs w:val="21"/>
          <w:highlight w:val="none"/>
          <w:u w:val="single"/>
        </w:rPr>
        <w:t>工程量清单所列的工程量，不能作为承包人按合同履行其责任依据，实际施工中发生的工程量增加或减少并不影响承包人履行合同的责任，工程结算以完成的实际工程量为准</w:t>
      </w:r>
      <w:r>
        <w:rPr>
          <w:rFonts w:hint="eastAsia" w:ascii="宋体" w:hAnsi="宋体" w:cs="宋体"/>
          <w:color w:val="auto"/>
          <w:szCs w:val="21"/>
          <w:highlight w:val="none"/>
          <w:u w:val="single"/>
        </w:rPr>
        <w:t xml:space="preserve">。(2) </w:t>
      </w:r>
      <w:r>
        <w:rPr>
          <w:rFonts w:ascii="宋体" w:hAnsi="宋体" w:cs="宋体"/>
          <w:color w:val="auto"/>
          <w:szCs w:val="21"/>
          <w:highlight w:val="none"/>
          <w:u w:val="single"/>
        </w:rPr>
        <w:t>除另有规定外，工程师应按照合同通过计量来核实确定已完成的工程量和价款，承包人应得到该价款扣除保留金后的金额。当工程师要对已完工的工程量进行计量时，应适时地通知承包人参加</w:t>
      </w:r>
      <w:r>
        <w:rPr>
          <w:rFonts w:hint="eastAsia" w:ascii="宋体" w:hAnsi="宋体" w:cs="宋体"/>
          <w:color w:val="auto"/>
          <w:szCs w:val="21"/>
          <w:highlight w:val="none"/>
        </w:rPr>
        <w:t xml:space="preserve">。 </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12.3.4 总价合同的计量 </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关于总价合同计量的约定：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12.3.5 总价合同采用支付分解表计量支付的，是否适用第 12.3.4 项〔总价合同的计量〕约定进行计量：</w:t>
      </w:r>
      <w:r>
        <w:rPr>
          <w:rFonts w:hint="eastAsia" w:ascii="宋体" w:hAnsi="宋体" w:cs="宋体"/>
          <w:color w:val="auto"/>
          <w:szCs w:val="21"/>
          <w:highlight w:val="none"/>
          <w:u w:val="single"/>
        </w:rPr>
        <w:t xml:space="preserve">无 </w:t>
      </w:r>
      <w:r>
        <w:rPr>
          <w:rFonts w:hint="eastAsia" w:ascii="宋体" w:hAnsi="宋体" w:cs="宋体"/>
          <w:color w:val="auto"/>
          <w:szCs w:val="21"/>
          <w:highlight w:val="none"/>
        </w:rPr>
        <w:t xml:space="preserve">。 </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12.3.6 其他价格形式合同的计量 </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其他价格形式的计量方式和程序：</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 xml:space="preserve">。 </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12.4 工程进度款支付</w:t>
      </w:r>
      <w:bookmarkEnd w:id="3075"/>
      <w:bookmarkEnd w:id="3076"/>
      <w:bookmarkEnd w:id="3077"/>
      <w:bookmarkEnd w:id="3078"/>
      <w:bookmarkEnd w:id="3079"/>
      <w:bookmarkEnd w:id="3080"/>
      <w:bookmarkEnd w:id="3081"/>
      <w:bookmarkEnd w:id="3082"/>
      <w:bookmarkEnd w:id="3083"/>
      <w:bookmarkEnd w:id="3084"/>
      <w:bookmarkEnd w:id="3085"/>
    </w:p>
    <w:p>
      <w:pPr>
        <w:pStyle w:val="23"/>
        <w:spacing w:line="360" w:lineRule="auto"/>
        <w:ind w:firstLine="420" w:firstLineChars="200"/>
        <w:jc w:val="left"/>
        <w:rPr>
          <w:rFonts w:ascii="宋体" w:hAnsi="宋体" w:cs="宋体"/>
          <w:color w:val="auto"/>
          <w:szCs w:val="21"/>
          <w:highlight w:val="none"/>
        </w:rPr>
      </w:pPr>
      <w:bookmarkStart w:id="3086" w:name="_Toc296891251"/>
      <w:bookmarkStart w:id="3087" w:name="_Toc303539163"/>
      <w:bookmarkStart w:id="3088" w:name="_Toc297120511"/>
      <w:bookmarkStart w:id="3089" w:name="_Toc296944550"/>
      <w:bookmarkStart w:id="3090" w:name="_Toc296891039"/>
      <w:bookmarkStart w:id="3091" w:name="_Toc296503211"/>
      <w:bookmarkStart w:id="3092" w:name="_Toc297216215"/>
      <w:bookmarkStart w:id="3093" w:name="_Toc297048397"/>
      <w:bookmarkStart w:id="3094" w:name="_Toc296346712"/>
      <w:bookmarkStart w:id="3095" w:name="_Toc296347210"/>
      <w:bookmarkStart w:id="3096" w:name="_Toc292559921"/>
      <w:bookmarkStart w:id="3097" w:name="_Toc297123556"/>
      <w:bookmarkStart w:id="3098" w:name="_Toc292559416"/>
      <w:bookmarkStart w:id="3099" w:name="_Toc300935006"/>
      <w:r>
        <w:rPr>
          <w:rFonts w:hint="eastAsia" w:ascii="宋体" w:hAnsi="宋体" w:cs="宋体"/>
          <w:color w:val="auto"/>
          <w:szCs w:val="21"/>
          <w:highlight w:val="none"/>
        </w:rPr>
        <w:t>12.4.1 付款周期</w:t>
      </w:r>
    </w:p>
    <w:p>
      <w:pPr>
        <w:pStyle w:val="23"/>
        <w:spacing w:line="360" w:lineRule="auto"/>
        <w:ind w:firstLine="420" w:firstLineChars="200"/>
        <w:jc w:val="left"/>
        <w:rPr>
          <w:rFonts w:ascii="宋体" w:hAnsi="宋体" w:cs="宋体"/>
          <w:bCs/>
          <w:color w:val="auto"/>
          <w:szCs w:val="21"/>
          <w:highlight w:val="none"/>
        </w:rPr>
      </w:pPr>
      <w:r>
        <w:rPr>
          <w:rFonts w:hint="eastAsia" w:ascii="宋体" w:hAnsi="宋体" w:cs="宋体"/>
          <w:color w:val="auto"/>
          <w:szCs w:val="21"/>
          <w:highlight w:val="none"/>
        </w:rPr>
        <w:t>关于付款周期的约定：</w:t>
      </w:r>
      <w:r>
        <w:rPr>
          <w:rFonts w:hint="eastAsia" w:ascii="宋体" w:hAnsi="宋体" w:cs="宋体"/>
          <w:bCs/>
          <w:color w:val="auto"/>
          <w:szCs w:val="21"/>
          <w:highlight w:val="none"/>
          <w:u w:val="single"/>
        </w:rPr>
        <w:t>工程款按月支付，合同内进度款支付额为已完成工程量的 60%，工程变更部分进度款支付额为已完成工程量的60%；工程竣工验收达到质量要求，合同内进度款支付至实际完成工程量（经监理审核、发包人同意的）的 80%，合同外进度款支付至实际完成工程量（经监理审核、发包人同意的）的 60%。结算经桂林市财政局审定后，工程款支付至结算总价的 97%（承包人同时开具含质保金在内的符合相关法律规定的正规发票）；发包人按工程价款结算总额的3%预留工程质量保证金，待工程缺陷责任期满后，双方确认无质量返修问题后返还（无息）。</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u w:val="single"/>
        </w:rPr>
        <w:t>每次付款前，承包人应按发包人的要求提供符合相关法律法规的增值税发票，如发票不符合要求，发包人有权拒收，承包人应承担因不合格发票产生的所有责任。</w:t>
      </w:r>
    </w:p>
    <w:p>
      <w:pPr>
        <w:spacing w:line="360" w:lineRule="auto"/>
        <w:ind w:firstLine="420" w:firstLineChars="200"/>
        <w:rPr>
          <w:rFonts w:ascii="宋体" w:hAnsi="宋体"/>
          <w:color w:val="auto"/>
          <w:highlight w:val="none"/>
          <w:u w:val="single"/>
        </w:rPr>
      </w:pPr>
      <w:r>
        <w:rPr>
          <w:rFonts w:hint="eastAsia" w:ascii="宋体" w:hAnsi="宋体"/>
          <w:color w:val="auto"/>
          <w:highlight w:val="none"/>
          <w:u w:val="single"/>
        </w:rPr>
        <w:t>根据自治区办公厅 《关于全面治理拖欠农民工工资问题的实施意见》(桂政办发[2016]113号)、《关于印发广西壮族自治区工程建设领域工人工资支付专用账户管理办法的通知》(桂薪联发[2016]1号)、《桂林市财政局关于落实政府投资工程项目工程款与农民工工资分帐拨款的通知》市财建【2018】73号等文件规定，在全区工程建设领域，实行人工费用和其他工程款分账管理。</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12.4.2 进度付款申请单的编制</w:t>
      </w:r>
    </w:p>
    <w:p>
      <w:pPr>
        <w:pStyle w:val="23"/>
        <w:spacing w:line="360" w:lineRule="auto"/>
        <w:ind w:firstLine="420" w:firstLineChars="200"/>
        <w:jc w:val="left"/>
        <w:rPr>
          <w:rFonts w:ascii="宋体" w:hAnsi="宋体" w:cs="宋体"/>
          <w:bCs/>
          <w:color w:val="auto"/>
          <w:szCs w:val="21"/>
          <w:highlight w:val="none"/>
          <w:u w:val="single"/>
        </w:rPr>
      </w:pPr>
      <w:r>
        <w:rPr>
          <w:rFonts w:hint="eastAsia" w:ascii="宋体" w:hAnsi="宋体" w:cs="宋体"/>
          <w:color w:val="auto"/>
          <w:szCs w:val="21"/>
          <w:highlight w:val="none"/>
        </w:rPr>
        <w:t>关于进度付款申请单编制的约定：</w:t>
      </w:r>
      <w:r>
        <w:rPr>
          <w:rFonts w:hint="eastAsia" w:ascii="宋体" w:hAnsi="宋体" w:cs="宋体"/>
          <w:bCs/>
          <w:color w:val="auto"/>
          <w:szCs w:val="21"/>
          <w:highlight w:val="none"/>
          <w:u w:val="single"/>
        </w:rPr>
        <w:t>承包人应在每个计量周期到期后的7天内向发包人提交已完工程进度款支付申请一式四份，详细说明此周期自己认为有权得到的款额，包括分包人已完工程的价款，内容包括已完工程预算书、工程量计算式及劳务队组提供的民工工资支付证明。</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r>
        <w:rPr>
          <w:rFonts w:hint="eastAsia" w:ascii="宋体" w:hAnsi="宋体" w:cs="宋体"/>
          <w:color w:val="auto"/>
          <w:szCs w:val="21"/>
          <w:highlight w:val="none"/>
        </w:rPr>
        <w:t>2.4.3 进度付款申请单的提交</w:t>
      </w:r>
    </w:p>
    <w:p>
      <w:pPr>
        <w:pStyle w:val="23"/>
        <w:spacing w:line="360" w:lineRule="auto"/>
        <w:ind w:firstLine="420" w:firstLineChars="200"/>
        <w:jc w:val="left"/>
        <w:rPr>
          <w:rFonts w:ascii="宋体" w:hAnsi="宋体" w:cs="宋体"/>
          <w:bCs/>
          <w:color w:val="auto"/>
          <w:szCs w:val="21"/>
          <w:highlight w:val="none"/>
          <w:u w:val="single"/>
        </w:rPr>
      </w:pPr>
      <w:r>
        <w:rPr>
          <w:rFonts w:hint="eastAsia" w:ascii="宋体" w:hAnsi="宋体" w:cs="宋体"/>
          <w:color w:val="auto"/>
          <w:szCs w:val="21"/>
          <w:highlight w:val="none"/>
        </w:rPr>
        <w:t>（1）单价合同进度付款申请单提交的约定：</w:t>
      </w:r>
      <w:r>
        <w:rPr>
          <w:rFonts w:hint="eastAsia" w:ascii="宋体" w:hAnsi="宋体" w:cs="宋体"/>
          <w:bCs/>
          <w:color w:val="auto"/>
          <w:szCs w:val="21"/>
          <w:highlight w:val="none"/>
          <w:u w:val="single"/>
        </w:rPr>
        <w:t>承包人应在每个计量周期到期后的3天内向发包人提交支付申请一式三份，承包人当月完成的产值不足合同价的1％时，不支付进度款，累计至下月一并支付。承包人应随投标文件提交不拖欠民工工资的承诺函和措施。具体支付手续按财政性资金支付程序有关规定办理。</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（2）总价合同进度付款申请单提交的约定：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（3）其他价格形式合同进度付款申请单提交的约定：</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12.4.4 进度款审核和支付</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（1）监理人审查并报送发包人的期限：</w:t>
      </w:r>
      <w:r>
        <w:rPr>
          <w:rFonts w:hint="eastAsia" w:ascii="宋体" w:hAnsi="宋体" w:cs="宋体"/>
          <w:color w:val="auto"/>
          <w:szCs w:val="21"/>
          <w:highlight w:val="none"/>
          <w:u w:val="single"/>
        </w:rPr>
        <w:t>监理人收到承包人进度付款申请单以及相关资料后 7 天内完成审查并报送发包人</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发包人完成审批并签发进度款支付证书的期限：</w:t>
      </w:r>
      <w:r>
        <w:rPr>
          <w:rFonts w:hint="eastAsia" w:ascii="宋体" w:hAnsi="宋体" w:cs="宋体"/>
          <w:color w:val="auto"/>
          <w:szCs w:val="21"/>
          <w:highlight w:val="none"/>
          <w:u w:val="single"/>
        </w:rPr>
        <w:t>收到后 7 天内完成审批并签发</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（2）发包人支付进度款的期限：</w:t>
      </w:r>
      <w:r>
        <w:rPr>
          <w:rFonts w:hint="eastAsia" w:ascii="宋体" w:hAnsi="宋体" w:cs="宋体"/>
          <w:color w:val="auto"/>
          <w:szCs w:val="21"/>
          <w:highlight w:val="none"/>
          <w:u w:val="single"/>
        </w:rPr>
        <w:t xml:space="preserve">办理相关付款手续后的7天内 </w:t>
      </w:r>
      <w:r>
        <w:rPr>
          <w:rFonts w:hint="eastAsia" w:ascii="宋体" w:hAnsi="宋体" w:cs="宋体"/>
          <w:color w:val="auto"/>
          <w:szCs w:val="21"/>
          <w:highlight w:val="none"/>
        </w:rPr>
        <w:t>。</w:t>
      </w:r>
    </w:p>
    <w:p>
      <w:pPr>
        <w:pStyle w:val="23"/>
        <w:spacing w:line="360" w:lineRule="auto"/>
        <w:ind w:firstLine="525" w:firstLineChars="250"/>
        <w:jc w:val="left"/>
        <w:rPr>
          <w:rFonts w:ascii="宋体" w:hAnsi="宋体" w:cs="宋体"/>
          <w:color w:val="auto"/>
          <w:szCs w:val="21"/>
          <w:highlight w:val="none"/>
        </w:rPr>
      </w:pPr>
      <w:r>
        <w:rPr>
          <w:rFonts w:hint="eastAsia" w:ascii="宋体" w:hAnsi="宋体" w:cs="宋体"/>
          <w:color w:val="auto"/>
          <w:szCs w:val="21"/>
          <w:highlight w:val="none"/>
        </w:rPr>
        <w:t>发包人逾期支付进度款的违约金的计算方式：</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pStyle w:val="23"/>
        <w:spacing w:line="360" w:lineRule="auto"/>
        <w:ind w:firstLine="525" w:firstLineChars="250"/>
        <w:jc w:val="left"/>
        <w:rPr>
          <w:rFonts w:ascii="宋体" w:hAnsi="宋体" w:cs="宋体"/>
          <w:color w:val="auto"/>
          <w:szCs w:val="21"/>
          <w:highlight w:val="none"/>
        </w:rPr>
      </w:pPr>
      <w:r>
        <w:rPr>
          <w:rFonts w:hint="eastAsia" w:ascii="宋体" w:hAnsi="宋体" w:cs="宋体"/>
          <w:color w:val="auto"/>
          <w:szCs w:val="21"/>
          <w:highlight w:val="none"/>
        </w:rPr>
        <w:t>进度款支付方式：</w:t>
      </w:r>
      <w:r>
        <w:rPr>
          <w:rFonts w:hint="eastAsia" w:ascii="宋体" w:hAnsi="宋体" w:cs="宋体"/>
          <w:color w:val="auto"/>
          <w:szCs w:val="21"/>
          <w:highlight w:val="none"/>
          <w:u w:val="single"/>
        </w:rPr>
        <w:t>银行转账</w:t>
      </w:r>
      <w:r>
        <w:rPr>
          <w:rFonts w:hint="eastAsia" w:ascii="宋体" w:hAnsi="宋体" w:cs="宋体"/>
          <w:color w:val="auto"/>
          <w:szCs w:val="21"/>
          <w:highlight w:val="none"/>
        </w:rPr>
        <w:t>。</w:t>
      </w:r>
    </w:p>
    <w:p>
      <w:pPr>
        <w:pStyle w:val="23"/>
        <w:spacing w:line="360" w:lineRule="auto"/>
        <w:ind w:firstLine="525" w:firstLineChars="250"/>
        <w:jc w:val="left"/>
        <w:rPr>
          <w:rFonts w:ascii="宋体" w:hAnsi="宋体" w:cs="宋体"/>
          <w:color w:val="auto"/>
          <w:szCs w:val="21"/>
          <w:highlight w:val="none"/>
        </w:rPr>
      </w:pPr>
      <w:r>
        <w:rPr>
          <w:rFonts w:hint="eastAsia" w:ascii="宋体" w:hAnsi="宋体" w:cs="宋体"/>
          <w:color w:val="auto"/>
          <w:szCs w:val="21"/>
          <w:highlight w:val="none"/>
        </w:rPr>
        <w:t>12.4.6 支付分解表的编制</w:t>
      </w:r>
    </w:p>
    <w:p>
      <w:pPr>
        <w:pStyle w:val="23"/>
        <w:spacing w:line="360" w:lineRule="auto"/>
        <w:ind w:firstLine="525" w:firstLineChars="250"/>
        <w:jc w:val="left"/>
        <w:rPr>
          <w:rFonts w:ascii="宋体" w:hAnsi="宋体" w:cs="宋体"/>
          <w:color w:val="auto"/>
          <w:szCs w:val="21"/>
          <w:highlight w:val="none"/>
          <w:u w:val="single"/>
        </w:rPr>
      </w:pPr>
      <w:r>
        <w:rPr>
          <w:rFonts w:hint="eastAsia" w:ascii="宋体" w:hAnsi="宋体" w:cs="宋体"/>
          <w:color w:val="auto"/>
          <w:szCs w:val="21"/>
          <w:highlight w:val="none"/>
        </w:rPr>
        <w:t>2. 总价合同支付分解表的编制与审批：</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p>
      <w:pPr>
        <w:pStyle w:val="23"/>
        <w:spacing w:line="360" w:lineRule="auto"/>
        <w:ind w:firstLine="525" w:firstLineChars="250"/>
        <w:jc w:val="left"/>
        <w:rPr>
          <w:rFonts w:ascii="宋体" w:hAnsi="宋体" w:cs="宋体"/>
          <w:color w:val="auto"/>
          <w:szCs w:val="21"/>
          <w:highlight w:val="none"/>
          <w:u w:val="single"/>
        </w:rPr>
      </w:pPr>
      <w:r>
        <w:rPr>
          <w:rFonts w:hint="eastAsia" w:ascii="宋体" w:hAnsi="宋体" w:cs="宋体"/>
          <w:color w:val="auto"/>
          <w:szCs w:val="21"/>
          <w:highlight w:val="none"/>
        </w:rPr>
        <w:t>3. 单价合同的总价项目支付分解表的编制与审批：</w:t>
      </w:r>
      <w:r>
        <w:rPr>
          <w:rFonts w:hint="eastAsia" w:ascii="宋体" w:hAnsi="宋体" w:cs="宋体"/>
          <w:color w:val="auto"/>
          <w:szCs w:val="21"/>
          <w:highlight w:val="none"/>
          <w:u w:val="single"/>
        </w:rPr>
        <w:t>单价项目不采用支付分解表的方式计算，而按《建设工程工程量清单计价规范（GB50500-2013）广西壮族自治区实施细则（修订本）》的规定执行。</w:t>
      </w:r>
    </w:p>
    <w:bookmarkEnd w:id="2710"/>
    <w:p>
      <w:pPr>
        <w:pStyle w:val="21"/>
        <w:spacing w:line="360" w:lineRule="auto"/>
        <w:rPr>
          <w:rFonts w:ascii="宋体" w:cs="宋体"/>
          <w:color w:val="auto"/>
          <w:highlight w:val="none"/>
        </w:rPr>
      </w:pPr>
      <w:bookmarkStart w:id="3100" w:name="_Toc351203645"/>
      <w:bookmarkStart w:id="3101" w:name="_Toc373478400"/>
      <w:bookmarkStart w:id="3102" w:name="_Toc418061365"/>
      <w:bookmarkStart w:id="3103" w:name="_Toc256000231"/>
      <w:bookmarkStart w:id="3104" w:name="_Toc418751850"/>
      <w:bookmarkStart w:id="3105" w:name="_Toc522201780"/>
      <w:bookmarkStart w:id="3106" w:name="_Toc14653"/>
      <w:bookmarkStart w:id="3107" w:name="_Toc497746835"/>
      <w:bookmarkStart w:id="3108" w:name="_Toc389065318"/>
      <w:bookmarkStart w:id="3109" w:name="_Toc497747232"/>
      <w:bookmarkStart w:id="3110" w:name="_Toc10474"/>
      <w:bookmarkStart w:id="3111" w:name="_Toc3261"/>
      <w:bookmarkStart w:id="3112" w:name="_Toc418518164"/>
      <w:bookmarkStart w:id="3113" w:name="_Toc403578988"/>
      <w:bookmarkStart w:id="3114" w:name="_Toc9715"/>
      <w:bookmarkStart w:id="3115" w:name="_Toc418518400"/>
      <w:bookmarkStart w:id="3116" w:name="_Toc373227753"/>
      <w:bookmarkStart w:id="3117" w:name="_Toc418752296"/>
      <w:bookmarkStart w:id="3118" w:name="_Toc25581"/>
      <w:bookmarkStart w:id="3119" w:name="_Toc292559929"/>
      <w:bookmarkStart w:id="3120" w:name="_Toc297048405"/>
      <w:bookmarkStart w:id="3121" w:name="_Toc296891259"/>
      <w:bookmarkStart w:id="3122" w:name="_Toc303539172"/>
      <w:bookmarkStart w:id="3123" w:name="_Toc300935015"/>
      <w:bookmarkStart w:id="3124" w:name="_Toc292559424"/>
      <w:bookmarkStart w:id="3125" w:name="_Toc297216223"/>
      <w:bookmarkStart w:id="3126" w:name="_Toc297120519"/>
      <w:bookmarkStart w:id="3127" w:name="_Toc297123564"/>
      <w:bookmarkStart w:id="3128" w:name="_Toc304295593"/>
      <w:bookmarkStart w:id="3129" w:name="_Toc296347218"/>
      <w:bookmarkStart w:id="3130" w:name="_Toc296891047"/>
      <w:bookmarkStart w:id="3131" w:name="_Toc312678053"/>
      <w:bookmarkStart w:id="3132" w:name="_Toc296944558"/>
      <w:bookmarkStart w:id="3133" w:name="_Toc296503219"/>
      <w:bookmarkStart w:id="3134" w:name="_Toc296346720"/>
      <w:r>
        <w:rPr>
          <w:rFonts w:hint="eastAsia" w:ascii="宋体" w:cs="宋体"/>
          <w:color w:val="auto"/>
          <w:highlight w:val="none"/>
        </w:rPr>
        <w:t>13. 验收和工程试车</w:t>
      </w:r>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p>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p>
      <w:pPr>
        <w:pStyle w:val="21"/>
        <w:spacing w:line="360" w:lineRule="auto"/>
        <w:ind w:firstLine="422" w:firstLineChars="200"/>
        <w:rPr>
          <w:rFonts w:ascii="宋体" w:cs="宋体"/>
          <w:color w:val="auto"/>
          <w:highlight w:val="none"/>
        </w:rPr>
      </w:pPr>
      <w:bookmarkStart w:id="3135" w:name="_Toc256000232"/>
      <w:bookmarkStart w:id="3136" w:name="_Toc418518401"/>
      <w:bookmarkStart w:id="3137" w:name="_Toc418751851"/>
      <w:bookmarkStart w:id="3138" w:name="_Toc30802"/>
      <w:bookmarkStart w:id="3139" w:name="_Toc27400"/>
      <w:bookmarkStart w:id="3140" w:name="_Toc522201781"/>
      <w:bookmarkStart w:id="3141" w:name="_Toc418518165"/>
      <w:bookmarkStart w:id="3142" w:name="_Toc25968"/>
      <w:bookmarkStart w:id="3143" w:name="_Toc373478401"/>
      <w:bookmarkStart w:id="3144" w:name="_Toc9583"/>
      <w:bookmarkStart w:id="3145" w:name="_Toc403578989"/>
      <w:bookmarkStart w:id="3146" w:name="_Toc418752297"/>
      <w:bookmarkStart w:id="3147" w:name="_Toc25485"/>
      <w:bookmarkStart w:id="3148" w:name="_Toc497746836"/>
      <w:bookmarkStart w:id="3149" w:name="_Toc418061366"/>
      <w:bookmarkStart w:id="3150" w:name="_Toc389065319"/>
      <w:bookmarkStart w:id="3151" w:name="_Toc497747233"/>
      <w:bookmarkStart w:id="3152" w:name="_Toc373227754"/>
      <w:r>
        <w:rPr>
          <w:rFonts w:hint="eastAsia" w:ascii="宋体" w:cs="宋体"/>
          <w:color w:val="auto"/>
          <w:highlight w:val="none"/>
        </w:rPr>
        <w:t>13.1 分部分项工程验收</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13.1.2监理人不能按时进行验收时，应提前</w:t>
      </w:r>
      <w:r>
        <w:rPr>
          <w:rFonts w:hint="eastAsia" w:ascii="宋体" w:hAnsi="宋体" w:cs="宋体"/>
          <w:color w:val="auto"/>
          <w:szCs w:val="21"/>
          <w:highlight w:val="none"/>
          <w:u w:val="single"/>
        </w:rPr>
        <w:t xml:space="preserve"> 24 </w:t>
      </w:r>
      <w:r>
        <w:rPr>
          <w:rFonts w:hint="eastAsia" w:ascii="宋体" w:hAnsi="宋体" w:cs="宋体"/>
          <w:color w:val="auto"/>
          <w:szCs w:val="21"/>
          <w:highlight w:val="none"/>
        </w:rPr>
        <w:t>小时提交书面延期要求。</w:t>
      </w:r>
    </w:p>
    <w:p>
      <w:pPr>
        <w:pStyle w:val="23"/>
        <w:spacing w:line="360" w:lineRule="auto"/>
        <w:ind w:firstLine="420" w:firstLineChars="200"/>
        <w:jc w:val="left"/>
        <w:rPr>
          <w:rFonts w:ascii="宋体" w:hAnsi="宋体" w:cs="宋体"/>
          <w:b/>
          <w:color w:val="auto"/>
          <w:szCs w:val="21"/>
          <w:highlight w:val="none"/>
        </w:rPr>
      </w:pPr>
      <w:r>
        <w:rPr>
          <w:rFonts w:hint="eastAsia" w:ascii="宋体" w:hAnsi="宋体" w:cs="宋体"/>
          <w:color w:val="auto"/>
          <w:szCs w:val="21"/>
          <w:highlight w:val="none"/>
        </w:rPr>
        <w:t>关于延期最长不得超过：</w:t>
      </w:r>
      <w:r>
        <w:rPr>
          <w:rFonts w:hint="eastAsia" w:ascii="宋体" w:hAnsi="宋体" w:cs="宋体"/>
          <w:color w:val="auto"/>
          <w:szCs w:val="21"/>
          <w:highlight w:val="none"/>
          <w:u w:val="single"/>
        </w:rPr>
        <w:t xml:space="preserve"> 48 </w:t>
      </w:r>
      <w:r>
        <w:rPr>
          <w:rFonts w:hint="eastAsia" w:ascii="宋体" w:hAnsi="宋体" w:cs="宋体"/>
          <w:color w:val="auto"/>
          <w:szCs w:val="21"/>
          <w:highlight w:val="none"/>
        </w:rPr>
        <w:t>小时。</w:t>
      </w:r>
    </w:p>
    <w:p>
      <w:pPr>
        <w:pStyle w:val="21"/>
        <w:spacing w:line="360" w:lineRule="auto"/>
        <w:ind w:firstLine="422" w:firstLineChars="200"/>
        <w:rPr>
          <w:rFonts w:ascii="宋体" w:cs="宋体"/>
          <w:color w:val="auto"/>
          <w:highlight w:val="none"/>
        </w:rPr>
      </w:pPr>
      <w:bookmarkStart w:id="3153" w:name="_Toc27399"/>
      <w:bookmarkStart w:id="3154" w:name="_Toc418061367"/>
      <w:bookmarkStart w:id="3155" w:name="_Toc389065320"/>
      <w:bookmarkStart w:id="3156" w:name="_Toc522201782"/>
      <w:bookmarkStart w:id="3157" w:name="_Toc418751852"/>
      <w:bookmarkStart w:id="3158" w:name="_Toc418752298"/>
      <w:bookmarkStart w:id="3159" w:name="_Toc373227755"/>
      <w:bookmarkStart w:id="3160" w:name="_Toc497746837"/>
      <w:bookmarkStart w:id="3161" w:name="_Toc2597"/>
      <w:bookmarkStart w:id="3162" w:name="_Toc418518166"/>
      <w:bookmarkStart w:id="3163" w:name="_Toc11241"/>
      <w:bookmarkStart w:id="3164" w:name="_Toc403578990"/>
      <w:bookmarkStart w:id="3165" w:name="_Toc373478402"/>
      <w:bookmarkStart w:id="3166" w:name="_Toc418518402"/>
      <w:bookmarkStart w:id="3167" w:name="_Toc6220"/>
      <w:bookmarkStart w:id="3168" w:name="_Toc28816"/>
      <w:bookmarkStart w:id="3169" w:name="_Toc256000233"/>
      <w:bookmarkStart w:id="3170" w:name="_Toc497747234"/>
      <w:bookmarkStart w:id="3171" w:name="_Toc296503223"/>
      <w:bookmarkStart w:id="3172" w:name="_Toc292559933"/>
      <w:bookmarkStart w:id="3173" w:name="_Toc312678056"/>
      <w:bookmarkStart w:id="3174" w:name="_Toc296891051"/>
      <w:bookmarkStart w:id="3175" w:name="_Toc296346724"/>
      <w:bookmarkStart w:id="3176" w:name="_Toc297123565"/>
      <w:bookmarkStart w:id="3177" w:name="_Toc300935016"/>
      <w:bookmarkStart w:id="3178" w:name="_Toc297216224"/>
      <w:bookmarkStart w:id="3179" w:name="_Toc303539173"/>
      <w:bookmarkStart w:id="3180" w:name="_Toc297048409"/>
      <w:bookmarkStart w:id="3181" w:name="_Toc296891263"/>
      <w:bookmarkStart w:id="3182" w:name="_Toc292559428"/>
      <w:bookmarkStart w:id="3183" w:name="_Toc304295596"/>
      <w:bookmarkStart w:id="3184" w:name="_Toc297120523"/>
      <w:bookmarkStart w:id="3185" w:name="_Toc296347222"/>
      <w:bookmarkStart w:id="3186" w:name="_Toc296944562"/>
      <w:bookmarkStart w:id="3187" w:name="_Toc267251475"/>
      <w:bookmarkStart w:id="3188" w:name="_Toc267251476"/>
      <w:bookmarkStart w:id="3189" w:name="_Toc267251471"/>
      <w:bookmarkStart w:id="3190" w:name="_Toc267251470"/>
      <w:bookmarkStart w:id="3191" w:name="_Toc267251474"/>
      <w:bookmarkStart w:id="3192" w:name="_Toc267251472"/>
      <w:bookmarkStart w:id="3193" w:name="_Toc267251473"/>
      <w:r>
        <w:rPr>
          <w:rFonts w:hint="eastAsia" w:ascii="宋体" w:cs="宋体"/>
          <w:color w:val="auto"/>
          <w:highlight w:val="none"/>
        </w:rPr>
        <w:t>13.2 竣工验收</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p>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Pr>
        <w:pStyle w:val="23"/>
        <w:spacing w:line="360" w:lineRule="auto"/>
        <w:ind w:firstLine="420" w:firstLineChars="200"/>
        <w:jc w:val="left"/>
        <w:rPr>
          <w:rFonts w:ascii="宋体" w:hAnsi="宋体" w:cs="宋体"/>
          <w:color w:val="auto"/>
          <w:szCs w:val="21"/>
          <w:highlight w:val="none"/>
        </w:rPr>
      </w:pPr>
      <w:bookmarkStart w:id="3194" w:name="_Toc280868704"/>
      <w:bookmarkStart w:id="3195" w:name="_Toc280868705"/>
      <w:bookmarkStart w:id="3196" w:name="_Toc280868706"/>
      <w:bookmarkStart w:id="3197" w:name="_Toc280868707"/>
      <w:bookmarkStart w:id="3198" w:name="_Toc280868708"/>
      <w:bookmarkStart w:id="3199" w:name="_Toc280868709"/>
      <w:r>
        <w:rPr>
          <w:rFonts w:hint="eastAsia" w:ascii="宋体" w:hAnsi="宋体" w:cs="宋体"/>
          <w:color w:val="auto"/>
          <w:szCs w:val="21"/>
          <w:highlight w:val="none"/>
        </w:rPr>
        <w:t>13.2.1竣工验收条件</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（3）承包人负责整理和提交的竣工验收资料应当符合工程所在地建设行政主管部门和(或)城市建设档案管理机构有关施工资料的要求，具体内容包括：</w:t>
      </w:r>
      <w:r>
        <w:rPr>
          <w:rFonts w:hint="eastAsia" w:ascii="宋体" w:hAnsi="宋体" w:cs="宋体"/>
          <w:color w:val="auto"/>
          <w:szCs w:val="21"/>
          <w:highlight w:val="none"/>
          <w:u w:val="single"/>
        </w:rPr>
        <w:t xml:space="preserve">  1、工程具备竣工验收条件，承包人按工期竣工验收有关规定，向发包人提交符合桂林市城建档案馆归档要求内容装订成册的完整竣工资料及竣工验收报告、工程竣工图。2、承包人所提交的竣工资料必须符合《建设工程归档整理规范》要求，并在结算审批时出具《工程档案验收合格证明》及建设单位接收档案资料清单证明   </w:t>
      </w:r>
      <w:r>
        <w:rPr>
          <w:rFonts w:hint="eastAsia" w:ascii="宋体" w:hAnsi="宋体" w:cs="宋体"/>
          <w:color w:val="auto"/>
          <w:szCs w:val="21"/>
          <w:highlight w:val="none"/>
        </w:rPr>
        <w:t>。</w:t>
      </w:r>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竣工验收资料的份数：</w:t>
      </w:r>
      <w:r>
        <w:rPr>
          <w:rFonts w:hint="eastAsia" w:ascii="宋体" w:hAnsi="宋体" w:cs="宋体"/>
          <w:color w:val="auto"/>
          <w:szCs w:val="21"/>
          <w:highlight w:val="none"/>
          <w:u w:val="single"/>
        </w:rPr>
        <w:t>肆份，承包人承担竣工验收资料编制、立卷及至档案馆归档等一切费用</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bCs/>
          <w:color w:val="auto"/>
          <w:szCs w:val="21"/>
          <w:highlight w:val="none"/>
        </w:rPr>
        <w:t>承包人提供竣工图的约定：</w:t>
      </w:r>
      <w:r>
        <w:rPr>
          <w:rFonts w:hint="eastAsia" w:ascii="宋体" w:hAnsi="宋体" w:cs="宋体"/>
          <w:bCs/>
          <w:color w:val="auto"/>
          <w:szCs w:val="21"/>
          <w:highlight w:val="none"/>
          <w:u w:val="single"/>
        </w:rPr>
        <w:t>竣工验收正式通过后15天，提供4套竣工图。</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13.2.2竣工验收程序</w:t>
      </w:r>
    </w:p>
    <w:bookmarkEnd w:id="3194"/>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kern w:val="0"/>
          <w:szCs w:val="21"/>
          <w:highlight w:val="none"/>
        </w:rPr>
        <w:t>关于竣工验收程序的约定：</w:t>
      </w:r>
      <w:r>
        <w:rPr>
          <w:rFonts w:hint="eastAsia" w:ascii="宋体" w:hAnsi="宋体" w:cs="宋体"/>
          <w:color w:val="auto"/>
          <w:szCs w:val="21"/>
          <w:highlight w:val="none"/>
          <w:u w:val="single"/>
        </w:rPr>
        <w:t>由承包人提出申请，经监理工程师及承包人同意后，通知各质检及监督部门进行竣工验收。本工程竣工验收合格后，双方应在验收报告上签字认可，本工程实际竣工日期以建设、设计、勘察、监理、施工五家单位验收小组正式验收签字日期为准。工程保修按合同附件3《工程质量保修书》有关规定执行。</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kern w:val="0"/>
          <w:szCs w:val="21"/>
          <w:highlight w:val="none"/>
        </w:rPr>
        <w:t>发包人不按照本项约定组织竣工验收、颁发工程接收证书的违约金的计算方法：</w:t>
      </w:r>
      <w:r>
        <w:rPr>
          <w:rFonts w:hint="eastAsia" w:ascii="宋体" w:hAnsi="宋体" w:cs="宋体"/>
          <w:color w:val="auto"/>
          <w:szCs w:val="21"/>
          <w:highlight w:val="none"/>
          <w:u w:val="single"/>
        </w:rPr>
        <w:t xml:space="preserve"> 无  </w:t>
      </w:r>
      <w:r>
        <w:rPr>
          <w:rFonts w:hint="eastAsia" w:ascii="宋体" w:hAnsi="宋体" w:cs="宋体"/>
          <w:color w:val="auto"/>
          <w:szCs w:val="21"/>
          <w:highlight w:val="none"/>
        </w:rPr>
        <w:t>。</w:t>
      </w:r>
    </w:p>
    <w:bookmarkEnd w:id="3195"/>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13.2.5移交、接收全部与部分工程</w:t>
      </w:r>
    </w:p>
    <w:bookmarkEnd w:id="3196"/>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承包人向发包人移交工程的期限：</w:t>
      </w:r>
      <w:r>
        <w:rPr>
          <w:rFonts w:hint="eastAsia" w:ascii="宋体" w:hAnsi="宋体" w:cs="宋体"/>
          <w:color w:val="auto"/>
          <w:szCs w:val="21"/>
          <w:highlight w:val="none"/>
          <w:u w:val="single"/>
        </w:rPr>
        <w:t xml:space="preserve"> 竣工验收整改完毕三日内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kern w:val="0"/>
          <w:szCs w:val="21"/>
          <w:highlight w:val="none"/>
        </w:rPr>
        <w:t>发包人未按本合同约定接收全部或部分工程的，违约金的计算方法为：</w:t>
      </w:r>
      <w:r>
        <w:rPr>
          <w:rFonts w:hint="eastAsia" w:ascii="宋体" w:hAnsi="宋体" w:cs="宋体"/>
          <w:color w:val="auto"/>
          <w:szCs w:val="21"/>
          <w:highlight w:val="none"/>
          <w:u w:val="single"/>
        </w:rPr>
        <w:t xml:space="preserve">  </w:t>
      </w:r>
      <w:r>
        <w:rPr>
          <w:rFonts w:hint="eastAsia" w:ascii="宋体" w:hAnsi="宋体" w:cs="宋体"/>
          <w:bCs/>
          <w:color w:val="auto"/>
          <w:szCs w:val="21"/>
          <w:highlight w:val="none"/>
          <w:u w:val="single"/>
        </w:rPr>
        <w:t>每逾期一天，按</w:t>
      </w:r>
      <w:r>
        <w:rPr>
          <w:rFonts w:hint="eastAsia" w:ascii="宋体" w:hAnsi="宋体" w:cs="宋体"/>
          <w:color w:val="auto"/>
          <w:szCs w:val="21"/>
          <w:highlight w:val="none"/>
          <w:u w:val="single"/>
          <w:lang w:val="zh-CN"/>
        </w:rPr>
        <w:t>签约合同价</w:t>
      </w:r>
      <w:r>
        <w:rPr>
          <w:rFonts w:hint="eastAsia" w:ascii="宋体" w:hAnsi="宋体" w:cs="宋体"/>
          <w:color w:val="auto"/>
          <w:szCs w:val="21"/>
          <w:highlight w:val="none"/>
          <w:u w:val="single"/>
        </w:rPr>
        <w:t>款扣除社会保险费、发包人材料价款、暂估专业工程、暂列金额后的万分之四/天</w:t>
      </w:r>
      <w:r>
        <w:rPr>
          <w:rFonts w:hint="eastAsia" w:ascii="宋体" w:hAnsi="宋体" w:cs="宋体"/>
          <w:bCs/>
          <w:color w:val="auto"/>
          <w:szCs w:val="21"/>
          <w:highlight w:val="none"/>
          <w:u w:val="single"/>
        </w:rPr>
        <w:t xml:space="preserve">支付违约金，最高限额为结算价的3% </w:t>
      </w:r>
      <w:r>
        <w:rPr>
          <w:rFonts w:hint="eastAsia" w:ascii="宋体" w:hAnsi="宋体" w:cs="宋体"/>
          <w:color w:val="auto"/>
          <w:szCs w:val="21"/>
          <w:highlight w:val="none"/>
        </w:rPr>
        <w:t>。</w:t>
      </w:r>
    </w:p>
    <w:bookmarkEnd w:id="3197"/>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承包人未按时移交工程的，违约金的计算方法为：</w:t>
      </w:r>
      <w:r>
        <w:rPr>
          <w:rFonts w:hint="eastAsia" w:ascii="宋体" w:hAnsi="宋体" w:cs="宋体"/>
          <w:color w:val="auto"/>
          <w:szCs w:val="21"/>
          <w:highlight w:val="none"/>
          <w:u w:val="single"/>
        </w:rPr>
        <w:t xml:space="preserve">  </w:t>
      </w:r>
      <w:r>
        <w:rPr>
          <w:rFonts w:hint="eastAsia" w:ascii="宋体" w:hAnsi="宋体" w:cs="宋体"/>
          <w:bCs/>
          <w:color w:val="auto"/>
          <w:szCs w:val="21"/>
          <w:highlight w:val="none"/>
          <w:u w:val="single"/>
        </w:rPr>
        <w:t>每逾期一天</w:t>
      </w:r>
      <w:r>
        <w:rPr>
          <w:rFonts w:hint="eastAsia" w:ascii="宋体" w:hAnsi="宋体" w:cs="宋体"/>
          <w:color w:val="auto"/>
          <w:szCs w:val="21"/>
          <w:highlight w:val="none"/>
          <w:u w:val="single"/>
        </w:rPr>
        <w:t>，按</w:t>
      </w:r>
      <w:r>
        <w:rPr>
          <w:rFonts w:hint="eastAsia" w:ascii="宋体" w:hAnsi="宋体" w:cs="宋体"/>
          <w:color w:val="auto"/>
          <w:szCs w:val="21"/>
          <w:highlight w:val="none"/>
          <w:u w:val="single"/>
          <w:lang w:val="zh-CN"/>
        </w:rPr>
        <w:t>签约合同价</w:t>
      </w:r>
      <w:r>
        <w:rPr>
          <w:rFonts w:hint="eastAsia" w:ascii="宋体" w:hAnsi="宋体" w:cs="宋体"/>
          <w:color w:val="auto"/>
          <w:szCs w:val="21"/>
          <w:highlight w:val="none"/>
          <w:u w:val="single"/>
        </w:rPr>
        <w:t xml:space="preserve">款扣除社会保险费、发包人材料价款、暂估专业工程、暂列金额后的万分之四/天支付违约金，最高限额为结算价的3%  </w:t>
      </w:r>
      <w:r>
        <w:rPr>
          <w:rFonts w:hint="eastAsia" w:ascii="宋体" w:hAnsi="宋体" w:cs="宋体"/>
          <w:color w:val="auto"/>
          <w:szCs w:val="21"/>
          <w:highlight w:val="none"/>
        </w:rPr>
        <w:t>。</w:t>
      </w:r>
    </w:p>
    <w:p>
      <w:pPr>
        <w:pStyle w:val="21"/>
        <w:spacing w:line="360" w:lineRule="auto"/>
        <w:ind w:firstLine="422" w:firstLineChars="200"/>
        <w:rPr>
          <w:rFonts w:ascii="宋体" w:cs="宋体"/>
          <w:color w:val="auto"/>
          <w:highlight w:val="none"/>
        </w:rPr>
      </w:pPr>
      <w:bookmarkStart w:id="3200" w:name="_Toc22984"/>
      <w:bookmarkStart w:id="3201" w:name="_Toc497746838"/>
      <w:bookmarkStart w:id="3202" w:name="_Toc373478403"/>
      <w:bookmarkStart w:id="3203" w:name="_Toc22582"/>
      <w:bookmarkStart w:id="3204" w:name="_Toc403578991"/>
      <w:bookmarkStart w:id="3205" w:name="_Toc497747235"/>
      <w:bookmarkStart w:id="3206" w:name="_Toc418752299"/>
      <w:bookmarkStart w:id="3207" w:name="_Toc256000234"/>
      <w:bookmarkStart w:id="3208" w:name="_Toc418061368"/>
      <w:bookmarkStart w:id="3209" w:name="_Toc20565"/>
      <w:bookmarkStart w:id="3210" w:name="_Toc418518167"/>
      <w:bookmarkStart w:id="3211" w:name="_Toc389065321"/>
      <w:bookmarkStart w:id="3212" w:name="_Toc418751853"/>
      <w:bookmarkStart w:id="3213" w:name="_Toc5820"/>
      <w:bookmarkStart w:id="3214" w:name="_Toc418518403"/>
      <w:bookmarkStart w:id="3215" w:name="_Toc373227756"/>
      <w:bookmarkStart w:id="3216" w:name="_Toc522201783"/>
      <w:bookmarkStart w:id="3217" w:name="_Toc22869"/>
      <w:r>
        <w:rPr>
          <w:rFonts w:hint="eastAsia" w:ascii="宋体" w:cs="宋体"/>
          <w:color w:val="auto"/>
          <w:highlight w:val="none"/>
        </w:rPr>
        <w:t>13.3 工程试车</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p>
    <w:bookmarkEnd w:id="3198"/>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13.3.1 试车程序</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kern w:val="0"/>
          <w:szCs w:val="21"/>
          <w:highlight w:val="none"/>
        </w:rPr>
        <w:t>工程试车内容：</w:t>
      </w:r>
      <w:r>
        <w:rPr>
          <w:rFonts w:hint="eastAsia" w:ascii="宋体" w:hAnsi="宋体" w:cs="宋体"/>
          <w:color w:val="auto"/>
          <w:szCs w:val="21"/>
          <w:highlight w:val="none"/>
          <w:u w:val="single"/>
        </w:rPr>
        <w:t xml:space="preserve">  为达到本工程的验收标准，工程范围内的设施和承包人安装的设备应进行试运行调试，费用由承包人自行负责并已包括在投标报价中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（1）单机无负荷试车费用由</w:t>
      </w:r>
      <w:r>
        <w:rPr>
          <w:rFonts w:hint="eastAsia" w:ascii="宋体" w:hAnsi="宋体" w:cs="宋体"/>
          <w:color w:val="auto"/>
          <w:szCs w:val="21"/>
          <w:highlight w:val="none"/>
          <w:u w:val="single"/>
        </w:rPr>
        <w:t xml:space="preserve">  承包人组织试运行，费用由承包人</w:t>
      </w:r>
      <w:r>
        <w:rPr>
          <w:rFonts w:hint="eastAsia" w:ascii="宋体" w:hAnsi="宋体" w:cs="宋体"/>
          <w:color w:val="auto"/>
          <w:kern w:val="0"/>
          <w:szCs w:val="21"/>
          <w:highlight w:val="none"/>
        </w:rPr>
        <w:t>承担；</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（2）无负荷联动试车费用由</w:t>
      </w:r>
      <w:r>
        <w:rPr>
          <w:rFonts w:hint="eastAsia" w:ascii="宋体" w:hAnsi="宋体" w:cs="宋体"/>
          <w:color w:val="auto"/>
          <w:szCs w:val="21"/>
          <w:highlight w:val="none"/>
          <w:u w:val="single"/>
        </w:rPr>
        <w:t xml:space="preserve">  承包人组织试运行，费用由承包人</w:t>
      </w:r>
      <w:r>
        <w:rPr>
          <w:rFonts w:hint="eastAsia" w:ascii="宋体" w:hAnsi="宋体" w:cs="宋体"/>
          <w:color w:val="auto"/>
          <w:kern w:val="0"/>
          <w:szCs w:val="21"/>
          <w:highlight w:val="none"/>
        </w:rPr>
        <w:t>承担。</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13.3.3 投料试车</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kern w:val="0"/>
          <w:szCs w:val="21"/>
          <w:highlight w:val="none"/>
        </w:rPr>
        <w:t>关于投料试车相关事项的约定：</w:t>
      </w:r>
      <w:r>
        <w:rPr>
          <w:rFonts w:hint="eastAsia" w:ascii="宋体" w:hAnsi="宋体" w:cs="宋体"/>
          <w:color w:val="auto"/>
          <w:szCs w:val="21"/>
          <w:highlight w:val="none"/>
          <w:u w:val="single"/>
        </w:rPr>
        <w:t xml:space="preserve"> 由承包人组织试运行，费用由承包人承担 </w:t>
      </w:r>
      <w:r>
        <w:rPr>
          <w:rFonts w:hint="eastAsia" w:ascii="宋体" w:hAnsi="宋体" w:cs="宋体"/>
          <w:color w:val="auto"/>
          <w:szCs w:val="21"/>
          <w:highlight w:val="none"/>
        </w:rPr>
        <w:t>。</w:t>
      </w:r>
    </w:p>
    <w:p>
      <w:pPr>
        <w:pStyle w:val="21"/>
        <w:spacing w:line="360" w:lineRule="auto"/>
        <w:ind w:firstLine="422" w:firstLineChars="200"/>
        <w:rPr>
          <w:rFonts w:ascii="宋体" w:cs="宋体"/>
          <w:color w:val="auto"/>
          <w:highlight w:val="none"/>
        </w:rPr>
      </w:pPr>
      <w:bookmarkStart w:id="3218" w:name="_Toc418752300"/>
      <w:bookmarkStart w:id="3219" w:name="_Toc497747236"/>
      <w:bookmarkStart w:id="3220" w:name="_Toc4534"/>
      <w:bookmarkStart w:id="3221" w:name="_Toc418751854"/>
      <w:bookmarkStart w:id="3222" w:name="_Toc389065322"/>
      <w:bookmarkStart w:id="3223" w:name="_Toc418061369"/>
      <w:bookmarkStart w:id="3224" w:name="_Toc497746839"/>
      <w:bookmarkStart w:id="3225" w:name="_Toc418518168"/>
      <w:bookmarkStart w:id="3226" w:name="_Toc29868"/>
      <w:bookmarkStart w:id="3227" w:name="_Toc522201784"/>
      <w:bookmarkStart w:id="3228" w:name="_Toc28827"/>
      <w:bookmarkStart w:id="3229" w:name="_Toc373227757"/>
      <w:bookmarkStart w:id="3230" w:name="_Toc4283"/>
      <w:bookmarkStart w:id="3231" w:name="_Toc403578992"/>
      <w:bookmarkStart w:id="3232" w:name="_Toc18859"/>
      <w:bookmarkStart w:id="3233" w:name="_Toc256000235"/>
      <w:bookmarkStart w:id="3234" w:name="_Toc373478404"/>
      <w:bookmarkStart w:id="3235" w:name="_Toc418518404"/>
      <w:r>
        <w:rPr>
          <w:rFonts w:hint="eastAsia" w:ascii="宋体" w:cs="宋体"/>
          <w:color w:val="auto"/>
          <w:highlight w:val="none"/>
        </w:rPr>
        <w:t>13.6 竣工退场</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13.6.1 竣工退场</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承包人完成竣工退场的期限：</w:t>
      </w:r>
      <w:r>
        <w:rPr>
          <w:rFonts w:hint="eastAsia" w:ascii="宋体" w:hAnsi="宋体" w:cs="宋体"/>
          <w:color w:val="auto"/>
          <w:szCs w:val="21"/>
          <w:highlight w:val="none"/>
          <w:u w:val="single"/>
        </w:rPr>
        <w:t>监理人颁发(出具)工程接收证书后，承包人负责按照通用合同条款本项约定的要求对施工场地进行清理并承担相关费用，直至监理人检验合格后七日内，如承包人到期后不退场，发包人有权安排其他人员进行清理，费用从承包人工程款中扣除。</w:t>
      </w:r>
    </w:p>
    <w:p>
      <w:pPr>
        <w:pStyle w:val="21"/>
        <w:spacing w:line="360" w:lineRule="auto"/>
        <w:ind w:firstLine="422" w:firstLineChars="200"/>
        <w:rPr>
          <w:rFonts w:ascii="宋体" w:cs="宋体"/>
          <w:color w:val="auto"/>
          <w:highlight w:val="none"/>
        </w:rPr>
      </w:pPr>
      <w:bookmarkStart w:id="3236" w:name="_Toc256000236"/>
      <w:bookmarkStart w:id="3237" w:name="_Toc351203646"/>
      <w:bookmarkStart w:id="3238" w:name="_Toc19069"/>
      <w:bookmarkStart w:id="3239" w:name="_Toc418518405"/>
      <w:bookmarkStart w:id="3240" w:name="_Toc418751855"/>
      <w:bookmarkStart w:id="3241" w:name="_Toc389065323"/>
      <w:bookmarkStart w:id="3242" w:name="_Toc17623"/>
      <w:bookmarkStart w:id="3243" w:name="_Toc373227758"/>
      <w:bookmarkStart w:id="3244" w:name="_Toc522201785"/>
      <w:bookmarkStart w:id="3245" w:name="_Toc14678"/>
      <w:bookmarkStart w:id="3246" w:name="_Toc418061370"/>
      <w:bookmarkStart w:id="3247" w:name="_Toc418518169"/>
      <w:bookmarkStart w:id="3248" w:name="_Toc12705"/>
      <w:bookmarkStart w:id="3249" w:name="_Toc497747237"/>
      <w:bookmarkStart w:id="3250" w:name="_Toc418752301"/>
      <w:bookmarkStart w:id="3251" w:name="_Toc373478405"/>
      <w:bookmarkStart w:id="3252" w:name="_Toc27590"/>
      <w:bookmarkStart w:id="3253" w:name="_Toc497746840"/>
      <w:bookmarkStart w:id="3254" w:name="_Toc403578993"/>
      <w:r>
        <w:rPr>
          <w:rFonts w:hint="eastAsia" w:ascii="宋体" w:cs="宋体"/>
          <w:color w:val="auto"/>
          <w:highlight w:val="none"/>
        </w:rPr>
        <w:t>14. 竣工结算</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p>
    <w:p>
      <w:pPr>
        <w:pStyle w:val="21"/>
        <w:spacing w:line="360" w:lineRule="auto"/>
        <w:ind w:firstLine="422" w:firstLineChars="200"/>
        <w:rPr>
          <w:rFonts w:ascii="宋体" w:cs="宋体"/>
          <w:color w:val="auto"/>
          <w:highlight w:val="none"/>
        </w:rPr>
      </w:pPr>
      <w:bookmarkStart w:id="3255" w:name="_Toc497746841"/>
      <w:bookmarkStart w:id="3256" w:name="_Toc418061371"/>
      <w:bookmarkStart w:id="3257" w:name="_Toc418518406"/>
      <w:bookmarkStart w:id="3258" w:name="_Toc418751856"/>
      <w:bookmarkStart w:id="3259" w:name="_Toc389065324"/>
      <w:bookmarkStart w:id="3260" w:name="_Toc32265"/>
      <w:bookmarkStart w:id="3261" w:name="_Toc403578994"/>
      <w:bookmarkStart w:id="3262" w:name="_Toc256000237"/>
      <w:bookmarkStart w:id="3263" w:name="_Toc373478406"/>
      <w:bookmarkStart w:id="3264" w:name="_Toc373227759"/>
      <w:bookmarkStart w:id="3265" w:name="_Toc418752302"/>
      <w:bookmarkStart w:id="3266" w:name="_Toc22562"/>
      <w:bookmarkStart w:id="3267" w:name="_Toc449"/>
      <w:bookmarkStart w:id="3268" w:name="_Toc497747238"/>
      <w:bookmarkStart w:id="3269" w:name="_Toc5358"/>
      <w:bookmarkStart w:id="3270" w:name="_Toc418518170"/>
      <w:bookmarkStart w:id="3271" w:name="_Toc22047"/>
      <w:bookmarkStart w:id="3272" w:name="_Toc522201786"/>
      <w:r>
        <w:rPr>
          <w:rFonts w:hint="eastAsia" w:ascii="宋体" w:cs="宋体"/>
          <w:color w:val="auto"/>
          <w:highlight w:val="none"/>
        </w:rPr>
        <w:t>14.1 竣工结算申请</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承包人提交竣工结算申请单的期限：</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u w:val="single"/>
        </w:rPr>
        <w:t>具备竣工收条件后28天内</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竣工结算申请单应包括的内容：</w:t>
      </w:r>
      <w:r>
        <w:rPr>
          <w:rFonts w:hint="eastAsia" w:ascii="宋体" w:hAnsi="宋体" w:cs="宋体"/>
          <w:color w:val="auto"/>
          <w:kern w:val="0"/>
          <w:szCs w:val="21"/>
          <w:highlight w:val="none"/>
          <w:u w:val="single"/>
        </w:rPr>
        <w:t xml:space="preserve"> </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u w:val="single"/>
        </w:rPr>
        <w:t>竣工结算由承包人提交相关结算资料（主要包括合同、工程量计算书、结算书、变更设计通知单、签证单、竣工图）齐全后经监理初审、发包人审核后，</w:t>
      </w:r>
      <w:r>
        <w:rPr>
          <w:rFonts w:hint="eastAsia" w:ascii="宋体" w:hAnsi="宋体" w:cs="宋体"/>
          <w:color w:val="auto"/>
          <w:szCs w:val="21"/>
          <w:highlight w:val="none"/>
          <w:u w:val="single"/>
        </w:rPr>
        <w:t xml:space="preserve">最终结算以桂林市财政局或发包人委托的造价咨询机构审定并经发包人及承包人双方确认的金额为准 </w:t>
      </w:r>
      <w:r>
        <w:rPr>
          <w:rFonts w:hint="eastAsia" w:ascii="宋体" w:hAnsi="宋体" w:cs="宋体"/>
          <w:color w:val="auto"/>
          <w:szCs w:val="21"/>
          <w:highlight w:val="none"/>
        </w:rPr>
        <w:t>。</w:t>
      </w:r>
    </w:p>
    <w:p>
      <w:pPr>
        <w:pStyle w:val="21"/>
        <w:spacing w:line="360" w:lineRule="auto"/>
        <w:ind w:firstLine="422" w:firstLineChars="200"/>
        <w:rPr>
          <w:rFonts w:ascii="宋体" w:cs="宋体"/>
          <w:color w:val="auto"/>
          <w:highlight w:val="none"/>
        </w:rPr>
      </w:pPr>
      <w:bookmarkStart w:id="3273" w:name="_Toc26863"/>
      <w:bookmarkStart w:id="3274" w:name="_Toc418061372"/>
      <w:bookmarkStart w:id="3275" w:name="_Toc497746842"/>
      <w:bookmarkStart w:id="3276" w:name="_Toc27964"/>
      <w:bookmarkStart w:id="3277" w:name="_Toc418751857"/>
      <w:bookmarkStart w:id="3278" w:name="_Toc256000238"/>
      <w:bookmarkStart w:id="3279" w:name="_Toc403578995"/>
      <w:bookmarkStart w:id="3280" w:name="_Toc29078"/>
      <w:bookmarkStart w:id="3281" w:name="_Toc373227760"/>
      <w:bookmarkStart w:id="3282" w:name="_Toc24826"/>
      <w:bookmarkStart w:id="3283" w:name="_Toc497747239"/>
      <w:bookmarkStart w:id="3284" w:name="_Toc373478407"/>
      <w:bookmarkStart w:id="3285" w:name="_Toc522201787"/>
      <w:bookmarkStart w:id="3286" w:name="_Toc418752303"/>
      <w:bookmarkStart w:id="3287" w:name="_Toc389065325"/>
      <w:bookmarkStart w:id="3288" w:name="_Toc418518407"/>
      <w:bookmarkStart w:id="3289" w:name="_Toc25320"/>
      <w:bookmarkStart w:id="3290" w:name="_Toc418518171"/>
      <w:r>
        <w:rPr>
          <w:rFonts w:hint="eastAsia" w:ascii="宋体" w:cs="宋体"/>
          <w:color w:val="auto"/>
          <w:highlight w:val="none"/>
        </w:rPr>
        <w:t>14.2 竣工结算审核</w:t>
      </w:r>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发包人审批竣工付款申请单的期限：</w:t>
      </w:r>
    </w:p>
    <w:tbl>
      <w:tblPr>
        <w:tblStyle w:val="13"/>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616"/>
        <w:gridCol w:w="5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23"/>
              <w:spacing w:line="360" w:lineRule="auto"/>
              <w:jc w:val="center"/>
              <w:rPr>
                <w:rFonts w:ascii="宋体" w:hAnsi="宋体" w:cs="宋体"/>
                <w:bCs/>
                <w:color w:val="auto"/>
                <w:szCs w:val="21"/>
                <w:highlight w:val="none"/>
              </w:rPr>
            </w:pPr>
          </w:p>
        </w:tc>
        <w:tc>
          <w:tcPr>
            <w:tcW w:w="2616" w:type="dxa"/>
            <w:vAlign w:val="center"/>
          </w:tcPr>
          <w:p>
            <w:pPr>
              <w:pStyle w:val="23"/>
              <w:spacing w:line="360" w:lineRule="auto"/>
              <w:ind w:firstLine="27" w:firstLineChars="13"/>
              <w:jc w:val="center"/>
              <w:rPr>
                <w:rFonts w:ascii="宋体" w:hAnsi="宋体" w:cs="宋体"/>
                <w:bCs/>
                <w:color w:val="auto"/>
                <w:szCs w:val="21"/>
                <w:highlight w:val="none"/>
              </w:rPr>
            </w:pPr>
            <w:r>
              <w:rPr>
                <w:rFonts w:hint="eastAsia" w:ascii="宋体" w:hAnsi="宋体" w:cs="宋体"/>
                <w:bCs/>
                <w:color w:val="auto"/>
                <w:szCs w:val="21"/>
                <w:highlight w:val="none"/>
              </w:rPr>
              <w:t>工程竣工结算报告金额</w:t>
            </w:r>
          </w:p>
        </w:tc>
        <w:tc>
          <w:tcPr>
            <w:tcW w:w="5817" w:type="dxa"/>
            <w:vAlign w:val="center"/>
          </w:tcPr>
          <w:p>
            <w:pPr>
              <w:pStyle w:val="23"/>
              <w:spacing w:line="360" w:lineRule="auto"/>
              <w:jc w:val="center"/>
              <w:rPr>
                <w:rFonts w:ascii="宋体" w:hAnsi="宋体" w:cs="宋体"/>
                <w:bCs/>
                <w:color w:val="auto"/>
                <w:szCs w:val="21"/>
                <w:highlight w:val="none"/>
              </w:rPr>
            </w:pPr>
            <w:r>
              <w:rPr>
                <w:rFonts w:hint="eastAsia" w:ascii="宋体" w:hAnsi="宋体" w:cs="宋体"/>
                <w:bCs/>
                <w:color w:val="auto"/>
                <w:szCs w:val="21"/>
                <w:highlight w:val="none"/>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23"/>
              <w:spacing w:line="360" w:lineRule="auto"/>
              <w:jc w:val="center"/>
              <w:rPr>
                <w:rFonts w:ascii="宋体" w:hAnsi="宋体" w:cs="宋体"/>
                <w:bCs/>
                <w:color w:val="auto"/>
                <w:szCs w:val="21"/>
                <w:highlight w:val="none"/>
              </w:rPr>
            </w:pPr>
            <w:r>
              <w:rPr>
                <w:rFonts w:hint="eastAsia" w:ascii="宋体" w:hAnsi="宋体" w:cs="宋体"/>
                <w:bCs/>
                <w:color w:val="auto"/>
                <w:szCs w:val="21"/>
                <w:highlight w:val="none"/>
              </w:rPr>
              <w:t>1</w:t>
            </w:r>
          </w:p>
        </w:tc>
        <w:tc>
          <w:tcPr>
            <w:tcW w:w="2616" w:type="dxa"/>
            <w:vAlign w:val="center"/>
          </w:tcPr>
          <w:p>
            <w:pPr>
              <w:pStyle w:val="23"/>
              <w:spacing w:line="360" w:lineRule="auto"/>
              <w:ind w:firstLine="27" w:firstLineChars="13"/>
              <w:jc w:val="center"/>
              <w:rPr>
                <w:rFonts w:ascii="宋体" w:hAnsi="宋体" w:cs="宋体"/>
                <w:bCs/>
                <w:color w:val="auto"/>
                <w:szCs w:val="21"/>
                <w:highlight w:val="none"/>
              </w:rPr>
            </w:pPr>
            <w:r>
              <w:rPr>
                <w:rFonts w:hint="eastAsia" w:ascii="宋体" w:hAnsi="宋体" w:cs="宋体"/>
                <w:bCs/>
                <w:color w:val="auto"/>
                <w:szCs w:val="21"/>
                <w:highlight w:val="none"/>
              </w:rPr>
              <w:t>500万元以下</w:t>
            </w:r>
          </w:p>
        </w:tc>
        <w:tc>
          <w:tcPr>
            <w:tcW w:w="5817" w:type="dxa"/>
            <w:vAlign w:val="center"/>
          </w:tcPr>
          <w:p>
            <w:pPr>
              <w:pStyle w:val="23"/>
              <w:spacing w:line="360" w:lineRule="auto"/>
              <w:jc w:val="center"/>
              <w:rPr>
                <w:rFonts w:ascii="宋体" w:hAnsi="宋体" w:cs="宋体"/>
                <w:bCs/>
                <w:color w:val="auto"/>
                <w:szCs w:val="21"/>
                <w:highlight w:val="none"/>
              </w:rPr>
            </w:pPr>
            <w:r>
              <w:rPr>
                <w:rFonts w:hint="eastAsia" w:ascii="宋体" w:hAnsi="宋体" w:cs="宋体"/>
                <w:bCs/>
                <w:color w:val="auto"/>
                <w:szCs w:val="21"/>
                <w:highlight w:val="none"/>
              </w:rPr>
              <w:t>从接到竣工结算报告和完整的竣工结算资料之日起20天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23"/>
              <w:spacing w:line="360" w:lineRule="auto"/>
              <w:jc w:val="center"/>
              <w:rPr>
                <w:rFonts w:ascii="宋体" w:hAnsi="宋体" w:cs="宋体"/>
                <w:bCs/>
                <w:color w:val="auto"/>
                <w:szCs w:val="21"/>
                <w:highlight w:val="none"/>
              </w:rPr>
            </w:pPr>
            <w:r>
              <w:rPr>
                <w:rFonts w:hint="eastAsia" w:ascii="宋体" w:hAnsi="宋体" w:cs="宋体"/>
                <w:bCs/>
                <w:color w:val="auto"/>
                <w:szCs w:val="21"/>
                <w:highlight w:val="none"/>
              </w:rPr>
              <w:t>2</w:t>
            </w:r>
          </w:p>
        </w:tc>
        <w:tc>
          <w:tcPr>
            <w:tcW w:w="2616" w:type="dxa"/>
            <w:vAlign w:val="center"/>
          </w:tcPr>
          <w:p>
            <w:pPr>
              <w:pStyle w:val="23"/>
              <w:spacing w:line="360" w:lineRule="auto"/>
              <w:ind w:firstLine="27" w:firstLineChars="13"/>
              <w:jc w:val="center"/>
              <w:rPr>
                <w:rFonts w:ascii="宋体" w:hAnsi="宋体" w:cs="宋体"/>
                <w:bCs/>
                <w:color w:val="auto"/>
                <w:szCs w:val="21"/>
                <w:highlight w:val="none"/>
              </w:rPr>
            </w:pPr>
            <w:r>
              <w:rPr>
                <w:rFonts w:hint="eastAsia" w:ascii="宋体" w:hAnsi="宋体" w:cs="宋体"/>
                <w:bCs/>
                <w:color w:val="auto"/>
                <w:szCs w:val="21"/>
                <w:highlight w:val="none"/>
              </w:rPr>
              <w:t>500万元-2000万元</w:t>
            </w:r>
          </w:p>
        </w:tc>
        <w:tc>
          <w:tcPr>
            <w:tcW w:w="5817" w:type="dxa"/>
            <w:vAlign w:val="center"/>
          </w:tcPr>
          <w:p>
            <w:pPr>
              <w:pStyle w:val="23"/>
              <w:spacing w:line="360" w:lineRule="auto"/>
              <w:jc w:val="center"/>
              <w:rPr>
                <w:rFonts w:ascii="宋体" w:hAnsi="宋体" w:cs="宋体"/>
                <w:bCs/>
                <w:color w:val="auto"/>
                <w:szCs w:val="21"/>
                <w:highlight w:val="none"/>
              </w:rPr>
            </w:pPr>
            <w:r>
              <w:rPr>
                <w:rFonts w:hint="eastAsia" w:ascii="宋体" w:hAnsi="宋体" w:cs="宋体"/>
                <w:bCs/>
                <w:color w:val="auto"/>
                <w:szCs w:val="21"/>
                <w:highlight w:val="none"/>
              </w:rPr>
              <w:t>从接到竣工结算报告和完整的竣工结算资料之日起30天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23"/>
              <w:spacing w:line="360" w:lineRule="auto"/>
              <w:jc w:val="center"/>
              <w:rPr>
                <w:rFonts w:ascii="宋体" w:hAnsi="宋体" w:cs="宋体"/>
                <w:bCs/>
                <w:color w:val="auto"/>
                <w:szCs w:val="21"/>
                <w:highlight w:val="none"/>
              </w:rPr>
            </w:pPr>
            <w:r>
              <w:rPr>
                <w:rFonts w:hint="eastAsia" w:ascii="宋体" w:hAnsi="宋体" w:cs="宋体"/>
                <w:bCs/>
                <w:color w:val="auto"/>
                <w:szCs w:val="21"/>
                <w:highlight w:val="none"/>
              </w:rPr>
              <w:t>3</w:t>
            </w:r>
          </w:p>
        </w:tc>
        <w:tc>
          <w:tcPr>
            <w:tcW w:w="2616" w:type="dxa"/>
            <w:vAlign w:val="center"/>
          </w:tcPr>
          <w:p>
            <w:pPr>
              <w:pStyle w:val="23"/>
              <w:spacing w:line="360" w:lineRule="auto"/>
              <w:ind w:firstLine="27" w:firstLineChars="13"/>
              <w:jc w:val="center"/>
              <w:rPr>
                <w:rFonts w:ascii="宋体" w:hAnsi="宋体" w:cs="宋体"/>
                <w:bCs/>
                <w:color w:val="auto"/>
                <w:szCs w:val="21"/>
                <w:highlight w:val="none"/>
              </w:rPr>
            </w:pPr>
            <w:r>
              <w:rPr>
                <w:rFonts w:hint="eastAsia" w:ascii="宋体" w:hAnsi="宋体" w:cs="宋体"/>
                <w:bCs/>
                <w:color w:val="auto"/>
                <w:szCs w:val="21"/>
                <w:highlight w:val="none"/>
              </w:rPr>
              <w:t>2000万元-5000万元</w:t>
            </w:r>
          </w:p>
        </w:tc>
        <w:tc>
          <w:tcPr>
            <w:tcW w:w="5817" w:type="dxa"/>
            <w:vAlign w:val="center"/>
          </w:tcPr>
          <w:p>
            <w:pPr>
              <w:pStyle w:val="23"/>
              <w:spacing w:line="360" w:lineRule="auto"/>
              <w:jc w:val="center"/>
              <w:rPr>
                <w:rFonts w:ascii="宋体" w:hAnsi="宋体" w:cs="宋体"/>
                <w:bCs/>
                <w:color w:val="auto"/>
                <w:szCs w:val="21"/>
                <w:highlight w:val="none"/>
              </w:rPr>
            </w:pPr>
            <w:r>
              <w:rPr>
                <w:rFonts w:hint="eastAsia" w:ascii="宋体" w:hAnsi="宋体" w:cs="宋体"/>
                <w:bCs/>
                <w:color w:val="auto"/>
                <w:szCs w:val="21"/>
                <w:highlight w:val="none"/>
              </w:rPr>
              <w:t>从接到竣工结算报告和完整的竣工结算资料之日起45天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23"/>
              <w:spacing w:line="360" w:lineRule="auto"/>
              <w:jc w:val="center"/>
              <w:rPr>
                <w:rFonts w:ascii="宋体" w:hAnsi="宋体" w:cs="宋体"/>
                <w:bCs/>
                <w:color w:val="auto"/>
                <w:szCs w:val="21"/>
                <w:highlight w:val="none"/>
              </w:rPr>
            </w:pPr>
            <w:r>
              <w:rPr>
                <w:rFonts w:hint="eastAsia" w:ascii="宋体" w:hAnsi="宋体" w:cs="宋体"/>
                <w:bCs/>
                <w:color w:val="auto"/>
                <w:szCs w:val="21"/>
                <w:highlight w:val="none"/>
              </w:rPr>
              <w:t>4</w:t>
            </w:r>
          </w:p>
        </w:tc>
        <w:tc>
          <w:tcPr>
            <w:tcW w:w="2616" w:type="dxa"/>
            <w:vAlign w:val="center"/>
          </w:tcPr>
          <w:p>
            <w:pPr>
              <w:pStyle w:val="23"/>
              <w:spacing w:line="360" w:lineRule="auto"/>
              <w:ind w:firstLine="27" w:firstLineChars="13"/>
              <w:jc w:val="center"/>
              <w:rPr>
                <w:rFonts w:ascii="宋体" w:hAnsi="宋体" w:cs="宋体"/>
                <w:bCs/>
                <w:color w:val="auto"/>
                <w:szCs w:val="21"/>
                <w:highlight w:val="none"/>
              </w:rPr>
            </w:pPr>
            <w:r>
              <w:rPr>
                <w:rFonts w:hint="eastAsia" w:ascii="宋体" w:hAnsi="宋体" w:cs="宋体"/>
                <w:bCs/>
                <w:color w:val="auto"/>
                <w:szCs w:val="21"/>
                <w:highlight w:val="none"/>
              </w:rPr>
              <w:t>5000万元以上</w:t>
            </w:r>
          </w:p>
        </w:tc>
        <w:tc>
          <w:tcPr>
            <w:tcW w:w="5817" w:type="dxa"/>
            <w:vAlign w:val="center"/>
          </w:tcPr>
          <w:p>
            <w:pPr>
              <w:pStyle w:val="23"/>
              <w:spacing w:line="360" w:lineRule="auto"/>
              <w:jc w:val="center"/>
              <w:rPr>
                <w:rFonts w:ascii="宋体" w:hAnsi="宋体" w:cs="宋体"/>
                <w:bCs/>
                <w:color w:val="auto"/>
                <w:szCs w:val="21"/>
                <w:highlight w:val="none"/>
              </w:rPr>
            </w:pPr>
            <w:r>
              <w:rPr>
                <w:rFonts w:hint="eastAsia" w:ascii="宋体" w:hAnsi="宋体" w:cs="宋体"/>
                <w:bCs/>
                <w:color w:val="auto"/>
                <w:szCs w:val="21"/>
                <w:highlight w:val="none"/>
              </w:rPr>
              <w:t>从接到竣工结算报告和完整的竣工结算资料之日起60天</w:t>
            </w:r>
          </w:p>
        </w:tc>
      </w:tr>
    </w:tbl>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bCs/>
          <w:color w:val="auto"/>
          <w:szCs w:val="21"/>
          <w:highlight w:val="none"/>
        </w:rPr>
        <w:t>因承包人提供的结算资料不完整而需要补充或承包人不按时对账耽误时间时，审查时间应相应顺延</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发包人完成竣工付款的期限：</w:t>
      </w:r>
      <w:r>
        <w:rPr>
          <w:rFonts w:ascii="宋体" w:hAnsi="宋体" w:cs="宋体"/>
          <w:color w:val="auto"/>
          <w:szCs w:val="21"/>
          <w:highlight w:val="none"/>
          <w:u w:val="single"/>
        </w:rPr>
        <w:t>结算审核报告出具</w:t>
      </w:r>
      <w:r>
        <w:rPr>
          <w:rFonts w:hint="eastAsia" w:ascii="宋体" w:hAnsi="宋体" w:cs="宋体"/>
          <w:color w:val="auto"/>
          <w:szCs w:val="21"/>
          <w:highlight w:val="none"/>
          <w:u w:val="single"/>
        </w:rPr>
        <w:t>后且</w:t>
      </w:r>
      <w:r>
        <w:rPr>
          <w:rFonts w:hint="eastAsia" w:ascii="宋体" w:hAnsi="宋体"/>
          <w:color w:val="auto"/>
          <w:szCs w:val="21"/>
          <w:highlight w:val="none"/>
          <w:u w:val="single"/>
        </w:rPr>
        <w:t>审核完承包人的竣工付款申请单30天内</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关于竣工付款证书异议部分复核的方式和程序：</w:t>
      </w:r>
      <w:r>
        <w:rPr>
          <w:rFonts w:hint="eastAsia" w:ascii="宋体" w:hAnsi="宋体" w:cs="宋体"/>
          <w:color w:val="auto"/>
          <w:szCs w:val="21"/>
          <w:highlight w:val="none"/>
          <w:u w:val="single"/>
        </w:rPr>
        <w:t>存在异议的部分，由承包人核对后对异议部分进行书面描叙，并交由发包人再次审定。</w:t>
      </w:r>
    </w:p>
    <w:p>
      <w:pPr>
        <w:pStyle w:val="21"/>
        <w:spacing w:line="360" w:lineRule="auto"/>
        <w:ind w:firstLine="422" w:firstLineChars="200"/>
        <w:rPr>
          <w:rFonts w:ascii="宋体" w:cs="宋体"/>
          <w:color w:val="auto"/>
          <w:highlight w:val="none"/>
        </w:rPr>
      </w:pPr>
      <w:bookmarkStart w:id="3291" w:name="_Toc17633"/>
      <w:bookmarkStart w:id="3292" w:name="_Toc373478408"/>
      <w:bookmarkStart w:id="3293" w:name="_Toc2662"/>
      <w:bookmarkStart w:id="3294" w:name="_Toc497746843"/>
      <w:bookmarkStart w:id="3295" w:name="_Toc1190"/>
      <w:bookmarkStart w:id="3296" w:name="_Toc497747240"/>
      <w:bookmarkStart w:id="3297" w:name="_Toc418752304"/>
      <w:bookmarkStart w:id="3298" w:name="_Toc418061373"/>
      <w:bookmarkStart w:id="3299" w:name="_Toc418751858"/>
      <w:bookmarkStart w:id="3300" w:name="_Toc418518408"/>
      <w:bookmarkStart w:id="3301" w:name="_Toc373227761"/>
      <w:bookmarkStart w:id="3302" w:name="_Toc389065326"/>
      <w:bookmarkStart w:id="3303" w:name="_Toc418518172"/>
      <w:bookmarkStart w:id="3304" w:name="_Toc403578996"/>
      <w:bookmarkStart w:id="3305" w:name="_Toc522201788"/>
      <w:bookmarkStart w:id="3306" w:name="_Toc256000239"/>
      <w:bookmarkStart w:id="3307" w:name="_Toc21636"/>
      <w:bookmarkStart w:id="3308" w:name="_Toc6772"/>
      <w:r>
        <w:rPr>
          <w:rFonts w:hint="eastAsia" w:ascii="宋体" w:cs="宋体"/>
          <w:color w:val="auto"/>
          <w:highlight w:val="none"/>
        </w:rPr>
        <w:t>14.4 最终结清</w:t>
      </w:r>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14.4.1 最终结清申请单</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承包人提交最终结清申请单的份数：</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u w:val="single"/>
        </w:rPr>
        <w:t xml:space="preserve">一式四份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承包人提交最终结算申请单的期限：</w:t>
      </w:r>
      <w:r>
        <w:rPr>
          <w:rFonts w:hint="eastAsia" w:ascii="宋体" w:hAnsi="宋体" w:cs="宋体"/>
          <w:color w:val="auto"/>
          <w:kern w:val="0"/>
          <w:szCs w:val="21"/>
          <w:highlight w:val="none"/>
          <w:u w:val="single"/>
        </w:rPr>
        <w:t>缺陷责任期终止证书签发后14天内向监理人提交4份竣工付款申请单及相关证明材料</w:t>
      </w:r>
      <w:r>
        <w:rPr>
          <w:rFonts w:hint="eastAsia" w:ascii="宋体" w:hAnsi="宋体" w:cs="宋体"/>
          <w:color w:val="auto"/>
          <w:szCs w:val="21"/>
          <w:highlight w:val="none"/>
        </w:rPr>
        <w:t xml:space="preserve">。 </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14.4.2 最终结清证书和支付</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（1）发包人完成最终结清申请单的审批并颁发最终结清证书的期限：</w:t>
      </w:r>
      <w:r>
        <w:rPr>
          <w:rFonts w:hint="eastAsia" w:ascii="宋体" w:hAnsi="宋体" w:cs="宋体"/>
          <w:color w:val="auto"/>
          <w:kern w:val="0"/>
          <w:szCs w:val="21"/>
          <w:highlight w:val="none"/>
          <w:u w:val="single"/>
        </w:rPr>
        <w:t xml:space="preserve">按通用条款执行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（2）发包人完成支付的期限：</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u w:val="single"/>
        </w:rPr>
        <w:t xml:space="preserve">在颁发最终结清证书后的30天内 </w:t>
      </w:r>
      <w:r>
        <w:rPr>
          <w:rFonts w:hint="eastAsia" w:ascii="宋体" w:hAnsi="宋体" w:cs="宋体"/>
          <w:color w:val="auto"/>
          <w:szCs w:val="21"/>
          <w:highlight w:val="none"/>
        </w:rPr>
        <w:t>。</w:t>
      </w:r>
    </w:p>
    <w:bookmarkEnd w:id="3187"/>
    <w:bookmarkEnd w:id="3188"/>
    <w:bookmarkEnd w:id="3189"/>
    <w:bookmarkEnd w:id="3190"/>
    <w:bookmarkEnd w:id="3191"/>
    <w:bookmarkEnd w:id="3192"/>
    <w:bookmarkEnd w:id="3193"/>
    <w:bookmarkEnd w:id="3199"/>
    <w:p>
      <w:pPr>
        <w:pStyle w:val="21"/>
        <w:spacing w:line="360" w:lineRule="auto"/>
        <w:rPr>
          <w:rFonts w:ascii="宋体" w:cs="宋体"/>
          <w:color w:val="auto"/>
          <w:highlight w:val="none"/>
        </w:rPr>
      </w:pPr>
      <w:bookmarkStart w:id="3309" w:name="_Toc418752305"/>
      <w:bookmarkStart w:id="3310" w:name="_Toc497747241"/>
      <w:bookmarkStart w:id="3311" w:name="_Toc373227762"/>
      <w:bookmarkStart w:id="3312" w:name="_Toc418518173"/>
      <w:bookmarkStart w:id="3313" w:name="_Toc12921"/>
      <w:bookmarkStart w:id="3314" w:name="_Toc497746844"/>
      <w:bookmarkStart w:id="3315" w:name="_Toc418061374"/>
      <w:bookmarkStart w:id="3316" w:name="_Toc18380"/>
      <w:bookmarkStart w:id="3317" w:name="_Toc31001"/>
      <w:bookmarkStart w:id="3318" w:name="_Toc29720"/>
      <w:bookmarkStart w:id="3319" w:name="_Toc389065327"/>
      <w:bookmarkStart w:id="3320" w:name="_Toc13206"/>
      <w:bookmarkStart w:id="3321" w:name="_Toc418518409"/>
      <w:bookmarkStart w:id="3322" w:name="_Toc373478409"/>
      <w:bookmarkStart w:id="3323" w:name="_Toc522201789"/>
      <w:bookmarkStart w:id="3324" w:name="_Toc256000240"/>
      <w:bookmarkStart w:id="3325" w:name="_Toc351203647"/>
      <w:bookmarkStart w:id="3326" w:name="_Toc418751859"/>
      <w:bookmarkStart w:id="3327" w:name="_Toc403578997"/>
      <w:bookmarkStart w:id="3328" w:name="_Toc267251483"/>
      <w:bookmarkStart w:id="3329" w:name="_Toc267251484"/>
      <w:bookmarkStart w:id="3330" w:name="_Toc267251482"/>
      <w:bookmarkStart w:id="3331" w:name="_Toc267251485"/>
      <w:bookmarkStart w:id="3332" w:name="_Toc267251488"/>
      <w:bookmarkStart w:id="3333" w:name="_Toc267251490"/>
      <w:bookmarkStart w:id="3334" w:name="_Toc267251489"/>
      <w:bookmarkStart w:id="3335" w:name="_Toc267251486"/>
      <w:bookmarkStart w:id="3336" w:name="_Toc267251492"/>
      <w:bookmarkStart w:id="3337" w:name="_Toc267251495"/>
      <w:bookmarkStart w:id="3338" w:name="_Toc267251499"/>
      <w:bookmarkStart w:id="3339" w:name="_Toc267251498"/>
      <w:bookmarkStart w:id="3340" w:name="_Toc267251494"/>
      <w:bookmarkStart w:id="3341" w:name="_Toc267251491"/>
      <w:bookmarkStart w:id="3342" w:name="_Toc267251502"/>
      <w:bookmarkStart w:id="3343" w:name="_Toc267251497"/>
      <w:bookmarkStart w:id="3344" w:name="_Toc267251501"/>
      <w:bookmarkStart w:id="3345" w:name="_Toc267251496"/>
      <w:bookmarkStart w:id="3346" w:name="_Toc267251503"/>
      <w:bookmarkStart w:id="3347" w:name="_Toc267251493"/>
      <w:bookmarkStart w:id="3348" w:name="_Toc267251504"/>
      <w:bookmarkStart w:id="3349" w:name="_Toc267251506"/>
      <w:bookmarkStart w:id="3350" w:name="_Toc267251507"/>
      <w:bookmarkStart w:id="3351" w:name="_Toc267251508"/>
      <w:bookmarkStart w:id="3352" w:name="_Toc267251511"/>
      <w:bookmarkStart w:id="3353" w:name="_Toc267251514"/>
      <w:bookmarkStart w:id="3354" w:name="_Toc267251510"/>
      <w:bookmarkStart w:id="3355" w:name="_Toc267251515"/>
      <w:bookmarkStart w:id="3356" w:name="_Toc267251513"/>
      <w:bookmarkStart w:id="3357" w:name="_Toc267251509"/>
      <w:r>
        <w:rPr>
          <w:rFonts w:hint="eastAsia" w:ascii="宋体" w:cs="宋体"/>
          <w:color w:val="auto"/>
          <w:highlight w:val="none"/>
        </w:rPr>
        <w:t>15. 缺陷责任期与保修</w:t>
      </w:r>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p>
    <w:p>
      <w:pPr>
        <w:pStyle w:val="21"/>
        <w:spacing w:line="360" w:lineRule="auto"/>
        <w:ind w:firstLine="422" w:firstLineChars="200"/>
        <w:rPr>
          <w:rFonts w:ascii="宋体" w:cs="宋体"/>
          <w:color w:val="auto"/>
          <w:highlight w:val="none"/>
        </w:rPr>
      </w:pPr>
      <w:bookmarkStart w:id="3358" w:name="_Toc418518410"/>
      <w:bookmarkStart w:id="3359" w:name="_Toc403578998"/>
      <w:bookmarkStart w:id="3360" w:name="_Toc418061375"/>
      <w:bookmarkStart w:id="3361" w:name="_Toc23897"/>
      <w:bookmarkStart w:id="3362" w:name="_Toc497746845"/>
      <w:bookmarkStart w:id="3363" w:name="_Toc418518174"/>
      <w:bookmarkStart w:id="3364" w:name="_Toc497747242"/>
      <w:bookmarkStart w:id="3365" w:name="_Toc256000241"/>
      <w:bookmarkStart w:id="3366" w:name="_Toc522201790"/>
      <w:bookmarkStart w:id="3367" w:name="_Toc418751860"/>
      <w:bookmarkStart w:id="3368" w:name="_Toc373227763"/>
      <w:bookmarkStart w:id="3369" w:name="_Toc6907"/>
      <w:bookmarkStart w:id="3370" w:name="_Toc389065328"/>
      <w:bookmarkStart w:id="3371" w:name="_Toc418752306"/>
      <w:bookmarkStart w:id="3372" w:name="_Toc27720"/>
      <w:bookmarkStart w:id="3373" w:name="_Toc32164"/>
      <w:bookmarkStart w:id="3374" w:name="_Toc373478410"/>
      <w:bookmarkStart w:id="3375" w:name="_Toc31866"/>
      <w:r>
        <w:rPr>
          <w:rFonts w:hint="eastAsia" w:ascii="宋体" w:cs="宋体"/>
          <w:color w:val="auto"/>
          <w:highlight w:val="none"/>
        </w:rPr>
        <w:t>15.2 缺陷责任期</w:t>
      </w:r>
      <w:bookmarkEnd w:id="3328"/>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缺陷责任期的具体期限：</w:t>
      </w:r>
      <w:r>
        <w:rPr>
          <w:rFonts w:hint="eastAsia" w:ascii="宋体" w:hAnsi="宋体" w:cs="宋体"/>
          <w:color w:val="auto"/>
          <w:szCs w:val="21"/>
          <w:highlight w:val="none"/>
          <w:u w:val="single"/>
        </w:rPr>
        <w:t>24个月，</w:t>
      </w:r>
      <w:r>
        <w:rPr>
          <w:rFonts w:hint="eastAsia" w:ascii="宋体" w:hAnsi="宋体" w:cs="宋体"/>
          <w:color w:val="auto"/>
          <w:kern w:val="0"/>
          <w:szCs w:val="21"/>
          <w:highlight w:val="none"/>
          <w:u w:val="single"/>
        </w:rPr>
        <w:t>工程竣工验收合格，自交付使用之日起计算</w:t>
      </w:r>
      <w:r>
        <w:rPr>
          <w:rFonts w:hint="eastAsia" w:ascii="宋体" w:hAnsi="宋体" w:cs="宋体"/>
          <w:color w:val="auto"/>
          <w:szCs w:val="21"/>
          <w:highlight w:val="none"/>
          <w:u w:val="single"/>
        </w:rPr>
        <w:t xml:space="preserve"> ，按照《建设工程质量管理条例》执行，</w:t>
      </w:r>
      <w:r>
        <w:rPr>
          <w:rFonts w:hint="eastAsia" w:ascii="宋体" w:hAnsi="宋体" w:cs="宋体"/>
          <w:bCs/>
          <w:color w:val="auto"/>
          <w:szCs w:val="21"/>
          <w:highlight w:val="none"/>
          <w:u w:val="single"/>
        </w:rPr>
        <w:t xml:space="preserve">详见本合同附件3：《工程质量保修书》 </w:t>
      </w:r>
      <w:r>
        <w:rPr>
          <w:rFonts w:hint="eastAsia" w:ascii="宋体" w:hAnsi="宋体" w:cs="宋体"/>
          <w:color w:val="auto"/>
          <w:szCs w:val="21"/>
          <w:highlight w:val="none"/>
        </w:rPr>
        <w:t>。</w:t>
      </w:r>
    </w:p>
    <w:p>
      <w:pPr>
        <w:pStyle w:val="21"/>
        <w:spacing w:line="360" w:lineRule="auto"/>
        <w:ind w:firstLine="422" w:firstLineChars="200"/>
        <w:rPr>
          <w:rFonts w:ascii="宋体" w:cs="宋体"/>
          <w:color w:val="auto"/>
          <w:highlight w:val="none"/>
        </w:rPr>
      </w:pPr>
      <w:bookmarkStart w:id="3376" w:name="_Toc403578999"/>
      <w:bookmarkStart w:id="3377" w:name="_Toc256000242"/>
      <w:bookmarkStart w:id="3378" w:name="_Toc8414"/>
      <w:bookmarkStart w:id="3379" w:name="_Toc418751861"/>
      <w:bookmarkStart w:id="3380" w:name="_Toc389065329"/>
      <w:bookmarkStart w:id="3381" w:name="_Toc373227764"/>
      <w:bookmarkStart w:id="3382" w:name="_Toc20000"/>
      <w:bookmarkStart w:id="3383" w:name="_Toc16196"/>
      <w:bookmarkStart w:id="3384" w:name="_Toc497747243"/>
      <w:bookmarkStart w:id="3385" w:name="_Toc418518411"/>
      <w:bookmarkStart w:id="3386" w:name="_Toc373478411"/>
      <w:bookmarkStart w:id="3387" w:name="_Toc22127"/>
      <w:bookmarkStart w:id="3388" w:name="_Toc522201791"/>
      <w:bookmarkStart w:id="3389" w:name="_Toc418518175"/>
      <w:bookmarkStart w:id="3390" w:name="_Toc418061376"/>
      <w:bookmarkStart w:id="3391" w:name="_Toc497746846"/>
      <w:bookmarkStart w:id="3392" w:name="_Toc418752307"/>
      <w:bookmarkStart w:id="3393" w:name="_Toc17331"/>
      <w:r>
        <w:rPr>
          <w:rFonts w:hint="eastAsia" w:ascii="宋体" w:cs="宋体"/>
          <w:color w:val="auto"/>
          <w:highlight w:val="none"/>
        </w:rPr>
        <w:t>15.3 质量保证金</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关于是否扣留质量保证金的约定：</w:t>
      </w:r>
      <w:r>
        <w:rPr>
          <w:rFonts w:hint="eastAsia" w:ascii="宋体" w:hAnsi="宋体" w:cs="宋体"/>
          <w:color w:val="auto"/>
          <w:kern w:val="0"/>
          <w:szCs w:val="21"/>
          <w:highlight w:val="none"/>
          <w:u w:val="single"/>
        </w:rPr>
        <w:t xml:space="preserve">按工程价款结算总额的3%作为质保金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15.3.1 承包人提供质量保证金的方式</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质量保证金采用以下第</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种方式：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（1）质量保证金保函，保证金额为：</w:t>
      </w:r>
      <w:r>
        <w:rPr>
          <w:rFonts w:hint="eastAsia" w:ascii="宋体" w:hAnsi="宋体" w:cs="宋体"/>
          <w:color w:val="auto"/>
          <w:kern w:val="0"/>
          <w:szCs w:val="21"/>
          <w:highlight w:val="none"/>
          <w:u w:val="single"/>
        </w:rPr>
        <w:t xml:space="preserve">  /   </w:t>
      </w:r>
      <w:r>
        <w:rPr>
          <w:rFonts w:hint="eastAsia" w:ascii="宋体" w:hAnsi="宋体" w:cs="宋体"/>
          <w:color w:val="auto"/>
          <w:kern w:val="0"/>
          <w:szCs w:val="21"/>
          <w:highlight w:val="none"/>
        </w:rPr>
        <w:t>；</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bCs/>
          <w:color w:val="auto"/>
          <w:szCs w:val="21"/>
          <w:highlight w:val="none"/>
        </w:rPr>
        <w:t>发包人按工程价款结算总额的</w:t>
      </w:r>
      <w:r>
        <w:rPr>
          <w:rFonts w:hint="eastAsia" w:ascii="宋体" w:hAnsi="宋体" w:cs="宋体"/>
          <w:bCs/>
          <w:color w:val="auto"/>
          <w:szCs w:val="21"/>
          <w:highlight w:val="none"/>
          <w:u w:val="single"/>
        </w:rPr>
        <w:t xml:space="preserve"> 3 </w:t>
      </w:r>
      <w:r>
        <w:rPr>
          <w:rFonts w:hint="eastAsia" w:ascii="宋体" w:hAnsi="宋体" w:cs="宋体"/>
          <w:bCs/>
          <w:color w:val="auto"/>
          <w:szCs w:val="21"/>
          <w:highlight w:val="none"/>
        </w:rPr>
        <w:t>%预留工程质量保证金，待缺陷责任期满后返还</w:t>
      </w:r>
      <w:r>
        <w:rPr>
          <w:rFonts w:hint="eastAsia" w:ascii="宋体" w:hAnsi="宋体" w:cs="宋体"/>
          <w:color w:val="auto"/>
          <w:kern w:val="0"/>
          <w:szCs w:val="21"/>
          <w:highlight w:val="none"/>
        </w:rPr>
        <w:t>；</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（3）其他方式：</w:t>
      </w:r>
      <w:r>
        <w:rPr>
          <w:rFonts w:hint="eastAsia" w:ascii="宋体" w:hAnsi="宋体" w:cs="宋体"/>
          <w:bCs/>
          <w:color w:val="auto"/>
          <w:szCs w:val="21"/>
          <w:highlight w:val="none"/>
          <w:u w:val="single"/>
        </w:rPr>
        <w:t xml:space="preserve">   /        </w:t>
      </w:r>
      <w:r>
        <w:rPr>
          <w:rFonts w:hint="eastAsia" w:ascii="宋体" w:hAnsi="宋体" w:cs="宋体"/>
          <w:bCs/>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15.3.2 质量保证金的扣留</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质量保证金的扣留采取以下第</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种方式：</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（1）在支付工程进度款时逐次扣留，在此情形下，质量保证金的计算基数不包括预付款的支付、扣回以及价格调整的金额；</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（2）工程竣工结算时一次性扣留质量保证金；</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（3）其他扣留方式:</w:t>
      </w:r>
      <w:r>
        <w:rPr>
          <w:rFonts w:hint="eastAsia" w:ascii="宋体" w:hAnsi="宋体" w:cs="宋体"/>
          <w:color w:val="auto"/>
          <w:kern w:val="0"/>
          <w:szCs w:val="21"/>
          <w:highlight w:val="none"/>
          <w:u w:val="single"/>
        </w:rPr>
        <w:t xml:space="preserve">    /                </w:t>
      </w:r>
      <w:r>
        <w:rPr>
          <w:rFonts w:hint="eastAsia" w:ascii="宋体" w:hAnsi="宋体" w:cs="宋体"/>
          <w:color w:val="auto"/>
          <w:kern w:val="0"/>
          <w:szCs w:val="21"/>
          <w:highlight w:val="none"/>
        </w:rPr>
        <w:t>。</w:t>
      </w:r>
    </w:p>
    <w:p>
      <w:pPr>
        <w:pStyle w:val="23"/>
        <w:spacing w:line="360" w:lineRule="auto"/>
        <w:ind w:firstLine="420" w:firstLineChars="200"/>
        <w:jc w:val="left"/>
        <w:rPr>
          <w:rFonts w:ascii="宋体" w:hAnsi="宋体" w:cs="宋体"/>
          <w:color w:val="auto"/>
          <w:kern w:val="0"/>
          <w:szCs w:val="21"/>
          <w:highlight w:val="none"/>
          <w:u w:val="single"/>
        </w:rPr>
      </w:pPr>
      <w:r>
        <w:rPr>
          <w:rFonts w:hint="eastAsia" w:ascii="宋体" w:hAnsi="宋体" w:cs="宋体"/>
          <w:color w:val="auto"/>
          <w:szCs w:val="21"/>
          <w:highlight w:val="none"/>
        </w:rPr>
        <w:t>关于质量保证金的补充约定：</w:t>
      </w:r>
      <w:r>
        <w:rPr>
          <w:rFonts w:hint="eastAsia" w:ascii="宋体" w:hAnsi="宋体" w:cs="宋体"/>
          <w:color w:val="auto"/>
          <w:szCs w:val="21"/>
          <w:highlight w:val="none"/>
          <w:u w:val="single"/>
        </w:rPr>
        <w:t>承包人未按照法律法规有关规定和合同约定履行质量保修义务的，发包人有权从质量保证金中扣留用于质量保修的各项支出。</w:t>
      </w:r>
      <w:r>
        <w:rPr>
          <w:rFonts w:hint="eastAsia" w:ascii="宋体" w:hAnsi="宋体" w:cs="宋体"/>
          <w:color w:val="auto"/>
          <w:kern w:val="0"/>
          <w:szCs w:val="21"/>
          <w:highlight w:val="none"/>
          <w:u w:val="single"/>
        </w:rPr>
        <w:t>发包人在工程缺陷责任期满后 14 天内将保修金一次性返回给承包人（无息）。质量保证金的返还，并不能免除承包人按照合同约定应承担的质量保修责任和应履行的质量保修义务。</w:t>
      </w:r>
    </w:p>
    <w:bookmarkEnd w:id="3329"/>
    <w:bookmarkEnd w:id="3330"/>
    <w:p>
      <w:pPr>
        <w:pStyle w:val="21"/>
        <w:spacing w:line="360" w:lineRule="auto"/>
        <w:ind w:firstLine="422" w:firstLineChars="200"/>
        <w:rPr>
          <w:rFonts w:ascii="宋体" w:cs="宋体"/>
          <w:color w:val="auto"/>
          <w:highlight w:val="none"/>
        </w:rPr>
      </w:pPr>
      <w:bookmarkStart w:id="3394" w:name="_Toc28949"/>
      <w:bookmarkStart w:id="3395" w:name="_Toc28261"/>
      <w:bookmarkStart w:id="3396" w:name="_Toc522201792"/>
      <w:bookmarkStart w:id="3397" w:name="_Toc418751862"/>
      <w:bookmarkStart w:id="3398" w:name="_Toc389065330"/>
      <w:bookmarkStart w:id="3399" w:name="_Toc418061377"/>
      <w:bookmarkStart w:id="3400" w:name="_Toc418518176"/>
      <w:bookmarkStart w:id="3401" w:name="_Toc497747244"/>
      <w:bookmarkStart w:id="3402" w:name="_Toc15411"/>
      <w:bookmarkStart w:id="3403" w:name="_Toc373227765"/>
      <w:bookmarkStart w:id="3404" w:name="_Toc418518412"/>
      <w:bookmarkStart w:id="3405" w:name="_Toc403579000"/>
      <w:bookmarkStart w:id="3406" w:name="_Toc373478412"/>
      <w:bookmarkStart w:id="3407" w:name="_Toc19828"/>
      <w:bookmarkStart w:id="3408" w:name="_Toc418752308"/>
      <w:bookmarkStart w:id="3409" w:name="_Toc9629"/>
      <w:bookmarkStart w:id="3410" w:name="_Toc256000243"/>
      <w:bookmarkStart w:id="3411" w:name="_Toc497746847"/>
      <w:r>
        <w:rPr>
          <w:rFonts w:hint="eastAsia" w:ascii="宋体" w:cs="宋体"/>
          <w:color w:val="auto"/>
          <w:highlight w:val="none"/>
        </w:rPr>
        <w:t>15.4 保修</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bookmarkEnd w:id="3331"/>
    <w:p>
      <w:pPr>
        <w:pStyle w:val="23"/>
        <w:spacing w:line="360" w:lineRule="auto"/>
        <w:ind w:firstLine="409" w:firstLineChars="195"/>
        <w:jc w:val="left"/>
        <w:rPr>
          <w:rFonts w:ascii="宋体" w:hAnsi="宋体" w:cs="宋体"/>
          <w:color w:val="auto"/>
          <w:szCs w:val="21"/>
          <w:highlight w:val="none"/>
        </w:rPr>
      </w:pPr>
      <w:r>
        <w:rPr>
          <w:rFonts w:hint="eastAsia" w:ascii="宋体" w:hAnsi="宋体" w:cs="宋体"/>
          <w:color w:val="auto"/>
          <w:szCs w:val="21"/>
          <w:highlight w:val="none"/>
        </w:rPr>
        <w:t>15.4.1 保修责任</w:t>
      </w:r>
    </w:p>
    <w:p>
      <w:pPr>
        <w:pStyle w:val="23"/>
        <w:spacing w:line="360" w:lineRule="auto"/>
        <w:ind w:firstLine="409" w:firstLineChars="195"/>
        <w:jc w:val="left"/>
        <w:rPr>
          <w:rFonts w:ascii="宋体" w:hAnsi="宋体" w:cs="宋体"/>
          <w:color w:val="auto"/>
          <w:kern w:val="0"/>
          <w:szCs w:val="21"/>
          <w:highlight w:val="none"/>
        </w:rPr>
      </w:pPr>
      <w:r>
        <w:rPr>
          <w:rFonts w:hint="eastAsia" w:ascii="宋体" w:hAnsi="宋体" w:cs="宋体"/>
          <w:color w:val="auto"/>
          <w:szCs w:val="21"/>
          <w:highlight w:val="none"/>
        </w:rPr>
        <w:t>工程保修期为：</w:t>
      </w:r>
      <w:r>
        <w:rPr>
          <w:rFonts w:hint="eastAsia" w:ascii="宋体" w:hAnsi="宋体" w:cs="宋体"/>
          <w:color w:val="auto"/>
          <w:kern w:val="0"/>
          <w:szCs w:val="21"/>
          <w:highlight w:val="none"/>
          <w:u w:val="single"/>
        </w:rPr>
        <w:t xml:space="preserve">  </w:t>
      </w:r>
      <w:r>
        <w:rPr>
          <w:rFonts w:hint="eastAsia" w:ascii="宋体" w:hAnsi="宋体" w:cs="宋体"/>
          <w:color w:val="auto"/>
          <w:szCs w:val="21"/>
          <w:highlight w:val="none"/>
          <w:u w:val="single"/>
        </w:rPr>
        <w:t>根据《建设工程质量管理条例》及有关规定，约定本工程的保修期详见《工程质量保修书》。</w:t>
      </w:r>
    </w:p>
    <w:p>
      <w:pPr>
        <w:pStyle w:val="23"/>
        <w:spacing w:line="360" w:lineRule="auto"/>
        <w:ind w:firstLine="409" w:firstLineChars="195"/>
        <w:jc w:val="left"/>
        <w:rPr>
          <w:rFonts w:ascii="宋体" w:hAnsi="宋体" w:cs="宋体"/>
          <w:color w:val="auto"/>
          <w:kern w:val="0"/>
          <w:szCs w:val="21"/>
          <w:highlight w:val="none"/>
          <w:u w:val="single"/>
        </w:rPr>
      </w:pPr>
      <w:r>
        <w:rPr>
          <w:rFonts w:hint="eastAsia" w:ascii="宋体" w:hAnsi="宋体" w:cs="宋体"/>
          <w:color w:val="auto"/>
          <w:szCs w:val="21"/>
          <w:highlight w:val="none"/>
        </w:rPr>
        <w:t>工程保修书具体内容见合同附件3。</w:t>
      </w:r>
    </w:p>
    <w:p>
      <w:pPr>
        <w:pStyle w:val="23"/>
        <w:spacing w:line="360" w:lineRule="auto"/>
        <w:ind w:firstLine="409" w:firstLineChars="195"/>
        <w:jc w:val="left"/>
        <w:rPr>
          <w:rFonts w:ascii="宋体" w:hAnsi="宋体" w:cs="宋体"/>
          <w:color w:val="auto"/>
          <w:szCs w:val="21"/>
          <w:highlight w:val="none"/>
        </w:rPr>
      </w:pPr>
      <w:r>
        <w:rPr>
          <w:rFonts w:hint="eastAsia" w:ascii="宋体" w:hAnsi="宋体" w:cs="宋体"/>
          <w:color w:val="auto"/>
          <w:szCs w:val="21"/>
          <w:highlight w:val="none"/>
        </w:rPr>
        <w:t>15.4.3 修复通知</w:t>
      </w:r>
    </w:p>
    <w:p>
      <w:pPr>
        <w:pStyle w:val="23"/>
        <w:spacing w:line="360" w:lineRule="auto"/>
        <w:ind w:firstLine="409" w:firstLineChars="195"/>
        <w:jc w:val="left"/>
        <w:rPr>
          <w:rFonts w:ascii="宋体" w:hAnsi="宋体" w:cs="宋体"/>
          <w:color w:val="auto"/>
          <w:szCs w:val="21"/>
          <w:highlight w:val="none"/>
          <w:u w:val="single"/>
        </w:rPr>
      </w:pPr>
      <w:r>
        <w:rPr>
          <w:rFonts w:hint="eastAsia" w:ascii="宋体" w:hAnsi="宋体" w:cs="宋体"/>
          <w:color w:val="auto"/>
          <w:kern w:val="0"/>
          <w:szCs w:val="21"/>
          <w:highlight w:val="none"/>
        </w:rPr>
        <w:t>承包人收到保修通知并到达工程现场的合理时间：</w:t>
      </w:r>
      <w:r>
        <w:rPr>
          <w:rFonts w:hint="eastAsia" w:ascii="宋体" w:hAnsi="宋体" w:cs="宋体"/>
          <w:color w:val="auto"/>
          <w:kern w:val="0"/>
          <w:szCs w:val="21"/>
          <w:highlight w:val="none"/>
          <w:u w:val="single"/>
        </w:rPr>
        <w:t xml:space="preserve"> </w:t>
      </w:r>
      <w:r>
        <w:rPr>
          <w:rFonts w:hint="eastAsia" w:ascii="宋体" w:hAnsi="宋体" w:cs="宋体"/>
          <w:color w:val="auto"/>
          <w:szCs w:val="21"/>
          <w:highlight w:val="none"/>
          <w:u w:val="single"/>
        </w:rPr>
        <w:t xml:space="preserve"> 1、属于保修范围、内容的项目，承包人应当在接到保修通知之日起三天内派人保修。承包人不在约定期限内派人保修的，发包人有权直接安排维修，费用从工程保修金中扣除，不足部分发包人有权向承包人追索。2、发生紧急抢修事故的，承包人在接到事故通知后，应当立即到达事故现场抢修。3、对于涉及设备的质量问题，应当提出保修方案，及时更换设备，承包人实施保修。属于涉及结构安全的质量问题，应当按照《房屋建筑工程质量保修办法》的规定，立即向当地建设行政主管部门报告，采取安全防范措施；由原设计单位或者具有相应资质等级的设计单位提出保修方案，承包人实施保修。4、质量保修完成后，由发包人组织验收。5、保修费用由造成质量缺陷的责任方承担 。</w:t>
      </w:r>
    </w:p>
    <w:bookmarkEnd w:id="3332"/>
    <w:bookmarkEnd w:id="3333"/>
    <w:bookmarkEnd w:id="3334"/>
    <w:bookmarkEnd w:id="3335"/>
    <w:p>
      <w:pPr>
        <w:pStyle w:val="21"/>
        <w:spacing w:line="360" w:lineRule="auto"/>
        <w:rPr>
          <w:rFonts w:ascii="宋体" w:cs="宋体"/>
          <w:color w:val="auto"/>
          <w:highlight w:val="none"/>
        </w:rPr>
      </w:pPr>
      <w:bookmarkStart w:id="3412" w:name="_Toc418752309"/>
      <w:bookmarkStart w:id="3413" w:name="_Toc418518177"/>
      <w:bookmarkStart w:id="3414" w:name="_Toc389065331"/>
      <w:bookmarkStart w:id="3415" w:name="_Toc418061378"/>
      <w:bookmarkStart w:id="3416" w:name="_Toc3857"/>
      <w:bookmarkStart w:id="3417" w:name="_Toc403579001"/>
      <w:bookmarkStart w:id="3418" w:name="_Toc351203648"/>
      <w:bookmarkStart w:id="3419" w:name="_Toc418751863"/>
      <w:bookmarkStart w:id="3420" w:name="_Toc497746848"/>
      <w:bookmarkStart w:id="3421" w:name="_Toc373227766"/>
      <w:bookmarkStart w:id="3422" w:name="_Toc522201793"/>
      <w:bookmarkStart w:id="3423" w:name="_Toc497747245"/>
      <w:bookmarkStart w:id="3424" w:name="_Toc29364"/>
      <w:bookmarkStart w:id="3425" w:name="_Toc30288"/>
      <w:bookmarkStart w:id="3426" w:name="_Toc418518413"/>
      <w:bookmarkStart w:id="3427" w:name="_Toc373478413"/>
      <w:bookmarkStart w:id="3428" w:name="_Toc30100"/>
      <w:bookmarkStart w:id="3429" w:name="_Toc256000244"/>
      <w:bookmarkStart w:id="3430" w:name="_Toc27896"/>
      <w:bookmarkStart w:id="3431" w:name="_Toc280868717"/>
      <w:bookmarkStart w:id="3432" w:name="_Toc280868718"/>
      <w:r>
        <w:rPr>
          <w:rFonts w:hint="eastAsia" w:ascii="宋体" w:cs="宋体"/>
          <w:color w:val="auto"/>
          <w:highlight w:val="none"/>
        </w:rPr>
        <w:t>16. 违约</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pPr>
        <w:pStyle w:val="21"/>
        <w:spacing w:line="360" w:lineRule="auto"/>
        <w:ind w:firstLine="422" w:firstLineChars="200"/>
        <w:rPr>
          <w:rFonts w:ascii="宋体" w:cs="宋体"/>
          <w:color w:val="auto"/>
          <w:highlight w:val="none"/>
        </w:rPr>
      </w:pPr>
      <w:bookmarkStart w:id="3433" w:name="_Toc204"/>
      <w:bookmarkStart w:id="3434" w:name="_Toc497746849"/>
      <w:bookmarkStart w:id="3435" w:name="_Toc389065332"/>
      <w:bookmarkStart w:id="3436" w:name="_Toc497747246"/>
      <w:bookmarkStart w:id="3437" w:name="_Toc373478414"/>
      <w:bookmarkStart w:id="3438" w:name="_Toc17230"/>
      <w:bookmarkStart w:id="3439" w:name="_Toc418752310"/>
      <w:bookmarkStart w:id="3440" w:name="_Toc403579002"/>
      <w:bookmarkStart w:id="3441" w:name="_Toc418518178"/>
      <w:bookmarkStart w:id="3442" w:name="_Toc418518414"/>
      <w:bookmarkStart w:id="3443" w:name="_Toc18229"/>
      <w:bookmarkStart w:id="3444" w:name="_Toc256000245"/>
      <w:bookmarkStart w:id="3445" w:name="_Toc29323"/>
      <w:bookmarkStart w:id="3446" w:name="_Toc24956"/>
      <w:bookmarkStart w:id="3447" w:name="_Toc373227767"/>
      <w:bookmarkStart w:id="3448" w:name="_Toc418751864"/>
      <w:bookmarkStart w:id="3449" w:name="_Toc522201794"/>
      <w:bookmarkStart w:id="3450" w:name="_Toc418061379"/>
      <w:r>
        <w:rPr>
          <w:rFonts w:hint="eastAsia" w:ascii="宋体" w:cs="宋体"/>
          <w:color w:val="auto"/>
          <w:highlight w:val="none"/>
        </w:rPr>
        <w:t>16.1 发包人违约</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16.1.1发包人违约的情形</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发包人违约的其他情形：</w:t>
      </w:r>
      <w:r>
        <w:rPr>
          <w:rFonts w:hint="eastAsia" w:ascii="宋体" w:hAnsi="宋体" w:cs="宋体"/>
          <w:color w:val="auto"/>
          <w:kern w:val="0"/>
          <w:szCs w:val="21"/>
          <w:highlight w:val="none"/>
          <w:u w:val="single"/>
        </w:rPr>
        <w:t xml:space="preserve">    无   </w:t>
      </w:r>
      <w:r>
        <w:rPr>
          <w:rFonts w:hint="eastAsia" w:ascii="宋体" w:hAnsi="宋体" w:cs="宋体"/>
          <w:color w:val="auto"/>
          <w:kern w:val="0"/>
          <w:szCs w:val="21"/>
          <w:highlight w:val="none"/>
        </w:rPr>
        <w:t>。</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16.1.2 发包人违约的责任</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发包人违约责任的承担方式和计算方法：</w:t>
      </w:r>
    </w:p>
    <w:p>
      <w:pPr>
        <w:pStyle w:val="23"/>
        <w:spacing w:line="360" w:lineRule="auto"/>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（1）因发包人原因未能在计划开工日期前7天内下达开工通知的违约责任：</w:t>
      </w:r>
      <w:r>
        <w:rPr>
          <w:rFonts w:hint="eastAsia" w:ascii="宋体" w:hAnsi="宋体" w:cs="宋体"/>
          <w:color w:val="auto"/>
          <w:kern w:val="0"/>
          <w:szCs w:val="21"/>
          <w:highlight w:val="none"/>
          <w:u w:val="single"/>
        </w:rPr>
        <w:t>工期相应顺延</w:t>
      </w:r>
      <w:r>
        <w:rPr>
          <w:rFonts w:hint="eastAsia" w:ascii="宋体" w:hAnsi="宋体" w:cs="宋体"/>
          <w:color w:val="auto"/>
          <w:kern w:val="0"/>
          <w:szCs w:val="21"/>
          <w:highlight w:val="none"/>
        </w:rPr>
        <w:t>。</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（2）因发包人原因未能按合同约定支付合同价款的违约责任：</w:t>
      </w:r>
      <w:r>
        <w:rPr>
          <w:rFonts w:hint="eastAsia" w:ascii="宋体" w:hAnsi="宋体" w:cs="宋体"/>
          <w:color w:val="auto"/>
          <w:kern w:val="0"/>
          <w:szCs w:val="21"/>
          <w:highlight w:val="none"/>
          <w:u w:val="single"/>
        </w:rPr>
        <w:t xml:space="preserve"> / </w:t>
      </w:r>
      <w:r>
        <w:rPr>
          <w:rFonts w:hint="eastAsia" w:ascii="宋体" w:hAnsi="宋体" w:cs="宋体"/>
          <w:color w:val="auto"/>
          <w:kern w:val="0"/>
          <w:szCs w:val="21"/>
          <w:highlight w:val="none"/>
        </w:rPr>
        <w:t>。</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（3）发包人违反第10.1款〔变更的范围〕第（2）项约定，自行实施被取消的工作或转由他人实施的违约责任：</w:t>
      </w:r>
      <w:r>
        <w:rPr>
          <w:rFonts w:hint="eastAsia" w:ascii="宋体" w:hAnsi="宋体" w:cs="宋体"/>
          <w:color w:val="auto"/>
          <w:kern w:val="0"/>
          <w:szCs w:val="21"/>
          <w:highlight w:val="none"/>
          <w:u w:val="single"/>
        </w:rPr>
        <w:t xml:space="preserve">  按通用条款执行  </w:t>
      </w:r>
      <w:r>
        <w:rPr>
          <w:rFonts w:hint="eastAsia" w:ascii="宋体" w:hAnsi="宋体" w:cs="宋体"/>
          <w:color w:val="auto"/>
          <w:kern w:val="0"/>
          <w:szCs w:val="21"/>
          <w:highlight w:val="none"/>
        </w:rPr>
        <w:t>。</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（4）发包人提供的材料、工程设备的规格、数量或质量不符合合同约定，或因发包人原因导致交货日期延误或交货地点变更等情况的违约责任：</w:t>
      </w:r>
      <w:r>
        <w:rPr>
          <w:rFonts w:hint="eastAsia" w:ascii="宋体" w:hAnsi="宋体" w:cs="宋体"/>
          <w:color w:val="auto"/>
          <w:kern w:val="0"/>
          <w:szCs w:val="21"/>
          <w:highlight w:val="none"/>
          <w:u w:val="single"/>
        </w:rPr>
        <w:t>工期相应顺延</w:t>
      </w:r>
      <w:r>
        <w:rPr>
          <w:rFonts w:hint="eastAsia" w:ascii="宋体" w:hAnsi="宋体" w:cs="宋体"/>
          <w:color w:val="auto"/>
          <w:kern w:val="0"/>
          <w:szCs w:val="21"/>
          <w:highlight w:val="none"/>
        </w:rPr>
        <w:t>。</w:t>
      </w:r>
    </w:p>
    <w:p>
      <w:pPr>
        <w:pStyle w:val="23"/>
        <w:spacing w:line="360" w:lineRule="auto"/>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（5）因发包人违反合同约定造成暂停施工的违约责任：</w:t>
      </w:r>
      <w:r>
        <w:rPr>
          <w:rFonts w:hint="eastAsia" w:ascii="宋体" w:hAnsi="宋体" w:cs="宋体"/>
          <w:color w:val="auto"/>
          <w:kern w:val="0"/>
          <w:szCs w:val="21"/>
          <w:highlight w:val="none"/>
          <w:u w:val="single"/>
        </w:rPr>
        <w:t>按通用条款执行</w:t>
      </w:r>
      <w:r>
        <w:rPr>
          <w:rFonts w:hint="eastAsia" w:ascii="宋体" w:hAnsi="宋体" w:cs="宋体"/>
          <w:color w:val="auto"/>
          <w:kern w:val="0"/>
          <w:szCs w:val="21"/>
          <w:highlight w:val="none"/>
        </w:rPr>
        <w:t>。</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（6）发包人无正当理由没有在约定期限内发出复工指示，导致承包人无法复工的违约责任：</w:t>
      </w:r>
      <w:r>
        <w:rPr>
          <w:rFonts w:hint="eastAsia" w:ascii="宋体" w:hAnsi="宋体" w:cs="宋体"/>
          <w:color w:val="auto"/>
          <w:kern w:val="0"/>
          <w:szCs w:val="21"/>
          <w:highlight w:val="none"/>
          <w:u w:val="single"/>
        </w:rPr>
        <w:t xml:space="preserve">   按通用条款执行</w:t>
      </w:r>
      <w:r>
        <w:rPr>
          <w:rFonts w:hint="eastAsia" w:ascii="宋体" w:hAnsi="宋体" w:cs="宋体"/>
          <w:color w:val="auto"/>
          <w:kern w:val="0"/>
          <w:szCs w:val="21"/>
          <w:highlight w:val="none"/>
        </w:rPr>
        <w:t>。</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（7）其他：</w:t>
      </w:r>
      <w:r>
        <w:rPr>
          <w:rFonts w:hint="eastAsia" w:ascii="宋体" w:hAnsi="宋体" w:cs="宋体"/>
          <w:color w:val="auto"/>
          <w:kern w:val="0"/>
          <w:szCs w:val="21"/>
          <w:highlight w:val="none"/>
          <w:u w:val="single"/>
        </w:rPr>
        <w:t xml:space="preserve">  /  </w:t>
      </w:r>
      <w:r>
        <w:rPr>
          <w:rFonts w:hint="eastAsia" w:ascii="宋体" w:hAnsi="宋体" w:cs="宋体"/>
          <w:color w:val="auto"/>
          <w:kern w:val="0"/>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16.1.3 因发包人违约解除合同</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承包人按16.1.1项〔发包人违约的情形〕约定暂停施工满</w:t>
      </w:r>
      <w:r>
        <w:rPr>
          <w:rFonts w:hint="eastAsia" w:ascii="宋体" w:hAnsi="宋体" w:cs="宋体"/>
          <w:color w:val="auto"/>
          <w:kern w:val="0"/>
          <w:szCs w:val="21"/>
          <w:highlight w:val="none"/>
          <w:u w:val="single"/>
        </w:rPr>
        <w:t xml:space="preserve">  /  </w:t>
      </w:r>
      <w:r>
        <w:rPr>
          <w:rFonts w:hint="eastAsia" w:ascii="宋体" w:hAnsi="宋体" w:cs="宋体"/>
          <w:color w:val="auto"/>
          <w:kern w:val="0"/>
          <w:szCs w:val="21"/>
          <w:highlight w:val="none"/>
        </w:rPr>
        <w:t>天后发包人仍不纠正其违约行为并致使合同目的不能实现的，承包人有权解除合同。</w:t>
      </w:r>
    </w:p>
    <w:p>
      <w:pPr>
        <w:pStyle w:val="21"/>
        <w:spacing w:line="360" w:lineRule="auto"/>
        <w:ind w:firstLine="422" w:firstLineChars="200"/>
        <w:rPr>
          <w:rFonts w:ascii="宋体" w:cs="宋体"/>
          <w:color w:val="auto"/>
          <w:highlight w:val="none"/>
        </w:rPr>
      </w:pPr>
      <w:bookmarkStart w:id="3451" w:name="_Toc13074"/>
      <w:bookmarkStart w:id="3452" w:name="_Toc389065333"/>
      <w:bookmarkStart w:id="3453" w:name="_Toc497746850"/>
      <w:bookmarkStart w:id="3454" w:name="_Toc14905"/>
      <w:bookmarkStart w:id="3455" w:name="_Toc418518415"/>
      <w:bookmarkStart w:id="3456" w:name="_Toc522201795"/>
      <w:bookmarkStart w:id="3457" w:name="_Toc15448"/>
      <w:bookmarkStart w:id="3458" w:name="_Toc256000246"/>
      <w:bookmarkStart w:id="3459" w:name="_Toc403579003"/>
      <w:bookmarkStart w:id="3460" w:name="_Toc497747247"/>
      <w:bookmarkStart w:id="3461" w:name="_Toc30662"/>
      <w:bookmarkStart w:id="3462" w:name="_Toc373478415"/>
      <w:bookmarkStart w:id="3463" w:name="_Toc26397"/>
      <w:bookmarkStart w:id="3464" w:name="_Toc418752311"/>
      <w:bookmarkStart w:id="3465" w:name="_Toc418751865"/>
      <w:bookmarkStart w:id="3466" w:name="_Toc418518179"/>
      <w:bookmarkStart w:id="3467" w:name="_Toc373227768"/>
      <w:bookmarkStart w:id="3468" w:name="_Toc418061380"/>
      <w:r>
        <w:rPr>
          <w:rFonts w:hint="eastAsia" w:ascii="宋体" w:cs="宋体"/>
          <w:color w:val="auto"/>
          <w:highlight w:val="none"/>
        </w:rPr>
        <w:t>16.2 承包人违约</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16.2.1 承包人违约的情形</w:t>
      </w:r>
    </w:p>
    <w:p>
      <w:pPr>
        <w:pStyle w:val="23"/>
        <w:spacing w:line="360" w:lineRule="auto"/>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承包人违约的其他情形：</w:t>
      </w:r>
      <w:r>
        <w:rPr>
          <w:rFonts w:hint="eastAsia" w:ascii="宋体" w:hAnsi="宋体" w:cs="宋体"/>
          <w:color w:val="auto"/>
          <w:kern w:val="0"/>
          <w:szCs w:val="21"/>
          <w:highlight w:val="none"/>
          <w:u w:val="single"/>
        </w:rPr>
        <w:t xml:space="preserve">按通用条款执行 </w:t>
      </w:r>
      <w:r>
        <w:rPr>
          <w:rFonts w:hint="eastAsia" w:ascii="宋体" w:hAnsi="宋体" w:cs="宋体"/>
          <w:color w:val="auto"/>
          <w:kern w:val="0"/>
          <w:szCs w:val="21"/>
          <w:highlight w:val="none"/>
        </w:rPr>
        <w:t>。</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16.2.2承包人违约的责任</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承包人违约责任的承担方式和计算方法：</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承包人未按本合同通用条款第16.2.1（2）、（3）条内容完成的，承包人无条件返工处理，修复至工程质量要求并承担相关费用，并在发包人规定的时间内完成返工，否则发包人有权扣罚该分项工程10%的工程款作为处罚。</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（2）承包人有本合同通用条款第16.2.1（6）条情形的，或经监理人检验认为修复质量不合格而承包人拒绝再进行修补的，发包人将扣除承包人全部质量保证金。</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承包人有本专用合同条款3.2、3.3条违约责任的，发包人有权扣除承包人的违约金。违约金金额均在承包人的履约保证金及计量支付款内扣除。监理人预先下发含有罚款意向的指令，如承包人不及时采取措施纠正，则在指令下达后十五天下发罚款通知书（不再陈述罚款理由）。</w:t>
      </w:r>
      <w:r>
        <w:rPr>
          <w:rFonts w:hint="eastAsia" w:ascii="宋体" w:hAnsi="宋体" w:cs="宋体"/>
          <w:color w:val="auto"/>
          <w:szCs w:val="21"/>
          <w:highlight w:val="none"/>
        </w:rPr>
        <w:t>承包人在合同期内，完成合同规定的全部工程，且质量合格，在本工程施工竣工验收后十五天内可申请返还全部或部分罚款，返还金额由监理人审核，发包人批准。罚款金额返还时不包括银行利息。</w:t>
      </w:r>
      <w:r>
        <w:rPr>
          <w:rFonts w:hint="eastAsia" w:ascii="宋体" w:hAnsi="宋体" w:cs="宋体"/>
          <w:color w:val="auto"/>
          <w:kern w:val="0"/>
          <w:szCs w:val="21"/>
          <w:highlight w:val="none"/>
        </w:rPr>
        <w:t>承包人履约保证金被罚款后由发包人从最后一次计量支付时扣除相应金额补足履约保证金。</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16.2.3 因承包人违约解除合同</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关于承包人违约解除合同的特别约定：</w:t>
      </w:r>
      <w:r>
        <w:rPr>
          <w:rFonts w:hint="eastAsia" w:ascii="宋体" w:hAnsi="宋体" w:cs="宋体"/>
          <w:color w:val="auto"/>
          <w:kern w:val="0"/>
          <w:szCs w:val="21"/>
          <w:highlight w:val="none"/>
          <w:u w:val="single"/>
        </w:rPr>
        <w:t>承包人有违反以下情况之一的，发包人有权解除合同，并没收其全部履约保证金</w:t>
      </w:r>
      <w:r>
        <w:rPr>
          <w:rFonts w:hint="eastAsia" w:ascii="宋体" w:hAnsi="宋体" w:cs="宋体"/>
          <w:color w:val="auto"/>
          <w:kern w:val="0"/>
          <w:szCs w:val="21"/>
          <w:highlight w:val="none"/>
        </w:rPr>
        <w:t>。</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(1)承包人无正当理由不按开工通知的要求及时进场组织施工和不按签订协议书时商定的进度计划有效地开展施工准备，造成工期延误的；</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(2)承包人违反本合同通用条款第3.5条规定私自将合同或合同的任何部分或任何权利转让给其他人，或私自将工程或工程的一部分分包出去的；</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(3)未经监理人批准，承包人私自将已按投标文件承诺进入工地的工程设备、施工设备、临时工程或材料撤离工地的；</w:t>
      </w:r>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(4)由于承包人原因拒绝按合同进度计划及时完成合同规定的工程，而又未采取有效措施赶上进度，造成工期延误的；</w:t>
      </w:r>
    </w:p>
    <w:p>
      <w:pPr>
        <w:pStyle w:val="23"/>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(5)承包人否认合同有效或拒绝履行合同规定的承包人义务，或由于法律、财务等原因导致承包人无法继续履行或实质上已停止履行合同的义务的；</w:t>
      </w:r>
    </w:p>
    <w:p>
      <w:pPr>
        <w:pStyle w:val="23"/>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(6)合同签订之日起十五日内，承包人无法按合同规定及投标文件的承诺进场经监理工程师认可的全部人员和机械的。</w:t>
      </w:r>
    </w:p>
    <w:p>
      <w:pPr>
        <w:pStyle w:val="23"/>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发包人继续使用承包人在施工现场的材料、设备、临时工程、承包人文件和由承包人或以其名义编制的其他文件的费用承担方式：</w:t>
      </w:r>
      <w:r>
        <w:rPr>
          <w:rFonts w:hint="eastAsia" w:ascii="宋体" w:hAnsi="宋体" w:cs="宋体"/>
          <w:color w:val="auto"/>
          <w:kern w:val="0"/>
          <w:szCs w:val="21"/>
          <w:highlight w:val="none"/>
          <w:u w:val="single"/>
        </w:rPr>
        <w:t xml:space="preserve">   协商决定   </w:t>
      </w:r>
      <w:r>
        <w:rPr>
          <w:rFonts w:hint="eastAsia" w:ascii="宋体" w:hAnsi="宋体" w:cs="宋体"/>
          <w:color w:val="auto"/>
          <w:kern w:val="0"/>
          <w:szCs w:val="21"/>
          <w:highlight w:val="none"/>
        </w:rPr>
        <w:t>。</w:t>
      </w:r>
    </w:p>
    <w:p>
      <w:pPr>
        <w:pStyle w:val="21"/>
        <w:spacing w:line="360" w:lineRule="auto"/>
        <w:rPr>
          <w:rFonts w:ascii="宋体" w:cs="宋体"/>
          <w:color w:val="auto"/>
          <w:highlight w:val="none"/>
        </w:rPr>
      </w:pPr>
      <w:bookmarkStart w:id="3469" w:name="_Toc522201796"/>
      <w:bookmarkStart w:id="3470" w:name="_Toc29583"/>
      <w:bookmarkStart w:id="3471" w:name="_Toc351203649"/>
      <w:bookmarkStart w:id="3472" w:name="_Toc497746851"/>
      <w:bookmarkStart w:id="3473" w:name="_Toc418061381"/>
      <w:bookmarkStart w:id="3474" w:name="_Toc418752312"/>
      <w:bookmarkStart w:id="3475" w:name="_Toc403579004"/>
      <w:bookmarkStart w:id="3476" w:name="_Toc373227769"/>
      <w:bookmarkStart w:id="3477" w:name="_Toc373478416"/>
      <w:bookmarkStart w:id="3478" w:name="_Toc418751866"/>
      <w:bookmarkStart w:id="3479" w:name="_Toc32525"/>
      <w:bookmarkStart w:id="3480" w:name="_Toc22432"/>
      <w:bookmarkStart w:id="3481" w:name="_Toc256000247"/>
      <w:bookmarkStart w:id="3482" w:name="_Toc418518416"/>
      <w:bookmarkStart w:id="3483" w:name="_Toc497747248"/>
      <w:bookmarkStart w:id="3484" w:name="_Toc418518180"/>
      <w:bookmarkStart w:id="3485" w:name="_Toc389065334"/>
      <w:bookmarkStart w:id="3486" w:name="_Toc24894"/>
      <w:bookmarkStart w:id="3487" w:name="_Toc10822"/>
      <w:r>
        <w:rPr>
          <w:rFonts w:hint="eastAsia" w:ascii="宋体" w:cs="宋体"/>
          <w:color w:val="auto"/>
          <w:highlight w:val="none"/>
        </w:rPr>
        <w:t>17. 不可抗力</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r>
        <w:rPr>
          <w:rFonts w:hint="eastAsia" w:ascii="宋体" w:cs="宋体"/>
          <w:color w:val="auto"/>
          <w:highlight w:val="none"/>
        </w:rPr>
        <w:t xml:space="preserve"> </w:t>
      </w:r>
      <w:bookmarkEnd w:id="3431"/>
    </w:p>
    <w:p>
      <w:pPr>
        <w:pStyle w:val="21"/>
        <w:spacing w:line="360" w:lineRule="auto"/>
        <w:ind w:firstLine="422" w:firstLineChars="200"/>
        <w:rPr>
          <w:rFonts w:ascii="宋体" w:cs="宋体"/>
          <w:color w:val="auto"/>
          <w:highlight w:val="none"/>
        </w:rPr>
      </w:pPr>
      <w:bookmarkStart w:id="3488" w:name="_Toc373478417"/>
      <w:bookmarkStart w:id="3489" w:name="_Toc17549"/>
      <w:bookmarkStart w:id="3490" w:name="_Toc403579005"/>
      <w:bookmarkStart w:id="3491" w:name="_Toc389065335"/>
      <w:bookmarkStart w:id="3492" w:name="_Toc418518181"/>
      <w:bookmarkStart w:id="3493" w:name="_Toc27809"/>
      <w:bookmarkStart w:id="3494" w:name="_Toc10643"/>
      <w:bookmarkStart w:id="3495" w:name="_Toc418752313"/>
      <w:bookmarkStart w:id="3496" w:name="_Toc25479"/>
      <w:bookmarkStart w:id="3497" w:name="_Toc497746852"/>
      <w:bookmarkStart w:id="3498" w:name="_Toc418061382"/>
      <w:bookmarkStart w:id="3499" w:name="_Toc18774"/>
      <w:bookmarkStart w:id="3500" w:name="_Toc522201797"/>
      <w:bookmarkStart w:id="3501" w:name="_Toc373227770"/>
      <w:bookmarkStart w:id="3502" w:name="_Toc497747249"/>
      <w:bookmarkStart w:id="3503" w:name="_Toc256000248"/>
      <w:bookmarkStart w:id="3504" w:name="_Toc418751867"/>
      <w:bookmarkStart w:id="3505" w:name="_Toc418518417"/>
      <w:r>
        <w:rPr>
          <w:rFonts w:hint="eastAsia" w:ascii="宋体" w:cs="宋体"/>
          <w:color w:val="auto"/>
          <w:highlight w:val="none"/>
        </w:rPr>
        <w:t>17.1 不可抗力的确认</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pPr>
        <w:pStyle w:val="23"/>
        <w:spacing w:line="360" w:lineRule="auto"/>
        <w:ind w:firstLine="420" w:firstLineChars="200"/>
        <w:rPr>
          <w:rFonts w:ascii="宋体" w:hAnsi="宋体" w:cs="宋体"/>
          <w:color w:val="auto"/>
          <w:kern w:val="0"/>
          <w:szCs w:val="21"/>
          <w:highlight w:val="none"/>
          <w:u w:val="single"/>
        </w:rPr>
      </w:pPr>
      <w:r>
        <w:rPr>
          <w:rFonts w:hint="eastAsia" w:ascii="宋体" w:hAnsi="宋体" w:cs="宋体"/>
          <w:color w:val="auto"/>
          <w:szCs w:val="21"/>
          <w:highlight w:val="none"/>
        </w:rPr>
        <w:t>除通用合同条款约定的不可抗力事件之外，视为不可抗力的其他情形：</w:t>
      </w:r>
      <w:r>
        <w:rPr>
          <w:rFonts w:hint="eastAsia" w:ascii="宋体" w:hAnsi="宋体" w:cs="宋体"/>
          <w:color w:val="auto"/>
          <w:kern w:val="0"/>
          <w:szCs w:val="21"/>
          <w:highlight w:val="none"/>
          <w:u w:val="single"/>
        </w:rPr>
        <w:t>（1）、6级以上地震；（2）、10级以上持续1天的大风；（3）、暴雨级以上持续1天的大雨；（4）、50年以上未发生过，持续2天的高温天气；（5）、50年以上未发生过，持续2天的低温天气；（6）、50年以上未发生过 的洪水；（7）、战争、敌对行动（不论宣战与否）、入侵、外敌行动；（8）、暴乱、骚乱、叛乱、革命、暴动，或军事政变、篡夺政权、内战等；（9）、由于任何有危险性物质所引起的离子辐射或放射性污染；（10）、以音速飞行的飞机或其他飞行装置产生的压力波；（11）、对以上几种形式，应以造成灾害和影响施工为准</w:t>
      </w:r>
      <w:r>
        <w:rPr>
          <w:rFonts w:hint="eastAsia" w:ascii="宋体" w:hAnsi="宋体" w:cs="宋体"/>
          <w:color w:val="auto"/>
          <w:kern w:val="0"/>
          <w:szCs w:val="21"/>
          <w:highlight w:val="none"/>
        </w:rPr>
        <w:t>。</w:t>
      </w:r>
    </w:p>
    <w:p>
      <w:pPr>
        <w:pStyle w:val="21"/>
        <w:spacing w:line="360" w:lineRule="auto"/>
        <w:ind w:firstLine="422" w:firstLineChars="200"/>
        <w:rPr>
          <w:rFonts w:ascii="宋体" w:cs="宋体"/>
          <w:color w:val="auto"/>
          <w:highlight w:val="none"/>
        </w:rPr>
      </w:pPr>
      <w:bookmarkStart w:id="3506" w:name="_Toc418061383"/>
      <w:bookmarkStart w:id="3507" w:name="_Toc31547"/>
      <w:bookmarkStart w:id="3508" w:name="_Toc403579006"/>
      <w:bookmarkStart w:id="3509" w:name="_Toc4657"/>
      <w:bookmarkStart w:id="3510" w:name="_Toc373478418"/>
      <w:bookmarkStart w:id="3511" w:name="_Toc418518418"/>
      <w:bookmarkStart w:id="3512" w:name="_Toc497746853"/>
      <w:bookmarkStart w:id="3513" w:name="_Toc497747250"/>
      <w:bookmarkStart w:id="3514" w:name="_Toc389065336"/>
      <w:bookmarkStart w:id="3515" w:name="_Toc373227771"/>
      <w:bookmarkStart w:id="3516" w:name="_Toc418752314"/>
      <w:bookmarkStart w:id="3517" w:name="_Toc2303"/>
      <w:bookmarkStart w:id="3518" w:name="_Toc23025"/>
      <w:bookmarkStart w:id="3519" w:name="_Toc6452"/>
      <w:bookmarkStart w:id="3520" w:name="_Toc522201798"/>
      <w:bookmarkStart w:id="3521" w:name="_Toc256000249"/>
      <w:bookmarkStart w:id="3522" w:name="_Toc418751868"/>
      <w:bookmarkStart w:id="3523" w:name="_Toc418518182"/>
      <w:r>
        <w:rPr>
          <w:rFonts w:hint="eastAsia" w:ascii="宋体" w:cs="宋体"/>
          <w:color w:val="auto"/>
          <w:highlight w:val="none"/>
        </w:rPr>
        <w:t>17.4 因不可抗力解除合同</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合同解除后，发包人应在商定或确定发包人应支付款项后</w:t>
      </w:r>
      <w:r>
        <w:rPr>
          <w:rFonts w:hint="eastAsia" w:ascii="宋体" w:hAnsi="宋体" w:cs="宋体"/>
          <w:color w:val="auto"/>
          <w:szCs w:val="21"/>
          <w:highlight w:val="none"/>
          <w:u w:val="single"/>
        </w:rPr>
        <w:t xml:space="preserve"> 30 </w:t>
      </w:r>
      <w:r>
        <w:rPr>
          <w:rFonts w:hint="eastAsia" w:ascii="宋体" w:hAnsi="宋体" w:cs="宋体"/>
          <w:color w:val="auto"/>
          <w:szCs w:val="21"/>
          <w:highlight w:val="none"/>
        </w:rPr>
        <w:t>天内完成款项的支付。</w:t>
      </w:r>
    </w:p>
    <w:p>
      <w:pPr>
        <w:pStyle w:val="21"/>
        <w:spacing w:line="360" w:lineRule="auto"/>
        <w:rPr>
          <w:rFonts w:ascii="宋体" w:cs="宋体"/>
          <w:color w:val="auto"/>
          <w:highlight w:val="none"/>
        </w:rPr>
      </w:pPr>
      <w:bookmarkStart w:id="3524" w:name="_Toc389065337"/>
      <w:bookmarkStart w:id="3525" w:name="_Toc497746854"/>
      <w:bookmarkStart w:id="3526" w:name="_Toc403579007"/>
      <w:bookmarkStart w:id="3527" w:name="_Toc522201799"/>
      <w:bookmarkStart w:id="3528" w:name="_Toc418518419"/>
      <w:bookmarkStart w:id="3529" w:name="_Toc373227772"/>
      <w:bookmarkStart w:id="3530" w:name="_Toc13026"/>
      <w:bookmarkStart w:id="3531" w:name="_Toc418752315"/>
      <w:bookmarkStart w:id="3532" w:name="_Toc351203650"/>
      <w:bookmarkStart w:id="3533" w:name="_Toc418061384"/>
      <w:bookmarkStart w:id="3534" w:name="_Toc16511"/>
      <w:bookmarkStart w:id="3535" w:name="_Toc373478419"/>
      <w:bookmarkStart w:id="3536" w:name="_Toc21539"/>
      <w:bookmarkStart w:id="3537" w:name="_Toc418751869"/>
      <w:bookmarkStart w:id="3538" w:name="_Toc256000250"/>
      <w:bookmarkStart w:id="3539" w:name="_Toc418518183"/>
      <w:bookmarkStart w:id="3540" w:name="_Toc497747251"/>
      <w:bookmarkStart w:id="3541" w:name="_Toc26333"/>
      <w:bookmarkStart w:id="3542" w:name="_Toc8737"/>
      <w:r>
        <w:rPr>
          <w:rFonts w:hint="eastAsia" w:ascii="宋体" w:cs="宋体"/>
          <w:color w:val="auto"/>
          <w:highlight w:val="none"/>
        </w:rPr>
        <w:t>18. 保险</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p>
    <w:bookmarkEnd w:id="3432"/>
    <w:p>
      <w:pPr>
        <w:pStyle w:val="21"/>
        <w:spacing w:line="360" w:lineRule="auto"/>
        <w:ind w:firstLine="422" w:firstLineChars="200"/>
        <w:rPr>
          <w:rFonts w:ascii="宋体" w:cs="宋体"/>
          <w:color w:val="auto"/>
          <w:highlight w:val="none"/>
        </w:rPr>
      </w:pPr>
      <w:bookmarkStart w:id="3543" w:name="_Toc418751870"/>
      <w:bookmarkStart w:id="3544" w:name="_Toc373227773"/>
      <w:bookmarkStart w:id="3545" w:name="_Toc373478420"/>
      <w:bookmarkStart w:id="3546" w:name="_Toc9573"/>
      <w:bookmarkStart w:id="3547" w:name="_Toc403579008"/>
      <w:bookmarkStart w:id="3548" w:name="_Toc418752316"/>
      <w:bookmarkStart w:id="3549" w:name="_Toc27988"/>
      <w:bookmarkStart w:id="3550" w:name="_Toc21597"/>
      <w:bookmarkStart w:id="3551" w:name="_Toc256000251"/>
      <w:bookmarkStart w:id="3552" w:name="_Toc389065338"/>
      <w:bookmarkStart w:id="3553" w:name="_Toc418061385"/>
      <w:bookmarkStart w:id="3554" w:name="_Toc418518184"/>
      <w:bookmarkStart w:id="3555" w:name="_Toc7506"/>
      <w:bookmarkStart w:id="3556" w:name="_Toc2403"/>
      <w:bookmarkStart w:id="3557" w:name="_Toc418518420"/>
      <w:bookmarkStart w:id="3558" w:name="_Toc497746855"/>
      <w:bookmarkStart w:id="3559" w:name="_Toc497747252"/>
      <w:bookmarkStart w:id="3560" w:name="_Toc522201800"/>
      <w:r>
        <w:rPr>
          <w:rFonts w:hint="eastAsia" w:ascii="宋体" w:cs="宋体"/>
          <w:color w:val="auto"/>
          <w:highlight w:val="none"/>
        </w:rPr>
        <w:t>18.1 工程保险</w:t>
      </w:r>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关于工程保险的特别约定：</w:t>
      </w:r>
      <w:r>
        <w:rPr>
          <w:rFonts w:hint="eastAsia" w:ascii="宋体" w:hAnsi="宋体" w:cs="宋体"/>
          <w:color w:val="auto"/>
          <w:kern w:val="0"/>
          <w:szCs w:val="21"/>
          <w:highlight w:val="none"/>
          <w:u w:val="single"/>
        </w:rPr>
        <w:t>承包人应投保建筑工程一切险并承担与之相关的所有费用</w:t>
      </w:r>
      <w:r>
        <w:rPr>
          <w:rFonts w:hint="eastAsia" w:ascii="宋体" w:hAnsi="宋体" w:cs="宋体"/>
          <w:color w:val="auto"/>
          <w:kern w:val="0"/>
          <w:szCs w:val="21"/>
          <w:highlight w:val="none"/>
        </w:rPr>
        <w:t>。</w:t>
      </w:r>
    </w:p>
    <w:p>
      <w:pPr>
        <w:pStyle w:val="21"/>
        <w:spacing w:line="360" w:lineRule="auto"/>
        <w:ind w:firstLine="422" w:firstLineChars="200"/>
        <w:rPr>
          <w:rFonts w:ascii="宋体" w:cs="宋体"/>
          <w:color w:val="auto"/>
          <w:highlight w:val="none"/>
        </w:rPr>
      </w:pPr>
      <w:bookmarkStart w:id="3561" w:name="_Toc403579009"/>
      <w:bookmarkStart w:id="3562" w:name="_Toc256000252"/>
      <w:bookmarkStart w:id="3563" w:name="_Toc418752317"/>
      <w:bookmarkStart w:id="3564" w:name="_Toc4365"/>
      <w:bookmarkStart w:id="3565" w:name="_Toc373227774"/>
      <w:bookmarkStart w:id="3566" w:name="_Toc22170"/>
      <w:bookmarkStart w:id="3567" w:name="_Toc418518185"/>
      <w:bookmarkStart w:id="3568" w:name="_Toc497746856"/>
      <w:bookmarkStart w:id="3569" w:name="_Toc418518421"/>
      <w:bookmarkStart w:id="3570" w:name="_Toc418061386"/>
      <w:bookmarkStart w:id="3571" w:name="_Toc389065339"/>
      <w:bookmarkStart w:id="3572" w:name="_Toc522201801"/>
      <w:bookmarkStart w:id="3573" w:name="_Toc21398"/>
      <w:bookmarkStart w:id="3574" w:name="_Toc497747253"/>
      <w:bookmarkStart w:id="3575" w:name="_Toc32162"/>
      <w:bookmarkStart w:id="3576" w:name="_Toc418751871"/>
      <w:bookmarkStart w:id="3577" w:name="_Toc2472"/>
      <w:bookmarkStart w:id="3578" w:name="_Toc373478421"/>
      <w:r>
        <w:rPr>
          <w:rFonts w:hint="eastAsia" w:ascii="宋体" w:cs="宋体"/>
          <w:color w:val="auto"/>
          <w:highlight w:val="none"/>
        </w:rPr>
        <w:t>18.3 其他保险</w:t>
      </w:r>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p>
    <w:p>
      <w:pPr>
        <w:pStyle w:val="23"/>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szCs w:val="21"/>
          <w:highlight w:val="none"/>
        </w:rPr>
        <w:t>关于其他保险的约定：</w:t>
      </w:r>
      <w:r>
        <w:rPr>
          <w:rFonts w:hint="eastAsia" w:ascii="宋体" w:hAnsi="宋体" w:cs="宋体"/>
          <w:color w:val="auto"/>
          <w:kern w:val="0"/>
          <w:szCs w:val="21"/>
          <w:highlight w:val="none"/>
          <w:u w:val="single"/>
        </w:rPr>
        <w:t>承包人根据市建协字【2009】3号文必须</w:t>
      </w:r>
      <w:r>
        <w:rPr>
          <w:rFonts w:hint="eastAsia" w:ascii="宋体" w:hAnsi="宋体" w:cs="宋体"/>
          <w:color w:val="auto"/>
          <w:szCs w:val="21"/>
          <w:highlight w:val="none"/>
          <w:u w:val="single"/>
        </w:rPr>
        <w:t>为施工现场从事施工的所有作业人员和管理人员办理意外伤害保险，并支付保险费</w:t>
      </w:r>
      <w:r>
        <w:rPr>
          <w:rFonts w:hint="eastAsia" w:ascii="宋体" w:hAnsi="宋体" w:cs="宋体"/>
          <w:bCs/>
          <w:color w:val="auto"/>
          <w:szCs w:val="21"/>
          <w:highlight w:val="none"/>
        </w:rPr>
        <w:t>。</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承包人是否应为其施工设备等办理财产保险：</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u w:val="single"/>
        </w:rPr>
        <w:t>按通用条款执行，无特殊约定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1"/>
        <w:spacing w:line="360" w:lineRule="auto"/>
        <w:ind w:firstLine="422" w:firstLineChars="200"/>
        <w:rPr>
          <w:rFonts w:ascii="宋体" w:cs="宋体"/>
          <w:color w:val="auto"/>
          <w:highlight w:val="none"/>
        </w:rPr>
      </w:pPr>
      <w:bookmarkStart w:id="3579" w:name="_Toc7131"/>
      <w:bookmarkStart w:id="3580" w:name="_Toc418061387"/>
      <w:bookmarkStart w:id="3581" w:name="_Toc418518422"/>
      <w:bookmarkStart w:id="3582" w:name="_Toc497746857"/>
      <w:bookmarkStart w:id="3583" w:name="_Toc522201802"/>
      <w:bookmarkStart w:id="3584" w:name="_Toc29246"/>
      <w:bookmarkStart w:id="3585" w:name="_Toc256000253"/>
      <w:bookmarkStart w:id="3586" w:name="_Toc373478422"/>
      <w:bookmarkStart w:id="3587" w:name="_Toc424"/>
      <w:bookmarkStart w:id="3588" w:name="_Toc418752318"/>
      <w:bookmarkStart w:id="3589" w:name="_Toc389065340"/>
      <w:bookmarkStart w:id="3590" w:name="_Toc418518186"/>
      <w:bookmarkStart w:id="3591" w:name="_Toc418751872"/>
      <w:bookmarkStart w:id="3592" w:name="_Toc24815"/>
      <w:bookmarkStart w:id="3593" w:name="_Toc497747254"/>
      <w:bookmarkStart w:id="3594" w:name="_Toc5627"/>
      <w:bookmarkStart w:id="3595" w:name="_Toc403579010"/>
      <w:bookmarkStart w:id="3596" w:name="_Toc373227775"/>
      <w:r>
        <w:rPr>
          <w:rFonts w:hint="eastAsia" w:ascii="宋体" w:cs="宋体"/>
          <w:color w:val="auto"/>
          <w:highlight w:val="none"/>
        </w:rPr>
        <w:t>18.7 通知义务</w:t>
      </w:r>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kern w:val="0"/>
          <w:szCs w:val="21"/>
          <w:highlight w:val="none"/>
        </w:rPr>
        <w:t>关于变更保险合同时的通知义务的约定：</w:t>
      </w:r>
      <w:r>
        <w:rPr>
          <w:rFonts w:hint="eastAsia" w:ascii="宋体" w:hAnsi="宋体" w:cs="宋体"/>
          <w:color w:val="auto"/>
          <w:szCs w:val="21"/>
          <w:highlight w:val="none"/>
          <w:u w:val="single"/>
        </w:rPr>
        <w:t xml:space="preserve">  变更应通知当事人 </w:t>
      </w:r>
      <w:r>
        <w:rPr>
          <w:rFonts w:hint="eastAsia" w:ascii="宋体" w:hAnsi="宋体" w:cs="宋体"/>
          <w:color w:val="auto"/>
          <w:kern w:val="0"/>
          <w:szCs w:val="21"/>
          <w:highlight w:val="none"/>
          <w:u w:val="single"/>
        </w:rPr>
        <w:t xml:space="preserve"> </w:t>
      </w:r>
      <w:r>
        <w:rPr>
          <w:rFonts w:hint="eastAsia" w:ascii="宋体" w:hAnsi="宋体" w:cs="宋体"/>
          <w:color w:val="auto"/>
          <w:szCs w:val="21"/>
          <w:highlight w:val="none"/>
        </w:rPr>
        <w:t>。</w:t>
      </w:r>
    </w:p>
    <w:bookmarkEnd w:id="3336"/>
    <w:bookmarkEnd w:id="3337"/>
    <w:bookmarkEnd w:id="3338"/>
    <w:bookmarkEnd w:id="3339"/>
    <w:bookmarkEnd w:id="3340"/>
    <w:bookmarkEnd w:id="3341"/>
    <w:bookmarkEnd w:id="3342"/>
    <w:bookmarkEnd w:id="3343"/>
    <w:bookmarkEnd w:id="3344"/>
    <w:bookmarkEnd w:id="3345"/>
    <w:bookmarkEnd w:id="3346"/>
    <w:bookmarkEnd w:id="3347"/>
    <w:p>
      <w:pPr>
        <w:pStyle w:val="21"/>
        <w:spacing w:line="360" w:lineRule="auto"/>
        <w:rPr>
          <w:rFonts w:ascii="宋体" w:cs="宋体"/>
          <w:color w:val="auto"/>
          <w:highlight w:val="none"/>
        </w:rPr>
      </w:pPr>
      <w:bookmarkStart w:id="3597" w:name="_Toc418518187"/>
      <w:bookmarkStart w:id="3598" w:name="_Toc418518423"/>
      <w:bookmarkStart w:id="3599" w:name="_Toc497746858"/>
      <w:bookmarkStart w:id="3600" w:name="_Toc403579011"/>
      <w:bookmarkStart w:id="3601" w:name="_Toc373478423"/>
      <w:bookmarkStart w:id="3602" w:name="_Toc24571"/>
      <w:bookmarkStart w:id="3603" w:name="_Toc6479"/>
      <w:bookmarkStart w:id="3604" w:name="_Toc418752319"/>
      <w:bookmarkStart w:id="3605" w:name="_Toc21857"/>
      <w:bookmarkStart w:id="3606" w:name="_Toc9119"/>
      <w:bookmarkStart w:id="3607" w:name="_Toc373227776"/>
      <w:bookmarkStart w:id="3608" w:name="_Toc389065341"/>
      <w:bookmarkStart w:id="3609" w:name="_Toc522201803"/>
      <w:bookmarkStart w:id="3610" w:name="_Toc497747255"/>
      <w:bookmarkStart w:id="3611" w:name="_Toc256000254"/>
      <w:bookmarkStart w:id="3612" w:name="_Toc418751873"/>
      <w:bookmarkStart w:id="3613" w:name="_Toc418061388"/>
      <w:bookmarkStart w:id="3614" w:name="_Toc351203651"/>
      <w:bookmarkStart w:id="3615" w:name="_Toc6293"/>
      <w:r>
        <w:rPr>
          <w:rFonts w:hint="eastAsia" w:ascii="宋体" w:cs="宋体"/>
          <w:color w:val="auto"/>
          <w:highlight w:val="none"/>
        </w:rPr>
        <w:t>20. 争议解决</w:t>
      </w:r>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p>
    <w:bookmarkEnd w:id="3348"/>
    <w:bookmarkEnd w:id="3349"/>
    <w:p>
      <w:pPr>
        <w:pStyle w:val="21"/>
        <w:spacing w:line="360" w:lineRule="auto"/>
        <w:ind w:firstLine="422" w:firstLineChars="200"/>
        <w:rPr>
          <w:rFonts w:ascii="宋体" w:cs="宋体"/>
          <w:color w:val="auto"/>
          <w:highlight w:val="none"/>
        </w:rPr>
      </w:pPr>
      <w:bookmarkStart w:id="3616" w:name="_Toc418518424"/>
      <w:bookmarkStart w:id="3617" w:name="_Toc403579012"/>
      <w:bookmarkStart w:id="3618" w:name="_Toc418751874"/>
      <w:bookmarkStart w:id="3619" w:name="_Toc373478424"/>
      <w:bookmarkStart w:id="3620" w:name="_Toc497747256"/>
      <w:bookmarkStart w:id="3621" w:name="_Toc2422"/>
      <w:bookmarkStart w:id="3622" w:name="_Toc373227777"/>
      <w:bookmarkStart w:id="3623" w:name="_Toc418752320"/>
      <w:bookmarkStart w:id="3624" w:name="_Toc256000255"/>
      <w:bookmarkStart w:id="3625" w:name="_Toc13619"/>
      <w:bookmarkStart w:id="3626" w:name="_Toc23495"/>
      <w:bookmarkStart w:id="3627" w:name="_Toc4971"/>
      <w:bookmarkStart w:id="3628" w:name="_Toc389065342"/>
      <w:bookmarkStart w:id="3629" w:name="_Toc18791"/>
      <w:bookmarkStart w:id="3630" w:name="_Toc418061389"/>
      <w:bookmarkStart w:id="3631" w:name="_Toc418518188"/>
      <w:bookmarkStart w:id="3632" w:name="_Toc522201804"/>
      <w:bookmarkStart w:id="3633" w:name="_Toc497746859"/>
      <w:r>
        <w:rPr>
          <w:rFonts w:hint="eastAsia" w:ascii="宋体" w:cs="宋体"/>
          <w:color w:val="auto"/>
          <w:highlight w:val="none"/>
        </w:rPr>
        <w:t>20.3 争</w:t>
      </w:r>
      <w:bookmarkEnd w:id="3350"/>
      <w:r>
        <w:rPr>
          <w:rFonts w:hint="eastAsia" w:ascii="宋体" w:cs="宋体"/>
          <w:color w:val="auto"/>
          <w:highlight w:val="none"/>
        </w:rPr>
        <w:t>议评审</w:t>
      </w:r>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p>
    <w:p>
      <w:pPr>
        <w:pStyle w:val="23"/>
        <w:spacing w:line="360" w:lineRule="auto"/>
        <w:ind w:left="149" w:leftChars="71" w:firstLine="315" w:firstLineChars="150"/>
        <w:jc w:val="left"/>
        <w:rPr>
          <w:rFonts w:ascii="宋体" w:hAnsi="宋体" w:cs="宋体"/>
          <w:color w:val="auto"/>
          <w:szCs w:val="21"/>
          <w:highlight w:val="none"/>
          <w:u w:val="single"/>
        </w:rPr>
      </w:pPr>
      <w:r>
        <w:rPr>
          <w:rFonts w:hint="eastAsia" w:ascii="宋体" w:hAnsi="宋体" w:cs="宋体"/>
          <w:color w:val="auto"/>
          <w:szCs w:val="21"/>
          <w:highlight w:val="none"/>
        </w:rPr>
        <w:t>合同当事人是否同意将工程争议提交争议评审小组决定：</w:t>
      </w:r>
      <w:r>
        <w:rPr>
          <w:rFonts w:hint="eastAsia" w:ascii="宋体" w:hAnsi="宋体" w:cs="宋体"/>
          <w:color w:val="auto"/>
          <w:szCs w:val="21"/>
          <w:highlight w:val="none"/>
          <w:u w:val="single"/>
        </w:rPr>
        <w:t xml:space="preserve">  不同意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20.3.1 争议评审小组的确定</w:t>
      </w:r>
    </w:p>
    <w:p>
      <w:pPr>
        <w:pStyle w:val="23"/>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争议评审小组成员的确定：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选定争议评审员的期限：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争议评审小组成员的报酬承担方式：</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其他事项的约定：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3"/>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20.3.2 争议评审小组的决定</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合同当事人关于本项的约定：</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Style w:val="21"/>
        <w:spacing w:line="360" w:lineRule="auto"/>
        <w:ind w:firstLine="422" w:firstLineChars="200"/>
        <w:rPr>
          <w:rFonts w:ascii="宋体" w:cs="宋体"/>
          <w:color w:val="auto"/>
          <w:highlight w:val="none"/>
        </w:rPr>
      </w:pPr>
      <w:bookmarkStart w:id="3634" w:name="_Toc24216"/>
      <w:bookmarkStart w:id="3635" w:name="_Toc389065343"/>
      <w:bookmarkStart w:id="3636" w:name="_Toc497747257"/>
      <w:bookmarkStart w:id="3637" w:name="_Toc12759"/>
      <w:bookmarkStart w:id="3638" w:name="_Toc418518425"/>
      <w:bookmarkStart w:id="3639" w:name="_Toc418751875"/>
      <w:bookmarkStart w:id="3640" w:name="_Toc373227778"/>
      <w:bookmarkStart w:id="3641" w:name="_Toc497746860"/>
      <w:bookmarkStart w:id="3642" w:name="_Toc522201805"/>
      <w:bookmarkStart w:id="3643" w:name="_Toc418061390"/>
      <w:bookmarkStart w:id="3644" w:name="_Toc256000256"/>
      <w:bookmarkStart w:id="3645" w:name="_Toc31142"/>
      <w:bookmarkStart w:id="3646" w:name="_Toc23407"/>
      <w:bookmarkStart w:id="3647" w:name="_Toc17838"/>
      <w:bookmarkStart w:id="3648" w:name="_Toc418752321"/>
      <w:bookmarkStart w:id="3649" w:name="_Toc373478425"/>
      <w:bookmarkStart w:id="3650" w:name="_Toc418518189"/>
      <w:bookmarkStart w:id="3651" w:name="_Toc403579013"/>
      <w:r>
        <w:rPr>
          <w:rFonts w:hint="eastAsia" w:ascii="宋体" w:cs="宋体"/>
          <w:color w:val="auto"/>
          <w:highlight w:val="none"/>
        </w:rPr>
        <w:t>20.4 仲裁或诉讼</w:t>
      </w:r>
      <w:bookmarkEnd w:id="3351"/>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p>
    <w:p>
      <w:pPr>
        <w:pStyle w:val="23"/>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因合同及合同有关事项发生的争议，按下列第</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种方式解决：</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（1）提请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仲裁委员会按照该会仲裁规则进行仲裁，仲裁裁决是终局的，对合同双方均有约束力。</w:t>
      </w:r>
    </w:p>
    <w:p>
      <w:pPr>
        <w:pStyle w:val="23"/>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（2）向</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人民法院起诉。</w:t>
      </w:r>
      <w:bookmarkEnd w:id="3352"/>
      <w:bookmarkEnd w:id="3353"/>
      <w:bookmarkEnd w:id="3354"/>
      <w:bookmarkEnd w:id="3355"/>
      <w:bookmarkEnd w:id="3356"/>
      <w:bookmarkEnd w:id="3357"/>
    </w:p>
    <w:p>
      <w:pPr>
        <w:pStyle w:val="21"/>
        <w:spacing w:line="360" w:lineRule="auto"/>
        <w:rPr>
          <w:rFonts w:ascii="宋体" w:cs="宋体"/>
          <w:color w:val="auto"/>
          <w:highlight w:val="none"/>
        </w:rPr>
      </w:pPr>
      <w:bookmarkStart w:id="3652" w:name="_Toc389065344"/>
      <w:bookmarkStart w:id="3653" w:name="_Toc373478426"/>
      <w:bookmarkStart w:id="3654" w:name="_Toc395382582"/>
      <w:bookmarkStart w:id="3655" w:name="_Toc13182"/>
      <w:bookmarkStart w:id="3656" w:name="_Toc373227779"/>
      <w:bookmarkStart w:id="3657" w:name="_Toc30356"/>
      <w:bookmarkStart w:id="3658" w:name="_Toc497747258"/>
      <w:bookmarkStart w:id="3659" w:name="_Toc14512"/>
      <w:bookmarkStart w:id="3660" w:name="_Toc522201806"/>
      <w:bookmarkStart w:id="3661" w:name="_Toc30277"/>
      <w:bookmarkStart w:id="3662" w:name="_Toc497746861"/>
      <w:bookmarkStart w:id="3663" w:name="_Toc256000257"/>
      <w:bookmarkStart w:id="3664" w:name="_Toc9508"/>
      <w:r>
        <w:rPr>
          <w:rFonts w:hint="eastAsia" w:ascii="宋体" w:cs="宋体"/>
          <w:color w:val="auto"/>
          <w:highlight w:val="none"/>
        </w:rPr>
        <w:t>21. 补充条款</w:t>
      </w:r>
      <w:bookmarkEnd w:id="3652"/>
      <w:bookmarkEnd w:id="3653"/>
      <w:bookmarkEnd w:id="3654"/>
      <w:bookmarkEnd w:id="3655"/>
      <w:bookmarkEnd w:id="3656"/>
      <w:bookmarkEnd w:id="3657"/>
      <w:bookmarkEnd w:id="3658"/>
      <w:bookmarkEnd w:id="3659"/>
      <w:bookmarkEnd w:id="3660"/>
      <w:bookmarkEnd w:id="3661"/>
      <w:bookmarkEnd w:id="3662"/>
      <w:bookmarkEnd w:id="3663"/>
      <w:bookmarkEnd w:id="3664"/>
    </w:p>
    <w:p>
      <w:pPr>
        <w:pStyle w:val="23"/>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21.1 根据桂劳社[2003]150 号文，承包人在投标时必须在投标文件中承诺，在发包人发出交款通知之日起 7 个工作日内足额将民工工资保障金转入建设行政主管部门设立的农民工工资保障金专用帐号。发包人按节点足额支付工程款后，一旦其承包的建设工程项目中出现拖欠农民工工资情况的，由主管部门从其农民工工资保障金中先予支付。 </w:t>
      </w:r>
    </w:p>
    <w:p>
      <w:pPr>
        <w:pStyle w:val="23"/>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21.2 承包方采用新工艺新材料，必须在使用前 2 个月，向发包方提交相关的技术资料、发明专利、产品证书、样品及应用的实例、单价组成等有关资料；经发包方、设计单位认可后方可使用，凡未经批准擅自使用者除费用自行承担外还应赔偿发包方由此引起的经济损失。 </w:t>
      </w:r>
    </w:p>
    <w:p>
      <w:pPr>
        <w:pStyle w:val="23"/>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21.3 赶工费、夜间施工费由投标人结合自身企业的实际情况及对施工现场的考察、提供的图纸等各方面的资料自行报价，并包干使用，今后不作任何调整和签证。</w:t>
      </w:r>
    </w:p>
    <w:p>
      <w:pPr>
        <w:pStyle w:val="23"/>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21.4 根据《建设工程质量检测管理办法》（建设部令第 141 号）以及《广西壮族自治区建设工程质量检测管理规定》（桂建管〔2013〕11 号）规定，工程质量检测业务由招标人委托有相应资质的检测机构检测。费用从招标人的项目建设经费中支出并直接支付给检测机构，不计入合同价款内。 </w:t>
      </w:r>
    </w:p>
    <w:p>
      <w:pPr>
        <w:pStyle w:val="23"/>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21.6 发包人需要持散装水泥、多孔砖、砼砌块的材料发票原件到政府有关部门办理退款手续，承包人必须及时提供。否则，发包人有权按政府有关部门收缴标准及数额在承包人工程款中扣罚。 </w:t>
      </w:r>
    </w:p>
    <w:p>
      <w:pPr>
        <w:pStyle w:val="23"/>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21.7 由于承包人不能按时提供属承包人应提供的文件导致发包人不能及时办理施工许可证，所有造成的后果由承包人承担责任。造成发包人损失的，承包人应赔偿发包人损失。 </w:t>
      </w:r>
    </w:p>
    <w:p>
      <w:pPr>
        <w:pStyle w:val="23"/>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21.8 已完工程成品保护的特殊要求及费用承担： 已竣工工程未交付发包人之前，承包人负责已完工程的成品保护工作，保护期间发生损坏，承包人自费予以修复。工程已交付发包人或发包人提前使用后的损坏及所需的修理费用、 工程成品毁损的风险， 由发包人承担。 若发包人要求承包人采取特殊措施保护的，由发包人就保护的工程部位和相应的追加合同价款另外进行协商。 </w:t>
      </w:r>
    </w:p>
    <w:p>
      <w:pPr>
        <w:pStyle w:val="23"/>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21.9 材料严格保证质量，相同类型材料质量应一致，若发现有材料以次品冒充，则该部分所有材料均按次品处理且须重新更换合格材料才能使用。 </w:t>
      </w:r>
    </w:p>
    <w:p>
      <w:pPr>
        <w:pStyle w:val="23"/>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21.10 承包人必须配合监理工程师和发包人派驻工程师的工作，一切签证事宜均须在规定的时间内作出书面签证申请，过期补签无效，发包人超过规定期限没有签证的视为此签证发包人已同意。夜间施工增加费（含夜间加班加点）已包含在合同价款内，施工期间不予再签证。 </w:t>
      </w:r>
    </w:p>
    <w:p>
      <w:pPr>
        <w:pStyle w:val="23"/>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21.11 承包人有以下情形之一者，视为违约，发包人有权依法解除合同，没收其全部履约保证金，承包人还应承担相应的法律责任。  </w:t>
      </w:r>
    </w:p>
    <w:p>
      <w:pPr>
        <w:pStyle w:val="23"/>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① 经有关建设主管部门鉴定确认，承包人有挂靠行为。 </w:t>
      </w:r>
    </w:p>
    <w:p>
      <w:pPr>
        <w:pStyle w:val="23"/>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② 转包工程，以牟取转让费、管理费。  </w:t>
      </w:r>
    </w:p>
    <w:p>
      <w:pPr>
        <w:pStyle w:val="23"/>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③ 自签订合同之日起 15 日内，因承包人责任无法组织合同规定的人员、机械进场或进场人员机械与合同严重不符。 </w:t>
      </w:r>
    </w:p>
    <w:p>
      <w:pPr>
        <w:pStyle w:val="23"/>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21.12 工程竣工验收通过后 14 天之内，承包人必须将临时工棚、建筑垃圾等全部清理出现场，否则从第15天起，每天处以1000元罚款且不办理结算。</w:t>
      </w:r>
    </w:p>
    <w:p>
      <w:pPr>
        <w:pStyle w:val="23"/>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21.13 凡进入本工程工作的妇女应持有计生证、否则不准安排工作，禁止使用童工。</w:t>
      </w:r>
    </w:p>
    <w:bookmarkEnd w:id="1699"/>
    <w:p>
      <w:pPr>
        <w:pStyle w:val="23"/>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21.14 如因政策性原因或者项目暂时（或永久）取消导致开工延误或无法开工，发包人不支付承包人任何赔偿或补偿，并可根据政策要求或项目情况延时开工或取消部分合同内容。</w:t>
      </w:r>
    </w:p>
    <w:p>
      <w:pPr>
        <w:pStyle w:val="23"/>
        <w:autoSpaceDE w:val="0"/>
        <w:autoSpaceDN w:val="0"/>
        <w:adjustRightIn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21.15 承包人应自行协调与施工现场周边及村民的关系，确保项目施工顺利进行。发包人不再支付承包人因协调施工现场周边及村民关系而发生的任何费用。如因征地拆迁造成的问题由由发包人负责牵头解决。</w:t>
      </w:r>
    </w:p>
    <w:p>
      <w:pPr>
        <w:ind w:firstLine="420" w:firstLineChars="200"/>
        <w:rPr>
          <w:rFonts w:ascii="宋体" w:hAnsi="宋体" w:cs="宋体"/>
          <w:bCs/>
          <w:color w:val="auto"/>
          <w:highlight w:val="none"/>
        </w:rPr>
      </w:pPr>
    </w:p>
    <w:p>
      <w:pPr>
        <w:ind w:firstLine="420" w:firstLineChars="200"/>
        <w:rPr>
          <w:rFonts w:ascii="宋体" w:hAnsi="宋体" w:cs="宋体"/>
          <w:bCs/>
          <w:color w:val="auto"/>
          <w:highlight w:val="none"/>
        </w:rPr>
      </w:pPr>
    </w:p>
    <w:p>
      <w:pPr>
        <w:pStyle w:val="7"/>
        <w:rPr>
          <w:rFonts w:ascii="宋体" w:hAnsi="宋体" w:cs="宋体"/>
          <w:bCs/>
          <w:color w:val="auto"/>
          <w:highlight w:val="none"/>
        </w:rPr>
      </w:pPr>
    </w:p>
    <w:p>
      <w:pPr>
        <w:pStyle w:val="7"/>
        <w:rPr>
          <w:rFonts w:ascii="宋体" w:hAnsi="宋体" w:cs="宋体"/>
          <w:bCs/>
          <w:color w:val="auto"/>
          <w:highlight w:val="none"/>
        </w:rPr>
      </w:pPr>
    </w:p>
    <w:p>
      <w:pPr>
        <w:pStyle w:val="7"/>
        <w:rPr>
          <w:rFonts w:ascii="宋体" w:hAnsi="宋体" w:cs="宋体"/>
          <w:bCs/>
          <w:color w:val="auto"/>
          <w:highlight w:val="none"/>
        </w:rPr>
      </w:pPr>
    </w:p>
    <w:p>
      <w:pPr>
        <w:pStyle w:val="7"/>
        <w:rPr>
          <w:rFonts w:ascii="宋体" w:hAnsi="宋体" w:cs="宋体"/>
          <w:bCs/>
          <w:color w:val="auto"/>
          <w:highlight w:val="none"/>
        </w:rPr>
      </w:pPr>
    </w:p>
    <w:p>
      <w:pPr>
        <w:pStyle w:val="7"/>
        <w:rPr>
          <w:rFonts w:ascii="宋体" w:hAnsi="宋体" w:cs="宋体"/>
          <w:bCs/>
          <w:color w:val="auto"/>
          <w:highlight w:val="none"/>
        </w:rPr>
      </w:pPr>
    </w:p>
    <w:p>
      <w:pPr>
        <w:pStyle w:val="7"/>
        <w:rPr>
          <w:rFonts w:ascii="宋体" w:hAnsi="宋体" w:cs="宋体"/>
          <w:bCs/>
          <w:color w:val="auto"/>
          <w:highlight w:val="none"/>
        </w:rPr>
      </w:pPr>
    </w:p>
    <w:p>
      <w:pPr>
        <w:ind w:firstLine="420" w:firstLineChars="200"/>
        <w:rPr>
          <w:rFonts w:ascii="宋体" w:hAnsi="宋体" w:cs="宋体"/>
          <w:bCs/>
          <w:color w:val="auto"/>
          <w:highlight w:val="none"/>
        </w:rPr>
      </w:pPr>
    </w:p>
    <w:p>
      <w:pPr>
        <w:pStyle w:val="31"/>
        <w:ind w:firstLine="422"/>
        <w:rPr>
          <w:b/>
          <w:color w:val="auto"/>
          <w:highlight w:val="none"/>
        </w:rPr>
      </w:pPr>
      <w:r>
        <w:rPr>
          <w:b/>
          <w:color w:val="auto"/>
          <w:highlight w:val="none"/>
        </w:rPr>
        <w:br w:type="page"/>
      </w:r>
      <w:r>
        <w:rPr>
          <w:b/>
          <w:color w:val="auto"/>
          <w:highlight w:val="none"/>
        </w:rPr>
        <w:t>附件</w:t>
      </w:r>
      <w:bookmarkEnd w:id="32"/>
    </w:p>
    <w:p>
      <w:pPr>
        <w:pStyle w:val="31"/>
        <w:rPr>
          <w:color w:val="auto"/>
          <w:highlight w:val="none"/>
        </w:rPr>
      </w:pPr>
      <w:r>
        <w:rPr>
          <w:color w:val="auto"/>
          <w:highlight w:val="none"/>
        </w:rPr>
        <w:t>协议书附件：</w:t>
      </w:r>
    </w:p>
    <w:p>
      <w:pPr>
        <w:pStyle w:val="31"/>
        <w:rPr>
          <w:color w:val="auto"/>
          <w:highlight w:val="none"/>
        </w:rPr>
      </w:pPr>
      <w:r>
        <w:rPr>
          <w:color w:val="auto"/>
          <w:highlight w:val="none"/>
        </w:rPr>
        <w:t>附件1：承包人承揽工程项目一览表</w:t>
      </w:r>
    </w:p>
    <w:p>
      <w:pPr>
        <w:pStyle w:val="31"/>
        <w:rPr>
          <w:color w:val="auto"/>
          <w:highlight w:val="none"/>
        </w:rPr>
      </w:pPr>
      <w:r>
        <w:rPr>
          <w:color w:val="auto"/>
          <w:highlight w:val="none"/>
        </w:rPr>
        <w:t>专用合同条款附件：</w:t>
      </w:r>
    </w:p>
    <w:p>
      <w:pPr>
        <w:pStyle w:val="31"/>
        <w:rPr>
          <w:color w:val="auto"/>
          <w:highlight w:val="none"/>
        </w:rPr>
      </w:pPr>
      <w:r>
        <w:rPr>
          <w:color w:val="auto"/>
          <w:highlight w:val="none"/>
        </w:rPr>
        <w:t>附件2：发包人供应材料设备一览表</w:t>
      </w:r>
    </w:p>
    <w:p>
      <w:pPr>
        <w:pStyle w:val="31"/>
        <w:rPr>
          <w:color w:val="auto"/>
          <w:highlight w:val="none"/>
        </w:rPr>
      </w:pPr>
      <w:r>
        <w:rPr>
          <w:color w:val="auto"/>
          <w:highlight w:val="none"/>
        </w:rPr>
        <w:t>附件3：工程质量保修书</w:t>
      </w:r>
    </w:p>
    <w:p>
      <w:pPr>
        <w:pStyle w:val="31"/>
        <w:rPr>
          <w:color w:val="auto"/>
          <w:highlight w:val="none"/>
        </w:rPr>
      </w:pPr>
      <w:r>
        <w:rPr>
          <w:color w:val="auto"/>
          <w:highlight w:val="none"/>
        </w:rPr>
        <w:t>附件4：主要建设工程文件目录</w:t>
      </w:r>
    </w:p>
    <w:p>
      <w:pPr>
        <w:pStyle w:val="31"/>
        <w:rPr>
          <w:color w:val="auto"/>
          <w:highlight w:val="none"/>
        </w:rPr>
      </w:pPr>
      <w:r>
        <w:rPr>
          <w:color w:val="auto"/>
          <w:highlight w:val="none"/>
        </w:rPr>
        <w:t>附件5：承包人用于本工程施工的机械设备表</w:t>
      </w:r>
    </w:p>
    <w:p>
      <w:pPr>
        <w:pStyle w:val="31"/>
        <w:rPr>
          <w:color w:val="auto"/>
          <w:highlight w:val="none"/>
        </w:rPr>
      </w:pPr>
      <w:r>
        <w:rPr>
          <w:color w:val="auto"/>
          <w:highlight w:val="none"/>
        </w:rPr>
        <w:t>附件6：承包人主要施工管理人员表</w:t>
      </w:r>
    </w:p>
    <w:p>
      <w:pPr>
        <w:pStyle w:val="31"/>
        <w:rPr>
          <w:color w:val="auto"/>
          <w:highlight w:val="none"/>
        </w:rPr>
      </w:pPr>
      <w:r>
        <w:rPr>
          <w:color w:val="auto"/>
          <w:highlight w:val="none"/>
        </w:rPr>
        <w:t>附件7：分包人主要施工管理人员表</w:t>
      </w:r>
    </w:p>
    <w:p>
      <w:pPr>
        <w:pStyle w:val="31"/>
        <w:rPr>
          <w:color w:val="auto"/>
          <w:highlight w:val="none"/>
        </w:rPr>
      </w:pPr>
      <w:r>
        <w:rPr>
          <w:color w:val="auto"/>
          <w:highlight w:val="none"/>
        </w:rPr>
        <w:t>附件8：履约担保格式</w:t>
      </w:r>
    </w:p>
    <w:p>
      <w:pPr>
        <w:pStyle w:val="31"/>
        <w:rPr>
          <w:color w:val="auto"/>
          <w:highlight w:val="none"/>
        </w:rPr>
      </w:pPr>
      <w:r>
        <w:rPr>
          <w:color w:val="auto"/>
          <w:highlight w:val="none"/>
        </w:rPr>
        <w:t>附件9：预付款担保格式</w:t>
      </w:r>
    </w:p>
    <w:p>
      <w:pPr>
        <w:pStyle w:val="31"/>
        <w:rPr>
          <w:color w:val="auto"/>
          <w:highlight w:val="none"/>
        </w:rPr>
      </w:pPr>
      <w:r>
        <w:rPr>
          <w:color w:val="auto"/>
          <w:highlight w:val="none"/>
        </w:rPr>
        <w:t>附件10：支付担保格式</w:t>
      </w:r>
    </w:p>
    <w:p>
      <w:pPr>
        <w:pStyle w:val="31"/>
        <w:rPr>
          <w:color w:val="auto"/>
          <w:highlight w:val="none"/>
        </w:rPr>
      </w:pPr>
      <w:r>
        <w:rPr>
          <w:color w:val="auto"/>
          <w:highlight w:val="none"/>
        </w:rPr>
        <w:t>附件11：暂估价一览表</w:t>
      </w:r>
    </w:p>
    <w:p>
      <w:pPr>
        <w:pStyle w:val="31"/>
        <w:rPr>
          <w:color w:val="auto"/>
          <w:highlight w:val="none"/>
        </w:rPr>
      </w:pPr>
    </w:p>
    <w:p>
      <w:pPr>
        <w:pStyle w:val="31"/>
        <w:ind w:firstLine="600"/>
        <w:rPr>
          <w:rFonts w:eastAsia="黑体"/>
          <w:color w:val="auto"/>
          <w:sz w:val="30"/>
          <w:szCs w:val="30"/>
          <w:highlight w:val="none"/>
        </w:rPr>
        <w:sectPr>
          <w:footerReference r:id="rId14" w:type="default"/>
          <w:pgSz w:w="11906" w:h="16838"/>
          <w:pgMar w:top="1440" w:right="1080" w:bottom="1440" w:left="1080" w:header="851" w:footer="992" w:gutter="0"/>
          <w:cols w:space="720" w:num="1"/>
          <w:docGrid w:type="lines" w:linePitch="312" w:charSpace="0"/>
        </w:sectPr>
      </w:pPr>
    </w:p>
    <w:p>
      <w:pPr>
        <w:pStyle w:val="31"/>
        <w:ind w:firstLine="600"/>
        <w:rPr>
          <w:rFonts w:eastAsia="仿宋_GB2312"/>
          <w:color w:val="auto"/>
          <w:sz w:val="30"/>
          <w:szCs w:val="30"/>
          <w:highlight w:val="none"/>
        </w:rPr>
      </w:pPr>
      <w:r>
        <w:rPr>
          <w:rFonts w:eastAsia="仿宋_GB2312"/>
          <w:color w:val="auto"/>
          <w:sz w:val="30"/>
          <w:szCs w:val="30"/>
          <w:highlight w:val="none"/>
        </w:rPr>
        <w:t>附件1：</w:t>
      </w:r>
    </w:p>
    <w:p>
      <w:pPr>
        <w:pStyle w:val="31"/>
        <w:ind w:firstLine="600"/>
        <w:jc w:val="center"/>
        <w:rPr>
          <w:rFonts w:eastAsia="黑体"/>
          <w:color w:val="auto"/>
          <w:sz w:val="30"/>
          <w:szCs w:val="30"/>
          <w:highlight w:val="none"/>
        </w:rPr>
      </w:pPr>
      <w:r>
        <w:rPr>
          <w:rFonts w:eastAsia="黑体"/>
          <w:color w:val="auto"/>
          <w:sz w:val="30"/>
          <w:szCs w:val="30"/>
          <w:highlight w:val="none"/>
        </w:rPr>
        <w:t>承包人承揽工程项目一览表</w:t>
      </w:r>
    </w:p>
    <w:tbl>
      <w:tblPr>
        <w:tblStyle w:val="13"/>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31"/>
              <w:ind w:firstLine="0" w:firstLineChars="0"/>
              <w:jc w:val="center"/>
              <w:rPr>
                <w:rFonts w:eastAsia="仿宋_GB2312"/>
                <w:color w:val="auto"/>
                <w:sz w:val="28"/>
                <w:szCs w:val="30"/>
                <w:highlight w:val="none"/>
              </w:rPr>
            </w:pPr>
            <w:r>
              <w:rPr>
                <w:rFonts w:eastAsia="仿宋_GB2312"/>
                <w:color w:val="auto"/>
                <w:sz w:val="28"/>
                <w:szCs w:val="30"/>
                <w:highlight w:val="none"/>
              </w:rPr>
              <w:t>单位工程名称</w:t>
            </w:r>
          </w:p>
        </w:tc>
        <w:tc>
          <w:tcPr>
            <w:tcW w:w="1843" w:type="dxa"/>
            <w:tcBorders>
              <w:top w:val="single" w:color="auto" w:sz="12" w:space="0"/>
              <w:bottom w:val="double" w:color="auto" w:sz="6" w:space="0"/>
            </w:tcBorders>
            <w:vAlign w:val="center"/>
          </w:tcPr>
          <w:p>
            <w:pPr>
              <w:pStyle w:val="31"/>
              <w:ind w:firstLine="0" w:firstLineChars="0"/>
              <w:jc w:val="center"/>
              <w:rPr>
                <w:rFonts w:eastAsia="仿宋_GB2312"/>
                <w:color w:val="auto"/>
                <w:sz w:val="28"/>
                <w:szCs w:val="30"/>
                <w:highlight w:val="none"/>
              </w:rPr>
            </w:pPr>
            <w:r>
              <w:rPr>
                <w:rFonts w:eastAsia="仿宋_GB2312"/>
                <w:color w:val="auto"/>
                <w:sz w:val="28"/>
                <w:szCs w:val="30"/>
                <w:highlight w:val="none"/>
              </w:rPr>
              <w:t>建设规模</w:t>
            </w:r>
          </w:p>
        </w:tc>
        <w:tc>
          <w:tcPr>
            <w:tcW w:w="1417" w:type="dxa"/>
            <w:tcBorders>
              <w:top w:val="single" w:color="auto" w:sz="12" w:space="0"/>
              <w:bottom w:val="double" w:color="auto" w:sz="6" w:space="0"/>
            </w:tcBorders>
            <w:vAlign w:val="center"/>
          </w:tcPr>
          <w:p>
            <w:pPr>
              <w:pStyle w:val="31"/>
              <w:ind w:firstLine="0" w:firstLineChars="0"/>
              <w:jc w:val="center"/>
              <w:rPr>
                <w:rFonts w:eastAsia="仿宋_GB2312"/>
                <w:color w:val="auto"/>
                <w:sz w:val="28"/>
                <w:szCs w:val="30"/>
                <w:highlight w:val="none"/>
              </w:rPr>
            </w:pPr>
            <w:r>
              <w:rPr>
                <w:rFonts w:eastAsia="仿宋_GB2312"/>
                <w:color w:val="auto"/>
                <w:sz w:val="28"/>
                <w:szCs w:val="30"/>
                <w:highlight w:val="none"/>
              </w:rPr>
              <w:t>建筑面积(平方米)</w:t>
            </w:r>
          </w:p>
        </w:tc>
        <w:tc>
          <w:tcPr>
            <w:tcW w:w="2410" w:type="dxa"/>
            <w:tcBorders>
              <w:top w:val="single" w:color="auto" w:sz="12" w:space="0"/>
              <w:bottom w:val="double" w:color="auto" w:sz="6" w:space="0"/>
            </w:tcBorders>
            <w:vAlign w:val="center"/>
          </w:tcPr>
          <w:p>
            <w:pPr>
              <w:pStyle w:val="31"/>
              <w:ind w:firstLine="0" w:firstLineChars="0"/>
              <w:jc w:val="center"/>
              <w:rPr>
                <w:rFonts w:eastAsia="仿宋_GB2312"/>
                <w:color w:val="auto"/>
                <w:sz w:val="28"/>
                <w:szCs w:val="30"/>
                <w:highlight w:val="none"/>
              </w:rPr>
            </w:pPr>
            <w:r>
              <w:rPr>
                <w:rFonts w:eastAsia="仿宋_GB2312"/>
                <w:color w:val="auto"/>
                <w:sz w:val="28"/>
                <w:szCs w:val="30"/>
                <w:highlight w:val="none"/>
              </w:rPr>
              <w:t>结构形式</w:t>
            </w:r>
          </w:p>
        </w:tc>
        <w:tc>
          <w:tcPr>
            <w:tcW w:w="850" w:type="dxa"/>
            <w:tcBorders>
              <w:top w:val="single" w:color="auto" w:sz="12" w:space="0"/>
              <w:bottom w:val="double" w:color="auto" w:sz="6" w:space="0"/>
            </w:tcBorders>
            <w:vAlign w:val="center"/>
          </w:tcPr>
          <w:p>
            <w:pPr>
              <w:pStyle w:val="31"/>
              <w:ind w:firstLine="0" w:firstLineChars="0"/>
              <w:jc w:val="center"/>
              <w:rPr>
                <w:rFonts w:eastAsia="仿宋_GB2312"/>
                <w:color w:val="auto"/>
                <w:sz w:val="28"/>
                <w:szCs w:val="30"/>
                <w:highlight w:val="none"/>
              </w:rPr>
            </w:pPr>
            <w:r>
              <w:rPr>
                <w:rFonts w:eastAsia="仿宋_GB2312"/>
                <w:color w:val="auto"/>
                <w:sz w:val="28"/>
                <w:szCs w:val="30"/>
                <w:highlight w:val="none"/>
              </w:rPr>
              <w:t>层数</w:t>
            </w:r>
          </w:p>
        </w:tc>
        <w:tc>
          <w:tcPr>
            <w:tcW w:w="1560" w:type="dxa"/>
            <w:tcBorders>
              <w:top w:val="single" w:color="auto" w:sz="12" w:space="0"/>
              <w:bottom w:val="double" w:color="auto" w:sz="6" w:space="0"/>
            </w:tcBorders>
            <w:vAlign w:val="center"/>
          </w:tcPr>
          <w:p>
            <w:pPr>
              <w:pStyle w:val="31"/>
              <w:ind w:firstLine="0" w:firstLineChars="0"/>
              <w:jc w:val="center"/>
              <w:rPr>
                <w:rFonts w:eastAsia="仿宋_GB2312"/>
                <w:color w:val="auto"/>
                <w:sz w:val="28"/>
                <w:szCs w:val="30"/>
                <w:highlight w:val="none"/>
              </w:rPr>
            </w:pPr>
            <w:r>
              <w:rPr>
                <w:rFonts w:eastAsia="仿宋_GB2312"/>
                <w:color w:val="auto"/>
                <w:sz w:val="28"/>
                <w:szCs w:val="30"/>
                <w:highlight w:val="none"/>
              </w:rPr>
              <w:t>生产能力</w:t>
            </w:r>
          </w:p>
        </w:tc>
        <w:tc>
          <w:tcPr>
            <w:tcW w:w="2126" w:type="dxa"/>
            <w:tcBorders>
              <w:top w:val="single" w:color="auto" w:sz="12" w:space="0"/>
              <w:bottom w:val="double" w:color="auto" w:sz="6" w:space="0"/>
            </w:tcBorders>
            <w:vAlign w:val="center"/>
          </w:tcPr>
          <w:p>
            <w:pPr>
              <w:pStyle w:val="31"/>
              <w:ind w:firstLine="0" w:firstLineChars="0"/>
              <w:jc w:val="center"/>
              <w:rPr>
                <w:rFonts w:eastAsia="仿宋_GB2312"/>
                <w:color w:val="auto"/>
                <w:sz w:val="28"/>
                <w:szCs w:val="30"/>
                <w:highlight w:val="none"/>
              </w:rPr>
            </w:pPr>
            <w:r>
              <w:rPr>
                <w:rFonts w:eastAsia="仿宋_GB2312"/>
                <w:color w:val="auto"/>
                <w:sz w:val="28"/>
                <w:szCs w:val="30"/>
                <w:highlight w:val="none"/>
              </w:rPr>
              <w:t>设备安装内容</w:t>
            </w:r>
          </w:p>
        </w:tc>
        <w:tc>
          <w:tcPr>
            <w:tcW w:w="1417" w:type="dxa"/>
            <w:tcBorders>
              <w:top w:val="single" w:color="auto" w:sz="12" w:space="0"/>
              <w:bottom w:val="double" w:color="auto" w:sz="6" w:space="0"/>
            </w:tcBorders>
            <w:vAlign w:val="center"/>
          </w:tcPr>
          <w:p>
            <w:pPr>
              <w:pStyle w:val="31"/>
              <w:ind w:firstLine="0" w:firstLineChars="0"/>
              <w:jc w:val="center"/>
              <w:rPr>
                <w:rFonts w:eastAsia="仿宋_GB2312"/>
                <w:color w:val="auto"/>
                <w:sz w:val="28"/>
                <w:szCs w:val="30"/>
                <w:highlight w:val="none"/>
              </w:rPr>
            </w:pPr>
            <w:r>
              <w:rPr>
                <w:rFonts w:eastAsia="仿宋_GB2312"/>
                <w:color w:val="auto"/>
                <w:sz w:val="28"/>
                <w:szCs w:val="30"/>
                <w:highlight w:val="none"/>
              </w:rPr>
              <w:t>合同价格（元）</w:t>
            </w:r>
          </w:p>
        </w:tc>
        <w:tc>
          <w:tcPr>
            <w:tcW w:w="851" w:type="dxa"/>
            <w:tcBorders>
              <w:top w:val="single" w:color="auto" w:sz="12" w:space="0"/>
              <w:bottom w:val="double" w:color="auto" w:sz="6" w:space="0"/>
            </w:tcBorders>
            <w:vAlign w:val="center"/>
          </w:tcPr>
          <w:p>
            <w:pPr>
              <w:pStyle w:val="31"/>
              <w:ind w:firstLine="0" w:firstLineChars="0"/>
              <w:jc w:val="center"/>
              <w:rPr>
                <w:rFonts w:eastAsia="仿宋_GB2312"/>
                <w:color w:val="auto"/>
                <w:sz w:val="28"/>
                <w:szCs w:val="30"/>
                <w:highlight w:val="none"/>
              </w:rPr>
            </w:pPr>
            <w:r>
              <w:rPr>
                <w:rFonts w:eastAsia="仿宋_GB2312"/>
                <w:color w:val="auto"/>
                <w:sz w:val="28"/>
                <w:szCs w:val="30"/>
                <w:highlight w:val="none"/>
              </w:rPr>
              <w:t>开工日期</w:t>
            </w:r>
          </w:p>
        </w:tc>
        <w:tc>
          <w:tcPr>
            <w:tcW w:w="850" w:type="dxa"/>
            <w:tcBorders>
              <w:top w:val="single" w:color="auto" w:sz="12" w:space="0"/>
              <w:bottom w:val="double" w:color="auto" w:sz="6" w:space="0"/>
            </w:tcBorders>
            <w:vAlign w:val="center"/>
          </w:tcPr>
          <w:p>
            <w:pPr>
              <w:pStyle w:val="31"/>
              <w:ind w:firstLine="0" w:firstLineChars="0"/>
              <w:jc w:val="center"/>
              <w:rPr>
                <w:rFonts w:eastAsia="仿宋_GB2312"/>
                <w:color w:val="auto"/>
                <w:sz w:val="28"/>
                <w:szCs w:val="30"/>
                <w:highlight w:val="none"/>
              </w:rPr>
            </w:pPr>
            <w:r>
              <w:rPr>
                <w:rFonts w:eastAsia="仿宋_GB2312"/>
                <w:color w:val="auto"/>
                <w:sz w:val="28"/>
                <w:szCs w:val="30"/>
                <w:highlight w:val="none"/>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rPr>
        <w:tc>
          <w:tcPr>
            <w:tcW w:w="1277" w:type="dxa"/>
            <w:tcBorders>
              <w:top w:val="double" w:color="auto" w:sz="6" w:space="0"/>
              <w:bottom w:val="single" w:color="auto" w:sz="6" w:space="0"/>
            </w:tcBorders>
            <w:vAlign w:val="center"/>
          </w:tcPr>
          <w:p>
            <w:pPr>
              <w:pStyle w:val="31"/>
              <w:ind w:firstLine="0" w:firstLineChars="0"/>
              <w:rPr>
                <w:rFonts w:eastAsia="仿宋_GB2312"/>
                <w:color w:val="auto"/>
                <w:sz w:val="30"/>
                <w:szCs w:val="30"/>
                <w:highlight w:val="none"/>
              </w:rPr>
            </w:pPr>
          </w:p>
        </w:tc>
        <w:tc>
          <w:tcPr>
            <w:tcW w:w="1843" w:type="dxa"/>
            <w:tcBorders>
              <w:top w:val="double" w:color="auto" w:sz="6" w:space="0"/>
              <w:bottom w:val="single" w:color="auto" w:sz="6" w:space="0"/>
            </w:tcBorders>
            <w:vAlign w:val="center"/>
          </w:tcPr>
          <w:p>
            <w:pPr>
              <w:pStyle w:val="31"/>
              <w:ind w:firstLine="0" w:firstLineChars="0"/>
              <w:rPr>
                <w:rFonts w:eastAsia="仿宋_GB2312"/>
                <w:color w:val="auto"/>
                <w:sz w:val="30"/>
                <w:szCs w:val="30"/>
                <w:highlight w:val="none"/>
              </w:rPr>
            </w:pPr>
          </w:p>
        </w:tc>
        <w:tc>
          <w:tcPr>
            <w:tcW w:w="1417" w:type="dxa"/>
            <w:tcBorders>
              <w:top w:val="double" w:color="auto" w:sz="6" w:space="0"/>
              <w:bottom w:val="single" w:color="auto" w:sz="6" w:space="0"/>
            </w:tcBorders>
            <w:vAlign w:val="center"/>
          </w:tcPr>
          <w:p>
            <w:pPr>
              <w:pStyle w:val="31"/>
              <w:ind w:firstLine="0" w:firstLineChars="0"/>
              <w:rPr>
                <w:rFonts w:eastAsia="仿宋_GB2312"/>
                <w:color w:val="auto"/>
                <w:sz w:val="30"/>
                <w:szCs w:val="30"/>
                <w:highlight w:val="none"/>
              </w:rPr>
            </w:pPr>
          </w:p>
        </w:tc>
        <w:tc>
          <w:tcPr>
            <w:tcW w:w="2410" w:type="dxa"/>
            <w:tcBorders>
              <w:top w:val="double" w:color="auto" w:sz="6" w:space="0"/>
              <w:bottom w:val="single" w:color="auto" w:sz="6" w:space="0"/>
            </w:tcBorders>
            <w:vAlign w:val="center"/>
          </w:tcPr>
          <w:p>
            <w:pPr>
              <w:pStyle w:val="31"/>
              <w:ind w:firstLine="0" w:firstLineChars="0"/>
              <w:rPr>
                <w:rFonts w:eastAsia="仿宋_GB2312"/>
                <w:color w:val="auto"/>
                <w:sz w:val="30"/>
                <w:szCs w:val="30"/>
                <w:highlight w:val="none"/>
              </w:rPr>
            </w:pPr>
          </w:p>
        </w:tc>
        <w:tc>
          <w:tcPr>
            <w:tcW w:w="850" w:type="dxa"/>
            <w:tcBorders>
              <w:top w:val="double" w:color="auto" w:sz="6" w:space="0"/>
              <w:bottom w:val="single" w:color="auto" w:sz="6" w:space="0"/>
            </w:tcBorders>
            <w:vAlign w:val="center"/>
          </w:tcPr>
          <w:p>
            <w:pPr>
              <w:pStyle w:val="31"/>
              <w:ind w:firstLine="0" w:firstLineChars="0"/>
              <w:rPr>
                <w:rFonts w:eastAsia="仿宋_GB2312"/>
                <w:color w:val="auto"/>
                <w:sz w:val="30"/>
                <w:szCs w:val="30"/>
                <w:highlight w:val="none"/>
              </w:rPr>
            </w:pPr>
          </w:p>
        </w:tc>
        <w:tc>
          <w:tcPr>
            <w:tcW w:w="1560" w:type="dxa"/>
            <w:tcBorders>
              <w:top w:val="double" w:color="auto" w:sz="6" w:space="0"/>
              <w:bottom w:val="single" w:color="auto" w:sz="6" w:space="0"/>
            </w:tcBorders>
            <w:vAlign w:val="center"/>
          </w:tcPr>
          <w:p>
            <w:pPr>
              <w:pStyle w:val="31"/>
              <w:ind w:firstLine="0" w:firstLineChars="0"/>
              <w:rPr>
                <w:rFonts w:eastAsia="仿宋_GB2312"/>
                <w:color w:val="auto"/>
                <w:sz w:val="30"/>
                <w:szCs w:val="30"/>
                <w:highlight w:val="none"/>
              </w:rPr>
            </w:pPr>
          </w:p>
        </w:tc>
        <w:tc>
          <w:tcPr>
            <w:tcW w:w="2126" w:type="dxa"/>
            <w:tcBorders>
              <w:top w:val="double" w:color="auto" w:sz="6" w:space="0"/>
              <w:bottom w:val="single" w:color="auto" w:sz="6" w:space="0"/>
            </w:tcBorders>
            <w:vAlign w:val="center"/>
          </w:tcPr>
          <w:p>
            <w:pPr>
              <w:pStyle w:val="31"/>
              <w:ind w:firstLine="0" w:firstLineChars="0"/>
              <w:rPr>
                <w:rFonts w:eastAsia="仿宋_GB2312"/>
                <w:color w:val="auto"/>
                <w:sz w:val="30"/>
                <w:szCs w:val="30"/>
                <w:highlight w:val="none"/>
              </w:rPr>
            </w:pPr>
          </w:p>
        </w:tc>
        <w:tc>
          <w:tcPr>
            <w:tcW w:w="1417" w:type="dxa"/>
            <w:tcBorders>
              <w:top w:val="double" w:color="auto" w:sz="6" w:space="0"/>
              <w:bottom w:val="single" w:color="auto" w:sz="6" w:space="0"/>
            </w:tcBorders>
            <w:vAlign w:val="center"/>
          </w:tcPr>
          <w:p>
            <w:pPr>
              <w:pStyle w:val="31"/>
              <w:ind w:firstLine="0" w:firstLineChars="0"/>
              <w:rPr>
                <w:rFonts w:eastAsia="仿宋_GB2312"/>
                <w:color w:val="auto"/>
                <w:sz w:val="30"/>
                <w:szCs w:val="30"/>
                <w:highlight w:val="none"/>
              </w:rPr>
            </w:pPr>
          </w:p>
        </w:tc>
        <w:tc>
          <w:tcPr>
            <w:tcW w:w="851" w:type="dxa"/>
            <w:tcBorders>
              <w:top w:val="double" w:color="auto" w:sz="6" w:space="0"/>
              <w:bottom w:val="single" w:color="auto" w:sz="6" w:space="0"/>
            </w:tcBorders>
            <w:vAlign w:val="center"/>
          </w:tcPr>
          <w:p>
            <w:pPr>
              <w:pStyle w:val="31"/>
              <w:ind w:firstLine="0" w:firstLineChars="0"/>
              <w:rPr>
                <w:rFonts w:eastAsia="仿宋_GB2312"/>
                <w:color w:val="auto"/>
                <w:sz w:val="30"/>
                <w:szCs w:val="30"/>
                <w:highlight w:val="none"/>
              </w:rPr>
            </w:pPr>
          </w:p>
        </w:tc>
        <w:tc>
          <w:tcPr>
            <w:tcW w:w="850" w:type="dxa"/>
            <w:tcBorders>
              <w:top w:val="double" w:color="auto" w:sz="6" w:space="0"/>
              <w:bottom w:val="single" w:color="auto" w:sz="6" w:space="0"/>
            </w:tcBorders>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31"/>
              <w:ind w:firstLine="0" w:firstLineChars="0"/>
              <w:rPr>
                <w:rFonts w:eastAsia="仿宋_GB2312"/>
                <w:color w:val="auto"/>
                <w:sz w:val="30"/>
                <w:szCs w:val="30"/>
                <w:highlight w:val="none"/>
              </w:rPr>
            </w:pPr>
          </w:p>
        </w:tc>
        <w:tc>
          <w:tcPr>
            <w:tcW w:w="1843" w:type="dxa"/>
            <w:tcBorders>
              <w:top w:val="nil"/>
            </w:tcBorders>
            <w:vAlign w:val="center"/>
          </w:tcPr>
          <w:p>
            <w:pPr>
              <w:pStyle w:val="31"/>
              <w:ind w:firstLine="0" w:firstLineChars="0"/>
              <w:rPr>
                <w:rFonts w:eastAsia="仿宋_GB2312"/>
                <w:color w:val="auto"/>
                <w:sz w:val="30"/>
                <w:szCs w:val="30"/>
                <w:highlight w:val="none"/>
              </w:rPr>
            </w:pPr>
          </w:p>
        </w:tc>
        <w:tc>
          <w:tcPr>
            <w:tcW w:w="1417" w:type="dxa"/>
            <w:tcBorders>
              <w:top w:val="nil"/>
            </w:tcBorders>
            <w:vAlign w:val="center"/>
          </w:tcPr>
          <w:p>
            <w:pPr>
              <w:pStyle w:val="31"/>
              <w:ind w:firstLine="0" w:firstLineChars="0"/>
              <w:rPr>
                <w:rFonts w:eastAsia="仿宋_GB2312"/>
                <w:color w:val="auto"/>
                <w:sz w:val="30"/>
                <w:szCs w:val="30"/>
                <w:highlight w:val="none"/>
              </w:rPr>
            </w:pPr>
          </w:p>
        </w:tc>
        <w:tc>
          <w:tcPr>
            <w:tcW w:w="2410" w:type="dxa"/>
            <w:tcBorders>
              <w:top w:val="nil"/>
            </w:tcBorders>
            <w:vAlign w:val="center"/>
          </w:tcPr>
          <w:p>
            <w:pPr>
              <w:pStyle w:val="31"/>
              <w:ind w:firstLine="0" w:firstLineChars="0"/>
              <w:rPr>
                <w:rFonts w:eastAsia="仿宋_GB2312"/>
                <w:color w:val="auto"/>
                <w:sz w:val="30"/>
                <w:szCs w:val="30"/>
                <w:highlight w:val="none"/>
              </w:rPr>
            </w:pPr>
          </w:p>
        </w:tc>
        <w:tc>
          <w:tcPr>
            <w:tcW w:w="850" w:type="dxa"/>
            <w:tcBorders>
              <w:top w:val="nil"/>
            </w:tcBorders>
            <w:vAlign w:val="center"/>
          </w:tcPr>
          <w:p>
            <w:pPr>
              <w:pStyle w:val="31"/>
              <w:ind w:firstLine="0" w:firstLineChars="0"/>
              <w:rPr>
                <w:rFonts w:eastAsia="仿宋_GB2312"/>
                <w:color w:val="auto"/>
                <w:sz w:val="30"/>
                <w:szCs w:val="30"/>
                <w:highlight w:val="none"/>
              </w:rPr>
            </w:pPr>
          </w:p>
        </w:tc>
        <w:tc>
          <w:tcPr>
            <w:tcW w:w="1560" w:type="dxa"/>
            <w:tcBorders>
              <w:top w:val="nil"/>
            </w:tcBorders>
            <w:vAlign w:val="center"/>
          </w:tcPr>
          <w:p>
            <w:pPr>
              <w:pStyle w:val="31"/>
              <w:ind w:firstLine="0" w:firstLineChars="0"/>
              <w:rPr>
                <w:rFonts w:eastAsia="仿宋_GB2312"/>
                <w:color w:val="auto"/>
                <w:sz w:val="30"/>
                <w:szCs w:val="30"/>
                <w:highlight w:val="none"/>
              </w:rPr>
            </w:pPr>
          </w:p>
        </w:tc>
        <w:tc>
          <w:tcPr>
            <w:tcW w:w="2126" w:type="dxa"/>
            <w:tcBorders>
              <w:top w:val="nil"/>
            </w:tcBorders>
            <w:vAlign w:val="center"/>
          </w:tcPr>
          <w:p>
            <w:pPr>
              <w:pStyle w:val="31"/>
              <w:ind w:firstLine="0" w:firstLineChars="0"/>
              <w:rPr>
                <w:rFonts w:eastAsia="仿宋_GB2312"/>
                <w:color w:val="auto"/>
                <w:sz w:val="30"/>
                <w:szCs w:val="30"/>
                <w:highlight w:val="none"/>
              </w:rPr>
            </w:pPr>
          </w:p>
        </w:tc>
        <w:tc>
          <w:tcPr>
            <w:tcW w:w="1417" w:type="dxa"/>
            <w:tcBorders>
              <w:top w:val="nil"/>
            </w:tcBorders>
            <w:vAlign w:val="center"/>
          </w:tcPr>
          <w:p>
            <w:pPr>
              <w:pStyle w:val="31"/>
              <w:ind w:firstLine="0" w:firstLineChars="0"/>
              <w:rPr>
                <w:rFonts w:eastAsia="仿宋_GB2312"/>
                <w:color w:val="auto"/>
                <w:sz w:val="30"/>
                <w:szCs w:val="30"/>
                <w:highlight w:val="none"/>
              </w:rPr>
            </w:pPr>
          </w:p>
        </w:tc>
        <w:tc>
          <w:tcPr>
            <w:tcW w:w="851" w:type="dxa"/>
            <w:tcBorders>
              <w:top w:val="nil"/>
            </w:tcBorders>
            <w:vAlign w:val="center"/>
          </w:tcPr>
          <w:p>
            <w:pPr>
              <w:pStyle w:val="31"/>
              <w:ind w:firstLine="0" w:firstLineChars="0"/>
              <w:rPr>
                <w:rFonts w:eastAsia="仿宋_GB2312"/>
                <w:color w:val="auto"/>
                <w:sz w:val="30"/>
                <w:szCs w:val="30"/>
                <w:highlight w:val="none"/>
              </w:rPr>
            </w:pPr>
          </w:p>
        </w:tc>
        <w:tc>
          <w:tcPr>
            <w:tcW w:w="850" w:type="dxa"/>
            <w:tcBorders>
              <w:top w:val="nil"/>
            </w:tcBorders>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31"/>
              <w:ind w:firstLine="0" w:firstLineChars="0"/>
              <w:rPr>
                <w:rFonts w:eastAsia="仿宋_GB2312"/>
                <w:color w:val="auto"/>
                <w:sz w:val="30"/>
                <w:szCs w:val="30"/>
                <w:highlight w:val="none"/>
              </w:rPr>
            </w:pPr>
          </w:p>
        </w:tc>
        <w:tc>
          <w:tcPr>
            <w:tcW w:w="1843" w:type="dxa"/>
            <w:tcBorders>
              <w:top w:val="nil"/>
            </w:tcBorders>
            <w:vAlign w:val="center"/>
          </w:tcPr>
          <w:p>
            <w:pPr>
              <w:pStyle w:val="31"/>
              <w:ind w:firstLine="0" w:firstLineChars="0"/>
              <w:rPr>
                <w:rFonts w:eastAsia="仿宋_GB2312"/>
                <w:color w:val="auto"/>
                <w:sz w:val="30"/>
                <w:szCs w:val="30"/>
                <w:highlight w:val="none"/>
              </w:rPr>
            </w:pPr>
          </w:p>
        </w:tc>
        <w:tc>
          <w:tcPr>
            <w:tcW w:w="1417" w:type="dxa"/>
            <w:tcBorders>
              <w:top w:val="nil"/>
            </w:tcBorders>
            <w:vAlign w:val="center"/>
          </w:tcPr>
          <w:p>
            <w:pPr>
              <w:pStyle w:val="31"/>
              <w:ind w:firstLine="0" w:firstLineChars="0"/>
              <w:rPr>
                <w:rFonts w:eastAsia="仿宋_GB2312"/>
                <w:color w:val="auto"/>
                <w:sz w:val="30"/>
                <w:szCs w:val="30"/>
                <w:highlight w:val="none"/>
              </w:rPr>
            </w:pPr>
          </w:p>
        </w:tc>
        <w:tc>
          <w:tcPr>
            <w:tcW w:w="2410" w:type="dxa"/>
            <w:tcBorders>
              <w:top w:val="nil"/>
            </w:tcBorders>
            <w:vAlign w:val="center"/>
          </w:tcPr>
          <w:p>
            <w:pPr>
              <w:pStyle w:val="31"/>
              <w:ind w:firstLine="0" w:firstLineChars="0"/>
              <w:rPr>
                <w:rFonts w:eastAsia="仿宋_GB2312"/>
                <w:color w:val="auto"/>
                <w:sz w:val="30"/>
                <w:szCs w:val="30"/>
                <w:highlight w:val="none"/>
              </w:rPr>
            </w:pPr>
          </w:p>
        </w:tc>
        <w:tc>
          <w:tcPr>
            <w:tcW w:w="850" w:type="dxa"/>
            <w:tcBorders>
              <w:top w:val="nil"/>
            </w:tcBorders>
            <w:vAlign w:val="center"/>
          </w:tcPr>
          <w:p>
            <w:pPr>
              <w:pStyle w:val="31"/>
              <w:ind w:firstLine="0" w:firstLineChars="0"/>
              <w:rPr>
                <w:rFonts w:eastAsia="仿宋_GB2312"/>
                <w:color w:val="auto"/>
                <w:sz w:val="30"/>
                <w:szCs w:val="30"/>
                <w:highlight w:val="none"/>
              </w:rPr>
            </w:pPr>
          </w:p>
        </w:tc>
        <w:tc>
          <w:tcPr>
            <w:tcW w:w="1560" w:type="dxa"/>
            <w:tcBorders>
              <w:top w:val="nil"/>
            </w:tcBorders>
            <w:vAlign w:val="center"/>
          </w:tcPr>
          <w:p>
            <w:pPr>
              <w:pStyle w:val="31"/>
              <w:ind w:firstLine="0" w:firstLineChars="0"/>
              <w:rPr>
                <w:rFonts w:eastAsia="仿宋_GB2312"/>
                <w:color w:val="auto"/>
                <w:sz w:val="30"/>
                <w:szCs w:val="30"/>
                <w:highlight w:val="none"/>
              </w:rPr>
            </w:pPr>
          </w:p>
        </w:tc>
        <w:tc>
          <w:tcPr>
            <w:tcW w:w="2126" w:type="dxa"/>
            <w:tcBorders>
              <w:top w:val="nil"/>
            </w:tcBorders>
            <w:vAlign w:val="center"/>
          </w:tcPr>
          <w:p>
            <w:pPr>
              <w:pStyle w:val="31"/>
              <w:ind w:firstLine="0" w:firstLineChars="0"/>
              <w:rPr>
                <w:rFonts w:eastAsia="仿宋_GB2312"/>
                <w:color w:val="auto"/>
                <w:sz w:val="30"/>
                <w:szCs w:val="30"/>
                <w:highlight w:val="none"/>
              </w:rPr>
            </w:pPr>
          </w:p>
        </w:tc>
        <w:tc>
          <w:tcPr>
            <w:tcW w:w="1417" w:type="dxa"/>
            <w:tcBorders>
              <w:top w:val="nil"/>
            </w:tcBorders>
            <w:vAlign w:val="center"/>
          </w:tcPr>
          <w:p>
            <w:pPr>
              <w:pStyle w:val="31"/>
              <w:ind w:firstLine="0" w:firstLineChars="0"/>
              <w:rPr>
                <w:rFonts w:eastAsia="仿宋_GB2312"/>
                <w:color w:val="auto"/>
                <w:sz w:val="30"/>
                <w:szCs w:val="30"/>
                <w:highlight w:val="none"/>
              </w:rPr>
            </w:pPr>
          </w:p>
        </w:tc>
        <w:tc>
          <w:tcPr>
            <w:tcW w:w="851" w:type="dxa"/>
            <w:tcBorders>
              <w:top w:val="nil"/>
            </w:tcBorders>
            <w:vAlign w:val="center"/>
          </w:tcPr>
          <w:p>
            <w:pPr>
              <w:pStyle w:val="31"/>
              <w:ind w:firstLine="0" w:firstLineChars="0"/>
              <w:rPr>
                <w:rFonts w:eastAsia="仿宋_GB2312"/>
                <w:color w:val="auto"/>
                <w:sz w:val="30"/>
                <w:szCs w:val="30"/>
                <w:highlight w:val="none"/>
              </w:rPr>
            </w:pPr>
          </w:p>
        </w:tc>
        <w:tc>
          <w:tcPr>
            <w:tcW w:w="850" w:type="dxa"/>
            <w:tcBorders>
              <w:top w:val="nil"/>
            </w:tcBorders>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31"/>
              <w:ind w:firstLine="0" w:firstLineChars="0"/>
              <w:rPr>
                <w:rFonts w:eastAsia="仿宋_GB2312"/>
                <w:color w:val="auto"/>
                <w:sz w:val="30"/>
                <w:szCs w:val="30"/>
                <w:highlight w:val="none"/>
              </w:rPr>
            </w:pPr>
          </w:p>
        </w:tc>
        <w:tc>
          <w:tcPr>
            <w:tcW w:w="1843" w:type="dxa"/>
            <w:vAlign w:val="center"/>
          </w:tcPr>
          <w:p>
            <w:pPr>
              <w:pStyle w:val="31"/>
              <w:ind w:firstLine="0" w:firstLineChars="0"/>
              <w:rPr>
                <w:rFonts w:eastAsia="仿宋_GB2312"/>
                <w:color w:val="auto"/>
                <w:sz w:val="30"/>
                <w:szCs w:val="30"/>
                <w:highlight w:val="none"/>
              </w:rPr>
            </w:pPr>
          </w:p>
        </w:tc>
        <w:tc>
          <w:tcPr>
            <w:tcW w:w="1417" w:type="dxa"/>
            <w:vAlign w:val="center"/>
          </w:tcPr>
          <w:p>
            <w:pPr>
              <w:pStyle w:val="31"/>
              <w:ind w:firstLine="0" w:firstLineChars="0"/>
              <w:rPr>
                <w:rFonts w:eastAsia="仿宋_GB2312"/>
                <w:color w:val="auto"/>
                <w:sz w:val="30"/>
                <w:szCs w:val="30"/>
                <w:highlight w:val="none"/>
              </w:rPr>
            </w:pPr>
          </w:p>
        </w:tc>
        <w:tc>
          <w:tcPr>
            <w:tcW w:w="2410" w:type="dxa"/>
            <w:vAlign w:val="center"/>
          </w:tcPr>
          <w:p>
            <w:pPr>
              <w:pStyle w:val="31"/>
              <w:ind w:firstLine="0" w:firstLineChars="0"/>
              <w:rPr>
                <w:rFonts w:eastAsia="仿宋_GB2312"/>
                <w:color w:val="auto"/>
                <w:sz w:val="30"/>
                <w:szCs w:val="30"/>
                <w:highlight w:val="none"/>
              </w:rPr>
            </w:pPr>
          </w:p>
        </w:tc>
        <w:tc>
          <w:tcPr>
            <w:tcW w:w="850" w:type="dxa"/>
            <w:vAlign w:val="center"/>
          </w:tcPr>
          <w:p>
            <w:pPr>
              <w:pStyle w:val="31"/>
              <w:ind w:firstLine="0" w:firstLineChars="0"/>
              <w:rPr>
                <w:rFonts w:eastAsia="仿宋_GB2312"/>
                <w:color w:val="auto"/>
                <w:sz w:val="30"/>
                <w:szCs w:val="30"/>
                <w:highlight w:val="none"/>
              </w:rPr>
            </w:pPr>
          </w:p>
        </w:tc>
        <w:tc>
          <w:tcPr>
            <w:tcW w:w="1560" w:type="dxa"/>
            <w:vAlign w:val="center"/>
          </w:tcPr>
          <w:p>
            <w:pPr>
              <w:pStyle w:val="31"/>
              <w:ind w:firstLine="0" w:firstLineChars="0"/>
              <w:rPr>
                <w:rFonts w:eastAsia="仿宋_GB2312"/>
                <w:color w:val="auto"/>
                <w:sz w:val="30"/>
                <w:szCs w:val="30"/>
                <w:highlight w:val="none"/>
              </w:rPr>
            </w:pPr>
          </w:p>
        </w:tc>
        <w:tc>
          <w:tcPr>
            <w:tcW w:w="2126" w:type="dxa"/>
            <w:vAlign w:val="center"/>
          </w:tcPr>
          <w:p>
            <w:pPr>
              <w:pStyle w:val="31"/>
              <w:ind w:firstLine="0" w:firstLineChars="0"/>
              <w:rPr>
                <w:rFonts w:eastAsia="仿宋_GB2312"/>
                <w:color w:val="auto"/>
                <w:sz w:val="30"/>
                <w:szCs w:val="30"/>
                <w:highlight w:val="none"/>
              </w:rPr>
            </w:pPr>
          </w:p>
        </w:tc>
        <w:tc>
          <w:tcPr>
            <w:tcW w:w="1417"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850" w:type="dxa"/>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31"/>
              <w:ind w:firstLine="0" w:firstLineChars="0"/>
              <w:rPr>
                <w:rFonts w:eastAsia="仿宋_GB2312"/>
                <w:color w:val="auto"/>
                <w:sz w:val="30"/>
                <w:szCs w:val="30"/>
                <w:highlight w:val="none"/>
              </w:rPr>
            </w:pPr>
          </w:p>
        </w:tc>
        <w:tc>
          <w:tcPr>
            <w:tcW w:w="1843" w:type="dxa"/>
            <w:tcBorders>
              <w:top w:val="nil"/>
            </w:tcBorders>
            <w:vAlign w:val="center"/>
          </w:tcPr>
          <w:p>
            <w:pPr>
              <w:pStyle w:val="31"/>
              <w:ind w:firstLine="0" w:firstLineChars="0"/>
              <w:rPr>
                <w:rFonts w:eastAsia="仿宋_GB2312"/>
                <w:color w:val="auto"/>
                <w:sz w:val="30"/>
                <w:szCs w:val="30"/>
                <w:highlight w:val="none"/>
              </w:rPr>
            </w:pPr>
          </w:p>
        </w:tc>
        <w:tc>
          <w:tcPr>
            <w:tcW w:w="1417" w:type="dxa"/>
            <w:tcBorders>
              <w:top w:val="nil"/>
            </w:tcBorders>
            <w:vAlign w:val="center"/>
          </w:tcPr>
          <w:p>
            <w:pPr>
              <w:pStyle w:val="31"/>
              <w:ind w:firstLine="0" w:firstLineChars="0"/>
              <w:rPr>
                <w:rFonts w:eastAsia="仿宋_GB2312"/>
                <w:color w:val="auto"/>
                <w:sz w:val="30"/>
                <w:szCs w:val="30"/>
                <w:highlight w:val="none"/>
              </w:rPr>
            </w:pPr>
          </w:p>
        </w:tc>
        <w:tc>
          <w:tcPr>
            <w:tcW w:w="2410" w:type="dxa"/>
            <w:tcBorders>
              <w:top w:val="nil"/>
            </w:tcBorders>
            <w:vAlign w:val="center"/>
          </w:tcPr>
          <w:p>
            <w:pPr>
              <w:pStyle w:val="31"/>
              <w:ind w:firstLine="0" w:firstLineChars="0"/>
              <w:rPr>
                <w:rFonts w:eastAsia="仿宋_GB2312"/>
                <w:color w:val="auto"/>
                <w:sz w:val="30"/>
                <w:szCs w:val="30"/>
                <w:highlight w:val="none"/>
              </w:rPr>
            </w:pPr>
          </w:p>
        </w:tc>
        <w:tc>
          <w:tcPr>
            <w:tcW w:w="850" w:type="dxa"/>
            <w:tcBorders>
              <w:top w:val="nil"/>
            </w:tcBorders>
            <w:vAlign w:val="center"/>
          </w:tcPr>
          <w:p>
            <w:pPr>
              <w:pStyle w:val="31"/>
              <w:ind w:firstLine="0" w:firstLineChars="0"/>
              <w:rPr>
                <w:rFonts w:eastAsia="仿宋_GB2312"/>
                <w:color w:val="auto"/>
                <w:sz w:val="30"/>
                <w:szCs w:val="30"/>
                <w:highlight w:val="none"/>
              </w:rPr>
            </w:pPr>
          </w:p>
        </w:tc>
        <w:tc>
          <w:tcPr>
            <w:tcW w:w="1560" w:type="dxa"/>
            <w:tcBorders>
              <w:top w:val="nil"/>
            </w:tcBorders>
            <w:vAlign w:val="center"/>
          </w:tcPr>
          <w:p>
            <w:pPr>
              <w:pStyle w:val="31"/>
              <w:ind w:firstLine="0" w:firstLineChars="0"/>
              <w:rPr>
                <w:rFonts w:eastAsia="仿宋_GB2312"/>
                <w:color w:val="auto"/>
                <w:sz w:val="30"/>
                <w:szCs w:val="30"/>
                <w:highlight w:val="none"/>
              </w:rPr>
            </w:pPr>
          </w:p>
        </w:tc>
        <w:tc>
          <w:tcPr>
            <w:tcW w:w="2126" w:type="dxa"/>
            <w:tcBorders>
              <w:top w:val="nil"/>
            </w:tcBorders>
            <w:vAlign w:val="center"/>
          </w:tcPr>
          <w:p>
            <w:pPr>
              <w:pStyle w:val="31"/>
              <w:ind w:firstLine="0" w:firstLineChars="0"/>
              <w:rPr>
                <w:rFonts w:eastAsia="仿宋_GB2312"/>
                <w:color w:val="auto"/>
                <w:sz w:val="30"/>
                <w:szCs w:val="30"/>
                <w:highlight w:val="none"/>
              </w:rPr>
            </w:pPr>
          </w:p>
        </w:tc>
        <w:tc>
          <w:tcPr>
            <w:tcW w:w="1417" w:type="dxa"/>
            <w:tcBorders>
              <w:top w:val="nil"/>
            </w:tcBorders>
            <w:vAlign w:val="center"/>
          </w:tcPr>
          <w:p>
            <w:pPr>
              <w:pStyle w:val="31"/>
              <w:ind w:firstLine="0" w:firstLineChars="0"/>
              <w:rPr>
                <w:rFonts w:eastAsia="仿宋_GB2312"/>
                <w:color w:val="auto"/>
                <w:sz w:val="30"/>
                <w:szCs w:val="30"/>
                <w:highlight w:val="none"/>
              </w:rPr>
            </w:pPr>
          </w:p>
        </w:tc>
        <w:tc>
          <w:tcPr>
            <w:tcW w:w="851" w:type="dxa"/>
            <w:tcBorders>
              <w:top w:val="nil"/>
            </w:tcBorders>
            <w:vAlign w:val="center"/>
          </w:tcPr>
          <w:p>
            <w:pPr>
              <w:pStyle w:val="31"/>
              <w:ind w:firstLine="0" w:firstLineChars="0"/>
              <w:rPr>
                <w:rFonts w:eastAsia="仿宋_GB2312"/>
                <w:color w:val="auto"/>
                <w:sz w:val="30"/>
                <w:szCs w:val="30"/>
                <w:highlight w:val="none"/>
              </w:rPr>
            </w:pPr>
          </w:p>
        </w:tc>
        <w:tc>
          <w:tcPr>
            <w:tcW w:w="850" w:type="dxa"/>
            <w:tcBorders>
              <w:top w:val="nil"/>
            </w:tcBorders>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31"/>
              <w:ind w:firstLine="0" w:firstLineChars="0"/>
              <w:rPr>
                <w:rFonts w:eastAsia="仿宋_GB2312"/>
                <w:color w:val="auto"/>
                <w:sz w:val="30"/>
                <w:szCs w:val="30"/>
                <w:highlight w:val="none"/>
              </w:rPr>
            </w:pPr>
          </w:p>
        </w:tc>
        <w:tc>
          <w:tcPr>
            <w:tcW w:w="1843" w:type="dxa"/>
            <w:vAlign w:val="center"/>
          </w:tcPr>
          <w:p>
            <w:pPr>
              <w:pStyle w:val="31"/>
              <w:ind w:firstLine="0" w:firstLineChars="0"/>
              <w:rPr>
                <w:rFonts w:eastAsia="仿宋_GB2312"/>
                <w:color w:val="auto"/>
                <w:sz w:val="30"/>
                <w:szCs w:val="30"/>
                <w:highlight w:val="none"/>
              </w:rPr>
            </w:pPr>
          </w:p>
        </w:tc>
        <w:tc>
          <w:tcPr>
            <w:tcW w:w="1417" w:type="dxa"/>
            <w:vAlign w:val="center"/>
          </w:tcPr>
          <w:p>
            <w:pPr>
              <w:pStyle w:val="31"/>
              <w:ind w:firstLine="0" w:firstLineChars="0"/>
              <w:rPr>
                <w:rFonts w:eastAsia="仿宋_GB2312"/>
                <w:color w:val="auto"/>
                <w:sz w:val="30"/>
                <w:szCs w:val="30"/>
                <w:highlight w:val="none"/>
              </w:rPr>
            </w:pPr>
          </w:p>
        </w:tc>
        <w:tc>
          <w:tcPr>
            <w:tcW w:w="2410" w:type="dxa"/>
            <w:vAlign w:val="center"/>
          </w:tcPr>
          <w:p>
            <w:pPr>
              <w:pStyle w:val="31"/>
              <w:ind w:firstLine="0" w:firstLineChars="0"/>
              <w:rPr>
                <w:rFonts w:eastAsia="仿宋_GB2312"/>
                <w:color w:val="auto"/>
                <w:sz w:val="30"/>
                <w:szCs w:val="30"/>
                <w:highlight w:val="none"/>
              </w:rPr>
            </w:pPr>
          </w:p>
        </w:tc>
        <w:tc>
          <w:tcPr>
            <w:tcW w:w="850" w:type="dxa"/>
            <w:vAlign w:val="center"/>
          </w:tcPr>
          <w:p>
            <w:pPr>
              <w:pStyle w:val="31"/>
              <w:ind w:firstLine="0" w:firstLineChars="0"/>
              <w:rPr>
                <w:rFonts w:eastAsia="仿宋_GB2312"/>
                <w:color w:val="auto"/>
                <w:sz w:val="30"/>
                <w:szCs w:val="30"/>
                <w:highlight w:val="none"/>
              </w:rPr>
            </w:pPr>
          </w:p>
        </w:tc>
        <w:tc>
          <w:tcPr>
            <w:tcW w:w="1560" w:type="dxa"/>
            <w:vAlign w:val="center"/>
          </w:tcPr>
          <w:p>
            <w:pPr>
              <w:pStyle w:val="31"/>
              <w:ind w:firstLine="0" w:firstLineChars="0"/>
              <w:rPr>
                <w:rFonts w:eastAsia="仿宋_GB2312"/>
                <w:color w:val="auto"/>
                <w:sz w:val="30"/>
                <w:szCs w:val="30"/>
                <w:highlight w:val="none"/>
              </w:rPr>
            </w:pPr>
          </w:p>
        </w:tc>
        <w:tc>
          <w:tcPr>
            <w:tcW w:w="2126" w:type="dxa"/>
            <w:vAlign w:val="center"/>
          </w:tcPr>
          <w:p>
            <w:pPr>
              <w:pStyle w:val="31"/>
              <w:ind w:firstLine="0" w:firstLineChars="0"/>
              <w:rPr>
                <w:rFonts w:eastAsia="仿宋_GB2312"/>
                <w:color w:val="auto"/>
                <w:sz w:val="30"/>
                <w:szCs w:val="30"/>
                <w:highlight w:val="none"/>
              </w:rPr>
            </w:pPr>
          </w:p>
        </w:tc>
        <w:tc>
          <w:tcPr>
            <w:tcW w:w="1417"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850" w:type="dxa"/>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31"/>
              <w:ind w:firstLine="0" w:firstLineChars="0"/>
              <w:rPr>
                <w:rFonts w:eastAsia="仿宋_GB2312"/>
                <w:color w:val="auto"/>
                <w:sz w:val="30"/>
                <w:szCs w:val="30"/>
                <w:highlight w:val="none"/>
              </w:rPr>
            </w:pPr>
          </w:p>
        </w:tc>
        <w:tc>
          <w:tcPr>
            <w:tcW w:w="1843" w:type="dxa"/>
            <w:tcBorders>
              <w:top w:val="nil"/>
            </w:tcBorders>
            <w:vAlign w:val="center"/>
          </w:tcPr>
          <w:p>
            <w:pPr>
              <w:pStyle w:val="31"/>
              <w:ind w:firstLine="0" w:firstLineChars="0"/>
              <w:rPr>
                <w:rFonts w:eastAsia="仿宋_GB2312"/>
                <w:color w:val="auto"/>
                <w:sz w:val="30"/>
                <w:szCs w:val="30"/>
                <w:highlight w:val="none"/>
              </w:rPr>
            </w:pPr>
          </w:p>
        </w:tc>
        <w:tc>
          <w:tcPr>
            <w:tcW w:w="1417" w:type="dxa"/>
            <w:tcBorders>
              <w:top w:val="nil"/>
            </w:tcBorders>
            <w:vAlign w:val="center"/>
          </w:tcPr>
          <w:p>
            <w:pPr>
              <w:pStyle w:val="31"/>
              <w:ind w:firstLine="0" w:firstLineChars="0"/>
              <w:rPr>
                <w:rFonts w:eastAsia="仿宋_GB2312"/>
                <w:color w:val="auto"/>
                <w:sz w:val="30"/>
                <w:szCs w:val="30"/>
                <w:highlight w:val="none"/>
              </w:rPr>
            </w:pPr>
          </w:p>
        </w:tc>
        <w:tc>
          <w:tcPr>
            <w:tcW w:w="2410" w:type="dxa"/>
            <w:tcBorders>
              <w:top w:val="nil"/>
            </w:tcBorders>
            <w:vAlign w:val="center"/>
          </w:tcPr>
          <w:p>
            <w:pPr>
              <w:pStyle w:val="31"/>
              <w:ind w:firstLine="0" w:firstLineChars="0"/>
              <w:rPr>
                <w:rFonts w:eastAsia="仿宋_GB2312"/>
                <w:color w:val="auto"/>
                <w:sz w:val="30"/>
                <w:szCs w:val="30"/>
                <w:highlight w:val="none"/>
              </w:rPr>
            </w:pPr>
          </w:p>
        </w:tc>
        <w:tc>
          <w:tcPr>
            <w:tcW w:w="850" w:type="dxa"/>
            <w:tcBorders>
              <w:top w:val="nil"/>
            </w:tcBorders>
            <w:vAlign w:val="center"/>
          </w:tcPr>
          <w:p>
            <w:pPr>
              <w:pStyle w:val="31"/>
              <w:ind w:firstLine="0" w:firstLineChars="0"/>
              <w:rPr>
                <w:rFonts w:eastAsia="仿宋_GB2312"/>
                <w:color w:val="auto"/>
                <w:sz w:val="30"/>
                <w:szCs w:val="30"/>
                <w:highlight w:val="none"/>
              </w:rPr>
            </w:pPr>
          </w:p>
        </w:tc>
        <w:tc>
          <w:tcPr>
            <w:tcW w:w="1560" w:type="dxa"/>
            <w:tcBorders>
              <w:top w:val="nil"/>
            </w:tcBorders>
            <w:vAlign w:val="center"/>
          </w:tcPr>
          <w:p>
            <w:pPr>
              <w:pStyle w:val="31"/>
              <w:ind w:firstLine="0" w:firstLineChars="0"/>
              <w:rPr>
                <w:rFonts w:eastAsia="仿宋_GB2312"/>
                <w:color w:val="auto"/>
                <w:sz w:val="30"/>
                <w:szCs w:val="30"/>
                <w:highlight w:val="none"/>
              </w:rPr>
            </w:pPr>
          </w:p>
        </w:tc>
        <w:tc>
          <w:tcPr>
            <w:tcW w:w="2126" w:type="dxa"/>
            <w:tcBorders>
              <w:top w:val="nil"/>
            </w:tcBorders>
            <w:vAlign w:val="center"/>
          </w:tcPr>
          <w:p>
            <w:pPr>
              <w:pStyle w:val="31"/>
              <w:ind w:firstLine="0" w:firstLineChars="0"/>
              <w:rPr>
                <w:rFonts w:eastAsia="仿宋_GB2312"/>
                <w:color w:val="auto"/>
                <w:sz w:val="30"/>
                <w:szCs w:val="30"/>
                <w:highlight w:val="none"/>
              </w:rPr>
            </w:pPr>
          </w:p>
        </w:tc>
        <w:tc>
          <w:tcPr>
            <w:tcW w:w="1417" w:type="dxa"/>
            <w:tcBorders>
              <w:top w:val="nil"/>
            </w:tcBorders>
            <w:vAlign w:val="center"/>
          </w:tcPr>
          <w:p>
            <w:pPr>
              <w:pStyle w:val="31"/>
              <w:ind w:firstLine="0" w:firstLineChars="0"/>
              <w:rPr>
                <w:rFonts w:eastAsia="仿宋_GB2312"/>
                <w:color w:val="auto"/>
                <w:sz w:val="30"/>
                <w:szCs w:val="30"/>
                <w:highlight w:val="none"/>
              </w:rPr>
            </w:pPr>
          </w:p>
        </w:tc>
        <w:tc>
          <w:tcPr>
            <w:tcW w:w="851" w:type="dxa"/>
            <w:tcBorders>
              <w:top w:val="nil"/>
            </w:tcBorders>
            <w:vAlign w:val="center"/>
          </w:tcPr>
          <w:p>
            <w:pPr>
              <w:pStyle w:val="31"/>
              <w:ind w:firstLine="0" w:firstLineChars="0"/>
              <w:rPr>
                <w:rFonts w:eastAsia="仿宋_GB2312"/>
                <w:color w:val="auto"/>
                <w:sz w:val="30"/>
                <w:szCs w:val="30"/>
                <w:highlight w:val="none"/>
              </w:rPr>
            </w:pPr>
          </w:p>
        </w:tc>
        <w:tc>
          <w:tcPr>
            <w:tcW w:w="850" w:type="dxa"/>
            <w:tcBorders>
              <w:top w:val="nil"/>
            </w:tcBorders>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31"/>
              <w:ind w:firstLine="0" w:firstLineChars="0"/>
              <w:rPr>
                <w:rFonts w:eastAsia="仿宋_GB2312"/>
                <w:color w:val="auto"/>
                <w:sz w:val="30"/>
                <w:szCs w:val="30"/>
                <w:highlight w:val="none"/>
              </w:rPr>
            </w:pPr>
          </w:p>
        </w:tc>
        <w:tc>
          <w:tcPr>
            <w:tcW w:w="1843" w:type="dxa"/>
            <w:tcBorders>
              <w:top w:val="nil"/>
            </w:tcBorders>
            <w:vAlign w:val="center"/>
          </w:tcPr>
          <w:p>
            <w:pPr>
              <w:pStyle w:val="31"/>
              <w:ind w:firstLine="0" w:firstLineChars="0"/>
              <w:rPr>
                <w:rFonts w:eastAsia="仿宋_GB2312"/>
                <w:color w:val="auto"/>
                <w:sz w:val="30"/>
                <w:szCs w:val="30"/>
                <w:highlight w:val="none"/>
              </w:rPr>
            </w:pPr>
          </w:p>
        </w:tc>
        <w:tc>
          <w:tcPr>
            <w:tcW w:w="1417" w:type="dxa"/>
            <w:tcBorders>
              <w:top w:val="nil"/>
            </w:tcBorders>
            <w:vAlign w:val="center"/>
          </w:tcPr>
          <w:p>
            <w:pPr>
              <w:pStyle w:val="31"/>
              <w:ind w:firstLine="0" w:firstLineChars="0"/>
              <w:rPr>
                <w:rFonts w:eastAsia="仿宋_GB2312"/>
                <w:color w:val="auto"/>
                <w:sz w:val="30"/>
                <w:szCs w:val="30"/>
                <w:highlight w:val="none"/>
              </w:rPr>
            </w:pPr>
          </w:p>
        </w:tc>
        <w:tc>
          <w:tcPr>
            <w:tcW w:w="2410" w:type="dxa"/>
            <w:tcBorders>
              <w:top w:val="nil"/>
            </w:tcBorders>
            <w:vAlign w:val="center"/>
          </w:tcPr>
          <w:p>
            <w:pPr>
              <w:pStyle w:val="31"/>
              <w:ind w:firstLine="0" w:firstLineChars="0"/>
              <w:rPr>
                <w:rFonts w:eastAsia="仿宋_GB2312"/>
                <w:color w:val="auto"/>
                <w:sz w:val="30"/>
                <w:szCs w:val="30"/>
                <w:highlight w:val="none"/>
              </w:rPr>
            </w:pPr>
          </w:p>
        </w:tc>
        <w:tc>
          <w:tcPr>
            <w:tcW w:w="850" w:type="dxa"/>
            <w:tcBorders>
              <w:top w:val="nil"/>
            </w:tcBorders>
            <w:vAlign w:val="center"/>
          </w:tcPr>
          <w:p>
            <w:pPr>
              <w:pStyle w:val="31"/>
              <w:ind w:firstLine="0" w:firstLineChars="0"/>
              <w:rPr>
                <w:rFonts w:eastAsia="仿宋_GB2312"/>
                <w:color w:val="auto"/>
                <w:sz w:val="30"/>
                <w:szCs w:val="30"/>
                <w:highlight w:val="none"/>
              </w:rPr>
            </w:pPr>
          </w:p>
        </w:tc>
        <w:tc>
          <w:tcPr>
            <w:tcW w:w="1560" w:type="dxa"/>
            <w:tcBorders>
              <w:top w:val="nil"/>
            </w:tcBorders>
            <w:vAlign w:val="center"/>
          </w:tcPr>
          <w:p>
            <w:pPr>
              <w:pStyle w:val="31"/>
              <w:ind w:firstLine="0" w:firstLineChars="0"/>
              <w:rPr>
                <w:rFonts w:eastAsia="仿宋_GB2312"/>
                <w:color w:val="auto"/>
                <w:sz w:val="30"/>
                <w:szCs w:val="30"/>
                <w:highlight w:val="none"/>
              </w:rPr>
            </w:pPr>
          </w:p>
        </w:tc>
        <w:tc>
          <w:tcPr>
            <w:tcW w:w="2126" w:type="dxa"/>
            <w:tcBorders>
              <w:top w:val="nil"/>
            </w:tcBorders>
            <w:vAlign w:val="center"/>
          </w:tcPr>
          <w:p>
            <w:pPr>
              <w:pStyle w:val="31"/>
              <w:ind w:firstLine="0" w:firstLineChars="0"/>
              <w:rPr>
                <w:rFonts w:eastAsia="仿宋_GB2312"/>
                <w:color w:val="auto"/>
                <w:sz w:val="30"/>
                <w:szCs w:val="30"/>
                <w:highlight w:val="none"/>
              </w:rPr>
            </w:pPr>
          </w:p>
        </w:tc>
        <w:tc>
          <w:tcPr>
            <w:tcW w:w="1417" w:type="dxa"/>
            <w:tcBorders>
              <w:top w:val="nil"/>
            </w:tcBorders>
            <w:vAlign w:val="center"/>
          </w:tcPr>
          <w:p>
            <w:pPr>
              <w:pStyle w:val="31"/>
              <w:ind w:firstLine="0" w:firstLineChars="0"/>
              <w:rPr>
                <w:rFonts w:eastAsia="仿宋_GB2312"/>
                <w:color w:val="auto"/>
                <w:sz w:val="30"/>
                <w:szCs w:val="30"/>
                <w:highlight w:val="none"/>
              </w:rPr>
            </w:pPr>
          </w:p>
        </w:tc>
        <w:tc>
          <w:tcPr>
            <w:tcW w:w="851" w:type="dxa"/>
            <w:tcBorders>
              <w:top w:val="nil"/>
            </w:tcBorders>
            <w:vAlign w:val="center"/>
          </w:tcPr>
          <w:p>
            <w:pPr>
              <w:pStyle w:val="31"/>
              <w:ind w:firstLine="0" w:firstLineChars="0"/>
              <w:rPr>
                <w:rFonts w:eastAsia="仿宋_GB2312"/>
                <w:color w:val="auto"/>
                <w:sz w:val="30"/>
                <w:szCs w:val="30"/>
                <w:highlight w:val="none"/>
              </w:rPr>
            </w:pPr>
          </w:p>
        </w:tc>
        <w:tc>
          <w:tcPr>
            <w:tcW w:w="850" w:type="dxa"/>
            <w:tcBorders>
              <w:top w:val="nil"/>
            </w:tcBorders>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31"/>
              <w:ind w:firstLine="0" w:firstLineChars="0"/>
              <w:rPr>
                <w:rFonts w:eastAsia="仿宋_GB2312"/>
                <w:color w:val="auto"/>
                <w:sz w:val="30"/>
                <w:szCs w:val="30"/>
                <w:highlight w:val="none"/>
              </w:rPr>
            </w:pPr>
          </w:p>
        </w:tc>
        <w:tc>
          <w:tcPr>
            <w:tcW w:w="1843" w:type="dxa"/>
            <w:tcBorders>
              <w:top w:val="nil"/>
            </w:tcBorders>
            <w:vAlign w:val="center"/>
          </w:tcPr>
          <w:p>
            <w:pPr>
              <w:pStyle w:val="31"/>
              <w:ind w:firstLine="0" w:firstLineChars="0"/>
              <w:rPr>
                <w:rFonts w:eastAsia="仿宋_GB2312"/>
                <w:color w:val="auto"/>
                <w:sz w:val="30"/>
                <w:szCs w:val="30"/>
                <w:highlight w:val="none"/>
              </w:rPr>
            </w:pPr>
          </w:p>
        </w:tc>
        <w:tc>
          <w:tcPr>
            <w:tcW w:w="1417" w:type="dxa"/>
            <w:tcBorders>
              <w:top w:val="nil"/>
            </w:tcBorders>
            <w:vAlign w:val="center"/>
          </w:tcPr>
          <w:p>
            <w:pPr>
              <w:pStyle w:val="31"/>
              <w:ind w:firstLine="0" w:firstLineChars="0"/>
              <w:rPr>
                <w:rFonts w:eastAsia="仿宋_GB2312"/>
                <w:color w:val="auto"/>
                <w:sz w:val="30"/>
                <w:szCs w:val="30"/>
                <w:highlight w:val="none"/>
              </w:rPr>
            </w:pPr>
          </w:p>
        </w:tc>
        <w:tc>
          <w:tcPr>
            <w:tcW w:w="2410" w:type="dxa"/>
            <w:tcBorders>
              <w:top w:val="nil"/>
            </w:tcBorders>
            <w:vAlign w:val="center"/>
          </w:tcPr>
          <w:p>
            <w:pPr>
              <w:pStyle w:val="31"/>
              <w:ind w:firstLine="0" w:firstLineChars="0"/>
              <w:rPr>
                <w:rFonts w:eastAsia="仿宋_GB2312"/>
                <w:color w:val="auto"/>
                <w:sz w:val="30"/>
                <w:szCs w:val="30"/>
                <w:highlight w:val="none"/>
              </w:rPr>
            </w:pPr>
          </w:p>
        </w:tc>
        <w:tc>
          <w:tcPr>
            <w:tcW w:w="850" w:type="dxa"/>
            <w:tcBorders>
              <w:top w:val="nil"/>
            </w:tcBorders>
            <w:vAlign w:val="center"/>
          </w:tcPr>
          <w:p>
            <w:pPr>
              <w:pStyle w:val="31"/>
              <w:ind w:firstLine="0" w:firstLineChars="0"/>
              <w:rPr>
                <w:rFonts w:eastAsia="仿宋_GB2312"/>
                <w:color w:val="auto"/>
                <w:sz w:val="30"/>
                <w:szCs w:val="30"/>
                <w:highlight w:val="none"/>
              </w:rPr>
            </w:pPr>
          </w:p>
        </w:tc>
        <w:tc>
          <w:tcPr>
            <w:tcW w:w="1560" w:type="dxa"/>
            <w:tcBorders>
              <w:top w:val="nil"/>
            </w:tcBorders>
            <w:vAlign w:val="center"/>
          </w:tcPr>
          <w:p>
            <w:pPr>
              <w:pStyle w:val="31"/>
              <w:ind w:firstLine="0" w:firstLineChars="0"/>
              <w:rPr>
                <w:rFonts w:eastAsia="仿宋_GB2312"/>
                <w:color w:val="auto"/>
                <w:sz w:val="30"/>
                <w:szCs w:val="30"/>
                <w:highlight w:val="none"/>
              </w:rPr>
            </w:pPr>
          </w:p>
        </w:tc>
        <w:tc>
          <w:tcPr>
            <w:tcW w:w="2126" w:type="dxa"/>
            <w:tcBorders>
              <w:top w:val="nil"/>
            </w:tcBorders>
            <w:vAlign w:val="center"/>
          </w:tcPr>
          <w:p>
            <w:pPr>
              <w:pStyle w:val="31"/>
              <w:ind w:firstLine="0" w:firstLineChars="0"/>
              <w:rPr>
                <w:rFonts w:eastAsia="仿宋_GB2312"/>
                <w:color w:val="auto"/>
                <w:sz w:val="30"/>
                <w:szCs w:val="30"/>
                <w:highlight w:val="none"/>
              </w:rPr>
            </w:pPr>
          </w:p>
        </w:tc>
        <w:tc>
          <w:tcPr>
            <w:tcW w:w="1417" w:type="dxa"/>
            <w:tcBorders>
              <w:top w:val="nil"/>
            </w:tcBorders>
            <w:vAlign w:val="center"/>
          </w:tcPr>
          <w:p>
            <w:pPr>
              <w:pStyle w:val="31"/>
              <w:ind w:firstLine="0" w:firstLineChars="0"/>
              <w:rPr>
                <w:rFonts w:eastAsia="仿宋_GB2312"/>
                <w:color w:val="auto"/>
                <w:sz w:val="30"/>
                <w:szCs w:val="30"/>
                <w:highlight w:val="none"/>
              </w:rPr>
            </w:pPr>
          </w:p>
        </w:tc>
        <w:tc>
          <w:tcPr>
            <w:tcW w:w="851" w:type="dxa"/>
            <w:tcBorders>
              <w:top w:val="nil"/>
            </w:tcBorders>
            <w:vAlign w:val="center"/>
          </w:tcPr>
          <w:p>
            <w:pPr>
              <w:pStyle w:val="31"/>
              <w:ind w:firstLine="0" w:firstLineChars="0"/>
              <w:rPr>
                <w:rFonts w:eastAsia="仿宋_GB2312"/>
                <w:color w:val="auto"/>
                <w:sz w:val="30"/>
                <w:szCs w:val="30"/>
                <w:highlight w:val="none"/>
              </w:rPr>
            </w:pPr>
          </w:p>
        </w:tc>
        <w:tc>
          <w:tcPr>
            <w:tcW w:w="850" w:type="dxa"/>
            <w:tcBorders>
              <w:top w:val="nil"/>
            </w:tcBorders>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31"/>
              <w:ind w:firstLine="0" w:firstLineChars="0"/>
              <w:rPr>
                <w:rFonts w:eastAsia="仿宋_GB2312"/>
                <w:color w:val="auto"/>
                <w:sz w:val="30"/>
                <w:szCs w:val="30"/>
                <w:highlight w:val="none"/>
              </w:rPr>
            </w:pPr>
          </w:p>
        </w:tc>
        <w:tc>
          <w:tcPr>
            <w:tcW w:w="1843" w:type="dxa"/>
            <w:vAlign w:val="center"/>
          </w:tcPr>
          <w:p>
            <w:pPr>
              <w:pStyle w:val="31"/>
              <w:ind w:firstLine="0" w:firstLineChars="0"/>
              <w:rPr>
                <w:rFonts w:eastAsia="仿宋_GB2312"/>
                <w:color w:val="auto"/>
                <w:sz w:val="30"/>
                <w:szCs w:val="30"/>
                <w:highlight w:val="none"/>
              </w:rPr>
            </w:pPr>
          </w:p>
        </w:tc>
        <w:tc>
          <w:tcPr>
            <w:tcW w:w="1417" w:type="dxa"/>
            <w:vAlign w:val="center"/>
          </w:tcPr>
          <w:p>
            <w:pPr>
              <w:pStyle w:val="31"/>
              <w:ind w:firstLine="0" w:firstLineChars="0"/>
              <w:rPr>
                <w:rFonts w:eastAsia="仿宋_GB2312"/>
                <w:color w:val="auto"/>
                <w:sz w:val="30"/>
                <w:szCs w:val="30"/>
                <w:highlight w:val="none"/>
              </w:rPr>
            </w:pPr>
          </w:p>
        </w:tc>
        <w:tc>
          <w:tcPr>
            <w:tcW w:w="2410" w:type="dxa"/>
            <w:vAlign w:val="center"/>
          </w:tcPr>
          <w:p>
            <w:pPr>
              <w:pStyle w:val="31"/>
              <w:ind w:firstLine="0" w:firstLineChars="0"/>
              <w:rPr>
                <w:rFonts w:eastAsia="仿宋_GB2312"/>
                <w:color w:val="auto"/>
                <w:sz w:val="30"/>
                <w:szCs w:val="30"/>
                <w:highlight w:val="none"/>
              </w:rPr>
            </w:pPr>
          </w:p>
        </w:tc>
        <w:tc>
          <w:tcPr>
            <w:tcW w:w="850" w:type="dxa"/>
            <w:vAlign w:val="center"/>
          </w:tcPr>
          <w:p>
            <w:pPr>
              <w:pStyle w:val="31"/>
              <w:ind w:firstLine="0" w:firstLineChars="0"/>
              <w:rPr>
                <w:rFonts w:eastAsia="仿宋_GB2312"/>
                <w:color w:val="auto"/>
                <w:sz w:val="30"/>
                <w:szCs w:val="30"/>
                <w:highlight w:val="none"/>
              </w:rPr>
            </w:pPr>
          </w:p>
        </w:tc>
        <w:tc>
          <w:tcPr>
            <w:tcW w:w="1560" w:type="dxa"/>
            <w:vAlign w:val="center"/>
          </w:tcPr>
          <w:p>
            <w:pPr>
              <w:pStyle w:val="31"/>
              <w:ind w:firstLine="0" w:firstLineChars="0"/>
              <w:rPr>
                <w:rFonts w:eastAsia="仿宋_GB2312"/>
                <w:color w:val="auto"/>
                <w:sz w:val="30"/>
                <w:szCs w:val="30"/>
                <w:highlight w:val="none"/>
              </w:rPr>
            </w:pPr>
          </w:p>
        </w:tc>
        <w:tc>
          <w:tcPr>
            <w:tcW w:w="2126" w:type="dxa"/>
            <w:vAlign w:val="center"/>
          </w:tcPr>
          <w:p>
            <w:pPr>
              <w:pStyle w:val="31"/>
              <w:ind w:firstLine="0" w:firstLineChars="0"/>
              <w:rPr>
                <w:rFonts w:eastAsia="仿宋_GB2312"/>
                <w:color w:val="auto"/>
                <w:sz w:val="30"/>
                <w:szCs w:val="30"/>
                <w:highlight w:val="none"/>
              </w:rPr>
            </w:pPr>
          </w:p>
        </w:tc>
        <w:tc>
          <w:tcPr>
            <w:tcW w:w="1417"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850" w:type="dxa"/>
            <w:vAlign w:val="center"/>
          </w:tcPr>
          <w:p>
            <w:pPr>
              <w:pStyle w:val="31"/>
              <w:ind w:firstLine="0" w:firstLineChars="0"/>
              <w:rPr>
                <w:rFonts w:eastAsia="仿宋_GB2312"/>
                <w:color w:val="auto"/>
                <w:sz w:val="30"/>
                <w:szCs w:val="30"/>
                <w:highlight w:val="none"/>
              </w:rPr>
            </w:pPr>
          </w:p>
        </w:tc>
      </w:tr>
    </w:tbl>
    <w:p>
      <w:pPr>
        <w:pStyle w:val="31"/>
        <w:ind w:firstLine="602"/>
        <w:rPr>
          <w:rFonts w:eastAsia="仿宋_GB2312"/>
          <w:b/>
          <w:color w:val="auto"/>
          <w:sz w:val="30"/>
          <w:szCs w:val="30"/>
          <w:highlight w:val="none"/>
        </w:rPr>
        <w:sectPr>
          <w:pgSz w:w="16838" w:h="11906" w:orient="landscape"/>
          <w:pgMar w:top="1440" w:right="1800" w:bottom="1440" w:left="1800" w:header="851" w:footer="992" w:gutter="0"/>
          <w:cols w:space="720" w:num="1"/>
          <w:docGrid w:type="linesAndChars" w:linePitch="312" w:charSpace="0"/>
        </w:sectPr>
      </w:pPr>
    </w:p>
    <w:p>
      <w:pPr>
        <w:pStyle w:val="31"/>
        <w:ind w:firstLine="600"/>
        <w:rPr>
          <w:rFonts w:eastAsia="黑体"/>
          <w:color w:val="auto"/>
          <w:sz w:val="30"/>
          <w:szCs w:val="30"/>
          <w:highlight w:val="none"/>
        </w:rPr>
      </w:pPr>
      <w:r>
        <w:rPr>
          <w:rFonts w:eastAsia="仿宋_GB2312"/>
          <w:color w:val="auto"/>
          <w:sz w:val="30"/>
          <w:szCs w:val="30"/>
          <w:highlight w:val="none"/>
        </w:rPr>
        <w:t>附件2：</w:t>
      </w:r>
    </w:p>
    <w:p>
      <w:pPr>
        <w:pStyle w:val="31"/>
        <w:ind w:firstLine="600"/>
        <w:jc w:val="center"/>
        <w:rPr>
          <w:rFonts w:eastAsia="黑体"/>
          <w:color w:val="auto"/>
          <w:sz w:val="30"/>
          <w:szCs w:val="30"/>
          <w:highlight w:val="none"/>
        </w:rPr>
      </w:pPr>
      <w:r>
        <w:rPr>
          <w:rFonts w:eastAsia="黑体"/>
          <w:color w:val="auto"/>
          <w:sz w:val="30"/>
          <w:szCs w:val="30"/>
          <w:highlight w:val="none"/>
        </w:rPr>
        <w:t>发包人供应材料设备一览表</w:t>
      </w:r>
    </w:p>
    <w:tbl>
      <w:tblPr>
        <w:tblStyle w:val="13"/>
        <w:tblW w:w="107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31"/>
              <w:ind w:firstLine="0" w:firstLineChars="0"/>
              <w:jc w:val="center"/>
              <w:rPr>
                <w:rFonts w:eastAsia="仿宋_GB2312"/>
                <w:color w:val="auto"/>
                <w:sz w:val="28"/>
                <w:szCs w:val="30"/>
                <w:highlight w:val="none"/>
              </w:rPr>
            </w:pPr>
            <w:r>
              <w:rPr>
                <w:rFonts w:eastAsia="仿宋_GB2312"/>
                <w:color w:val="auto"/>
                <w:sz w:val="28"/>
                <w:szCs w:val="30"/>
                <w:highlight w:val="none"/>
              </w:rPr>
              <w:t>序号</w:t>
            </w:r>
          </w:p>
        </w:tc>
        <w:tc>
          <w:tcPr>
            <w:tcW w:w="1276" w:type="dxa"/>
            <w:tcBorders>
              <w:top w:val="single" w:color="auto" w:sz="12" w:space="0"/>
              <w:bottom w:val="double" w:color="auto" w:sz="6" w:space="0"/>
            </w:tcBorders>
            <w:vAlign w:val="center"/>
          </w:tcPr>
          <w:p>
            <w:pPr>
              <w:pStyle w:val="31"/>
              <w:ind w:firstLine="0" w:firstLineChars="0"/>
              <w:jc w:val="center"/>
              <w:rPr>
                <w:rFonts w:eastAsia="仿宋_GB2312"/>
                <w:color w:val="auto"/>
                <w:sz w:val="28"/>
                <w:szCs w:val="30"/>
                <w:highlight w:val="none"/>
              </w:rPr>
            </w:pPr>
            <w:r>
              <w:rPr>
                <w:rFonts w:eastAsia="仿宋_GB2312"/>
                <w:color w:val="auto"/>
                <w:sz w:val="28"/>
                <w:szCs w:val="30"/>
                <w:highlight w:val="none"/>
              </w:rPr>
              <w:t>材料、</w:t>
            </w:r>
          </w:p>
          <w:p>
            <w:pPr>
              <w:pStyle w:val="31"/>
              <w:ind w:firstLine="0" w:firstLineChars="0"/>
              <w:jc w:val="center"/>
              <w:rPr>
                <w:rFonts w:eastAsia="仿宋_GB2312"/>
                <w:color w:val="auto"/>
                <w:sz w:val="28"/>
                <w:szCs w:val="30"/>
                <w:highlight w:val="none"/>
              </w:rPr>
            </w:pPr>
            <w:r>
              <w:rPr>
                <w:rFonts w:eastAsia="仿宋_GB2312"/>
                <w:color w:val="auto"/>
                <w:sz w:val="28"/>
                <w:szCs w:val="30"/>
                <w:highlight w:val="none"/>
              </w:rPr>
              <w:t>设备品种</w:t>
            </w:r>
          </w:p>
        </w:tc>
        <w:tc>
          <w:tcPr>
            <w:tcW w:w="1418" w:type="dxa"/>
            <w:tcBorders>
              <w:top w:val="single" w:color="auto" w:sz="12" w:space="0"/>
              <w:bottom w:val="double" w:color="auto" w:sz="6" w:space="0"/>
            </w:tcBorders>
            <w:vAlign w:val="center"/>
          </w:tcPr>
          <w:p>
            <w:pPr>
              <w:pStyle w:val="31"/>
              <w:ind w:firstLine="0" w:firstLineChars="0"/>
              <w:jc w:val="center"/>
              <w:rPr>
                <w:rFonts w:eastAsia="仿宋_GB2312"/>
                <w:color w:val="auto"/>
                <w:sz w:val="28"/>
                <w:szCs w:val="30"/>
                <w:highlight w:val="none"/>
              </w:rPr>
            </w:pPr>
            <w:r>
              <w:rPr>
                <w:rFonts w:eastAsia="仿宋_GB2312"/>
                <w:color w:val="auto"/>
                <w:sz w:val="28"/>
                <w:szCs w:val="30"/>
                <w:highlight w:val="none"/>
              </w:rPr>
              <w:t>规格型号</w:t>
            </w:r>
          </w:p>
        </w:tc>
        <w:tc>
          <w:tcPr>
            <w:tcW w:w="940" w:type="dxa"/>
            <w:tcBorders>
              <w:top w:val="single" w:color="auto" w:sz="12" w:space="0"/>
              <w:bottom w:val="double" w:color="auto" w:sz="6" w:space="0"/>
            </w:tcBorders>
            <w:vAlign w:val="center"/>
          </w:tcPr>
          <w:p>
            <w:pPr>
              <w:pStyle w:val="31"/>
              <w:ind w:firstLine="0" w:firstLineChars="0"/>
              <w:jc w:val="center"/>
              <w:rPr>
                <w:rFonts w:eastAsia="仿宋_GB2312"/>
                <w:color w:val="auto"/>
                <w:sz w:val="28"/>
                <w:szCs w:val="30"/>
                <w:highlight w:val="none"/>
              </w:rPr>
            </w:pPr>
            <w:r>
              <w:rPr>
                <w:rFonts w:eastAsia="仿宋_GB2312"/>
                <w:color w:val="auto"/>
                <w:sz w:val="28"/>
                <w:szCs w:val="30"/>
                <w:highlight w:val="none"/>
              </w:rPr>
              <w:t>单位</w:t>
            </w:r>
          </w:p>
        </w:tc>
        <w:tc>
          <w:tcPr>
            <w:tcW w:w="851" w:type="dxa"/>
            <w:tcBorders>
              <w:top w:val="single" w:color="auto" w:sz="12" w:space="0"/>
              <w:bottom w:val="double" w:color="auto" w:sz="6" w:space="0"/>
            </w:tcBorders>
            <w:vAlign w:val="center"/>
          </w:tcPr>
          <w:p>
            <w:pPr>
              <w:pStyle w:val="31"/>
              <w:ind w:firstLine="0" w:firstLineChars="0"/>
              <w:jc w:val="center"/>
              <w:rPr>
                <w:rFonts w:eastAsia="仿宋_GB2312"/>
                <w:color w:val="auto"/>
                <w:sz w:val="28"/>
                <w:szCs w:val="30"/>
                <w:highlight w:val="none"/>
              </w:rPr>
            </w:pPr>
            <w:r>
              <w:rPr>
                <w:rFonts w:eastAsia="仿宋_GB2312"/>
                <w:color w:val="auto"/>
                <w:sz w:val="28"/>
                <w:szCs w:val="30"/>
                <w:highlight w:val="none"/>
              </w:rPr>
              <w:t>数量</w:t>
            </w:r>
          </w:p>
        </w:tc>
        <w:tc>
          <w:tcPr>
            <w:tcW w:w="1044" w:type="dxa"/>
            <w:tcBorders>
              <w:top w:val="single" w:color="auto" w:sz="12" w:space="0"/>
              <w:bottom w:val="double" w:color="auto" w:sz="6" w:space="0"/>
            </w:tcBorders>
            <w:vAlign w:val="center"/>
          </w:tcPr>
          <w:p>
            <w:pPr>
              <w:pStyle w:val="31"/>
              <w:ind w:firstLine="0" w:firstLineChars="0"/>
              <w:jc w:val="center"/>
              <w:rPr>
                <w:rFonts w:eastAsia="仿宋_GB2312"/>
                <w:color w:val="auto"/>
                <w:sz w:val="28"/>
                <w:szCs w:val="30"/>
                <w:highlight w:val="none"/>
              </w:rPr>
            </w:pPr>
            <w:r>
              <w:rPr>
                <w:rFonts w:eastAsia="仿宋_GB2312"/>
                <w:color w:val="auto"/>
                <w:sz w:val="28"/>
                <w:szCs w:val="30"/>
                <w:highlight w:val="none"/>
              </w:rPr>
              <w:t>单价（元）</w:t>
            </w:r>
          </w:p>
        </w:tc>
        <w:tc>
          <w:tcPr>
            <w:tcW w:w="992" w:type="dxa"/>
            <w:tcBorders>
              <w:top w:val="single" w:color="auto" w:sz="12" w:space="0"/>
              <w:bottom w:val="double" w:color="auto" w:sz="6" w:space="0"/>
            </w:tcBorders>
            <w:vAlign w:val="center"/>
          </w:tcPr>
          <w:p>
            <w:pPr>
              <w:pStyle w:val="31"/>
              <w:ind w:firstLine="0" w:firstLineChars="0"/>
              <w:jc w:val="center"/>
              <w:rPr>
                <w:rFonts w:eastAsia="仿宋_GB2312"/>
                <w:color w:val="auto"/>
                <w:sz w:val="28"/>
                <w:szCs w:val="30"/>
                <w:highlight w:val="none"/>
              </w:rPr>
            </w:pPr>
            <w:r>
              <w:rPr>
                <w:rFonts w:eastAsia="仿宋_GB2312"/>
                <w:color w:val="auto"/>
                <w:sz w:val="28"/>
                <w:szCs w:val="30"/>
                <w:highlight w:val="none"/>
              </w:rPr>
              <w:t>质量</w:t>
            </w:r>
          </w:p>
          <w:p>
            <w:pPr>
              <w:pStyle w:val="31"/>
              <w:ind w:firstLine="0" w:firstLineChars="0"/>
              <w:jc w:val="center"/>
              <w:rPr>
                <w:rFonts w:eastAsia="仿宋_GB2312"/>
                <w:color w:val="auto"/>
                <w:sz w:val="28"/>
                <w:szCs w:val="30"/>
                <w:highlight w:val="none"/>
              </w:rPr>
            </w:pPr>
            <w:r>
              <w:rPr>
                <w:rFonts w:eastAsia="仿宋_GB2312"/>
                <w:color w:val="auto"/>
                <w:sz w:val="28"/>
                <w:szCs w:val="30"/>
                <w:highlight w:val="none"/>
              </w:rPr>
              <w:t>等级</w:t>
            </w:r>
          </w:p>
        </w:tc>
        <w:tc>
          <w:tcPr>
            <w:tcW w:w="851" w:type="dxa"/>
            <w:tcBorders>
              <w:top w:val="single" w:color="auto" w:sz="12" w:space="0"/>
              <w:bottom w:val="double" w:color="auto" w:sz="6" w:space="0"/>
            </w:tcBorders>
            <w:vAlign w:val="center"/>
          </w:tcPr>
          <w:p>
            <w:pPr>
              <w:pStyle w:val="31"/>
              <w:ind w:firstLine="0" w:firstLineChars="0"/>
              <w:jc w:val="center"/>
              <w:rPr>
                <w:rFonts w:eastAsia="仿宋_GB2312"/>
                <w:color w:val="auto"/>
                <w:sz w:val="28"/>
                <w:szCs w:val="30"/>
                <w:highlight w:val="none"/>
              </w:rPr>
            </w:pPr>
            <w:r>
              <w:rPr>
                <w:rFonts w:eastAsia="仿宋_GB2312"/>
                <w:color w:val="auto"/>
                <w:sz w:val="28"/>
                <w:szCs w:val="30"/>
                <w:highlight w:val="none"/>
              </w:rPr>
              <w:t>供应</w:t>
            </w:r>
          </w:p>
          <w:p>
            <w:pPr>
              <w:pStyle w:val="31"/>
              <w:ind w:firstLine="0" w:firstLineChars="0"/>
              <w:jc w:val="center"/>
              <w:rPr>
                <w:rFonts w:eastAsia="仿宋_GB2312"/>
                <w:color w:val="auto"/>
                <w:sz w:val="28"/>
                <w:szCs w:val="30"/>
                <w:highlight w:val="none"/>
              </w:rPr>
            </w:pPr>
            <w:r>
              <w:rPr>
                <w:rFonts w:eastAsia="仿宋_GB2312"/>
                <w:color w:val="auto"/>
                <w:sz w:val="28"/>
                <w:szCs w:val="30"/>
                <w:highlight w:val="none"/>
              </w:rPr>
              <w:t>时间</w:t>
            </w:r>
          </w:p>
        </w:tc>
        <w:tc>
          <w:tcPr>
            <w:tcW w:w="1487" w:type="dxa"/>
            <w:tcBorders>
              <w:top w:val="single" w:color="auto" w:sz="12" w:space="0"/>
              <w:bottom w:val="double" w:color="auto" w:sz="6" w:space="0"/>
            </w:tcBorders>
            <w:vAlign w:val="center"/>
          </w:tcPr>
          <w:p>
            <w:pPr>
              <w:pStyle w:val="31"/>
              <w:ind w:firstLine="0" w:firstLineChars="0"/>
              <w:jc w:val="center"/>
              <w:rPr>
                <w:rFonts w:eastAsia="仿宋_GB2312"/>
                <w:color w:val="auto"/>
                <w:sz w:val="28"/>
                <w:szCs w:val="30"/>
                <w:highlight w:val="none"/>
              </w:rPr>
            </w:pPr>
            <w:r>
              <w:rPr>
                <w:rFonts w:eastAsia="仿宋_GB2312"/>
                <w:color w:val="auto"/>
                <w:sz w:val="28"/>
                <w:szCs w:val="30"/>
                <w:highlight w:val="none"/>
              </w:rPr>
              <w:t>送达地点</w:t>
            </w:r>
          </w:p>
        </w:tc>
        <w:tc>
          <w:tcPr>
            <w:tcW w:w="992" w:type="dxa"/>
            <w:tcBorders>
              <w:top w:val="single" w:color="auto" w:sz="12" w:space="0"/>
              <w:bottom w:val="double" w:color="auto" w:sz="6" w:space="0"/>
            </w:tcBorders>
            <w:vAlign w:val="center"/>
          </w:tcPr>
          <w:p>
            <w:pPr>
              <w:pStyle w:val="31"/>
              <w:ind w:firstLine="0" w:firstLineChars="0"/>
              <w:jc w:val="center"/>
              <w:rPr>
                <w:rFonts w:eastAsia="仿宋_GB2312"/>
                <w:color w:val="auto"/>
                <w:sz w:val="28"/>
                <w:szCs w:val="30"/>
                <w:highlight w:val="none"/>
              </w:rPr>
            </w:pPr>
            <w:r>
              <w:rPr>
                <w:rFonts w:eastAsia="仿宋_GB2312"/>
                <w:color w:val="auto"/>
                <w:sz w:val="28"/>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851" w:type="dxa"/>
            <w:tcBorders>
              <w:top w:val="double" w:color="auto" w:sz="6" w:space="0"/>
              <w:bottom w:val="single" w:color="auto" w:sz="6" w:space="0"/>
            </w:tcBorders>
            <w:vAlign w:val="center"/>
          </w:tcPr>
          <w:p>
            <w:pPr>
              <w:pStyle w:val="31"/>
              <w:ind w:firstLine="0" w:firstLineChars="0"/>
              <w:rPr>
                <w:rFonts w:eastAsia="仿宋_GB2312"/>
                <w:color w:val="auto"/>
                <w:sz w:val="30"/>
                <w:szCs w:val="30"/>
                <w:highlight w:val="none"/>
              </w:rPr>
            </w:pPr>
          </w:p>
        </w:tc>
        <w:tc>
          <w:tcPr>
            <w:tcW w:w="1276" w:type="dxa"/>
            <w:tcBorders>
              <w:top w:val="double" w:color="auto" w:sz="6" w:space="0"/>
              <w:bottom w:val="single" w:color="auto" w:sz="6" w:space="0"/>
            </w:tcBorders>
            <w:vAlign w:val="center"/>
          </w:tcPr>
          <w:p>
            <w:pPr>
              <w:pStyle w:val="31"/>
              <w:ind w:firstLine="0" w:firstLineChars="0"/>
              <w:rPr>
                <w:rFonts w:eastAsia="仿宋_GB2312"/>
                <w:color w:val="auto"/>
                <w:sz w:val="30"/>
                <w:szCs w:val="30"/>
                <w:highlight w:val="none"/>
              </w:rPr>
            </w:pPr>
          </w:p>
        </w:tc>
        <w:tc>
          <w:tcPr>
            <w:tcW w:w="1418" w:type="dxa"/>
            <w:tcBorders>
              <w:top w:val="double" w:color="auto" w:sz="6" w:space="0"/>
              <w:bottom w:val="single" w:color="auto" w:sz="6" w:space="0"/>
            </w:tcBorders>
            <w:vAlign w:val="center"/>
          </w:tcPr>
          <w:p>
            <w:pPr>
              <w:pStyle w:val="31"/>
              <w:ind w:firstLine="0" w:firstLineChars="0"/>
              <w:rPr>
                <w:rFonts w:eastAsia="仿宋_GB2312"/>
                <w:color w:val="auto"/>
                <w:sz w:val="30"/>
                <w:szCs w:val="30"/>
                <w:highlight w:val="none"/>
              </w:rPr>
            </w:pPr>
          </w:p>
        </w:tc>
        <w:tc>
          <w:tcPr>
            <w:tcW w:w="940" w:type="dxa"/>
            <w:tcBorders>
              <w:top w:val="double" w:color="auto" w:sz="6" w:space="0"/>
              <w:bottom w:val="single" w:color="auto" w:sz="6" w:space="0"/>
            </w:tcBorders>
            <w:vAlign w:val="center"/>
          </w:tcPr>
          <w:p>
            <w:pPr>
              <w:pStyle w:val="31"/>
              <w:ind w:firstLine="0" w:firstLineChars="0"/>
              <w:rPr>
                <w:rFonts w:eastAsia="仿宋_GB2312"/>
                <w:color w:val="auto"/>
                <w:sz w:val="30"/>
                <w:szCs w:val="30"/>
                <w:highlight w:val="none"/>
              </w:rPr>
            </w:pPr>
          </w:p>
        </w:tc>
        <w:tc>
          <w:tcPr>
            <w:tcW w:w="851" w:type="dxa"/>
            <w:tcBorders>
              <w:top w:val="double" w:color="auto" w:sz="6" w:space="0"/>
              <w:bottom w:val="single" w:color="auto" w:sz="6" w:space="0"/>
            </w:tcBorders>
            <w:vAlign w:val="center"/>
          </w:tcPr>
          <w:p>
            <w:pPr>
              <w:pStyle w:val="31"/>
              <w:ind w:firstLine="0" w:firstLineChars="0"/>
              <w:rPr>
                <w:rFonts w:eastAsia="仿宋_GB2312"/>
                <w:color w:val="auto"/>
                <w:sz w:val="30"/>
                <w:szCs w:val="30"/>
                <w:highlight w:val="none"/>
              </w:rPr>
            </w:pPr>
          </w:p>
        </w:tc>
        <w:tc>
          <w:tcPr>
            <w:tcW w:w="1044" w:type="dxa"/>
            <w:tcBorders>
              <w:top w:val="double" w:color="auto" w:sz="6" w:space="0"/>
              <w:bottom w:val="single" w:color="auto" w:sz="6" w:space="0"/>
            </w:tcBorders>
            <w:vAlign w:val="center"/>
          </w:tcPr>
          <w:p>
            <w:pPr>
              <w:pStyle w:val="31"/>
              <w:ind w:firstLine="0" w:firstLineChars="0"/>
              <w:rPr>
                <w:rFonts w:eastAsia="仿宋_GB2312"/>
                <w:color w:val="auto"/>
                <w:sz w:val="30"/>
                <w:szCs w:val="30"/>
                <w:highlight w:val="none"/>
              </w:rPr>
            </w:pPr>
          </w:p>
        </w:tc>
        <w:tc>
          <w:tcPr>
            <w:tcW w:w="992" w:type="dxa"/>
            <w:tcBorders>
              <w:top w:val="double" w:color="auto" w:sz="6" w:space="0"/>
              <w:bottom w:val="single" w:color="auto" w:sz="6" w:space="0"/>
            </w:tcBorders>
            <w:vAlign w:val="center"/>
          </w:tcPr>
          <w:p>
            <w:pPr>
              <w:pStyle w:val="31"/>
              <w:ind w:firstLine="0" w:firstLineChars="0"/>
              <w:rPr>
                <w:rFonts w:eastAsia="仿宋_GB2312"/>
                <w:color w:val="auto"/>
                <w:sz w:val="30"/>
                <w:szCs w:val="30"/>
                <w:highlight w:val="none"/>
              </w:rPr>
            </w:pPr>
          </w:p>
        </w:tc>
        <w:tc>
          <w:tcPr>
            <w:tcW w:w="851" w:type="dxa"/>
            <w:tcBorders>
              <w:top w:val="double" w:color="auto" w:sz="6" w:space="0"/>
              <w:bottom w:val="single" w:color="auto" w:sz="6" w:space="0"/>
            </w:tcBorders>
            <w:vAlign w:val="center"/>
          </w:tcPr>
          <w:p>
            <w:pPr>
              <w:pStyle w:val="31"/>
              <w:ind w:firstLine="0" w:firstLineChars="0"/>
              <w:rPr>
                <w:rFonts w:eastAsia="仿宋_GB2312"/>
                <w:color w:val="auto"/>
                <w:sz w:val="30"/>
                <w:szCs w:val="30"/>
                <w:highlight w:val="none"/>
              </w:rPr>
            </w:pPr>
          </w:p>
        </w:tc>
        <w:tc>
          <w:tcPr>
            <w:tcW w:w="1487" w:type="dxa"/>
            <w:tcBorders>
              <w:top w:val="double" w:color="auto" w:sz="6" w:space="0"/>
              <w:bottom w:val="single" w:color="auto" w:sz="6" w:space="0"/>
            </w:tcBorders>
            <w:vAlign w:val="center"/>
          </w:tcPr>
          <w:p>
            <w:pPr>
              <w:pStyle w:val="31"/>
              <w:ind w:firstLine="0" w:firstLineChars="0"/>
              <w:rPr>
                <w:rFonts w:eastAsia="仿宋_GB2312"/>
                <w:color w:val="auto"/>
                <w:sz w:val="30"/>
                <w:szCs w:val="30"/>
                <w:highlight w:val="none"/>
              </w:rPr>
            </w:pPr>
          </w:p>
        </w:tc>
        <w:tc>
          <w:tcPr>
            <w:tcW w:w="992" w:type="dxa"/>
            <w:tcBorders>
              <w:top w:val="double" w:color="auto" w:sz="6" w:space="0"/>
              <w:bottom w:val="single" w:color="auto" w:sz="6" w:space="0"/>
            </w:tcBorders>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31"/>
              <w:ind w:firstLine="0" w:firstLineChars="0"/>
              <w:rPr>
                <w:rFonts w:eastAsia="仿宋_GB2312"/>
                <w:color w:val="auto"/>
                <w:sz w:val="30"/>
                <w:szCs w:val="30"/>
                <w:highlight w:val="none"/>
              </w:rPr>
            </w:pPr>
          </w:p>
        </w:tc>
        <w:tc>
          <w:tcPr>
            <w:tcW w:w="1276" w:type="dxa"/>
            <w:tcBorders>
              <w:top w:val="nil"/>
            </w:tcBorders>
            <w:vAlign w:val="center"/>
          </w:tcPr>
          <w:p>
            <w:pPr>
              <w:pStyle w:val="31"/>
              <w:ind w:firstLine="0" w:firstLineChars="0"/>
              <w:rPr>
                <w:rFonts w:eastAsia="仿宋_GB2312"/>
                <w:color w:val="auto"/>
                <w:sz w:val="30"/>
                <w:szCs w:val="30"/>
                <w:highlight w:val="none"/>
              </w:rPr>
            </w:pPr>
          </w:p>
        </w:tc>
        <w:tc>
          <w:tcPr>
            <w:tcW w:w="1418" w:type="dxa"/>
            <w:tcBorders>
              <w:top w:val="nil"/>
            </w:tcBorders>
            <w:vAlign w:val="center"/>
          </w:tcPr>
          <w:p>
            <w:pPr>
              <w:pStyle w:val="31"/>
              <w:ind w:firstLine="0" w:firstLineChars="0"/>
              <w:rPr>
                <w:rFonts w:eastAsia="仿宋_GB2312"/>
                <w:color w:val="auto"/>
                <w:sz w:val="30"/>
                <w:szCs w:val="30"/>
                <w:highlight w:val="none"/>
              </w:rPr>
            </w:pPr>
          </w:p>
        </w:tc>
        <w:tc>
          <w:tcPr>
            <w:tcW w:w="940" w:type="dxa"/>
            <w:tcBorders>
              <w:top w:val="nil"/>
            </w:tcBorders>
            <w:vAlign w:val="center"/>
          </w:tcPr>
          <w:p>
            <w:pPr>
              <w:pStyle w:val="31"/>
              <w:ind w:firstLine="0" w:firstLineChars="0"/>
              <w:rPr>
                <w:rFonts w:eastAsia="仿宋_GB2312"/>
                <w:color w:val="auto"/>
                <w:sz w:val="30"/>
                <w:szCs w:val="30"/>
                <w:highlight w:val="none"/>
              </w:rPr>
            </w:pPr>
          </w:p>
        </w:tc>
        <w:tc>
          <w:tcPr>
            <w:tcW w:w="851" w:type="dxa"/>
            <w:tcBorders>
              <w:top w:val="nil"/>
            </w:tcBorders>
            <w:vAlign w:val="center"/>
          </w:tcPr>
          <w:p>
            <w:pPr>
              <w:pStyle w:val="31"/>
              <w:ind w:firstLine="0" w:firstLineChars="0"/>
              <w:rPr>
                <w:rFonts w:eastAsia="仿宋_GB2312"/>
                <w:color w:val="auto"/>
                <w:sz w:val="30"/>
                <w:szCs w:val="30"/>
                <w:highlight w:val="none"/>
              </w:rPr>
            </w:pPr>
          </w:p>
        </w:tc>
        <w:tc>
          <w:tcPr>
            <w:tcW w:w="1044" w:type="dxa"/>
            <w:tcBorders>
              <w:top w:val="nil"/>
            </w:tcBorders>
            <w:vAlign w:val="center"/>
          </w:tcPr>
          <w:p>
            <w:pPr>
              <w:pStyle w:val="31"/>
              <w:ind w:firstLine="0" w:firstLineChars="0"/>
              <w:rPr>
                <w:rFonts w:eastAsia="仿宋_GB2312"/>
                <w:color w:val="auto"/>
                <w:sz w:val="30"/>
                <w:szCs w:val="30"/>
                <w:highlight w:val="none"/>
              </w:rPr>
            </w:pPr>
          </w:p>
        </w:tc>
        <w:tc>
          <w:tcPr>
            <w:tcW w:w="992" w:type="dxa"/>
            <w:tcBorders>
              <w:top w:val="nil"/>
            </w:tcBorders>
            <w:vAlign w:val="center"/>
          </w:tcPr>
          <w:p>
            <w:pPr>
              <w:pStyle w:val="31"/>
              <w:ind w:firstLine="0" w:firstLineChars="0"/>
              <w:rPr>
                <w:rFonts w:eastAsia="仿宋_GB2312"/>
                <w:color w:val="auto"/>
                <w:sz w:val="30"/>
                <w:szCs w:val="30"/>
                <w:highlight w:val="none"/>
              </w:rPr>
            </w:pPr>
          </w:p>
        </w:tc>
        <w:tc>
          <w:tcPr>
            <w:tcW w:w="851" w:type="dxa"/>
            <w:tcBorders>
              <w:top w:val="nil"/>
            </w:tcBorders>
            <w:vAlign w:val="center"/>
          </w:tcPr>
          <w:p>
            <w:pPr>
              <w:pStyle w:val="31"/>
              <w:ind w:firstLine="0" w:firstLineChars="0"/>
              <w:rPr>
                <w:rFonts w:eastAsia="仿宋_GB2312"/>
                <w:color w:val="auto"/>
                <w:sz w:val="30"/>
                <w:szCs w:val="30"/>
                <w:highlight w:val="none"/>
              </w:rPr>
            </w:pPr>
          </w:p>
        </w:tc>
        <w:tc>
          <w:tcPr>
            <w:tcW w:w="1487" w:type="dxa"/>
            <w:tcBorders>
              <w:top w:val="nil"/>
            </w:tcBorders>
            <w:vAlign w:val="center"/>
          </w:tcPr>
          <w:p>
            <w:pPr>
              <w:pStyle w:val="31"/>
              <w:ind w:firstLine="0" w:firstLineChars="0"/>
              <w:rPr>
                <w:rFonts w:eastAsia="仿宋_GB2312"/>
                <w:color w:val="auto"/>
                <w:sz w:val="30"/>
                <w:szCs w:val="30"/>
                <w:highlight w:val="none"/>
              </w:rPr>
            </w:pPr>
          </w:p>
        </w:tc>
        <w:tc>
          <w:tcPr>
            <w:tcW w:w="992" w:type="dxa"/>
            <w:tcBorders>
              <w:top w:val="nil"/>
            </w:tcBorders>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1"/>
              <w:ind w:firstLine="0" w:firstLineChars="0"/>
              <w:rPr>
                <w:rFonts w:eastAsia="仿宋_GB2312"/>
                <w:color w:val="auto"/>
                <w:sz w:val="30"/>
                <w:szCs w:val="30"/>
                <w:highlight w:val="none"/>
              </w:rPr>
            </w:pPr>
          </w:p>
        </w:tc>
        <w:tc>
          <w:tcPr>
            <w:tcW w:w="1276" w:type="dxa"/>
            <w:vAlign w:val="center"/>
          </w:tcPr>
          <w:p>
            <w:pPr>
              <w:pStyle w:val="31"/>
              <w:ind w:firstLine="0" w:firstLineChars="0"/>
              <w:rPr>
                <w:rFonts w:eastAsia="仿宋_GB2312"/>
                <w:color w:val="auto"/>
                <w:sz w:val="30"/>
                <w:szCs w:val="30"/>
                <w:highlight w:val="none"/>
              </w:rPr>
            </w:pPr>
          </w:p>
        </w:tc>
        <w:tc>
          <w:tcPr>
            <w:tcW w:w="1418" w:type="dxa"/>
            <w:vAlign w:val="center"/>
          </w:tcPr>
          <w:p>
            <w:pPr>
              <w:pStyle w:val="31"/>
              <w:ind w:firstLine="0" w:firstLineChars="0"/>
              <w:rPr>
                <w:rFonts w:eastAsia="仿宋_GB2312"/>
                <w:color w:val="auto"/>
                <w:sz w:val="30"/>
                <w:szCs w:val="30"/>
                <w:highlight w:val="none"/>
              </w:rPr>
            </w:pPr>
          </w:p>
        </w:tc>
        <w:tc>
          <w:tcPr>
            <w:tcW w:w="940"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044"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487"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1"/>
              <w:ind w:firstLine="0" w:firstLineChars="0"/>
              <w:rPr>
                <w:rFonts w:eastAsia="仿宋_GB2312"/>
                <w:color w:val="auto"/>
                <w:sz w:val="30"/>
                <w:szCs w:val="30"/>
                <w:highlight w:val="none"/>
              </w:rPr>
            </w:pPr>
          </w:p>
        </w:tc>
        <w:tc>
          <w:tcPr>
            <w:tcW w:w="1276" w:type="dxa"/>
            <w:vAlign w:val="center"/>
          </w:tcPr>
          <w:p>
            <w:pPr>
              <w:pStyle w:val="31"/>
              <w:ind w:firstLine="0" w:firstLineChars="0"/>
              <w:rPr>
                <w:rFonts w:eastAsia="仿宋_GB2312"/>
                <w:color w:val="auto"/>
                <w:sz w:val="30"/>
                <w:szCs w:val="30"/>
                <w:highlight w:val="none"/>
              </w:rPr>
            </w:pPr>
          </w:p>
        </w:tc>
        <w:tc>
          <w:tcPr>
            <w:tcW w:w="1418" w:type="dxa"/>
            <w:vAlign w:val="center"/>
          </w:tcPr>
          <w:p>
            <w:pPr>
              <w:pStyle w:val="31"/>
              <w:ind w:firstLine="0" w:firstLineChars="0"/>
              <w:rPr>
                <w:rFonts w:eastAsia="仿宋_GB2312"/>
                <w:color w:val="auto"/>
                <w:sz w:val="30"/>
                <w:szCs w:val="30"/>
                <w:highlight w:val="none"/>
              </w:rPr>
            </w:pPr>
          </w:p>
        </w:tc>
        <w:tc>
          <w:tcPr>
            <w:tcW w:w="940"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044"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487"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1"/>
              <w:ind w:firstLine="0" w:firstLineChars="0"/>
              <w:rPr>
                <w:rFonts w:eastAsia="仿宋_GB2312"/>
                <w:color w:val="auto"/>
                <w:sz w:val="30"/>
                <w:szCs w:val="30"/>
                <w:highlight w:val="none"/>
              </w:rPr>
            </w:pPr>
          </w:p>
        </w:tc>
        <w:tc>
          <w:tcPr>
            <w:tcW w:w="1276" w:type="dxa"/>
            <w:vAlign w:val="center"/>
          </w:tcPr>
          <w:p>
            <w:pPr>
              <w:pStyle w:val="31"/>
              <w:ind w:firstLine="0" w:firstLineChars="0"/>
              <w:rPr>
                <w:rFonts w:eastAsia="仿宋_GB2312"/>
                <w:color w:val="auto"/>
                <w:sz w:val="30"/>
                <w:szCs w:val="30"/>
                <w:highlight w:val="none"/>
              </w:rPr>
            </w:pPr>
          </w:p>
        </w:tc>
        <w:tc>
          <w:tcPr>
            <w:tcW w:w="1418" w:type="dxa"/>
            <w:vAlign w:val="center"/>
          </w:tcPr>
          <w:p>
            <w:pPr>
              <w:pStyle w:val="31"/>
              <w:ind w:firstLine="0" w:firstLineChars="0"/>
              <w:rPr>
                <w:rFonts w:eastAsia="仿宋_GB2312"/>
                <w:color w:val="auto"/>
                <w:sz w:val="30"/>
                <w:szCs w:val="30"/>
                <w:highlight w:val="none"/>
              </w:rPr>
            </w:pPr>
          </w:p>
        </w:tc>
        <w:tc>
          <w:tcPr>
            <w:tcW w:w="940"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044"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487"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1"/>
              <w:ind w:firstLine="0" w:firstLineChars="0"/>
              <w:rPr>
                <w:rFonts w:eastAsia="仿宋_GB2312"/>
                <w:color w:val="auto"/>
                <w:sz w:val="30"/>
                <w:szCs w:val="30"/>
                <w:highlight w:val="none"/>
              </w:rPr>
            </w:pPr>
          </w:p>
        </w:tc>
        <w:tc>
          <w:tcPr>
            <w:tcW w:w="1276" w:type="dxa"/>
            <w:vAlign w:val="center"/>
          </w:tcPr>
          <w:p>
            <w:pPr>
              <w:pStyle w:val="31"/>
              <w:ind w:firstLine="0" w:firstLineChars="0"/>
              <w:rPr>
                <w:rFonts w:eastAsia="仿宋_GB2312"/>
                <w:color w:val="auto"/>
                <w:sz w:val="30"/>
                <w:szCs w:val="30"/>
                <w:highlight w:val="none"/>
              </w:rPr>
            </w:pPr>
          </w:p>
        </w:tc>
        <w:tc>
          <w:tcPr>
            <w:tcW w:w="1418" w:type="dxa"/>
            <w:vAlign w:val="center"/>
          </w:tcPr>
          <w:p>
            <w:pPr>
              <w:pStyle w:val="31"/>
              <w:ind w:firstLine="0" w:firstLineChars="0"/>
              <w:rPr>
                <w:rFonts w:eastAsia="仿宋_GB2312"/>
                <w:color w:val="auto"/>
                <w:sz w:val="30"/>
                <w:szCs w:val="30"/>
                <w:highlight w:val="none"/>
              </w:rPr>
            </w:pPr>
          </w:p>
        </w:tc>
        <w:tc>
          <w:tcPr>
            <w:tcW w:w="940"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044"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487"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1"/>
              <w:ind w:firstLine="0" w:firstLineChars="0"/>
              <w:rPr>
                <w:rFonts w:eastAsia="仿宋_GB2312"/>
                <w:color w:val="auto"/>
                <w:sz w:val="30"/>
                <w:szCs w:val="30"/>
                <w:highlight w:val="none"/>
              </w:rPr>
            </w:pPr>
          </w:p>
        </w:tc>
        <w:tc>
          <w:tcPr>
            <w:tcW w:w="1276" w:type="dxa"/>
            <w:vAlign w:val="center"/>
          </w:tcPr>
          <w:p>
            <w:pPr>
              <w:pStyle w:val="31"/>
              <w:ind w:firstLine="0" w:firstLineChars="0"/>
              <w:rPr>
                <w:rFonts w:eastAsia="仿宋_GB2312"/>
                <w:color w:val="auto"/>
                <w:sz w:val="30"/>
                <w:szCs w:val="30"/>
                <w:highlight w:val="none"/>
              </w:rPr>
            </w:pPr>
          </w:p>
        </w:tc>
        <w:tc>
          <w:tcPr>
            <w:tcW w:w="1418" w:type="dxa"/>
            <w:vAlign w:val="center"/>
          </w:tcPr>
          <w:p>
            <w:pPr>
              <w:pStyle w:val="31"/>
              <w:ind w:firstLine="0" w:firstLineChars="0"/>
              <w:rPr>
                <w:rFonts w:eastAsia="仿宋_GB2312"/>
                <w:color w:val="auto"/>
                <w:sz w:val="30"/>
                <w:szCs w:val="30"/>
                <w:highlight w:val="none"/>
              </w:rPr>
            </w:pPr>
          </w:p>
        </w:tc>
        <w:tc>
          <w:tcPr>
            <w:tcW w:w="940"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044"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487"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1"/>
              <w:ind w:firstLine="0" w:firstLineChars="0"/>
              <w:rPr>
                <w:rFonts w:eastAsia="仿宋_GB2312"/>
                <w:color w:val="auto"/>
                <w:sz w:val="30"/>
                <w:szCs w:val="30"/>
                <w:highlight w:val="none"/>
              </w:rPr>
            </w:pPr>
          </w:p>
        </w:tc>
        <w:tc>
          <w:tcPr>
            <w:tcW w:w="1276" w:type="dxa"/>
            <w:vAlign w:val="center"/>
          </w:tcPr>
          <w:p>
            <w:pPr>
              <w:pStyle w:val="31"/>
              <w:ind w:firstLine="0" w:firstLineChars="0"/>
              <w:rPr>
                <w:rFonts w:eastAsia="仿宋_GB2312"/>
                <w:color w:val="auto"/>
                <w:sz w:val="30"/>
                <w:szCs w:val="30"/>
                <w:highlight w:val="none"/>
              </w:rPr>
            </w:pPr>
          </w:p>
        </w:tc>
        <w:tc>
          <w:tcPr>
            <w:tcW w:w="1418" w:type="dxa"/>
            <w:vAlign w:val="center"/>
          </w:tcPr>
          <w:p>
            <w:pPr>
              <w:pStyle w:val="31"/>
              <w:ind w:firstLine="0" w:firstLineChars="0"/>
              <w:rPr>
                <w:rFonts w:eastAsia="仿宋_GB2312"/>
                <w:color w:val="auto"/>
                <w:sz w:val="30"/>
                <w:szCs w:val="30"/>
                <w:highlight w:val="none"/>
              </w:rPr>
            </w:pPr>
          </w:p>
        </w:tc>
        <w:tc>
          <w:tcPr>
            <w:tcW w:w="940"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044"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487"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1"/>
              <w:ind w:firstLine="0" w:firstLineChars="0"/>
              <w:rPr>
                <w:rFonts w:eastAsia="仿宋_GB2312"/>
                <w:color w:val="auto"/>
                <w:sz w:val="30"/>
                <w:szCs w:val="30"/>
                <w:highlight w:val="none"/>
              </w:rPr>
            </w:pPr>
          </w:p>
        </w:tc>
        <w:tc>
          <w:tcPr>
            <w:tcW w:w="1276" w:type="dxa"/>
            <w:vAlign w:val="center"/>
          </w:tcPr>
          <w:p>
            <w:pPr>
              <w:pStyle w:val="31"/>
              <w:ind w:firstLine="0" w:firstLineChars="0"/>
              <w:rPr>
                <w:rFonts w:eastAsia="仿宋_GB2312"/>
                <w:color w:val="auto"/>
                <w:sz w:val="30"/>
                <w:szCs w:val="30"/>
                <w:highlight w:val="none"/>
              </w:rPr>
            </w:pPr>
          </w:p>
        </w:tc>
        <w:tc>
          <w:tcPr>
            <w:tcW w:w="1418" w:type="dxa"/>
            <w:vAlign w:val="center"/>
          </w:tcPr>
          <w:p>
            <w:pPr>
              <w:pStyle w:val="31"/>
              <w:ind w:firstLine="0" w:firstLineChars="0"/>
              <w:rPr>
                <w:rFonts w:eastAsia="仿宋_GB2312"/>
                <w:color w:val="auto"/>
                <w:sz w:val="30"/>
                <w:szCs w:val="30"/>
                <w:highlight w:val="none"/>
              </w:rPr>
            </w:pPr>
          </w:p>
        </w:tc>
        <w:tc>
          <w:tcPr>
            <w:tcW w:w="940"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044"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487"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1"/>
              <w:ind w:firstLine="0" w:firstLineChars="0"/>
              <w:rPr>
                <w:rFonts w:eastAsia="仿宋_GB2312"/>
                <w:color w:val="auto"/>
                <w:sz w:val="30"/>
                <w:szCs w:val="30"/>
                <w:highlight w:val="none"/>
              </w:rPr>
            </w:pPr>
          </w:p>
        </w:tc>
        <w:tc>
          <w:tcPr>
            <w:tcW w:w="1276" w:type="dxa"/>
            <w:vAlign w:val="center"/>
          </w:tcPr>
          <w:p>
            <w:pPr>
              <w:pStyle w:val="31"/>
              <w:ind w:firstLine="0" w:firstLineChars="0"/>
              <w:rPr>
                <w:rFonts w:eastAsia="仿宋_GB2312"/>
                <w:color w:val="auto"/>
                <w:sz w:val="30"/>
                <w:szCs w:val="30"/>
                <w:highlight w:val="none"/>
              </w:rPr>
            </w:pPr>
          </w:p>
        </w:tc>
        <w:tc>
          <w:tcPr>
            <w:tcW w:w="1418" w:type="dxa"/>
            <w:vAlign w:val="center"/>
          </w:tcPr>
          <w:p>
            <w:pPr>
              <w:pStyle w:val="31"/>
              <w:ind w:firstLine="0" w:firstLineChars="0"/>
              <w:rPr>
                <w:rFonts w:eastAsia="仿宋_GB2312"/>
                <w:color w:val="auto"/>
                <w:sz w:val="30"/>
                <w:szCs w:val="30"/>
                <w:highlight w:val="none"/>
              </w:rPr>
            </w:pPr>
          </w:p>
        </w:tc>
        <w:tc>
          <w:tcPr>
            <w:tcW w:w="940"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044"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487"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1"/>
              <w:ind w:firstLine="0" w:firstLineChars="0"/>
              <w:rPr>
                <w:rFonts w:eastAsia="仿宋_GB2312"/>
                <w:color w:val="auto"/>
                <w:sz w:val="30"/>
                <w:szCs w:val="30"/>
                <w:highlight w:val="none"/>
              </w:rPr>
            </w:pPr>
          </w:p>
        </w:tc>
        <w:tc>
          <w:tcPr>
            <w:tcW w:w="1276" w:type="dxa"/>
            <w:vAlign w:val="center"/>
          </w:tcPr>
          <w:p>
            <w:pPr>
              <w:pStyle w:val="31"/>
              <w:ind w:firstLine="0" w:firstLineChars="0"/>
              <w:rPr>
                <w:rFonts w:eastAsia="仿宋_GB2312"/>
                <w:color w:val="auto"/>
                <w:sz w:val="30"/>
                <w:szCs w:val="30"/>
                <w:highlight w:val="none"/>
              </w:rPr>
            </w:pPr>
          </w:p>
        </w:tc>
        <w:tc>
          <w:tcPr>
            <w:tcW w:w="1418" w:type="dxa"/>
            <w:vAlign w:val="center"/>
          </w:tcPr>
          <w:p>
            <w:pPr>
              <w:pStyle w:val="31"/>
              <w:ind w:firstLine="0" w:firstLineChars="0"/>
              <w:rPr>
                <w:rFonts w:eastAsia="仿宋_GB2312"/>
                <w:color w:val="auto"/>
                <w:sz w:val="30"/>
                <w:szCs w:val="30"/>
                <w:highlight w:val="none"/>
              </w:rPr>
            </w:pPr>
          </w:p>
        </w:tc>
        <w:tc>
          <w:tcPr>
            <w:tcW w:w="940"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044"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487"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1"/>
              <w:ind w:firstLine="0" w:firstLineChars="0"/>
              <w:rPr>
                <w:rFonts w:eastAsia="仿宋_GB2312"/>
                <w:color w:val="auto"/>
                <w:sz w:val="30"/>
                <w:szCs w:val="30"/>
                <w:highlight w:val="none"/>
              </w:rPr>
            </w:pPr>
          </w:p>
        </w:tc>
        <w:tc>
          <w:tcPr>
            <w:tcW w:w="1276" w:type="dxa"/>
            <w:vAlign w:val="center"/>
          </w:tcPr>
          <w:p>
            <w:pPr>
              <w:pStyle w:val="31"/>
              <w:ind w:firstLine="0" w:firstLineChars="0"/>
              <w:rPr>
                <w:rFonts w:eastAsia="仿宋_GB2312"/>
                <w:color w:val="auto"/>
                <w:sz w:val="30"/>
                <w:szCs w:val="30"/>
                <w:highlight w:val="none"/>
              </w:rPr>
            </w:pPr>
          </w:p>
        </w:tc>
        <w:tc>
          <w:tcPr>
            <w:tcW w:w="1418" w:type="dxa"/>
            <w:vAlign w:val="center"/>
          </w:tcPr>
          <w:p>
            <w:pPr>
              <w:pStyle w:val="31"/>
              <w:ind w:firstLine="0" w:firstLineChars="0"/>
              <w:rPr>
                <w:rFonts w:eastAsia="仿宋_GB2312"/>
                <w:color w:val="auto"/>
                <w:sz w:val="30"/>
                <w:szCs w:val="30"/>
                <w:highlight w:val="none"/>
              </w:rPr>
            </w:pPr>
          </w:p>
        </w:tc>
        <w:tc>
          <w:tcPr>
            <w:tcW w:w="940"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044"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487"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1"/>
              <w:ind w:firstLine="0" w:firstLineChars="0"/>
              <w:rPr>
                <w:rFonts w:eastAsia="仿宋_GB2312"/>
                <w:color w:val="auto"/>
                <w:sz w:val="30"/>
                <w:szCs w:val="30"/>
                <w:highlight w:val="none"/>
              </w:rPr>
            </w:pPr>
          </w:p>
        </w:tc>
        <w:tc>
          <w:tcPr>
            <w:tcW w:w="1276" w:type="dxa"/>
            <w:vAlign w:val="center"/>
          </w:tcPr>
          <w:p>
            <w:pPr>
              <w:pStyle w:val="31"/>
              <w:ind w:firstLine="0" w:firstLineChars="0"/>
              <w:rPr>
                <w:rFonts w:eastAsia="仿宋_GB2312"/>
                <w:color w:val="auto"/>
                <w:sz w:val="30"/>
                <w:szCs w:val="30"/>
                <w:highlight w:val="none"/>
              </w:rPr>
            </w:pPr>
          </w:p>
        </w:tc>
        <w:tc>
          <w:tcPr>
            <w:tcW w:w="1418" w:type="dxa"/>
            <w:vAlign w:val="center"/>
          </w:tcPr>
          <w:p>
            <w:pPr>
              <w:pStyle w:val="31"/>
              <w:ind w:firstLine="0" w:firstLineChars="0"/>
              <w:rPr>
                <w:rFonts w:eastAsia="仿宋_GB2312"/>
                <w:color w:val="auto"/>
                <w:sz w:val="30"/>
                <w:szCs w:val="30"/>
                <w:highlight w:val="none"/>
              </w:rPr>
            </w:pPr>
          </w:p>
        </w:tc>
        <w:tc>
          <w:tcPr>
            <w:tcW w:w="940"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044"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487"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1"/>
              <w:ind w:firstLine="0" w:firstLineChars="0"/>
              <w:rPr>
                <w:rFonts w:eastAsia="仿宋_GB2312"/>
                <w:color w:val="auto"/>
                <w:sz w:val="30"/>
                <w:szCs w:val="30"/>
                <w:highlight w:val="none"/>
              </w:rPr>
            </w:pPr>
          </w:p>
        </w:tc>
        <w:tc>
          <w:tcPr>
            <w:tcW w:w="1276" w:type="dxa"/>
            <w:vAlign w:val="center"/>
          </w:tcPr>
          <w:p>
            <w:pPr>
              <w:pStyle w:val="31"/>
              <w:ind w:firstLine="0" w:firstLineChars="0"/>
              <w:rPr>
                <w:rFonts w:eastAsia="仿宋_GB2312"/>
                <w:color w:val="auto"/>
                <w:sz w:val="30"/>
                <w:szCs w:val="30"/>
                <w:highlight w:val="none"/>
              </w:rPr>
            </w:pPr>
          </w:p>
        </w:tc>
        <w:tc>
          <w:tcPr>
            <w:tcW w:w="1418" w:type="dxa"/>
            <w:vAlign w:val="center"/>
          </w:tcPr>
          <w:p>
            <w:pPr>
              <w:pStyle w:val="31"/>
              <w:ind w:firstLine="0" w:firstLineChars="0"/>
              <w:rPr>
                <w:rFonts w:eastAsia="仿宋_GB2312"/>
                <w:color w:val="auto"/>
                <w:sz w:val="30"/>
                <w:szCs w:val="30"/>
                <w:highlight w:val="none"/>
              </w:rPr>
            </w:pPr>
          </w:p>
        </w:tc>
        <w:tc>
          <w:tcPr>
            <w:tcW w:w="940"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044"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487"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1"/>
              <w:ind w:firstLine="0" w:firstLineChars="0"/>
              <w:rPr>
                <w:rFonts w:eastAsia="仿宋_GB2312"/>
                <w:color w:val="auto"/>
                <w:sz w:val="30"/>
                <w:szCs w:val="30"/>
                <w:highlight w:val="none"/>
              </w:rPr>
            </w:pPr>
          </w:p>
        </w:tc>
        <w:tc>
          <w:tcPr>
            <w:tcW w:w="1276" w:type="dxa"/>
            <w:vAlign w:val="center"/>
          </w:tcPr>
          <w:p>
            <w:pPr>
              <w:pStyle w:val="31"/>
              <w:ind w:firstLine="0" w:firstLineChars="0"/>
              <w:rPr>
                <w:rFonts w:eastAsia="仿宋_GB2312"/>
                <w:color w:val="auto"/>
                <w:sz w:val="30"/>
                <w:szCs w:val="30"/>
                <w:highlight w:val="none"/>
              </w:rPr>
            </w:pPr>
          </w:p>
        </w:tc>
        <w:tc>
          <w:tcPr>
            <w:tcW w:w="1418" w:type="dxa"/>
            <w:vAlign w:val="center"/>
          </w:tcPr>
          <w:p>
            <w:pPr>
              <w:pStyle w:val="31"/>
              <w:ind w:firstLine="0" w:firstLineChars="0"/>
              <w:rPr>
                <w:rFonts w:eastAsia="仿宋_GB2312"/>
                <w:color w:val="auto"/>
                <w:sz w:val="30"/>
                <w:szCs w:val="30"/>
                <w:highlight w:val="none"/>
              </w:rPr>
            </w:pPr>
          </w:p>
        </w:tc>
        <w:tc>
          <w:tcPr>
            <w:tcW w:w="940"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044"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487"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1"/>
              <w:ind w:firstLine="0" w:firstLineChars="0"/>
              <w:rPr>
                <w:rFonts w:eastAsia="仿宋_GB2312"/>
                <w:color w:val="auto"/>
                <w:sz w:val="30"/>
                <w:szCs w:val="30"/>
                <w:highlight w:val="none"/>
              </w:rPr>
            </w:pPr>
          </w:p>
        </w:tc>
        <w:tc>
          <w:tcPr>
            <w:tcW w:w="1276" w:type="dxa"/>
            <w:vAlign w:val="center"/>
          </w:tcPr>
          <w:p>
            <w:pPr>
              <w:pStyle w:val="31"/>
              <w:ind w:firstLine="0" w:firstLineChars="0"/>
              <w:rPr>
                <w:rFonts w:eastAsia="仿宋_GB2312"/>
                <w:color w:val="auto"/>
                <w:sz w:val="30"/>
                <w:szCs w:val="30"/>
                <w:highlight w:val="none"/>
              </w:rPr>
            </w:pPr>
          </w:p>
        </w:tc>
        <w:tc>
          <w:tcPr>
            <w:tcW w:w="1418" w:type="dxa"/>
            <w:vAlign w:val="center"/>
          </w:tcPr>
          <w:p>
            <w:pPr>
              <w:pStyle w:val="31"/>
              <w:ind w:firstLine="0" w:firstLineChars="0"/>
              <w:rPr>
                <w:rFonts w:eastAsia="仿宋_GB2312"/>
                <w:color w:val="auto"/>
                <w:sz w:val="30"/>
                <w:szCs w:val="30"/>
                <w:highlight w:val="none"/>
              </w:rPr>
            </w:pPr>
          </w:p>
        </w:tc>
        <w:tc>
          <w:tcPr>
            <w:tcW w:w="940"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044"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487"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31"/>
              <w:ind w:firstLine="0" w:firstLineChars="0"/>
              <w:rPr>
                <w:rFonts w:eastAsia="仿宋_GB2312"/>
                <w:color w:val="auto"/>
                <w:sz w:val="30"/>
                <w:szCs w:val="30"/>
                <w:highlight w:val="none"/>
              </w:rPr>
            </w:pPr>
          </w:p>
        </w:tc>
        <w:tc>
          <w:tcPr>
            <w:tcW w:w="1276" w:type="dxa"/>
            <w:vAlign w:val="center"/>
          </w:tcPr>
          <w:p>
            <w:pPr>
              <w:pStyle w:val="31"/>
              <w:ind w:firstLine="0" w:firstLineChars="0"/>
              <w:rPr>
                <w:rFonts w:eastAsia="仿宋_GB2312"/>
                <w:color w:val="auto"/>
                <w:sz w:val="30"/>
                <w:szCs w:val="30"/>
                <w:highlight w:val="none"/>
              </w:rPr>
            </w:pPr>
          </w:p>
        </w:tc>
        <w:tc>
          <w:tcPr>
            <w:tcW w:w="1418" w:type="dxa"/>
            <w:vAlign w:val="center"/>
          </w:tcPr>
          <w:p>
            <w:pPr>
              <w:pStyle w:val="31"/>
              <w:ind w:firstLine="0" w:firstLineChars="0"/>
              <w:rPr>
                <w:rFonts w:eastAsia="仿宋_GB2312"/>
                <w:color w:val="auto"/>
                <w:sz w:val="30"/>
                <w:szCs w:val="30"/>
                <w:highlight w:val="none"/>
              </w:rPr>
            </w:pPr>
          </w:p>
        </w:tc>
        <w:tc>
          <w:tcPr>
            <w:tcW w:w="940"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044"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c>
          <w:tcPr>
            <w:tcW w:w="851" w:type="dxa"/>
            <w:vAlign w:val="center"/>
          </w:tcPr>
          <w:p>
            <w:pPr>
              <w:pStyle w:val="31"/>
              <w:ind w:firstLine="0" w:firstLineChars="0"/>
              <w:rPr>
                <w:rFonts w:eastAsia="仿宋_GB2312"/>
                <w:color w:val="auto"/>
                <w:sz w:val="30"/>
                <w:szCs w:val="30"/>
                <w:highlight w:val="none"/>
              </w:rPr>
            </w:pPr>
          </w:p>
        </w:tc>
        <w:tc>
          <w:tcPr>
            <w:tcW w:w="1487" w:type="dxa"/>
            <w:vAlign w:val="center"/>
          </w:tcPr>
          <w:p>
            <w:pPr>
              <w:pStyle w:val="31"/>
              <w:ind w:firstLine="0" w:firstLineChars="0"/>
              <w:rPr>
                <w:rFonts w:eastAsia="仿宋_GB2312"/>
                <w:color w:val="auto"/>
                <w:sz w:val="30"/>
                <w:szCs w:val="30"/>
                <w:highlight w:val="none"/>
              </w:rPr>
            </w:pPr>
          </w:p>
        </w:tc>
        <w:tc>
          <w:tcPr>
            <w:tcW w:w="992" w:type="dxa"/>
            <w:vAlign w:val="center"/>
          </w:tcPr>
          <w:p>
            <w:pPr>
              <w:pStyle w:val="31"/>
              <w:ind w:firstLine="0" w:firstLineChars="0"/>
              <w:rPr>
                <w:rFonts w:eastAsia="仿宋_GB2312"/>
                <w:color w:val="auto"/>
                <w:sz w:val="30"/>
                <w:szCs w:val="30"/>
                <w:highlight w:val="none"/>
              </w:rPr>
            </w:pPr>
          </w:p>
        </w:tc>
      </w:tr>
    </w:tbl>
    <w:p>
      <w:pPr>
        <w:pStyle w:val="31"/>
        <w:ind w:firstLine="0" w:firstLineChars="0"/>
        <w:rPr>
          <w:color w:val="auto"/>
          <w:highlight w:val="none"/>
        </w:rPr>
      </w:pPr>
    </w:p>
    <w:p>
      <w:pPr>
        <w:pStyle w:val="28"/>
        <w:tabs>
          <w:tab w:val="left" w:pos="0"/>
        </w:tabs>
        <w:spacing w:line="276" w:lineRule="auto"/>
        <w:ind w:firstLine="0" w:firstLineChars="0"/>
        <w:rPr>
          <w:color w:val="auto"/>
          <w:sz w:val="30"/>
          <w:szCs w:val="30"/>
          <w:highlight w:val="none"/>
        </w:rPr>
      </w:pPr>
      <w:r>
        <w:rPr>
          <w:rFonts w:eastAsia="仿宋_GB2312"/>
          <w:color w:val="auto"/>
          <w:sz w:val="30"/>
          <w:szCs w:val="30"/>
          <w:highlight w:val="none"/>
        </w:rPr>
        <w:t>附件3：</w:t>
      </w:r>
      <w:r>
        <w:rPr>
          <w:rFonts w:eastAsia="黑体"/>
          <w:color w:val="auto"/>
          <w:sz w:val="30"/>
          <w:szCs w:val="30"/>
          <w:highlight w:val="none"/>
        </w:rPr>
        <w:t xml:space="preserve">    </w:t>
      </w:r>
      <w:r>
        <w:rPr>
          <w:color w:val="auto"/>
          <w:sz w:val="30"/>
          <w:szCs w:val="30"/>
          <w:highlight w:val="none"/>
        </w:rPr>
        <w:t xml:space="preserve">    </w:t>
      </w:r>
    </w:p>
    <w:p>
      <w:pPr>
        <w:pStyle w:val="23"/>
        <w:jc w:val="center"/>
        <w:rPr>
          <w:rFonts w:ascii="宋体" w:hAnsi="宋体"/>
          <w:b/>
          <w:bCs/>
          <w:color w:val="auto"/>
          <w:sz w:val="28"/>
          <w:szCs w:val="28"/>
          <w:highlight w:val="none"/>
        </w:rPr>
      </w:pPr>
      <w:r>
        <w:rPr>
          <w:rFonts w:ascii="宋体" w:hAnsi="宋体"/>
          <w:b/>
          <w:bCs/>
          <w:color w:val="auto"/>
          <w:sz w:val="28"/>
          <w:szCs w:val="28"/>
          <w:highlight w:val="none"/>
        </w:rPr>
        <w:t>工程质量保修书</w:t>
      </w:r>
    </w:p>
    <w:p>
      <w:pPr>
        <w:pStyle w:val="28"/>
        <w:spacing w:line="320" w:lineRule="exact"/>
        <w:ind w:firstLine="0" w:firstLineChars="0"/>
        <w:rPr>
          <w:rFonts w:ascii="宋体" w:hAnsi="宋体" w:cs="宋体"/>
          <w:color w:val="auto"/>
          <w:highlight w:val="none"/>
        </w:rPr>
      </w:pPr>
      <w:r>
        <w:rPr>
          <w:rFonts w:hint="eastAsia" w:ascii="宋体" w:hAnsi="宋体" w:cs="宋体"/>
          <w:color w:val="auto"/>
          <w:highlight w:val="none"/>
        </w:rPr>
        <w:t>发包人（全称）：</w:t>
      </w:r>
      <w:r>
        <w:rPr>
          <w:rFonts w:hint="eastAsia" w:ascii="宋体" w:hAnsi="宋体" w:cs="宋体"/>
          <w:color w:val="auto"/>
          <w:highlight w:val="none"/>
          <w:u w:val="single"/>
        </w:rPr>
        <w:t xml:space="preserve">               </w:t>
      </w:r>
    </w:p>
    <w:p>
      <w:pPr>
        <w:pStyle w:val="28"/>
        <w:spacing w:line="320" w:lineRule="exact"/>
        <w:ind w:firstLine="0" w:firstLineChars="0"/>
        <w:rPr>
          <w:rFonts w:ascii="宋体" w:hAnsi="宋体" w:cs="宋体"/>
          <w:color w:val="auto"/>
          <w:highlight w:val="none"/>
        </w:rPr>
      </w:pPr>
      <w:r>
        <w:rPr>
          <w:rFonts w:hint="eastAsia" w:ascii="宋体" w:hAnsi="宋体" w:cs="宋体"/>
          <w:color w:val="auto"/>
          <w:highlight w:val="none"/>
        </w:rPr>
        <w:t>承包人（全称）：</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pStyle w:val="23"/>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为保证</w:t>
      </w:r>
      <w:r>
        <w:rPr>
          <w:rFonts w:hint="eastAsia" w:ascii="宋体" w:hAnsi="宋体" w:cs="宋体"/>
          <w:color w:val="auto"/>
          <w:szCs w:val="21"/>
          <w:highlight w:val="none"/>
          <w:u w:val="single"/>
        </w:rPr>
        <w:t xml:space="preserve">  工程</w:t>
      </w:r>
      <w:r>
        <w:rPr>
          <w:rFonts w:hint="eastAsia" w:ascii="宋体" w:hAnsi="宋体" w:cs="宋体"/>
          <w:color w:val="auto"/>
          <w:szCs w:val="21"/>
          <w:highlight w:val="none"/>
        </w:rPr>
        <w:t>在合理使用期限内正常使用，经发包人、承包人协商一致签订本工程质量保修书。承包人在质量保修期内按照有关管理规定及双方约定承担工程质量保修责任。</w:t>
      </w:r>
    </w:p>
    <w:p>
      <w:pPr>
        <w:pStyle w:val="33"/>
        <w:spacing w:line="400" w:lineRule="exact"/>
        <w:ind w:firstLine="420" w:firstLineChars="200"/>
        <w:outlineLvl w:val="0"/>
        <w:rPr>
          <w:rFonts w:ascii="宋体" w:hAnsi="宋体" w:cs="宋体"/>
          <w:color w:val="auto"/>
          <w:szCs w:val="21"/>
          <w:highlight w:val="none"/>
        </w:rPr>
      </w:pPr>
      <w:bookmarkStart w:id="3665" w:name="_Toc29295"/>
      <w:bookmarkStart w:id="3666" w:name="_Toc2949"/>
      <w:bookmarkStart w:id="3667" w:name="_Toc28323"/>
      <w:bookmarkStart w:id="3668" w:name="_Toc11142"/>
      <w:bookmarkStart w:id="3669" w:name="_Toc522201808"/>
      <w:bookmarkStart w:id="3670" w:name="_Toc21945"/>
      <w:r>
        <w:rPr>
          <w:rFonts w:hint="eastAsia" w:ascii="宋体" w:hAnsi="宋体" w:cs="宋体"/>
          <w:color w:val="auto"/>
          <w:szCs w:val="21"/>
          <w:highlight w:val="none"/>
        </w:rPr>
        <w:t>一、工程保修范围和内容</w:t>
      </w:r>
      <w:bookmarkEnd w:id="3665"/>
      <w:bookmarkEnd w:id="3666"/>
      <w:bookmarkEnd w:id="3667"/>
      <w:bookmarkEnd w:id="3668"/>
      <w:bookmarkEnd w:id="3669"/>
      <w:bookmarkEnd w:id="3670"/>
    </w:p>
    <w:p>
      <w:pPr>
        <w:pStyle w:val="23"/>
        <w:spacing w:line="400" w:lineRule="exact"/>
        <w:ind w:firstLine="420" w:firstLineChars="200"/>
        <w:rPr>
          <w:rFonts w:ascii="宋体" w:hAnsi="宋体" w:cs="宋体"/>
          <w:color w:val="auto"/>
          <w:szCs w:val="21"/>
          <w:highlight w:val="none"/>
        </w:rPr>
      </w:pPr>
      <w:r>
        <w:rPr>
          <w:rFonts w:hint="eastAsia" w:ascii="宋体" w:hAnsi="宋体" w:cs="宋体"/>
          <w:color w:val="auto"/>
          <w:highlight w:val="none"/>
        </w:rPr>
        <w:t>质量保修范围为施工图纸所包括的工程内容，</w:t>
      </w:r>
      <w:r>
        <w:rPr>
          <w:rFonts w:hint="eastAsia" w:ascii="宋体" w:hAnsi="宋体" w:cs="宋体"/>
          <w:color w:val="auto"/>
          <w:szCs w:val="21"/>
          <w:highlight w:val="none"/>
        </w:rPr>
        <w:t>具体质量保修内容双方约定如下：</w:t>
      </w:r>
      <w:r>
        <w:rPr>
          <w:rFonts w:hint="eastAsia" w:ascii="宋体" w:hAnsi="宋体" w:cs="宋体"/>
          <w:color w:val="auto"/>
          <w:szCs w:val="21"/>
          <w:highlight w:val="none"/>
          <w:u w:val="single"/>
        </w:rPr>
        <w:t xml:space="preserve"> 承包方所承包施工的全部工程内容 </w:t>
      </w:r>
      <w:r>
        <w:rPr>
          <w:rFonts w:hint="eastAsia" w:ascii="宋体" w:hAnsi="宋体" w:cs="宋体"/>
          <w:color w:val="auto"/>
          <w:szCs w:val="21"/>
          <w:highlight w:val="none"/>
        </w:rPr>
        <w:t>。</w:t>
      </w:r>
    </w:p>
    <w:p>
      <w:pPr>
        <w:pStyle w:val="33"/>
        <w:spacing w:line="400" w:lineRule="exact"/>
        <w:ind w:firstLine="420" w:firstLineChars="200"/>
        <w:outlineLvl w:val="0"/>
        <w:rPr>
          <w:rFonts w:ascii="宋体" w:hAnsi="宋体" w:cs="宋体"/>
          <w:color w:val="auto"/>
          <w:szCs w:val="21"/>
          <w:highlight w:val="none"/>
        </w:rPr>
      </w:pPr>
      <w:bookmarkStart w:id="3671" w:name="_Toc20693"/>
      <w:bookmarkStart w:id="3672" w:name="_Toc19978"/>
      <w:bookmarkStart w:id="3673" w:name="_Toc522201809"/>
      <w:bookmarkStart w:id="3674" w:name="_Toc4033"/>
      <w:bookmarkStart w:id="3675" w:name="_Toc7223"/>
      <w:bookmarkStart w:id="3676" w:name="_Toc15210"/>
      <w:r>
        <w:rPr>
          <w:rFonts w:hint="eastAsia" w:ascii="宋体" w:hAnsi="宋体" w:cs="宋体"/>
          <w:color w:val="auto"/>
          <w:szCs w:val="21"/>
          <w:highlight w:val="none"/>
        </w:rPr>
        <w:t>二、质量保修期</w:t>
      </w:r>
      <w:bookmarkEnd w:id="3671"/>
      <w:bookmarkEnd w:id="3672"/>
      <w:bookmarkEnd w:id="3673"/>
      <w:bookmarkEnd w:id="3674"/>
      <w:bookmarkEnd w:id="3675"/>
      <w:bookmarkEnd w:id="3676"/>
    </w:p>
    <w:p>
      <w:pPr>
        <w:pStyle w:val="34"/>
        <w:spacing w:line="360" w:lineRule="auto"/>
        <w:ind w:firstLine="540"/>
        <w:rPr>
          <w:rFonts w:ascii="宋体" w:hAnsi="宋体" w:cs="宋体"/>
          <w:color w:val="auto"/>
          <w:highlight w:val="none"/>
        </w:rPr>
      </w:pPr>
      <w:r>
        <w:rPr>
          <w:rFonts w:hint="eastAsia" w:ascii="宋体" w:hAnsi="宋体" w:cs="宋体"/>
          <w:color w:val="auto"/>
          <w:highlight w:val="none"/>
        </w:rPr>
        <w:t>质量保修期从工程实际竣工验收通过之日算起。分单项竣工验收的工程，按单项工程分别计算质量保修期。</w:t>
      </w:r>
    </w:p>
    <w:p>
      <w:pPr>
        <w:pStyle w:val="23"/>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根据《建设工程质量管理条例》及有关规定，工程的质量保修期如下：</w:t>
      </w:r>
    </w:p>
    <w:p>
      <w:pPr>
        <w:pStyle w:val="23"/>
        <w:spacing w:line="400" w:lineRule="exact"/>
        <w:ind w:firstLine="426"/>
        <w:rPr>
          <w:rFonts w:ascii="宋体" w:hAnsi="宋体" w:cs="宋体"/>
          <w:color w:val="auto"/>
          <w:szCs w:val="21"/>
          <w:highlight w:val="none"/>
        </w:rPr>
      </w:pPr>
      <w:r>
        <w:rPr>
          <w:rFonts w:hint="eastAsia" w:ascii="宋体" w:hAnsi="宋体" w:cs="宋体"/>
          <w:color w:val="auto"/>
          <w:szCs w:val="21"/>
          <w:highlight w:val="none"/>
        </w:rPr>
        <w:t>1．桥梁工程为</w:t>
      </w:r>
      <w:r>
        <w:rPr>
          <w:rFonts w:hint="eastAsia" w:ascii="宋体" w:hAnsi="宋体" w:cs="宋体"/>
          <w:color w:val="auto"/>
          <w:szCs w:val="21"/>
          <w:highlight w:val="none"/>
          <w:u w:val="single"/>
        </w:rPr>
        <w:t xml:space="preserve"> </w:t>
      </w:r>
      <w:r>
        <w:rPr>
          <w:rFonts w:hint="eastAsia" w:ascii="宋体" w:hAnsi="宋体" w:cs="宋体"/>
          <w:color w:val="auto"/>
          <w:highlight w:val="none"/>
          <w:u w:val="single"/>
        </w:rPr>
        <w:t>桥梁隧道主体结构工程为设计文件规定的合理使用年限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（建议桥梁隧道主体结构工程为设计文件规定的合理使用年限）；</w:t>
      </w:r>
    </w:p>
    <w:p>
      <w:pPr>
        <w:pStyle w:val="23"/>
        <w:spacing w:line="400" w:lineRule="exact"/>
        <w:ind w:firstLine="426"/>
        <w:rPr>
          <w:rFonts w:ascii="宋体" w:hAnsi="宋体" w:cs="宋体"/>
          <w:color w:val="auto"/>
          <w:szCs w:val="21"/>
          <w:highlight w:val="none"/>
        </w:rPr>
      </w:pPr>
      <w:r>
        <w:rPr>
          <w:rFonts w:hint="eastAsia" w:ascii="宋体" w:hAnsi="宋体" w:cs="宋体"/>
          <w:color w:val="auto"/>
          <w:szCs w:val="21"/>
          <w:highlight w:val="none"/>
        </w:rPr>
        <w:t>2．道路工程为</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年（建议路基、路面、桥面为2年）；</w:t>
      </w:r>
    </w:p>
    <w:p>
      <w:pPr>
        <w:pStyle w:val="23"/>
        <w:spacing w:line="400" w:lineRule="exact"/>
        <w:ind w:firstLine="426"/>
        <w:rPr>
          <w:rFonts w:ascii="宋体" w:hAnsi="宋体" w:cs="宋体"/>
          <w:color w:val="auto"/>
          <w:szCs w:val="21"/>
          <w:highlight w:val="none"/>
        </w:rPr>
      </w:pPr>
      <w:r>
        <w:rPr>
          <w:rFonts w:hint="eastAsia" w:ascii="宋体" w:hAnsi="宋体" w:cs="宋体"/>
          <w:color w:val="auto"/>
          <w:szCs w:val="21"/>
          <w:highlight w:val="none"/>
        </w:rPr>
        <w:t>3．排水（雨水）工程为</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年（建议道路工程中的排水工程为3年）；</w:t>
      </w:r>
    </w:p>
    <w:p>
      <w:pPr>
        <w:pStyle w:val="23"/>
        <w:spacing w:line="400" w:lineRule="exact"/>
        <w:ind w:firstLine="426"/>
        <w:rPr>
          <w:rFonts w:ascii="宋体" w:hAnsi="宋体" w:cs="宋体"/>
          <w:color w:val="auto"/>
          <w:szCs w:val="21"/>
          <w:highlight w:val="none"/>
        </w:rPr>
      </w:pPr>
      <w:r>
        <w:rPr>
          <w:rFonts w:hint="eastAsia" w:ascii="宋体" w:hAnsi="宋体" w:cs="宋体"/>
          <w:color w:val="auto"/>
          <w:szCs w:val="21"/>
          <w:highlight w:val="none"/>
        </w:rPr>
        <w:t xml:space="preserve">4．绿化工程为 </w:t>
      </w:r>
      <w:r>
        <w:rPr>
          <w:rFonts w:hint="eastAsia" w:ascii="宋体" w:hAnsi="宋体" w:cs="宋体"/>
          <w:color w:val="auto"/>
          <w:szCs w:val="21"/>
          <w:highlight w:val="none"/>
          <w:u w:val="single"/>
        </w:rPr>
        <w:t>单位工程竣工验收合格后1年</w:t>
      </w:r>
      <w:r>
        <w:rPr>
          <w:rFonts w:hint="eastAsia" w:ascii="宋体" w:hAnsi="宋体" w:cs="宋体"/>
          <w:color w:val="auto"/>
          <w:szCs w:val="21"/>
          <w:highlight w:val="none"/>
        </w:rPr>
        <w:t>；</w:t>
      </w:r>
    </w:p>
    <w:p>
      <w:pPr>
        <w:pStyle w:val="23"/>
        <w:spacing w:line="400" w:lineRule="exact"/>
        <w:ind w:firstLine="426"/>
        <w:rPr>
          <w:rFonts w:ascii="宋体" w:hAnsi="宋体" w:cs="宋体"/>
          <w:color w:val="auto"/>
          <w:szCs w:val="21"/>
          <w:highlight w:val="none"/>
        </w:rPr>
      </w:pPr>
      <w:r>
        <w:rPr>
          <w:rFonts w:hint="eastAsia" w:ascii="宋体" w:hAnsi="宋体" w:cs="宋体"/>
          <w:color w:val="auto"/>
          <w:szCs w:val="21"/>
          <w:highlight w:val="none"/>
        </w:rPr>
        <w:t>5. 地下防水工程为</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u w:val="single"/>
        </w:rPr>
        <w:t>5</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年（建议为5年）；</w:t>
      </w:r>
    </w:p>
    <w:p>
      <w:pPr>
        <w:pStyle w:val="23"/>
        <w:spacing w:line="400" w:lineRule="exact"/>
        <w:ind w:firstLine="426"/>
        <w:rPr>
          <w:rFonts w:ascii="宋体" w:hAnsi="宋体" w:cs="宋体"/>
          <w:color w:val="auto"/>
          <w:szCs w:val="21"/>
          <w:highlight w:val="none"/>
        </w:rPr>
      </w:pPr>
      <w:r>
        <w:rPr>
          <w:rFonts w:hint="eastAsia" w:ascii="宋体" w:hAnsi="宋体" w:cs="宋体"/>
          <w:color w:val="auto"/>
          <w:szCs w:val="21"/>
          <w:highlight w:val="none"/>
        </w:rPr>
        <w:t>6．其他附属工程为</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u w:val="single"/>
        </w:rPr>
        <w:t>2</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p>
    <w:p>
      <w:pPr>
        <w:pStyle w:val="23"/>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7．其他项目保修期限约定如下：</w:t>
      </w:r>
      <w:r>
        <w:rPr>
          <w:rFonts w:hint="eastAsia" w:ascii="宋体" w:hAnsi="宋体" w:cs="宋体"/>
          <w:color w:val="auto"/>
          <w:szCs w:val="21"/>
          <w:highlight w:val="none"/>
          <w:u w:val="single"/>
        </w:rPr>
        <w:t xml:space="preserve"> 本工程其余项目质保期均为两年，质量保修规范如国家有新规定，则按新规定执行 </w:t>
      </w:r>
      <w:r>
        <w:rPr>
          <w:rFonts w:hint="eastAsia" w:ascii="宋体" w:hAnsi="宋体" w:cs="宋体"/>
          <w:color w:val="auto"/>
          <w:szCs w:val="21"/>
          <w:highlight w:val="none"/>
        </w:rPr>
        <w:t>。</w:t>
      </w:r>
    </w:p>
    <w:p>
      <w:pPr>
        <w:pStyle w:val="23"/>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质量保修期自工程竣工验收合格之日起计算。 </w:t>
      </w:r>
    </w:p>
    <w:p>
      <w:pPr>
        <w:pStyle w:val="33"/>
        <w:spacing w:line="400" w:lineRule="exact"/>
        <w:ind w:firstLine="420" w:firstLineChars="200"/>
        <w:outlineLvl w:val="0"/>
        <w:rPr>
          <w:rFonts w:ascii="宋体" w:hAnsi="宋体" w:cs="宋体"/>
          <w:color w:val="auto"/>
          <w:szCs w:val="21"/>
          <w:highlight w:val="none"/>
        </w:rPr>
      </w:pPr>
      <w:bookmarkStart w:id="3677" w:name="_Toc11223"/>
      <w:bookmarkStart w:id="3678" w:name="_Toc22277"/>
      <w:bookmarkStart w:id="3679" w:name="_Toc581"/>
      <w:bookmarkStart w:id="3680" w:name="_Toc24491"/>
      <w:bookmarkStart w:id="3681" w:name="_Toc32350"/>
      <w:r>
        <w:rPr>
          <w:rFonts w:hint="eastAsia" w:ascii="宋体" w:hAnsi="宋体" w:cs="宋体"/>
          <w:color w:val="auto"/>
          <w:szCs w:val="21"/>
          <w:highlight w:val="none"/>
        </w:rPr>
        <w:t>三、缺陷责任期</w:t>
      </w:r>
      <w:bookmarkEnd w:id="3677"/>
      <w:bookmarkEnd w:id="3678"/>
      <w:bookmarkEnd w:id="3679"/>
      <w:bookmarkEnd w:id="3680"/>
      <w:bookmarkEnd w:id="3681"/>
    </w:p>
    <w:p>
      <w:pPr>
        <w:pStyle w:val="23"/>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工程缺陷责任期为</w:t>
      </w:r>
      <w:r>
        <w:rPr>
          <w:rFonts w:hint="eastAsia" w:ascii="宋体" w:hAnsi="宋体" w:cs="宋体"/>
          <w:color w:val="auto"/>
          <w:szCs w:val="21"/>
          <w:highlight w:val="none"/>
          <w:u w:val="single"/>
        </w:rPr>
        <w:t xml:space="preserve"> 24 </w:t>
      </w:r>
      <w:r>
        <w:rPr>
          <w:rFonts w:hint="eastAsia" w:ascii="宋体" w:hAnsi="宋体" w:cs="宋体"/>
          <w:color w:val="auto"/>
          <w:szCs w:val="21"/>
          <w:highlight w:val="none"/>
        </w:rPr>
        <w:t>个月（最长不超过24个月），缺陷责任期自工程竣工验收合格之日起计算。单位工程先于全部工程进行验收，单位工程缺陷责任期自单位工程验收合格之日起算。</w:t>
      </w:r>
    </w:p>
    <w:p>
      <w:pPr>
        <w:pStyle w:val="23"/>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缺陷责任期终止后，发包人应退还剩余的质量保证金。</w:t>
      </w:r>
    </w:p>
    <w:p>
      <w:pPr>
        <w:pStyle w:val="33"/>
        <w:spacing w:line="400" w:lineRule="exact"/>
        <w:ind w:firstLine="420" w:firstLineChars="200"/>
        <w:outlineLvl w:val="0"/>
        <w:rPr>
          <w:rFonts w:ascii="宋体" w:hAnsi="宋体" w:cs="宋体"/>
          <w:color w:val="auto"/>
          <w:szCs w:val="21"/>
          <w:highlight w:val="none"/>
        </w:rPr>
      </w:pPr>
      <w:bookmarkStart w:id="3682" w:name="_Toc23555"/>
      <w:bookmarkStart w:id="3683" w:name="_Toc5468"/>
      <w:bookmarkStart w:id="3684" w:name="_Toc25790"/>
      <w:bookmarkStart w:id="3685" w:name="_Toc20542"/>
      <w:bookmarkStart w:id="3686" w:name="_Toc5971"/>
      <w:r>
        <w:rPr>
          <w:rFonts w:hint="eastAsia" w:ascii="宋体" w:hAnsi="宋体" w:cs="宋体"/>
          <w:color w:val="auto"/>
          <w:szCs w:val="21"/>
          <w:highlight w:val="none"/>
        </w:rPr>
        <w:t>四、质量保修责任</w:t>
      </w:r>
      <w:bookmarkEnd w:id="3682"/>
      <w:bookmarkEnd w:id="3683"/>
      <w:bookmarkEnd w:id="3684"/>
      <w:bookmarkEnd w:id="3685"/>
      <w:bookmarkEnd w:id="3686"/>
    </w:p>
    <w:p>
      <w:pPr>
        <w:pStyle w:val="23"/>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1．属于保修范围、内容的项目，承包人应当在接到保修通知之日起</w:t>
      </w:r>
      <w:r>
        <w:rPr>
          <w:rFonts w:hint="eastAsia" w:ascii="宋体" w:hAnsi="宋体" w:cs="宋体"/>
          <w:color w:val="auto"/>
          <w:szCs w:val="21"/>
          <w:highlight w:val="none"/>
          <w:u w:val="single"/>
        </w:rPr>
        <w:t xml:space="preserve">  三 </w:t>
      </w:r>
      <w:r>
        <w:rPr>
          <w:rFonts w:hint="eastAsia" w:ascii="宋体" w:hAnsi="宋体" w:cs="宋体"/>
          <w:color w:val="auto"/>
          <w:szCs w:val="21"/>
          <w:highlight w:val="none"/>
        </w:rPr>
        <w:t>天内派人保修。承包人不在约定期限内派人保修的，发包人可以委托他人修理，修理费用从质量保证金内扣除。</w:t>
      </w:r>
    </w:p>
    <w:p>
      <w:pPr>
        <w:pStyle w:val="23"/>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2．发生紧急事故需抢修的，承包人在接到事故通知后，应当立即到达事故现场抢修。</w:t>
      </w:r>
    </w:p>
    <w:p>
      <w:pPr>
        <w:pStyle w:val="23"/>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23"/>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4．质量保修完成后，由发包人组织验收。</w:t>
      </w:r>
    </w:p>
    <w:p>
      <w:pPr>
        <w:pStyle w:val="33"/>
        <w:spacing w:line="400" w:lineRule="exact"/>
        <w:ind w:firstLine="420" w:firstLineChars="200"/>
        <w:outlineLvl w:val="0"/>
        <w:rPr>
          <w:rFonts w:ascii="宋体" w:hAnsi="宋体" w:cs="宋体"/>
          <w:color w:val="auto"/>
          <w:szCs w:val="21"/>
          <w:highlight w:val="none"/>
        </w:rPr>
      </w:pPr>
      <w:bookmarkStart w:id="3687" w:name="_Toc14840"/>
      <w:bookmarkStart w:id="3688" w:name="_Toc30857"/>
      <w:bookmarkStart w:id="3689" w:name="_Toc26035"/>
      <w:bookmarkStart w:id="3690" w:name="_Toc15016"/>
      <w:bookmarkStart w:id="3691" w:name="_Toc17035"/>
      <w:r>
        <w:rPr>
          <w:rFonts w:hint="eastAsia" w:ascii="宋体" w:hAnsi="宋体" w:cs="宋体"/>
          <w:color w:val="auto"/>
          <w:szCs w:val="21"/>
          <w:highlight w:val="none"/>
        </w:rPr>
        <w:t>五、保修费用</w:t>
      </w:r>
      <w:bookmarkEnd w:id="3687"/>
      <w:bookmarkEnd w:id="3688"/>
      <w:bookmarkEnd w:id="3689"/>
      <w:bookmarkEnd w:id="3690"/>
      <w:bookmarkEnd w:id="3691"/>
    </w:p>
    <w:p>
      <w:pPr>
        <w:pStyle w:val="23"/>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保修费用由造成质量缺陷的责任方承担。</w:t>
      </w:r>
    </w:p>
    <w:p>
      <w:pPr>
        <w:pStyle w:val="28"/>
        <w:numPr>
          <w:ilvl w:val="0"/>
          <w:numId w:val="5"/>
        </w:numPr>
        <w:spacing w:line="400" w:lineRule="exact"/>
        <w:rPr>
          <w:rFonts w:ascii="宋体" w:hAnsi="宋体" w:cs="宋体"/>
          <w:color w:val="auto"/>
          <w:highlight w:val="none"/>
          <w:u w:val="single"/>
        </w:rPr>
      </w:pPr>
      <w:r>
        <w:rPr>
          <w:rFonts w:hint="eastAsia" w:ascii="宋体" w:hAnsi="宋体" w:cs="宋体"/>
          <w:color w:val="auto"/>
          <w:highlight w:val="none"/>
        </w:rPr>
        <w:t xml:space="preserve">双方约定的其他工程质量保修事项： </w:t>
      </w:r>
    </w:p>
    <w:p>
      <w:pPr>
        <w:pStyle w:val="28"/>
        <w:spacing w:line="400" w:lineRule="exact"/>
        <w:rPr>
          <w:rFonts w:ascii="宋体" w:hAnsi="宋体" w:cs="宋体"/>
          <w:color w:val="auto"/>
          <w:highlight w:val="none"/>
          <w:u w:val="single"/>
        </w:rPr>
      </w:pPr>
      <w:r>
        <w:rPr>
          <w:rFonts w:hint="eastAsia" w:ascii="宋体" w:hAnsi="宋体" w:cs="宋体"/>
          <w:color w:val="auto"/>
          <w:highlight w:val="none"/>
        </w:rPr>
        <w:t xml:space="preserve"> 1. </w:t>
      </w:r>
      <w:r>
        <w:rPr>
          <w:rFonts w:hint="eastAsia" w:ascii="宋体" w:hAnsi="宋体" w:cs="宋体"/>
          <w:color w:val="auto"/>
          <w:highlight w:val="none"/>
          <w:u w:val="single"/>
        </w:rPr>
        <w:t>承包人未按照法律法规有关规定和合同约定履行质量保修义务的，发包人有权从质量保证金中扣留用于质量保修的各项支出。</w:t>
      </w:r>
    </w:p>
    <w:p>
      <w:pPr>
        <w:pStyle w:val="28"/>
        <w:spacing w:line="400" w:lineRule="exact"/>
        <w:rPr>
          <w:rFonts w:ascii="宋体" w:hAnsi="宋体" w:cs="宋体"/>
          <w:color w:val="auto"/>
          <w:highlight w:val="none"/>
          <w:u w:val="single"/>
        </w:rPr>
      </w:pPr>
      <w:r>
        <w:rPr>
          <w:rFonts w:hint="eastAsia" w:ascii="宋体" w:hAnsi="宋体" w:cs="宋体"/>
          <w:color w:val="auto"/>
          <w:highlight w:val="none"/>
        </w:rPr>
        <w:t>2.</w:t>
      </w:r>
      <w:r>
        <w:rPr>
          <w:rFonts w:hint="eastAsia" w:ascii="宋体" w:hAnsi="宋体" w:cs="宋体"/>
          <w:color w:val="auto"/>
          <w:highlight w:val="none"/>
          <w:u w:val="single"/>
        </w:rPr>
        <w:t>质量保证金比例：工程结算价的3%。</w:t>
      </w:r>
    </w:p>
    <w:p>
      <w:pPr>
        <w:pStyle w:val="28"/>
        <w:spacing w:line="400" w:lineRule="exact"/>
        <w:rPr>
          <w:rFonts w:ascii="宋体" w:hAnsi="宋体" w:cs="宋体"/>
          <w:color w:val="auto"/>
          <w:highlight w:val="none"/>
        </w:rPr>
      </w:pPr>
      <w:r>
        <w:rPr>
          <w:rFonts w:hint="eastAsia" w:ascii="宋体" w:hAnsi="宋体" w:cs="宋体"/>
          <w:color w:val="auto"/>
          <w:highlight w:val="none"/>
        </w:rPr>
        <w:t>3.</w:t>
      </w:r>
      <w:r>
        <w:rPr>
          <w:rFonts w:hint="eastAsia" w:ascii="宋体" w:hAnsi="宋体" w:cs="宋体"/>
          <w:color w:val="auto"/>
          <w:highlight w:val="none"/>
          <w:u w:val="single"/>
        </w:rPr>
        <w:t xml:space="preserve">质量保证金返还：发包人在工程竣工验收合格之日起满两年后14天内将保修金（无息）的返回给承包人，质量保证金的返还，并不能免除承包人按照合同约定应承担的质量保修责任和应履行的质量保修义务  </w:t>
      </w:r>
      <w:r>
        <w:rPr>
          <w:rFonts w:hint="eastAsia" w:ascii="宋体" w:hAnsi="宋体" w:cs="宋体"/>
          <w:color w:val="auto"/>
          <w:highlight w:val="none"/>
        </w:rPr>
        <w:t>。</w:t>
      </w:r>
    </w:p>
    <w:p>
      <w:pPr>
        <w:pStyle w:val="23"/>
        <w:spacing w:line="3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工程质量保修书由发包人、承包人在工程竣工验收前共同签署，作为施工合同附件，其有效期限至保修期满。</w:t>
      </w:r>
    </w:p>
    <w:p>
      <w:pPr>
        <w:pStyle w:val="23"/>
        <w:spacing w:line="320" w:lineRule="exact"/>
        <w:ind w:firstLine="420" w:firstLineChars="200"/>
        <w:rPr>
          <w:rFonts w:ascii="宋体" w:hAnsi="宋体" w:cs="宋体"/>
          <w:color w:val="auto"/>
          <w:szCs w:val="21"/>
          <w:highlight w:val="none"/>
        </w:rPr>
      </w:pPr>
    </w:p>
    <w:p>
      <w:pPr>
        <w:pStyle w:val="24"/>
        <w:ind w:left="63" w:right="63"/>
        <w:rPr>
          <w:color w:val="auto"/>
          <w:highlight w:val="none"/>
          <w:lang w:val="en-US"/>
        </w:rPr>
      </w:pPr>
    </w:p>
    <w:p>
      <w:pPr>
        <w:pStyle w:val="28"/>
        <w:spacing w:line="320" w:lineRule="exact"/>
        <w:ind w:firstLine="0" w:firstLineChars="0"/>
        <w:rPr>
          <w:rFonts w:ascii="宋体" w:hAnsi="宋体" w:cs="宋体"/>
          <w:color w:val="auto"/>
          <w:highlight w:val="none"/>
          <w:u w:val="single"/>
        </w:rPr>
      </w:pPr>
      <w:r>
        <w:rPr>
          <w:rFonts w:hint="eastAsia" w:ascii="宋体" w:hAnsi="宋体" w:cs="宋体"/>
          <w:color w:val="auto"/>
          <w:highlight w:val="none"/>
        </w:rPr>
        <w:t>发包人(公章)：</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承包人(公章)：</w:t>
      </w:r>
      <w:r>
        <w:rPr>
          <w:rFonts w:hint="eastAsia" w:ascii="宋体" w:hAnsi="宋体" w:cs="宋体"/>
          <w:color w:val="auto"/>
          <w:highlight w:val="none"/>
          <w:u w:val="single"/>
        </w:rPr>
        <w:t xml:space="preserve">                      </w:t>
      </w:r>
    </w:p>
    <w:p>
      <w:pPr>
        <w:pStyle w:val="28"/>
        <w:spacing w:line="320" w:lineRule="exact"/>
        <w:ind w:firstLine="0" w:firstLineChars="0"/>
        <w:rPr>
          <w:rFonts w:ascii="宋体" w:hAnsi="宋体" w:cs="宋体"/>
          <w:color w:val="auto"/>
          <w:highlight w:val="none"/>
        </w:rPr>
      </w:pPr>
      <w:r>
        <w:rPr>
          <w:rFonts w:hint="eastAsia" w:ascii="宋体" w:hAnsi="宋体" w:cs="宋体"/>
          <w:color w:val="auto"/>
          <w:highlight w:val="none"/>
        </w:rPr>
        <w:t xml:space="preserve"> </w:t>
      </w:r>
    </w:p>
    <w:p>
      <w:pPr>
        <w:pStyle w:val="28"/>
        <w:spacing w:line="320" w:lineRule="exact"/>
        <w:ind w:firstLine="0" w:firstLineChars="0"/>
        <w:rPr>
          <w:rFonts w:ascii="宋体" w:hAnsi="宋体" w:cs="宋体"/>
          <w:color w:val="auto"/>
          <w:highlight w:val="none"/>
        </w:rPr>
      </w:pPr>
      <w:r>
        <w:rPr>
          <w:rFonts w:hint="eastAsia" w:ascii="宋体" w:hAnsi="宋体" w:cs="宋体"/>
          <w:color w:val="auto"/>
          <w:highlight w:val="none"/>
        </w:rPr>
        <w:t>地  址：</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地  址：</w:t>
      </w:r>
      <w:r>
        <w:rPr>
          <w:rFonts w:hint="eastAsia" w:ascii="宋体" w:hAnsi="宋体" w:cs="宋体"/>
          <w:color w:val="auto"/>
          <w:highlight w:val="none"/>
          <w:u w:val="single"/>
        </w:rPr>
        <w:t xml:space="preserve">                           </w:t>
      </w:r>
      <w:r>
        <w:rPr>
          <w:rFonts w:hint="eastAsia" w:ascii="宋体" w:hAnsi="宋体"/>
          <w:color w:val="auto"/>
          <w:highlight w:val="none"/>
          <w:u w:val="single"/>
        </w:rPr>
        <w:t xml:space="preserve"> </w:t>
      </w:r>
    </w:p>
    <w:p>
      <w:pPr>
        <w:pStyle w:val="28"/>
        <w:spacing w:line="320" w:lineRule="exact"/>
        <w:ind w:firstLine="0" w:firstLineChars="0"/>
        <w:rPr>
          <w:rFonts w:ascii="宋体" w:hAnsi="宋体" w:cs="宋体"/>
          <w:color w:val="auto"/>
          <w:highlight w:val="none"/>
        </w:rPr>
      </w:pPr>
      <w:r>
        <w:rPr>
          <w:rFonts w:hint="eastAsia" w:ascii="宋体" w:hAnsi="宋体" w:cs="宋体"/>
          <w:color w:val="auto"/>
          <w:highlight w:val="none"/>
        </w:rPr>
        <w:t>法定代表人或委托代理人</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法定代表人或委托代理人</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pStyle w:val="28"/>
        <w:spacing w:line="320" w:lineRule="exact"/>
        <w:ind w:firstLine="0" w:firstLineChars="0"/>
        <w:rPr>
          <w:rFonts w:ascii="宋体" w:hAnsi="宋体" w:cs="宋体"/>
          <w:color w:val="auto"/>
          <w:highlight w:val="none"/>
        </w:rPr>
      </w:pPr>
      <w:r>
        <w:rPr>
          <w:rFonts w:hint="eastAsia" w:ascii="宋体" w:hAnsi="宋体" w:cs="宋体"/>
          <w:color w:val="auto"/>
          <w:highlight w:val="none"/>
        </w:rPr>
        <w:t>(签字或盖章)：</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(签字或盖章)：</w:t>
      </w:r>
      <w:r>
        <w:rPr>
          <w:rFonts w:hint="eastAsia" w:ascii="宋体" w:hAnsi="宋体" w:cs="宋体"/>
          <w:color w:val="auto"/>
          <w:highlight w:val="none"/>
          <w:u w:val="single"/>
        </w:rPr>
        <w:t xml:space="preserve">                           </w:t>
      </w:r>
    </w:p>
    <w:p>
      <w:pPr>
        <w:pStyle w:val="28"/>
        <w:spacing w:line="320" w:lineRule="exact"/>
        <w:ind w:firstLine="0" w:firstLineChars="0"/>
        <w:rPr>
          <w:rFonts w:ascii="宋体" w:hAnsi="宋体" w:cs="宋体"/>
          <w:color w:val="auto"/>
          <w:highlight w:val="none"/>
        </w:rPr>
      </w:pPr>
      <w:r>
        <w:rPr>
          <w:rFonts w:hint="eastAsia" w:ascii="宋体" w:hAnsi="宋体" w:cs="宋体"/>
          <w:color w:val="auto"/>
          <w:highlight w:val="none"/>
        </w:rPr>
        <w:t>电  话：</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电  话：</w:t>
      </w:r>
      <w:r>
        <w:rPr>
          <w:rFonts w:hint="eastAsia" w:ascii="宋体" w:hAnsi="宋体" w:cs="宋体"/>
          <w:color w:val="auto"/>
          <w:highlight w:val="none"/>
          <w:u w:val="single"/>
        </w:rPr>
        <w:t xml:space="preserve">                               </w:t>
      </w:r>
    </w:p>
    <w:p>
      <w:pPr>
        <w:rPr>
          <w:rFonts w:eastAsia="宋体"/>
          <w:color w:val="auto"/>
          <w:highlight w:val="none"/>
        </w:rPr>
      </w:pPr>
      <w:r>
        <w:rPr>
          <w:rFonts w:hint="eastAsia" w:eastAsia="宋体"/>
          <w:color w:val="auto"/>
          <w:highlight w:val="none"/>
        </w:rPr>
        <w:t xml:space="preserve"> </w:t>
      </w:r>
    </w:p>
    <w:p>
      <w:pPr>
        <w:pStyle w:val="31"/>
        <w:rPr>
          <w:color w:val="auto"/>
          <w:sz w:val="30"/>
          <w:szCs w:val="30"/>
          <w:highlight w:val="none"/>
        </w:rPr>
      </w:pPr>
      <w:r>
        <w:rPr>
          <w:color w:val="auto"/>
          <w:highlight w:val="none"/>
          <w:u w:val="single"/>
        </w:rPr>
        <w:t xml:space="preserve"> </w:t>
      </w:r>
    </w:p>
    <w:p>
      <w:pPr>
        <w:spacing w:line="440" w:lineRule="exact"/>
        <w:rPr>
          <w:rFonts w:eastAsia="黑体"/>
          <w:color w:val="auto"/>
          <w:sz w:val="30"/>
          <w:szCs w:val="30"/>
          <w:highlight w:val="none"/>
        </w:rPr>
      </w:pPr>
      <w:r>
        <w:rPr>
          <w:rFonts w:eastAsia="仿宋_GB2312"/>
          <w:b/>
          <w:color w:val="auto"/>
          <w:sz w:val="30"/>
          <w:szCs w:val="30"/>
          <w:highlight w:val="none"/>
        </w:rPr>
        <w:br w:type="page"/>
      </w:r>
      <w:r>
        <w:rPr>
          <w:rFonts w:eastAsia="仿宋_GB2312"/>
          <w:color w:val="auto"/>
          <w:sz w:val="30"/>
          <w:szCs w:val="30"/>
          <w:highlight w:val="none"/>
        </w:rPr>
        <w:t>附件4：</w:t>
      </w:r>
    </w:p>
    <w:p>
      <w:pPr>
        <w:spacing w:before="120" w:beforeLines="50" w:after="120" w:afterLines="50" w:line="440" w:lineRule="exact"/>
        <w:jc w:val="center"/>
        <w:rPr>
          <w:rFonts w:eastAsia="黑体"/>
          <w:color w:val="auto"/>
          <w:sz w:val="30"/>
          <w:szCs w:val="30"/>
          <w:highlight w:val="none"/>
        </w:rPr>
      </w:pPr>
      <w:r>
        <w:rPr>
          <w:rFonts w:eastAsia="黑体"/>
          <w:color w:val="auto"/>
          <w:sz w:val="30"/>
          <w:szCs w:val="30"/>
          <w:highlight w:val="none"/>
        </w:rPr>
        <w:t>主要建设工程文件目录</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文件名称</w:t>
            </w:r>
          </w:p>
        </w:tc>
        <w:tc>
          <w:tcPr>
            <w:tcW w:w="1276" w:type="dxa"/>
            <w:tcBorders>
              <w:top w:val="single" w:color="auto" w:sz="12" w:space="0"/>
              <w:bottom w:val="doub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套数</w:t>
            </w:r>
          </w:p>
        </w:tc>
        <w:tc>
          <w:tcPr>
            <w:tcW w:w="1450" w:type="dxa"/>
            <w:tcBorders>
              <w:top w:val="single" w:color="auto" w:sz="12" w:space="0"/>
              <w:bottom w:val="doub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费用（元）</w:t>
            </w:r>
          </w:p>
        </w:tc>
        <w:tc>
          <w:tcPr>
            <w:tcW w:w="1243" w:type="dxa"/>
            <w:tcBorders>
              <w:top w:val="single" w:color="auto" w:sz="12" w:space="0"/>
              <w:bottom w:val="doub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质量</w:t>
            </w:r>
          </w:p>
        </w:tc>
        <w:tc>
          <w:tcPr>
            <w:tcW w:w="1450" w:type="dxa"/>
            <w:tcBorders>
              <w:top w:val="single" w:color="auto" w:sz="12" w:space="0"/>
              <w:bottom w:val="double" w:color="auto" w:sz="6" w:space="0"/>
            </w:tcBorders>
          </w:tcPr>
          <w:p>
            <w:pPr>
              <w:spacing w:line="440" w:lineRule="exact"/>
              <w:jc w:val="center"/>
              <w:rPr>
                <w:rFonts w:eastAsia="仿宋_GB2312"/>
                <w:color w:val="auto"/>
                <w:sz w:val="28"/>
                <w:szCs w:val="30"/>
                <w:highlight w:val="none"/>
              </w:rPr>
            </w:pPr>
            <w:r>
              <w:rPr>
                <w:rFonts w:eastAsia="仿宋_GB2312"/>
                <w:color w:val="auto"/>
                <w:sz w:val="28"/>
                <w:szCs w:val="30"/>
                <w:highlight w:val="none"/>
              </w:rPr>
              <w:t>移交时间</w:t>
            </w:r>
          </w:p>
        </w:tc>
        <w:tc>
          <w:tcPr>
            <w:tcW w:w="1667" w:type="dxa"/>
            <w:tcBorders>
              <w:top w:val="single" w:color="auto" w:sz="12" w:space="0"/>
              <w:bottom w:val="double" w:color="auto" w:sz="6" w:space="0"/>
            </w:tcBorders>
          </w:tcPr>
          <w:p>
            <w:pPr>
              <w:spacing w:line="440" w:lineRule="exact"/>
              <w:jc w:val="center"/>
              <w:rPr>
                <w:rFonts w:eastAsia="仿宋_GB2312"/>
                <w:color w:val="auto"/>
                <w:sz w:val="28"/>
                <w:szCs w:val="30"/>
                <w:highlight w:val="none"/>
              </w:rPr>
            </w:pPr>
            <w:r>
              <w:rPr>
                <w:rFonts w:eastAsia="仿宋_GB2312"/>
                <w:color w:val="auto"/>
                <w:sz w:val="28"/>
                <w:szCs w:val="30"/>
                <w:highlight w:val="none"/>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276" w:type="dxa"/>
            <w:tcBorders>
              <w:top w:val="doub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450" w:type="dxa"/>
            <w:tcBorders>
              <w:top w:val="doub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243" w:type="dxa"/>
            <w:tcBorders>
              <w:top w:val="doub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450" w:type="dxa"/>
            <w:tcBorders>
              <w:top w:val="doub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667" w:type="dxa"/>
            <w:tcBorders>
              <w:top w:val="doub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276" w:type="dxa"/>
            <w:tcBorders>
              <w:top w:val="nil"/>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450" w:type="dxa"/>
            <w:tcBorders>
              <w:top w:val="nil"/>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243" w:type="dxa"/>
            <w:tcBorders>
              <w:top w:val="nil"/>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450" w:type="dxa"/>
            <w:tcBorders>
              <w:top w:val="nil"/>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667" w:type="dxa"/>
            <w:tcBorders>
              <w:top w:val="nil"/>
            </w:tcBorders>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276"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5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243"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5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667"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276"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5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243"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5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667"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276"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5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243"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5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667"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276"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5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243"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5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667"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276"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5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243"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5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667"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276"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5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243"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5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667"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highlight w:val="none"/>
              </w:rPr>
            </w:pPr>
          </w:p>
        </w:tc>
        <w:tc>
          <w:tcPr>
            <w:tcW w:w="1276"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243"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667"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276"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5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243"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5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667"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highlight w:val="none"/>
              </w:rPr>
            </w:pPr>
          </w:p>
        </w:tc>
        <w:tc>
          <w:tcPr>
            <w:tcW w:w="1276"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243"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667"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highlight w:val="none"/>
              </w:rPr>
            </w:pPr>
          </w:p>
        </w:tc>
        <w:tc>
          <w:tcPr>
            <w:tcW w:w="1276"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243"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667"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highlight w:val="none"/>
              </w:rPr>
            </w:pPr>
          </w:p>
        </w:tc>
        <w:tc>
          <w:tcPr>
            <w:tcW w:w="1276"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243"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667"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highlight w:val="none"/>
              </w:rPr>
            </w:pPr>
          </w:p>
        </w:tc>
        <w:tc>
          <w:tcPr>
            <w:tcW w:w="1276"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243"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667"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highlight w:val="none"/>
              </w:rPr>
            </w:pPr>
          </w:p>
        </w:tc>
        <w:tc>
          <w:tcPr>
            <w:tcW w:w="1276"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243"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667"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highlight w:val="none"/>
              </w:rPr>
            </w:pPr>
          </w:p>
        </w:tc>
        <w:tc>
          <w:tcPr>
            <w:tcW w:w="1276"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243"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667"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highlight w:val="none"/>
              </w:rPr>
            </w:pPr>
          </w:p>
        </w:tc>
        <w:tc>
          <w:tcPr>
            <w:tcW w:w="1276"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243"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667"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highlight w:val="none"/>
              </w:rPr>
            </w:pPr>
          </w:p>
        </w:tc>
        <w:tc>
          <w:tcPr>
            <w:tcW w:w="1276"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243"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667"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color w:val="auto"/>
                <w:sz w:val="30"/>
                <w:szCs w:val="30"/>
                <w:highlight w:val="none"/>
              </w:rPr>
            </w:pPr>
          </w:p>
        </w:tc>
        <w:tc>
          <w:tcPr>
            <w:tcW w:w="1276"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243" w:type="dxa"/>
          </w:tcPr>
          <w:p>
            <w:pPr>
              <w:rPr>
                <w:rFonts w:eastAsia="仿宋_GB2312"/>
                <w:color w:val="auto"/>
                <w:sz w:val="30"/>
                <w:szCs w:val="30"/>
                <w:highlight w:val="none"/>
              </w:rPr>
            </w:pPr>
          </w:p>
        </w:tc>
        <w:tc>
          <w:tcPr>
            <w:tcW w:w="1450" w:type="dxa"/>
          </w:tcPr>
          <w:p>
            <w:pPr>
              <w:rPr>
                <w:rFonts w:eastAsia="仿宋_GB2312"/>
                <w:color w:val="auto"/>
                <w:sz w:val="30"/>
                <w:szCs w:val="30"/>
                <w:highlight w:val="none"/>
              </w:rPr>
            </w:pPr>
          </w:p>
        </w:tc>
        <w:tc>
          <w:tcPr>
            <w:tcW w:w="1667" w:type="dxa"/>
          </w:tcPr>
          <w:p>
            <w:pPr>
              <w:rPr>
                <w:rFonts w:eastAsia="仿宋_GB2312"/>
                <w:color w:val="auto"/>
                <w:sz w:val="30"/>
                <w:szCs w:val="30"/>
                <w:highlight w:val="none"/>
              </w:rPr>
            </w:pPr>
          </w:p>
        </w:tc>
      </w:tr>
    </w:tbl>
    <w:p>
      <w:pPr>
        <w:spacing w:line="440" w:lineRule="exact"/>
        <w:rPr>
          <w:rFonts w:eastAsia="仿宋_GB2312"/>
          <w:color w:val="auto"/>
          <w:sz w:val="30"/>
          <w:szCs w:val="30"/>
          <w:highlight w:val="none"/>
        </w:rPr>
      </w:pPr>
    </w:p>
    <w:p>
      <w:pPr>
        <w:spacing w:line="440" w:lineRule="exact"/>
        <w:rPr>
          <w:rFonts w:eastAsia="黑体"/>
          <w:color w:val="auto"/>
          <w:sz w:val="30"/>
          <w:szCs w:val="30"/>
          <w:highlight w:val="none"/>
        </w:rPr>
      </w:pPr>
      <w:r>
        <w:rPr>
          <w:rFonts w:eastAsia="仿宋_GB2312"/>
          <w:color w:val="auto"/>
          <w:sz w:val="30"/>
          <w:szCs w:val="30"/>
          <w:highlight w:val="none"/>
        </w:rPr>
        <w:br w:type="page"/>
      </w:r>
      <w:r>
        <w:rPr>
          <w:rFonts w:eastAsia="仿宋_GB2312"/>
          <w:color w:val="auto"/>
          <w:sz w:val="30"/>
          <w:szCs w:val="30"/>
          <w:highlight w:val="none"/>
        </w:rPr>
        <w:t>附件5：</w:t>
      </w:r>
    </w:p>
    <w:p>
      <w:pPr>
        <w:spacing w:before="120" w:beforeLines="50" w:after="120" w:afterLines="50" w:line="440" w:lineRule="exact"/>
        <w:jc w:val="center"/>
        <w:rPr>
          <w:rFonts w:eastAsia="黑体"/>
          <w:color w:val="auto"/>
          <w:sz w:val="30"/>
          <w:szCs w:val="30"/>
          <w:highlight w:val="none"/>
        </w:rPr>
      </w:pPr>
      <w:r>
        <w:rPr>
          <w:rFonts w:eastAsia="黑体"/>
          <w:color w:val="auto"/>
          <w:sz w:val="30"/>
          <w:szCs w:val="30"/>
          <w:highlight w:val="none"/>
        </w:rPr>
        <w:t>承包人用于本工程施工的机械设备表</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序号</w:t>
            </w:r>
          </w:p>
        </w:tc>
        <w:tc>
          <w:tcPr>
            <w:tcW w:w="1418" w:type="dxa"/>
            <w:tcBorders>
              <w:top w:val="single" w:color="auto" w:sz="12" w:space="0"/>
              <w:bottom w:val="doub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机械或设备名称</w:t>
            </w:r>
          </w:p>
        </w:tc>
        <w:tc>
          <w:tcPr>
            <w:tcW w:w="850" w:type="dxa"/>
            <w:tcBorders>
              <w:top w:val="single" w:color="auto" w:sz="12" w:space="0"/>
              <w:bottom w:val="doub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规格型号</w:t>
            </w:r>
          </w:p>
        </w:tc>
        <w:tc>
          <w:tcPr>
            <w:tcW w:w="1058" w:type="dxa"/>
            <w:tcBorders>
              <w:top w:val="single" w:color="auto" w:sz="12" w:space="0"/>
              <w:bottom w:val="doub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数量</w:t>
            </w:r>
          </w:p>
        </w:tc>
        <w:tc>
          <w:tcPr>
            <w:tcW w:w="880" w:type="dxa"/>
            <w:tcBorders>
              <w:top w:val="single" w:color="auto" w:sz="12" w:space="0"/>
              <w:bottom w:val="doub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产地</w:t>
            </w:r>
          </w:p>
        </w:tc>
        <w:tc>
          <w:tcPr>
            <w:tcW w:w="1020" w:type="dxa"/>
            <w:tcBorders>
              <w:top w:val="single" w:color="auto" w:sz="12" w:space="0"/>
              <w:bottom w:val="doub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制造年份</w:t>
            </w:r>
          </w:p>
        </w:tc>
        <w:tc>
          <w:tcPr>
            <w:tcW w:w="1480" w:type="dxa"/>
            <w:tcBorders>
              <w:top w:val="single" w:color="auto" w:sz="12" w:space="0"/>
              <w:bottom w:val="doub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额定功率(kW)</w:t>
            </w:r>
          </w:p>
        </w:tc>
        <w:tc>
          <w:tcPr>
            <w:tcW w:w="1020" w:type="dxa"/>
            <w:tcBorders>
              <w:top w:val="single" w:color="auto" w:sz="12" w:space="0"/>
              <w:bottom w:val="doub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生产能力</w:t>
            </w:r>
          </w:p>
        </w:tc>
        <w:tc>
          <w:tcPr>
            <w:tcW w:w="921" w:type="dxa"/>
            <w:tcBorders>
              <w:top w:val="single" w:color="auto" w:sz="12" w:space="0"/>
              <w:bottom w:val="doub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418" w:type="dxa"/>
            <w:tcBorders>
              <w:top w:val="doub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850" w:type="dxa"/>
            <w:tcBorders>
              <w:top w:val="doub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058" w:type="dxa"/>
            <w:tcBorders>
              <w:top w:val="doub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880" w:type="dxa"/>
            <w:tcBorders>
              <w:top w:val="doub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020" w:type="dxa"/>
            <w:tcBorders>
              <w:top w:val="doub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480" w:type="dxa"/>
            <w:tcBorders>
              <w:top w:val="doub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020" w:type="dxa"/>
            <w:tcBorders>
              <w:top w:val="doub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921" w:type="dxa"/>
            <w:tcBorders>
              <w:top w:val="doub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418" w:type="dxa"/>
            <w:tcBorders>
              <w:top w:val="nil"/>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850" w:type="dxa"/>
            <w:tcBorders>
              <w:top w:val="nil"/>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058" w:type="dxa"/>
            <w:tcBorders>
              <w:top w:val="nil"/>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880" w:type="dxa"/>
            <w:tcBorders>
              <w:top w:val="nil"/>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020" w:type="dxa"/>
            <w:tcBorders>
              <w:top w:val="nil"/>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480" w:type="dxa"/>
            <w:tcBorders>
              <w:top w:val="nil"/>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020" w:type="dxa"/>
            <w:tcBorders>
              <w:top w:val="nil"/>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921" w:type="dxa"/>
            <w:tcBorders>
              <w:top w:val="nil"/>
            </w:tcBorders>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18"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85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058"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88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02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8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02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921"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18"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85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058"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88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02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8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02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921"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18"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85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058"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88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02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8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02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921"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18"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85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058"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88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02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8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02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921"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18"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85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058"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88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02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8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02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921"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18"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85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058"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88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02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8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02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921"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highlight w:val="none"/>
              </w:rPr>
            </w:pPr>
          </w:p>
        </w:tc>
        <w:tc>
          <w:tcPr>
            <w:tcW w:w="1418" w:type="dxa"/>
          </w:tcPr>
          <w:p>
            <w:pPr>
              <w:rPr>
                <w:rFonts w:eastAsia="仿宋_GB2312"/>
                <w:color w:val="auto"/>
                <w:sz w:val="30"/>
                <w:szCs w:val="30"/>
                <w:highlight w:val="none"/>
              </w:rPr>
            </w:pPr>
          </w:p>
        </w:tc>
        <w:tc>
          <w:tcPr>
            <w:tcW w:w="850" w:type="dxa"/>
          </w:tcPr>
          <w:p>
            <w:pPr>
              <w:rPr>
                <w:rFonts w:eastAsia="仿宋_GB2312"/>
                <w:color w:val="auto"/>
                <w:sz w:val="30"/>
                <w:szCs w:val="30"/>
                <w:highlight w:val="none"/>
              </w:rPr>
            </w:pPr>
          </w:p>
        </w:tc>
        <w:tc>
          <w:tcPr>
            <w:tcW w:w="1058" w:type="dxa"/>
          </w:tcPr>
          <w:p>
            <w:pPr>
              <w:rPr>
                <w:rFonts w:eastAsia="仿宋_GB2312"/>
                <w:color w:val="auto"/>
                <w:sz w:val="30"/>
                <w:szCs w:val="30"/>
                <w:highlight w:val="none"/>
              </w:rPr>
            </w:pPr>
          </w:p>
        </w:tc>
        <w:tc>
          <w:tcPr>
            <w:tcW w:w="8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14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921"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18"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85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058"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88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02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48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020"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921"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highlight w:val="none"/>
              </w:rPr>
            </w:pPr>
          </w:p>
        </w:tc>
        <w:tc>
          <w:tcPr>
            <w:tcW w:w="1418" w:type="dxa"/>
          </w:tcPr>
          <w:p>
            <w:pPr>
              <w:rPr>
                <w:rFonts w:eastAsia="仿宋_GB2312"/>
                <w:color w:val="auto"/>
                <w:sz w:val="30"/>
                <w:szCs w:val="30"/>
                <w:highlight w:val="none"/>
              </w:rPr>
            </w:pPr>
          </w:p>
        </w:tc>
        <w:tc>
          <w:tcPr>
            <w:tcW w:w="850" w:type="dxa"/>
          </w:tcPr>
          <w:p>
            <w:pPr>
              <w:rPr>
                <w:rFonts w:eastAsia="仿宋_GB2312"/>
                <w:color w:val="auto"/>
                <w:sz w:val="30"/>
                <w:szCs w:val="30"/>
                <w:highlight w:val="none"/>
              </w:rPr>
            </w:pPr>
          </w:p>
        </w:tc>
        <w:tc>
          <w:tcPr>
            <w:tcW w:w="1058" w:type="dxa"/>
          </w:tcPr>
          <w:p>
            <w:pPr>
              <w:rPr>
                <w:rFonts w:eastAsia="仿宋_GB2312"/>
                <w:color w:val="auto"/>
                <w:sz w:val="30"/>
                <w:szCs w:val="30"/>
                <w:highlight w:val="none"/>
              </w:rPr>
            </w:pPr>
          </w:p>
        </w:tc>
        <w:tc>
          <w:tcPr>
            <w:tcW w:w="8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14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921"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highlight w:val="none"/>
              </w:rPr>
            </w:pPr>
          </w:p>
        </w:tc>
        <w:tc>
          <w:tcPr>
            <w:tcW w:w="1418" w:type="dxa"/>
          </w:tcPr>
          <w:p>
            <w:pPr>
              <w:rPr>
                <w:rFonts w:eastAsia="仿宋_GB2312"/>
                <w:color w:val="auto"/>
                <w:sz w:val="30"/>
                <w:szCs w:val="30"/>
                <w:highlight w:val="none"/>
              </w:rPr>
            </w:pPr>
          </w:p>
        </w:tc>
        <w:tc>
          <w:tcPr>
            <w:tcW w:w="850" w:type="dxa"/>
          </w:tcPr>
          <w:p>
            <w:pPr>
              <w:rPr>
                <w:rFonts w:eastAsia="仿宋_GB2312"/>
                <w:color w:val="auto"/>
                <w:sz w:val="30"/>
                <w:szCs w:val="30"/>
                <w:highlight w:val="none"/>
              </w:rPr>
            </w:pPr>
          </w:p>
        </w:tc>
        <w:tc>
          <w:tcPr>
            <w:tcW w:w="1058" w:type="dxa"/>
          </w:tcPr>
          <w:p>
            <w:pPr>
              <w:rPr>
                <w:rFonts w:eastAsia="仿宋_GB2312"/>
                <w:color w:val="auto"/>
                <w:sz w:val="30"/>
                <w:szCs w:val="30"/>
                <w:highlight w:val="none"/>
              </w:rPr>
            </w:pPr>
          </w:p>
        </w:tc>
        <w:tc>
          <w:tcPr>
            <w:tcW w:w="8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14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921"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highlight w:val="none"/>
              </w:rPr>
            </w:pPr>
          </w:p>
        </w:tc>
        <w:tc>
          <w:tcPr>
            <w:tcW w:w="1418" w:type="dxa"/>
          </w:tcPr>
          <w:p>
            <w:pPr>
              <w:rPr>
                <w:rFonts w:eastAsia="仿宋_GB2312"/>
                <w:color w:val="auto"/>
                <w:sz w:val="30"/>
                <w:szCs w:val="30"/>
                <w:highlight w:val="none"/>
              </w:rPr>
            </w:pPr>
          </w:p>
        </w:tc>
        <w:tc>
          <w:tcPr>
            <w:tcW w:w="850" w:type="dxa"/>
          </w:tcPr>
          <w:p>
            <w:pPr>
              <w:rPr>
                <w:rFonts w:eastAsia="仿宋_GB2312"/>
                <w:color w:val="auto"/>
                <w:sz w:val="30"/>
                <w:szCs w:val="30"/>
                <w:highlight w:val="none"/>
              </w:rPr>
            </w:pPr>
          </w:p>
        </w:tc>
        <w:tc>
          <w:tcPr>
            <w:tcW w:w="1058" w:type="dxa"/>
          </w:tcPr>
          <w:p>
            <w:pPr>
              <w:rPr>
                <w:rFonts w:eastAsia="仿宋_GB2312"/>
                <w:color w:val="auto"/>
                <w:sz w:val="30"/>
                <w:szCs w:val="30"/>
                <w:highlight w:val="none"/>
              </w:rPr>
            </w:pPr>
          </w:p>
        </w:tc>
        <w:tc>
          <w:tcPr>
            <w:tcW w:w="8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14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921"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highlight w:val="none"/>
              </w:rPr>
            </w:pPr>
          </w:p>
        </w:tc>
        <w:tc>
          <w:tcPr>
            <w:tcW w:w="1418" w:type="dxa"/>
          </w:tcPr>
          <w:p>
            <w:pPr>
              <w:rPr>
                <w:rFonts w:eastAsia="仿宋_GB2312"/>
                <w:color w:val="auto"/>
                <w:sz w:val="30"/>
                <w:szCs w:val="30"/>
                <w:highlight w:val="none"/>
              </w:rPr>
            </w:pPr>
          </w:p>
        </w:tc>
        <w:tc>
          <w:tcPr>
            <w:tcW w:w="850" w:type="dxa"/>
          </w:tcPr>
          <w:p>
            <w:pPr>
              <w:rPr>
                <w:rFonts w:eastAsia="仿宋_GB2312"/>
                <w:color w:val="auto"/>
                <w:sz w:val="30"/>
                <w:szCs w:val="30"/>
                <w:highlight w:val="none"/>
              </w:rPr>
            </w:pPr>
          </w:p>
        </w:tc>
        <w:tc>
          <w:tcPr>
            <w:tcW w:w="1058" w:type="dxa"/>
          </w:tcPr>
          <w:p>
            <w:pPr>
              <w:rPr>
                <w:rFonts w:eastAsia="仿宋_GB2312"/>
                <w:color w:val="auto"/>
                <w:sz w:val="30"/>
                <w:szCs w:val="30"/>
                <w:highlight w:val="none"/>
              </w:rPr>
            </w:pPr>
          </w:p>
        </w:tc>
        <w:tc>
          <w:tcPr>
            <w:tcW w:w="8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14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921"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highlight w:val="none"/>
              </w:rPr>
            </w:pPr>
          </w:p>
        </w:tc>
        <w:tc>
          <w:tcPr>
            <w:tcW w:w="1418" w:type="dxa"/>
          </w:tcPr>
          <w:p>
            <w:pPr>
              <w:rPr>
                <w:rFonts w:eastAsia="仿宋_GB2312"/>
                <w:color w:val="auto"/>
                <w:sz w:val="30"/>
                <w:szCs w:val="30"/>
                <w:highlight w:val="none"/>
              </w:rPr>
            </w:pPr>
          </w:p>
        </w:tc>
        <w:tc>
          <w:tcPr>
            <w:tcW w:w="850" w:type="dxa"/>
          </w:tcPr>
          <w:p>
            <w:pPr>
              <w:rPr>
                <w:rFonts w:eastAsia="仿宋_GB2312"/>
                <w:color w:val="auto"/>
                <w:sz w:val="30"/>
                <w:szCs w:val="30"/>
                <w:highlight w:val="none"/>
              </w:rPr>
            </w:pPr>
          </w:p>
        </w:tc>
        <w:tc>
          <w:tcPr>
            <w:tcW w:w="1058" w:type="dxa"/>
          </w:tcPr>
          <w:p>
            <w:pPr>
              <w:rPr>
                <w:rFonts w:eastAsia="仿宋_GB2312"/>
                <w:color w:val="auto"/>
                <w:sz w:val="30"/>
                <w:szCs w:val="30"/>
                <w:highlight w:val="none"/>
              </w:rPr>
            </w:pPr>
          </w:p>
        </w:tc>
        <w:tc>
          <w:tcPr>
            <w:tcW w:w="8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14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921"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highlight w:val="none"/>
              </w:rPr>
            </w:pPr>
          </w:p>
        </w:tc>
        <w:tc>
          <w:tcPr>
            <w:tcW w:w="1418" w:type="dxa"/>
          </w:tcPr>
          <w:p>
            <w:pPr>
              <w:rPr>
                <w:rFonts w:eastAsia="仿宋_GB2312"/>
                <w:color w:val="auto"/>
                <w:sz w:val="30"/>
                <w:szCs w:val="30"/>
                <w:highlight w:val="none"/>
              </w:rPr>
            </w:pPr>
          </w:p>
        </w:tc>
        <w:tc>
          <w:tcPr>
            <w:tcW w:w="850" w:type="dxa"/>
          </w:tcPr>
          <w:p>
            <w:pPr>
              <w:rPr>
                <w:rFonts w:eastAsia="仿宋_GB2312"/>
                <w:color w:val="auto"/>
                <w:sz w:val="30"/>
                <w:szCs w:val="30"/>
                <w:highlight w:val="none"/>
              </w:rPr>
            </w:pPr>
          </w:p>
        </w:tc>
        <w:tc>
          <w:tcPr>
            <w:tcW w:w="1058" w:type="dxa"/>
          </w:tcPr>
          <w:p>
            <w:pPr>
              <w:rPr>
                <w:rFonts w:eastAsia="仿宋_GB2312"/>
                <w:color w:val="auto"/>
                <w:sz w:val="30"/>
                <w:szCs w:val="30"/>
                <w:highlight w:val="none"/>
              </w:rPr>
            </w:pPr>
          </w:p>
        </w:tc>
        <w:tc>
          <w:tcPr>
            <w:tcW w:w="8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14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921"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highlight w:val="none"/>
              </w:rPr>
            </w:pPr>
          </w:p>
        </w:tc>
        <w:tc>
          <w:tcPr>
            <w:tcW w:w="1418" w:type="dxa"/>
          </w:tcPr>
          <w:p>
            <w:pPr>
              <w:rPr>
                <w:rFonts w:eastAsia="仿宋_GB2312"/>
                <w:color w:val="auto"/>
                <w:sz w:val="30"/>
                <w:szCs w:val="30"/>
                <w:highlight w:val="none"/>
              </w:rPr>
            </w:pPr>
          </w:p>
        </w:tc>
        <w:tc>
          <w:tcPr>
            <w:tcW w:w="850" w:type="dxa"/>
          </w:tcPr>
          <w:p>
            <w:pPr>
              <w:rPr>
                <w:rFonts w:eastAsia="仿宋_GB2312"/>
                <w:color w:val="auto"/>
                <w:sz w:val="30"/>
                <w:szCs w:val="30"/>
                <w:highlight w:val="none"/>
              </w:rPr>
            </w:pPr>
          </w:p>
        </w:tc>
        <w:tc>
          <w:tcPr>
            <w:tcW w:w="1058" w:type="dxa"/>
          </w:tcPr>
          <w:p>
            <w:pPr>
              <w:rPr>
                <w:rFonts w:eastAsia="仿宋_GB2312"/>
                <w:color w:val="auto"/>
                <w:sz w:val="30"/>
                <w:szCs w:val="30"/>
                <w:highlight w:val="none"/>
              </w:rPr>
            </w:pPr>
          </w:p>
        </w:tc>
        <w:tc>
          <w:tcPr>
            <w:tcW w:w="8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14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921"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highlight w:val="none"/>
              </w:rPr>
            </w:pPr>
          </w:p>
        </w:tc>
        <w:tc>
          <w:tcPr>
            <w:tcW w:w="1418" w:type="dxa"/>
          </w:tcPr>
          <w:p>
            <w:pPr>
              <w:rPr>
                <w:rFonts w:eastAsia="仿宋_GB2312"/>
                <w:color w:val="auto"/>
                <w:sz w:val="30"/>
                <w:szCs w:val="30"/>
                <w:highlight w:val="none"/>
              </w:rPr>
            </w:pPr>
          </w:p>
        </w:tc>
        <w:tc>
          <w:tcPr>
            <w:tcW w:w="850" w:type="dxa"/>
          </w:tcPr>
          <w:p>
            <w:pPr>
              <w:rPr>
                <w:rFonts w:eastAsia="仿宋_GB2312"/>
                <w:color w:val="auto"/>
                <w:sz w:val="30"/>
                <w:szCs w:val="30"/>
                <w:highlight w:val="none"/>
              </w:rPr>
            </w:pPr>
          </w:p>
        </w:tc>
        <w:tc>
          <w:tcPr>
            <w:tcW w:w="1058" w:type="dxa"/>
          </w:tcPr>
          <w:p>
            <w:pPr>
              <w:rPr>
                <w:rFonts w:eastAsia="仿宋_GB2312"/>
                <w:color w:val="auto"/>
                <w:sz w:val="30"/>
                <w:szCs w:val="30"/>
                <w:highlight w:val="none"/>
              </w:rPr>
            </w:pPr>
          </w:p>
        </w:tc>
        <w:tc>
          <w:tcPr>
            <w:tcW w:w="8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14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921" w:type="dxa"/>
          </w:tcPr>
          <w:p>
            <w:pP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color w:val="auto"/>
                <w:sz w:val="30"/>
                <w:szCs w:val="30"/>
                <w:highlight w:val="none"/>
              </w:rPr>
            </w:pPr>
          </w:p>
        </w:tc>
        <w:tc>
          <w:tcPr>
            <w:tcW w:w="1418" w:type="dxa"/>
          </w:tcPr>
          <w:p>
            <w:pPr>
              <w:rPr>
                <w:rFonts w:eastAsia="仿宋_GB2312"/>
                <w:color w:val="auto"/>
                <w:sz w:val="30"/>
                <w:szCs w:val="30"/>
                <w:highlight w:val="none"/>
              </w:rPr>
            </w:pPr>
          </w:p>
        </w:tc>
        <w:tc>
          <w:tcPr>
            <w:tcW w:w="850" w:type="dxa"/>
          </w:tcPr>
          <w:p>
            <w:pPr>
              <w:rPr>
                <w:rFonts w:eastAsia="仿宋_GB2312"/>
                <w:color w:val="auto"/>
                <w:sz w:val="30"/>
                <w:szCs w:val="30"/>
                <w:highlight w:val="none"/>
              </w:rPr>
            </w:pPr>
          </w:p>
        </w:tc>
        <w:tc>
          <w:tcPr>
            <w:tcW w:w="1058" w:type="dxa"/>
          </w:tcPr>
          <w:p>
            <w:pPr>
              <w:rPr>
                <w:rFonts w:eastAsia="仿宋_GB2312"/>
                <w:color w:val="auto"/>
                <w:sz w:val="30"/>
                <w:szCs w:val="30"/>
                <w:highlight w:val="none"/>
              </w:rPr>
            </w:pPr>
          </w:p>
        </w:tc>
        <w:tc>
          <w:tcPr>
            <w:tcW w:w="8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1480" w:type="dxa"/>
          </w:tcPr>
          <w:p>
            <w:pPr>
              <w:rPr>
                <w:rFonts w:eastAsia="仿宋_GB2312"/>
                <w:color w:val="auto"/>
                <w:sz w:val="30"/>
                <w:szCs w:val="30"/>
                <w:highlight w:val="none"/>
              </w:rPr>
            </w:pPr>
          </w:p>
        </w:tc>
        <w:tc>
          <w:tcPr>
            <w:tcW w:w="1020" w:type="dxa"/>
          </w:tcPr>
          <w:p>
            <w:pPr>
              <w:rPr>
                <w:rFonts w:eastAsia="仿宋_GB2312"/>
                <w:color w:val="auto"/>
                <w:sz w:val="30"/>
                <w:szCs w:val="30"/>
                <w:highlight w:val="none"/>
              </w:rPr>
            </w:pPr>
          </w:p>
        </w:tc>
        <w:tc>
          <w:tcPr>
            <w:tcW w:w="921" w:type="dxa"/>
          </w:tcPr>
          <w:p>
            <w:pPr>
              <w:rPr>
                <w:rFonts w:eastAsia="仿宋_GB2312"/>
                <w:color w:val="auto"/>
                <w:sz w:val="30"/>
                <w:szCs w:val="30"/>
                <w:highlight w:val="none"/>
              </w:rPr>
            </w:pPr>
          </w:p>
        </w:tc>
      </w:tr>
    </w:tbl>
    <w:p>
      <w:pPr>
        <w:spacing w:line="440" w:lineRule="exact"/>
        <w:rPr>
          <w:rFonts w:eastAsia="仿宋_GB2312"/>
          <w:color w:val="auto"/>
          <w:sz w:val="30"/>
          <w:szCs w:val="30"/>
          <w:highlight w:val="none"/>
        </w:rPr>
      </w:pPr>
    </w:p>
    <w:p>
      <w:pPr>
        <w:spacing w:line="440" w:lineRule="exact"/>
        <w:rPr>
          <w:rFonts w:eastAsia="黑体"/>
          <w:color w:val="auto"/>
          <w:sz w:val="30"/>
          <w:szCs w:val="30"/>
          <w:highlight w:val="none"/>
        </w:rPr>
      </w:pPr>
      <w:r>
        <w:rPr>
          <w:rFonts w:eastAsia="仿宋_GB2312"/>
          <w:color w:val="auto"/>
          <w:sz w:val="30"/>
          <w:szCs w:val="30"/>
          <w:highlight w:val="none"/>
        </w:rPr>
        <w:br w:type="page"/>
      </w:r>
      <w:r>
        <w:rPr>
          <w:rFonts w:eastAsia="仿宋_GB2312"/>
          <w:color w:val="auto"/>
          <w:sz w:val="30"/>
          <w:szCs w:val="30"/>
          <w:highlight w:val="none"/>
        </w:rPr>
        <w:t>附件6：</w:t>
      </w:r>
    </w:p>
    <w:p>
      <w:pPr>
        <w:spacing w:before="120" w:beforeLines="50" w:after="120" w:afterLines="50" w:line="440" w:lineRule="exact"/>
        <w:jc w:val="center"/>
        <w:rPr>
          <w:rFonts w:eastAsia="黑体"/>
          <w:color w:val="auto"/>
          <w:sz w:val="30"/>
          <w:szCs w:val="30"/>
          <w:highlight w:val="none"/>
        </w:rPr>
      </w:pPr>
      <w:r>
        <w:rPr>
          <w:rFonts w:eastAsia="黑体"/>
          <w:color w:val="auto"/>
          <w:sz w:val="30"/>
          <w:szCs w:val="30"/>
          <w:highlight w:val="none"/>
        </w:rPr>
        <w:t>承包人主要施工管理人员表</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名    称</w:t>
            </w:r>
          </w:p>
        </w:tc>
        <w:tc>
          <w:tcPr>
            <w:tcW w:w="1418" w:type="dxa"/>
            <w:tcBorders>
              <w:top w:val="single" w:color="auto" w:sz="12" w:space="0"/>
              <w:bottom w:val="doub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姓名</w:t>
            </w:r>
          </w:p>
        </w:tc>
        <w:tc>
          <w:tcPr>
            <w:tcW w:w="1134" w:type="dxa"/>
            <w:tcBorders>
              <w:top w:val="single" w:color="auto" w:sz="12" w:space="0"/>
              <w:bottom w:val="double" w:color="auto" w:sz="6" w:space="0"/>
            </w:tcBorders>
            <w:vAlign w:val="center"/>
          </w:tcPr>
          <w:p>
            <w:pPr>
              <w:keepNext/>
              <w:spacing w:line="440" w:lineRule="exact"/>
              <w:ind w:left="63" w:leftChars="30" w:right="63" w:rightChars="30"/>
              <w:jc w:val="center"/>
              <w:rPr>
                <w:rFonts w:eastAsia="仿宋_GB2312"/>
                <w:color w:val="auto"/>
                <w:sz w:val="30"/>
                <w:szCs w:val="30"/>
                <w:highlight w:val="none"/>
              </w:rPr>
            </w:pPr>
            <w:r>
              <w:rPr>
                <w:rFonts w:eastAsia="仿宋_GB2312"/>
                <w:color w:val="auto"/>
                <w:sz w:val="30"/>
                <w:szCs w:val="30"/>
                <w:highlight w:val="none"/>
              </w:rPr>
              <w:t>职务</w:t>
            </w:r>
          </w:p>
        </w:tc>
        <w:tc>
          <w:tcPr>
            <w:tcW w:w="1134" w:type="dxa"/>
            <w:tcBorders>
              <w:top w:val="single" w:color="auto" w:sz="12" w:space="0"/>
              <w:bottom w:val="double" w:color="auto" w:sz="6" w:space="0"/>
            </w:tcBorders>
            <w:vAlign w:val="center"/>
          </w:tcPr>
          <w:p>
            <w:pPr>
              <w:keepNext/>
              <w:spacing w:line="440" w:lineRule="exact"/>
              <w:ind w:left="63" w:leftChars="30" w:right="63" w:rightChars="30"/>
              <w:jc w:val="center"/>
              <w:rPr>
                <w:rFonts w:eastAsia="仿宋_GB2312"/>
                <w:color w:val="auto"/>
                <w:sz w:val="30"/>
                <w:szCs w:val="30"/>
                <w:highlight w:val="none"/>
              </w:rPr>
            </w:pPr>
            <w:r>
              <w:rPr>
                <w:rFonts w:eastAsia="仿宋_GB2312"/>
                <w:color w:val="auto"/>
                <w:sz w:val="30"/>
                <w:szCs w:val="30"/>
                <w:highlight w:val="none"/>
              </w:rPr>
              <w:t>职称</w:t>
            </w:r>
          </w:p>
        </w:tc>
        <w:tc>
          <w:tcPr>
            <w:tcW w:w="4252" w:type="dxa"/>
            <w:tcBorders>
              <w:top w:val="single" w:color="auto" w:sz="12" w:space="0"/>
              <w:bottom w:val="double" w:color="auto" w:sz="6" w:space="0"/>
            </w:tcBorders>
            <w:vAlign w:val="center"/>
          </w:tcPr>
          <w:p>
            <w:pPr>
              <w:keepNext/>
              <w:spacing w:line="440" w:lineRule="exact"/>
              <w:ind w:left="63" w:leftChars="30" w:right="63" w:rightChars="30"/>
              <w:jc w:val="center"/>
              <w:rPr>
                <w:rFonts w:eastAsia="仿宋_GB2312"/>
                <w:color w:val="auto"/>
                <w:sz w:val="30"/>
                <w:szCs w:val="30"/>
                <w:highlight w:val="none"/>
              </w:rPr>
            </w:pPr>
            <w:r>
              <w:rPr>
                <w:rFonts w:eastAsia="仿宋_GB2312"/>
                <w:color w:val="auto"/>
                <w:sz w:val="30"/>
                <w:szCs w:val="30"/>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项目主管</w:t>
            </w:r>
          </w:p>
        </w:tc>
        <w:tc>
          <w:tcPr>
            <w:tcW w:w="1418" w:type="dxa"/>
            <w:tcBorders>
              <w:top w:val="nil"/>
            </w:tcBorders>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tcBorders>
              <w:top w:val="nil"/>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tcBorders>
              <w:top w:val="nil"/>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tcBorders>
              <w:top w:val="nil"/>
            </w:tcBorders>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nil"/>
            </w:tcBorders>
            <w:vAlign w:val="center"/>
          </w:tcPr>
          <w:p>
            <w:pPr>
              <w:keepNext/>
              <w:spacing w:line="440" w:lineRule="exact"/>
              <w:ind w:left="63" w:leftChars="30" w:right="63" w:rightChars="30"/>
              <w:jc w:val="center"/>
              <w:rPr>
                <w:rFonts w:eastAsia="仿宋_GB2312"/>
                <w:color w:val="auto"/>
                <w:sz w:val="28"/>
                <w:szCs w:val="30"/>
                <w:highlight w:val="none"/>
              </w:rPr>
            </w:pP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其他人员</w:t>
            </w: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spacing w:line="440" w:lineRule="exact"/>
              <w:ind w:left="63" w:leftChars="30" w:right="63" w:rightChars="30"/>
              <w:jc w:val="center"/>
              <w:rPr>
                <w:rFonts w:eastAsia="仿宋_GB2312"/>
                <w:color w:val="auto"/>
                <w:sz w:val="28"/>
                <w:szCs w:val="30"/>
                <w:highlight w:val="none"/>
              </w:rPr>
            </w:pP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项目经理</w:t>
            </w: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项目副经理</w:t>
            </w: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技术负责人</w:t>
            </w: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质量管理</w:t>
            </w: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材料管理</w:t>
            </w: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计划管理</w:t>
            </w: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安全管理</w:t>
            </w: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其他人员</w:t>
            </w: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continue"/>
            <w:vAlign w:val="center"/>
          </w:tcPr>
          <w:p>
            <w:pPr>
              <w:keepNext/>
              <w:spacing w:line="440" w:lineRule="exact"/>
              <w:ind w:left="63" w:leftChars="30" w:right="63" w:rightChars="30"/>
              <w:jc w:val="center"/>
              <w:rPr>
                <w:rFonts w:eastAsia="仿宋_GB2312"/>
                <w:color w:val="auto"/>
                <w:sz w:val="28"/>
                <w:szCs w:val="30"/>
                <w:highlight w:val="none"/>
              </w:rPr>
            </w:pPr>
          </w:p>
        </w:tc>
        <w:tc>
          <w:tcPr>
            <w:tcW w:w="1418" w:type="dxa"/>
            <w:tcBorders>
              <w:bottom w:val="nil"/>
            </w:tcBorders>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tcBorders>
              <w:bottom w:val="nil"/>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tcBorders>
              <w:bottom w:val="nil"/>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tcBorders>
              <w:bottom w:val="nil"/>
            </w:tcBorders>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spacing w:line="440" w:lineRule="exact"/>
              <w:ind w:left="63" w:leftChars="30" w:right="63" w:rightChars="30"/>
              <w:jc w:val="center"/>
              <w:rPr>
                <w:rFonts w:eastAsia="仿宋_GB2312"/>
                <w:color w:val="auto"/>
                <w:sz w:val="28"/>
                <w:szCs w:val="30"/>
                <w:highlight w:val="none"/>
              </w:rPr>
            </w:pP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spacing w:line="440" w:lineRule="exact"/>
              <w:ind w:left="63" w:leftChars="30" w:right="63" w:rightChars="30"/>
              <w:jc w:val="center"/>
              <w:rPr>
                <w:rFonts w:eastAsia="仿宋_GB2312"/>
                <w:color w:val="auto"/>
                <w:sz w:val="28"/>
                <w:szCs w:val="30"/>
                <w:highlight w:val="none"/>
              </w:rPr>
            </w:pP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spacing w:line="440" w:lineRule="exact"/>
              <w:ind w:left="63" w:leftChars="30" w:right="63" w:rightChars="30"/>
              <w:jc w:val="center"/>
              <w:rPr>
                <w:rFonts w:eastAsia="仿宋_GB2312"/>
                <w:color w:val="auto"/>
                <w:sz w:val="28"/>
                <w:szCs w:val="30"/>
                <w:highlight w:val="none"/>
              </w:rPr>
            </w:pP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continue"/>
            <w:tcBorders>
              <w:bottom w:val="single" w:color="auto" w:sz="12" w:space="0"/>
            </w:tcBorders>
            <w:vAlign w:val="center"/>
          </w:tcPr>
          <w:p>
            <w:pPr>
              <w:keepNext/>
              <w:spacing w:line="440" w:lineRule="exact"/>
              <w:ind w:left="63" w:leftChars="30" w:right="63" w:rightChars="30"/>
              <w:jc w:val="center"/>
              <w:rPr>
                <w:rFonts w:eastAsia="仿宋_GB2312"/>
                <w:color w:val="auto"/>
                <w:sz w:val="28"/>
                <w:szCs w:val="30"/>
                <w:highlight w:val="none"/>
              </w:rPr>
            </w:pPr>
          </w:p>
        </w:tc>
        <w:tc>
          <w:tcPr>
            <w:tcW w:w="1418" w:type="dxa"/>
            <w:tcBorders>
              <w:bottom w:val="single" w:color="auto" w:sz="12" w:space="0"/>
            </w:tcBorders>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tcBorders>
              <w:bottom w:val="single" w:color="auto" w:sz="12" w:space="0"/>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tcBorders>
              <w:bottom w:val="single" w:color="auto" w:sz="12" w:space="0"/>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tcBorders>
              <w:bottom w:val="single" w:color="auto" w:sz="12" w:space="0"/>
            </w:tcBorders>
            <w:vAlign w:val="center"/>
          </w:tcPr>
          <w:p>
            <w:pPr>
              <w:keepNext/>
              <w:spacing w:line="440" w:lineRule="exact"/>
              <w:ind w:left="63" w:leftChars="30" w:right="63" w:rightChars="30"/>
              <w:jc w:val="center"/>
              <w:rPr>
                <w:rFonts w:eastAsia="仿宋_GB2312"/>
                <w:color w:val="auto"/>
                <w:sz w:val="30"/>
                <w:szCs w:val="30"/>
                <w:highlight w:val="none"/>
              </w:rPr>
            </w:pPr>
          </w:p>
        </w:tc>
      </w:tr>
    </w:tbl>
    <w:p>
      <w:pPr>
        <w:spacing w:line="440" w:lineRule="exact"/>
        <w:rPr>
          <w:rFonts w:eastAsia="黑体"/>
          <w:color w:val="auto"/>
          <w:sz w:val="30"/>
          <w:szCs w:val="30"/>
          <w:highlight w:val="none"/>
        </w:rPr>
      </w:pPr>
      <w:r>
        <w:rPr>
          <w:rFonts w:eastAsia="仿宋_GB2312"/>
          <w:color w:val="auto"/>
          <w:sz w:val="30"/>
          <w:szCs w:val="30"/>
          <w:highlight w:val="none"/>
        </w:rPr>
        <w:br w:type="page"/>
      </w:r>
      <w:r>
        <w:rPr>
          <w:rFonts w:eastAsia="仿宋_GB2312"/>
          <w:color w:val="auto"/>
          <w:sz w:val="30"/>
          <w:szCs w:val="30"/>
          <w:highlight w:val="none"/>
        </w:rPr>
        <w:t>附件7：</w:t>
      </w:r>
    </w:p>
    <w:p>
      <w:pPr>
        <w:spacing w:before="120" w:beforeLines="50" w:after="120" w:afterLines="50" w:line="440" w:lineRule="exact"/>
        <w:jc w:val="center"/>
        <w:rPr>
          <w:rFonts w:eastAsia="黑体"/>
          <w:color w:val="auto"/>
          <w:sz w:val="30"/>
          <w:szCs w:val="30"/>
          <w:highlight w:val="none"/>
        </w:rPr>
      </w:pPr>
      <w:r>
        <w:rPr>
          <w:rFonts w:eastAsia="黑体"/>
          <w:color w:val="auto"/>
          <w:sz w:val="30"/>
          <w:szCs w:val="30"/>
          <w:highlight w:val="none"/>
        </w:rPr>
        <w:t>分包人主要施工管理人员表</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名    称</w:t>
            </w:r>
          </w:p>
        </w:tc>
        <w:tc>
          <w:tcPr>
            <w:tcW w:w="1418" w:type="dxa"/>
            <w:tcBorders>
              <w:top w:val="single" w:color="auto" w:sz="12" w:space="0"/>
              <w:bottom w:val="doub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姓名</w:t>
            </w:r>
          </w:p>
        </w:tc>
        <w:tc>
          <w:tcPr>
            <w:tcW w:w="1134" w:type="dxa"/>
            <w:tcBorders>
              <w:top w:val="single" w:color="auto" w:sz="12" w:space="0"/>
              <w:bottom w:val="double" w:color="auto" w:sz="6" w:space="0"/>
            </w:tcBorders>
            <w:vAlign w:val="center"/>
          </w:tcPr>
          <w:p>
            <w:pPr>
              <w:keepNext/>
              <w:spacing w:line="440" w:lineRule="exact"/>
              <w:ind w:left="63" w:leftChars="30" w:right="63" w:rightChars="30"/>
              <w:jc w:val="center"/>
              <w:rPr>
                <w:rFonts w:eastAsia="仿宋_GB2312"/>
                <w:color w:val="auto"/>
                <w:sz w:val="30"/>
                <w:szCs w:val="30"/>
                <w:highlight w:val="none"/>
              </w:rPr>
            </w:pPr>
            <w:r>
              <w:rPr>
                <w:rFonts w:eastAsia="仿宋_GB2312"/>
                <w:color w:val="auto"/>
                <w:sz w:val="30"/>
                <w:szCs w:val="30"/>
                <w:highlight w:val="none"/>
              </w:rPr>
              <w:t>职务</w:t>
            </w:r>
          </w:p>
        </w:tc>
        <w:tc>
          <w:tcPr>
            <w:tcW w:w="1134" w:type="dxa"/>
            <w:tcBorders>
              <w:top w:val="single" w:color="auto" w:sz="12" w:space="0"/>
              <w:bottom w:val="double" w:color="auto" w:sz="6" w:space="0"/>
            </w:tcBorders>
            <w:vAlign w:val="center"/>
          </w:tcPr>
          <w:p>
            <w:pPr>
              <w:keepNext/>
              <w:spacing w:line="440" w:lineRule="exact"/>
              <w:ind w:left="63" w:leftChars="30" w:right="63" w:rightChars="30"/>
              <w:jc w:val="center"/>
              <w:rPr>
                <w:rFonts w:eastAsia="仿宋_GB2312"/>
                <w:color w:val="auto"/>
                <w:sz w:val="30"/>
                <w:szCs w:val="30"/>
                <w:highlight w:val="none"/>
              </w:rPr>
            </w:pPr>
            <w:r>
              <w:rPr>
                <w:rFonts w:eastAsia="仿宋_GB2312"/>
                <w:color w:val="auto"/>
                <w:sz w:val="30"/>
                <w:szCs w:val="30"/>
                <w:highlight w:val="none"/>
              </w:rPr>
              <w:t>职称</w:t>
            </w:r>
          </w:p>
        </w:tc>
        <w:tc>
          <w:tcPr>
            <w:tcW w:w="4252" w:type="dxa"/>
            <w:tcBorders>
              <w:top w:val="single" w:color="auto" w:sz="12" w:space="0"/>
              <w:bottom w:val="double" w:color="auto" w:sz="6" w:space="0"/>
            </w:tcBorders>
            <w:vAlign w:val="center"/>
          </w:tcPr>
          <w:p>
            <w:pPr>
              <w:keepNext/>
              <w:spacing w:line="440" w:lineRule="exact"/>
              <w:ind w:left="63" w:leftChars="30" w:right="63" w:rightChars="30"/>
              <w:jc w:val="center"/>
              <w:rPr>
                <w:rFonts w:eastAsia="仿宋_GB2312"/>
                <w:color w:val="auto"/>
                <w:sz w:val="30"/>
                <w:szCs w:val="30"/>
                <w:highlight w:val="none"/>
              </w:rPr>
            </w:pPr>
            <w:r>
              <w:rPr>
                <w:rFonts w:eastAsia="仿宋_GB2312"/>
                <w:color w:val="auto"/>
                <w:sz w:val="30"/>
                <w:szCs w:val="30"/>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项目主管</w:t>
            </w:r>
          </w:p>
        </w:tc>
        <w:tc>
          <w:tcPr>
            <w:tcW w:w="1418" w:type="dxa"/>
            <w:tcBorders>
              <w:top w:val="nil"/>
            </w:tcBorders>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tcBorders>
              <w:top w:val="nil"/>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tcBorders>
              <w:top w:val="nil"/>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tcBorders>
              <w:top w:val="nil"/>
            </w:tcBorders>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nil"/>
            </w:tcBorders>
            <w:vAlign w:val="center"/>
          </w:tcPr>
          <w:p>
            <w:pPr>
              <w:keepNext/>
              <w:spacing w:line="440" w:lineRule="exact"/>
              <w:ind w:left="63" w:leftChars="30" w:right="63" w:rightChars="30"/>
              <w:jc w:val="center"/>
              <w:rPr>
                <w:rFonts w:eastAsia="仿宋_GB2312"/>
                <w:color w:val="auto"/>
                <w:sz w:val="28"/>
                <w:szCs w:val="30"/>
                <w:highlight w:val="none"/>
              </w:rPr>
            </w:pP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其他人员</w:t>
            </w: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spacing w:line="440" w:lineRule="exact"/>
              <w:ind w:left="63" w:leftChars="30" w:right="63" w:rightChars="30"/>
              <w:jc w:val="center"/>
              <w:rPr>
                <w:rFonts w:eastAsia="仿宋_GB2312"/>
                <w:color w:val="auto"/>
                <w:sz w:val="28"/>
                <w:szCs w:val="30"/>
                <w:highlight w:val="none"/>
              </w:rPr>
            </w:pP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项目经理</w:t>
            </w: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项目副经理</w:t>
            </w: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技术负责人</w:t>
            </w: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质量管理</w:t>
            </w: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材料管理</w:t>
            </w: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计划管理</w:t>
            </w: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安全管理</w:t>
            </w: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其他人员</w:t>
            </w: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continue"/>
            <w:vAlign w:val="center"/>
          </w:tcPr>
          <w:p>
            <w:pPr>
              <w:keepNext/>
              <w:spacing w:line="440" w:lineRule="exact"/>
              <w:ind w:left="63" w:leftChars="30" w:right="63" w:rightChars="30"/>
              <w:jc w:val="center"/>
              <w:rPr>
                <w:rFonts w:eastAsia="仿宋_GB2312"/>
                <w:color w:val="auto"/>
                <w:sz w:val="28"/>
                <w:szCs w:val="30"/>
                <w:highlight w:val="none"/>
              </w:rPr>
            </w:pPr>
          </w:p>
        </w:tc>
        <w:tc>
          <w:tcPr>
            <w:tcW w:w="1418" w:type="dxa"/>
            <w:tcBorders>
              <w:bottom w:val="nil"/>
            </w:tcBorders>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tcBorders>
              <w:bottom w:val="nil"/>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tcBorders>
              <w:bottom w:val="nil"/>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tcBorders>
              <w:bottom w:val="nil"/>
            </w:tcBorders>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spacing w:line="440" w:lineRule="exact"/>
              <w:ind w:left="63" w:leftChars="30" w:right="63" w:rightChars="30"/>
              <w:jc w:val="center"/>
              <w:rPr>
                <w:rFonts w:eastAsia="仿宋_GB2312"/>
                <w:color w:val="auto"/>
                <w:sz w:val="28"/>
                <w:szCs w:val="30"/>
                <w:highlight w:val="none"/>
              </w:rPr>
            </w:pP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spacing w:line="440" w:lineRule="exact"/>
              <w:ind w:left="63" w:leftChars="30" w:right="63" w:rightChars="30"/>
              <w:jc w:val="center"/>
              <w:rPr>
                <w:rFonts w:eastAsia="仿宋_GB2312"/>
                <w:color w:val="auto"/>
                <w:sz w:val="28"/>
                <w:szCs w:val="30"/>
                <w:highlight w:val="none"/>
              </w:rPr>
            </w:pP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spacing w:line="440" w:lineRule="exact"/>
              <w:ind w:left="63" w:leftChars="30" w:right="63" w:rightChars="30"/>
              <w:jc w:val="center"/>
              <w:rPr>
                <w:rFonts w:eastAsia="仿宋_GB2312"/>
                <w:color w:val="auto"/>
                <w:sz w:val="28"/>
                <w:szCs w:val="30"/>
                <w:highlight w:val="none"/>
              </w:rPr>
            </w:pPr>
          </w:p>
        </w:tc>
        <w:tc>
          <w:tcPr>
            <w:tcW w:w="1418" w:type="dxa"/>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vAlign w:val="center"/>
          </w:tcPr>
          <w:p>
            <w:pPr>
              <w:keepNext/>
              <w:spacing w:line="440" w:lineRule="exact"/>
              <w:ind w:left="63" w:leftChars="30" w:right="63" w:rightChars="30"/>
              <w:jc w:val="center"/>
              <w:rPr>
                <w:rFonts w:eastAsia="仿宋_GB2312"/>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continue"/>
            <w:tcBorders>
              <w:bottom w:val="single" w:color="auto" w:sz="12" w:space="0"/>
            </w:tcBorders>
            <w:vAlign w:val="center"/>
          </w:tcPr>
          <w:p>
            <w:pPr>
              <w:keepNext/>
              <w:spacing w:line="440" w:lineRule="exact"/>
              <w:ind w:left="63" w:leftChars="30" w:right="63" w:rightChars="30"/>
              <w:jc w:val="center"/>
              <w:rPr>
                <w:rFonts w:eastAsia="仿宋_GB2312"/>
                <w:color w:val="auto"/>
                <w:sz w:val="28"/>
                <w:szCs w:val="30"/>
                <w:highlight w:val="none"/>
              </w:rPr>
            </w:pPr>
          </w:p>
        </w:tc>
        <w:tc>
          <w:tcPr>
            <w:tcW w:w="1418" w:type="dxa"/>
            <w:tcBorders>
              <w:bottom w:val="single" w:color="auto" w:sz="12" w:space="0"/>
            </w:tcBorders>
            <w:vAlign w:val="center"/>
          </w:tcPr>
          <w:p>
            <w:pPr>
              <w:keepNext/>
              <w:spacing w:line="440" w:lineRule="exact"/>
              <w:ind w:left="63" w:leftChars="30" w:right="63" w:rightChars="30"/>
              <w:jc w:val="center"/>
              <w:rPr>
                <w:rFonts w:eastAsia="仿宋_GB2312"/>
                <w:color w:val="auto"/>
                <w:sz w:val="28"/>
                <w:szCs w:val="30"/>
                <w:highlight w:val="none"/>
              </w:rPr>
            </w:pPr>
          </w:p>
        </w:tc>
        <w:tc>
          <w:tcPr>
            <w:tcW w:w="1134" w:type="dxa"/>
            <w:tcBorders>
              <w:bottom w:val="single" w:color="auto" w:sz="12" w:space="0"/>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1134" w:type="dxa"/>
            <w:tcBorders>
              <w:bottom w:val="single" w:color="auto" w:sz="12" w:space="0"/>
            </w:tcBorders>
            <w:vAlign w:val="center"/>
          </w:tcPr>
          <w:p>
            <w:pPr>
              <w:keepNext/>
              <w:spacing w:line="440" w:lineRule="exact"/>
              <w:ind w:left="63" w:leftChars="30" w:right="63" w:rightChars="30"/>
              <w:jc w:val="center"/>
              <w:rPr>
                <w:rFonts w:eastAsia="仿宋_GB2312"/>
                <w:color w:val="auto"/>
                <w:sz w:val="30"/>
                <w:szCs w:val="30"/>
                <w:highlight w:val="none"/>
              </w:rPr>
            </w:pPr>
          </w:p>
        </w:tc>
        <w:tc>
          <w:tcPr>
            <w:tcW w:w="4252" w:type="dxa"/>
            <w:tcBorders>
              <w:bottom w:val="single" w:color="auto" w:sz="12" w:space="0"/>
            </w:tcBorders>
            <w:vAlign w:val="center"/>
          </w:tcPr>
          <w:p>
            <w:pPr>
              <w:keepNext/>
              <w:spacing w:line="440" w:lineRule="exact"/>
              <w:ind w:left="63" w:leftChars="30" w:right="63" w:rightChars="30"/>
              <w:jc w:val="center"/>
              <w:rPr>
                <w:rFonts w:eastAsia="仿宋_GB2312"/>
                <w:color w:val="auto"/>
                <w:sz w:val="30"/>
                <w:szCs w:val="30"/>
                <w:highlight w:val="none"/>
              </w:rPr>
            </w:pPr>
          </w:p>
        </w:tc>
      </w:tr>
    </w:tbl>
    <w:p>
      <w:pPr>
        <w:spacing w:line="440" w:lineRule="exact"/>
        <w:rPr>
          <w:rFonts w:eastAsia="黑体"/>
          <w:color w:val="auto"/>
          <w:sz w:val="30"/>
          <w:szCs w:val="30"/>
          <w:highlight w:val="none"/>
        </w:rPr>
      </w:pPr>
      <w:r>
        <w:rPr>
          <w:rFonts w:eastAsia="仿宋_GB2312"/>
          <w:color w:val="auto"/>
          <w:sz w:val="30"/>
          <w:szCs w:val="30"/>
          <w:highlight w:val="none"/>
        </w:rPr>
        <w:br w:type="page"/>
      </w:r>
      <w:r>
        <w:rPr>
          <w:rFonts w:eastAsia="仿宋_GB2312"/>
          <w:color w:val="auto"/>
          <w:sz w:val="30"/>
          <w:szCs w:val="30"/>
          <w:highlight w:val="none"/>
        </w:rPr>
        <w:t>附件8：</w:t>
      </w:r>
    </w:p>
    <w:p>
      <w:pPr>
        <w:spacing w:before="120" w:beforeLines="50" w:after="120" w:afterLines="50" w:line="440" w:lineRule="exact"/>
        <w:jc w:val="center"/>
        <w:rPr>
          <w:rFonts w:eastAsia="黑体"/>
          <w:color w:val="auto"/>
          <w:sz w:val="30"/>
          <w:szCs w:val="30"/>
          <w:highlight w:val="none"/>
        </w:rPr>
      </w:pPr>
      <w:r>
        <w:rPr>
          <w:rFonts w:eastAsia="黑体"/>
          <w:color w:val="auto"/>
          <w:sz w:val="30"/>
          <w:szCs w:val="30"/>
          <w:highlight w:val="none"/>
        </w:rPr>
        <w:t>履约担保</w:t>
      </w:r>
    </w:p>
    <w:p>
      <w:pPr>
        <w:spacing w:line="440" w:lineRule="exact"/>
        <w:rPr>
          <w:color w:val="auto"/>
          <w:highlight w:val="none"/>
          <w:u w:val="single"/>
        </w:rPr>
      </w:pPr>
    </w:p>
    <w:p>
      <w:pPr>
        <w:spacing w:line="440" w:lineRule="exact"/>
        <w:rPr>
          <w:color w:val="auto"/>
          <w:highlight w:val="none"/>
        </w:rPr>
      </w:pPr>
      <w:r>
        <w:rPr>
          <w:color w:val="auto"/>
          <w:highlight w:val="none"/>
          <w:u w:val="single"/>
        </w:rPr>
        <w:t xml:space="preserve">             </w:t>
      </w:r>
      <w:r>
        <w:rPr>
          <w:color w:val="auto"/>
          <w:highlight w:val="none"/>
          <w:u w:val="single"/>
        </w:rPr>
        <w:tab/>
      </w:r>
      <w:r>
        <w:rPr>
          <w:rFonts w:hAnsi="宋体"/>
          <w:color w:val="auto"/>
          <w:highlight w:val="none"/>
        </w:rPr>
        <w:t>（发包人名称）：</w:t>
      </w:r>
    </w:p>
    <w:p>
      <w:pPr>
        <w:spacing w:line="440" w:lineRule="exact"/>
        <w:rPr>
          <w:color w:val="auto"/>
          <w:highlight w:val="none"/>
        </w:rPr>
      </w:pPr>
    </w:p>
    <w:p>
      <w:pPr>
        <w:spacing w:line="360" w:lineRule="auto"/>
        <w:ind w:firstLine="420" w:firstLineChars="200"/>
        <w:rPr>
          <w:color w:val="auto"/>
          <w:highlight w:val="none"/>
        </w:rPr>
      </w:pPr>
      <w:r>
        <w:rPr>
          <w:rFonts w:hAnsi="宋体"/>
          <w:color w:val="auto"/>
          <w:highlight w:val="none"/>
        </w:rPr>
        <w:t>鉴于</w:t>
      </w:r>
      <w:r>
        <w:rPr>
          <w:color w:val="auto"/>
          <w:highlight w:val="none"/>
          <w:u w:val="single"/>
        </w:rPr>
        <w:t xml:space="preserve">                </w:t>
      </w:r>
      <w:r>
        <w:rPr>
          <w:rFonts w:hAnsi="宋体"/>
          <w:color w:val="auto"/>
          <w:highlight w:val="none"/>
        </w:rPr>
        <w:t>（发包人名称，以下简称</w:t>
      </w:r>
      <w:r>
        <w:rPr>
          <w:color w:val="auto"/>
          <w:highlight w:val="none"/>
        </w:rPr>
        <w:t>“</w:t>
      </w:r>
      <w:r>
        <w:rPr>
          <w:rFonts w:hAnsi="宋体"/>
          <w:color w:val="auto"/>
          <w:highlight w:val="none"/>
        </w:rPr>
        <w:t>发包人</w:t>
      </w:r>
      <w:r>
        <w:rPr>
          <w:color w:val="auto"/>
          <w:highlight w:val="none"/>
        </w:rPr>
        <w:t>”</w:t>
      </w:r>
      <w:r>
        <w:rPr>
          <w:rFonts w:hAnsi="宋体"/>
          <w:color w:val="auto"/>
          <w:highlight w:val="none"/>
        </w:rPr>
        <w:t>）与</w:t>
      </w:r>
      <w:r>
        <w:rPr>
          <w:color w:val="auto"/>
          <w:highlight w:val="none"/>
        </w:rPr>
        <w:t xml:space="preserve"> </w:t>
      </w:r>
      <w:r>
        <w:rPr>
          <w:color w:val="auto"/>
          <w:highlight w:val="none"/>
          <w:u w:val="single"/>
        </w:rPr>
        <w:t xml:space="preserve">                           </w:t>
      </w:r>
      <w:r>
        <w:rPr>
          <w:rFonts w:hAnsi="宋体"/>
          <w:color w:val="auto"/>
          <w:highlight w:val="none"/>
        </w:rPr>
        <w:t>（承包人名称）（以下称</w:t>
      </w:r>
      <w:r>
        <w:rPr>
          <w:color w:val="auto"/>
          <w:highlight w:val="none"/>
        </w:rPr>
        <w:t>“</w:t>
      </w:r>
      <w:r>
        <w:rPr>
          <w:rFonts w:hAnsi="宋体"/>
          <w:color w:val="auto"/>
          <w:highlight w:val="none"/>
        </w:rPr>
        <w:t>承包人</w:t>
      </w:r>
      <w:r>
        <w:rPr>
          <w:color w:val="auto"/>
          <w:highlight w:val="none"/>
        </w:rPr>
        <w:t>”</w:t>
      </w:r>
      <w:r>
        <w:rPr>
          <w:rFonts w:hAnsi="宋体"/>
          <w:color w:val="auto"/>
          <w:highlight w:val="none"/>
        </w:rPr>
        <w:t>）于</w:t>
      </w:r>
      <w:r>
        <w:rPr>
          <w:color w:val="auto"/>
          <w:highlight w:val="none"/>
          <w:u w:val="single"/>
        </w:rPr>
        <w:t xml:space="preserve">    </w:t>
      </w:r>
      <w:r>
        <w:rPr>
          <w:rFonts w:hAnsi="宋体"/>
          <w:color w:val="auto"/>
          <w:highlight w:val="none"/>
        </w:rPr>
        <w:t>年</w:t>
      </w:r>
      <w:r>
        <w:rPr>
          <w:color w:val="auto"/>
          <w:highlight w:val="none"/>
          <w:u w:val="single"/>
        </w:rPr>
        <w:t xml:space="preserve">   </w:t>
      </w:r>
      <w:r>
        <w:rPr>
          <w:rFonts w:hAnsi="宋体"/>
          <w:color w:val="auto"/>
          <w:highlight w:val="none"/>
        </w:rPr>
        <w:t>月</w:t>
      </w:r>
      <w:r>
        <w:rPr>
          <w:color w:val="auto"/>
          <w:highlight w:val="none"/>
          <w:u w:val="single"/>
        </w:rPr>
        <w:t xml:space="preserve">   </w:t>
      </w:r>
      <w:r>
        <w:rPr>
          <w:rFonts w:hAnsi="宋体"/>
          <w:color w:val="auto"/>
          <w:highlight w:val="none"/>
        </w:rPr>
        <w:t>日就</w:t>
      </w:r>
      <w:r>
        <w:rPr>
          <w:color w:val="auto"/>
          <w:highlight w:val="none"/>
          <w:u w:val="single"/>
        </w:rPr>
        <w:t xml:space="preserve">                         </w:t>
      </w:r>
      <w:r>
        <w:rPr>
          <w:rFonts w:hAnsi="宋体"/>
          <w:color w:val="auto"/>
          <w:highlight w:val="none"/>
        </w:rPr>
        <w:t>（工程名称）施工及有关事项协商一致共同签订《建设工程施工合同》。我方愿意无条件地、不可撤销地就承包人履行与你方签订的合同，向你方提供连带责任担保。</w:t>
      </w:r>
      <w:r>
        <w:rPr>
          <w:color w:val="auto"/>
          <w:highlight w:val="none"/>
        </w:rPr>
        <w:t xml:space="preserve"> </w:t>
      </w:r>
    </w:p>
    <w:p>
      <w:pPr>
        <w:spacing w:line="360" w:lineRule="auto"/>
        <w:ind w:firstLine="420" w:firstLineChars="200"/>
        <w:rPr>
          <w:color w:val="auto"/>
          <w:highlight w:val="none"/>
        </w:rPr>
      </w:pPr>
      <w:r>
        <w:rPr>
          <w:color w:val="auto"/>
          <w:highlight w:val="none"/>
        </w:rPr>
        <w:t xml:space="preserve">1. </w:t>
      </w:r>
      <w:r>
        <w:rPr>
          <w:rFonts w:hAnsi="宋体"/>
          <w:color w:val="auto"/>
          <w:highlight w:val="none"/>
        </w:rPr>
        <w:t>担保金额人民币（大写）</w:t>
      </w:r>
      <w:r>
        <w:rPr>
          <w:color w:val="auto"/>
          <w:highlight w:val="none"/>
          <w:u w:val="single"/>
        </w:rPr>
        <w:t xml:space="preserve">                 </w:t>
      </w:r>
      <w:r>
        <w:rPr>
          <w:rFonts w:hAnsi="宋体"/>
          <w:color w:val="auto"/>
          <w:highlight w:val="none"/>
        </w:rPr>
        <w:t>元（</w:t>
      </w:r>
      <w:r>
        <w:rPr>
          <w:color w:val="auto"/>
          <w:highlight w:val="none"/>
        </w:rPr>
        <w:t>¥</w:t>
      </w:r>
      <w:r>
        <w:rPr>
          <w:color w:val="auto"/>
          <w:highlight w:val="none"/>
          <w:u w:val="single"/>
        </w:rPr>
        <w:t xml:space="preserve">             </w:t>
      </w:r>
      <w:r>
        <w:rPr>
          <w:rFonts w:hAnsi="宋体"/>
          <w:color w:val="auto"/>
          <w:highlight w:val="none"/>
        </w:rPr>
        <w:t>）。</w:t>
      </w:r>
    </w:p>
    <w:p>
      <w:pPr>
        <w:spacing w:line="360" w:lineRule="auto"/>
        <w:ind w:firstLine="420" w:firstLineChars="200"/>
        <w:rPr>
          <w:color w:val="auto"/>
          <w:highlight w:val="none"/>
        </w:rPr>
      </w:pPr>
      <w:r>
        <w:rPr>
          <w:color w:val="auto"/>
          <w:highlight w:val="none"/>
        </w:rPr>
        <w:t xml:space="preserve">2. </w:t>
      </w:r>
      <w:r>
        <w:rPr>
          <w:rFonts w:hAnsi="宋体"/>
          <w:color w:val="auto"/>
          <w:highlight w:val="none"/>
        </w:rPr>
        <w:t>担保有效期自你方与承包人签订的合同生效之日起至你方签发或应签发工程接收证书之日止。</w:t>
      </w:r>
    </w:p>
    <w:p>
      <w:pPr>
        <w:spacing w:line="360" w:lineRule="auto"/>
        <w:ind w:firstLine="420" w:firstLineChars="200"/>
        <w:rPr>
          <w:color w:val="auto"/>
          <w:highlight w:val="none"/>
        </w:rPr>
      </w:pPr>
      <w:r>
        <w:rPr>
          <w:color w:val="auto"/>
          <w:highlight w:val="none"/>
        </w:rPr>
        <w:t xml:space="preserve">3. </w:t>
      </w:r>
      <w:r>
        <w:rPr>
          <w:rFonts w:hAnsi="宋体"/>
          <w:color w:val="auto"/>
          <w:highlight w:val="none"/>
        </w:rPr>
        <w:t>在本担保有效期内，因承包人违反合同约定的义务给你方造成经济损失时，我方在收到你方以书面形式提出的在担保金额内的赔偿要求后，在</w:t>
      </w:r>
      <w:r>
        <w:rPr>
          <w:color w:val="auto"/>
          <w:highlight w:val="none"/>
        </w:rPr>
        <w:t>7</w:t>
      </w:r>
      <w:r>
        <w:rPr>
          <w:rFonts w:hAnsi="宋体"/>
          <w:color w:val="auto"/>
          <w:highlight w:val="none"/>
        </w:rPr>
        <w:t>天内无条件支付。</w:t>
      </w:r>
    </w:p>
    <w:p>
      <w:pPr>
        <w:spacing w:line="360" w:lineRule="auto"/>
        <w:ind w:firstLine="420" w:firstLineChars="200"/>
        <w:rPr>
          <w:color w:val="auto"/>
          <w:highlight w:val="none"/>
        </w:rPr>
      </w:pPr>
      <w:r>
        <w:rPr>
          <w:color w:val="auto"/>
          <w:highlight w:val="none"/>
        </w:rPr>
        <w:t xml:space="preserve">4. </w:t>
      </w:r>
      <w:r>
        <w:rPr>
          <w:rFonts w:hAnsi="宋体"/>
          <w:color w:val="auto"/>
          <w:highlight w:val="none"/>
        </w:rPr>
        <w:t>你方和承包人按合同约定变更合同时，我方承担本担保规定的义务不变。</w:t>
      </w:r>
    </w:p>
    <w:p>
      <w:pPr>
        <w:spacing w:line="360" w:lineRule="auto"/>
        <w:ind w:firstLine="420" w:firstLineChars="200"/>
        <w:rPr>
          <w:color w:val="auto"/>
          <w:highlight w:val="none"/>
        </w:rPr>
      </w:pPr>
      <w:r>
        <w:rPr>
          <w:color w:val="auto"/>
          <w:highlight w:val="none"/>
        </w:rPr>
        <w:t xml:space="preserve">5. </w:t>
      </w:r>
      <w:r>
        <w:rPr>
          <w:rFonts w:hAnsi="宋体"/>
          <w:color w:val="auto"/>
          <w:highlight w:val="none"/>
        </w:rPr>
        <w:t>因本保函发生的纠纷，可由双方协商解决，协商不成的，任何一方均可提请</w:t>
      </w:r>
      <w:r>
        <w:rPr>
          <w:color w:val="auto"/>
          <w:highlight w:val="none"/>
          <w:u w:val="single"/>
        </w:rPr>
        <w:t xml:space="preserve">        </w:t>
      </w:r>
      <w:r>
        <w:rPr>
          <w:rFonts w:hAnsi="宋体"/>
          <w:color w:val="auto"/>
          <w:highlight w:val="none"/>
        </w:rPr>
        <w:t>仲裁委员会仲裁。</w:t>
      </w:r>
    </w:p>
    <w:p>
      <w:pPr>
        <w:spacing w:line="360" w:lineRule="auto"/>
        <w:ind w:firstLine="420" w:firstLineChars="200"/>
        <w:rPr>
          <w:color w:val="auto"/>
          <w:highlight w:val="none"/>
        </w:rPr>
      </w:pPr>
      <w:r>
        <w:rPr>
          <w:color w:val="auto"/>
          <w:highlight w:val="none"/>
        </w:rPr>
        <w:t xml:space="preserve">6. </w:t>
      </w:r>
      <w:r>
        <w:rPr>
          <w:rFonts w:hAnsi="宋体"/>
          <w:color w:val="auto"/>
          <w:highlight w:val="none"/>
        </w:rPr>
        <w:t>本保函自我方法定代表人（或其授权代理人）签字并加盖公章之日起生效。</w:t>
      </w:r>
    </w:p>
    <w:p>
      <w:pPr>
        <w:spacing w:line="360" w:lineRule="auto"/>
        <w:rPr>
          <w:color w:val="auto"/>
          <w:highlight w:val="none"/>
        </w:rPr>
      </w:pPr>
    </w:p>
    <w:p>
      <w:pPr>
        <w:spacing w:line="360" w:lineRule="auto"/>
        <w:ind w:firstLine="5040" w:firstLineChars="2400"/>
        <w:rPr>
          <w:color w:val="auto"/>
          <w:highlight w:val="none"/>
        </w:rPr>
      </w:pPr>
      <w:r>
        <w:rPr>
          <w:rFonts w:hAnsi="宋体"/>
          <w:color w:val="auto"/>
          <w:highlight w:val="none"/>
        </w:rPr>
        <w:t>担保人：</w:t>
      </w:r>
      <w:r>
        <w:rPr>
          <w:color w:val="auto"/>
          <w:highlight w:val="none"/>
          <w:u w:val="single"/>
        </w:rPr>
        <w:t xml:space="preserve">                          </w:t>
      </w:r>
      <w:r>
        <w:rPr>
          <w:rFonts w:hAnsi="宋体"/>
          <w:color w:val="auto"/>
          <w:highlight w:val="none"/>
        </w:rPr>
        <w:t>（盖单位章）</w:t>
      </w:r>
    </w:p>
    <w:p>
      <w:pPr>
        <w:spacing w:line="360" w:lineRule="auto"/>
        <w:ind w:firstLine="5040" w:firstLineChars="2400"/>
        <w:rPr>
          <w:color w:val="auto"/>
          <w:highlight w:val="none"/>
        </w:rPr>
      </w:pPr>
      <w:r>
        <w:rPr>
          <w:rFonts w:hAnsi="宋体"/>
          <w:color w:val="auto"/>
          <w:highlight w:val="none"/>
        </w:rPr>
        <w:t>法定代表人或其委托代理人：</w:t>
      </w:r>
      <w:r>
        <w:rPr>
          <w:color w:val="auto"/>
          <w:highlight w:val="none"/>
          <w:u w:val="single"/>
        </w:rPr>
        <w:t xml:space="preserve">            </w:t>
      </w:r>
      <w:r>
        <w:rPr>
          <w:rFonts w:hAnsi="宋体"/>
          <w:color w:val="auto"/>
          <w:highlight w:val="none"/>
        </w:rPr>
        <w:t>（签字）</w:t>
      </w:r>
    </w:p>
    <w:p>
      <w:pPr>
        <w:spacing w:line="360" w:lineRule="auto"/>
        <w:ind w:firstLine="5040" w:firstLineChars="2400"/>
        <w:rPr>
          <w:color w:val="auto"/>
          <w:highlight w:val="none"/>
        </w:rPr>
      </w:pPr>
      <w:r>
        <w:rPr>
          <w:rFonts w:hAnsi="宋体"/>
          <w:color w:val="auto"/>
          <w:highlight w:val="none"/>
        </w:rPr>
        <w:t>地</w:t>
      </w:r>
      <w:r>
        <w:rPr>
          <w:color w:val="auto"/>
          <w:highlight w:val="none"/>
        </w:rPr>
        <w:t xml:space="preserve">    </w:t>
      </w:r>
      <w:r>
        <w:rPr>
          <w:rFonts w:hAnsi="宋体"/>
          <w:color w:val="auto"/>
          <w:highlight w:val="none"/>
        </w:rPr>
        <w:t>址：</w:t>
      </w:r>
      <w:r>
        <w:rPr>
          <w:color w:val="auto"/>
          <w:highlight w:val="none"/>
          <w:u w:val="single"/>
        </w:rPr>
        <w:tab/>
      </w:r>
      <w:r>
        <w:rPr>
          <w:color w:val="auto"/>
          <w:highlight w:val="none"/>
          <w:u w:val="single"/>
        </w:rPr>
        <w:tab/>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u w:val="single"/>
        </w:rPr>
        <w:t xml:space="preserve">                   </w:t>
      </w:r>
      <w:r>
        <w:rPr>
          <w:color w:val="auto"/>
          <w:highlight w:val="none"/>
          <w:u w:val="single"/>
        </w:rPr>
        <w:tab/>
      </w:r>
    </w:p>
    <w:p>
      <w:pPr>
        <w:spacing w:line="360" w:lineRule="auto"/>
        <w:ind w:firstLine="5040" w:firstLineChars="2400"/>
        <w:rPr>
          <w:color w:val="auto"/>
          <w:highlight w:val="none"/>
          <w:u w:val="single"/>
        </w:rPr>
      </w:pPr>
      <w:r>
        <w:rPr>
          <w:rFonts w:hAnsi="宋体"/>
          <w:color w:val="auto"/>
          <w:highlight w:val="none"/>
        </w:rPr>
        <w:t>邮政编码：</w:t>
      </w:r>
      <w:r>
        <w:rPr>
          <w:color w:val="auto"/>
          <w:highlight w:val="none"/>
          <w:u w:val="single"/>
        </w:rPr>
        <w:tab/>
      </w:r>
      <w:r>
        <w:rPr>
          <w:color w:val="auto"/>
          <w:highlight w:val="none"/>
          <w:u w:val="single"/>
        </w:rPr>
        <w:tab/>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u w:val="single"/>
        </w:rPr>
        <w:t xml:space="preserve">                   </w:t>
      </w:r>
    </w:p>
    <w:p>
      <w:pPr>
        <w:spacing w:line="360" w:lineRule="auto"/>
        <w:ind w:firstLine="5040" w:firstLineChars="2400"/>
        <w:rPr>
          <w:color w:val="auto"/>
          <w:highlight w:val="none"/>
          <w:u w:val="single"/>
        </w:rPr>
      </w:pPr>
      <w:r>
        <w:rPr>
          <w:rFonts w:hAnsi="宋体"/>
          <w:color w:val="auto"/>
          <w:highlight w:val="none"/>
        </w:rPr>
        <w:t>电</w:t>
      </w:r>
      <w:r>
        <w:rPr>
          <w:color w:val="auto"/>
          <w:highlight w:val="none"/>
        </w:rPr>
        <w:t xml:space="preserve">    </w:t>
      </w:r>
      <w:r>
        <w:rPr>
          <w:rFonts w:hAnsi="宋体"/>
          <w:color w:val="auto"/>
          <w:highlight w:val="none"/>
        </w:rPr>
        <w:t>话：</w:t>
      </w:r>
      <w:r>
        <w:rPr>
          <w:color w:val="auto"/>
          <w:highlight w:val="none"/>
          <w:u w:val="single"/>
        </w:rPr>
        <w:tab/>
      </w:r>
      <w:r>
        <w:rPr>
          <w:color w:val="auto"/>
          <w:highlight w:val="none"/>
          <w:u w:val="single"/>
        </w:rPr>
        <w:tab/>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u w:val="single"/>
        </w:rPr>
        <w:t xml:space="preserve">                   </w:t>
      </w:r>
    </w:p>
    <w:p>
      <w:pPr>
        <w:spacing w:line="360" w:lineRule="auto"/>
        <w:ind w:firstLine="5040" w:firstLineChars="2400"/>
        <w:rPr>
          <w:color w:val="auto"/>
          <w:highlight w:val="none"/>
          <w:u w:val="single"/>
        </w:rPr>
      </w:pPr>
      <w:r>
        <w:rPr>
          <w:rFonts w:hAnsi="宋体"/>
          <w:color w:val="auto"/>
          <w:highlight w:val="none"/>
        </w:rPr>
        <w:t>传</w:t>
      </w:r>
      <w:r>
        <w:rPr>
          <w:color w:val="auto"/>
          <w:highlight w:val="none"/>
        </w:rPr>
        <w:t xml:space="preserve">    </w:t>
      </w:r>
      <w:r>
        <w:rPr>
          <w:rFonts w:hAnsi="宋体"/>
          <w:color w:val="auto"/>
          <w:highlight w:val="none"/>
        </w:rPr>
        <w:t>真：</w:t>
      </w:r>
      <w:r>
        <w:rPr>
          <w:color w:val="auto"/>
          <w:highlight w:val="none"/>
          <w:u w:val="single"/>
        </w:rPr>
        <w:tab/>
      </w:r>
      <w:r>
        <w:rPr>
          <w:color w:val="auto"/>
          <w:highlight w:val="none"/>
          <w:u w:val="single"/>
        </w:rPr>
        <w:tab/>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u w:val="single"/>
        </w:rPr>
        <w:t xml:space="preserve">                   </w:t>
      </w:r>
      <w:r>
        <w:rPr>
          <w:color w:val="auto"/>
          <w:highlight w:val="none"/>
          <w:u w:val="single"/>
        </w:rPr>
        <w:tab/>
      </w:r>
    </w:p>
    <w:p>
      <w:pPr>
        <w:spacing w:line="360" w:lineRule="auto"/>
        <w:rPr>
          <w:color w:val="auto"/>
          <w:highlight w:val="none"/>
        </w:rPr>
      </w:pPr>
      <w:r>
        <w:rPr>
          <w:color w:val="auto"/>
          <w:highlight w:val="none"/>
        </w:rPr>
        <w:t xml:space="preserve">  </w:t>
      </w:r>
    </w:p>
    <w:p>
      <w:pPr>
        <w:spacing w:line="360" w:lineRule="auto"/>
        <w:rPr>
          <w:color w:val="auto"/>
          <w:highlight w:val="none"/>
          <w:u w:val="single"/>
        </w:rPr>
      </w:pPr>
    </w:p>
    <w:p>
      <w:pPr>
        <w:spacing w:line="360" w:lineRule="auto"/>
        <w:rPr>
          <w:color w:val="auto"/>
          <w:highlight w:val="none"/>
        </w:rPr>
      </w:pPr>
      <w:r>
        <w:rPr>
          <w:color w:val="auto"/>
          <w:highlight w:val="none"/>
        </w:rPr>
        <w:t xml:space="preserve">           </w:t>
      </w:r>
      <w:r>
        <w:rPr>
          <w:rFonts w:hint="eastAsia" w:eastAsia="宋体"/>
          <w:color w:val="auto"/>
          <w:highlight w:val="none"/>
        </w:rPr>
        <w:t xml:space="preserve">                                                                               </w:t>
      </w:r>
      <w:r>
        <w:rPr>
          <w:color w:val="auto"/>
          <w:highlight w:val="none"/>
        </w:rPr>
        <w:t xml:space="preserve"> </w:t>
      </w:r>
      <w:r>
        <w:rPr>
          <w:color w:val="auto"/>
          <w:highlight w:val="none"/>
          <w:u w:val="single"/>
        </w:rPr>
        <w:t xml:space="preserve">               </w:t>
      </w:r>
      <w:r>
        <w:rPr>
          <w:rFonts w:hAnsi="宋体"/>
          <w:color w:val="auto"/>
          <w:highlight w:val="none"/>
        </w:rPr>
        <w:t>年</w:t>
      </w:r>
      <w:r>
        <w:rPr>
          <w:color w:val="auto"/>
          <w:highlight w:val="none"/>
          <w:u w:val="single"/>
        </w:rPr>
        <w:t xml:space="preserve">      </w:t>
      </w:r>
      <w:r>
        <w:rPr>
          <w:rFonts w:hAnsi="宋体"/>
          <w:color w:val="auto"/>
          <w:highlight w:val="none"/>
        </w:rPr>
        <w:t>月</w:t>
      </w:r>
      <w:r>
        <w:rPr>
          <w:color w:val="auto"/>
          <w:highlight w:val="none"/>
          <w:u w:val="single"/>
        </w:rPr>
        <w:t xml:space="preserve">      </w:t>
      </w:r>
      <w:r>
        <w:rPr>
          <w:rFonts w:hAnsi="宋体"/>
          <w:color w:val="auto"/>
          <w:highlight w:val="none"/>
        </w:rPr>
        <w:t>日</w:t>
      </w:r>
    </w:p>
    <w:p>
      <w:pPr>
        <w:spacing w:line="360" w:lineRule="auto"/>
        <w:ind w:left="1329" w:hanging="1329" w:hangingChars="633"/>
        <w:rPr>
          <w:color w:val="auto"/>
          <w:highlight w:val="none"/>
        </w:rPr>
      </w:pPr>
    </w:p>
    <w:p>
      <w:pPr>
        <w:spacing w:line="360" w:lineRule="auto"/>
        <w:ind w:left="1329" w:hanging="1329" w:hangingChars="633"/>
        <w:rPr>
          <w:color w:val="auto"/>
          <w:highlight w:val="none"/>
        </w:rPr>
      </w:pPr>
    </w:p>
    <w:p>
      <w:pPr>
        <w:spacing w:line="360" w:lineRule="auto"/>
        <w:ind w:left="1329" w:hanging="1329" w:hangingChars="633"/>
        <w:rPr>
          <w:color w:val="auto"/>
          <w:highlight w:val="none"/>
        </w:rPr>
      </w:pPr>
    </w:p>
    <w:p>
      <w:pPr>
        <w:spacing w:line="360" w:lineRule="auto"/>
        <w:ind w:left="1329" w:hanging="1329" w:hangingChars="633"/>
        <w:rPr>
          <w:color w:val="auto"/>
          <w:highlight w:val="none"/>
        </w:rPr>
      </w:pPr>
    </w:p>
    <w:p>
      <w:pPr>
        <w:spacing w:line="360" w:lineRule="auto"/>
        <w:ind w:left="1329" w:hanging="1329" w:hangingChars="633"/>
        <w:rPr>
          <w:color w:val="auto"/>
          <w:highlight w:val="none"/>
        </w:rPr>
      </w:pPr>
    </w:p>
    <w:p>
      <w:pPr>
        <w:spacing w:line="360" w:lineRule="auto"/>
        <w:ind w:left="1329" w:hanging="1329" w:hangingChars="633"/>
        <w:rPr>
          <w:color w:val="auto"/>
          <w:highlight w:val="none"/>
        </w:rPr>
      </w:pPr>
    </w:p>
    <w:p>
      <w:pPr>
        <w:spacing w:line="360" w:lineRule="auto"/>
        <w:ind w:left="1329" w:hanging="1329" w:hangingChars="633"/>
        <w:rPr>
          <w:color w:val="auto"/>
          <w:highlight w:val="none"/>
        </w:rPr>
      </w:pPr>
    </w:p>
    <w:p>
      <w:pPr>
        <w:spacing w:line="360" w:lineRule="auto"/>
        <w:ind w:left="1329" w:hanging="1329" w:hangingChars="633"/>
        <w:rPr>
          <w:color w:val="auto"/>
          <w:highlight w:val="none"/>
        </w:rPr>
      </w:pPr>
    </w:p>
    <w:p>
      <w:pPr>
        <w:spacing w:line="360" w:lineRule="auto"/>
        <w:rPr>
          <w:color w:val="auto"/>
          <w:highlight w:val="none"/>
        </w:rPr>
      </w:pPr>
    </w:p>
    <w:p>
      <w:pPr>
        <w:spacing w:line="360" w:lineRule="auto"/>
        <w:rPr>
          <w:rFonts w:ascii="仿宋" w:hAnsi="仿宋" w:eastAsia="仿宋"/>
          <w:color w:val="auto"/>
          <w:sz w:val="30"/>
          <w:szCs w:val="30"/>
          <w:highlight w:val="none"/>
        </w:rPr>
      </w:pPr>
    </w:p>
    <w:p>
      <w:pPr>
        <w:spacing w:line="360" w:lineRule="auto"/>
        <w:rPr>
          <w:rFonts w:ascii="仿宋" w:hAnsi="仿宋" w:eastAsia="仿宋"/>
          <w:color w:val="auto"/>
          <w:sz w:val="30"/>
          <w:szCs w:val="30"/>
          <w:highlight w:val="none"/>
        </w:rPr>
      </w:pPr>
      <w:r>
        <w:rPr>
          <w:rFonts w:ascii="仿宋" w:hAnsi="仿宋" w:eastAsia="仿宋"/>
          <w:color w:val="auto"/>
          <w:sz w:val="30"/>
          <w:szCs w:val="30"/>
          <w:highlight w:val="none"/>
        </w:rPr>
        <w:t>附件9 ：</w:t>
      </w:r>
    </w:p>
    <w:p>
      <w:pPr>
        <w:spacing w:before="120" w:beforeLines="50" w:after="120" w:afterLines="50" w:line="440" w:lineRule="exact"/>
        <w:jc w:val="center"/>
        <w:rPr>
          <w:rFonts w:ascii="黑体" w:hAnsi="黑体" w:eastAsia="黑体"/>
          <w:color w:val="auto"/>
          <w:sz w:val="30"/>
          <w:szCs w:val="30"/>
          <w:highlight w:val="none"/>
        </w:rPr>
      </w:pPr>
      <w:r>
        <w:rPr>
          <w:rFonts w:ascii="黑体" w:hAnsi="黑体" w:eastAsia="黑体"/>
          <w:color w:val="auto"/>
          <w:sz w:val="30"/>
          <w:szCs w:val="30"/>
          <w:highlight w:val="none"/>
        </w:rPr>
        <w:t>预付款担保</w:t>
      </w:r>
    </w:p>
    <w:p>
      <w:pPr>
        <w:spacing w:line="360" w:lineRule="auto"/>
        <w:rPr>
          <w:color w:val="auto"/>
          <w:highlight w:val="none"/>
          <w:u w:val="single"/>
        </w:rPr>
      </w:pPr>
    </w:p>
    <w:p>
      <w:pPr>
        <w:spacing w:line="360" w:lineRule="auto"/>
        <w:rPr>
          <w:color w:val="auto"/>
          <w:highlight w:val="none"/>
        </w:rPr>
      </w:pPr>
      <w:r>
        <w:rPr>
          <w:color w:val="auto"/>
          <w:highlight w:val="none"/>
          <w:u w:val="single"/>
        </w:rPr>
        <w:t xml:space="preserve">            </w:t>
      </w:r>
      <w:r>
        <w:rPr>
          <w:color w:val="auto"/>
          <w:highlight w:val="none"/>
          <w:u w:val="single"/>
        </w:rPr>
        <w:tab/>
      </w:r>
      <w:r>
        <w:rPr>
          <w:color w:val="auto"/>
          <w:highlight w:val="none"/>
          <w:u w:val="single"/>
        </w:rPr>
        <w:tab/>
      </w:r>
      <w:r>
        <w:rPr>
          <w:color w:val="auto"/>
          <w:highlight w:val="none"/>
          <w:u w:val="single"/>
        </w:rPr>
        <w:t xml:space="preserve"> </w:t>
      </w:r>
      <w:r>
        <w:rPr>
          <w:color w:val="auto"/>
          <w:highlight w:val="none"/>
        </w:rPr>
        <w:t xml:space="preserve"> </w:t>
      </w:r>
      <w:r>
        <w:rPr>
          <w:rFonts w:hAnsi="宋体"/>
          <w:color w:val="auto"/>
          <w:highlight w:val="none"/>
        </w:rPr>
        <w:t>（发包人名称）：</w:t>
      </w:r>
    </w:p>
    <w:p>
      <w:pPr>
        <w:spacing w:line="360" w:lineRule="auto"/>
        <w:rPr>
          <w:color w:val="auto"/>
          <w:highlight w:val="none"/>
        </w:rPr>
      </w:pPr>
    </w:p>
    <w:p>
      <w:pPr>
        <w:spacing w:line="360" w:lineRule="auto"/>
        <w:ind w:firstLine="420" w:firstLineChars="200"/>
        <w:rPr>
          <w:color w:val="auto"/>
          <w:highlight w:val="none"/>
        </w:rPr>
      </w:pPr>
      <w:r>
        <w:rPr>
          <w:rFonts w:hAnsi="宋体"/>
          <w:color w:val="auto"/>
          <w:highlight w:val="none"/>
        </w:rPr>
        <w:t>根据</w:t>
      </w:r>
      <w:r>
        <w:rPr>
          <w:color w:val="auto"/>
          <w:highlight w:val="none"/>
          <w:u w:val="single"/>
        </w:rPr>
        <w:t xml:space="preserve">                 </w:t>
      </w:r>
      <w:r>
        <w:rPr>
          <w:rFonts w:hAnsi="宋体"/>
          <w:color w:val="auto"/>
          <w:highlight w:val="none"/>
        </w:rPr>
        <w:t>（承包人名称）（以下称</w:t>
      </w:r>
      <w:r>
        <w:rPr>
          <w:color w:val="auto"/>
          <w:highlight w:val="none"/>
        </w:rPr>
        <w:t>“</w:t>
      </w:r>
      <w:r>
        <w:rPr>
          <w:rFonts w:hAnsi="宋体"/>
          <w:color w:val="auto"/>
          <w:highlight w:val="none"/>
        </w:rPr>
        <w:t>承包人</w:t>
      </w:r>
      <w:r>
        <w:rPr>
          <w:color w:val="auto"/>
          <w:highlight w:val="none"/>
        </w:rPr>
        <w:t>”</w:t>
      </w:r>
      <w:r>
        <w:rPr>
          <w:rFonts w:hAnsi="宋体"/>
          <w:color w:val="auto"/>
          <w:highlight w:val="none"/>
        </w:rPr>
        <w:t>）与</w:t>
      </w:r>
      <w:r>
        <w:rPr>
          <w:color w:val="auto"/>
          <w:highlight w:val="none"/>
          <w:u w:val="single"/>
        </w:rPr>
        <w:t xml:space="preserve">                        </w:t>
      </w:r>
      <w:r>
        <w:rPr>
          <w:rFonts w:hAnsi="宋体"/>
          <w:color w:val="auto"/>
          <w:highlight w:val="none"/>
        </w:rPr>
        <w:t>（发包人名称）（以下简称</w:t>
      </w:r>
      <w:r>
        <w:rPr>
          <w:color w:val="auto"/>
          <w:highlight w:val="none"/>
        </w:rPr>
        <w:t>“</w:t>
      </w:r>
      <w:r>
        <w:rPr>
          <w:rFonts w:hAnsi="宋体"/>
          <w:color w:val="auto"/>
          <w:highlight w:val="none"/>
        </w:rPr>
        <w:t>发包人</w:t>
      </w:r>
      <w:r>
        <w:rPr>
          <w:color w:val="auto"/>
          <w:highlight w:val="none"/>
        </w:rPr>
        <w:t>”</w:t>
      </w:r>
      <w:r>
        <w:rPr>
          <w:rFonts w:hAnsi="宋体"/>
          <w:color w:val="auto"/>
          <w:highlight w:val="none"/>
        </w:rPr>
        <w:t>）于</w:t>
      </w:r>
      <w:r>
        <w:rPr>
          <w:color w:val="auto"/>
          <w:highlight w:val="none"/>
          <w:u w:val="single"/>
        </w:rPr>
        <w:t xml:space="preserve">     </w:t>
      </w:r>
      <w:r>
        <w:rPr>
          <w:rFonts w:hAnsi="宋体"/>
          <w:color w:val="auto"/>
          <w:highlight w:val="none"/>
        </w:rPr>
        <w:t>年</w:t>
      </w:r>
      <w:r>
        <w:rPr>
          <w:color w:val="auto"/>
          <w:highlight w:val="none"/>
          <w:u w:val="single"/>
        </w:rPr>
        <w:t xml:space="preserve">    </w:t>
      </w:r>
      <w:r>
        <w:rPr>
          <w:rFonts w:hAnsi="宋体"/>
          <w:color w:val="auto"/>
          <w:highlight w:val="none"/>
        </w:rPr>
        <w:t>月</w:t>
      </w:r>
      <w:r>
        <w:rPr>
          <w:color w:val="auto"/>
          <w:highlight w:val="none"/>
          <w:u w:val="single"/>
        </w:rPr>
        <w:t xml:space="preserve">    </w:t>
      </w:r>
      <w:r>
        <w:rPr>
          <w:rFonts w:hAnsi="宋体"/>
          <w:color w:val="auto"/>
          <w:highlight w:val="none"/>
        </w:rPr>
        <w:t>日签订的</w:t>
      </w:r>
      <w:r>
        <w:rPr>
          <w:color w:val="auto"/>
          <w:highlight w:val="none"/>
          <w:u w:val="single"/>
        </w:rPr>
        <w:t xml:space="preserve">                   </w:t>
      </w:r>
      <w:r>
        <w:rPr>
          <w:rFonts w:hAnsi="宋体"/>
          <w:color w:val="auto"/>
          <w:highlight w:val="none"/>
        </w:rPr>
        <w:t>（工程名称）《建设工程施工合同》，承包人按约定的金额向你方提交一份预付款担保，即有权得到你方支付相等金额的预付款。我方愿意就你方提供给承包人的预付款为承包人提供连带责任担保。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20" w:firstLineChars="200"/>
        <w:rPr>
          <w:color w:val="auto"/>
          <w:highlight w:val="none"/>
        </w:rPr>
      </w:pPr>
      <w:r>
        <w:rPr>
          <w:color w:val="auto"/>
          <w:highlight w:val="none"/>
        </w:rPr>
        <w:t xml:space="preserve">1. </w:t>
      </w:r>
      <w:r>
        <w:rPr>
          <w:rFonts w:hAnsi="宋体"/>
          <w:color w:val="auto"/>
          <w:highlight w:val="none"/>
        </w:rPr>
        <w:t>担保金额人民币（大写）</w:t>
      </w:r>
      <w:r>
        <w:rPr>
          <w:color w:val="auto"/>
          <w:highlight w:val="none"/>
          <w:u w:val="single"/>
        </w:rPr>
        <w:t xml:space="preserve">                </w:t>
      </w:r>
      <w:r>
        <w:rPr>
          <w:rFonts w:hAnsi="宋体"/>
          <w:color w:val="auto"/>
          <w:highlight w:val="none"/>
        </w:rPr>
        <w:t>元（</w:t>
      </w:r>
      <w:r>
        <w:rPr>
          <w:color w:val="auto"/>
          <w:highlight w:val="none"/>
        </w:rPr>
        <w:t>¥</w:t>
      </w:r>
      <w:r>
        <w:rPr>
          <w:color w:val="auto"/>
          <w:highlight w:val="none"/>
          <w:u w:val="single"/>
        </w:rPr>
        <w:t xml:space="preserve">             </w:t>
      </w:r>
      <w:r>
        <w:rPr>
          <w:rFonts w:hAnsi="宋体"/>
          <w:color w:val="auto"/>
          <w:highlight w:val="none"/>
        </w:rPr>
        <w:t>）。</w:t>
      </w:r>
    </w:p>
    <w:p>
      <w:pPr>
        <w:spacing w:line="360" w:lineRule="auto"/>
        <w:ind w:firstLine="420" w:firstLineChars="200"/>
        <w:rPr>
          <w:color w:val="auto"/>
          <w:highlight w:val="none"/>
        </w:rPr>
      </w:pPr>
      <w:r>
        <w:rPr>
          <w:color w:val="auto"/>
          <w:highlight w:val="none"/>
        </w:rPr>
        <w:t xml:space="preserve">2. </w:t>
      </w:r>
      <w:r>
        <w:rPr>
          <w:rFonts w:hAnsi="宋体"/>
          <w:color w:val="auto"/>
          <w:highlight w:val="none"/>
        </w:rPr>
        <w:t>担保有效期自预付款支付给承包人起生效，至你方签发的进度款支付证书说明已完全扣清止。</w:t>
      </w:r>
    </w:p>
    <w:p>
      <w:pPr>
        <w:spacing w:line="360" w:lineRule="auto"/>
        <w:ind w:firstLine="420" w:firstLineChars="200"/>
        <w:rPr>
          <w:color w:val="auto"/>
          <w:highlight w:val="none"/>
        </w:rPr>
      </w:pPr>
      <w:r>
        <w:rPr>
          <w:color w:val="auto"/>
          <w:highlight w:val="none"/>
        </w:rPr>
        <w:t xml:space="preserve">3. </w:t>
      </w:r>
      <w:r>
        <w:rPr>
          <w:rFonts w:hAnsi="宋体"/>
          <w:color w:val="auto"/>
          <w:highlight w:val="none"/>
        </w:rPr>
        <w:t>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20" w:firstLineChars="200"/>
        <w:rPr>
          <w:color w:val="auto"/>
          <w:highlight w:val="none"/>
        </w:rPr>
      </w:pPr>
      <w:r>
        <w:rPr>
          <w:color w:val="auto"/>
          <w:highlight w:val="none"/>
        </w:rPr>
        <w:t xml:space="preserve">4. </w:t>
      </w:r>
      <w:r>
        <w:rPr>
          <w:rFonts w:hAnsi="宋体"/>
          <w:color w:val="auto"/>
          <w:highlight w:val="none"/>
        </w:rPr>
        <w:t>你方和承包人按合同约定变更合同时，我方承担本保函规定的义务不变。</w:t>
      </w:r>
    </w:p>
    <w:p>
      <w:pPr>
        <w:spacing w:line="360" w:lineRule="auto"/>
        <w:ind w:firstLine="420" w:firstLineChars="200"/>
        <w:rPr>
          <w:color w:val="auto"/>
          <w:highlight w:val="none"/>
        </w:rPr>
      </w:pPr>
      <w:r>
        <w:rPr>
          <w:color w:val="auto"/>
          <w:highlight w:val="none"/>
        </w:rPr>
        <w:t xml:space="preserve">5. </w:t>
      </w:r>
      <w:r>
        <w:rPr>
          <w:rFonts w:hAnsi="宋体"/>
          <w:color w:val="auto"/>
          <w:highlight w:val="none"/>
        </w:rPr>
        <w:t>因本保函发生的纠纷，可由双方协商解决，协商不成的，任何一方均可提请</w:t>
      </w:r>
      <w:r>
        <w:rPr>
          <w:color w:val="auto"/>
          <w:highlight w:val="none"/>
          <w:u w:val="single"/>
        </w:rPr>
        <w:t xml:space="preserve">        </w:t>
      </w:r>
      <w:r>
        <w:rPr>
          <w:rFonts w:hAnsi="宋体"/>
          <w:color w:val="auto"/>
          <w:highlight w:val="none"/>
        </w:rPr>
        <w:t>仲裁委员会仲裁。</w:t>
      </w:r>
    </w:p>
    <w:p>
      <w:pPr>
        <w:spacing w:line="360" w:lineRule="auto"/>
        <w:ind w:firstLine="420" w:firstLineChars="200"/>
        <w:rPr>
          <w:color w:val="auto"/>
          <w:highlight w:val="none"/>
        </w:rPr>
      </w:pPr>
      <w:r>
        <w:rPr>
          <w:color w:val="auto"/>
          <w:highlight w:val="none"/>
        </w:rPr>
        <w:t xml:space="preserve">6. </w:t>
      </w:r>
      <w:r>
        <w:rPr>
          <w:rFonts w:hAnsi="宋体"/>
          <w:color w:val="auto"/>
          <w:highlight w:val="none"/>
        </w:rPr>
        <w:t>本保函自我方法定代表人（或其授权代理人）签字并加盖公章之日起生效。</w:t>
      </w:r>
    </w:p>
    <w:p>
      <w:pPr>
        <w:spacing w:line="360" w:lineRule="auto"/>
        <w:rPr>
          <w:color w:val="auto"/>
          <w:highlight w:val="none"/>
        </w:rPr>
      </w:pPr>
    </w:p>
    <w:p>
      <w:pPr>
        <w:spacing w:line="360" w:lineRule="auto"/>
        <w:rPr>
          <w:color w:val="auto"/>
          <w:highlight w:val="none"/>
        </w:rPr>
      </w:pPr>
    </w:p>
    <w:p>
      <w:pPr>
        <w:spacing w:line="360" w:lineRule="auto"/>
        <w:ind w:firstLine="5040" w:firstLineChars="2400"/>
        <w:rPr>
          <w:color w:val="auto"/>
          <w:highlight w:val="none"/>
        </w:rPr>
      </w:pPr>
      <w:r>
        <w:rPr>
          <w:rFonts w:hAnsi="宋体"/>
          <w:color w:val="auto"/>
          <w:highlight w:val="none"/>
        </w:rPr>
        <w:t>担保人：</w:t>
      </w:r>
      <w:r>
        <w:rPr>
          <w:color w:val="auto"/>
          <w:highlight w:val="none"/>
          <w:u w:val="single"/>
        </w:rPr>
        <w:t xml:space="preserve">                          </w:t>
      </w:r>
      <w:r>
        <w:rPr>
          <w:rFonts w:hAnsi="宋体"/>
          <w:color w:val="auto"/>
          <w:highlight w:val="none"/>
        </w:rPr>
        <w:t>（盖单位章）</w:t>
      </w:r>
    </w:p>
    <w:p>
      <w:pPr>
        <w:spacing w:line="360" w:lineRule="auto"/>
        <w:ind w:firstLine="5040" w:firstLineChars="2400"/>
        <w:rPr>
          <w:color w:val="auto"/>
          <w:highlight w:val="none"/>
        </w:rPr>
      </w:pPr>
      <w:r>
        <w:rPr>
          <w:rFonts w:hAnsi="宋体"/>
          <w:color w:val="auto"/>
          <w:highlight w:val="none"/>
        </w:rPr>
        <w:t>法定代表人或其委托代理人：</w:t>
      </w:r>
      <w:r>
        <w:rPr>
          <w:color w:val="auto"/>
          <w:highlight w:val="none"/>
          <w:u w:val="single"/>
        </w:rPr>
        <w:t xml:space="preserve">            </w:t>
      </w:r>
      <w:r>
        <w:rPr>
          <w:rFonts w:hAnsi="宋体"/>
          <w:color w:val="auto"/>
          <w:highlight w:val="none"/>
        </w:rPr>
        <w:t>（签字）</w:t>
      </w:r>
    </w:p>
    <w:p>
      <w:pPr>
        <w:spacing w:line="360" w:lineRule="auto"/>
        <w:ind w:firstLine="5040" w:firstLineChars="2400"/>
        <w:rPr>
          <w:color w:val="auto"/>
          <w:highlight w:val="none"/>
        </w:rPr>
      </w:pPr>
      <w:r>
        <w:rPr>
          <w:rFonts w:hAnsi="宋体"/>
          <w:color w:val="auto"/>
          <w:highlight w:val="none"/>
        </w:rPr>
        <w:t>地</w:t>
      </w:r>
      <w:r>
        <w:rPr>
          <w:color w:val="auto"/>
          <w:highlight w:val="none"/>
        </w:rPr>
        <w:t xml:space="preserve">    </w:t>
      </w:r>
      <w:r>
        <w:rPr>
          <w:rFonts w:hAnsi="宋体"/>
          <w:color w:val="auto"/>
          <w:highlight w:val="none"/>
        </w:rPr>
        <w:t>址：</w:t>
      </w:r>
      <w:r>
        <w:rPr>
          <w:color w:val="auto"/>
          <w:highlight w:val="none"/>
          <w:u w:val="single"/>
        </w:rPr>
        <w:tab/>
      </w:r>
      <w:r>
        <w:rPr>
          <w:color w:val="auto"/>
          <w:highlight w:val="none"/>
          <w:u w:val="single"/>
        </w:rPr>
        <w:tab/>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u w:val="single"/>
        </w:rPr>
        <w:t xml:space="preserve">                   </w:t>
      </w:r>
      <w:r>
        <w:rPr>
          <w:color w:val="auto"/>
          <w:highlight w:val="none"/>
          <w:u w:val="single"/>
        </w:rPr>
        <w:tab/>
      </w:r>
    </w:p>
    <w:p>
      <w:pPr>
        <w:spacing w:line="360" w:lineRule="auto"/>
        <w:ind w:firstLine="5040" w:firstLineChars="2400"/>
        <w:rPr>
          <w:color w:val="auto"/>
          <w:highlight w:val="none"/>
          <w:u w:val="single"/>
        </w:rPr>
      </w:pPr>
      <w:r>
        <w:rPr>
          <w:rFonts w:hAnsi="宋体"/>
          <w:color w:val="auto"/>
          <w:highlight w:val="none"/>
        </w:rPr>
        <w:t>邮政编码：</w:t>
      </w:r>
      <w:r>
        <w:rPr>
          <w:color w:val="auto"/>
          <w:highlight w:val="none"/>
          <w:u w:val="single"/>
        </w:rPr>
        <w:tab/>
      </w:r>
      <w:r>
        <w:rPr>
          <w:color w:val="auto"/>
          <w:highlight w:val="none"/>
          <w:u w:val="single"/>
        </w:rPr>
        <w:tab/>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u w:val="single"/>
        </w:rPr>
        <w:t xml:space="preserve">                   </w:t>
      </w:r>
    </w:p>
    <w:p>
      <w:pPr>
        <w:spacing w:line="360" w:lineRule="auto"/>
        <w:ind w:firstLine="5040" w:firstLineChars="2400"/>
        <w:rPr>
          <w:color w:val="auto"/>
          <w:highlight w:val="none"/>
          <w:u w:val="single"/>
        </w:rPr>
      </w:pPr>
      <w:r>
        <w:rPr>
          <w:rFonts w:hAnsi="宋体"/>
          <w:color w:val="auto"/>
          <w:highlight w:val="none"/>
        </w:rPr>
        <w:t>电</w:t>
      </w:r>
      <w:r>
        <w:rPr>
          <w:color w:val="auto"/>
          <w:highlight w:val="none"/>
        </w:rPr>
        <w:t xml:space="preserve">    </w:t>
      </w:r>
      <w:r>
        <w:rPr>
          <w:rFonts w:hAnsi="宋体"/>
          <w:color w:val="auto"/>
          <w:highlight w:val="none"/>
        </w:rPr>
        <w:t>话：</w:t>
      </w:r>
      <w:r>
        <w:rPr>
          <w:color w:val="auto"/>
          <w:highlight w:val="none"/>
          <w:u w:val="single"/>
        </w:rPr>
        <w:tab/>
      </w:r>
      <w:r>
        <w:rPr>
          <w:color w:val="auto"/>
          <w:highlight w:val="none"/>
          <w:u w:val="single"/>
        </w:rPr>
        <w:tab/>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u w:val="single"/>
        </w:rPr>
        <w:t xml:space="preserve">                   </w:t>
      </w:r>
    </w:p>
    <w:p>
      <w:pPr>
        <w:spacing w:line="360" w:lineRule="auto"/>
        <w:ind w:firstLine="5040" w:firstLineChars="2400"/>
        <w:rPr>
          <w:color w:val="auto"/>
          <w:highlight w:val="none"/>
          <w:u w:val="single"/>
        </w:rPr>
      </w:pPr>
      <w:r>
        <w:rPr>
          <w:rFonts w:hAnsi="宋体"/>
          <w:color w:val="auto"/>
          <w:highlight w:val="none"/>
        </w:rPr>
        <w:t>传</w:t>
      </w:r>
      <w:r>
        <w:rPr>
          <w:color w:val="auto"/>
          <w:highlight w:val="none"/>
        </w:rPr>
        <w:t xml:space="preserve">    </w:t>
      </w:r>
      <w:r>
        <w:rPr>
          <w:rFonts w:hAnsi="宋体"/>
          <w:color w:val="auto"/>
          <w:highlight w:val="none"/>
        </w:rPr>
        <w:t>真：</w:t>
      </w:r>
      <w:r>
        <w:rPr>
          <w:color w:val="auto"/>
          <w:highlight w:val="none"/>
          <w:u w:val="single"/>
        </w:rPr>
        <w:tab/>
      </w:r>
      <w:r>
        <w:rPr>
          <w:color w:val="auto"/>
          <w:highlight w:val="none"/>
          <w:u w:val="single"/>
        </w:rPr>
        <w:tab/>
      </w:r>
      <w:r>
        <w:rPr>
          <w:color w:val="auto"/>
          <w:highlight w:val="none"/>
          <w:u w:val="single"/>
        </w:rPr>
        <w:t xml:space="preserve">  </w:t>
      </w:r>
      <w:r>
        <w:rPr>
          <w:color w:val="auto"/>
          <w:highlight w:val="none"/>
          <w:u w:val="single"/>
        </w:rPr>
        <w:tab/>
      </w:r>
      <w:r>
        <w:rPr>
          <w:color w:val="auto"/>
          <w:highlight w:val="none"/>
          <w:u w:val="single"/>
        </w:rPr>
        <w:tab/>
      </w:r>
      <w:r>
        <w:rPr>
          <w:color w:val="auto"/>
          <w:highlight w:val="none"/>
          <w:u w:val="single"/>
        </w:rPr>
        <w:t xml:space="preserve">                   </w:t>
      </w:r>
      <w:r>
        <w:rPr>
          <w:color w:val="auto"/>
          <w:highlight w:val="none"/>
          <w:u w:val="single"/>
        </w:rPr>
        <w:tab/>
      </w:r>
    </w:p>
    <w:p>
      <w:pPr>
        <w:spacing w:line="360" w:lineRule="auto"/>
        <w:rPr>
          <w:color w:val="auto"/>
          <w:highlight w:val="none"/>
        </w:rPr>
      </w:pPr>
      <w:r>
        <w:rPr>
          <w:color w:val="auto"/>
          <w:highlight w:val="none"/>
        </w:rPr>
        <w:t xml:space="preserve">  </w:t>
      </w:r>
    </w:p>
    <w:p>
      <w:pPr>
        <w:spacing w:line="360" w:lineRule="auto"/>
        <w:rPr>
          <w:color w:val="auto"/>
          <w:highlight w:val="none"/>
          <w:u w:val="single"/>
        </w:rPr>
      </w:pPr>
    </w:p>
    <w:p>
      <w:pPr>
        <w:spacing w:line="360" w:lineRule="auto"/>
        <w:rPr>
          <w:color w:val="auto"/>
          <w:highlight w:val="none"/>
        </w:rPr>
      </w:pPr>
      <w:r>
        <w:rPr>
          <w:color w:val="auto"/>
          <w:highlight w:val="none"/>
        </w:rPr>
        <w:t xml:space="preserve">           </w:t>
      </w:r>
      <w:r>
        <w:rPr>
          <w:rFonts w:hint="eastAsia" w:eastAsia="宋体"/>
          <w:color w:val="auto"/>
          <w:highlight w:val="none"/>
        </w:rPr>
        <w:t xml:space="preserve">                                                                               </w:t>
      </w:r>
      <w:r>
        <w:rPr>
          <w:color w:val="auto"/>
          <w:highlight w:val="none"/>
        </w:rPr>
        <w:t xml:space="preserve"> </w:t>
      </w:r>
      <w:r>
        <w:rPr>
          <w:color w:val="auto"/>
          <w:highlight w:val="none"/>
          <w:u w:val="single"/>
        </w:rPr>
        <w:t xml:space="preserve">               </w:t>
      </w:r>
      <w:r>
        <w:rPr>
          <w:rFonts w:hAnsi="宋体"/>
          <w:color w:val="auto"/>
          <w:highlight w:val="none"/>
        </w:rPr>
        <w:t>年</w:t>
      </w:r>
      <w:r>
        <w:rPr>
          <w:color w:val="auto"/>
          <w:highlight w:val="none"/>
          <w:u w:val="single"/>
        </w:rPr>
        <w:t xml:space="preserve">      </w:t>
      </w:r>
      <w:r>
        <w:rPr>
          <w:rFonts w:hAnsi="宋体"/>
          <w:color w:val="auto"/>
          <w:highlight w:val="none"/>
        </w:rPr>
        <w:t>月</w:t>
      </w:r>
      <w:r>
        <w:rPr>
          <w:color w:val="auto"/>
          <w:highlight w:val="none"/>
          <w:u w:val="single"/>
        </w:rPr>
        <w:t xml:space="preserve">      </w:t>
      </w:r>
      <w:r>
        <w:rPr>
          <w:rFonts w:hAnsi="宋体"/>
          <w:color w:val="auto"/>
          <w:highlight w:val="none"/>
        </w:rPr>
        <w:t>日</w:t>
      </w:r>
    </w:p>
    <w:p>
      <w:pPr>
        <w:spacing w:line="440" w:lineRule="exact"/>
        <w:rPr>
          <w:rFonts w:ascii="仿宋" w:hAnsi="仿宋" w:eastAsia="仿宋"/>
          <w:color w:val="auto"/>
          <w:sz w:val="30"/>
          <w:szCs w:val="30"/>
          <w:highlight w:val="none"/>
        </w:rPr>
      </w:pPr>
      <w:r>
        <w:rPr>
          <w:b/>
          <w:color w:val="auto"/>
          <w:highlight w:val="none"/>
        </w:rPr>
        <w:br w:type="page"/>
      </w:r>
      <w:r>
        <w:rPr>
          <w:rFonts w:ascii="仿宋" w:hAnsi="仿宋" w:eastAsia="仿宋"/>
          <w:color w:val="auto"/>
          <w:sz w:val="30"/>
          <w:szCs w:val="30"/>
          <w:highlight w:val="none"/>
        </w:rPr>
        <w:t xml:space="preserve">附件10:  </w:t>
      </w:r>
    </w:p>
    <w:p>
      <w:pPr>
        <w:spacing w:before="120" w:beforeLines="50" w:after="120" w:afterLines="50" w:line="440" w:lineRule="exact"/>
        <w:jc w:val="center"/>
        <w:rPr>
          <w:rFonts w:ascii="黑体" w:hAnsi="黑体" w:eastAsia="黑体"/>
          <w:color w:val="auto"/>
          <w:sz w:val="30"/>
          <w:szCs w:val="30"/>
          <w:highlight w:val="none"/>
        </w:rPr>
      </w:pPr>
      <w:r>
        <w:rPr>
          <w:rFonts w:ascii="黑体" w:hAnsi="黑体" w:eastAsia="黑体"/>
          <w:color w:val="auto"/>
          <w:sz w:val="30"/>
          <w:szCs w:val="30"/>
          <w:highlight w:val="none"/>
        </w:rPr>
        <w:t>支付担保</w:t>
      </w:r>
    </w:p>
    <w:p>
      <w:pPr>
        <w:spacing w:line="440" w:lineRule="exact"/>
        <w:rPr>
          <w:color w:val="auto"/>
          <w:highlight w:val="none"/>
        </w:rPr>
      </w:pPr>
      <w:r>
        <w:rPr>
          <w:color w:val="auto"/>
          <w:highlight w:val="none"/>
          <w:u w:val="single"/>
        </w:rPr>
        <w:t xml:space="preserve">             </w:t>
      </w:r>
      <w:r>
        <w:rPr>
          <w:rFonts w:hAnsi="宋体"/>
          <w:color w:val="auto"/>
          <w:highlight w:val="none"/>
        </w:rPr>
        <w:t>（承包人）：</w:t>
      </w:r>
    </w:p>
    <w:p>
      <w:pPr>
        <w:spacing w:line="440" w:lineRule="exact"/>
        <w:rPr>
          <w:color w:val="auto"/>
          <w:highlight w:val="none"/>
        </w:rPr>
      </w:pPr>
    </w:p>
    <w:p>
      <w:pPr>
        <w:spacing w:line="360" w:lineRule="auto"/>
        <w:ind w:firstLine="420" w:firstLineChars="200"/>
        <w:rPr>
          <w:color w:val="auto"/>
          <w:highlight w:val="none"/>
        </w:rPr>
      </w:pPr>
      <w:r>
        <w:rPr>
          <w:rFonts w:hAnsi="宋体"/>
          <w:color w:val="auto"/>
          <w:highlight w:val="none"/>
        </w:rPr>
        <w:t>鉴于你方作为承包人已经与</w:t>
      </w:r>
      <w:r>
        <w:rPr>
          <w:color w:val="auto"/>
          <w:highlight w:val="none"/>
          <w:u w:val="single"/>
        </w:rPr>
        <w:t xml:space="preserve">             </w:t>
      </w:r>
      <w:r>
        <w:rPr>
          <w:rFonts w:hAnsi="宋体"/>
          <w:color w:val="auto"/>
          <w:highlight w:val="none"/>
        </w:rPr>
        <w:t>（发包人名称）（以下称</w:t>
      </w:r>
      <w:r>
        <w:rPr>
          <w:color w:val="auto"/>
          <w:highlight w:val="none"/>
        </w:rPr>
        <w:t>“</w:t>
      </w:r>
      <w:r>
        <w:rPr>
          <w:rFonts w:hAnsi="宋体"/>
          <w:color w:val="auto"/>
          <w:highlight w:val="none"/>
        </w:rPr>
        <w:t>发包人</w:t>
      </w:r>
      <w:r>
        <w:rPr>
          <w:color w:val="auto"/>
          <w:highlight w:val="none"/>
        </w:rPr>
        <w:t>”</w:t>
      </w:r>
      <w:r>
        <w:rPr>
          <w:rFonts w:hAnsi="宋体"/>
          <w:color w:val="auto"/>
          <w:highlight w:val="none"/>
        </w:rPr>
        <w:t>）于</w:t>
      </w:r>
      <w:r>
        <w:rPr>
          <w:color w:val="auto"/>
          <w:highlight w:val="none"/>
          <w:u w:val="single"/>
        </w:rPr>
        <w:t xml:space="preserve">   </w:t>
      </w:r>
      <w:r>
        <w:rPr>
          <w:rFonts w:hAnsi="宋体"/>
          <w:color w:val="auto"/>
          <w:highlight w:val="none"/>
        </w:rPr>
        <w:t>年</w:t>
      </w:r>
      <w:r>
        <w:rPr>
          <w:color w:val="auto"/>
          <w:highlight w:val="none"/>
          <w:u w:val="single"/>
        </w:rPr>
        <w:t xml:space="preserve">   </w:t>
      </w:r>
      <w:r>
        <w:rPr>
          <w:rFonts w:hAnsi="宋体"/>
          <w:color w:val="auto"/>
          <w:highlight w:val="none"/>
        </w:rPr>
        <w:t>月</w:t>
      </w:r>
      <w:r>
        <w:rPr>
          <w:color w:val="auto"/>
          <w:highlight w:val="none"/>
          <w:u w:val="single"/>
        </w:rPr>
        <w:t xml:space="preserve">    </w:t>
      </w:r>
      <w:r>
        <w:rPr>
          <w:rFonts w:hAnsi="宋体"/>
          <w:color w:val="auto"/>
          <w:highlight w:val="none"/>
        </w:rPr>
        <w:t>日签订了</w:t>
      </w:r>
      <w:r>
        <w:rPr>
          <w:color w:val="auto"/>
          <w:highlight w:val="none"/>
          <w:u w:val="single"/>
        </w:rPr>
        <w:t xml:space="preserve">             </w:t>
      </w:r>
      <w:r>
        <w:rPr>
          <w:rFonts w:hAnsi="宋体"/>
          <w:color w:val="auto"/>
          <w:highlight w:val="none"/>
        </w:rPr>
        <w:t>（工程名称）《建设工程施工合同》（以下称</w:t>
      </w:r>
      <w:r>
        <w:rPr>
          <w:color w:val="auto"/>
          <w:highlight w:val="none"/>
        </w:rPr>
        <w:t>“</w:t>
      </w:r>
      <w:r>
        <w:rPr>
          <w:rFonts w:hAnsi="宋体"/>
          <w:color w:val="auto"/>
          <w:highlight w:val="none"/>
        </w:rPr>
        <w:t>主合同</w:t>
      </w:r>
      <w:r>
        <w:rPr>
          <w:color w:val="auto"/>
          <w:highlight w:val="none"/>
        </w:rPr>
        <w:t>”</w:t>
      </w:r>
      <w:r>
        <w:rPr>
          <w:rFonts w:hAnsi="宋体"/>
          <w:color w:val="auto"/>
          <w:highlight w:val="none"/>
        </w:rPr>
        <w:t>），应发包人的申请，我方愿就发包人履行主合同约定的工程款支付义务以保证的方式向你方提供如下担保：</w:t>
      </w:r>
    </w:p>
    <w:p>
      <w:pPr>
        <w:pStyle w:val="31"/>
        <w:ind w:firstLine="422"/>
        <w:rPr>
          <w:b/>
          <w:color w:val="auto"/>
          <w:highlight w:val="none"/>
        </w:rPr>
      </w:pPr>
      <w:r>
        <w:rPr>
          <w:b/>
          <w:color w:val="auto"/>
          <w:highlight w:val="none"/>
        </w:rPr>
        <w:t>一、保证的范围及保证金额</w:t>
      </w:r>
    </w:p>
    <w:p>
      <w:pPr>
        <w:spacing w:line="360" w:lineRule="auto"/>
        <w:ind w:firstLine="420" w:firstLineChars="200"/>
        <w:rPr>
          <w:color w:val="auto"/>
          <w:highlight w:val="none"/>
        </w:rPr>
      </w:pPr>
      <w:r>
        <w:rPr>
          <w:color w:val="auto"/>
          <w:highlight w:val="none"/>
        </w:rPr>
        <w:t xml:space="preserve">1. </w:t>
      </w:r>
      <w:r>
        <w:rPr>
          <w:rFonts w:hAnsi="宋体"/>
          <w:color w:val="auto"/>
          <w:highlight w:val="none"/>
        </w:rPr>
        <w:t>我方的保证范围是主合同约定的工程款。</w:t>
      </w:r>
    </w:p>
    <w:p>
      <w:pPr>
        <w:spacing w:line="360" w:lineRule="auto"/>
        <w:ind w:firstLine="420" w:firstLineChars="200"/>
        <w:rPr>
          <w:color w:val="auto"/>
          <w:highlight w:val="none"/>
        </w:rPr>
      </w:pPr>
      <w:r>
        <w:rPr>
          <w:color w:val="auto"/>
          <w:highlight w:val="none"/>
        </w:rPr>
        <w:t xml:space="preserve">2. </w:t>
      </w:r>
      <w:r>
        <w:rPr>
          <w:rFonts w:hAnsi="宋体"/>
          <w:color w:val="auto"/>
          <w:highlight w:val="none"/>
        </w:rPr>
        <w:t>本保函所称主合同约定的工程款是指主合同约定的除工程质量保证金以外的合同价款。</w:t>
      </w:r>
    </w:p>
    <w:p>
      <w:pPr>
        <w:spacing w:line="360" w:lineRule="auto"/>
        <w:ind w:firstLine="420" w:firstLineChars="200"/>
        <w:rPr>
          <w:color w:val="auto"/>
          <w:highlight w:val="none"/>
        </w:rPr>
      </w:pPr>
      <w:r>
        <w:rPr>
          <w:color w:val="auto"/>
          <w:highlight w:val="none"/>
        </w:rPr>
        <w:t xml:space="preserve">3. </w:t>
      </w:r>
      <w:r>
        <w:rPr>
          <w:rFonts w:hAnsi="宋体"/>
          <w:color w:val="auto"/>
          <w:highlight w:val="none"/>
        </w:rPr>
        <w:t>我方保证的金额是主合同约定的工程款的</w:t>
      </w:r>
      <w:r>
        <w:rPr>
          <w:color w:val="auto"/>
          <w:highlight w:val="none"/>
          <w:u w:val="single"/>
        </w:rPr>
        <w:t xml:space="preserve">      </w:t>
      </w:r>
      <w:r>
        <w:rPr>
          <w:color w:val="auto"/>
          <w:highlight w:val="none"/>
        </w:rPr>
        <w:t>%</w:t>
      </w:r>
      <w:r>
        <w:rPr>
          <w:rFonts w:hAnsi="宋体"/>
          <w:color w:val="auto"/>
          <w:highlight w:val="none"/>
        </w:rPr>
        <w:t>，数额最高不超过人民币元（大写：</w:t>
      </w:r>
      <w:r>
        <w:rPr>
          <w:color w:val="auto"/>
          <w:highlight w:val="none"/>
          <w:u w:val="single"/>
        </w:rPr>
        <w:t xml:space="preserve">        </w:t>
      </w:r>
      <w:r>
        <w:rPr>
          <w:rFonts w:hAnsi="宋体"/>
          <w:color w:val="auto"/>
          <w:highlight w:val="none"/>
        </w:rPr>
        <w:t>）。</w:t>
      </w:r>
    </w:p>
    <w:p>
      <w:pPr>
        <w:pStyle w:val="31"/>
        <w:ind w:firstLine="422"/>
        <w:rPr>
          <w:b/>
          <w:color w:val="auto"/>
          <w:highlight w:val="none"/>
        </w:rPr>
      </w:pPr>
      <w:r>
        <w:rPr>
          <w:b/>
          <w:color w:val="auto"/>
          <w:highlight w:val="none"/>
        </w:rPr>
        <w:t>二、保证的方式及保证期间</w:t>
      </w:r>
    </w:p>
    <w:p>
      <w:pPr>
        <w:spacing w:line="360" w:lineRule="auto"/>
        <w:ind w:firstLine="420" w:firstLineChars="200"/>
        <w:rPr>
          <w:color w:val="auto"/>
          <w:highlight w:val="none"/>
        </w:rPr>
      </w:pPr>
      <w:r>
        <w:rPr>
          <w:color w:val="auto"/>
          <w:highlight w:val="none"/>
        </w:rPr>
        <w:t xml:space="preserve">1. </w:t>
      </w:r>
      <w:r>
        <w:rPr>
          <w:rFonts w:hAnsi="宋体"/>
          <w:color w:val="auto"/>
          <w:highlight w:val="none"/>
        </w:rPr>
        <w:t>我方保证的方式为：连带责任保证。</w:t>
      </w:r>
    </w:p>
    <w:p>
      <w:pPr>
        <w:spacing w:line="360" w:lineRule="auto"/>
        <w:ind w:firstLine="420" w:firstLineChars="200"/>
        <w:rPr>
          <w:color w:val="auto"/>
          <w:highlight w:val="none"/>
        </w:rPr>
      </w:pPr>
      <w:r>
        <w:rPr>
          <w:color w:val="auto"/>
          <w:highlight w:val="none"/>
        </w:rPr>
        <w:t xml:space="preserve">2. </w:t>
      </w:r>
      <w:r>
        <w:rPr>
          <w:rFonts w:hAnsi="宋体"/>
          <w:color w:val="auto"/>
          <w:highlight w:val="none"/>
        </w:rPr>
        <w:t>我方保证的期间为：自本合同生效之日起至主合同约定的工程款支付完毕之日后</w:t>
      </w:r>
      <w:r>
        <w:rPr>
          <w:color w:val="auto"/>
          <w:highlight w:val="none"/>
          <w:u w:val="single"/>
        </w:rPr>
        <w:t xml:space="preserve">    </w:t>
      </w:r>
      <w:r>
        <w:rPr>
          <w:rFonts w:hAnsi="宋体"/>
          <w:color w:val="auto"/>
          <w:highlight w:val="none"/>
        </w:rPr>
        <w:t>日内。</w:t>
      </w:r>
    </w:p>
    <w:p>
      <w:pPr>
        <w:spacing w:line="360" w:lineRule="auto"/>
        <w:ind w:firstLine="420" w:firstLineChars="200"/>
        <w:rPr>
          <w:color w:val="auto"/>
          <w:highlight w:val="none"/>
        </w:rPr>
      </w:pPr>
      <w:r>
        <w:rPr>
          <w:color w:val="auto"/>
          <w:highlight w:val="none"/>
        </w:rPr>
        <w:t xml:space="preserve">3. </w:t>
      </w:r>
      <w:r>
        <w:rPr>
          <w:rFonts w:hAnsi="宋体"/>
          <w:color w:val="auto"/>
          <w:highlight w:val="none"/>
        </w:rPr>
        <w:t>你方与发包人协议变更工程款支付日期的，经我方书面同意后，保证期间按照变更后的支付日期做相应调整。</w:t>
      </w:r>
    </w:p>
    <w:p>
      <w:pPr>
        <w:pStyle w:val="31"/>
        <w:ind w:firstLine="422"/>
        <w:rPr>
          <w:b/>
          <w:color w:val="auto"/>
          <w:highlight w:val="none"/>
        </w:rPr>
      </w:pPr>
      <w:r>
        <w:rPr>
          <w:b/>
          <w:color w:val="auto"/>
          <w:highlight w:val="none"/>
        </w:rPr>
        <w:t>三、承担保证责任的形式</w:t>
      </w:r>
    </w:p>
    <w:p>
      <w:pPr>
        <w:spacing w:line="360" w:lineRule="auto"/>
        <w:ind w:firstLine="420" w:firstLineChars="200"/>
        <w:rPr>
          <w:color w:val="auto"/>
          <w:highlight w:val="none"/>
        </w:rPr>
      </w:pPr>
      <w:r>
        <w:rPr>
          <w:rFonts w:hAnsi="宋体"/>
          <w:color w:val="auto"/>
          <w:highlight w:val="none"/>
        </w:rPr>
        <w:t>我方承担保证责任的形式是代为支付。发包人未按主合同约定向你方支付工程款的，由我方在保证金额内代为支付。</w:t>
      </w:r>
    </w:p>
    <w:p>
      <w:pPr>
        <w:pStyle w:val="31"/>
        <w:ind w:firstLine="422"/>
        <w:rPr>
          <w:b/>
          <w:color w:val="auto"/>
          <w:highlight w:val="none"/>
        </w:rPr>
      </w:pPr>
      <w:r>
        <w:rPr>
          <w:b/>
          <w:color w:val="auto"/>
          <w:highlight w:val="none"/>
        </w:rPr>
        <w:t>四、代偿的安排</w:t>
      </w:r>
    </w:p>
    <w:p>
      <w:pPr>
        <w:spacing w:line="360" w:lineRule="auto"/>
        <w:ind w:firstLine="420" w:firstLineChars="200"/>
        <w:rPr>
          <w:color w:val="auto"/>
          <w:highlight w:val="none"/>
        </w:rPr>
      </w:pPr>
      <w:r>
        <w:rPr>
          <w:color w:val="auto"/>
          <w:highlight w:val="none"/>
        </w:rPr>
        <w:t xml:space="preserve">1. </w:t>
      </w:r>
      <w:r>
        <w:rPr>
          <w:rFonts w:hAnsi="宋体"/>
          <w:color w:val="auto"/>
          <w:highlight w:val="none"/>
        </w:rPr>
        <w:t>你方要求我方承担保证责任的，应向我方发出书面索赔通知及发包人未支付主合同约定工程款的证明材料。索赔通知应写明要求索赔的金额，支付款项应到达的账号。</w:t>
      </w:r>
    </w:p>
    <w:p>
      <w:pPr>
        <w:spacing w:line="360" w:lineRule="auto"/>
        <w:ind w:firstLine="420" w:firstLineChars="200"/>
        <w:rPr>
          <w:color w:val="auto"/>
          <w:highlight w:val="none"/>
        </w:rPr>
      </w:pPr>
      <w:r>
        <w:rPr>
          <w:color w:val="auto"/>
          <w:highlight w:val="none"/>
        </w:rPr>
        <w:t xml:space="preserve">2. </w:t>
      </w:r>
      <w:r>
        <w:rPr>
          <w:rFonts w:hAnsi="宋体"/>
          <w:color w:val="auto"/>
          <w:highlight w:val="none"/>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20" w:firstLineChars="200"/>
        <w:rPr>
          <w:color w:val="auto"/>
          <w:highlight w:val="none"/>
        </w:rPr>
      </w:pPr>
      <w:r>
        <w:rPr>
          <w:color w:val="auto"/>
          <w:highlight w:val="none"/>
        </w:rPr>
        <w:t xml:space="preserve">3. </w:t>
      </w:r>
      <w:r>
        <w:rPr>
          <w:rFonts w:hAnsi="宋体"/>
          <w:color w:val="auto"/>
          <w:highlight w:val="none"/>
        </w:rPr>
        <w:t>我方收到你方的书面索赔通知及相应的证明材料后７天内无条件支付。</w:t>
      </w:r>
    </w:p>
    <w:p>
      <w:pPr>
        <w:pStyle w:val="31"/>
        <w:ind w:firstLine="422"/>
        <w:rPr>
          <w:b/>
          <w:color w:val="auto"/>
          <w:highlight w:val="none"/>
        </w:rPr>
      </w:pPr>
      <w:r>
        <w:rPr>
          <w:b/>
          <w:color w:val="auto"/>
          <w:highlight w:val="none"/>
        </w:rPr>
        <w:t>五、保证责任的解除</w:t>
      </w:r>
    </w:p>
    <w:p>
      <w:pPr>
        <w:spacing w:line="360" w:lineRule="auto"/>
        <w:ind w:firstLine="420" w:firstLineChars="200"/>
        <w:rPr>
          <w:color w:val="auto"/>
          <w:highlight w:val="none"/>
        </w:rPr>
      </w:pPr>
      <w:r>
        <w:rPr>
          <w:color w:val="auto"/>
          <w:highlight w:val="none"/>
        </w:rPr>
        <w:t xml:space="preserve">1. </w:t>
      </w:r>
      <w:r>
        <w:rPr>
          <w:rFonts w:hAnsi="宋体"/>
          <w:color w:val="auto"/>
          <w:highlight w:val="none"/>
        </w:rPr>
        <w:t>在本保函承诺的保证期间内，你方未书面向我方主张保证责任的，自保证期间届满次日起，我方保证责任解除。</w:t>
      </w:r>
    </w:p>
    <w:p>
      <w:pPr>
        <w:spacing w:line="360" w:lineRule="auto"/>
        <w:ind w:firstLine="420" w:firstLineChars="200"/>
        <w:rPr>
          <w:color w:val="auto"/>
          <w:highlight w:val="none"/>
        </w:rPr>
      </w:pPr>
      <w:r>
        <w:rPr>
          <w:color w:val="auto"/>
          <w:highlight w:val="none"/>
        </w:rPr>
        <w:t xml:space="preserve">2. </w:t>
      </w:r>
      <w:r>
        <w:rPr>
          <w:rFonts w:hAnsi="宋体"/>
          <w:color w:val="auto"/>
          <w:highlight w:val="none"/>
        </w:rPr>
        <w:t>发包人按主合同约定履行了工程款的全部支付义务的，自本保函承诺的保证期间届满次日起，我方保证责任解除。</w:t>
      </w:r>
    </w:p>
    <w:p>
      <w:pPr>
        <w:spacing w:line="360" w:lineRule="auto"/>
        <w:ind w:firstLine="420" w:firstLineChars="200"/>
        <w:rPr>
          <w:color w:val="auto"/>
          <w:highlight w:val="none"/>
        </w:rPr>
      </w:pPr>
      <w:r>
        <w:rPr>
          <w:color w:val="auto"/>
          <w:highlight w:val="none"/>
        </w:rPr>
        <w:t xml:space="preserve">3. </w:t>
      </w:r>
      <w:r>
        <w:rPr>
          <w:rFonts w:hAnsi="宋体"/>
          <w:color w:val="auto"/>
          <w:highlight w:val="none"/>
        </w:rPr>
        <w:t>我方按照本保函向你方履行保证责任所支付金额达到本保函保证金额时，自我方向你方支付（支付款项从我方账户划出）之日起，保证责任即解除。</w:t>
      </w:r>
    </w:p>
    <w:p>
      <w:pPr>
        <w:spacing w:line="360" w:lineRule="auto"/>
        <w:ind w:firstLine="420" w:firstLineChars="200"/>
        <w:rPr>
          <w:color w:val="auto"/>
          <w:highlight w:val="none"/>
        </w:rPr>
      </w:pPr>
      <w:r>
        <w:rPr>
          <w:color w:val="auto"/>
          <w:highlight w:val="none"/>
        </w:rPr>
        <w:t xml:space="preserve">4. </w:t>
      </w:r>
      <w:r>
        <w:rPr>
          <w:rFonts w:hAnsi="宋体"/>
          <w:color w:val="auto"/>
          <w:highlight w:val="none"/>
        </w:rPr>
        <w:t>按照法律法规的规定或出现应解除我方保证责任的其他情形的，我方在本保函项下的保证责任亦解除。</w:t>
      </w:r>
    </w:p>
    <w:p>
      <w:pPr>
        <w:spacing w:line="360" w:lineRule="auto"/>
        <w:ind w:firstLine="420" w:firstLineChars="200"/>
        <w:rPr>
          <w:color w:val="auto"/>
          <w:highlight w:val="none"/>
        </w:rPr>
      </w:pPr>
      <w:r>
        <w:rPr>
          <w:color w:val="auto"/>
          <w:highlight w:val="none"/>
        </w:rPr>
        <w:t xml:space="preserve">5. </w:t>
      </w:r>
      <w:r>
        <w:rPr>
          <w:rFonts w:hAnsi="宋体"/>
          <w:color w:val="auto"/>
          <w:highlight w:val="none"/>
        </w:rPr>
        <w:t>我方解除保证责任后，你方应自我方保证责任解除之日起</w:t>
      </w:r>
      <w:r>
        <w:rPr>
          <w:color w:val="auto"/>
          <w:highlight w:val="none"/>
          <w:u w:val="single"/>
        </w:rPr>
        <w:t xml:space="preserve">  </w:t>
      </w:r>
      <w:r>
        <w:rPr>
          <w:rFonts w:hAnsi="宋体"/>
          <w:color w:val="auto"/>
          <w:highlight w:val="none"/>
        </w:rPr>
        <w:t>个工作日内，将本保函原件返还我方。</w:t>
      </w:r>
    </w:p>
    <w:p>
      <w:pPr>
        <w:pStyle w:val="31"/>
        <w:ind w:firstLine="422"/>
        <w:rPr>
          <w:b/>
          <w:color w:val="auto"/>
          <w:highlight w:val="none"/>
        </w:rPr>
      </w:pPr>
      <w:r>
        <w:rPr>
          <w:b/>
          <w:color w:val="auto"/>
          <w:highlight w:val="none"/>
        </w:rPr>
        <w:t>六、免责条款</w:t>
      </w:r>
    </w:p>
    <w:p>
      <w:pPr>
        <w:spacing w:line="360" w:lineRule="auto"/>
        <w:ind w:firstLine="420" w:firstLineChars="200"/>
        <w:rPr>
          <w:color w:val="auto"/>
          <w:highlight w:val="none"/>
        </w:rPr>
      </w:pPr>
      <w:r>
        <w:rPr>
          <w:color w:val="auto"/>
          <w:highlight w:val="none"/>
        </w:rPr>
        <w:t xml:space="preserve">1. </w:t>
      </w:r>
      <w:r>
        <w:rPr>
          <w:rFonts w:hAnsi="宋体"/>
          <w:color w:val="auto"/>
          <w:highlight w:val="none"/>
        </w:rPr>
        <w:t>因你方违约致使发包人不能履行义务的，我方不承担保证责任。</w:t>
      </w:r>
    </w:p>
    <w:p>
      <w:pPr>
        <w:spacing w:line="360" w:lineRule="auto"/>
        <w:ind w:firstLine="420" w:firstLineChars="200"/>
        <w:rPr>
          <w:color w:val="auto"/>
          <w:highlight w:val="none"/>
        </w:rPr>
      </w:pPr>
      <w:r>
        <w:rPr>
          <w:color w:val="auto"/>
          <w:highlight w:val="none"/>
        </w:rPr>
        <w:t xml:space="preserve">2. </w:t>
      </w:r>
      <w:r>
        <w:rPr>
          <w:rFonts w:hAnsi="宋体"/>
          <w:color w:val="auto"/>
          <w:highlight w:val="none"/>
        </w:rPr>
        <w:t>依照法律法规的规定或你方与发包人的另行约定，免除发包人部分或全部义务的，我方亦免除其相应的保证责任。</w:t>
      </w:r>
    </w:p>
    <w:p>
      <w:pPr>
        <w:spacing w:line="360" w:lineRule="auto"/>
        <w:ind w:firstLine="420" w:firstLineChars="200"/>
        <w:rPr>
          <w:color w:val="auto"/>
          <w:highlight w:val="none"/>
        </w:rPr>
      </w:pPr>
      <w:r>
        <w:rPr>
          <w:color w:val="auto"/>
          <w:highlight w:val="none"/>
        </w:rPr>
        <w:t xml:space="preserve">3. </w:t>
      </w:r>
      <w:r>
        <w:rPr>
          <w:rFonts w:hAnsi="宋体"/>
          <w:color w:val="auto"/>
          <w:highlight w:val="none"/>
        </w:rPr>
        <w:t>你方与发包人协议变更主合同的，如加重发包人责任致使我方保证责任加重的，需征得我方书面同意，否则我方不再承担因此而加重部分的保证责任，但主合同第</w:t>
      </w:r>
      <w:r>
        <w:rPr>
          <w:color w:val="auto"/>
          <w:highlight w:val="none"/>
        </w:rPr>
        <w:t>10</w:t>
      </w:r>
      <w:r>
        <w:rPr>
          <w:rFonts w:hAnsi="宋体"/>
          <w:color w:val="auto"/>
          <w:highlight w:val="none"/>
        </w:rPr>
        <w:t>条〔变更〕约定的变更不受本款限制。</w:t>
      </w:r>
    </w:p>
    <w:p>
      <w:pPr>
        <w:spacing w:line="360" w:lineRule="auto"/>
        <w:ind w:firstLine="420" w:firstLineChars="200"/>
        <w:rPr>
          <w:color w:val="auto"/>
          <w:highlight w:val="none"/>
        </w:rPr>
      </w:pPr>
      <w:r>
        <w:rPr>
          <w:color w:val="auto"/>
          <w:highlight w:val="none"/>
        </w:rPr>
        <w:t xml:space="preserve">4. </w:t>
      </w:r>
      <w:r>
        <w:rPr>
          <w:rFonts w:hAnsi="宋体"/>
          <w:color w:val="auto"/>
          <w:highlight w:val="none"/>
        </w:rPr>
        <w:t>因不可抗力造成发包人不能履行义务的，我方不承担保证责任。</w:t>
      </w:r>
    </w:p>
    <w:p>
      <w:pPr>
        <w:pStyle w:val="31"/>
        <w:ind w:firstLine="422"/>
        <w:rPr>
          <w:b/>
          <w:color w:val="auto"/>
          <w:highlight w:val="none"/>
        </w:rPr>
      </w:pPr>
      <w:r>
        <w:rPr>
          <w:b/>
          <w:color w:val="auto"/>
          <w:highlight w:val="none"/>
        </w:rPr>
        <w:t>七、争议解决</w:t>
      </w:r>
    </w:p>
    <w:p>
      <w:pPr>
        <w:spacing w:after="120" w:line="360" w:lineRule="auto"/>
        <w:ind w:firstLine="420" w:firstLineChars="200"/>
        <w:rPr>
          <w:color w:val="auto"/>
          <w:highlight w:val="none"/>
        </w:rPr>
      </w:pPr>
      <w:r>
        <w:rPr>
          <w:rFonts w:hAnsi="宋体"/>
          <w:color w:val="auto"/>
          <w:highlight w:val="none"/>
        </w:rPr>
        <w:t>因本保函或本保函相关事项发生的纠纷，可由双方协商解决，协商不成的，按下列第</w:t>
      </w:r>
      <w:r>
        <w:rPr>
          <w:color w:val="auto"/>
          <w:highlight w:val="none"/>
          <w:u w:val="single"/>
        </w:rPr>
        <w:t xml:space="preserve">     </w:t>
      </w:r>
      <w:r>
        <w:rPr>
          <w:rFonts w:hAnsi="宋体"/>
          <w:color w:val="auto"/>
          <w:highlight w:val="none"/>
        </w:rPr>
        <w:t>种方式解决：</w:t>
      </w:r>
    </w:p>
    <w:p>
      <w:pPr>
        <w:spacing w:line="360" w:lineRule="auto"/>
        <w:ind w:firstLine="420" w:firstLineChars="200"/>
        <w:rPr>
          <w:color w:val="auto"/>
          <w:highlight w:val="none"/>
        </w:rPr>
      </w:pPr>
      <w:r>
        <w:rPr>
          <w:rFonts w:hAnsi="宋体"/>
          <w:color w:val="auto"/>
          <w:highlight w:val="none"/>
        </w:rPr>
        <w:t>（</w:t>
      </w:r>
      <w:r>
        <w:rPr>
          <w:color w:val="auto"/>
          <w:highlight w:val="none"/>
        </w:rPr>
        <w:t>1</w:t>
      </w:r>
      <w:r>
        <w:rPr>
          <w:rFonts w:hAnsi="宋体"/>
          <w:color w:val="auto"/>
          <w:highlight w:val="none"/>
        </w:rPr>
        <w:t>）向</w:t>
      </w:r>
      <w:r>
        <w:rPr>
          <w:color w:val="auto"/>
          <w:highlight w:val="none"/>
          <w:u w:val="single"/>
        </w:rPr>
        <w:t xml:space="preserve">                     </w:t>
      </w:r>
      <w:r>
        <w:rPr>
          <w:rFonts w:hAnsi="宋体"/>
          <w:color w:val="auto"/>
          <w:highlight w:val="none"/>
        </w:rPr>
        <w:t>仲裁委员会申请仲裁；</w:t>
      </w:r>
    </w:p>
    <w:p>
      <w:pPr>
        <w:spacing w:line="360" w:lineRule="auto"/>
        <w:ind w:firstLine="420" w:firstLineChars="200"/>
        <w:rPr>
          <w:color w:val="auto"/>
          <w:highlight w:val="none"/>
        </w:rPr>
      </w:pPr>
      <w:r>
        <w:rPr>
          <w:rFonts w:hAnsi="宋体"/>
          <w:color w:val="auto"/>
          <w:highlight w:val="none"/>
        </w:rPr>
        <w:t>（</w:t>
      </w:r>
      <w:r>
        <w:rPr>
          <w:color w:val="auto"/>
          <w:highlight w:val="none"/>
        </w:rPr>
        <w:t>2</w:t>
      </w:r>
      <w:r>
        <w:rPr>
          <w:rFonts w:hAnsi="宋体"/>
          <w:color w:val="auto"/>
          <w:highlight w:val="none"/>
        </w:rPr>
        <w:t>）向</w:t>
      </w:r>
      <w:r>
        <w:rPr>
          <w:color w:val="auto"/>
          <w:highlight w:val="none"/>
          <w:u w:val="single"/>
        </w:rPr>
        <w:t xml:space="preserve">                     </w:t>
      </w:r>
      <w:r>
        <w:rPr>
          <w:rFonts w:hAnsi="宋体"/>
          <w:color w:val="auto"/>
          <w:highlight w:val="none"/>
        </w:rPr>
        <w:t>人民法院起诉。</w:t>
      </w:r>
    </w:p>
    <w:p>
      <w:pPr>
        <w:pStyle w:val="31"/>
        <w:ind w:firstLine="422"/>
        <w:rPr>
          <w:b/>
          <w:color w:val="auto"/>
          <w:highlight w:val="none"/>
        </w:rPr>
      </w:pPr>
      <w:r>
        <w:rPr>
          <w:b/>
          <w:color w:val="auto"/>
          <w:highlight w:val="none"/>
        </w:rPr>
        <w:t>八、保函的生效</w:t>
      </w:r>
    </w:p>
    <w:p>
      <w:pPr>
        <w:spacing w:line="360" w:lineRule="auto"/>
        <w:ind w:firstLine="420" w:firstLineChars="200"/>
        <w:rPr>
          <w:color w:val="auto"/>
          <w:highlight w:val="none"/>
        </w:rPr>
      </w:pPr>
      <w:r>
        <w:rPr>
          <w:rFonts w:hAnsi="宋体"/>
          <w:color w:val="auto"/>
          <w:highlight w:val="none"/>
        </w:rPr>
        <w:t>本保函自我方法定代表人（或其授权代理人）签字并加盖公章之日起生效。</w:t>
      </w:r>
    </w:p>
    <w:p>
      <w:pPr>
        <w:spacing w:line="360" w:lineRule="auto"/>
        <w:ind w:right="600"/>
        <w:rPr>
          <w:color w:val="auto"/>
          <w:highlight w:val="none"/>
        </w:rPr>
      </w:pPr>
    </w:p>
    <w:p>
      <w:pPr>
        <w:spacing w:line="360" w:lineRule="auto"/>
        <w:ind w:right="600" w:firstLine="3570" w:firstLineChars="1700"/>
        <w:rPr>
          <w:rFonts w:hAnsi="宋体"/>
          <w:color w:val="auto"/>
          <w:highlight w:val="none"/>
        </w:rPr>
      </w:pPr>
    </w:p>
    <w:p>
      <w:pPr>
        <w:spacing w:line="360" w:lineRule="auto"/>
        <w:ind w:right="600" w:firstLine="3570" w:firstLineChars="1700"/>
        <w:rPr>
          <w:color w:val="auto"/>
          <w:highlight w:val="none"/>
        </w:rPr>
      </w:pPr>
      <w:r>
        <w:rPr>
          <w:rFonts w:hAnsi="宋体"/>
          <w:color w:val="auto"/>
          <w:highlight w:val="none"/>
        </w:rPr>
        <w:t>担保人：</w:t>
      </w:r>
      <w:r>
        <w:rPr>
          <w:color w:val="auto"/>
          <w:highlight w:val="none"/>
          <w:u w:val="single"/>
        </w:rPr>
        <w:t xml:space="preserve">                                   </w:t>
      </w:r>
      <w:r>
        <w:rPr>
          <w:rFonts w:hAnsi="宋体"/>
          <w:color w:val="auto"/>
          <w:highlight w:val="none"/>
        </w:rPr>
        <w:t>（盖章）</w:t>
      </w:r>
    </w:p>
    <w:p>
      <w:pPr>
        <w:spacing w:line="360" w:lineRule="auto"/>
        <w:ind w:right="1200" w:firstLine="3570" w:firstLineChars="1700"/>
        <w:outlineLvl w:val="0"/>
        <w:rPr>
          <w:color w:val="auto"/>
          <w:highlight w:val="none"/>
        </w:rPr>
      </w:pPr>
      <w:bookmarkStart w:id="3692" w:name="_Toc18342"/>
      <w:bookmarkStart w:id="3693" w:name="_Toc21381"/>
      <w:r>
        <w:rPr>
          <w:rFonts w:hAnsi="宋体"/>
          <w:color w:val="auto"/>
          <w:highlight w:val="none"/>
        </w:rPr>
        <w:t>法定代表人或委托代理人：</w:t>
      </w:r>
      <w:r>
        <w:rPr>
          <w:color w:val="auto"/>
          <w:highlight w:val="none"/>
          <w:u w:val="single"/>
        </w:rPr>
        <w:t xml:space="preserve">                   </w:t>
      </w:r>
      <w:r>
        <w:rPr>
          <w:rFonts w:hAnsi="宋体"/>
          <w:color w:val="auto"/>
          <w:highlight w:val="none"/>
        </w:rPr>
        <w:t>（签字）</w:t>
      </w:r>
      <w:bookmarkEnd w:id="3692"/>
      <w:bookmarkEnd w:id="3693"/>
    </w:p>
    <w:p>
      <w:pPr>
        <w:spacing w:line="360" w:lineRule="auto"/>
        <w:ind w:left="5248" w:leftChars="1697" w:hanging="1684" w:hangingChars="802"/>
        <w:rPr>
          <w:color w:val="auto"/>
          <w:highlight w:val="none"/>
        </w:rPr>
      </w:pPr>
      <w:r>
        <w:rPr>
          <w:rFonts w:hAnsi="宋体"/>
          <w:color w:val="auto"/>
          <w:highlight w:val="none"/>
        </w:rPr>
        <w:t>地</w:t>
      </w:r>
      <w:r>
        <w:rPr>
          <w:color w:val="auto"/>
          <w:highlight w:val="none"/>
        </w:rPr>
        <w:t xml:space="preserve">    </w:t>
      </w:r>
      <w:r>
        <w:rPr>
          <w:rFonts w:hAnsi="宋体"/>
          <w:color w:val="auto"/>
          <w:highlight w:val="none"/>
        </w:rPr>
        <w:t>址：</w:t>
      </w:r>
      <w:r>
        <w:rPr>
          <w:color w:val="auto"/>
          <w:highlight w:val="none"/>
          <w:u w:val="single"/>
        </w:rPr>
        <w:t xml:space="preserve">                                        </w:t>
      </w:r>
    </w:p>
    <w:p>
      <w:pPr>
        <w:spacing w:line="360" w:lineRule="auto"/>
        <w:ind w:left="5248" w:leftChars="1697" w:hanging="1684" w:hangingChars="802"/>
        <w:rPr>
          <w:color w:val="auto"/>
          <w:highlight w:val="none"/>
        </w:rPr>
      </w:pPr>
      <w:r>
        <w:rPr>
          <w:rFonts w:hAnsi="宋体"/>
          <w:color w:val="auto"/>
          <w:highlight w:val="none"/>
        </w:rPr>
        <w:t>邮政编码：</w:t>
      </w:r>
      <w:r>
        <w:rPr>
          <w:color w:val="auto"/>
          <w:highlight w:val="none"/>
          <w:u w:val="single"/>
        </w:rPr>
        <w:t xml:space="preserve">                                        </w:t>
      </w:r>
    </w:p>
    <w:p>
      <w:pPr>
        <w:spacing w:line="360" w:lineRule="auto"/>
        <w:ind w:left="5248" w:leftChars="1697" w:hanging="1684" w:hangingChars="802"/>
        <w:rPr>
          <w:color w:val="auto"/>
          <w:highlight w:val="none"/>
        </w:rPr>
      </w:pPr>
      <w:r>
        <w:rPr>
          <w:rFonts w:hAnsi="宋体"/>
          <w:color w:val="auto"/>
          <w:highlight w:val="none"/>
        </w:rPr>
        <w:t>传</w:t>
      </w:r>
      <w:r>
        <w:rPr>
          <w:color w:val="auto"/>
          <w:highlight w:val="none"/>
        </w:rPr>
        <w:t xml:space="preserve">    </w:t>
      </w:r>
      <w:r>
        <w:rPr>
          <w:rFonts w:hAnsi="宋体"/>
          <w:color w:val="auto"/>
          <w:highlight w:val="none"/>
        </w:rPr>
        <w:t>真：</w:t>
      </w:r>
      <w:r>
        <w:rPr>
          <w:color w:val="auto"/>
          <w:highlight w:val="none"/>
          <w:u w:val="single"/>
        </w:rPr>
        <w:t xml:space="preserve">                                        </w:t>
      </w:r>
    </w:p>
    <w:p>
      <w:pPr>
        <w:spacing w:line="360" w:lineRule="auto"/>
        <w:ind w:left="5258" w:right="150" w:hanging="5258" w:hangingChars="2504"/>
        <w:rPr>
          <w:color w:val="auto"/>
          <w:highlight w:val="none"/>
        </w:rPr>
      </w:pPr>
      <w:r>
        <w:rPr>
          <w:color w:val="auto"/>
          <w:highlight w:val="none"/>
        </w:rPr>
        <w:t xml:space="preserve">  </w:t>
      </w:r>
      <w:r>
        <w:rPr>
          <w:rFonts w:hint="eastAsia"/>
          <w:color w:val="auto"/>
          <w:highlight w:val="none"/>
        </w:rPr>
        <w:t xml:space="preserve">                                                           </w:t>
      </w:r>
      <w:r>
        <w:rPr>
          <w:color w:val="auto"/>
          <w:highlight w:val="none"/>
          <w:u w:val="single"/>
        </w:rPr>
        <w:t xml:space="preserve">               </w:t>
      </w:r>
      <w:r>
        <w:rPr>
          <w:rFonts w:hAnsi="宋体"/>
          <w:color w:val="auto"/>
          <w:highlight w:val="none"/>
        </w:rPr>
        <w:t>年</w:t>
      </w:r>
      <w:r>
        <w:rPr>
          <w:color w:val="auto"/>
          <w:highlight w:val="none"/>
          <w:u w:val="single"/>
        </w:rPr>
        <w:t xml:space="preserve">      </w:t>
      </w:r>
      <w:r>
        <w:rPr>
          <w:rFonts w:hAnsi="宋体"/>
          <w:color w:val="auto"/>
          <w:highlight w:val="none"/>
        </w:rPr>
        <w:t>月</w:t>
      </w:r>
      <w:r>
        <w:rPr>
          <w:color w:val="auto"/>
          <w:highlight w:val="none"/>
          <w:u w:val="single"/>
        </w:rPr>
        <w:t xml:space="preserve">      </w:t>
      </w:r>
      <w:r>
        <w:rPr>
          <w:rFonts w:hAnsi="宋体"/>
          <w:color w:val="auto"/>
          <w:highlight w:val="none"/>
        </w:rPr>
        <w:t>日</w:t>
      </w:r>
    </w:p>
    <w:p>
      <w:pPr>
        <w:spacing w:line="440" w:lineRule="exact"/>
        <w:rPr>
          <w:rFonts w:eastAsia="仿宋_GB2312"/>
          <w:color w:val="auto"/>
          <w:sz w:val="30"/>
          <w:szCs w:val="30"/>
          <w:highlight w:val="none"/>
        </w:rPr>
      </w:pPr>
    </w:p>
    <w:p>
      <w:pPr>
        <w:spacing w:line="440" w:lineRule="exact"/>
        <w:rPr>
          <w:rFonts w:eastAsia="仿宋_GB2312"/>
          <w:color w:val="auto"/>
          <w:sz w:val="30"/>
          <w:szCs w:val="30"/>
          <w:highlight w:val="none"/>
        </w:rPr>
      </w:pPr>
    </w:p>
    <w:p>
      <w:pPr>
        <w:spacing w:line="440" w:lineRule="exact"/>
        <w:rPr>
          <w:rFonts w:eastAsia="仿宋_GB2312"/>
          <w:color w:val="auto"/>
          <w:sz w:val="30"/>
          <w:szCs w:val="30"/>
          <w:highlight w:val="none"/>
        </w:rPr>
      </w:pPr>
    </w:p>
    <w:p>
      <w:pPr>
        <w:spacing w:line="440" w:lineRule="exact"/>
        <w:rPr>
          <w:rFonts w:eastAsia="仿宋_GB2312"/>
          <w:color w:val="auto"/>
          <w:sz w:val="30"/>
          <w:szCs w:val="30"/>
          <w:highlight w:val="none"/>
        </w:rPr>
      </w:pPr>
    </w:p>
    <w:p>
      <w:pPr>
        <w:spacing w:line="440" w:lineRule="exact"/>
        <w:rPr>
          <w:rFonts w:eastAsia="仿宋_GB2312"/>
          <w:color w:val="auto"/>
          <w:sz w:val="30"/>
          <w:szCs w:val="30"/>
          <w:highlight w:val="none"/>
        </w:rPr>
      </w:pPr>
    </w:p>
    <w:p>
      <w:pPr>
        <w:spacing w:line="440" w:lineRule="exact"/>
        <w:rPr>
          <w:rFonts w:eastAsia="仿宋_GB2312"/>
          <w:color w:val="auto"/>
          <w:sz w:val="30"/>
          <w:szCs w:val="30"/>
          <w:highlight w:val="none"/>
        </w:rPr>
      </w:pPr>
    </w:p>
    <w:p>
      <w:pPr>
        <w:spacing w:line="440" w:lineRule="exact"/>
        <w:rPr>
          <w:rFonts w:eastAsia="黑体"/>
          <w:color w:val="auto"/>
          <w:sz w:val="30"/>
          <w:szCs w:val="30"/>
          <w:highlight w:val="none"/>
        </w:rPr>
      </w:pPr>
      <w:r>
        <w:rPr>
          <w:rFonts w:eastAsia="仿宋_GB2312"/>
          <w:color w:val="auto"/>
          <w:sz w:val="30"/>
          <w:szCs w:val="30"/>
          <w:highlight w:val="none"/>
        </w:rPr>
        <w:t>附件11：</w:t>
      </w:r>
    </w:p>
    <w:p>
      <w:pPr>
        <w:pStyle w:val="31"/>
        <w:ind w:firstLine="600"/>
        <w:jc w:val="center"/>
        <w:outlineLvl w:val="0"/>
        <w:rPr>
          <w:rFonts w:ascii="黑体" w:hAnsi="黑体" w:eastAsia="黑体"/>
          <w:color w:val="auto"/>
          <w:sz w:val="30"/>
          <w:szCs w:val="30"/>
          <w:highlight w:val="none"/>
        </w:rPr>
      </w:pPr>
      <w:bookmarkStart w:id="3694" w:name="_Toc16445"/>
      <w:bookmarkStart w:id="3695" w:name="_Toc14000"/>
      <w:bookmarkStart w:id="3696" w:name="_Toc15200"/>
      <w:bookmarkStart w:id="3697" w:name="_Toc21231"/>
      <w:bookmarkStart w:id="3698" w:name="_Toc494271100"/>
      <w:bookmarkStart w:id="3699" w:name="_Toc4579"/>
      <w:bookmarkStart w:id="3700" w:name="_Toc455570347"/>
      <w:bookmarkStart w:id="3701" w:name="_Toc455164843"/>
      <w:r>
        <w:rPr>
          <w:rFonts w:ascii="黑体" w:hAnsi="黑体" w:eastAsia="黑体"/>
          <w:color w:val="auto"/>
          <w:sz w:val="30"/>
          <w:szCs w:val="30"/>
          <w:highlight w:val="none"/>
        </w:rPr>
        <w:t>11-1：材料暂估价表</w:t>
      </w:r>
      <w:bookmarkEnd w:id="3694"/>
      <w:bookmarkEnd w:id="3695"/>
      <w:bookmarkEnd w:id="3696"/>
      <w:bookmarkEnd w:id="3697"/>
      <w:bookmarkEnd w:id="3698"/>
      <w:bookmarkEnd w:id="3699"/>
      <w:bookmarkEnd w:id="3700"/>
      <w:bookmarkEnd w:id="3701"/>
    </w:p>
    <w:tbl>
      <w:tblPr>
        <w:tblStyle w:val="13"/>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序号</w:t>
            </w:r>
          </w:p>
        </w:tc>
        <w:tc>
          <w:tcPr>
            <w:tcW w:w="1984" w:type="dxa"/>
            <w:tcBorders>
              <w:top w:val="single" w:color="auto" w:sz="12" w:space="0"/>
              <w:bottom w:val="double" w:color="auto" w:sz="6" w:space="0"/>
            </w:tcBorders>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名称</w:t>
            </w:r>
          </w:p>
        </w:tc>
        <w:tc>
          <w:tcPr>
            <w:tcW w:w="851" w:type="dxa"/>
            <w:tcBorders>
              <w:top w:val="single" w:color="auto" w:sz="12" w:space="0"/>
              <w:bottom w:val="double" w:color="auto" w:sz="6" w:space="0"/>
            </w:tcBorders>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单位</w:t>
            </w:r>
          </w:p>
        </w:tc>
        <w:tc>
          <w:tcPr>
            <w:tcW w:w="774" w:type="dxa"/>
            <w:tcBorders>
              <w:top w:val="single" w:color="auto" w:sz="12" w:space="0"/>
              <w:bottom w:val="double" w:color="auto" w:sz="6" w:space="0"/>
            </w:tcBorders>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数量</w:t>
            </w:r>
          </w:p>
        </w:tc>
        <w:tc>
          <w:tcPr>
            <w:tcW w:w="1352" w:type="dxa"/>
            <w:tcBorders>
              <w:top w:val="single" w:color="auto" w:sz="12" w:space="0"/>
              <w:bottom w:val="double" w:color="auto" w:sz="6" w:space="0"/>
            </w:tcBorders>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单价（元）</w:t>
            </w:r>
          </w:p>
        </w:tc>
        <w:tc>
          <w:tcPr>
            <w:tcW w:w="1418" w:type="dxa"/>
            <w:tcBorders>
              <w:top w:val="single" w:color="auto" w:sz="12" w:space="0"/>
              <w:bottom w:val="double" w:color="auto" w:sz="6" w:space="0"/>
            </w:tcBorders>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合价（元）</w:t>
            </w:r>
          </w:p>
        </w:tc>
        <w:tc>
          <w:tcPr>
            <w:tcW w:w="1701" w:type="dxa"/>
            <w:tcBorders>
              <w:top w:val="single" w:color="auto" w:sz="12" w:space="0"/>
              <w:bottom w:val="double" w:color="auto" w:sz="6" w:space="0"/>
            </w:tcBorders>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keepNext/>
              <w:spacing w:line="440" w:lineRule="exact"/>
              <w:ind w:left="63" w:leftChars="30" w:right="63" w:rightChars="30"/>
              <w:jc w:val="center"/>
              <w:rPr>
                <w:rFonts w:eastAsia="仿宋_GB2312"/>
                <w:color w:val="auto"/>
                <w:sz w:val="28"/>
                <w:szCs w:val="30"/>
                <w:highlight w:val="none"/>
              </w:rPr>
            </w:pPr>
          </w:p>
        </w:tc>
        <w:tc>
          <w:tcPr>
            <w:tcW w:w="1984" w:type="dxa"/>
            <w:tcBorders>
              <w:top w:val="double" w:color="auto" w:sz="6" w:space="0"/>
              <w:bottom w:val="single" w:color="auto" w:sz="6" w:space="0"/>
            </w:tcBorders>
          </w:tcPr>
          <w:p>
            <w:pPr>
              <w:keepNext/>
              <w:spacing w:line="440" w:lineRule="exact"/>
              <w:ind w:left="63" w:leftChars="30" w:right="63" w:rightChars="30"/>
              <w:jc w:val="center"/>
              <w:rPr>
                <w:rFonts w:eastAsia="仿宋_GB2312"/>
                <w:color w:val="auto"/>
                <w:sz w:val="28"/>
                <w:szCs w:val="30"/>
                <w:highlight w:val="none"/>
              </w:rPr>
            </w:pPr>
          </w:p>
        </w:tc>
        <w:tc>
          <w:tcPr>
            <w:tcW w:w="851" w:type="dxa"/>
            <w:tcBorders>
              <w:top w:val="double" w:color="auto" w:sz="6" w:space="0"/>
              <w:bottom w:val="single" w:color="auto" w:sz="6" w:space="0"/>
            </w:tcBorders>
          </w:tcPr>
          <w:p>
            <w:pPr>
              <w:keepNext/>
              <w:spacing w:line="440" w:lineRule="exact"/>
              <w:ind w:left="63" w:leftChars="30" w:right="63" w:rightChars="30"/>
              <w:jc w:val="center"/>
              <w:rPr>
                <w:rFonts w:eastAsia="仿宋_GB2312"/>
                <w:color w:val="auto"/>
                <w:sz w:val="28"/>
                <w:szCs w:val="30"/>
                <w:highlight w:val="none"/>
              </w:rPr>
            </w:pPr>
          </w:p>
        </w:tc>
        <w:tc>
          <w:tcPr>
            <w:tcW w:w="774" w:type="dxa"/>
            <w:tcBorders>
              <w:top w:val="double" w:color="auto" w:sz="6" w:space="0"/>
              <w:bottom w:val="single" w:color="auto" w:sz="6" w:space="0"/>
            </w:tcBorders>
          </w:tcPr>
          <w:p>
            <w:pPr>
              <w:keepNext/>
              <w:spacing w:line="440" w:lineRule="exact"/>
              <w:ind w:left="63" w:leftChars="30" w:right="63" w:rightChars="30"/>
              <w:jc w:val="center"/>
              <w:rPr>
                <w:rFonts w:eastAsia="仿宋_GB2312"/>
                <w:color w:val="auto"/>
                <w:sz w:val="28"/>
                <w:szCs w:val="30"/>
                <w:highlight w:val="none"/>
              </w:rPr>
            </w:pPr>
          </w:p>
        </w:tc>
        <w:tc>
          <w:tcPr>
            <w:tcW w:w="1352" w:type="dxa"/>
            <w:tcBorders>
              <w:top w:val="double" w:color="auto" w:sz="6" w:space="0"/>
              <w:bottom w:val="single" w:color="auto" w:sz="6" w:space="0"/>
            </w:tcBorders>
          </w:tcPr>
          <w:p>
            <w:pPr>
              <w:keepNext/>
              <w:spacing w:line="440" w:lineRule="exact"/>
              <w:ind w:left="63" w:leftChars="30" w:right="63" w:rightChars="30"/>
              <w:jc w:val="center"/>
              <w:rPr>
                <w:rFonts w:eastAsia="仿宋_GB2312"/>
                <w:color w:val="auto"/>
                <w:sz w:val="28"/>
                <w:szCs w:val="30"/>
                <w:highlight w:val="none"/>
              </w:rPr>
            </w:pPr>
          </w:p>
        </w:tc>
        <w:tc>
          <w:tcPr>
            <w:tcW w:w="1418" w:type="dxa"/>
            <w:tcBorders>
              <w:top w:val="double" w:color="auto" w:sz="6" w:space="0"/>
              <w:bottom w:val="single" w:color="auto" w:sz="6" w:space="0"/>
            </w:tcBorders>
          </w:tcPr>
          <w:p>
            <w:pPr>
              <w:keepNext/>
              <w:spacing w:line="440" w:lineRule="exact"/>
              <w:ind w:left="63" w:leftChars="30" w:right="63" w:rightChars="30"/>
              <w:jc w:val="center"/>
              <w:rPr>
                <w:rFonts w:eastAsia="仿宋_GB2312"/>
                <w:color w:val="auto"/>
                <w:sz w:val="28"/>
                <w:szCs w:val="30"/>
                <w:highlight w:val="none"/>
              </w:rPr>
            </w:pPr>
          </w:p>
        </w:tc>
        <w:tc>
          <w:tcPr>
            <w:tcW w:w="1701" w:type="dxa"/>
            <w:tcBorders>
              <w:top w:val="double" w:color="auto" w:sz="6" w:space="0"/>
              <w:bottom w:val="single" w:color="auto" w:sz="6" w:space="0"/>
            </w:tcBorders>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keepNext/>
              <w:spacing w:line="440" w:lineRule="exact"/>
              <w:ind w:left="63" w:leftChars="30" w:right="63" w:rightChars="30"/>
              <w:jc w:val="center"/>
              <w:rPr>
                <w:rFonts w:eastAsia="仿宋_GB2312"/>
                <w:color w:val="auto"/>
                <w:sz w:val="28"/>
                <w:szCs w:val="30"/>
                <w:highlight w:val="none"/>
              </w:rPr>
            </w:pPr>
          </w:p>
        </w:tc>
        <w:tc>
          <w:tcPr>
            <w:tcW w:w="1984" w:type="dxa"/>
            <w:tcBorders>
              <w:top w:val="nil"/>
            </w:tcBorders>
          </w:tcPr>
          <w:p>
            <w:pPr>
              <w:keepNext/>
              <w:spacing w:line="440" w:lineRule="exact"/>
              <w:ind w:left="63" w:leftChars="30" w:right="63" w:rightChars="30"/>
              <w:jc w:val="center"/>
              <w:rPr>
                <w:rFonts w:eastAsia="仿宋_GB2312"/>
                <w:color w:val="auto"/>
                <w:sz w:val="28"/>
                <w:szCs w:val="30"/>
                <w:highlight w:val="none"/>
              </w:rPr>
            </w:pPr>
          </w:p>
        </w:tc>
        <w:tc>
          <w:tcPr>
            <w:tcW w:w="851" w:type="dxa"/>
            <w:tcBorders>
              <w:top w:val="nil"/>
            </w:tcBorders>
          </w:tcPr>
          <w:p>
            <w:pPr>
              <w:keepNext/>
              <w:spacing w:line="440" w:lineRule="exact"/>
              <w:ind w:left="63" w:leftChars="30" w:right="63" w:rightChars="30"/>
              <w:jc w:val="center"/>
              <w:rPr>
                <w:rFonts w:eastAsia="仿宋_GB2312"/>
                <w:color w:val="auto"/>
                <w:sz w:val="28"/>
                <w:szCs w:val="30"/>
                <w:highlight w:val="none"/>
              </w:rPr>
            </w:pPr>
          </w:p>
        </w:tc>
        <w:tc>
          <w:tcPr>
            <w:tcW w:w="774" w:type="dxa"/>
            <w:tcBorders>
              <w:top w:val="nil"/>
            </w:tcBorders>
          </w:tcPr>
          <w:p>
            <w:pPr>
              <w:keepNext/>
              <w:spacing w:line="440" w:lineRule="exact"/>
              <w:ind w:left="63" w:leftChars="30" w:right="63" w:rightChars="30"/>
              <w:jc w:val="center"/>
              <w:rPr>
                <w:rFonts w:eastAsia="仿宋_GB2312"/>
                <w:color w:val="auto"/>
                <w:sz w:val="28"/>
                <w:szCs w:val="30"/>
                <w:highlight w:val="none"/>
              </w:rPr>
            </w:pPr>
          </w:p>
        </w:tc>
        <w:tc>
          <w:tcPr>
            <w:tcW w:w="1352" w:type="dxa"/>
            <w:tcBorders>
              <w:top w:val="nil"/>
            </w:tcBorders>
          </w:tcPr>
          <w:p>
            <w:pPr>
              <w:keepNext/>
              <w:spacing w:line="440" w:lineRule="exact"/>
              <w:ind w:left="63" w:leftChars="30" w:right="63" w:rightChars="30"/>
              <w:jc w:val="center"/>
              <w:rPr>
                <w:rFonts w:eastAsia="仿宋_GB2312"/>
                <w:color w:val="auto"/>
                <w:sz w:val="28"/>
                <w:szCs w:val="30"/>
                <w:highlight w:val="none"/>
              </w:rPr>
            </w:pPr>
          </w:p>
        </w:tc>
        <w:tc>
          <w:tcPr>
            <w:tcW w:w="1418" w:type="dxa"/>
            <w:tcBorders>
              <w:top w:val="nil"/>
            </w:tcBorders>
          </w:tcPr>
          <w:p>
            <w:pPr>
              <w:keepNext/>
              <w:spacing w:line="440" w:lineRule="exact"/>
              <w:ind w:left="63" w:leftChars="30" w:right="63" w:rightChars="30"/>
              <w:jc w:val="center"/>
              <w:rPr>
                <w:rFonts w:eastAsia="仿宋_GB2312"/>
                <w:color w:val="auto"/>
                <w:sz w:val="28"/>
                <w:szCs w:val="30"/>
                <w:highlight w:val="none"/>
              </w:rPr>
            </w:pPr>
          </w:p>
        </w:tc>
        <w:tc>
          <w:tcPr>
            <w:tcW w:w="1701" w:type="dxa"/>
            <w:tcBorders>
              <w:top w:val="nil"/>
            </w:tcBorders>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bl>
    <w:p>
      <w:pPr>
        <w:spacing w:before="120" w:beforeLines="50" w:after="120" w:afterLines="50" w:line="440" w:lineRule="exact"/>
        <w:rPr>
          <w:rFonts w:eastAsia="黑体"/>
          <w:color w:val="auto"/>
          <w:sz w:val="30"/>
          <w:szCs w:val="30"/>
          <w:highlight w:val="none"/>
        </w:rPr>
      </w:pPr>
    </w:p>
    <w:p>
      <w:pPr>
        <w:spacing w:before="120" w:beforeLines="50" w:after="120" w:afterLines="50" w:line="440" w:lineRule="exact"/>
        <w:jc w:val="center"/>
        <w:rPr>
          <w:rFonts w:eastAsia="黑体"/>
          <w:color w:val="auto"/>
          <w:sz w:val="30"/>
          <w:szCs w:val="30"/>
          <w:highlight w:val="none"/>
        </w:rPr>
      </w:pPr>
      <w:r>
        <w:rPr>
          <w:rFonts w:eastAsia="黑体"/>
          <w:color w:val="auto"/>
          <w:sz w:val="30"/>
          <w:szCs w:val="30"/>
          <w:highlight w:val="none"/>
        </w:rPr>
        <w:br w:type="page"/>
      </w:r>
      <w:r>
        <w:rPr>
          <w:rFonts w:eastAsia="黑体"/>
          <w:color w:val="auto"/>
          <w:sz w:val="30"/>
          <w:szCs w:val="30"/>
          <w:highlight w:val="none"/>
        </w:rPr>
        <w:t>11-2：工程设备暂估价表</w:t>
      </w:r>
    </w:p>
    <w:tbl>
      <w:tblPr>
        <w:tblStyle w:val="13"/>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序号</w:t>
            </w:r>
          </w:p>
        </w:tc>
        <w:tc>
          <w:tcPr>
            <w:tcW w:w="1984" w:type="dxa"/>
            <w:tcBorders>
              <w:top w:val="single" w:color="auto" w:sz="12" w:space="0"/>
              <w:bottom w:val="double" w:color="auto" w:sz="6" w:space="0"/>
            </w:tcBorders>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名称</w:t>
            </w:r>
          </w:p>
        </w:tc>
        <w:tc>
          <w:tcPr>
            <w:tcW w:w="851" w:type="dxa"/>
            <w:tcBorders>
              <w:top w:val="single" w:color="auto" w:sz="12" w:space="0"/>
              <w:bottom w:val="double" w:color="auto" w:sz="6" w:space="0"/>
            </w:tcBorders>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单位</w:t>
            </w:r>
          </w:p>
        </w:tc>
        <w:tc>
          <w:tcPr>
            <w:tcW w:w="774" w:type="dxa"/>
            <w:tcBorders>
              <w:top w:val="single" w:color="auto" w:sz="12" w:space="0"/>
              <w:bottom w:val="double" w:color="auto" w:sz="6" w:space="0"/>
            </w:tcBorders>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数量</w:t>
            </w:r>
          </w:p>
        </w:tc>
        <w:tc>
          <w:tcPr>
            <w:tcW w:w="1352" w:type="dxa"/>
            <w:tcBorders>
              <w:top w:val="single" w:color="auto" w:sz="12" w:space="0"/>
              <w:bottom w:val="double" w:color="auto" w:sz="6" w:space="0"/>
            </w:tcBorders>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单价（元）</w:t>
            </w:r>
          </w:p>
        </w:tc>
        <w:tc>
          <w:tcPr>
            <w:tcW w:w="1418" w:type="dxa"/>
            <w:tcBorders>
              <w:top w:val="single" w:color="auto" w:sz="12" w:space="0"/>
              <w:bottom w:val="double" w:color="auto" w:sz="6" w:space="0"/>
            </w:tcBorders>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合价（元）</w:t>
            </w:r>
          </w:p>
        </w:tc>
        <w:tc>
          <w:tcPr>
            <w:tcW w:w="1701" w:type="dxa"/>
            <w:tcBorders>
              <w:top w:val="single" w:color="auto" w:sz="12" w:space="0"/>
              <w:bottom w:val="double" w:color="auto" w:sz="6" w:space="0"/>
            </w:tcBorders>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keepNext/>
              <w:spacing w:line="440" w:lineRule="exact"/>
              <w:ind w:left="63" w:leftChars="30" w:right="63" w:rightChars="30"/>
              <w:jc w:val="center"/>
              <w:rPr>
                <w:rFonts w:eastAsia="仿宋_GB2312"/>
                <w:color w:val="auto"/>
                <w:sz w:val="28"/>
                <w:szCs w:val="30"/>
                <w:highlight w:val="none"/>
              </w:rPr>
            </w:pPr>
          </w:p>
        </w:tc>
        <w:tc>
          <w:tcPr>
            <w:tcW w:w="1984" w:type="dxa"/>
            <w:tcBorders>
              <w:top w:val="double" w:color="auto" w:sz="6" w:space="0"/>
              <w:bottom w:val="single" w:color="auto" w:sz="6" w:space="0"/>
            </w:tcBorders>
          </w:tcPr>
          <w:p>
            <w:pPr>
              <w:keepNext/>
              <w:spacing w:line="440" w:lineRule="exact"/>
              <w:ind w:left="63" w:leftChars="30" w:right="63" w:rightChars="30"/>
              <w:jc w:val="center"/>
              <w:rPr>
                <w:rFonts w:eastAsia="仿宋_GB2312"/>
                <w:color w:val="auto"/>
                <w:sz w:val="28"/>
                <w:szCs w:val="30"/>
                <w:highlight w:val="none"/>
              </w:rPr>
            </w:pPr>
          </w:p>
        </w:tc>
        <w:tc>
          <w:tcPr>
            <w:tcW w:w="851" w:type="dxa"/>
            <w:tcBorders>
              <w:top w:val="double" w:color="auto" w:sz="6" w:space="0"/>
              <w:bottom w:val="single" w:color="auto" w:sz="6" w:space="0"/>
            </w:tcBorders>
          </w:tcPr>
          <w:p>
            <w:pPr>
              <w:keepNext/>
              <w:spacing w:line="440" w:lineRule="exact"/>
              <w:ind w:left="63" w:leftChars="30" w:right="63" w:rightChars="30"/>
              <w:jc w:val="center"/>
              <w:rPr>
                <w:rFonts w:eastAsia="仿宋_GB2312"/>
                <w:color w:val="auto"/>
                <w:sz w:val="28"/>
                <w:szCs w:val="30"/>
                <w:highlight w:val="none"/>
              </w:rPr>
            </w:pPr>
          </w:p>
        </w:tc>
        <w:tc>
          <w:tcPr>
            <w:tcW w:w="774" w:type="dxa"/>
            <w:tcBorders>
              <w:top w:val="double" w:color="auto" w:sz="6" w:space="0"/>
              <w:bottom w:val="single" w:color="auto" w:sz="6" w:space="0"/>
            </w:tcBorders>
          </w:tcPr>
          <w:p>
            <w:pPr>
              <w:keepNext/>
              <w:spacing w:line="440" w:lineRule="exact"/>
              <w:ind w:left="63" w:leftChars="30" w:right="63" w:rightChars="30"/>
              <w:jc w:val="center"/>
              <w:rPr>
                <w:rFonts w:eastAsia="仿宋_GB2312"/>
                <w:color w:val="auto"/>
                <w:sz w:val="28"/>
                <w:szCs w:val="30"/>
                <w:highlight w:val="none"/>
              </w:rPr>
            </w:pPr>
          </w:p>
        </w:tc>
        <w:tc>
          <w:tcPr>
            <w:tcW w:w="1352" w:type="dxa"/>
            <w:tcBorders>
              <w:top w:val="double" w:color="auto" w:sz="6" w:space="0"/>
              <w:bottom w:val="single" w:color="auto" w:sz="6" w:space="0"/>
            </w:tcBorders>
          </w:tcPr>
          <w:p>
            <w:pPr>
              <w:keepNext/>
              <w:spacing w:line="440" w:lineRule="exact"/>
              <w:ind w:left="63" w:leftChars="30" w:right="63" w:rightChars="30"/>
              <w:jc w:val="center"/>
              <w:rPr>
                <w:rFonts w:eastAsia="仿宋_GB2312"/>
                <w:color w:val="auto"/>
                <w:sz w:val="28"/>
                <w:szCs w:val="30"/>
                <w:highlight w:val="none"/>
              </w:rPr>
            </w:pPr>
          </w:p>
        </w:tc>
        <w:tc>
          <w:tcPr>
            <w:tcW w:w="1418" w:type="dxa"/>
            <w:tcBorders>
              <w:top w:val="double" w:color="auto" w:sz="6" w:space="0"/>
              <w:bottom w:val="single" w:color="auto" w:sz="6" w:space="0"/>
            </w:tcBorders>
          </w:tcPr>
          <w:p>
            <w:pPr>
              <w:keepNext/>
              <w:spacing w:line="440" w:lineRule="exact"/>
              <w:ind w:left="63" w:leftChars="30" w:right="63" w:rightChars="30"/>
              <w:jc w:val="center"/>
              <w:rPr>
                <w:rFonts w:eastAsia="仿宋_GB2312"/>
                <w:color w:val="auto"/>
                <w:sz w:val="28"/>
                <w:szCs w:val="30"/>
                <w:highlight w:val="none"/>
              </w:rPr>
            </w:pPr>
          </w:p>
        </w:tc>
        <w:tc>
          <w:tcPr>
            <w:tcW w:w="1701" w:type="dxa"/>
            <w:tcBorders>
              <w:top w:val="double" w:color="auto" w:sz="6" w:space="0"/>
              <w:bottom w:val="single" w:color="auto" w:sz="6" w:space="0"/>
            </w:tcBorders>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keepNext/>
              <w:spacing w:line="440" w:lineRule="exact"/>
              <w:ind w:left="63" w:leftChars="30" w:right="63" w:rightChars="30"/>
              <w:jc w:val="center"/>
              <w:rPr>
                <w:rFonts w:eastAsia="仿宋_GB2312"/>
                <w:color w:val="auto"/>
                <w:sz w:val="28"/>
                <w:szCs w:val="30"/>
                <w:highlight w:val="none"/>
              </w:rPr>
            </w:pPr>
          </w:p>
        </w:tc>
        <w:tc>
          <w:tcPr>
            <w:tcW w:w="1984" w:type="dxa"/>
            <w:tcBorders>
              <w:top w:val="nil"/>
            </w:tcBorders>
          </w:tcPr>
          <w:p>
            <w:pPr>
              <w:keepNext/>
              <w:spacing w:line="440" w:lineRule="exact"/>
              <w:ind w:left="63" w:leftChars="30" w:right="63" w:rightChars="30"/>
              <w:jc w:val="center"/>
              <w:rPr>
                <w:rFonts w:eastAsia="仿宋_GB2312"/>
                <w:color w:val="auto"/>
                <w:sz w:val="28"/>
                <w:szCs w:val="30"/>
                <w:highlight w:val="none"/>
              </w:rPr>
            </w:pPr>
          </w:p>
        </w:tc>
        <w:tc>
          <w:tcPr>
            <w:tcW w:w="851" w:type="dxa"/>
            <w:tcBorders>
              <w:top w:val="nil"/>
            </w:tcBorders>
          </w:tcPr>
          <w:p>
            <w:pPr>
              <w:keepNext/>
              <w:spacing w:line="440" w:lineRule="exact"/>
              <w:ind w:left="63" w:leftChars="30" w:right="63" w:rightChars="30"/>
              <w:jc w:val="center"/>
              <w:rPr>
                <w:rFonts w:eastAsia="仿宋_GB2312"/>
                <w:color w:val="auto"/>
                <w:sz w:val="28"/>
                <w:szCs w:val="30"/>
                <w:highlight w:val="none"/>
              </w:rPr>
            </w:pPr>
          </w:p>
        </w:tc>
        <w:tc>
          <w:tcPr>
            <w:tcW w:w="774" w:type="dxa"/>
            <w:tcBorders>
              <w:top w:val="nil"/>
            </w:tcBorders>
          </w:tcPr>
          <w:p>
            <w:pPr>
              <w:keepNext/>
              <w:spacing w:line="440" w:lineRule="exact"/>
              <w:ind w:left="63" w:leftChars="30" w:right="63" w:rightChars="30"/>
              <w:jc w:val="center"/>
              <w:rPr>
                <w:rFonts w:eastAsia="仿宋_GB2312"/>
                <w:color w:val="auto"/>
                <w:sz w:val="28"/>
                <w:szCs w:val="30"/>
                <w:highlight w:val="none"/>
              </w:rPr>
            </w:pPr>
          </w:p>
        </w:tc>
        <w:tc>
          <w:tcPr>
            <w:tcW w:w="1352" w:type="dxa"/>
            <w:tcBorders>
              <w:top w:val="nil"/>
            </w:tcBorders>
          </w:tcPr>
          <w:p>
            <w:pPr>
              <w:keepNext/>
              <w:spacing w:line="440" w:lineRule="exact"/>
              <w:ind w:left="63" w:leftChars="30" w:right="63" w:rightChars="30"/>
              <w:jc w:val="center"/>
              <w:rPr>
                <w:rFonts w:eastAsia="仿宋_GB2312"/>
                <w:color w:val="auto"/>
                <w:sz w:val="28"/>
                <w:szCs w:val="30"/>
                <w:highlight w:val="none"/>
              </w:rPr>
            </w:pPr>
          </w:p>
        </w:tc>
        <w:tc>
          <w:tcPr>
            <w:tcW w:w="1418" w:type="dxa"/>
            <w:tcBorders>
              <w:top w:val="nil"/>
            </w:tcBorders>
          </w:tcPr>
          <w:p>
            <w:pPr>
              <w:keepNext/>
              <w:spacing w:line="440" w:lineRule="exact"/>
              <w:ind w:left="63" w:leftChars="30" w:right="63" w:rightChars="30"/>
              <w:jc w:val="center"/>
              <w:rPr>
                <w:rFonts w:eastAsia="仿宋_GB2312"/>
                <w:color w:val="auto"/>
                <w:sz w:val="28"/>
                <w:szCs w:val="30"/>
                <w:highlight w:val="none"/>
              </w:rPr>
            </w:pPr>
          </w:p>
        </w:tc>
        <w:tc>
          <w:tcPr>
            <w:tcW w:w="1701" w:type="dxa"/>
            <w:tcBorders>
              <w:top w:val="nil"/>
            </w:tcBorders>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spacing w:line="440" w:lineRule="exact"/>
              <w:ind w:left="63" w:leftChars="30" w:right="63" w:rightChars="30"/>
              <w:jc w:val="center"/>
              <w:rPr>
                <w:rFonts w:eastAsia="仿宋_GB2312"/>
                <w:color w:val="auto"/>
                <w:sz w:val="28"/>
                <w:szCs w:val="30"/>
                <w:highlight w:val="none"/>
              </w:rPr>
            </w:pPr>
          </w:p>
        </w:tc>
        <w:tc>
          <w:tcPr>
            <w:tcW w:w="1984" w:type="dxa"/>
          </w:tcPr>
          <w:p>
            <w:pPr>
              <w:keepNext/>
              <w:spacing w:line="440" w:lineRule="exact"/>
              <w:ind w:left="63" w:leftChars="30" w:right="63" w:rightChars="30"/>
              <w:jc w:val="center"/>
              <w:rPr>
                <w:rFonts w:eastAsia="仿宋_GB2312"/>
                <w:color w:val="auto"/>
                <w:sz w:val="28"/>
                <w:szCs w:val="30"/>
                <w:highlight w:val="none"/>
              </w:rPr>
            </w:pPr>
          </w:p>
        </w:tc>
        <w:tc>
          <w:tcPr>
            <w:tcW w:w="851" w:type="dxa"/>
          </w:tcPr>
          <w:p>
            <w:pPr>
              <w:keepNext/>
              <w:spacing w:line="440" w:lineRule="exact"/>
              <w:ind w:left="63" w:leftChars="30" w:right="63" w:rightChars="30"/>
              <w:jc w:val="center"/>
              <w:rPr>
                <w:rFonts w:eastAsia="仿宋_GB2312"/>
                <w:color w:val="auto"/>
                <w:sz w:val="28"/>
                <w:szCs w:val="30"/>
                <w:highlight w:val="none"/>
              </w:rPr>
            </w:pPr>
          </w:p>
        </w:tc>
        <w:tc>
          <w:tcPr>
            <w:tcW w:w="774" w:type="dxa"/>
          </w:tcPr>
          <w:p>
            <w:pPr>
              <w:keepNext/>
              <w:spacing w:line="440" w:lineRule="exact"/>
              <w:ind w:left="63" w:leftChars="30" w:right="63" w:rightChars="30"/>
              <w:jc w:val="center"/>
              <w:rPr>
                <w:rFonts w:eastAsia="仿宋_GB2312"/>
                <w:color w:val="auto"/>
                <w:sz w:val="28"/>
                <w:szCs w:val="30"/>
                <w:highlight w:val="none"/>
              </w:rPr>
            </w:pPr>
          </w:p>
        </w:tc>
        <w:tc>
          <w:tcPr>
            <w:tcW w:w="1352" w:type="dxa"/>
          </w:tcPr>
          <w:p>
            <w:pPr>
              <w:keepNext/>
              <w:spacing w:line="440" w:lineRule="exact"/>
              <w:ind w:left="63" w:leftChars="30" w:right="63" w:rightChars="30"/>
              <w:jc w:val="center"/>
              <w:rPr>
                <w:rFonts w:eastAsia="仿宋_GB2312"/>
                <w:color w:val="auto"/>
                <w:sz w:val="28"/>
                <w:szCs w:val="30"/>
                <w:highlight w:val="none"/>
              </w:rPr>
            </w:pPr>
          </w:p>
        </w:tc>
        <w:tc>
          <w:tcPr>
            <w:tcW w:w="1418" w:type="dxa"/>
          </w:tcPr>
          <w:p>
            <w:pPr>
              <w:keepNext/>
              <w:spacing w:line="440" w:lineRule="exact"/>
              <w:ind w:left="63" w:leftChars="30" w:right="63" w:rightChars="30"/>
              <w:jc w:val="center"/>
              <w:rPr>
                <w:rFonts w:eastAsia="仿宋_GB2312"/>
                <w:color w:val="auto"/>
                <w:sz w:val="28"/>
                <w:szCs w:val="30"/>
                <w:highlight w:val="none"/>
              </w:rPr>
            </w:pPr>
          </w:p>
        </w:tc>
        <w:tc>
          <w:tcPr>
            <w:tcW w:w="1701" w:type="dxa"/>
          </w:tcPr>
          <w:p>
            <w:pPr>
              <w:keepNext/>
              <w:spacing w:line="440" w:lineRule="exact"/>
              <w:ind w:left="63" w:leftChars="30" w:right="63" w:rightChars="30"/>
              <w:jc w:val="center"/>
              <w:rPr>
                <w:rFonts w:eastAsia="仿宋_GB2312"/>
                <w:color w:val="auto"/>
                <w:sz w:val="28"/>
                <w:szCs w:val="30"/>
                <w:highlight w:val="none"/>
              </w:rPr>
            </w:pPr>
          </w:p>
        </w:tc>
      </w:tr>
    </w:tbl>
    <w:p>
      <w:pPr>
        <w:spacing w:line="440" w:lineRule="exact"/>
        <w:rPr>
          <w:rFonts w:eastAsia="仿宋_GB2312"/>
          <w:color w:val="auto"/>
          <w:sz w:val="30"/>
          <w:szCs w:val="30"/>
          <w:highlight w:val="none"/>
        </w:rPr>
      </w:pPr>
    </w:p>
    <w:p>
      <w:pPr>
        <w:spacing w:before="120" w:beforeLines="50" w:after="120" w:afterLines="50" w:line="440" w:lineRule="exact"/>
        <w:jc w:val="center"/>
        <w:rPr>
          <w:rFonts w:eastAsia="黑体"/>
          <w:color w:val="auto"/>
          <w:sz w:val="30"/>
          <w:szCs w:val="30"/>
          <w:highlight w:val="none"/>
        </w:rPr>
      </w:pPr>
      <w:r>
        <w:rPr>
          <w:rFonts w:eastAsia="仿宋_GB2312"/>
          <w:color w:val="auto"/>
          <w:sz w:val="30"/>
          <w:szCs w:val="30"/>
          <w:highlight w:val="none"/>
        </w:rPr>
        <w:br w:type="page"/>
      </w:r>
      <w:r>
        <w:rPr>
          <w:rFonts w:eastAsia="黑体"/>
          <w:color w:val="auto"/>
          <w:sz w:val="30"/>
          <w:szCs w:val="30"/>
          <w:highlight w:val="none"/>
        </w:rPr>
        <w:t>11-3：专业工程暂估价表</w:t>
      </w:r>
    </w:p>
    <w:tbl>
      <w:tblPr>
        <w:tblStyle w:val="1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序号</w:t>
            </w:r>
          </w:p>
        </w:tc>
        <w:tc>
          <w:tcPr>
            <w:tcW w:w="1984" w:type="dxa"/>
            <w:tcBorders>
              <w:top w:val="single" w:color="auto" w:sz="12" w:space="0"/>
              <w:bottom w:val="double" w:color="auto" w:sz="6" w:space="0"/>
            </w:tcBorders>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专业工程名称</w:t>
            </w:r>
          </w:p>
        </w:tc>
        <w:tc>
          <w:tcPr>
            <w:tcW w:w="4678" w:type="dxa"/>
            <w:tcBorders>
              <w:top w:val="single" w:color="auto" w:sz="12" w:space="0"/>
              <w:bottom w:val="double" w:color="auto" w:sz="6" w:space="0"/>
            </w:tcBorders>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工程内容</w:t>
            </w:r>
          </w:p>
        </w:tc>
        <w:tc>
          <w:tcPr>
            <w:tcW w:w="1276" w:type="dxa"/>
            <w:tcBorders>
              <w:top w:val="single" w:color="auto" w:sz="12" w:space="0"/>
              <w:bottom w:val="double" w:color="auto" w:sz="6" w:space="0"/>
            </w:tcBorders>
          </w:tcPr>
          <w:p>
            <w:pPr>
              <w:keepNext/>
              <w:spacing w:line="440" w:lineRule="exact"/>
              <w:ind w:left="63" w:leftChars="30" w:right="63" w:rightChars="30"/>
              <w:jc w:val="center"/>
              <w:rPr>
                <w:rFonts w:eastAsia="仿宋_GB2312"/>
                <w:color w:val="auto"/>
                <w:sz w:val="28"/>
                <w:szCs w:val="30"/>
                <w:highlight w:val="none"/>
              </w:rPr>
            </w:pPr>
            <w:r>
              <w:rPr>
                <w:rFonts w:eastAsia="仿宋_GB2312"/>
                <w:color w:val="auto"/>
                <w:sz w:val="28"/>
                <w:szCs w:val="30"/>
                <w:highlight w:val="none"/>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tcPr>
          <w:p>
            <w:pPr>
              <w:keepNext/>
              <w:spacing w:line="440" w:lineRule="exact"/>
              <w:ind w:left="63" w:leftChars="30" w:right="63" w:rightChars="30"/>
              <w:jc w:val="center"/>
              <w:rPr>
                <w:color w:val="auto"/>
                <w:highlight w:val="none"/>
              </w:rPr>
            </w:pPr>
          </w:p>
        </w:tc>
        <w:tc>
          <w:tcPr>
            <w:tcW w:w="1984" w:type="dxa"/>
            <w:tcBorders>
              <w:top w:val="double" w:color="auto" w:sz="6" w:space="0"/>
              <w:bottom w:val="single" w:color="auto" w:sz="6" w:space="0"/>
            </w:tcBorders>
          </w:tcPr>
          <w:p>
            <w:pPr>
              <w:keepNext/>
              <w:spacing w:line="440" w:lineRule="exact"/>
              <w:ind w:left="63" w:leftChars="30" w:right="63" w:rightChars="30"/>
              <w:jc w:val="center"/>
              <w:rPr>
                <w:color w:val="auto"/>
                <w:highlight w:val="none"/>
              </w:rPr>
            </w:pPr>
          </w:p>
        </w:tc>
        <w:tc>
          <w:tcPr>
            <w:tcW w:w="4678" w:type="dxa"/>
            <w:tcBorders>
              <w:top w:val="double" w:color="auto" w:sz="6" w:space="0"/>
              <w:bottom w:val="single" w:color="auto" w:sz="6" w:space="0"/>
            </w:tcBorders>
          </w:tcPr>
          <w:p>
            <w:pPr>
              <w:keepNext/>
              <w:spacing w:line="440" w:lineRule="exact"/>
              <w:ind w:left="63" w:leftChars="30" w:right="63" w:rightChars="30"/>
              <w:jc w:val="center"/>
              <w:rPr>
                <w:color w:val="auto"/>
                <w:highlight w:val="none"/>
              </w:rPr>
            </w:pPr>
          </w:p>
        </w:tc>
        <w:tc>
          <w:tcPr>
            <w:tcW w:w="1276" w:type="dxa"/>
            <w:tcBorders>
              <w:top w:val="double" w:color="auto" w:sz="6" w:space="0"/>
              <w:bottom w:val="single" w:color="auto" w:sz="6" w:space="0"/>
            </w:tcBorders>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keepNext/>
              <w:spacing w:line="440" w:lineRule="exact"/>
              <w:ind w:left="63" w:leftChars="30" w:right="63" w:rightChars="30"/>
              <w:jc w:val="center"/>
              <w:rPr>
                <w:color w:val="auto"/>
                <w:highlight w:val="none"/>
              </w:rPr>
            </w:pPr>
          </w:p>
        </w:tc>
        <w:tc>
          <w:tcPr>
            <w:tcW w:w="1984" w:type="dxa"/>
            <w:tcBorders>
              <w:top w:val="nil"/>
            </w:tcBorders>
          </w:tcPr>
          <w:p>
            <w:pPr>
              <w:keepNext/>
              <w:spacing w:line="440" w:lineRule="exact"/>
              <w:ind w:left="63" w:leftChars="30" w:right="63" w:rightChars="30"/>
              <w:jc w:val="center"/>
              <w:rPr>
                <w:color w:val="auto"/>
                <w:highlight w:val="none"/>
              </w:rPr>
            </w:pPr>
          </w:p>
        </w:tc>
        <w:tc>
          <w:tcPr>
            <w:tcW w:w="4678" w:type="dxa"/>
            <w:tcBorders>
              <w:top w:val="nil"/>
            </w:tcBorders>
          </w:tcPr>
          <w:p>
            <w:pPr>
              <w:keepNext/>
              <w:spacing w:line="440" w:lineRule="exact"/>
              <w:ind w:left="63" w:leftChars="30" w:right="63" w:rightChars="30"/>
              <w:jc w:val="center"/>
              <w:rPr>
                <w:color w:val="auto"/>
                <w:highlight w:val="none"/>
              </w:rPr>
            </w:pPr>
          </w:p>
        </w:tc>
        <w:tc>
          <w:tcPr>
            <w:tcW w:w="1276" w:type="dxa"/>
            <w:tcBorders>
              <w:top w:val="nil"/>
            </w:tcBorders>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Borders>
              <w:top w:val="nil"/>
            </w:tcBorders>
          </w:tcPr>
          <w:p>
            <w:pPr>
              <w:keepNext/>
              <w:spacing w:line="440" w:lineRule="exact"/>
              <w:ind w:left="63" w:leftChars="30" w:right="63" w:rightChars="30"/>
              <w:jc w:val="center"/>
              <w:rPr>
                <w:color w:val="auto"/>
                <w:highlight w:val="none"/>
              </w:rPr>
            </w:pPr>
          </w:p>
        </w:tc>
        <w:tc>
          <w:tcPr>
            <w:tcW w:w="1984" w:type="dxa"/>
            <w:tcBorders>
              <w:top w:val="nil"/>
            </w:tcBorders>
          </w:tcPr>
          <w:p>
            <w:pPr>
              <w:keepNext/>
              <w:spacing w:line="440" w:lineRule="exact"/>
              <w:ind w:left="63" w:leftChars="30" w:right="63" w:rightChars="30"/>
              <w:jc w:val="center"/>
              <w:rPr>
                <w:color w:val="auto"/>
                <w:highlight w:val="none"/>
              </w:rPr>
            </w:pPr>
          </w:p>
        </w:tc>
        <w:tc>
          <w:tcPr>
            <w:tcW w:w="4678" w:type="dxa"/>
            <w:tcBorders>
              <w:top w:val="nil"/>
            </w:tcBorders>
          </w:tcPr>
          <w:p>
            <w:pPr>
              <w:keepNext/>
              <w:spacing w:line="440" w:lineRule="exact"/>
              <w:ind w:left="63" w:leftChars="30" w:right="63" w:rightChars="30"/>
              <w:jc w:val="center"/>
              <w:rPr>
                <w:color w:val="auto"/>
                <w:highlight w:val="none"/>
              </w:rPr>
            </w:pPr>
          </w:p>
        </w:tc>
        <w:tc>
          <w:tcPr>
            <w:tcW w:w="1276" w:type="dxa"/>
            <w:tcBorders>
              <w:top w:val="nil"/>
            </w:tcBorders>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spacing w:line="440" w:lineRule="exact"/>
              <w:ind w:left="63" w:leftChars="30" w:right="63" w:rightChars="30"/>
              <w:jc w:val="center"/>
              <w:rPr>
                <w:color w:val="auto"/>
                <w:highlight w:val="none"/>
              </w:rPr>
            </w:pPr>
          </w:p>
        </w:tc>
        <w:tc>
          <w:tcPr>
            <w:tcW w:w="1984" w:type="dxa"/>
          </w:tcPr>
          <w:p>
            <w:pPr>
              <w:keepNext/>
              <w:spacing w:line="440" w:lineRule="exact"/>
              <w:ind w:left="63" w:leftChars="30" w:right="63" w:rightChars="30"/>
              <w:jc w:val="center"/>
              <w:rPr>
                <w:color w:val="auto"/>
                <w:highlight w:val="none"/>
              </w:rPr>
            </w:pPr>
          </w:p>
        </w:tc>
        <w:tc>
          <w:tcPr>
            <w:tcW w:w="4678" w:type="dxa"/>
          </w:tcPr>
          <w:p>
            <w:pPr>
              <w:keepNext/>
              <w:spacing w:line="440" w:lineRule="exact"/>
              <w:ind w:left="63" w:leftChars="30" w:right="63" w:rightChars="30"/>
              <w:jc w:val="center"/>
              <w:rPr>
                <w:color w:val="auto"/>
                <w:highlight w:val="none"/>
              </w:rPr>
            </w:pPr>
          </w:p>
        </w:tc>
        <w:tc>
          <w:tcPr>
            <w:tcW w:w="1276" w:type="dxa"/>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spacing w:line="440" w:lineRule="exact"/>
              <w:ind w:left="63" w:leftChars="30" w:right="63" w:rightChars="30"/>
              <w:jc w:val="center"/>
              <w:rPr>
                <w:color w:val="auto"/>
                <w:highlight w:val="none"/>
              </w:rPr>
            </w:pPr>
          </w:p>
        </w:tc>
        <w:tc>
          <w:tcPr>
            <w:tcW w:w="1984" w:type="dxa"/>
          </w:tcPr>
          <w:p>
            <w:pPr>
              <w:keepNext/>
              <w:spacing w:line="440" w:lineRule="exact"/>
              <w:ind w:left="63" w:leftChars="30" w:right="63" w:rightChars="30"/>
              <w:jc w:val="center"/>
              <w:rPr>
                <w:color w:val="auto"/>
                <w:highlight w:val="none"/>
              </w:rPr>
            </w:pPr>
          </w:p>
        </w:tc>
        <w:tc>
          <w:tcPr>
            <w:tcW w:w="4678" w:type="dxa"/>
          </w:tcPr>
          <w:p>
            <w:pPr>
              <w:keepNext/>
              <w:spacing w:line="440" w:lineRule="exact"/>
              <w:ind w:left="63" w:leftChars="30" w:right="63" w:rightChars="30"/>
              <w:jc w:val="center"/>
              <w:rPr>
                <w:color w:val="auto"/>
                <w:highlight w:val="none"/>
              </w:rPr>
            </w:pPr>
          </w:p>
        </w:tc>
        <w:tc>
          <w:tcPr>
            <w:tcW w:w="1276" w:type="dxa"/>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spacing w:line="440" w:lineRule="exact"/>
              <w:ind w:left="63" w:leftChars="30" w:right="63" w:rightChars="30"/>
              <w:jc w:val="center"/>
              <w:rPr>
                <w:color w:val="auto"/>
                <w:highlight w:val="none"/>
              </w:rPr>
            </w:pPr>
          </w:p>
        </w:tc>
        <w:tc>
          <w:tcPr>
            <w:tcW w:w="1984" w:type="dxa"/>
          </w:tcPr>
          <w:p>
            <w:pPr>
              <w:keepNext/>
              <w:spacing w:line="440" w:lineRule="exact"/>
              <w:ind w:left="63" w:leftChars="30" w:right="63" w:rightChars="30"/>
              <w:jc w:val="center"/>
              <w:rPr>
                <w:color w:val="auto"/>
                <w:highlight w:val="none"/>
              </w:rPr>
            </w:pPr>
          </w:p>
        </w:tc>
        <w:tc>
          <w:tcPr>
            <w:tcW w:w="4678" w:type="dxa"/>
          </w:tcPr>
          <w:p>
            <w:pPr>
              <w:keepNext/>
              <w:spacing w:line="440" w:lineRule="exact"/>
              <w:ind w:left="63" w:leftChars="30" w:right="63" w:rightChars="30"/>
              <w:jc w:val="center"/>
              <w:rPr>
                <w:color w:val="auto"/>
                <w:highlight w:val="none"/>
              </w:rPr>
            </w:pPr>
          </w:p>
        </w:tc>
        <w:tc>
          <w:tcPr>
            <w:tcW w:w="1276" w:type="dxa"/>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Pr>
          <w:p>
            <w:pPr>
              <w:keepNext/>
              <w:spacing w:line="440" w:lineRule="exact"/>
              <w:ind w:left="63" w:leftChars="30" w:right="63" w:rightChars="30"/>
              <w:jc w:val="center"/>
              <w:rPr>
                <w:color w:val="auto"/>
                <w:highlight w:val="none"/>
              </w:rPr>
            </w:pPr>
          </w:p>
        </w:tc>
        <w:tc>
          <w:tcPr>
            <w:tcW w:w="1984" w:type="dxa"/>
          </w:tcPr>
          <w:p>
            <w:pPr>
              <w:keepNext/>
              <w:spacing w:line="440" w:lineRule="exact"/>
              <w:ind w:left="63" w:leftChars="30" w:right="63" w:rightChars="30"/>
              <w:jc w:val="center"/>
              <w:rPr>
                <w:color w:val="auto"/>
                <w:highlight w:val="none"/>
              </w:rPr>
            </w:pPr>
          </w:p>
        </w:tc>
        <w:tc>
          <w:tcPr>
            <w:tcW w:w="4678" w:type="dxa"/>
          </w:tcPr>
          <w:p>
            <w:pPr>
              <w:keepNext/>
              <w:spacing w:line="440" w:lineRule="exact"/>
              <w:ind w:left="63" w:leftChars="30" w:right="63" w:rightChars="30"/>
              <w:jc w:val="center"/>
              <w:rPr>
                <w:color w:val="auto"/>
                <w:highlight w:val="none"/>
              </w:rPr>
            </w:pPr>
          </w:p>
        </w:tc>
        <w:tc>
          <w:tcPr>
            <w:tcW w:w="1276" w:type="dxa"/>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spacing w:line="440" w:lineRule="exact"/>
              <w:ind w:left="63" w:leftChars="30" w:right="63" w:rightChars="30"/>
              <w:jc w:val="center"/>
              <w:rPr>
                <w:color w:val="auto"/>
                <w:highlight w:val="none"/>
              </w:rPr>
            </w:pPr>
          </w:p>
        </w:tc>
        <w:tc>
          <w:tcPr>
            <w:tcW w:w="1984" w:type="dxa"/>
          </w:tcPr>
          <w:p>
            <w:pPr>
              <w:keepNext/>
              <w:spacing w:line="440" w:lineRule="exact"/>
              <w:ind w:left="63" w:leftChars="30" w:right="63" w:rightChars="30"/>
              <w:jc w:val="center"/>
              <w:rPr>
                <w:color w:val="auto"/>
                <w:highlight w:val="none"/>
              </w:rPr>
            </w:pPr>
          </w:p>
        </w:tc>
        <w:tc>
          <w:tcPr>
            <w:tcW w:w="4678" w:type="dxa"/>
          </w:tcPr>
          <w:p>
            <w:pPr>
              <w:keepNext/>
              <w:spacing w:line="440" w:lineRule="exact"/>
              <w:ind w:left="63" w:leftChars="30" w:right="63" w:rightChars="30"/>
              <w:jc w:val="center"/>
              <w:rPr>
                <w:color w:val="auto"/>
                <w:highlight w:val="none"/>
              </w:rPr>
            </w:pPr>
          </w:p>
        </w:tc>
        <w:tc>
          <w:tcPr>
            <w:tcW w:w="1276" w:type="dxa"/>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spacing w:line="440" w:lineRule="exact"/>
              <w:ind w:left="63" w:leftChars="30" w:right="63" w:rightChars="30"/>
              <w:jc w:val="center"/>
              <w:rPr>
                <w:color w:val="auto"/>
                <w:highlight w:val="none"/>
              </w:rPr>
            </w:pPr>
          </w:p>
        </w:tc>
        <w:tc>
          <w:tcPr>
            <w:tcW w:w="1984" w:type="dxa"/>
          </w:tcPr>
          <w:p>
            <w:pPr>
              <w:keepNext/>
              <w:spacing w:line="440" w:lineRule="exact"/>
              <w:ind w:left="63" w:leftChars="30" w:right="63" w:rightChars="30"/>
              <w:jc w:val="center"/>
              <w:rPr>
                <w:color w:val="auto"/>
                <w:highlight w:val="none"/>
              </w:rPr>
            </w:pPr>
          </w:p>
        </w:tc>
        <w:tc>
          <w:tcPr>
            <w:tcW w:w="4678" w:type="dxa"/>
          </w:tcPr>
          <w:p>
            <w:pPr>
              <w:keepNext/>
              <w:spacing w:line="440" w:lineRule="exact"/>
              <w:ind w:left="63" w:leftChars="30" w:right="63" w:rightChars="30"/>
              <w:jc w:val="center"/>
              <w:rPr>
                <w:color w:val="auto"/>
                <w:highlight w:val="none"/>
              </w:rPr>
            </w:pPr>
          </w:p>
        </w:tc>
        <w:tc>
          <w:tcPr>
            <w:tcW w:w="1276" w:type="dxa"/>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spacing w:line="440" w:lineRule="exact"/>
              <w:ind w:left="63" w:leftChars="30" w:right="63" w:rightChars="30"/>
              <w:jc w:val="center"/>
              <w:rPr>
                <w:color w:val="auto"/>
                <w:highlight w:val="none"/>
              </w:rPr>
            </w:pPr>
          </w:p>
        </w:tc>
        <w:tc>
          <w:tcPr>
            <w:tcW w:w="1984" w:type="dxa"/>
          </w:tcPr>
          <w:p>
            <w:pPr>
              <w:keepNext/>
              <w:spacing w:line="440" w:lineRule="exact"/>
              <w:ind w:left="63" w:leftChars="30" w:right="63" w:rightChars="30"/>
              <w:jc w:val="center"/>
              <w:rPr>
                <w:color w:val="auto"/>
                <w:highlight w:val="none"/>
              </w:rPr>
            </w:pPr>
          </w:p>
        </w:tc>
        <w:tc>
          <w:tcPr>
            <w:tcW w:w="4678" w:type="dxa"/>
          </w:tcPr>
          <w:p>
            <w:pPr>
              <w:keepNext/>
              <w:spacing w:line="440" w:lineRule="exact"/>
              <w:ind w:left="63" w:leftChars="30" w:right="63" w:rightChars="30"/>
              <w:jc w:val="center"/>
              <w:rPr>
                <w:color w:val="auto"/>
                <w:highlight w:val="none"/>
              </w:rPr>
            </w:pPr>
          </w:p>
        </w:tc>
        <w:tc>
          <w:tcPr>
            <w:tcW w:w="1276" w:type="dxa"/>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Pr>
          <w:p>
            <w:pPr>
              <w:keepNext/>
              <w:spacing w:line="440" w:lineRule="exact"/>
              <w:ind w:left="63" w:leftChars="30" w:right="63" w:rightChars="30"/>
              <w:jc w:val="center"/>
              <w:rPr>
                <w:color w:val="auto"/>
                <w:highlight w:val="none"/>
              </w:rPr>
            </w:pPr>
          </w:p>
        </w:tc>
        <w:tc>
          <w:tcPr>
            <w:tcW w:w="1984" w:type="dxa"/>
          </w:tcPr>
          <w:p>
            <w:pPr>
              <w:keepNext/>
              <w:spacing w:line="440" w:lineRule="exact"/>
              <w:ind w:left="63" w:leftChars="30" w:right="63" w:rightChars="30"/>
              <w:jc w:val="center"/>
              <w:rPr>
                <w:color w:val="auto"/>
                <w:highlight w:val="none"/>
              </w:rPr>
            </w:pPr>
          </w:p>
        </w:tc>
        <w:tc>
          <w:tcPr>
            <w:tcW w:w="4678" w:type="dxa"/>
          </w:tcPr>
          <w:p>
            <w:pPr>
              <w:keepNext/>
              <w:spacing w:line="440" w:lineRule="exact"/>
              <w:ind w:left="63" w:leftChars="30" w:right="63" w:rightChars="30"/>
              <w:jc w:val="center"/>
              <w:rPr>
                <w:color w:val="auto"/>
                <w:highlight w:val="none"/>
              </w:rPr>
            </w:pPr>
          </w:p>
        </w:tc>
        <w:tc>
          <w:tcPr>
            <w:tcW w:w="1276" w:type="dxa"/>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spacing w:line="440" w:lineRule="exact"/>
              <w:ind w:left="63" w:leftChars="30" w:right="63" w:rightChars="30"/>
              <w:jc w:val="center"/>
              <w:rPr>
                <w:color w:val="auto"/>
                <w:highlight w:val="none"/>
              </w:rPr>
            </w:pPr>
          </w:p>
        </w:tc>
        <w:tc>
          <w:tcPr>
            <w:tcW w:w="1984" w:type="dxa"/>
          </w:tcPr>
          <w:p>
            <w:pPr>
              <w:keepNext/>
              <w:spacing w:line="440" w:lineRule="exact"/>
              <w:ind w:left="63" w:leftChars="30" w:right="63" w:rightChars="30"/>
              <w:jc w:val="center"/>
              <w:rPr>
                <w:color w:val="auto"/>
                <w:highlight w:val="none"/>
              </w:rPr>
            </w:pPr>
          </w:p>
        </w:tc>
        <w:tc>
          <w:tcPr>
            <w:tcW w:w="4678" w:type="dxa"/>
          </w:tcPr>
          <w:p>
            <w:pPr>
              <w:keepNext/>
              <w:spacing w:line="440" w:lineRule="exact"/>
              <w:ind w:left="63" w:leftChars="30" w:right="63" w:rightChars="30"/>
              <w:jc w:val="center"/>
              <w:rPr>
                <w:color w:val="auto"/>
                <w:highlight w:val="none"/>
              </w:rPr>
            </w:pPr>
          </w:p>
        </w:tc>
        <w:tc>
          <w:tcPr>
            <w:tcW w:w="1276" w:type="dxa"/>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spacing w:line="440" w:lineRule="exact"/>
              <w:ind w:left="63" w:leftChars="30" w:right="63" w:rightChars="30"/>
              <w:jc w:val="center"/>
              <w:rPr>
                <w:color w:val="auto"/>
                <w:highlight w:val="none"/>
              </w:rPr>
            </w:pPr>
          </w:p>
        </w:tc>
        <w:tc>
          <w:tcPr>
            <w:tcW w:w="1984" w:type="dxa"/>
          </w:tcPr>
          <w:p>
            <w:pPr>
              <w:keepNext/>
              <w:spacing w:line="440" w:lineRule="exact"/>
              <w:ind w:left="63" w:leftChars="30" w:right="63" w:rightChars="30"/>
              <w:jc w:val="center"/>
              <w:rPr>
                <w:color w:val="auto"/>
                <w:highlight w:val="none"/>
              </w:rPr>
            </w:pPr>
          </w:p>
        </w:tc>
        <w:tc>
          <w:tcPr>
            <w:tcW w:w="4678" w:type="dxa"/>
          </w:tcPr>
          <w:p>
            <w:pPr>
              <w:keepNext/>
              <w:spacing w:line="440" w:lineRule="exact"/>
              <w:ind w:left="63" w:leftChars="30" w:right="63" w:rightChars="30"/>
              <w:jc w:val="center"/>
              <w:rPr>
                <w:color w:val="auto"/>
                <w:highlight w:val="none"/>
              </w:rPr>
            </w:pPr>
          </w:p>
        </w:tc>
        <w:tc>
          <w:tcPr>
            <w:tcW w:w="1276" w:type="dxa"/>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spacing w:line="440" w:lineRule="exact"/>
              <w:ind w:left="63" w:leftChars="30" w:right="63" w:rightChars="30"/>
              <w:jc w:val="center"/>
              <w:rPr>
                <w:color w:val="auto"/>
                <w:highlight w:val="none"/>
              </w:rPr>
            </w:pPr>
          </w:p>
        </w:tc>
        <w:tc>
          <w:tcPr>
            <w:tcW w:w="1984" w:type="dxa"/>
          </w:tcPr>
          <w:p>
            <w:pPr>
              <w:keepNext/>
              <w:spacing w:line="440" w:lineRule="exact"/>
              <w:ind w:left="63" w:leftChars="30" w:right="63" w:rightChars="30"/>
              <w:jc w:val="center"/>
              <w:rPr>
                <w:color w:val="auto"/>
                <w:highlight w:val="none"/>
              </w:rPr>
            </w:pPr>
          </w:p>
        </w:tc>
        <w:tc>
          <w:tcPr>
            <w:tcW w:w="4678" w:type="dxa"/>
          </w:tcPr>
          <w:p>
            <w:pPr>
              <w:keepNext/>
              <w:spacing w:line="440" w:lineRule="exact"/>
              <w:ind w:left="63" w:leftChars="30" w:right="63" w:rightChars="30"/>
              <w:jc w:val="center"/>
              <w:rPr>
                <w:color w:val="auto"/>
                <w:highlight w:val="none"/>
              </w:rPr>
            </w:pPr>
          </w:p>
        </w:tc>
        <w:tc>
          <w:tcPr>
            <w:tcW w:w="1276" w:type="dxa"/>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Pr>
          <w:p>
            <w:pPr>
              <w:keepNext/>
              <w:spacing w:line="440" w:lineRule="exact"/>
              <w:ind w:left="63" w:leftChars="30" w:right="63" w:rightChars="30"/>
              <w:jc w:val="center"/>
              <w:rPr>
                <w:color w:val="auto"/>
                <w:highlight w:val="none"/>
              </w:rPr>
            </w:pPr>
          </w:p>
        </w:tc>
        <w:tc>
          <w:tcPr>
            <w:tcW w:w="1984" w:type="dxa"/>
          </w:tcPr>
          <w:p>
            <w:pPr>
              <w:keepNext/>
              <w:spacing w:line="440" w:lineRule="exact"/>
              <w:ind w:left="63" w:leftChars="30" w:right="63" w:rightChars="30"/>
              <w:jc w:val="center"/>
              <w:rPr>
                <w:color w:val="auto"/>
                <w:highlight w:val="none"/>
              </w:rPr>
            </w:pPr>
          </w:p>
        </w:tc>
        <w:tc>
          <w:tcPr>
            <w:tcW w:w="4678" w:type="dxa"/>
          </w:tcPr>
          <w:p>
            <w:pPr>
              <w:keepNext/>
              <w:spacing w:line="440" w:lineRule="exact"/>
              <w:ind w:left="63" w:leftChars="30" w:right="63" w:rightChars="30"/>
              <w:jc w:val="center"/>
              <w:rPr>
                <w:color w:val="auto"/>
                <w:highlight w:val="none"/>
              </w:rPr>
            </w:pPr>
          </w:p>
        </w:tc>
        <w:tc>
          <w:tcPr>
            <w:tcW w:w="1276" w:type="dxa"/>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spacing w:line="440" w:lineRule="exact"/>
              <w:ind w:left="63" w:leftChars="30" w:right="63" w:rightChars="30"/>
              <w:jc w:val="center"/>
              <w:rPr>
                <w:color w:val="auto"/>
                <w:highlight w:val="none"/>
              </w:rPr>
            </w:pPr>
          </w:p>
        </w:tc>
        <w:tc>
          <w:tcPr>
            <w:tcW w:w="1984" w:type="dxa"/>
          </w:tcPr>
          <w:p>
            <w:pPr>
              <w:keepNext/>
              <w:spacing w:line="440" w:lineRule="exact"/>
              <w:ind w:left="63" w:leftChars="30" w:right="63" w:rightChars="30"/>
              <w:jc w:val="center"/>
              <w:rPr>
                <w:color w:val="auto"/>
                <w:highlight w:val="none"/>
              </w:rPr>
            </w:pPr>
          </w:p>
        </w:tc>
        <w:tc>
          <w:tcPr>
            <w:tcW w:w="4678" w:type="dxa"/>
          </w:tcPr>
          <w:p>
            <w:pPr>
              <w:keepNext/>
              <w:spacing w:line="440" w:lineRule="exact"/>
              <w:ind w:left="63" w:leftChars="30" w:right="63" w:rightChars="30"/>
              <w:jc w:val="center"/>
              <w:rPr>
                <w:color w:val="auto"/>
                <w:highlight w:val="none"/>
              </w:rPr>
            </w:pPr>
          </w:p>
        </w:tc>
        <w:tc>
          <w:tcPr>
            <w:tcW w:w="1276" w:type="dxa"/>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spacing w:line="440" w:lineRule="exact"/>
              <w:ind w:left="63" w:leftChars="30" w:right="63" w:rightChars="30"/>
              <w:jc w:val="center"/>
              <w:rPr>
                <w:color w:val="auto"/>
                <w:highlight w:val="none"/>
              </w:rPr>
            </w:pPr>
          </w:p>
        </w:tc>
        <w:tc>
          <w:tcPr>
            <w:tcW w:w="1984" w:type="dxa"/>
          </w:tcPr>
          <w:p>
            <w:pPr>
              <w:keepNext/>
              <w:spacing w:line="440" w:lineRule="exact"/>
              <w:ind w:left="63" w:leftChars="30" w:right="63" w:rightChars="30"/>
              <w:jc w:val="center"/>
              <w:rPr>
                <w:color w:val="auto"/>
                <w:highlight w:val="none"/>
              </w:rPr>
            </w:pPr>
          </w:p>
        </w:tc>
        <w:tc>
          <w:tcPr>
            <w:tcW w:w="4678" w:type="dxa"/>
          </w:tcPr>
          <w:p>
            <w:pPr>
              <w:keepNext/>
              <w:spacing w:line="440" w:lineRule="exact"/>
              <w:ind w:left="63" w:leftChars="30" w:right="63" w:rightChars="30"/>
              <w:jc w:val="center"/>
              <w:rPr>
                <w:color w:val="auto"/>
                <w:highlight w:val="none"/>
              </w:rPr>
            </w:pPr>
          </w:p>
        </w:tc>
        <w:tc>
          <w:tcPr>
            <w:tcW w:w="1276" w:type="dxa"/>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spacing w:line="440" w:lineRule="exact"/>
              <w:ind w:left="63" w:leftChars="30" w:right="63" w:rightChars="30"/>
              <w:jc w:val="center"/>
              <w:rPr>
                <w:color w:val="auto"/>
                <w:highlight w:val="none"/>
              </w:rPr>
            </w:pPr>
          </w:p>
        </w:tc>
        <w:tc>
          <w:tcPr>
            <w:tcW w:w="1984" w:type="dxa"/>
          </w:tcPr>
          <w:p>
            <w:pPr>
              <w:keepNext/>
              <w:spacing w:line="440" w:lineRule="exact"/>
              <w:ind w:left="63" w:leftChars="30" w:right="63" w:rightChars="30"/>
              <w:jc w:val="center"/>
              <w:rPr>
                <w:color w:val="auto"/>
                <w:highlight w:val="none"/>
              </w:rPr>
            </w:pPr>
          </w:p>
        </w:tc>
        <w:tc>
          <w:tcPr>
            <w:tcW w:w="4678" w:type="dxa"/>
          </w:tcPr>
          <w:p>
            <w:pPr>
              <w:keepNext/>
              <w:spacing w:line="440" w:lineRule="exact"/>
              <w:ind w:left="63" w:leftChars="30" w:right="63" w:rightChars="30"/>
              <w:jc w:val="center"/>
              <w:rPr>
                <w:color w:val="auto"/>
                <w:highlight w:val="none"/>
              </w:rPr>
            </w:pPr>
          </w:p>
        </w:tc>
        <w:tc>
          <w:tcPr>
            <w:tcW w:w="1276" w:type="dxa"/>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Pr>
          <w:p>
            <w:pPr>
              <w:keepNext/>
              <w:spacing w:line="440" w:lineRule="exact"/>
              <w:ind w:left="63" w:leftChars="30" w:right="63" w:rightChars="30"/>
              <w:jc w:val="center"/>
              <w:rPr>
                <w:color w:val="auto"/>
                <w:highlight w:val="none"/>
              </w:rPr>
            </w:pPr>
          </w:p>
        </w:tc>
        <w:tc>
          <w:tcPr>
            <w:tcW w:w="1984" w:type="dxa"/>
          </w:tcPr>
          <w:p>
            <w:pPr>
              <w:keepNext/>
              <w:spacing w:line="440" w:lineRule="exact"/>
              <w:ind w:left="63" w:leftChars="30" w:right="63" w:rightChars="30"/>
              <w:jc w:val="center"/>
              <w:rPr>
                <w:color w:val="auto"/>
                <w:highlight w:val="none"/>
              </w:rPr>
            </w:pPr>
          </w:p>
        </w:tc>
        <w:tc>
          <w:tcPr>
            <w:tcW w:w="4678" w:type="dxa"/>
          </w:tcPr>
          <w:p>
            <w:pPr>
              <w:keepNext/>
              <w:spacing w:line="440" w:lineRule="exact"/>
              <w:ind w:left="63" w:leftChars="30" w:right="63" w:rightChars="30"/>
              <w:jc w:val="center"/>
              <w:rPr>
                <w:color w:val="auto"/>
                <w:highlight w:val="none"/>
              </w:rPr>
            </w:pPr>
          </w:p>
        </w:tc>
        <w:tc>
          <w:tcPr>
            <w:tcW w:w="1276" w:type="dxa"/>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spacing w:line="440" w:lineRule="exact"/>
              <w:ind w:left="63" w:leftChars="30" w:right="63" w:rightChars="30"/>
              <w:jc w:val="center"/>
              <w:rPr>
                <w:color w:val="auto"/>
                <w:highlight w:val="none"/>
              </w:rPr>
            </w:pPr>
          </w:p>
        </w:tc>
        <w:tc>
          <w:tcPr>
            <w:tcW w:w="1984" w:type="dxa"/>
          </w:tcPr>
          <w:p>
            <w:pPr>
              <w:keepNext/>
              <w:spacing w:line="440" w:lineRule="exact"/>
              <w:ind w:left="63" w:leftChars="30" w:right="63" w:rightChars="30"/>
              <w:jc w:val="center"/>
              <w:rPr>
                <w:color w:val="auto"/>
                <w:highlight w:val="none"/>
              </w:rPr>
            </w:pPr>
          </w:p>
        </w:tc>
        <w:tc>
          <w:tcPr>
            <w:tcW w:w="4678" w:type="dxa"/>
          </w:tcPr>
          <w:p>
            <w:pPr>
              <w:keepNext/>
              <w:spacing w:line="440" w:lineRule="exact"/>
              <w:ind w:left="63" w:leftChars="30" w:right="63" w:rightChars="30"/>
              <w:jc w:val="center"/>
              <w:rPr>
                <w:color w:val="auto"/>
                <w:highlight w:val="none"/>
              </w:rPr>
            </w:pPr>
          </w:p>
        </w:tc>
        <w:tc>
          <w:tcPr>
            <w:tcW w:w="1276" w:type="dxa"/>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spacing w:line="440" w:lineRule="exact"/>
              <w:ind w:left="63" w:leftChars="30" w:right="63" w:rightChars="30"/>
              <w:jc w:val="center"/>
              <w:rPr>
                <w:color w:val="auto"/>
                <w:highlight w:val="none"/>
              </w:rPr>
            </w:pPr>
          </w:p>
        </w:tc>
        <w:tc>
          <w:tcPr>
            <w:tcW w:w="1984" w:type="dxa"/>
          </w:tcPr>
          <w:p>
            <w:pPr>
              <w:keepNext/>
              <w:spacing w:line="440" w:lineRule="exact"/>
              <w:ind w:left="63" w:leftChars="30" w:right="63" w:rightChars="30"/>
              <w:jc w:val="center"/>
              <w:rPr>
                <w:color w:val="auto"/>
                <w:highlight w:val="none"/>
              </w:rPr>
            </w:pPr>
          </w:p>
        </w:tc>
        <w:tc>
          <w:tcPr>
            <w:tcW w:w="4678" w:type="dxa"/>
          </w:tcPr>
          <w:p>
            <w:pPr>
              <w:keepNext/>
              <w:spacing w:line="440" w:lineRule="exact"/>
              <w:ind w:left="63" w:leftChars="30" w:right="63" w:rightChars="30"/>
              <w:jc w:val="center"/>
              <w:rPr>
                <w:color w:val="auto"/>
                <w:highlight w:val="none"/>
              </w:rPr>
            </w:pPr>
          </w:p>
        </w:tc>
        <w:tc>
          <w:tcPr>
            <w:tcW w:w="1276" w:type="dxa"/>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spacing w:line="440" w:lineRule="exact"/>
              <w:ind w:left="63" w:leftChars="30" w:right="63" w:rightChars="30"/>
              <w:jc w:val="center"/>
              <w:rPr>
                <w:color w:val="auto"/>
                <w:highlight w:val="none"/>
              </w:rPr>
            </w:pPr>
          </w:p>
        </w:tc>
        <w:tc>
          <w:tcPr>
            <w:tcW w:w="1984" w:type="dxa"/>
          </w:tcPr>
          <w:p>
            <w:pPr>
              <w:keepNext/>
              <w:spacing w:line="440" w:lineRule="exact"/>
              <w:ind w:left="63" w:leftChars="30" w:right="63" w:rightChars="30"/>
              <w:jc w:val="center"/>
              <w:rPr>
                <w:color w:val="auto"/>
                <w:highlight w:val="none"/>
              </w:rPr>
            </w:pPr>
          </w:p>
        </w:tc>
        <w:tc>
          <w:tcPr>
            <w:tcW w:w="4678" w:type="dxa"/>
          </w:tcPr>
          <w:p>
            <w:pPr>
              <w:keepNext/>
              <w:spacing w:line="440" w:lineRule="exact"/>
              <w:ind w:left="63" w:leftChars="30" w:right="63" w:rightChars="30"/>
              <w:jc w:val="center"/>
              <w:rPr>
                <w:color w:val="auto"/>
                <w:highlight w:val="none"/>
              </w:rPr>
            </w:pPr>
          </w:p>
        </w:tc>
        <w:tc>
          <w:tcPr>
            <w:tcW w:w="1276" w:type="dxa"/>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tcPr>
          <w:p>
            <w:pPr>
              <w:keepNext/>
              <w:spacing w:line="440" w:lineRule="exact"/>
              <w:ind w:left="63" w:leftChars="30" w:right="63" w:rightChars="30"/>
              <w:jc w:val="center"/>
              <w:rPr>
                <w:color w:val="auto"/>
                <w:highlight w:val="none"/>
              </w:rPr>
            </w:pPr>
          </w:p>
        </w:tc>
        <w:tc>
          <w:tcPr>
            <w:tcW w:w="1984" w:type="dxa"/>
          </w:tcPr>
          <w:p>
            <w:pPr>
              <w:keepNext/>
              <w:spacing w:line="440" w:lineRule="exact"/>
              <w:ind w:left="63" w:leftChars="30" w:right="63" w:rightChars="30"/>
              <w:jc w:val="center"/>
              <w:rPr>
                <w:color w:val="auto"/>
                <w:highlight w:val="none"/>
              </w:rPr>
            </w:pPr>
          </w:p>
        </w:tc>
        <w:tc>
          <w:tcPr>
            <w:tcW w:w="4678" w:type="dxa"/>
          </w:tcPr>
          <w:p>
            <w:pPr>
              <w:keepNext/>
              <w:spacing w:line="440" w:lineRule="exact"/>
              <w:ind w:left="63" w:leftChars="30" w:right="63" w:rightChars="30"/>
              <w:jc w:val="center"/>
              <w:rPr>
                <w:color w:val="auto"/>
                <w:highlight w:val="none"/>
              </w:rPr>
            </w:pPr>
          </w:p>
        </w:tc>
        <w:tc>
          <w:tcPr>
            <w:tcW w:w="1276" w:type="dxa"/>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spacing w:line="440" w:lineRule="exact"/>
              <w:ind w:left="63" w:leftChars="30" w:right="63" w:rightChars="30"/>
              <w:jc w:val="center"/>
              <w:rPr>
                <w:color w:val="auto"/>
                <w:highlight w:val="none"/>
              </w:rPr>
            </w:pPr>
          </w:p>
        </w:tc>
        <w:tc>
          <w:tcPr>
            <w:tcW w:w="1984" w:type="dxa"/>
          </w:tcPr>
          <w:p>
            <w:pPr>
              <w:keepNext/>
              <w:spacing w:line="440" w:lineRule="exact"/>
              <w:ind w:left="63" w:leftChars="30" w:right="63" w:rightChars="30"/>
              <w:jc w:val="center"/>
              <w:rPr>
                <w:color w:val="auto"/>
                <w:highlight w:val="none"/>
              </w:rPr>
            </w:pPr>
          </w:p>
        </w:tc>
        <w:tc>
          <w:tcPr>
            <w:tcW w:w="4678" w:type="dxa"/>
          </w:tcPr>
          <w:p>
            <w:pPr>
              <w:keepNext/>
              <w:spacing w:line="440" w:lineRule="exact"/>
              <w:ind w:left="63" w:leftChars="30" w:right="63" w:rightChars="30"/>
              <w:jc w:val="center"/>
              <w:rPr>
                <w:color w:val="auto"/>
                <w:highlight w:val="none"/>
              </w:rPr>
            </w:pPr>
          </w:p>
        </w:tc>
        <w:tc>
          <w:tcPr>
            <w:tcW w:w="1276" w:type="dxa"/>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spacing w:line="440" w:lineRule="exact"/>
              <w:ind w:left="63" w:leftChars="30" w:right="63" w:rightChars="30"/>
              <w:jc w:val="center"/>
              <w:rPr>
                <w:color w:val="auto"/>
                <w:highlight w:val="none"/>
              </w:rPr>
            </w:pPr>
          </w:p>
        </w:tc>
        <w:tc>
          <w:tcPr>
            <w:tcW w:w="1984" w:type="dxa"/>
          </w:tcPr>
          <w:p>
            <w:pPr>
              <w:keepNext/>
              <w:spacing w:line="440" w:lineRule="exact"/>
              <w:ind w:left="63" w:leftChars="30" w:right="63" w:rightChars="30"/>
              <w:jc w:val="center"/>
              <w:rPr>
                <w:color w:val="auto"/>
                <w:highlight w:val="none"/>
              </w:rPr>
            </w:pPr>
          </w:p>
        </w:tc>
        <w:tc>
          <w:tcPr>
            <w:tcW w:w="4678" w:type="dxa"/>
          </w:tcPr>
          <w:p>
            <w:pPr>
              <w:keepNext/>
              <w:spacing w:line="440" w:lineRule="exact"/>
              <w:ind w:left="63" w:leftChars="30" w:right="63" w:rightChars="30"/>
              <w:jc w:val="center"/>
              <w:rPr>
                <w:color w:val="auto"/>
                <w:highlight w:val="none"/>
              </w:rPr>
            </w:pPr>
          </w:p>
        </w:tc>
        <w:tc>
          <w:tcPr>
            <w:tcW w:w="1276" w:type="dxa"/>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spacing w:line="440" w:lineRule="exact"/>
              <w:ind w:left="63" w:leftChars="30" w:right="63" w:rightChars="30"/>
              <w:jc w:val="center"/>
              <w:rPr>
                <w:color w:val="auto"/>
                <w:highlight w:val="none"/>
              </w:rPr>
            </w:pPr>
          </w:p>
        </w:tc>
        <w:tc>
          <w:tcPr>
            <w:tcW w:w="1984" w:type="dxa"/>
          </w:tcPr>
          <w:p>
            <w:pPr>
              <w:keepNext/>
              <w:spacing w:line="440" w:lineRule="exact"/>
              <w:ind w:left="63" w:leftChars="30" w:right="63" w:rightChars="30"/>
              <w:jc w:val="center"/>
              <w:rPr>
                <w:color w:val="auto"/>
                <w:highlight w:val="none"/>
              </w:rPr>
            </w:pPr>
          </w:p>
        </w:tc>
        <w:tc>
          <w:tcPr>
            <w:tcW w:w="4678" w:type="dxa"/>
          </w:tcPr>
          <w:p>
            <w:pPr>
              <w:keepNext/>
              <w:spacing w:line="440" w:lineRule="exact"/>
              <w:ind w:left="63" w:leftChars="30" w:right="63" w:rightChars="30"/>
              <w:jc w:val="center"/>
              <w:rPr>
                <w:color w:val="auto"/>
                <w:highlight w:val="none"/>
              </w:rPr>
            </w:pPr>
          </w:p>
        </w:tc>
        <w:tc>
          <w:tcPr>
            <w:tcW w:w="1276" w:type="dxa"/>
          </w:tcPr>
          <w:p>
            <w:pPr>
              <w:keepNext/>
              <w:spacing w:line="440" w:lineRule="exact"/>
              <w:ind w:left="63" w:leftChars="30" w:right="63" w:rightChars="30"/>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817" w:type="dxa"/>
            <w:gridSpan w:val="4"/>
          </w:tcPr>
          <w:p>
            <w:pPr>
              <w:keepNext/>
              <w:spacing w:line="440" w:lineRule="exact"/>
              <w:ind w:left="63" w:leftChars="30" w:right="63" w:rightChars="30"/>
              <w:jc w:val="center"/>
              <w:rPr>
                <w:color w:val="auto"/>
                <w:highlight w:val="none"/>
              </w:rPr>
            </w:pPr>
            <w:r>
              <w:rPr>
                <w:rFonts w:eastAsia="仿宋_GB2312"/>
                <w:color w:val="auto"/>
                <w:sz w:val="28"/>
                <w:szCs w:val="30"/>
                <w:highlight w:val="none"/>
              </w:rPr>
              <w:t>小计：</w:t>
            </w:r>
          </w:p>
        </w:tc>
      </w:tr>
    </w:tbl>
    <w:p>
      <w:pPr>
        <w:spacing w:line="319" w:lineRule="auto"/>
        <w:rPr>
          <w:color w:val="auto"/>
          <w:highlight w:val="none"/>
        </w:rPr>
      </w:pPr>
    </w:p>
    <w:p>
      <w:pPr>
        <w:pStyle w:val="3"/>
        <w:spacing w:before="0" w:after="0" w:line="360" w:lineRule="auto"/>
        <w:jc w:val="center"/>
        <w:rPr>
          <w:color w:val="auto"/>
          <w:highlight w:val="none"/>
        </w:rPr>
      </w:pPr>
      <w:bookmarkStart w:id="3702" w:name="_bookmark5"/>
      <w:bookmarkEnd w:id="3702"/>
      <w:bookmarkStart w:id="3703" w:name="_Toc29079"/>
      <w:bookmarkStart w:id="3704" w:name="_Toc13601"/>
      <w:bookmarkStart w:id="3705" w:name="_Toc21875"/>
      <w:r>
        <w:rPr>
          <w:color w:val="auto"/>
          <w:highlight w:val="none"/>
        </w:rPr>
        <w:t>第五章 工程量清单</w:t>
      </w:r>
      <w:bookmarkEnd w:id="3703"/>
      <w:bookmarkEnd w:id="3704"/>
      <w:bookmarkEnd w:id="3705"/>
    </w:p>
    <w:p>
      <w:pPr>
        <w:spacing w:before="1" w:line="225" w:lineRule="auto"/>
        <w:jc w:val="center"/>
        <w:rPr>
          <w:rFonts w:ascii="宋体" w:hAnsi="宋体" w:eastAsia="宋体" w:cs="宋体"/>
          <w:color w:val="auto"/>
          <w:spacing w:val="24"/>
          <w:sz w:val="31"/>
          <w:szCs w:val="31"/>
          <w:highlight w:val="none"/>
          <w14:textOutline w14:w="5791" w14:cap="flat" w14:cmpd="sng" w14:algn="ctr">
            <w14:solidFill>
              <w14:srgbClr w14:val="000000"/>
            </w14:solidFill>
            <w14:prstDash w14:val="solid"/>
            <w14:miter w14:val="0"/>
          </w14:textOutline>
        </w:rPr>
      </w:pPr>
      <w:r>
        <w:rPr>
          <w:rFonts w:hint="eastAsia" w:ascii="宋体" w:hAnsi="宋体" w:eastAsia="宋体" w:cs="宋体"/>
          <w:color w:val="auto"/>
          <w:spacing w:val="24"/>
          <w:sz w:val="31"/>
          <w:szCs w:val="31"/>
          <w:highlight w:val="none"/>
          <w14:textOutline w14:w="5791" w14:cap="flat" w14:cmpd="sng" w14:algn="ctr">
            <w14:solidFill>
              <w14:srgbClr w14:val="000000"/>
            </w14:solidFill>
            <w14:prstDash w14:val="solid"/>
            <w14:miter w14:val="0"/>
          </w14:textOutline>
        </w:rPr>
        <w:t>（本工程量清单另附）</w:t>
      </w:r>
    </w:p>
    <w:p>
      <w:pPr>
        <w:spacing w:before="1" w:line="225" w:lineRule="auto"/>
        <w:jc w:val="center"/>
        <w:rPr>
          <w:rFonts w:ascii="宋体" w:hAnsi="宋体" w:eastAsia="宋体" w:cs="宋体"/>
          <w:color w:val="auto"/>
          <w:spacing w:val="24"/>
          <w:sz w:val="31"/>
          <w:szCs w:val="31"/>
          <w:highlight w:val="none"/>
          <w14:textOutline w14:w="5791" w14:cap="flat" w14:cmpd="sng" w14:algn="ctr">
            <w14:solidFill>
              <w14:srgbClr w14:val="000000"/>
            </w14:solidFill>
            <w14:prstDash w14:val="solid"/>
            <w14:miter w14:val="0"/>
          </w14:textOutline>
        </w:rPr>
      </w:pPr>
    </w:p>
    <w:p>
      <w:pPr>
        <w:spacing w:line="319" w:lineRule="auto"/>
        <w:rPr>
          <w:color w:val="auto"/>
          <w:highlight w:val="none"/>
        </w:rPr>
      </w:pPr>
    </w:p>
    <w:p>
      <w:pPr>
        <w:pStyle w:val="3"/>
        <w:spacing w:before="0" w:after="0" w:line="360" w:lineRule="auto"/>
        <w:jc w:val="center"/>
        <w:rPr>
          <w:color w:val="auto"/>
          <w:highlight w:val="none"/>
        </w:rPr>
      </w:pPr>
      <w:bookmarkStart w:id="3706" w:name="_bookmark6"/>
      <w:bookmarkEnd w:id="3706"/>
      <w:bookmarkStart w:id="3707" w:name="_Toc29969"/>
      <w:bookmarkStart w:id="3708" w:name="_Toc10332"/>
      <w:bookmarkStart w:id="3709" w:name="_Toc30214"/>
    </w:p>
    <w:p>
      <w:pPr>
        <w:pStyle w:val="3"/>
        <w:spacing w:before="0" w:after="0" w:line="360" w:lineRule="auto"/>
        <w:jc w:val="center"/>
        <w:rPr>
          <w:color w:val="auto"/>
          <w:highlight w:val="none"/>
        </w:rPr>
      </w:pPr>
    </w:p>
    <w:p>
      <w:pPr>
        <w:pStyle w:val="3"/>
        <w:spacing w:before="0" w:after="0" w:line="360" w:lineRule="auto"/>
        <w:jc w:val="center"/>
        <w:rPr>
          <w:color w:val="auto"/>
          <w:highlight w:val="none"/>
        </w:rPr>
      </w:pPr>
    </w:p>
    <w:p>
      <w:pPr>
        <w:pStyle w:val="3"/>
        <w:spacing w:before="0" w:after="0" w:line="360" w:lineRule="auto"/>
        <w:jc w:val="center"/>
        <w:rPr>
          <w:color w:val="auto"/>
          <w:highlight w:val="none"/>
        </w:rPr>
      </w:pPr>
    </w:p>
    <w:p>
      <w:pPr>
        <w:pStyle w:val="3"/>
        <w:spacing w:before="0" w:after="0" w:line="360" w:lineRule="auto"/>
        <w:jc w:val="center"/>
        <w:rPr>
          <w:color w:val="auto"/>
          <w:highlight w:val="none"/>
        </w:rPr>
      </w:pPr>
    </w:p>
    <w:p>
      <w:pPr>
        <w:pStyle w:val="3"/>
        <w:spacing w:before="0" w:after="0" w:line="360" w:lineRule="auto"/>
        <w:jc w:val="center"/>
        <w:rPr>
          <w:color w:val="auto"/>
          <w:highlight w:val="none"/>
        </w:rPr>
      </w:pPr>
      <w:r>
        <w:rPr>
          <w:color w:val="auto"/>
          <w:highlight w:val="none"/>
        </w:rPr>
        <w:t>第六章  图  纸</w:t>
      </w:r>
      <w:bookmarkEnd w:id="3707"/>
      <w:bookmarkEnd w:id="3708"/>
      <w:bookmarkEnd w:id="3709"/>
    </w:p>
    <w:p>
      <w:pPr>
        <w:spacing w:before="1" w:line="225" w:lineRule="auto"/>
        <w:jc w:val="center"/>
        <w:rPr>
          <w:rFonts w:ascii="宋体" w:hAnsi="宋体" w:eastAsia="宋体" w:cs="宋体"/>
          <w:color w:val="auto"/>
          <w:sz w:val="31"/>
          <w:szCs w:val="31"/>
          <w:highlight w:val="none"/>
        </w:rPr>
      </w:pPr>
      <w:r>
        <w:rPr>
          <w:rFonts w:ascii="宋体" w:hAnsi="宋体" w:eastAsia="宋体" w:cs="宋体"/>
          <w:color w:val="auto"/>
          <w:spacing w:val="24"/>
          <w:sz w:val="31"/>
          <w:szCs w:val="31"/>
          <w:highlight w:val="none"/>
          <w14:textOutline w14:w="5791" w14:cap="flat" w14:cmpd="sng" w14:algn="ctr">
            <w14:solidFill>
              <w14:srgbClr w14:val="000000"/>
            </w14:solidFill>
            <w14:prstDash w14:val="solid"/>
            <w14:miter w14:val="0"/>
          </w14:textOutline>
        </w:rPr>
        <w:t>(自行下载电子版)</w:t>
      </w:r>
    </w:p>
    <w:p>
      <w:pPr>
        <w:jc w:val="center"/>
        <w:rPr>
          <w:color w:val="auto"/>
          <w:highlight w:val="none"/>
        </w:rPr>
        <w:sectPr>
          <w:headerReference r:id="rId15" w:type="default"/>
          <w:footerReference r:id="rId16" w:type="default"/>
          <w:pgSz w:w="11907" w:h="16839"/>
          <w:pgMar w:top="1440" w:right="1080" w:bottom="1440" w:left="1080" w:header="0" w:footer="1202" w:gutter="0"/>
          <w:cols w:space="720" w:num="1"/>
        </w:sectPr>
      </w:pPr>
    </w:p>
    <w:p>
      <w:pPr>
        <w:pStyle w:val="3"/>
        <w:spacing w:before="0" w:after="0" w:line="360" w:lineRule="auto"/>
        <w:jc w:val="center"/>
        <w:rPr>
          <w:color w:val="auto"/>
          <w:highlight w:val="none"/>
        </w:rPr>
      </w:pPr>
      <w:bookmarkStart w:id="3710" w:name="_Toc31781"/>
      <w:bookmarkStart w:id="3711" w:name="_Toc1365"/>
      <w:bookmarkStart w:id="3712" w:name="_Toc17484"/>
      <w:r>
        <w:rPr>
          <w:color w:val="auto"/>
          <w:highlight w:val="none"/>
        </w:rPr>
        <w:t>第</w:t>
      </w:r>
      <w:r>
        <w:rPr>
          <w:rFonts w:hint="eastAsia" w:eastAsia="宋体"/>
          <w:color w:val="auto"/>
          <w:highlight w:val="none"/>
        </w:rPr>
        <w:t>七</w:t>
      </w:r>
      <w:r>
        <w:rPr>
          <w:color w:val="auto"/>
          <w:highlight w:val="none"/>
        </w:rPr>
        <w:t>章 技术标准和要求</w:t>
      </w:r>
      <w:bookmarkEnd w:id="3710"/>
      <w:bookmarkEnd w:id="3711"/>
      <w:bookmarkEnd w:id="3712"/>
    </w:p>
    <w:p>
      <w:pPr>
        <w:spacing w:line="350" w:lineRule="auto"/>
        <w:rPr>
          <w:color w:val="auto"/>
          <w:highlight w:val="none"/>
        </w:rPr>
      </w:pPr>
    </w:p>
    <w:p>
      <w:pPr>
        <w:spacing w:line="350" w:lineRule="auto"/>
        <w:rPr>
          <w:color w:val="auto"/>
          <w:highlight w:val="none"/>
        </w:rPr>
      </w:pPr>
    </w:p>
    <w:p>
      <w:pPr>
        <w:spacing w:before="91" w:line="219" w:lineRule="auto"/>
        <w:ind w:left="625"/>
        <w:jc w:val="center"/>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rPr>
        <w:t>本章由招标人根据国家行业和地方现行标准、规范和规程等</w:t>
      </w:r>
      <w:r>
        <w:rPr>
          <w:rFonts w:ascii="宋体" w:hAnsi="宋体" w:eastAsia="宋体" w:cs="宋体"/>
          <w:color w:val="auto"/>
          <w:spacing w:val="-1"/>
          <w:sz w:val="24"/>
          <w:szCs w:val="24"/>
          <w:highlight w:val="none"/>
        </w:rPr>
        <w:t>，</w:t>
      </w:r>
      <w:r>
        <w:rPr>
          <w:rFonts w:ascii="宋体" w:hAnsi="宋体" w:eastAsia="宋体" w:cs="宋体"/>
          <w:color w:val="auto"/>
          <w:spacing w:val="-9"/>
          <w:sz w:val="24"/>
          <w:szCs w:val="24"/>
          <w:highlight w:val="none"/>
        </w:rPr>
        <w:t>以</w:t>
      </w:r>
      <w:r>
        <w:rPr>
          <w:rFonts w:ascii="宋体" w:hAnsi="宋体" w:eastAsia="宋体" w:cs="宋体"/>
          <w:color w:val="auto"/>
          <w:spacing w:val="-6"/>
          <w:sz w:val="24"/>
          <w:szCs w:val="24"/>
          <w:highlight w:val="none"/>
        </w:rPr>
        <w:t>及项目具体情况摘录。</w:t>
      </w:r>
    </w:p>
    <w:p>
      <w:pPr>
        <w:rPr>
          <w:color w:val="auto"/>
          <w:sz w:val="24"/>
          <w:szCs w:val="24"/>
          <w:highlight w:val="none"/>
        </w:rPr>
        <w:sectPr>
          <w:footerReference r:id="rId17" w:type="default"/>
          <w:pgSz w:w="11907" w:h="16839"/>
          <w:pgMar w:top="1440" w:right="1080" w:bottom="1440" w:left="1080" w:header="0" w:footer="1202" w:gutter="0"/>
          <w:cols w:space="720" w:num="1"/>
        </w:sectPr>
      </w:pPr>
    </w:p>
    <w:p>
      <w:pPr>
        <w:spacing w:line="258" w:lineRule="auto"/>
        <w:rPr>
          <w:color w:val="auto"/>
          <w:highlight w:val="none"/>
        </w:rPr>
      </w:pPr>
    </w:p>
    <w:p>
      <w:pPr>
        <w:spacing w:line="258" w:lineRule="auto"/>
        <w:rPr>
          <w:color w:val="auto"/>
          <w:highlight w:val="none"/>
        </w:rPr>
      </w:pPr>
    </w:p>
    <w:p>
      <w:pPr>
        <w:spacing w:line="258" w:lineRule="auto"/>
        <w:rPr>
          <w:color w:val="auto"/>
          <w:highlight w:val="none"/>
        </w:rPr>
      </w:pPr>
    </w:p>
    <w:p>
      <w:pPr>
        <w:spacing w:line="258" w:lineRule="auto"/>
        <w:rPr>
          <w:color w:val="auto"/>
          <w:highlight w:val="none"/>
        </w:rPr>
      </w:pPr>
    </w:p>
    <w:p>
      <w:pPr>
        <w:spacing w:line="258" w:lineRule="auto"/>
        <w:rPr>
          <w:color w:val="auto"/>
          <w:highlight w:val="none"/>
        </w:rPr>
      </w:pPr>
    </w:p>
    <w:p>
      <w:pPr>
        <w:spacing w:line="258" w:lineRule="auto"/>
        <w:rPr>
          <w:color w:val="auto"/>
          <w:highlight w:val="none"/>
        </w:rPr>
      </w:pPr>
    </w:p>
    <w:p>
      <w:pPr>
        <w:spacing w:line="258" w:lineRule="auto"/>
        <w:rPr>
          <w:color w:val="auto"/>
          <w:highlight w:val="none"/>
        </w:rPr>
      </w:pPr>
    </w:p>
    <w:p>
      <w:pPr>
        <w:spacing w:line="258" w:lineRule="auto"/>
        <w:rPr>
          <w:color w:val="auto"/>
          <w:highlight w:val="none"/>
        </w:rPr>
      </w:pPr>
    </w:p>
    <w:p>
      <w:pPr>
        <w:spacing w:line="258" w:lineRule="auto"/>
        <w:rPr>
          <w:color w:val="auto"/>
          <w:highlight w:val="none"/>
        </w:rPr>
      </w:pPr>
    </w:p>
    <w:p>
      <w:pPr>
        <w:spacing w:line="258" w:lineRule="auto"/>
        <w:rPr>
          <w:color w:val="auto"/>
          <w:highlight w:val="none"/>
        </w:rPr>
      </w:pPr>
    </w:p>
    <w:p>
      <w:pPr>
        <w:pStyle w:val="3"/>
        <w:spacing w:before="0" w:after="0" w:line="360" w:lineRule="auto"/>
        <w:jc w:val="center"/>
        <w:rPr>
          <w:color w:val="auto"/>
          <w:highlight w:val="none"/>
        </w:rPr>
      </w:pPr>
    </w:p>
    <w:p>
      <w:pPr>
        <w:pStyle w:val="3"/>
        <w:spacing w:before="0" w:after="0" w:line="360" w:lineRule="auto"/>
        <w:jc w:val="center"/>
        <w:rPr>
          <w:color w:val="auto"/>
          <w:highlight w:val="none"/>
        </w:rPr>
      </w:pPr>
    </w:p>
    <w:p>
      <w:pPr>
        <w:pStyle w:val="3"/>
        <w:spacing w:before="0" w:after="0" w:line="360" w:lineRule="auto"/>
        <w:jc w:val="center"/>
        <w:rPr>
          <w:color w:val="auto"/>
          <w:highlight w:val="none"/>
        </w:rPr>
      </w:pPr>
    </w:p>
    <w:p>
      <w:pPr>
        <w:pStyle w:val="3"/>
        <w:spacing w:before="0" w:after="0" w:line="360" w:lineRule="auto"/>
        <w:jc w:val="center"/>
        <w:rPr>
          <w:color w:val="auto"/>
          <w:highlight w:val="none"/>
        </w:rPr>
      </w:pPr>
      <w:bookmarkStart w:id="3713" w:name="_Toc2966"/>
      <w:bookmarkStart w:id="3714" w:name="_Toc12184"/>
      <w:r>
        <w:rPr>
          <w:color w:val="auto"/>
          <w:highlight w:val="none"/>
        </w:rPr>
        <w:t>第</w:t>
      </w:r>
      <w:r>
        <w:rPr>
          <w:rFonts w:hint="eastAsia" w:eastAsia="宋体"/>
          <w:color w:val="auto"/>
          <w:highlight w:val="none"/>
        </w:rPr>
        <w:t>八</w:t>
      </w:r>
      <w:r>
        <w:rPr>
          <w:color w:val="auto"/>
          <w:highlight w:val="none"/>
        </w:rPr>
        <w:t>章 投标文件格式</w:t>
      </w:r>
      <w:bookmarkEnd w:id="3713"/>
      <w:bookmarkEnd w:id="3714"/>
    </w:p>
    <w:p>
      <w:pPr>
        <w:pStyle w:val="3"/>
        <w:spacing w:before="0" w:after="0" w:line="360" w:lineRule="auto"/>
        <w:jc w:val="center"/>
        <w:rPr>
          <w:color w:val="auto"/>
          <w:highlight w:val="none"/>
        </w:rPr>
        <w:sectPr>
          <w:footerReference r:id="rId18" w:type="default"/>
          <w:pgSz w:w="11907" w:h="16839"/>
          <w:pgMar w:top="1440" w:right="1080" w:bottom="1440" w:left="1080" w:header="0" w:footer="1060" w:gutter="0"/>
          <w:cols w:space="720" w:num="1"/>
        </w:sectPr>
      </w:pPr>
    </w:p>
    <w:p>
      <w:pPr>
        <w:spacing w:before="169" w:line="220" w:lineRule="auto"/>
        <w:ind w:left="2552"/>
        <w:rPr>
          <w:rFonts w:ascii="宋体" w:hAnsi="宋体" w:eastAsia="宋体" w:cs="宋体"/>
          <w:color w:val="auto"/>
          <w:spacing w:val="-1"/>
          <w:sz w:val="52"/>
          <w:szCs w:val="52"/>
          <w:highlight w:val="none"/>
        </w:rPr>
      </w:pPr>
    </w:p>
    <w:p>
      <w:pPr>
        <w:spacing w:before="169" w:line="220" w:lineRule="auto"/>
        <w:ind w:left="2552"/>
        <w:rPr>
          <w:rFonts w:ascii="宋体" w:hAnsi="宋体" w:eastAsia="宋体" w:cs="宋体"/>
          <w:color w:val="auto"/>
          <w:sz w:val="52"/>
          <w:szCs w:val="52"/>
          <w:highlight w:val="none"/>
        </w:rPr>
      </w:pPr>
      <w:r>
        <w:rPr>
          <w:rFonts w:ascii="宋体" w:hAnsi="宋体" w:eastAsia="宋体" w:cs="宋体"/>
          <w:color w:val="auto"/>
          <w:spacing w:val="-1"/>
          <w:sz w:val="52"/>
          <w:szCs w:val="52"/>
          <w:highlight w:val="none"/>
        </w:rPr>
        <w:t xml:space="preserve">投  标  文 </w:t>
      </w:r>
      <w:r>
        <w:rPr>
          <w:rFonts w:ascii="宋体" w:hAnsi="宋体" w:eastAsia="宋体" w:cs="宋体"/>
          <w:color w:val="auto"/>
          <w:sz w:val="52"/>
          <w:szCs w:val="52"/>
          <w:highlight w:val="none"/>
        </w:rPr>
        <w:t xml:space="preserve"> 件</w:t>
      </w:r>
    </w:p>
    <w:p>
      <w:pPr>
        <w:spacing w:line="278" w:lineRule="auto"/>
        <w:rPr>
          <w:color w:val="auto"/>
          <w:highlight w:val="none"/>
        </w:rPr>
      </w:pPr>
    </w:p>
    <w:p>
      <w:pPr>
        <w:spacing w:line="278" w:lineRule="auto"/>
        <w:rPr>
          <w:color w:val="auto"/>
          <w:highlight w:val="none"/>
        </w:rPr>
      </w:pPr>
    </w:p>
    <w:p>
      <w:pPr>
        <w:spacing w:line="279" w:lineRule="auto"/>
        <w:rPr>
          <w:color w:val="auto"/>
          <w:highlight w:val="none"/>
        </w:rPr>
      </w:pPr>
    </w:p>
    <w:p>
      <w:pPr>
        <w:spacing w:line="279" w:lineRule="auto"/>
        <w:rPr>
          <w:color w:val="auto"/>
          <w:highlight w:val="none"/>
        </w:rPr>
      </w:pPr>
    </w:p>
    <w:p>
      <w:pPr>
        <w:spacing w:line="279" w:lineRule="auto"/>
        <w:rPr>
          <w:color w:val="auto"/>
          <w:highlight w:val="none"/>
        </w:rPr>
      </w:pPr>
    </w:p>
    <w:p>
      <w:pPr>
        <w:spacing w:before="91" w:line="220" w:lineRule="auto"/>
        <w:ind w:left="2408"/>
        <w:rPr>
          <w:rFonts w:ascii="宋体" w:hAnsi="宋体" w:eastAsia="宋体" w:cs="宋体"/>
          <w:color w:val="auto"/>
          <w:sz w:val="28"/>
          <w:szCs w:val="28"/>
          <w:highlight w:val="none"/>
        </w:rPr>
      </w:pPr>
      <w:r>
        <w:rPr>
          <w:rFonts w:ascii="宋体" w:hAnsi="宋体" w:eastAsia="宋体" w:cs="宋体"/>
          <w:color w:val="auto"/>
          <w:spacing w:val="-23"/>
          <w:sz w:val="28"/>
          <w:szCs w:val="28"/>
          <w:highlight w:val="none"/>
        </w:rPr>
        <w:t>项</w:t>
      </w:r>
      <w:r>
        <w:rPr>
          <w:rFonts w:ascii="宋体" w:hAnsi="宋体" w:eastAsia="宋体" w:cs="宋体"/>
          <w:color w:val="auto"/>
          <w:spacing w:val="-21"/>
          <w:sz w:val="28"/>
          <w:szCs w:val="28"/>
          <w:highlight w:val="none"/>
        </w:rPr>
        <w:t>目</w:t>
      </w:r>
      <w:r>
        <w:rPr>
          <w:rFonts w:hint="eastAsia" w:ascii="宋体" w:hAnsi="宋体" w:eastAsia="宋体" w:cs="宋体"/>
          <w:color w:val="auto"/>
          <w:spacing w:val="-21"/>
          <w:sz w:val="28"/>
          <w:szCs w:val="28"/>
          <w:highlight w:val="none"/>
        </w:rPr>
        <w:t>名称</w:t>
      </w:r>
      <w:r>
        <w:rPr>
          <w:rFonts w:ascii="宋体" w:hAnsi="宋体" w:eastAsia="宋体" w:cs="宋体"/>
          <w:color w:val="auto"/>
          <w:spacing w:val="-21"/>
          <w:sz w:val="28"/>
          <w:szCs w:val="28"/>
          <w:highlight w:val="none"/>
        </w:rPr>
        <w:t>：</w:t>
      </w:r>
      <w:r>
        <w:rPr>
          <w:rFonts w:ascii="宋体" w:hAnsi="宋体" w:eastAsia="宋体" w:cs="宋体"/>
          <w:color w:val="auto"/>
          <w:sz w:val="28"/>
          <w:szCs w:val="28"/>
          <w:highlight w:val="none"/>
          <w:u w:val="single"/>
        </w:rPr>
        <w:t xml:space="preserve">                    </w:t>
      </w:r>
    </w:p>
    <w:p>
      <w:pPr>
        <w:spacing w:before="91" w:line="220" w:lineRule="auto"/>
        <w:ind w:left="2408"/>
        <w:rPr>
          <w:rFonts w:ascii="宋体" w:hAnsi="宋体" w:eastAsia="宋体" w:cs="宋体"/>
          <w:color w:val="auto"/>
          <w:sz w:val="28"/>
          <w:szCs w:val="28"/>
          <w:highlight w:val="none"/>
        </w:rPr>
      </w:pPr>
      <w:r>
        <w:rPr>
          <w:rFonts w:hint="eastAsia" w:ascii="宋体" w:hAnsi="宋体" w:eastAsia="宋体" w:cs="宋体"/>
          <w:color w:val="auto"/>
          <w:spacing w:val="-23"/>
          <w:sz w:val="28"/>
          <w:szCs w:val="28"/>
          <w:highlight w:val="none"/>
        </w:rPr>
        <w:t>项目编号：</w:t>
      </w:r>
      <w:r>
        <w:rPr>
          <w:rFonts w:ascii="宋体" w:hAnsi="宋体" w:eastAsia="宋体" w:cs="宋体"/>
          <w:color w:val="auto"/>
          <w:sz w:val="28"/>
          <w:szCs w:val="28"/>
          <w:highlight w:val="none"/>
          <w:u w:val="single"/>
        </w:rPr>
        <w:t xml:space="preserve">                    </w:t>
      </w:r>
    </w:p>
    <w:p>
      <w:pPr>
        <w:spacing w:line="249"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jc w:val="center"/>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before="91" w:line="219" w:lineRule="auto"/>
        <w:ind w:firstLine="1360" w:firstLineChars="500"/>
        <w:jc w:val="both"/>
        <w:rPr>
          <w:rFonts w:ascii="宋体" w:hAnsi="宋体" w:eastAsia="宋体" w:cs="宋体"/>
          <w:color w:val="auto"/>
          <w:sz w:val="28"/>
          <w:szCs w:val="28"/>
          <w:highlight w:val="none"/>
        </w:rPr>
      </w:pPr>
      <w:r>
        <w:rPr>
          <w:rFonts w:ascii="宋体" w:hAnsi="宋体" w:eastAsia="宋体" w:cs="宋体"/>
          <w:color w:val="auto"/>
          <w:spacing w:val="-4"/>
          <w:sz w:val="28"/>
          <w:szCs w:val="28"/>
          <w:highlight w:val="none"/>
        </w:rPr>
        <w:t>投标</w:t>
      </w:r>
      <w:r>
        <w:rPr>
          <w:rFonts w:hint="eastAsia" w:ascii="宋体" w:hAnsi="宋体" w:eastAsia="宋体" w:cs="宋体"/>
          <w:color w:val="auto"/>
          <w:spacing w:val="-4"/>
          <w:sz w:val="28"/>
          <w:szCs w:val="28"/>
          <w:highlight w:val="none"/>
        </w:rPr>
        <w:t>内容</w:t>
      </w:r>
      <w:r>
        <w:rPr>
          <w:rFonts w:ascii="宋体" w:hAnsi="宋体" w:eastAsia="宋体" w:cs="宋体"/>
          <w:color w:val="auto"/>
          <w:spacing w:val="-4"/>
          <w:sz w:val="28"/>
          <w:szCs w:val="28"/>
          <w:highlight w:val="none"/>
        </w:rPr>
        <w:t>：</w:t>
      </w:r>
      <w:r>
        <w:rPr>
          <w:rFonts w:ascii="宋体" w:hAnsi="宋体" w:eastAsia="宋体" w:cs="宋体"/>
          <w:color w:val="auto"/>
          <w:spacing w:val="-4"/>
          <w:sz w:val="28"/>
          <w:szCs w:val="28"/>
          <w:highlight w:val="none"/>
          <w:u w:val="single"/>
        </w:rPr>
        <w:t xml:space="preserve">         </w:t>
      </w:r>
      <w:r>
        <w:rPr>
          <w:rFonts w:hint="eastAsia" w:ascii="宋体" w:hAnsi="宋体" w:eastAsia="宋体" w:cs="宋体"/>
          <w:color w:val="auto"/>
          <w:spacing w:val="-4"/>
          <w:sz w:val="28"/>
          <w:szCs w:val="28"/>
          <w:highlight w:val="none"/>
          <w:u w:val="single"/>
        </w:rPr>
        <w:t>资格审查部分</w:t>
      </w:r>
      <w:r>
        <w:rPr>
          <w:rFonts w:ascii="宋体" w:hAnsi="宋体" w:eastAsia="宋体" w:cs="宋体"/>
          <w:color w:val="auto"/>
          <w:spacing w:val="-4"/>
          <w:sz w:val="28"/>
          <w:szCs w:val="28"/>
          <w:highlight w:val="none"/>
          <w:u w:val="single"/>
        </w:rPr>
        <w:t xml:space="preserve">  </w:t>
      </w:r>
      <w:r>
        <w:rPr>
          <w:rFonts w:hint="eastAsia" w:ascii="宋体" w:hAnsi="宋体" w:eastAsia="宋体" w:cs="宋体"/>
          <w:color w:val="auto"/>
          <w:spacing w:val="-4"/>
          <w:sz w:val="28"/>
          <w:szCs w:val="28"/>
          <w:highlight w:val="none"/>
          <w:u w:val="single"/>
        </w:rPr>
        <w:t xml:space="preserve">       </w:t>
      </w:r>
    </w:p>
    <w:p>
      <w:pPr>
        <w:spacing w:line="250" w:lineRule="auto"/>
        <w:rPr>
          <w:color w:val="auto"/>
          <w:highlight w:val="none"/>
        </w:rPr>
      </w:pPr>
    </w:p>
    <w:p>
      <w:pPr>
        <w:spacing w:before="91" w:line="219" w:lineRule="auto"/>
        <w:jc w:val="center"/>
        <w:rPr>
          <w:rFonts w:ascii="宋体" w:hAnsi="宋体" w:eastAsia="宋体" w:cs="宋体"/>
          <w:color w:val="auto"/>
          <w:sz w:val="28"/>
          <w:szCs w:val="28"/>
          <w:highlight w:val="none"/>
        </w:rPr>
      </w:pPr>
      <w:r>
        <w:rPr>
          <w:rFonts w:hint="eastAsia" w:ascii="宋体" w:hAnsi="宋体" w:eastAsia="宋体" w:cs="宋体"/>
          <w:color w:val="auto"/>
          <w:spacing w:val="-4"/>
          <w:sz w:val="28"/>
          <w:szCs w:val="28"/>
          <w:highlight w:val="none"/>
        </w:rPr>
        <w:t xml:space="preserve">  </w:t>
      </w:r>
      <w:r>
        <w:rPr>
          <w:rFonts w:ascii="宋体" w:hAnsi="宋体" w:eastAsia="宋体" w:cs="宋体"/>
          <w:color w:val="auto"/>
          <w:spacing w:val="-4"/>
          <w:sz w:val="28"/>
          <w:szCs w:val="28"/>
          <w:highlight w:val="none"/>
        </w:rPr>
        <w:t>投标人：</w:t>
      </w:r>
      <w:r>
        <w:rPr>
          <w:rFonts w:ascii="宋体" w:hAnsi="宋体" w:eastAsia="宋体" w:cs="宋体"/>
          <w:color w:val="auto"/>
          <w:spacing w:val="-4"/>
          <w:sz w:val="28"/>
          <w:szCs w:val="28"/>
          <w:highlight w:val="none"/>
          <w:u w:val="single"/>
        </w:rPr>
        <w:t xml:space="preserve">                        </w:t>
      </w:r>
      <w:r>
        <w:rPr>
          <w:rFonts w:ascii="宋体" w:hAnsi="宋体" w:eastAsia="宋体" w:cs="宋体"/>
          <w:color w:val="auto"/>
          <w:spacing w:val="-4"/>
          <w:sz w:val="28"/>
          <w:szCs w:val="28"/>
          <w:highlight w:val="none"/>
        </w:rPr>
        <w:t>[盖单位公章(</w:t>
      </w:r>
      <w:r>
        <w:rPr>
          <w:rFonts w:ascii="宋体" w:hAnsi="宋体" w:eastAsia="宋体" w:cs="宋体"/>
          <w:color w:val="auto"/>
          <w:spacing w:val="-2"/>
          <w:sz w:val="28"/>
          <w:szCs w:val="28"/>
          <w:highlight w:val="none"/>
        </w:rPr>
        <w:t>C</w:t>
      </w:r>
      <w:r>
        <w:rPr>
          <w:rFonts w:ascii="宋体" w:hAnsi="宋体" w:eastAsia="宋体" w:cs="宋体"/>
          <w:color w:val="auto"/>
          <w:sz w:val="28"/>
          <w:szCs w:val="28"/>
          <w:highlight w:val="none"/>
        </w:rPr>
        <w:t>A</w:t>
      </w:r>
      <w:r>
        <w:rPr>
          <w:rFonts w:ascii="宋体" w:hAnsi="宋体" w:eastAsia="宋体" w:cs="宋体"/>
          <w:color w:val="auto"/>
          <w:spacing w:val="-4"/>
          <w:sz w:val="28"/>
          <w:szCs w:val="28"/>
          <w:highlight w:val="none"/>
        </w:rPr>
        <w:t xml:space="preserve"> 签章)]</w:t>
      </w:r>
    </w:p>
    <w:p>
      <w:pPr>
        <w:spacing w:before="212" w:line="219" w:lineRule="auto"/>
        <w:jc w:val="center"/>
        <w:rPr>
          <w:rFonts w:ascii="宋体" w:hAnsi="宋体" w:eastAsia="宋体" w:cs="宋体"/>
          <w:color w:val="auto"/>
          <w:sz w:val="28"/>
          <w:szCs w:val="28"/>
          <w:highlight w:val="none"/>
        </w:rPr>
      </w:pPr>
      <w:r>
        <w:rPr>
          <w:rFonts w:hint="eastAsia" w:ascii="宋体" w:hAnsi="宋体" w:eastAsia="宋体" w:cs="宋体"/>
          <w:color w:val="auto"/>
          <w:spacing w:val="-9"/>
          <w:sz w:val="28"/>
          <w:szCs w:val="28"/>
          <w:highlight w:val="none"/>
        </w:rPr>
        <w:t xml:space="preserve">  </w:t>
      </w:r>
      <w:r>
        <w:rPr>
          <w:rFonts w:ascii="宋体" w:hAnsi="宋体" w:eastAsia="宋体" w:cs="宋体"/>
          <w:color w:val="auto"/>
          <w:spacing w:val="-9"/>
          <w:sz w:val="28"/>
          <w:szCs w:val="28"/>
          <w:highlight w:val="none"/>
        </w:rPr>
        <w:t>法定代表人或其委托代理人：</w:t>
      </w:r>
      <w:r>
        <w:rPr>
          <w:rFonts w:ascii="宋体" w:hAnsi="宋体" w:eastAsia="宋体" w:cs="宋体"/>
          <w:color w:val="auto"/>
          <w:spacing w:val="-9"/>
          <w:sz w:val="28"/>
          <w:szCs w:val="28"/>
          <w:highlight w:val="none"/>
          <w:u w:val="single"/>
        </w:rPr>
        <w:t xml:space="preserve">       </w:t>
      </w:r>
      <w:r>
        <w:rPr>
          <w:rFonts w:ascii="宋体" w:hAnsi="宋体" w:eastAsia="宋体" w:cs="宋体"/>
          <w:color w:val="auto"/>
          <w:spacing w:val="-9"/>
          <w:sz w:val="28"/>
          <w:szCs w:val="28"/>
          <w:highlight w:val="none"/>
        </w:rPr>
        <w:t>[签字或盖章(C</w:t>
      </w:r>
      <w:r>
        <w:rPr>
          <w:rFonts w:ascii="宋体" w:hAnsi="宋体" w:eastAsia="宋体" w:cs="宋体"/>
          <w:color w:val="auto"/>
          <w:spacing w:val="-3"/>
          <w:sz w:val="28"/>
          <w:szCs w:val="28"/>
          <w:highlight w:val="none"/>
        </w:rPr>
        <w:t>A</w:t>
      </w:r>
      <w:r>
        <w:rPr>
          <w:rFonts w:ascii="宋体" w:hAnsi="宋体" w:eastAsia="宋体" w:cs="宋体"/>
          <w:color w:val="auto"/>
          <w:spacing w:val="-9"/>
          <w:sz w:val="28"/>
          <w:szCs w:val="28"/>
          <w:highlight w:val="none"/>
        </w:rPr>
        <w:t xml:space="preserve"> 签章)]</w:t>
      </w:r>
    </w:p>
    <w:p>
      <w:pPr>
        <w:spacing w:line="254" w:lineRule="auto"/>
        <w:rPr>
          <w:color w:val="auto"/>
          <w:highlight w:val="none"/>
        </w:rPr>
      </w:pPr>
    </w:p>
    <w:p>
      <w:pPr>
        <w:spacing w:line="255" w:lineRule="auto"/>
        <w:rPr>
          <w:color w:val="auto"/>
          <w:highlight w:val="none"/>
        </w:rPr>
      </w:pPr>
    </w:p>
    <w:p>
      <w:pPr>
        <w:spacing w:line="255" w:lineRule="auto"/>
        <w:rPr>
          <w:color w:val="auto"/>
          <w:highlight w:val="none"/>
        </w:rPr>
      </w:pPr>
    </w:p>
    <w:p>
      <w:pPr>
        <w:tabs>
          <w:tab w:val="left" w:pos="3305"/>
        </w:tabs>
        <w:spacing w:before="91" w:line="220" w:lineRule="auto"/>
        <w:ind w:left="2035"/>
        <w:rPr>
          <w:color w:val="auto"/>
          <w:highlight w:val="none"/>
        </w:rPr>
        <w:sectPr>
          <w:footerReference r:id="rId19" w:type="default"/>
          <w:pgSz w:w="11907" w:h="16839"/>
          <w:pgMar w:top="1440" w:right="1080" w:bottom="1440" w:left="1080" w:header="0" w:footer="1060" w:gutter="0"/>
          <w:cols w:space="720" w:num="1"/>
        </w:sectPr>
      </w:pPr>
      <w:r>
        <w:rPr>
          <w:rFonts w:ascii="宋体" w:hAnsi="宋体" w:eastAsia="宋体" w:cs="宋体"/>
          <w:color w:val="auto"/>
          <w:sz w:val="28"/>
          <w:szCs w:val="28"/>
          <w:highlight w:val="none"/>
          <w:u w:val="single"/>
        </w:rPr>
        <w:tab/>
      </w:r>
      <w:r>
        <w:rPr>
          <w:rFonts w:ascii="宋体" w:hAnsi="宋体" w:eastAsia="宋体" w:cs="宋体"/>
          <w:color w:val="auto"/>
          <w:spacing w:val="4"/>
          <w:sz w:val="28"/>
          <w:szCs w:val="28"/>
          <w:highlight w:val="none"/>
        </w:rPr>
        <w:t>年</w:t>
      </w:r>
      <w:r>
        <w:rPr>
          <w:rFonts w:ascii="宋体" w:hAnsi="宋体" w:eastAsia="宋体" w:cs="宋体"/>
          <w:color w:val="auto"/>
          <w:spacing w:val="4"/>
          <w:sz w:val="28"/>
          <w:szCs w:val="28"/>
          <w:highlight w:val="none"/>
          <w:u w:val="single"/>
        </w:rPr>
        <w:t xml:space="preserve">  </w:t>
      </w:r>
      <w:r>
        <w:rPr>
          <w:rFonts w:ascii="宋体" w:hAnsi="宋体" w:eastAsia="宋体" w:cs="宋体"/>
          <w:color w:val="auto"/>
          <w:spacing w:val="3"/>
          <w:sz w:val="28"/>
          <w:szCs w:val="28"/>
          <w:highlight w:val="none"/>
          <w:u w:val="single"/>
        </w:rPr>
        <w:t xml:space="preserve"> </w:t>
      </w:r>
      <w:r>
        <w:rPr>
          <w:rFonts w:ascii="宋体" w:hAnsi="宋体" w:eastAsia="宋体" w:cs="宋体"/>
          <w:color w:val="auto"/>
          <w:spacing w:val="2"/>
          <w:sz w:val="28"/>
          <w:szCs w:val="28"/>
          <w:highlight w:val="none"/>
          <w:u w:val="single"/>
        </w:rPr>
        <w:t xml:space="preserve">      </w:t>
      </w:r>
      <w:r>
        <w:rPr>
          <w:rFonts w:ascii="宋体" w:hAnsi="宋体" w:eastAsia="宋体" w:cs="宋体"/>
          <w:color w:val="auto"/>
          <w:spacing w:val="2"/>
          <w:sz w:val="28"/>
          <w:szCs w:val="28"/>
          <w:highlight w:val="none"/>
        </w:rPr>
        <w:t>月</w:t>
      </w:r>
      <w:r>
        <w:rPr>
          <w:rFonts w:ascii="宋体" w:hAnsi="宋体" w:eastAsia="宋体" w:cs="宋体"/>
          <w:color w:val="auto"/>
          <w:spacing w:val="2"/>
          <w:sz w:val="28"/>
          <w:szCs w:val="28"/>
          <w:highlight w:val="none"/>
          <w:u w:val="single"/>
        </w:rPr>
        <w:t xml:space="preserve">         </w:t>
      </w:r>
      <w:r>
        <w:rPr>
          <w:rFonts w:ascii="宋体" w:hAnsi="宋体" w:eastAsia="宋体" w:cs="宋体"/>
          <w:color w:val="auto"/>
          <w:spacing w:val="2"/>
          <w:sz w:val="28"/>
          <w:szCs w:val="28"/>
          <w:highlight w:val="none"/>
        </w:rPr>
        <w:t>日</w:t>
      </w:r>
    </w:p>
    <w:p>
      <w:pPr>
        <w:spacing w:line="246" w:lineRule="auto"/>
        <w:jc w:val="center"/>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目 录</w:t>
      </w:r>
    </w:p>
    <w:p>
      <w:pPr>
        <w:pStyle w:val="2"/>
        <w:jc w:val="center"/>
        <w:rPr>
          <w:color w:val="auto"/>
          <w:highlight w:val="none"/>
        </w:rPr>
      </w:pPr>
      <w:r>
        <w:rPr>
          <w:rFonts w:hint="eastAsia"/>
          <w:color w:val="auto"/>
          <w:highlight w:val="none"/>
        </w:rPr>
        <w:t>（投标人自行编制）</w:t>
      </w:r>
    </w:p>
    <w:p>
      <w:pPr>
        <w:pStyle w:val="2"/>
        <w:rPr>
          <w:rFonts w:ascii="Arial"/>
          <w:color w:val="auto"/>
          <w:highlight w:val="none"/>
        </w:rPr>
      </w:pPr>
    </w:p>
    <w:p>
      <w:pPr>
        <w:pStyle w:val="2"/>
        <w:rPr>
          <w:rFonts w:ascii="Arial"/>
          <w:color w:val="auto"/>
          <w:highlight w:val="none"/>
        </w:rPr>
      </w:pPr>
    </w:p>
    <w:p>
      <w:pPr>
        <w:pStyle w:val="2"/>
        <w:rPr>
          <w:rFonts w:ascii="Arial"/>
          <w:color w:val="auto"/>
          <w:highlight w:val="no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outlineLvl w:val="6"/>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一、资格审查部</w:t>
      </w:r>
      <w:r>
        <w:rPr>
          <w:rFonts w:ascii="宋体" w:hAnsi="宋体" w:eastAsia="宋体" w:cs="宋体"/>
          <w:color w:val="auto"/>
          <w:sz w:val="28"/>
          <w:szCs w:val="28"/>
          <w:highlight w:val="none"/>
          <w14:textOutline w14:w="5092" w14:cap="flat" w14:cmpd="sng" w14:algn="ctr">
            <w14:solidFill>
              <w14:srgbClr w14:val="000000"/>
            </w14:solidFill>
            <w14:prstDash w14:val="solid"/>
            <w14:miter w14:val="0"/>
          </w14:textOutline>
        </w:rPr>
        <w:t>分</w:t>
      </w:r>
    </w:p>
    <w:p>
      <w:pPr>
        <w:spacing w:line="301" w:lineRule="auto"/>
        <w:rPr>
          <w:color w:val="auto"/>
          <w:highlight w:val="none"/>
        </w:rPr>
      </w:pPr>
    </w:p>
    <w:p>
      <w:pPr>
        <w:numPr>
          <w:ilvl w:val="0"/>
          <w:numId w:val="6"/>
        </w:numPr>
        <w:spacing w:line="480" w:lineRule="auto"/>
        <w:rPr>
          <w:rFonts w:ascii="宋体" w:hAnsi="宋体" w:eastAsia="宋体" w:cs="宋体"/>
          <w:b/>
          <w:color w:val="auto"/>
          <w:sz w:val="24"/>
          <w:highlight w:val="none"/>
        </w:rPr>
      </w:pPr>
      <w:r>
        <w:rPr>
          <w:rFonts w:hint="eastAsia" w:ascii="宋体" w:hAnsi="宋体" w:eastAsia="宋体" w:cs="宋体"/>
          <w:b/>
          <w:color w:val="auto"/>
          <w:sz w:val="24"/>
          <w:highlight w:val="none"/>
        </w:rPr>
        <w:t>法定代表人身份证明原件及身份证复印件（法定代表人签署投标文件时必须提供）或投标文件签署授权委托书原件（附法定代表人身份证明、授权委托人身份证及社保部门出具投标人为其缴纳（近一个月）的参保缴费凭证等材料的复印件）（委托代理人签署投标文件时必须提供）；</w:t>
      </w:r>
    </w:p>
    <w:p>
      <w:pPr>
        <w:spacing w:line="480" w:lineRule="auto"/>
        <w:jc w:val="center"/>
        <w:rPr>
          <w:rFonts w:ascii="宋体" w:hAnsi="宋体" w:eastAsia="宋体" w:cs="宋体"/>
          <w:b/>
          <w:color w:val="auto"/>
          <w:sz w:val="24"/>
          <w:highlight w:val="none"/>
        </w:rPr>
      </w:pPr>
      <w:r>
        <w:rPr>
          <w:rFonts w:hint="eastAsia" w:ascii="宋体" w:hAnsi="宋体" w:eastAsia="宋体" w:cs="宋体"/>
          <w:b/>
          <w:color w:val="auto"/>
          <w:sz w:val="24"/>
          <w:highlight w:val="none"/>
        </w:rPr>
        <w:t>投标文件签署授权委托书（格式）</w:t>
      </w:r>
    </w:p>
    <w:p>
      <w:pPr>
        <w:spacing w:after="156" w:line="360" w:lineRule="auto"/>
        <w:rPr>
          <w:rFonts w:ascii="宋体" w:hAnsi="宋体" w:eastAsia="宋体" w:cs="宋体"/>
          <w:b/>
          <w:color w:val="auto"/>
          <w:highlight w:val="none"/>
        </w:rPr>
      </w:pPr>
    </w:p>
    <w:p>
      <w:pPr>
        <w:spacing w:line="460" w:lineRule="exact"/>
        <w:ind w:firstLine="612"/>
        <w:rPr>
          <w:rFonts w:ascii="宋体" w:hAnsi="宋体" w:eastAsia="宋体" w:cs="宋体"/>
          <w:color w:val="auto"/>
          <w:highlight w:val="none"/>
        </w:rPr>
      </w:pPr>
      <w:r>
        <w:rPr>
          <w:rFonts w:hint="eastAsia" w:ascii="宋体" w:hAnsi="宋体" w:eastAsia="宋体" w:cs="宋体"/>
          <w:color w:val="auto"/>
          <w:highlight w:val="none"/>
        </w:rPr>
        <w:t>本授权委托书声明：我</w:t>
      </w:r>
      <w:r>
        <w:rPr>
          <w:rFonts w:hint="eastAsia" w:ascii="宋体" w:hAnsi="宋体" w:eastAsia="宋体" w:cs="宋体"/>
          <w:color w:val="auto"/>
          <w:highlight w:val="none"/>
          <w:u w:val="single"/>
        </w:rPr>
        <w:t> </w:t>
      </w:r>
      <w:r>
        <w:rPr>
          <w:rFonts w:hint="eastAsia" w:ascii="宋体" w:hAnsi="宋体" w:eastAsia="宋体" w:cs="宋体"/>
          <w:color w:val="auto"/>
          <w:highlight w:val="none"/>
        </w:rPr>
        <w:t>（姓名）系</w:t>
      </w:r>
      <w:r>
        <w:rPr>
          <w:rFonts w:hint="eastAsia" w:ascii="宋体" w:hAnsi="宋体" w:eastAsia="宋体" w:cs="宋体"/>
          <w:color w:val="auto"/>
          <w:highlight w:val="none"/>
          <w:u w:val="single"/>
        </w:rPr>
        <w:t xml:space="preserve">        （投标人名称）</w:t>
      </w:r>
      <w:r>
        <w:rPr>
          <w:rFonts w:hint="eastAsia" w:ascii="宋体" w:hAnsi="宋体" w:eastAsia="宋体" w:cs="宋体"/>
          <w:color w:val="auto"/>
          <w:highlight w:val="none"/>
        </w:rPr>
        <w:t>的法定代表人，现授权委托</w:t>
      </w:r>
      <w:r>
        <w:rPr>
          <w:rFonts w:hint="eastAsia" w:ascii="宋体" w:hAnsi="宋体" w:eastAsia="宋体" w:cs="宋体"/>
          <w:color w:val="auto"/>
          <w:highlight w:val="none"/>
          <w:u w:val="single"/>
        </w:rPr>
        <w:t xml:space="preserve">      （单位名称）     </w:t>
      </w:r>
      <w:r>
        <w:rPr>
          <w:rFonts w:hint="eastAsia" w:ascii="宋体" w:hAnsi="宋体" w:eastAsia="宋体" w:cs="宋体"/>
          <w:color w:val="auto"/>
          <w:highlight w:val="none"/>
        </w:rPr>
        <w:t>的</w:t>
      </w:r>
      <w:r>
        <w:rPr>
          <w:rFonts w:hint="eastAsia" w:ascii="宋体" w:hAnsi="宋体" w:eastAsia="宋体" w:cs="宋体"/>
          <w:color w:val="auto"/>
          <w:highlight w:val="none"/>
          <w:u w:val="single"/>
        </w:rPr>
        <w:t xml:space="preserve">    （姓名）</w:t>
      </w:r>
      <w:r>
        <w:rPr>
          <w:rFonts w:hint="eastAsia" w:ascii="宋体" w:hAnsi="宋体" w:eastAsia="宋体" w:cs="宋体"/>
          <w:color w:val="auto"/>
          <w:highlight w:val="none"/>
        </w:rPr>
        <w:t>为我公司签署本工程的投标文件的法定代表人授权委托代理人，我承认代理人全权代表我所签署的本工程的投标文件的内容。</w:t>
      </w:r>
    </w:p>
    <w:p>
      <w:pPr>
        <w:spacing w:line="480" w:lineRule="auto"/>
        <w:ind w:firstLine="610"/>
        <w:rPr>
          <w:rFonts w:ascii="宋体" w:hAnsi="宋体" w:eastAsia="宋体" w:cs="宋体"/>
          <w:color w:val="auto"/>
          <w:highlight w:val="none"/>
        </w:rPr>
      </w:pPr>
    </w:p>
    <w:p>
      <w:pPr>
        <w:spacing w:line="480" w:lineRule="auto"/>
        <w:ind w:firstLine="697"/>
        <w:rPr>
          <w:rFonts w:ascii="宋体" w:hAnsi="宋体" w:eastAsia="宋体" w:cs="宋体"/>
          <w:color w:val="auto"/>
          <w:highlight w:val="none"/>
        </w:rPr>
      </w:pPr>
      <w:r>
        <w:rPr>
          <w:rFonts w:hint="eastAsia" w:ascii="宋体" w:hAnsi="宋体" w:eastAsia="宋体" w:cs="宋体"/>
          <w:color w:val="auto"/>
          <w:highlight w:val="none"/>
        </w:rPr>
        <w:t>代理人无转委托权，特此委托。</w:t>
      </w:r>
    </w:p>
    <w:p>
      <w:pPr>
        <w:spacing w:line="360" w:lineRule="auto"/>
        <w:ind w:left="1260"/>
        <w:rPr>
          <w:rFonts w:ascii="宋体" w:hAnsi="宋体" w:eastAsia="宋体" w:cs="宋体"/>
          <w:color w:val="auto"/>
          <w:highlight w:val="none"/>
        </w:rPr>
      </w:pPr>
    </w:p>
    <w:p>
      <w:pPr>
        <w:spacing w:line="360" w:lineRule="auto"/>
        <w:ind w:left="1260"/>
        <w:rPr>
          <w:rFonts w:ascii="宋体" w:hAnsi="宋体" w:eastAsia="宋体" w:cs="宋体"/>
          <w:color w:val="auto"/>
          <w:highlight w:val="none"/>
        </w:rPr>
      </w:pPr>
    </w:p>
    <w:p>
      <w:pPr>
        <w:spacing w:line="480" w:lineRule="auto"/>
        <w:ind w:left="2699"/>
        <w:rPr>
          <w:rFonts w:ascii="宋体" w:hAnsi="宋体" w:eastAsia="宋体" w:cs="宋体"/>
          <w:color w:val="auto"/>
          <w:highlight w:val="none"/>
          <w:u w:val="single"/>
        </w:rPr>
      </w:pPr>
      <w:r>
        <w:rPr>
          <w:rFonts w:hint="eastAsia" w:ascii="宋体" w:hAnsi="宋体" w:eastAsia="宋体" w:cs="宋体"/>
          <w:color w:val="auto"/>
          <w:highlight w:val="none"/>
        </w:rPr>
        <w:t>授权人：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性别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年龄：_______</w:t>
      </w:r>
    </w:p>
    <w:p>
      <w:pPr>
        <w:spacing w:line="480" w:lineRule="auto"/>
        <w:ind w:left="2699"/>
        <w:rPr>
          <w:rFonts w:ascii="宋体" w:hAnsi="宋体" w:eastAsia="宋体" w:cs="宋体"/>
          <w:color w:val="auto"/>
          <w:highlight w:val="none"/>
        </w:rPr>
      </w:pPr>
      <w:r>
        <w:rPr>
          <w:rFonts w:hint="eastAsia" w:ascii="宋体" w:hAnsi="宋体" w:eastAsia="宋体" w:cs="宋体"/>
          <w:color w:val="auto"/>
          <w:highlight w:val="none"/>
        </w:rPr>
        <w:t>身份证号码：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职务：</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spacing w:line="480" w:lineRule="auto"/>
        <w:ind w:left="2699"/>
        <w:rPr>
          <w:rFonts w:ascii="宋体" w:hAnsi="宋体" w:eastAsia="宋体" w:cs="宋体"/>
          <w:color w:val="auto"/>
          <w:highlight w:val="none"/>
        </w:rPr>
      </w:pPr>
      <w:r>
        <w:rPr>
          <w:rFonts w:hint="eastAsia" w:ascii="宋体" w:hAnsi="宋体" w:eastAsia="宋体" w:cs="宋体"/>
          <w:color w:val="auto"/>
          <w:highlight w:val="none"/>
        </w:rPr>
        <w:t>投标人：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[盖单位公章（CA签章）]</w:t>
      </w:r>
    </w:p>
    <w:p>
      <w:pPr>
        <w:spacing w:line="480" w:lineRule="auto"/>
        <w:ind w:left="2699"/>
        <w:rPr>
          <w:rFonts w:ascii="宋体" w:hAnsi="宋体" w:eastAsia="宋体" w:cs="宋体"/>
          <w:color w:val="auto"/>
          <w:highlight w:val="none"/>
        </w:rPr>
      </w:pPr>
      <w:r>
        <w:rPr>
          <w:rFonts w:hint="eastAsia" w:ascii="宋体" w:hAnsi="宋体" w:eastAsia="宋体" w:cs="宋体"/>
          <w:color w:val="auto"/>
          <w:highlight w:val="none"/>
        </w:rPr>
        <w:t>法定代表人：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[签字或盖章（CA签章）]</w:t>
      </w:r>
    </w:p>
    <w:p>
      <w:pPr>
        <w:spacing w:line="480" w:lineRule="auto"/>
        <w:ind w:left="2699"/>
        <w:rPr>
          <w:rFonts w:ascii="宋体" w:hAnsi="宋体" w:eastAsia="宋体" w:cs="宋体"/>
          <w:color w:val="auto"/>
          <w:highlight w:val="none"/>
        </w:rPr>
      </w:pPr>
      <w:r>
        <w:rPr>
          <w:rFonts w:hint="eastAsia" w:ascii="宋体" w:hAnsi="宋体" w:eastAsia="宋体" w:cs="宋体"/>
          <w:color w:val="auto"/>
          <w:highlight w:val="none"/>
        </w:rPr>
        <w:t>授权委托日期：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日 </w:t>
      </w:r>
    </w:p>
    <w:p>
      <w:pPr>
        <w:spacing w:line="360" w:lineRule="auto"/>
        <w:rPr>
          <w:rFonts w:ascii="宋体" w:hAnsi="宋体" w:eastAsia="宋体" w:cs="宋体"/>
          <w:color w:val="auto"/>
          <w:highlight w:val="none"/>
        </w:rPr>
      </w:pPr>
    </w:p>
    <w:p>
      <w:pPr>
        <w:spacing w:line="360" w:lineRule="auto"/>
        <w:rPr>
          <w:rFonts w:ascii="宋体" w:hAnsi="宋体" w:eastAsia="宋体" w:cs="宋体"/>
          <w:color w:val="auto"/>
          <w:highlight w:val="none"/>
        </w:rPr>
      </w:pPr>
      <w:r>
        <w:rPr>
          <w:rFonts w:hint="eastAsia" w:ascii="宋体" w:hAnsi="宋体" w:eastAsia="宋体" w:cs="宋体"/>
          <w:color w:val="auto"/>
          <w:highlight w:val="none"/>
        </w:rPr>
        <w:t>附：法定代表人身份证明、授权委托人身份证及社保部门出具投标人为其缴纳（近一个月）养老保险缴纳证明等材料的复印件，以上复印件均须加盖投标人单位公章。</w:t>
      </w:r>
    </w:p>
    <w:p>
      <w:pPr>
        <w:spacing w:before="120" w:beforeLines="50" w:after="240" w:afterLines="100" w:line="440" w:lineRule="exact"/>
        <w:rPr>
          <w:rFonts w:ascii="宋体" w:hAnsi="宋体" w:eastAsia="宋体" w:cs="宋体"/>
          <w:color w:val="auto"/>
          <w:highlight w:val="none"/>
        </w:rPr>
      </w:pPr>
    </w:p>
    <w:p>
      <w:pPr>
        <w:spacing w:line="480" w:lineRule="auto"/>
        <w:jc w:val="center"/>
        <w:rPr>
          <w:rFonts w:ascii="宋体" w:hAnsi="宋体" w:eastAsia="宋体" w:cs="宋体"/>
          <w:color w:val="auto"/>
          <w:sz w:val="28"/>
          <w:szCs w:val="28"/>
          <w:highlight w:val="none"/>
        </w:rPr>
      </w:pPr>
      <w:r>
        <w:rPr>
          <w:rFonts w:hint="eastAsia" w:ascii="宋体" w:hAnsi="宋体" w:eastAsia="宋体" w:cs="宋体"/>
          <w:color w:val="auto"/>
          <w:highlight w:val="none"/>
        </w:rPr>
        <w:br w:type="page"/>
      </w:r>
      <w:r>
        <w:rPr>
          <w:rFonts w:hint="eastAsia" w:ascii="宋体" w:hAnsi="宋体" w:eastAsia="宋体" w:cs="宋体"/>
          <w:b/>
          <w:color w:val="auto"/>
          <w:sz w:val="28"/>
          <w:szCs w:val="28"/>
          <w:highlight w:val="none"/>
        </w:rPr>
        <w:t>法定代表人身份证明</w:t>
      </w:r>
    </w:p>
    <w:p>
      <w:pPr>
        <w:spacing w:line="560" w:lineRule="exact"/>
        <w:ind w:firstLine="525" w:firstLineChars="250"/>
        <w:rPr>
          <w:rFonts w:ascii="宋体" w:hAnsi="宋体" w:eastAsia="宋体" w:cs="宋体"/>
          <w:color w:val="auto"/>
          <w:highlight w:val="none"/>
        </w:rPr>
      </w:pPr>
      <w:r>
        <w:rPr>
          <w:rFonts w:hint="eastAsia" w:ascii="宋体" w:hAnsi="宋体" w:eastAsia="宋体" w:cs="宋体"/>
          <w:color w:val="auto"/>
          <w:highlight w:val="none"/>
        </w:rPr>
        <w:t>投 标 人：</w:t>
      </w:r>
      <w:r>
        <w:rPr>
          <w:rFonts w:hint="eastAsia" w:ascii="宋体" w:hAnsi="宋体" w:eastAsia="宋体" w:cs="宋体"/>
          <w:color w:val="auto"/>
          <w:highlight w:val="none"/>
          <w:u w:val="single"/>
        </w:rPr>
        <w:t xml:space="preserve">                                                        </w:t>
      </w:r>
    </w:p>
    <w:p>
      <w:pPr>
        <w:spacing w:line="560" w:lineRule="exact"/>
        <w:ind w:firstLine="525" w:firstLineChars="250"/>
        <w:rPr>
          <w:rFonts w:ascii="宋体" w:hAnsi="宋体" w:eastAsia="宋体" w:cs="宋体"/>
          <w:color w:val="auto"/>
          <w:highlight w:val="none"/>
        </w:rPr>
      </w:pPr>
      <w:r>
        <w:rPr>
          <w:rFonts w:hint="eastAsia" w:ascii="宋体" w:hAnsi="宋体" w:eastAsia="宋体" w:cs="宋体"/>
          <w:color w:val="auto"/>
          <w:highlight w:val="none"/>
        </w:rPr>
        <w:t>单位性质：</w:t>
      </w:r>
      <w:r>
        <w:rPr>
          <w:rFonts w:hint="eastAsia" w:ascii="宋体" w:hAnsi="宋体" w:eastAsia="宋体" w:cs="宋体"/>
          <w:color w:val="auto"/>
          <w:highlight w:val="none"/>
          <w:u w:val="single"/>
        </w:rPr>
        <w:t xml:space="preserve">                                                        </w:t>
      </w:r>
    </w:p>
    <w:p>
      <w:pPr>
        <w:spacing w:line="560" w:lineRule="exact"/>
        <w:ind w:firstLine="525" w:firstLineChars="250"/>
        <w:rPr>
          <w:rFonts w:ascii="宋体" w:hAnsi="宋体" w:eastAsia="宋体" w:cs="宋体"/>
          <w:color w:val="auto"/>
          <w:highlight w:val="none"/>
        </w:rPr>
      </w:pPr>
      <w:r>
        <w:rPr>
          <w:rFonts w:hint="eastAsia" w:ascii="宋体" w:hAnsi="宋体" w:eastAsia="宋体" w:cs="宋体"/>
          <w:color w:val="auto"/>
          <w:highlight w:val="none"/>
        </w:rPr>
        <w:t>地    址：</w:t>
      </w:r>
      <w:r>
        <w:rPr>
          <w:rFonts w:hint="eastAsia" w:ascii="宋体" w:hAnsi="宋体" w:eastAsia="宋体" w:cs="宋体"/>
          <w:color w:val="auto"/>
          <w:highlight w:val="none"/>
          <w:u w:val="single"/>
        </w:rPr>
        <w:t xml:space="preserve">                                                        </w:t>
      </w:r>
    </w:p>
    <w:p>
      <w:pPr>
        <w:spacing w:line="560" w:lineRule="exact"/>
        <w:ind w:firstLine="525" w:firstLineChars="250"/>
        <w:rPr>
          <w:rFonts w:ascii="宋体" w:hAnsi="宋体" w:eastAsia="宋体" w:cs="宋体"/>
          <w:color w:val="auto"/>
          <w:highlight w:val="none"/>
        </w:rPr>
      </w:pPr>
      <w:r>
        <w:rPr>
          <w:rFonts w:hint="eastAsia" w:ascii="宋体" w:hAnsi="宋体" w:eastAsia="宋体" w:cs="宋体"/>
          <w:color w:val="auto"/>
          <w:highlight w:val="none"/>
        </w:rPr>
        <w:t>成立时间：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spacing w:line="560" w:lineRule="exact"/>
        <w:ind w:firstLine="525" w:firstLineChars="250"/>
        <w:rPr>
          <w:rFonts w:ascii="宋体" w:hAnsi="宋体" w:eastAsia="宋体" w:cs="宋体"/>
          <w:color w:val="auto"/>
          <w:highlight w:val="none"/>
        </w:rPr>
      </w:pPr>
      <w:r>
        <w:rPr>
          <w:rFonts w:hint="eastAsia" w:ascii="宋体" w:hAnsi="宋体" w:eastAsia="宋体" w:cs="宋体"/>
          <w:color w:val="auto"/>
          <w:highlight w:val="none"/>
        </w:rPr>
        <w:t>经营期限：</w:t>
      </w:r>
      <w:r>
        <w:rPr>
          <w:rFonts w:hint="eastAsia" w:ascii="宋体" w:hAnsi="宋体" w:eastAsia="宋体" w:cs="宋体"/>
          <w:color w:val="auto"/>
          <w:highlight w:val="none"/>
          <w:u w:val="single"/>
        </w:rPr>
        <w:t xml:space="preserve">                                                        </w:t>
      </w:r>
    </w:p>
    <w:p>
      <w:pPr>
        <w:spacing w:line="560" w:lineRule="exact"/>
        <w:ind w:firstLine="525" w:firstLineChars="250"/>
        <w:rPr>
          <w:rFonts w:ascii="宋体" w:hAnsi="宋体" w:eastAsia="宋体" w:cs="宋体"/>
          <w:color w:val="auto"/>
          <w:highlight w:val="none"/>
        </w:rPr>
      </w:pPr>
      <w:r>
        <w:rPr>
          <w:rFonts w:hint="eastAsia" w:ascii="宋体" w:hAnsi="宋体" w:eastAsia="宋体" w:cs="宋体"/>
          <w:color w:val="auto"/>
          <w:highlight w:val="none"/>
        </w:rPr>
        <w:t>姓    名：</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性     别：</w:t>
      </w:r>
      <w:r>
        <w:rPr>
          <w:rFonts w:hint="eastAsia" w:ascii="宋体" w:hAnsi="宋体" w:eastAsia="宋体" w:cs="宋体"/>
          <w:color w:val="auto"/>
          <w:highlight w:val="none"/>
          <w:u w:val="single"/>
        </w:rPr>
        <w:t xml:space="preserve">                   </w:t>
      </w:r>
    </w:p>
    <w:p>
      <w:pPr>
        <w:spacing w:line="560" w:lineRule="exact"/>
        <w:ind w:firstLine="525" w:firstLineChars="250"/>
        <w:rPr>
          <w:rFonts w:ascii="宋体" w:hAnsi="宋体" w:eastAsia="宋体" w:cs="宋体"/>
          <w:color w:val="auto"/>
          <w:highlight w:val="none"/>
        </w:rPr>
      </w:pPr>
      <w:r>
        <w:rPr>
          <w:rFonts w:hint="eastAsia" w:ascii="宋体" w:hAnsi="宋体" w:eastAsia="宋体" w:cs="宋体"/>
          <w:color w:val="auto"/>
          <w:highlight w:val="none"/>
        </w:rPr>
        <w:t>年    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职     务：</w:t>
      </w:r>
      <w:r>
        <w:rPr>
          <w:rFonts w:hint="eastAsia" w:ascii="宋体" w:hAnsi="宋体" w:eastAsia="宋体" w:cs="宋体"/>
          <w:color w:val="auto"/>
          <w:highlight w:val="none"/>
          <w:u w:val="single"/>
        </w:rPr>
        <w:t xml:space="preserve">                   </w:t>
      </w:r>
    </w:p>
    <w:p>
      <w:pPr>
        <w:spacing w:line="560" w:lineRule="exact"/>
        <w:ind w:firstLine="525" w:firstLineChars="250"/>
        <w:rPr>
          <w:rFonts w:ascii="宋体" w:hAnsi="宋体" w:eastAsia="宋体" w:cs="宋体"/>
          <w:color w:val="auto"/>
          <w:highlight w:val="none"/>
        </w:rPr>
      </w:pPr>
      <w:r>
        <w:rPr>
          <w:rFonts w:hint="eastAsia" w:ascii="宋体" w:hAnsi="宋体" w:eastAsia="宋体" w:cs="宋体"/>
          <w:color w:val="auto"/>
          <w:highlight w:val="none"/>
        </w:rPr>
        <w:t>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（投标人名称）的法定代表人。</w:t>
      </w:r>
    </w:p>
    <w:p>
      <w:pPr>
        <w:spacing w:line="560" w:lineRule="exact"/>
        <w:ind w:firstLine="420" w:firstLineChars="200"/>
        <w:rPr>
          <w:rFonts w:ascii="宋体" w:hAnsi="宋体" w:eastAsia="宋体" w:cs="宋体"/>
          <w:color w:val="auto"/>
          <w:highlight w:val="none"/>
        </w:rPr>
      </w:pPr>
      <w:r>
        <w:rPr>
          <w:rFonts w:hint="eastAsia" w:ascii="宋体" w:hAnsi="宋体" w:eastAsia="宋体" w:cs="宋体"/>
          <w:color w:val="auto"/>
          <w:highlight w:val="none"/>
        </w:rPr>
        <w:t>特此证明。</w:t>
      </w:r>
    </w:p>
    <w:p>
      <w:pPr>
        <w:spacing w:line="500" w:lineRule="exact"/>
        <w:rPr>
          <w:rFonts w:ascii="宋体" w:hAnsi="宋体" w:eastAsia="宋体" w:cs="宋体"/>
          <w:color w:val="auto"/>
          <w:highlight w:val="none"/>
        </w:rPr>
      </w:pPr>
    </w:p>
    <w:p>
      <w:pPr>
        <w:spacing w:line="500" w:lineRule="exact"/>
        <w:rPr>
          <w:rFonts w:ascii="宋体" w:hAnsi="宋体" w:eastAsia="宋体" w:cs="宋体"/>
          <w:color w:val="auto"/>
          <w:highlight w:val="none"/>
        </w:rPr>
      </w:pPr>
    </w:p>
    <w:p>
      <w:pPr>
        <w:wordWrap w:val="0"/>
        <w:spacing w:line="500" w:lineRule="exact"/>
        <w:jc w:val="right"/>
        <w:rPr>
          <w:rFonts w:ascii="宋体" w:hAnsi="宋体" w:eastAsia="宋体" w:cs="宋体"/>
          <w:color w:val="auto"/>
          <w:highlight w:val="none"/>
        </w:rPr>
      </w:pPr>
      <w:r>
        <w:rPr>
          <w:rFonts w:hint="eastAsia" w:ascii="宋体" w:hAnsi="宋体" w:eastAsia="宋体" w:cs="宋体"/>
          <w:color w:val="auto"/>
          <w:highlight w:val="none"/>
        </w:rPr>
        <w:t>投标人：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[盖单位公章（CA签章）]</w:t>
      </w:r>
    </w:p>
    <w:p>
      <w:pPr>
        <w:wordWrap w:val="0"/>
        <w:spacing w:line="500" w:lineRule="exact"/>
        <w:jc w:val="right"/>
        <w:rPr>
          <w:rFonts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日          </w:t>
      </w:r>
    </w:p>
    <w:p>
      <w:pPr>
        <w:spacing w:line="480" w:lineRule="auto"/>
        <w:ind w:firstLine="525" w:firstLineChars="250"/>
        <w:jc w:val="center"/>
        <w:rPr>
          <w:rFonts w:ascii="宋体" w:hAnsi="宋体" w:eastAsia="宋体" w:cs="宋体"/>
          <w:color w:val="auto"/>
          <w:highlight w:val="none"/>
        </w:rPr>
      </w:pPr>
    </w:p>
    <w:p>
      <w:pPr>
        <w:spacing w:line="480" w:lineRule="auto"/>
        <w:ind w:firstLine="525" w:firstLineChars="250"/>
        <w:rPr>
          <w:rFonts w:ascii="宋体" w:hAnsi="宋体" w:eastAsia="宋体" w:cs="宋体"/>
          <w:color w:val="auto"/>
          <w:highlight w:val="none"/>
        </w:rPr>
      </w:pPr>
      <w:r>
        <w:rPr>
          <w:rFonts w:hint="eastAsia" w:ascii="宋体" w:hAnsi="宋体" w:eastAsia="宋体" w:cs="宋体"/>
          <w:color w:val="auto"/>
          <w:highlight w:val="none"/>
        </w:rPr>
        <w:t>附：法定代表人身份证复印件，以上复印件均须加盖投标人单位公章（CA签章）。</w:t>
      </w:r>
    </w:p>
    <w:p>
      <w:pPr>
        <w:spacing w:before="91" w:line="219" w:lineRule="auto"/>
        <w:ind w:left="2131"/>
        <w:outlineLvl w:val="6"/>
        <w:rPr>
          <w:rFonts w:ascii="宋体" w:hAnsi="宋体" w:eastAsia="宋体" w:cs="宋体"/>
          <w:color w:val="auto"/>
          <w:sz w:val="28"/>
          <w:szCs w:val="28"/>
          <w:highlight w:val="none"/>
        </w:rPr>
      </w:pPr>
      <w:r>
        <w:rPr>
          <w:rFonts w:hint="eastAsia" w:ascii="宋体" w:hAnsi="宋体" w:eastAsia="宋体" w:cs="宋体"/>
          <w:color w:val="auto"/>
          <w:highlight w:val="none"/>
        </w:rPr>
        <w:br w:type="page"/>
      </w:r>
      <w:r>
        <w:rPr>
          <w:rFonts w:hint="eastAsia" w:ascii="Times New Roman" w:hAnsi="Times New Roman" w:eastAsia="宋体" w:cs="Times New Roman"/>
          <w:b/>
          <w:bCs/>
          <w:color w:val="auto"/>
          <w:spacing w:val="12"/>
          <w:sz w:val="28"/>
          <w:szCs w:val="28"/>
          <w:highlight w:val="none"/>
        </w:rPr>
        <w:t>2</w:t>
      </w:r>
      <w:r>
        <w:rPr>
          <w:rFonts w:ascii="宋体" w:hAnsi="宋体" w:eastAsia="宋体" w:cs="宋体"/>
          <w:color w:val="auto"/>
          <w:spacing w:val="7"/>
          <w:sz w:val="28"/>
          <w:szCs w:val="28"/>
          <w:highlight w:val="none"/>
          <w14:textOutline w14:w="5092" w14:cap="flat" w14:cmpd="sng" w14:algn="ctr">
            <w14:solidFill>
              <w14:srgbClr w14:val="000000"/>
            </w14:solidFill>
            <w14:prstDash w14:val="solid"/>
            <w14:miter w14:val="0"/>
          </w14:textOutline>
        </w:rPr>
        <w:t>、</w:t>
      </w:r>
      <w:r>
        <w:rPr>
          <w:rFonts w:ascii="宋体" w:hAnsi="宋体" w:eastAsia="宋体" w:cs="宋体"/>
          <w:color w:val="auto"/>
          <w:spacing w:val="6"/>
          <w:sz w:val="28"/>
          <w:szCs w:val="28"/>
          <w:highlight w:val="none"/>
          <w14:textOutline w14:w="5092" w14:cap="flat" w14:cmpd="sng" w14:algn="ctr">
            <w14:solidFill>
              <w14:srgbClr w14:val="000000"/>
            </w14:solidFill>
            <w14:prstDash w14:val="solid"/>
            <w14:miter w14:val="0"/>
          </w14:textOutline>
        </w:rPr>
        <w:t>投标人基本情况表(包含联合体各方)</w:t>
      </w:r>
    </w:p>
    <w:p>
      <w:pPr>
        <w:rPr>
          <w:color w:val="auto"/>
          <w:highlight w:val="none"/>
        </w:rPr>
      </w:pPr>
    </w:p>
    <w:p>
      <w:pPr>
        <w:spacing w:line="111" w:lineRule="exact"/>
        <w:rPr>
          <w:color w:val="auto"/>
          <w:highlight w:val="none"/>
        </w:rPr>
      </w:pPr>
    </w:p>
    <w:tbl>
      <w:tblPr>
        <w:tblStyle w:val="16"/>
        <w:tblW w:w="871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31"/>
        <w:gridCol w:w="898"/>
        <w:gridCol w:w="1019"/>
        <w:gridCol w:w="1159"/>
        <w:gridCol w:w="312"/>
        <w:gridCol w:w="1288"/>
        <w:gridCol w:w="738"/>
        <w:gridCol w:w="16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631" w:type="dxa"/>
          </w:tcPr>
          <w:p>
            <w:pPr>
              <w:spacing w:before="183" w:line="221" w:lineRule="auto"/>
              <w:ind w:left="298"/>
              <w:rPr>
                <w:rFonts w:ascii="宋体" w:hAnsi="宋体" w:eastAsia="宋体" w:cs="宋体"/>
                <w:color w:val="auto"/>
                <w:highlight w:val="none"/>
              </w:rPr>
            </w:pPr>
            <w:r>
              <w:rPr>
                <w:rFonts w:ascii="宋体" w:hAnsi="宋体" w:eastAsia="宋体" w:cs="宋体"/>
                <w:color w:val="auto"/>
                <w:spacing w:val="-2"/>
                <w:highlight w:val="none"/>
              </w:rPr>
              <w:t>投标人</w:t>
            </w:r>
            <w:r>
              <w:rPr>
                <w:rFonts w:ascii="宋体" w:hAnsi="宋体" w:eastAsia="宋体" w:cs="宋体"/>
                <w:color w:val="auto"/>
                <w:spacing w:val="-1"/>
                <w:highlight w:val="none"/>
              </w:rPr>
              <w:t>名称</w:t>
            </w:r>
          </w:p>
        </w:tc>
        <w:tc>
          <w:tcPr>
            <w:tcW w:w="7084" w:type="dxa"/>
            <w:gridSpan w:val="7"/>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631" w:type="dxa"/>
          </w:tcPr>
          <w:p>
            <w:pPr>
              <w:spacing w:before="176" w:line="222" w:lineRule="auto"/>
              <w:ind w:left="401"/>
              <w:rPr>
                <w:rFonts w:ascii="宋体" w:hAnsi="宋体" w:eastAsia="宋体" w:cs="宋体"/>
                <w:color w:val="auto"/>
                <w:highlight w:val="none"/>
              </w:rPr>
            </w:pPr>
            <w:r>
              <w:rPr>
                <w:rFonts w:ascii="宋体" w:hAnsi="宋体" w:eastAsia="宋体" w:cs="宋体"/>
                <w:color w:val="auto"/>
                <w:spacing w:val="-2"/>
                <w:highlight w:val="none"/>
              </w:rPr>
              <w:t>注</w:t>
            </w:r>
            <w:r>
              <w:rPr>
                <w:rFonts w:ascii="宋体" w:hAnsi="宋体" w:eastAsia="宋体" w:cs="宋体"/>
                <w:color w:val="auto"/>
                <w:spacing w:val="-1"/>
                <w:highlight w:val="none"/>
              </w:rPr>
              <w:t>册地址</w:t>
            </w:r>
          </w:p>
        </w:tc>
        <w:tc>
          <w:tcPr>
            <w:tcW w:w="3388" w:type="dxa"/>
            <w:gridSpan w:val="4"/>
          </w:tcPr>
          <w:p>
            <w:pPr>
              <w:rPr>
                <w:color w:val="auto"/>
                <w:highlight w:val="none"/>
              </w:rPr>
            </w:pPr>
          </w:p>
        </w:tc>
        <w:tc>
          <w:tcPr>
            <w:tcW w:w="1288" w:type="dxa"/>
          </w:tcPr>
          <w:p>
            <w:pPr>
              <w:spacing w:before="175" w:line="221" w:lineRule="auto"/>
              <w:ind w:left="223"/>
              <w:rPr>
                <w:rFonts w:ascii="宋体" w:hAnsi="宋体" w:eastAsia="宋体" w:cs="宋体"/>
                <w:color w:val="auto"/>
                <w:highlight w:val="none"/>
              </w:rPr>
            </w:pPr>
            <w:r>
              <w:rPr>
                <w:rFonts w:ascii="宋体" w:hAnsi="宋体" w:eastAsia="宋体" w:cs="宋体"/>
                <w:color w:val="auto"/>
                <w:spacing w:val="-6"/>
                <w:highlight w:val="none"/>
              </w:rPr>
              <w:t>邮</w:t>
            </w:r>
            <w:r>
              <w:rPr>
                <w:rFonts w:ascii="宋体" w:hAnsi="宋体" w:eastAsia="宋体" w:cs="宋体"/>
                <w:color w:val="auto"/>
                <w:spacing w:val="-5"/>
                <w:highlight w:val="none"/>
              </w:rPr>
              <w:t>政编码</w:t>
            </w:r>
          </w:p>
        </w:tc>
        <w:tc>
          <w:tcPr>
            <w:tcW w:w="2408" w:type="dxa"/>
            <w:gridSpan w:val="2"/>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631" w:type="dxa"/>
            <w:vMerge w:val="restart"/>
            <w:tcBorders>
              <w:bottom w:val="nil"/>
            </w:tcBorders>
          </w:tcPr>
          <w:p>
            <w:pPr>
              <w:spacing w:line="395" w:lineRule="auto"/>
              <w:rPr>
                <w:color w:val="auto"/>
                <w:highlight w:val="none"/>
              </w:rPr>
            </w:pPr>
          </w:p>
          <w:p>
            <w:pPr>
              <w:spacing w:before="69" w:line="222" w:lineRule="auto"/>
              <w:ind w:left="402"/>
              <w:rPr>
                <w:rFonts w:ascii="宋体" w:hAnsi="宋体" w:eastAsia="宋体" w:cs="宋体"/>
                <w:color w:val="auto"/>
                <w:highlight w:val="none"/>
              </w:rPr>
            </w:pPr>
            <w:r>
              <w:rPr>
                <w:rFonts w:ascii="宋体" w:hAnsi="宋体" w:eastAsia="宋体" w:cs="宋体"/>
                <w:color w:val="auto"/>
                <w:spacing w:val="-2"/>
                <w:highlight w:val="none"/>
              </w:rPr>
              <w:t>联系</w:t>
            </w:r>
            <w:r>
              <w:rPr>
                <w:rFonts w:ascii="宋体" w:hAnsi="宋体" w:eastAsia="宋体" w:cs="宋体"/>
                <w:color w:val="auto"/>
                <w:spacing w:val="-1"/>
                <w:highlight w:val="none"/>
              </w:rPr>
              <w:t>方式</w:t>
            </w:r>
          </w:p>
        </w:tc>
        <w:tc>
          <w:tcPr>
            <w:tcW w:w="898" w:type="dxa"/>
          </w:tcPr>
          <w:p>
            <w:pPr>
              <w:spacing w:before="178" w:line="223" w:lineRule="auto"/>
              <w:ind w:left="137"/>
              <w:rPr>
                <w:rFonts w:ascii="宋体" w:hAnsi="宋体" w:eastAsia="宋体" w:cs="宋体"/>
                <w:color w:val="auto"/>
                <w:highlight w:val="none"/>
              </w:rPr>
            </w:pPr>
            <w:r>
              <w:rPr>
                <w:rFonts w:ascii="宋体" w:hAnsi="宋体" w:eastAsia="宋体" w:cs="宋体"/>
                <w:color w:val="auto"/>
                <w:spacing w:val="-2"/>
                <w:highlight w:val="none"/>
              </w:rPr>
              <w:t>联</w:t>
            </w:r>
            <w:r>
              <w:rPr>
                <w:rFonts w:ascii="宋体" w:hAnsi="宋体" w:eastAsia="宋体" w:cs="宋体"/>
                <w:color w:val="auto"/>
                <w:spacing w:val="-1"/>
                <w:highlight w:val="none"/>
              </w:rPr>
              <w:t>系人</w:t>
            </w:r>
          </w:p>
        </w:tc>
        <w:tc>
          <w:tcPr>
            <w:tcW w:w="2490" w:type="dxa"/>
            <w:gridSpan w:val="3"/>
          </w:tcPr>
          <w:p>
            <w:pPr>
              <w:rPr>
                <w:color w:val="auto"/>
                <w:highlight w:val="none"/>
              </w:rPr>
            </w:pPr>
          </w:p>
        </w:tc>
        <w:tc>
          <w:tcPr>
            <w:tcW w:w="1288" w:type="dxa"/>
          </w:tcPr>
          <w:p>
            <w:pPr>
              <w:spacing w:before="178" w:line="223" w:lineRule="auto"/>
              <w:ind w:left="337"/>
              <w:rPr>
                <w:rFonts w:ascii="宋体" w:hAnsi="宋体" w:eastAsia="宋体" w:cs="宋体"/>
                <w:color w:val="auto"/>
                <w:highlight w:val="none"/>
              </w:rPr>
            </w:pPr>
            <w:r>
              <w:rPr>
                <w:rFonts w:ascii="宋体" w:hAnsi="宋体" w:eastAsia="宋体" w:cs="宋体"/>
                <w:color w:val="auto"/>
                <w:spacing w:val="-8"/>
                <w:highlight w:val="none"/>
              </w:rPr>
              <w:t>电</w:t>
            </w:r>
            <w:r>
              <w:rPr>
                <w:rFonts w:ascii="宋体" w:hAnsi="宋体" w:eastAsia="宋体" w:cs="宋体"/>
                <w:color w:val="auto"/>
                <w:spacing w:val="-5"/>
                <w:highlight w:val="none"/>
              </w:rPr>
              <w:t xml:space="preserve">  话</w:t>
            </w:r>
          </w:p>
        </w:tc>
        <w:tc>
          <w:tcPr>
            <w:tcW w:w="2408" w:type="dxa"/>
            <w:gridSpan w:val="2"/>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631" w:type="dxa"/>
            <w:vMerge w:val="continue"/>
            <w:tcBorders>
              <w:top w:val="nil"/>
            </w:tcBorders>
          </w:tcPr>
          <w:p>
            <w:pPr>
              <w:rPr>
                <w:color w:val="auto"/>
                <w:highlight w:val="none"/>
              </w:rPr>
            </w:pPr>
          </w:p>
        </w:tc>
        <w:tc>
          <w:tcPr>
            <w:tcW w:w="898" w:type="dxa"/>
          </w:tcPr>
          <w:p>
            <w:pPr>
              <w:spacing w:before="178" w:line="220" w:lineRule="auto"/>
              <w:ind w:left="134"/>
              <w:rPr>
                <w:rFonts w:ascii="宋体" w:hAnsi="宋体" w:eastAsia="宋体" w:cs="宋体"/>
                <w:color w:val="auto"/>
                <w:highlight w:val="none"/>
              </w:rPr>
            </w:pPr>
            <w:r>
              <w:rPr>
                <w:rFonts w:ascii="宋体" w:hAnsi="宋体" w:eastAsia="宋体" w:cs="宋体"/>
                <w:color w:val="auto"/>
                <w:spacing w:val="2"/>
                <w:highlight w:val="none"/>
              </w:rPr>
              <w:t xml:space="preserve">传  </w:t>
            </w:r>
            <w:r>
              <w:rPr>
                <w:rFonts w:ascii="宋体" w:hAnsi="宋体" w:eastAsia="宋体" w:cs="宋体"/>
                <w:color w:val="auto"/>
                <w:spacing w:val="1"/>
                <w:highlight w:val="none"/>
              </w:rPr>
              <w:t>真</w:t>
            </w:r>
          </w:p>
        </w:tc>
        <w:tc>
          <w:tcPr>
            <w:tcW w:w="2490" w:type="dxa"/>
            <w:gridSpan w:val="3"/>
          </w:tcPr>
          <w:p>
            <w:pPr>
              <w:rPr>
                <w:color w:val="auto"/>
                <w:highlight w:val="none"/>
              </w:rPr>
            </w:pPr>
          </w:p>
        </w:tc>
        <w:tc>
          <w:tcPr>
            <w:tcW w:w="1288" w:type="dxa"/>
          </w:tcPr>
          <w:p>
            <w:pPr>
              <w:spacing w:before="178" w:line="226" w:lineRule="auto"/>
              <w:ind w:left="329"/>
              <w:rPr>
                <w:rFonts w:ascii="宋体" w:hAnsi="宋体" w:eastAsia="宋体" w:cs="宋体"/>
                <w:color w:val="auto"/>
                <w:highlight w:val="none"/>
              </w:rPr>
            </w:pPr>
            <w:r>
              <w:rPr>
                <w:rFonts w:ascii="宋体" w:hAnsi="宋体" w:eastAsia="宋体" w:cs="宋体"/>
                <w:color w:val="auto"/>
                <w:spacing w:val="-5"/>
                <w:highlight w:val="none"/>
              </w:rPr>
              <w:t>网</w:t>
            </w:r>
            <w:r>
              <w:rPr>
                <w:rFonts w:ascii="宋体" w:hAnsi="宋体" w:eastAsia="宋体" w:cs="宋体"/>
                <w:color w:val="auto"/>
                <w:spacing w:val="-3"/>
                <w:highlight w:val="none"/>
              </w:rPr>
              <w:t xml:space="preserve">  址</w:t>
            </w:r>
          </w:p>
        </w:tc>
        <w:tc>
          <w:tcPr>
            <w:tcW w:w="2408" w:type="dxa"/>
            <w:gridSpan w:val="2"/>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631" w:type="dxa"/>
          </w:tcPr>
          <w:p>
            <w:pPr>
              <w:spacing w:before="41" w:line="230" w:lineRule="auto"/>
              <w:ind w:left="609" w:right="181" w:hanging="414"/>
              <w:rPr>
                <w:rFonts w:ascii="宋体" w:hAnsi="宋体" w:eastAsia="宋体" w:cs="宋体"/>
                <w:color w:val="auto"/>
                <w:highlight w:val="none"/>
              </w:rPr>
            </w:pPr>
            <w:r>
              <w:rPr>
                <w:rFonts w:ascii="宋体" w:hAnsi="宋体" w:eastAsia="宋体" w:cs="宋体"/>
                <w:color w:val="auto"/>
                <w:spacing w:val="-2"/>
                <w:highlight w:val="none"/>
              </w:rPr>
              <w:t>统一社会信</w:t>
            </w:r>
            <w:r>
              <w:rPr>
                <w:rFonts w:ascii="宋体" w:hAnsi="宋体" w:eastAsia="宋体" w:cs="宋体"/>
                <w:color w:val="auto"/>
                <w:spacing w:val="-1"/>
                <w:highlight w:val="none"/>
              </w:rPr>
              <w:t>用</w:t>
            </w:r>
            <w:r>
              <w:rPr>
                <w:rFonts w:ascii="宋体" w:hAnsi="宋体" w:eastAsia="宋体" w:cs="宋体"/>
                <w:color w:val="auto"/>
                <w:highlight w:val="none"/>
              </w:rPr>
              <w:t xml:space="preserve"> </w:t>
            </w:r>
            <w:r>
              <w:rPr>
                <w:rFonts w:ascii="宋体" w:hAnsi="宋体" w:eastAsia="宋体" w:cs="宋体"/>
                <w:color w:val="auto"/>
                <w:spacing w:val="-2"/>
                <w:highlight w:val="none"/>
              </w:rPr>
              <w:t>代</w:t>
            </w:r>
            <w:r>
              <w:rPr>
                <w:rFonts w:ascii="宋体" w:hAnsi="宋体" w:eastAsia="宋体" w:cs="宋体"/>
                <w:color w:val="auto"/>
                <w:spacing w:val="-1"/>
                <w:highlight w:val="none"/>
              </w:rPr>
              <w:t>码</w:t>
            </w:r>
          </w:p>
        </w:tc>
        <w:tc>
          <w:tcPr>
            <w:tcW w:w="7084" w:type="dxa"/>
            <w:gridSpan w:val="7"/>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631" w:type="dxa"/>
          </w:tcPr>
          <w:p>
            <w:pPr>
              <w:spacing w:before="179" w:line="221" w:lineRule="auto"/>
              <w:ind w:left="296"/>
              <w:rPr>
                <w:rFonts w:ascii="宋体" w:hAnsi="宋体" w:eastAsia="宋体" w:cs="宋体"/>
                <w:color w:val="auto"/>
                <w:highlight w:val="none"/>
              </w:rPr>
            </w:pPr>
            <w:r>
              <w:rPr>
                <w:rFonts w:ascii="宋体" w:hAnsi="宋体" w:eastAsia="宋体" w:cs="宋体"/>
                <w:color w:val="auto"/>
                <w:spacing w:val="-2"/>
                <w:highlight w:val="none"/>
              </w:rPr>
              <w:t>法</w:t>
            </w:r>
            <w:r>
              <w:rPr>
                <w:rFonts w:ascii="宋体" w:hAnsi="宋体" w:eastAsia="宋体" w:cs="宋体"/>
                <w:color w:val="auto"/>
                <w:spacing w:val="-1"/>
                <w:highlight w:val="none"/>
              </w:rPr>
              <w:t>定代表人</w:t>
            </w:r>
          </w:p>
        </w:tc>
        <w:tc>
          <w:tcPr>
            <w:tcW w:w="898" w:type="dxa"/>
          </w:tcPr>
          <w:p>
            <w:pPr>
              <w:spacing w:before="179" w:line="221" w:lineRule="auto"/>
              <w:ind w:left="241"/>
              <w:rPr>
                <w:rFonts w:ascii="宋体" w:hAnsi="宋体" w:eastAsia="宋体" w:cs="宋体"/>
                <w:color w:val="auto"/>
                <w:highlight w:val="none"/>
              </w:rPr>
            </w:pPr>
            <w:r>
              <w:rPr>
                <w:rFonts w:ascii="宋体" w:hAnsi="宋体" w:eastAsia="宋体" w:cs="宋体"/>
                <w:color w:val="auto"/>
                <w:spacing w:val="-2"/>
                <w:highlight w:val="none"/>
              </w:rPr>
              <w:t>姓</w:t>
            </w:r>
            <w:r>
              <w:rPr>
                <w:rFonts w:ascii="宋体" w:hAnsi="宋体" w:eastAsia="宋体" w:cs="宋体"/>
                <w:color w:val="auto"/>
                <w:spacing w:val="-1"/>
                <w:highlight w:val="none"/>
              </w:rPr>
              <w:t>名</w:t>
            </w:r>
          </w:p>
        </w:tc>
        <w:tc>
          <w:tcPr>
            <w:tcW w:w="1019" w:type="dxa"/>
          </w:tcPr>
          <w:p>
            <w:pPr>
              <w:rPr>
                <w:color w:val="auto"/>
                <w:highlight w:val="none"/>
              </w:rPr>
            </w:pPr>
          </w:p>
        </w:tc>
        <w:tc>
          <w:tcPr>
            <w:tcW w:w="1159" w:type="dxa"/>
          </w:tcPr>
          <w:p>
            <w:pPr>
              <w:spacing w:before="179" w:line="221" w:lineRule="auto"/>
              <w:ind w:left="164"/>
              <w:rPr>
                <w:rFonts w:ascii="宋体" w:hAnsi="宋体" w:eastAsia="宋体" w:cs="宋体"/>
                <w:color w:val="auto"/>
                <w:highlight w:val="none"/>
              </w:rPr>
            </w:pPr>
            <w:r>
              <w:rPr>
                <w:rFonts w:ascii="宋体" w:hAnsi="宋体" w:eastAsia="宋体" w:cs="宋体"/>
                <w:color w:val="auto"/>
                <w:spacing w:val="-2"/>
                <w:highlight w:val="none"/>
              </w:rPr>
              <w:t>技术</w:t>
            </w:r>
            <w:r>
              <w:rPr>
                <w:rFonts w:ascii="宋体" w:hAnsi="宋体" w:eastAsia="宋体" w:cs="宋体"/>
                <w:color w:val="auto"/>
                <w:spacing w:val="-1"/>
                <w:highlight w:val="none"/>
              </w:rPr>
              <w:t>职称</w:t>
            </w:r>
          </w:p>
        </w:tc>
        <w:tc>
          <w:tcPr>
            <w:tcW w:w="1600" w:type="dxa"/>
            <w:gridSpan w:val="2"/>
          </w:tcPr>
          <w:p>
            <w:pPr>
              <w:rPr>
                <w:color w:val="auto"/>
                <w:highlight w:val="none"/>
              </w:rPr>
            </w:pPr>
          </w:p>
        </w:tc>
        <w:tc>
          <w:tcPr>
            <w:tcW w:w="738" w:type="dxa"/>
          </w:tcPr>
          <w:p>
            <w:pPr>
              <w:spacing w:before="179" w:line="223" w:lineRule="auto"/>
              <w:ind w:left="199"/>
              <w:rPr>
                <w:rFonts w:ascii="宋体" w:hAnsi="宋体" w:eastAsia="宋体" w:cs="宋体"/>
                <w:color w:val="auto"/>
                <w:highlight w:val="none"/>
              </w:rPr>
            </w:pPr>
            <w:r>
              <w:rPr>
                <w:rFonts w:ascii="宋体" w:hAnsi="宋体" w:eastAsia="宋体" w:cs="宋体"/>
                <w:color w:val="auto"/>
                <w:spacing w:val="-9"/>
                <w:highlight w:val="none"/>
              </w:rPr>
              <w:t>电</w:t>
            </w:r>
            <w:r>
              <w:rPr>
                <w:rFonts w:ascii="宋体" w:hAnsi="宋体" w:eastAsia="宋体" w:cs="宋体"/>
                <w:color w:val="auto"/>
                <w:spacing w:val="-7"/>
                <w:highlight w:val="none"/>
              </w:rPr>
              <w:t>话</w:t>
            </w:r>
          </w:p>
        </w:tc>
        <w:tc>
          <w:tcPr>
            <w:tcW w:w="1670" w:type="dxa"/>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631" w:type="dxa"/>
          </w:tcPr>
          <w:p>
            <w:pPr>
              <w:spacing w:before="177" w:line="221" w:lineRule="auto"/>
              <w:ind w:left="296"/>
              <w:rPr>
                <w:rFonts w:ascii="宋体" w:hAnsi="宋体" w:eastAsia="宋体" w:cs="宋体"/>
                <w:color w:val="auto"/>
                <w:highlight w:val="none"/>
              </w:rPr>
            </w:pPr>
            <w:r>
              <w:rPr>
                <w:rFonts w:ascii="宋体" w:hAnsi="宋体" w:eastAsia="宋体" w:cs="宋体"/>
                <w:color w:val="auto"/>
                <w:spacing w:val="-2"/>
                <w:highlight w:val="none"/>
              </w:rPr>
              <w:t>技</w:t>
            </w:r>
            <w:r>
              <w:rPr>
                <w:rFonts w:ascii="宋体" w:hAnsi="宋体" w:eastAsia="宋体" w:cs="宋体"/>
                <w:color w:val="auto"/>
                <w:spacing w:val="-1"/>
                <w:highlight w:val="none"/>
              </w:rPr>
              <w:t>术负责人</w:t>
            </w:r>
          </w:p>
        </w:tc>
        <w:tc>
          <w:tcPr>
            <w:tcW w:w="898" w:type="dxa"/>
          </w:tcPr>
          <w:p>
            <w:pPr>
              <w:spacing w:before="177" w:line="221" w:lineRule="auto"/>
              <w:ind w:left="241"/>
              <w:rPr>
                <w:rFonts w:ascii="宋体" w:hAnsi="宋体" w:eastAsia="宋体" w:cs="宋体"/>
                <w:color w:val="auto"/>
                <w:highlight w:val="none"/>
              </w:rPr>
            </w:pPr>
            <w:r>
              <w:rPr>
                <w:rFonts w:ascii="宋体" w:hAnsi="宋体" w:eastAsia="宋体" w:cs="宋体"/>
                <w:color w:val="auto"/>
                <w:spacing w:val="-2"/>
                <w:highlight w:val="none"/>
              </w:rPr>
              <w:t>姓</w:t>
            </w:r>
            <w:r>
              <w:rPr>
                <w:rFonts w:ascii="宋体" w:hAnsi="宋体" w:eastAsia="宋体" w:cs="宋体"/>
                <w:color w:val="auto"/>
                <w:spacing w:val="-1"/>
                <w:highlight w:val="none"/>
              </w:rPr>
              <w:t>名</w:t>
            </w:r>
          </w:p>
        </w:tc>
        <w:tc>
          <w:tcPr>
            <w:tcW w:w="1019" w:type="dxa"/>
          </w:tcPr>
          <w:p>
            <w:pPr>
              <w:rPr>
                <w:color w:val="auto"/>
                <w:highlight w:val="none"/>
              </w:rPr>
            </w:pPr>
          </w:p>
        </w:tc>
        <w:tc>
          <w:tcPr>
            <w:tcW w:w="1159" w:type="dxa"/>
          </w:tcPr>
          <w:p>
            <w:pPr>
              <w:spacing w:before="177" w:line="221" w:lineRule="auto"/>
              <w:ind w:left="164"/>
              <w:rPr>
                <w:rFonts w:ascii="宋体" w:hAnsi="宋体" w:eastAsia="宋体" w:cs="宋体"/>
                <w:color w:val="auto"/>
                <w:highlight w:val="none"/>
              </w:rPr>
            </w:pPr>
            <w:r>
              <w:rPr>
                <w:rFonts w:ascii="宋体" w:hAnsi="宋体" w:eastAsia="宋体" w:cs="宋体"/>
                <w:color w:val="auto"/>
                <w:spacing w:val="-2"/>
                <w:highlight w:val="none"/>
              </w:rPr>
              <w:t>技术</w:t>
            </w:r>
            <w:r>
              <w:rPr>
                <w:rFonts w:ascii="宋体" w:hAnsi="宋体" w:eastAsia="宋体" w:cs="宋体"/>
                <w:color w:val="auto"/>
                <w:spacing w:val="-1"/>
                <w:highlight w:val="none"/>
              </w:rPr>
              <w:t>职称</w:t>
            </w:r>
          </w:p>
        </w:tc>
        <w:tc>
          <w:tcPr>
            <w:tcW w:w="1600" w:type="dxa"/>
            <w:gridSpan w:val="2"/>
          </w:tcPr>
          <w:p>
            <w:pPr>
              <w:rPr>
                <w:color w:val="auto"/>
                <w:highlight w:val="none"/>
              </w:rPr>
            </w:pPr>
          </w:p>
        </w:tc>
        <w:tc>
          <w:tcPr>
            <w:tcW w:w="738" w:type="dxa"/>
          </w:tcPr>
          <w:p>
            <w:pPr>
              <w:spacing w:before="177" w:line="223" w:lineRule="auto"/>
              <w:ind w:left="199"/>
              <w:rPr>
                <w:rFonts w:ascii="宋体" w:hAnsi="宋体" w:eastAsia="宋体" w:cs="宋体"/>
                <w:color w:val="auto"/>
                <w:highlight w:val="none"/>
              </w:rPr>
            </w:pPr>
            <w:r>
              <w:rPr>
                <w:rFonts w:ascii="宋体" w:hAnsi="宋体" w:eastAsia="宋体" w:cs="宋体"/>
                <w:color w:val="auto"/>
                <w:spacing w:val="-9"/>
                <w:highlight w:val="none"/>
              </w:rPr>
              <w:t>电</w:t>
            </w:r>
            <w:r>
              <w:rPr>
                <w:rFonts w:ascii="宋体" w:hAnsi="宋体" w:eastAsia="宋体" w:cs="宋体"/>
                <w:color w:val="auto"/>
                <w:spacing w:val="-7"/>
                <w:highlight w:val="none"/>
              </w:rPr>
              <w:t>话</w:t>
            </w:r>
          </w:p>
        </w:tc>
        <w:tc>
          <w:tcPr>
            <w:tcW w:w="1670" w:type="dxa"/>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631" w:type="dxa"/>
          </w:tcPr>
          <w:p>
            <w:pPr>
              <w:spacing w:before="179" w:line="222" w:lineRule="auto"/>
              <w:ind w:left="403"/>
              <w:rPr>
                <w:rFonts w:ascii="宋体" w:hAnsi="宋体" w:eastAsia="宋体" w:cs="宋体"/>
                <w:color w:val="auto"/>
                <w:highlight w:val="none"/>
              </w:rPr>
            </w:pPr>
            <w:r>
              <w:rPr>
                <w:rFonts w:ascii="宋体" w:hAnsi="宋体" w:eastAsia="宋体" w:cs="宋体"/>
                <w:color w:val="auto"/>
                <w:spacing w:val="-2"/>
                <w:highlight w:val="none"/>
              </w:rPr>
              <w:t>成立时</w:t>
            </w:r>
            <w:r>
              <w:rPr>
                <w:rFonts w:ascii="宋体" w:hAnsi="宋体" w:eastAsia="宋体" w:cs="宋体"/>
                <w:color w:val="auto"/>
                <w:spacing w:val="-1"/>
                <w:highlight w:val="none"/>
              </w:rPr>
              <w:t>间</w:t>
            </w:r>
          </w:p>
        </w:tc>
        <w:tc>
          <w:tcPr>
            <w:tcW w:w="1917" w:type="dxa"/>
            <w:gridSpan w:val="2"/>
          </w:tcPr>
          <w:p>
            <w:pPr>
              <w:rPr>
                <w:color w:val="auto"/>
                <w:highlight w:val="none"/>
              </w:rPr>
            </w:pPr>
          </w:p>
        </w:tc>
        <w:tc>
          <w:tcPr>
            <w:tcW w:w="5167" w:type="dxa"/>
            <w:gridSpan w:val="5"/>
          </w:tcPr>
          <w:p>
            <w:pPr>
              <w:spacing w:before="179" w:line="221" w:lineRule="auto"/>
              <w:ind w:left="1967"/>
              <w:rPr>
                <w:rFonts w:ascii="宋体" w:hAnsi="宋体" w:eastAsia="宋体" w:cs="宋体"/>
                <w:color w:val="auto"/>
                <w:highlight w:val="none"/>
              </w:rPr>
            </w:pPr>
            <w:r>
              <w:rPr>
                <w:rFonts w:ascii="宋体" w:hAnsi="宋体" w:eastAsia="宋体" w:cs="宋体"/>
                <w:color w:val="auto"/>
                <w:spacing w:val="-3"/>
                <w:highlight w:val="none"/>
              </w:rPr>
              <w:t>员</w:t>
            </w:r>
            <w:r>
              <w:rPr>
                <w:rFonts w:ascii="宋体" w:hAnsi="宋体" w:eastAsia="宋体" w:cs="宋体"/>
                <w:color w:val="auto"/>
                <w:spacing w:val="-2"/>
                <w:highlight w:val="none"/>
              </w:rPr>
              <w:t>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631" w:type="dxa"/>
          </w:tcPr>
          <w:p>
            <w:pPr>
              <w:spacing w:before="177" w:line="221" w:lineRule="auto"/>
              <w:ind w:left="410"/>
              <w:rPr>
                <w:rFonts w:ascii="宋体" w:hAnsi="宋体" w:eastAsia="宋体" w:cs="宋体"/>
                <w:color w:val="auto"/>
                <w:highlight w:val="none"/>
              </w:rPr>
            </w:pPr>
            <w:r>
              <w:rPr>
                <w:rFonts w:ascii="宋体" w:hAnsi="宋体" w:eastAsia="宋体" w:cs="宋体"/>
                <w:color w:val="auto"/>
                <w:spacing w:val="-5"/>
                <w:highlight w:val="none"/>
              </w:rPr>
              <w:t>资</w:t>
            </w:r>
            <w:r>
              <w:rPr>
                <w:rFonts w:ascii="宋体" w:hAnsi="宋体" w:eastAsia="宋体" w:cs="宋体"/>
                <w:color w:val="auto"/>
                <w:spacing w:val="-3"/>
                <w:highlight w:val="none"/>
              </w:rPr>
              <w:t>质等级</w:t>
            </w:r>
          </w:p>
        </w:tc>
        <w:tc>
          <w:tcPr>
            <w:tcW w:w="1917" w:type="dxa"/>
            <w:gridSpan w:val="2"/>
          </w:tcPr>
          <w:p>
            <w:pPr>
              <w:rPr>
                <w:color w:val="auto"/>
                <w:highlight w:val="none"/>
              </w:rPr>
            </w:pPr>
          </w:p>
        </w:tc>
        <w:tc>
          <w:tcPr>
            <w:tcW w:w="1159" w:type="dxa"/>
            <w:vMerge w:val="restart"/>
            <w:tcBorders>
              <w:bottom w:val="nil"/>
            </w:tcBorders>
          </w:tcPr>
          <w:p>
            <w:pPr>
              <w:spacing w:line="251" w:lineRule="auto"/>
              <w:rPr>
                <w:color w:val="auto"/>
                <w:highlight w:val="none"/>
              </w:rPr>
            </w:pPr>
          </w:p>
          <w:p>
            <w:pPr>
              <w:spacing w:line="251" w:lineRule="auto"/>
              <w:rPr>
                <w:color w:val="auto"/>
                <w:highlight w:val="none"/>
              </w:rPr>
            </w:pPr>
          </w:p>
          <w:p>
            <w:pPr>
              <w:spacing w:line="251" w:lineRule="auto"/>
              <w:rPr>
                <w:color w:val="auto"/>
                <w:highlight w:val="none"/>
              </w:rPr>
            </w:pPr>
          </w:p>
          <w:p>
            <w:pPr>
              <w:spacing w:line="251" w:lineRule="auto"/>
              <w:rPr>
                <w:color w:val="auto"/>
                <w:highlight w:val="none"/>
              </w:rPr>
            </w:pPr>
          </w:p>
          <w:p>
            <w:pPr>
              <w:spacing w:line="252" w:lineRule="auto"/>
              <w:rPr>
                <w:color w:val="auto"/>
                <w:highlight w:val="none"/>
              </w:rPr>
            </w:pPr>
          </w:p>
          <w:p>
            <w:pPr>
              <w:spacing w:before="68" w:line="221" w:lineRule="auto"/>
              <w:ind w:left="375"/>
              <w:rPr>
                <w:rFonts w:ascii="宋体" w:hAnsi="宋体" w:eastAsia="宋体" w:cs="宋体"/>
                <w:color w:val="auto"/>
                <w:highlight w:val="none"/>
              </w:rPr>
            </w:pPr>
            <w:r>
              <w:rPr>
                <w:rFonts w:ascii="宋体" w:hAnsi="宋体" w:eastAsia="宋体" w:cs="宋体"/>
                <w:color w:val="auto"/>
                <w:spacing w:val="-2"/>
                <w:highlight w:val="none"/>
              </w:rPr>
              <w:t>其中</w:t>
            </w:r>
          </w:p>
        </w:tc>
        <w:tc>
          <w:tcPr>
            <w:tcW w:w="1600" w:type="dxa"/>
            <w:gridSpan w:val="2"/>
          </w:tcPr>
          <w:p>
            <w:pPr>
              <w:spacing w:before="178" w:line="221" w:lineRule="auto"/>
              <w:ind w:left="398"/>
              <w:rPr>
                <w:rFonts w:ascii="宋体" w:hAnsi="宋体" w:eastAsia="宋体" w:cs="宋体"/>
                <w:color w:val="auto"/>
                <w:highlight w:val="none"/>
              </w:rPr>
            </w:pPr>
            <w:r>
              <w:rPr>
                <w:rFonts w:ascii="宋体" w:hAnsi="宋体" w:eastAsia="宋体" w:cs="宋体"/>
                <w:color w:val="auto"/>
                <w:spacing w:val="-3"/>
                <w:highlight w:val="none"/>
              </w:rPr>
              <w:t>项</w:t>
            </w:r>
            <w:r>
              <w:rPr>
                <w:rFonts w:ascii="宋体" w:hAnsi="宋体" w:eastAsia="宋体" w:cs="宋体"/>
                <w:color w:val="auto"/>
                <w:spacing w:val="-2"/>
                <w:highlight w:val="none"/>
              </w:rPr>
              <w:t>目经理</w:t>
            </w:r>
          </w:p>
        </w:tc>
        <w:tc>
          <w:tcPr>
            <w:tcW w:w="2408" w:type="dxa"/>
            <w:gridSpan w:val="2"/>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631" w:type="dxa"/>
          </w:tcPr>
          <w:p>
            <w:pPr>
              <w:spacing w:before="44" w:line="230" w:lineRule="auto"/>
              <w:ind w:left="609" w:right="181" w:hanging="415"/>
              <w:rPr>
                <w:rFonts w:ascii="宋体" w:hAnsi="宋体" w:eastAsia="宋体" w:cs="宋体"/>
                <w:color w:val="auto"/>
                <w:highlight w:val="none"/>
              </w:rPr>
            </w:pPr>
            <w:r>
              <w:rPr>
                <w:rFonts w:ascii="宋体" w:hAnsi="宋体" w:eastAsia="宋体" w:cs="宋体"/>
                <w:color w:val="auto"/>
                <w:spacing w:val="-2"/>
                <w:highlight w:val="none"/>
              </w:rPr>
              <w:t>安全生产</w:t>
            </w:r>
            <w:r>
              <w:rPr>
                <w:rFonts w:ascii="宋体" w:hAnsi="宋体" w:eastAsia="宋体" w:cs="宋体"/>
                <w:color w:val="auto"/>
                <w:spacing w:val="-1"/>
                <w:highlight w:val="none"/>
              </w:rPr>
              <w:t>许可</w:t>
            </w:r>
            <w:r>
              <w:rPr>
                <w:rFonts w:ascii="宋体" w:hAnsi="宋体" w:eastAsia="宋体" w:cs="宋体"/>
                <w:color w:val="auto"/>
                <w:highlight w:val="none"/>
              </w:rPr>
              <w:t xml:space="preserve"> </w:t>
            </w:r>
            <w:r>
              <w:rPr>
                <w:rFonts w:ascii="宋体" w:hAnsi="宋体" w:eastAsia="宋体" w:cs="宋体"/>
                <w:color w:val="auto"/>
                <w:spacing w:val="-2"/>
                <w:highlight w:val="none"/>
              </w:rPr>
              <w:t>证</w:t>
            </w:r>
            <w:r>
              <w:rPr>
                <w:rFonts w:ascii="宋体" w:hAnsi="宋体" w:eastAsia="宋体" w:cs="宋体"/>
                <w:color w:val="auto"/>
                <w:spacing w:val="-1"/>
                <w:highlight w:val="none"/>
              </w:rPr>
              <w:t>号</w:t>
            </w:r>
          </w:p>
        </w:tc>
        <w:tc>
          <w:tcPr>
            <w:tcW w:w="1917" w:type="dxa"/>
            <w:gridSpan w:val="2"/>
          </w:tcPr>
          <w:p>
            <w:pPr>
              <w:rPr>
                <w:color w:val="auto"/>
                <w:highlight w:val="none"/>
              </w:rPr>
            </w:pPr>
          </w:p>
        </w:tc>
        <w:tc>
          <w:tcPr>
            <w:tcW w:w="1159" w:type="dxa"/>
            <w:vMerge w:val="continue"/>
            <w:tcBorders>
              <w:top w:val="nil"/>
              <w:bottom w:val="nil"/>
            </w:tcBorders>
          </w:tcPr>
          <w:p>
            <w:pPr>
              <w:rPr>
                <w:color w:val="auto"/>
                <w:highlight w:val="none"/>
              </w:rPr>
            </w:pPr>
          </w:p>
        </w:tc>
        <w:tc>
          <w:tcPr>
            <w:tcW w:w="1600" w:type="dxa"/>
            <w:gridSpan w:val="2"/>
          </w:tcPr>
          <w:p>
            <w:pPr>
              <w:spacing w:before="179" w:line="221" w:lineRule="auto"/>
              <w:ind w:left="191"/>
              <w:rPr>
                <w:rFonts w:ascii="宋体" w:hAnsi="宋体" w:eastAsia="宋体" w:cs="宋体"/>
                <w:color w:val="auto"/>
                <w:highlight w:val="none"/>
              </w:rPr>
            </w:pPr>
            <w:r>
              <w:rPr>
                <w:rFonts w:ascii="宋体" w:hAnsi="宋体" w:eastAsia="宋体" w:cs="宋体"/>
                <w:color w:val="auto"/>
                <w:spacing w:val="-2"/>
                <w:highlight w:val="none"/>
              </w:rPr>
              <w:t>高级职称人</w:t>
            </w:r>
            <w:r>
              <w:rPr>
                <w:rFonts w:ascii="宋体" w:hAnsi="宋体" w:eastAsia="宋体" w:cs="宋体"/>
                <w:color w:val="auto"/>
                <w:spacing w:val="-1"/>
                <w:highlight w:val="none"/>
              </w:rPr>
              <w:t>员</w:t>
            </w:r>
          </w:p>
        </w:tc>
        <w:tc>
          <w:tcPr>
            <w:tcW w:w="2408" w:type="dxa"/>
            <w:gridSpan w:val="2"/>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631" w:type="dxa"/>
          </w:tcPr>
          <w:p>
            <w:pPr>
              <w:spacing w:before="180" w:line="222" w:lineRule="auto"/>
              <w:ind w:left="401"/>
              <w:rPr>
                <w:rFonts w:ascii="宋体" w:hAnsi="宋体" w:eastAsia="宋体" w:cs="宋体"/>
                <w:color w:val="auto"/>
                <w:highlight w:val="none"/>
              </w:rPr>
            </w:pPr>
            <w:r>
              <w:rPr>
                <w:rFonts w:ascii="宋体" w:hAnsi="宋体" w:eastAsia="宋体" w:cs="宋体"/>
                <w:color w:val="auto"/>
                <w:spacing w:val="-2"/>
                <w:highlight w:val="none"/>
              </w:rPr>
              <w:t>注</w:t>
            </w:r>
            <w:r>
              <w:rPr>
                <w:rFonts w:ascii="宋体" w:hAnsi="宋体" w:eastAsia="宋体" w:cs="宋体"/>
                <w:color w:val="auto"/>
                <w:spacing w:val="-1"/>
                <w:highlight w:val="none"/>
              </w:rPr>
              <w:t>册资金</w:t>
            </w:r>
          </w:p>
        </w:tc>
        <w:tc>
          <w:tcPr>
            <w:tcW w:w="1917" w:type="dxa"/>
            <w:gridSpan w:val="2"/>
          </w:tcPr>
          <w:p>
            <w:pPr>
              <w:rPr>
                <w:color w:val="auto"/>
                <w:highlight w:val="none"/>
              </w:rPr>
            </w:pPr>
          </w:p>
        </w:tc>
        <w:tc>
          <w:tcPr>
            <w:tcW w:w="1159" w:type="dxa"/>
            <w:vMerge w:val="continue"/>
            <w:tcBorders>
              <w:top w:val="nil"/>
              <w:bottom w:val="nil"/>
            </w:tcBorders>
          </w:tcPr>
          <w:p>
            <w:pPr>
              <w:rPr>
                <w:color w:val="auto"/>
                <w:highlight w:val="none"/>
              </w:rPr>
            </w:pPr>
          </w:p>
        </w:tc>
        <w:tc>
          <w:tcPr>
            <w:tcW w:w="1600" w:type="dxa"/>
            <w:gridSpan w:val="2"/>
          </w:tcPr>
          <w:p>
            <w:pPr>
              <w:spacing w:before="180" w:line="221" w:lineRule="auto"/>
              <w:ind w:left="205"/>
              <w:rPr>
                <w:rFonts w:ascii="宋体" w:hAnsi="宋体" w:eastAsia="宋体" w:cs="宋体"/>
                <w:color w:val="auto"/>
                <w:highlight w:val="none"/>
              </w:rPr>
            </w:pPr>
            <w:r>
              <w:rPr>
                <w:rFonts w:ascii="宋体" w:hAnsi="宋体" w:eastAsia="宋体" w:cs="宋体"/>
                <w:color w:val="auto"/>
                <w:spacing w:val="-5"/>
                <w:highlight w:val="none"/>
              </w:rPr>
              <w:t>中</w:t>
            </w:r>
            <w:r>
              <w:rPr>
                <w:rFonts w:ascii="宋体" w:hAnsi="宋体" w:eastAsia="宋体" w:cs="宋体"/>
                <w:color w:val="auto"/>
                <w:spacing w:val="-4"/>
                <w:highlight w:val="none"/>
              </w:rPr>
              <w:t>级职称人员</w:t>
            </w:r>
          </w:p>
        </w:tc>
        <w:tc>
          <w:tcPr>
            <w:tcW w:w="2408" w:type="dxa"/>
            <w:gridSpan w:val="2"/>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631" w:type="dxa"/>
          </w:tcPr>
          <w:p>
            <w:pPr>
              <w:spacing w:before="179" w:line="221" w:lineRule="auto"/>
              <w:ind w:left="402"/>
              <w:rPr>
                <w:rFonts w:ascii="宋体" w:hAnsi="宋体" w:eastAsia="宋体" w:cs="宋体"/>
                <w:color w:val="auto"/>
                <w:highlight w:val="none"/>
              </w:rPr>
            </w:pPr>
            <w:r>
              <w:rPr>
                <w:rFonts w:ascii="宋体" w:hAnsi="宋体" w:eastAsia="宋体" w:cs="宋体"/>
                <w:color w:val="auto"/>
                <w:spacing w:val="-2"/>
                <w:highlight w:val="none"/>
              </w:rPr>
              <w:t>开户</w:t>
            </w:r>
            <w:r>
              <w:rPr>
                <w:rFonts w:ascii="宋体" w:hAnsi="宋体" w:eastAsia="宋体" w:cs="宋体"/>
                <w:color w:val="auto"/>
                <w:spacing w:val="-1"/>
                <w:highlight w:val="none"/>
              </w:rPr>
              <w:t>银行</w:t>
            </w:r>
          </w:p>
        </w:tc>
        <w:tc>
          <w:tcPr>
            <w:tcW w:w="1917" w:type="dxa"/>
            <w:gridSpan w:val="2"/>
          </w:tcPr>
          <w:p>
            <w:pPr>
              <w:rPr>
                <w:color w:val="auto"/>
                <w:highlight w:val="none"/>
              </w:rPr>
            </w:pPr>
          </w:p>
        </w:tc>
        <w:tc>
          <w:tcPr>
            <w:tcW w:w="1159" w:type="dxa"/>
            <w:vMerge w:val="continue"/>
            <w:tcBorders>
              <w:top w:val="nil"/>
              <w:bottom w:val="nil"/>
            </w:tcBorders>
          </w:tcPr>
          <w:p>
            <w:pPr>
              <w:rPr>
                <w:color w:val="auto"/>
                <w:highlight w:val="none"/>
              </w:rPr>
            </w:pPr>
          </w:p>
        </w:tc>
        <w:tc>
          <w:tcPr>
            <w:tcW w:w="1600" w:type="dxa"/>
            <w:gridSpan w:val="2"/>
          </w:tcPr>
          <w:p>
            <w:pPr>
              <w:spacing w:before="178" w:line="222" w:lineRule="auto"/>
              <w:ind w:left="185"/>
              <w:rPr>
                <w:rFonts w:ascii="宋体" w:hAnsi="宋体" w:eastAsia="宋体" w:cs="宋体"/>
                <w:color w:val="auto"/>
                <w:highlight w:val="none"/>
              </w:rPr>
            </w:pPr>
            <w:r>
              <w:rPr>
                <w:rFonts w:ascii="宋体" w:hAnsi="宋体" w:eastAsia="宋体" w:cs="宋体"/>
                <w:color w:val="auto"/>
                <w:spacing w:val="-1"/>
                <w:highlight w:val="none"/>
              </w:rPr>
              <w:t>初级职称</w:t>
            </w:r>
            <w:r>
              <w:rPr>
                <w:rFonts w:ascii="宋体" w:hAnsi="宋体" w:eastAsia="宋体" w:cs="宋体"/>
                <w:color w:val="auto"/>
                <w:highlight w:val="none"/>
              </w:rPr>
              <w:t>人员</w:t>
            </w:r>
          </w:p>
        </w:tc>
        <w:tc>
          <w:tcPr>
            <w:tcW w:w="2408" w:type="dxa"/>
            <w:gridSpan w:val="2"/>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631" w:type="dxa"/>
          </w:tcPr>
          <w:p>
            <w:pPr>
              <w:spacing w:before="181" w:line="222" w:lineRule="auto"/>
              <w:ind w:left="613"/>
              <w:rPr>
                <w:rFonts w:ascii="宋体" w:hAnsi="宋体" w:eastAsia="宋体" w:cs="宋体"/>
                <w:color w:val="auto"/>
                <w:highlight w:val="none"/>
              </w:rPr>
            </w:pPr>
            <w:r>
              <w:rPr>
                <w:rFonts w:ascii="宋体" w:hAnsi="宋体" w:eastAsia="宋体" w:cs="宋体"/>
                <w:color w:val="auto"/>
                <w:spacing w:val="-3"/>
                <w:highlight w:val="none"/>
              </w:rPr>
              <w:t>账</w:t>
            </w:r>
            <w:r>
              <w:rPr>
                <w:rFonts w:ascii="宋体" w:hAnsi="宋体" w:eastAsia="宋体" w:cs="宋体"/>
                <w:color w:val="auto"/>
                <w:spacing w:val="-2"/>
                <w:highlight w:val="none"/>
              </w:rPr>
              <w:t>号</w:t>
            </w:r>
          </w:p>
        </w:tc>
        <w:tc>
          <w:tcPr>
            <w:tcW w:w="1917" w:type="dxa"/>
            <w:gridSpan w:val="2"/>
          </w:tcPr>
          <w:p>
            <w:pPr>
              <w:rPr>
                <w:color w:val="auto"/>
                <w:highlight w:val="none"/>
              </w:rPr>
            </w:pPr>
          </w:p>
        </w:tc>
        <w:tc>
          <w:tcPr>
            <w:tcW w:w="1159" w:type="dxa"/>
            <w:vMerge w:val="continue"/>
            <w:tcBorders>
              <w:top w:val="nil"/>
            </w:tcBorders>
          </w:tcPr>
          <w:p>
            <w:pPr>
              <w:rPr>
                <w:color w:val="auto"/>
                <w:highlight w:val="none"/>
              </w:rPr>
            </w:pPr>
          </w:p>
        </w:tc>
        <w:tc>
          <w:tcPr>
            <w:tcW w:w="1600" w:type="dxa"/>
            <w:gridSpan w:val="2"/>
          </w:tcPr>
          <w:p>
            <w:pPr>
              <w:spacing w:before="181" w:line="222" w:lineRule="auto"/>
              <w:ind w:left="501"/>
              <w:rPr>
                <w:rFonts w:ascii="宋体" w:hAnsi="宋体" w:eastAsia="宋体" w:cs="宋体"/>
                <w:color w:val="auto"/>
                <w:highlight w:val="none"/>
              </w:rPr>
            </w:pPr>
            <w:r>
              <w:rPr>
                <w:rFonts w:ascii="宋体" w:hAnsi="宋体" w:eastAsia="宋体" w:cs="宋体"/>
                <w:color w:val="auto"/>
                <w:spacing w:val="1"/>
                <w:highlight w:val="none"/>
              </w:rPr>
              <w:t>技  工</w:t>
            </w:r>
          </w:p>
        </w:tc>
        <w:tc>
          <w:tcPr>
            <w:tcW w:w="2408" w:type="dxa"/>
            <w:gridSpan w:val="2"/>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9" w:hRule="atLeast"/>
        </w:trPr>
        <w:tc>
          <w:tcPr>
            <w:tcW w:w="1631" w:type="dxa"/>
          </w:tcPr>
          <w:p>
            <w:pPr>
              <w:spacing w:line="247" w:lineRule="auto"/>
              <w:rPr>
                <w:color w:val="auto"/>
                <w:highlight w:val="none"/>
              </w:rPr>
            </w:pPr>
          </w:p>
          <w:p>
            <w:pPr>
              <w:spacing w:line="247" w:lineRule="auto"/>
              <w:rPr>
                <w:color w:val="auto"/>
                <w:highlight w:val="none"/>
              </w:rPr>
            </w:pPr>
          </w:p>
          <w:p>
            <w:pPr>
              <w:spacing w:line="248" w:lineRule="auto"/>
              <w:rPr>
                <w:color w:val="auto"/>
                <w:highlight w:val="none"/>
              </w:rPr>
            </w:pPr>
          </w:p>
          <w:p>
            <w:pPr>
              <w:spacing w:before="68" w:line="221" w:lineRule="auto"/>
              <w:ind w:left="403"/>
              <w:rPr>
                <w:rFonts w:ascii="宋体" w:hAnsi="宋体" w:eastAsia="宋体" w:cs="宋体"/>
                <w:color w:val="auto"/>
                <w:highlight w:val="none"/>
              </w:rPr>
            </w:pPr>
            <w:r>
              <w:rPr>
                <w:rFonts w:ascii="宋体" w:hAnsi="宋体" w:eastAsia="宋体" w:cs="宋体"/>
                <w:color w:val="auto"/>
                <w:spacing w:val="-2"/>
                <w:highlight w:val="none"/>
              </w:rPr>
              <w:t>经营范</w:t>
            </w:r>
            <w:r>
              <w:rPr>
                <w:rFonts w:ascii="宋体" w:hAnsi="宋体" w:eastAsia="宋体" w:cs="宋体"/>
                <w:color w:val="auto"/>
                <w:spacing w:val="-1"/>
                <w:highlight w:val="none"/>
              </w:rPr>
              <w:t>围</w:t>
            </w:r>
          </w:p>
        </w:tc>
        <w:tc>
          <w:tcPr>
            <w:tcW w:w="7084" w:type="dxa"/>
            <w:gridSpan w:val="7"/>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631" w:type="dxa"/>
          </w:tcPr>
          <w:p>
            <w:pPr>
              <w:spacing w:before="183" w:line="222" w:lineRule="auto"/>
              <w:ind w:left="612"/>
              <w:rPr>
                <w:rFonts w:ascii="宋体" w:hAnsi="宋体" w:eastAsia="宋体" w:cs="宋体"/>
                <w:color w:val="auto"/>
                <w:highlight w:val="none"/>
              </w:rPr>
            </w:pPr>
            <w:r>
              <w:rPr>
                <w:rFonts w:ascii="宋体" w:hAnsi="宋体" w:eastAsia="宋体" w:cs="宋体"/>
                <w:color w:val="auto"/>
                <w:spacing w:val="-3"/>
                <w:highlight w:val="none"/>
              </w:rPr>
              <w:t>备</w:t>
            </w:r>
            <w:r>
              <w:rPr>
                <w:rFonts w:ascii="宋体" w:hAnsi="宋体" w:eastAsia="宋体" w:cs="宋体"/>
                <w:color w:val="auto"/>
                <w:spacing w:val="-2"/>
                <w:highlight w:val="none"/>
              </w:rPr>
              <w:t>注</w:t>
            </w:r>
          </w:p>
        </w:tc>
        <w:tc>
          <w:tcPr>
            <w:tcW w:w="7084" w:type="dxa"/>
            <w:gridSpan w:val="7"/>
          </w:tcPr>
          <w:p>
            <w:pPr>
              <w:rPr>
                <w:color w:val="auto"/>
                <w:highlight w:val="none"/>
              </w:rPr>
            </w:pPr>
          </w:p>
        </w:tc>
      </w:tr>
    </w:tbl>
    <w:p>
      <w:pPr>
        <w:spacing w:line="270" w:lineRule="auto"/>
        <w:rPr>
          <w:color w:val="auto"/>
          <w:highlight w:val="none"/>
        </w:rPr>
      </w:pPr>
    </w:p>
    <w:p>
      <w:pPr>
        <w:spacing w:line="270" w:lineRule="auto"/>
        <w:rPr>
          <w:color w:val="auto"/>
          <w:highlight w:val="none"/>
        </w:rPr>
      </w:pPr>
    </w:p>
    <w:p>
      <w:pPr>
        <w:spacing w:before="68" w:line="393" w:lineRule="auto"/>
        <w:ind w:left="37" w:right="25" w:hanging="12"/>
        <w:rPr>
          <w:rFonts w:ascii="宋体" w:hAnsi="宋体" w:eastAsia="宋体" w:cs="宋体"/>
          <w:b/>
          <w:bCs/>
          <w:color w:val="auto"/>
          <w:highlight w:val="none"/>
        </w:rPr>
        <w:sectPr>
          <w:footerReference r:id="rId20" w:type="default"/>
          <w:pgSz w:w="11907" w:h="16839"/>
          <w:pgMar w:top="1440" w:right="1080" w:bottom="1440" w:left="1080" w:header="0" w:footer="1060" w:gutter="0"/>
          <w:cols w:space="720" w:num="1"/>
        </w:sectPr>
      </w:pPr>
      <w:r>
        <w:rPr>
          <w:rFonts w:hint="eastAsia" w:ascii="宋体" w:hAnsi="宋体" w:eastAsia="宋体" w:cs="宋体"/>
          <w:color w:val="auto"/>
          <w:spacing w:val="-2"/>
          <w:highlight w:val="none"/>
        </w:rPr>
        <w:t>【</w:t>
      </w:r>
      <w:r>
        <w:rPr>
          <w:rFonts w:hint="eastAsia" w:ascii="宋体" w:hAnsi="宋体" w:eastAsia="宋体" w:cs="宋体"/>
          <w:b/>
          <w:bCs/>
          <w:color w:val="auto"/>
          <w:spacing w:val="-2"/>
          <w:highlight w:val="none"/>
        </w:rPr>
        <w:t>备注</w:t>
      </w:r>
      <w:r>
        <w:rPr>
          <w:rFonts w:hint="eastAsia" w:ascii="宋体" w:hAnsi="宋体" w:eastAsia="宋体" w:cs="宋体"/>
          <w:b/>
          <w:bCs/>
          <w:color w:val="auto"/>
          <w:spacing w:val="-1"/>
          <w:highlight w:val="none"/>
        </w:rPr>
        <w:t>：附有效的企业营业执照副本、企业资质证书副本和安全生产许可证副本等的扫描件。以上扫描件均为原件的</w:t>
      </w:r>
      <w:r>
        <w:rPr>
          <w:rFonts w:hint="eastAsia" w:ascii="宋体" w:hAnsi="宋体" w:eastAsia="宋体" w:cs="宋体"/>
          <w:b/>
          <w:bCs/>
          <w:color w:val="auto"/>
          <w:highlight w:val="none"/>
        </w:rPr>
        <w:t>扫描件</w:t>
      </w:r>
      <w:r>
        <w:rPr>
          <w:rFonts w:ascii="宋体" w:hAnsi="宋体" w:eastAsia="宋体" w:cs="宋体"/>
          <w:b/>
          <w:bCs/>
          <w:color w:val="auto"/>
          <w:highlight w:val="none"/>
        </w:rPr>
        <w:t>】</w:t>
      </w:r>
    </w:p>
    <w:p>
      <w:pPr>
        <w:spacing w:before="91" w:line="220" w:lineRule="auto"/>
        <w:jc w:val="center"/>
        <w:outlineLvl w:val="6"/>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r>
        <w:rPr>
          <w:rFonts w:hint="eastAsia" w:ascii="宋体" w:hAnsi="宋体" w:eastAsia="宋体" w:cs="宋体"/>
          <w:color w:val="auto"/>
          <w:spacing w:val="-1"/>
          <w:sz w:val="28"/>
          <w:szCs w:val="28"/>
          <w:highlight w:val="none"/>
          <w:lang w:val="en-US" w:eastAsia="zh-CN"/>
          <w14:textOutline w14:w="5092" w14:cap="flat" w14:cmpd="sng" w14:algn="ctr">
            <w14:solidFill>
              <w14:srgbClr w14:val="000000"/>
            </w14:solidFill>
            <w14:prstDash w14:val="solid"/>
            <w14:miter w14:val="0"/>
          </w14:textOutline>
        </w:rPr>
        <w:t>3</w:t>
      </w:r>
      <w:r>
        <w:rPr>
          <w:rFonts w:hint="eastAsia"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w:t>
      </w:r>
      <w:r>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近三年财务状况表</w:t>
      </w:r>
    </w:p>
    <w:p>
      <w:pPr>
        <w:spacing w:before="91" w:line="220" w:lineRule="auto"/>
        <w:jc w:val="center"/>
        <w:outlineLvl w:val="6"/>
        <w:rPr>
          <w:color w:val="auto"/>
          <w:highlight w:val="none"/>
        </w:rPr>
        <w:sectPr>
          <w:footerReference r:id="rId21" w:type="default"/>
          <w:pgSz w:w="11907" w:h="16839"/>
          <w:pgMar w:top="1440" w:right="1080" w:bottom="1440" w:left="1080" w:header="0" w:footer="1060" w:gutter="0"/>
          <w:cols w:space="720" w:num="1"/>
        </w:sectPr>
      </w:pPr>
      <w:r>
        <w:rPr>
          <w:rFonts w:ascii="宋体" w:hAnsi="宋体" w:eastAsia="宋体" w:cs="宋体"/>
          <w:b/>
          <w:bCs/>
          <w:color w:val="auto"/>
          <w:spacing w:val="-2"/>
          <w:highlight w:val="none"/>
        </w:rPr>
        <w:t xml:space="preserve"> </w:t>
      </w:r>
      <w:r>
        <w:rPr>
          <w:rFonts w:hint="eastAsia" w:ascii="宋体" w:hAnsi="宋体" w:eastAsia="宋体" w:cs="宋体"/>
          <w:b/>
          <w:bCs/>
          <w:color w:val="auto"/>
          <w:spacing w:val="-2"/>
          <w:highlight w:val="none"/>
        </w:rPr>
        <w:t>（</w:t>
      </w:r>
      <w:r>
        <w:rPr>
          <w:rFonts w:ascii="宋体" w:hAnsi="宋体" w:eastAsia="宋体" w:cs="宋体"/>
          <w:b/>
          <w:bCs/>
          <w:color w:val="auto"/>
          <w:spacing w:val="-2"/>
          <w:highlight w:val="none"/>
        </w:rPr>
        <w:t>附经会计师事务所或审计机构审计的财</w:t>
      </w:r>
      <w:r>
        <w:rPr>
          <w:rFonts w:ascii="宋体" w:hAnsi="宋体" w:eastAsia="宋体" w:cs="宋体"/>
          <w:b/>
          <w:bCs/>
          <w:color w:val="auto"/>
          <w:spacing w:val="-1"/>
          <w:highlight w:val="none"/>
        </w:rPr>
        <w:t>务会计报表，包括资产负债表、现金流量表、利</w:t>
      </w:r>
      <w:r>
        <w:rPr>
          <w:rFonts w:ascii="宋体" w:hAnsi="宋体" w:eastAsia="宋体" w:cs="宋体"/>
          <w:b/>
          <w:bCs/>
          <w:color w:val="auto"/>
          <w:highlight w:val="none"/>
        </w:rPr>
        <w:t>润表的复印件</w:t>
      </w:r>
      <w:r>
        <w:rPr>
          <w:rFonts w:hint="eastAsia" w:ascii="宋体" w:hAnsi="宋体" w:eastAsia="宋体" w:cs="宋体"/>
          <w:b/>
          <w:bCs/>
          <w:color w:val="auto"/>
          <w:highlight w:val="none"/>
        </w:rPr>
        <w:t>，</w:t>
      </w:r>
      <w:r>
        <w:rPr>
          <w:rFonts w:hint="eastAsia" w:ascii="宋体" w:hAnsi="宋体" w:eastAsia="宋体" w:cs="宋体"/>
          <w:b/>
          <w:bCs/>
          <w:color w:val="auto"/>
          <w:spacing w:val="-2"/>
          <w:highlight w:val="none"/>
        </w:rPr>
        <w:t>对于从取得营业执照时间起到投标截止时间为止不足要求年数的企业，只需提交企业取得营业执照年份至所要求最近年份经审计的财务报表</w:t>
      </w:r>
      <w:r>
        <w:rPr>
          <w:rFonts w:hint="eastAsia" w:ascii="宋体" w:hAnsi="宋体" w:eastAsia="宋体" w:cs="宋体"/>
          <w:b/>
          <w:bCs/>
          <w:color w:val="auto"/>
          <w:highlight w:val="none"/>
        </w:rPr>
        <w:t>）（必须提供）</w:t>
      </w:r>
    </w:p>
    <w:p>
      <w:pPr>
        <w:pStyle w:val="4"/>
        <w:jc w:val="center"/>
        <w:rPr>
          <w:rFonts w:ascii="宋体" w:hAnsi="宋体" w:eastAsia="宋体" w:cs="宋体"/>
          <w:b w:val="0"/>
          <w:bCs w:val="0"/>
          <w:color w:val="auto"/>
          <w:spacing w:val="-1"/>
          <w:sz w:val="28"/>
          <w:szCs w:val="28"/>
          <w:highlight w:val="none"/>
          <w14:textOutline w14:w="5092" w14:cap="flat" w14:cmpd="sng" w14:algn="ctr">
            <w14:solidFill>
              <w14:srgbClr w14:val="000000"/>
            </w14:solidFill>
            <w14:prstDash w14:val="solid"/>
            <w14:miter w14:val="0"/>
          </w14:textOutline>
        </w:rPr>
      </w:pPr>
      <w:r>
        <w:rPr>
          <w:rFonts w:hint="eastAsia" w:ascii="宋体" w:hAnsi="宋体" w:eastAsia="宋体" w:cs="宋体"/>
          <w:b w:val="0"/>
          <w:bCs w:val="0"/>
          <w:color w:val="auto"/>
          <w:spacing w:val="-1"/>
          <w:sz w:val="28"/>
          <w:szCs w:val="28"/>
          <w:highlight w:val="none"/>
          <w:lang w:val="en-US" w:eastAsia="zh-CN"/>
          <w14:textOutline w14:w="5092" w14:cap="flat" w14:cmpd="sng" w14:algn="ctr">
            <w14:solidFill>
              <w14:srgbClr w14:val="000000"/>
            </w14:solidFill>
            <w14:prstDash w14:val="solid"/>
            <w14:miter w14:val="0"/>
          </w14:textOutline>
        </w:rPr>
        <w:t>4</w:t>
      </w:r>
      <w:r>
        <w:rPr>
          <w:rFonts w:hint="eastAsia" w:ascii="宋体" w:hAnsi="宋体" w:eastAsia="宋体" w:cs="宋体"/>
          <w:b w:val="0"/>
          <w:bCs w:val="0"/>
          <w:color w:val="auto"/>
          <w:spacing w:val="-1"/>
          <w:sz w:val="28"/>
          <w:szCs w:val="28"/>
          <w:highlight w:val="none"/>
          <w14:textOutline w14:w="5092" w14:cap="flat" w14:cmpd="sng" w14:algn="ctr">
            <w14:solidFill>
              <w14:srgbClr w14:val="000000"/>
            </w14:solidFill>
            <w14:prstDash w14:val="solid"/>
            <w14:miter w14:val="0"/>
          </w14:textOutline>
        </w:rPr>
        <w:t>、项目管理机构组成表</w:t>
      </w:r>
    </w:p>
    <w:p>
      <w:pPr>
        <w:rPr>
          <w:rFonts w:ascii="宋体" w:hAnsi="宋体" w:eastAsia="宋体" w:cs="宋体"/>
          <w:color w:val="auto"/>
          <w:sz w:val="20"/>
          <w:szCs w:val="20"/>
          <w:highlight w:val="none"/>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5"/>
        <w:gridCol w:w="743"/>
        <w:gridCol w:w="743"/>
        <w:gridCol w:w="1357"/>
        <w:gridCol w:w="3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55" w:type="dxa"/>
            <w:vAlign w:val="center"/>
          </w:tcPr>
          <w:p>
            <w:pPr>
              <w:spacing w:line="300" w:lineRule="auto"/>
              <w:jc w:val="center"/>
              <w:rPr>
                <w:rFonts w:ascii="宋体" w:hAnsi="宋体" w:eastAsia="宋体" w:cs="宋体"/>
                <w:color w:val="auto"/>
                <w:highlight w:val="none"/>
              </w:rPr>
            </w:pPr>
            <w:r>
              <w:rPr>
                <w:rFonts w:hint="eastAsia" w:ascii="宋体" w:hAnsi="宋体" w:eastAsia="宋体" w:cs="宋体"/>
                <w:color w:val="auto"/>
                <w:highlight w:val="none"/>
              </w:rPr>
              <w:t>名   称</w:t>
            </w:r>
          </w:p>
        </w:tc>
        <w:tc>
          <w:tcPr>
            <w:tcW w:w="743" w:type="dxa"/>
            <w:vAlign w:val="center"/>
          </w:tcPr>
          <w:p>
            <w:pPr>
              <w:spacing w:line="300" w:lineRule="auto"/>
              <w:jc w:val="center"/>
              <w:rPr>
                <w:rFonts w:ascii="宋体" w:hAnsi="宋体" w:eastAsia="宋体" w:cs="宋体"/>
                <w:color w:val="auto"/>
                <w:highlight w:val="none"/>
              </w:rPr>
            </w:pPr>
            <w:r>
              <w:rPr>
                <w:rFonts w:hint="eastAsia" w:ascii="宋体" w:hAnsi="宋体" w:eastAsia="宋体" w:cs="宋体"/>
                <w:color w:val="auto"/>
                <w:highlight w:val="none"/>
              </w:rPr>
              <w:t>姓名</w:t>
            </w:r>
          </w:p>
        </w:tc>
        <w:tc>
          <w:tcPr>
            <w:tcW w:w="743" w:type="dxa"/>
            <w:vAlign w:val="center"/>
          </w:tcPr>
          <w:p>
            <w:pPr>
              <w:spacing w:line="300" w:lineRule="auto"/>
              <w:jc w:val="center"/>
              <w:rPr>
                <w:rFonts w:ascii="宋体" w:hAnsi="宋体" w:eastAsia="宋体" w:cs="宋体"/>
                <w:color w:val="auto"/>
                <w:highlight w:val="none"/>
              </w:rPr>
            </w:pPr>
            <w:r>
              <w:rPr>
                <w:rFonts w:hint="eastAsia" w:ascii="宋体" w:hAnsi="宋体" w:eastAsia="宋体" w:cs="宋体"/>
                <w:color w:val="auto"/>
                <w:highlight w:val="none"/>
              </w:rPr>
              <w:t>职务</w:t>
            </w:r>
          </w:p>
        </w:tc>
        <w:tc>
          <w:tcPr>
            <w:tcW w:w="1357" w:type="dxa"/>
            <w:vAlign w:val="center"/>
          </w:tcPr>
          <w:p>
            <w:pPr>
              <w:spacing w:line="300" w:lineRule="auto"/>
              <w:jc w:val="center"/>
              <w:rPr>
                <w:rFonts w:ascii="宋体" w:hAnsi="宋体" w:eastAsia="宋体" w:cs="宋体"/>
                <w:color w:val="auto"/>
                <w:highlight w:val="none"/>
              </w:rPr>
            </w:pPr>
            <w:r>
              <w:rPr>
                <w:rFonts w:hint="eastAsia" w:ascii="宋体" w:hAnsi="宋体" w:eastAsia="宋体" w:cs="宋体"/>
                <w:color w:val="auto"/>
                <w:highlight w:val="none"/>
              </w:rPr>
              <w:t>资质/职称</w:t>
            </w:r>
          </w:p>
        </w:tc>
        <w:tc>
          <w:tcPr>
            <w:tcW w:w="3444" w:type="dxa"/>
            <w:vAlign w:val="center"/>
          </w:tcPr>
          <w:p>
            <w:pPr>
              <w:spacing w:line="300" w:lineRule="auto"/>
              <w:jc w:val="center"/>
              <w:rPr>
                <w:rFonts w:ascii="宋体" w:hAnsi="宋体" w:eastAsia="宋体" w:cs="宋体"/>
                <w:color w:val="auto"/>
                <w:highlight w:val="none"/>
              </w:rPr>
            </w:pPr>
            <w:r>
              <w:rPr>
                <w:rFonts w:hint="eastAsia" w:ascii="宋体" w:hAnsi="宋体" w:eastAsia="宋体" w:cs="宋体"/>
                <w:color w:val="auto"/>
                <w:highlight w:val="none"/>
              </w:rPr>
              <w:t>主要资历、经验及承担的项目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55" w:type="dxa"/>
            <w:vAlign w:val="center"/>
          </w:tcPr>
          <w:p>
            <w:pPr>
              <w:spacing w:line="300" w:lineRule="auto"/>
              <w:rPr>
                <w:rFonts w:ascii="宋体" w:hAnsi="宋体" w:eastAsia="宋体" w:cs="宋体"/>
                <w:color w:val="auto"/>
                <w:highlight w:val="none"/>
              </w:rPr>
            </w:pPr>
            <w:r>
              <w:rPr>
                <w:rFonts w:hint="eastAsia" w:ascii="宋体" w:hAnsi="宋体" w:eastAsia="宋体" w:cs="宋体"/>
                <w:color w:val="auto"/>
                <w:highlight w:val="none"/>
              </w:rPr>
              <w:t>一、总部</w:t>
            </w:r>
          </w:p>
        </w:tc>
        <w:tc>
          <w:tcPr>
            <w:tcW w:w="743" w:type="dxa"/>
            <w:vAlign w:val="center"/>
          </w:tcPr>
          <w:p>
            <w:pPr>
              <w:spacing w:line="300" w:lineRule="auto"/>
              <w:rPr>
                <w:rFonts w:ascii="宋体" w:hAnsi="宋体" w:eastAsia="宋体" w:cs="宋体"/>
                <w:color w:val="auto"/>
                <w:highlight w:val="none"/>
              </w:rPr>
            </w:pPr>
          </w:p>
        </w:tc>
        <w:tc>
          <w:tcPr>
            <w:tcW w:w="743" w:type="dxa"/>
            <w:vAlign w:val="center"/>
          </w:tcPr>
          <w:p>
            <w:pPr>
              <w:spacing w:line="300" w:lineRule="auto"/>
              <w:rPr>
                <w:rFonts w:ascii="宋体" w:hAnsi="宋体" w:eastAsia="宋体" w:cs="宋体"/>
                <w:color w:val="auto"/>
                <w:highlight w:val="none"/>
              </w:rPr>
            </w:pPr>
          </w:p>
        </w:tc>
        <w:tc>
          <w:tcPr>
            <w:tcW w:w="1357" w:type="dxa"/>
            <w:vAlign w:val="center"/>
          </w:tcPr>
          <w:p>
            <w:pPr>
              <w:spacing w:line="300" w:lineRule="auto"/>
              <w:rPr>
                <w:rFonts w:ascii="宋体" w:hAnsi="宋体" w:eastAsia="宋体" w:cs="宋体"/>
                <w:color w:val="auto"/>
                <w:highlight w:val="none"/>
              </w:rPr>
            </w:pPr>
          </w:p>
        </w:tc>
        <w:tc>
          <w:tcPr>
            <w:tcW w:w="3444" w:type="dxa"/>
            <w:vAlign w:val="center"/>
          </w:tcPr>
          <w:p>
            <w:pPr>
              <w:spacing w:line="300" w:lineRule="auto"/>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55" w:type="dxa"/>
            <w:vAlign w:val="center"/>
          </w:tcPr>
          <w:p>
            <w:pPr>
              <w:spacing w:line="300" w:lineRule="auto"/>
              <w:rPr>
                <w:rFonts w:ascii="宋体" w:hAnsi="宋体" w:eastAsia="宋体" w:cs="宋体"/>
                <w:color w:val="auto"/>
                <w:highlight w:val="none"/>
              </w:rPr>
            </w:pPr>
            <w:r>
              <w:rPr>
                <w:rFonts w:hint="eastAsia" w:ascii="宋体" w:hAnsi="宋体" w:eastAsia="宋体" w:cs="宋体"/>
                <w:color w:val="auto"/>
                <w:highlight w:val="none"/>
              </w:rPr>
              <w:t>1.项目主管</w:t>
            </w:r>
          </w:p>
        </w:tc>
        <w:tc>
          <w:tcPr>
            <w:tcW w:w="743" w:type="dxa"/>
            <w:vAlign w:val="center"/>
          </w:tcPr>
          <w:p>
            <w:pPr>
              <w:spacing w:line="300" w:lineRule="auto"/>
              <w:rPr>
                <w:rFonts w:ascii="宋体" w:hAnsi="宋体" w:eastAsia="宋体" w:cs="宋体"/>
                <w:color w:val="auto"/>
                <w:highlight w:val="none"/>
              </w:rPr>
            </w:pPr>
          </w:p>
        </w:tc>
        <w:tc>
          <w:tcPr>
            <w:tcW w:w="743" w:type="dxa"/>
            <w:vAlign w:val="center"/>
          </w:tcPr>
          <w:p>
            <w:pPr>
              <w:spacing w:line="300" w:lineRule="auto"/>
              <w:rPr>
                <w:rFonts w:ascii="宋体" w:hAnsi="宋体" w:eastAsia="宋体" w:cs="宋体"/>
                <w:color w:val="auto"/>
                <w:highlight w:val="none"/>
              </w:rPr>
            </w:pPr>
          </w:p>
        </w:tc>
        <w:tc>
          <w:tcPr>
            <w:tcW w:w="1357" w:type="dxa"/>
            <w:vAlign w:val="center"/>
          </w:tcPr>
          <w:p>
            <w:pPr>
              <w:spacing w:line="300" w:lineRule="auto"/>
              <w:rPr>
                <w:rFonts w:ascii="宋体" w:hAnsi="宋体" w:eastAsia="宋体" w:cs="宋体"/>
                <w:color w:val="auto"/>
                <w:highlight w:val="none"/>
              </w:rPr>
            </w:pPr>
          </w:p>
        </w:tc>
        <w:tc>
          <w:tcPr>
            <w:tcW w:w="3444" w:type="dxa"/>
            <w:vAlign w:val="center"/>
          </w:tcPr>
          <w:p>
            <w:pPr>
              <w:spacing w:line="300" w:lineRule="auto"/>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55" w:type="dxa"/>
            <w:vAlign w:val="center"/>
          </w:tcPr>
          <w:p>
            <w:pPr>
              <w:spacing w:line="300" w:lineRule="auto"/>
              <w:rPr>
                <w:rFonts w:ascii="宋体" w:hAnsi="宋体" w:eastAsia="宋体" w:cs="宋体"/>
                <w:color w:val="auto"/>
                <w:highlight w:val="none"/>
              </w:rPr>
            </w:pPr>
            <w:r>
              <w:rPr>
                <w:rFonts w:hint="eastAsia" w:ascii="宋体" w:hAnsi="宋体" w:eastAsia="宋体" w:cs="宋体"/>
                <w:color w:val="auto"/>
                <w:highlight w:val="none"/>
              </w:rPr>
              <w:t>2.其他人员</w:t>
            </w:r>
          </w:p>
        </w:tc>
        <w:tc>
          <w:tcPr>
            <w:tcW w:w="743" w:type="dxa"/>
            <w:vAlign w:val="center"/>
          </w:tcPr>
          <w:p>
            <w:pPr>
              <w:spacing w:line="300" w:lineRule="auto"/>
              <w:rPr>
                <w:rFonts w:ascii="宋体" w:hAnsi="宋体" w:eastAsia="宋体" w:cs="宋体"/>
                <w:color w:val="auto"/>
                <w:highlight w:val="none"/>
              </w:rPr>
            </w:pPr>
          </w:p>
        </w:tc>
        <w:tc>
          <w:tcPr>
            <w:tcW w:w="743" w:type="dxa"/>
            <w:vAlign w:val="center"/>
          </w:tcPr>
          <w:p>
            <w:pPr>
              <w:spacing w:line="300" w:lineRule="auto"/>
              <w:rPr>
                <w:rFonts w:ascii="宋体" w:hAnsi="宋体" w:eastAsia="宋体" w:cs="宋体"/>
                <w:color w:val="auto"/>
                <w:highlight w:val="none"/>
              </w:rPr>
            </w:pPr>
          </w:p>
        </w:tc>
        <w:tc>
          <w:tcPr>
            <w:tcW w:w="1357" w:type="dxa"/>
            <w:vAlign w:val="center"/>
          </w:tcPr>
          <w:p>
            <w:pPr>
              <w:spacing w:line="300" w:lineRule="auto"/>
              <w:rPr>
                <w:rFonts w:ascii="宋体" w:hAnsi="宋体" w:eastAsia="宋体" w:cs="宋体"/>
                <w:color w:val="auto"/>
                <w:highlight w:val="none"/>
              </w:rPr>
            </w:pPr>
          </w:p>
        </w:tc>
        <w:tc>
          <w:tcPr>
            <w:tcW w:w="3444" w:type="dxa"/>
            <w:vAlign w:val="center"/>
          </w:tcPr>
          <w:p>
            <w:pPr>
              <w:spacing w:line="300" w:lineRule="auto"/>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55" w:type="dxa"/>
            <w:vAlign w:val="center"/>
          </w:tcPr>
          <w:p>
            <w:pPr>
              <w:spacing w:line="300" w:lineRule="auto"/>
              <w:rPr>
                <w:rFonts w:ascii="宋体" w:hAnsi="宋体" w:eastAsia="宋体" w:cs="宋体"/>
                <w:color w:val="auto"/>
                <w:highlight w:val="none"/>
              </w:rPr>
            </w:pPr>
          </w:p>
        </w:tc>
        <w:tc>
          <w:tcPr>
            <w:tcW w:w="743" w:type="dxa"/>
            <w:vAlign w:val="center"/>
          </w:tcPr>
          <w:p>
            <w:pPr>
              <w:spacing w:line="300" w:lineRule="auto"/>
              <w:rPr>
                <w:rFonts w:ascii="宋体" w:hAnsi="宋体" w:eastAsia="宋体" w:cs="宋体"/>
                <w:color w:val="auto"/>
                <w:highlight w:val="none"/>
              </w:rPr>
            </w:pPr>
          </w:p>
        </w:tc>
        <w:tc>
          <w:tcPr>
            <w:tcW w:w="743" w:type="dxa"/>
            <w:vAlign w:val="center"/>
          </w:tcPr>
          <w:p>
            <w:pPr>
              <w:spacing w:line="300" w:lineRule="auto"/>
              <w:rPr>
                <w:rFonts w:ascii="宋体" w:hAnsi="宋体" w:eastAsia="宋体" w:cs="宋体"/>
                <w:color w:val="auto"/>
                <w:highlight w:val="none"/>
              </w:rPr>
            </w:pPr>
          </w:p>
        </w:tc>
        <w:tc>
          <w:tcPr>
            <w:tcW w:w="1357" w:type="dxa"/>
            <w:vAlign w:val="center"/>
          </w:tcPr>
          <w:p>
            <w:pPr>
              <w:spacing w:line="300" w:lineRule="auto"/>
              <w:rPr>
                <w:rFonts w:ascii="宋体" w:hAnsi="宋体" w:eastAsia="宋体" w:cs="宋体"/>
                <w:color w:val="auto"/>
                <w:highlight w:val="none"/>
              </w:rPr>
            </w:pPr>
          </w:p>
        </w:tc>
        <w:tc>
          <w:tcPr>
            <w:tcW w:w="3444" w:type="dxa"/>
            <w:vAlign w:val="center"/>
          </w:tcPr>
          <w:p>
            <w:pPr>
              <w:spacing w:line="300" w:lineRule="auto"/>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55" w:type="dxa"/>
            <w:vAlign w:val="center"/>
          </w:tcPr>
          <w:p>
            <w:pPr>
              <w:spacing w:line="300" w:lineRule="auto"/>
              <w:rPr>
                <w:rFonts w:ascii="宋体" w:hAnsi="宋体" w:eastAsia="宋体" w:cs="宋体"/>
                <w:color w:val="auto"/>
                <w:highlight w:val="none"/>
              </w:rPr>
            </w:pPr>
            <w:r>
              <w:rPr>
                <w:rFonts w:hint="eastAsia" w:ascii="宋体" w:hAnsi="宋体" w:eastAsia="宋体" w:cs="宋体"/>
                <w:color w:val="auto"/>
                <w:highlight w:val="none"/>
              </w:rPr>
              <w:t>二、现场</w:t>
            </w:r>
          </w:p>
        </w:tc>
        <w:tc>
          <w:tcPr>
            <w:tcW w:w="743" w:type="dxa"/>
            <w:vAlign w:val="center"/>
          </w:tcPr>
          <w:p>
            <w:pPr>
              <w:spacing w:line="300" w:lineRule="auto"/>
              <w:rPr>
                <w:rFonts w:ascii="宋体" w:hAnsi="宋体" w:eastAsia="宋体" w:cs="宋体"/>
                <w:color w:val="auto"/>
                <w:highlight w:val="none"/>
              </w:rPr>
            </w:pPr>
          </w:p>
        </w:tc>
        <w:tc>
          <w:tcPr>
            <w:tcW w:w="743" w:type="dxa"/>
            <w:vAlign w:val="center"/>
          </w:tcPr>
          <w:p>
            <w:pPr>
              <w:spacing w:line="300" w:lineRule="auto"/>
              <w:rPr>
                <w:rFonts w:ascii="宋体" w:hAnsi="宋体" w:eastAsia="宋体" w:cs="宋体"/>
                <w:color w:val="auto"/>
                <w:highlight w:val="none"/>
              </w:rPr>
            </w:pPr>
          </w:p>
        </w:tc>
        <w:tc>
          <w:tcPr>
            <w:tcW w:w="1357" w:type="dxa"/>
            <w:vAlign w:val="center"/>
          </w:tcPr>
          <w:p>
            <w:pPr>
              <w:spacing w:line="300" w:lineRule="auto"/>
              <w:rPr>
                <w:rFonts w:ascii="宋体" w:hAnsi="宋体" w:eastAsia="宋体" w:cs="宋体"/>
                <w:color w:val="auto"/>
                <w:highlight w:val="none"/>
              </w:rPr>
            </w:pPr>
          </w:p>
        </w:tc>
        <w:tc>
          <w:tcPr>
            <w:tcW w:w="3444" w:type="dxa"/>
            <w:vAlign w:val="center"/>
          </w:tcPr>
          <w:p>
            <w:pPr>
              <w:spacing w:line="300" w:lineRule="auto"/>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55" w:type="dxa"/>
            <w:vAlign w:val="center"/>
          </w:tcPr>
          <w:p>
            <w:pPr>
              <w:spacing w:line="300" w:lineRule="auto"/>
              <w:rPr>
                <w:rFonts w:ascii="宋体" w:hAnsi="宋体" w:eastAsia="宋体" w:cs="宋体"/>
                <w:color w:val="auto"/>
                <w:highlight w:val="none"/>
              </w:rPr>
            </w:pPr>
            <w:r>
              <w:rPr>
                <w:rFonts w:hint="eastAsia" w:ascii="宋体" w:hAnsi="宋体" w:eastAsia="宋体" w:cs="宋体"/>
                <w:color w:val="auto"/>
                <w:highlight w:val="none"/>
              </w:rPr>
              <w:t>1.项目经理</w:t>
            </w:r>
          </w:p>
        </w:tc>
        <w:tc>
          <w:tcPr>
            <w:tcW w:w="743" w:type="dxa"/>
            <w:vAlign w:val="center"/>
          </w:tcPr>
          <w:p>
            <w:pPr>
              <w:spacing w:line="300" w:lineRule="auto"/>
              <w:rPr>
                <w:rFonts w:ascii="宋体" w:hAnsi="宋体" w:eastAsia="宋体" w:cs="宋体"/>
                <w:color w:val="auto"/>
                <w:highlight w:val="none"/>
              </w:rPr>
            </w:pPr>
          </w:p>
        </w:tc>
        <w:tc>
          <w:tcPr>
            <w:tcW w:w="743" w:type="dxa"/>
            <w:vAlign w:val="center"/>
          </w:tcPr>
          <w:p>
            <w:pPr>
              <w:spacing w:line="300" w:lineRule="auto"/>
              <w:rPr>
                <w:rFonts w:ascii="宋体" w:hAnsi="宋体" w:eastAsia="宋体" w:cs="宋体"/>
                <w:color w:val="auto"/>
                <w:highlight w:val="none"/>
              </w:rPr>
            </w:pPr>
          </w:p>
        </w:tc>
        <w:tc>
          <w:tcPr>
            <w:tcW w:w="1357" w:type="dxa"/>
            <w:vAlign w:val="center"/>
          </w:tcPr>
          <w:p>
            <w:pPr>
              <w:spacing w:line="300" w:lineRule="auto"/>
              <w:rPr>
                <w:rFonts w:ascii="宋体" w:hAnsi="宋体" w:eastAsia="宋体" w:cs="宋体"/>
                <w:color w:val="auto"/>
                <w:highlight w:val="none"/>
              </w:rPr>
            </w:pPr>
          </w:p>
        </w:tc>
        <w:tc>
          <w:tcPr>
            <w:tcW w:w="3444" w:type="dxa"/>
            <w:vAlign w:val="center"/>
          </w:tcPr>
          <w:p>
            <w:pPr>
              <w:spacing w:line="300" w:lineRule="auto"/>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55" w:type="dxa"/>
            <w:vAlign w:val="center"/>
          </w:tcPr>
          <w:p>
            <w:pPr>
              <w:spacing w:line="300" w:lineRule="auto"/>
              <w:rPr>
                <w:rFonts w:ascii="宋体" w:hAnsi="宋体" w:eastAsia="宋体" w:cs="宋体"/>
                <w:color w:val="auto"/>
                <w:highlight w:val="none"/>
              </w:rPr>
            </w:pPr>
            <w:r>
              <w:rPr>
                <w:rFonts w:hint="eastAsia" w:ascii="宋体" w:hAnsi="宋体" w:eastAsia="宋体" w:cs="宋体"/>
                <w:color w:val="auto"/>
                <w:highlight w:val="none"/>
              </w:rPr>
              <w:t>2.项目副经理（如有）</w:t>
            </w:r>
          </w:p>
        </w:tc>
        <w:tc>
          <w:tcPr>
            <w:tcW w:w="743" w:type="dxa"/>
            <w:vAlign w:val="center"/>
          </w:tcPr>
          <w:p>
            <w:pPr>
              <w:spacing w:line="300" w:lineRule="auto"/>
              <w:rPr>
                <w:rFonts w:ascii="宋体" w:hAnsi="宋体" w:eastAsia="宋体" w:cs="宋体"/>
                <w:color w:val="auto"/>
                <w:highlight w:val="none"/>
              </w:rPr>
            </w:pPr>
          </w:p>
        </w:tc>
        <w:tc>
          <w:tcPr>
            <w:tcW w:w="743" w:type="dxa"/>
            <w:vAlign w:val="center"/>
          </w:tcPr>
          <w:p>
            <w:pPr>
              <w:spacing w:line="300" w:lineRule="auto"/>
              <w:rPr>
                <w:rFonts w:ascii="宋体" w:hAnsi="宋体" w:eastAsia="宋体" w:cs="宋体"/>
                <w:color w:val="auto"/>
                <w:highlight w:val="none"/>
              </w:rPr>
            </w:pPr>
          </w:p>
        </w:tc>
        <w:tc>
          <w:tcPr>
            <w:tcW w:w="1357" w:type="dxa"/>
            <w:vAlign w:val="center"/>
          </w:tcPr>
          <w:p>
            <w:pPr>
              <w:spacing w:line="300" w:lineRule="auto"/>
              <w:rPr>
                <w:rFonts w:ascii="宋体" w:hAnsi="宋体" w:eastAsia="宋体" w:cs="宋体"/>
                <w:color w:val="auto"/>
                <w:highlight w:val="none"/>
              </w:rPr>
            </w:pPr>
          </w:p>
        </w:tc>
        <w:tc>
          <w:tcPr>
            <w:tcW w:w="3444" w:type="dxa"/>
            <w:vAlign w:val="center"/>
          </w:tcPr>
          <w:p>
            <w:pPr>
              <w:spacing w:line="300" w:lineRule="auto"/>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55" w:type="dxa"/>
            <w:vAlign w:val="center"/>
          </w:tcPr>
          <w:p>
            <w:pPr>
              <w:spacing w:line="300" w:lineRule="auto"/>
              <w:rPr>
                <w:rFonts w:ascii="宋体" w:hAnsi="宋体" w:eastAsia="宋体" w:cs="宋体"/>
                <w:color w:val="auto"/>
                <w:highlight w:val="none"/>
              </w:rPr>
            </w:pPr>
            <w:r>
              <w:rPr>
                <w:rFonts w:hint="eastAsia" w:ascii="宋体" w:hAnsi="宋体" w:eastAsia="宋体" w:cs="宋体"/>
                <w:color w:val="auto"/>
                <w:highlight w:val="none"/>
              </w:rPr>
              <w:t>……</w:t>
            </w:r>
          </w:p>
        </w:tc>
        <w:tc>
          <w:tcPr>
            <w:tcW w:w="743" w:type="dxa"/>
            <w:vAlign w:val="center"/>
          </w:tcPr>
          <w:p>
            <w:pPr>
              <w:spacing w:line="300" w:lineRule="auto"/>
              <w:rPr>
                <w:rFonts w:ascii="宋体" w:hAnsi="宋体" w:eastAsia="宋体" w:cs="宋体"/>
                <w:color w:val="auto"/>
                <w:highlight w:val="none"/>
              </w:rPr>
            </w:pPr>
          </w:p>
        </w:tc>
        <w:tc>
          <w:tcPr>
            <w:tcW w:w="743" w:type="dxa"/>
            <w:vAlign w:val="center"/>
          </w:tcPr>
          <w:p>
            <w:pPr>
              <w:spacing w:line="300" w:lineRule="auto"/>
              <w:rPr>
                <w:rFonts w:ascii="宋体" w:hAnsi="宋体" w:eastAsia="宋体" w:cs="宋体"/>
                <w:color w:val="auto"/>
                <w:highlight w:val="none"/>
              </w:rPr>
            </w:pPr>
          </w:p>
        </w:tc>
        <w:tc>
          <w:tcPr>
            <w:tcW w:w="1357" w:type="dxa"/>
            <w:vAlign w:val="center"/>
          </w:tcPr>
          <w:p>
            <w:pPr>
              <w:spacing w:line="300" w:lineRule="auto"/>
              <w:rPr>
                <w:rFonts w:ascii="宋体" w:hAnsi="宋体" w:eastAsia="宋体" w:cs="宋体"/>
                <w:color w:val="auto"/>
                <w:highlight w:val="none"/>
              </w:rPr>
            </w:pPr>
          </w:p>
        </w:tc>
        <w:tc>
          <w:tcPr>
            <w:tcW w:w="3444" w:type="dxa"/>
            <w:vAlign w:val="center"/>
          </w:tcPr>
          <w:p>
            <w:pPr>
              <w:spacing w:line="300" w:lineRule="auto"/>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55" w:type="dxa"/>
            <w:vAlign w:val="center"/>
          </w:tcPr>
          <w:p>
            <w:pPr>
              <w:spacing w:line="300" w:lineRule="auto"/>
              <w:rPr>
                <w:rFonts w:ascii="宋体" w:hAnsi="宋体" w:eastAsia="宋体" w:cs="宋体"/>
                <w:color w:val="auto"/>
                <w:highlight w:val="none"/>
              </w:rPr>
            </w:pPr>
            <w:r>
              <w:rPr>
                <w:rFonts w:hint="eastAsia" w:ascii="宋体" w:hAnsi="宋体" w:eastAsia="宋体" w:cs="宋体"/>
                <w:color w:val="auto"/>
                <w:highlight w:val="none"/>
              </w:rPr>
              <w:t>3.项目</w:t>
            </w:r>
            <w:r>
              <w:rPr>
                <w:rFonts w:ascii="宋体" w:hAnsi="宋体" w:eastAsia="宋体" w:cs="宋体"/>
                <w:color w:val="auto"/>
                <w:spacing w:val="-1"/>
                <w:highlight w:val="none"/>
              </w:rPr>
              <w:t>技术负责</w:t>
            </w:r>
            <w:r>
              <w:rPr>
                <w:rFonts w:ascii="宋体" w:hAnsi="宋体" w:eastAsia="宋体" w:cs="宋体"/>
                <w:color w:val="auto"/>
                <w:highlight w:val="none"/>
              </w:rPr>
              <w:t>人</w:t>
            </w:r>
          </w:p>
        </w:tc>
        <w:tc>
          <w:tcPr>
            <w:tcW w:w="743" w:type="dxa"/>
            <w:vAlign w:val="center"/>
          </w:tcPr>
          <w:p>
            <w:pPr>
              <w:spacing w:line="300" w:lineRule="auto"/>
              <w:rPr>
                <w:rFonts w:ascii="宋体" w:hAnsi="宋体" w:eastAsia="宋体" w:cs="宋体"/>
                <w:color w:val="auto"/>
                <w:highlight w:val="none"/>
              </w:rPr>
            </w:pPr>
          </w:p>
        </w:tc>
        <w:tc>
          <w:tcPr>
            <w:tcW w:w="743" w:type="dxa"/>
            <w:vAlign w:val="center"/>
          </w:tcPr>
          <w:p>
            <w:pPr>
              <w:spacing w:line="300" w:lineRule="auto"/>
              <w:rPr>
                <w:rFonts w:ascii="宋体" w:hAnsi="宋体" w:eastAsia="宋体" w:cs="宋体"/>
                <w:color w:val="auto"/>
                <w:highlight w:val="none"/>
              </w:rPr>
            </w:pPr>
          </w:p>
        </w:tc>
        <w:tc>
          <w:tcPr>
            <w:tcW w:w="1357" w:type="dxa"/>
            <w:vAlign w:val="center"/>
          </w:tcPr>
          <w:p>
            <w:pPr>
              <w:spacing w:line="300" w:lineRule="auto"/>
              <w:rPr>
                <w:rFonts w:ascii="宋体" w:hAnsi="宋体" w:eastAsia="宋体" w:cs="宋体"/>
                <w:color w:val="auto"/>
                <w:highlight w:val="none"/>
              </w:rPr>
            </w:pPr>
          </w:p>
        </w:tc>
        <w:tc>
          <w:tcPr>
            <w:tcW w:w="3444" w:type="dxa"/>
            <w:vAlign w:val="center"/>
          </w:tcPr>
          <w:p>
            <w:pPr>
              <w:spacing w:line="300" w:lineRule="auto"/>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55" w:type="dxa"/>
            <w:vAlign w:val="center"/>
          </w:tcPr>
          <w:p>
            <w:pPr>
              <w:spacing w:line="300" w:lineRule="auto"/>
              <w:rPr>
                <w:rFonts w:ascii="宋体" w:hAnsi="宋体" w:eastAsia="宋体" w:cs="宋体"/>
                <w:color w:val="auto"/>
                <w:highlight w:val="none"/>
              </w:rPr>
            </w:pPr>
            <w:r>
              <w:rPr>
                <w:rFonts w:hint="eastAsia" w:ascii="宋体" w:hAnsi="宋体" w:eastAsia="宋体" w:cs="宋体"/>
                <w:color w:val="auto"/>
                <w:highlight w:val="none"/>
              </w:rPr>
              <w:t>4.施工员</w:t>
            </w:r>
          </w:p>
        </w:tc>
        <w:tc>
          <w:tcPr>
            <w:tcW w:w="743" w:type="dxa"/>
            <w:vAlign w:val="center"/>
          </w:tcPr>
          <w:p>
            <w:pPr>
              <w:spacing w:line="300" w:lineRule="auto"/>
              <w:rPr>
                <w:rFonts w:ascii="宋体" w:hAnsi="宋体" w:eastAsia="宋体" w:cs="宋体"/>
                <w:color w:val="auto"/>
                <w:highlight w:val="none"/>
              </w:rPr>
            </w:pPr>
          </w:p>
        </w:tc>
        <w:tc>
          <w:tcPr>
            <w:tcW w:w="743" w:type="dxa"/>
            <w:vAlign w:val="center"/>
          </w:tcPr>
          <w:p>
            <w:pPr>
              <w:spacing w:line="300" w:lineRule="auto"/>
              <w:rPr>
                <w:rFonts w:ascii="宋体" w:hAnsi="宋体" w:eastAsia="宋体" w:cs="宋体"/>
                <w:color w:val="auto"/>
                <w:highlight w:val="none"/>
              </w:rPr>
            </w:pPr>
          </w:p>
        </w:tc>
        <w:tc>
          <w:tcPr>
            <w:tcW w:w="1357" w:type="dxa"/>
            <w:vAlign w:val="center"/>
          </w:tcPr>
          <w:p>
            <w:pPr>
              <w:spacing w:line="300" w:lineRule="auto"/>
              <w:rPr>
                <w:rFonts w:ascii="宋体" w:hAnsi="宋体" w:eastAsia="宋体" w:cs="宋体"/>
                <w:color w:val="auto"/>
                <w:highlight w:val="none"/>
              </w:rPr>
            </w:pPr>
          </w:p>
        </w:tc>
        <w:tc>
          <w:tcPr>
            <w:tcW w:w="3444" w:type="dxa"/>
            <w:vAlign w:val="center"/>
          </w:tcPr>
          <w:p>
            <w:pPr>
              <w:spacing w:line="300" w:lineRule="auto"/>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55" w:type="dxa"/>
            <w:vAlign w:val="center"/>
          </w:tcPr>
          <w:p>
            <w:pPr>
              <w:spacing w:line="300" w:lineRule="auto"/>
              <w:rPr>
                <w:rFonts w:ascii="宋体" w:hAnsi="宋体" w:eastAsia="宋体" w:cs="宋体"/>
                <w:color w:val="auto"/>
                <w:highlight w:val="none"/>
              </w:rPr>
            </w:pPr>
            <w:r>
              <w:rPr>
                <w:rFonts w:hint="eastAsia" w:ascii="宋体" w:hAnsi="宋体" w:eastAsia="宋体" w:cs="宋体"/>
                <w:color w:val="auto"/>
                <w:highlight w:val="none"/>
              </w:rPr>
              <w:t>……</w:t>
            </w:r>
          </w:p>
        </w:tc>
        <w:tc>
          <w:tcPr>
            <w:tcW w:w="743" w:type="dxa"/>
            <w:vAlign w:val="center"/>
          </w:tcPr>
          <w:p>
            <w:pPr>
              <w:spacing w:line="300" w:lineRule="auto"/>
              <w:rPr>
                <w:rFonts w:ascii="宋体" w:hAnsi="宋体" w:eastAsia="宋体" w:cs="宋体"/>
                <w:color w:val="auto"/>
                <w:highlight w:val="none"/>
              </w:rPr>
            </w:pPr>
          </w:p>
        </w:tc>
        <w:tc>
          <w:tcPr>
            <w:tcW w:w="743" w:type="dxa"/>
            <w:vAlign w:val="center"/>
          </w:tcPr>
          <w:p>
            <w:pPr>
              <w:spacing w:line="300" w:lineRule="auto"/>
              <w:rPr>
                <w:rFonts w:ascii="宋体" w:hAnsi="宋体" w:eastAsia="宋体" w:cs="宋体"/>
                <w:color w:val="auto"/>
                <w:highlight w:val="none"/>
              </w:rPr>
            </w:pPr>
          </w:p>
        </w:tc>
        <w:tc>
          <w:tcPr>
            <w:tcW w:w="1357" w:type="dxa"/>
            <w:vAlign w:val="center"/>
          </w:tcPr>
          <w:p>
            <w:pPr>
              <w:spacing w:line="300" w:lineRule="auto"/>
              <w:rPr>
                <w:rFonts w:ascii="宋体" w:hAnsi="宋体" w:eastAsia="宋体" w:cs="宋体"/>
                <w:color w:val="auto"/>
                <w:highlight w:val="none"/>
              </w:rPr>
            </w:pPr>
          </w:p>
        </w:tc>
        <w:tc>
          <w:tcPr>
            <w:tcW w:w="3444" w:type="dxa"/>
            <w:vAlign w:val="center"/>
          </w:tcPr>
          <w:p>
            <w:pPr>
              <w:spacing w:line="300" w:lineRule="auto"/>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55" w:type="dxa"/>
            <w:vAlign w:val="center"/>
          </w:tcPr>
          <w:p>
            <w:pPr>
              <w:spacing w:line="300" w:lineRule="auto"/>
              <w:rPr>
                <w:rFonts w:ascii="宋体" w:hAnsi="宋体" w:eastAsia="宋体" w:cs="宋体"/>
                <w:color w:val="auto"/>
                <w:highlight w:val="none"/>
              </w:rPr>
            </w:pPr>
            <w:r>
              <w:rPr>
                <w:rFonts w:hint="eastAsia" w:ascii="宋体" w:hAnsi="宋体" w:eastAsia="宋体" w:cs="宋体"/>
                <w:color w:val="auto"/>
                <w:highlight w:val="none"/>
              </w:rPr>
              <w:t>5. 质检员</w:t>
            </w:r>
          </w:p>
        </w:tc>
        <w:tc>
          <w:tcPr>
            <w:tcW w:w="743" w:type="dxa"/>
            <w:vAlign w:val="center"/>
          </w:tcPr>
          <w:p>
            <w:pPr>
              <w:spacing w:line="300" w:lineRule="auto"/>
              <w:rPr>
                <w:rFonts w:ascii="宋体" w:hAnsi="宋体" w:eastAsia="宋体" w:cs="宋体"/>
                <w:color w:val="auto"/>
                <w:highlight w:val="none"/>
              </w:rPr>
            </w:pPr>
          </w:p>
        </w:tc>
        <w:tc>
          <w:tcPr>
            <w:tcW w:w="743" w:type="dxa"/>
            <w:vAlign w:val="center"/>
          </w:tcPr>
          <w:p>
            <w:pPr>
              <w:spacing w:line="300" w:lineRule="auto"/>
              <w:rPr>
                <w:rFonts w:ascii="宋体" w:hAnsi="宋体" w:eastAsia="宋体" w:cs="宋体"/>
                <w:color w:val="auto"/>
                <w:highlight w:val="none"/>
              </w:rPr>
            </w:pPr>
          </w:p>
        </w:tc>
        <w:tc>
          <w:tcPr>
            <w:tcW w:w="1357" w:type="dxa"/>
            <w:vAlign w:val="center"/>
          </w:tcPr>
          <w:p>
            <w:pPr>
              <w:spacing w:line="300" w:lineRule="auto"/>
              <w:rPr>
                <w:rFonts w:ascii="宋体" w:hAnsi="宋体" w:eastAsia="宋体" w:cs="宋体"/>
                <w:color w:val="auto"/>
                <w:highlight w:val="none"/>
              </w:rPr>
            </w:pPr>
          </w:p>
        </w:tc>
        <w:tc>
          <w:tcPr>
            <w:tcW w:w="3444" w:type="dxa"/>
            <w:vAlign w:val="center"/>
          </w:tcPr>
          <w:p>
            <w:pPr>
              <w:spacing w:line="300" w:lineRule="auto"/>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55" w:type="dxa"/>
            <w:vAlign w:val="center"/>
          </w:tcPr>
          <w:p>
            <w:pPr>
              <w:spacing w:line="300" w:lineRule="auto"/>
              <w:rPr>
                <w:rFonts w:ascii="宋体" w:hAnsi="宋体" w:eastAsia="宋体" w:cs="宋体"/>
                <w:color w:val="auto"/>
                <w:highlight w:val="none"/>
              </w:rPr>
            </w:pPr>
            <w:r>
              <w:rPr>
                <w:rFonts w:hint="eastAsia" w:ascii="宋体" w:hAnsi="宋体" w:eastAsia="宋体" w:cs="宋体"/>
                <w:color w:val="auto"/>
                <w:highlight w:val="none"/>
              </w:rPr>
              <w:t>……</w:t>
            </w:r>
          </w:p>
        </w:tc>
        <w:tc>
          <w:tcPr>
            <w:tcW w:w="743" w:type="dxa"/>
            <w:vAlign w:val="center"/>
          </w:tcPr>
          <w:p>
            <w:pPr>
              <w:spacing w:line="300" w:lineRule="auto"/>
              <w:rPr>
                <w:rFonts w:ascii="宋体" w:hAnsi="宋体" w:eastAsia="宋体" w:cs="宋体"/>
                <w:color w:val="auto"/>
                <w:highlight w:val="none"/>
              </w:rPr>
            </w:pPr>
          </w:p>
        </w:tc>
        <w:tc>
          <w:tcPr>
            <w:tcW w:w="743" w:type="dxa"/>
            <w:vAlign w:val="center"/>
          </w:tcPr>
          <w:p>
            <w:pPr>
              <w:spacing w:line="300" w:lineRule="auto"/>
              <w:rPr>
                <w:rFonts w:ascii="宋体" w:hAnsi="宋体" w:eastAsia="宋体" w:cs="宋体"/>
                <w:color w:val="auto"/>
                <w:highlight w:val="none"/>
              </w:rPr>
            </w:pPr>
          </w:p>
        </w:tc>
        <w:tc>
          <w:tcPr>
            <w:tcW w:w="1357" w:type="dxa"/>
            <w:vAlign w:val="center"/>
          </w:tcPr>
          <w:p>
            <w:pPr>
              <w:spacing w:line="300" w:lineRule="auto"/>
              <w:rPr>
                <w:rFonts w:ascii="宋体" w:hAnsi="宋体" w:eastAsia="宋体" w:cs="宋体"/>
                <w:color w:val="auto"/>
                <w:highlight w:val="none"/>
              </w:rPr>
            </w:pPr>
          </w:p>
        </w:tc>
        <w:tc>
          <w:tcPr>
            <w:tcW w:w="3444" w:type="dxa"/>
            <w:vAlign w:val="center"/>
          </w:tcPr>
          <w:p>
            <w:pPr>
              <w:spacing w:line="300" w:lineRule="auto"/>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55" w:type="dxa"/>
            <w:vAlign w:val="center"/>
          </w:tcPr>
          <w:p>
            <w:pPr>
              <w:spacing w:line="300" w:lineRule="auto"/>
              <w:rPr>
                <w:rFonts w:ascii="宋体" w:hAnsi="宋体" w:eastAsia="宋体" w:cs="宋体"/>
                <w:color w:val="auto"/>
                <w:highlight w:val="none"/>
              </w:rPr>
            </w:pPr>
            <w:r>
              <w:rPr>
                <w:rFonts w:hint="eastAsia" w:ascii="宋体" w:hAnsi="宋体" w:eastAsia="宋体" w:cs="宋体"/>
                <w:color w:val="auto"/>
                <w:highlight w:val="none"/>
              </w:rPr>
              <w:t>6.专职安全生产管理人员</w:t>
            </w:r>
          </w:p>
        </w:tc>
        <w:tc>
          <w:tcPr>
            <w:tcW w:w="743" w:type="dxa"/>
            <w:vAlign w:val="center"/>
          </w:tcPr>
          <w:p>
            <w:pPr>
              <w:spacing w:line="300" w:lineRule="auto"/>
              <w:rPr>
                <w:rFonts w:ascii="宋体" w:hAnsi="宋体" w:eastAsia="宋体" w:cs="宋体"/>
                <w:color w:val="auto"/>
                <w:highlight w:val="none"/>
              </w:rPr>
            </w:pPr>
          </w:p>
        </w:tc>
        <w:tc>
          <w:tcPr>
            <w:tcW w:w="743" w:type="dxa"/>
            <w:vAlign w:val="center"/>
          </w:tcPr>
          <w:p>
            <w:pPr>
              <w:spacing w:line="300" w:lineRule="auto"/>
              <w:rPr>
                <w:rFonts w:ascii="宋体" w:hAnsi="宋体" w:eastAsia="宋体" w:cs="宋体"/>
                <w:color w:val="auto"/>
                <w:highlight w:val="none"/>
              </w:rPr>
            </w:pPr>
          </w:p>
        </w:tc>
        <w:tc>
          <w:tcPr>
            <w:tcW w:w="1357" w:type="dxa"/>
            <w:vAlign w:val="center"/>
          </w:tcPr>
          <w:p>
            <w:pPr>
              <w:spacing w:line="300" w:lineRule="auto"/>
              <w:rPr>
                <w:rFonts w:ascii="宋体" w:hAnsi="宋体" w:eastAsia="宋体" w:cs="宋体"/>
                <w:color w:val="auto"/>
                <w:highlight w:val="none"/>
              </w:rPr>
            </w:pPr>
          </w:p>
        </w:tc>
        <w:tc>
          <w:tcPr>
            <w:tcW w:w="3444" w:type="dxa"/>
            <w:vAlign w:val="center"/>
          </w:tcPr>
          <w:p>
            <w:pPr>
              <w:spacing w:line="300" w:lineRule="auto"/>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955" w:type="dxa"/>
            <w:vAlign w:val="center"/>
          </w:tcPr>
          <w:p>
            <w:pPr>
              <w:spacing w:line="300" w:lineRule="auto"/>
              <w:rPr>
                <w:rFonts w:ascii="宋体" w:hAnsi="宋体" w:eastAsia="宋体" w:cs="宋体"/>
                <w:color w:val="auto"/>
                <w:highlight w:val="none"/>
              </w:rPr>
            </w:pPr>
            <w:r>
              <w:rPr>
                <w:rFonts w:hint="eastAsia" w:ascii="宋体" w:hAnsi="宋体" w:eastAsia="宋体" w:cs="宋体"/>
                <w:color w:val="auto"/>
                <w:highlight w:val="none"/>
              </w:rPr>
              <w:t>……</w:t>
            </w:r>
          </w:p>
        </w:tc>
        <w:tc>
          <w:tcPr>
            <w:tcW w:w="743" w:type="dxa"/>
            <w:vAlign w:val="center"/>
          </w:tcPr>
          <w:p>
            <w:pPr>
              <w:spacing w:line="300" w:lineRule="auto"/>
              <w:rPr>
                <w:rFonts w:ascii="宋体" w:hAnsi="宋体" w:eastAsia="宋体" w:cs="宋体"/>
                <w:color w:val="auto"/>
                <w:highlight w:val="none"/>
              </w:rPr>
            </w:pPr>
          </w:p>
        </w:tc>
        <w:tc>
          <w:tcPr>
            <w:tcW w:w="743" w:type="dxa"/>
            <w:vAlign w:val="center"/>
          </w:tcPr>
          <w:p>
            <w:pPr>
              <w:spacing w:line="300" w:lineRule="auto"/>
              <w:rPr>
                <w:rFonts w:ascii="宋体" w:hAnsi="宋体" w:eastAsia="宋体" w:cs="宋体"/>
                <w:color w:val="auto"/>
                <w:highlight w:val="none"/>
              </w:rPr>
            </w:pPr>
          </w:p>
        </w:tc>
        <w:tc>
          <w:tcPr>
            <w:tcW w:w="1357" w:type="dxa"/>
            <w:vAlign w:val="center"/>
          </w:tcPr>
          <w:p>
            <w:pPr>
              <w:spacing w:line="300" w:lineRule="auto"/>
              <w:rPr>
                <w:rFonts w:ascii="宋体" w:hAnsi="宋体" w:eastAsia="宋体" w:cs="宋体"/>
                <w:color w:val="auto"/>
                <w:highlight w:val="none"/>
              </w:rPr>
            </w:pPr>
          </w:p>
        </w:tc>
        <w:tc>
          <w:tcPr>
            <w:tcW w:w="3444" w:type="dxa"/>
            <w:vAlign w:val="center"/>
          </w:tcPr>
          <w:p>
            <w:pPr>
              <w:spacing w:line="300" w:lineRule="auto"/>
              <w:rPr>
                <w:rFonts w:ascii="宋体" w:hAnsi="宋体" w:eastAsia="宋体" w:cs="宋体"/>
                <w:color w:val="auto"/>
                <w:highlight w:val="none"/>
              </w:rPr>
            </w:pPr>
          </w:p>
        </w:tc>
      </w:tr>
    </w:tbl>
    <w:p>
      <w:pPr>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keepNext w:val="0"/>
        <w:keepLines w:val="0"/>
        <w:widowControl/>
        <w:suppressLineNumbers w:val="0"/>
        <w:jc w:val="left"/>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rPr>
        <w:t>注：</w:t>
      </w:r>
      <w:r>
        <w:rPr>
          <w:rFonts w:hint="eastAsia" w:ascii="宋体" w:hAnsi="宋体" w:eastAsia="宋体" w:cs="宋体"/>
          <w:b/>
          <w:bCs/>
          <w:color w:val="auto"/>
          <w:highlight w:val="none"/>
          <w:lang w:val="en-US" w:eastAsia="zh-CN"/>
        </w:rPr>
        <w:t>1、</w:t>
      </w:r>
      <w:r>
        <w:rPr>
          <w:rFonts w:hint="eastAsia" w:ascii="宋体" w:hAnsi="宋体" w:eastAsia="宋体" w:cs="宋体"/>
          <w:b/>
          <w:bCs/>
          <w:color w:val="auto"/>
          <w:highlight w:val="none"/>
        </w:rPr>
        <w:t>本表必须提供含委托代理人、项目经理、技术负责人和主要管理人员情况，提供现任职单位依法缴纳（近一个月）的养老保险证明材料的复印件和身份证复印件，若为近期新聘员工的，以提供劳动合同</w:t>
      </w:r>
      <w:r>
        <w:rPr>
          <w:rFonts w:hint="eastAsia" w:ascii="宋体" w:hAnsi="宋体" w:eastAsia="宋体" w:cs="宋体"/>
          <w:b/>
          <w:bCs/>
          <w:color w:val="auto"/>
          <w:highlight w:val="none"/>
        </w:rPr>
        <w:t>证明材料为准</w:t>
      </w:r>
      <w:r>
        <w:rPr>
          <w:rFonts w:hint="eastAsia" w:ascii="宋体" w:hAnsi="宋体" w:eastAsia="宋体" w:cs="宋体"/>
          <w:b/>
          <w:bCs/>
          <w:color w:val="auto"/>
          <w:highlight w:val="none"/>
          <w:lang w:eastAsia="zh-CN"/>
        </w:rPr>
        <w:t>。</w:t>
      </w:r>
    </w:p>
    <w:p>
      <w:pPr>
        <w:keepNext w:val="0"/>
        <w:keepLines w:val="0"/>
        <w:widowControl/>
        <w:suppressLineNumbers w:val="0"/>
        <w:ind w:firstLine="422" w:firstLineChars="200"/>
        <w:jc w:val="left"/>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2、拟投入本项目人员配备应按桂林市建设与规划委员会市建规〔2006〕270 号文《关于调整建筑施工现场项目部管理的通知》的规定执行，须满足最低要求。</w:t>
      </w:r>
    </w:p>
    <w:p>
      <w:pPr>
        <w:rPr>
          <w:rFonts w:hint="eastAsia" w:ascii="宋体" w:hAnsi="宋体" w:eastAsia="宋体" w:cs="宋体"/>
          <w:b/>
          <w:bCs/>
          <w:color w:val="auto"/>
          <w:highlight w:val="none"/>
          <w:lang w:eastAsia="zh-CN"/>
        </w:rPr>
      </w:pPr>
    </w:p>
    <w:p>
      <w:pPr>
        <w:rPr>
          <w:rFonts w:ascii="宋体" w:hAnsi="宋体" w:eastAsia="宋体" w:cs="宋体"/>
          <w:b/>
          <w:bCs/>
          <w:color w:val="auto"/>
          <w:highlight w:val="none"/>
        </w:rPr>
      </w:pPr>
    </w:p>
    <w:p>
      <w:pPr>
        <w:rPr>
          <w:color w:val="auto"/>
          <w:highlight w:val="none"/>
        </w:rPr>
      </w:pPr>
    </w:p>
    <w:p>
      <w:pPr>
        <w:kinsoku/>
        <w:autoSpaceDE/>
        <w:autoSpaceDN/>
        <w:adjustRightInd/>
        <w:snapToGrid/>
        <w:textAlignment w:val="auto"/>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bookmarkStart w:id="3715" w:name="_Toc483317212"/>
      <w:bookmarkStart w:id="3716" w:name="_Toc418752336"/>
      <w:bookmarkStart w:id="3717" w:name="_Toc418751890"/>
      <w:r>
        <w:rPr>
          <w:rFonts w:ascii="宋体" w:hAnsi="宋体" w:eastAsia="宋体" w:cs="宋体"/>
          <w:b/>
          <w:bCs/>
          <w:color w:val="auto"/>
          <w:spacing w:val="-1"/>
          <w:sz w:val="28"/>
          <w:szCs w:val="28"/>
          <w:highlight w:val="none"/>
          <w14:textOutline w14:w="5092" w14:cap="flat" w14:cmpd="sng" w14:algn="ctr">
            <w14:solidFill>
              <w14:srgbClr w14:val="000000"/>
            </w14:solidFill>
            <w14:prstDash w14:val="solid"/>
            <w14:miter w14:val="0"/>
          </w14:textOutline>
        </w:rPr>
        <w:br w:type="page"/>
      </w:r>
    </w:p>
    <w:p>
      <w:pPr>
        <w:pStyle w:val="4"/>
        <w:jc w:val="center"/>
        <w:rPr>
          <w:rFonts w:ascii="宋体" w:hAnsi="宋体" w:eastAsia="宋体" w:cs="宋体"/>
          <w:b w:val="0"/>
          <w:bCs w:val="0"/>
          <w:color w:val="auto"/>
          <w:spacing w:val="-1"/>
          <w:sz w:val="28"/>
          <w:szCs w:val="28"/>
          <w:highlight w:val="none"/>
          <w14:textOutline w14:w="5092" w14:cap="flat" w14:cmpd="sng" w14:algn="ctr">
            <w14:solidFill>
              <w14:srgbClr w14:val="000000"/>
            </w14:solidFill>
            <w14:prstDash w14:val="solid"/>
            <w14:miter w14:val="0"/>
          </w14:textOutline>
        </w:rPr>
      </w:pPr>
      <w:r>
        <w:rPr>
          <w:rFonts w:hint="eastAsia" w:ascii="宋体" w:hAnsi="宋体" w:eastAsia="宋体" w:cs="宋体"/>
          <w:b w:val="0"/>
          <w:bCs w:val="0"/>
          <w:color w:val="auto"/>
          <w:spacing w:val="-1"/>
          <w:sz w:val="28"/>
          <w:szCs w:val="28"/>
          <w:highlight w:val="none"/>
          <w:lang w:val="en-US" w:eastAsia="zh-CN"/>
          <w14:textOutline w14:w="5092" w14:cap="flat" w14:cmpd="sng" w14:algn="ctr">
            <w14:solidFill>
              <w14:srgbClr w14:val="000000"/>
            </w14:solidFill>
            <w14:prstDash w14:val="solid"/>
            <w14:miter w14:val="0"/>
          </w14:textOutline>
        </w:rPr>
        <w:t>5</w:t>
      </w:r>
      <w:r>
        <w:rPr>
          <w:rFonts w:hint="eastAsia" w:ascii="宋体" w:hAnsi="宋体" w:eastAsia="宋体" w:cs="宋体"/>
          <w:b w:val="0"/>
          <w:bCs w:val="0"/>
          <w:color w:val="auto"/>
          <w:spacing w:val="-1"/>
          <w:sz w:val="28"/>
          <w:szCs w:val="28"/>
          <w:highlight w:val="none"/>
          <w14:textOutline w14:w="5092" w14:cap="flat" w14:cmpd="sng" w14:algn="ctr">
            <w14:solidFill>
              <w14:srgbClr w14:val="000000"/>
            </w14:solidFill>
            <w14:prstDash w14:val="solid"/>
            <w14:miter w14:val="0"/>
          </w14:textOutline>
        </w:rPr>
        <w:t>、主要人员简历表</w:t>
      </w:r>
      <w:bookmarkEnd w:id="3715"/>
      <w:bookmarkEnd w:id="3716"/>
      <w:bookmarkEnd w:id="3717"/>
    </w:p>
    <w:p>
      <w:pPr>
        <w:rPr>
          <w:rFonts w:ascii="宋体" w:hAnsi="宋体" w:eastAsia="宋体" w:cs="宋体"/>
          <w:color w:val="auto"/>
          <w:highlight w:val="none"/>
        </w:rPr>
      </w:pPr>
    </w:p>
    <w:p>
      <w:pPr>
        <w:rPr>
          <w:rFonts w:ascii="宋体" w:hAnsi="宋体" w:eastAsia="宋体" w:cs="宋体"/>
          <w:color w:val="auto"/>
          <w:sz w:val="20"/>
          <w:szCs w:val="20"/>
          <w:highlight w:val="none"/>
        </w:rPr>
      </w:pPr>
    </w:p>
    <w:tbl>
      <w:tblPr>
        <w:tblStyle w:val="13"/>
        <w:tblW w:w="0" w:type="auto"/>
        <w:tblInd w:w="-5" w:type="dxa"/>
        <w:tblLayout w:type="fixed"/>
        <w:tblCellMar>
          <w:top w:w="0" w:type="dxa"/>
          <w:left w:w="0" w:type="dxa"/>
          <w:bottom w:w="0" w:type="dxa"/>
          <w:right w:w="0" w:type="dxa"/>
        </w:tblCellMar>
      </w:tblPr>
      <w:tblGrid>
        <w:gridCol w:w="1343"/>
        <w:gridCol w:w="407"/>
        <w:gridCol w:w="816"/>
        <w:gridCol w:w="1048"/>
        <w:gridCol w:w="1206"/>
        <w:gridCol w:w="801"/>
        <w:gridCol w:w="1426"/>
        <w:gridCol w:w="185"/>
        <w:gridCol w:w="2416"/>
      </w:tblGrid>
      <w:tr>
        <w:tblPrEx>
          <w:tblCellMar>
            <w:top w:w="0" w:type="dxa"/>
            <w:left w:w="0" w:type="dxa"/>
            <w:bottom w:w="0" w:type="dxa"/>
            <w:right w:w="0" w:type="dxa"/>
          </w:tblCellMar>
        </w:tblPrEx>
        <w:trPr>
          <w:trHeight w:val="340" w:hRule="exact"/>
        </w:trPr>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highlight w:val="none"/>
              </w:rPr>
            </w:pPr>
            <w:r>
              <w:rPr>
                <w:rFonts w:hint="eastAsia" w:ascii="宋体" w:hAnsi="宋体" w:eastAsia="宋体" w:cs="宋体"/>
                <w:color w:val="auto"/>
                <w:highlight w:val="none"/>
              </w:rPr>
              <w:t>姓</w:t>
            </w:r>
            <w:r>
              <w:rPr>
                <w:rFonts w:hint="eastAsia" w:ascii="宋体" w:hAnsi="宋体" w:eastAsia="宋体" w:cs="宋体"/>
                <w:color w:val="auto"/>
                <w:highlight w:val="none"/>
              </w:rPr>
              <w:tab/>
            </w:r>
            <w:r>
              <w:rPr>
                <w:rFonts w:hint="eastAsia" w:ascii="宋体" w:hAnsi="宋体" w:eastAsia="宋体" w:cs="宋体"/>
                <w:color w:val="auto"/>
                <w:highlight w:val="none"/>
              </w:rPr>
              <w:t>名</w:t>
            </w:r>
          </w:p>
        </w:tc>
        <w:tc>
          <w:tcPr>
            <w:tcW w:w="12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highlight w:val="none"/>
              </w:rPr>
            </w:pPr>
          </w:p>
        </w:tc>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highlight w:val="none"/>
              </w:rPr>
            </w:pPr>
            <w:r>
              <w:rPr>
                <w:rFonts w:hint="eastAsia" w:ascii="宋体" w:hAnsi="宋体" w:eastAsia="宋体" w:cs="宋体"/>
                <w:color w:val="auto"/>
                <w:highlight w:val="none"/>
              </w:rPr>
              <w:t>年  龄</w:t>
            </w: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highlight w:val="none"/>
              </w:rPr>
            </w:pPr>
          </w:p>
        </w:tc>
        <w:tc>
          <w:tcPr>
            <w:tcW w:w="241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highlight w:val="none"/>
              </w:rPr>
            </w:pPr>
            <w:r>
              <w:rPr>
                <w:rFonts w:hint="eastAsia" w:ascii="宋体" w:hAnsi="宋体" w:eastAsia="宋体" w:cs="宋体"/>
                <w:color w:val="auto"/>
                <w:highlight w:val="none"/>
              </w:rPr>
              <w:t>学历</w:t>
            </w:r>
          </w:p>
        </w:tc>
        <w:tc>
          <w:tcPr>
            <w:tcW w:w="2416"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auto"/>
                <w:sz w:val="24"/>
                <w:highlight w:val="none"/>
              </w:rPr>
            </w:pPr>
          </w:p>
        </w:tc>
      </w:tr>
      <w:tr>
        <w:tblPrEx>
          <w:tblCellMar>
            <w:top w:w="0" w:type="dxa"/>
            <w:left w:w="0" w:type="dxa"/>
            <w:bottom w:w="0" w:type="dxa"/>
            <w:right w:w="0" w:type="dxa"/>
          </w:tblCellMar>
        </w:tblPrEx>
        <w:trPr>
          <w:trHeight w:val="340" w:hRule="exact"/>
        </w:trPr>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highlight w:val="none"/>
              </w:rPr>
            </w:pPr>
            <w:r>
              <w:rPr>
                <w:rFonts w:hint="eastAsia" w:ascii="宋体" w:hAnsi="宋体" w:eastAsia="宋体" w:cs="宋体"/>
                <w:color w:val="auto"/>
                <w:highlight w:val="none"/>
              </w:rPr>
              <w:t>职</w:t>
            </w:r>
            <w:r>
              <w:rPr>
                <w:rFonts w:hint="eastAsia" w:ascii="宋体" w:hAnsi="宋体" w:eastAsia="宋体" w:cs="宋体"/>
                <w:color w:val="auto"/>
                <w:highlight w:val="none"/>
              </w:rPr>
              <w:tab/>
            </w:r>
            <w:r>
              <w:rPr>
                <w:rFonts w:hint="eastAsia" w:ascii="宋体" w:hAnsi="宋体" w:eastAsia="宋体" w:cs="宋体"/>
                <w:color w:val="auto"/>
                <w:highlight w:val="none"/>
              </w:rPr>
              <w:t>称</w:t>
            </w:r>
          </w:p>
        </w:tc>
        <w:tc>
          <w:tcPr>
            <w:tcW w:w="12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highlight w:val="none"/>
              </w:rPr>
            </w:pPr>
          </w:p>
        </w:tc>
        <w:tc>
          <w:tcPr>
            <w:tcW w:w="10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highlight w:val="none"/>
              </w:rPr>
            </w:pPr>
            <w:r>
              <w:rPr>
                <w:rFonts w:hint="eastAsia" w:ascii="宋体" w:hAnsi="宋体" w:eastAsia="宋体" w:cs="宋体"/>
                <w:color w:val="auto"/>
                <w:highlight w:val="none"/>
              </w:rPr>
              <w:t>职  务</w:t>
            </w:r>
          </w:p>
        </w:tc>
        <w:tc>
          <w:tcPr>
            <w:tcW w:w="12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highlight w:val="none"/>
              </w:rPr>
            </w:pPr>
          </w:p>
        </w:tc>
        <w:tc>
          <w:tcPr>
            <w:tcW w:w="241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highlight w:val="none"/>
              </w:rPr>
            </w:pPr>
            <w:r>
              <w:rPr>
                <w:rFonts w:hint="eastAsia" w:ascii="宋体" w:hAnsi="宋体" w:eastAsia="宋体" w:cs="宋体"/>
                <w:color w:val="auto"/>
                <w:highlight w:val="none"/>
              </w:rPr>
              <w:t>拟在本合同任职</w:t>
            </w:r>
          </w:p>
        </w:tc>
        <w:tc>
          <w:tcPr>
            <w:tcW w:w="2416"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auto"/>
                <w:sz w:val="24"/>
                <w:highlight w:val="none"/>
              </w:rPr>
            </w:pPr>
          </w:p>
        </w:tc>
      </w:tr>
      <w:tr>
        <w:tblPrEx>
          <w:tblCellMar>
            <w:top w:w="0" w:type="dxa"/>
            <w:left w:w="0" w:type="dxa"/>
            <w:bottom w:w="0" w:type="dxa"/>
            <w:right w:w="0" w:type="dxa"/>
          </w:tblCellMar>
        </w:tblPrEx>
        <w:trPr>
          <w:trHeight w:val="340" w:hRule="exact"/>
        </w:trPr>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highlight w:val="none"/>
              </w:rPr>
            </w:pPr>
            <w:r>
              <w:rPr>
                <w:rFonts w:hint="eastAsia" w:ascii="宋体" w:hAnsi="宋体" w:eastAsia="宋体" w:cs="宋体"/>
                <w:color w:val="auto"/>
                <w:highlight w:val="none"/>
              </w:rPr>
              <w:t>毕业学校</w:t>
            </w:r>
          </w:p>
        </w:tc>
        <w:tc>
          <w:tcPr>
            <w:tcW w:w="8305" w:type="dxa"/>
            <w:gridSpan w:val="8"/>
            <w:tcBorders>
              <w:top w:val="single" w:color="000000" w:sz="4" w:space="0"/>
              <w:left w:val="single" w:color="000000" w:sz="4" w:space="0"/>
              <w:bottom w:val="single" w:color="000000" w:sz="4" w:space="0"/>
              <w:right w:val="single" w:color="000000" w:sz="4" w:space="0"/>
            </w:tcBorders>
          </w:tcPr>
          <w:p>
            <w:pPr>
              <w:ind w:firstLine="315" w:firstLineChars="150"/>
              <w:rPr>
                <w:rFonts w:ascii="宋体" w:hAnsi="宋体" w:eastAsia="宋体" w:cs="宋体"/>
                <w:color w:val="auto"/>
                <w:sz w:val="24"/>
                <w:highlight w:val="none"/>
              </w:rPr>
            </w:pPr>
            <w:r>
              <w:rPr>
                <w:rFonts w:hint="eastAsia" w:ascii="宋体" w:hAnsi="宋体" w:eastAsia="宋体" w:cs="宋体"/>
                <w:color w:val="auto"/>
                <w:highlight w:val="none"/>
              </w:rPr>
              <w:t>年</w:t>
            </w:r>
            <w:r>
              <w:rPr>
                <w:rFonts w:hint="eastAsia" w:ascii="宋体" w:hAnsi="宋体" w:eastAsia="宋体" w:cs="宋体"/>
                <w:color w:val="auto"/>
                <w:spacing w:val="-1"/>
                <w:highlight w:val="none"/>
              </w:rPr>
              <w:t>毕</w:t>
            </w:r>
            <w:r>
              <w:rPr>
                <w:rFonts w:hint="eastAsia" w:ascii="宋体" w:hAnsi="宋体" w:eastAsia="宋体" w:cs="宋体"/>
                <w:color w:val="auto"/>
                <w:highlight w:val="none"/>
              </w:rPr>
              <w:t>业于</w:t>
            </w:r>
            <w:r>
              <w:rPr>
                <w:rFonts w:hint="eastAsia" w:ascii="宋体" w:hAnsi="宋体" w:eastAsia="宋体" w:cs="宋体"/>
                <w:color w:val="auto"/>
                <w:highlight w:val="none"/>
              </w:rPr>
              <w:tab/>
            </w:r>
            <w:r>
              <w:rPr>
                <w:rFonts w:hint="eastAsia" w:ascii="宋体" w:hAnsi="宋体" w:eastAsia="宋体" w:cs="宋体"/>
                <w:color w:val="auto"/>
                <w:highlight w:val="none"/>
              </w:rPr>
              <w:t>学校</w:t>
            </w:r>
            <w:r>
              <w:rPr>
                <w:rFonts w:hint="eastAsia" w:ascii="宋体" w:hAnsi="宋体" w:eastAsia="宋体" w:cs="宋体"/>
                <w:color w:val="auto"/>
                <w:highlight w:val="none"/>
              </w:rPr>
              <w:tab/>
            </w:r>
            <w:r>
              <w:rPr>
                <w:rFonts w:hint="eastAsia" w:ascii="宋体" w:hAnsi="宋体" w:eastAsia="宋体" w:cs="宋体"/>
                <w:color w:val="auto"/>
                <w:highlight w:val="none"/>
              </w:rPr>
              <w:t>专业</w:t>
            </w:r>
          </w:p>
        </w:tc>
      </w:tr>
      <w:tr>
        <w:tblPrEx>
          <w:tblCellMar>
            <w:top w:w="0" w:type="dxa"/>
            <w:left w:w="0" w:type="dxa"/>
            <w:bottom w:w="0" w:type="dxa"/>
            <w:right w:w="0" w:type="dxa"/>
          </w:tblCellMar>
        </w:tblPrEx>
        <w:trPr>
          <w:trHeight w:val="340" w:hRule="exact"/>
        </w:trPr>
        <w:tc>
          <w:tcPr>
            <w:tcW w:w="9648" w:type="dxa"/>
            <w:gridSpan w:val="9"/>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auto"/>
                <w:sz w:val="24"/>
                <w:highlight w:val="none"/>
              </w:rPr>
            </w:pPr>
            <w:r>
              <w:rPr>
                <w:rFonts w:hint="eastAsia" w:ascii="宋体" w:hAnsi="宋体" w:eastAsia="宋体" w:cs="宋体"/>
                <w:color w:val="auto"/>
                <w:highlight w:val="none"/>
              </w:rPr>
              <w:t>主要工作经历</w:t>
            </w:r>
          </w:p>
        </w:tc>
      </w:tr>
      <w:tr>
        <w:tblPrEx>
          <w:tblCellMar>
            <w:top w:w="0" w:type="dxa"/>
            <w:left w:w="0" w:type="dxa"/>
            <w:bottom w:w="0" w:type="dxa"/>
            <w:right w:w="0" w:type="dxa"/>
          </w:tblCellMar>
        </w:tblPrEx>
        <w:trPr>
          <w:trHeight w:val="340" w:hRule="exact"/>
        </w:trPr>
        <w:tc>
          <w:tcPr>
            <w:tcW w:w="1750" w:type="dxa"/>
            <w:gridSpan w:val="2"/>
            <w:tcBorders>
              <w:top w:val="single" w:color="000000" w:sz="4" w:space="0"/>
              <w:left w:val="single" w:color="000000" w:sz="4" w:space="0"/>
              <w:bottom w:val="single" w:color="000000" w:sz="4" w:space="0"/>
              <w:right w:val="single" w:color="000000" w:sz="4" w:space="0"/>
            </w:tcBorders>
            <w:vAlign w:val="center"/>
          </w:tcPr>
          <w:p>
            <w:pPr>
              <w:ind w:firstLine="105" w:firstLineChars="50"/>
              <w:jc w:val="center"/>
              <w:rPr>
                <w:rFonts w:ascii="宋体" w:hAnsi="宋体" w:eastAsia="宋体" w:cs="宋体"/>
                <w:color w:val="auto"/>
                <w:sz w:val="24"/>
                <w:highlight w:val="none"/>
              </w:rPr>
            </w:pPr>
            <w:r>
              <w:rPr>
                <w:rFonts w:hint="eastAsia" w:ascii="宋体" w:hAnsi="宋体" w:eastAsia="宋体" w:cs="宋体"/>
                <w:color w:val="auto"/>
                <w:highlight w:val="none"/>
              </w:rPr>
              <w:t>时</w:t>
            </w:r>
            <w:r>
              <w:rPr>
                <w:rFonts w:hint="eastAsia" w:ascii="宋体" w:hAnsi="宋体" w:eastAsia="宋体" w:cs="宋体"/>
                <w:color w:val="auto"/>
                <w:highlight w:val="none"/>
              </w:rPr>
              <w:tab/>
            </w:r>
            <w:r>
              <w:rPr>
                <w:rFonts w:hint="eastAsia" w:ascii="宋体" w:hAnsi="宋体" w:eastAsia="宋体" w:cs="宋体"/>
                <w:color w:val="auto"/>
                <w:highlight w:val="none"/>
              </w:rPr>
              <w:t>间</w:t>
            </w:r>
          </w:p>
        </w:tc>
        <w:tc>
          <w:tcPr>
            <w:tcW w:w="387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highlight w:val="none"/>
              </w:rPr>
            </w:pPr>
            <w:r>
              <w:rPr>
                <w:rFonts w:hint="eastAsia" w:ascii="宋体" w:hAnsi="宋体" w:eastAsia="宋体" w:cs="宋体"/>
                <w:color w:val="auto"/>
                <w:highlight w:val="none"/>
              </w:rPr>
              <w:t>参加过的类似项目</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highlight w:val="none"/>
              </w:rPr>
            </w:pPr>
            <w:r>
              <w:rPr>
                <w:rFonts w:hint="eastAsia" w:ascii="宋体" w:hAnsi="宋体" w:eastAsia="宋体" w:cs="宋体"/>
                <w:color w:val="auto"/>
                <w:highlight w:val="none"/>
              </w:rPr>
              <w:t>担任职务</w:t>
            </w:r>
          </w:p>
        </w:tc>
        <w:tc>
          <w:tcPr>
            <w:tcW w:w="26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auto"/>
                <w:sz w:val="24"/>
                <w:highlight w:val="none"/>
              </w:rPr>
            </w:pPr>
            <w:r>
              <w:rPr>
                <w:rFonts w:hint="eastAsia" w:ascii="宋体" w:hAnsi="宋体" w:eastAsia="宋体" w:cs="宋体"/>
                <w:color w:val="auto"/>
                <w:highlight w:val="none"/>
              </w:rPr>
              <w:t>发包人及联系电话</w:t>
            </w:r>
          </w:p>
        </w:tc>
      </w:tr>
      <w:tr>
        <w:tblPrEx>
          <w:tblCellMar>
            <w:top w:w="0" w:type="dxa"/>
            <w:left w:w="0" w:type="dxa"/>
            <w:bottom w:w="0" w:type="dxa"/>
            <w:right w:w="0" w:type="dxa"/>
          </w:tblCellMar>
        </w:tblPrEx>
        <w:trPr>
          <w:trHeight w:val="340" w:hRule="exact"/>
        </w:trPr>
        <w:tc>
          <w:tcPr>
            <w:tcW w:w="1750" w:type="dxa"/>
            <w:gridSpan w:val="2"/>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auto"/>
                <w:sz w:val="24"/>
                <w:highlight w:val="none"/>
              </w:rPr>
            </w:pPr>
          </w:p>
        </w:tc>
        <w:tc>
          <w:tcPr>
            <w:tcW w:w="3871" w:type="dxa"/>
            <w:gridSpan w:val="4"/>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auto"/>
                <w:sz w:val="24"/>
                <w:highlight w:val="none"/>
              </w:rPr>
            </w:pPr>
          </w:p>
        </w:tc>
        <w:tc>
          <w:tcPr>
            <w:tcW w:w="1426"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auto"/>
                <w:sz w:val="24"/>
                <w:highlight w:val="none"/>
              </w:rPr>
            </w:pPr>
          </w:p>
        </w:tc>
        <w:tc>
          <w:tcPr>
            <w:tcW w:w="2601" w:type="dxa"/>
            <w:gridSpan w:val="2"/>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auto"/>
                <w:sz w:val="24"/>
                <w:highlight w:val="none"/>
              </w:rPr>
            </w:pPr>
          </w:p>
        </w:tc>
      </w:tr>
      <w:tr>
        <w:tblPrEx>
          <w:tblCellMar>
            <w:top w:w="0" w:type="dxa"/>
            <w:left w:w="0" w:type="dxa"/>
            <w:bottom w:w="0" w:type="dxa"/>
            <w:right w:w="0" w:type="dxa"/>
          </w:tblCellMar>
        </w:tblPrEx>
        <w:trPr>
          <w:trHeight w:val="340" w:hRule="exact"/>
        </w:trPr>
        <w:tc>
          <w:tcPr>
            <w:tcW w:w="1750" w:type="dxa"/>
            <w:gridSpan w:val="2"/>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auto"/>
                <w:sz w:val="24"/>
                <w:highlight w:val="none"/>
              </w:rPr>
            </w:pPr>
          </w:p>
        </w:tc>
        <w:tc>
          <w:tcPr>
            <w:tcW w:w="3871" w:type="dxa"/>
            <w:gridSpan w:val="4"/>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auto"/>
                <w:sz w:val="24"/>
                <w:highlight w:val="none"/>
              </w:rPr>
            </w:pPr>
          </w:p>
        </w:tc>
        <w:tc>
          <w:tcPr>
            <w:tcW w:w="1426"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auto"/>
                <w:sz w:val="24"/>
                <w:highlight w:val="none"/>
              </w:rPr>
            </w:pPr>
          </w:p>
        </w:tc>
        <w:tc>
          <w:tcPr>
            <w:tcW w:w="2601" w:type="dxa"/>
            <w:gridSpan w:val="2"/>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auto"/>
                <w:sz w:val="24"/>
                <w:highlight w:val="none"/>
              </w:rPr>
            </w:pPr>
          </w:p>
        </w:tc>
      </w:tr>
    </w:tbl>
    <w:p>
      <w:pPr>
        <w:tabs>
          <w:tab w:val="left" w:pos="826"/>
        </w:tabs>
        <w:spacing w:line="420" w:lineRule="exact"/>
        <w:ind w:firstLine="316" w:firstLineChars="150"/>
        <w:rPr>
          <w:rFonts w:ascii="宋体" w:hAnsi="宋体" w:eastAsia="宋体" w:cs="宋体"/>
          <w:b/>
          <w:bCs/>
          <w:color w:val="auto"/>
          <w:highlight w:val="none"/>
        </w:rPr>
      </w:pPr>
      <w:r>
        <w:rPr>
          <w:rFonts w:hint="eastAsia" w:ascii="宋体" w:hAnsi="宋体" w:eastAsia="宋体" w:cs="宋体"/>
          <w:b/>
          <w:bCs/>
          <w:color w:val="auto"/>
          <w:highlight w:val="none"/>
        </w:rPr>
        <w:t>注：项目经理应附身份证、注册建造师执业资格证书、安全生产考核合格证书（B类）、职称证书；项目</w:t>
      </w:r>
      <w:r>
        <w:rPr>
          <w:rFonts w:hint="eastAsia" w:ascii="宋体" w:hAnsi="宋体" w:eastAsia="宋体" w:cs="宋体"/>
          <w:b/>
          <w:bCs/>
          <w:snapToGrid/>
          <w:color w:val="auto"/>
          <w:kern w:val="2"/>
          <w:highlight w:val="none"/>
        </w:rPr>
        <w:t>技术负责人</w:t>
      </w:r>
      <w:r>
        <w:rPr>
          <w:rFonts w:hint="eastAsia" w:ascii="宋体" w:hAnsi="宋体" w:eastAsia="宋体" w:cs="宋体"/>
          <w:b/>
          <w:bCs/>
          <w:color w:val="auto"/>
          <w:highlight w:val="none"/>
        </w:rPr>
        <w:t>应附身份证、职称证；专职安全生产管理人员应附身份证、专职安全员安全生产考核合格证书（C类）、职称证书（如有）；其他主要人员应附执业证或上岗证书、职称证书（如有）。拟投入本工程的管理人员必须</w:t>
      </w:r>
      <w:r>
        <w:rPr>
          <w:rFonts w:hint="eastAsia" w:ascii="宋体" w:hAnsi="宋体" w:eastAsia="宋体" w:cs="宋体"/>
          <w:b/>
          <w:bCs/>
          <w:snapToGrid/>
          <w:color w:val="auto"/>
          <w:kern w:val="2"/>
          <w:highlight w:val="none"/>
        </w:rPr>
        <w:t>提供现任职单位依法缴纳（近一个月）的</w:t>
      </w:r>
      <w:r>
        <w:rPr>
          <w:rFonts w:hint="eastAsia" w:ascii="宋体" w:hAnsi="宋体" w:cs="宋体"/>
          <w:b/>
          <w:bCs/>
          <w:snapToGrid/>
          <w:color w:val="auto"/>
          <w:kern w:val="2"/>
          <w:highlight w:val="none"/>
        </w:rPr>
        <w:t>养老</w:t>
      </w:r>
      <w:r>
        <w:rPr>
          <w:rFonts w:hint="eastAsia" w:ascii="宋体" w:hAnsi="宋体" w:eastAsia="宋体" w:cs="宋体"/>
          <w:b/>
          <w:bCs/>
          <w:snapToGrid/>
          <w:color w:val="auto"/>
          <w:kern w:val="2"/>
          <w:highlight w:val="none"/>
        </w:rPr>
        <w:t>保险证明材料的复印件</w:t>
      </w:r>
      <w:r>
        <w:rPr>
          <w:rFonts w:hint="eastAsia" w:ascii="宋体" w:hAnsi="宋体" w:eastAsia="宋体" w:cs="宋体"/>
          <w:b/>
          <w:bCs/>
          <w:color w:val="auto"/>
          <w:highlight w:val="none"/>
        </w:rPr>
        <w:t>。离退修返聘人员不得超过65周岁，相关证书需保持有效性，且需提供退休证明</w:t>
      </w:r>
      <w:r>
        <w:rPr>
          <w:rFonts w:hint="eastAsia" w:ascii="宋体" w:hAnsi="宋体" w:eastAsia="宋体" w:cs="宋体"/>
          <w:b/>
          <w:bCs/>
          <w:color w:val="auto"/>
          <w:highlight w:val="none"/>
        </w:rPr>
        <w:t>（必须提供）</w:t>
      </w:r>
      <w:r>
        <w:rPr>
          <w:rFonts w:hint="eastAsia" w:ascii="宋体" w:hAnsi="宋体" w:eastAsia="宋体" w:cs="宋体"/>
          <w:b/>
          <w:bCs/>
          <w:color w:val="auto"/>
          <w:highlight w:val="none"/>
        </w:rPr>
        <w:t>。</w:t>
      </w:r>
    </w:p>
    <w:p>
      <w:pPr>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r>
        <w:rPr>
          <w:rFonts w:hint="eastAsia"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br w:type="page"/>
      </w:r>
    </w:p>
    <w:p>
      <w:pPr>
        <w:spacing w:before="91" w:line="220" w:lineRule="auto"/>
        <w:jc w:val="center"/>
        <w:outlineLvl w:val="6"/>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r>
        <w:rPr>
          <w:rFonts w:hint="eastAsia" w:ascii="宋体" w:hAnsi="宋体" w:eastAsia="宋体" w:cs="宋体"/>
          <w:color w:val="auto"/>
          <w:spacing w:val="-1"/>
          <w:sz w:val="28"/>
          <w:szCs w:val="28"/>
          <w:highlight w:val="none"/>
          <w:lang w:val="en-US" w:eastAsia="zh-CN"/>
          <w14:textOutline w14:w="5092" w14:cap="flat" w14:cmpd="sng" w14:algn="ctr">
            <w14:solidFill>
              <w14:srgbClr w14:val="000000"/>
            </w14:solidFill>
            <w14:prstDash w14:val="solid"/>
            <w14:miter w14:val="0"/>
          </w14:textOutline>
        </w:rPr>
        <w:t>6</w:t>
      </w:r>
      <w:r>
        <w:rPr>
          <w:rFonts w:hint="eastAsia"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、诚信声明</w:t>
      </w:r>
    </w:p>
    <w:p>
      <w:pPr>
        <w:spacing w:line="600" w:lineRule="exact"/>
        <w:rPr>
          <w:rFonts w:ascii="宋体" w:hAnsi="宋体" w:eastAsia="宋体" w:cs="宋体"/>
          <w:color w:val="auto"/>
          <w:highlight w:val="none"/>
        </w:rPr>
      </w:pPr>
      <w:r>
        <w:rPr>
          <w:rFonts w:hint="eastAsia" w:ascii="宋体" w:hAnsi="宋体" w:eastAsia="宋体" w:cs="宋体"/>
          <w:color w:val="auto"/>
          <w:highlight w:val="none"/>
        </w:rPr>
        <w:t>声明企业：                        地址：</w:t>
      </w:r>
    </w:p>
    <w:p>
      <w:pPr>
        <w:spacing w:line="600" w:lineRule="exact"/>
        <w:rPr>
          <w:rFonts w:ascii="宋体" w:hAnsi="宋体" w:eastAsia="宋体" w:cs="宋体"/>
          <w:color w:val="auto"/>
          <w:highlight w:val="none"/>
        </w:rPr>
      </w:pPr>
      <w:r>
        <w:rPr>
          <w:rFonts w:hint="eastAsia" w:ascii="宋体" w:hAnsi="宋体" w:eastAsia="宋体" w:cs="宋体"/>
          <w:color w:val="auto"/>
          <w:highlight w:val="none"/>
        </w:rPr>
        <w:t>声明人：                          职务：</w:t>
      </w:r>
    </w:p>
    <w:p>
      <w:pPr>
        <w:spacing w:line="600" w:lineRule="exact"/>
        <w:rPr>
          <w:rFonts w:ascii="宋体" w:hAnsi="宋体" w:eastAsia="宋体" w:cs="宋体"/>
          <w:color w:val="auto"/>
          <w:highlight w:val="none"/>
        </w:rPr>
      </w:pPr>
      <w:r>
        <w:rPr>
          <w:rFonts w:hint="eastAsia" w:ascii="宋体" w:hAnsi="宋体" w:eastAsia="宋体" w:cs="宋体"/>
          <w:color w:val="auto"/>
          <w:highlight w:val="none"/>
        </w:rPr>
        <w:t>声明人：                          职务：</w:t>
      </w:r>
    </w:p>
    <w:p>
      <w:pPr>
        <w:spacing w:line="360" w:lineRule="auto"/>
        <w:ind w:firstLine="420" w:firstLineChars="200"/>
        <w:rPr>
          <w:rFonts w:ascii="宋体" w:hAnsi="宋体" w:eastAsia="宋体" w:cs="宋体"/>
          <w:color w:val="auto"/>
          <w:highlight w:val="none"/>
        </w:rPr>
      </w:pPr>
      <w:r>
        <w:rPr>
          <w:rFonts w:hint="eastAsia" w:ascii="宋体" w:hAnsi="宋体" w:eastAsia="宋体" w:cs="宋体"/>
          <w:color w:val="auto"/>
          <w:highlight w:val="none"/>
        </w:rPr>
        <w:t>本公司就参加</w:t>
      </w:r>
      <w:r>
        <w:rPr>
          <w:rFonts w:hint="eastAsia" w:ascii="宋体" w:hAnsi="宋体" w:eastAsia="宋体" w:cs="宋体"/>
          <w:color w:val="auto"/>
          <w:highlight w:val="none"/>
          <w:u w:val="single"/>
        </w:rPr>
        <w:t xml:space="preserve">      （工程项目名称+标段）     </w:t>
      </w:r>
      <w:r>
        <w:rPr>
          <w:rFonts w:hint="eastAsia" w:ascii="宋体" w:hAnsi="宋体" w:eastAsia="宋体" w:cs="宋体"/>
          <w:color w:val="auto"/>
          <w:highlight w:val="none"/>
        </w:rPr>
        <w:t>工程项目投标工作，作出郑重声明：</w:t>
      </w:r>
    </w:p>
    <w:p>
      <w:pPr>
        <w:pStyle w:val="31"/>
        <w:rPr>
          <w:rFonts w:cs="宋体"/>
          <w:color w:val="auto"/>
          <w:highlight w:val="none"/>
        </w:rPr>
      </w:pPr>
      <w:r>
        <w:rPr>
          <w:rFonts w:hint="eastAsia" w:cs="宋体"/>
          <w:color w:val="auto"/>
          <w:highlight w:val="none"/>
        </w:rPr>
        <w:t>1、  投标材料是真实的，对招标要求是清楚的。作为正式投标人，我公司保证不与其他单位围标、串标，不出让投标资格，不向招标人或评标委员会成员行贿。</w:t>
      </w:r>
    </w:p>
    <w:p>
      <w:pPr>
        <w:pStyle w:val="31"/>
        <w:rPr>
          <w:rFonts w:cs="宋体"/>
          <w:color w:val="auto"/>
          <w:highlight w:val="none"/>
        </w:rPr>
      </w:pPr>
      <w:r>
        <w:rPr>
          <w:rFonts w:hint="eastAsia" w:cs="宋体"/>
          <w:color w:val="auto"/>
          <w:highlight w:val="none"/>
        </w:rPr>
        <w:t>2、  我单位无因安全事故、质量事故、投标违规等有不良记录被政府有关部门处罚仍在受罚期内；</w:t>
      </w:r>
    </w:p>
    <w:p>
      <w:pPr>
        <w:pStyle w:val="31"/>
        <w:rPr>
          <w:rFonts w:cs="宋体"/>
          <w:color w:val="auto"/>
          <w:highlight w:val="none"/>
        </w:rPr>
      </w:pPr>
      <w:r>
        <w:rPr>
          <w:rFonts w:hint="eastAsia" w:cs="宋体"/>
          <w:color w:val="auto"/>
          <w:highlight w:val="none"/>
        </w:rPr>
        <w:t>3、  我单位无被有关部门责令停业、企业财产被查封、冻结或者处于破产状态的情形存在；</w:t>
      </w:r>
    </w:p>
    <w:p>
      <w:pPr>
        <w:pStyle w:val="31"/>
        <w:rPr>
          <w:rFonts w:cs="宋体"/>
          <w:color w:val="auto"/>
          <w:highlight w:val="none"/>
        </w:rPr>
      </w:pPr>
      <w:r>
        <w:rPr>
          <w:rFonts w:hint="eastAsia" w:cs="宋体"/>
          <w:color w:val="auto"/>
          <w:highlight w:val="none"/>
        </w:rPr>
        <w:t>4、  我单位没有参加本项目的设计、前期招标及监理等工作；</w:t>
      </w:r>
    </w:p>
    <w:p>
      <w:pPr>
        <w:pStyle w:val="31"/>
        <w:rPr>
          <w:rFonts w:cs="宋体"/>
          <w:color w:val="auto"/>
          <w:highlight w:val="none"/>
        </w:rPr>
      </w:pPr>
      <w:r>
        <w:rPr>
          <w:rFonts w:hint="eastAsia" w:cs="宋体"/>
          <w:color w:val="auto"/>
          <w:highlight w:val="none"/>
        </w:rPr>
        <w:t>5、  我单位无拖欠民工工资记录且未结案的情形存在。</w:t>
      </w:r>
    </w:p>
    <w:p>
      <w:pPr>
        <w:pStyle w:val="31"/>
        <w:rPr>
          <w:rFonts w:cs="宋体"/>
          <w:color w:val="auto"/>
          <w:highlight w:val="none"/>
        </w:rPr>
      </w:pPr>
      <w:r>
        <w:rPr>
          <w:rFonts w:hint="eastAsia" w:cs="宋体"/>
          <w:color w:val="auto"/>
          <w:highlight w:val="none"/>
        </w:rPr>
        <w:t xml:space="preserve">   若违反上述规定一旦查实，本人和本公司愿意接受公开通报，并愿意承担由此带来的法律后果。</w:t>
      </w:r>
    </w:p>
    <w:p>
      <w:pPr>
        <w:pStyle w:val="31"/>
        <w:rPr>
          <w:rFonts w:cs="宋体"/>
          <w:color w:val="auto"/>
          <w:highlight w:val="none"/>
        </w:rPr>
      </w:pPr>
      <w:r>
        <w:rPr>
          <w:rFonts w:hint="eastAsia" w:cs="宋体"/>
          <w:color w:val="auto"/>
          <w:highlight w:val="none"/>
        </w:rPr>
        <w:t>特此声明！</w:t>
      </w:r>
    </w:p>
    <w:p>
      <w:pPr>
        <w:pStyle w:val="31"/>
        <w:rPr>
          <w:rFonts w:cs="宋体"/>
          <w:color w:val="auto"/>
          <w:highlight w:val="none"/>
        </w:rPr>
      </w:pPr>
    </w:p>
    <w:p>
      <w:pPr>
        <w:pStyle w:val="38"/>
        <w:tabs>
          <w:tab w:val="left" w:pos="6934"/>
          <w:tab w:val="left" w:pos="7563"/>
          <w:tab w:val="left" w:pos="8336"/>
        </w:tabs>
        <w:spacing w:line="350" w:lineRule="exact"/>
        <w:jc w:val="both"/>
        <w:rPr>
          <w:rFonts w:eastAsia="宋体"/>
          <w:color w:val="auto"/>
          <w:highlight w:val="none"/>
        </w:rPr>
      </w:pPr>
      <w:r>
        <w:rPr>
          <w:rFonts w:hint="eastAsia" w:eastAsia="宋体"/>
          <w:color w:val="auto"/>
          <w:highlight w:val="none"/>
        </w:rPr>
        <w:t>声明人（法定代表人）</w:t>
      </w:r>
      <w:r>
        <w:rPr>
          <w:rFonts w:hint="eastAsia" w:eastAsia="宋体"/>
          <w:color w:val="auto"/>
          <w:highlight w:val="none"/>
          <w:lang w:val="en-US"/>
        </w:rPr>
        <w:t>[</w:t>
      </w:r>
      <w:r>
        <w:rPr>
          <w:rFonts w:hint="eastAsia" w:eastAsia="宋体"/>
          <w:color w:val="auto"/>
          <w:highlight w:val="none"/>
        </w:rPr>
        <w:t>签字或盖章（</w:t>
      </w:r>
      <w:r>
        <w:rPr>
          <w:rFonts w:hint="eastAsia" w:eastAsia="宋体"/>
          <w:color w:val="auto"/>
          <w:highlight w:val="none"/>
          <w:lang w:val="en-US"/>
        </w:rPr>
        <w:t>CA签章</w:t>
      </w:r>
      <w:r>
        <w:rPr>
          <w:rFonts w:hint="eastAsia" w:eastAsia="宋体"/>
          <w:color w:val="auto"/>
          <w:highlight w:val="none"/>
        </w:rPr>
        <w:t>）</w:t>
      </w:r>
      <w:r>
        <w:rPr>
          <w:rFonts w:hint="eastAsia" w:eastAsia="宋体"/>
          <w:color w:val="auto"/>
          <w:highlight w:val="none"/>
          <w:lang w:val="en-US"/>
        </w:rPr>
        <w:t>]</w:t>
      </w:r>
      <w:r>
        <w:rPr>
          <w:rFonts w:hint="eastAsia" w:eastAsia="宋体"/>
          <w:color w:val="auto"/>
          <w:highlight w:val="none"/>
        </w:rPr>
        <w:t>：</w:t>
      </w:r>
    </w:p>
    <w:p>
      <w:pPr>
        <w:pStyle w:val="38"/>
        <w:tabs>
          <w:tab w:val="left" w:pos="6934"/>
          <w:tab w:val="left" w:pos="7563"/>
          <w:tab w:val="left" w:pos="8336"/>
        </w:tabs>
        <w:spacing w:line="350" w:lineRule="exact"/>
        <w:jc w:val="both"/>
        <w:rPr>
          <w:rFonts w:eastAsia="宋体"/>
          <w:color w:val="auto"/>
          <w:highlight w:val="none"/>
        </w:rPr>
      </w:pPr>
      <w:r>
        <w:rPr>
          <w:rFonts w:hint="eastAsia" w:eastAsia="宋体"/>
          <w:color w:val="auto"/>
          <w:highlight w:val="none"/>
        </w:rPr>
        <w:t>声明人（项目经理）</w:t>
      </w:r>
      <w:r>
        <w:rPr>
          <w:rFonts w:hint="eastAsia" w:eastAsia="宋体"/>
          <w:color w:val="auto"/>
          <w:highlight w:val="none"/>
          <w:lang w:val="en-US"/>
        </w:rPr>
        <w:t>[</w:t>
      </w:r>
      <w:r>
        <w:rPr>
          <w:rFonts w:hint="eastAsia" w:eastAsia="宋体"/>
          <w:color w:val="auto"/>
          <w:highlight w:val="none"/>
        </w:rPr>
        <w:t>签字或盖章（</w:t>
      </w:r>
      <w:r>
        <w:rPr>
          <w:rFonts w:hint="eastAsia" w:eastAsia="宋体"/>
          <w:color w:val="auto"/>
          <w:highlight w:val="none"/>
          <w:lang w:val="en-US"/>
        </w:rPr>
        <w:t>CA签章</w:t>
      </w:r>
      <w:r>
        <w:rPr>
          <w:rFonts w:hint="eastAsia" w:eastAsia="宋体"/>
          <w:color w:val="auto"/>
          <w:highlight w:val="none"/>
        </w:rPr>
        <w:t>）</w:t>
      </w:r>
      <w:r>
        <w:rPr>
          <w:rFonts w:hint="eastAsia" w:eastAsia="宋体"/>
          <w:color w:val="auto"/>
          <w:highlight w:val="none"/>
          <w:lang w:val="en-US"/>
        </w:rPr>
        <w:t>]</w:t>
      </w:r>
      <w:r>
        <w:rPr>
          <w:rFonts w:hint="eastAsia" w:eastAsia="宋体"/>
          <w:color w:val="auto"/>
          <w:highlight w:val="none"/>
        </w:rPr>
        <w:t>：</w:t>
      </w:r>
    </w:p>
    <w:p>
      <w:pPr>
        <w:pStyle w:val="31"/>
        <w:rPr>
          <w:rFonts w:cs="宋体"/>
          <w:color w:val="auto"/>
          <w:highlight w:val="none"/>
        </w:rPr>
      </w:pPr>
      <w:r>
        <w:rPr>
          <w:rFonts w:hint="eastAsia" w:cs="宋体"/>
          <w:color w:val="auto"/>
          <w:highlight w:val="none"/>
        </w:rPr>
        <w:t xml:space="preserve">                                         </w:t>
      </w:r>
    </w:p>
    <w:p>
      <w:pPr>
        <w:pStyle w:val="38"/>
        <w:tabs>
          <w:tab w:val="left" w:pos="6934"/>
          <w:tab w:val="left" w:pos="7563"/>
          <w:tab w:val="left" w:pos="8336"/>
        </w:tabs>
        <w:spacing w:line="350" w:lineRule="exact"/>
        <w:ind w:firstLine="4382" w:firstLineChars="2087"/>
        <w:jc w:val="both"/>
        <w:rPr>
          <w:rFonts w:eastAsia="宋体"/>
          <w:color w:val="auto"/>
          <w:szCs w:val="24"/>
          <w:highlight w:val="none"/>
        </w:rPr>
      </w:pPr>
      <w:r>
        <w:rPr>
          <w:rFonts w:hint="eastAsia" w:eastAsia="宋体"/>
          <w:color w:val="auto"/>
          <w:highlight w:val="none"/>
        </w:rPr>
        <w:t>投标单位：</w:t>
      </w:r>
      <w:r>
        <w:rPr>
          <w:rFonts w:hint="eastAsia" w:eastAsia="宋体"/>
          <w:color w:val="auto"/>
          <w:highlight w:val="none"/>
          <w:u w:val="single"/>
          <w:lang w:val="en-US"/>
        </w:rPr>
        <w:t xml:space="preserve">              </w:t>
      </w:r>
      <w:r>
        <w:rPr>
          <w:rFonts w:hint="eastAsia" w:eastAsia="宋体"/>
          <w:color w:val="auto"/>
          <w:highlight w:val="none"/>
          <w:lang w:val="en-US"/>
        </w:rPr>
        <w:t>[</w:t>
      </w:r>
      <w:r>
        <w:rPr>
          <w:rFonts w:hint="eastAsia" w:eastAsia="宋体"/>
          <w:color w:val="auto"/>
          <w:highlight w:val="none"/>
        </w:rPr>
        <w:t>盖单位公章（</w:t>
      </w:r>
      <w:r>
        <w:rPr>
          <w:rFonts w:hint="eastAsia" w:eastAsia="宋体"/>
          <w:color w:val="auto"/>
          <w:highlight w:val="none"/>
          <w:lang w:val="en-US"/>
        </w:rPr>
        <w:t>CA签章</w:t>
      </w:r>
      <w:r>
        <w:rPr>
          <w:rFonts w:hint="eastAsia" w:eastAsia="宋体"/>
          <w:color w:val="auto"/>
          <w:highlight w:val="none"/>
        </w:rPr>
        <w:t>）</w:t>
      </w:r>
      <w:r>
        <w:rPr>
          <w:rFonts w:hint="eastAsia" w:eastAsia="宋体"/>
          <w:color w:val="auto"/>
          <w:highlight w:val="none"/>
          <w:lang w:val="en-US"/>
        </w:rPr>
        <w:t>]</w:t>
      </w:r>
    </w:p>
    <w:p>
      <w:pPr>
        <w:spacing w:line="600" w:lineRule="exact"/>
        <w:rPr>
          <w:rFonts w:ascii="宋体" w:hAnsi="宋体" w:eastAsia="宋体" w:cs="宋体"/>
          <w:color w:val="auto"/>
          <w:highlight w:val="none"/>
        </w:rPr>
      </w:pPr>
      <w:r>
        <w:rPr>
          <w:rFonts w:hint="eastAsia" w:ascii="宋体" w:hAnsi="宋体" w:eastAsia="宋体" w:cs="宋体"/>
          <w:color w:val="auto"/>
          <w:highlight w:val="none"/>
        </w:rPr>
        <w:t xml:space="preserve">                                                   年  月  日</w:t>
      </w:r>
    </w:p>
    <w:p>
      <w:pPr>
        <w:pStyle w:val="31"/>
        <w:rPr>
          <w:rFonts w:cs="宋体"/>
          <w:color w:val="auto"/>
          <w:highlight w:val="none"/>
        </w:rPr>
      </w:pPr>
      <w:r>
        <w:rPr>
          <w:rFonts w:hint="eastAsia" w:cs="宋体"/>
          <w:color w:val="auto"/>
          <w:highlight w:val="none"/>
        </w:rPr>
        <w:t xml:space="preserve"> </w:t>
      </w:r>
    </w:p>
    <w:p>
      <w:pPr>
        <w:rPr>
          <w:color w:val="auto"/>
          <w:highlight w:val="none"/>
        </w:rPr>
      </w:pPr>
    </w:p>
    <w:p>
      <w:pPr>
        <w:pStyle w:val="2"/>
        <w:rPr>
          <w:color w:val="auto"/>
          <w:highlight w:val="none"/>
        </w:rPr>
      </w:pPr>
    </w:p>
    <w:p>
      <w:pPr>
        <w:rPr>
          <w:rFonts w:ascii="Times New Roman" w:hAnsi="Times New Roman" w:eastAsia="Times New Roman" w:cs="Times New Roman"/>
          <w:b/>
          <w:bCs/>
          <w:color w:val="auto"/>
          <w:spacing w:val="1"/>
          <w:sz w:val="28"/>
          <w:szCs w:val="28"/>
          <w:highlight w:val="none"/>
        </w:rPr>
      </w:pPr>
      <w:r>
        <w:rPr>
          <w:rFonts w:ascii="Times New Roman" w:hAnsi="Times New Roman" w:eastAsia="Times New Roman" w:cs="Times New Roman"/>
          <w:b/>
          <w:bCs/>
          <w:color w:val="auto"/>
          <w:spacing w:val="1"/>
          <w:sz w:val="28"/>
          <w:szCs w:val="28"/>
          <w:highlight w:val="none"/>
        </w:rPr>
        <w:br w:type="page"/>
      </w:r>
    </w:p>
    <w:p>
      <w:pPr>
        <w:spacing w:before="91" w:line="220" w:lineRule="auto"/>
        <w:jc w:val="center"/>
        <w:outlineLvl w:val="6"/>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r>
        <w:rPr>
          <w:rFonts w:hint="eastAsia" w:ascii="宋体" w:hAnsi="宋体" w:eastAsia="宋体" w:cs="宋体"/>
          <w:color w:val="auto"/>
          <w:spacing w:val="-1"/>
          <w:sz w:val="28"/>
          <w:szCs w:val="28"/>
          <w:highlight w:val="none"/>
          <w:lang w:val="en-US" w:eastAsia="zh-CN"/>
          <w14:textOutline w14:w="5092" w14:cap="flat" w14:cmpd="sng" w14:algn="ctr">
            <w14:solidFill>
              <w14:srgbClr w14:val="000000"/>
            </w14:solidFill>
            <w14:prstDash w14:val="solid"/>
            <w14:miter w14:val="0"/>
          </w14:textOutline>
        </w:rPr>
        <w:t>7</w:t>
      </w:r>
      <w:r>
        <w:rPr>
          <w:rFonts w:hint="eastAsia"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、建设工程项目管理承诺书</w:t>
      </w:r>
    </w:p>
    <w:p>
      <w:pPr>
        <w:spacing w:before="68" w:line="221" w:lineRule="auto"/>
        <w:ind w:left="20"/>
        <w:rPr>
          <w:rFonts w:ascii="宋体" w:hAnsi="宋体" w:eastAsia="宋体" w:cs="宋体"/>
          <w:color w:val="auto"/>
          <w:spacing w:val="-1"/>
          <w:highlight w:val="none"/>
        </w:rPr>
      </w:pPr>
    </w:p>
    <w:p>
      <w:pPr>
        <w:spacing w:before="68" w:line="221" w:lineRule="auto"/>
        <w:ind w:left="20"/>
        <w:rPr>
          <w:rFonts w:ascii="宋体" w:hAnsi="宋体" w:eastAsia="宋体" w:cs="宋体"/>
          <w:color w:val="auto"/>
          <w:spacing w:val="-1"/>
          <w:highlight w:val="none"/>
        </w:rPr>
      </w:pPr>
    </w:p>
    <w:p>
      <w:pPr>
        <w:spacing w:before="68" w:line="221" w:lineRule="auto"/>
        <w:ind w:left="20"/>
        <w:rPr>
          <w:rFonts w:ascii="宋体" w:hAnsi="宋体" w:eastAsia="宋体" w:cs="宋体"/>
          <w:color w:val="auto"/>
          <w:spacing w:val="-1"/>
          <w:highlight w:val="none"/>
        </w:rPr>
      </w:pPr>
    </w:p>
    <w:p>
      <w:pPr>
        <w:spacing w:before="68" w:line="221" w:lineRule="auto"/>
        <w:ind w:left="20"/>
        <w:rPr>
          <w:rFonts w:ascii="宋体" w:hAnsi="宋体" w:eastAsia="宋体" w:cs="宋体"/>
          <w:color w:val="auto"/>
          <w:highlight w:val="none"/>
        </w:rPr>
      </w:pPr>
      <w:r>
        <w:rPr>
          <w:rFonts w:ascii="宋体" w:hAnsi="宋体" w:eastAsia="宋体" w:cs="宋体"/>
          <w:color w:val="auto"/>
          <w:spacing w:val="-1"/>
          <w:highlight w:val="none"/>
        </w:rPr>
        <w:t>致</w:t>
      </w:r>
      <w:r>
        <w:rPr>
          <w:rFonts w:ascii="宋体" w:hAnsi="宋体" w:eastAsia="宋体" w:cs="宋体"/>
          <w:color w:val="auto"/>
          <w:spacing w:val="-1"/>
          <w:highlight w:val="none"/>
          <w:u w:val="single"/>
        </w:rPr>
        <w:t xml:space="preserve">       </w:t>
      </w:r>
      <w:r>
        <w:rPr>
          <w:rFonts w:ascii="宋体" w:hAnsi="宋体" w:eastAsia="宋体" w:cs="宋体"/>
          <w:color w:val="auto"/>
          <w:highlight w:val="none"/>
          <w:u w:val="single"/>
        </w:rPr>
        <w:t xml:space="preserve">                 </w:t>
      </w:r>
      <w:r>
        <w:rPr>
          <w:rFonts w:ascii="宋体" w:hAnsi="宋体" w:eastAsia="宋体" w:cs="宋体"/>
          <w:color w:val="auto"/>
          <w:highlight w:val="none"/>
        </w:rPr>
        <w:t xml:space="preserve"> (招标人名称) ：</w:t>
      </w:r>
    </w:p>
    <w:p>
      <w:pPr>
        <w:spacing w:line="423" w:lineRule="auto"/>
        <w:rPr>
          <w:color w:val="auto"/>
          <w:highlight w:val="none"/>
        </w:rPr>
      </w:pPr>
    </w:p>
    <w:p>
      <w:pPr>
        <w:spacing w:before="68" w:line="458" w:lineRule="auto"/>
        <w:ind w:left="15" w:right="101" w:firstLine="451"/>
        <w:rPr>
          <w:rFonts w:ascii="宋体" w:hAnsi="宋体" w:eastAsia="宋体" w:cs="宋体"/>
          <w:color w:val="auto"/>
          <w:highlight w:val="none"/>
        </w:rPr>
      </w:pPr>
      <w:r>
        <w:rPr>
          <w:rFonts w:ascii="宋体" w:hAnsi="宋体" w:eastAsia="宋体" w:cs="宋体"/>
          <w:color w:val="auto"/>
          <w:spacing w:val="-1"/>
          <w:highlight w:val="none"/>
        </w:rPr>
        <w:t>作为参与</w:t>
      </w:r>
      <w:r>
        <w:rPr>
          <w:rFonts w:ascii="宋体" w:hAnsi="宋体" w:eastAsia="宋体" w:cs="宋体"/>
          <w:color w:val="auto"/>
          <w:spacing w:val="-1"/>
          <w:highlight w:val="none"/>
          <w:u w:val="single"/>
        </w:rPr>
        <w:t xml:space="preserve"> </w:t>
      </w:r>
      <w:r>
        <w:rPr>
          <w:rFonts w:ascii="宋体" w:hAnsi="宋体" w:eastAsia="宋体" w:cs="宋体"/>
          <w:color w:val="auto"/>
          <w:highlight w:val="none"/>
          <w:u w:val="single"/>
        </w:rPr>
        <w:t xml:space="preserve">                </w:t>
      </w:r>
      <w:r>
        <w:rPr>
          <w:rFonts w:ascii="宋体" w:hAnsi="宋体" w:eastAsia="宋体" w:cs="宋体"/>
          <w:color w:val="auto"/>
          <w:highlight w:val="none"/>
        </w:rPr>
        <w:t xml:space="preserve"> (工程名称) 项目的投标方， 根据国家、自治区相关文件规</w:t>
      </w:r>
      <w:r>
        <w:rPr>
          <w:rFonts w:ascii="宋体" w:hAnsi="宋体" w:eastAsia="宋体" w:cs="宋体"/>
          <w:color w:val="auto"/>
          <w:spacing w:val="-4"/>
          <w:highlight w:val="none"/>
        </w:rPr>
        <w:t>定，我方</w:t>
      </w:r>
      <w:r>
        <w:rPr>
          <w:rFonts w:ascii="宋体" w:hAnsi="宋体" w:eastAsia="宋体" w:cs="宋体"/>
          <w:color w:val="auto"/>
          <w:spacing w:val="-2"/>
          <w:highlight w:val="none"/>
        </w:rPr>
        <w:t>在此向招标人承诺：</w:t>
      </w:r>
    </w:p>
    <w:p>
      <w:pPr>
        <w:spacing w:line="457" w:lineRule="auto"/>
        <w:ind w:left="10" w:right="70" w:firstLine="472"/>
        <w:rPr>
          <w:rFonts w:ascii="宋体" w:hAnsi="宋体" w:eastAsia="宋体" w:cs="宋体"/>
          <w:color w:val="auto"/>
          <w:highlight w:val="none"/>
        </w:rPr>
      </w:pPr>
      <w:r>
        <w:rPr>
          <w:rFonts w:ascii="Times New Roman" w:hAnsi="Times New Roman" w:eastAsia="Times New Roman" w:cs="Times New Roman"/>
          <w:color w:val="auto"/>
          <w:spacing w:val="-12"/>
          <w:highlight w:val="none"/>
        </w:rPr>
        <w:t>1</w:t>
      </w:r>
      <w:r>
        <w:rPr>
          <w:rFonts w:ascii="宋体" w:hAnsi="宋体" w:eastAsia="宋体" w:cs="宋体"/>
          <w:color w:val="auto"/>
          <w:spacing w:val="-8"/>
          <w:highlight w:val="none"/>
        </w:rPr>
        <w:t xml:space="preserve">、一旦中标， 我方保证按照政府相关部门的规定，在发出中标通知书之日起 </w:t>
      </w:r>
      <w:r>
        <w:rPr>
          <w:rFonts w:ascii="Times New Roman" w:hAnsi="Times New Roman" w:eastAsia="Times New Roman" w:cs="Times New Roman"/>
          <w:color w:val="auto"/>
          <w:spacing w:val="-8"/>
          <w:highlight w:val="none"/>
        </w:rPr>
        <w:t xml:space="preserve">7 </w:t>
      </w:r>
      <w:r>
        <w:rPr>
          <w:rFonts w:ascii="宋体" w:hAnsi="宋体" w:eastAsia="宋体" w:cs="宋体"/>
          <w:color w:val="auto"/>
          <w:spacing w:val="-8"/>
          <w:highlight w:val="none"/>
        </w:rPr>
        <w:t>个工作日内</w:t>
      </w:r>
      <w:r>
        <w:rPr>
          <w:rFonts w:ascii="宋体" w:hAnsi="宋体" w:eastAsia="宋体" w:cs="宋体"/>
          <w:color w:val="auto"/>
          <w:spacing w:val="-1"/>
          <w:highlight w:val="none"/>
        </w:rPr>
        <w:t>足</w:t>
      </w:r>
      <w:r>
        <w:rPr>
          <w:rFonts w:ascii="宋体" w:hAnsi="宋体" w:eastAsia="宋体" w:cs="宋体"/>
          <w:color w:val="auto"/>
          <w:highlight w:val="none"/>
        </w:rPr>
        <w:t>额将农民工工资保障金转入农民工工资保障金专用账户。一旦我方所承包的该项目中出现拖</w:t>
      </w:r>
      <w:r>
        <w:rPr>
          <w:rFonts w:ascii="宋体" w:hAnsi="宋体" w:eastAsia="宋体" w:cs="宋体"/>
          <w:color w:val="auto"/>
          <w:spacing w:val="-4"/>
          <w:highlight w:val="none"/>
        </w:rPr>
        <w:t>欠农民工工资情况， 由</w:t>
      </w:r>
      <w:r>
        <w:rPr>
          <w:rFonts w:ascii="宋体" w:hAnsi="宋体" w:eastAsia="宋体" w:cs="宋体"/>
          <w:color w:val="auto"/>
          <w:spacing w:val="-2"/>
          <w:highlight w:val="none"/>
        </w:rPr>
        <w:t>劳动保障、住房城乡建设行政主管部门按照《关于进一步完善建筑行业</w:t>
      </w:r>
      <w:r>
        <w:rPr>
          <w:rFonts w:ascii="宋体" w:hAnsi="宋体" w:eastAsia="宋体" w:cs="宋体"/>
          <w:color w:val="auto"/>
          <w:highlight w:val="none"/>
        </w:rPr>
        <w:t xml:space="preserve"> </w:t>
      </w:r>
      <w:r>
        <w:rPr>
          <w:rFonts w:ascii="宋体" w:hAnsi="宋体" w:eastAsia="宋体" w:cs="宋体"/>
          <w:color w:val="auto"/>
          <w:spacing w:val="4"/>
          <w:highlight w:val="none"/>
        </w:rPr>
        <w:t>农民工工资</w:t>
      </w:r>
      <w:r>
        <w:rPr>
          <w:rFonts w:ascii="宋体" w:hAnsi="宋体" w:eastAsia="宋体" w:cs="宋体"/>
          <w:color w:val="auto"/>
          <w:spacing w:val="2"/>
          <w:highlight w:val="none"/>
        </w:rPr>
        <w:t>保证金制度的通知》(桂劳社发〔</w:t>
      </w:r>
      <w:r>
        <w:rPr>
          <w:rFonts w:ascii="Times New Roman" w:hAnsi="Times New Roman" w:eastAsia="Times New Roman" w:cs="Times New Roman"/>
          <w:color w:val="auto"/>
          <w:spacing w:val="2"/>
          <w:highlight w:val="none"/>
        </w:rPr>
        <w:t>2009</w:t>
      </w:r>
      <w:r>
        <w:rPr>
          <w:rFonts w:ascii="宋体" w:hAnsi="宋体" w:eastAsia="宋体" w:cs="宋体"/>
          <w:color w:val="auto"/>
          <w:spacing w:val="2"/>
          <w:highlight w:val="none"/>
        </w:rPr>
        <w:t>〕</w:t>
      </w:r>
      <w:r>
        <w:rPr>
          <w:rFonts w:ascii="Times New Roman" w:hAnsi="Times New Roman" w:eastAsia="Times New Roman" w:cs="Times New Roman"/>
          <w:color w:val="auto"/>
          <w:spacing w:val="2"/>
          <w:highlight w:val="none"/>
        </w:rPr>
        <w:t xml:space="preserve">50 </w:t>
      </w:r>
      <w:r>
        <w:rPr>
          <w:rFonts w:ascii="宋体" w:hAnsi="宋体" w:eastAsia="宋体" w:cs="宋体"/>
          <w:color w:val="auto"/>
          <w:spacing w:val="2"/>
          <w:highlight w:val="none"/>
        </w:rPr>
        <w:t>号) 从我方农民工工资保障金中先予划</w:t>
      </w:r>
      <w:r>
        <w:rPr>
          <w:rFonts w:ascii="宋体" w:hAnsi="宋体" w:eastAsia="宋体" w:cs="宋体"/>
          <w:color w:val="auto"/>
          <w:spacing w:val="-10"/>
          <w:highlight w:val="none"/>
        </w:rPr>
        <w:t>支</w:t>
      </w:r>
      <w:r>
        <w:rPr>
          <w:rFonts w:ascii="宋体" w:hAnsi="宋体" w:eastAsia="宋体" w:cs="宋体"/>
          <w:color w:val="auto"/>
          <w:spacing w:val="-9"/>
          <w:highlight w:val="none"/>
        </w:rPr>
        <w:t>。</w:t>
      </w:r>
    </w:p>
    <w:p>
      <w:pPr>
        <w:spacing w:before="1" w:line="457" w:lineRule="auto"/>
        <w:ind w:left="9" w:right="68" w:firstLine="453"/>
        <w:rPr>
          <w:rFonts w:ascii="宋体" w:hAnsi="宋体" w:eastAsia="宋体" w:cs="宋体"/>
          <w:color w:val="auto"/>
          <w:highlight w:val="none"/>
        </w:rPr>
      </w:pPr>
      <w:r>
        <w:rPr>
          <w:rFonts w:ascii="Times New Roman" w:hAnsi="Times New Roman" w:eastAsia="Times New Roman" w:cs="Times New Roman"/>
          <w:color w:val="auto"/>
          <w:spacing w:val="-8"/>
          <w:highlight w:val="none"/>
        </w:rPr>
        <w:t>2</w:t>
      </w:r>
      <w:r>
        <w:rPr>
          <w:rFonts w:ascii="宋体" w:hAnsi="宋体" w:eastAsia="宋体" w:cs="宋体"/>
          <w:color w:val="auto"/>
          <w:spacing w:val="-8"/>
          <w:highlight w:val="none"/>
        </w:rPr>
        <w:t>、一</w:t>
      </w:r>
      <w:r>
        <w:rPr>
          <w:rFonts w:ascii="宋体" w:hAnsi="宋体" w:eastAsia="宋体" w:cs="宋体"/>
          <w:color w:val="auto"/>
          <w:spacing w:val="-5"/>
          <w:highlight w:val="none"/>
        </w:rPr>
        <w:t>旦</w:t>
      </w:r>
      <w:r>
        <w:rPr>
          <w:rFonts w:ascii="宋体" w:hAnsi="宋体" w:eastAsia="宋体" w:cs="宋体"/>
          <w:color w:val="auto"/>
          <w:spacing w:val="-4"/>
          <w:highlight w:val="none"/>
        </w:rPr>
        <w:t>中标， 我方保证在施工过程中，严格执行《广西壮族自治区建筑工程安全文明施工</w:t>
      </w:r>
      <w:r>
        <w:rPr>
          <w:rFonts w:ascii="宋体" w:hAnsi="宋体" w:eastAsia="宋体" w:cs="宋体"/>
          <w:color w:val="auto"/>
          <w:spacing w:val="-1"/>
          <w:highlight w:val="none"/>
        </w:rPr>
        <w:t>费使</w:t>
      </w:r>
      <w:r>
        <w:rPr>
          <w:rFonts w:ascii="宋体" w:hAnsi="宋体" w:eastAsia="宋体" w:cs="宋体"/>
          <w:color w:val="auto"/>
          <w:highlight w:val="none"/>
        </w:rPr>
        <w:t>用管理细则》(桂建质〔</w:t>
      </w:r>
      <w:r>
        <w:rPr>
          <w:rFonts w:ascii="Times New Roman" w:hAnsi="Times New Roman" w:eastAsia="Times New Roman" w:cs="Times New Roman"/>
          <w:color w:val="auto"/>
          <w:highlight w:val="none"/>
        </w:rPr>
        <w:t>2015</w:t>
      </w:r>
      <w:r>
        <w:rPr>
          <w:rFonts w:ascii="宋体" w:hAnsi="宋体" w:eastAsia="宋体" w:cs="宋体"/>
          <w:color w:val="auto"/>
          <w:highlight w:val="none"/>
        </w:rPr>
        <w:t>〕</w:t>
      </w:r>
      <w:r>
        <w:rPr>
          <w:rFonts w:ascii="Times New Roman" w:hAnsi="Times New Roman" w:eastAsia="Times New Roman" w:cs="Times New Roman"/>
          <w:color w:val="auto"/>
          <w:highlight w:val="none"/>
        </w:rPr>
        <w:t xml:space="preserve">16 </w:t>
      </w:r>
      <w:r>
        <w:rPr>
          <w:rFonts w:ascii="宋体" w:hAnsi="宋体" w:eastAsia="宋体" w:cs="宋体"/>
          <w:color w:val="auto"/>
          <w:highlight w:val="none"/>
        </w:rPr>
        <w:t>号) 的有关规定， 确保建设工程各项安全防护、文明施</w:t>
      </w:r>
      <w:r>
        <w:rPr>
          <w:rFonts w:ascii="宋体" w:hAnsi="宋体" w:eastAsia="宋体" w:cs="宋体"/>
          <w:color w:val="auto"/>
          <w:spacing w:val="-1"/>
          <w:highlight w:val="none"/>
        </w:rPr>
        <w:t>工措</w:t>
      </w:r>
      <w:r>
        <w:rPr>
          <w:rFonts w:ascii="宋体" w:hAnsi="宋体" w:eastAsia="宋体" w:cs="宋体"/>
          <w:color w:val="auto"/>
          <w:highlight w:val="none"/>
        </w:rPr>
        <w:t>施落实到位。如我方在该项目的承包中出现未按桂建质〔</w:t>
      </w:r>
      <w:r>
        <w:rPr>
          <w:rFonts w:ascii="Times New Roman" w:hAnsi="Times New Roman" w:eastAsia="Times New Roman" w:cs="Times New Roman"/>
          <w:color w:val="auto"/>
          <w:highlight w:val="none"/>
        </w:rPr>
        <w:t>2015</w:t>
      </w:r>
      <w:r>
        <w:rPr>
          <w:rFonts w:ascii="宋体" w:hAnsi="宋体" w:eastAsia="宋体" w:cs="宋体"/>
          <w:color w:val="auto"/>
          <w:highlight w:val="none"/>
        </w:rPr>
        <w:t>〕</w:t>
      </w:r>
      <w:r>
        <w:rPr>
          <w:rFonts w:ascii="Times New Roman" w:hAnsi="Times New Roman" w:eastAsia="Times New Roman" w:cs="Times New Roman"/>
          <w:color w:val="auto"/>
          <w:highlight w:val="none"/>
        </w:rPr>
        <w:t xml:space="preserve">16 </w:t>
      </w:r>
      <w:r>
        <w:rPr>
          <w:rFonts w:ascii="宋体" w:hAnsi="宋体" w:eastAsia="宋体" w:cs="宋体"/>
          <w:color w:val="auto"/>
          <w:highlight w:val="none"/>
        </w:rPr>
        <w:t>号文附件一规定执行的</w:t>
      </w:r>
      <w:r>
        <w:rPr>
          <w:rFonts w:ascii="宋体" w:hAnsi="宋体" w:eastAsia="宋体" w:cs="宋体"/>
          <w:color w:val="auto"/>
          <w:spacing w:val="-6"/>
          <w:highlight w:val="none"/>
        </w:rPr>
        <w:t>情形，</w:t>
      </w:r>
      <w:r>
        <w:rPr>
          <w:rFonts w:ascii="宋体" w:hAnsi="宋体" w:eastAsia="宋体" w:cs="宋体"/>
          <w:color w:val="auto"/>
          <w:spacing w:val="-3"/>
          <w:highlight w:val="none"/>
        </w:rPr>
        <w:t>我方愿意按照相关规定接受建设单位及有关主管部门的处罚。</w:t>
      </w:r>
    </w:p>
    <w:p>
      <w:pPr>
        <w:spacing w:before="1" w:line="457" w:lineRule="auto"/>
        <w:ind w:left="17" w:right="42" w:firstLine="449"/>
        <w:rPr>
          <w:rFonts w:ascii="宋体" w:hAnsi="宋体" w:eastAsia="宋体" w:cs="宋体"/>
          <w:color w:val="auto"/>
          <w:highlight w:val="none"/>
        </w:rPr>
      </w:pPr>
      <w:r>
        <w:rPr>
          <w:rFonts w:ascii="Times New Roman" w:hAnsi="Times New Roman" w:eastAsia="Times New Roman" w:cs="Times New Roman"/>
          <w:color w:val="auto"/>
          <w:spacing w:val="-5"/>
          <w:highlight w:val="none"/>
        </w:rPr>
        <w:t xml:space="preserve">3 </w:t>
      </w:r>
      <w:r>
        <w:rPr>
          <w:rFonts w:ascii="宋体" w:hAnsi="宋体" w:eastAsia="宋体" w:cs="宋体"/>
          <w:color w:val="auto"/>
          <w:spacing w:val="-5"/>
          <w:highlight w:val="none"/>
        </w:rPr>
        <w:t>、一旦中标，我方保证在施工过程中，严格执行散装水泥和预拌混凝土管理的有关规定</w:t>
      </w:r>
      <w:r>
        <w:rPr>
          <w:rFonts w:ascii="宋体" w:hAnsi="宋体" w:eastAsia="宋体" w:cs="宋体"/>
          <w:color w:val="auto"/>
          <w:spacing w:val="-2"/>
          <w:highlight w:val="none"/>
        </w:rPr>
        <w:t>，</w:t>
      </w:r>
      <w:r>
        <w:rPr>
          <w:rFonts w:ascii="宋体" w:hAnsi="宋体" w:eastAsia="宋体" w:cs="宋体"/>
          <w:color w:val="auto"/>
          <w:spacing w:val="-1"/>
          <w:highlight w:val="none"/>
        </w:rPr>
        <w:t>确</w:t>
      </w:r>
      <w:r>
        <w:rPr>
          <w:rFonts w:ascii="宋体" w:hAnsi="宋体" w:eastAsia="宋体" w:cs="宋体"/>
          <w:color w:val="auto"/>
          <w:highlight w:val="none"/>
        </w:rPr>
        <w:t>保建设工程按规定使用散装水泥和预拌混凝土。如我方在该项目的承包中出现未按规定执行</w:t>
      </w:r>
      <w:r>
        <w:rPr>
          <w:rFonts w:ascii="宋体" w:hAnsi="宋体" w:eastAsia="宋体" w:cs="宋体"/>
          <w:color w:val="auto"/>
          <w:spacing w:val="-1"/>
          <w:highlight w:val="none"/>
        </w:rPr>
        <w:t>的情形，我方愿意按照相关规定接受建</w:t>
      </w:r>
      <w:r>
        <w:rPr>
          <w:rFonts w:ascii="宋体" w:hAnsi="宋体" w:eastAsia="宋体" w:cs="宋体"/>
          <w:color w:val="auto"/>
          <w:highlight w:val="none"/>
        </w:rPr>
        <w:t>设单位及有关主管部门的处罚。</w:t>
      </w:r>
    </w:p>
    <w:p>
      <w:pPr>
        <w:spacing w:line="457" w:lineRule="auto"/>
        <w:ind w:left="10" w:right="67" w:firstLine="451"/>
        <w:rPr>
          <w:rFonts w:ascii="宋体" w:hAnsi="宋体" w:eastAsia="宋体" w:cs="宋体"/>
          <w:color w:val="auto"/>
          <w:highlight w:val="none"/>
        </w:rPr>
      </w:pPr>
      <w:r>
        <w:rPr>
          <w:rFonts w:ascii="Times New Roman" w:hAnsi="Times New Roman" w:eastAsia="Times New Roman" w:cs="Times New Roman"/>
          <w:color w:val="auto"/>
          <w:spacing w:val="-2"/>
          <w:highlight w:val="none"/>
        </w:rPr>
        <w:t>4</w:t>
      </w:r>
      <w:r>
        <w:rPr>
          <w:rFonts w:ascii="宋体" w:hAnsi="宋体" w:eastAsia="宋体" w:cs="宋体"/>
          <w:color w:val="auto"/>
          <w:spacing w:val="-2"/>
          <w:highlight w:val="none"/>
        </w:rPr>
        <w:t>、一旦中标， 我方保证严格执行《关于禁止使用不符合规范要</w:t>
      </w:r>
      <w:r>
        <w:rPr>
          <w:rFonts w:ascii="宋体" w:hAnsi="宋体" w:eastAsia="宋体" w:cs="宋体"/>
          <w:color w:val="auto"/>
          <w:spacing w:val="-1"/>
          <w:highlight w:val="none"/>
        </w:rPr>
        <w:t>求的竹脚手架的通知》(桂</w:t>
      </w:r>
      <w:r>
        <w:rPr>
          <w:rFonts w:ascii="宋体" w:hAnsi="宋体" w:eastAsia="宋体" w:cs="宋体"/>
          <w:color w:val="auto"/>
          <w:spacing w:val="-4"/>
          <w:highlight w:val="none"/>
        </w:rPr>
        <w:t>建管字〔</w:t>
      </w:r>
      <w:r>
        <w:rPr>
          <w:rFonts w:ascii="Times New Roman" w:hAnsi="Times New Roman" w:eastAsia="Times New Roman" w:cs="Times New Roman"/>
          <w:color w:val="auto"/>
          <w:spacing w:val="-4"/>
          <w:highlight w:val="none"/>
        </w:rPr>
        <w:t>200</w:t>
      </w:r>
      <w:r>
        <w:rPr>
          <w:rFonts w:ascii="Times New Roman" w:hAnsi="Times New Roman" w:eastAsia="Times New Roman" w:cs="Times New Roman"/>
          <w:color w:val="auto"/>
          <w:spacing w:val="-3"/>
          <w:highlight w:val="none"/>
        </w:rPr>
        <w:t>3</w:t>
      </w:r>
      <w:r>
        <w:rPr>
          <w:rFonts w:ascii="宋体" w:hAnsi="宋体" w:eastAsia="宋体" w:cs="宋体"/>
          <w:color w:val="auto"/>
          <w:spacing w:val="-2"/>
          <w:highlight w:val="none"/>
        </w:rPr>
        <w:t>〕</w:t>
      </w:r>
      <w:r>
        <w:rPr>
          <w:rFonts w:ascii="Times New Roman" w:hAnsi="Times New Roman" w:eastAsia="Times New Roman" w:cs="Times New Roman"/>
          <w:color w:val="auto"/>
          <w:spacing w:val="-2"/>
          <w:highlight w:val="none"/>
        </w:rPr>
        <w:t xml:space="preserve">40 </w:t>
      </w:r>
      <w:r>
        <w:rPr>
          <w:rFonts w:ascii="宋体" w:hAnsi="宋体" w:eastAsia="宋体" w:cs="宋体"/>
          <w:color w:val="auto"/>
          <w:spacing w:val="-2"/>
          <w:highlight w:val="none"/>
        </w:rPr>
        <w:t>号) 的有关规定，不使用竹脚手架。如我方在该项目的承包中出现未按规定</w:t>
      </w:r>
      <w:r>
        <w:rPr>
          <w:rFonts w:ascii="宋体" w:hAnsi="宋体" w:eastAsia="宋体" w:cs="宋体"/>
          <w:color w:val="auto"/>
          <w:spacing w:val="-1"/>
          <w:highlight w:val="none"/>
        </w:rPr>
        <w:t>执行的情形，我方愿意按照相关规定接</w:t>
      </w:r>
      <w:r>
        <w:rPr>
          <w:rFonts w:ascii="宋体" w:hAnsi="宋体" w:eastAsia="宋体" w:cs="宋体"/>
          <w:color w:val="auto"/>
          <w:highlight w:val="none"/>
        </w:rPr>
        <w:t>受建设单位及有关主管部门的处罚。</w:t>
      </w:r>
    </w:p>
    <w:p>
      <w:pPr>
        <w:spacing w:before="2" w:line="459" w:lineRule="auto"/>
        <w:ind w:left="11" w:firstLine="457"/>
        <w:rPr>
          <w:rFonts w:ascii="宋体" w:hAnsi="宋体" w:eastAsia="宋体" w:cs="宋体"/>
          <w:color w:val="auto"/>
          <w:highlight w:val="none"/>
        </w:rPr>
      </w:pPr>
      <w:r>
        <w:rPr>
          <w:rFonts w:ascii="Times New Roman" w:hAnsi="Times New Roman" w:eastAsia="Times New Roman" w:cs="Times New Roman"/>
          <w:color w:val="auto"/>
          <w:spacing w:val="-14"/>
          <w:highlight w:val="none"/>
        </w:rPr>
        <w:t>5</w:t>
      </w:r>
      <w:r>
        <w:rPr>
          <w:rFonts w:ascii="宋体" w:hAnsi="宋体" w:eastAsia="宋体" w:cs="宋体"/>
          <w:color w:val="auto"/>
          <w:spacing w:val="-14"/>
          <w:highlight w:val="none"/>
        </w:rPr>
        <w:t>、</w:t>
      </w:r>
      <w:r>
        <w:rPr>
          <w:rFonts w:ascii="宋体" w:hAnsi="宋体" w:eastAsia="宋体" w:cs="宋体"/>
          <w:color w:val="auto"/>
          <w:spacing w:val="-9"/>
          <w:highlight w:val="none"/>
        </w:rPr>
        <w:t>一</w:t>
      </w:r>
      <w:r>
        <w:rPr>
          <w:rFonts w:ascii="宋体" w:hAnsi="宋体" w:eastAsia="宋体" w:cs="宋体"/>
          <w:color w:val="auto"/>
          <w:spacing w:val="-7"/>
          <w:highlight w:val="none"/>
        </w:rPr>
        <w:t>旦中标，我方保证严格执行《危险性较大的分部分项工程安全管理规定》(建质〔</w:t>
      </w:r>
      <w:r>
        <w:rPr>
          <w:rFonts w:ascii="Times New Roman" w:hAnsi="Times New Roman" w:eastAsia="Times New Roman" w:cs="Times New Roman"/>
          <w:color w:val="auto"/>
          <w:spacing w:val="-7"/>
          <w:highlight w:val="none"/>
        </w:rPr>
        <w:t>2018</w:t>
      </w:r>
      <w:r>
        <w:rPr>
          <w:rFonts w:ascii="宋体" w:hAnsi="宋体" w:eastAsia="宋体" w:cs="宋体"/>
          <w:color w:val="auto"/>
          <w:spacing w:val="-7"/>
          <w:highlight w:val="none"/>
        </w:rPr>
        <w:t>〕</w:t>
      </w:r>
      <w:r>
        <w:rPr>
          <w:rFonts w:ascii="Times New Roman" w:hAnsi="Times New Roman" w:eastAsia="Times New Roman" w:cs="Times New Roman"/>
          <w:color w:val="auto"/>
          <w:spacing w:val="4"/>
          <w:highlight w:val="none"/>
        </w:rPr>
        <w:t xml:space="preserve">31 </w:t>
      </w:r>
      <w:r>
        <w:rPr>
          <w:rFonts w:ascii="宋体" w:hAnsi="宋体" w:eastAsia="宋体" w:cs="宋体"/>
          <w:color w:val="auto"/>
          <w:spacing w:val="4"/>
          <w:highlight w:val="none"/>
        </w:rPr>
        <w:t>号)的规</w:t>
      </w:r>
      <w:r>
        <w:rPr>
          <w:rFonts w:ascii="宋体" w:hAnsi="宋体" w:eastAsia="宋体" w:cs="宋体"/>
          <w:color w:val="auto"/>
          <w:spacing w:val="3"/>
          <w:highlight w:val="none"/>
        </w:rPr>
        <w:t>定</w:t>
      </w:r>
      <w:r>
        <w:rPr>
          <w:rFonts w:ascii="宋体" w:hAnsi="宋体" w:eastAsia="宋体" w:cs="宋体"/>
          <w:color w:val="auto"/>
          <w:spacing w:val="2"/>
          <w:highlight w:val="none"/>
        </w:rPr>
        <w:t>，强化对深基坑、高切坡、高大模板、人工挖孔桩、起重吊装、临时活动板房等</w:t>
      </w:r>
      <w:r>
        <w:rPr>
          <w:rFonts w:ascii="宋体" w:hAnsi="宋体" w:eastAsia="宋体" w:cs="宋体"/>
          <w:color w:val="auto"/>
          <w:spacing w:val="-1"/>
          <w:highlight w:val="none"/>
        </w:rPr>
        <w:t>重大危险源的专项施工方案的编制、论</w:t>
      </w:r>
      <w:r>
        <w:rPr>
          <w:rFonts w:ascii="宋体" w:hAnsi="宋体" w:eastAsia="宋体" w:cs="宋体"/>
          <w:color w:val="auto"/>
          <w:highlight w:val="none"/>
        </w:rPr>
        <w:t>证、审批、实施、检测的风险管理。</w:t>
      </w:r>
    </w:p>
    <w:p>
      <w:pPr>
        <w:spacing w:before="309" w:line="219" w:lineRule="auto"/>
        <w:ind w:right="70"/>
        <w:jc w:val="right"/>
        <w:rPr>
          <w:rFonts w:ascii="宋体" w:hAnsi="宋体" w:eastAsia="宋体" w:cs="宋体"/>
          <w:color w:val="auto"/>
          <w:sz w:val="22"/>
          <w:szCs w:val="22"/>
          <w:highlight w:val="none"/>
        </w:rPr>
      </w:pPr>
      <w:r>
        <w:rPr>
          <w:rFonts w:ascii="宋体" w:hAnsi="宋体" w:eastAsia="宋体" w:cs="宋体"/>
          <w:color w:val="auto"/>
          <w:spacing w:val="-10"/>
          <w:highlight w:val="none"/>
        </w:rPr>
        <w:t>投标</w:t>
      </w:r>
      <w:r>
        <w:rPr>
          <w:rFonts w:ascii="宋体" w:hAnsi="宋体" w:eastAsia="宋体" w:cs="宋体"/>
          <w:color w:val="auto"/>
          <w:spacing w:val="-5"/>
          <w:highlight w:val="none"/>
        </w:rPr>
        <w:t>人：</w:t>
      </w:r>
      <w:r>
        <w:rPr>
          <w:rFonts w:ascii="宋体" w:hAnsi="宋体" w:eastAsia="宋体" w:cs="宋体"/>
          <w:color w:val="auto"/>
          <w:spacing w:val="-5"/>
          <w:highlight w:val="none"/>
          <w:u w:val="single"/>
        </w:rPr>
        <w:t xml:space="preserve">            </w:t>
      </w:r>
      <w:r>
        <w:rPr>
          <w:rFonts w:ascii="宋体" w:hAnsi="宋体" w:eastAsia="宋体" w:cs="宋体"/>
          <w:color w:val="auto"/>
          <w:spacing w:val="-5"/>
          <w:sz w:val="22"/>
          <w:szCs w:val="22"/>
          <w:highlight w:val="none"/>
        </w:rPr>
        <w:t>[盖单位公章(CA 签章)]</w:t>
      </w:r>
    </w:p>
    <w:p>
      <w:pPr>
        <w:spacing w:before="168" w:line="370" w:lineRule="auto"/>
        <w:ind w:left="4708" w:right="70" w:hanging="1221"/>
        <w:jc w:val="right"/>
        <w:rPr>
          <w:rFonts w:ascii="宋体" w:hAnsi="宋体" w:eastAsia="宋体" w:cs="宋体"/>
          <w:color w:val="auto"/>
          <w:sz w:val="22"/>
          <w:szCs w:val="22"/>
          <w:highlight w:val="none"/>
        </w:rPr>
      </w:pPr>
      <w:r>
        <w:rPr>
          <w:rFonts w:ascii="宋体" w:hAnsi="宋体" w:eastAsia="宋体" w:cs="宋体"/>
          <w:color w:val="auto"/>
          <w:spacing w:val="-8"/>
          <w:highlight w:val="none"/>
        </w:rPr>
        <w:t>法</w:t>
      </w:r>
      <w:r>
        <w:rPr>
          <w:rFonts w:ascii="宋体" w:hAnsi="宋体" w:eastAsia="宋体" w:cs="宋体"/>
          <w:color w:val="auto"/>
          <w:spacing w:val="-5"/>
          <w:highlight w:val="none"/>
        </w:rPr>
        <w:t>定代表人或授权代理人：</w:t>
      </w:r>
      <w:r>
        <w:rPr>
          <w:rFonts w:ascii="宋体" w:hAnsi="宋体" w:eastAsia="宋体" w:cs="宋体"/>
          <w:color w:val="auto"/>
          <w:spacing w:val="-5"/>
          <w:highlight w:val="none"/>
          <w:u w:val="single"/>
        </w:rPr>
        <w:t xml:space="preserve">     </w:t>
      </w:r>
      <w:r>
        <w:rPr>
          <w:rFonts w:ascii="宋体" w:hAnsi="宋体" w:eastAsia="宋体" w:cs="宋体"/>
          <w:color w:val="auto"/>
          <w:spacing w:val="-5"/>
          <w:sz w:val="22"/>
          <w:szCs w:val="22"/>
          <w:highlight w:val="none"/>
        </w:rPr>
        <w:t>[签字或盖章(CA 签章)]</w:t>
      </w:r>
      <w:r>
        <w:rPr>
          <w:rFonts w:ascii="宋体" w:hAnsi="宋体" w:eastAsia="宋体" w:cs="宋体"/>
          <w:color w:val="auto"/>
          <w:sz w:val="22"/>
          <w:szCs w:val="22"/>
          <w:highlight w:val="none"/>
        </w:rPr>
        <w:t xml:space="preserve"> </w:t>
      </w:r>
    </w:p>
    <w:p>
      <w:pPr>
        <w:spacing w:before="168" w:line="370" w:lineRule="auto"/>
        <w:ind w:left="4708" w:right="70" w:hanging="1221"/>
        <w:jc w:val="right"/>
        <w:rPr>
          <w:color w:val="auto"/>
          <w:highlight w:val="none"/>
        </w:rPr>
        <w:sectPr>
          <w:footerReference r:id="rId22" w:type="default"/>
          <w:pgSz w:w="11907" w:h="16839"/>
          <w:pgMar w:top="1440" w:right="1080" w:bottom="1440" w:left="1080" w:header="0" w:footer="1060" w:gutter="0"/>
          <w:cols w:space="720" w:num="1"/>
        </w:sectPr>
      </w:pPr>
      <w:r>
        <w:rPr>
          <w:rFonts w:ascii="宋体" w:hAnsi="宋体" w:eastAsia="宋体" w:cs="宋体"/>
          <w:color w:val="auto"/>
          <w:spacing w:val="-6"/>
          <w:highlight w:val="none"/>
        </w:rPr>
        <w:t>日期：</w:t>
      </w:r>
      <w:r>
        <w:rPr>
          <w:rFonts w:ascii="宋体" w:hAnsi="宋体" w:eastAsia="宋体" w:cs="宋体"/>
          <w:color w:val="auto"/>
          <w:spacing w:val="-3"/>
          <w:highlight w:val="none"/>
          <w:u w:val="single"/>
        </w:rPr>
        <w:t xml:space="preserve">          </w:t>
      </w:r>
      <w:r>
        <w:rPr>
          <w:rFonts w:ascii="宋体" w:hAnsi="宋体" w:eastAsia="宋体" w:cs="宋体"/>
          <w:color w:val="auto"/>
          <w:spacing w:val="-3"/>
          <w:highlight w:val="none"/>
        </w:rPr>
        <w:t>年</w:t>
      </w:r>
      <w:r>
        <w:rPr>
          <w:rFonts w:ascii="宋体" w:hAnsi="宋体" w:eastAsia="宋体" w:cs="宋体"/>
          <w:color w:val="auto"/>
          <w:spacing w:val="-3"/>
          <w:highlight w:val="none"/>
          <w:u w:val="single"/>
        </w:rPr>
        <w:t xml:space="preserve">        </w:t>
      </w:r>
      <w:r>
        <w:rPr>
          <w:rFonts w:ascii="宋体" w:hAnsi="宋体" w:eastAsia="宋体" w:cs="宋体"/>
          <w:color w:val="auto"/>
          <w:spacing w:val="-3"/>
          <w:highlight w:val="none"/>
        </w:rPr>
        <w:t>月</w:t>
      </w:r>
      <w:r>
        <w:rPr>
          <w:rFonts w:ascii="宋体" w:hAnsi="宋体" w:eastAsia="宋体" w:cs="宋体"/>
          <w:color w:val="auto"/>
          <w:spacing w:val="-3"/>
          <w:highlight w:val="none"/>
          <w:u w:val="single"/>
        </w:rPr>
        <w:t xml:space="preserve">        </w:t>
      </w:r>
      <w:r>
        <w:rPr>
          <w:rFonts w:ascii="宋体" w:hAnsi="宋体" w:eastAsia="宋体" w:cs="宋体"/>
          <w:color w:val="auto"/>
          <w:spacing w:val="-3"/>
          <w:highlight w:val="none"/>
        </w:rPr>
        <w:t>日</w:t>
      </w:r>
    </w:p>
    <w:p>
      <w:pPr>
        <w:spacing w:line="245" w:lineRule="auto"/>
        <w:rPr>
          <w:color w:val="auto"/>
          <w:highlight w:val="none"/>
        </w:rPr>
      </w:pPr>
    </w:p>
    <w:p>
      <w:pPr>
        <w:spacing w:before="91" w:line="219" w:lineRule="auto"/>
        <w:jc w:val="center"/>
        <w:outlineLvl w:val="6"/>
        <w:rPr>
          <w:rFonts w:ascii="宋体" w:hAnsi="宋体" w:eastAsia="宋体" w:cs="宋体"/>
          <w:color w:val="auto"/>
          <w:sz w:val="28"/>
          <w:szCs w:val="28"/>
          <w:highlight w:val="none"/>
        </w:rPr>
      </w:pPr>
      <w:r>
        <w:rPr>
          <w:rFonts w:hint="eastAsia" w:ascii="Times New Roman" w:hAnsi="Times New Roman" w:eastAsia="宋体" w:cs="Times New Roman"/>
          <w:b/>
          <w:bCs/>
          <w:color w:val="auto"/>
          <w:spacing w:val="1"/>
          <w:sz w:val="28"/>
          <w:szCs w:val="28"/>
          <w:highlight w:val="none"/>
          <w:lang w:val="en-US" w:eastAsia="zh-CN"/>
        </w:rPr>
        <w:t>8</w:t>
      </w:r>
      <w:r>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、施工单</w:t>
      </w:r>
      <w:r>
        <w:rPr>
          <w:rFonts w:ascii="宋体" w:hAnsi="宋体" w:eastAsia="宋体" w:cs="宋体"/>
          <w:color w:val="auto"/>
          <w:sz w:val="28"/>
          <w:szCs w:val="28"/>
          <w:highlight w:val="none"/>
          <w14:textOutline w14:w="5092" w14:cap="flat" w14:cmpd="sng" w14:algn="ctr">
            <w14:solidFill>
              <w14:srgbClr w14:val="000000"/>
            </w14:solidFill>
            <w14:prstDash w14:val="solid"/>
            <w14:miter w14:val="0"/>
          </w14:textOutline>
        </w:rPr>
        <w:t>位不良行为情况承诺书</w:t>
      </w:r>
    </w:p>
    <w:p>
      <w:pPr>
        <w:spacing w:line="431" w:lineRule="auto"/>
        <w:rPr>
          <w:color w:val="auto"/>
          <w:highlight w:val="none"/>
        </w:rPr>
      </w:pPr>
    </w:p>
    <w:p>
      <w:pPr>
        <w:spacing w:before="69" w:line="221" w:lineRule="auto"/>
        <w:ind w:left="20"/>
        <w:rPr>
          <w:rFonts w:ascii="宋体" w:hAnsi="宋体" w:eastAsia="宋体" w:cs="宋体"/>
          <w:color w:val="auto"/>
          <w:spacing w:val="-1"/>
          <w:highlight w:val="none"/>
        </w:rPr>
      </w:pPr>
    </w:p>
    <w:p>
      <w:pPr>
        <w:spacing w:before="69" w:line="221" w:lineRule="auto"/>
        <w:ind w:left="20"/>
        <w:rPr>
          <w:rFonts w:ascii="宋体" w:hAnsi="宋体" w:eastAsia="宋体" w:cs="宋体"/>
          <w:color w:val="auto"/>
          <w:highlight w:val="none"/>
        </w:rPr>
      </w:pPr>
      <w:r>
        <w:rPr>
          <w:rFonts w:ascii="宋体" w:hAnsi="宋体" w:eastAsia="宋体" w:cs="宋体"/>
          <w:color w:val="auto"/>
          <w:spacing w:val="-1"/>
          <w:highlight w:val="none"/>
        </w:rPr>
        <w:t>致</w:t>
      </w:r>
      <w:r>
        <w:rPr>
          <w:rFonts w:ascii="宋体" w:hAnsi="宋体" w:eastAsia="宋体" w:cs="宋体"/>
          <w:color w:val="auto"/>
          <w:spacing w:val="-1"/>
          <w:highlight w:val="none"/>
          <w:u w:val="single"/>
        </w:rPr>
        <w:t xml:space="preserve">       </w:t>
      </w:r>
      <w:r>
        <w:rPr>
          <w:rFonts w:ascii="宋体" w:hAnsi="宋体" w:eastAsia="宋体" w:cs="宋体"/>
          <w:color w:val="auto"/>
          <w:highlight w:val="none"/>
          <w:u w:val="single"/>
        </w:rPr>
        <w:t xml:space="preserve">                 </w:t>
      </w:r>
      <w:r>
        <w:rPr>
          <w:rFonts w:ascii="宋体" w:hAnsi="宋体" w:eastAsia="宋体" w:cs="宋体"/>
          <w:color w:val="auto"/>
          <w:highlight w:val="none"/>
        </w:rPr>
        <w:t xml:space="preserve"> (招标人名称) ：</w:t>
      </w:r>
    </w:p>
    <w:p>
      <w:pPr>
        <w:spacing w:line="425" w:lineRule="auto"/>
        <w:rPr>
          <w:color w:val="auto"/>
          <w:highlight w:val="none"/>
        </w:rPr>
      </w:pPr>
    </w:p>
    <w:p>
      <w:pPr>
        <w:spacing w:before="68" w:line="457" w:lineRule="auto"/>
        <w:ind w:left="15" w:right="31" w:firstLine="451"/>
        <w:rPr>
          <w:rFonts w:ascii="宋体" w:hAnsi="宋体" w:eastAsia="宋体" w:cs="宋体"/>
          <w:color w:val="auto"/>
          <w:highlight w:val="none"/>
        </w:rPr>
      </w:pPr>
      <w:r>
        <w:rPr>
          <w:rFonts w:ascii="宋体" w:hAnsi="宋体" w:eastAsia="宋体" w:cs="宋体"/>
          <w:color w:val="auto"/>
          <w:spacing w:val="4"/>
          <w:highlight w:val="none"/>
        </w:rPr>
        <w:t>作</w:t>
      </w:r>
      <w:r>
        <w:rPr>
          <w:rFonts w:ascii="宋体" w:hAnsi="宋体" w:eastAsia="宋体" w:cs="宋体"/>
          <w:color w:val="auto"/>
          <w:spacing w:val="3"/>
          <w:highlight w:val="none"/>
        </w:rPr>
        <w:t>为</w:t>
      </w:r>
      <w:r>
        <w:rPr>
          <w:rFonts w:ascii="宋体" w:hAnsi="宋体" w:eastAsia="宋体" w:cs="宋体"/>
          <w:color w:val="auto"/>
          <w:spacing w:val="2"/>
          <w:highlight w:val="none"/>
        </w:rPr>
        <w:t>参与</w:t>
      </w:r>
      <w:r>
        <w:rPr>
          <w:rFonts w:ascii="宋体" w:hAnsi="宋体" w:eastAsia="宋体" w:cs="宋体"/>
          <w:color w:val="auto"/>
          <w:spacing w:val="2"/>
          <w:highlight w:val="none"/>
          <w:u w:val="single"/>
        </w:rPr>
        <w:t xml:space="preserve">                 </w:t>
      </w:r>
      <w:r>
        <w:rPr>
          <w:rFonts w:ascii="宋体" w:hAnsi="宋体" w:eastAsia="宋体" w:cs="宋体"/>
          <w:color w:val="auto"/>
          <w:spacing w:val="2"/>
          <w:highlight w:val="none"/>
        </w:rPr>
        <w:t xml:space="preserve"> (工程名称)项目的投标方， 根据国家、自治区相关文件规</w:t>
      </w:r>
      <w:r>
        <w:rPr>
          <w:rFonts w:ascii="宋体" w:hAnsi="宋体" w:eastAsia="宋体" w:cs="宋体"/>
          <w:color w:val="auto"/>
          <w:spacing w:val="-4"/>
          <w:highlight w:val="none"/>
        </w:rPr>
        <w:t>定，我方</w:t>
      </w:r>
      <w:r>
        <w:rPr>
          <w:rFonts w:ascii="宋体" w:hAnsi="宋体" w:eastAsia="宋体" w:cs="宋体"/>
          <w:color w:val="auto"/>
          <w:spacing w:val="-2"/>
          <w:highlight w:val="none"/>
        </w:rPr>
        <w:t>在此向招标人承诺：</w:t>
      </w:r>
    </w:p>
    <w:p>
      <w:pPr>
        <w:spacing w:line="236" w:lineRule="auto"/>
        <w:ind w:left="492"/>
        <w:rPr>
          <w:rFonts w:ascii="宋体" w:hAnsi="宋体" w:eastAsia="宋体" w:cs="宋体"/>
          <w:color w:val="auto"/>
          <w:highlight w:val="none"/>
        </w:rPr>
      </w:pPr>
      <w:r>
        <w:rPr>
          <w:rFonts w:ascii="Times New Roman" w:hAnsi="Times New Roman" w:eastAsia="Times New Roman" w:cs="Times New Roman"/>
          <w:color w:val="auto"/>
          <w:spacing w:val="-4"/>
          <w:highlight w:val="none"/>
        </w:rPr>
        <w:t xml:space="preserve">1 </w:t>
      </w:r>
      <w:r>
        <w:rPr>
          <w:rFonts w:ascii="宋体" w:hAnsi="宋体" w:eastAsia="宋体" w:cs="宋体"/>
          <w:color w:val="auto"/>
          <w:spacing w:val="-4"/>
          <w:highlight w:val="none"/>
        </w:rPr>
        <w:t>、我单位在本项目</w:t>
      </w:r>
      <w:r>
        <w:rPr>
          <w:rFonts w:ascii="宋体" w:hAnsi="宋体" w:eastAsia="宋体" w:cs="宋体"/>
          <w:color w:val="auto"/>
          <w:spacing w:val="-3"/>
          <w:highlight w:val="none"/>
        </w:rPr>
        <w:t>招</w:t>
      </w:r>
      <w:r>
        <w:rPr>
          <w:rFonts w:ascii="宋体" w:hAnsi="宋体" w:eastAsia="宋体" w:cs="宋体"/>
          <w:color w:val="auto"/>
          <w:spacing w:val="-2"/>
          <w:highlight w:val="none"/>
        </w:rPr>
        <w:t>标文件考核期内无不良行为记录。</w:t>
      </w:r>
    </w:p>
    <w:p>
      <w:pPr>
        <w:spacing w:before="251" w:line="457" w:lineRule="auto"/>
        <w:ind w:left="629" w:right="76" w:firstLine="1"/>
        <w:rPr>
          <w:rFonts w:ascii="宋体" w:hAnsi="宋体" w:eastAsia="宋体" w:cs="宋体"/>
          <w:color w:val="auto"/>
          <w:highlight w:val="none"/>
        </w:rPr>
      </w:pPr>
      <w:r>
        <w:rPr>
          <w:rFonts w:ascii="宋体" w:hAnsi="宋体" w:eastAsia="宋体" w:cs="宋体"/>
          <w:color w:val="auto"/>
          <w:spacing w:val="-4"/>
          <w:highlight w:val="none"/>
        </w:rPr>
        <w:t>如我方与以上承诺事实不符愿意放</w:t>
      </w:r>
      <w:r>
        <w:rPr>
          <w:rFonts w:ascii="宋体" w:hAnsi="宋体" w:eastAsia="宋体" w:cs="宋体"/>
          <w:color w:val="auto"/>
          <w:spacing w:val="-2"/>
          <w:highlight w:val="none"/>
        </w:rPr>
        <w:t>弃参与该项目的招标活动， 并按照相关规定接受建设单位及有关主管部门</w:t>
      </w:r>
      <w:r>
        <w:rPr>
          <w:rFonts w:ascii="宋体" w:hAnsi="宋体" w:eastAsia="宋体" w:cs="宋体"/>
          <w:color w:val="auto"/>
          <w:spacing w:val="-1"/>
          <w:highlight w:val="none"/>
        </w:rPr>
        <w:t>的处罚。</w:t>
      </w:r>
    </w:p>
    <w:p>
      <w:pPr>
        <w:spacing w:before="1" w:line="236" w:lineRule="auto"/>
        <w:ind w:left="472"/>
        <w:rPr>
          <w:rFonts w:ascii="宋体" w:hAnsi="宋体" w:eastAsia="宋体" w:cs="宋体"/>
          <w:color w:val="auto"/>
          <w:highlight w:val="none"/>
        </w:rPr>
      </w:pPr>
      <w:r>
        <w:rPr>
          <w:rFonts w:ascii="Times New Roman" w:hAnsi="Times New Roman" w:eastAsia="Times New Roman" w:cs="Times New Roman"/>
          <w:color w:val="auto"/>
          <w:spacing w:val="-3"/>
          <w:highlight w:val="none"/>
        </w:rPr>
        <w:t xml:space="preserve">2 </w:t>
      </w:r>
      <w:r>
        <w:rPr>
          <w:rFonts w:ascii="宋体" w:hAnsi="宋体" w:eastAsia="宋体" w:cs="宋体"/>
          <w:color w:val="auto"/>
          <w:spacing w:val="-3"/>
          <w:highlight w:val="none"/>
        </w:rPr>
        <w:t>、我单位在本项目招标文件考核期内有如下不良行为记录：</w:t>
      </w:r>
    </w:p>
    <w:p>
      <w:pPr>
        <w:spacing w:before="251" w:line="462" w:lineRule="auto"/>
        <w:ind w:left="629" w:right="77" w:firstLine="1"/>
        <w:rPr>
          <w:rFonts w:ascii="宋体" w:hAnsi="宋体" w:eastAsia="宋体" w:cs="宋体"/>
          <w:color w:val="auto"/>
          <w:highlight w:val="none"/>
        </w:rPr>
      </w:pPr>
      <w:r>
        <w:rPr>
          <w:rFonts w:ascii="宋体" w:hAnsi="宋体" w:eastAsia="宋体" w:cs="宋体"/>
          <w:color w:val="auto"/>
          <w:spacing w:val="-4"/>
          <w:highlight w:val="none"/>
        </w:rPr>
        <w:t>如我方与以上承诺事实不符愿意放</w:t>
      </w:r>
      <w:r>
        <w:rPr>
          <w:rFonts w:ascii="宋体" w:hAnsi="宋体" w:eastAsia="宋体" w:cs="宋体"/>
          <w:color w:val="auto"/>
          <w:spacing w:val="-3"/>
          <w:highlight w:val="none"/>
        </w:rPr>
        <w:t>弃</w:t>
      </w:r>
      <w:r>
        <w:rPr>
          <w:rFonts w:ascii="宋体" w:hAnsi="宋体" w:eastAsia="宋体" w:cs="宋体"/>
          <w:color w:val="auto"/>
          <w:spacing w:val="-2"/>
          <w:highlight w:val="none"/>
        </w:rPr>
        <w:t>参与该项目的招标活动， 并按照相关规定接受建设单位及有关主管部门</w:t>
      </w:r>
      <w:r>
        <w:rPr>
          <w:rFonts w:ascii="宋体" w:hAnsi="宋体" w:eastAsia="宋体" w:cs="宋体"/>
          <w:color w:val="auto"/>
          <w:spacing w:val="-1"/>
          <w:highlight w:val="none"/>
        </w:rPr>
        <w:t>的处罚。</w:t>
      </w:r>
    </w:p>
    <w:p>
      <w:pPr>
        <w:spacing w:line="255" w:lineRule="auto"/>
        <w:rPr>
          <w:color w:val="auto"/>
          <w:highlight w:val="none"/>
        </w:rPr>
      </w:pPr>
    </w:p>
    <w:p>
      <w:pPr>
        <w:spacing w:line="255" w:lineRule="auto"/>
        <w:rPr>
          <w:color w:val="auto"/>
          <w:highlight w:val="none"/>
        </w:rPr>
      </w:pPr>
    </w:p>
    <w:p>
      <w:pPr>
        <w:spacing w:line="256" w:lineRule="auto"/>
        <w:rPr>
          <w:color w:val="auto"/>
          <w:highlight w:val="none"/>
        </w:rPr>
      </w:pPr>
    </w:p>
    <w:p>
      <w:pPr>
        <w:spacing w:line="256" w:lineRule="auto"/>
        <w:rPr>
          <w:color w:val="auto"/>
          <w:highlight w:val="none"/>
        </w:rPr>
      </w:pPr>
    </w:p>
    <w:p>
      <w:pPr>
        <w:spacing w:line="256" w:lineRule="auto"/>
        <w:rPr>
          <w:color w:val="auto"/>
          <w:highlight w:val="none"/>
        </w:rPr>
      </w:pPr>
    </w:p>
    <w:p>
      <w:pPr>
        <w:spacing w:line="256" w:lineRule="auto"/>
        <w:rPr>
          <w:color w:val="auto"/>
          <w:highlight w:val="none"/>
        </w:rPr>
      </w:pPr>
    </w:p>
    <w:p>
      <w:pPr>
        <w:spacing w:line="256" w:lineRule="auto"/>
        <w:rPr>
          <w:color w:val="auto"/>
          <w:highlight w:val="none"/>
        </w:rPr>
      </w:pPr>
    </w:p>
    <w:p>
      <w:pPr>
        <w:spacing w:line="256" w:lineRule="auto"/>
        <w:rPr>
          <w:color w:val="auto"/>
          <w:highlight w:val="none"/>
        </w:rPr>
      </w:pPr>
    </w:p>
    <w:p>
      <w:pPr>
        <w:spacing w:line="256" w:lineRule="auto"/>
        <w:rPr>
          <w:color w:val="auto"/>
          <w:highlight w:val="none"/>
        </w:rPr>
      </w:pPr>
    </w:p>
    <w:p>
      <w:pPr>
        <w:spacing w:before="72" w:line="358" w:lineRule="auto"/>
        <w:ind w:left="3487" w:firstLine="947"/>
        <w:rPr>
          <w:rFonts w:ascii="宋体" w:hAnsi="宋体" w:eastAsia="宋体" w:cs="宋体"/>
          <w:color w:val="auto"/>
          <w:sz w:val="22"/>
          <w:szCs w:val="22"/>
          <w:highlight w:val="none"/>
        </w:rPr>
      </w:pPr>
      <w:r>
        <w:rPr>
          <w:rFonts w:ascii="宋体" w:hAnsi="宋体" w:eastAsia="宋体" w:cs="宋体"/>
          <w:color w:val="auto"/>
          <w:spacing w:val="-10"/>
          <w:highlight w:val="none"/>
        </w:rPr>
        <w:t>投标</w:t>
      </w:r>
      <w:r>
        <w:rPr>
          <w:rFonts w:ascii="宋体" w:hAnsi="宋体" w:eastAsia="宋体" w:cs="宋体"/>
          <w:color w:val="auto"/>
          <w:spacing w:val="-5"/>
          <w:highlight w:val="none"/>
        </w:rPr>
        <w:t>人：</w:t>
      </w:r>
      <w:r>
        <w:rPr>
          <w:rFonts w:ascii="宋体" w:hAnsi="宋体" w:eastAsia="宋体" w:cs="宋体"/>
          <w:color w:val="auto"/>
          <w:spacing w:val="-5"/>
          <w:highlight w:val="none"/>
          <w:u w:val="single"/>
        </w:rPr>
        <w:t xml:space="preserve">          </w:t>
      </w:r>
      <w:r>
        <w:rPr>
          <w:rFonts w:hint="eastAsia" w:ascii="宋体" w:hAnsi="宋体" w:eastAsia="宋体" w:cs="宋体"/>
          <w:color w:val="auto"/>
          <w:spacing w:val="-5"/>
          <w:highlight w:val="none"/>
          <w:u w:val="single"/>
        </w:rPr>
        <w:t xml:space="preserve">         </w:t>
      </w:r>
      <w:r>
        <w:rPr>
          <w:rFonts w:ascii="宋体" w:hAnsi="宋体" w:eastAsia="宋体" w:cs="宋体"/>
          <w:color w:val="auto"/>
          <w:spacing w:val="-5"/>
          <w:highlight w:val="none"/>
          <w:u w:val="single"/>
        </w:rPr>
        <w:t xml:space="preserve">  </w:t>
      </w:r>
      <w:r>
        <w:rPr>
          <w:rFonts w:ascii="宋体" w:hAnsi="宋体" w:eastAsia="宋体" w:cs="宋体"/>
          <w:color w:val="auto"/>
          <w:spacing w:val="-5"/>
          <w:sz w:val="22"/>
          <w:szCs w:val="22"/>
          <w:highlight w:val="none"/>
        </w:rPr>
        <w:t>[盖单位公章(CA 签章)]</w:t>
      </w:r>
      <w:r>
        <w:rPr>
          <w:rFonts w:ascii="宋体" w:hAnsi="宋体" w:eastAsia="宋体" w:cs="宋体"/>
          <w:color w:val="auto"/>
          <w:sz w:val="22"/>
          <w:szCs w:val="22"/>
          <w:highlight w:val="none"/>
        </w:rPr>
        <w:t xml:space="preserve"> </w:t>
      </w:r>
    </w:p>
    <w:p>
      <w:pPr>
        <w:spacing w:before="72" w:line="358" w:lineRule="auto"/>
        <w:ind w:left="3487" w:firstLine="947"/>
        <w:rPr>
          <w:rFonts w:ascii="宋体" w:hAnsi="宋体" w:eastAsia="宋体" w:cs="宋体"/>
          <w:color w:val="auto"/>
          <w:sz w:val="22"/>
          <w:szCs w:val="22"/>
          <w:highlight w:val="none"/>
        </w:rPr>
      </w:pPr>
      <w:r>
        <w:rPr>
          <w:rFonts w:ascii="宋体" w:hAnsi="宋体" w:eastAsia="宋体" w:cs="宋体"/>
          <w:color w:val="auto"/>
          <w:spacing w:val="-8"/>
          <w:highlight w:val="none"/>
        </w:rPr>
        <w:t>法</w:t>
      </w:r>
      <w:r>
        <w:rPr>
          <w:rFonts w:ascii="宋体" w:hAnsi="宋体" w:eastAsia="宋体" w:cs="宋体"/>
          <w:color w:val="auto"/>
          <w:spacing w:val="-5"/>
          <w:highlight w:val="none"/>
        </w:rPr>
        <w:t>定代表人或授权代理人：</w:t>
      </w:r>
      <w:r>
        <w:rPr>
          <w:rFonts w:ascii="宋体" w:hAnsi="宋体" w:eastAsia="宋体" w:cs="宋体"/>
          <w:color w:val="auto"/>
          <w:spacing w:val="-5"/>
          <w:highlight w:val="none"/>
          <w:u w:val="single"/>
        </w:rPr>
        <w:t xml:space="preserve">     </w:t>
      </w:r>
      <w:r>
        <w:rPr>
          <w:rFonts w:ascii="宋体" w:hAnsi="宋体" w:eastAsia="宋体" w:cs="宋体"/>
          <w:color w:val="auto"/>
          <w:spacing w:val="-5"/>
          <w:sz w:val="22"/>
          <w:szCs w:val="22"/>
          <w:highlight w:val="none"/>
        </w:rPr>
        <w:t>[签字或盖章(CA 签章)]</w:t>
      </w:r>
    </w:p>
    <w:p>
      <w:pPr>
        <w:spacing w:line="220" w:lineRule="auto"/>
        <w:ind w:right="91"/>
        <w:jc w:val="right"/>
        <w:rPr>
          <w:color w:val="auto"/>
          <w:highlight w:val="none"/>
        </w:rPr>
        <w:sectPr>
          <w:footerReference r:id="rId23" w:type="default"/>
          <w:pgSz w:w="11907" w:h="16839"/>
          <w:pgMar w:top="1440" w:right="1080" w:bottom="1440" w:left="1080" w:header="0" w:footer="1060" w:gutter="0"/>
          <w:cols w:space="720" w:num="1"/>
        </w:sectPr>
      </w:pPr>
      <w:r>
        <w:rPr>
          <w:rFonts w:ascii="宋体" w:hAnsi="宋体" w:eastAsia="宋体" w:cs="宋体"/>
          <w:color w:val="auto"/>
          <w:spacing w:val="-6"/>
          <w:highlight w:val="none"/>
        </w:rPr>
        <w:t>日期：</w:t>
      </w:r>
      <w:r>
        <w:rPr>
          <w:rFonts w:ascii="宋体" w:hAnsi="宋体" w:eastAsia="宋体" w:cs="宋体"/>
          <w:color w:val="auto"/>
          <w:spacing w:val="-3"/>
          <w:highlight w:val="none"/>
          <w:u w:val="single"/>
        </w:rPr>
        <w:t xml:space="preserve">          </w:t>
      </w:r>
      <w:r>
        <w:rPr>
          <w:rFonts w:ascii="宋体" w:hAnsi="宋体" w:eastAsia="宋体" w:cs="宋体"/>
          <w:color w:val="auto"/>
          <w:spacing w:val="-3"/>
          <w:highlight w:val="none"/>
        </w:rPr>
        <w:t>年</w:t>
      </w:r>
      <w:r>
        <w:rPr>
          <w:rFonts w:ascii="宋体" w:hAnsi="宋体" w:eastAsia="宋体" w:cs="宋体"/>
          <w:color w:val="auto"/>
          <w:spacing w:val="-3"/>
          <w:highlight w:val="none"/>
          <w:u w:val="single"/>
        </w:rPr>
        <w:t xml:space="preserve">        </w:t>
      </w:r>
      <w:r>
        <w:rPr>
          <w:rFonts w:ascii="宋体" w:hAnsi="宋体" w:eastAsia="宋体" w:cs="宋体"/>
          <w:color w:val="auto"/>
          <w:spacing w:val="-3"/>
          <w:highlight w:val="none"/>
        </w:rPr>
        <w:t>月</w:t>
      </w:r>
      <w:r>
        <w:rPr>
          <w:rFonts w:ascii="宋体" w:hAnsi="宋体" w:eastAsia="宋体" w:cs="宋体"/>
          <w:color w:val="auto"/>
          <w:spacing w:val="-3"/>
          <w:highlight w:val="none"/>
          <w:u w:val="single"/>
        </w:rPr>
        <w:t xml:space="preserve">        </w:t>
      </w:r>
      <w:r>
        <w:rPr>
          <w:rFonts w:ascii="宋体" w:hAnsi="宋体" w:eastAsia="宋体" w:cs="宋体"/>
          <w:color w:val="auto"/>
          <w:spacing w:val="-3"/>
          <w:highlight w:val="none"/>
        </w:rPr>
        <w:t>日</w:t>
      </w:r>
    </w:p>
    <w:p>
      <w:pPr>
        <w:spacing w:line="245" w:lineRule="auto"/>
        <w:rPr>
          <w:color w:val="auto"/>
          <w:highlight w:val="none"/>
        </w:rPr>
      </w:pPr>
    </w:p>
    <w:p>
      <w:pPr>
        <w:spacing w:before="91" w:line="219" w:lineRule="auto"/>
        <w:jc w:val="center"/>
        <w:outlineLvl w:val="6"/>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r>
        <w:rPr>
          <w:rFonts w:hint="eastAsia" w:ascii="宋体" w:hAnsi="宋体" w:eastAsia="宋体" w:cs="宋体"/>
          <w:color w:val="auto"/>
          <w:spacing w:val="1"/>
          <w:sz w:val="28"/>
          <w:szCs w:val="28"/>
          <w:highlight w:val="none"/>
          <w:lang w:val="en-US" w:eastAsia="zh-CN"/>
          <w14:textOutline w14:w="5092" w14:cap="flat" w14:cmpd="sng" w14:algn="ctr">
            <w14:solidFill>
              <w14:srgbClr w14:val="000000"/>
            </w14:solidFill>
            <w14:prstDash w14:val="solid"/>
            <w14:miter w14:val="0"/>
          </w14:textOutline>
        </w:rPr>
        <w:t>9</w:t>
      </w:r>
      <w:r>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、农民工工资保证金承诺书</w:t>
      </w:r>
    </w:p>
    <w:p>
      <w:pPr>
        <w:spacing w:before="91" w:line="219" w:lineRule="auto"/>
        <w:jc w:val="center"/>
        <w:outlineLvl w:val="6"/>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r>
        <w:rPr>
          <w:rFonts w:hint="eastAsia"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w:t>
      </w:r>
      <w:r>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按桂劳社发[2009]50号文件规定承诺</w:t>
      </w:r>
      <w:r>
        <w:rPr>
          <w:rFonts w:hint="eastAsia"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w:t>
      </w:r>
    </w:p>
    <w:p>
      <w:pPr>
        <w:spacing w:before="91" w:line="219" w:lineRule="auto"/>
        <w:jc w:val="center"/>
        <w:outlineLvl w:val="6"/>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r>
        <w:rPr>
          <w:rFonts w:hint="eastAsia"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（必须提供）</w:t>
      </w:r>
    </w:p>
    <w:p>
      <w:pPr>
        <w:pStyle w:val="2"/>
        <w:rPr>
          <w:rFonts w:ascii="宋体" w:hAnsi="宋体" w:cs="宋体"/>
          <w:color w:val="auto"/>
          <w:spacing w:val="-1"/>
          <w:sz w:val="28"/>
          <w:szCs w:val="28"/>
          <w:highlight w:val="none"/>
          <w14:textOutline w14:w="5092" w14:cap="flat" w14:cmpd="sng" w14:algn="ctr">
            <w14:solidFill>
              <w14:srgbClr w14:val="000000"/>
            </w14:solidFill>
            <w14:prstDash w14:val="solid"/>
            <w14:miter w14:val="0"/>
          </w14:textOutline>
        </w:rPr>
      </w:pPr>
    </w:p>
    <w:p>
      <w:pPr>
        <w:pStyle w:val="2"/>
        <w:rPr>
          <w:rFonts w:ascii="宋体" w:hAnsi="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line="242" w:lineRule="auto"/>
        <w:rPr>
          <w:color w:val="auto"/>
          <w:highlight w:val="none"/>
        </w:rPr>
      </w:pPr>
    </w:p>
    <w:p>
      <w:pPr>
        <w:spacing w:line="243" w:lineRule="auto"/>
        <w:rPr>
          <w:color w:val="auto"/>
          <w:highlight w:val="none"/>
        </w:rPr>
      </w:pPr>
    </w:p>
    <w:p>
      <w:pPr>
        <w:spacing w:line="243" w:lineRule="auto"/>
        <w:rPr>
          <w:color w:val="auto"/>
          <w:highlight w:val="none"/>
        </w:rPr>
      </w:pPr>
    </w:p>
    <w:p>
      <w:pPr>
        <w:spacing w:before="91" w:line="219" w:lineRule="auto"/>
        <w:ind w:left="322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19" w:lineRule="auto"/>
        <w:jc w:val="center"/>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19" w:lineRule="auto"/>
        <w:jc w:val="center"/>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19" w:lineRule="auto"/>
        <w:jc w:val="center"/>
        <w:outlineLvl w:val="6"/>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r>
        <w:rPr>
          <w:rFonts w:hint="eastAsia" w:ascii="宋体" w:hAnsi="宋体" w:eastAsia="宋体" w:cs="宋体"/>
          <w:color w:val="auto"/>
          <w:spacing w:val="1"/>
          <w:sz w:val="28"/>
          <w:szCs w:val="28"/>
          <w:highlight w:val="none"/>
          <w:lang w:val="en-US" w:eastAsia="zh-CN"/>
          <w14:textOutline w14:w="5092" w14:cap="flat" w14:cmpd="sng" w14:algn="ctr">
            <w14:solidFill>
              <w14:srgbClr w14:val="000000"/>
            </w14:solidFill>
            <w14:prstDash w14:val="solid"/>
            <w14:miter w14:val="0"/>
          </w14:textOutline>
        </w:rPr>
        <w:t>10</w:t>
      </w:r>
      <w:r>
        <w:rPr>
          <w:rFonts w:hint="eastAsia"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、安全防护、文明施工措施方案的承诺书</w:t>
      </w:r>
    </w:p>
    <w:p>
      <w:pPr>
        <w:spacing w:before="91" w:line="219" w:lineRule="auto"/>
        <w:jc w:val="center"/>
        <w:outlineLvl w:val="6"/>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r>
        <w:rPr>
          <w:rFonts w:hint="eastAsia"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（按照桂建质安【2006】22号文件的规定承诺）</w:t>
      </w:r>
    </w:p>
    <w:p>
      <w:pPr>
        <w:spacing w:before="91" w:line="219" w:lineRule="auto"/>
        <w:jc w:val="center"/>
        <w:outlineLvl w:val="6"/>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r>
        <w:rPr>
          <w:rFonts w:hint="eastAsia"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（必须提供）</w:t>
      </w:r>
    </w:p>
    <w:p>
      <w:pPr>
        <w:spacing w:before="91" w:line="219" w:lineRule="auto"/>
        <w:ind w:left="322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19" w:lineRule="auto"/>
        <w:ind w:left="322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19" w:lineRule="auto"/>
        <w:ind w:left="322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19" w:lineRule="auto"/>
        <w:ind w:left="322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19" w:lineRule="auto"/>
        <w:ind w:left="322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19" w:lineRule="auto"/>
        <w:ind w:left="322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19" w:lineRule="auto"/>
        <w:ind w:left="322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19" w:lineRule="auto"/>
        <w:ind w:left="322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19" w:lineRule="auto"/>
        <w:jc w:val="center"/>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19" w:lineRule="auto"/>
        <w:jc w:val="center"/>
        <w:outlineLvl w:val="6"/>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r>
        <w:rPr>
          <w:rFonts w:hint="eastAsia"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1</w:t>
      </w:r>
      <w:r>
        <w:rPr>
          <w:rFonts w:hint="eastAsia" w:ascii="宋体" w:hAnsi="宋体" w:eastAsia="宋体" w:cs="宋体"/>
          <w:color w:val="auto"/>
          <w:spacing w:val="1"/>
          <w:sz w:val="28"/>
          <w:szCs w:val="28"/>
          <w:highlight w:val="none"/>
          <w:lang w:val="en-US" w:eastAsia="zh-CN"/>
          <w14:textOutline w14:w="5092" w14:cap="flat" w14:cmpd="sng" w14:algn="ctr">
            <w14:solidFill>
              <w14:srgbClr w14:val="000000"/>
            </w14:solidFill>
            <w14:prstDash w14:val="solid"/>
            <w14:miter w14:val="0"/>
          </w14:textOutline>
        </w:rPr>
        <w:t>1</w:t>
      </w:r>
      <w:r>
        <w:rPr>
          <w:rFonts w:hint="eastAsia"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、工程渣土清运承诺书</w:t>
      </w:r>
    </w:p>
    <w:p>
      <w:pPr>
        <w:spacing w:before="91" w:line="219" w:lineRule="auto"/>
        <w:jc w:val="center"/>
        <w:outlineLvl w:val="6"/>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r>
        <w:rPr>
          <w:rFonts w:hint="eastAsia"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（按照桂林市建设工程招标站市建招字[2011]02号的规定承诺）</w:t>
      </w:r>
    </w:p>
    <w:p>
      <w:pPr>
        <w:spacing w:before="91" w:line="219" w:lineRule="auto"/>
        <w:jc w:val="center"/>
        <w:outlineLvl w:val="6"/>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r>
        <w:rPr>
          <w:rFonts w:hint="eastAsia"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（必须提供）</w:t>
      </w:r>
    </w:p>
    <w:p>
      <w:pPr>
        <w:spacing w:line="249" w:lineRule="auto"/>
        <w:rPr>
          <w:color w:val="auto"/>
          <w:highlight w:val="none"/>
        </w:rPr>
      </w:pPr>
    </w:p>
    <w:p>
      <w:pPr>
        <w:spacing w:line="249" w:lineRule="auto"/>
        <w:rPr>
          <w:color w:val="auto"/>
          <w:highlight w:val="none"/>
        </w:rPr>
      </w:pPr>
    </w:p>
    <w:p>
      <w:pPr>
        <w:spacing w:line="249" w:lineRule="auto"/>
        <w:rPr>
          <w:color w:val="auto"/>
          <w:highlight w:val="none"/>
        </w:rPr>
      </w:pPr>
    </w:p>
    <w:p>
      <w:pPr>
        <w:spacing w:line="250" w:lineRule="auto"/>
        <w:rPr>
          <w:color w:val="auto"/>
          <w:highlight w:val="none"/>
        </w:rPr>
      </w:pPr>
    </w:p>
    <w:p>
      <w:pPr>
        <w:spacing w:line="250" w:lineRule="auto"/>
        <w:rPr>
          <w:color w:val="auto"/>
          <w:highlight w:val="none"/>
        </w:rPr>
      </w:pPr>
    </w:p>
    <w:p>
      <w:pPr>
        <w:spacing w:before="92"/>
        <w:ind w:left="3356"/>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2"/>
        <w:ind w:left="3356"/>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2"/>
        <w:ind w:left="3356"/>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line="220" w:lineRule="auto"/>
        <w:jc w:val="center"/>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line="220" w:lineRule="auto"/>
        <w:jc w:val="center"/>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19" w:lineRule="auto"/>
        <w:jc w:val="both"/>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19" w:lineRule="auto"/>
        <w:jc w:val="center"/>
        <w:outlineLvl w:val="6"/>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r>
        <w:rPr>
          <w:rFonts w:hint="eastAsia"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11</w:t>
      </w:r>
      <w:r>
        <w:rPr>
          <w:rFonts w:hint="eastAsia" w:ascii="宋体" w:hAnsi="宋体" w:eastAsia="宋体" w:cs="宋体"/>
          <w:color w:val="auto"/>
          <w:spacing w:val="1"/>
          <w:sz w:val="28"/>
          <w:szCs w:val="28"/>
          <w:highlight w:val="none"/>
          <w:lang w:val="en-US" w:eastAsia="zh-CN"/>
          <w14:textOutline w14:w="5092" w14:cap="flat" w14:cmpd="sng" w14:algn="ctr">
            <w14:solidFill>
              <w14:srgbClr w14:val="000000"/>
            </w14:solidFill>
            <w14:prstDash w14:val="solid"/>
            <w14:miter w14:val="0"/>
          </w14:textOutline>
        </w:rPr>
        <w:t>2</w:t>
      </w:r>
      <w:r>
        <w:rPr>
          <w:rFonts w:hint="eastAsia"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、项目经理无在建工程承诺书(格式自拟)</w:t>
      </w:r>
    </w:p>
    <w:p>
      <w:pPr>
        <w:spacing w:before="91" w:line="219" w:lineRule="auto"/>
        <w:jc w:val="center"/>
        <w:outlineLvl w:val="6"/>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r>
        <w:rPr>
          <w:rFonts w:hint="eastAsia"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（必须提供）</w:t>
      </w:r>
    </w:p>
    <w:p>
      <w:pPr>
        <w:pStyle w:val="2"/>
        <w:jc w:val="center"/>
        <w:rPr>
          <w:color w:val="auto"/>
          <w:highlight w:val="none"/>
        </w:rPr>
      </w:pPr>
    </w:p>
    <w:p>
      <w:pPr>
        <w:spacing w:before="91" w:line="213" w:lineRule="auto"/>
        <w:ind w:left="2458"/>
        <w:jc w:val="center"/>
        <w:rPr>
          <w:rFonts w:ascii="宋体" w:hAnsi="宋体" w:eastAsia="宋体" w:cs="宋体"/>
          <w:color w:val="auto"/>
          <w:spacing w:val="-7"/>
          <w:sz w:val="28"/>
          <w:szCs w:val="28"/>
          <w:highlight w:val="none"/>
          <w14:textOutline w14:w="5092" w14:cap="flat" w14:cmpd="sng" w14:algn="ctr">
            <w14:solidFill>
              <w14:srgbClr w14:val="000000"/>
            </w14:solidFill>
            <w14:prstDash w14:val="solid"/>
            <w14:miter w14:val="0"/>
          </w14:textOutline>
        </w:rPr>
      </w:pPr>
    </w:p>
    <w:p>
      <w:pPr>
        <w:spacing w:before="91" w:line="213" w:lineRule="auto"/>
        <w:ind w:left="2458"/>
        <w:jc w:val="center"/>
        <w:rPr>
          <w:rFonts w:ascii="宋体" w:hAnsi="宋体" w:eastAsia="宋体" w:cs="宋体"/>
          <w:color w:val="auto"/>
          <w:spacing w:val="-7"/>
          <w:sz w:val="28"/>
          <w:szCs w:val="28"/>
          <w:highlight w:val="none"/>
          <w14:textOutline w14:w="5092" w14:cap="flat" w14:cmpd="sng" w14:algn="ctr">
            <w14:solidFill>
              <w14:srgbClr w14:val="000000"/>
            </w14:solidFill>
            <w14:prstDash w14:val="solid"/>
            <w14:miter w14:val="0"/>
          </w14:textOutline>
        </w:rPr>
      </w:pPr>
    </w:p>
    <w:p>
      <w:pPr>
        <w:spacing w:before="91" w:line="213" w:lineRule="auto"/>
        <w:ind w:left="2458"/>
        <w:jc w:val="center"/>
        <w:rPr>
          <w:rFonts w:ascii="宋体" w:hAnsi="宋体" w:eastAsia="宋体" w:cs="宋体"/>
          <w:color w:val="auto"/>
          <w:spacing w:val="-7"/>
          <w:sz w:val="28"/>
          <w:szCs w:val="28"/>
          <w:highlight w:val="none"/>
          <w14:textOutline w14:w="5092" w14:cap="flat" w14:cmpd="sng" w14:algn="ctr">
            <w14:solidFill>
              <w14:srgbClr w14:val="000000"/>
            </w14:solidFill>
            <w14:prstDash w14:val="solid"/>
            <w14:miter w14:val="0"/>
          </w14:textOutline>
        </w:rPr>
      </w:pPr>
    </w:p>
    <w:p>
      <w:pPr>
        <w:spacing w:before="91" w:line="213" w:lineRule="auto"/>
        <w:ind w:left="2458"/>
        <w:jc w:val="center"/>
        <w:rPr>
          <w:rFonts w:ascii="宋体" w:hAnsi="宋体" w:eastAsia="宋体" w:cs="宋体"/>
          <w:color w:val="auto"/>
          <w:spacing w:val="-7"/>
          <w:sz w:val="28"/>
          <w:szCs w:val="28"/>
          <w:highlight w:val="none"/>
          <w14:textOutline w14:w="5092" w14:cap="flat" w14:cmpd="sng" w14:algn="ctr">
            <w14:solidFill>
              <w14:srgbClr w14:val="000000"/>
            </w14:solidFill>
            <w14:prstDash w14:val="solid"/>
            <w14:miter w14:val="0"/>
          </w14:textOutline>
        </w:rPr>
      </w:pPr>
    </w:p>
    <w:p>
      <w:pPr>
        <w:spacing w:before="91" w:line="213" w:lineRule="auto"/>
        <w:ind w:left="2458"/>
        <w:jc w:val="center"/>
        <w:rPr>
          <w:rFonts w:ascii="宋体" w:hAnsi="宋体" w:eastAsia="宋体" w:cs="宋体"/>
          <w:color w:val="auto"/>
          <w:spacing w:val="-7"/>
          <w:sz w:val="28"/>
          <w:szCs w:val="28"/>
          <w:highlight w:val="none"/>
          <w14:textOutline w14:w="5092" w14:cap="flat" w14:cmpd="sng" w14:algn="ctr">
            <w14:solidFill>
              <w14:srgbClr w14:val="000000"/>
            </w14:solidFill>
            <w14:prstDash w14:val="solid"/>
            <w14:miter w14:val="0"/>
          </w14:textOutline>
        </w:rPr>
      </w:pPr>
    </w:p>
    <w:p>
      <w:pPr>
        <w:spacing w:line="259" w:lineRule="auto"/>
        <w:jc w:val="center"/>
        <w:rPr>
          <w:color w:val="auto"/>
          <w:highlight w:val="none"/>
        </w:rPr>
      </w:pPr>
    </w:p>
    <w:p>
      <w:pPr>
        <w:pStyle w:val="2"/>
        <w:jc w:val="center"/>
        <w:rPr>
          <w:rFonts w:ascii="宋体" w:hAnsi="宋体" w:cs="宋体"/>
          <w:snapToGrid w:val="0"/>
          <w:color w:val="auto"/>
          <w:spacing w:val="1"/>
          <w:kern w:val="0"/>
          <w:sz w:val="28"/>
          <w:szCs w:val="28"/>
          <w:highlight w:val="none"/>
          <w14:textOutline w14:w="5092" w14:cap="flat" w14:cmpd="sng" w14:algn="ctr">
            <w14:solidFill>
              <w14:srgbClr w14:val="000000"/>
            </w14:solidFill>
            <w14:prstDash w14:val="solid"/>
            <w14:miter w14:val="0"/>
          </w14:textOutline>
        </w:rPr>
        <w:sectPr>
          <w:footerReference r:id="rId24" w:type="default"/>
          <w:pgSz w:w="11907" w:h="16839"/>
          <w:pgMar w:top="1440" w:right="1080" w:bottom="1440" w:left="1080" w:header="0" w:footer="1060" w:gutter="0"/>
          <w:cols w:space="720" w:num="1"/>
        </w:sectPr>
      </w:pPr>
      <w:r>
        <w:rPr>
          <w:rFonts w:hint="eastAsia" w:ascii="宋体" w:hAnsi="宋体" w:cs="宋体"/>
          <w:snapToGrid w:val="0"/>
          <w:color w:val="auto"/>
          <w:spacing w:val="1"/>
          <w:kern w:val="0"/>
          <w:sz w:val="28"/>
          <w:szCs w:val="28"/>
          <w:highlight w:val="none"/>
          <w14:textOutline w14:w="5092" w14:cap="flat" w14:cmpd="sng" w14:algn="ctr">
            <w14:solidFill>
              <w14:srgbClr w14:val="000000"/>
            </w14:solidFill>
            <w14:prstDash w14:val="solid"/>
            <w14:miter w14:val="0"/>
          </w14:textOutline>
        </w:rPr>
        <w:t>1</w:t>
      </w:r>
      <w:r>
        <w:rPr>
          <w:rFonts w:hint="eastAsia" w:ascii="宋体" w:hAnsi="宋体" w:cs="宋体"/>
          <w:snapToGrid w:val="0"/>
          <w:color w:val="auto"/>
          <w:spacing w:val="1"/>
          <w:kern w:val="0"/>
          <w:sz w:val="28"/>
          <w:szCs w:val="28"/>
          <w:highlight w:val="none"/>
          <w:lang w:val="en-US" w:eastAsia="zh-CN"/>
          <w14:textOutline w14:w="5092" w14:cap="flat" w14:cmpd="sng" w14:algn="ctr">
            <w14:solidFill>
              <w14:srgbClr w14:val="000000"/>
            </w14:solidFill>
            <w14:prstDash w14:val="solid"/>
            <w14:miter w14:val="0"/>
          </w14:textOutline>
        </w:rPr>
        <w:t>3</w:t>
      </w:r>
      <w:r>
        <w:rPr>
          <w:rFonts w:hint="eastAsia" w:ascii="宋体" w:hAnsi="宋体" w:cs="宋体"/>
          <w:snapToGrid w:val="0"/>
          <w:color w:val="auto"/>
          <w:spacing w:val="1"/>
          <w:kern w:val="0"/>
          <w:sz w:val="28"/>
          <w:szCs w:val="28"/>
          <w:highlight w:val="none"/>
          <w14:textOutline w14:w="5092" w14:cap="flat" w14:cmpd="sng" w14:algn="ctr">
            <w14:solidFill>
              <w14:srgbClr w14:val="000000"/>
            </w14:solidFill>
            <w14:prstDash w14:val="solid"/>
            <w14:miter w14:val="0"/>
          </w14:textOutline>
        </w:rPr>
        <w:t>、其他相关证明材料（投标人认为需要提供的其他材料）（如有）。</w:t>
      </w:r>
    </w:p>
    <w:p>
      <w:pPr>
        <w:spacing w:before="169" w:line="220" w:lineRule="auto"/>
        <w:ind w:left="2552"/>
        <w:rPr>
          <w:rFonts w:ascii="宋体" w:hAnsi="宋体" w:eastAsia="宋体" w:cs="宋体"/>
          <w:color w:val="auto"/>
          <w:spacing w:val="-1"/>
          <w:sz w:val="52"/>
          <w:szCs w:val="52"/>
          <w:highlight w:val="none"/>
        </w:rPr>
      </w:pPr>
    </w:p>
    <w:p>
      <w:pPr>
        <w:spacing w:before="169" w:line="220" w:lineRule="auto"/>
        <w:ind w:left="2552"/>
        <w:rPr>
          <w:rFonts w:ascii="宋体" w:hAnsi="宋体" w:eastAsia="宋体" w:cs="宋体"/>
          <w:color w:val="auto"/>
          <w:spacing w:val="-1"/>
          <w:sz w:val="52"/>
          <w:szCs w:val="52"/>
          <w:highlight w:val="none"/>
        </w:rPr>
      </w:pPr>
    </w:p>
    <w:p>
      <w:pPr>
        <w:spacing w:before="169" w:line="220" w:lineRule="auto"/>
        <w:ind w:left="2552"/>
        <w:rPr>
          <w:rFonts w:ascii="宋体" w:hAnsi="宋体" w:eastAsia="宋体" w:cs="宋体"/>
          <w:color w:val="auto"/>
          <w:sz w:val="52"/>
          <w:szCs w:val="52"/>
          <w:highlight w:val="none"/>
        </w:rPr>
      </w:pPr>
      <w:r>
        <w:rPr>
          <w:rFonts w:ascii="宋体" w:hAnsi="宋体" w:eastAsia="宋体" w:cs="宋体"/>
          <w:color w:val="auto"/>
          <w:spacing w:val="-1"/>
          <w:sz w:val="52"/>
          <w:szCs w:val="52"/>
          <w:highlight w:val="none"/>
        </w:rPr>
        <w:t xml:space="preserve">投  标  文 </w:t>
      </w:r>
      <w:r>
        <w:rPr>
          <w:rFonts w:ascii="宋体" w:hAnsi="宋体" w:eastAsia="宋体" w:cs="宋体"/>
          <w:color w:val="auto"/>
          <w:sz w:val="52"/>
          <w:szCs w:val="52"/>
          <w:highlight w:val="none"/>
        </w:rPr>
        <w:t xml:space="preserve"> 件</w:t>
      </w:r>
    </w:p>
    <w:p>
      <w:pPr>
        <w:spacing w:line="278" w:lineRule="auto"/>
        <w:rPr>
          <w:color w:val="auto"/>
          <w:highlight w:val="none"/>
        </w:rPr>
      </w:pPr>
    </w:p>
    <w:p>
      <w:pPr>
        <w:spacing w:line="278" w:lineRule="auto"/>
        <w:rPr>
          <w:color w:val="auto"/>
          <w:highlight w:val="none"/>
        </w:rPr>
      </w:pPr>
    </w:p>
    <w:p>
      <w:pPr>
        <w:spacing w:line="279" w:lineRule="auto"/>
        <w:rPr>
          <w:color w:val="auto"/>
          <w:highlight w:val="none"/>
        </w:rPr>
      </w:pPr>
    </w:p>
    <w:p>
      <w:pPr>
        <w:spacing w:line="279" w:lineRule="auto"/>
        <w:rPr>
          <w:color w:val="auto"/>
          <w:highlight w:val="none"/>
        </w:rPr>
      </w:pPr>
    </w:p>
    <w:p>
      <w:pPr>
        <w:spacing w:line="279" w:lineRule="auto"/>
        <w:rPr>
          <w:color w:val="auto"/>
          <w:highlight w:val="none"/>
        </w:rPr>
      </w:pPr>
    </w:p>
    <w:p>
      <w:pPr>
        <w:spacing w:before="91" w:line="220" w:lineRule="auto"/>
        <w:ind w:left="2408"/>
        <w:rPr>
          <w:rFonts w:ascii="宋体" w:hAnsi="宋体" w:eastAsia="宋体" w:cs="宋体"/>
          <w:color w:val="auto"/>
          <w:sz w:val="28"/>
          <w:szCs w:val="28"/>
          <w:highlight w:val="none"/>
        </w:rPr>
      </w:pPr>
      <w:r>
        <w:rPr>
          <w:rFonts w:ascii="宋体" w:hAnsi="宋体" w:eastAsia="宋体" w:cs="宋体"/>
          <w:color w:val="auto"/>
          <w:spacing w:val="-23"/>
          <w:sz w:val="28"/>
          <w:szCs w:val="28"/>
          <w:highlight w:val="none"/>
        </w:rPr>
        <w:t>项</w:t>
      </w:r>
      <w:r>
        <w:rPr>
          <w:rFonts w:ascii="宋体" w:hAnsi="宋体" w:eastAsia="宋体" w:cs="宋体"/>
          <w:color w:val="auto"/>
          <w:spacing w:val="-21"/>
          <w:sz w:val="28"/>
          <w:szCs w:val="28"/>
          <w:highlight w:val="none"/>
        </w:rPr>
        <w:t>目</w:t>
      </w:r>
      <w:r>
        <w:rPr>
          <w:rFonts w:hint="eastAsia" w:ascii="宋体" w:hAnsi="宋体" w:eastAsia="宋体" w:cs="宋体"/>
          <w:color w:val="auto"/>
          <w:spacing w:val="-21"/>
          <w:sz w:val="28"/>
          <w:szCs w:val="28"/>
          <w:highlight w:val="none"/>
        </w:rPr>
        <w:t>名称</w:t>
      </w:r>
      <w:r>
        <w:rPr>
          <w:rFonts w:ascii="宋体" w:hAnsi="宋体" w:eastAsia="宋体" w:cs="宋体"/>
          <w:color w:val="auto"/>
          <w:spacing w:val="-21"/>
          <w:sz w:val="28"/>
          <w:szCs w:val="28"/>
          <w:highlight w:val="none"/>
        </w:rPr>
        <w:t>：</w:t>
      </w:r>
      <w:r>
        <w:rPr>
          <w:rFonts w:ascii="宋体" w:hAnsi="宋体" w:eastAsia="宋体" w:cs="宋体"/>
          <w:color w:val="auto"/>
          <w:sz w:val="28"/>
          <w:szCs w:val="28"/>
          <w:highlight w:val="none"/>
          <w:u w:val="single"/>
        </w:rPr>
        <w:t xml:space="preserve">                    </w:t>
      </w:r>
    </w:p>
    <w:p>
      <w:pPr>
        <w:spacing w:before="91" w:line="220" w:lineRule="auto"/>
        <w:ind w:left="2408"/>
        <w:rPr>
          <w:rFonts w:ascii="宋体" w:hAnsi="宋体" w:eastAsia="宋体" w:cs="宋体"/>
          <w:color w:val="auto"/>
          <w:sz w:val="28"/>
          <w:szCs w:val="28"/>
          <w:highlight w:val="none"/>
        </w:rPr>
      </w:pPr>
      <w:r>
        <w:rPr>
          <w:rFonts w:hint="eastAsia" w:ascii="宋体" w:hAnsi="宋体" w:eastAsia="宋体" w:cs="宋体"/>
          <w:color w:val="auto"/>
          <w:spacing w:val="-23"/>
          <w:sz w:val="28"/>
          <w:szCs w:val="28"/>
          <w:highlight w:val="none"/>
        </w:rPr>
        <w:t>项目编号：</w:t>
      </w:r>
      <w:r>
        <w:rPr>
          <w:rFonts w:ascii="宋体" w:hAnsi="宋体" w:eastAsia="宋体" w:cs="宋体"/>
          <w:color w:val="auto"/>
          <w:sz w:val="28"/>
          <w:szCs w:val="28"/>
          <w:highlight w:val="none"/>
          <w:u w:val="single"/>
        </w:rPr>
        <w:t xml:space="preserve">                    </w:t>
      </w:r>
    </w:p>
    <w:p>
      <w:pPr>
        <w:spacing w:line="249"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jc w:val="center"/>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before="91" w:line="219" w:lineRule="auto"/>
        <w:ind w:firstLine="1360" w:firstLineChars="500"/>
        <w:jc w:val="both"/>
        <w:rPr>
          <w:rFonts w:ascii="宋体" w:hAnsi="宋体" w:eastAsia="宋体" w:cs="宋体"/>
          <w:color w:val="auto"/>
          <w:sz w:val="28"/>
          <w:szCs w:val="28"/>
          <w:highlight w:val="none"/>
        </w:rPr>
      </w:pPr>
      <w:r>
        <w:rPr>
          <w:rFonts w:ascii="宋体" w:hAnsi="宋体" w:eastAsia="宋体" w:cs="宋体"/>
          <w:color w:val="auto"/>
          <w:spacing w:val="-4"/>
          <w:sz w:val="28"/>
          <w:szCs w:val="28"/>
          <w:highlight w:val="none"/>
        </w:rPr>
        <w:t>投标</w:t>
      </w:r>
      <w:r>
        <w:rPr>
          <w:rFonts w:hint="eastAsia" w:ascii="宋体" w:hAnsi="宋体" w:eastAsia="宋体" w:cs="宋体"/>
          <w:color w:val="auto"/>
          <w:spacing w:val="-4"/>
          <w:sz w:val="28"/>
          <w:szCs w:val="28"/>
          <w:highlight w:val="none"/>
        </w:rPr>
        <w:t>内容</w:t>
      </w:r>
      <w:r>
        <w:rPr>
          <w:rFonts w:ascii="宋体" w:hAnsi="宋体" w:eastAsia="宋体" w:cs="宋体"/>
          <w:color w:val="auto"/>
          <w:spacing w:val="-4"/>
          <w:sz w:val="28"/>
          <w:szCs w:val="28"/>
          <w:highlight w:val="none"/>
        </w:rPr>
        <w:t>：</w:t>
      </w:r>
      <w:r>
        <w:rPr>
          <w:rFonts w:ascii="宋体" w:hAnsi="宋体" w:eastAsia="宋体" w:cs="宋体"/>
          <w:color w:val="auto"/>
          <w:spacing w:val="-4"/>
          <w:sz w:val="28"/>
          <w:szCs w:val="28"/>
          <w:highlight w:val="none"/>
          <w:u w:val="single"/>
        </w:rPr>
        <w:t xml:space="preserve">         </w:t>
      </w:r>
      <w:r>
        <w:rPr>
          <w:rFonts w:hint="eastAsia" w:ascii="宋体" w:hAnsi="宋体" w:eastAsia="宋体" w:cs="宋体"/>
          <w:color w:val="auto"/>
          <w:spacing w:val="-4"/>
          <w:sz w:val="28"/>
          <w:szCs w:val="28"/>
          <w:highlight w:val="none"/>
          <w:u w:val="single"/>
        </w:rPr>
        <w:t>商务标部分</w:t>
      </w:r>
      <w:r>
        <w:rPr>
          <w:rFonts w:ascii="宋体" w:hAnsi="宋体" w:eastAsia="宋体" w:cs="宋体"/>
          <w:color w:val="auto"/>
          <w:spacing w:val="-4"/>
          <w:sz w:val="28"/>
          <w:szCs w:val="28"/>
          <w:highlight w:val="none"/>
          <w:u w:val="single"/>
        </w:rPr>
        <w:t xml:space="preserve">  </w:t>
      </w:r>
      <w:r>
        <w:rPr>
          <w:rFonts w:hint="eastAsia" w:ascii="宋体" w:hAnsi="宋体" w:eastAsia="宋体" w:cs="宋体"/>
          <w:color w:val="auto"/>
          <w:spacing w:val="-4"/>
          <w:sz w:val="28"/>
          <w:szCs w:val="28"/>
          <w:highlight w:val="none"/>
          <w:u w:val="single"/>
        </w:rPr>
        <w:t xml:space="preserve">       </w:t>
      </w:r>
    </w:p>
    <w:p>
      <w:pPr>
        <w:spacing w:line="250" w:lineRule="auto"/>
        <w:rPr>
          <w:color w:val="auto"/>
          <w:highlight w:val="none"/>
        </w:rPr>
      </w:pPr>
    </w:p>
    <w:p>
      <w:pPr>
        <w:spacing w:before="91" w:line="219" w:lineRule="auto"/>
        <w:jc w:val="center"/>
        <w:rPr>
          <w:rFonts w:ascii="宋体" w:hAnsi="宋体" w:eastAsia="宋体" w:cs="宋体"/>
          <w:color w:val="auto"/>
          <w:sz w:val="28"/>
          <w:szCs w:val="28"/>
          <w:highlight w:val="none"/>
        </w:rPr>
      </w:pPr>
      <w:r>
        <w:rPr>
          <w:rFonts w:hint="eastAsia" w:ascii="宋体" w:hAnsi="宋体" w:eastAsia="宋体" w:cs="宋体"/>
          <w:color w:val="auto"/>
          <w:spacing w:val="-4"/>
          <w:sz w:val="28"/>
          <w:szCs w:val="28"/>
          <w:highlight w:val="none"/>
        </w:rPr>
        <w:t xml:space="preserve">  </w:t>
      </w:r>
      <w:r>
        <w:rPr>
          <w:rFonts w:ascii="宋体" w:hAnsi="宋体" w:eastAsia="宋体" w:cs="宋体"/>
          <w:color w:val="auto"/>
          <w:spacing w:val="-4"/>
          <w:sz w:val="28"/>
          <w:szCs w:val="28"/>
          <w:highlight w:val="none"/>
        </w:rPr>
        <w:t>投标人：</w:t>
      </w:r>
      <w:r>
        <w:rPr>
          <w:rFonts w:ascii="宋体" w:hAnsi="宋体" w:eastAsia="宋体" w:cs="宋体"/>
          <w:color w:val="auto"/>
          <w:spacing w:val="-4"/>
          <w:sz w:val="28"/>
          <w:szCs w:val="28"/>
          <w:highlight w:val="none"/>
          <w:u w:val="single"/>
        </w:rPr>
        <w:t xml:space="preserve">                        </w:t>
      </w:r>
      <w:r>
        <w:rPr>
          <w:rFonts w:ascii="宋体" w:hAnsi="宋体" w:eastAsia="宋体" w:cs="宋体"/>
          <w:color w:val="auto"/>
          <w:spacing w:val="-4"/>
          <w:sz w:val="28"/>
          <w:szCs w:val="28"/>
          <w:highlight w:val="none"/>
        </w:rPr>
        <w:t>[盖单位公章(</w:t>
      </w:r>
      <w:r>
        <w:rPr>
          <w:rFonts w:ascii="宋体" w:hAnsi="宋体" w:eastAsia="宋体" w:cs="宋体"/>
          <w:color w:val="auto"/>
          <w:spacing w:val="-2"/>
          <w:sz w:val="28"/>
          <w:szCs w:val="28"/>
          <w:highlight w:val="none"/>
        </w:rPr>
        <w:t>C</w:t>
      </w:r>
      <w:r>
        <w:rPr>
          <w:rFonts w:ascii="宋体" w:hAnsi="宋体" w:eastAsia="宋体" w:cs="宋体"/>
          <w:color w:val="auto"/>
          <w:sz w:val="28"/>
          <w:szCs w:val="28"/>
          <w:highlight w:val="none"/>
        </w:rPr>
        <w:t>A</w:t>
      </w:r>
      <w:r>
        <w:rPr>
          <w:rFonts w:ascii="宋体" w:hAnsi="宋体" w:eastAsia="宋体" w:cs="宋体"/>
          <w:color w:val="auto"/>
          <w:spacing w:val="-4"/>
          <w:sz w:val="28"/>
          <w:szCs w:val="28"/>
          <w:highlight w:val="none"/>
        </w:rPr>
        <w:t xml:space="preserve"> 签章)]</w:t>
      </w:r>
    </w:p>
    <w:p>
      <w:pPr>
        <w:spacing w:before="212" w:line="219" w:lineRule="auto"/>
        <w:jc w:val="center"/>
        <w:rPr>
          <w:rFonts w:ascii="宋体" w:hAnsi="宋体" w:eastAsia="宋体" w:cs="宋体"/>
          <w:color w:val="auto"/>
          <w:sz w:val="28"/>
          <w:szCs w:val="28"/>
          <w:highlight w:val="none"/>
        </w:rPr>
      </w:pPr>
      <w:r>
        <w:rPr>
          <w:rFonts w:hint="eastAsia" w:ascii="宋体" w:hAnsi="宋体" w:eastAsia="宋体" w:cs="宋体"/>
          <w:color w:val="auto"/>
          <w:spacing w:val="-9"/>
          <w:sz w:val="28"/>
          <w:szCs w:val="28"/>
          <w:highlight w:val="none"/>
        </w:rPr>
        <w:t xml:space="preserve">  </w:t>
      </w:r>
      <w:r>
        <w:rPr>
          <w:rFonts w:ascii="宋体" w:hAnsi="宋体" w:eastAsia="宋体" w:cs="宋体"/>
          <w:color w:val="auto"/>
          <w:spacing w:val="-9"/>
          <w:sz w:val="28"/>
          <w:szCs w:val="28"/>
          <w:highlight w:val="none"/>
        </w:rPr>
        <w:t>法定代表人或其委托代理人：</w:t>
      </w:r>
      <w:r>
        <w:rPr>
          <w:rFonts w:ascii="宋体" w:hAnsi="宋体" w:eastAsia="宋体" w:cs="宋体"/>
          <w:color w:val="auto"/>
          <w:spacing w:val="-9"/>
          <w:sz w:val="28"/>
          <w:szCs w:val="28"/>
          <w:highlight w:val="none"/>
          <w:u w:val="single"/>
        </w:rPr>
        <w:t xml:space="preserve">       </w:t>
      </w:r>
      <w:r>
        <w:rPr>
          <w:rFonts w:ascii="宋体" w:hAnsi="宋体" w:eastAsia="宋体" w:cs="宋体"/>
          <w:color w:val="auto"/>
          <w:spacing w:val="-9"/>
          <w:sz w:val="28"/>
          <w:szCs w:val="28"/>
          <w:highlight w:val="none"/>
        </w:rPr>
        <w:t>[签字或盖章(C</w:t>
      </w:r>
      <w:r>
        <w:rPr>
          <w:rFonts w:ascii="宋体" w:hAnsi="宋体" w:eastAsia="宋体" w:cs="宋体"/>
          <w:color w:val="auto"/>
          <w:spacing w:val="-3"/>
          <w:sz w:val="28"/>
          <w:szCs w:val="28"/>
          <w:highlight w:val="none"/>
        </w:rPr>
        <w:t>A</w:t>
      </w:r>
      <w:r>
        <w:rPr>
          <w:rFonts w:ascii="宋体" w:hAnsi="宋体" w:eastAsia="宋体" w:cs="宋体"/>
          <w:color w:val="auto"/>
          <w:spacing w:val="-9"/>
          <w:sz w:val="28"/>
          <w:szCs w:val="28"/>
          <w:highlight w:val="none"/>
        </w:rPr>
        <w:t xml:space="preserve"> 签章)]</w:t>
      </w:r>
    </w:p>
    <w:p>
      <w:pPr>
        <w:spacing w:line="254" w:lineRule="auto"/>
        <w:rPr>
          <w:color w:val="auto"/>
          <w:highlight w:val="none"/>
        </w:rPr>
      </w:pPr>
    </w:p>
    <w:p>
      <w:pPr>
        <w:spacing w:line="255" w:lineRule="auto"/>
        <w:rPr>
          <w:color w:val="auto"/>
          <w:highlight w:val="none"/>
        </w:rPr>
      </w:pPr>
    </w:p>
    <w:p>
      <w:pPr>
        <w:spacing w:line="255" w:lineRule="auto"/>
        <w:rPr>
          <w:color w:val="auto"/>
          <w:highlight w:val="none"/>
        </w:rPr>
      </w:pPr>
    </w:p>
    <w:p>
      <w:pPr>
        <w:tabs>
          <w:tab w:val="left" w:pos="3305"/>
        </w:tabs>
        <w:spacing w:before="91" w:line="220" w:lineRule="auto"/>
        <w:ind w:left="2035"/>
        <w:rPr>
          <w:color w:val="auto"/>
          <w:highlight w:val="none"/>
        </w:rPr>
        <w:sectPr>
          <w:footerReference r:id="rId25" w:type="default"/>
          <w:pgSz w:w="11907" w:h="16839"/>
          <w:pgMar w:top="1440" w:right="1080" w:bottom="1440" w:left="1080" w:header="0" w:footer="1060" w:gutter="0"/>
          <w:cols w:space="720" w:num="1"/>
        </w:sectPr>
      </w:pPr>
      <w:r>
        <w:rPr>
          <w:rFonts w:ascii="宋体" w:hAnsi="宋体" w:eastAsia="宋体" w:cs="宋体"/>
          <w:color w:val="auto"/>
          <w:sz w:val="28"/>
          <w:szCs w:val="28"/>
          <w:highlight w:val="none"/>
          <w:u w:val="single"/>
        </w:rPr>
        <w:tab/>
      </w:r>
      <w:r>
        <w:rPr>
          <w:rFonts w:ascii="宋体" w:hAnsi="宋体" w:eastAsia="宋体" w:cs="宋体"/>
          <w:color w:val="auto"/>
          <w:spacing w:val="4"/>
          <w:sz w:val="28"/>
          <w:szCs w:val="28"/>
          <w:highlight w:val="none"/>
        </w:rPr>
        <w:t>年</w:t>
      </w:r>
      <w:r>
        <w:rPr>
          <w:rFonts w:ascii="宋体" w:hAnsi="宋体" w:eastAsia="宋体" w:cs="宋体"/>
          <w:color w:val="auto"/>
          <w:spacing w:val="4"/>
          <w:sz w:val="28"/>
          <w:szCs w:val="28"/>
          <w:highlight w:val="none"/>
          <w:u w:val="single"/>
        </w:rPr>
        <w:t xml:space="preserve">  </w:t>
      </w:r>
      <w:r>
        <w:rPr>
          <w:rFonts w:ascii="宋体" w:hAnsi="宋体" w:eastAsia="宋体" w:cs="宋体"/>
          <w:color w:val="auto"/>
          <w:spacing w:val="3"/>
          <w:sz w:val="28"/>
          <w:szCs w:val="28"/>
          <w:highlight w:val="none"/>
          <w:u w:val="single"/>
        </w:rPr>
        <w:t xml:space="preserve"> </w:t>
      </w:r>
      <w:r>
        <w:rPr>
          <w:rFonts w:ascii="宋体" w:hAnsi="宋体" w:eastAsia="宋体" w:cs="宋体"/>
          <w:color w:val="auto"/>
          <w:spacing w:val="2"/>
          <w:sz w:val="28"/>
          <w:szCs w:val="28"/>
          <w:highlight w:val="none"/>
          <w:u w:val="single"/>
        </w:rPr>
        <w:t xml:space="preserve">      </w:t>
      </w:r>
      <w:r>
        <w:rPr>
          <w:rFonts w:ascii="宋体" w:hAnsi="宋体" w:eastAsia="宋体" w:cs="宋体"/>
          <w:color w:val="auto"/>
          <w:spacing w:val="2"/>
          <w:sz w:val="28"/>
          <w:szCs w:val="28"/>
          <w:highlight w:val="none"/>
        </w:rPr>
        <w:t>月</w:t>
      </w:r>
      <w:r>
        <w:rPr>
          <w:rFonts w:ascii="宋体" w:hAnsi="宋体" w:eastAsia="宋体" w:cs="宋体"/>
          <w:color w:val="auto"/>
          <w:spacing w:val="2"/>
          <w:sz w:val="28"/>
          <w:szCs w:val="28"/>
          <w:highlight w:val="none"/>
          <w:u w:val="single"/>
        </w:rPr>
        <w:t xml:space="preserve">         </w:t>
      </w:r>
      <w:r>
        <w:rPr>
          <w:rFonts w:ascii="宋体" w:hAnsi="宋体" w:eastAsia="宋体" w:cs="宋体"/>
          <w:color w:val="auto"/>
          <w:spacing w:val="2"/>
          <w:sz w:val="28"/>
          <w:szCs w:val="28"/>
          <w:highlight w:val="none"/>
        </w:rPr>
        <w:t>日</w:t>
      </w:r>
    </w:p>
    <w:p>
      <w:pPr>
        <w:spacing w:line="246" w:lineRule="auto"/>
        <w:jc w:val="center"/>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目 录</w:t>
      </w:r>
    </w:p>
    <w:p>
      <w:pPr>
        <w:pStyle w:val="2"/>
        <w:jc w:val="center"/>
        <w:rPr>
          <w:color w:val="auto"/>
          <w:highlight w:val="none"/>
        </w:rPr>
      </w:pPr>
      <w:r>
        <w:rPr>
          <w:rFonts w:hint="eastAsia"/>
          <w:color w:val="auto"/>
          <w:highlight w:val="none"/>
        </w:rPr>
        <w:t>（投标人自行编制）</w:t>
      </w:r>
    </w:p>
    <w:p>
      <w:pPr>
        <w:pStyle w:val="2"/>
        <w:rPr>
          <w:rFonts w:ascii="Arial"/>
          <w:color w:val="auto"/>
          <w:highlight w:val="none"/>
        </w:rPr>
      </w:pPr>
    </w:p>
    <w:p>
      <w:pPr>
        <w:pStyle w:val="2"/>
        <w:rPr>
          <w:rFonts w:ascii="Arial"/>
          <w:color w:val="auto"/>
          <w:highlight w:val="none"/>
        </w:rPr>
      </w:pPr>
    </w:p>
    <w:p>
      <w:pPr>
        <w:pStyle w:val="2"/>
        <w:rPr>
          <w:rFonts w:ascii="Arial"/>
          <w:color w:val="auto"/>
          <w:highlight w:val="no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line="246" w:lineRule="auto"/>
        <w:rPr>
          <w:color w:val="auto"/>
          <w:highlight w:val="none"/>
        </w:rPr>
      </w:pPr>
    </w:p>
    <w:p>
      <w:pPr>
        <w:spacing w:before="91" w:line="220" w:lineRule="auto"/>
        <w:outlineLvl w:val="6"/>
        <w:rPr>
          <w:rFonts w:ascii="宋体" w:hAnsi="宋体" w:eastAsia="宋体" w:cs="宋体"/>
          <w:color w:val="auto"/>
          <w:sz w:val="28"/>
          <w:szCs w:val="28"/>
          <w:highlight w:val="none"/>
        </w:rPr>
      </w:pPr>
      <w:r>
        <w:rPr>
          <w:rFonts w:ascii="宋体" w:hAnsi="宋体" w:eastAsia="宋体" w:cs="宋体"/>
          <w:color w:val="auto"/>
          <w:spacing w:val="-22"/>
          <w:sz w:val="28"/>
          <w:szCs w:val="28"/>
          <w:highlight w:val="none"/>
          <w14:textOutline w14:w="5092" w14:cap="flat" w14:cmpd="sng" w14:algn="ctr">
            <w14:solidFill>
              <w14:srgbClr w14:val="000000"/>
            </w14:solidFill>
            <w14:prstDash w14:val="solid"/>
            <w14:miter w14:val="0"/>
          </w14:textOutline>
        </w:rPr>
        <w:t>二</w:t>
      </w:r>
      <w:r>
        <w:rPr>
          <w:rFonts w:ascii="宋体" w:hAnsi="宋体" w:eastAsia="宋体" w:cs="宋体"/>
          <w:color w:val="auto"/>
          <w:spacing w:val="-18"/>
          <w:sz w:val="28"/>
          <w:szCs w:val="28"/>
          <w:highlight w:val="none"/>
          <w14:textOutline w14:w="5092" w14:cap="flat" w14:cmpd="sng" w14:algn="ctr">
            <w14:solidFill>
              <w14:srgbClr w14:val="000000"/>
            </w14:solidFill>
            <w14:prstDash w14:val="solid"/>
            <w14:miter w14:val="0"/>
          </w14:textOutline>
        </w:rPr>
        <w:t>、</w:t>
      </w:r>
      <w:r>
        <w:rPr>
          <w:rFonts w:ascii="宋体" w:hAnsi="宋体" w:eastAsia="宋体" w:cs="宋体"/>
          <w:color w:val="auto"/>
          <w:spacing w:val="-18"/>
          <w:sz w:val="28"/>
          <w:szCs w:val="28"/>
          <w:highlight w:val="none"/>
        </w:rPr>
        <w:t xml:space="preserve"> </w:t>
      </w:r>
      <w:r>
        <w:rPr>
          <w:rFonts w:ascii="宋体" w:hAnsi="宋体" w:eastAsia="宋体" w:cs="宋体"/>
          <w:color w:val="auto"/>
          <w:spacing w:val="-18"/>
          <w:sz w:val="28"/>
          <w:szCs w:val="28"/>
          <w:highlight w:val="none"/>
          <w14:textOutline w14:w="5092" w14:cap="flat" w14:cmpd="sng" w14:algn="ctr">
            <w14:solidFill>
              <w14:srgbClr w14:val="000000"/>
            </w14:solidFill>
            <w14:prstDash w14:val="solid"/>
            <w14:miter w14:val="0"/>
          </w14:textOutline>
        </w:rPr>
        <w:t>商务标部分</w:t>
      </w:r>
    </w:p>
    <w:p>
      <w:pPr>
        <w:spacing w:before="291" w:line="219" w:lineRule="auto"/>
        <w:ind w:left="2871"/>
        <w:outlineLvl w:val="6"/>
        <w:rPr>
          <w:color w:val="auto"/>
          <w:highlight w:val="none"/>
        </w:rPr>
      </w:pPr>
      <w:r>
        <w:rPr>
          <w:rFonts w:hint="eastAsia"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1</w:t>
      </w:r>
      <w:r>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、投标函</w:t>
      </w:r>
      <w:r>
        <w:rPr>
          <w:rFonts w:ascii="宋体" w:hAnsi="宋体" w:eastAsia="宋体" w:cs="宋体"/>
          <w:color w:val="auto"/>
          <w:sz w:val="28"/>
          <w:szCs w:val="28"/>
          <w:highlight w:val="none"/>
          <w14:textOutline w14:w="5092" w14:cap="flat" w14:cmpd="sng" w14:algn="ctr">
            <w14:solidFill>
              <w14:srgbClr w14:val="000000"/>
            </w14:solidFill>
            <w14:prstDash w14:val="solid"/>
            <w14:miter w14:val="0"/>
          </w14:textOutline>
        </w:rPr>
        <w:t>及投标函附录</w:t>
      </w:r>
    </w:p>
    <w:p>
      <w:pPr>
        <w:spacing w:before="91" w:line="219" w:lineRule="auto"/>
        <w:ind w:left="3557"/>
        <w:rPr>
          <w:rFonts w:ascii="宋体" w:hAnsi="宋体" w:eastAsia="宋体" w:cs="宋体"/>
          <w:color w:val="auto"/>
          <w:spacing w:val="19"/>
          <w:sz w:val="28"/>
          <w:szCs w:val="28"/>
          <w:highlight w:val="none"/>
          <w14:textOutline w14:w="5092" w14:cap="flat" w14:cmpd="sng" w14:algn="ctr">
            <w14:solidFill>
              <w14:srgbClr w14:val="000000"/>
            </w14:solidFill>
            <w14:prstDash w14:val="solid"/>
            <w14:miter w14:val="0"/>
          </w14:textOutline>
        </w:rPr>
      </w:pPr>
      <w:r>
        <w:rPr>
          <w:rFonts w:ascii="宋体" w:hAnsi="宋体" w:eastAsia="宋体" w:cs="宋体"/>
          <w:color w:val="auto"/>
          <w:spacing w:val="19"/>
          <w:sz w:val="28"/>
          <w:szCs w:val="28"/>
          <w:highlight w:val="none"/>
          <w14:textOutline w14:w="5092" w14:cap="flat" w14:cmpd="sng" w14:algn="ctr">
            <w14:solidFill>
              <w14:srgbClr w14:val="000000"/>
            </w14:solidFill>
            <w14:prstDash w14:val="solid"/>
            <w14:miter w14:val="0"/>
          </w14:textOutline>
        </w:rPr>
        <w:t>(</w:t>
      </w:r>
      <w:r>
        <w:rPr>
          <w:rFonts w:hint="eastAsia" w:ascii="宋体" w:hAnsi="宋体" w:eastAsia="宋体" w:cs="宋体"/>
          <w:color w:val="auto"/>
          <w:spacing w:val="19"/>
          <w:sz w:val="28"/>
          <w:szCs w:val="28"/>
          <w:highlight w:val="none"/>
          <w14:textOutline w14:w="5092" w14:cap="flat" w14:cmpd="sng" w14:algn="ctr">
            <w14:solidFill>
              <w14:srgbClr w14:val="000000"/>
            </w14:solidFill>
            <w14:prstDash w14:val="solid"/>
            <w14:miter w14:val="0"/>
          </w14:textOutline>
        </w:rPr>
        <w:t>1</w:t>
      </w:r>
      <w:r>
        <w:rPr>
          <w:rFonts w:ascii="宋体" w:hAnsi="宋体" w:eastAsia="宋体" w:cs="宋体"/>
          <w:color w:val="auto"/>
          <w:spacing w:val="19"/>
          <w:sz w:val="28"/>
          <w:szCs w:val="28"/>
          <w:highlight w:val="none"/>
          <w14:textOutline w14:w="5092" w14:cap="flat" w14:cmpd="sng" w14:algn="ctr">
            <w14:solidFill>
              <w14:srgbClr w14:val="000000"/>
            </w14:solidFill>
            <w14:prstDash w14:val="solid"/>
            <w14:miter w14:val="0"/>
          </w14:textOutline>
        </w:rPr>
        <w:t>)投标函</w:t>
      </w:r>
    </w:p>
    <w:p>
      <w:pPr>
        <w:spacing w:before="192" w:line="404" w:lineRule="auto"/>
        <w:ind w:firstLine="458"/>
        <w:rPr>
          <w:rFonts w:ascii="宋体" w:hAnsi="宋体" w:eastAsia="宋体" w:cs="宋体"/>
          <w:color w:val="auto"/>
          <w:highlight w:val="none"/>
        </w:rPr>
      </w:pPr>
      <w:r>
        <w:rPr>
          <w:rFonts w:ascii="Times New Roman" w:hAnsi="Times New Roman" w:eastAsia="Times New Roman" w:cs="Times New Roman"/>
          <w:color w:val="auto"/>
          <w:spacing w:val="-2"/>
          <w:highlight w:val="none"/>
        </w:rPr>
        <w:t>1</w:t>
      </w:r>
      <w:r>
        <w:rPr>
          <w:rFonts w:ascii="宋体" w:hAnsi="宋体" w:eastAsia="宋体" w:cs="宋体"/>
          <w:color w:val="auto"/>
          <w:spacing w:val="-2"/>
          <w:highlight w:val="none"/>
        </w:rPr>
        <w:t xml:space="preserve">、根据你方项目编号为 </w:t>
      </w:r>
      <w:r>
        <w:rPr>
          <w:rFonts w:ascii="宋体" w:hAnsi="宋体" w:eastAsia="宋体" w:cs="宋体"/>
          <w:color w:val="auto"/>
          <w:spacing w:val="-2"/>
          <w:highlight w:val="none"/>
          <w:u w:val="single"/>
        </w:rPr>
        <w:t xml:space="preserve">  (项</w:t>
      </w:r>
      <w:r>
        <w:rPr>
          <w:rFonts w:ascii="宋体" w:hAnsi="宋体" w:eastAsia="宋体" w:cs="宋体"/>
          <w:color w:val="auto"/>
          <w:spacing w:val="-1"/>
          <w:highlight w:val="none"/>
          <w:u w:val="single"/>
        </w:rPr>
        <w:t xml:space="preserve">目编号)  </w:t>
      </w:r>
      <w:r>
        <w:rPr>
          <w:rFonts w:ascii="宋体" w:hAnsi="宋体" w:eastAsia="宋体" w:cs="宋体"/>
          <w:color w:val="auto"/>
          <w:spacing w:val="-1"/>
          <w:highlight w:val="none"/>
        </w:rPr>
        <w:t xml:space="preserve"> 的</w:t>
      </w:r>
      <w:r>
        <w:rPr>
          <w:rFonts w:ascii="宋体" w:hAnsi="宋体" w:eastAsia="宋体" w:cs="宋体"/>
          <w:color w:val="auto"/>
          <w:spacing w:val="-1"/>
          <w:highlight w:val="none"/>
          <w:u w:val="single"/>
        </w:rPr>
        <w:t xml:space="preserve">  (工程项目名称)  </w:t>
      </w:r>
      <w:r>
        <w:rPr>
          <w:rFonts w:ascii="宋体" w:hAnsi="宋体" w:eastAsia="宋体" w:cs="宋体"/>
          <w:color w:val="auto"/>
          <w:spacing w:val="-1"/>
          <w:highlight w:val="none"/>
        </w:rPr>
        <w:t xml:space="preserve"> 工程招标文件，遵照《中</w:t>
      </w:r>
      <w:r>
        <w:rPr>
          <w:rFonts w:ascii="宋体" w:hAnsi="宋体" w:eastAsia="宋体" w:cs="宋体"/>
          <w:color w:val="auto"/>
          <w:spacing w:val="-4"/>
          <w:highlight w:val="none"/>
        </w:rPr>
        <w:t>华人民共和国招标投标</w:t>
      </w:r>
      <w:r>
        <w:rPr>
          <w:rFonts w:ascii="宋体" w:hAnsi="宋体" w:eastAsia="宋体" w:cs="宋体"/>
          <w:color w:val="auto"/>
          <w:spacing w:val="-3"/>
          <w:highlight w:val="none"/>
        </w:rPr>
        <w:t>法</w:t>
      </w:r>
      <w:r>
        <w:rPr>
          <w:rFonts w:ascii="宋体" w:hAnsi="宋体" w:eastAsia="宋体" w:cs="宋体"/>
          <w:color w:val="auto"/>
          <w:spacing w:val="-2"/>
          <w:highlight w:val="none"/>
        </w:rPr>
        <w:t>》等有关规定， 经踏勘项目现场和研究上述招标文件的投标须知、合同</w:t>
      </w:r>
      <w:r>
        <w:rPr>
          <w:rFonts w:ascii="宋体" w:hAnsi="宋体" w:eastAsia="宋体" w:cs="宋体"/>
          <w:color w:val="auto"/>
          <w:spacing w:val="-4"/>
          <w:highlight w:val="none"/>
        </w:rPr>
        <w:t>条款、图纸、工程建设标准和工</w:t>
      </w:r>
      <w:r>
        <w:rPr>
          <w:rFonts w:ascii="宋体" w:hAnsi="宋体" w:eastAsia="宋体" w:cs="宋体"/>
          <w:color w:val="auto"/>
          <w:spacing w:val="-2"/>
          <w:highlight w:val="none"/>
        </w:rPr>
        <w:t>程量清单及其他有关文件后， 我方愿意以工程总造价人民币 (大</w:t>
      </w:r>
      <w:r>
        <w:rPr>
          <w:rFonts w:ascii="宋体" w:hAnsi="宋体" w:eastAsia="宋体" w:cs="宋体"/>
          <w:color w:val="auto"/>
          <w:highlight w:val="none"/>
        </w:rPr>
        <w:t xml:space="preserve"> </w:t>
      </w:r>
      <w:r>
        <w:rPr>
          <w:rFonts w:ascii="宋体" w:hAnsi="宋体" w:eastAsia="宋体" w:cs="宋体"/>
          <w:color w:val="auto"/>
          <w:spacing w:val="2"/>
          <w:highlight w:val="none"/>
        </w:rPr>
        <w:t>写)</w:t>
      </w:r>
      <w:r>
        <w:rPr>
          <w:rFonts w:ascii="宋体" w:hAnsi="宋体" w:eastAsia="宋体" w:cs="宋体"/>
          <w:color w:val="auto"/>
          <w:spacing w:val="2"/>
          <w:highlight w:val="none"/>
          <w:u w:val="single"/>
        </w:rPr>
        <w:t xml:space="preserve">            </w:t>
      </w:r>
      <w:r>
        <w:rPr>
          <w:rFonts w:ascii="宋体" w:hAnsi="宋体" w:eastAsia="宋体" w:cs="宋体"/>
          <w:color w:val="auto"/>
          <w:spacing w:val="2"/>
          <w:highlight w:val="none"/>
        </w:rPr>
        <w:t>元(￥</w:t>
      </w:r>
      <w:r>
        <w:rPr>
          <w:rFonts w:ascii="宋体" w:hAnsi="宋体" w:eastAsia="宋体" w:cs="宋体"/>
          <w:color w:val="auto"/>
          <w:spacing w:val="2"/>
          <w:highlight w:val="none"/>
          <w:u w:val="single"/>
        </w:rPr>
        <w:t xml:space="preserve">      </w:t>
      </w:r>
      <w:r>
        <w:rPr>
          <w:rFonts w:ascii="宋体" w:hAnsi="宋体" w:eastAsia="宋体" w:cs="宋体"/>
          <w:color w:val="auto"/>
          <w:spacing w:val="2"/>
          <w:highlight w:val="none"/>
        </w:rPr>
        <w:t>元) 【其中：投标报价(大写)</w:t>
      </w:r>
      <w:r>
        <w:rPr>
          <w:rFonts w:ascii="宋体" w:hAnsi="宋体" w:eastAsia="宋体" w:cs="宋体"/>
          <w:color w:val="auto"/>
          <w:spacing w:val="2"/>
          <w:highlight w:val="none"/>
          <w:u w:val="single"/>
        </w:rPr>
        <w:t xml:space="preserve"> </w:t>
      </w:r>
      <w:r>
        <w:rPr>
          <w:rFonts w:ascii="宋体" w:hAnsi="宋体" w:eastAsia="宋体" w:cs="宋体"/>
          <w:color w:val="auto"/>
          <w:spacing w:val="1"/>
          <w:highlight w:val="none"/>
          <w:u w:val="single"/>
        </w:rPr>
        <w:t xml:space="preserve">         </w:t>
      </w:r>
      <w:r>
        <w:rPr>
          <w:rFonts w:ascii="宋体" w:hAnsi="宋体" w:eastAsia="宋体" w:cs="宋体"/>
          <w:color w:val="auto"/>
          <w:spacing w:val="1"/>
          <w:highlight w:val="none"/>
        </w:rPr>
        <w:t>元(￥</w:t>
      </w:r>
      <w:r>
        <w:rPr>
          <w:rFonts w:ascii="宋体" w:hAnsi="宋体" w:eastAsia="宋体" w:cs="宋体"/>
          <w:color w:val="auto"/>
          <w:spacing w:val="1"/>
          <w:highlight w:val="none"/>
          <w:u w:val="single"/>
        </w:rPr>
        <w:t xml:space="preserve">     </w:t>
      </w:r>
      <w:r>
        <w:rPr>
          <w:rFonts w:ascii="宋体" w:hAnsi="宋体" w:eastAsia="宋体" w:cs="宋体"/>
          <w:color w:val="auto"/>
          <w:spacing w:val="1"/>
          <w:highlight w:val="none"/>
        </w:rPr>
        <w:t>元)、安全文</w:t>
      </w:r>
      <w:r>
        <w:rPr>
          <w:rFonts w:ascii="宋体" w:hAnsi="宋体" w:eastAsia="宋体" w:cs="宋体"/>
          <w:color w:val="auto"/>
          <w:spacing w:val="-6"/>
          <w:highlight w:val="none"/>
        </w:rPr>
        <w:t>明施工费￥</w:t>
      </w:r>
      <w:r>
        <w:rPr>
          <w:rFonts w:ascii="宋体" w:hAnsi="宋体" w:eastAsia="宋体" w:cs="宋体"/>
          <w:color w:val="auto"/>
          <w:spacing w:val="-6"/>
          <w:highlight w:val="none"/>
          <w:u w:val="single"/>
        </w:rPr>
        <w:t xml:space="preserve">       </w:t>
      </w:r>
      <w:r>
        <w:rPr>
          <w:rFonts w:ascii="宋体" w:hAnsi="宋体" w:eastAsia="宋体" w:cs="宋体"/>
          <w:color w:val="auto"/>
          <w:spacing w:val="-6"/>
          <w:highlight w:val="none"/>
        </w:rPr>
        <w:t>元、</w:t>
      </w:r>
      <w:r>
        <w:rPr>
          <w:rFonts w:ascii="宋体" w:hAnsi="宋体" w:eastAsia="宋体" w:cs="宋体"/>
          <w:color w:val="auto"/>
          <w:spacing w:val="-4"/>
          <w:highlight w:val="none"/>
        </w:rPr>
        <w:t>规</w:t>
      </w:r>
      <w:r>
        <w:rPr>
          <w:rFonts w:ascii="宋体" w:hAnsi="宋体" w:eastAsia="宋体" w:cs="宋体"/>
          <w:color w:val="auto"/>
          <w:spacing w:val="-3"/>
          <w:highlight w:val="none"/>
        </w:rPr>
        <w:t>费￥</w:t>
      </w:r>
      <w:r>
        <w:rPr>
          <w:rFonts w:ascii="宋体" w:hAnsi="宋体" w:eastAsia="宋体" w:cs="宋体"/>
          <w:color w:val="auto"/>
          <w:spacing w:val="-3"/>
          <w:highlight w:val="none"/>
          <w:u w:val="single"/>
        </w:rPr>
        <w:t xml:space="preserve">      </w:t>
      </w:r>
      <w:r>
        <w:rPr>
          <w:rFonts w:ascii="宋体" w:hAnsi="宋体" w:eastAsia="宋体" w:cs="宋体"/>
          <w:color w:val="auto"/>
          <w:spacing w:val="-3"/>
          <w:highlight w:val="none"/>
        </w:rPr>
        <w:t>元 (其中： 社会保险费￥</w:t>
      </w:r>
      <w:r>
        <w:rPr>
          <w:rFonts w:ascii="宋体" w:hAnsi="宋体" w:eastAsia="宋体" w:cs="宋体"/>
          <w:color w:val="auto"/>
          <w:spacing w:val="-3"/>
          <w:highlight w:val="none"/>
          <w:u w:val="single"/>
        </w:rPr>
        <w:t xml:space="preserve">     </w:t>
      </w:r>
      <w:r>
        <w:rPr>
          <w:rFonts w:ascii="宋体" w:hAnsi="宋体" w:eastAsia="宋体" w:cs="宋体"/>
          <w:color w:val="auto"/>
          <w:spacing w:val="-3"/>
          <w:highlight w:val="none"/>
        </w:rPr>
        <w:t>元，其他￥</w:t>
      </w:r>
      <w:r>
        <w:rPr>
          <w:rFonts w:ascii="宋体" w:hAnsi="宋体" w:eastAsia="宋体" w:cs="宋体"/>
          <w:color w:val="auto"/>
          <w:spacing w:val="-3"/>
          <w:highlight w:val="none"/>
          <w:u w:val="single"/>
        </w:rPr>
        <w:t xml:space="preserve">     </w:t>
      </w:r>
      <w:r>
        <w:rPr>
          <w:rFonts w:ascii="宋体" w:hAnsi="宋体" w:eastAsia="宋体" w:cs="宋体"/>
          <w:color w:val="auto"/>
          <w:spacing w:val="-3"/>
          <w:highlight w:val="none"/>
        </w:rPr>
        <w:t>元) 、增值</w:t>
      </w:r>
      <w:r>
        <w:rPr>
          <w:rFonts w:ascii="宋体" w:hAnsi="宋体" w:eastAsia="宋体" w:cs="宋体"/>
          <w:color w:val="auto"/>
          <w:spacing w:val="4"/>
          <w:highlight w:val="none"/>
        </w:rPr>
        <w:t>税￥</w:t>
      </w:r>
      <w:r>
        <w:rPr>
          <w:rFonts w:ascii="宋体" w:hAnsi="宋体" w:eastAsia="宋体" w:cs="宋体"/>
          <w:color w:val="auto"/>
          <w:spacing w:val="4"/>
          <w:highlight w:val="none"/>
          <w:u w:val="single"/>
        </w:rPr>
        <w:t xml:space="preserve">     </w:t>
      </w:r>
      <w:r>
        <w:rPr>
          <w:rFonts w:ascii="宋体" w:hAnsi="宋体" w:eastAsia="宋体" w:cs="宋体"/>
          <w:color w:val="auto"/>
          <w:spacing w:val="4"/>
          <w:highlight w:val="none"/>
        </w:rPr>
        <w:t>元、</w:t>
      </w:r>
      <w:r>
        <w:rPr>
          <w:rFonts w:ascii="宋体" w:hAnsi="宋体" w:eastAsia="宋体" w:cs="宋体"/>
          <w:strike/>
          <w:dstrike w:val="0"/>
          <w:color w:val="auto"/>
          <w:spacing w:val="4"/>
          <w:highlight w:val="none"/>
        </w:rPr>
        <w:t>暂列金额￥</w:t>
      </w:r>
      <w:r>
        <w:rPr>
          <w:rFonts w:ascii="宋体" w:hAnsi="宋体" w:eastAsia="宋体" w:cs="宋体"/>
          <w:strike/>
          <w:dstrike w:val="0"/>
          <w:color w:val="auto"/>
          <w:spacing w:val="4"/>
          <w:highlight w:val="none"/>
          <w:u w:val="single"/>
        </w:rPr>
        <w:t xml:space="preserve">       </w:t>
      </w:r>
      <w:r>
        <w:rPr>
          <w:rFonts w:ascii="宋体" w:hAnsi="宋体" w:eastAsia="宋体" w:cs="宋体"/>
          <w:strike/>
          <w:dstrike w:val="0"/>
          <w:color w:val="auto"/>
          <w:spacing w:val="4"/>
          <w:highlight w:val="none"/>
        </w:rPr>
        <w:t>元</w:t>
      </w:r>
      <w:r>
        <w:rPr>
          <w:rFonts w:ascii="宋体" w:hAnsi="宋体" w:eastAsia="宋体" w:cs="宋体"/>
          <w:color w:val="auto"/>
          <w:spacing w:val="4"/>
          <w:highlight w:val="none"/>
        </w:rPr>
        <w:t>、</w:t>
      </w:r>
      <w:r>
        <w:rPr>
          <w:rFonts w:ascii="宋体" w:hAnsi="宋体" w:eastAsia="宋体" w:cs="宋体"/>
          <w:color w:val="auto"/>
          <w:spacing w:val="2"/>
          <w:highlight w:val="none"/>
        </w:rPr>
        <w:t>暂</w:t>
      </w:r>
      <w:r>
        <w:rPr>
          <w:rFonts w:ascii="宋体" w:hAnsi="宋体" w:eastAsia="宋体" w:cs="宋体"/>
          <w:color w:val="auto"/>
          <w:highlight w:val="none"/>
        </w:rPr>
        <w:t xml:space="preserve">估价 </w:t>
      </w:r>
      <w:r>
        <w:rPr>
          <w:rFonts w:ascii="宋体" w:hAnsi="宋体" w:eastAsia="宋体" w:cs="宋体"/>
          <w:color w:val="auto"/>
          <w:spacing w:val="-4"/>
          <w:highlight w:val="none"/>
        </w:rPr>
        <w:t>￥</w:t>
      </w:r>
      <w:r>
        <w:rPr>
          <w:rFonts w:ascii="宋体" w:hAnsi="宋体" w:eastAsia="宋体" w:cs="宋体"/>
          <w:color w:val="auto"/>
          <w:spacing w:val="-4"/>
          <w:highlight w:val="none"/>
          <w:u w:val="single"/>
        </w:rPr>
        <w:t xml:space="preserve">  </w:t>
      </w:r>
      <w:r>
        <w:rPr>
          <w:rFonts w:ascii="宋体" w:hAnsi="宋体" w:eastAsia="宋体" w:cs="宋体"/>
          <w:color w:val="auto"/>
          <w:spacing w:val="-3"/>
          <w:highlight w:val="none"/>
          <w:u w:val="single"/>
        </w:rPr>
        <w:t xml:space="preserve"> </w:t>
      </w:r>
      <w:r>
        <w:rPr>
          <w:rFonts w:ascii="宋体" w:hAnsi="宋体" w:eastAsia="宋体" w:cs="宋体"/>
          <w:color w:val="auto"/>
          <w:spacing w:val="-2"/>
          <w:highlight w:val="none"/>
          <w:u w:val="single"/>
        </w:rPr>
        <w:t xml:space="preserve">    </w:t>
      </w:r>
      <w:r>
        <w:rPr>
          <w:rFonts w:ascii="宋体" w:hAnsi="宋体" w:eastAsia="宋体" w:cs="宋体"/>
          <w:color w:val="auto"/>
          <w:spacing w:val="-2"/>
          <w:highlight w:val="none"/>
        </w:rPr>
        <w:t>元】， 根据市住建〔</w:t>
      </w:r>
      <w:r>
        <w:rPr>
          <w:rFonts w:ascii="Times New Roman" w:hAnsi="Times New Roman" w:eastAsia="Times New Roman" w:cs="Times New Roman"/>
          <w:color w:val="auto"/>
          <w:spacing w:val="-2"/>
          <w:highlight w:val="none"/>
        </w:rPr>
        <w:t>2016</w:t>
      </w:r>
      <w:r>
        <w:rPr>
          <w:rFonts w:ascii="宋体" w:hAnsi="宋体" w:eastAsia="宋体" w:cs="宋体"/>
          <w:color w:val="auto"/>
          <w:spacing w:val="-2"/>
          <w:highlight w:val="none"/>
        </w:rPr>
        <w:t>〕</w:t>
      </w:r>
      <w:r>
        <w:rPr>
          <w:rFonts w:ascii="Times New Roman" w:hAnsi="Times New Roman" w:eastAsia="Times New Roman" w:cs="Times New Roman"/>
          <w:color w:val="auto"/>
          <w:spacing w:val="-2"/>
          <w:highlight w:val="none"/>
        </w:rPr>
        <w:t xml:space="preserve">34  </w:t>
      </w:r>
      <w:r>
        <w:rPr>
          <w:rFonts w:ascii="宋体" w:hAnsi="宋体" w:eastAsia="宋体" w:cs="宋体"/>
          <w:color w:val="auto"/>
          <w:spacing w:val="-2"/>
          <w:highlight w:val="none"/>
        </w:rPr>
        <w:t>号文《关于市建成区、临桂新区、灵川县范围内建筑工</w:t>
      </w:r>
      <w:r>
        <w:rPr>
          <w:rFonts w:ascii="宋体" w:hAnsi="宋体" w:eastAsia="宋体" w:cs="宋体"/>
          <w:color w:val="auto"/>
          <w:spacing w:val="-12"/>
          <w:highlight w:val="none"/>
        </w:rPr>
        <w:t>程</w:t>
      </w:r>
      <w:r>
        <w:rPr>
          <w:rFonts w:ascii="宋体" w:hAnsi="宋体" w:eastAsia="宋体" w:cs="宋体"/>
          <w:color w:val="auto"/>
          <w:spacing w:val="-10"/>
          <w:highlight w:val="none"/>
        </w:rPr>
        <w:t>新</w:t>
      </w:r>
      <w:r>
        <w:rPr>
          <w:rFonts w:ascii="宋体" w:hAnsi="宋体" w:eastAsia="宋体" w:cs="宋体"/>
          <w:color w:val="auto"/>
          <w:spacing w:val="-6"/>
          <w:highlight w:val="none"/>
        </w:rPr>
        <w:t>增扬尘防治费用的通知》， 另计扬尘防治费，本项目扬尘防治费</w:t>
      </w:r>
      <w:r>
        <w:rPr>
          <w:rFonts w:ascii="宋体" w:hAnsi="宋体" w:eastAsia="宋体" w:cs="宋体"/>
          <w:color w:val="auto"/>
          <w:spacing w:val="-6"/>
          <w:highlight w:val="none"/>
          <w:u w:val="single"/>
        </w:rPr>
        <w:t xml:space="preserve">            </w:t>
      </w:r>
      <w:r>
        <w:rPr>
          <w:rFonts w:ascii="宋体" w:hAnsi="宋体" w:eastAsia="宋体" w:cs="宋体"/>
          <w:color w:val="auto"/>
          <w:spacing w:val="-6"/>
          <w:highlight w:val="none"/>
        </w:rPr>
        <w:t xml:space="preserve"> 元，并按上述</w:t>
      </w:r>
      <w:r>
        <w:rPr>
          <w:rFonts w:ascii="宋体" w:hAnsi="宋体" w:eastAsia="宋体" w:cs="宋体"/>
          <w:color w:val="auto"/>
          <w:spacing w:val="-2"/>
          <w:highlight w:val="none"/>
        </w:rPr>
        <w:t>图纸、合</w:t>
      </w:r>
      <w:r>
        <w:rPr>
          <w:rFonts w:ascii="宋体" w:hAnsi="宋体" w:eastAsia="宋体" w:cs="宋体"/>
          <w:color w:val="auto"/>
          <w:spacing w:val="-1"/>
          <w:highlight w:val="none"/>
        </w:rPr>
        <w:t>同条款、工程建设标准和工程量清单(如有时) 的条件要求承包上述工程的施工、竣工，并承担任何质量缺陷保修责任。我方保</w:t>
      </w:r>
      <w:r>
        <w:rPr>
          <w:rFonts w:ascii="宋体" w:hAnsi="宋体" w:eastAsia="宋体" w:cs="宋体"/>
          <w:color w:val="auto"/>
          <w:highlight w:val="none"/>
        </w:rPr>
        <w:t>证工程质量达到</w:t>
      </w:r>
      <w:r>
        <w:rPr>
          <w:rFonts w:ascii="宋体" w:hAnsi="宋体" w:eastAsia="宋体" w:cs="宋体"/>
          <w:color w:val="auto"/>
          <w:highlight w:val="none"/>
          <w:u w:val="single"/>
        </w:rPr>
        <w:t xml:space="preserve">       </w:t>
      </w:r>
      <w:r>
        <w:rPr>
          <w:rFonts w:ascii="宋体" w:hAnsi="宋体" w:eastAsia="宋体" w:cs="宋体"/>
          <w:color w:val="auto"/>
          <w:highlight w:val="none"/>
        </w:rPr>
        <w:t>等级。</w:t>
      </w:r>
    </w:p>
    <w:p>
      <w:pPr>
        <w:spacing w:line="219" w:lineRule="auto"/>
        <w:ind w:left="438"/>
        <w:rPr>
          <w:rFonts w:ascii="宋体" w:hAnsi="宋体" w:eastAsia="宋体" w:cs="宋体"/>
          <w:color w:val="auto"/>
          <w:highlight w:val="none"/>
        </w:rPr>
      </w:pPr>
      <w:r>
        <w:rPr>
          <w:rFonts w:ascii="Times New Roman" w:hAnsi="Times New Roman" w:eastAsia="Times New Roman" w:cs="Times New Roman"/>
          <w:color w:val="auto"/>
          <w:spacing w:val="8"/>
          <w:highlight w:val="none"/>
        </w:rPr>
        <w:t xml:space="preserve">2 </w:t>
      </w:r>
      <w:r>
        <w:rPr>
          <w:rFonts w:ascii="宋体" w:hAnsi="宋体" w:eastAsia="宋体" w:cs="宋体"/>
          <w:color w:val="auto"/>
          <w:spacing w:val="8"/>
          <w:highlight w:val="none"/>
        </w:rPr>
        <w:t>、我方</w:t>
      </w:r>
      <w:r>
        <w:rPr>
          <w:rFonts w:ascii="宋体" w:hAnsi="宋体" w:eastAsia="宋体" w:cs="宋体"/>
          <w:color w:val="auto"/>
          <w:spacing w:val="6"/>
          <w:highlight w:val="none"/>
        </w:rPr>
        <w:t>已</w:t>
      </w:r>
      <w:r>
        <w:rPr>
          <w:rFonts w:ascii="宋体" w:hAnsi="宋体" w:eastAsia="宋体" w:cs="宋体"/>
          <w:color w:val="auto"/>
          <w:spacing w:val="4"/>
          <w:highlight w:val="none"/>
        </w:rPr>
        <w:t>详细审核全部招标文件，包括修改文件(如有时)及有关附件。</w:t>
      </w:r>
    </w:p>
    <w:p>
      <w:pPr>
        <w:spacing w:before="211" w:line="220" w:lineRule="auto"/>
        <w:ind w:left="442"/>
        <w:rPr>
          <w:rFonts w:ascii="宋体" w:hAnsi="宋体" w:eastAsia="宋体" w:cs="宋体"/>
          <w:color w:val="auto"/>
          <w:highlight w:val="none"/>
        </w:rPr>
      </w:pPr>
      <w:r>
        <w:rPr>
          <w:rFonts w:ascii="Times New Roman" w:hAnsi="Times New Roman" w:eastAsia="Times New Roman" w:cs="Times New Roman"/>
          <w:color w:val="auto"/>
          <w:spacing w:val="-4"/>
          <w:highlight w:val="none"/>
        </w:rPr>
        <w:t>3</w:t>
      </w:r>
      <w:r>
        <w:rPr>
          <w:rFonts w:ascii="Times New Roman" w:hAnsi="Times New Roman" w:eastAsia="Times New Roman" w:cs="Times New Roman"/>
          <w:color w:val="auto"/>
          <w:spacing w:val="-3"/>
          <w:highlight w:val="none"/>
        </w:rPr>
        <w:t xml:space="preserve"> </w:t>
      </w:r>
      <w:r>
        <w:rPr>
          <w:rFonts w:ascii="宋体" w:hAnsi="宋体" w:eastAsia="宋体" w:cs="宋体"/>
          <w:color w:val="auto"/>
          <w:spacing w:val="-3"/>
          <w:highlight w:val="none"/>
        </w:rPr>
        <w:t>、我方承认投标函附录是我方投标函的组成部分。</w:t>
      </w:r>
    </w:p>
    <w:p>
      <w:pPr>
        <w:spacing w:before="211" w:line="404" w:lineRule="auto"/>
        <w:ind w:right="61" w:firstLine="437"/>
        <w:rPr>
          <w:rFonts w:ascii="宋体" w:hAnsi="宋体" w:eastAsia="宋体" w:cs="宋体"/>
          <w:color w:val="auto"/>
          <w:highlight w:val="none"/>
        </w:rPr>
      </w:pPr>
      <w:r>
        <w:rPr>
          <w:rFonts w:ascii="Times New Roman" w:hAnsi="Times New Roman" w:eastAsia="Times New Roman" w:cs="Times New Roman"/>
          <w:color w:val="auto"/>
          <w:spacing w:val="-3"/>
          <w:highlight w:val="none"/>
        </w:rPr>
        <w:t>4</w:t>
      </w:r>
      <w:r>
        <w:rPr>
          <w:rFonts w:ascii="宋体" w:hAnsi="宋体" w:eastAsia="宋体" w:cs="宋体"/>
          <w:color w:val="auto"/>
          <w:spacing w:val="-3"/>
          <w:highlight w:val="none"/>
        </w:rPr>
        <w:t>、一旦我方中标，我方保证按合同书中规定的工期</w:t>
      </w:r>
      <w:r>
        <w:rPr>
          <w:rFonts w:ascii="宋体" w:hAnsi="宋体" w:eastAsia="宋体" w:cs="宋体"/>
          <w:color w:val="auto"/>
          <w:spacing w:val="-3"/>
          <w:highlight w:val="none"/>
          <w:u w:val="single"/>
        </w:rPr>
        <w:t xml:space="preserve">  (工期)   </w:t>
      </w:r>
      <w:r>
        <w:rPr>
          <w:rFonts w:ascii="宋体" w:hAnsi="宋体" w:eastAsia="宋体" w:cs="宋体"/>
          <w:color w:val="auto"/>
          <w:spacing w:val="-3"/>
          <w:highlight w:val="none"/>
        </w:rPr>
        <w:t xml:space="preserve"> 日历天内完成并移交</w:t>
      </w:r>
      <w:r>
        <w:rPr>
          <w:rFonts w:ascii="宋体" w:hAnsi="宋体" w:eastAsia="宋体" w:cs="宋体"/>
          <w:color w:val="auto"/>
          <w:spacing w:val="-1"/>
          <w:highlight w:val="none"/>
        </w:rPr>
        <w:t>全</w:t>
      </w:r>
      <w:r>
        <w:rPr>
          <w:rFonts w:ascii="宋体" w:hAnsi="宋体" w:eastAsia="宋体" w:cs="宋体"/>
          <w:color w:val="auto"/>
          <w:highlight w:val="none"/>
        </w:rPr>
        <w:t>部工</w:t>
      </w:r>
      <w:r>
        <w:rPr>
          <w:rFonts w:ascii="宋体" w:hAnsi="宋体" w:eastAsia="宋体" w:cs="宋体"/>
          <w:color w:val="auto"/>
          <w:spacing w:val="-9"/>
          <w:highlight w:val="none"/>
        </w:rPr>
        <w:t>程。</w:t>
      </w:r>
    </w:p>
    <w:p>
      <w:pPr>
        <w:spacing w:before="1" w:line="220" w:lineRule="auto"/>
        <w:ind w:left="444"/>
        <w:rPr>
          <w:rFonts w:ascii="宋体" w:hAnsi="宋体" w:eastAsia="宋体" w:cs="宋体"/>
          <w:color w:val="auto"/>
          <w:highlight w:val="none"/>
        </w:rPr>
      </w:pPr>
      <w:r>
        <w:rPr>
          <w:rFonts w:ascii="Times New Roman" w:hAnsi="Times New Roman" w:eastAsia="Times New Roman" w:cs="Times New Roman"/>
          <w:color w:val="auto"/>
          <w:spacing w:val="-10"/>
          <w:highlight w:val="none"/>
        </w:rPr>
        <w:t>5</w:t>
      </w:r>
      <w:r>
        <w:rPr>
          <w:rFonts w:ascii="Times New Roman" w:hAnsi="Times New Roman" w:eastAsia="Times New Roman" w:cs="Times New Roman"/>
          <w:color w:val="auto"/>
          <w:spacing w:val="-8"/>
          <w:highlight w:val="none"/>
        </w:rPr>
        <w:t xml:space="preserve"> </w:t>
      </w:r>
      <w:r>
        <w:rPr>
          <w:rFonts w:ascii="宋体" w:hAnsi="宋体" w:eastAsia="宋体" w:cs="宋体"/>
          <w:color w:val="auto"/>
          <w:spacing w:val="-5"/>
          <w:highlight w:val="none"/>
        </w:rPr>
        <w:t>、如果我方中标， 我方将按照文件规定提交履约保证金作为履约担保。</w:t>
      </w:r>
    </w:p>
    <w:p>
      <w:pPr>
        <w:spacing w:before="210" w:line="404" w:lineRule="auto"/>
        <w:ind w:firstLine="443"/>
        <w:rPr>
          <w:rFonts w:ascii="宋体" w:hAnsi="宋体" w:eastAsia="宋体" w:cs="宋体"/>
          <w:color w:val="auto"/>
          <w:highlight w:val="none"/>
        </w:rPr>
      </w:pPr>
      <w:r>
        <w:rPr>
          <w:rFonts w:ascii="Times New Roman" w:hAnsi="Times New Roman" w:eastAsia="Times New Roman" w:cs="Times New Roman"/>
          <w:color w:val="auto"/>
          <w:spacing w:val="-5"/>
          <w:highlight w:val="none"/>
        </w:rPr>
        <w:t>6</w:t>
      </w:r>
      <w:r>
        <w:rPr>
          <w:rFonts w:ascii="宋体" w:hAnsi="宋体" w:eastAsia="宋体" w:cs="宋体"/>
          <w:color w:val="auto"/>
          <w:spacing w:val="-5"/>
          <w:highlight w:val="none"/>
        </w:rPr>
        <w:t xml:space="preserve">、我方同意所提交的投标文件在招标文件的投标须知中第 </w:t>
      </w:r>
      <w:r>
        <w:rPr>
          <w:rFonts w:ascii="Times New Roman" w:hAnsi="Times New Roman" w:eastAsia="Times New Roman" w:cs="Times New Roman"/>
          <w:color w:val="auto"/>
          <w:spacing w:val="-5"/>
          <w:highlight w:val="none"/>
        </w:rPr>
        <w:t xml:space="preserve">3.3.1 </w:t>
      </w:r>
      <w:r>
        <w:rPr>
          <w:rFonts w:ascii="宋体" w:hAnsi="宋体" w:eastAsia="宋体" w:cs="宋体"/>
          <w:color w:val="auto"/>
          <w:spacing w:val="-5"/>
          <w:highlight w:val="none"/>
        </w:rPr>
        <w:t>条规定的投标有效期内有效</w:t>
      </w:r>
      <w:r>
        <w:rPr>
          <w:rFonts w:ascii="宋体" w:hAnsi="宋体" w:eastAsia="宋体" w:cs="宋体"/>
          <w:color w:val="auto"/>
          <w:spacing w:val="-3"/>
          <w:highlight w:val="none"/>
        </w:rPr>
        <w:t>，</w:t>
      </w:r>
      <w:r>
        <w:rPr>
          <w:rFonts w:ascii="宋体" w:hAnsi="宋体" w:eastAsia="宋体" w:cs="宋体"/>
          <w:color w:val="auto"/>
          <w:spacing w:val="-1"/>
          <w:highlight w:val="none"/>
        </w:rPr>
        <w:t>在此期间内如果中标，我方将受此约束。</w:t>
      </w:r>
    </w:p>
    <w:p>
      <w:pPr>
        <w:spacing w:before="1" w:line="219" w:lineRule="auto"/>
        <w:ind w:firstLine="438" w:firstLineChars="205"/>
        <w:rPr>
          <w:rFonts w:ascii="宋体" w:hAnsi="宋体" w:eastAsia="宋体" w:cs="宋体"/>
          <w:color w:val="auto"/>
          <w:highlight w:val="none"/>
        </w:rPr>
      </w:pPr>
      <w:r>
        <w:rPr>
          <w:rFonts w:ascii="Times New Roman" w:hAnsi="Times New Roman" w:eastAsia="Times New Roman" w:cs="Times New Roman"/>
          <w:color w:val="auto"/>
          <w:spacing w:val="2"/>
          <w:highlight w:val="none"/>
        </w:rPr>
        <w:t>7</w:t>
      </w:r>
      <w:r>
        <w:rPr>
          <w:rFonts w:ascii="宋体" w:hAnsi="宋体" w:eastAsia="宋体" w:cs="宋体"/>
          <w:color w:val="auto"/>
          <w:spacing w:val="2"/>
          <w:highlight w:val="none"/>
        </w:rPr>
        <w:t>、除非另外达成协议并生效，你方的中标通知书和本投标文件将成为约束双方的</w:t>
      </w:r>
      <w:r>
        <w:rPr>
          <w:rFonts w:ascii="宋体" w:hAnsi="宋体" w:eastAsia="宋体" w:cs="宋体"/>
          <w:color w:val="auto"/>
          <w:spacing w:val="1"/>
          <w:highlight w:val="none"/>
        </w:rPr>
        <w:t>合</w:t>
      </w:r>
      <w:r>
        <w:rPr>
          <w:rFonts w:ascii="宋体" w:hAnsi="宋体" w:eastAsia="宋体" w:cs="宋体"/>
          <w:color w:val="auto"/>
          <w:highlight w:val="none"/>
        </w:rPr>
        <w:t>同文件</w:t>
      </w:r>
      <w:r>
        <w:rPr>
          <w:rFonts w:hint="eastAsia" w:ascii="宋体" w:hAnsi="宋体" w:eastAsia="宋体" w:cs="宋体"/>
          <w:color w:val="auto"/>
          <w:highlight w:val="none"/>
        </w:rPr>
        <w:t>的组成部分。</w:t>
      </w:r>
    </w:p>
    <w:p>
      <w:pPr>
        <w:spacing w:line="360" w:lineRule="auto"/>
        <w:ind w:firstLine="630" w:firstLineChars="300"/>
        <w:rPr>
          <w:rFonts w:ascii="宋体" w:hAnsi="宋体" w:eastAsia="宋体" w:cs="宋体"/>
          <w:color w:val="auto"/>
          <w:position w:val="-2"/>
          <w:highlight w:val="none"/>
        </w:rPr>
      </w:pPr>
    </w:p>
    <w:p>
      <w:pPr>
        <w:spacing w:line="360" w:lineRule="auto"/>
        <w:ind w:firstLine="630" w:firstLineChars="300"/>
        <w:rPr>
          <w:rFonts w:ascii="宋体" w:hAnsi="宋体" w:eastAsia="宋体" w:cs="宋体"/>
          <w:color w:val="auto"/>
          <w:highlight w:val="none"/>
          <w:u w:val="single"/>
        </w:rPr>
      </w:pPr>
      <w:r>
        <w:rPr>
          <w:rFonts w:hint="eastAsia" w:ascii="宋体" w:hAnsi="宋体" w:eastAsia="宋体" w:cs="宋体"/>
          <w:color w:val="auto"/>
          <w:position w:val="-2"/>
          <w:highlight w:val="none"/>
        </w:rPr>
        <w:t>项目经理：</w:t>
      </w:r>
      <w:r>
        <w:rPr>
          <w:rFonts w:hint="eastAsia" w:ascii="宋体" w:hAnsi="宋体" w:eastAsia="宋体" w:cs="宋体"/>
          <w:color w:val="auto"/>
          <w:position w:val="-2"/>
          <w:highlight w:val="none"/>
          <w:u w:val="single"/>
        </w:rPr>
        <w:t xml:space="preserve">      </w:t>
      </w:r>
      <w:r>
        <w:rPr>
          <w:rFonts w:hint="eastAsia" w:ascii="宋体" w:hAnsi="宋体" w:eastAsia="宋体" w:cs="宋体"/>
          <w:color w:val="auto"/>
          <w:position w:val="-2"/>
          <w:highlight w:val="none"/>
          <w:u w:val="single"/>
        </w:rPr>
        <w:tab/>
      </w:r>
      <w:r>
        <w:rPr>
          <w:rFonts w:hint="eastAsia" w:ascii="宋体" w:hAnsi="宋体" w:eastAsia="宋体" w:cs="宋体"/>
          <w:color w:val="auto"/>
          <w:position w:val="-2"/>
          <w:highlight w:val="none"/>
        </w:rPr>
        <w:t>；项目总工：</w:t>
      </w:r>
      <w:r>
        <w:rPr>
          <w:rFonts w:hint="eastAsia" w:ascii="宋体" w:hAnsi="宋体" w:eastAsia="宋体" w:cs="宋体"/>
          <w:color w:val="auto"/>
          <w:position w:val="-2"/>
          <w:highlight w:val="none"/>
          <w:u w:val="single"/>
        </w:rPr>
        <w:t xml:space="preserve">      </w:t>
      </w:r>
      <w:r>
        <w:rPr>
          <w:rFonts w:hint="eastAsia" w:ascii="宋体" w:hAnsi="宋体" w:eastAsia="宋体" w:cs="宋体"/>
          <w:color w:val="auto"/>
          <w:position w:val="-2"/>
          <w:highlight w:val="none"/>
        </w:rPr>
        <w:t>；施工员：</w:t>
      </w:r>
      <w:r>
        <w:rPr>
          <w:rFonts w:hint="eastAsia" w:ascii="宋体" w:hAnsi="宋体" w:eastAsia="宋体" w:cs="宋体"/>
          <w:color w:val="auto"/>
          <w:position w:val="-2"/>
          <w:highlight w:val="none"/>
          <w:u w:val="single"/>
        </w:rPr>
        <w:t xml:space="preserve">      </w:t>
      </w:r>
      <w:r>
        <w:rPr>
          <w:rFonts w:hint="eastAsia" w:ascii="宋体" w:hAnsi="宋体" w:eastAsia="宋体" w:cs="宋体"/>
          <w:color w:val="auto"/>
          <w:position w:val="-2"/>
          <w:highlight w:val="none"/>
        </w:rPr>
        <w:t>；安全员：</w:t>
      </w:r>
      <w:r>
        <w:rPr>
          <w:rFonts w:hint="eastAsia" w:ascii="宋体" w:hAnsi="宋体" w:eastAsia="宋体" w:cs="宋体"/>
          <w:color w:val="auto"/>
          <w:position w:val="-2"/>
          <w:highlight w:val="none"/>
          <w:u w:val="single"/>
        </w:rPr>
        <w:t xml:space="preserve">      </w:t>
      </w:r>
      <w:r>
        <w:rPr>
          <w:rFonts w:hint="eastAsia" w:ascii="宋体" w:hAnsi="宋体" w:eastAsia="宋体" w:cs="宋体"/>
          <w:color w:val="auto"/>
          <w:position w:val="-2"/>
          <w:highlight w:val="none"/>
        </w:rPr>
        <w:t>；质检员：</w:t>
      </w:r>
      <w:r>
        <w:rPr>
          <w:rFonts w:hint="eastAsia" w:ascii="宋体" w:hAnsi="宋体" w:eastAsia="宋体" w:cs="宋体"/>
          <w:color w:val="auto"/>
          <w:position w:val="-2"/>
          <w:highlight w:val="none"/>
          <w:u w:val="single"/>
        </w:rPr>
        <w:t xml:space="preserve">    </w:t>
      </w:r>
      <w:r>
        <w:rPr>
          <w:rFonts w:hint="eastAsia" w:ascii="宋体" w:hAnsi="宋体" w:eastAsia="宋体" w:cs="宋体"/>
          <w:color w:val="auto"/>
          <w:position w:val="-2"/>
          <w:highlight w:val="none"/>
        </w:rPr>
        <w:t>。</w:t>
      </w:r>
    </w:p>
    <w:p>
      <w:pPr>
        <w:spacing w:line="360" w:lineRule="auto"/>
        <w:ind w:left="1000"/>
        <w:rPr>
          <w:rFonts w:ascii="宋体" w:hAnsi="宋体" w:eastAsia="宋体" w:cs="宋体"/>
          <w:color w:val="auto"/>
          <w:highlight w:val="none"/>
          <w:u w:val="single"/>
        </w:rPr>
      </w:pPr>
      <w:r>
        <w:rPr>
          <w:rFonts w:hint="eastAsia" w:ascii="宋体" w:hAnsi="宋体" w:eastAsia="宋体" w:cs="宋体"/>
          <w:color w:val="auto"/>
          <w:highlight w:val="none"/>
        </w:rPr>
        <w:t xml:space="preserve">         投 标 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[盖单位公章（CA签章）]                                   </w:t>
      </w:r>
      <w:r>
        <w:rPr>
          <w:rFonts w:hint="eastAsia" w:ascii="宋体" w:hAnsi="宋体" w:eastAsia="宋体" w:cs="宋体"/>
          <w:color w:val="auto"/>
          <w:highlight w:val="none"/>
          <w:u w:val="single"/>
        </w:rPr>
        <w:t xml:space="preserve">                                                                                              </w:t>
      </w:r>
    </w:p>
    <w:p>
      <w:pPr>
        <w:spacing w:line="360" w:lineRule="auto"/>
        <w:ind w:left="1000"/>
        <w:rPr>
          <w:rFonts w:ascii="宋体" w:hAnsi="宋体" w:eastAsia="宋体" w:cs="宋体"/>
          <w:color w:val="auto"/>
          <w:highlight w:val="none"/>
          <w:u w:val="single"/>
        </w:rPr>
      </w:pPr>
      <w:r>
        <w:rPr>
          <w:rFonts w:hint="eastAsia" w:ascii="宋体" w:hAnsi="宋体" w:eastAsia="宋体" w:cs="宋体"/>
          <w:color w:val="auto"/>
          <w:highlight w:val="none"/>
        </w:rPr>
        <w:t xml:space="preserve">         单位地址：</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p>
    <w:p>
      <w:pPr>
        <w:spacing w:line="360" w:lineRule="auto"/>
        <w:ind w:left="1000"/>
        <w:rPr>
          <w:rFonts w:ascii="宋体" w:hAnsi="宋体" w:eastAsia="宋体" w:cs="宋体"/>
          <w:color w:val="auto"/>
          <w:highlight w:val="none"/>
        </w:rPr>
      </w:pPr>
      <w:r>
        <w:rPr>
          <w:rFonts w:hint="eastAsia" w:ascii="宋体" w:hAnsi="宋体" w:eastAsia="宋体" w:cs="宋体"/>
          <w:color w:val="auto"/>
          <w:highlight w:val="none"/>
        </w:rPr>
        <w:t xml:space="preserve">         法定代表人或其委托代理人：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[签字或盖章（CA签章）]</w:t>
      </w:r>
    </w:p>
    <w:p>
      <w:pPr>
        <w:spacing w:line="360" w:lineRule="auto"/>
        <w:ind w:left="1000"/>
        <w:rPr>
          <w:rFonts w:ascii="宋体" w:hAnsi="宋体" w:eastAsia="宋体" w:cs="宋体"/>
          <w:color w:val="auto"/>
          <w:highlight w:val="none"/>
        </w:rPr>
      </w:pPr>
      <w:r>
        <w:rPr>
          <w:rFonts w:hint="eastAsia" w:ascii="宋体" w:hAnsi="宋体" w:eastAsia="宋体" w:cs="宋体"/>
          <w:color w:val="auto"/>
          <w:highlight w:val="none"/>
        </w:rPr>
        <w:t xml:space="preserve">         邮政编码：</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rPr>
        <w:t>电话：</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rPr>
        <w:t xml:space="preserve"> 传真：</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p>
    <w:p>
      <w:pPr>
        <w:spacing w:line="360" w:lineRule="auto"/>
        <w:ind w:left="1000"/>
        <w:rPr>
          <w:rFonts w:ascii="宋体" w:hAnsi="宋体" w:eastAsia="宋体" w:cs="宋体"/>
          <w:color w:val="auto"/>
          <w:highlight w:val="none"/>
        </w:rPr>
      </w:pPr>
      <w:r>
        <w:rPr>
          <w:rFonts w:hint="eastAsia" w:ascii="宋体" w:hAnsi="宋体" w:eastAsia="宋体" w:cs="宋体"/>
          <w:color w:val="auto"/>
          <w:highlight w:val="none"/>
        </w:rPr>
        <w:t xml:space="preserve">         开户银行名称：</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p>
    <w:p>
      <w:pPr>
        <w:spacing w:line="360" w:lineRule="auto"/>
        <w:ind w:left="1000"/>
        <w:rPr>
          <w:rFonts w:ascii="宋体" w:hAnsi="宋体" w:eastAsia="宋体" w:cs="宋体"/>
          <w:color w:val="auto"/>
          <w:highlight w:val="none"/>
        </w:rPr>
      </w:pPr>
      <w:r>
        <w:rPr>
          <w:rFonts w:hint="eastAsia" w:ascii="宋体" w:hAnsi="宋体" w:eastAsia="宋体" w:cs="宋体"/>
          <w:color w:val="auto"/>
          <w:highlight w:val="none"/>
        </w:rPr>
        <w:t xml:space="preserve">         开户银行账号：</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p>
    <w:p>
      <w:pPr>
        <w:spacing w:line="360" w:lineRule="auto"/>
        <w:ind w:left="1000"/>
        <w:rPr>
          <w:rFonts w:ascii="宋体" w:hAnsi="宋体" w:eastAsia="宋体" w:cs="宋体"/>
          <w:color w:val="auto"/>
          <w:highlight w:val="none"/>
        </w:rPr>
      </w:pPr>
      <w:r>
        <w:rPr>
          <w:rFonts w:hint="eastAsia" w:ascii="宋体" w:hAnsi="宋体" w:eastAsia="宋体" w:cs="宋体"/>
          <w:color w:val="auto"/>
          <w:highlight w:val="none"/>
        </w:rPr>
        <w:t xml:space="preserve">         开户银行地址：</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p>
    <w:p>
      <w:pPr>
        <w:spacing w:line="360" w:lineRule="auto"/>
        <w:ind w:left="1000"/>
        <w:rPr>
          <w:rFonts w:ascii="宋体" w:hAnsi="宋体" w:eastAsia="宋体" w:cs="宋体"/>
          <w:color w:val="auto"/>
          <w:highlight w:val="none"/>
        </w:rPr>
      </w:pPr>
      <w:r>
        <w:rPr>
          <w:rFonts w:hint="eastAsia" w:ascii="宋体" w:hAnsi="宋体" w:eastAsia="宋体" w:cs="宋体"/>
          <w:color w:val="auto"/>
          <w:highlight w:val="none"/>
        </w:rPr>
        <w:t xml:space="preserve">         开户银行电话：</w:t>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r>
        <w:rPr>
          <w:rFonts w:hint="eastAsia" w:ascii="宋体" w:hAnsi="宋体" w:eastAsia="宋体" w:cs="宋体"/>
          <w:color w:val="auto"/>
          <w:highlight w:val="none"/>
          <w:u w:val="single"/>
        </w:rPr>
        <w:tab/>
      </w:r>
    </w:p>
    <w:p>
      <w:pPr>
        <w:spacing w:line="360" w:lineRule="auto"/>
        <w:ind w:right="420" w:firstLine="1974" w:firstLineChars="940"/>
        <w:rPr>
          <w:color w:val="auto"/>
          <w:highlight w:val="none"/>
        </w:rPr>
      </w:pPr>
      <w:r>
        <w:rPr>
          <w:rFonts w:hint="eastAsia" w:ascii="宋体" w:hAnsi="宋体" w:eastAsia="宋体" w:cs="宋体"/>
          <w:color w:val="auto"/>
          <w:highlight w:val="none"/>
        </w:rPr>
        <w:t>日期：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spacing w:before="91" w:line="219" w:lineRule="auto"/>
        <w:ind w:left="3557"/>
        <w:rPr>
          <w:rFonts w:ascii="宋体" w:hAnsi="宋体" w:eastAsia="宋体" w:cs="宋体"/>
          <w:color w:val="auto"/>
          <w:spacing w:val="19"/>
          <w:sz w:val="28"/>
          <w:szCs w:val="28"/>
          <w:highlight w:val="none"/>
          <w14:textOutline w14:w="5092" w14:cap="flat" w14:cmpd="sng" w14:algn="ctr">
            <w14:solidFill>
              <w14:srgbClr w14:val="000000"/>
            </w14:solidFill>
            <w14:prstDash w14:val="solid"/>
            <w14:miter w14:val="0"/>
          </w14:textOutline>
        </w:rPr>
      </w:pPr>
    </w:p>
    <w:p>
      <w:pPr>
        <w:spacing w:before="91" w:line="219" w:lineRule="auto"/>
        <w:ind w:left="3557"/>
        <w:rPr>
          <w:rFonts w:ascii="宋体" w:hAnsi="宋体" w:eastAsia="宋体" w:cs="宋体"/>
          <w:color w:val="auto"/>
          <w:sz w:val="28"/>
          <w:szCs w:val="28"/>
          <w:highlight w:val="none"/>
        </w:rPr>
      </w:pPr>
      <w:r>
        <w:rPr>
          <w:rFonts w:ascii="宋体" w:hAnsi="宋体" w:eastAsia="宋体" w:cs="宋体"/>
          <w:color w:val="auto"/>
          <w:spacing w:val="19"/>
          <w:sz w:val="28"/>
          <w:szCs w:val="28"/>
          <w:highlight w:val="none"/>
          <w14:textOutline w14:w="5092" w14:cap="flat" w14:cmpd="sng" w14:algn="ctr">
            <w14:solidFill>
              <w14:srgbClr w14:val="000000"/>
            </w14:solidFill>
            <w14:prstDash w14:val="solid"/>
            <w14:miter w14:val="0"/>
          </w14:textOutline>
        </w:rPr>
        <w:t>(</w:t>
      </w:r>
      <w:r>
        <w:rPr>
          <w:rFonts w:hint="eastAsia" w:ascii="宋体" w:hAnsi="宋体" w:eastAsia="宋体" w:cs="宋体"/>
          <w:color w:val="auto"/>
          <w:spacing w:val="14"/>
          <w:sz w:val="28"/>
          <w:szCs w:val="28"/>
          <w:highlight w:val="none"/>
          <w14:textOutline w14:w="5092" w14:cap="flat" w14:cmpd="sng" w14:algn="ctr">
            <w14:solidFill>
              <w14:srgbClr w14:val="000000"/>
            </w14:solidFill>
            <w14:prstDash w14:val="solid"/>
            <w14:miter w14:val="0"/>
          </w14:textOutline>
        </w:rPr>
        <w:t>2</w:t>
      </w:r>
      <w:r>
        <w:rPr>
          <w:rFonts w:ascii="宋体" w:hAnsi="宋体" w:eastAsia="宋体" w:cs="宋体"/>
          <w:color w:val="auto"/>
          <w:spacing w:val="14"/>
          <w:sz w:val="28"/>
          <w:szCs w:val="28"/>
          <w:highlight w:val="none"/>
          <w14:textOutline w14:w="5092" w14:cap="flat" w14:cmpd="sng" w14:algn="ctr">
            <w14:solidFill>
              <w14:srgbClr w14:val="000000"/>
            </w14:solidFill>
            <w14:prstDash w14:val="solid"/>
            <w14:miter w14:val="0"/>
          </w14:textOutline>
        </w:rPr>
        <w:t>)</w:t>
      </w:r>
      <w:r>
        <w:rPr>
          <w:rFonts w:ascii="宋体" w:hAnsi="宋体" w:eastAsia="宋体" w:cs="宋体"/>
          <w:color w:val="auto"/>
          <w:spacing w:val="14"/>
          <w:sz w:val="28"/>
          <w:szCs w:val="28"/>
          <w:highlight w:val="none"/>
        </w:rPr>
        <w:t xml:space="preserve"> </w:t>
      </w:r>
      <w:r>
        <w:rPr>
          <w:rFonts w:ascii="宋体" w:hAnsi="宋体" w:eastAsia="宋体" w:cs="宋体"/>
          <w:color w:val="auto"/>
          <w:spacing w:val="14"/>
          <w:sz w:val="28"/>
          <w:szCs w:val="28"/>
          <w:highlight w:val="none"/>
          <w14:textOutline w14:w="5092" w14:cap="flat" w14:cmpd="sng" w14:algn="ctr">
            <w14:solidFill>
              <w14:srgbClr w14:val="000000"/>
            </w14:solidFill>
            <w14:prstDash w14:val="solid"/>
            <w14:miter w14:val="0"/>
          </w14:textOutline>
        </w:rPr>
        <w:t>投标函附录</w:t>
      </w:r>
    </w:p>
    <w:p>
      <w:pPr>
        <w:rPr>
          <w:color w:val="auto"/>
          <w:highlight w:val="none"/>
        </w:rPr>
      </w:pPr>
    </w:p>
    <w:p>
      <w:pPr>
        <w:rPr>
          <w:color w:val="auto"/>
          <w:highlight w:val="none"/>
        </w:rPr>
      </w:pPr>
    </w:p>
    <w:p>
      <w:pPr>
        <w:spacing w:line="143" w:lineRule="exact"/>
        <w:rPr>
          <w:color w:val="auto"/>
          <w:highlight w:val="none"/>
        </w:rPr>
      </w:pPr>
    </w:p>
    <w:p>
      <w:pPr>
        <w:rPr>
          <w:color w:val="auto"/>
          <w:highlight w:val="none"/>
        </w:rPr>
        <w:sectPr>
          <w:footerReference r:id="rId26" w:type="default"/>
          <w:pgSz w:w="11907" w:h="16839"/>
          <w:pgMar w:top="1440" w:right="1080" w:bottom="1440" w:left="1080" w:header="0" w:footer="993" w:gutter="0"/>
          <w:cols w:equalWidth="0" w:num="1">
            <w:col w:w="8767"/>
          </w:cols>
        </w:sectPr>
      </w:pPr>
    </w:p>
    <w:p>
      <w:pPr>
        <w:spacing w:before="42" w:line="186" w:lineRule="auto"/>
        <w:ind w:left="497"/>
        <w:rPr>
          <w:rFonts w:ascii="宋体" w:hAnsi="宋体" w:eastAsia="宋体" w:cs="宋体"/>
          <w:color w:val="auto"/>
          <w:sz w:val="24"/>
          <w:szCs w:val="24"/>
          <w:highlight w:val="none"/>
        </w:rPr>
      </w:pPr>
      <w:r>
        <w:rPr>
          <w:rFonts w:ascii="宋体" w:hAnsi="宋体" w:eastAsia="宋体" w:cs="宋体"/>
          <w:color w:val="auto"/>
          <w:spacing w:val="-12"/>
          <w:sz w:val="24"/>
          <w:szCs w:val="24"/>
          <w:highlight w:val="none"/>
          <w14:textOutline w14:w="3835" w14:cap="flat" w14:cmpd="sng" w14:algn="ctr">
            <w14:solidFill>
              <w14:srgbClr w14:val="000000"/>
            </w14:solidFill>
            <w14:prstDash w14:val="solid"/>
            <w14:miter w14:val="0"/>
          </w14:textOutline>
        </w:rPr>
        <w:t>工</w:t>
      </w:r>
      <w:r>
        <w:rPr>
          <w:rFonts w:ascii="宋体" w:hAnsi="宋体" w:eastAsia="宋体" w:cs="宋体"/>
          <w:color w:val="auto"/>
          <w:spacing w:val="-8"/>
          <w:sz w:val="24"/>
          <w:szCs w:val="24"/>
          <w:highlight w:val="none"/>
          <w14:textOutline w14:w="3835" w14:cap="flat" w14:cmpd="sng" w14:algn="ctr">
            <w14:solidFill>
              <w14:srgbClr w14:val="000000"/>
            </w14:solidFill>
            <w14:prstDash w14:val="solid"/>
            <w14:miter w14:val="0"/>
          </w14:textOutline>
        </w:rPr>
        <w:t>程名称：</w:t>
      </w:r>
    </w:p>
    <w:p>
      <w:pPr>
        <w:spacing w:line="14" w:lineRule="auto"/>
        <w:rPr>
          <w:color w:val="auto"/>
          <w:sz w:val="24"/>
          <w:szCs w:val="24"/>
          <w:highlight w:val="none"/>
        </w:rPr>
      </w:pPr>
      <w:r>
        <w:rPr>
          <w:color w:val="auto"/>
          <w:sz w:val="24"/>
          <w:szCs w:val="24"/>
          <w:highlight w:val="none"/>
        </w:rPr>
        <w:br w:type="column"/>
      </w:r>
    </w:p>
    <w:p>
      <w:pPr>
        <w:tabs>
          <w:tab w:val="left" w:pos="96"/>
        </w:tabs>
        <w:spacing w:before="41" w:line="205" w:lineRule="auto"/>
        <w:rPr>
          <w:rFonts w:ascii="宋体" w:hAnsi="宋体" w:eastAsia="宋体" w:cs="宋体"/>
          <w:color w:val="auto"/>
          <w:sz w:val="24"/>
          <w:szCs w:val="24"/>
          <w:highlight w:val="none"/>
        </w:rPr>
      </w:pPr>
      <w:r>
        <w:rPr>
          <w:rFonts w:ascii="宋体" w:hAnsi="宋体" w:eastAsia="宋体" w:cs="宋体"/>
          <w:color w:val="auto"/>
          <w:sz w:val="24"/>
          <w:szCs w:val="24"/>
          <w:highlight w:val="none"/>
        </w:rPr>
        <w:tab/>
      </w:r>
      <w:r>
        <w:rPr>
          <w:rFonts w:ascii="宋体" w:hAnsi="宋体" w:eastAsia="宋体" w:cs="宋体"/>
          <w:color w:val="auto"/>
          <w:spacing w:val="-2"/>
          <w:sz w:val="24"/>
          <w:szCs w:val="24"/>
          <w:highlight w:val="none"/>
        </w:rPr>
        <w:t>(项目名称</w:t>
      </w:r>
      <w:r>
        <w:rPr>
          <w:rFonts w:ascii="宋体" w:hAnsi="宋体" w:eastAsia="宋体" w:cs="宋体"/>
          <w:color w:val="auto"/>
          <w:spacing w:val="-1"/>
          <w:sz w:val="24"/>
          <w:szCs w:val="24"/>
          <w:highlight w:val="none"/>
        </w:rPr>
        <w:t>)</w:t>
      </w:r>
    </w:p>
    <w:p>
      <w:pPr>
        <w:rPr>
          <w:color w:val="auto"/>
          <w:highlight w:val="none"/>
        </w:rPr>
        <w:sectPr>
          <w:type w:val="continuous"/>
          <w:pgSz w:w="11907" w:h="16839"/>
          <w:pgMar w:top="1440" w:right="1080" w:bottom="1440" w:left="1080" w:header="0" w:footer="993" w:gutter="0"/>
          <w:cols w:equalWidth="0" w:num="2">
            <w:col w:w="3640" w:space="100"/>
            <w:col w:w="6006"/>
          </w:cols>
        </w:sectPr>
      </w:pPr>
    </w:p>
    <w:p>
      <w:pPr>
        <w:spacing w:line="49" w:lineRule="exact"/>
        <w:rPr>
          <w:color w:val="auto"/>
          <w:highlight w:val="none"/>
        </w:rPr>
      </w:pPr>
    </w:p>
    <w:tbl>
      <w:tblPr>
        <w:tblStyle w:val="16"/>
        <w:tblW w:w="87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5"/>
        <w:gridCol w:w="1984"/>
        <w:gridCol w:w="2126"/>
        <w:gridCol w:w="1984"/>
        <w:gridCol w:w="16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995" w:type="dxa"/>
          </w:tcPr>
          <w:p>
            <w:pPr>
              <w:spacing w:before="183" w:line="222" w:lineRule="auto"/>
              <w:ind w:left="239"/>
              <w:rPr>
                <w:rFonts w:ascii="宋体" w:hAnsi="宋体" w:eastAsia="宋体" w:cs="宋体"/>
                <w:color w:val="auto"/>
                <w:highlight w:val="none"/>
              </w:rPr>
            </w:pPr>
            <w:r>
              <w:rPr>
                <w:rFonts w:ascii="宋体" w:hAnsi="宋体" w:eastAsia="宋体" w:cs="宋体"/>
                <w:color w:val="auto"/>
                <w:spacing w:val="3"/>
                <w:highlight w:val="none"/>
              </w:rPr>
              <w:t>序</w:t>
            </w:r>
            <w:r>
              <w:rPr>
                <w:rFonts w:ascii="宋体" w:hAnsi="宋体" w:eastAsia="宋体" w:cs="宋体"/>
                <w:color w:val="auto"/>
                <w:spacing w:val="2"/>
                <w:highlight w:val="none"/>
              </w:rPr>
              <w:t xml:space="preserve"> 号</w:t>
            </w:r>
          </w:p>
        </w:tc>
        <w:tc>
          <w:tcPr>
            <w:tcW w:w="1984" w:type="dxa"/>
          </w:tcPr>
          <w:p>
            <w:pPr>
              <w:spacing w:before="183" w:line="221" w:lineRule="auto"/>
              <w:ind w:left="579"/>
              <w:rPr>
                <w:rFonts w:ascii="宋体" w:hAnsi="宋体" w:eastAsia="宋体" w:cs="宋体"/>
                <w:color w:val="auto"/>
                <w:highlight w:val="none"/>
              </w:rPr>
            </w:pPr>
            <w:r>
              <w:rPr>
                <w:rFonts w:ascii="宋体" w:hAnsi="宋体" w:eastAsia="宋体" w:cs="宋体"/>
                <w:color w:val="auto"/>
                <w:spacing w:val="-2"/>
                <w:highlight w:val="none"/>
              </w:rPr>
              <w:t>条款内</w:t>
            </w:r>
            <w:r>
              <w:rPr>
                <w:rFonts w:ascii="宋体" w:hAnsi="宋体" w:eastAsia="宋体" w:cs="宋体"/>
                <w:color w:val="auto"/>
                <w:spacing w:val="-1"/>
                <w:highlight w:val="none"/>
              </w:rPr>
              <w:t>容</w:t>
            </w:r>
          </w:p>
        </w:tc>
        <w:tc>
          <w:tcPr>
            <w:tcW w:w="2126" w:type="dxa"/>
          </w:tcPr>
          <w:p>
            <w:pPr>
              <w:spacing w:before="183" w:line="221" w:lineRule="auto"/>
              <w:ind w:left="546"/>
              <w:rPr>
                <w:rFonts w:ascii="宋体" w:hAnsi="宋体" w:eastAsia="宋体" w:cs="宋体"/>
                <w:color w:val="auto"/>
                <w:highlight w:val="none"/>
              </w:rPr>
            </w:pPr>
            <w:r>
              <w:rPr>
                <w:rFonts w:ascii="宋体" w:hAnsi="宋体" w:eastAsia="宋体" w:cs="宋体"/>
                <w:color w:val="auto"/>
                <w:spacing w:val="-2"/>
                <w:highlight w:val="none"/>
              </w:rPr>
              <w:t>合</w:t>
            </w:r>
            <w:r>
              <w:rPr>
                <w:rFonts w:ascii="宋体" w:hAnsi="宋体" w:eastAsia="宋体" w:cs="宋体"/>
                <w:color w:val="auto"/>
                <w:spacing w:val="-1"/>
                <w:highlight w:val="none"/>
              </w:rPr>
              <w:t>同条款号</w:t>
            </w:r>
          </w:p>
        </w:tc>
        <w:tc>
          <w:tcPr>
            <w:tcW w:w="1984" w:type="dxa"/>
          </w:tcPr>
          <w:p>
            <w:pPr>
              <w:spacing w:before="183" w:line="221" w:lineRule="auto"/>
              <w:ind w:left="582"/>
              <w:rPr>
                <w:rFonts w:ascii="宋体" w:hAnsi="宋体" w:eastAsia="宋体" w:cs="宋体"/>
                <w:color w:val="auto"/>
                <w:highlight w:val="none"/>
              </w:rPr>
            </w:pPr>
            <w:r>
              <w:rPr>
                <w:rFonts w:ascii="宋体" w:hAnsi="宋体" w:eastAsia="宋体" w:cs="宋体"/>
                <w:color w:val="auto"/>
                <w:spacing w:val="-4"/>
                <w:highlight w:val="none"/>
              </w:rPr>
              <w:t>约</w:t>
            </w:r>
            <w:r>
              <w:rPr>
                <w:rFonts w:ascii="宋体" w:hAnsi="宋体" w:eastAsia="宋体" w:cs="宋体"/>
                <w:color w:val="auto"/>
                <w:spacing w:val="-2"/>
                <w:highlight w:val="none"/>
              </w:rPr>
              <w:t>定内容</w:t>
            </w:r>
          </w:p>
        </w:tc>
        <w:tc>
          <w:tcPr>
            <w:tcW w:w="1672" w:type="dxa"/>
          </w:tcPr>
          <w:p>
            <w:pPr>
              <w:spacing w:before="183" w:line="222" w:lineRule="auto"/>
              <w:ind w:left="634"/>
              <w:rPr>
                <w:rFonts w:ascii="宋体" w:hAnsi="宋体" w:eastAsia="宋体" w:cs="宋体"/>
                <w:color w:val="auto"/>
                <w:highlight w:val="none"/>
              </w:rPr>
            </w:pPr>
            <w:r>
              <w:rPr>
                <w:rFonts w:ascii="宋体" w:hAnsi="宋体" w:eastAsia="宋体" w:cs="宋体"/>
                <w:color w:val="auto"/>
                <w:spacing w:val="-3"/>
                <w:highlight w:val="none"/>
              </w:rPr>
              <w:t>备</w:t>
            </w:r>
            <w:r>
              <w:rPr>
                <w:rFonts w:ascii="宋体" w:hAnsi="宋体" w:eastAsia="宋体" w:cs="宋体"/>
                <w:color w:val="auto"/>
                <w:spacing w:val="-2"/>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995" w:type="dxa"/>
          </w:tcPr>
          <w:p>
            <w:pPr>
              <w:spacing w:before="217" w:line="187" w:lineRule="auto"/>
              <w:ind w:left="466"/>
              <w:rPr>
                <w:rFonts w:ascii="Times New Roman" w:hAnsi="Times New Roman" w:eastAsia="Times New Roman" w:cs="Times New Roman"/>
                <w:color w:val="auto"/>
                <w:highlight w:val="none"/>
              </w:rPr>
            </w:pPr>
            <w:r>
              <w:rPr>
                <w:rFonts w:ascii="Times New Roman" w:hAnsi="Times New Roman" w:eastAsia="Times New Roman" w:cs="Times New Roman"/>
                <w:color w:val="auto"/>
                <w:highlight w:val="none"/>
              </w:rPr>
              <w:t>1</w:t>
            </w:r>
          </w:p>
        </w:tc>
        <w:tc>
          <w:tcPr>
            <w:tcW w:w="1984" w:type="dxa"/>
          </w:tcPr>
          <w:p>
            <w:pPr>
              <w:spacing w:before="181" w:line="221" w:lineRule="auto"/>
              <w:ind w:left="117"/>
              <w:rPr>
                <w:rFonts w:ascii="宋体" w:hAnsi="宋体" w:eastAsia="宋体" w:cs="宋体"/>
                <w:color w:val="auto"/>
                <w:highlight w:val="none"/>
              </w:rPr>
            </w:pPr>
            <w:r>
              <w:rPr>
                <w:rFonts w:ascii="宋体" w:hAnsi="宋体" w:eastAsia="宋体" w:cs="宋体"/>
                <w:color w:val="auto"/>
                <w:spacing w:val="-3"/>
                <w:highlight w:val="none"/>
              </w:rPr>
              <w:t>项</w:t>
            </w:r>
            <w:r>
              <w:rPr>
                <w:rFonts w:ascii="宋体" w:hAnsi="宋体" w:eastAsia="宋体" w:cs="宋体"/>
                <w:color w:val="auto"/>
                <w:spacing w:val="-2"/>
                <w:highlight w:val="none"/>
              </w:rPr>
              <w:t>目经理</w:t>
            </w:r>
          </w:p>
        </w:tc>
        <w:tc>
          <w:tcPr>
            <w:tcW w:w="2126" w:type="dxa"/>
          </w:tcPr>
          <w:p>
            <w:pPr>
              <w:spacing w:before="180" w:line="221" w:lineRule="auto"/>
              <w:ind w:left="176"/>
              <w:rPr>
                <w:rFonts w:ascii="宋体" w:hAnsi="宋体" w:eastAsia="宋体" w:cs="宋体"/>
                <w:color w:val="auto"/>
                <w:highlight w:val="none"/>
              </w:rPr>
            </w:pPr>
            <w:r>
              <w:rPr>
                <w:rFonts w:ascii="宋体" w:hAnsi="宋体" w:eastAsia="宋体" w:cs="宋体"/>
                <w:color w:val="auto"/>
                <w:spacing w:val="-1"/>
                <w:highlight w:val="none"/>
              </w:rPr>
              <w:t>专用合同条款</w:t>
            </w:r>
          </w:p>
        </w:tc>
        <w:tc>
          <w:tcPr>
            <w:tcW w:w="1984" w:type="dxa"/>
          </w:tcPr>
          <w:p>
            <w:pPr>
              <w:spacing w:before="180" w:line="221" w:lineRule="auto"/>
              <w:ind w:left="114"/>
              <w:rPr>
                <w:rFonts w:ascii="宋体" w:hAnsi="宋体" w:eastAsia="宋体" w:cs="宋体"/>
                <w:color w:val="auto"/>
                <w:highlight w:val="none"/>
              </w:rPr>
            </w:pPr>
            <w:r>
              <w:rPr>
                <w:rFonts w:ascii="宋体" w:hAnsi="宋体" w:eastAsia="宋体" w:cs="宋体"/>
                <w:color w:val="auto"/>
                <w:spacing w:val="-19"/>
                <w:w w:val="92"/>
                <w:highlight w:val="none"/>
              </w:rPr>
              <w:t>姓名：</w:t>
            </w:r>
            <w:r>
              <w:rPr>
                <w:rFonts w:ascii="宋体" w:hAnsi="宋体" w:eastAsia="宋体" w:cs="宋体"/>
                <w:color w:val="auto"/>
                <w:highlight w:val="none"/>
                <w:u w:val="single"/>
              </w:rPr>
              <w:t xml:space="preserve">           </w:t>
            </w:r>
          </w:p>
        </w:tc>
        <w:tc>
          <w:tcPr>
            <w:tcW w:w="1672" w:type="dxa"/>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995" w:type="dxa"/>
          </w:tcPr>
          <w:p>
            <w:pPr>
              <w:spacing w:before="215" w:line="187" w:lineRule="auto"/>
              <w:ind w:left="445"/>
              <w:rPr>
                <w:rFonts w:ascii="Times New Roman" w:hAnsi="Times New Roman" w:eastAsia="Times New Roman" w:cs="Times New Roman"/>
                <w:color w:val="auto"/>
                <w:highlight w:val="none"/>
              </w:rPr>
            </w:pPr>
            <w:r>
              <w:rPr>
                <w:rFonts w:ascii="Times New Roman" w:hAnsi="Times New Roman" w:eastAsia="Times New Roman" w:cs="Times New Roman"/>
                <w:color w:val="auto"/>
                <w:highlight w:val="none"/>
              </w:rPr>
              <w:t>2</w:t>
            </w:r>
          </w:p>
        </w:tc>
        <w:tc>
          <w:tcPr>
            <w:tcW w:w="1984" w:type="dxa"/>
          </w:tcPr>
          <w:p>
            <w:pPr>
              <w:spacing w:before="179" w:line="221" w:lineRule="auto"/>
              <w:ind w:left="117"/>
              <w:rPr>
                <w:rFonts w:ascii="宋体" w:hAnsi="宋体" w:eastAsia="宋体" w:cs="宋体"/>
                <w:color w:val="auto"/>
                <w:highlight w:val="none"/>
              </w:rPr>
            </w:pPr>
            <w:r>
              <w:rPr>
                <w:rFonts w:ascii="宋体" w:hAnsi="宋体" w:eastAsia="宋体" w:cs="宋体"/>
                <w:color w:val="auto"/>
                <w:spacing w:val="-3"/>
                <w:highlight w:val="none"/>
              </w:rPr>
              <w:t>工</w:t>
            </w:r>
            <w:r>
              <w:rPr>
                <w:rFonts w:ascii="宋体" w:hAnsi="宋体" w:eastAsia="宋体" w:cs="宋体"/>
                <w:color w:val="auto"/>
                <w:spacing w:val="-2"/>
                <w:highlight w:val="none"/>
              </w:rPr>
              <w:t>期</w:t>
            </w:r>
          </w:p>
        </w:tc>
        <w:tc>
          <w:tcPr>
            <w:tcW w:w="2126" w:type="dxa"/>
          </w:tcPr>
          <w:p>
            <w:pPr>
              <w:spacing w:before="179" w:line="220" w:lineRule="auto"/>
              <w:ind w:left="176"/>
              <w:rPr>
                <w:rFonts w:ascii="宋体" w:hAnsi="宋体" w:eastAsia="宋体" w:cs="宋体"/>
                <w:color w:val="auto"/>
                <w:highlight w:val="none"/>
              </w:rPr>
            </w:pPr>
            <w:r>
              <w:rPr>
                <w:rFonts w:ascii="宋体" w:hAnsi="宋体" w:eastAsia="宋体" w:cs="宋体"/>
                <w:color w:val="auto"/>
                <w:spacing w:val="-2"/>
                <w:highlight w:val="none"/>
              </w:rPr>
              <w:t>协议</w:t>
            </w:r>
            <w:r>
              <w:rPr>
                <w:rFonts w:ascii="宋体" w:hAnsi="宋体" w:eastAsia="宋体" w:cs="宋体"/>
                <w:color w:val="auto"/>
                <w:spacing w:val="-1"/>
                <w:highlight w:val="none"/>
              </w:rPr>
              <w:t>书二</w:t>
            </w:r>
          </w:p>
        </w:tc>
        <w:tc>
          <w:tcPr>
            <w:tcW w:w="1984" w:type="dxa"/>
          </w:tcPr>
          <w:p>
            <w:pPr>
              <w:tabs>
                <w:tab w:val="left" w:pos="1245"/>
              </w:tabs>
              <w:spacing w:before="179" w:line="221" w:lineRule="auto"/>
              <w:ind w:left="149"/>
              <w:rPr>
                <w:rFonts w:ascii="宋体" w:hAnsi="宋体" w:eastAsia="宋体" w:cs="宋体"/>
                <w:color w:val="auto"/>
                <w:highlight w:val="none"/>
              </w:rPr>
            </w:pPr>
            <w:r>
              <w:rPr>
                <w:rFonts w:ascii="宋体" w:hAnsi="宋体" w:eastAsia="宋体" w:cs="宋体"/>
                <w:color w:val="auto"/>
                <w:highlight w:val="none"/>
                <w:u w:val="single"/>
              </w:rPr>
              <w:tab/>
            </w:r>
            <w:r>
              <w:rPr>
                <w:rFonts w:ascii="宋体" w:hAnsi="宋体" w:eastAsia="宋体" w:cs="宋体"/>
                <w:color w:val="auto"/>
                <w:spacing w:val="-15"/>
                <w:highlight w:val="none"/>
              </w:rPr>
              <w:t>日</w:t>
            </w:r>
            <w:r>
              <w:rPr>
                <w:rFonts w:ascii="宋体" w:hAnsi="宋体" w:eastAsia="宋体" w:cs="宋体"/>
                <w:color w:val="auto"/>
                <w:spacing w:val="-14"/>
                <w:highlight w:val="none"/>
              </w:rPr>
              <w:t>历天</w:t>
            </w:r>
          </w:p>
        </w:tc>
        <w:tc>
          <w:tcPr>
            <w:tcW w:w="1672" w:type="dxa"/>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995" w:type="dxa"/>
          </w:tcPr>
          <w:p>
            <w:pPr>
              <w:spacing w:before="215" w:line="187" w:lineRule="auto"/>
              <w:ind w:left="449"/>
              <w:rPr>
                <w:rFonts w:ascii="Times New Roman" w:hAnsi="Times New Roman" w:eastAsia="Times New Roman" w:cs="Times New Roman"/>
                <w:color w:val="auto"/>
                <w:highlight w:val="none"/>
              </w:rPr>
            </w:pPr>
            <w:r>
              <w:rPr>
                <w:rFonts w:ascii="Times New Roman" w:hAnsi="Times New Roman" w:eastAsia="Times New Roman" w:cs="Times New Roman"/>
                <w:color w:val="auto"/>
                <w:highlight w:val="none"/>
              </w:rPr>
              <w:t>3</w:t>
            </w:r>
          </w:p>
        </w:tc>
        <w:tc>
          <w:tcPr>
            <w:tcW w:w="1984" w:type="dxa"/>
          </w:tcPr>
          <w:p>
            <w:pPr>
              <w:spacing w:before="178" w:line="221" w:lineRule="auto"/>
              <w:ind w:left="114"/>
              <w:rPr>
                <w:rFonts w:ascii="宋体" w:hAnsi="宋体" w:eastAsia="宋体" w:cs="宋体"/>
                <w:color w:val="auto"/>
                <w:highlight w:val="none"/>
              </w:rPr>
            </w:pPr>
            <w:r>
              <w:rPr>
                <w:rFonts w:ascii="宋体" w:hAnsi="宋体" w:eastAsia="宋体" w:cs="宋体"/>
                <w:color w:val="auto"/>
                <w:spacing w:val="-1"/>
                <w:highlight w:val="none"/>
              </w:rPr>
              <w:t>缺陷责任期</w:t>
            </w:r>
          </w:p>
        </w:tc>
        <w:tc>
          <w:tcPr>
            <w:tcW w:w="2126" w:type="dxa"/>
          </w:tcPr>
          <w:p>
            <w:pPr>
              <w:spacing w:before="178" w:line="221" w:lineRule="auto"/>
              <w:ind w:left="176"/>
              <w:rPr>
                <w:rFonts w:ascii="宋体" w:hAnsi="宋体" w:eastAsia="宋体" w:cs="宋体"/>
                <w:color w:val="auto"/>
                <w:highlight w:val="none"/>
              </w:rPr>
            </w:pPr>
            <w:r>
              <w:rPr>
                <w:rFonts w:ascii="宋体" w:hAnsi="宋体" w:eastAsia="宋体" w:cs="宋体"/>
                <w:color w:val="auto"/>
                <w:spacing w:val="-1"/>
                <w:highlight w:val="none"/>
              </w:rPr>
              <w:t>专用合同条款</w:t>
            </w:r>
          </w:p>
        </w:tc>
        <w:tc>
          <w:tcPr>
            <w:tcW w:w="1984" w:type="dxa"/>
          </w:tcPr>
          <w:p>
            <w:pPr>
              <w:rPr>
                <w:color w:val="auto"/>
                <w:highlight w:val="none"/>
              </w:rPr>
            </w:pPr>
          </w:p>
        </w:tc>
        <w:tc>
          <w:tcPr>
            <w:tcW w:w="1672" w:type="dxa"/>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3" w:hRule="atLeast"/>
        </w:trPr>
        <w:tc>
          <w:tcPr>
            <w:tcW w:w="995" w:type="dxa"/>
          </w:tcPr>
          <w:p>
            <w:pPr>
              <w:spacing w:before="217" w:line="187" w:lineRule="auto"/>
              <w:ind w:left="444"/>
              <w:rPr>
                <w:rFonts w:ascii="Times New Roman" w:hAnsi="Times New Roman" w:eastAsia="Times New Roman" w:cs="Times New Roman"/>
                <w:color w:val="auto"/>
                <w:highlight w:val="none"/>
              </w:rPr>
            </w:pPr>
            <w:r>
              <w:rPr>
                <w:rFonts w:ascii="Times New Roman" w:hAnsi="Times New Roman" w:eastAsia="Times New Roman" w:cs="Times New Roman"/>
                <w:color w:val="auto"/>
                <w:highlight w:val="none"/>
              </w:rPr>
              <w:t>4</w:t>
            </w:r>
          </w:p>
        </w:tc>
        <w:tc>
          <w:tcPr>
            <w:tcW w:w="1984" w:type="dxa"/>
          </w:tcPr>
          <w:p>
            <w:pPr>
              <w:spacing w:before="181" w:line="221" w:lineRule="auto"/>
              <w:ind w:left="117"/>
              <w:rPr>
                <w:rFonts w:ascii="宋体" w:hAnsi="宋体" w:eastAsia="宋体" w:cs="宋体"/>
                <w:color w:val="auto"/>
                <w:highlight w:val="none"/>
              </w:rPr>
            </w:pPr>
            <w:r>
              <w:rPr>
                <w:rFonts w:ascii="宋体" w:hAnsi="宋体" w:eastAsia="宋体" w:cs="宋体"/>
                <w:color w:val="auto"/>
                <w:spacing w:val="-2"/>
                <w:highlight w:val="none"/>
              </w:rPr>
              <w:t>发</w:t>
            </w:r>
            <w:r>
              <w:rPr>
                <w:rFonts w:ascii="宋体" w:hAnsi="宋体" w:eastAsia="宋体" w:cs="宋体"/>
                <w:color w:val="auto"/>
                <w:spacing w:val="-1"/>
                <w:highlight w:val="none"/>
              </w:rPr>
              <w:t>包人支付担保</w:t>
            </w:r>
          </w:p>
        </w:tc>
        <w:tc>
          <w:tcPr>
            <w:tcW w:w="2126" w:type="dxa"/>
          </w:tcPr>
          <w:p>
            <w:pPr>
              <w:spacing w:before="181" w:line="221" w:lineRule="auto"/>
              <w:ind w:left="176"/>
              <w:rPr>
                <w:rFonts w:ascii="宋体" w:hAnsi="宋体" w:eastAsia="宋体" w:cs="宋体"/>
                <w:color w:val="auto"/>
                <w:highlight w:val="none"/>
              </w:rPr>
            </w:pPr>
            <w:r>
              <w:rPr>
                <w:rFonts w:ascii="宋体" w:hAnsi="宋体" w:eastAsia="宋体" w:cs="宋体"/>
                <w:color w:val="auto"/>
                <w:spacing w:val="-1"/>
                <w:highlight w:val="none"/>
              </w:rPr>
              <w:t>专用合同条款</w:t>
            </w:r>
          </w:p>
        </w:tc>
        <w:tc>
          <w:tcPr>
            <w:tcW w:w="1984" w:type="dxa"/>
          </w:tcPr>
          <w:p>
            <w:pPr>
              <w:rPr>
                <w:color w:val="auto"/>
                <w:highlight w:val="none"/>
              </w:rPr>
            </w:pPr>
          </w:p>
        </w:tc>
        <w:tc>
          <w:tcPr>
            <w:tcW w:w="1672" w:type="dxa"/>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trPr>
        <w:tc>
          <w:tcPr>
            <w:tcW w:w="995" w:type="dxa"/>
          </w:tcPr>
          <w:p>
            <w:pPr>
              <w:spacing w:before="247" w:line="184" w:lineRule="auto"/>
              <w:ind w:left="451"/>
              <w:rPr>
                <w:rFonts w:ascii="Times New Roman" w:hAnsi="Times New Roman" w:eastAsia="Times New Roman" w:cs="Times New Roman"/>
                <w:color w:val="auto"/>
                <w:highlight w:val="none"/>
              </w:rPr>
            </w:pPr>
            <w:r>
              <w:rPr>
                <w:rFonts w:ascii="Times New Roman" w:hAnsi="Times New Roman" w:eastAsia="Times New Roman" w:cs="Times New Roman"/>
                <w:color w:val="auto"/>
                <w:highlight w:val="none"/>
              </w:rPr>
              <w:t>5</w:t>
            </w:r>
          </w:p>
        </w:tc>
        <w:tc>
          <w:tcPr>
            <w:tcW w:w="1984" w:type="dxa"/>
          </w:tcPr>
          <w:p>
            <w:pPr>
              <w:spacing w:before="53" w:line="247" w:lineRule="auto"/>
              <w:ind w:left="114" w:right="102"/>
              <w:rPr>
                <w:rFonts w:ascii="宋体" w:hAnsi="宋体" w:eastAsia="宋体" w:cs="宋体"/>
                <w:color w:val="auto"/>
                <w:highlight w:val="none"/>
              </w:rPr>
            </w:pPr>
            <w:r>
              <w:rPr>
                <w:rFonts w:ascii="宋体" w:hAnsi="宋体" w:eastAsia="宋体" w:cs="宋体"/>
                <w:color w:val="auto"/>
                <w:spacing w:val="11"/>
                <w:highlight w:val="none"/>
              </w:rPr>
              <w:t>承</w:t>
            </w:r>
            <w:r>
              <w:rPr>
                <w:rFonts w:ascii="宋体" w:hAnsi="宋体" w:eastAsia="宋体" w:cs="宋体"/>
                <w:color w:val="auto"/>
                <w:spacing w:val="10"/>
                <w:highlight w:val="none"/>
              </w:rPr>
              <w:t>包人履约担保金</w:t>
            </w:r>
            <w:r>
              <w:rPr>
                <w:rFonts w:ascii="宋体" w:hAnsi="宋体" w:eastAsia="宋体" w:cs="宋体"/>
                <w:color w:val="auto"/>
                <w:highlight w:val="none"/>
              </w:rPr>
              <w:t xml:space="preserve"> 额</w:t>
            </w:r>
          </w:p>
        </w:tc>
        <w:tc>
          <w:tcPr>
            <w:tcW w:w="2126" w:type="dxa"/>
          </w:tcPr>
          <w:p>
            <w:pPr>
              <w:spacing w:before="207" w:line="221" w:lineRule="auto"/>
              <w:ind w:left="176"/>
              <w:rPr>
                <w:rFonts w:ascii="宋体" w:hAnsi="宋体" w:eastAsia="宋体" w:cs="宋体"/>
                <w:color w:val="auto"/>
                <w:highlight w:val="none"/>
              </w:rPr>
            </w:pPr>
            <w:r>
              <w:rPr>
                <w:rFonts w:ascii="宋体" w:hAnsi="宋体" w:eastAsia="宋体" w:cs="宋体"/>
                <w:color w:val="auto"/>
                <w:spacing w:val="-1"/>
                <w:highlight w:val="none"/>
              </w:rPr>
              <w:t>专用合同条款</w:t>
            </w:r>
          </w:p>
        </w:tc>
        <w:tc>
          <w:tcPr>
            <w:tcW w:w="1984" w:type="dxa"/>
          </w:tcPr>
          <w:p>
            <w:pPr>
              <w:rPr>
                <w:color w:val="auto"/>
                <w:highlight w:val="none"/>
              </w:rPr>
            </w:pPr>
          </w:p>
        </w:tc>
        <w:tc>
          <w:tcPr>
            <w:tcW w:w="1672" w:type="dxa"/>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rPr>
        <w:tc>
          <w:tcPr>
            <w:tcW w:w="995" w:type="dxa"/>
          </w:tcPr>
          <w:p>
            <w:pPr>
              <w:spacing w:before="216" w:line="187" w:lineRule="auto"/>
              <w:ind w:left="450"/>
              <w:rPr>
                <w:rFonts w:ascii="Times New Roman" w:hAnsi="Times New Roman" w:eastAsia="Times New Roman" w:cs="Times New Roman"/>
                <w:color w:val="auto"/>
                <w:highlight w:val="none"/>
              </w:rPr>
            </w:pPr>
            <w:r>
              <w:rPr>
                <w:rFonts w:ascii="Times New Roman" w:hAnsi="Times New Roman" w:eastAsia="Times New Roman" w:cs="Times New Roman"/>
                <w:color w:val="auto"/>
                <w:highlight w:val="none"/>
              </w:rPr>
              <w:t>6</w:t>
            </w:r>
          </w:p>
        </w:tc>
        <w:tc>
          <w:tcPr>
            <w:tcW w:w="1984" w:type="dxa"/>
          </w:tcPr>
          <w:p>
            <w:pPr>
              <w:spacing w:before="180" w:line="221" w:lineRule="auto"/>
              <w:ind w:left="117"/>
              <w:rPr>
                <w:rFonts w:ascii="宋体" w:hAnsi="宋体" w:eastAsia="宋体" w:cs="宋体"/>
                <w:color w:val="auto"/>
                <w:highlight w:val="none"/>
              </w:rPr>
            </w:pPr>
            <w:r>
              <w:rPr>
                <w:rFonts w:ascii="宋体" w:hAnsi="宋体" w:eastAsia="宋体" w:cs="宋体"/>
                <w:color w:val="auto"/>
                <w:spacing w:val="-3"/>
                <w:highlight w:val="none"/>
              </w:rPr>
              <w:t>分</w:t>
            </w:r>
            <w:r>
              <w:rPr>
                <w:rFonts w:ascii="宋体" w:hAnsi="宋体" w:eastAsia="宋体" w:cs="宋体"/>
                <w:color w:val="auto"/>
                <w:spacing w:val="-2"/>
                <w:highlight w:val="none"/>
              </w:rPr>
              <w:t>包</w:t>
            </w:r>
          </w:p>
        </w:tc>
        <w:tc>
          <w:tcPr>
            <w:tcW w:w="2126" w:type="dxa"/>
          </w:tcPr>
          <w:p>
            <w:pPr>
              <w:spacing w:before="180" w:line="221" w:lineRule="auto"/>
              <w:ind w:left="176"/>
              <w:rPr>
                <w:rFonts w:ascii="宋体" w:hAnsi="宋体" w:eastAsia="宋体" w:cs="宋体"/>
                <w:color w:val="auto"/>
                <w:highlight w:val="none"/>
              </w:rPr>
            </w:pPr>
            <w:r>
              <w:rPr>
                <w:rFonts w:ascii="宋体" w:hAnsi="宋体" w:eastAsia="宋体" w:cs="宋体"/>
                <w:color w:val="auto"/>
                <w:spacing w:val="-1"/>
                <w:highlight w:val="none"/>
              </w:rPr>
              <w:t>专用合同条款</w:t>
            </w:r>
          </w:p>
        </w:tc>
        <w:tc>
          <w:tcPr>
            <w:tcW w:w="1984" w:type="dxa"/>
          </w:tcPr>
          <w:p>
            <w:pPr>
              <w:spacing w:before="180" w:line="221" w:lineRule="auto"/>
              <w:ind w:left="160"/>
              <w:rPr>
                <w:rFonts w:ascii="宋体" w:hAnsi="宋体" w:eastAsia="宋体" w:cs="宋体"/>
                <w:color w:val="auto"/>
                <w:highlight w:val="none"/>
              </w:rPr>
            </w:pPr>
            <w:r>
              <w:rPr>
                <w:rFonts w:ascii="宋体" w:hAnsi="宋体" w:eastAsia="宋体" w:cs="宋体"/>
                <w:color w:val="auto"/>
                <w:spacing w:val="-1"/>
                <w:highlight w:val="none"/>
              </w:rPr>
              <w:t>见分包项目情况表</w:t>
            </w:r>
          </w:p>
        </w:tc>
        <w:tc>
          <w:tcPr>
            <w:tcW w:w="1672" w:type="dxa"/>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3" w:hRule="atLeast"/>
        </w:trPr>
        <w:tc>
          <w:tcPr>
            <w:tcW w:w="995" w:type="dxa"/>
          </w:tcPr>
          <w:p>
            <w:pPr>
              <w:spacing w:before="222" w:line="184" w:lineRule="auto"/>
              <w:ind w:left="449"/>
              <w:rPr>
                <w:rFonts w:ascii="Times New Roman" w:hAnsi="Times New Roman" w:eastAsia="Times New Roman" w:cs="Times New Roman"/>
                <w:color w:val="auto"/>
                <w:highlight w:val="none"/>
              </w:rPr>
            </w:pPr>
            <w:r>
              <w:rPr>
                <w:rFonts w:ascii="Times New Roman" w:hAnsi="Times New Roman" w:eastAsia="Times New Roman" w:cs="Times New Roman"/>
                <w:color w:val="auto"/>
                <w:highlight w:val="none"/>
              </w:rPr>
              <w:t>7</w:t>
            </w:r>
          </w:p>
        </w:tc>
        <w:tc>
          <w:tcPr>
            <w:tcW w:w="1984" w:type="dxa"/>
          </w:tcPr>
          <w:p>
            <w:pPr>
              <w:spacing w:before="182" w:line="221" w:lineRule="auto"/>
              <w:ind w:left="112"/>
              <w:rPr>
                <w:rFonts w:ascii="宋体" w:hAnsi="宋体" w:eastAsia="宋体" w:cs="宋体"/>
                <w:color w:val="auto"/>
                <w:highlight w:val="none"/>
              </w:rPr>
            </w:pPr>
            <w:r>
              <w:rPr>
                <w:rFonts w:ascii="宋体" w:hAnsi="宋体" w:eastAsia="宋体" w:cs="宋体"/>
                <w:color w:val="auto"/>
                <w:spacing w:val="-1"/>
                <w:highlight w:val="none"/>
              </w:rPr>
              <w:t>逾期竣</w:t>
            </w:r>
            <w:r>
              <w:rPr>
                <w:rFonts w:ascii="宋体" w:hAnsi="宋体" w:eastAsia="宋体" w:cs="宋体"/>
                <w:color w:val="auto"/>
                <w:highlight w:val="none"/>
              </w:rPr>
              <w:t>工违约金</w:t>
            </w:r>
          </w:p>
        </w:tc>
        <w:tc>
          <w:tcPr>
            <w:tcW w:w="2126" w:type="dxa"/>
          </w:tcPr>
          <w:p>
            <w:pPr>
              <w:spacing w:before="182" w:line="221" w:lineRule="auto"/>
              <w:ind w:left="176"/>
              <w:rPr>
                <w:rFonts w:ascii="宋体" w:hAnsi="宋体" w:eastAsia="宋体" w:cs="宋体"/>
                <w:color w:val="auto"/>
                <w:highlight w:val="none"/>
              </w:rPr>
            </w:pPr>
            <w:r>
              <w:rPr>
                <w:rFonts w:ascii="宋体" w:hAnsi="宋体" w:eastAsia="宋体" w:cs="宋体"/>
                <w:color w:val="auto"/>
                <w:spacing w:val="-1"/>
                <w:highlight w:val="none"/>
              </w:rPr>
              <w:t>专用合同条款</w:t>
            </w:r>
          </w:p>
        </w:tc>
        <w:tc>
          <w:tcPr>
            <w:tcW w:w="1984" w:type="dxa"/>
          </w:tcPr>
          <w:p>
            <w:pPr>
              <w:tabs>
                <w:tab w:val="left" w:pos="1340"/>
              </w:tabs>
              <w:spacing w:before="183" w:line="235" w:lineRule="auto"/>
              <w:ind w:left="173"/>
              <w:rPr>
                <w:rFonts w:ascii="宋体" w:hAnsi="宋体" w:eastAsia="宋体" w:cs="宋体"/>
                <w:color w:val="auto"/>
                <w:highlight w:val="none"/>
              </w:rPr>
            </w:pPr>
            <w:r>
              <w:rPr>
                <w:rFonts w:ascii="宋体" w:hAnsi="宋体" w:eastAsia="宋体" w:cs="宋体"/>
                <w:color w:val="auto"/>
                <w:highlight w:val="none"/>
                <w:u w:val="single"/>
              </w:rPr>
              <w:tab/>
            </w:r>
            <w:r>
              <w:rPr>
                <w:rFonts w:ascii="宋体" w:hAnsi="宋体" w:eastAsia="宋体" w:cs="宋体"/>
                <w:color w:val="auto"/>
                <w:spacing w:val="-4"/>
                <w:highlight w:val="none"/>
              </w:rPr>
              <w:t>元</w:t>
            </w:r>
            <w:r>
              <w:rPr>
                <w:rFonts w:ascii="Times New Roman" w:hAnsi="Times New Roman" w:eastAsia="Times New Roman" w:cs="Times New Roman"/>
                <w:color w:val="auto"/>
                <w:spacing w:val="-2"/>
                <w:highlight w:val="none"/>
              </w:rPr>
              <w:t>/</w:t>
            </w:r>
            <w:r>
              <w:rPr>
                <w:rFonts w:ascii="宋体" w:hAnsi="宋体" w:eastAsia="宋体" w:cs="宋体"/>
                <w:color w:val="auto"/>
                <w:spacing w:val="-2"/>
                <w:highlight w:val="none"/>
              </w:rPr>
              <w:t>天</w:t>
            </w:r>
          </w:p>
        </w:tc>
        <w:tc>
          <w:tcPr>
            <w:tcW w:w="1672" w:type="dxa"/>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trPr>
        <w:tc>
          <w:tcPr>
            <w:tcW w:w="995" w:type="dxa"/>
          </w:tcPr>
          <w:p>
            <w:pPr>
              <w:spacing w:before="245" w:line="187" w:lineRule="auto"/>
              <w:ind w:left="454"/>
              <w:rPr>
                <w:rFonts w:ascii="Times New Roman" w:hAnsi="Times New Roman" w:eastAsia="Times New Roman" w:cs="Times New Roman"/>
                <w:color w:val="auto"/>
                <w:highlight w:val="none"/>
              </w:rPr>
            </w:pPr>
            <w:r>
              <w:rPr>
                <w:rFonts w:ascii="Times New Roman" w:hAnsi="Times New Roman" w:eastAsia="Times New Roman" w:cs="Times New Roman"/>
                <w:color w:val="auto"/>
                <w:highlight w:val="none"/>
              </w:rPr>
              <w:t>8</w:t>
            </w:r>
          </w:p>
        </w:tc>
        <w:tc>
          <w:tcPr>
            <w:tcW w:w="1984" w:type="dxa"/>
          </w:tcPr>
          <w:p>
            <w:pPr>
              <w:spacing w:before="54" w:line="247" w:lineRule="auto"/>
              <w:ind w:left="119" w:right="102" w:hanging="7"/>
              <w:rPr>
                <w:rFonts w:ascii="宋体" w:hAnsi="宋体" w:eastAsia="宋体" w:cs="宋体"/>
                <w:color w:val="auto"/>
                <w:highlight w:val="none"/>
              </w:rPr>
            </w:pPr>
            <w:r>
              <w:rPr>
                <w:rFonts w:ascii="宋体" w:hAnsi="宋体" w:eastAsia="宋体" w:cs="宋体"/>
                <w:color w:val="auto"/>
                <w:spacing w:val="13"/>
                <w:highlight w:val="none"/>
              </w:rPr>
              <w:t>逾</w:t>
            </w:r>
            <w:r>
              <w:rPr>
                <w:rFonts w:ascii="宋体" w:hAnsi="宋体" w:eastAsia="宋体" w:cs="宋体"/>
                <w:color w:val="auto"/>
                <w:spacing w:val="10"/>
                <w:highlight w:val="none"/>
              </w:rPr>
              <w:t>期竣工违约金最</w:t>
            </w:r>
            <w:r>
              <w:rPr>
                <w:rFonts w:ascii="宋体" w:hAnsi="宋体" w:eastAsia="宋体" w:cs="宋体"/>
                <w:color w:val="auto"/>
                <w:highlight w:val="none"/>
              </w:rPr>
              <w:t xml:space="preserve"> </w:t>
            </w:r>
            <w:r>
              <w:rPr>
                <w:rFonts w:ascii="宋体" w:hAnsi="宋体" w:eastAsia="宋体" w:cs="宋体"/>
                <w:color w:val="auto"/>
                <w:spacing w:val="-3"/>
                <w:highlight w:val="none"/>
              </w:rPr>
              <w:t>高</w:t>
            </w:r>
            <w:r>
              <w:rPr>
                <w:rFonts w:ascii="宋体" w:hAnsi="宋体" w:eastAsia="宋体" w:cs="宋体"/>
                <w:color w:val="auto"/>
                <w:spacing w:val="-2"/>
                <w:highlight w:val="none"/>
              </w:rPr>
              <w:t>限额</w:t>
            </w:r>
          </w:p>
        </w:tc>
        <w:tc>
          <w:tcPr>
            <w:tcW w:w="2126" w:type="dxa"/>
          </w:tcPr>
          <w:p>
            <w:pPr>
              <w:spacing w:before="209" w:line="221" w:lineRule="auto"/>
              <w:ind w:left="176"/>
              <w:rPr>
                <w:rFonts w:ascii="宋体" w:hAnsi="宋体" w:eastAsia="宋体" w:cs="宋体"/>
                <w:color w:val="auto"/>
                <w:highlight w:val="none"/>
              </w:rPr>
            </w:pPr>
            <w:r>
              <w:rPr>
                <w:rFonts w:ascii="宋体" w:hAnsi="宋体" w:eastAsia="宋体" w:cs="宋体"/>
                <w:color w:val="auto"/>
                <w:spacing w:val="-1"/>
                <w:highlight w:val="none"/>
              </w:rPr>
              <w:t>专用合同条款</w:t>
            </w:r>
          </w:p>
        </w:tc>
        <w:tc>
          <w:tcPr>
            <w:tcW w:w="1984" w:type="dxa"/>
          </w:tcPr>
          <w:p>
            <w:pPr>
              <w:rPr>
                <w:color w:val="auto"/>
                <w:highlight w:val="none"/>
              </w:rPr>
            </w:pPr>
            <w:r>
              <w:rPr>
                <w:color w:val="auto"/>
                <w:highlight w:val="none"/>
              </w:rPr>
              <mc:AlternateContent>
                <mc:Choice Requires="wps">
                  <w:drawing>
                    <wp:anchor distT="0" distB="0" distL="114300" distR="114300" simplePos="0" relativeHeight="251681792" behindDoc="0" locked="0" layoutInCell="1" allowOverlap="1">
                      <wp:simplePos x="0" y="0"/>
                      <wp:positionH relativeFrom="page">
                        <wp:posOffset>69850</wp:posOffset>
                      </wp:positionH>
                      <wp:positionV relativeFrom="page">
                        <wp:posOffset>264795</wp:posOffset>
                      </wp:positionV>
                      <wp:extent cx="867410" cy="6350"/>
                      <wp:effectExtent l="0" t="0" r="0" b="0"/>
                      <wp:wrapNone/>
                      <wp:docPr id="3" name="矩形 3"/>
                      <wp:cNvGraphicFramePr/>
                      <a:graphic xmlns:a="http://schemas.openxmlformats.org/drawingml/2006/main">
                        <a:graphicData uri="http://schemas.microsoft.com/office/word/2010/wordprocessingShape">
                          <wps:wsp>
                            <wps:cNvSpPr/>
                            <wps:spPr>
                              <a:xfrm>
                                <a:off x="0" y="0"/>
                                <a:ext cx="867410" cy="635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5.5pt;margin-top:20.85pt;height:0.5pt;width:68.3pt;mso-position-horizontal-relative:page;mso-position-vertical-relative:page;z-index:251681792;mso-width-relative:page;mso-height-relative:page;" fillcolor="#000000" filled="t" stroked="f" coordsize="21600,21600" o:gfxdata="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sSHXF&#10;1wAAAAgBAAAPAAAAAAAAAAEAIAAAACIAAABkcnMvZG93bnJldi54bWxQSwECFAAUAAAACACHTuJA&#10;2o25crABAABcAwAADgAAAAAAAAABACAAAAAmAQAAZHJzL2Uyb0RvYy54bWxQSwUGAAAAAAYABgBZ&#10;AQAASAUAAAAA&#10;">
                      <v:fill on="t" focussize="0,0"/>
                      <v:stroke on="f"/>
                      <v:imagedata o:title=""/>
                      <o:lock v:ext="edit" aspectratio="f"/>
                    </v:rect>
                  </w:pict>
                </mc:Fallback>
              </mc:AlternateContent>
            </w:r>
          </w:p>
        </w:tc>
        <w:tc>
          <w:tcPr>
            <w:tcW w:w="1672" w:type="dxa"/>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rPr>
        <w:tc>
          <w:tcPr>
            <w:tcW w:w="995" w:type="dxa"/>
          </w:tcPr>
          <w:p>
            <w:pPr>
              <w:spacing w:before="217" w:line="187" w:lineRule="auto"/>
              <w:ind w:left="449"/>
              <w:rPr>
                <w:rFonts w:ascii="Times New Roman" w:hAnsi="Times New Roman" w:eastAsia="Times New Roman" w:cs="Times New Roman"/>
                <w:color w:val="auto"/>
                <w:highlight w:val="none"/>
              </w:rPr>
            </w:pPr>
            <w:r>
              <w:rPr>
                <w:rFonts w:ascii="Times New Roman" w:hAnsi="Times New Roman" w:eastAsia="Times New Roman" w:cs="Times New Roman"/>
                <w:color w:val="auto"/>
                <w:highlight w:val="none"/>
              </w:rPr>
              <w:t>9</w:t>
            </w:r>
          </w:p>
        </w:tc>
        <w:tc>
          <w:tcPr>
            <w:tcW w:w="1984" w:type="dxa"/>
          </w:tcPr>
          <w:p>
            <w:pPr>
              <w:spacing w:before="181" w:line="221" w:lineRule="auto"/>
              <w:ind w:left="115"/>
              <w:rPr>
                <w:rFonts w:ascii="宋体" w:hAnsi="宋体" w:eastAsia="宋体" w:cs="宋体"/>
                <w:color w:val="auto"/>
                <w:highlight w:val="none"/>
              </w:rPr>
            </w:pPr>
            <w:r>
              <w:rPr>
                <w:rFonts w:ascii="宋体" w:hAnsi="宋体" w:eastAsia="宋体" w:cs="宋体"/>
                <w:color w:val="auto"/>
                <w:spacing w:val="-2"/>
                <w:highlight w:val="none"/>
              </w:rPr>
              <w:t>质量</w:t>
            </w:r>
            <w:r>
              <w:rPr>
                <w:rFonts w:ascii="宋体" w:hAnsi="宋体" w:eastAsia="宋体" w:cs="宋体"/>
                <w:color w:val="auto"/>
                <w:spacing w:val="-1"/>
                <w:highlight w:val="none"/>
              </w:rPr>
              <w:t>标准</w:t>
            </w:r>
          </w:p>
        </w:tc>
        <w:tc>
          <w:tcPr>
            <w:tcW w:w="2126" w:type="dxa"/>
          </w:tcPr>
          <w:p>
            <w:pPr>
              <w:spacing w:before="181" w:line="221" w:lineRule="auto"/>
              <w:ind w:left="176"/>
              <w:rPr>
                <w:rFonts w:ascii="宋体" w:hAnsi="宋体" w:eastAsia="宋体" w:cs="宋体"/>
                <w:color w:val="auto"/>
                <w:highlight w:val="none"/>
              </w:rPr>
            </w:pPr>
            <w:r>
              <w:rPr>
                <w:rFonts w:ascii="宋体" w:hAnsi="宋体" w:eastAsia="宋体" w:cs="宋体"/>
                <w:color w:val="auto"/>
                <w:spacing w:val="-1"/>
                <w:highlight w:val="none"/>
              </w:rPr>
              <w:t>专用合同条款</w:t>
            </w:r>
          </w:p>
        </w:tc>
        <w:tc>
          <w:tcPr>
            <w:tcW w:w="1984" w:type="dxa"/>
          </w:tcPr>
          <w:p>
            <w:pPr>
              <w:rPr>
                <w:color w:val="auto"/>
                <w:highlight w:val="none"/>
              </w:rPr>
            </w:pPr>
          </w:p>
        </w:tc>
        <w:tc>
          <w:tcPr>
            <w:tcW w:w="1672" w:type="dxa"/>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3" w:hRule="atLeast"/>
        </w:trPr>
        <w:tc>
          <w:tcPr>
            <w:tcW w:w="995" w:type="dxa"/>
          </w:tcPr>
          <w:p>
            <w:pPr>
              <w:spacing w:before="220" w:line="187" w:lineRule="auto"/>
              <w:ind w:left="413"/>
              <w:rPr>
                <w:rFonts w:ascii="Times New Roman" w:hAnsi="Times New Roman" w:eastAsia="Times New Roman" w:cs="Times New Roman"/>
                <w:color w:val="auto"/>
                <w:highlight w:val="none"/>
              </w:rPr>
            </w:pPr>
            <w:r>
              <w:rPr>
                <w:rFonts w:ascii="Times New Roman" w:hAnsi="Times New Roman" w:eastAsia="Times New Roman" w:cs="Times New Roman"/>
                <w:color w:val="auto"/>
                <w:spacing w:val="-6"/>
                <w:highlight w:val="none"/>
              </w:rPr>
              <w:t>10</w:t>
            </w:r>
          </w:p>
        </w:tc>
        <w:tc>
          <w:tcPr>
            <w:tcW w:w="1984" w:type="dxa"/>
          </w:tcPr>
          <w:p>
            <w:pPr>
              <w:spacing w:before="183" w:line="221" w:lineRule="auto"/>
              <w:ind w:left="116"/>
              <w:rPr>
                <w:rFonts w:ascii="宋体" w:hAnsi="宋体" w:eastAsia="宋体" w:cs="宋体"/>
                <w:color w:val="auto"/>
                <w:highlight w:val="none"/>
              </w:rPr>
            </w:pPr>
            <w:r>
              <w:rPr>
                <w:rFonts w:ascii="宋体" w:hAnsi="宋体" w:eastAsia="宋体" w:cs="宋体"/>
                <w:color w:val="auto"/>
                <w:spacing w:val="-2"/>
                <w:highlight w:val="none"/>
              </w:rPr>
              <w:t>预付</w:t>
            </w:r>
            <w:r>
              <w:rPr>
                <w:rFonts w:ascii="宋体" w:hAnsi="宋体" w:eastAsia="宋体" w:cs="宋体"/>
                <w:color w:val="auto"/>
                <w:spacing w:val="-1"/>
                <w:highlight w:val="none"/>
              </w:rPr>
              <w:t>款额度</w:t>
            </w:r>
          </w:p>
        </w:tc>
        <w:tc>
          <w:tcPr>
            <w:tcW w:w="2126" w:type="dxa"/>
          </w:tcPr>
          <w:p>
            <w:pPr>
              <w:spacing w:before="183" w:line="221" w:lineRule="auto"/>
              <w:ind w:left="176"/>
              <w:rPr>
                <w:rFonts w:ascii="宋体" w:hAnsi="宋体" w:eastAsia="宋体" w:cs="宋体"/>
                <w:color w:val="auto"/>
                <w:highlight w:val="none"/>
              </w:rPr>
            </w:pPr>
            <w:r>
              <w:rPr>
                <w:rFonts w:ascii="宋体" w:hAnsi="宋体" w:eastAsia="宋体" w:cs="宋体"/>
                <w:color w:val="auto"/>
                <w:spacing w:val="-1"/>
                <w:highlight w:val="none"/>
              </w:rPr>
              <w:t>专用合同条款</w:t>
            </w:r>
          </w:p>
        </w:tc>
        <w:tc>
          <w:tcPr>
            <w:tcW w:w="1984" w:type="dxa"/>
          </w:tcPr>
          <w:p>
            <w:pPr>
              <w:rPr>
                <w:color w:val="auto"/>
                <w:highlight w:val="none"/>
              </w:rPr>
            </w:pPr>
          </w:p>
        </w:tc>
        <w:tc>
          <w:tcPr>
            <w:tcW w:w="1672" w:type="dxa"/>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rPr>
        <w:tc>
          <w:tcPr>
            <w:tcW w:w="995" w:type="dxa"/>
          </w:tcPr>
          <w:p>
            <w:pPr>
              <w:spacing w:before="218" w:line="187" w:lineRule="auto"/>
              <w:ind w:left="418"/>
              <w:rPr>
                <w:rFonts w:ascii="Times New Roman" w:hAnsi="Times New Roman" w:eastAsia="Times New Roman" w:cs="Times New Roman"/>
                <w:color w:val="auto"/>
                <w:highlight w:val="none"/>
              </w:rPr>
            </w:pPr>
            <w:r>
              <w:rPr>
                <w:rFonts w:ascii="Times New Roman" w:hAnsi="Times New Roman" w:eastAsia="Times New Roman" w:cs="Times New Roman"/>
                <w:color w:val="auto"/>
                <w:spacing w:val="-9"/>
                <w:highlight w:val="none"/>
              </w:rPr>
              <w:t>1</w:t>
            </w:r>
            <w:r>
              <w:rPr>
                <w:rFonts w:ascii="Times New Roman" w:hAnsi="Times New Roman" w:eastAsia="Times New Roman" w:cs="Times New Roman"/>
                <w:color w:val="auto"/>
                <w:spacing w:val="-7"/>
                <w:highlight w:val="none"/>
              </w:rPr>
              <w:t>1</w:t>
            </w:r>
          </w:p>
        </w:tc>
        <w:tc>
          <w:tcPr>
            <w:tcW w:w="1984" w:type="dxa"/>
          </w:tcPr>
          <w:p>
            <w:pPr>
              <w:spacing w:before="181" w:line="221" w:lineRule="auto"/>
              <w:ind w:left="116"/>
              <w:rPr>
                <w:rFonts w:ascii="宋体" w:hAnsi="宋体" w:eastAsia="宋体" w:cs="宋体"/>
                <w:color w:val="auto"/>
                <w:highlight w:val="none"/>
              </w:rPr>
            </w:pPr>
            <w:r>
              <w:rPr>
                <w:rFonts w:ascii="宋体" w:hAnsi="宋体" w:eastAsia="宋体" w:cs="宋体"/>
                <w:color w:val="auto"/>
                <w:spacing w:val="-1"/>
                <w:highlight w:val="none"/>
              </w:rPr>
              <w:t>预付款保函金额</w:t>
            </w:r>
          </w:p>
        </w:tc>
        <w:tc>
          <w:tcPr>
            <w:tcW w:w="2126" w:type="dxa"/>
          </w:tcPr>
          <w:p>
            <w:pPr>
              <w:spacing w:before="181" w:line="221" w:lineRule="auto"/>
              <w:ind w:left="176"/>
              <w:rPr>
                <w:rFonts w:ascii="宋体" w:hAnsi="宋体" w:eastAsia="宋体" w:cs="宋体"/>
                <w:color w:val="auto"/>
                <w:highlight w:val="none"/>
              </w:rPr>
            </w:pPr>
            <w:r>
              <w:rPr>
                <w:rFonts w:ascii="宋体" w:hAnsi="宋体" w:eastAsia="宋体" w:cs="宋体"/>
                <w:color w:val="auto"/>
                <w:spacing w:val="-1"/>
                <w:highlight w:val="none"/>
              </w:rPr>
              <w:t>专用合同条款</w:t>
            </w:r>
          </w:p>
        </w:tc>
        <w:tc>
          <w:tcPr>
            <w:tcW w:w="1984" w:type="dxa"/>
          </w:tcPr>
          <w:p>
            <w:pPr>
              <w:rPr>
                <w:color w:val="auto"/>
                <w:highlight w:val="none"/>
              </w:rPr>
            </w:pPr>
          </w:p>
        </w:tc>
        <w:tc>
          <w:tcPr>
            <w:tcW w:w="1672" w:type="dxa"/>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3" w:hRule="atLeast"/>
        </w:trPr>
        <w:tc>
          <w:tcPr>
            <w:tcW w:w="995" w:type="dxa"/>
          </w:tcPr>
          <w:p>
            <w:pPr>
              <w:spacing w:before="220" w:line="187" w:lineRule="auto"/>
              <w:ind w:left="413"/>
              <w:rPr>
                <w:rFonts w:ascii="Times New Roman" w:hAnsi="Times New Roman" w:eastAsia="Times New Roman" w:cs="Times New Roman"/>
                <w:color w:val="auto"/>
                <w:highlight w:val="none"/>
              </w:rPr>
            </w:pPr>
            <w:r>
              <w:rPr>
                <w:rFonts w:ascii="Times New Roman" w:hAnsi="Times New Roman" w:eastAsia="Times New Roman" w:cs="Times New Roman"/>
                <w:color w:val="auto"/>
                <w:spacing w:val="-6"/>
                <w:highlight w:val="none"/>
              </w:rPr>
              <w:t>12</w:t>
            </w:r>
          </w:p>
        </w:tc>
        <w:tc>
          <w:tcPr>
            <w:tcW w:w="1984" w:type="dxa"/>
          </w:tcPr>
          <w:p>
            <w:pPr>
              <w:spacing w:before="183" w:line="221" w:lineRule="auto"/>
              <w:ind w:left="115"/>
              <w:rPr>
                <w:rFonts w:ascii="宋体" w:hAnsi="宋体" w:eastAsia="宋体" w:cs="宋体"/>
                <w:color w:val="auto"/>
                <w:highlight w:val="none"/>
              </w:rPr>
            </w:pPr>
            <w:r>
              <w:rPr>
                <w:rFonts w:ascii="宋体" w:hAnsi="宋体" w:eastAsia="宋体" w:cs="宋体"/>
                <w:color w:val="auto"/>
                <w:spacing w:val="-1"/>
                <w:highlight w:val="none"/>
              </w:rPr>
              <w:t>质量保证金额</w:t>
            </w:r>
            <w:r>
              <w:rPr>
                <w:rFonts w:ascii="宋体" w:hAnsi="宋体" w:eastAsia="宋体" w:cs="宋体"/>
                <w:color w:val="auto"/>
                <w:highlight w:val="none"/>
              </w:rPr>
              <w:t>度</w:t>
            </w:r>
          </w:p>
        </w:tc>
        <w:tc>
          <w:tcPr>
            <w:tcW w:w="2126" w:type="dxa"/>
          </w:tcPr>
          <w:p>
            <w:pPr>
              <w:spacing w:before="183" w:line="221" w:lineRule="auto"/>
              <w:ind w:left="176"/>
              <w:rPr>
                <w:rFonts w:ascii="宋体" w:hAnsi="宋体" w:eastAsia="宋体" w:cs="宋体"/>
                <w:color w:val="auto"/>
                <w:highlight w:val="none"/>
              </w:rPr>
            </w:pPr>
            <w:r>
              <w:rPr>
                <w:rFonts w:ascii="宋体" w:hAnsi="宋体" w:eastAsia="宋体" w:cs="宋体"/>
                <w:color w:val="auto"/>
                <w:spacing w:val="-1"/>
                <w:highlight w:val="none"/>
              </w:rPr>
              <w:t>专用合同条款</w:t>
            </w:r>
          </w:p>
        </w:tc>
        <w:tc>
          <w:tcPr>
            <w:tcW w:w="1984" w:type="dxa"/>
          </w:tcPr>
          <w:p>
            <w:pPr>
              <w:rPr>
                <w:color w:val="auto"/>
                <w:highlight w:val="none"/>
              </w:rPr>
            </w:pPr>
          </w:p>
        </w:tc>
        <w:tc>
          <w:tcPr>
            <w:tcW w:w="1672" w:type="dxa"/>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rPr>
        <w:tc>
          <w:tcPr>
            <w:tcW w:w="995" w:type="dxa"/>
          </w:tcPr>
          <w:p>
            <w:pPr>
              <w:spacing w:line="279" w:lineRule="auto"/>
              <w:rPr>
                <w:color w:val="auto"/>
                <w:highlight w:val="none"/>
              </w:rPr>
            </w:pPr>
          </w:p>
          <w:p>
            <w:pPr>
              <w:spacing w:before="61" w:line="65" w:lineRule="exact"/>
              <w:ind w:left="309"/>
              <w:rPr>
                <w:rFonts w:ascii="Times New Roman" w:hAnsi="Times New Roman" w:eastAsia="Times New Roman" w:cs="Times New Roman"/>
                <w:color w:val="auto"/>
                <w:highlight w:val="none"/>
              </w:rPr>
            </w:pPr>
            <w:r>
              <w:rPr>
                <w:rFonts w:ascii="Times New Roman" w:hAnsi="Times New Roman" w:eastAsia="Times New Roman" w:cs="Times New Roman"/>
                <w:color w:val="auto"/>
                <w:spacing w:val="-6"/>
                <w:position w:val="1"/>
                <w:highlight w:val="none"/>
              </w:rPr>
              <w:t>…</w:t>
            </w:r>
            <w:r>
              <w:rPr>
                <w:rFonts w:ascii="Times New Roman" w:hAnsi="Times New Roman" w:eastAsia="Times New Roman" w:cs="Times New Roman"/>
                <w:color w:val="auto"/>
                <w:spacing w:val="-5"/>
                <w:position w:val="1"/>
                <w:highlight w:val="none"/>
              </w:rPr>
              <w:t>…</w:t>
            </w:r>
          </w:p>
        </w:tc>
        <w:tc>
          <w:tcPr>
            <w:tcW w:w="1984" w:type="dxa"/>
          </w:tcPr>
          <w:p>
            <w:pPr>
              <w:spacing w:line="279" w:lineRule="auto"/>
              <w:rPr>
                <w:color w:val="auto"/>
                <w:highlight w:val="none"/>
              </w:rPr>
            </w:pPr>
          </w:p>
          <w:p>
            <w:pPr>
              <w:spacing w:before="61" w:line="65" w:lineRule="exact"/>
              <w:ind w:left="804"/>
              <w:rPr>
                <w:rFonts w:ascii="Times New Roman" w:hAnsi="Times New Roman" w:eastAsia="Times New Roman" w:cs="Times New Roman"/>
                <w:color w:val="auto"/>
                <w:highlight w:val="none"/>
              </w:rPr>
            </w:pPr>
            <w:r>
              <w:rPr>
                <w:rFonts w:ascii="Times New Roman" w:hAnsi="Times New Roman" w:eastAsia="Times New Roman" w:cs="Times New Roman"/>
                <w:color w:val="auto"/>
                <w:spacing w:val="-6"/>
                <w:position w:val="1"/>
                <w:highlight w:val="none"/>
              </w:rPr>
              <w:t>…</w:t>
            </w:r>
            <w:r>
              <w:rPr>
                <w:rFonts w:ascii="Times New Roman" w:hAnsi="Times New Roman" w:eastAsia="Times New Roman" w:cs="Times New Roman"/>
                <w:color w:val="auto"/>
                <w:spacing w:val="-5"/>
                <w:position w:val="1"/>
                <w:highlight w:val="none"/>
              </w:rPr>
              <w:t>…</w:t>
            </w:r>
          </w:p>
        </w:tc>
        <w:tc>
          <w:tcPr>
            <w:tcW w:w="2126" w:type="dxa"/>
          </w:tcPr>
          <w:p>
            <w:pPr>
              <w:rPr>
                <w:color w:val="auto"/>
                <w:highlight w:val="none"/>
              </w:rPr>
            </w:pPr>
          </w:p>
        </w:tc>
        <w:tc>
          <w:tcPr>
            <w:tcW w:w="1984" w:type="dxa"/>
          </w:tcPr>
          <w:p>
            <w:pPr>
              <w:rPr>
                <w:color w:val="auto"/>
                <w:highlight w:val="none"/>
              </w:rPr>
            </w:pPr>
          </w:p>
        </w:tc>
        <w:tc>
          <w:tcPr>
            <w:tcW w:w="1672" w:type="dxa"/>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35" w:hRule="atLeast"/>
        </w:trPr>
        <w:tc>
          <w:tcPr>
            <w:tcW w:w="8761" w:type="dxa"/>
            <w:gridSpan w:val="5"/>
          </w:tcPr>
          <w:p>
            <w:pPr>
              <w:spacing w:before="207" w:line="287" w:lineRule="auto"/>
              <w:ind w:left="132" w:right="102" w:hanging="14"/>
              <w:rPr>
                <w:rFonts w:ascii="宋体" w:hAnsi="宋体" w:eastAsia="宋体" w:cs="宋体"/>
                <w:color w:val="auto"/>
                <w:highlight w:val="none"/>
              </w:rPr>
            </w:pPr>
            <w:r>
              <w:rPr>
                <w:rFonts w:ascii="宋体" w:hAnsi="宋体" w:eastAsia="宋体" w:cs="宋体"/>
                <w:color w:val="auto"/>
                <w:spacing w:val="-8"/>
                <w:highlight w:val="none"/>
              </w:rPr>
              <w:t>备注：</w:t>
            </w:r>
            <w:r>
              <w:rPr>
                <w:rFonts w:ascii="宋体" w:hAnsi="宋体" w:eastAsia="宋体" w:cs="宋体"/>
                <w:color w:val="auto"/>
                <w:spacing w:val="-5"/>
                <w:highlight w:val="none"/>
              </w:rPr>
              <w:t xml:space="preserve"> </w:t>
            </w:r>
            <w:r>
              <w:rPr>
                <w:rFonts w:ascii="宋体" w:hAnsi="宋体" w:eastAsia="宋体" w:cs="宋体"/>
                <w:color w:val="auto"/>
                <w:spacing w:val="-4"/>
                <w:highlight w:val="none"/>
              </w:rPr>
              <w:t>投标人在响应招标文件中规定的实质性要求和条件的基础上，可做出其他有利于招标人</w:t>
            </w:r>
            <w:r>
              <w:rPr>
                <w:rFonts w:ascii="宋体" w:hAnsi="宋体" w:eastAsia="宋体" w:cs="宋体"/>
                <w:color w:val="auto"/>
                <w:highlight w:val="none"/>
              </w:rPr>
              <w:t xml:space="preserve"> </w:t>
            </w:r>
            <w:r>
              <w:rPr>
                <w:rFonts w:ascii="宋体" w:hAnsi="宋体" w:eastAsia="宋体" w:cs="宋体"/>
                <w:color w:val="auto"/>
                <w:spacing w:val="-2"/>
                <w:highlight w:val="none"/>
              </w:rPr>
              <w:t>的承诺。此类承诺可在本表中予以补</w:t>
            </w:r>
            <w:r>
              <w:rPr>
                <w:rFonts w:ascii="宋体" w:hAnsi="宋体" w:eastAsia="宋体" w:cs="宋体"/>
                <w:color w:val="auto"/>
                <w:spacing w:val="-1"/>
                <w:highlight w:val="none"/>
              </w:rPr>
              <w:t>充填写。</w:t>
            </w:r>
          </w:p>
        </w:tc>
      </w:tr>
    </w:tbl>
    <w:p>
      <w:pPr>
        <w:spacing w:before="71" w:line="489" w:lineRule="exact"/>
        <w:ind w:firstLine="648" w:firstLineChars="300"/>
        <w:rPr>
          <w:rFonts w:ascii="宋体" w:hAnsi="宋体" w:eastAsia="宋体" w:cs="宋体"/>
          <w:color w:val="auto"/>
          <w:spacing w:val="3"/>
          <w:highlight w:val="none"/>
        </w:rPr>
      </w:pPr>
    </w:p>
    <w:p>
      <w:pPr>
        <w:spacing w:line="480" w:lineRule="exact"/>
        <w:ind w:firstLine="4200" w:firstLineChars="2000"/>
        <w:rPr>
          <w:rFonts w:ascii="宋体" w:hAnsi="宋体" w:eastAsia="宋体" w:cs="宋体"/>
          <w:color w:val="auto"/>
          <w:highlight w:val="none"/>
        </w:rPr>
      </w:pPr>
      <w:r>
        <w:rPr>
          <w:rFonts w:hint="eastAsia" w:ascii="宋体" w:hAnsi="宋体" w:eastAsia="宋体" w:cs="宋体"/>
          <w:color w:val="auto"/>
          <w:highlight w:val="none"/>
        </w:rPr>
        <w:t>投标人[盖单位公章（CA签章）]：</w:t>
      </w:r>
    </w:p>
    <w:p>
      <w:pPr>
        <w:spacing w:line="480" w:lineRule="exact"/>
        <w:ind w:firstLine="4200" w:firstLineChars="2000"/>
        <w:rPr>
          <w:rFonts w:ascii="宋体" w:hAnsi="宋体" w:eastAsia="宋体" w:cs="宋体"/>
          <w:color w:val="auto"/>
          <w:highlight w:val="none"/>
        </w:rPr>
      </w:pPr>
      <w:r>
        <w:rPr>
          <w:rFonts w:hint="eastAsia" w:ascii="宋体" w:hAnsi="宋体" w:eastAsia="宋体" w:cs="宋体"/>
          <w:color w:val="auto"/>
          <w:highlight w:val="none"/>
        </w:rPr>
        <w:t>法人代表或委托代理人[签字或盖章（CA签章）]：</w:t>
      </w:r>
    </w:p>
    <w:p>
      <w:pPr>
        <w:spacing w:line="480" w:lineRule="exact"/>
        <w:ind w:firstLine="4830" w:firstLineChars="2300"/>
        <w:rPr>
          <w:rFonts w:ascii="宋体" w:hAnsi="宋体" w:eastAsia="宋体" w:cs="宋体"/>
          <w:color w:val="auto"/>
          <w:highlight w:val="none"/>
        </w:rPr>
      </w:pPr>
      <w:r>
        <w:rPr>
          <w:rFonts w:hint="eastAsia" w:ascii="宋体" w:hAnsi="宋体" w:eastAsia="宋体" w:cs="宋体"/>
          <w:color w:val="auto"/>
          <w:highlight w:val="none"/>
        </w:rPr>
        <w:t>日期：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spacing w:line="220" w:lineRule="auto"/>
        <w:ind w:left="582"/>
        <w:jc w:val="right"/>
        <w:rPr>
          <w:rFonts w:ascii="宋体" w:hAnsi="宋体" w:eastAsia="宋体" w:cs="宋体"/>
          <w:color w:val="auto"/>
          <w:highlight w:val="none"/>
        </w:rPr>
      </w:pPr>
    </w:p>
    <w:p>
      <w:pPr>
        <w:spacing w:before="195" w:line="185" w:lineRule="auto"/>
        <w:ind w:left="401"/>
        <w:rPr>
          <w:color w:val="auto"/>
          <w:highlight w:val="none"/>
        </w:rPr>
        <w:sectPr>
          <w:type w:val="continuous"/>
          <w:pgSz w:w="11907" w:h="16839"/>
          <w:pgMar w:top="1440" w:right="1080" w:bottom="1440" w:left="1080" w:header="0" w:footer="993" w:gutter="0"/>
          <w:cols w:equalWidth="0" w:num="1">
            <w:col w:w="8767"/>
          </w:cols>
        </w:sectPr>
      </w:pPr>
    </w:p>
    <w:p>
      <w:pPr>
        <w:spacing w:line="282" w:lineRule="auto"/>
        <w:rPr>
          <w:color w:val="auto"/>
          <w:highlight w:val="none"/>
        </w:rPr>
      </w:pPr>
    </w:p>
    <w:p>
      <w:pPr>
        <w:spacing w:before="91" w:line="221" w:lineRule="auto"/>
        <w:ind w:left="3839"/>
        <w:outlineLvl w:val="6"/>
        <w:rPr>
          <w:rFonts w:ascii="宋体" w:hAnsi="宋体" w:eastAsia="宋体" w:cs="宋体"/>
          <w:color w:val="auto"/>
          <w:sz w:val="28"/>
          <w:szCs w:val="28"/>
          <w:highlight w:val="none"/>
        </w:rPr>
      </w:pPr>
      <w:r>
        <w:rPr>
          <w:rFonts w:hint="eastAsia" w:ascii="宋体" w:hAnsi="宋体" w:eastAsia="宋体" w:cs="宋体"/>
          <w:color w:val="auto"/>
          <w:spacing w:val="-2"/>
          <w:sz w:val="28"/>
          <w:szCs w:val="28"/>
          <w:highlight w:val="none"/>
          <w14:textOutline w14:w="5092" w14:cap="flat" w14:cmpd="sng" w14:algn="ctr">
            <w14:solidFill>
              <w14:srgbClr w14:val="000000"/>
            </w14:solidFill>
            <w14:prstDash w14:val="solid"/>
            <w14:miter w14:val="0"/>
          </w14:textOutline>
        </w:rPr>
        <w:t>2</w:t>
      </w:r>
      <w:r>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、投标响应表</w:t>
      </w:r>
    </w:p>
    <w:p>
      <w:pPr>
        <w:spacing w:before="176" w:line="410" w:lineRule="auto"/>
        <w:ind w:left="126" w:firstLine="425"/>
        <w:rPr>
          <w:rFonts w:ascii="宋体" w:hAnsi="宋体" w:eastAsia="宋体" w:cs="宋体"/>
          <w:color w:val="auto"/>
          <w:highlight w:val="none"/>
        </w:rPr>
      </w:pPr>
      <w:r>
        <w:rPr>
          <w:rFonts w:ascii="宋体" w:hAnsi="宋体" w:eastAsia="宋体" w:cs="宋体"/>
          <w:color w:val="auto"/>
          <w:spacing w:val="4"/>
          <w:highlight w:val="none"/>
        </w:rPr>
        <w:t>(对招标文件有关</w:t>
      </w:r>
      <w:r>
        <w:rPr>
          <w:rFonts w:ascii="宋体" w:hAnsi="宋体" w:eastAsia="宋体" w:cs="宋体"/>
          <w:color w:val="auto"/>
          <w:spacing w:val="2"/>
          <w:highlight w:val="none"/>
        </w:rPr>
        <w:t>工期、投标有效期、质量要求、技术标准和要求、招标范围等实质性内容</w:t>
      </w:r>
      <w:r>
        <w:rPr>
          <w:rFonts w:ascii="宋体" w:hAnsi="宋体" w:eastAsia="宋体" w:cs="宋体"/>
          <w:color w:val="auto"/>
          <w:spacing w:val="9"/>
          <w:highlight w:val="none"/>
        </w:rPr>
        <w:t>作</w:t>
      </w:r>
      <w:r>
        <w:rPr>
          <w:rFonts w:ascii="宋体" w:hAnsi="宋体" w:eastAsia="宋体" w:cs="宋体"/>
          <w:color w:val="auto"/>
          <w:spacing w:val="5"/>
          <w:highlight w:val="none"/>
        </w:rPr>
        <w:t>出响应，格式自行拟定)。</w:t>
      </w:r>
    </w:p>
    <w:p>
      <w:pPr>
        <w:rPr>
          <w:color w:val="auto"/>
          <w:highlight w:val="none"/>
        </w:rPr>
      </w:pPr>
    </w:p>
    <w:p>
      <w:pPr>
        <w:rPr>
          <w:color w:val="auto"/>
          <w:highlight w:val="none"/>
        </w:rPr>
      </w:pPr>
    </w:p>
    <w:p>
      <w:pPr>
        <w:spacing w:line="41" w:lineRule="exact"/>
        <w:rPr>
          <w:color w:val="auto"/>
          <w:highlight w:val="none"/>
        </w:rPr>
      </w:pPr>
    </w:p>
    <w:p>
      <w:pPr>
        <w:rPr>
          <w:color w:val="auto"/>
          <w:highlight w:val="none"/>
        </w:rPr>
        <w:sectPr>
          <w:footerReference r:id="rId27" w:type="default"/>
          <w:pgSz w:w="11907" w:h="16839"/>
          <w:pgMar w:top="1440" w:right="1080" w:bottom="1440" w:left="1080" w:header="0" w:footer="993" w:gutter="0"/>
          <w:cols w:equalWidth="0" w:num="1">
            <w:col w:w="8944"/>
          </w:cols>
        </w:sectPr>
      </w:pPr>
    </w:p>
    <w:p>
      <w:pPr>
        <w:rPr>
          <w:color w:val="auto"/>
          <w:highlight w:val="none"/>
        </w:rPr>
      </w:pPr>
      <w:r>
        <w:rPr>
          <w:color w:val="auto"/>
          <w:highlight w:val="none"/>
        </w:rPr>
        <w:br w:type="page"/>
      </w:r>
    </w:p>
    <w:p>
      <w:pPr>
        <w:pStyle w:val="7"/>
        <w:rPr>
          <w:color w:val="auto"/>
          <w:highlight w:val="none"/>
        </w:rPr>
      </w:pPr>
    </w:p>
    <w:p>
      <w:pPr>
        <w:spacing w:line="299" w:lineRule="auto"/>
        <w:rPr>
          <w:color w:val="auto"/>
          <w:highlight w:val="none"/>
        </w:rPr>
      </w:pPr>
    </w:p>
    <w:p>
      <w:pPr>
        <w:spacing w:before="68" w:line="454" w:lineRule="exact"/>
        <w:ind w:left="128"/>
        <w:rPr>
          <w:rFonts w:ascii="宋体" w:hAnsi="宋体" w:eastAsia="宋体" w:cs="宋体"/>
          <w:color w:val="auto"/>
          <w:highlight w:val="none"/>
        </w:rPr>
      </w:pPr>
      <w:r>
        <w:rPr>
          <w:rFonts w:ascii="宋体" w:hAnsi="宋体" w:eastAsia="宋体" w:cs="宋体"/>
          <w:color w:val="auto"/>
          <w:spacing w:val="-8"/>
          <w:position w:val="18"/>
          <w:highlight w:val="none"/>
        </w:rPr>
        <w:t>工</w:t>
      </w:r>
      <w:r>
        <w:rPr>
          <w:rFonts w:ascii="宋体" w:hAnsi="宋体" w:eastAsia="宋体" w:cs="宋体"/>
          <w:color w:val="auto"/>
          <w:spacing w:val="-6"/>
          <w:position w:val="18"/>
          <w:highlight w:val="none"/>
        </w:rPr>
        <w:t>程名称：</w:t>
      </w:r>
    </w:p>
    <w:p>
      <w:pPr>
        <w:spacing w:line="220" w:lineRule="auto"/>
        <w:ind w:left="128"/>
        <w:rPr>
          <w:rFonts w:ascii="宋体" w:hAnsi="宋体" w:eastAsia="宋体" w:cs="宋体"/>
          <w:color w:val="auto"/>
          <w:highlight w:val="none"/>
        </w:rPr>
      </w:pPr>
      <w:r>
        <w:rPr>
          <w:rFonts w:ascii="宋体" w:hAnsi="宋体" w:eastAsia="宋体" w:cs="宋体"/>
          <w:color w:val="auto"/>
          <w:spacing w:val="-8"/>
          <w:highlight w:val="none"/>
        </w:rPr>
        <w:t>建</w:t>
      </w:r>
      <w:r>
        <w:rPr>
          <w:rFonts w:ascii="宋体" w:hAnsi="宋体" w:eastAsia="宋体" w:cs="宋体"/>
          <w:color w:val="auto"/>
          <w:spacing w:val="-6"/>
          <w:highlight w:val="none"/>
        </w:rPr>
        <w:t>设规模：</w:t>
      </w:r>
    </w:p>
    <w:tbl>
      <w:tblPr>
        <w:tblStyle w:val="16"/>
        <w:tblpPr w:leftFromText="180" w:rightFromText="180" w:vertAnchor="text" w:horzAnchor="page" w:tblpX="1198" w:tblpY="453"/>
        <w:tblOverlap w:val="never"/>
        <w:tblW w:w="872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8"/>
        <w:gridCol w:w="5475"/>
        <w:gridCol w:w="25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60" w:hRule="atLeast"/>
        </w:trPr>
        <w:tc>
          <w:tcPr>
            <w:tcW w:w="728" w:type="dxa"/>
            <w:tcBorders>
              <w:left w:val="single" w:color="000000" w:sz="6" w:space="0"/>
            </w:tcBorders>
          </w:tcPr>
          <w:p>
            <w:pPr>
              <w:spacing w:line="424" w:lineRule="auto"/>
              <w:rPr>
                <w:color w:val="auto"/>
                <w:highlight w:val="none"/>
              </w:rPr>
            </w:pPr>
          </w:p>
          <w:p>
            <w:pPr>
              <w:spacing w:before="32" w:line="169" w:lineRule="exact"/>
              <w:ind w:left="260"/>
              <w:rPr>
                <w:rFonts w:ascii="宋体" w:hAnsi="宋体" w:eastAsia="宋体" w:cs="宋体"/>
                <w:color w:val="auto"/>
                <w:sz w:val="10"/>
                <w:szCs w:val="10"/>
                <w:highlight w:val="none"/>
              </w:rPr>
            </w:pPr>
            <w:r>
              <w:rPr>
                <w:rFonts w:hint="eastAsia" w:ascii="宋体" w:hAnsi="宋体" w:eastAsia="宋体" w:cs="宋体"/>
                <w:color w:val="auto"/>
                <w:highlight w:val="none"/>
              </w:rPr>
              <w:t>一</w:t>
            </w:r>
          </w:p>
        </w:tc>
        <w:tc>
          <w:tcPr>
            <w:tcW w:w="5475" w:type="dxa"/>
            <w:vAlign w:val="center"/>
          </w:tcPr>
          <w:p>
            <w:pPr>
              <w:spacing w:before="171" w:line="420" w:lineRule="exact"/>
              <w:ind w:left="110"/>
              <w:jc w:val="both"/>
              <w:rPr>
                <w:rFonts w:ascii="宋体" w:hAnsi="宋体" w:eastAsia="宋体" w:cs="宋体"/>
                <w:color w:val="auto"/>
                <w:highlight w:val="none"/>
              </w:rPr>
            </w:pPr>
            <w:r>
              <w:rPr>
                <w:rFonts w:ascii="宋体" w:hAnsi="宋体" w:eastAsia="宋体" w:cs="宋体"/>
                <w:color w:val="auto"/>
                <w:spacing w:val="34"/>
                <w:position w:val="16"/>
                <w:highlight w:val="none"/>
              </w:rPr>
              <w:t>投</w:t>
            </w:r>
            <w:r>
              <w:rPr>
                <w:rFonts w:ascii="宋体" w:hAnsi="宋体" w:eastAsia="宋体" w:cs="宋体"/>
                <w:color w:val="auto"/>
                <w:spacing w:val="17"/>
                <w:position w:val="16"/>
                <w:highlight w:val="none"/>
              </w:rPr>
              <w:t xml:space="preserve">标总造价：(二)＋(三)＋(四)＋(五) + (六) </w:t>
            </w:r>
          </w:p>
        </w:tc>
        <w:tc>
          <w:tcPr>
            <w:tcW w:w="2526" w:type="dxa"/>
            <w:tcBorders>
              <w:right w:val="single" w:color="000000" w:sz="6" w:space="0"/>
            </w:tcBorders>
            <w:vAlign w:val="center"/>
          </w:tcPr>
          <w:p>
            <w:pPr>
              <w:spacing w:before="68" w:line="221" w:lineRule="auto"/>
              <w:ind w:right="113" w:firstLine="1848" w:firstLineChars="700"/>
              <w:jc w:val="both"/>
              <w:rPr>
                <w:rFonts w:ascii="宋体" w:hAnsi="宋体" w:eastAsia="宋体" w:cs="宋体"/>
                <w:color w:val="auto"/>
                <w:highlight w:val="none"/>
              </w:rPr>
            </w:pPr>
            <w:r>
              <w:rPr>
                <w:rFonts w:ascii="宋体" w:hAnsi="宋体" w:eastAsia="宋体" w:cs="宋体"/>
                <w:color w:val="auto"/>
                <w:spacing w:val="27"/>
                <w:highlight w:val="none"/>
              </w:rPr>
              <w:t>(</w:t>
            </w:r>
            <w:r>
              <w:rPr>
                <w:rFonts w:ascii="宋体" w:hAnsi="宋体" w:eastAsia="宋体" w:cs="宋体"/>
                <w:color w:val="auto"/>
                <w:spacing w:val="25"/>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28" w:type="dxa"/>
            <w:tcBorders>
              <w:left w:val="single" w:color="000000" w:sz="6" w:space="0"/>
            </w:tcBorders>
          </w:tcPr>
          <w:p>
            <w:pPr>
              <w:spacing w:before="211" w:line="185" w:lineRule="auto"/>
              <w:ind w:left="260"/>
              <w:rPr>
                <w:rFonts w:ascii="宋体" w:hAnsi="宋体" w:eastAsia="宋体" w:cs="宋体"/>
                <w:color w:val="auto"/>
                <w:highlight w:val="none"/>
              </w:rPr>
            </w:pPr>
            <w:r>
              <w:rPr>
                <w:rFonts w:ascii="宋体" w:hAnsi="宋体" w:eastAsia="宋体" w:cs="宋体"/>
                <w:color w:val="auto"/>
                <w:highlight w:val="none"/>
              </w:rPr>
              <w:t>二</w:t>
            </w:r>
          </w:p>
        </w:tc>
        <w:tc>
          <w:tcPr>
            <w:tcW w:w="5475" w:type="dxa"/>
          </w:tcPr>
          <w:p>
            <w:pPr>
              <w:spacing w:before="172" w:line="219" w:lineRule="auto"/>
              <w:ind w:left="110"/>
              <w:rPr>
                <w:rFonts w:ascii="宋体" w:hAnsi="宋体" w:eastAsia="宋体" w:cs="宋体"/>
                <w:color w:val="auto"/>
                <w:highlight w:val="none"/>
              </w:rPr>
            </w:pPr>
            <w:r>
              <w:rPr>
                <w:rFonts w:ascii="宋体" w:hAnsi="宋体" w:eastAsia="宋体" w:cs="宋体"/>
                <w:color w:val="auto"/>
                <w:spacing w:val="-8"/>
                <w:highlight w:val="none"/>
              </w:rPr>
              <w:t>投</w:t>
            </w:r>
            <w:r>
              <w:rPr>
                <w:rFonts w:ascii="宋体" w:hAnsi="宋体" w:eastAsia="宋体" w:cs="宋体"/>
                <w:color w:val="auto"/>
                <w:spacing w:val="-6"/>
                <w:highlight w:val="none"/>
              </w:rPr>
              <w:t>标报价</w:t>
            </w:r>
          </w:p>
        </w:tc>
        <w:tc>
          <w:tcPr>
            <w:tcW w:w="2526" w:type="dxa"/>
            <w:tcBorders>
              <w:right w:val="single" w:color="000000" w:sz="6" w:space="0"/>
            </w:tcBorders>
          </w:tcPr>
          <w:p>
            <w:pPr>
              <w:spacing w:before="172" w:line="221" w:lineRule="auto"/>
              <w:ind w:right="113"/>
              <w:jc w:val="right"/>
              <w:rPr>
                <w:rFonts w:ascii="宋体" w:hAnsi="宋体" w:eastAsia="宋体" w:cs="宋体"/>
                <w:color w:val="auto"/>
                <w:highlight w:val="none"/>
              </w:rPr>
            </w:pPr>
            <w:r>
              <w:rPr>
                <w:rFonts w:ascii="宋体" w:hAnsi="宋体" w:eastAsia="宋体" w:cs="宋体"/>
                <w:color w:val="auto"/>
                <w:spacing w:val="27"/>
                <w:highlight w:val="none"/>
              </w:rPr>
              <w:t>(</w:t>
            </w:r>
            <w:r>
              <w:rPr>
                <w:rFonts w:ascii="宋体" w:hAnsi="宋体" w:eastAsia="宋体" w:cs="宋体"/>
                <w:color w:val="auto"/>
                <w:spacing w:val="25"/>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28" w:type="dxa"/>
            <w:tcBorders>
              <w:left w:val="single" w:color="000000" w:sz="6" w:space="0"/>
            </w:tcBorders>
          </w:tcPr>
          <w:p>
            <w:pPr>
              <w:spacing w:before="172" w:line="238" w:lineRule="auto"/>
              <w:ind w:left="257"/>
              <w:rPr>
                <w:rFonts w:ascii="宋体" w:hAnsi="宋体" w:eastAsia="宋体" w:cs="宋体"/>
                <w:color w:val="auto"/>
                <w:highlight w:val="none"/>
              </w:rPr>
            </w:pPr>
            <w:r>
              <w:rPr>
                <w:rFonts w:ascii="宋体" w:hAnsi="宋体" w:eastAsia="宋体" w:cs="宋体"/>
                <w:color w:val="auto"/>
                <w:highlight w:val="none"/>
              </w:rPr>
              <w:t>三</w:t>
            </w:r>
          </w:p>
        </w:tc>
        <w:tc>
          <w:tcPr>
            <w:tcW w:w="5475" w:type="dxa"/>
          </w:tcPr>
          <w:p>
            <w:pPr>
              <w:spacing w:before="172" w:line="221" w:lineRule="auto"/>
              <w:ind w:left="111"/>
              <w:rPr>
                <w:rFonts w:ascii="宋体" w:hAnsi="宋体" w:eastAsia="宋体" w:cs="宋体"/>
                <w:color w:val="auto"/>
                <w:highlight w:val="none"/>
              </w:rPr>
            </w:pPr>
            <w:r>
              <w:rPr>
                <w:rFonts w:hint="eastAsia" w:ascii="宋体" w:hAnsi="宋体" w:eastAsia="宋体" w:cs="宋体"/>
                <w:color w:val="auto"/>
                <w:spacing w:val="-6"/>
                <w:highlight w:val="none"/>
              </w:rPr>
              <w:t>安全文明施工费</w:t>
            </w:r>
          </w:p>
        </w:tc>
        <w:tc>
          <w:tcPr>
            <w:tcW w:w="2526" w:type="dxa"/>
            <w:tcBorders>
              <w:right w:val="single" w:color="000000" w:sz="6" w:space="0"/>
            </w:tcBorders>
          </w:tcPr>
          <w:p>
            <w:pPr>
              <w:spacing w:before="173" w:line="221" w:lineRule="auto"/>
              <w:ind w:right="113"/>
              <w:jc w:val="right"/>
              <w:rPr>
                <w:rFonts w:ascii="宋体" w:hAnsi="宋体" w:eastAsia="宋体" w:cs="宋体"/>
                <w:color w:val="auto"/>
                <w:highlight w:val="none"/>
              </w:rPr>
            </w:pPr>
            <w:r>
              <w:rPr>
                <w:rFonts w:ascii="宋体" w:hAnsi="宋体" w:eastAsia="宋体" w:cs="宋体"/>
                <w:color w:val="auto"/>
                <w:spacing w:val="27"/>
                <w:highlight w:val="none"/>
              </w:rPr>
              <w:t>(</w:t>
            </w:r>
            <w:r>
              <w:rPr>
                <w:rFonts w:ascii="宋体" w:hAnsi="宋体" w:eastAsia="宋体" w:cs="宋体"/>
                <w:color w:val="auto"/>
                <w:spacing w:val="25"/>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728" w:type="dxa"/>
            <w:tcBorders>
              <w:left w:val="single" w:color="000000" w:sz="6" w:space="0"/>
            </w:tcBorders>
          </w:tcPr>
          <w:p>
            <w:pPr>
              <w:spacing w:before="175" w:line="223" w:lineRule="auto"/>
              <w:ind w:left="277"/>
              <w:rPr>
                <w:rFonts w:ascii="宋体" w:hAnsi="宋体" w:eastAsia="宋体" w:cs="宋体"/>
                <w:color w:val="auto"/>
                <w:highlight w:val="none"/>
              </w:rPr>
            </w:pPr>
            <w:r>
              <w:rPr>
                <w:rFonts w:ascii="宋体" w:hAnsi="宋体" w:eastAsia="宋体" w:cs="宋体"/>
                <w:color w:val="auto"/>
                <w:highlight w:val="none"/>
              </w:rPr>
              <w:t>四</w:t>
            </w:r>
          </w:p>
        </w:tc>
        <w:tc>
          <w:tcPr>
            <w:tcW w:w="5475" w:type="dxa"/>
          </w:tcPr>
          <w:p>
            <w:pPr>
              <w:spacing w:before="175" w:line="221" w:lineRule="auto"/>
              <w:ind w:left="108"/>
              <w:rPr>
                <w:rFonts w:ascii="宋体" w:hAnsi="宋体" w:eastAsia="宋体" w:cs="宋体"/>
                <w:color w:val="auto"/>
                <w:highlight w:val="none"/>
              </w:rPr>
            </w:pPr>
            <w:r>
              <w:rPr>
                <w:rFonts w:ascii="宋体" w:hAnsi="宋体" w:eastAsia="宋体" w:cs="宋体"/>
                <w:color w:val="auto"/>
                <w:spacing w:val="-13"/>
                <w:highlight w:val="none"/>
              </w:rPr>
              <w:t>规</w:t>
            </w:r>
            <w:r>
              <w:rPr>
                <w:rFonts w:ascii="宋体" w:hAnsi="宋体" w:eastAsia="宋体" w:cs="宋体"/>
                <w:color w:val="auto"/>
                <w:spacing w:val="-12"/>
                <w:highlight w:val="none"/>
              </w:rPr>
              <w:t>费</w:t>
            </w:r>
          </w:p>
        </w:tc>
        <w:tc>
          <w:tcPr>
            <w:tcW w:w="2526" w:type="dxa"/>
            <w:tcBorders>
              <w:right w:val="single" w:color="000000" w:sz="6" w:space="0"/>
            </w:tcBorders>
          </w:tcPr>
          <w:p>
            <w:pPr>
              <w:spacing w:before="175" w:line="221" w:lineRule="auto"/>
              <w:ind w:right="113"/>
              <w:jc w:val="right"/>
              <w:rPr>
                <w:rFonts w:ascii="宋体" w:hAnsi="宋体" w:eastAsia="宋体" w:cs="宋体"/>
                <w:color w:val="auto"/>
                <w:highlight w:val="none"/>
              </w:rPr>
            </w:pPr>
            <w:r>
              <w:rPr>
                <w:rFonts w:ascii="宋体" w:hAnsi="宋体" w:eastAsia="宋体" w:cs="宋体"/>
                <w:color w:val="auto"/>
                <w:spacing w:val="27"/>
                <w:highlight w:val="none"/>
              </w:rPr>
              <w:t>(</w:t>
            </w:r>
            <w:r>
              <w:rPr>
                <w:rFonts w:ascii="宋体" w:hAnsi="宋体" w:eastAsia="宋体" w:cs="宋体"/>
                <w:color w:val="auto"/>
                <w:spacing w:val="25"/>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728" w:type="dxa"/>
            <w:tcBorders>
              <w:left w:val="single" w:color="000000" w:sz="6" w:space="0"/>
            </w:tcBorders>
          </w:tcPr>
          <w:p>
            <w:pPr>
              <w:spacing w:before="176" w:line="231" w:lineRule="auto"/>
              <w:ind w:left="260"/>
              <w:rPr>
                <w:rFonts w:ascii="宋体" w:hAnsi="宋体" w:eastAsia="宋体" w:cs="宋体"/>
                <w:color w:val="auto"/>
                <w:highlight w:val="none"/>
              </w:rPr>
            </w:pPr>
            <w:r>
              <w:rPr>
                <w:rFonts w:ascii="宋体" w:hAnsi="宋体" w:eastAsia="宋体" w:cs="宋体"/>
                <w:color w:val="auto"/>
                <w:highlight w:val="none"/>
              </w:rPr>
              <w:t>五</w:t>
            </w:r>
          </w:p>
        </w:tc>
        <w:tc>
          <w:tcPr>
            <w:tcW w:w="5475" w:type="dxa"/>
          </w:tcPr>
          <w:p>
            <w:pPr>
              <w:spacing w:before="176" w:line="221" w:lineRule="auto"/>
              <w:ind w:left="108"/>
              <w:rPr>
                <w:rFonts w:ascii="宋体" w:hAnsi="宋体" w:eastAsia="宋体" w:cs="宋体"/>
                <w:color w:val="auto"/>
                <w:highlight w:val="none"/>
              </w:rPr>
            </w:pPr>
            <w:r>
              <w:rPr>
                <w:rFonts w:ascii="宋体" w:hAnsi="宋体" w:eastAsia="宋体" w:cs="宋体"/>
                <w:color w:val="auto"/>
                <w:spacing w:val="-2"/>
                <w:highlight w:val="none"/>
              </w:rPr>
              <w:t>增值税</w:t>
            </w:r>
          </w:p>
        </w:tc>
        <w:tc>
          <w:tcPr>
            <w:tcW w:w="2526" w:type="dxa"/>
            <w:tcBorders>
              <w:right w:val="single" w:color="000000" w:sz="6" w:space="0"/>
            </w:tcBorders>
          </w:tcPr>
          <w:p>
            <w:pPr>
              <w:spacing w:before="177" w:line="221" w:lineRule="auto"/>
              <w:ind w:right="113"/>
              <w:jc w:val="right"/>
              <w:rPr>
                <w:rFonts w:ascii="宋体" w:hAnsi="宋体" w:eastAsia="宋体" w:cs="宋体"/>
                <w:color w:val="auto"/>
                <w:highlight w:val="none"/>
              </w:rPr>
            </w:pPr>
            <w:r>
              <w:rPr>
                <w:rFonts w:ascii="宋体" w:hAnsi="宋体" w:eastAsia="宋体" w:cs="宋体"/>
                <w:color w:val="auto"/>
                <w:spacing w:val="27"/>
                <w:highlight w:val="none"/>
              </w:rPr>
              <w:t>(</w:t>
            </w:r>
            <w:r>
              <w:rPr>
                <w:rFonts w:ascii="宋体" w:hAnsi="宋体" w:eastAsia="宋体" w:cs="宋体"/>
                <w:color w:val="auto"/>
                <w:spacing w:val="25"/>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0" w:hRule="atLeast"/>
        </w:trPr>
        <w:tc>
          <w:tcPr>
            <w:tcW w:w="728" w:type="dxa"/>
            <w:tcBorders>
              <w:left w:val="single" w:color="000000" w:sz="6" w:space="0"/>
            </w:tcBorders>
          </w:tcPr>
          <w:p>
            <w:pPr>
              <w:spacing w:before="178" w:line="221" w:lineRule="auto"/>
              <w:ind w:left="26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六</w:t>
            </w:r>
          </w:p>
        </w:tc>
        <w:tc>
          <w:tcPr>
            <w:tcW w:w="5475" w:type="dxa"/>
          </w:tcPr>
          <w:p>
            <w:pPr>
              <w:spacing w:before="177" w:line="219" w:lineRule="auto"/>
              <w:ind w:left="107"/>
              <w:rPr>
                <w:rFonts w:ascii="宋体" w:hAnsi="宋体" w:eastAsia="宋体" w:cs="宋体"/>
                <w:color w:val="auto"/>
                <w:highlight w:val="none"/>
              </w:rPr>
            </w:pPr>
            <w:r>
              <w:rPr>
                <w:rFonts w:ascii="宋体" w:hAnsi="宋体" w:eastAsia="宋体" w:cs="宋体"/>
                <w:color w:val="auto"/>
                <w:spacing w:val="18"/>
                <w:highlight w:val="none"/>
              </w:rPr>
              <w:t>暂估价</w:t>
            </w:r>
          </w:p>
        </w:tc>
        <w:tc>
          <w:tcPr>
            <w:tcW w:w="2526" w:type="dxa"/>
            <w:tcBorders>
              <w:right w:val="single" w:color="000000" w:sz="6" w:space="0"/>
            </w:tcBorders>
          </w:tcPr>
          <w:p>
            <w:pPr>
              <w:spacing w:before="178" w:line="221" w:lineRule="auto"/>
              <w:ind w:right="107"/>
              <w:jc w:val="right"/>
              <w:rPr>
                <w:rFonts w:ascii="宋体" w:hAnsi="宋体" w:eastAsia="宋体" w:cs="宋体"/>
                <w:color w:val="auto"/>
                <w:highlight w:val="none"/>
              </w:rPr>
            </w:pPr>
            <w:r>
              <w:rPr>
                <w:rFonts w:ascii="宋体" w:hAnsi="宋体" w:eastAsia="宋体" w:cs="宋体"/>
                <w:color w:val="auto"/>
                <w:spacing w:val="28"/>
                <w:highlight w:val="none"/>
              </w:rPr>
              <w:t>(元</w:t>
            </w:r>
            <w:r>
              <w:rPr>
                <w:rFonts w:ascii="宋体" w:hAnsi="宋体" w:eastAsia="宋体" w:cs="宋体"/>
                <w:color w:val="auto"/>
                <w:spacing w:val="27"/>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8" w:hRule="atLeast"/>
        </w:trPr>
        <w:tc>
          <w:tcPr>
            <w:tcW w:w="728" w:type="dxa"/>
            <w:tcBorders>
              <w:left w:val="single" w:color="000000" w:sz="6" w:space="0"/>
            </w:tcBorders>
          </w:tcPr>
          <w:p>
            <w:pPr>
              <w:spacing w:before="176" w:line="223" w:lineRule="auto"/>
              <w:ind w:left="262"/>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七</w:t>
            </w:r>
          </w:p>
        </w:tc>
        <w:tc>
          <w:tcPr>
            <w:tcW w:w="5475" w:type="dxa"/>
          </w:tcPr>
          <w:p>
            <w:pPr>
              <w:spacing w:before="176" w:line="235" w:lineRule="auto"/>
              <w:ind w:left="106"/>
              <w:rPr>
                <w:rFonts w:ascii="宋体" w:hAnsi="宋体" w:eastAsia="宋体" w:cs="宋体"/>
                <w:color w:val="auto"/>
                <w:highlight w:val="none"/>
              </w:rPr>
            </w:pPr>
            <w:r>
              <w:rPr>
                <w:rFonts w:ascii="宋体" w:hAnsi="宋体" w:eastAsia="宋体" w:cs="宋体"/>
                <w:color w:val="auto"/>
                <w:spacing w:val="23"/>
                <w:highlight w:val="none"/>
              </w:rPr>
              <w:t>扬</w:t>
            </w:r>
            <w:r>
              <w:rPr>
                <w:rFonts w:ascii="宋体" w:hAnsi="宋体" w:eastAsia="宋体" w:cs="宋体"/>
                <w:color w:val="auto"/>
                <w:spacing w:val="12"/>
                <w:highlight w:val="none"/>
              </w:rPr>
              <w:t>尘防治费((一) ×</w:t>
            </w:r>
            <w:r>
              <w:rPr>
                <w:rFonts w:ascii="Times New Roman" w:hAnsi="Times New Roman" w:eastAsia="Times New Roman" w:cs="Times New Roman"/>
                <w:color w:val="auto"/>
                <w:spacing w:val="12"/>
                <w:highlight w:val="none"/>
              </w:rPr>
              <w:t>0.8%</w:t>
            </w:r>
            <w:r>
              <w:rPr>
                <w:rFonts w:ascii="宋体" w:hAnsi="宋体" w:eastAsia="宋体" w:cs="宋体"/>
                <w:color w:val="auto"/>
                <w:spacing w:val="12"/>
                <w:highlight w:val="none"/>
              </w:rPr>
              <w:t>)</w:t>
            </w:r>
          </w:p>
        </w:tc>
        <w:tc>
          <w:tcPr>
            <w:tcW w:w="2526" w:type="dxa"/>
            <w:tcBorders>
              <w:right w:val="single" w:color="000000" w:sz="6" w:space="0"/>
            </w:tcBorders>
          </w:tcPr>
          <w:p>
            <w:pPr>
              <w:spacing w:before="176" w:line="221" w:lineRule="auto"/>
              <w:ind w:right="114"/>
              <w:jc w:val="right"/>
              <w:rPr>
                <w:rFonts w:ascii="宋体" w:hAnsi="宋体" w:eastAsia="宋体" w:cs="宋体"/>
                <w:color w:val="auto"/>
                <w:highlight w:val="none"/>
              </w:rPr>
            </w:pPr>
            <w:r>
              <w:rPr>
                <w:rFonts w:ascii="宋体" w:hAnsi="宋体" w:eastAsia="宋体" w:cs="宋体"/>
                <w:color w:val="auto"/>
                <w:spacing w:val="27"/>
                <w:highlight w:val="none"/>
              </w:rPr>
              <w:t>(</w:t>
            </w:r>
            <w:r>
              <w:rPr>
                <w:rFonts w:ascii="宋体" w:hAnsi="宋体" w:eastAsia="宋体" w:cs="宋体"/>
                <w:color w:val="auto"/>
                <w:spacing w:val="26"/>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8" w:hRule="atLeast"/>
        </w:trPr>
        <w:tc>
          <w:tcPr>
            <w:tcW w:w="6203" w:type="dxa"/>
            <w:gridSpan w:val="2"/>
            <w:tcBorders>
              <w:left w:val="single" w:color="000000" w:sz="6" w:space="0"/>
            </w:tcBorders>
          </w:tcPr>
          <w:p>
            <w:pPr>
              <w:spacing w:before="175" w:line="221" w:lineRule="auto"/>
              <w:ind w:left="530"/>
              <w:rPr>
                <w:rFonts w:ascii="宋体" w:hAnsi="宋体" w:eastAsia="宋体" w:cs="宋体"/>
                <w:color w:val="auto"/>
                <w:highlight w:val="none"/>
              </w:rPr>
            </w:pPr>
            <w:r>
              <w:rPr>
                <w:rFonts w:ascii="宋体" w:hAnsi="宋体" w:eastAsia="宋体" w:cs="宋体"/>
                <w:color w:val="auto"/>
                <w:spacing w:val="-2"/>
                <w:highlight w:val="none"/>
              </w:rPr>
              <w:t>承</w:t>
            </w:r>
            <w:r>
              <w:rPr>
                <w:rFonts w:ascii="宋体" w:hAnsi="宋体" w:eastAsia="宋体" w:cs="宋体"/>
                <w:color w:val="auto"/>
                <w:spacing w:val="-1"/>
                <w:highlight w:val="none"/>
              </w:rPr>
              <w:t>诺工期</w:t>
            </w:r>
          </w:p>
        </w:tc>
        <w:tc>
          <w:tcPr>
            <w:tcW w:w="2526" w:type="dxa"/>
            <w:tcBorders>
              <w:right w:val="single" w:color="000000" w:sz="6" w:space="0"/>
            </w:tcBorders>
          </w:tcPr>
          <w:p>
            <w:pPr>
              <w:spacing w:before="176" w:line="221" w:lineRule="auto"/>
              <w:ind w:right="98"/>
              <w:jc w:val="right"/>
              <w:rPr>
                <w:rFonts w:ascii="宋体" w:hAnsi="宋体" w:eastAsia="宋体" w:cs="宋体"/>
                <w:color w:val="auto"/>
                <w:highlight w:val="none"/>
              </w:rPr>
            </w:pPr>
            <w:r>
              <w:rPr>
                <w:rFonts w:ascii="宋体" w:hAnsi="宋体" w:eastAsia="宋体" w:cs="宋体"/>
                <w:color w:val="auto"/>
                <w:spacing w:val="16"/>
                <w:highlight w:val="none"/>
              </w:rPr>
              <w:t>天(日历日)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1" w:hRule="atLeast"/>
        </w:trPr>
        <w:tc>
          <w:tcPr>
            <w:tcW w:w="6203" w:type="dxa"/>
            <w:gridSpan w:val="2"/>
            <w:tcBorders>
              <w:left w:val="single" w:color="000000" w:sz="6" w:space="0"/>
            </w:tcBorders>
          </w:tcPr>
          <w:p>
            <w:pPr>
              <w:spacing w:before="178" w:line="221" w:lineRule="auto"/>
              <w:ind w:left="530"/>
              <w:rPr>
                <w:rFonts w:ascii="宋体" w:hAnsi="宋体" w:eastAsia="宋体" w:cs="宋体"/>
                <w:color w:val="auto"/>
                <w:highlight w:val="none"/>
              </w:rPr>
            </w:pPr>
            <w:r>
              <w:rPr>
                <w:rFonts w:ascii="宋体" w:hAnsi="宋体" w:eastAsia="宋体" w:cs="宋体"/>
                <w:color w:val="auto"/>
                <w:spacing w:val="-1"/>
                <w:highlight w:val="none"/>
              </w:rPr>
              <w:t>承诺质量等</w:t>
            </w:r>
            <w:r>
              <w:rPr>
                <w:rFonts w:ascii="宋体" w:hAnsi="宋体" w:eastAsia="宋体" w:cs="宋体"/>
                <w:color w:val="auto"/>
                <w:highlight w:val="none"/>
              </w:rPr>
              <w:t>级</w:t>
            </w:r>
          </w:p>
        </w:tc>
        <w:tc>
          <w:tcPr>
            <w:tcW w:w="2526" w:type="dxa"/>
            <w:tcBorders>
              <w:right w:val="single" w:color="000000" w:sz="6" w:space="0"/>
            </w:tcBorders>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5" w:hRule="atLeast"/>
        </w:trPr>
        <w:tc>
          <w:tcPr>
            <w:tcW w:w="8729" w:type="dxa"/>
            <w:gridSpan w:val="3"/>
            <w:tcBorders>
              <w:top w:val="single" w:color="auto" w:sz="4" w:space="0"/>
              <w:left w:val="single" w:color="auto" w:sz="4" w:space="0"/>
              <w:bottom w:val="single" w:color="auto" w:sz="4" w:space="0"/>
              <w:right w:val="single" w:color="auto" w:sz="4" w:space="0"/>
            </w:tcBorders>
          </w:tcPr>
          <w:p>
            <w:pPr>
              <w:spacing w:before="178" w:line="223" w:lineRule="auto"/>
              <w:ind w:right="100"/>
              <w:rPr>
                <w:rFonts w:ascii="宋体" w:hAnsi="宋体" w:eastAsia="宋体" w:cs="宋体"/>
                <w:color w:val="auto"/>
                <w:spacing w:val="31"/>
                <w:highlight w:val="none"/>
              </w:rPr>
            </w:pPr>
            <w:r>
              <w:rPr>
                <w:rFonts w:hint="eastAsia" w:ascii="宋体" w:hAnsi="宋体" w:eastAsia="宋体" w:cs="宋体"/>
                <w:color w:val="auto"/>
                <w:highlight w:val="none"/>
              </w:rPr>
              <w:t>注：安全防护、文明施工措施费、规费、增值税按《建设工程工程量清单计价规范（GB5050-2013）》及其广西实施细则及《关于建筑业实施营业税改征增值税后广西壮族自治区建设工程计价依据调整的通知》（桂建标〔2016〕17号）、《建设工程工程量清单计算规范（GB5854~50862-2013）》及其广西实施细则（修订本）规定执行，作为不竞争费用单列。</w:t>
            </w:r>
          </w:p>
        </w:tc>
      </w:tr>
    </w:tbl>
    <w:p>
      <w:pPr>
        <w:spacing w:line="14" w:lineRule="auto"/>
        <w:ind w:right="-6130" w:rightChars="-2919"/>
        <w:rPr>
          <w:color w:val="auto"/>
          <w:sz w:val="2"/>
          <w:highlight w:val="none"/>
        </w:rPr>
      </w:pPr>
      <w:r>
        <w:rPr>
          <w:color w:val="auto"/>
          <w:sz w:val="2"/>
          <w:szCs w:val="2"/>
          <w:highlight w:val="none"/>
        </w:rPr>
        <w:br w:type="column"/>
      </w:r>
    </w:p>
    <w:p>
      <w:pPr>
        <w:spacing w:before="54" w:line="219" w:lineRule="auto"/>
        <w:outlineLvl w:val="6"/>
        <w:rPr>
          <w:rFonts w:ascii="宋体" w:hAnsi="宋体" w:eastAsia="宋体" w:cs="宋体"/>
          <w:color w:val="auto"/>
          <w:sz w:val="28"/>
          <w:szCs w:val="28"/>
          <w:highlight w:val="none"/>
        </w:rPr>
      </w:pPr>
      <w:r>
        <w:rPr>
          <w:rFonts w:hint="eastAsia"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3</w:t>
      </w:r>
      <w:r>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w:t>
      </w:r>
      <w:r>
        <w:rPr>
          <w:rFonts w:ascii="宋体" w:hAnsi="宋体" w:eastAsia="宋体" w:cs="宋体"/>
          <w:color w:val="auto"/>
          <w:sz w:val="28"/>
          <w:szCs w:val="28"/>
          <w:highlight w:val="none"/>
          <w14:textOutline w14:w="5092" w14:cap="flat" w14:cmpd="sng" w14:algn="ctr">
            <w14:solidFill>
              <w14:srgbClr w14:val="000000"/>
            </w14:solidFill>
            <w14:prstDash w14:val="solid"/>
            <w14:miter w14:val="0"/>
          </w14:textOutline>
        </w:rPr>
        <w:t>投标报价汇总表</w:t>
      </w:r>
    </w:p>
    <w:p>
      <w:pPr>
        <w:spacing w:line="243" w:lineRule="auto"/>
        <w:rPr>
          <w:color w:val="auto"/>
          <w:highlight w:val="none"/>
        </w:rPr>
      </w:pPr>
    </w:p>
    <w:p>
      <w:pPr>
        <w:spacing w:line="243" w:lineRule="auto"/>
        <w:rPr>
          <w:color w:val="auto"/>
          <w:highlight w:val="none"/>
        </w:rPr>
      </w:pPr>
    </w:p>
    <w:p>
      <w:pPr>
        <w:spacing w:line="244" w:lineRule="auto"/>
        <w:rPr>
          <w:color w:val="auto"/>
          <w:highlight w:val="none"/>
        </w:rPr>
      </w:pPr>
    </w:p>
    <w:p>
      <w:pPr>
        <w:spacing w:before="68" w:line="186" w:lineRule="auto"/>
        <w:ind w:firstLine="2716" w:firstLineChars="1400"/>
        <w:rPr>
          <w:rFonts w:ascii="宋体" w:hAnsi="宋体" w:eastAsia="宋体" w:cs="宋体"/>
          <w:color w:val="auto"/>
          <w:highlight w:val="none"/>
        </w:rPr>
      </w:pPr>
      <w:r>
        <w:rPr>
          <w:rFonts w:ascii="宋体" w:hAnsi="宋体" w:eastAsia="宋体" w:cs="宋体"/>
          <w:color w:val="auto"/>
          <w:spacing w:val="-8"/>
          <w:highlight w:val="none"/>
        </w:rPr>
        <w:t>币</w:t>
      </w:r>
      <w:r>
        <w:rPr>
          <w:rFonts w:ascii="宋体" w:hAnsi="宋体" w:eastAsia="宋体" w:cs="宋体"/>
          <w:color w:val="auto"/>
          <w:spacing w:val="-5"/>
          <w:highlight w:val="none"/>
        </w:rPr>
        <w:t>种</w:t>
      </w:r>
      <w:r>
        <w:rPr>
          <w:rFonts w:ascii="宋体" w:hAnsi="宋体" w:eastAsia="宋体" w:cs="宋体"/>
          <w:color w:val="auto"/>
          <w:spacing w:val="-4"/>
          <w:highlight w:val="none"/>
        </w:rPr>
        <w:t>：人民币</w:t>
      </w:r>
    </w:p>
    <w:p>
      <w:pPr>
        <w:pStyle w:val="7"/>
        <w:jc w:val="both"/>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before="230" w:line="219" w:lineRule="auto"/>
        <w:rPr>
          <w:rFonts w:ascii="宋体" w:hAnsi="宋体" w:eastAsia="宋体" w:cs="宋体"/>
          <w:color w:val="auto"/>
          <w:highlight w:val="none"/>
        </w:rPr>
      </w:pPr>
      <w:r>
        <w:rPr>
          <w:rFonts w:ascii="宋体" w:hAnsi="宋体" w:eastAsia="宋体" w:cs="宋体"/>
          <w:color w:val="auto"/>
          <w:spacing w:val="4"/>
          <w:highlight w:val="none"/>
        </w:rPr>
        <w:t>投标单位</w:t>
      </w:r>
      <w:r>
        <w:rPr>
          <w:rFonts w:ascii="宋体" w:hAnsi="宋体" w:eastAsia="宋体" w:cs="宋体"/>
          <w:color w:val="auto"/>
          <w:spacing w:val="4"/>
          <w:sz w:val="22"/>
          <w:szCs w:val="22"/>
          <w:highlight w:val="none"/>
        </w:rPr>
        <w:t>[盖</w:t>
      </w:r>
      <w:r>
        <w:rPr>
          <w:rFonts w:ascii="宋体" w:hAnsi="宋体" w:eastAsia="宋体" w:cs="宋体"/>
          <w:color w:val="auto"/>
          <w:spacing w:val="2"/>
          <w:sz w:val="22"/>
          <w:szCs w:val="22"/>
          <w:highlight w:val="none"/>
        </w:rPr>
        <w:t>单位公章(</w:t>
      </w:r>
      <w:r>
        <w:rPr>
          <w:rFonts w:ascii="宋体" w:hAnsi="宋体" w:eastAsia="宋体" w:cs="宋体"/>
          <w:color w:val="auto"/>
          <w:sz w:val="22"/>
          <w:szCs w:val="22"/>
          <w:highlight w:val="none"/>
        </w:rPr>
        <w:t>CA</w:t>
      </w:r>
      <w:r>
        <w:rPr>
          <w:rFonts w:ascii="宋体" w:hAnsi="宋体" w:eastAsia="宋体" w:cs="宋体"/>
          <w:color w:val="auto"/>
          <w:spacing w:val="2"/>
          <w:sz w:val="22"/>
          <w:szCs w:val="22"/>
          <w:highlight w:val="none"/>
        </w:rPr>
        <w:t xml:space="preserve"> 签章) ]</w:t>
      </w:r>
      <w:r>
        <w:rPr>
          <w:rFonts w:ascii="宋体" w:hAnsi="宋体" w:eastAsia="宋体" w:cs="宋体"/>
          <w:color w:val="auto"/>
          <w:spacing w:val="2"/>
          <w:highlight w:val="none"/>
        </w:rPr>
        <w:t>：</w:t>
      </w:r>
    </w:p>
    <w:p>
      <w:pPr>
        <w:spacing w:line="252" w:lineRule="auto"/>
        <w:rPr>
          <w:color w:val="auto"/>
          <w:highlight w:val="none"/>
        </w:rPr>
      </w:pPr>
    </w:p>
    <w:p>
      <w:pPr>
        <w:spacing w:line="252" w:lineRule="auto"/>
        <w:rPr>
          <w:color w:val="auto"/>
          <w:highlight w:val="none"/>
        </w:rPr>
      </w:pPr>
    </w:p>
    <w:p>
      <w:pPr>
        <w:spacing w:before="71" w:line="219" w:lineRule="auto"/>
        <w:rPr>
          <w:rFonts w:ascii="宋体" w:hAnsi="宋体" w:eastAsia="宋体" w:cs="宋体"/>
          <w:color w:val="auto"/>
          <w:highlight w:val="none"/>
        </w:rPr>
      </w:pPr>
      <w:r>
        <w:rPr>
          <w:rFonts w:ascii="宋体" w:hAnsi="宋体" w:eastAsia="宋体" w:cs="宋体"/>
          <w:color w:val="auto"/>
          <w:spacing w:val="2"/>
          <w:highlight w:val="none"/>
        </w:rPr>
        <w:t>法定代表人或其委托代理人</w:t>
      </w:r>
      <w:r>
        <w:rPr>
          <w:rFonts w:ascii="宋体" w:hAnsi="宋体" w:eastAsia="宋体" w:cs="宋体"/>
          <w:color w:val="auto"/>
          <w:spacing w:val="2"/>
          <w:sz w:val="22"/>
          <w:szCs w:val="22"/>
          <w:highlight w:val="none"/>
        </w:rPr>
        <w:t>[签字或盖章(</w:t>
      </w:r>
      <w:r>
        <w:rPr>
          <w:rFonts w:ascii="宋体" w:hAnsi="宋体" w:eastAsia="宋体" w:cs="宋体"/>
          <w:color w:val="auto"/>
          <w:sz w:val="22"/>
          <w:szCs w:val="22"/>
          <w:highlight w:val="none"/>
        </w:rPr>
        <w:t>CA</w:t>
      </w:r>
      <w:r>
        <w:rPr>
          <w:rFonts w:ascii="宋体" w:hAnsi="宋体" w:eastAsia="宋体" w:cs="宋体"/>
          <w:color w:val="auto"/>
          <w:spacing w:val="2"/>
          <w:sz w:val="22"/>
          <w:szCs w:val="22"/>
          <w:highlight w:val="none"/>
        </w:rPr>
        <w:t xml:space="preserve"> 签章) </w:t>
      </w:r>
      <w:r>
        <w:rPr>
          <w:rFonts w:ascii="宋体" w:hAnsi="宋体" w:eastAsia="宋体" w:cs="宋体"/>
          <w:color w:val="auto"/>
          <w:sz w:val="22"/>
          <w:szCs w:val="22"/>
          <w:highlight w:val="none"/>
        </w:rPr>
        <w:t>]</w:t>
      </w:r>
      <w:r>
        <w:rPr>
          <w:rFonts w:ascii="宋体" w:hAnsi="宋体" w:eastAsia="宋体" w:cs="宋体"/>
          <w:color w:val="auto"/>
          <w:highlight w:val="none"/>
        </w:rPr>
        <w:t>：</w:t>
      </w:r>
    </w:p>
    <w:p>
      <w:pPr>
        <w:spacing w:before="166" w:line="221" w:lineRule="auto"/>
        <w:ind w:firstLine="654" w:firstLineChars="300"/>
        <w:rPr>
          <w:rFonts w:ascii="宋体" w:hAnsi="宋体" w:eastAsia="宋体" w:cs="宋体"/>
          <w:color w:val="auto"/>
          <w:highlight w:val="none"/>
        </w:rPr>
      </w:pPr>
      <w:r>
        <w:rPr>
          <w:rFonts w:ascii="宋体" w:hAnsi="宋体" w:eastAsia="宋体" w:cs="宋体"/>
          <w:color w:val="auto"/>
          <w:spacing w:val="4"/>
          <w:highlight w:val="none"/>
        </w:rPr>
        <w:t xml:space="preserve">年  </w:t>
      </w:r>
      <w:r>
        <w:rPr>
          <w:rFonts w:ascii="宋体" w:hAnsi="宋体" w:eastAsia="宋体" w:cs="宋体"/>
          <w:color w:val="auto"/>
          <w:spacing w:val="2"/>
          <w:highlight w:val="none"/>
        </w:rPr>
        <w:t xml:space="preserve">     月     日</w:t>
      </w:r>
    </w:p>
    <w:p>
      <w:pPr>
        <w:rPr>
          <w:color w:val="auto"/>
          <w:highlight w:val="none"/>
        </w:rPr>
        <w:sectPr>
          <w:type w:val="continuous"/>
          <w:pgSz w:w="11907" w:h="16839"/>
          <w:pgMar w:top="1440" w:right="1080" w:bottom="1440" w:left="1080" w:header="0" w:footer="993" w:gutter="0"/>
          <w:cols w:equalWidth="0" w:num="2">
            <w:col w:w="3529" w:space="100"/>
            <w:col w:w="6117"/>
          </w:cols>
        </w:sectPr>
      </w:pPr>
    </w:p>
    <w:p>
      <w:pPr>
        <w:spacing w:before="92" w:line="219" w:lineRule="auto"/>
        <w:ind w:left="3436"/>
        <w:outlineLvl w:val="6"/>
        <w:rPr>
          <w:rFonts w:ascii="宋体" w:hAnsi="宋体" w:eastAsia="宋体" w:cs="宋体"/>
          <w:color w:val="auto"/>
          <w:sz w:val="28"/>
          <w:szCs w:val="28"/>
          <w:highlight w:val="none"/>
        </w:rPr>
      </w:pPr>
      <w:r>
        <w:rPr>
          <w:rFonts w:hint="eastAsia" w:ascii="宋体" w:hAnsi="宋体" w:eastAsia="宋体" w:cs="宋体"/>
          <w:color w:val="auto"/>
          <w:spacing w:val="-4"/>
          <w:sz w:val="28"/>
          <w:szCs w:val="28"/>
          <w:highlight w:val="none"/>
          <w14:textOutline w14:w="5092" w14:cap="flat" w14:cmpd="sng" w14:algn="ctr">
            <w14:solidFill>
              <w14:srgbClr w14:val="000000"/>
            </w14:solidFill>
            <w14:prstDash w14:val="solid"/>
            <w14:miter w14:val="0"/>
          </w14:textOutline>
        </w:rPr>
        <w:t>4</w:t>
      </w:r>
      <w:r>
        <w:rPr>
          <w:rFonts w:ascii="宋体" w:hAnsi="宋体" w:eastAsia="宋体" w:cs="宋体"/>
          <w:color w:val="auto"/>
          <w:spacing w:val="-4"/>
          <w:sz w:val="28"/>
          <w:szCs w:val="28"/>
          <w:highlight w:val="none"/>
          <w14:textOutline w14:w="5092" w14:cap="flat" w14:cmpd="sng" w14:algn="ctr">
            <w14:solidFill>
              <w14:srgbClr w14:val="000000"/>
            </w14:solidFill>
            <w14:prstDash w14:val="solid"/>
            <w14:miter w14:val="0"/>
          </w14:textOutline>
        </w:rPr>
        <w:t>、已标</w:t>
      </w:r>
      <w:r>
        <w:rPr>
          <w:rFonts w:ascii="宋体" w:hAnsi="宋体" w:eastAsia="宋体" w:cs="宋体"/>
          <w:color w:val="auto"/>
          <w:spacing w:val="-2"/>
          <w:sz w:val="28"/>
          <w:szCs w:val="28"/>
          <w:highlight w:val="none"/>
          <w14:textOutline w14:w="5092" w14:cap="flat" w14:cmpd="sng" w14:algn="ctr">
            <w14:solidFill>
              <w14:srgbClr w14:val="000000"/>
            </w14:solidFill>
            <w14:prstDash w14:val="solid"/>
            <w14:miter w14:val="0"/>
          </w14:textOutline>
        </w:rPr>
        <w:t>价工程量清单</w:t>
      </w:r>
    </w:p>
    <w:p>
      <w:pPr>
        <w:spacing w:line="243" w:lineRule="auto"/>
        <w:rPr>
          <w:color w:val="auto"/>
          <w:highlight w:val="none"/>
        </w:rPr>
      </w:pPr>
    </w:p>
    <w:p>
      <w:pPr>
        <w:spacing w:line="243" w:lineRule="auto"/>
        <w:rPr>
          <w:color w:val="auto"/>
          <w:highlight w:val="none"/>
        </w:rPr>
      </w:pPr>
    </w:p>
    <w:p>
      <w:pPr>
        <w:spacing w:line="244" w:lineRule="auto"/>
        <w:rPr>
          <w:color w:val="auto"/>
          <w:highlight w:val="none"/>
        </w:rPr>
      </w:pPr>
    </w:p>
    <w:p>
      <w:pPr>
        <w:spacing w:before="69" w:line="404" w:lineRule="auto"/>
        <w:ind w:left="138" w:firstLine="419"/>
        <w:rPr>
          <w:rFonts w:ascii="宋体" w:hAnsi="宋体" w:eastAsia="宋体" w:cs="宋体"/>
          <w:color w:val="auto"/>
          <w:highlight w:val="none"/>
        </w:rPr>
      </w:pPr>
      <w:r>
        <w:rPr>
          <w:rFonts w:ascii="Times New Roman" w:hAnsi="Times New Roman" w:eastAsia="Times New Roman" w:cs="Times New Roman"/>
          <w:color w:val="auto"/>
          <w:spacing w:val="-4"/>
          <w:highlight w:val="none"/>
        </w:rPr>
        <w:t>1</w:t>
      </w:r>
      <w:r>
        <w:rPr>
          <w:rFonts w:ascii="宋体" w:hAnsi="宋体" w:eastAsia="宋体" w:cs="宋体"/>
          <w:color w:val="auto"/>
          <w:spacing w:val="-4"/>
          <w:highlight w:val="none"/>
        </w:rPr>
        <w:t>、说明：已标价</w:t>
      </w:r>
      <w:r>
        <w:rPr>
          <w:rFonts w:ascii="宋体" w:hAnsi="宋体" w:eastAsia="宋体" w:cs="宋体"/>
          <w:color w:val="auto"/>
          <w:spacing w:val="-2"/>
          <w:highlight w:val="none"/>
        </w:rPr>
        <w:t>工程量清单按第五章</w:t>
      </w:r>
      <w:r>
        <w:rPr>
          <w:rFonts w:ascii="Times New Roman" w:hAnsi="Times New Roman" w:eastAsia="Times New Roman" w:cs="Times New Roman"/>
          <w:color w:val="auto"/>
          <w:spacing w:val="-2"/>
          <w:highlight w:val="none"/>
        </w:rPr>
        <w:t>“</w:t>
      </w:r>
      <w:r>
        <w:rPr>
          <w:rFonts w:ascii="宋体" w:hAnsi="宋体" w:eastAsia="宋体" w:cs="宋体"/>
          <w:color w:val="auto"/>
          <w:spacing w:val="-2"/>
          <w:highlight w:val="none"/>
        </w:rPr>
        <w:t>工程量清单</w:t>
      </w:r>
      <w:r>
        <w:rPr>
          <w:rFonts w:ascii="Times New Roman" w:hAnsi="Times New Roman" w:eastAsia="Times New Roman" w:cs="Times New Roman"/>
          <w:color w:val="auto"/>
          <w:spacing w:val="-2"/>
          <w:highlight w:val="none"/>
        </w:rPr>
        <w:t>”</w:t>
      </w:r>
      <w:r>
        <w:rPr>
          <w:rFonts w:ascii="宋体" w:hAnsi="宋体" w:eastAsia="宋体" w:cs="宋体"/>
          <w:color w:val="auto"/>
          <w:spacing w:val="-2"/>
          <w:highlight w:val="none"/>
        </w:rPr>
        <w:t>中的相关清单表格式填写。构成合同文件</w:t>
      </w:r>
      <w:r>
        <w:rPr>
          <w:rFonts w:ascii="宋体" w:hAnsi="宋体" w:eastAsia="宋体" w:cs="宋体"/>
          <w:color w:val="auto"/>
          <w:highlight w:val="none"/>
        </w:rPr>
        <w:t xml:space="preserve"> </w:t>
      </w:r>
      <w:r>
        <w:rPr>
          <w:rFonts w:ascii="宋体" w:hAnsi="宋体" w:eastAsia="宋体" w:cs="宋体"/>
          <w:color w:val="auto"/>
          <w:spacing w:val="-1"/>
          <w:highlight w:val="none"/>
        </w:rPr>
        <w:t>的已标价工程量清单包括第五章</w:t>
      </w:r>
      <w:r>
        <w:rPr>
          <w:rFonts w:ascii="Times New Roman" w:hAnsi="Times New Roman" w:eastAsia="Times New Roman" w:cs="Times New Roman"/>
          <w:color w:val="auto"/>
          <w:spacing w:val="-1"/>
          <w:highlight w:val="none"/>
        </w:rPr>
        <w:t>“</w:t>
      </w:r>
      <w:r>
        <w:rPr>
          <w:rFonts w:ascii="宋体" w:hAnsi="宋体" w:eastAsia="宋体" w:cs="宋体"/>
          <w:color w:val="auto"/>
          <w:spacing w:val="-1"/>
          <w:highlight w:val="none"/>
        </w:rPr>
        <w:t>工程量清单</w:t>
      </w:r>
      <w:r>
        <w:rPr>
          <w:rFonts w:ascii="Times New Roman" w:hAnsi="Times New Roman" w:eastAsia="Times New Roman" w:cs="Times New Roman"/>
          <w:color w:val="auto"/>
          <w:spacing w:val="-1"/>
          <w:highlight w:val="none"/>
        </w:rPr>
        <w:t>”</w:t>
      </w:r>
      <w:r>
        <w:rPr>
          <w:rFonts w:ascii="宋体" w:hAnsi="宋体" w:eastAsia="宋体" w:cs="宋体"/>
          <w:color w:val="auto"/>
          <w:spacing w:val="-1"/>
          <w:highlight w:val="none"/>
        </w:rPr>
        <w:t>有关工程量清单、投标报价</w:t>
      </w:r>
      <w:r>
        <w:rPr>
          <w:rFonts w:ascii="宋体" w:hAnsi="宋体" w:eastAsia="宋体" w:cs="宋体"/>
          <w:color w:val="auto"/>
          <w:highlight w:val="none"/>
        </w:rPr>
        <w:t>以及其他说明的内容。</w:t>
      </w:r>
    </w:p>
    <w:p>
      <w:pPr>
        <w:rPr>
          <w:rFonts w:ascii="宋体" w:hAnsi="宋体" w:eastAsia="宋体" w:cs="宋体"/>
          <w:color w:val="auto"/>
          <w:spacing w:val="-1"/>
          <w:sz w:val="52"/>
          <w:szCs w:val="52"/>
          <w:highlight w:val="none"/>
        </w:rPr>
      </w:pPr>
      <w:r>
        <w:rPr>
          <w:rFonts w:ascii="宋体" w:hAnsi="宋体" w:eastAsia="宋体" w:cs="宋体"/>
          <w:color w:val="auto"/>
          <w:spacing w:val="-1"/>
          <w:sz w:val="52"/>
          <w:szCs w:val="52"/>
          <w:highlight w:val="none"/>
        </w:rPr>
        <w:br w:type="page"/>
      </w:r>
    </w:p>
    <w:p>
      <w:pPr>
        <w:spacing w:before="91" w:line="219" w:lineRule="auto"/>
        <w:jc w:val="both"/>
        <w:outlineLvl w:val="6"/>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r>
        <w:rPr>
          <w:rFonts w:hint="eastAsia"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t>5、中小企业声明函</w:t>
      </w:r>
    </w:p>
    <w:p>
      <w:pPr>
        <w:spacing w:before="258" w:line="220" w:lineRule="auto"/>
        <w:ind w:left="3054"/>
        <w:rPr>
          <w:rFonts w:ascii="宋体" w:hAnsi="宋体" w:eastAsia="宋体" w:cs="宋体"/>
          <w:color w:val="auto"/>
          <w:spacing w:val="9"/>
          <w:sz w:val="28"/>
          <w:szCs w:val="28"/>
          <w:highlight w:val="none"/>
          <w14:textOutline w14:w="4356" w14:cap="flat" w14:cmpd="sng" w14:algn="ctr">
            <w14:solidFill>
              <w14:srgbClr w14:val="000000"/>
            </w14:solidFill>
            <w14:prstDash w14:val="solid"/>
            <w14:miter w14:val="0"/>
          </w14:textOutline>
        </w:rPr>
      </w:pPr>
    </w:p>
    <w:p>
      <w:pPr>
        <w:spacing w:before="258" w:line="220" w:lineRule="auto"/>
        <w:ind w:left="3054"/>
        <w:rPr>
          <w:rFonts w:ascii="宋体" w:hAnsi="宋体" w:eastAsia="宋体" w:cs="宋体"/>
          <w:color w:val="auto"/>
          <w:sz w:val="24"/>
          <w:szCs w:val="24"/>
          <w:highlight w:val="none"/>
        </w:rPr>
      </w:pPr>
      <w:r>
        <w:rPr>
          <w:rFonts w:ascii="宋体" w:hAnsi="宋体" w:eastAsia="宋体" w:cs="宋体"/>
          <w:color w:val="auto"/>
          <w:spacing w:val="9"/>
          <w:sz w:val="28"/>
          <w:szCs w:val="28"/>
          <w:highlight w:val="none"/>
          <w14:textOutline w14:w="4356" w14:cap="flat" w14:cmpd="sng" w14:algn="ctr">
            <w14:solidFill>
              <w14:srgbClr w14:val="000000"/>
            </w14:solidFill>
            <w14:prstDash w14:val="solid"/>
            <w14:miter w14:val="0"/>
          </w14:textOutline>
        </w:rPr>
        <w:t>中小企业声明函(工程</w:t>
      </w:r>
      <w:r>
        <w:rPr>
          <w:rFonts w:ascii="宋体" w:hAnsi="宋体" w:eastAsia="宋体" w:cs="宋体"/>
          <w:color w:val="auto"/>
          <w:spacing w:val="8"/>
          <w:sz w:val="28"/>
          <w:szCs w:val="28"/>
          <w:highlight w:val="none"/>
          <w14:textOutline w14:w="4356" w14:cap="flat" w14:cmpd="sng" w14:algn="ctr">
            <w14:solidFill>
              <w14:srgbClr w14:val="000000"/>
            </w14:solidFill>
            <w14:prstDash w14:val="solid"/>
            <w14:miter w14:val="0"/>
          </w14:textOutline>
        </w:rPr>
        <w:t>)</w:t>
      </w:r>
    </w:p>
    <w:p>
      <w:pPr>
        <w:spacing w:line="248" w:lineRule="auto"/>
        <w:rPr>
          <w:color w:val="auto"/>
          <w:highlight w:val="none"/>
        </w:rPr>
      </w:pPr>
    </w:p>
    <w:p>
      <w:pPr>
        <w:spacing w:line="249" w:lineRule="auto"/>
        <w:rPr>
          <w:color w:val="auto"/>
          <w:highlight w:val="none"/>
        </w:rPr>
      </w:pPr>
    </w:p>
    <w:p>
      <w:pPr>
        <w:spacing w:before="68" w:line="480" w:lineRule="auto"/>
        <w:ind w:left="19" w:right="66" w:firstLine="421"/>
        <w:rPr>
          <w:rFonts w:ascii="宋体" w:hAnsi="宋体" w:eastAsia="宋体" w:cs="宋体"/>
          <w:color w:val="auto"/>
          <w:highlight w:val="none"/>
        </w:rPr>
      </w:pPr>
      <w:r>
        <w:rPr>
          <w:rFonts w:ascii="宋体" w:hAnsi="宋体" w:eastAsia="宋体" w:cs="宋体"/>
          <w:color w:val="auto"/>
          <w:spacing w:val="-8"/>
          <w:highlight w:val="none"/>
        </w:rPr>
        <w:t>本</w:t>
      </w:r>
      <w:r>
        <w:rPr>
          <w:rFonts w:ascii="宋体" w:hAnsi="宋体" w:eastAsia="宋体" w:cs="宋体"/>
          <w:color w:val="auto"/>
          <w:spacing w:val="-7"/>
          <w:highlight w:val="none"/>
        </w:rPr>
        <w:t>公</w:t>
      </w:r>
      <w:r>
        <w:rPr>
          <w:rFonts w:ascii="宋体" w:hAnsi="宋体" w:eastAsia="宋体" w:cs="宋体"/>
          <w:color w:val="auto"/>
          <w:spacing w:val="-4"/>
          <w:highlight w:val="none"/>
        </w:rPr>
        <w:t>司(联合体)郑重声明，根据《政府采购促进中小企业发展管理办法》(财库﹝ 2020 ﹞</w:t>
      </w:r>
      <w:r>
        <w:rPr>
          <w:rFonts w:ascii="宋体" w:hAnsi="宋体" w:eastAsia="宋体" w:cs="宋体"/>
          <w:color w:val="auto"/>
          <w:highlight w:val="none"/>
        </w:rPr>
        <w:t xml:space="preserve"> </w:t>
      </w:r>
      <w:r>
        <w:rPr>
          <w:rFonts w:ascii="宋体" w:hAnsi="宋体" w:eastAsia="宋体" w:cs="宋体"/>
          <w:color w:val="auto"/>
          <w:spacing w:val="2"/>
          <w:highlight w:val="none"/>
        </w:rPr>
        <w:t>46</w:t>
      </w:r>
      <w:r>
        <w:rPr>
          <w:rFonts w:ascii="宋体" w:hAnsi="宋体" w:eastAsia="宋体" w:cs="宋体"/>
          <w:color w:val="auto"/>
          <w:spacing w:val="1"/>
          <w:highlight w:val="none"/>
        </w:rPr>
        <w:t xml:space="preserve"> 号)的规定，本公司(联合体)参加</w:t>
      </w:r>
      <w:r>
        <w:rPr>
          <w:rFonts w:ascii="宋体" w:hAnsi="宋体" w:eastAsia="宋体" w:cs="宋体"/>
          <w:color w:val="auto"/>
          <w:spacing w:val="1"/>
          <w:highlight w:val="none"/>
          <w:u w:val="single"/>
        </w:rPr>
        <w:t xml:space="preserve"> (单位名称) </w:t>
      </w:r>
      <w:r>
        <w:rPr>
          <w:rFonts w:ascii="宋体" w:hAnsi="宋体" w:eastAsia="宋体" w:cs="宋体"/>
          <w:color w:val="auto"/>
          <w:spacing w:val="1"/>
          <w:highlight w:val="none"/>
        </w:rPr>
        <w:t>的</w:t>
      </w:r>
      <w:r>
        <w:rPr>
          <w:rFonts w:ascii="宋体" w:hAnsi="宋体" w:eastAsia="宋体" w:cs="宋体"/>
          <w:color w:val="auto"/>
          <w:spacing w:val="1"/>
          <w:highlight w:val="none"/>
          <w:u w:val="single"/>
        </w:rPr>
        <w:t xml:space="preserve"> (项目名称) </w:t>
      </w:r>
      <w:r>
        <w:rPr>
          <w:rFonts w:ascii="宋体" w:hAnsi="宋体" w:eastAsia="宋体" w:cs="宋体"/>
          <w:color w:val="auto"/>
          <w:spacing w:val="1"/>
          <w:highlight w:val="none"/>
        </w:rPr>
        <w:t>采购活动，工程的施工单位</w:t>
      </w:r>
      <w:r>
        <w:rPr>
          <w:rFonts w:ascii="宋体" w:hAnsi="宋体" w:eastAsia="宋体" w:cs="宋体"/>
          <w:color w:val="auto"/>
          <w:highlight w:val="none"/>
        </w:rPr>
        <w:t xml:space="preserve"> </w:t>
      </w:r>
      <w:r>
        <w:rPr>
          <w:rFonts w:ascii="宋体" w:hAnsi="宋体" w:eastAsia="宋体" w:cs="宋体"/>
          <w:color w:val="auto"/>
          <w:spacing w:val="4"/>
          <w:highlight w:val="none"/>
        </w:rPr>
        <w:t>全部为符合政策要求的中</w:t>
      </w:r>
      <w:r>
        <w:rPr>
          <w:rFonts w:ascii="宋体" w:hAnsi="宋体" w:eastAsia="宋体" w:cs="宋体"/>
          <w:color w:val="auto"/>
          <w:spacing w:val="2"/>
          <w:highlight w:val="none"/>
        </w:rPr>
        <w:t>小企业。相关企业(含联合体中的中小企业、签订分包意向协议的中</w:t>
      </w:r>
      <w:r>
        <w:rPr>
          <w:rFonts w:ascii="宋体" w:hAnsi="宋体" w:eastAsia="宋体" w:cs="宋体"/>
          <w:color w:val="auto"/>
          <w:highlight w:val="none"/>
        </w:rPr>
        <w:t xml:space="preserve"> </w:t>
      </w:r>
      <w:r>
        <w:rPr>
          <w:rFonts w:ascii="宋体" w:hAnsi="宋体" w:eastAsia="宋体" w:cs="宋体"/>
          <w:color w:val="auto"/>
          <w:spacing w:val="13"/>
          <w:highlight w:val="none"/>
        </w:rPr>
        <w:t>小</w:t>
      </w:r>
      <w:r>
        <w:rPr>
          <w:rFonts w:ascii="宋体" w:hAnsi="宋体" w:eastAsia="宋体" w:cs="宋体"/>
          <w:color w:val="auto"/>
          <w:spacing w:val="8"/>
          <w:highlight w:val="none"/>
        </w:rPr>
        <w:t>企业)的具体情况如下：</w:t>
      </w:r>
    </w:p>
    <w:p>
      <w:pPr>
        <w:spacing w:line="480" w:lineRule="auto"/>
        <w:ind w:left="20" w:firstLine="435"/>
        <w:rPr>
          <w:rFonts w:ascii="宋体" w:hAnsi="宋体" w:eastAsia="宋体" w:cs="宋体"/>
          <w:color w:val="auto"/>
          <w:highlight w:val="none"/>
        </w:rPr>
      </w:pPr>
      <w:r>
        <w:rPr>
          <w:rFonts w:ascii="宋体" w:hAnsi="宋体" w:eastAsia="宋体" w:cs="宋体"/>
          <w:color w:val="auto"/>
          <w:spacing w:val="-8"/>
          <w:highlight w:val="none"/>
        </w:rPr>
        <w:t xml:space="preserve">1. </w:t>
      </w:r>
      <w:r>
        <w:rPr>
          <w:rFonts w:ascii="宋体" w:hAnsi="宋体" w:eastAsia="宋体" w:cs="宋体"/>
          <w:color w:val="auto"/>
          <w:spacing w:val="-8"/>
          <w:highlight w:val="none"/>
          <w:u w:val="single"/>
        </w:rPr>
        <w:t xml:space="preserve"> </w:t>
      </w:r>
      <w:r>
        <w:rPr>
          <w:rFonts w:ascii="宋体" w:hAnsi="宋体" w:eastAsia="宋体" w:cs="宋体"/>
          <w:color w:val="auto"/>
          <w:spacing w:val="-7"/>
          <w:highlight w:val="none"/>
          <w:u w:val="single"/>
        </w:rPr>
        <w:t>(</w:t>
      </w:r>
      <w:r>
        <w:rPr>
          <w:rFonts w:ascii="宋体" w:hAnsi="宋体" w:eastAsia="宋体" w:cs="宋体"/>
          <w:color w:val="auto"/>
          <w:spacing w:val="-4"/>
          <w:highlight w:val="none"/>
          <w:u w:val="single"/>
        </w:rPr>
        <w:t xml:space="preserve">标的名称) </w:t>
      </w:r>
      <w:r>
        <w:rPr>
          <w:rFonts w:ascii="宋体" w:hAnsi="宋体" w:eastAsia="宋体" w:cs="宋体"/>
          <w:color w:val="auto"/>
          <w:spacing w:val="-4"/>
          <w:highlight w:val="none"/>
        </w:rPr>
        <w:t>，属于</w:t>
      </w:r>
      <w:r>
        <w:rPr>
          <w:rFonts w:ascii="宋体" w:hAnsi="宋体" w:eastAsia="宋体" w:cs="宋体"/>
          <w:color w:val="auto"/>
          <w:spacing w:val="-4"/>
          <w:highlight w:val="none"/>
          <w:u w:val="single"/>
        </w:rPr>
        <w:t xml:space="preserve"> (招标文件中明确的所属行业) </w:t>
      </w:r>
      <w:r>
        <w:rPr>
          <w:rFonts w:ascii="宋体" w:hAnsi="宋体" w:eastAsia="宋体" w:cs="宋体"/>
          <w:color w:val="auto"/>
          <w:spacing w:val="-4"/>
          <w:highlight w:val="none"/>
        </w:rPr>
        <w:t>；承建(承接)企业为</w:t>
      </w:r>
      <w:r>
        <w:rPr>
          <w:rFonts w:ascii="宋体" w:hAnsi="宋体" w:eastAsia="宋体" w:cs="宋体"/>
          <w:color w:val="auto"/>
          <w:spacing w:val="-4"/>
          <w:highlight w:val="none"/>
          <w:u w:val="single"/>
        </w:rPr>
        <w:t xml:space="preserve"> (企业名称) </w:t>
      </w:r>
      <w:r>
        <w:rPr>
          <w:rFonts w:ascii="宋体" w:hAnsi="宋体" w:eastAsia="宋体" w:cs="宋体"/>
          <w:color w:val="auto"/>
          <w:spacing w:val="-4"/>
          <w:highlight w:val="none"/>
        </w:rPr>
        <w:t>，</w:t>
      </w:r>
      <w:r>
        <w:rPr>
          <w:rFonts w:ascii="宋体" w:hAnsi="宋体" w:eastAsia="宋体" w:cs="宋体"/>
          <w:color w:val="auto"/>
          <w:highlight w:val="none"/>
        </w:rPr>
        <w:t xml:space="preserve"> </w:t>
      </w:r>
      <w:r>
        <w:rPr>
          <w:rFonts w:ascii="宋体" w:hAnsi="宋体" w:eastAsia="宋体" w:cs="宋体"/>
          <w:color w:val="auto"/>
          <w:spacing w:val="-8"/>
          <w:highlight w:val="none"/>
        </w:rPr>
        <w:t>从业</w:t>
      </w:r>
      <w:r>
        <w:rPr>
          <w:rFonts w:ascii="宋体" w:hAnsi="宋体" w:eastAsia="宋体" w:cs="宋体"/>
          <w:color w:val="auto"/>
          <w:spacing w:val="-4"/>
          <w:highlight w:val="none"/>
        </w:rPr>
        <w:t>人员</w:t>
      </w:r>
      <w:r>
        <w:rPr>
          <w:rFonts w:ascii="宋体" w:hAnsi="宋体" w:eastAsia="宋体" w:cs="宋体"/>
          <w:color w:val="auto"/>
          <w:spacing w:val="-4"/>
          <w:highlight w:val="none"/>
          <w:u w:val="single"/>
        </w:rPr>
        <w:t xml:space="preserve">   </w:t>
      </w:r>
      <w:r>
        <w:rPr>
          <w:rFonts w:ascii="宋体" w:hAnsi="宋体" w:eastAsia="宋体" w:cs="宋体"/>
          <w:color w:val="auto"/>
          <w:spacing w:val="-4"/>
          <w:highlight w:val="none"/>
        </w:rPr>
        <w:t xml:space="preserve"> 人，营业收入为</w:t>
      </w:r>
      <w:r>
        <w:rPr>
          <w:rFonts w:ascii="宋体" w:hAnsi="宋体" w:eastAsia="宋体" w:cs="宋体"/>
          <w:color w:val="auto"/>
          <w:spacing w:val="-4"/>
          <w:highlight w:val="none"/>
          <w:u w:val="single"/>
        </w:rPr>
        <w:t xml:space="preserve">    </w:t>
      </w:r>
      <w:r>
        <w:rPr>
          <w:rFonts w:ascii="宋体" w:hAnsi="宋体" w:eastAsia="宋体" w:cs="宋体"/>
          <w:color w:val="auto"/>
          <w:spacing w:val="-4"/>
          <w:highlight w:val="none"/>
        </w:rPr>
        <w:t>万元， 资产总额为</w:t>
      </w:r>
      <w:r>
        <w:rPr>
          <w:rFonts w:ascii="宋体" w:hAnsi="宋体" w:eastAsia="宋体" w:cs="宋体"/>
          <w:color w:val="auto"/>
          <w:spacing w:val="-4"/>
          <w:highlight w:val="none"/>
          <w:u w:val="single"/>
        </w:rPr>
        <w:t xml:space="preserve">    </w:t>
      </w:r>
      <w:r>
        <w:rPr>
          <w:rFonts w:ascii="宋体" w:hAnsi="宋体" w:eastAsia="宋体" w:cs="宋体"/>
          <w:color w:val="auto"/>
          <w:spacing w:val="-4"/>
          <w:highlight w:val="none"/>
        </w:rPr>
        <w:t>万元，属于</w:t>
      </w:r>
      <w:r>
        <w:rPr>
          <w:rFonts w:ascii="宋体" w:hAnsi="宋体" w:eastAsia="宋体" w:cs="宋体"/>
          <w:color w:val="auto"/>
          <w:spacing w:val="-4"/>
          <w:highlight w:val="none"/>
          <w:u w:val="single"/>
        </w:rPr>
        <w:t xml:space="preserve"> (中型企业、  小型企业、</w:t>
      </w:r>
      <w:r>
        <w:rPr>
          <w:rFonts w:ascii="宋体" w:hAnsi="宋体" w:eastAsia="宋体" w:cs="宋体"/>
          <w:color w:val="auto"/>
          <w:highlight w:val="none"/>
        </w:rPr>
        <w:t xml:space="preserve"> </w:t>
      </w:r>
      <w:r>
        <w:rPr>
          <w:rFonts w:ascii="宋体" w:hAnsi="宋体" w:eastAsia="宋体" w:cs="宋体"/>
          <w:color w:val="auto"/>
          <w:spacing w:val="-1"/>
          <w:highlight w:val="none"/>
          <w:u w:val="single"/>
        </w:rPr>
        <w:t xml:space="preserve">微型企业) </w:t>
      </w:r>
      <w:r>
        <w:rPr>
          <w:rFonts w:ascii="宋体" w:hAnsi="宋体" w:eastAsia="宋体" w:cs="宋体"/>
          <w:color w:val="auto"/>
          <w:spacing w:val="-1"/>
          <w:highlight w:val="none"/>
        </w:rPr>
        <w:t>；</w:t>
      </w:r>
    </w:p>
    <w:p>
      <w:pPr>
        <w:spacing w:before="3" w:line="480" w:lineRule="auto"/>
        <w:ind w:left="20" w:firstLine="422"/>
        <w:rPr>
          <w:rFonts w:ascii="宋体" w:hAnsi="宋体" w:eastAsia="宋体" w:cs="宋体"/>
          <w:color w:val="auto"/>
          <w:highlight w:val="none"/>
        </w:rPr>
      </w:pPr>
      <w:r>
        <w:rPr>
          <w:rFonts w:ascii="宋体" w:hAnsi="宋体" w:eastAsia="宋体" w:cs="宋体"/>
          <w:color w:val="auto"/>
          <w:spacing w:val="-8"/>
          <w:highlight w:val="none"/>
        </w:rPr>
        <w:t>2</w:t>
      </w:r>
      <w:r>
        <w:rPr>
          <w:rFonts w:ascii="宋体" w:hAnsi="宋体" w:eastAsia="宋体" w:cs="宋体"/>
          <w:color w:val="auto"/>
          <w:spacing w:val="-5"/>
          <w:highlight w:val="none"/>
        </w:rPr>
        <w:t>.</w:t>
      </w:r>
      <w:r>
        <w:rPr>
          <w:rFonts w:ascii="宋体" w:hAnsi="宋体" w:eastAsia="宋体" w:cs="宋体"/>
          <w:color w:val="auto"/>
          <w:spacing w:val="-4"/>
          <w:highlight w:val="none"/>
        </w:rPr>
        <w:t xml:space="preserve"> </w:t>
      </w:r>
      <w:r>
        <w:rPr>
          <w:rFonts w:ascii="宋体" w:hAnsi="宋体" w:eastAsia="宋体" w:cs="宋体"/>
          <w:color w:val="auto"/>
          <w:spacing w:val="-4"/>
          <w:highlight w:val="none"/>
          <w:u w:val="single"/>
        </w:rPr>
        <w:t xml:space="preserve"> (标的名称) </w:t>
      </w:r>
      <w:r>
        <w:rPr>
          <w:rFonts w:ascii="宋体" w:hAnsi="宋体" w:eastAsia="宋体" w:cs="宋体"/>
          <w:color w:val="auto"/>
          <w:spacing w:val="-4"/>
          <w:highlight w:val="none"/>
        </w:rPr>
        <w:t>，属于</w:t>
      </w:r>
      <w:r>
        <w:rPr>
          <w:rFonts w:ascii="宋体" w:hAnsi="宋体" w:eastAsia="宋体" w:cs="宋体"/>
          <w:color w:val="auto"/>
          <w:spacing w:val="-4"/>
          <w:highlight w:val="none"/>
          <w:u w:val="single"/>
        </w:rPr>
        <w:t xml:space="preserve"> (招标文件中明确的所属行业) </w:t>
      </w:r>
      <w:r>
        <w:rPr>
          <w:rFonts w:ascii="宋体" w:hAnsi="宋体" w:eastAsia="宋体" w:cs="宋体"/>
          <w:color w:val="auto"/>
          <w:spacing w:val="-4"/>
          <w:highlight w:val="none"/>
        </w:rPr>
        <w:t>；承建(承接)企业为</w:t>
      </w:r>
      <w:r>
        <w:rPr>
          <w:rFonts w:ascii="宋体" w:hAnsi="宋体" w:eastAsia="宋体" w:cs="宋体"/>
          <w:color w:val="auto"/>
          <w:spacing w:val="-4"/>
          <w:highlight w:val="none"/>
          <w:u w:val="single"/>
        </w:rPr>
        <w:t xml:space="preserve"> (企业名称) </w:t>
      </w:r>
      <w:r>
        <w:rPr>
          <w:rFonts w:ascii="宋体" w:hAnsi="宋体" w:eastAsia="宋体" w:cs="宋体"/>
          <w:color w:val="auto"/>
          <w:spacing w:val="-4"/>
          <w:highlight w:val="none"/>
        </w:rPr>
        <w:t>，</w:t>
      </w:r>
      <w:r>
        <w:rPr>
          <w:rFonts w:ascii="宋体" w:hAnsi="宋体" w:eastAsia="宋体" w:cs="宋体"/>
          <w:color w:val="auto"/>
          <w:highlight w:val="none"/>
        </w:rPr>
        <w:t xml:space="preserve"> </w:t>
      </w:r>
      <w:r>
        <w:rPr>
          <w:rFonts w:ascii="宋体" w:hAnsi="宋体" w:eastAsia="宋体" w:cs="宋体"/>
          <w:color w:val="auto"/>
          <w:spacing w:val="-8"/>
          <w:highlight w:val="none"/>
        </w:rPr>
        <w:t>从业</w:t>
      </w:r>
      <w:r>
        <w:rPr>
          <w:rFonts w:ascii="宋体" w:hAnsi="宋体" w:eastAsia="宋体" w:cs="宋体"/>
          <w:color w:val="auto"/>
          <w:spacing w:val="-4"/>
          <w:highlight w:val="none"/>
        </w:rPr>
        <w:t>人员</w:t>
      </w:r>
      <w:r>
        <w:rPr>
          <w:rFonts w:ascii="宋体" w:hAnsi="宋体" w:eastAsia="宋体" w:cs="宋体"/>
          <w:color w:val="auto"/>
          <w:spacing w:val="-4"/>
          <w:highlight w:val="none"/>
          <w:u w:val="single"/>
        </w:rPr>
        <w:t xml:space="preserve">   </w:t>
      </w:r>
      <w:r>
        <w:rPr>
          <w:rFonts w:ascii="宋体" w:hAnsi="宋体" w:eastAsia="宋体" w:cs="宋体"/>
          <w:color w:val="auto"/>
          <w:spacing w:val="-4"/>
          <w:highlight w:val="none"/>
        </w:rPr>
        <w:t xml:space="preserve"> 人，营业收入为</w:t>
      </w:r>
      <w:r>
        <w:rPr>
          <w:rFonts w:ascii="宋体" w:hAnsi="宋体" w:eastAsia="宋体" w:cs="宋体"/>
          <w:color w:val="auto"/>
          <w:spacing w:val="-4"/>
          <w:highlight w:val="none"/>
          <w:u w:val="single"/>
        </w:rPr>
        <w:t xml:space="preserve">    </w:t>
      </w:r>
      <w:r>
        <w:rPr>
          <w:rFonts w:ascii="宋体" w:hAnsi="宋体" w:eastAsia="宋体" w:cs="宋体"/>
          <w:color w:val="auto"/>
          <w:spacing w:val="-4"/>
          <w:highlight w:val="none"/>
        </w:rPr>
        <w:t>万元， 资产总额为</w:t>
      </w:r>
      <w:r>
        <w:rPr>
          <w:rFonts w:ascii="宋体" w:hAnsi="宋体" w:eastAsia="宋体" w:cs="宋体"/>
          <w:color w:val="auto"/>
          <w:spacing w:val="-4"/>
          <w:highlight w:val="none"/>
          <w:u w:val="single"/>
        </w:rPr>
        <w:t xml:space="preserve">    </w:t>
      </w:r>
      <w:r>
        <w:rPr>
          <w:rFonts w:ascii="宋体" w:hAnsi="宋体" w:eastAsia="宋体" w:cs="宋体"/>
          <w:color w:val="auto"/>
          <w:spacing w:val="-4"/>
          <w:highlight w:val="none"/>
        </w:rPr>
        <w:t>万元，属于</w:t>
      </w:r>
      <w:r>
        <w:rPr>
          <w:rFonts w:ascii="宋体" w:hAnsi="宋体" w:eastAsia="宋体" w:cs="宋体"/>
          <w:color w:val="auto"/>
          <w:spacing w:val="-4"/>
          <w:highlight w:val="none"/>
          <w:u w:val="single"/>
        </w:rPr>
        <w:t xml:space="preserve"> (中型企业、  小型企业、</w:t>
      </w:r>
      <w:r>
        <w:rPr>
          <w:rFonts w:ascii="宋体" w:hAnsi="宋体" w:eastAsia="宋体" w:cs="宋体"/>
          <w:color w:val="auto"/>
          <w:highlight w:val="none"/>
        </w:rPr>
        <w:t xml:space="preserve"> </w:t>
      </w:r>
      <w:r>
        <w:rPr>
          <w:rFonts w:ascii="宋体" w:hAnsi="宋体" w:eastAsia="宋体" w:cs="宋体"/>
          <w:color w:val="auto"/>
          <w:spacing w:val="-1"/>
          <w:highlight w:val="none"/>
          <w:u w:val="single"/>
        </w:rPr>
        <w:t xml:space="preserve">微型企业) </w:t>
      </w:r>
      <w:r>
        <w:rPr>
          <w:rFonts w:ascii="宋体" w:hAnsi="宋体" w:eastAsia="宋体" w:cs="宋体"/>
          <w:color w:val="auto"/>
          <w:spacing w:val="-1"/>
          <w:highlight w:val="none"/>
        </w:rPr>
        <w:t>；</w:t>
      </w:r>
    </w:p>
    <w:p>
      <w:pPr>
        <w:spacing w:before="137" w:line="360" w:lineRule="auto"/>
        <w:ind w:left="445"/>
        <w:rPr>
          <w:rFonts w:ascii="宋体" w:hAnsi="宋体" w:eastAsia="宋体" w:cs="宋体"/>
          <w:color w:val="auto"/>
          <w:highlight w:val="none"/>
        </w:rPr>
      </w:pPr>
      <w:r>
        <w:rPr>
          <w:rFonts w:ascii="宋体" w:hAnsi="宋体" w:eastAsia="宋体" w:cs="宋体"/>
          <w:color w:val="auto"/>
          <w:spacing w:val="-2"/>
          <w:position w:val="1"/>
          <w:highlight w:val="none"/>
        </w:rPr>
        <w:t>...</w:t>
      </w:r>
      <w:r>
        <w:rPr>
          <w:rFonts w:ascii="宋体" w:hAnsi="宋体" w:eastAsia="宋体" w:cs="宋体"/>
          <w:color w:val="auto"/>
          <w:spacing w:val="-1"/>
          <w:position w:val="1"/>
          <w:highlight w:val="none"/>
        </w:rPr>
        <w:t>...</w:t>
      </w:r>
    </w:p>
    <w:p>
      <w:pPr>
        <w:spacing w:before="178" w:line="360" w:lineRule="auto"/>
        <w:ind w:left="19" w:right="117" w:firstLine="444"/>
        <w:rPr>
          <w:rFonts w:ascii="宋体" w:hAnsi="宋体" w:eastAsia="宋体" w:cs="宋体"/>
          <w:color w:val="auto"/>
          <w:highlight w:val="none"/>
        </w:rPr>
      </w:pPr>
      <w:r>
        <w:rPr>
          <w:rFonts w:ascii="宋体" w:hAnsi="宋体" w:eastAsia="宋体" w:cs="宋体"/>
          <w:color w:val="auto"/>
          <w:spacing w:val="-6"/>
          <w:highlight w:val="none"/>
        </w:rPr>
        <w:t>以上企</w:t>
      </w:r>
      <w:r>
        <w:rPr>
          <w:rFonts w:ascii="宋体" w:hAnsi="宋体" w:eastAsia="宋体" w:cs="宋体"/>
          <w:color w:val="auto"/>
          <w:spacing w:val="-4"/>
          <w:highlight w:val="none"/>
        </w:rPr>
        <w:t>业</w:t>
      </w:r>
      <w:r>
        <w:rPr>
          <w:rFonts w:ascii="宋体" w:hAnsi="宋体" w:eastAsia="宋体" w:cs="宋体"/>
          <w:color w:val="auto"/>
          <w:spacing w:val="-3"/>
          <w:highlight w:val="none"/>
        </w:rPr>
        <w:t>， 不属于大企业的分支机构，不存在控股股东为大企业的情形，也不存在与大企</w:t>
      </w:r>
      <w:r>
        <w:rPr>
          <w:rFonts w:ascii="宋体" w:hAnsi="宋体" w:eastAsia="宋体" w:cs="宋体"/>
          <w:color w:val="auto"/>
          <w:highlight w:val="none"/>
        </w:rPr>
        <w:t xml:space="preserve"> </w:t>
      </w:r>
      <w:r>
        <w:rPr>
          <w:rFonts w:ascii="宋体" w:hAnsi="宋体" w:eastAsia="宋体" w:cs="宋体"/>
          <w:color w:val="auto"/>
          <w:spacing w:val="-2"/>
          <w:highlight w:val="none"/>
        </w:rPr>
        <w:t>业的负责人为</w:t>
      </w:r>
      <w:r>
        <w:rPr>
          <w:rFonts w:ascii="宋体" w:hAnsi="宋体" w:eastAsia="宋体" w:cs="宋体"/>
          <w:color w:val="auto"/>
          <w:spacing w:val="-1"/>
          <w:highlight w:val="none"/>
        </w:rPr>
        <w:t>同一人的情形。</w:t>
      </w:r>
    </w:p>
    <w:p>
      <w:pPr>
        <w:spacing w:before="1" w:line="360" w:lineRule="auto"/>
        <w:ind w:left="441"/>
        <w:rPr>
          <w:rFonts w:ascii="宋体" w:hAnsi="宋体" w:eastAsia="宋体" w:cs="宋体"/>
          <w:color w:val="auto"/>
          <w:highlight w:val="none"/>
        </w:rPr>
      </w:pPr>
      <w:r>
        <w:rPr>
          <w:rFonts w:ascii="宋体" w:hAnsi="宋体" w:eastAsia="宋体" w:cs="宋体"/>
          <w:color w:val="auto"/>
          <w:spacing w:val="-6"/>
          <w:highlight w:val="none"/>
        </w:rPr>
        <w:t>本企业</w:t>
      </w:r>
      <w:r>
        <w:rPr>
          <w:rFonts w:ascii="宋体" w:hAnsi="宋体" w:eastAsia="宋体" w:cs="宋体"/>
          <w:color w:val="auto"/>
          <w:spacing w:val="-3"/>
          <w:highlight w:val="none"/>
        </w:rPr>
        <w:t>对上述声明内容的真实性负责。如有虚假， 将依法承担相应责任。</w:t>
      </w:r>
    </w:p>
    <w:p>
      <w:pPr>
        <w:spacing w:line="253" w:lineRule="auto"/>
        <w:rPr>
          <w:color w:val="auto"/>
          <w:highlight w:val="none"/>
        </w:rPr>
      </w:pPr>
    </w:p>
    <w:p>
      <w:pPr>
        <w:spacing w:line="254" w:lineRule="auto"/>
        <w:rPr>
          <w:color w:val="auto"/>
          <w:highlight w:val="none"/>
        </w:rPr>
      </w:pPr>
    </w:p>
    <w:p>
      <w:pPr>
        <w:spacing w:before="72" w:line="372" w:lineRule="auto"/>
        <w:ind w:left="4048" w:right="61" w:hanging="35"/>
        <w:rPr>
          <w:rFonts w:ascii="宋体" w:hAnsi="宋体" w:eastAsia="宋体" w:cs="宋体"/>
          <w:color w:val="auto"/>
          <w:spacing w:val="-1"/>
          <w:sz w:val="22"/>
          <w:szCs w:val="22"/>
          <w:highlight w:val="none"/>
        </w:rPr>
      </w:pPr>
      <w:r>
        <w:rPr>
          <w:rFonts w:ascii="宋体" w:hAnsi="宋体" w:eastAsia="宋体" w:cs="宋体"/>
          <w:color w:val="auto"/>
          <w:spacing w:val="-2"/>
          <w:highlight w:val="none"/>
        </w:rPr>
        <w:t>企业名称：</w:t>
      </w:r>
      <w:r>
        <w:rPr>
          <w:rFonts w:ascii="宋体" w:hAnsi="宋体" w:eastAsia="宋体" w:cs="宋体"/>
          <w:color w:val="auto"/>
          <w:spacing w:val="-2"/>
          <w:highlight w:val="none"/>
          <w:u w:val="single"/>
        </w:rPr>
        <w:t xml:space="preserve">            </w:t>
      </w:r>
      <w:r>
        <w:rPr>
          <w:rFonts w:ascii="宋体" w:hAnsi="宋体" w:eastAsia="宋体" w:cs="宋体"/>
          <w:color w:val="auto"/>
          <w:spacing w:val="-2"/>
          <w:sz w:val="22"/>
          <w:szCs w:val="22"/>
          <w:highlight w:val="none"/>
        </w:rPr>
        <w:t>[盖单位公章(</w:t>
      </w:r>
      <w:r>
        <w:rPr>
          <w:rFonts w:ascii="宋体" w:hAnsi="宋体" w:eastAsia="宋体" w:cs="宋体"/>
          <w:color w:val="auto"/>
          <w:sz w:val="22"/>
          <w:szCs w:val="22"/>
          <w:highlight w:val="none"/>
        </w:rPr>
        <w:t>CA</w:t>
      </w:r>
      <w:r>
        <w:rPr>
          <w:rFonts w:ascii="宋体" w:hAnsi="宋体" w:eastAsia="宋体" w:cs="宋体"/>
          <w:color w:val="auto"/>
          <w:spacing w:val="-2"/>
          <w:sz w:val="22"/>
          <w:szCs w:val="22"/>
          <w:highlight w:val="none"/>
        </w:rPr>
        <w:t xml:space="preserve"> 签章) </w:t>
      </w:r>
      <w:r>
        <w:rPr>
          <w:rFonts w:ascii="宋体" w:hAnsi="宋体" w:eastAsia="宋体" w:cs="宋体"/>
          <w:color w:val="auto"/>
          <w:spacing w:val="-1"/>
          <w:sz w:val="22"/>
          <w:szCs w:val="22"/>
          <w:highlight w:val="none"/>
        </w:rPr>
        <w:t>]</w:t>
      </w:r>
    </w:p>
    <w:p>
      <w:pPr>
        <w:spacing w:before="72" w:line="372" w:lineRule="auto"/>
        <w:ind w:left="4048" w:right="61" w:hanging="35"/>
        <w:rPr>
          <w:rFonts w:ascii="宋体" w:hAnsi="宋体" w:eastAsia="宋体" w:cs="宋体"/>
          <w:color w:val="auto"/>
          <w:highlight w:val="none"/>
        </w:rPr>
      </w:pPr>
      <w:r>
        <w:rPr>
          <w:rFonts w:ascii="宋体" w:hAnsi="宋体" w:eastAsia="宋体" w:cs="宋体"/>
          <w:color w:val="auto"/>
          <w:sz w:val="22"/>
          <w:szCs w:val="22"/>
          <w:highlight w:val="none"/>
        </w:rPr>
        <w:t xml:space="preserve"> </w:t>
      </w:r>
      <w:r>
        <w:rPr>
          <w:rFonts w:ascii="宋体" w:hAnsi="宋体" w:eastAsia="宋体" w:cs="宋体"/>
          <w:color w:val="auto"/>
          <w:spacing w:val="-11"/>
          <w:highlight w:val="none"/>
        </w:rPr>
        <w:t>日</w:t>
      </w:r>
      <w:r>
        <w:rPr>
          <w:rFonts w:ascii="宋体" w:hAnsi="宋体" w:eastAsia="宋体" w:cs="宋体"/>
          <w:color w:val="auto"/>
          <w:spacing w:val="-9"/>
          <w:highlight w:val="none"/>
        </w:rPr>
        <w:t xml:space="preserve">    期：</w:t>
      </w:r>
    </w:p>
    <w:p>
      <w:pPr>
        <w:spacing w:line="241" w:lineRule="auto"/>
        <w:rPr>
          <w:color w:val="auto"/>
          <w:highlight w:val="none"/>
        </w:rPr>
      </w:pPr>
    </w:p>
    <w:p>
      <w:pPr>
        <w:spacing w:line="242" w:lineRule="auto"/>
        <w:rPr>
          <w:color w:val="auto"/>
          <w:highlight w:val="none"/>
        </w:rPr>
      </w:pPr>
    </w:p>
    <w:p>
      <w:pPr>
        <w:spacing w:line="242" w:lineRule="auto"/>
        <w:rPr>
          <w:color w:val="auto"/>
          <w:highlight w:val="none"/>
        </w:rPr>
      </w:pPr>
    </w:p>
    <w:p>
      <w:pPr>
        <w:spacing w:before="68" w:line="369" w:lineRule="auto"/>
        <w:ind w:left="21" w:right="61" w:hanging="1"/>
        <w:rPr>
          <w:rFonts w:ascii="宋体" w:hAnsi="宋体" w:eastAsia="宋体" w:cs="宋体"/>
          <w:color w:val="auto"/>
          <w:highlight w:val="none"/>
        </w:rPr>
      </w:pPr>
      <w:r>
        <w:rPr>
          <w:rFonts w:ascii="宋体" w:hAnsi="宋体" w:eastAsia="宋体" w:cs="宋体"/>
          <w:color w:val="auto"/>
          <w:spacing w:val="-6"/>
          <w:highlight w:val="none"/>
          <w14:textOutline w14:w="3835" w14:cap="flat" w14:cmpd="sng" w14:algn="ctr">
            <w14:solidFill>
              <w14:srgbClr w14:val="000000"/>
            </w14:solidFill>
            <w14:prstDash w14:val="solid"/>
            <w14:miter w14:val="0"/>
          </w14:textOutline>
        </w:rPr>
        <w:t>注：</w:t>
      </w:r>
      <w:r>
        <w:rPr>
          <w:rFonts w:ascii="宋体" w:hAnsi="宋体" w:eastAsia="宋体" w:cs="宋体"/>
          <w:color w:val="auto"/>
          <w:spacing w:val="-6"/>
          <w:highlight w:val="none"/>
        </w:rPr>
        <w:t xml:space="preserve"> </w:t>
      </w:r>
      <w:r>
        <w:rPr>
          <w:rFonts w:ascii="宋体" w:hAnsi="宋体" w:eastAsia="宋体" w:cs="宋体"/>
          <w:color w:val="auto"/>
          <w:spacing w:val="-6"/>
          <w:highlight w:val="none"/>
          <w14:textOutline w14:w="3835" w14:cap="flat" w14:cmpd="sng" w14:algn="ctr">
            <w14:solidFill>
              <w14:srgbClr w14:val="000000"/>
            </w14:solidFill>
            <w14:prstDash w14:val="solid"/>
            <w14:miter w14:val="0"/>
          </w14:textOutline>
        </w:rPr>
        <w:t>1、从业人员、营业收入、资产总额填报上一年度数据，无上一年度数据的新成立企业可</w:t>
      </w:r>
      <w:r>
        <w:rPr>
          <w:rFonts w:ascii="宋体" w:hAnsi="宋体" w:eastAsia="宋体" w:cs="宋体"/>
          <w:color w:val="auto"/>
          <w:spacing w:val="-2"/>
          <w:highlight w:val="none"/>
          <w14:textOutline w14:w="3835" w14:cap="flat" w14:cmpd="sng" w14:algn="ctr">
            <w14:solidFill>
              <w14:srgbClr w14:val="000000"/>
            </w14:solidFill>
            <w14:prstDash w14:val="solid"/>
            <w14:miter w14:val="0"/>
          </w14:textOutline>
        </w:rPr>
        <w:t>不</w:t>
      </w:r>
      <w:r>
        <w:rPr>
          <w:rFonts w:ascii="宋体" w:hAnsi="宋体" w:eastAsia="宋体" w:cs="宋体"/>
          <w:color w:val="auto"/>
          <w:spacing w:val="-9"/>
          <w:highlight w:val="none"/>
          <w14:textOutline w14:w="3835" w14:cap="flat" w14:cmpd="sng" w14:algn="ctr">
            <w14:solidFill>
              <w14:srgbClr w14:val="000000"/>
            </w14:solidFill>
            <w14:prstDash w14:val="solid"/>
            <w14:miter w14:val="0"/>
          </w14:textOutline>
        </w:rPr>
        <w:t>填</w:t>
      </w:r>
      <w:r>
        <w:rPr>
          <w:rFonts w:ascii="宋体" w:hAnsi="宋体" w:eastAsia="宋体" w:cs="宋体"/>
          <w:color w:val="auto"/>
          <w:spacing w:val="-8"/>
          <w:highlight w:val="none"/>
          <w14:textOutline w14:w="3835" w14:cap="flat" w14:cmpd="sng" w14:algn="ctr">
            <w14:solidFill>
              <w14:srgbClr w14:val="000000"/>
            </w14:solidFill>
            <w14:prstDash w14:val="solid"/>
            <w14:miter w14:val="0"/>
          </w14:textOutline>
        </w:rPr>
        <w:t>报。</w:t>
      </w:r>
    </w:p>
    <w:p>
      <w:pPr>
        <w:spacing w:line="242" w:lineRule="auto"/>
        <w:ind w:left="445"/>
        <w:outlineLvl w:val="6"/>
        <w:rPr>
          <w:color w:val="auto"/>
          <w:highlight w:val="none"/>
        </w:rPr>
        <w:sectPr>
          <w:footerReference r:id="rId28" w:type="default"/>
          <w:pgSz w:w="11907" w:h="16839"/>
          <w:pgMar w:top="1440" w:right="1080" w:bottom="1440" w:left="1080" w:header="0" w:footer="1060" w:gutter="0"/>
          <w:cols w:space="720" w:num="1"/>
        </w:sectPr>
      </w:pPr>
      <w:r>
        <w:rPr>
          <w:rFonts w:ascii="宋体" w:hAnsi="宋体" w:eastAsia="宋体" w:cs="宋体"/>
          <w:color w:val="auto"/>
          <w:spacing w:val="-1"/>
          <w:highlight w:val="none"/>
          <w14:textOutline w14:w="3835" w14:cap="flat" w14:cmpd="sng" w14:algn="ctr">
            <w14:solidFill>
              <w14:srgbClr w14:val="000000"/>
            </w14:solidFill>
            <w14:prstDash w14:val="solid"/>
            <w14:miter w14:val="0"/>
          </w14:textOutline>
        </w:rPr>
        <w:t>2、</w:t>
      </w:r>
      <w:r>
        <w:rPr>
          <w:rFonts w:ascii="宋体" w:hAnsi="宋体" w:eastAsia="宋体" w:cs="宋体"/>
          <w:color w:val="auto"/>
          <w:highlight w:val="none"/>
          <w14:textOutline w14:w="3835" w14:cap="flat" w14:cmpd="sng" w14:algn="ctr">
            <w14:solidFill>
              <w14:srgbClr w14:val="000000"/>
            </w14:solidFill>
            <w14:prstDash w14:val="solid"/>
            <w14:miter w14:val="0"/>
          </w14:textOutline>
        </w:rPr>
        <w:t>本项目所属行业参照《统计上大中小微型企业划分标准表》，属于“建筑业”</w:t>
      </w:r>
    </w:p>
    <w:p>
      <w:pPr>
        <w:spacing w:line="245" w:lineRule="auto"/>
        <w:rPr>
          <w:color w:val="auto"/>
          <w:highlight w:val="none"/>
        </w:rPr>
      </w:pPr>
    </w:p>
    <w:p>
      <w:pPr>
        <w:spacing w:before="97" w:line="219" w:lineRule="auto"/>
        <w:ind w:left="423"/>
        <w:rPr>
          <w:rFonts w:ascii="宋体" w:hAnsi="宋体" w:eastAsia="宋体" w:cs="宋体"/>
          <w:color w:val="auto"/>
          <w:sz w:val="30"/>
          <w:szCs w:val="30"/>
          <w:highlight w:val="none"/>
        </w:rPr>
      </w:pPr>
      <w:r>
        <w:rPr>
          <w:rFonts w:ascii="宋体" w:hAnsi="宋体" w:eastAsia="宋体" w:cs="宋体"/>
          <w:color w:val="auto"/>
          <w:spacing w:val="-9"/>
          <w:sz w:val="30"/>
          <w:szCs w:val="30"/>
          <w:highlight w:val="none"/>
          <w14:textOutline w14:w="5448" w14:cap="flat" w14:cmpd="sng" w14:algn="ctr">
            <w14:solidFill>
              <w14:srgbClr w14:val="000000"/>
            </w14:solidFill>
            <w14:prstDash w14:val="solid"/>
            <w14:miter w14:val="0"/>
          </w14:textOutline>
        </w:rPr>
        <w:t>附</w:t>
      </w:r>
      <w:r>
        <w:rPr>
          <w:rFonts w:ascii="宋体" w:hAnsi="宋体" w:eastAsia="宋体" w:cs="宋体"/>
          <w:color w:val="auto"/>
          <w:spacing w:val="-8"/>
          <w:sz w:val="30"/>
          <w:szCs w:val="30"/>
          <w:highlight w:val="none"/>
          <w14:textOutline w14:w="5448" w14:cap="flat" w14:cmpd="sng" w14:algn="ctr">
            <w14:solidFill>
              <w14:srgbClr w14:val="000000"/>
            </w14:solidFill>
            <w14:prstDash w14:val="solid"/>
            <w14:miter w14:val="0"/>
          </w14:textOutline>
        </w:rPr>
        <w:t>表</w:t>
      </w:r>
    </w:p>
    <w:p>
      <w:pPr>
        <w:spacing w:before="172" w:line="220" w:lineRule="auto"/>
        <w:ind w:left="2633"/>
        <w:rPr>
          <w:rFonts w:ascii="宋体" w:hAnsi="宋体" w:eastAsia="宋体" w:cs="宋体"/>
          <w:color w:val="auto"/>
          <w:sz w:val="30"/>
          <w:szCs w:val="30"/>
          <w:highlight w:val="none"/>
        </w:rPr>
      </w:pPr>
      <w:r>
        <w:rPr>
          <w:rFonts w:ascii="宋体" w:hAnsi="宋体" w:eastAsia="宋体" w:cs="宋体"/>
          <w:color w:val="auto"/>
          <w:spacing w:val="-1"/>
          <w:sz w:val="30"/>
          <w:szCs w:val="30"/>
          <w:highlight w:val="none"/>
          <w14:textOutline w14:w="5448" w14:cap="flat" w14:cmpd="sng" w14:algn="ctr">
            <w14:solidFill>
              <w14:srgbClr w14:val="000000"/>
            </w14:solidFill>
            <w14:prstDash w14:val="solid"/>
            <w14:miter w14:val="0"/>
          </w14:textOutline>
        </w:rPr>
        <w:t>统计上大中</w:t>
      </w:r>
      <w:r>
        <w:rPr>
          <w:rFonts w:ascii="宋体" w:hAnsi="宋体" w:eastAsia="宋体" w:cs="宋体"/>
          <w:color w:val="auto"/>
          <w:sz w:val="30"/>
          <w:szCs w:val="30"/>
          <w:highlight w:val="none"/>
          <w14:textOutline w14:w="5448" w14:cap="flat" w14:cmpd="sng" w14:algn="ctr">
            <w14:solidFill>
              <w14:srgbClr w14:val="000000"/>
            </w14:solidFill>
            <w14:prstDash w14:val="solid"/>
            <w14:miter w14:val="0"/>
          </w14:textOutline>
        </w:rPr>
        <w:t>小微型企业划分标准</w:t>
      </w:r>
    </w:p>
    <w:p>
      <w:pPr>
        <w:spacing w:line="102" w:lineRule="exact"/>
        <w:rPr>
          <w:color w:val="auto"/>
          <w:highlight w:val="none"/>
        </w:rPr>
      </w:pPr>
    </w:p>
    <w:tbl>
      <w:tblPr>
        <w:tblStyle w:val="16"/>
        <w:tblW w:w="944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18"/>
        <w:gridCol w:w="1368"/>
        <w:gridCol w:w="710"/>
        <w:gridCol w:w="1123"/>
        <w:gridCol w:w="1700"/>
        <w:gridCol w:w="1425"/>
        <w:gridCol w:w="9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3" w:hRule="atLeast"/>
        </w:trPr>
        <w:tc>
          <w:tcPr>
            <w:tcW w:w="2118" w:type="dxa"/>
            <w:shd w:val="clear" w:color="auto" w:fill="8DB3E2"/>
          </w:tcPr>
          <w:p>
            <w:pPr>
              <w:spacing w:before="229" w:line="220" w:lineRule="auto"/>
              <w:ind w:left="703"/>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14:textOutline w14:w="3263" w14:cap="flat" w14:cmpd="sng" w14:algn="ctr">
                  <w14:solidFill>
                    <w14:srgbClr w14:val="000000"/>
                  </w14:solidFill>
                  <w14:prstDash w14:val="solid"/>
                  <w14:miter w14:val="0"/>
                </w14:textOutline>
              </w:rPr>
              <w:t>行业名称</w:t>
            </w:r>
          </w:p>
        </w:tc>
        <w:tc>
          <w:tcPr>
            <w:tcW w:w="1368" w:type="dxa"/>
            <w:shd w:val="clear" w:color="auto" w:fill="8DB3E2"/>
          </w:tcPr>
          <w:p>
            <w:pPr>
              <w:spacing w:before="219" w:line="220" w:lineRule="auto"/>
              <w:ind w:left="327"/>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14:textOutline w14:w="3263" w14:cap="flat" w14:cmpd="sng" w14:algn="ctr">
                  <w14:solidFill>
                    <w14:srgbClr w14:val="000000"/>
                  </w14:solidFill>
                  <w14:prstDash w14:val="solid"/>
                  <w14:miter w14:val="0"/>
                </w14:textOutline>
              </w:rPr>
              <w:t>指标名称</w:t>
            </w:r>
          </w:p>
        </w:tc>
        <w:tc>
          <w:tcPr>
            <w:tcW w:w="710" w:type="dxa"/>
            <w:shd w:val="clear" w:color="auto" w:fill="8DB3E2"/>
          </w:tcPr>
          <w:p>
            <w:pPr>
              <w:spacing w:before="104" w:line="239" w:lineRule="auto"/>
              <w:ind w:left="176"/>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14:textOutline w14:w="3263" w14:cap="flat" w14:cmpd="sng" w14:algn="ctr">
                  <w14:solidFill>
                    <w14:srgbClr w14:val="000000"/>
                  </w14:solidFill>
                  <w14:prstDash w14:val="solid"/>
                  <w14:miter w14:val="0"/>
                </w14:textOutline>
              </w:rPr>
              <w:t>计</w:t>
            </w:r>
            <w:r>
              <w:rPr>
                <w:rFonts w:ascii="宋体" w:hAnsi="宋体" w:eastAsia="宋体" w:cs="宋体"/>
                <w:color w:val="auto"/>
                <w:spacing w:val="-1"/>
                <w:sz w:val="18"/>
                <w:szCs w:val="18"/>
                <w:highlight w:val="none"/>
                <w14:textOutline w14:w="3263" w14:cap="flat" w14:cmpd="sng" w14:algn="ctr">
                  <w14:solidFill>
                    <w14:srgbClr w14:val="000000"/>
                  </w14:solidFill>
                  <w14:prstDash w14:val="solid"/>
                  <w14:miter w14:val="0"/>
                </w14:textOutline>
              </w:rPr>
              <w:t>量</w:t>
            </w:r>
          </w:p>
          <w:p>
            <w:pPr>
              <w:spacing w:line="220" w:lineRule="auto"/>
              <w:ind w:left="177"/>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14:textOutline w14:w="3263" w14:cap="flat" w14:cmpd="sng" w14:algn="ctr">
                  <w14:solidFill>
                    <w14:srgbClr w14:val="000000"/>
                  </w14:solidFill>
                  <w14:prstDash w14:val="solid"/>
                  <w14:miter w14:val="0"/>
                </w14:textOutline>
              </w:rPr>
              <w:t>单位</w:t>
            </w:r>
          </w:p>
        </w:tc>
        <w:tc>
          <w:tcPr>
            <w:tcW w:w="1123" w:type="dxa"/>
            <w:shd w:val="clear" w:color="auto" w:fill="8DB3E2"/>
          </w:tcPr>
          <w:p>
            <w:pPr>
              <w:spacing w:before="219" w:line="220" w:lineRule="auto"/>
              <w:ind w:left="387"/>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14:textOutline w14:w="3263" w14:cap="flat" w14:cmpd="sng" w14:algn="ctr">
                  <w14:solidFill>
                    <w14:srgbClr w14:val="000000"/>
                  </w14:solidFill>
                  <w14:prstDash w14:val="solid"/>
                  <w14:miter w14:val="0"/>
                </w14:textOutline>
              </w:rPr>
              <w:t>大型</w:t>
            </w:r>
          </w:p>
        </w:tc>
        <w:tc>
          <w:tcPr>
            <w:tcW w:w="1700" w:type="dxa"/>
            <w:shd w:val="clear" w:color="auto" w:fill="8DB3E2"/>
          </w:tcPr>
          <w:p>
            <w:pPr>
              <w:spacing w:before="219" w:line="220" w:lineRule="auto"/>
              <w:ind w:left="691"/>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14:textOutline w14:w="3263" w14:cap="flat" w14:cmpd="sng" w14:algn="ctr">
                  <w14:solidFill>
                    <w14:srgbClr w14:val="000000"/>
                  </w14:solidFill>
                  <w14:prstDash w14:val="solid"/>
                  <w14:miter w14:val="0"/>
                </w14:textOutline>
              </w:rPr>
              <w:t>中</w:t>
            </w:r>
            <w:r>
              <w:rPr>
                <w:rFonts w:ascii="宋体" w:hAnsi="宋体" w:eastAsia="宋体" w:cs="宋体"/>
                <w:color w:val="auto"/>
                <w:spacing w:val="-5"/>
                <w:sz w:val="18"/>
                <w:szCs w:val="18"/>
                <w:highlight w:val="none"/>
                <w14:textOutline w14:w="3263" w14:cap="flat" w14:cmpd="sng" w14:algn="ctr">
                  <w14:solidFill>
                    <w14:srgbClr w14:val="000000"/>
                  </w14:solidFill>
                  <w14:prstDash w14:val="solid"/>
                  <w14:miter w14:val="0"/>
                </w14:textOutline>
              </w:rPr>
              <w:t>型</w:t>
            </w:r>
          </w:p>
        </w:tc>
        <w:tc>
          <w:tcPr>
            <w:tcW w:w="1425" w:type="dxa"/>
            <w:shd w:val="clear" w:color="auto" w:fill="8DB3E2"/>
          </w:tcPr>
          <w:p>
            <w:pPr>
              <w:spacing w:before="219" w:line="222" w:lineRule="auto"/>
              <w:ind w:left="542"/>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14:textOutline w14:w="3263" w14:cap="flat" w14:cmpd="sng" w14:algn="ctr">
                  <w14:solidFill>
                    <w14:srgbClr w14:val="000000"/>
                  </w14:solidFill>
                  <w14:prstDash w14:val="solid"/>
                  <w14:miter w14:val="0"/>
                </w14:textOutline>
              </w:rPr>
              <w:t>小</w:t>
            </w:r>
            <w:r>
              <w:rPr>
                <w:rFonts w:ascii="宋体" w:hAnsi="宋体" w:eastAsia="宋体" w:cs="宋体"/>
                <w:color w:val="auto"/>
                <w:spacing w:val="-4"/>
                <w:sz w:val="18"/>
                <w:szCs w:val="18"/>
                <w:highlight w:val="none"/>
                <w14:textOutline w14:w="3263" w14:cap="flat" w14:cmpd="sng" w14:algn="ctr">
                  <w14:solidFill>
                    <w14:srgbClr w14:val="000000"/>
                  </w14:solidFill>
                  <w14:prstDash w14:val="solid"/>
                  <w14:miter w14:val="0"/>
                </w14:textOutline>
              </w:rPr>
              <w:t>型</w:t>
            </w:r>
          </w:p>
        </w:tc>
        <w:tc>
          <w:tcPr>
            <w:tcW w:w="998" w:type="dxa"/>
            <w:shd w:val="clear" w:color="auto" w:fill="8DB3E2"/>
          </w:tcPr>
          <w:p>
            <w:pPr>
              <w:spacing w:before="219" w:line="220" w:lineRule="auto"/>
              <w:ind w:left="321"/>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14:textOutline w14:w="3263" w14:cap="flat" w14:cmpd="sng" w14:algn="ctr">
                  <w14:solidFill>
                    <w14:srgbClr w14:val="000000"/>
                  </w14:solidFill>
                  <w14:prstDash w14:val="solid"/>
                  <w14:miter w14:val="0"/>
                </w14:textOutline>
              </w:rPr>
              <w:t>微</w:t>
            </w:r>
            <w:r>
              <w:rPr>
                <w:rFonts w:ascii="宋体" w:hAnsi="宋体" w:eastAsia="宋体" w:cs="宋体"/>
                <w:color w:val="auto"/>
                <w:spacing w:val="-1"/>
                <w:sz w:val="18"/>
                <w:szCs w:val="18"/>
                <w:highlight w:val="none"/>
                <w14:textOutline w14:w="3263" w14:cap="flat" w14:cmpd="sng" w14:algn="ctr">
                  <w14:solidFill>
                    <w14:srgbClr w14:val="000000"/>
                  </w14:solidFill>
                  <w14:prstDash w14:val="solid"/>
                  <w14:miter w14:val="0"/>
                </w14:textOutline>
              </w:rPr>
              <w:t>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2118" w:type="dxa"/>
          </w:tcPr>
          <w:p>
            <w:pPr>
              <w:spacing w:before="111" w:line="220" w:lineRule="auto"/>
              <w:ind w:left="11"/>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农、林、牧、渔</w:t>
            </w:r>
            <w:r>
              <w:rPr>
                <w:rFonts w:ascii="宋体" w:hAnsi="宋体" w:eastAsia="宋体" w:cs="宋体"/>
                <w:color w:val="auto"/>
                <w:sz w:val="18"/>
                <w:szCs w:val="18"/>
                <w:highlight w:val="none"/>
              </w:rPr>
              <w:t>业</w:t>
            </w:r>
          </w:p>
        </w:tc>
        <w:tc>
          <w:tcPr>
            <w:tcW w:w="1368" w:type="dxa"/>
          </w:tcPr>
          <w:p>
            <w:pPr>
              <w:spacing w:before="102" w:line="220" w:lineRule="auto"/>
              <w:ind w:left="19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w:t>
            </w:r>
            <w:r>
              <w:rPr>
                <w:rFonts w:ascii="宋体" w:hAnsi="宋体" w:eastAsia="宋体" w:cs="宋体"/>
                <w:color w:val="auto"/>
                <w:spacing w:val="-1"/>
                <w:sz w:val="18"/>
                <w:szCs w:val="18"/>
                <w:highlight w:val="none"/>
              </w:rPr>
              <w:t>入(Y)</w:t>
            </w:r>
          </w:p>
        </w:tc>
        <w:tc>
          <w:tcPr>
            <w:tcW w:w="710" w:type="dxa"/>
          </w:tcPr>
          <w:p>
            <w:pPr>
              <w:spacing w:before="103" w:line="220" w:lineRule="auto"/>
              <w:ind w:left="180"/>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万元</w:t>
            </w:r>
          </w:p>
        </w:tc>
        <w:tc>
          <w:tcPr>
            <w:tcW w:w="1123" w:type="dxa"/>
          </w:tcPr>
          <w:p>
            <w:pPr>
              <w:spacing w:before="102" w:line="238" w:lineRule="auto"/>
              <w:ind w:left="202"/>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≥20</w:t>
            </w:r>
            <w:r>
              <w:rPr>
                <w:rFonts w:ascii="宋体" w:hAnsi="宋体" w:eastAsia="宋体" w:cs="宋体"/>
                <w:color w:val="auto"/>
                <w:sz w:val="18"/>
                <w:szCs w:val="18"/>
                <w:highlight w:val="none"/>
              </w:rPr>
              <w:t>000</w:t>
            </w:r>
          </w:p>
        </w:tc>
        <w:tc>
          <w:tcPr>
            <w:tcW w:w="1700" w:type="dxa"/>
          </w:tcPr>
          <w:p>
            <w:pPr>
              <w:spacing w:before="102" w:line="236" w:lineRule="auto"/>
              <w:ind w:left="27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500≤</w:t>
            </w: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＜2000</w:t>
            </w:r>
            <w:r>
              <w:rPr>
                <w:rFonts w:ascii="宋体" w:hAnsi="宋体" w:eastAsia="宋体" w:cs="宋体"/>
                <w:color w:val="auto"/>
                <w:sz w:val="18"/>
                <w:szCs w:val="18"/>
                <w:highlight w:val="none"/>
              </w:rPr>
              <w:t>0</w:t>
            </w:r>
          </w:p>
        </w:tc>
        <w:tc>
          <w:tcPr>
            <w:tcW w:w="1425" w:type="dxa"/>
          </w:tcPr>
          <w:p>
            <w:pPr>
              <w:spacing w:before="102" w:line="236" w:lineRule="auto"/>
              <w:ind w:left="271"/>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50≤Y＜500</w:t>
            </w:r>
          </w:p>
        </w:tc>
        <w:tc>
          <w:tcPr>
            <w:tcW w:w="998" w:type="dxa"/>
          </w:tcPr>
          <w:p>
            <w:pPr>
              <w:spacing w:before="102"/>
              <w:ind w:left="273"/>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＜5</w:t>
            </w:r>
            <w:r>
              <w:rPr>
                <w:rFonts w:ascii="宋体" w:hAnsi="宋体" w:eastAsia="宋体" w:cs="宋体"/>
                <w:color w:val="auto"/>
                <w:sz w:val="18"/>
                <w:szCs w:val="18"/>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2118" w:type="dxa"/>
            <w:vMerge w:val="restart"/>
            <w:tcBorders>
              <w:bottom w:val="nil"/>
            </w:tcBorders>
          </w:tcPr>
          <w:p>
            <w:pPr>
              <w:spacing w:line="251" w:lineRule="auto"/>
              <w:rPr>
                <w:color w:val="auto"/>
                <w:highlight w:val="none"/>
              </w:rPr>
            </w:pPr>
          </w:p>
          <w:p>
            <w:pPr>
              <w:spacing w:before="58" w:line="232" w:lineRule="auto"/>
              <w:ind w:left="13"/>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工业</w:t>
            </w:r>
            <w:r>
              <w:rPr>
                <w:rFonts w:ascii="宋体" w:hAnsi="宋体" w:eastAsia="宋体" w:cs="宋体"/>
                <w:color w:val="auto"/>
                <w:sz w:val="18"/>
                <w:szCs w:val="18"/>
                <w:highlight w:val="none"/>
              </w:rPr>
              <w:t xml:space="preserve"> *</w:t>
            </w:r>
          </w:p>
        </w:tc>
        <w:tc>
          <w:tcPr>
            <w:tcW w:w="1368" w:type="dxa"/>
          </w:tcPr>
          <w:p>
            <w:pPr>
              <w:spacing w:before="103" w:line="220" w:lineRule="auto"/>
              <w:ind w:left="192"/>
              <w:rPr>
                <w:rFonts w:ascii="宋体" w:hAnsi="宋体" w:eastAsia="宋体" w:cs="宋体"/>
                <w:color w:val="auto"/>
                <w:sz w:val="18"/>
                <w:szCs w:val="18"/>
                <w:highlight w:val="none"/>
              </w:rPr>
            </w:pPr>
            <w:r>
              <w:rPr>
                <w:rFonts w:ascii="宋体" w:hAnsi="宋体" w:eastAsia="宋体" w:cs="宋体"/>
                <w:color w:val="auto"/>
                <w:spacing w:val="-15"/>
                <w:sz w:val="18"/>
                <w:szCs w:val="18"/>
                <w:highlight w:val="none"/>
              </w:rPr>
              <w:t>从</w:t>
            </w:r>
            <w:r>
              <w:rPr>
                <w:rFonts w:ascii="宋体" w:hAnsi="宋体" w:eastAsia="宋体" w:cs="宋体"/>
                <w:color w:val="auto"/>
                <w:spacing w:val="-10"/>
                <w:sz w:val="18"/>
                <w:szCs w:val="18"/>
                <w:highlight w:val="none"/>
              </w:rPr>
              <w:t>业人员 (X)</w:t>
            </w:r>
          </w:p>
        </w:tc>
        <w:tc>
          <w:tcPr>
            <w:tcW w:w="710" w:type="dxa"/>
          </w:tcPr>
          <w:p>
            <w:pPr>
              <w:spacing w:before="103" w:line="222" w:lineRule="auto"/>
              <w:ind w:left="269"/>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123" w:type="dxa"/>
          </w:tcPr>
          <w:p>
            <w:pPr>
              <w:spacing w:before="102" w:line="238" w:lineRule="auto"/>
              <w:ind w:left="249"/>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≥10</w:t>
            </w:r>
            <w:r>
              <w:rPr>
                <w:rFonts w:ascii="宋体" w:hAnsi="宋体" w:eastAsia="宋体" w:cs="宋体"/>
                <w:color w:val="auto"/>
                <w:sz w:val="18"/>
                <w:szCs w:val="18"/>
                <w:highlight w:val="none"/>
              </w:rPr>
              <w:t>00</w:t>
            </w:r>
          </w:p>
        </w:tc>
        <w:tc>
          <w:tcPr>
            <w:tcW w:w="1700" w:type="dxa"/>
          </w:tcPr>
          <w:p>
            <w:pPr>
              <w:spacing w:before="102" w:line="236" w:lineRule="auto"/>
              <w:ind w:left="317"/>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300≤</w:t>
            </w: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＜1000</w:t>
            </w:r>
          </w:p>
        </w:tc>
        <w:tc>
          <w:tcPr>
            <w:tcW w:w="1425" w:type="dxa"/>
          </w:tcPr>
          <w:p>
            <w:pPr>
              <w:spacing w:before="102" w:line="236" w:lineRule="auto"/>
              <w:ind w:left="270"/>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20≤</w:t>
            </w: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＜300</w:t>
            </w:r>
          </w:p>
        </w:tc>
        <w:tc>
          <w:tcPr>
            <w:tcW w:w="998" w:type="dxa"/>
          </w:tcPr>
          <w:p>
            <w:pPr>
              <w:spacing w:before="102"/>
              <w:ind w:left="274"/>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2118" w:type="dxa"/>
            <w:vMerge w:val="continue"/>
            <w:tcBorders>
              <w:top w:val="nil"/>
            </w:tcBorders>
          </w:tcPr>
          <w:p>
            <w:pPr>
              <w:rPr>
                <w:color w:val="auto"/>
                <w:highlight w:val="none"/>
              </w:rPr>
            </w:pPr>
          </w:p>
        </w:tc>
        <w:tc>
          <w:tcPr>
            <w:tcW w:w="1368" w:type="dxa"/>
          </w:tcPr>
          <w:p>
            <w:pPr>
              <w:spacing w:before="109" w:line="220" w:lineRule="auto"/>
              <w:ind w:left="19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w:t>
            </w:r>
            <w:r>
              <w:rPr>
                <w:rFonts w:ascii="宋体" w:hAnsi="宋体" w:eastAsia="宋体" w:cs="宋体"/>
                <w:color w:val="auto"/>
                <w:spacing w:val="-1"/>
                <w:sz w:val="18"/>
                <w:szCs w:val="18"/>
                <w:highlight w:val="none"/>
              </w:rPr>
              <w:t>入(Y)</w:t>
            </w:r>
          </w:p>
        </w:tc>
        <w:tc>
          <w:tcPr>
            <w:tcW w:w="710" w:type="dxa"/>
          </w:tcPr>
          <w:p>
            <w:pPr>
              <w:spacing w:before="103" w:line="220" w:lineRule="auto"/>
              <w:ind w:left="180"/>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万元</w:t>
            </w:r>
          </w:p>
        </w:tc>
        <w:tc>
          <w:tcPr>
            <w:tcW w:w="1123" w:type="dxa"/>
          </w:tcPr>
          <w:p>
            <w:pPr>
              <w:spacing w:before="102" w:line="238" w:lineRule="auto"/>
              <w:ind w:left="202"/>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≥40</w:t>
            </w:r>
            <w:r>
              <w:rPr>
                <w:rFonts w:ascii="宋体" w:hAnsi="宋体" w:eastAsia="宋体" w:cs="宋体"/>
                <w:color w:val="auto"/>
                <w:sz w:val="18"/>
                <w:szCs w:val="18"/>
                <w:highlight w:val="none"/>
              </w:rPr>
              <w:t>000</w:t>
            </w:r>
          </w:p>
        </w:tc>
        <w:tc>
          <w:tcPr>
            <w:tcW w:w="1700" w:type="dxa"/>
          </w:tcPr>
          <w:p>
            <w:pPr>
              <w:spacing w:before="103" w:line="236" w:lineRule="auto"/>
              <w:ind w:left="227"/>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2000≤</w:t>
            </w: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＜40</w:t>
            </w:r>
            <w:r>
              <w:rPr>
                <w:rFonts w:ascii="宋体" w:hAnsi="宋体" w:eastAsia="宋体" w:cs="宋体"/>
                <w:color w:val="auto"/>
                <w:sz w:val="18"/>
                <w:szCs w:val="18"/>
                <w:highlight w:val="none"/>
              </w:rPr>
              <w:t>000</w:t>
            </w:r>
          </w:p>
        </w:tc>
        <w:tc>
          <w:tcPr>
            <w:tcW w:w="1425" w:type="dxa"/>
          </w:tcPr>
          <w:p>
            <w:pPr>
              <w:spacing w:before="103" w:line="236" w:lineRule="auto"/>
              <w:ind w:left="18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300≤</w:t>
            </w: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＜200</w:t>
            </w:r>
            <w:r>
              <w:rPr>
                <w:rFonts w:ascii="宋体" w:hAnsi="宋体" w:eastAsia="宋体" w:cs="宋体"/>
                <w:color w:val="auto"/>
                <w:sz w:val="18"/>
                <w:szCs w:val="18"/>
                <w:highlight w:val="none"/>
              </w:rPr>
              <w:t>0</w:t>
            </w:r>
          </w:p>
        </w:tc>
        <w:tc>
          <w:tcPr>
            <w:tcW w:w="998" w:type="dxa"/>
          </w:tcPr>
          <w:p>
            <w:pPr>
              <w:spacing w:before="102"/>
              <w:ind w:left="230"/>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＜3</w:t>
            </w:r>
            <w:r>
              <w:rPr>
                <w:rFonts w:ascii="宋体" w:hAnsi="宋体" w:eastAsia="宋体" w:cs="宋体"/>
                <w:color w:val="auto"/>
                <w:sz w:val="18"/>
                <w:szCs w:val="18"/>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1" w:hRule="atLeast"/>
        </w:trPr>
        <w:tc>
          <w:tcPr>
            <w:tcW w:w="2118" w:type="dxa"/>
            <w:vMerge w:val="restart"/>
            <w:tcBorders>
              <w:bottom w:val="nil"/>
            </w:tcBorders>
          </w:tcPr>
          <w:p>
            <w:pPr>
              <w:spacing w:line="252" w:lineRule="auto"/>
              <w:rPr>
                <w:color w:val="auto"/>
                <w:highlight w:val="none"/>
              </w:rPr>
            </w:pPr>
          </w:p>
          <w:p>
            <w:pPr>
              <w:spacing w:before="58" w:line="220" w:lineRule="auto"/>
              <w:ind w:left="13"/>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建</w:t>
            </w:r>
            <w:r>
              <w:rPr>
                <w:rFonts w:ascii="宋体" w:hAnsi="宋体" w:eastAsia="宋体" w:cs="宋体"/>
                <w:color w:val="auto"/>
                <w:spacing w:val="-2"/>
                <w:sz w:val="18"/>
                <w:szCs w:val="18"/>
                <w:highlight w:val="none"/>
              </w:rPr>
              <w:t>筑业</w:t>
            </w:r>
          </w:p>
        </w:tc>
        <w:tc>
          <w:tcPr>
            <w:tcW w:w="1368" w:type="dxa"/>
          </w:tcPr>
          <w:p>
            <w:pPr>
              <w:spacing w:before="102" w:line="220" w:lineRule="auto"/>
              <w:ind w:left="19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w:t>
            </w:r>
            <w:r>
              <w:rPr>
                <w:rFonts w:ascii="宋体" w:hAnsi="宋体" w:eastAsia="宋体" w:cs="宋体"/>
                <w:color w:val="auto"/>
                <w:spacing w:val="-1"/>
                <w:sz w:val="18"/>
                <w:szCs w:val="18"/>
                <w:highlight w:val="none"/>
              </w:rPr>
              <w:t>入(Y)</w:t>
            </w:r>
          </w:p>
        </w:tc>
        <w:tc>
          <w:tcPr>
            <w:tcW w:w="710" w:type="dxa"/>
          </w:tcPr>
          <w:p>
            <w:pPr>
              <w:spacing w:before="103" w:line="220" w:lineRule="auto"/>
              <w:ind w:left="180"/>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万元</w:t>
            </w:r>
          </w:p>
        </w:tc>
        <w:tc>
          <w:tcPr>
            <w:tcW w:w="1123" w:type="dxa"/>
          </w:tcPr>
          <w:p>
            <w:pPr>
              <w:spacing w:before="102" w:line="238" w:lineRule="auto"/>
              <w:ind w:left="202"/>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≥80</w:t>
            </w:r>
            <w:r>
              <w:rPr>
                <w:rFonts w:ascii="宋体" w:hAnsi="宋体" w:eastAsia="宋体" w:cs="宋体"/>
                <w:color w:val="auto"/>
                <w:sz w:val="18"/>
                <w:szCs w:val="18"/>
                <w:highlight w:val="none"/>
              </w:rPr>
              <w:t>000</w:t>
            </w:r>
          </w:p>
        </w:tc>
        <w:tc>
          <w:tcPr>
            <w:tcW w:w="1700" w:type="dxa"/>
          </w:tcPr>
          <w:p>
            <w:pPr>
              <w:spacing w:before="103" w:line="236" w:lineRule="auto"/>
              <w:ind w:left="226"/>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6000≤</w:t>
            </w: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＜8</w:t>
            </w:r>
            <w:r>
              <w:rPr>
                <w:rFonts w:ascii="宋体" w:hAnsi="宋体" w:eastAsia="宋体" w:cs="宋体"/>
                <w:color w:val="auto"/>
                <w:sz w:val="18"/>
                <w:szCs w:val="18"/>
                <w:highlight w:val="none"/>
              </w:rPr>
              <w:t>0000</w:t>
            </w:r>
          </w:p>
        </w:tc>
        <w:tc>
          <w:tcPr>
            <w:tcW w:w="1425" w:type="dxa"/>
          </w:tcPr>
          <w:p>
            <w:pPr>
              <w:spacing w:before="103" w:line="236" w:lineRule="auto"/>
              <w:ind w:left="18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300≤</w:t>
            </w: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＜600</w:t>
            </w:r>
            <w:r>
              <w:rPr>
                <w:rFonts w:ascii="宋体" w:hAnsi="宋体" w:eastAsia="宋体" w:cs="宋体"/>
                <w:color w:val="auto"/>
                <w:sz w:val="18"/>
                <w:szCs w:val="18"/>
                <w:highlight w:val="none"/>
              </w:rPr>
              <w:t>0</w:t>
            </w:r>
          </w:p>
        </w:tc>
        <w:tc>
          <w:tcPr>
            <w:tcW w:w="998" w:type="dxa"/>
          </w:tcPr>
          <w:p>
            <w:pPr>
              <w:spacing w:before="102"/>
              <w:ind w:left="230"/>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＜3</w:t>
            </w:r>
            <w:r>
              <w:rPr>
                <w:rFonts w:ascii="宋体" w:hAnsi="宋体" w:eastAsia="宋体" w:cs="宋体"/>
                <w:color w:val="auto"/>
                <w:sz w:val="18"/>
                <w:szCs w:val="18"/>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3" w:hRule="atLeast"/>
        </w:trPr>
        <w:tc>
          <w:tcPr>
            <w:tcW w:w="2118" w:type="dxa"/>
            <w:vMerge w:val="continue"/>
            <w:tcBorders>
              <w:top w:val="nil"/>
            </w:tcBorders>
          </w:tcPr>
          <w:p>
            <w:pPr>
              <w:rPr>
                <w:color w:val="auto"/>
                <w:highlight w:val="none"/>
              </w:rPr>
            </w:pPr>
          </w:p>
        </w:tc>
        <w:tc>
          <w:tcPr>
            <w:tcW w:w="1368" w:type="dxa"/>
          </w:tcPr>
          <w:p>
            <w:pPr>
              <w:spacing w:before="112" w:line="220" w:lineRule="auto"/>
              <w:ind w:left="198"/>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资产总额(</w:t>
            </w:r>
            <w:r>
              <w:rPr>
                <w:rFonts w:ascii="宋体" w:hAnsi="宋体" w:eastAsia="宋体" w:cs="宋体"/>
                <w:color w:val="auto"/>
                <w:spacing w:val="-1"/>
                <w:sz w:val="18"/>
                <w:szCs w:val="18"/>
                <w:highlight w:val="none"/>
              </w:rPr>
              <w:t>Z)</w:t>
            </w:r>
          </w:p>
        </w:tc>
        <w:tc>
          <w:tcPr>
            <w:tcW w:w="710" w:type="dxa"/>
          </w:tcPr>
          <w:p>
            <w:pPr>
              <w:spacing w:before="105" w:line="220" w:lineRule="auto"/>
              <w:ind w:left="180"/>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万元</w:t>
            </w:r>
          </w:p>
        </w:tc>
        <w:tc>
          <w:tcPr>
            <w:tcW w:w="1123" w:type="dxa"/>
          </w:tcPr>
          <w:p>
            <w:pPr>
              <w:spacing w:before="105" w:line="238" w:lineRule="auto"/>
              <w:ind w:left="205"/>
              <w:rPr>
                <w:rFonts w:ascii="宋体" w:hAnsi="宋体" w:eastAsia="宋体" w:cs="宋体"/>
                <w:color w:val="auto"/>
                <w:sz w:val="18"/>
                <w:szCs w:val="18"/>
                <w:highlight w:val="none"/>
              </w:rPr>
            </w:pPr>
            <w:r>
              <w:rPr>
                <w:rFonts w:ascii="宋体" w:hAnsi="宋体" w:eastAsia="宋体" w:cs="宋体"/>
                <w:color w:val="auto"/>
                <w:sz w:val="18"/>
                <w:szCs w:val="18"/>
                <w:highlight w:val="none"/>
              </w:rPr>
              <w:t>Z</w:t>
            </w:r>
            <w:r>
              <w:rPr>
                <w:rFonts w:ascii="宋体" w:hAnsi="宋体" w:eastAsia="宋体" w:cs="宋体"/>
                <w:color w:val="auto"/>
                <w:spacing w:val="-1"/>
                <w:sz w:val="18"/>
                <w:szCs w:val="18"/>
                <w:highlight w:val="none"/>
              </w:rPr>
              <w:t>≥8000</w:t>
            </w:r>
            <w:r>
              <w:rPr>
                <w:rFonts w:ascii="宋体" w:hAnsi="宋体" w:eastAsia="宋体" w:cs="宋体"/>
                <w:color w:val="auto"/>
                <w:sz w:val="18"/>
                <w:szCs w:val="18"/>
                <w:highlight w:val="none"/>
              </w:rPr>
              <w:t>0</w:t>
            </w:r>
          </w:p>
        </w:tc>
        <w:tc>
          <w:tcPr>
            <w:tcW w:w="1700" w:type="dxa"/>
          </w:tcPr>
          <w:p>
            <w:pPr>
              <w:spacing w:before="105" w:line="236" w:lineRule="auto"/>
              <w:ind w:left="229"/>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5000≤</w:t>
            </w:r>
            <w:r>
              <w:rPr>
                <w:rFonts w:ascii="宋体" w:hAnsi="宋体" w:eastAsia="宋体" w:cs="宋体"/>
                <w:color w:val="auto"/>
                <w:sz w:val="18"/>
                <w:szCs w:val="18"/>
                <w:highlight w:val="none"/>
              </w:rPr>
              <w:t>Z</w:t>
            </w:r>
            <w:r>
              <w:rPr>
                <w:rFonts w:ascii="宋体" w:hAnsi="宋体" w:eastAsia="宋体" w:cs="宋体"/>
                <w:color w:val="auto"/>
                <w:spacing w:val="-1"/>
                <w:sz w:val="18"/>
                <w:szCs w:val="18"/>
                <w:highlight w:val="none"/>
              </w:rPr>
              <w:t>＜800</w:t>
            </w:r>
            <w:r>
              <w:rPr>
                <w:rFonts w:ascii="宋体" w:hAnsi="宋体" w:eastAsia="宋体" w:cs="宋体"/>
                <w:color w:val="auto"/>
                <w:sz w:val="18"/>
                <w:szCs w:val="18"/>
                <w:highlight w:val="none"/>
              </w:rPr>
              <w:t>00</w:t>
            </w:r>
          </w:p>
        </w:tc>
        <w:tc>
          <w:tcPr>
            <w:tcW w:w="1425" w:type="dxa"/>
          </w:tcPr>
          <w:p>
            <w:pPr>
              <w:spacing w:before="105" w:line="236" w:lineRule="auto"/>
              <w:ind w:left="18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300≤</w:t>
            </w:r>
            <w:r>
              <w:rPr>
                <w:rFonts w:ascii="宋体" w:hAnsi="宋体" w:eastAsia="宋体" w:cs="宋体"/>
                <w:color w:val="auto"/>
                <w:sz w:val="18"/>
                <w:szCs w:val="18"/>
                <w:highlight w:val="none"/>
              </w:rPr>
              <w:t>Z</w:t>
            </w:r>
            <w:r>
              <w:rPr>
                <w:rFonts w:ascii="宋体" w:hAnsi="宋体" w:eastAsia="宋体" w:cs="宋体"/>
                <w:color w:val="auto"/>
                <w:spacing w:val="-1"/>
                <w:sz w:val="18"/>
                <w:szCs w:val="18"/>
                <w:highlight w:val="none"/>
              </w:rPr>
              <w:t>＜500</w:t>
            </w:r>
            <w:r>
              <w:rPr>
                <w:rFonts w:ascii="宋体" w:hAnsi="宋体" w:eastAsia="宋体" w:cs="宋体"/>
                <w:color w:val="auto"/>
                <w:sz w:val="18"/>
                <w:szCs w:val="18"/>
                <w:highlight w:val="none"/>
              </w:rPr>
              <w:t>0</w:t>
            </w:r>
          </w:p>
        </w:tc>
        <w:tc>
          <w:tcPr>
            <w:tcW w:w="998" w:type="dxa"/>
          </w:tcPr>
          <w:p>
            <w:pPr>
              <w:spacing w:before="105"/>
              <w:ind w:left="23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Z＜300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1" w:hRule="atLeast"/>
        </w:trPr>
        <w:tc>
          <w:tcPr>
            <w:tcW w:w="2118" w:type="dxa"/>
            <w:vMerge w:val="restart"/>
            <w:tcBorders>
              <w:bottom w:val="nil"/>
            </w:tcBorders>
          </w:tcPr>
          <w:p>
            <w:pPr>
              <w:spacing w:line="250" w:lineRule="auto"/>
              <w:rPr>
                <w:color w:val="auto"/>
                <w:highlight w:val="none"/>
              </w:rPr>
            </w:pPr>
          </w:p>
          <w:p>
            <w:pPr>
              <w:spacing w:before="58" w:line="220" w:lineRule="auto"/>
              <w:ind w:left="10"/>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批发</w:t>
            </w:r>
            <w:r>
              <w:rPr>
                <w:rFonts w:ascii="宋体" w:hAnsi="宋体" w:eastAsia="宋体" w:cs="宋体"/>
                <w:color w:val="auto"/>
                <w:spacing w:val="-1"/>
                <w:sz w:val="18"/>
                <w:szCs w:val="18"/>
                <w:highlight w:val="none"/>
              </w:rPr>
              <w:t>业</w:t>
            </w:r>
          </w:p>
        </w:tc>
        <w:tc>
          <w:tcPr>
            <w:tcW w:w="1368" w:type="dxa"/>
          </w:tcPr>
          <w:p>
            <w:pPr>
              <w:spacing w:before="103" w:line="220" w:lineRule="auto"/>
              <w:ind w:left="192"/>
              <w:rPr>
                <w:rFonts w:ascii="宋体" w:hAnsi="宋体" w:eastAsia="宋体" w:cs="宋体"/>
                <w:color w:val="auto"/>
                <w:sz w:val="18"/>
                <w:szCs w:val="18"/>
                <w:highlight w:val="none"/>
              </w:rPr>
            </w:pPr>
            <w:r>
              <w:rPr>
                <w:rFonts w:ascii="宋体" w:hAnsi="宋体" w:eastAsia="宋体" w:cs="宋体"/>
                <w:color w:val="auto"/>
                <w:spacing w:val="-15"/>
                <w:sz w:val="18"/>
                <w:szCs w:val="18"/>
                <w:highlight w:val="none"/>
              </w:rPr>
              <w:t>从</w:t>
            </w:r>
            <w:r>
              <w:rPr>
                <w:rFonts w:ascii="宋体" w:hAnsi="宋体" w:eastAsia="宋体" w:cs="宋体"/>
                <w:color w:val="auto"/>
                <w:spacing w:val="-10"/>
                <w:sz w:val="18"/>
                <w:szCs w:val="18"/>
                <w:highlight w:val="none"/>
              </w:rPr>
              <w:t>业人员 (X)</w:t>
            </w:r>
          </w:p>
        </w:tc>
        <w:tc>
          <w:tcPr>
            <w:tcW w:w="710" w:type="dxa"/>
          </w:tcPr>
          <w:p>
            <w:pPr>
              <w:spacing w:before="103" w:line="222" w:lineRule="auto"/>
              <w:ind w:left="269"/>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123" w:type="dxa"/>
          </w:tcPr>
          <w:p>
            <w:pPr>
              <w:spacing w:before="103" w:line="238" w:lineRule="auto"/>
              <w:ind w:left="294"/>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≥20</w:t>
            </w:r>
            <w:r>
              <w:rPr>
                <w:rFonts w:ascii="宋体" w:hAnsi="宋体" w:eastAsia="宋体" w:cs="宋体"/>
                <w:color w:val="auto"/>
                <w:sz w:val="18"/>
                <w:szCs w:val="18"/>
                <w:highlight w:val="none"/>
              </w:rPr>
              <w:t>0</w:t>
            </w:r>
          </w:p>
        </w:tc>
        <w:tc>
          <w:tcPr>
            <w:tcW w:w="1700" w:type="dxa"/>
          </w:tcPr>
          <w:p>
            <w:pPr>
              <w:spacing w:before="103" w:line="236" w:lineRule="auto"/>
              <w:ind w:left="407"/>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20≤</w:t>
            </w: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＜200</w:t>
            </w:r>
          </w:p>
        </w:tc>
        <w:tc>
          <w:tcPr>
            <w:tcW w:w="1425" w:type="dxa"/>
          </w:tcPr>
          <w:p>
            <w:pPr>
              <w:spacing w:before="103" w:line="236" w:lineRule="auto"/>
              <w:ind w:left="362"/>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5≤</w:t>
            </w:r>
            <w:r>
              <w:rPr>
                <w:rFonts w:ascii="宋体" w:hAnsi="宋体" w:eastAsia="宋体" w:cs="宋体"/>
                <w:color w:val="auto"/>
                <w:spacing w:val="-1"/>
                <w:sz w:val="18"/>
                <w:szCs w:val="18"/>
                <w:highlight w:val="none"/>
              </w:rPr>
              <w:t>X</w:t>
            </w:r>
            <w:r>
              <w:rPr>
                <w:rFonts w:ascii="宋体" w:hAnsi="宋体" w:eastAsia="宋体" w:cs="宋体"/>
                <w:color w:val="auto"/>
                <w:spacing w:val="-2"/>
                <w:sz w:val="18"/>
                <w:szCs w:val="18"/>
                <w:highlight w:val="none"/>
              </w:rPr>
              <w:t>＜</w:t>
            </w:r>
            <w:r>
              <w:rPr>
                <w:rFonts w:ascii="宋体" w:hAnsi="宋体" w:eastAsia="宋体" w:cs="宋体"/>
                <w:color w:val="auto"/>
                <w:spacing w:val="-1"/>
                <w:sz w:val="18"/>
                <w:szCs w:val="18"/>
                <w:highlight w:val="none"/>
              </w:rPr>
              <w:t>20</w:t>
            </w:r>
          </w:p>
        </w:tc>
        <w:tc>
          <w:tcPr>
            <w:tcW w:w="998" w:type="dxa"/>
          </w:tcPr>
          <w:p>
            <w:pPr>
              <w:spacing w:before="103"/>
              <w:ind w:left="319"/>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X</w:t>
            </w:r>
            <w:r>
              <w:rPr>
                <w:rFonts w:ascii="宋体" w:hAnsi="宋体" w:eastAsia="宋体" w:cs="宋体"/>
                <w:color w:val="auto"/>
                <w:spacing w:val="-2"/>
                <w:sz w:val="18"/>
                <w:szCs w:val="18"/>
                <w:highlight w:val="none"/>
              </w:rPr>
              <w:t>＜</w:t>
            </w:r>
            <w:r>
              <w:rPr>
                <w:rFonts w:ascii="宋体" w:hAnsi="宋体" w:eastAsia="宋体" w:cs="宋体"/>
                <w:color w:val="auto"/>
                <w:spacing w:val="-1"/>
                <w:sz w:val="18"/>
                <w:szCs w:val="18"/>
                <w:highlight w:val="none"/>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2118" w:type="dxa"/>
            <w:vMerge w:val="continue"/>
            <w:tcBorders>
              <w:top w:val="nil"/>
            </w:tcBorders>
          </w:tcPr>
          <w:p>
            <w:pPr>
              <w:rPr>
                <w:color w:val="auto"/>
                <w:highlight w:val="none"/>
              </w:rPr>
            </w:pPr>
          </w:p>
        </w:tc>
        <w:tc>
          <w:tcPr>
            <w:tcW w:w="1368" w:type="dxa"/>
          </w:tcPr>
          <w:p>
            <w:pPr>
              <w:spacing w:before="113" w:line="220" w:lineRule="auto"/>
              <w:ind w:left="19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w:t>
            </w:r>
            <w:r>
              <w:rPr>
                <w:rFonts w:ascii="宋体" w:hAnsi="宋体" w:eastAsia="宋体" w:cs="宋体"/>
                <w:color w:val="auto"/>
                <w:spacing w:val="-1"/>
                <w:sz w:val="18"/>
                <w:szCs w:val="18"/>
                <w:highlight w:val="none"/>
              </w:rPr>
              <w:t>入(Y)</w:t>
            </w:r>
          </w:p>
        </w:tc>
        <w:tc>
          <w:tcPr>
            <w:tcW w:w="710" w:type="dxa"/>
          </w:tcPr>
          <w:p>
            <w:pPr>
              <w:spacing w:before="104" w:line="220" w:lineRule="auto"/>
              <w:ind w:left="180"/>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万元</w:t>
            </w:r>
          </w:p>
        </w:tc>
        <w:tc>
          <w:tcPr>
            <w:tcW w:w="1123" w:type="dxa"/>
          </w:tcPr>
          <w:p>
            <w:pPr>
              <w:spacing w:before="103" w:line="238" w:lineRule="auto"/>
              <w:ind w:left="202"/>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≥40</w:t>
            </w:r>
            <w:r>
              <w:rPr>
                <w:rFonts w:ascii="宋体" w:hAnsi="宋体" w:eastAsia="宋体" w:cs="宋体"/>
                <w:color w:val="auto"/>
                <w:sz w:val="18"/>
                <w:szCs w:val="18"/>
                <w:highlight w:val="none"/>
              </w:rPr>
              <w:t>000</w:t>
            </w:r>
          </w:p>
        </w:tc>
        <w:tc>
          <w:tcPr>
            <w:tcW w:w="1700" w:type="dxa"/>
          </w:tcPr>
          <w:p>
            <w:pPr>
              <w:spacing w:before="104" w:line="236" w:lineRule="auto"/>
              <w:ind w:left="229"/>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5000≤</w:t>
            </w: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＜400</w:t>
            </w:r>
            <w:r>
              <w:rPr>
                <w:rFonts w:ascii="宋体" w:hAnsi="宋体" w:eastAsia="宋体" w:cs="宋体"/>
                <w:color w:val="auto"/>
                <w:sz w:val="18"/>
                <w:szCs w:val="18"/>
                <w:highlight w:val="none"/>
              </w:rPr>
              <w:t>00</w:t>
            </w:r>
          </w:p>
        </w:tc>
        <w:tc>
          <w:tcPr>
            <w:tcW w:w="1425" w:type="dxa"/>
          </w:tcPr>
          <w:p>
            <w:pPr>
              <w:spacing w:before="104" w:line="236" w:lineRule="auto"/>
              <w:ind w:left="144"/>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1000≤</w:t>
            </w:r>
            <w:r>
              <w:rPr>
                <w:rFonts w:ascii="宋体" w:hAnsi="宋体" w:eastAsia="宋体" w:cs="宋体"/>
                <w:color w:val="auto"/>
                <w:spacing w:val="-1"/>
                <w:sz w:val="18"/>
                <w:szCs w:val="18"/>
                <w:highlight w:val="none"/>
              </w:rPr>
              <w:t>Y</w:t>
            </w:r>
            <w:r>
              <w:rPr>
                <w:rFonts w:ascii="宋体" w:hAnsi="宋体" w:eastAsia="宋体" w:cs="宋体"/>
                <w:color w:val="auto"/>
                <w:spacing w:val="-2"/>
                <w:sz w:val="18"/>
                <w:szCs w:val="18"/>
                <w:highlight w:val="none"/>
              </w:rPr>
              <w:t>＜5</w:t>
            </w:r>
            <w:r>
              <w:rPr>
                <w:rFonts w:ascii="宋体" w:hAnsi="宋体" w:eastAsia="宋体" w:cs="宋体"/>
                <w:color w:val="auto"/>
                <w:spacing w:val="-1"/>
                <w:sz w:val="18"/>
                <w:szCs w:val="18"/>
                <w:highlight w:val="none"/>
              </w:rPr>
              <w:t>000</w:t>
            </w:r>
          </w:p>
        </w:tc>
        <w:tc>
          <w:tcPr>
            <w:tcW w:w="998" w:type="dxa"/>
          </w:tcPr>
          <w:p>
            <w:pPr>
              <w:spacing w:before="103"/>
              <w:ind w:left="184"/>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＜10</w:t>
            </w:r>
            <w:r>
              <w:rPr>
                <w:rFonts w:ascii="宋体" w:hAnsi="宋体" w:eastAsia="宋体" w:cs="宋体"/>
                <w:color w:val="auto"/>
                <w:sz w:val="18"/>
                <w:szCs w:val="18"/>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2118" w:type="dxa"/>
            <w:vMerge w:val="restart"/>
            <w:tcBorders>
              <w:bottom w:val="nil"/>
            </w:tcBorders>
          </w:tcPr>
          <w:p>
            <w:pPr>
              <w:spacing w:line="249" w:lineRule="auto"/>
              <w:rPr>
                <w:color w:val="auto"/>
                <w:highlight w:val="none"/>
              </w:rPr>
            </w:pPr>
          </w:p>
          <w:p>
            <w:pPr>
              <w:spacing w:before="58" w:line="220" w:lineRule="auto"/>
              <w:ind w:left="12"/>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零售业</w:t>
            </w:r>
          </w:p>
        </w:tc>
        <w:tc>
          <w:tcPr>
            <w:tcW w:w="1368" w:type="dxa"/>
          </w:tcPr>
          <w:p>
            <w:pPr>
              <w:spacing w:before="103" w:line="220" w:lineRule="auto"/>
              <w:ind w:left="192"/>
              <w:rPr>
                <w:rFonts w:ascii="宋体" w:hAnsi="宋体" w:eastAsia="宋体" w:cs="宋体"/>
                <w:color w:val="auto"/>
                <w:sz w:val="18"/>
                <w:szCs w:val="18"/>
                <w:highlight w:val="none"/>
              </w:rPr>
            </w:pPr>
            <w:r>
              <w:rPr>
                <w:rFonts w:ascii="宋体" w:hAnsi="宋体" w:eastAsia="宋体" w:cs="宋体"/>
                <w:color w:val="auto"/>
                <w:spacing w:val="-15"/>
                <w:sz w:val="18"/>
                <w:szCs w:val="18"/>
                <w:highlight w:val="none"/>
              </w:rPr>
              <w:t>从</w:t>
            </w:r>
            <w:r>
              <w:rPr>
                <w:rFonts w:ascii="宋体" w:hAnsi="宋体" w:eastAsia="宋体" w:cs="宋体"/>
                <w:color w:val="auto"/>
                <w:spacing w:val="-10"/>
                <w:sz w:val="18"/>
                <w:szCs w:val="18"/>
                <w:highlight w:val="none"/>
              </w:rPr>
              <w:t>业人员 (X)</w:t>
            </w:r>
          </w:p>
        </w:tc>
        <w:tc>
          <w:tcPr>
            <w:tcW w:w="710" w:type="dxa"/>
          </w:tcPr>
          <w:p>
            <w:pPr>
              <w:spacing w:before="103" w:line="222" w:lineRule="auto"/>
              <w:ind w:left="269"/>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123" w:type="dxa"/>
          </w:tcPr>
          <w:p>
            <w:pPr>
              <w:spacing w:before="103" w:line="238" w:lineRule="auto"/>
              <w:ind w:left="294"/>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≥30</w:t>
            </w:r>
            <w:r>
              <w:rPr>
                <w:rFonts w:ascii="宋体" w:hAnsi="宋体" w:eastAsia="宋体" w:cs="宋体"/>
                <w:color w:val="auto"/>
                <w:sz w:val="18"/>
                <w:szCs w:val="18"/>
                <w:highlight w:val="none"/>
              </w:rPr>
              <w:t>0</w:t>
            </w:r>
          </w:p>
        </w:tc>
        <w:tc>
          <w:tcPr>
            <w:tcW w:w="1700" w:type="dxa"/>
          </w:tcPr>
          <w:p>
            <w:pPr>
              <w:spacing w:before="103" w:line="236" w:lineRule="auto"/>
              <w:ind w:left="409"/>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5</w:t>
            </w:r>
            <w:r>
              <w:rPr>
                <w:rFonts w:ascii="宋体" w:hAnsi="宋体" w:eastAsia="宋体" w:cs="宋体"/>
                <w:color w:val="auto"/>
                <w:spacing w:val="-1"/>
                <w:sz w:val="18"/>
                <w:szCs w:val="18"/>
                <w:highlight w:val="none"/>
              </w:rPr>
              <w:t>0≤X＜300</w:t>
            </w:r>
          </w:p>
        </w:tc>
        <w:tc>
          <w:tcPr>
            <w:tcW w:w="1425" w:type="dxa"/>
          </w:tcPr>
          <w:p>
            <w:pPr>
              <w:spacing w:before="103" w:line="236" w:lineRule="auto"/>
              <w:ind w:left="324"/>
              <w:rPr>
                <w:rFonts w:ascii="宋体" w:hAnsi="宋体" w:eastAsia="宋体" w:cs="宋体"/>
                <w:color w:val="auto"/>
                <w:sz w:val="18"/>
                <w:szCs w:val="18"/>
                <w:highlight w:val="none"/>
              </w:rPr>
            </w:pPr>
            <w:r>
              <w:rPr>
                <w:rFonts w:ascii="宋体" w:hAnsi="宋体" w:eastAsia="宋体" w:cs="宋体"/>
                <w:color w:val="auto"/>
                <w:spacing w:val="-4"/>
                <w:sz w:val="18"/>
                <w:szCs w:val="18"/>
                <w:highlight w:val="none"/>
              </w:rPr>
              <w:t>10</w:t>
            </w:r>
            <w:r>
              <w:rPr>
                <w:rFonts w:ascii="宋体" w:hAnsi="宋体" w:eastAsia="宋体" w:cs="宋体"/>
                <w:color w:val="auto"/>
                <w:spacing w:val="-2"/>
                <w:sz w:val="18"/>
                <w:szCs w:val="18"/>
                <w:highlight w:val="none"/>
              </w:rPr>
              <w:t>≤X＜50</w:t>
            </w:r>
          </w:p>
        </w:tc>
        <w:tc>
          <w:tcPr>
            <w:tcW w:w="998" w:type="dxa"/>
          </w:tcPr>
          <w:p>
            <w:pPr>
              <w:spacing w:before="103"/>
              <w:ind w:left="274"/>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2118" w:type="dxa"/>
            <w:vMerge w:val="continue"/>
            <w:tcBorders>
              <w:top w:val="nil"/>
            </w:tcBorders>
          </w:tcPr>
          <w:p>
            <w:pPr>
              <w:rPr>
                <w:color w:val="auto"/>
                <w:highlight w:val="none"/>
              </w:rPr>
            </w:pPr>
          </w:p>
        </w:tc>
        <w:tc>
          <w:tcPr>
            <w:tcW w:w="1368" w:type="dxa"/>
          </w:tcPr>
          <w:p>
            <w:pPr>
              <w:spacing w:before="112" w:line="220" w:lineRule="auto"/>
              <w:ind w:left="19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w:t>
            </w:r>
            <w:r>
              <w:rPr>
                <w:rFonts w:ascii="宋体" w:hAnsi="宋体" w:eastAsia="宋体" w:cs="宋体"/>
                <w:color w:val="auto"/>
                <w:spacing w:val="-1"/>
                <w:sz w:val="18"/>
                <w:szCs w:val="18"/>
                <w:highlight w:val="none"/>
              </w:rPr>
              <w:t>入(Y)</w:t>
            </w:r>
          </w:p>
        </w:tc>
        <w:tc>
          <w:tcPr>
            <w:tcW w:w="710" w:type="dxa"/>
          </w:tcPr>
          <w:p>
            <w:pPr>
              <w:spacing w:before="103" w:line="220" w:lineRule="auto"/>
              <w:ind w:left="180"/>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万元</w:t>
            </w:r>
          </w:p>
        </w:tc>
        <w:tc>
          <w:tcPr>
            <w:tcW w:w="1123" w:type="dxa"/>
          </w:tcPr>
          <w:p>
            <w:pPr>
              <w:spacing w:before="103" w:line="238" w:lineRule="auto"/>
              <w:ind w:left="202"/>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≥20</w:t>
            </w:r>
            <w:r>
              <w:rPr>
                <w:rFonts w:ascii="宋体" w:hAnsi="宋体" w:eastAsia="宋体" w:cs="宋体"/>
                <w:color w:val="auto"/>
                <w:sz w:val="18"/>
                <w:szCs w:val="18"/>
                <w:highlight w:val="none"/>
              </w:rPr>
              <w:t>000</w:t>
            </w:r>
          </w:p>
        </w:tc>
        <w:tc>
          <w:tcPr>
            <w:tcW w:w="1700" w:type="dxa"/>
          </w:tcPr>
          <w:p>
            <w:pPr>
              <w:spacing w:before="103" w:line="236" w:lineRule="auto"/>
              <w:ind w:left="27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500≤</w:t>
            </w: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＜2000</w:t>
            </w:r>
            <w:r>
              <w:rPr>
                <w:rFonts w:ascii="宋体" w:hAnsi="宋体" w:eastAsia="宋体" w:cs="宋体"/>
                <w:color w:val="auto"/>
                <w:sz w:val="18"/>
                <w:szCs w:val="18"/>
                <w:highlight w:val="none"/>
              </w:rPr>
              <w:t>0</w:t>
            </w:r>
          </w:p>
        </w:tc>
        <w:tc>
          <w:tcPr>
            <w:tcW w:w="1425" w:type="dxa"/>
          </w:tcPr>
          <w:p>
            <w:pPr>
              <w:spacing w:before="103" w:line="236" w:lineRule="auto"/>
              <w:ind w:left="23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100≤Y＜500</w:t>
            </w:r>
          </w:p>
        </w:tc>
        <w:tc>
          <w:tcPr>
            <w:tcW w:w="998" w:type="dxa"/>
          </w:tcPr>
          <w:p>
            <w:pPr>
              <w:spacing w:before="103"/>
              <w:ind w:left="230"/>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＜1</w:t>
            </w:r>
            <w:r>
              <w:rPr>
                <w:rFonts w:ascii="宋体" w:hAnsi="宋体" w:eastAsia="宋体" w:cs="宋体"/>
                <w:color w:val="auto"/>
                <w:sz w:val="18"/>
                <w:szCs w:val="18"/>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1" w:hRule="atLeast"/>
        </w:trPr>
        <w:tc>
          <w:tcPr>
            <w:tcW w:w="2118" w:type="dxa"/>
            <w:vMerge w:val="restart"/>
            <w:tcBorders>
              <w:bottom w:val="nil"/>
            </w:tcBorders>
          </w:tcPr>
          <w:p>
            <w:pPr>
              <w:spacing w:line="249" w:lineRule="auto"/>
              <w:rPr>
                <w:color w:val="auto"/>
                <w:highlight w:val="none"/>
              </w:rPr>
            </w:pPr>
          </w:p>
          <w:p>
            <w:pPr>
              <w:spacing w:before="59" w:line="220" w:lineRule="auto"/>
              <w:ind w:left="15"/>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交通运输</w:t>
            </w:r>
            <w:r>
              <w:rPr>
                <w:rFonts w:ascii="宋体" w:hAnsi="宋体" w:eastAsia="宋体" w:cs="宋体"/>
                <w:color w:val="auto"/>
                <w:sz w:val="18"/>
                <w:szCs w:val="18"/>
                <w:highlight w:val="none"/>
              </w:rPr>
              <w:t>业 *</w:t>
            </w:r>
          </w:p>
        </w:tc>
        <w:tc>
          <w:tcPr>
            <w:tcW w:w="1368" w:type="dxa"/>
          </w:tcPr>
          <w:p>
            <w:pPr>
              <w:spacing w:before="104" w:line="220" w:lineRule="auto"/>
              <w:ind w:left="192"/>
              <w:rPr>
                <w:rFonts w:ascii="宋体" w:hAnsi="宋体" w:eastAsia="宋体" w:cs="宋体"/>
                <w:color w:val="auto"/>
                <w:sz w:val="18"/>
                <w:szCs w:val="18"/>
                <w:highlight w:val="none"/>
              </w:rPr>
            </w:pPr>
            <w:r>
              <w:rPr>
                <w:rFonts w:ascii="宋体" w:hAnsi="宋体" w:eastAsia="宋体" w:cs="宋体"/>
                <w:color w:val="auto"/>
                <w:spacing w:val="-15"/>
                <w:sz w:val="18"/>
                <w:szCs w:val="18"/>
                <w:highlight w:val="none"/>
              </w:rPr>
              <w:t>从</w:t>
            </w:r>
            <w:r>
              <w:rPr>
                <w:rFonts w:ascii="宋体" w:hAnsi="宋体" w:eastAsia="宋体" w:cs="宋体"/>
                <w:color w:val="auto"/>
                <w:spacing w:val="-10"/>
                <w:sz w:val="18"/>
                <w:szCs w:val="18"/>
                <w:highlight w:val="none"/>
              </w:rPr>
              <w:t>业人员 (X)</w:t>
            </w:r>
          </w:p>
        </w:tc>
        <w:tc>
          <w:tcPr>
            <w:tcW w:w="710" w:type="dxa"/>
          </w:tcPr>
          <w:p>
            <w:pPr>
              <w:spacing w:before="104" w:line="222" w:lineRule="auto"/>
              <w:ind w:left="269"/>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123" w:type="dxa"/>
          </w:tcPr>
          <w:p>
            <w:pPr>
              <w:spacing w:before="103" w:line="238" w:lineRule="auto"/>
              <w:ind w:left="249"/>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≥10</w:t>
            </w:r>
            <w:r>
              <w:rPr>
                <w:rFonts w:ascii="宋体" w:hAnsi="宋体" w:eastAsia="宋体" w:cs="宋体"/>
                <w:color w:val="auto"/>
                <w:sz w:val="18"/>
                <w:szCs w:val="18"/>
                <w:highlight w:val="none"/>
              </w:rPr>
              <w:t>00</w:t>
            </w:r>
          </w:p>
        </w:tc>
        <w:tc>
          <w:tcPr>
            <w:tcW w:w="1700" w:type="dxa"/>
          </w:tcPr>
          <w:p>
            <w:pPr>
              <w:spacing w:before="104" w:line="236" w:lineRule="auto"/>
              <w:ind w:left="317"/>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300≤</w:t>
            </w: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＜1000</w:t>
            </w:r>
          </w:p>
        </w:tc>
        <w:tc>
          <w:tcPr>
            <w:tcW w:w="1425" w:type="dxa"/>
          </w:tcPr>
          <w:p>
            <w:pPr>
              <w:spacing w:before="104" w:line="236" w:lineRule="auto"/>
              <w:ind w:left="270"/>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20≤</w:t>
            </w: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＜300</w:t>
            </w:r>
          </w:p>
        </w:tc>
        <w:tc>
          <w:tcPr>
            <w:tcW w:w="998" w:type="dxa"/>
          </w:tcPr>
          <w:p>
            <w:pPr>
              <w:spacing w:before="103"/>
              <w:ind w:left="274"/>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1" w:hRule="atLeast"/>
        </w:trPr>
        <w:tc>
          <w:tcPr>
            <w:tcW w:w="2118" w:type="dxa"/>
            <w:vMerge w:val="continue"/>
            <w:tcBorders>
              <w:top w:val="nil"/>
            </w:tcBorders>
          </w:tcPr>
          <w:p>
            <w:pPr>
              <w:rPr>
                <w:color w:val="auto"/>
                <w:highlight w:val="none"/>
              </w:rPr>
            </w:pPr>
          </w:p>
        </w:tc>
        <w:tc>
          <w:tcPr>
            <w:tcW w:w="1368" w:type="dxa"/>
          </w:tcPr>
          <w:p>
            <w:pPr>
              <w:spacing w:before="113" w:line="220" w:lineRule="auto"/>
              <w:ind w:left="19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w:t>
            </w:r>
            <w:r>
              <w:rPr>
                <w:rFonts w:ascii="宋体" w:hAnsi="宋体" w:eastAsia="宋体" w:cs="宋体"/>
                <w:color w:val="auto"/>
                <w:spacing w:val="-1"/>
                <w:sz w:val="18"/>
                <w:szCs w:val="18"/>
                <w:highlight w:val="none"/>
              </w:rPr>
              <w:t>入(Y)</w:t>
            </w:r>
          </w:p>
        </w:tc>
        <w:tc>
          <w:tcPr>
            <w:tcW w:w="710" w:type="dxa"/>
          </w:tcPr>
          <w:p>
            <w:pPr>
              <w:spacing w:before="104" w:line="220" w:lineRule="auto"/>
              <w:ind w:left="180"/>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万元</w:t>
            </w:r>
          </w:p>
        </w:tc>
        <w:tc>
          <w:tcPr>
            <w:tcW w:w="1123" w:type="dxa"/>
          </w:tcPr>
          <w:p>
            <w:pPr>
              <w:spacing w:before="103" w:line="238" w:lineRule="auto"/>
              <w:ind w:left="202"/>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≥30</w:t>
            </w:r>
            <w:r>
              <w:rPr>
                <w:rFonts w:ascii="宋体" w:hAnsi="宋体" w:eastAsia="宋体" w:cs="宋体"/>
                <w:color w:val="auto"/>
                <w:sz w:val="18"/>
                <w:szCs w:val="18"/>
                <w:highlight w:val="none"/>
              </w:rPr>
              <w:t>000</w:t>
            </w:r>
          </w:p>
        </w:tc>
        <w:tc>
          <w:tcPr>
            <w:tcW w:w="1700" w:type="dxa"/>
          </w:tcPr>
          <w:p>
            <w:pPr>
              <w:spacing w:before="104" w:line="236" w:lineRule="auto"/>
              <w:ind w:left="229"/>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3000≤</w:t>
            </w: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＜300</w:t>
            </w:r>
            <w:r>
              <w:rPr>
                <w:rFonts w:ascii="宋体" w:hAnsi="宋体" w:eastAsia="宋体" w:cs="宋体"/>
                <w:color w:val="auto"/>
                <w:sz w:val="18"/>
                <w:szCs w:val="18"/>
                <w:highlight w:val="none"/>
              </w:rPr>
              <w:t>00</w:t>
            </w:r>
          </w:p>
        </w:tc>
        <w:tc>
          <w:tcPr>
            <w:tcW w:w="1425" w:type="dxa"/>
          </w:tcPr>
          <w:p>
            <w:pPr>
              <w:spacing w:before="104" w:line="236" w:lineRule="auto"/>
              <w:ind w:left="181"/>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200≤</w:t>
            </w: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＜30</w:t>
            </w:r>
            <w:r>
              <w:rPr>
                <w:rFonts w:ascii="宋体" w:hAnsi="宋体" w:eastAsia="宋体" w:cs="宋体"/>
                <w:color w:val="auto"/>
                <w:sz w:val="18"/>
                <w:szCs w:val="18"/>
                <w:highlight w:val="none"/>
              </w:rPr>
              <w:t>00</w:t>
            </w:r>
          </w:p>
        </w:tc>
        <w:tc>
          <w:tcPr>
            <w:tcW w:w="998" w:type="dxa"/>
          </w:tcPr>
          <w:p>
            <w:pPr>
              <w:spacing w:before="103"/>
              <w:ind w:left="230"/>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＜2</w:t>
            </w:r>
            <w:r>
              <w:rPr>
                <w:rFonts w:ascii="宋体" w:hAnsi="宋体" w:eastAsia="宋体" w:cs="宋体"/>
                <w:color w:val="auto"/>
                <w:sz w:val="18"/>
                <w:szCs w:val="18"/>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3" w:hRule="atLeast"/>
        </w:trPr>
        <w:tc>
          <w:tcPr>
            <w:tcW w:w="2118" w:type="dxa"/>
            <w:vMerge w:val="restart"/>
            <w:tcBorders>
              <w:bottom w:val="nil"/>
            </w:tcBorders>
          </w:tcPr>
          <w:p>
            <w:pPr>
              <w:spacing w:line="252" w:lineRule="auto"/>
              <w:rPr>
                <w:color w:val="auto"/>
                <w:highlight w:val="none"/>
              </w:rPr>
            </w:pPr>
          </w:p>
          <w:p>
            <w:pPr>
              <w:spacing w:before="59" w:line="220" w:lineRule="auto"/>
              <w:ind w:left="10"/>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仓储业</w:t>
            </w:r>
            <w:r>
              <w:rPr>
                <w:rFonts w:ascii="宋体" w:hAnsi="宋体" w:eastAsia="宋体" w:cs="宋体"/>
                <w:color w:val="auto"/>
                <w:spacing w:val="-1"/>
                <w:sz w:val="18"/>
                <w:szCs w:val="18"/>
                <w:highlight w:val="none"/>
              </w:rPr>
              <w:t>*</w:t>
            </w:r>
          </w:p>
        </w:tc>
        <w:tc>
          <w:tcPr>
            <w:tcW w:w="1368" w:type="dxa"/>
          </w:tcPr>
          <w:p>
            <w:pPr>
              <w:spacing w:before="106" w:line="220" w:lineRule="auto"/>
              <w:ind w:left="192"/>
              <w:rPr>
                <w:rFonts w:ascii="宋体" w:hAnsi="宋体" w:eastAsia="宋体" w:cs="宋体"/>
                <w:color w:val="auto"/>
                <w:sz w:val="18"/>
                <w:szCs w:val="18"/>
                <w:highlight w:val="none"/>
              </w:rPr>
            </w:pPr>
            <w:r>
              <w:rPr>
                <w:rFonts w:ascii="宋体" w:hAnsi="宋体" w:eastAsia="宋体" w:cs="宋体"/>
                <w:color w:val="auto"/>
                <w:spacing w:val="-15"/>
                <w:sz w:val="18"/>
                <w:szCs w:val="18"/>
                <w:highlight w:val="none"/>
              </w:rPr>
              <w:t>从</w:t>
            </w:r>
            <w:r>
              <w:rPr>
                <w:rFonts w:ascii="宋体" w:hAnsi="宋体" w:eastAsia="宋体" w:cs="宋体"/>
                <w:color w:val="auto"/>
                <w:spacing w:val="-10"/>
                <w:sz w:val="18"/>
                <w:szCs w:val="18"/>
                <w:highlight w:val="none"/>
              </w:rPr>
              <w:t>业人员 (X)</w:t>
            </w:r>
          </w:p>
        </w:tc>
        <w:tc>
          <w:tcPr>
            <w:tcW w:w="710" w:type="dxa"/>
          </w:tcPr>
          <w:p>
            <w:pPr>
              <w:spacing w:before="106" w:line="222" w:lineRule="auto"/>
              <w:ind w:left="269"/>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123" w:type="dxa"/>
          </w:tcPr>
          <w:p>
            <w:pPr>
              <w:spacing w:before="105" w:line="238" w:lineRule="auto"/>
              <w:ind w:left="294"/>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≥20</w:t>
            </w:r>
            <w:r>
              <w:rPr>
                <w:rFonts w:ascii="宋体" w:hAnsi="宋体" w:eastAsia="宋体" w:cs="宋体"/>
                <w:color w:val="auto"/>
                <w:sz w:val="18"/>
                <w:szCs w:val="18"/>
                <w:highlight w:val="none"/>
              </w:rPr>
              <w:t>0</w:t>
            </w:r>
          </w:p>
        </w:tc>
        <w:tc>
          <w:tcPr>
            <w:tcW w:w="1700" w:type="dxa"/>
          </w:tcPr>
          <w:p>
            <w:pPr>
              <w:spacing w:before="106" w:line="236" w:lineRule="auto"/>
              <w:ind w:left="301"/>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1</w:t>
            </w:r>
            <w:r>
              <w:rPr>
                <w:rFonts w:ascii="宋体" w:hAnsi="宋体" w:eastAsia="宋体" w:cs="宋体"/>
                <w:color w:val="auto"/>
                <w:spacing w:val="-2"/>
                <w:sz w:val="18"/>
                <w:szCs w:val="18"/>
                <w:highlight w:val="none"/>
              </w:rPr>
              <w:t>00≤X＜200</w:t>
            </w:r>
          </w:p>
        </w:tc>
        <w:tc>
          <w:tcPr>
            <w:tcW w:w="1425" w:type="dxa"/>
          </w:tcPr>
          <w:p>
            <w:pPr>
              <w:spacing w:before="106" w:line="236" w:lineRule="auto"/>
              <w:ind w:left="270"/>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20≤</w:t>
            </w: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＜100</w:t>
            </w:r>
          </w:p>
        </w:tc>
        <w:tc>
          <w:tcPr>
            <w:tcW w:w="998" w:type="dxa"/>
          </w:tcPr>
          <w:p>
            <w:pPr>
              <w:spacing w:before="106"/>
              <w:ind w:left="274"/>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1" w:hRule="atLeast"/>
        </w:trPr>
        <w:tc>
          <w:tcPr>
            <w:tcW w:w="2118" w:type="dxa"/>
            <w:vMerge w:val="continue"/>
            <w:tcBorders>
              <w:top w:val="nil"/>
            </w:tcBorders>
          </w:tcPr>
          <w:p>
            <w:pPr>
              <w:rPr>
                <w:color w:val="auto"/>
                <w:highlight w:val="none"/>
              </w:rPr>
            </w:pPr>
          </w:p>
        </w:tc>
        <w:tc>
          <w:tcPr>
            <w:tcW w:w="1368" w:type="dxa"/>
          </w:tcPr>
          <w:p>
            <w:pPr>
              <w:spacing w:before="113" w:line="220" w:lineRule="auto"/>
              <w:ind w:left="19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w:t>
            </w:r>
            <w:r>
              <w:rPr>
                <w:rFonts w:ascii="宋体" w:hAnsi="宋体" w:eastAsia="宋体" w:cs="宋体"/>
                <w:color w:val="auto"/>
                <w:spacing w:val="-1"/>
                <w:sz w:val="18"/>
                <w:szCs w:val="18"/>
                <w:highlight w:val="none"/>
              </w:rPr>
              <w:t>入(Y)</w:t>
            </w:r>
          </w:p>
        </w:tc>
        <w:tc>
          <w:tcPr>
            <w:tcW w:w="710" w:type="dxa"/>
          </w:tcPr>
          <w:p>
            <w:pPr>
              <w:spacing w:before="104" w:line="220" w:lineRule="auto"/>
              <w:ind w:left="180"/>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万元</w:t>
            </w:r>
          </w:p>
        </w:tc>
        <w:tc>
          <w:tcPr>
            <w:tcW w:w="1123" w:type="dxa"/>
          </w:tcPr>
          <w:p>
            <w:pPr>
              <w:spacing w:before="103" w:line="238" w:lineRule="auto"/>
              <w:ind w:left="202"/>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≥30</w:t>
            </w:r>
            <w:r>
              <w:rPr>
                <w:rFonts w:ascii="宋体" w:hAnsi="宋体" w:eastAsia="宋体" w:cs="宋体"/>
                <w:color w:val="auto"/>
                <w:sz w:val="18"/>
                <w:szCs w:val="18"/>
                <w:highlight w:val="none"/>
              </w:rPr>
              <w:t>000</w:t>
            </w:r>
          </w:p>
        </w:tc>
        <w:tc>
          <w:tcPr>
            <w:tcW w:w="1700" w:type="dxa"/>
          </w:tcPr>
          <w:p>
            <w:pPr>
              <w:spacing w:before="104" w:line="236" w:lineRule="auto"/>
              <w:ind w:left="238"/>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1000≤</w:t>
            </w:r>
            <w:r>
              <w:rPr>
                <w:rFonts w:ascii="宋体" w:hAnsi="宋体" w:eastAsia="宋体" w:cs="宋体"/>
                <w:color w:val="auto"/>
                <w:spacing w:val="-1"/>
                <w:sz w:val="18"/>
                <w:szCs w:val="18"/>
                <w:highlight w:val="none"/>
              </w:rPr>
              <w:t>Y</w:t>
            </w:r>
            <w:r>
              <w:rPr>
                <w:rFonts w:ascii="宋体" w:hAnsi="宋体" w:eastAsia="宋体" w:cs="宋体"/>
                <w:color w:val="auto"/>
                <w:spacing w:val="-2"/>
                <w:sz w:val="18"/>
                <w:szCs w:val="18"/>
                <w:highlight w:val="none"/>
              </w:rPr>
              <w:t>＜3</w:t>
            </w:r>
            <w:r>
              <w:rPr>
                <w:rFonts w:ascii="宋体" w:hAnsi="宋体" w:eastAsia="宋体" w:cs="宋体"/>
                <w:color w:val="auto"/>
                <w:spacing w:val="-1"/>
                <w:sz w:val="18"/>
                <w:szCs w:val="18"/>
                <w:highlight w:val="none"/>
              </w:rPr>
              <w:t>0000</w:t>
            </w:r>
          </w:p>
        </w:tc>
        <w:tc>
          <w:tcPr>
            <w:tcW w:w="1425" w:type="dxa"/>
          </w:tcPr>
          <w:p>
            <w:pPr>
              <w:spacing w:before="104" w:line="236" w:lineRule="auto"/>
              <w:ind w:left="192"/>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w:t>
            </w:r>
            <w:r>
              <w:rPr>
                <w:rFonts w:ascii="宋体" w:hAnsi="宋体" w:eastAsia="宋体" w:cs="宋体"/>
                <w:color w:val="auto"/>
                <w:spacing w:val="-1"/>
                <w:sz w:val="18"/>
                <w:szCs w:val="18"/>
                <w:highlight w:val="none"/>
              </w:rPr>
              <w:t>Y</w:t>
            </w:r>
            <w:r>
              <w:rPr>
                <w:rFonts w:ascii="宋体" w:hAnsi="宋体" w:eastAsia="宋体" w:cs="宋体"/>
                <w:color w:val="auto"/>
                <w:spacing w:val="-2"/>
                <w:sz w:val="18"/>
                <w:szCs w:val="18"/>
                <w:highlight w:val="none"/>
              </w:rPr>
              <w:t>＜100</w:t>
            </w:r>
            <w:r>
              <w:rPr>
                <w:rFonts w:ascii="宋体" w:hAnsi="宋体" w:eastAsia="宋体" w:cs="宋体"/>
                <w:color w:val="auto"/>
                <w:spacing w:val="-1"/>
                <w:sz w:val="18"/>
                <w:szCs w:val="18"/>
                <w:highlight w:val="none"/>
              </w:rPr>
              <w:t>0</w:t>
            </w:r>
          </w:p>
        </w:tc>
        <w:tc>
          <w:tcPr>
            <w:tcW w:w="998" w:type="dxa"/>
          </w:tcPr>
          <w:p>
            <w:pPr>
              <w:spacing w:before="104"/>
              <w:ind w:left="230"/>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＜1</w:t>
            </w:r>
            <w:r>
              <w:rPr>
                <w:rFonts w:ascii="宋体" w:hAnsi="宋体" w:eastAsia="宋体" w:cs="宋体"/>
                <w:color w:val="auto"/>
                <w:sz w:val="18"/>
                <w:szCs w:val="18"/>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3" w:hRule="atLeast"/>
        </w:trPr>
        <w:tc>
          <w:tcPr>
            <w:tcW w:w="2118" w:type="dxa"/>
            <w:vMerge w:val="restart"/>
            <w:tcBorders>
              <w:bottom w:val="nil"/>
            </w:tcBorders>
          </w:tcPr>
          <w:p>
            <w:pPr>
              <w:spacing w:line="253" w:lineRule="auto"/>
              <w:rPr>
                <w:color w:val="auto"/>
                <w:highlight w:val="none"/>
              </w:rPr>
            </w:pPr>
          </w:p>
          <w:p>
            <w:pPr>
              <w:spacing w:before="58" w:line="221" w:lineRule="auto"/>
              <w:ind w:left="24"/>
              <w:rPr>
                <w:rFonts w:ascii="宋体" w:hAnsi="宋体" w:eastAsia="宋体" w:cs="宋体"/>
                <w:color w:val="auto"/>
                <w:sz w:val="18"/>
                <w:szCs w:val="18"/>
                <w:highlight w:val="none"/>
              </w:rPr>
            </w:pPr>
            <w:r>
              <w:rPr>
                <w:rFonts w:ascii="宋体" w:hAnsi="宋体" w:eastAsia="宋体" w:cs="宋体"/>
                <w:color w:val="auto"/>
                <w:spacing w:val="-6"/>
                <w:sz w:val="18"/>
                <w:szCs w:val="18"/>
                <w:highlight w:val="none"/>
              </w:rPr>
              <w:t>邮</w:t>
            </w:r>
            <w:r>
              <w:rPr>
                <w:rFonts w:ascii="宋体" w:hAnsi="宋体" w:eastAsia="宋体" w:cs="宋体"/>
                <w:color w:val="auto"/>
                <w:spacing w:val="-4"/>
                <w:sz w:val="18"/>
                <w:szCs w:val="18"/>
                <w:highlight w:val="none"/>
              </w:rPr>
              <w:t>政业</w:t>
            </w:r>
          </w:p>
        </w:tc>
        <w:tc>
          <w:tcPr>
            <w:tcW w:w="1368" w:type="dxa"/>
          </w:tcPr>
          <w:p>
            <w:pPr>
              <w:spacing w:before="104" w:line="220" w:lineRule="auto"/>
              <w:ind w:left="192"/>
              <w:rPr>
                <w:rFonts w:ascii="宋体" w:hAnsi="宋体" w:eastAsia="宋体" w:cs="宋体"/>
                <w:color w:val="auto"/>
                <w:sz w:val="18"/>
                <w:szCs w:val="18"/>
                <w:highlight w:val="none"/>
              </w:rPr>
            </w:pPr>
            <w:r>
              <w:rPr>
                <w:rFonts w:ascii="宋体" w:hAnsi="宋体" w:eastAsia="宋体" w:cs="宋体"/>
                <w:color w:val="auto"/>
                <w:spacing w:val="-15"/>
                <w:sz w:val="18"/>
                <w:szCs w:val="18"/>
                <w:highlight w:val="none"/>
              </w:rPr>
              <w:t>从</w:t>
            </w:r>
            <w:r>
              <w:rPr>
                <w:rFonts w:ascii="宋体" w:hAnsi="宋体" w:eastAsia="宋体" w:cs="宋体"/>
                <w:color w:val="auto"/>
                <w:spacing w:val="-10"/>
                <w:sz w:val="18"/>
                <w:szCs w:val="18"/>
                <w:highlight w:val="none"/>
              </w:rPr>
              <w:t>业人员 (X)</w:t>
            </w:r>
          </w:p>
        </w:tc>
        <w:tc>
          <w:tcPr>
            <w:tcW w:w="710" w:type="dxa"/>
          </w:tcPr>
          <w:p>
            <w:pPr>
              <w:spacing w:before="104" w:line="222" w:lineRule="auto"/>
              <w:ind w:left="269"/>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123" w:type="dxa"/>
          </w:tcPr>
          <w:p>
            <w:pPr>
              <w:spacing w:before="103" w:line="238" w:lineRule="auto"/>
              <w:ind w:left="249"/>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≥10</w:t>
            </w:r>
            <w:r>
              <w:rPr>
                <w:rFonts w:ascii="宋体" w:hAnsi="宋体" w:eastAsia="宋体" w:cs="宋体"/>
                <w:color w:val="auto"/>
                <w:sz w:val="18"/>
                <w:szCs w:val="18"/>
                <w:highlight w:val="none"/>
              </w:rPr>
              <w:t>00</w:t>
            </w:r>
          </w:p>
        </w:tc>
        <w:tc>
          <w:tcPr>
            <w:tcW w:w="1700" w:type="dxa"/>
          </w:tcPr>
          <w:p>
            <w:pPr>
              <w:spacing w:before="104" w:line="236" w:lineRule="auto"/>
              <w:ind w:left="317"/>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300≤</w:t>
            </w: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＜1000</w:t>
            </w:r>
          </w:p>
        </w:tc>
        <w:tc>
          <w:tcPr>
            <w:tcW w:w="1425" w:type="dxa"/>
          </w:tcPr>
          <w:p>
            <w:pPr>
              <w:spacing w:before="104" w:line="236" w:lineRule="auto"/>
              <w:ind w:left="270"/>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20≤</w:t>
            </w: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＜300</w:t>
            </w:r>
          </w:p>
        </w:tc>
        <w:tc>
          <w:tcPr>
            <w:tcW w:w="998" w:type="dxa"/>
          </w:tcPr>
          <w:p>
            <w:pPr>
              <w:spacing w:before="104"/>
              <w:ind w:left="274"/>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1" w:hRule="atLeast"/>
        </w:trPr>
        <w:tc>
          <w:tcPr>
            <w:tcW w:w="2118" w:type="dxa"/>
            <w:vMerge w:val="continue"/>
            <w:tcBorders>
              <w:top w:val="nil"/>
            </w:tcBorders>
          </w:tcPr>
          <w:p>
            <w:pPr>
              <w:rPr>
                <w:color w:val="auto"/>
                <w:highlight w:val="none"/>
              </w:rPr>
            </w:pPr>
          </w:p>
        </w:tc>
        <w:tc>
          <w:tcPr>
            <w:tcW w:w="1368" w:type="dxa"/>
          </w:tcPr>
          <w:p>
            <w:pPr>
              <w:spacing w:before="111" w:line="220" w:lineRule="auto"/>
              <w:ind w:left="19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w:t>
            </w:r>
            <w:r>
              <w:rPr>
                <w:rFonts w:ascii="宋体" w:hAnsi="宋体" w:eastAsia="宋体" w:cs="宋体"/>
                <w:color w:val="auto"/>
                <w:spacing w:val="-1"/>
                <w:sz w:val="18"/>
                <w:szCs w:val="18"/>
                <w:highlight w:val="none"/>
              </w:rPr>
              <w:t>入(Y)</w:t>
            </w:r>
          </w:p>
        </w:tc>
        <w:tc>
          <w:tcPr>
            <w:tcW w:w="710" w:type="dxa"/>
          </w:tcPr>
          <w:p>
            <w:pPr>
              <w:spacing w:before="105" w:line="220" w:lineRule="auto"/>
              <w:ind w:left="180"/>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万元</w:t>
            </w:r>
          </w:p>
        </w:tc>
        <w:tc>
          <w:tcPr>
            <w:tcW w:w="1123" w:type="dxa"/>
          </w:tcPr>
          <w:p>
            <w:pPr>
              <w:spacing w:before="104" w:line="238" w:lineRule="auto"/>
              <w:ind w:left="202"/>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≥30</w:t>
            </w:r>
            <w:r>
              <w:rPr>
                <w:rFonts w:ascii="宋体" w:hAnsi="宋体" w:eastAsia="宋体" w:cs="宋体"/>
                <w:color w:val="auto"/>
                <w:sz w:val="18"/>
                <w:szCs w:val="18"/>
                <w:highlight w:val="none"/>
              </w:rPr>
              <w:t>000</w:t>
            </w:r>
          </w:p>
        </w:tc>
        <w:tc>
          <w:tcPr>
            <w:tcW w:w="1700" w:type="dxa"/>
          </w:tcPr>
          <w:p>
            <w:pPr>
              <w:spacing w:before="104" w:line="236" w:lineRule="auto"/>
              <w:ind w:left="227"/>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2000≤</w:t>
            </w: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＜30</w:t>
            </w:r>
            <w:r>
              <w:rPr>
                <w:rFonts w:ascii="宋体" w:hAnsi="宋体" w:eastAsia="宋体" w:cs="宋体"/>
                <w:color w:val="auto"/>
                <w:sz w:val="18"/>
                <w:szCs w:val="18"/>
                <w:highlight w:val="none"/>
              </w:rPr>
              <w:t>000</w:t>
            </w:r>
          </w:p>
        </w:tc>
        <w:tc>
          <w:tcPr>
            <w:tcW w:w="1425" w:type="dxa"/>
          </w:tcPr>
          <w:p>
            <w:pPr>
              <w:spacing w:before="104" w:line="236" w:lineRule="auto"/>
              <w:ind w:left="192"/>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w:t>
            </w:r>
            <w:r>
              <w:rPr>
                <w:rFonts w:ascii="宋体" w:hAnsi="宋体" w:eastAsia="宋体" w:cs="宋体"/>
                <w:color w:val="auto"/>
                <w:spacing w:val="-1"/>
                <w:sz w:val="18"/>
                <w:szCs w:val="18"/>
                <w:highlight w:val="none"/>
              </w:rPr>
              <w:t>Y</w:t>
            </w:r>
            <w:r>
              <w:rPr>
                <w:rFonts w:ascii="宋体" w:hAnsi="宋体" w:eastAsia="宋体" w:cs="宋体"/>
                <w:color w:val="auto"/>
                <w:spacing w:val="-2"/>
                <w:sz w:val="18"/>
                <w:szCs w:val="18"/>
                <w:highlight w:val="none"/>
              </w:rPr>
              <w:t>＜200</w:t>
            </w:r>
            <w:r>
              <w:rPr>
                <w:rFonts w:ascii="宋体" w:hAnsi="宋体" w:eastAsia="宋体" w:cs="宋体"/>
                <w:color w:val="auto"/>
                <w:spacing w:val="-1"/>
                <w:sz w:val="18"/>
                <w:szCs w:val="18"/>
                <w:highlight w:val="none"/>
              </w:rPr>
              <w:t>0</w:t>
            </w:r>
          </w:p>
        </w:tc>
        <w:tc>
          <w:tcPr>
            <w:tcW w:w="998" w:type="dxa"/>
          </w:tcPr>
          <w:p>
            <w:pPr>
              <w:spacing w:before="104"/>
              <w:ind w:left="230"/>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＜1</w:t>
            </w:r>
            <w:r>
              <w:rPr>
                <w:rFonts w:ascii="宋体" w:hAnsi="宋体" w:eastAsia="宋体" w:cs="宋体"/>
                <w:color w:val="auto"/>
                <w:sz w:val="18"/>
                <w:szCs w:val="18"/>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1" w:hRule="atLeast"/>
        </w:trPr>
        <w:tc>
          <w:tcPr>
            <w:tcW w:w="2118" w:type="dxa"/>
            <w:vMerge w:val="restart"/>
            <w:tcBorders>
              <w:bottom w:val="nil"/>
            </w:tcBorders>
          </w:tcPr>
          <w:p>
            <w:pPr>
              <w:spacing w:line="253" w:lineRule="auto"/>
              <w:rPr>
                <w:color w:val="auto"/>
                <w:highlight w:val="none"/>
              </w:rPr>
            </w:pPr>
          </w:p>
          <w:p>
            <w:pPr>
              <w:spacing w:before="58" w:line="220" w:lineRule="auto"/>
              <w:ind w:left="10"/>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住宿</w:t>
            </w:r>
            <w:r>
              <w:rPr>
                <w:rFonts w:ascii="宋体" w:hAnsi="宋体" w:eastAsia="宋体" w:cs="宋体"/>
                <w:color w:val="auto"/>
                <w:spacing w:val="-1"/>
                <w:sz w:val="18"/>
                <w:szCs w:val="18"/>
                <w:highlight w:val="none"/>
              </w:rPr>
              <w:t>业</w:t>
            </w:r>
          </w:p>
        </w:tc>
        <w:tc>
          <w:tcPr>
            <w:tcW w:w="1368" w:type="dxa"/>
          </w:tcPr>
          <w:p>
            <w:pPr>
              <w:spacing w:before="105" w:line="220" w:lineRule="auto"/>
              <w:ind w:left="192"/>
              <w:rPr>
                <w:rFonts w:ascii="宋体" w:hAnsi="宋体" w:eastAsia="宋体" w:cs="宋体"/>
                <w:color w:val="auto"/>
                <w:sz w:val="18"/>
                <w:szCs w:val="18"/>
                <w:highlight w:val="none"/>
              </w:rPr>
            </w:pPr>
            <w:r>
              <w:rPr>
                <w:rFonts w:ascii="宋体" w:hAnsi="宋体" w:eastAsia="宋体" w:cs="宋体"/>
                <w:color w:val="auto"/>
                <w:spacing w:val="-15"/>
                <w:sz w:val="18"/>
                <w:szCs w:val="18"/>
                <w:highlight w:val="none"/>
              </w:rPr>
              <w:t>从</w:t>
            </w:r>
            <w:r>
              <w:rPr>
                <w:rFonts w:ascii="宋体" w:hAnsi="宋体" w:eastAsia="宋体" w:cs="宋体"/>
                <w:color w:val="auto"/>
                <w:spacing w:val="-10"/>
                <w:sz w:val="18"/>
                <w:szCs w:val="18"/>
                <w:highlight w:val="none"/>
              </w:rPr>
              <w:t>业人员 (X)</w:t>
            </w:r>
          </w:p>
        </w:tc>
        <w:tc>
          <w:tcPr>
            <w:tcW w:w="710" w:type="dxa"/>
          </w:tcPr>
          <w:p>
            <w:pPr>
              <w:spacing w:before="105" w:line="222" w:lineRule="auto"/>
              <w:ind w:left="269"/>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123" w:type="dxa"/>
          </w:tcPr>
          <w:p>
            <w:pPr>
              <w:spacing w:before="104" w:line="238" w:lineRule="auto"/>
              <w:ind w:left="294"/>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≥30</w:t>
            </w:r>
            <w:r>
              <w:rPr>
                <w:rFonts w:ascii="宋体" w:hAnsi="宋体" w:eastAsia="宋体" w:cs="宋体"/>
                <w:color w:val="auto"/>
                <w:sz w:val="18"/>
                <w:szCs w:val="18"/>
                <w:highlight w:val="none"/>
              </w:rPr>
              <w:t>0</w:t>
            </w:r>
          </w:p>
        </w:tc>
        <w:tc>
          <w:tcPr>
            <w:tcW w:w="1700" w:type="dxa"/>
          </w:tcPr>
          <w:p>
            <w:pPr>
              <w:spacing w:before="104" w:line="236" w:lineRule="auto"/>
              <w:ind w:left="301"/>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1</w:t>
            </w:r>
            <w:r>
              <w:rPr>
                <w:rFonts w:ascii="宋体" w:hAnsi="宋体" w:eastAsia="宋体" w:cs="宋体"/>
                <w:color w:val="auto"/>
                <w:spacing w:val="-2"/>
                <w:sz w:val="18"/>
                <w:szCs w:val="18"/>
                <w:highlight w:val="none"/>
              </w:rPr>
              <w:t>00≤X＜300</w:t>
            </w:r>
          </w:p>
        </w:tc>
        <w:tc>
          <w:tcPr>
            <w:tcW w:w="1425" w:type="dxa"/>
          </w:tcPr>
          <w:p>
            <w:pPr>
              <w:spacing w:before="104" w:line="236" w:lineRule="auto"/>
              <w:ind w:left="281"/>
              <w:rPr>
                <w:rFonts w:ascii="宋体" w:hAnsi="宋体" w:eastAsia="宋体" w:cs="宋体"/>
                <w:color w:val="auto"/>
                <w:sz w:val="18"/>
                <w:szCs w:val="18"/>
                <w:highlight w:val="none"/>
              </w:rPr>
            </w:pPr>
            <w:r>
              <w:rPr>
                <w:rFonts w:ascii="宋体" w:hAnsi="宋体" w:eastAsia="宋体" w:cs="宋体"/>
                <w:color w:val="auto"/>
                <w:spacing w:val="-4"/>
                <w:sz w:val="18"/>
                <w:szCs w:val="18"/>
                <w:highlight w:val="none"/>
              </w:rPr>
              <w:t>1</w:t>
            </w:r>
            <w:r>
              <w:rPr>
                <w:rFonts w:ascii="宋体" w:hAnsi="宋体" w:eastAsia="宋体" w:cs="宋体"/>
                <w:color w:val="auto"/>
                <w:spacing w:val="-2"/>
                <w:sz w:val="18"/>
                <w:szCs w:val="18"/>
                <w:highlight w:val="none"/>
              </w:rPr>
              <w:t>0≤X＜100</w:t>
            </w:r>
          </w:p>
        </w:tc>
        <w:tc>
          <w:tcPr>
            <w:tcW w:w="998" w:type="dxa"/>
          </w:tcPr>
          <w:p>
            <w:pPr>
              <w:spacing w:before="104"/>
              <w:ind w:left="274"/>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3" w:hRule="atLeast"/>
        </w:trPr>
        <w:tc>
          <w:tcPr>
            <w:tcW w:w="2118" w:type="dxa"/>
            <w:vMerge w:val="continue"/>
            <w:tcBorders>
              <w:top w:val="nil"/>
            </w:tcBorders>
          </w:tcPr>
          <w:p>
            <w:pPr>
              <w:rPr>
                <w:color w:val="auto"/>
                <w:highlight w:val="none"/>
              </w:rPr>
            </w:pPr>
          </w:p>
        </w:tc>
        <w:tc>
          <w:tcPr>
            <w:tcW w:w="1368" w:type="dxa"/>
          </w:tcPr>
          <w:p>
            <w:pPr>
              <w:spacing w:before="114" w:line="220" w:lineRule="auto"/>
              <w:ind w:left="19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w:t>
            </w:r>
            <w:r>
              <w:rPr>
                <w:rFonts w:ascii="宋体" w:hAnsi="宋体" w:eastAsia="宋体" w:cs="宋体"/>
                <w:color w:val="auto"/>
                <w:spacing w:val="-1"/>
                <w:sz w:val="18"/>
                <w:szCs w:val="18"/>
                <w:highlight w:val="none"/>
              </w:rPr>
              <w:t>入(Y)</w:t>
            </w:r>
          </w:p>
        </w:tc>
        <w:tc>
          <w:tcPr>
            <w:tcW w:w="710" w:type="dxa"/>
          </w:tcPr>
          <w:p>
            <w:pPr>
              <w:spacing w:before="107" w:line="220" w:lineRule="auto"/>
              <w:ind w:left="180"/>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万元</w:t>
            </w:r>
          </w:p>
        </w:tc>
        <w:tc>
          <w:tcPr>
            <w:tcW w:w="1123" w:type="dxa"/>
          </w:tcPr>
          <w:p>
            <w:pPr>
              <w:spacing w:before="107" w:line="238" w:lineRule="auto"/>
              <w:ind w:left="202"/>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≥10</w:t>
            </w:r>
            <w:r>
              <w:rPr>
                <w:rFonts w:ascii="宋体" w:hAnsi="宋体" w:eastAsia="宋体" w:cs="宋体"/>
                <w:color w:val="auto"/>
                <w:sz w:val="18"/>
                <w:szCs w:val="18"/>
                <w:highlight w:val="none"/>
              </w:rPr>
              <w:t>000</w:t>
            </w:r>
          </w:p>
        </w:tc>
        <w:tc>
          <w:tcPr>
            <w:tcW w:w="1700" w:type="dxa"/>
          </w:tcPr>
          <w:p>
            <w:pPr>
              <w:spacing w:before="107" w:line="236" w:lineRule="auto"/>
              <w:ind w:left="227"/>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2000≤</w:t>
            </w: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＜10</w:t>
            </w:r>
            <w:r>
              <w:rPr>
                <w:rFonts w:ascii="宋体" w:hAnsi="宋体" w:eastAsia="宋体" w:cs="宋体"/>
                <w:color w:val="auto"/>
                <w:sz w:val="18"/>
                <w:szCs w:val="18"/>
                <w:highlight w:val="none"/>
              </w:rPr>
              <w:t>000</w:t>
            </w:r>
          </w:p>
        </w:tc>
        <w:tc>
          <w:tcPr>
            <w:tcW w:w="1425" w:type="dxa"/>
          </w:tcPr>
          <w:p>
            <w:pPr>
              <w:spacing w:before="107" w:line="236" w:lineRule="auto"/>
              <w:ind w:left="192"/>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w:t>
            </w:r>
            <w:r>
              <w:rPr>
                <w:rFonts w:ascii="宋体" w:hAnsi="宋体" w:eastAsia="宋体" w:cs="宋体"/>
                <w:color w:val="auto"/>
                <w:spacing w:val="-1"/>
                <w:sz w:val="18"/>
                <w:szCs w:val="18"/>
                <w:highlight w:val="none"/>
              </w:rPr>
              <w:t>Y</w:t>
            </w:r>
            <w:r>
              <w:rPr>
                <w:rFonts w:ascii="宋体" w:hAnsi="宋体" w:eastAsia="宋体" w:cs="宋体"/>
                <w:color w:val="auto"/>
                <w:spacing w:val="-2"/>
                <w:sz w:val="18"/>
                <w:szCs w:val="18"/>
                <w:highlight w:val="none"/>
              </w:rPr>
              <w:t>＜200</w:t>
            </w:r>
            <w:r>
              <w:rPr>
                <w:rFonts w:ascii="宋体" w:hAnsi="宋体" w:eastAsia="宋体" w:cs="宋体"/>
                <w:color w:val="auto"/>
                <w:spacing w:val="-1"/>
                <w:sz w:val="18"/>
                <w:szCs w:val="18"/>
                <w:highlight w:val="none"/>
              </w:rPr>
              <w:t>0</w:t>
            </w:r>
          </w:p>
        </w:tc>
        <w:tc>
          <w:tcPr>
            <w:tcW w:w="998" w:type="dxa"/>
          </w:tcPr>
          <w:p>
            <w:pPr>
              <w:spacing w:before="107"/>
              <w:ind w:left="230"/>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＜1</w:t>
            </w:r>
            <w:r>
              <w:rPr>
                <w:rFonts w:ascii="宋体" w:hAnsi="宋体" w:eastAsia="宋体" w:cs="宋体"/>
                <w:color w:val="auto"/>
                <w:sz w:val="18"/>
                <w:szCs w:val="18"/>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1" w:hRule="atLeast"/>
        </w:trPr>
        <w:tc>
          <w:tcPr>
            <w:tcW w:w="2118" w:type="dxa"/>
            <w:vMerge w:val="restart"/>
            <w:tcBorders>
              <w:bottom w:val="nil"/>
            </w:tcBorders>
          </w:tcPr>
          <w:p>
            <w:pPr>
              <w:spacing w:line="251" w:lineRule="auto"/>
              <w:rPr>
                <w:color w:val="auto"/>
                <w:highlight w:val="none"/>
              </w:rPr>
            </w:pPr>
          </w:p>
          <w:p>
            <w:pPr>
              <w:spacing w:before="58" w:line="220" w:lineRule="auto"/>
              <w:ind w:left="13"/>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餐饮业</w:t>
            </w:r>
          </w:p>
        </w:tc>
        <w:tc>
          <w:tcPr>
            <w:tcW w:w="1368" w:type="dxa"/>
          </w:tcPr>
          <w:p>
            <w:pPr>
              <w:spacing w:before="105" w:line="220" w:lineRule="auto"/>
              <w:ind w:left="192"/>
              <w:rPr>
                <w:rFonts w:ascii="宋体" w:hAnsi="宋体" w:eastAsia="宋体" w:cs="宋体"/>
                <w:color w:val="auto"/>
                <w:sz w:val="18"/>
                <w:szCs w:val="18"/>
                <w:highlight w:val="none"/>
              </w:rPr>
            </w:pPr>
            <w:r>
              <w:rPr>
                <w:rFonts w:ascii="宋体" w:hAnsi="宋体" w:eastAsia="宋体" w:cs="宋体"/>
                <w:color w:val="auto"/>
                <w:spacing w:val="-15"/>
                <w:sz w:val="18"/>
                <w:szCs w:val="18"/>
                <w:highlight w:val="none"/>
              </w:rPr>
              <w:t>从</w:t>
            </w:r>
            <w:r>
              <w:rPr>
                <w:rFonts w:ascii="宋体" w:hAnsi="宋体" w:eastAsia="宋体" w:cs="宋体"/>
                <w:color w:val="auto"/>
                <w:spacing w:val="-10"/>
                <w:sz w:val="18"/>
                <w:szCs w:val="18"/>
                <w:highlight w:val="none"/>
              </w:rPr>
              <w:t>业人员 (X)</w:t>
            </w:r>
          </w:p>
        </w:tc>
        <w:tc>
          <w:tcPr>
            <w:tcW w:w="710" w:type="dxa"/>
          </w:tcPr>
          <w:p>
            <w:pPr>
              <w:spacing w:before="105" w:line="222" w:lineRule="auto"/>
              <w:ind w:left="269"/>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123" w:type="dxa"/>
          </w:tcPr>
          <w:p>
            <w:pPr>
              <w:spacing w:before="105" w:line="238" w:lineRule="auto"/>
              <w:ind w:left="294"/>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≥30</w:t>
            </w:r>
            <w:r>
              <w:rPr>
                <w:rFonts w:ascii="宋体" w:hAnsi="宋体" w:eastAsia="宋体" w:cs="宋体"/>
                <w:color w:val="auto"/>
                <w:sz w:val="18"/>
                <w:szCs w:val="18"/>
                <w:highlight w:val="none"/>
              </w:rPr>
              <w:t>0</w:t>
            </w:r>
          </w:p>
        </w:tc>
        <w:tc>
          <w:tcPr>
            <w:tcW w:w="1700" w:type="dxa"/>
          </w:tcPr>
          <w:p>
            <w:pPr>
              <w:spacing w:before="105" w:line="236" w:lineRule="auto"/>
              <w:ind w:left="301"/>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1</w:t>
            </w:r>
            <w:r>
              <w:rPr>
                <w:rFonts w:ascii="宋体" w:hAnsi="宋体" w:eastAsia="宋体" w:cs="宋体"/>
                <w:color w:val="auto"/>
                <w:spacing w:val="-2"/>
                <w:sz w:val="18"/>
                <w:szCs w:val="18"/>
                <w:highlight w:val="none"/>
              </w:rPr>
              <w:t>00≤X＜300</w:t>
            </w:r>
          </w:p>
        </w:tc>
        <w:tc>
          <w:tcPr>
            <w:tcW w:w="1425" w:type="dxa"/>
          </w:tcPr>
          <w:p>
            <w:pPr>
              <w:spacing w:before="105" w:line="236" w:lineRule="auto"/>
              <w:ind w:left="281"/>
              <w:rPr>
                <w:rFonts w:ascii="宋体" w:hAnsi="宋体" w:eastAsia="宋体" w:cs="宋体"/>
                <w:color w:val="auto"/>
                <w:sz w:val="18"/>
                <w:szCs w:val="18"/>
                <w:highlight w:val="none"/>
              </w:rPr>
            </w:pPr>
            <w:r>
              <w:rPr>
                <w:rFonts w:ascii="宋体" w:hAnsi="宋体" w:eastAsia="宋体" w:cs="宋体"/>
                <w:color w:val="auto"/>
                <w:spacing w:val="-4"/>
                <w:sz w:val="18"/>
                <w:szCs w:val="18"/>
                <w:highlight w:val="none"/>
              </w:rPr>
              <w:t>1</w:t>
            </w:r>
            <w:r>
              <w:rPr>
                <w:rFonts w:ascii="宋体" w:hAnsi="宋体" w:eastAsia="宋体" w:cs="宋体"/>
                <w:color w:val="auto"/>
                <w:spacing w:val="-2"/>
                <w:sz w:val="18"/>
                <w:szCs w:val="18"/>
                <w:highlight w:val="none"/>
              </w:rPr>
              <w:t>0≤X＜100</w:t>
            </w:r>
          </w:p>
        </w:tc>
        <w:tc>
          <w:tcPr>
            <w:tcW w:w="998" w:type="dxa"/>
          </w:tcPr>
          <w:p>
            <w:pPr>
              <w:spacing w:before="105"/>
              <w:ind w:left="274"/>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3" w:hRule="atLeast"/>
        </w:trPr>
        <w:tc>
          <w:tcPr>
            <w:tcW w:w="2118" w:type="dxa"/>
            <w:vMerge w:val="continue"/>
            <w:tcBorders>
              <w:top w:val="nil"/>
            </w:tcBorders>
          </w:tcPr>
          <w:p>
            <w:pPr>
              <w:rPr>
                <w:color w:val="auto"/>
                <w:highlight w:val="none"/>
              </w:rPr>
            </w:pPr>
          </w:p>
        </w:tc>
        <w:tc>
          <w:tcPr>
            <w:tcW w:w="1368" w:type="dxa"/>
          </w:tcPr>
          <w:p>
            <w:pPr>
              <w:spacing w:before="114" w:line="220" w:lineRule="auto"/>
              <w:ind w:left="19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w:t>
            </w:r>
            <w:r>
              <w:rPr>
                <w:rFonts w:ascii="宋体" w:hAnsi="宋体" w:eastAsia="宋体" w:cs="宋体"/>
                <w:color w:val="auto"/>
                <w:spacing w:val="-1"/>
                <w:sz w:val="18"/>
                <w:szCs w:val="18"/>
                <w:highlight w:val="none"/>
              </w:rPr>
              <w:t>入(Y)</w:t>
            </w:r>
          </w:p>
        </w:tc>
        <w:tc>
          <w:tcPr>
            <w:tcW w:w="710" w:type="dxa"/>
          </w:tcPr>
          <w:p>
            <w:pPr>
              <w:spacing w:before="105" w:line="220" w:lineRule="auto"/>
              <w:ind w:left="180"/>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万元</w:t>
            </w:r>
          </w:p>
        </w:tc>
        <w:tc>
          <w:tcPr>
            <w:tcW w:w="1123" w:type="dxa"/>
          </w:tcPr>
          <w:p>
            <w:pPr>
              <w:spacing w:before="105" w:line="238" w:lineRule="auto"/>
              <w:ind w:left="202"/>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≥10</w:t>
            </w:r>
            <w:r>
              <w:rPr>
                <w:rFonts w:ascii="宋体" w:hAnsi="宋体" w:eastAsia="宋体" w:cs="宋体"/>
                <w:color w:val="auto"/>
                <w:sz w:val="18"/>
                <w:szCs w:val="18"/>
                <w:highlight w:val="none"/>
              </w:rPr>
              <w:t>000</w:t>
            </w:r>
          </w:p>
        </w:tc>
        <w:tc>
          <w:tcPr>
            <w:tcW w:w="1700" w:type="dxa"/>
          </w:tcPr>
          <w:p>
            <w:pPr>
              <w:spacing w:before="105" w:line="236" w:lineRule="auto"/>
              <w:ind w:left="227"/>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2000≤</w:t>
            </w: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＜10</w:t>
            </w:r>
            <w:r>
              <w:rPr>
                <w:rFonts w:ascii="宋体" w:hAnsi="宋体" w:eastAsia="宋体" w:cs="宋体"/>
                <w:color w:val="auto"/>
                <w:sz w:val="18"/>
                <w:szCs w:val="18"/>
                <w:highlight w:val="none"/>
              </w:rPr>
              <w:t>000</w:t>
            </w:r>
          </w:p>
        </w:tc>
        <w:tc>
          <w:tcPr>
            <w:tcW w:w="1425" w:type="dxa"/>
          </w:tcPr>
          <w:p>
            <w:pPr>
              <w:spacing w:before="105" w:line="236" w:lineRule="auto"/>
              <w:ind w:left="192"/>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w:t>
            </w:r>
            <w:r>
              <w:rPr>
                <w:rFonts w:ascii="宋体" w:hAnsi="宋体" w:eastAsia="宋体" w:cs="宋体"/>
                <w:color w:val="auto"/>
                <w:spacing w:val="-1"/>
                <w:sz w:val="18"/>
                <w:szCs w:val="18"/>
                <w:highlight w:val="none"/>
              </w:rPr>
              <w:t>Y</w:t>
            </w:r>
            <w:r>
              <w:rPr>
                <w:rFonts w:ascii="宋体" w:hAnsi="宋体" w:eastAsia="宋体" w:cs="宋体"/>
                <w:color w:val="auto"/>
                <w:spacing w:val="-2"/>
                <w:sz w:val="18"/>
                <w:szCs w:val="18"/>
                <w:highlight w:val="none"/>
              </w:rPr>
              <w:t>＜200</w:t>
            </w:r>
            <w:r>
              <w:rPr>
                <w:rFonts w:ascii="宋体" w:hAnsi="宋体" w:eastAsia="宋体" w:cs="宋体"/>
                <w:color w:val="auto"/>
                <w:spacing w:val="-1"/>
                <w:sz w:val="18"/>
                <w:szCs w:val="18"/>
                <w:highlight w:val="none"/>
              </w:rPr>
              <w:t>0</w:t>
            </w:r>
          </w:p>
        </w:tc>
        <w:tc>
          <w:tcPr>
            <w:tcW w:w="998" w:type="dxa"/>
          </w:tcPr>
          <w:p>
            <w:pPr>
              <w:spacing w:before="105"/>
              <w:ind w:left="230"/>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＜1</w:t>
            </w:r>
            <w:r>
              <w:rPr>
                <w:rFonts w:ascii="宋体" w:hAnsi="宋体" w:eastAsia="宋体" w:cs="宋体"/>
                <w:color w:val="auto"/>
                <w:sz w:val="18"/>
                <w:szCs w:val="18"/>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1" w:hRule="atLeast"/>
        </w:trPr>
        <w:tc>
          <w:tcPr>
            <w:tcW w:w="2118" w:type="dxa"/>
            <w:vMerge w:val="restart"/>
            <w:tcBorders>
              <w:bottom w:val="nil"/>
            </w:tcBorders>
          </w:tcPr>
          <w:p>
            <w:pPr>
              <w:spacing w:line="252" w:lineRule="auto"/>
              <w:rPr>
                <w:color w:val="auto"/>
                <w:highlight w:val="none"/>
              </w:rPr>
            </w:pPr>
          </w:p>
          <w:p>
            <w:pPr>
              <w:spacing w:before="58" w:line="219" w:lineRule="auto"/>
              <w:ind w:left="11"/>
              <w:rPr>
                <w:rFonts w:ascii="宋体" w:hAnsi="宋体" w:eastAsia="宋体" w:cs="宋体"/>
                <w:color w:val="auto"/>
                <w:sz w:val="18"/>
                <w:szCs w:val="18"/>
                <w:highlight w:val="none"/>
              </w:rPr>
            </w:pPr>
            <w:r>
              <w:rPr>
                <w:rFonts w:ascii="宋体" w:hAnsi="宋体" w:eastAsia="宋体" w:cs="宋体"/>
                <w:color w:val="auto"/>
                <w:sz w:val="18"/>
                <w:szCs w:val="18"/>
                <w:highlight w:val="none"/>
              </w:rPr>
              <w:t>信息传输业 *</w:t>
            </w:r>
          </w:p>
        </w:tc>
        <w:tc>
          <w:tcPr>
            <w:tcW w:w="1368" w:type="dxa"/>
          </w:tcPr>
          <w:p>
            <w:pPr>
              <w:spacing w:before="106" w:line="220" w:lineRule="auto"/>
              <w:ind w:left="192"/>
              <w:rPr>
                <w:rFonts w:ascii="宋体" w:hAnsi="宋体" w:eastAsia="宋体" w:cs="宋体"/>
                <w:color w:val="auto"/>
                <w:sz w:val="18"/>
                <w:szCs w:val="18"/>
                <w:highlight w:val="none"/>
              </w:rPr>
            </w:pPr>
            <w:r>
              <w:rPr>
                <w:rFonts w:ascii="宋体" w:hAnsi="宋体" w:eastAsia="宋体" w:cs="宋体"/>
                <w:color w:val="auto"/>
                <w:spacing w:val="-15"/>
                <w:sz w:val="18"/>
                <w:szCs w:val="18"/>
                <w:highlight w:val="none"/>
              </w:rPr>
              <w:t>从</w:t>
            </w:r>
            <w:r>
              <w:rPr>
                <w:rFonts w:ascii="宋体" w:hAnsi="宋体" w:eastAsia="宋体" w:cs="宋体"/>
                <w:color w:val="auto"/>
                <w:spacing w:val="-10"/>
                <w:sz w:val="18"/>
                <w:szCs w:val="18"/>
                <w:highlight w:val="none"/>
              </w:rPr>
              <w:t>业人员 (X)</w:t>
            </w:r>
          </w:p>
        </w:tc>
        <w:tc>
          <w:tcPr>
            <w:tcW w:w="710" w:type="dxa"/>
          </w:tcPr>
          <w:p>
            <w:pPr>
              <w:spacing w:before="106" w:line="222" w:lineRule="auto"/>
              <w:ind w:left="269"/>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123" w:type="dxa"/>
          </w:tcPr>
          <w:p>
            <w:pPr>
              <w:spacing w:before="105" w:line="238" w:lineRule="auto"/>
              <w:ind w:left="249"/>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≥20</w:t>
            </w:r>
            <w:r>
              <w:rPr>
                <w:rFonts w:ascii="宋体" w:hAnsi="宋体" w:eastAsia="宋体" w:cs="宋体"/>
                <w:color w:val="auto"/>
                <w:sz w:val="18"/>
                <w:szCs w:val="18"/>
                <w:highlight w:val="none"/>
              </w:rPr>
              <w:t>00</w:t>
            </w:r>
          </w:p>
        </w:tc>
        <w:tc>
          <w:tcPr>
            <w:tcW w:w="1700" w:type="dxa"/>
          </w:tcPr>
          <w:p>
            <w:pPr>
              <w:spacing w:before="106" w:line="236" w:lineRule="auto"/>
              <w:ind w:left="327"/>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w:t>
            </w:r>
            <w:r>
              <w:rPr>
                <w:rFonts w:ascii="宋体" w:hAnsi="宋体" w:eastAsia="宋体" w:cs="宋体"/>
                <w:color w:val="auto"/>
                <w:spacing w:val="-1"/>
                <w:sz w:val="18"/>
                <w:szCs w:val="18"/>
                <w:highlight w:val="none"/>
              </w:rPr>
              <w:t>X</w:t>
            </w:r>
            <w:r>
              <w:rPr>
                <w:rFonts w:ascii="宋体" w:hAnsi="宋体" w:eastAsia="宋体" w:cs="宋体"/>
                <w:color w:val="auto"/>
                <w:spacing w:val="-2"/>
                <w:sz w:val="18"/>
                <w:szCs w:val="18"/>
                <w:highlight w:val="none"/>
              </w:rPr>
              <w:t>＜2000</w:t>
            </w:r>
          </w:p>
        </w:tc>
        <w:tc>
          <w:tcPr>
            <w:tcW w:w="1425" w:type="dxa"/>
          </w:tcPr>
          <w:p>
            <w:pPr>
              <w:spacing w:before="106" w:line="236" w:lineRule="auto"/>
              <w:ind w:left="281"/>
              <w:rPr>
                <w:rFonts w:ascii="宋体" w:hAnsi="宋体" w:eastAsia="宋体" w:cs="宋体"/>
                <w:color w:val="auto"/>
                <w:sz w:val="18"/>
                <w:szCs w:val="18"/>
                <w:highlight w:val="none"/>
              </w:rPr>
            </w:pPr>
            <w:r>
              <w:rPr>
                <w:rFonts w:ascii="宋体" w:hAnsi="宋体" w:eastAsia="宋体" w:cs="宋体"/>
                <w:color w:val="auto"/>
                <w:spacing w:val="-4"/>
                <w:sz w:val="18"/>
                <w:szCs w:val="18"/>
                <w:highlight w:val="none"/>
              </w:rPr>
              <w:t>1</w:t>
            </w:r>
            <w:r>
              <w:rPr>
                <w:rFonts w:ascii="宋体" w:hAnsi="宋体" w:eastAsia="宋体" w:cs="宋体"/>
                <w:color w:val="auto"/>
                <w:spacing w:val="-2"/>
                <w:sz w:val="18"/>
                <w:szCs w:val="18"/>
                <w:highlight w:val="none"/>
              </w:rPr>
              <w:t>0≤X＜100</w:t>
            </w:r>
          </w:p>
        </w:tc>
        <w:tc>
          <w:tcPr>
            <w:tcW w:w="998" w:type="dxa"/>
          </w:tcPr>
          <w:p>
            <w:pPr>
              <w:spacing w:before="105"/>
              <w:ind w:left="274"/>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3" w:hRule="atLeast"/>
        </w:trPr>
        <w:tc>
          <w:tcPr>
            <w:tcW w:w="2118" w:type="dxa"/>
            <w:vMerge w:val="continue"/>
            <w:tcBorders>
              <w:top w:val="nil"/>
            </w:tcBorders>
          </w:tcPr>
          <w:p>
            <w:pPr>
              <w:rPr>
                <w:color w:val="auto"/>
                <w:highlight w:val="none"/>
              </w:rPr>
            </w:pPr>
          </w:p>
        </w:tc>
        <w:tc>
          <w:tcPr>
            <w:tcW w:w="1368" w:type="dxa"/>
          </w:tcPr>
          <w:p>
            <w:pPr>
              <w:spacing w:before="115" w:line="220" w:lineRule="auto"/>
              <w:ind w:left="19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w:t>
            </w:r>
            <w:r>
              <w:rPr>
                <w:rFonts w:ascii="宋体" w:hAnsi="宋体" w:eastAsia="宋体" w:cs="宋体"/>
                <w:color w:val="auto"/>
                <w:spacing w:val="-1"/>
                <w:sz w:val="18"/>
                <w:szCs w:val="18"/>
                <w:highlight w:val="none"/>
              </w:rPr>
              <w:t>入(Y)</w:t>
            </w:r>
          </w:p>
        </w:tc>
        <w:tc>
          <w:tcPr>
            <w:tcW w:w="710" w:type="dxa"/>
          </w:tcPr>
          <w:p>
            <w:pPr>
              <w:spacing w:before="106" w:line="220" w:lineRule="auto"/>
              <w:ind w:left="180"/>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万元</w:t>
            </w:r>
          </w:p>
        </w:tc>
        <w:tc>
          <w:tcPr>
            <w:tcW w:w="1123" w:type="dxa"/>
          </w:tcPr>
          <w:p>
            <w:pPr>
              <w:spacing w:before="105" w:line="238" w:lineRule="auto"/>
              <w:ind w:left="157"/>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≥10</w:t>
            </w:r>
            <w:r>
              <w:rPr>
                <w:rFonts w:ascii="宋体" w:hAnsi="宋体" w:eastAsia="宋体" w:cs="宋体"/>
                <w:color w:val="auto"/>
                <w:sz w:val="18"/>
                <w:szCs w:val="18"/>
                <w:highlight w:val="none"/>
              </w:rPr>
              <w:t>0000</w:t>
            </w:r>
          </w:p>
        </w:tc>
        <w:tc>
          <w:tcPr>
            <w:tcW w:w="1700" w:type="dxa"/>
          </w:tcPr>
          <w:p>
            <w:pPr>
              <w:spacing w:before="106" w:line="236" w:lineRule="auto"/>
              <w:ind w:left="193"/>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1000≤</w:t>
            </w:r>
            <w:r>
              <w:rPr>
                <w:rFonts w:ascii="宋体" w:hAnsi="宋体" w:eastAsia="宋体" w:cs="宋体"/>
                <w:color w:val="auto"/>
                <w:spacing w:val="-1"/>
                <w:sz w:val="18"/>
                <w:szCs w:val="18"/>
                <w:highlight w:val="none"/>
              </w:rPr>
              <w:t>Y</w:t>
            </w:r>
            <w:r>
              <w:rPr>
                <w:rFonts w:ascii="宋体" w:hAnsi="宋体" w:eastAsia="宋体" w:cs="宋体"/>
                <w:color w:val="auto"/>
                <w:spacing w:val="-2"/>
                <w:sz w:val="18"/>
                <w:szCs w:val="18"/>
                <w:highlight w:val="none"/>
              </w:rPr>
              <w:t>＜</w:t>
            </w:r>
            <w:r>
              <w:rPr>
                <w:rFonts w:ascii="宋体" w:hAnsi="宋体" w:eastAsia="宋体" w:cs="宋体"/>
                <w:color w:val="auto"/>
                <w:spacing w:val="-1"/>
                <w:sz w:val="18"/>
                <w:szCs w:val="18"/>
                <w:highlight w:val="none"/>
              </w:rPr>
              <w:t>100000</w:t>
            </w:r>
          </w:p>
        </w:tc>
        <w:tc>
          <w:tcPr>
            <w:tcW w:w="1425" w:type="dxa"/>
          </w:tcPr>
          <w:p>
            <w:pPr>
              <w:spacing w:before="106" w:line="236" w:lineRule="auto"/>
              <w:ind w:left="192"/>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w:t>
            </w:r>
            <w:r>
              <w:rPr>
                <w:rFonts w:ascii="宋体" w:hAnsi="宋体" w:eastAsia="宋体" w:cs="宋体"/>
                <w:color w:val="auto"/>
                <w:spacing w:val="-1"/>
                <w:sz w:val="18"/>
                <w:szCs w:val="18"/>
                <w:highlight w:val="none"/>
              </w:rPr>
              <w:t>Y</w:t>
            </w:r>
            <w:r>
              <w:rPr>
                <w:rFonts w:ascii="宋体" w:hAnsi="宋体" w:eastAsia="宋体" w:cs="宋体"/>
                <w:color w:val="auto"/>
                <w:spacing w:val="-2"/>
                <w:sz w:val="18"/>
                <w:szCs w:val="18"/>
                <w:highlight w:val="none"/>
              </w:rPr>
              <w:t>＜100</w:t>
            </w:r>
            <w:r>
              <w:rPr>
                <w:rFonts w:ascii="宋体" w:hAnsi="宋体" w:eastAsia="宋体" w:cs="宋体"/>
                <w:color w:val="auto"/>
                <w:spacing w:val="-1"/>
                <w:sz w:val="18"/>
                <w:szCs w:val="18"/>
                <w:highlight w:val="none"/>
              </w:rPr>
              <w:t>0</w:t>
            </w:r>
          </w:p>
        </w:tc>
        <w:tc>
          <w:tcPr>
            <w:tcW w:w="998" w:type="dxa"/>
          </w:tcPr>
          <w:p>
            <w:pPr>
              <w:spacing w:before="105"/>
              <w:ind w:left="230"/>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＜1</w:t>
            </w:r>
            <w:r>
              <w:rPr>
                <w:rFonts w:ascii="宋体" w:hAnsi="宋体" w:eastAsia="宋体" w:cs="宋体"/>
                <w:color w:val="auto"/>
                <w:sz w:val="18"/>
                <w:szCs w:val="18"/>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3" w:hRule="atLeast"/>
        </w:trPr>
        <w:tc>
          <w:tcPr>
            <w:tcW w:w="2118" w:type="dxa"/>
            <w:vMerge w:val="restart"/>
            <w:tcBorders>
              <w:bottom w:val="nil"/>
            </w:tcBorders>
          </w:tcPr>
          <w:p>
            <w:pPr>
              <w:spacing w:before="254" w:line="220" w:lineRule="auto"/>
              <w:ind w:left="13"/>
              <w:rPr>
                <w:rFonts w:ascii="宋体" w:hAnsi="宋体" w:eastAsia="宋体" w:cs="宋体"/>
                <w:color w:val="auto"/>
                <w:sz w:val="18"/>
                <w:szCs w:val="18"/>
                <w:highlight w:val="none"/>
              </w:rPr>
            </w:pPr>
            <w:r>
              <w:rPr>
                <w:rFonts w:ascii="宋体" w:hAnsi="宋体" w:eastAsia="宋体" w:cs="宋体"/>
                <w:color w:val="auto"/>
                <w:spacing w:val="-19"/>
                <w:sz w:val="18"/>
                <w:szCs w:val="18"/>
                <w:highlight w:val="none"/>
              </w:rPr>
              <w:t>软件和信息技术服务业</w:t>
            </w:r>
          </w:p>
        </w:tc>
        <w:tc>
          <w:tcPr>
            <w:tcW w:w="1368" w:type="dxa"/>
          </w:tcPr>
          <w:p>
            <w:pPr>
              <w:spacing w:before="77" w:line="220" w:lineRule="auto"/>
              <w:ind w:left="192"/>
              <w:rPr>
                <w:rFonts w:ascii="宋体" w:hAnsi="宋体" w:eastAsia="宋体" w:cs="宋体"/>
                <w:color w:val="auto"/>
                <w:sz w:val="18"/>
                <w:szCs w:val="18"/>
                <w:highlight w:val="none"/>
              </w:rPr>
            </w:pPr>
            <w:r>
              <w:rPr>
                <w:rFonts w:ascii="宋体" w:hAnsi="宋体" w:eastAsia="宋体" w:cs="宋体"/>
                <w:color w:val="auto"/>
                <w:spacing w:val="-15"/>
                <w:sz w:val="18"/>
                <w:szCs w:val="18"/>
                <w:highlight w:val="none"/>
              </w:rPr>
              <w:t>从</w:t>
            </w:r>
            <w:r>
              <w:rPr>
                <w:rFonts w:ascii="宋体" w:hAnsi="宋体" w:eastAsia="宋体" w:cs="宋体"/>
                <w:color w:val="auto"/>
                <w:spacing w:val="-10"/>
                <w:sz w:val="18"/>
                <w:szCs w:val="18"/>
                <w:highlight w:val="none"/>
              </w:rPr>
              <w:t>业人员 (X)</w:t>
            </w:r>
          </w:p>
        </w:tc>
        <w:tc>
          <w:tcPr>
            <w:tcW w:w="710" w:type="dxa"/>
          </w:tcPr>
          <w:p>
            <w:pPr>
              <w:spacing w:before="77" w:line="222" w:lineRule="auto"/>
              <w:ind w:left="269"/>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123" w:type="dxa"/>
          </w:tcPr>
          <w:p>
            <w:pPr>
              <w:spacing w:before="77" w:line="238" w:lineRule="auto"/>
              <w:ind w:left="294"/>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≥30</w:t>
            </w:r>
            <w:r>
              <w:rPr>
                <w:rFonts w:ascii="宋体" w:hAnsi="宋体" w:eastAsia="宋体" w:cs="宋体"/>
                <w:color w:val="auto"/>
                <w:sz w:val="18"/>
                <w:szCs w:val="18"/>
                <w:highlight w:val="none"/>
              </w:rPr>
              <w:t>0</w:t>
            </w:r>
          </w:p>
        </w:tc>
        <w:tc>
          <w:tcPr>
            <w:tcW w:w="1700" w:type="dxa"/>
          </w:tcPr>
          <w:p>
            <w:pPr>
              <w:spacing w:before="77" w:line="236" w:lineRule="auto"/>
              <w:ind w:left="301"/>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1</w:t>
            </w:r>
            <w:r>
              <w:rPr>
                <w:rFonts w:ascii="宋体" w:hAnsi="宋体" w:eastAsia="宋体" w:cs="宋体"/>
                <w:color w:val="auto"/>
                <w:spacing w:val="-2"/>
                <w:sz w:val="18"/>
                <w:szCs w:val="18"/>
                <w:highlight w:val="none"/>
              </w:rPr>
              <w:t>00≤X＜300</w:t>
            </w:r>
          </w:p>
        </w:tc>
        <w:tc>
          <w:tcPr>
            <w:tcW w:w="1425" w:type="dxa"/>
          </w:tcPr>
          <w:p>
            <w:pPr>
              <w:spacing w:before="77" w:line="236" w:lineRule="auto"/>
              <w:ind w:left="281"/>
              <w:rPr>
                <w:rFonts w:ascii="宋体" w:hAnsi="宋体" w:eastAsia="宋体" w:cs="宋体"/>
                <w:color w:val="auto"/>
                <w:sz w:val="18"/>
                <w:szCs w:val="18"/>
                <w:highlight w:val="none"/>
              </w:rPr>
            </w:pPr>
            <w:r>
              <w:rPr>
                <w:rFonts w:ascii="宋体" w:hAnsi="宋体" w:eastAsia="宋体" w:cs="宋体"/>
                <w:color w:val="auto"/>
                <w:spacing w:val="-4"/>
                <w:sz w:val="18"/>
                <w:szCs w:val="18"/>
                <w:highlight w:val="none"/>
              </w:rPr>
              <w:t>1</w:t>
            </w:r>
            <w:r>
              <w:rPr>
                <w:rFonts w:ascii="宋体" w:hAnsi="宋体" w:eastAsia="宋体" w:cs="宋体"/>
                <w:color w:val="auto"/>
                <w:spacing w:val="-2"/>
                <w:sz w:val="18"/>
                <w:szCs w:val="18"/>
                <w:highlight w:val="none"/>
              </w:rPr>
              <w:t>0≤X＜100</w:t>
            </w:r>
          </w:p>
        </w:tc>
        <w:tc>
          <w:tcPr>
            <w:tcW w:w="998" w:type="dxa"/>
          </w:tcPr>
          <w:p>
            <w:pPr>
              <w:spacing w:before="77"/>
              <w:ind w:left="274"/>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6" w:hRule="atLeast"/>
        </w:trPr>
        <w:tc>
          <w:tcPr>
            <w:tcW w:w="2118" w:type="dxa"/>
            <w:vMerge w:val="continue"/>
            <w:tcBorders>
              <w:top w:val="nil"/>
            </w:tcBorders>
          </w:tcPr>
          <w:p>
            <w:pPr>
              <w:rPr>
                <w:color w:val="auto"/>
                <w:highlight w:val="none"/>
              </w:rPr>
            </w:pPr>
          </w:p>
        </w:tc>
        <w:tc>
          <w:tcPr>
            <w:tcW w:w="1368" w:type="dxa"/>
          </w:tcPr>
          <w:p>
            <w:pPr>
              <w:spacing w:before="77" w:line="220" w:lineRule="auto"/>
              <w:ind w:left="19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w:t>
            </w:r>
            <w:r>
              <w:rPr>
                <w:rFonts w:ascii="宋体" w:hAnsi="宋体" w:eastAsia="宋体" w:cs="宋体"/>
                <w:color w:val="auto"/>
                <w:spacing w:val="-1"/>
                <w:sz w:val="18"/>
                <w:szCs w:val="18"/>
                <w:highlight w:val="none"/>
              </w:rPr>
              <w:t>入(Y)</w:t>
            </w:r>
          </w:p>
        </w:tc>
        <w:tc>
          <w:tcPr>
            <w:tcW w:w="710" w:type="dxa"/>
          </w:tcPr>
          <w:p>
            <w:pPr>
              <w:spacing w:before="78" w:line="220" w:lineRule="auto"/>
              <w:ind w:left="180"/>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万元</w:t>
            </w:r>
          </w:p>
        </w:tc>
        <w:tc>
          <w:tcPr>
            <w:tcW w:w="1123" w:type="dxa"/>
          </w:tcPr>
          <w:p>
            <w:pPr>
              <w:spacing w:before="77" w:line="238" w:lineRule="auto"/>
              <w:ind w:left="202"/>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≥10</w:t>
            </w:r>
            <w:r>
              <w:rPr>
                <w:rFonts w:ascii="宋体" w:hAnsi="宋体" w:eastAsia="宋体" w:cs="宋体"/>
                <w:color w:val="auto"/>
                <w:sz w:val="18"/>
                <w:szCs w:val="18"/>
                <w:highlight w:val="none"/>
              </w:rPr>
              <w:t>000</w:t>
            </w:r>
          </w:p>
        </w:tc>
        <w:tc>
          <w:tcPr>
            <w:tcW w:w="1700" w:type="dxa"/>
          </w:tcPr>
          <w:p>
            <w:pPr>
              <w:spacing w:before="78" w:line="236" w:lineRule="auto"/>
              <w:ind w:left="238"/>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1000≤</w:t>
            </w:r>
            <w:r>
              <w:rPr>
                <w:rFonts w:ascii="宋体" w:hAnsi="宋体" w:eastAsia="宋体" w:cs="宋体"/>
                <w:color w:val="auto"/>
                <w:spacing w:val="-1"/>
                <w:sz w:val="18"/>
                <w:szCs w:val="18"/>
                <w:highlight w:val="none"/>
              </w:rPr>
              <w:t>Y</w:t>
            </w:r>
            <w:r>
              <w:rPr>
                <w:rFonts w:ascii="宋体" w:hAnsi="宋体" w:eastAsia="宋体" w:cs="宋体"/>
                <w:color w:val="auto"/>
                <w:spacing w:val="-2"/>
                <w:sz w:val="18"/>
                <w:szCs w:val="18"/>
                <w:highlight w:val="none"/>
              </w:rPr>
              <w:t>＜1</w:t>
            </w:r>
            <w:r>
              <w:rPr>
                <w:rFonts w:ascii="宋体" w:hAnsi="宋体" w:eastAsia="宋体" w:cs="宋体"/>
                <w:color w:val="auto"/>
                <w:spacing w:val="-1"/>
                <w:sz w:val="18"/>
                <w:szCs w:val="18"/>
                <w:highlight w:val="none"/>
              </w:rPr>
              <w:t>0000</w:t>
            </w:r>
          </w:p>
        </w:tc>
        <w:tc>
          <w:tcPr>
            <w:tcW w:w="1425" w:type="dxa"/>
          </w:tcPr>
          <w:p>
            <w:pPr>
              <w:spacing w:before="78" w:line="236" w:lineRule="auto"/>
              <w:ind w:left="225"/>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50≤</w:t>
            </w: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＜1000</w:t>
            </w:r>
          </w:p>
        </w:tc>
        <w:tc>
          <w:tcPr>
            <w:tcW w:w="998" w:type="dxa"/>
          </w:tcPr>
          <w:p>
            <w:pPr>
              <w:spacing w:before="77"/>
              <w:ind w:left="273"/>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＜5</w:t>
            </w:r>
            <w:r>
              <w:rPr>
                <w:rFonts w:ascii="宋体" w:hAnsi="宋体" w:eastAsia="宋体" w:cs="宋体"/>
                <w:color w:val="auto"/>
                <w:sz w:val="18"/>
                <w:szCs w:val="18"/>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6" w:hRule="atLeast"/>
        </w:trPr>
        <w:tc>
          <w:tcPr>
            <w:tcW w:w="2118" w:type="dxa"/>
            <w:vMerge w:val="restart"/>
            <w:tcBorders>
              <w:bottom w:val="nil"/>
            </w:tcBorders>
          </w:tcPr>
          <w:p>
            <w:pPr>
              <w:spacing w:before="257" w:line="220" w:lineRule="auto"/>
              <w:ind w:left="1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房地产开发经营</w:t>
            </w:r>
          </w:p>
        </w:tc>
        <w:tc>
          <w:tcPr>
            <w:tcW w:w="1368" w:type="dxa"/>
          </w:tcPr>
          <w:p>
            <w:pPr>
              <w:spacing w:before="77" w:line="220" w:lineRule="auto"/>
              <w:ind w:left="19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w:t>
            </w:r>
            <w:r>
              <w:rPr>
                <w:rFonts w:ascii="宋体" w:hAnsi="宋体" w:eastAsia="宋体" w:cs="宋体"/>
                <w:color w:val="auto"/>
                <w:spacing w:val="-1"/>
                <w:sz w:val="18"/>
                <w:szCs w:val="18"/>
                <w:highlight w:val="none"/>
              </w:rPr>
              <w:t>入(Y)</w:t>
            </w:r>
          </w:p>
        </w:tc>
        <w:tc>
          <w:tcPr>
            <w:tcW w:w="710" w:type="dxa"/>
          </w:tcPr>
          <w:p>
            <w:pPr>
              <w:spacing w:before="78" w:line="220" w:lineRule="auto"/>
              <w:ind w:left="180"/>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万元</w:t>
            </w:r>
          </w:p>
        </w:tc>
        <w:tc>
          <w:tcPr>
            <w:tcW w:w="1123" w:type="dxa"/>
          </w:tcPr>
          <w:p>
            <w:pPr>
              <w:spacing w:before="77" w:line="238" w:lineRule="auto"/>
              <w:ind w:left="157"/>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≥20</w:t>
            </w:r>
            <w:r>
              <w:rPr>
                <w:rFonts w:ascii="宋体" w:hAnsi="宋体" w:eastAsia="宋体" w:cs="宋体"/>
                <w:color w:val="auto"/>
                <w:sz w:val="18"/>
                <w:szCs w:val="18"/>
                <w:highlight w:val="none"/>
              </w:rPr>
              <w:t>0000</w:t>
            </w:r>
          </w:p>
        </w:tc>
        <w:tc>
          <w:tcPr>
            <w:tcW w:w="1700" w:type="dxa"/>
          </w:tcPr>
          <w:p>
            <w:pPr>
              <w:spacing w:before="77" w:line="236" w:lineRule="auto"/>
              <w:ind w:left="193"/>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1000≤</w:t>
            </w:r>
            <w:r>
              <w:rPr>
                <w:rFonts w:ascii="宋体" w:hAnsi="宋体" w:eastAsia="宋体" w:cs="宋体"/>
                <w:color w:val="auto"/>
                <w:spacing w:val="-1"/>
                <w:sz w:val="18"/>
                <w:szCs w:val="18"/>
                <w:highlight w:val="none"/>
              </w:rPr>
              <w:t>Y</w:t>
            </w:r>
            <w:r>
              <w:rPr>
                <w:rFonts w:ascii="宋体" w:hAnsi="宋体" w:eastAsia="宋体" w:cs="宋体"/>
                <w:color w:val="auto"/>
                <w:spacing w:val="-2"/>
                <w:sz w:val="18"/>
                <w:szCs w:val="18"/>
                <w:highlight w:val="none"/>
              </w:rPr>
              <w:t>＜</w:t>
            </w:r>
            <w:r>
              <w:rPr>
                <w:rFonts w:ascii="宋体" w:hAnsi="宋体" w:eastAsia="宋体" w:cs="宋体"/>
                <w:color w:val="auto"/>
                <w:spacing w:val="-1"/>
                <w:sz w:val="18"/>
                <w:szCs w:val="18"/>
                <w:highlight w:val="none"/>
              </w:rPr>
              <w:t>200000</w:t>
            </w:r>
          </w:p>
        </w:tc>
        <w:tc>
          <w:tcPr>
            <w:tcW w:w="1425" w:type="dxa"/>
          </w:tcPr>
          <w:p>
            <w:pPr>
              <w:spacing w:before="77" w:line="236" w:lineRule="auto"/>
              <w:ind w:left="192"/>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w:t>
            </w:r>
            <w:r>
              <w:rPr>
                <w:rFonts w:ascii="宋体" w:hAnsi="宋体" w:eastAsia="宋体" w:cs="宋体"/>
                <w:color w:val="auto"/>
                <w:spacing w:val="-1"/>
                <w:sz w:val="18"/>
                <w:szCs w:val="18"/>
                <w:highlight w:val="none"/>
              </w:rPr>
              <w:t>Y</w:t>
            </w:r>
            <w:r>
              <w:rPr>
                <w:rFonts w:ascii="宋体" w:hAnsi="宋体" w:eastAsia="宋体" w:cs="宋体"/>
                <w:color w:val="auto"/>
                <w:spacing w:val="-2"/>
                <w:sz w:val="18"/>
                <w:szCs w:val="18"/>
                <w:highlight w:val="none"/>
              </w:rPr>
              <w:t>＜100</w:t>
            </w:r>
            <w:r>
              <w:rPr>
                <w:rFonts w:ascii="宋体" w:hAnsi="宋体" w:eastAsia="宋体" w:cs="宋体"/>
                <w:color w:val="auto"/>
                <w:spacing w:val="-1"/>
                <w:sz w:val="18"/>
                <w:szCs w:val="18"/>
                <w:highlight w:val="none"/>
              </w:rPr>
              <w:t>0</w:t>
            </w:r>
          </w:p>
        </w:tc>
        <w:tc>
          <w:tcPr>
            <w:tcW w:w="998" w:type="dxa"/>
          </w:tcPr>
          <w:p>
            <w:pPr>
              <w:spacing w:before="77"/>
              <w:ind w:left="230"/>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＜1</w:t>
            </w:r>
            <w:r>
              <w:rPr>
                <w:rFonts w:ascii="宋体" w:hAnsi="宋体" w:eastAsia="宋体" w:cs="宋体"/>
                <w:color w:val="auto"/>
                <w:sz w:val="18"/>
                <w:szCs w:val="18"/>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3" w:hRule="atLeast"/>
        </w:trPr>
        <w:tc>
          <w:tcPr>
            <w:tcW w:w="2118" w:type="dxa"/>
            <w:vMerge w:val="continue"/>
            <w:tcBorders>
              <w:top w:val="nil"/>
            </w:tcBorders>
          </w:tcPr>
          <w:p>
            <w:pPr>
              <w:rPr>
                <w:color w:val="auto"/>
                <w:highlight w:val="none"/>
              </w:rPr>
            </w:pPr>
          </w:p>
        </w:tc>
        <w:tc>
          <w:tcPr>
            <w:tcW w:w="1368" w:type="dxa"/>
          </w:tcPr>
          <w:p>
            <w:pPr>
              <w:spacing w:before="84" w:line="220" w:lineRule="auto"/>
              <w:ind w:left="198"/>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资产总额(</w:t>
            </w:r>
            <w:r>
              <w:rPr>
                <w:rFonts w:ascii="宋体" w:hAnsi="宋体" w:eastAsia="宋体" w:cs="宋体"/>
                <w:color w:val="auto"/>
                <w:spacing w:val="-1"/>
                <w:sz w:val="18"/>
                <w:szCs w:val="18"/>
                <w:highlight w:val="none"/>
              </w:rPr>
              <w:t>Z)</w:t>
            </w:r>
          </w:p>
        </w:tc>
        <w:tc>
          <w:tcPr>
            <w:tcW w:w="710" w:type="dxa"/>
          </w:tcPr>
          <w:p>
            <w:pPr>
              <w:spacing w:before="77" w:line="220" w:lineRule="auto"/>
              <w:ind w:left="180"/>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万元</w:t>
            </w:r>
          </w:p>
        </w:tc>
        <w:tc>
          <w:tcPr>
            <w:tcW w:w="1123" w:type="dxa"/>
          </w:tcPr>
          <w:p>
            <w:pPr>
              <w:spacing w:before="77" w:line="238" w:lineRule="auto"/>
              <w:ind w:left="205"/>
              <w:rPr>
                <w:rFonts w:ascii="宋体" w:hAnsi="宋体" w:eastAsia="宋体" w:cs="宋体"/>
                <w:color w:val="auto"/>
                <w:sz w:val="18"/>
                <w:szCs w:val="18"/>
                <w:highlight w:val="none"/>
              </w:rPr>
            </w:pPr>
            <w:r>
              <w:rPr>
                <w:rFonts w:ascii="宋体" w:hAnsi="宋体" w:eastAsia="宋体" w:cs="宋体"/>
                <w:color w:val="auto"/>
                <w:sz w:val="18"/>
                <w:szCs w:val="18"/>
                <w:highlight w:val="none"/>
              </w:rPr>
              <w:t>Z</w:t>
            </w:r>
            <w:r>
              <w:rPr>
                <w:rFonts w:ascii="宋体" w:hAnsi="宋体" w:eastAsia="宋体" w:cs="宋体"/>
                <w:color w:val="auto"/>
                <w:spacing w:val="-1"/>
                <w:sz w:val="18"/>
                <w:szCs w:val="18"/>
                <w:highlight w:val="none"/>
              </w:rPr>
              <w:t>≥1000</w:t>
            </w:r>
            <w:r>
              <w:rPr>
                <w:rFonts w:ascii="宋体" w:hAnsi="宋体" w:eastAsia="宋体" w:cs="宋体"/>
                <w:color w:val="auto"/>
                <w:sz w:val="18"/>
                <w:szCs w:val="18"/>
                <w:highlight w:val="none"/>
              </w:rPr>
              <w:t>0</w:t>
            </w:r>
          </w:p>
        </w:tc>
        <w:tc>
          <w:tcPr>
            <w:tcW w:w="1700" w:type="dxa"/>
          </w:tcPr>
          <w:p>
            <w:pPr>
              <w:spacing w:before="77" w:line="236" w:lineRule="auto"/>
              <w:ind w:left="229"/>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5000≤</w:t>
            </w:r>
            <w:r>
              <w:rPr>
                <w:rFonts w:ascii="宋体" w:hAnsi="宋体" w:eastAsia="宋体" w:cs="宋体"/>
                <w:color w:val="auto"/>
                <w:sz w:val="18"/>
                <w:szCs w:val="18"/>
                <w:highlight w:val="none"/>
              </w:rPr>
              <w:t>Z</w:t>
            </w:r>
            <w:r>
              <w:rPr>
                <w:rFonts w:ascii="宋体" w:hAnsi="宋体" w:eastAsia="宋体" w:cs="宋体"/>
                <w:color w:val="auto"/>
                <w:spacing w:val="-1"/>
                <w:sz w:val="18"/>
                <w:szCs w:val="18"/>
                <w:highlight w:val="none"/>
              </w:rPr>
              <w:t>＜100</w:t>
            </w:r>
            <w:r>
              <w:rPr>
                <w:rFonts w:ascii="宋体" w:hAnsi="宋体" w:eastAsia="宋体" w:cs="宋体"/>
                <w:color w:val="auto"/>
                <w:sz w:val="18"/>
                <w:szCs w:val="18"/>
                <w:highlight w:val="none"/>
              </w:rPr>
              <w:t>00</w:t>
            </w:r>
          </w:p>
        </w:tc>
        <w:tc>
          <w:tcPr>
            <w:tcW w:w="1425" w:type="dxa"/>
          </w:tcPr>
          <w:p>
            <w:pPr>
              <w:spacing w:before="77" w:line="236" w:lineRule="auto"/>
              <w:ind w:left="135"/>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2000≤</w:t>
            </w:r>
            <w:r>
              <w:rPr>
                <w:rFonts w:ascii="宋体" w:hAnsi="宋体" w:eastAsia="宋体" w:cs="宋体"/>
                <w:color w:val="auto"/>
                <w:sz w:val="18"/>
                <w:szCs w:val="18"/>
                <w:highlight w:val="none"/>
              </w:rPr>
              <w:t>Z</w:t>
            </w:r>
            <w:r>
              <w:rPr>
                <w:rFonts w:ascii="宋体" w:hAnsi="宋体" w:eastAsia="宋体" w:cs="宋体"/>
                <w:color w:val="auto"/>
                <w:spacing w:val="-1"/>
                <w:sz w:val="18"/>
                <w:szCs w:val="18"/>
                <w:highlight w:val="none"/>
              </w:rPr>
              <w:t>＜5</w:t>
            </w:r>
            <w:r>
              <w:rPr>
                <w:rFonts w:ascii="宋体" w:hAnsi="宋体" w:eastAsia="宋体" w:cs="宋体"/>
                <w:color w:val="auto"/>
                <w:sz w:val="18"/>
                <w:szCs w:val="18"/>
                <w:highlight w:val="none"/>
              </w:rPr>
              <w:t>000</w:t>
            </w:r>
          </w:p>
        </w:tc>
        <w:tc>
          <w:tcPr>
            <w:tcW w:w="998" w:type="dxa"/>
          </w:tcPr>
          <w:p>
            <w:pPr>
              <w:spacing w:before="77"/>
              <w:ind w:left="186"/>
              <w:rPr>
                <w:rFonts w:ascii="宋体" w:hAnsi="宋体" w:eastAsia="宋体" w:cs="宋体"/>
                <w:color w:val="auto"/>
                <w:sz w:val="18"/>
                <w:szCs w:val="18"/>
                <w:highlight w:val="none"/>
              </w:rPr>
            </w:pPr>
            <w:r>
              <w:rPr>
                <w:rFonts w:ascii="宋体" w:hAnsi="宋体" w:eastAsia="宋体" w:cs="宋体"/>
                <w:color w:val="auto"/>
                <w:sz w:val="18"/>
                <w:szCs w:val="18"/>
                <w:highlight w:val="none"/>
              </w:rPr>
              <w:t>Z</w:t>
            </w:r>
            <w:r>
              <w:rPr>
                <w:rFonts w:ascii="宋体" w:hAnsi="宋体" w:eastAsia="宋体" w:cs="宋体"/>
                <w:color w:val="auto"/>
                <w:spacing w:val="-1"/>
                <w:sz w:val="18"/>
                <w:szCs w:val="18"/>
                <w:highlight w:val="none"/>
              </w:rPr>
              <w:t>＜2000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6" w:hRule="atLeast"/>
        </w:trPr>
        <w:tc>
          <w:tcPr>
            <w:tcW w:w="2118" w:type="dxa"/>
            <w:vMerge w:val="restart"/>
            <w:tcBorders>
              <w:bottom w:val="nil"/>
            </w:tcBorders>
          </w:tcPr>
          <w:p>
            <w:pPr>
              <w:spacing w:before="258" w:line="220" w:lineRule="auto"/>
              <w:ind w:left="11"/>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物业</w:t>
            </w:r>
            <w:r>
              <w:rPr>
                <w:rFonts w:ascii="宋体" w:hAnsi="宋体" w:eastAsia="宋体" w:cs="宋体"/>
                <w:color w:val="auto"/>
                <w:spacing w:val="-1"/>
                <w:sz w:val="18"/>
                <w:szCs w:val="18"/>
                <w:highlight w:val="none"/>
              </w:rPr>
              <w:t>管理</w:t>
            </w:r>
          </w:p>
        </w:tc>
        <w:tc>
          <w:tcPr>
            <w:tcW w:w="1368" w:type="dxa"/>
          </w:tcPr>
          <w:p>
            <w:pPr>
              <w:spacing w:before="78" w:line="220" w:lineRule="auto"/>
              <w:ind w:left="192"/>
              <w:rPr>
                <w:rFonts w:ascii="宋体" w:hAnsi="宋体" w:eastAsia="宋体" w:cs="宋体"/>
                <w:color w:val="auto"/>
                <w:sz w:val="18"/>
                <w:szCs w:val="18"/>
                <w:highlight w:val="none"/>
              </w:rPr>
            </w:pPr>
            <w:r>
              <w:rPr>
                <w:rFonts w:ascii="宋体" w:hAnsi="宋体" w:eastAsia="宋体" w:cs="宋体"/>
                <w:color w:val="auto"/>
                <w:spacing w:val="-15"/>
                <w:sz w:val="18"/>
                <w:szCs w:val="18"/>
                <w:highlight w:val="none"/>
              </w:rPr>
              <w:t>从</w:t>
            </w:r>
            <w:r>
              <w:rPr>
                <w:rFonts w:ascii="宋体" w:hAnsi="宋体" w:eastAsia="宋体" w:cs="宋体"/>
                <w:color w:val="auto"/>
                <w:spacing w:val="-10"/>
                <w:sz w:val="18"/>
                <w:szCs w:val="18"/>
                <w:highlight w:val="none"/>
              </w:rPr>
              <w:t>业人员 (X)</w:t>
            </w:r>
          </w:p>
        </w:tc>
        <w:tc>
          <w:tcPr>
            <w:tcW w:w="710" w:type="dxa"/>
          </w:tcPr>
          <w:p>
            <w:pPr>
              <w:spacing w:before="78" w:line="222" w:lineRule="auto"/>
              <w:ind w:left="269"/>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123" w:type="dxa"/>
          </w:tcPr>
          <w:p>
            <w:pPr>
              <w:spacing w:before="77" w:line="238" w:lineRule="auto"/>
              <w:ind w:left="249"/>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≥10</w:t>
            </w:r>
            <w:r>
              <w:rPr>
                <w:rFonts w:ascii="宋体" w:hAnsi="宋体" w:eastAsia="宋体" w:cs="宋体"/>
                <w:color w:val="auto"/>
                <w:sz w:val="18"/>
                <w:szCs w:val="18"/>
                <w:highlight w:val="none"/>
              </w:rPr>
              <w:t>00</w:t>
            </w:r>
          </w:p>
        </w:tc>
        <w:tc>
          <w:tcPr>
            <w:tcW w:w="1700" w:type="dxa"/>
          </w:tcPr>
          <w:p>
            <w:pPr>
              <w:spacing w:before="78" w:line="236" w:lineRule="auto"/>
              <w:ind w:left="317"/>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300≤</w:t>
            </w: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＜1000</w:t>
            </w:r>
          </w:p>
        </w:tc>
        <w:tc>
          <w:tcPr>
            <w:tcW w:w="1425" w:type="dxa"/>
          </w:tcPr>
          <w:p>
            <w:pPr>
              <w:spacing w:before="78" w:line="236" w:lineRule="auto"/>
              <w:ind w:left="23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100≤X＜300</w:t>
            </w:r>
          </w:p>
        </w:tc>
        <w:tc>
          <w:tcPr>
            <w:tcW w:w="998" w:type="dxa"/>
          </w:tcPr>
          <w:p>
            <w:pPr>
              <w:spacing w:before="77"/>
              <w:ind w:left="230"/>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＜10</w:t>
            </w:r>
            <w:r>
              <w:rPr>
                <w:rFonts w:ascii="宋体" w:hAnsi="宋体" w:eastAsia="宋体" w:cs="宋体"/>
                <w:color w:val="auto"/>
                <w:sz w:val="18"/>
                <w:szCs w:val="18"/>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2118" w:type="dxa"/>
            <w:vMerge w:val="continue"/>
            <w:tcBorders>
              <w:top w:val="nil"/>
            </w:tcBorders>
          </w:tcPr>
          <w:p>
            <w:pPr>
              <w:rPr>
                <w:color w:val="auto"/>
                <w:highlight w:val="none"/>
              </w:rPr>
            </w:pPr>
          </w:p>
        </w:tc>
        <w:tc>
          <w:tcPr>
            <w:tcW w:w="1368" w:type="dxa"/>
          </w:tcPr>
          <w:p>
            <w:pPr>
              <w:spacing w:before="87" w:line="220" w:lineRule="auto"/>
              <w:ind w:left="19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营业收</w:t>
            </w:r>
            <w:r>
              <w:rPr>
                <w:rFonts w:ascii="宋体" w:hAnsi="宋体" w:eastAsia="宋体" w:cs="宋体"/>
                <w:color w:val="auto"/>
                <w:spacing w:val="-1"/>
                <w:sz w:val="18"/>
                <w:szCs w:val="18"/>
                <w:highlight w:val="none"/>
              </w:rPr>
              <w:t>入(Y)</w:t>
            </w:r>
          </w:p>
        </w:tc>
        <w:tc>
          <w:tcPr>
            <w:tcW w:w="710" w:type="dxa"/>
          </w:tcPr>
          <w:p>
            <w:pPr>
              <w:spacing w:before="78" w:line="220" w:lineRule="auto"/>
              <w:ind w:left="180"/>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万元</w:t>
            </w:r>
          </w:p>
        </w:tc>
        <w:tc>
          <w:tcPr>
            <w:tcW w:w="1123" w:type="dxa"/>
          </w:tcPr>
          <w:p>
            <w:pPr>
              <w:spacing w:before="77" w:line="238" w:lineRule="auto"/>
              <w:ind w:left="248"/>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≥50</w:t>
            </w:r>
            <w:r>
              <w:rPr>
                <w:rFonts w:ascii="宋体" w:hAnsi="宋体" w:eastAsia="宋体" w:cs="宋体"/>
                <w:color w:val="auto"/>
                <w:sz w:val="18"/>
                <w:szCs w:val="18"/>
                <w:highlight w:val="none"/>
              </w:rPr>
              <w:t>00</w:t>
            </w:r>
          </w:p>
        </w:tc>
        <w:tc>
          <w:tcPr>
            <w:tcW w:w="1700" w:type="dxa"/>
          </w:tcPr>
          <w:p>
            <w:pPr>
              <w:spacing w:before="78" w:line="236" w:lineRule="auto"/>
              <w:ind w:left="210"/>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1000≤</w:t>
            </w:r>
            <w:r>
              <w:rPr>
                <w:rFonts w:ascii="宋体" w:hAnsi="宋体" w:eastAsia="宋体" w:cs="宋体"/>
                <w:color w:val="auto"/>
                <w:spacing w:val="-1"/>
                <w:sz w:val="18"/>
                <w:szCs w:val="18"/>
                <w:highlight w:val="none"/>
              </w:rPr>
              <w:t>Y</w:t>
            </w:r>
            <w:r>
              <w:rPr>
                <w:rFonts w:ascii="宋体" w:hAnsi="宋体" w:eastAsia="宋体" w:cs="宋体"/>
                <w:color w:val="auto"/>
                <w:spacing w:val="-2"/>
                <w:sz w:val="18"/>
                <w:szCs w:val="18"/>
                <w:highlight w:val="none"/>
              </w:rPr>
              <w:t>＜50</w:t>
            </w:r>
            <w:r>
              <w:rPr>
                <w:rFonts w:ascii="宋体" w:hAnsi="宋体" w:eastAsia="宋体" w:cs="宋体"/>
                <w:color w:val="auto"/>
                <w:spacing w:val="-1"/>
                <w:sz w:val="18"/>
                <w:szCs w:val="18"/>
                <w:highlight w:val="none"/>
              </w:rPr>
              <w:t>00</w:t>
            </w:r>
          </w:p>
        </w:tc>
        <w:tc>
          <w:tcPr>
            <w:tcW w:w="1425" w:type="dxa"/>
          </w:tcPr>
          <w:p>
            <w:pPr>
              <w:spacing w:before="78" w:line="236" w:lineRule="auto"/>
              <w:ind w:left="18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500≤</w:t>
            </w: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＜100</w:t>
            </w:r>
            <w:r>
              <w:rPr>
                <w:rFonts w:ascii="宋体" w:hAnsi="宋体" w:eastAsia="宋体" w:cs="宋体"/>
                <w:color w:val="auto"/>
                <w:sz w:val="18"/>
                <w:szCs w:val="18"/>
                <w:highlight w:val="none"/>
              </w:rPr>
              <w:t>0</w:t>
            </w:r>
          </w:p>
        </w:tc>
        <w:tc>
          <w:tcPr>
            <w:tcW w:w="998" w:type="dxa"/>
          </w:tcPr>
          <w:p>
            <w:pPr>
              <w:spacing w:before="78"/>
              <w:ind w:left="230"/>
              <w:rPr>
                <w:rFonts w:ascii="宋体" w:hAnsi="宋体" w:eastAsia="宋体" w:cs="宋体"/>
                <w:color w:val="auto"/>
                <w:sz w:val="18"/>
                <w:szCs w:val="18"/>
                <w:highlight w:val="none"/>
              </w:rPr>
            </w:pPr>
            <w:r>
              <w:rPr>
                <w:rFonts w:ascii="宋体" w:hAnsi="宋体" w:eastAsia="宋体" w:cs="宋体"/>
                <w:color w:val="auto"/>
                <w:sz w:val="18"/>
                <w:szCs w:val="18"/>
                <w:highlight w:val="none"/>
              </w:rPr>
              <w:t>Y</w:t>
            </w:r>
            <w:r>
              <w:rPr>
                <w:rFonts w:ascii="宋体" w:hAnsi="宋体" w:eastAsia="宋体" w:cs="宋体"/>
                <w:color w:val="auto"/>
                <w:spacing w:val="-1"/>
                <w:sz w:val="18"/>
                <w:szCs w:val="18"/>
                <w:highlight w:val="none"/>
              </w:rPr>
              <w:t>＜5</w:t>
            </w:r>
            <w:r>
              <w:rPr>
                <w:rFonts w:ascii="宋体" w:hAnsi="宋体" w:eastAsia="宋体" w:cs="宋体"/>
                <w:color w:val="auto"/>
                <w:sz w:val="18"/>
                <w:szCs w:val="18"/>
                <w:highlight w:val="none"/>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2118" w:type="dxa"/>
            <w:vMerge w:val="restart"/>
            <w:tcBorders>
              <w:bottom w:val="nil"/>
            </w:tcBorders>
          </w:tcPr>
          <w:p>
            <w:pPr>
              <w:spacing w:before="255" w:line="220" w:lineRule="auto"/>
              <w:ind w:left="13"/>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租赁和商务服务业</w:t>
            </w:r>
          </w:p>
        </w:tc>
        <w:tc>
          <w:tcPr>
            <w:tcW w:w="1368" w:type="dxa"/>
          </w:tcPr>
          <w:p>
            <w:pPr>
              <w:spacing w:before="78" w:line="220" w:lineRule="auto"/>
              <w:ind w:left="192"/>
              <w:rPr>
                <w:rFonts w:ascii="宋体" w:hAnsi="宋体" w:eastAsia="宋体" w:cs="宋体"/>
                <w:color w:val="auto"/>
                <w:sz w:val="18"/>
                <w:szCs w:val="18"/>
                <w:highlight w:val="none"/>
              </w:rPr>
            </w:pPr>
            <w:r>
              <w:rPr>
                <w:rFonts w:ascii="宋体" w:hAnsi="宋体" w:eastAsia="宋体" w:cs="宋体"/>
                <w:color w:val="auto"/>
                <w:spacing w:val="-15"/>
                <w:sz w:val="18"/>
                <w:szCs w:val="18"/>
                <w:highlight w:val="none"/>
              </w:rPr>
              <w:t>从</w:t>
            </w:r>
            <w:r>
              <w:rPr>
                <w:rFonts w:ascii="宋体" w:hAnsi="宋体" w:eastAsia="宋体" w:cs="宋体"/>
                <w:color w:val="auto"/>
                <w:spacing w:val="-10"/>
                <w:sz w:val="18"/>
                <w:szCs w:val="18"/>
                <w:highlight w:val="none"/>
              </w:rPr>
              <w:t>业人员 (X)</w:t>
            </w:r>
          </w:p>
        </w:tc>
        <w:tc>
          <w:tcPr>
            <w:tcW w:w="710" w:type="dxa"/>
          </w:tcPr>
          <w:p>
            <w:pPr>
              <w:spacing w:before="78" w:line="222" w:lineRule="auto"/>
              <w:ind w:left="269"/>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123" w:type="dxa"/>
          </w:tcPr>
          <w:p>
            <w:pPr>
              <w:spacing w:before="77" w:line="238" w:lineRule="auto"/>
              <w:ind w:left="294"/>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≥30</w:t>
            </w:r>
            <w:r>
              <w:rPr>
                <w:rFonts w:ascii="宋体" w:hAnsi="宋体" w:eastAsia="宋体" w:cs="宋体"/>
                <w:color w:val="auto"/>
                <w:sz w:val="18"/>
                <w:szCs w:val="18"/>
                <w:highlight w:val="none"/>
              </w:rPr>
              <w:t>0</w:t>
            </w:r>
          </w:p>
        </w:tc>
        <w:tc>
          <w:tcPr>
            <w:tcW w:w="1700" w:type="dxa"/>
          </w:tcPr>
          <w:p>
            <w:pPr>
              <w:spacing w:before="78" w:line="236" w:lineRule="auto"/>
              <w:ind w:left="301"/>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1</w:t>
            </w:r>
            <w:r>
              <w:rPr>
                <w:rFonts w:ascii="宋体" w:hAnsi="宋体" w:eastAsia="宋体" w:cs="宋体"/>
                <w:color w:val="auto"/>
                <w:spacing w:val="-2"/>
                <w:sz w:val="18"/>
                <w:szCs w:val="18"/>
                <w:highlight w:val="none"/>
              </w:rPr>
              <w:t>00≤X＜300</w:t>
            </w:r>
          </w:p>
        </w:tc>
        <w:tc>
          <w:tcPr>
            <w:tcW w:w="1425" w:type="dxa"/>
          </w:tcPr>
          <w:p>
            <w:pPr>
              <w:spacing w:before="78" w:line="236" w:lineRule="auto"/>
              <w:ind w:left="281"/>
              <w:rPr>
                <w:rFonts w:ascii="宋体" w:hAnsi="宋体" w:eastAsia="宋体" w:cs="宋体"/>
                <w:color w:val="auto"/>
                <w:sz w:val="18"/>
                <w:szCs w:val="18"/>
                <w:highlight w:val="none"/>
              </w:rPr>
            </w:pPr>
            <w:r>
              <w:rPr>
                <w:rFonts w:ascii="宋体" w:hAnsi="宋体" w:eastAsia="宋体" w:cs="宋体"/>
                <w:color w:val="auto"/>
                <w:spacing w:val="-4"/>
                <w:sz w:val="18"/>
                <w:szCs w:val="18"/>
                <w:highlight w:val="none"/>
              </w:rPr>
              <w:t>1</w:t>
            </w:r>
            <w:r>
              <w:rPr>
                <w:rFonts w:ascii="宋体" w:hAnsi="宋体" w:eastAsia="宋体" w:cs="宋体"/>
                <w:color w:val="auto"/>
                <w:spacing w:val="-2"/>
                <w:sz w:val="18"/>
                <w:szCs w:val="18"/>
                <w:highlight w:val="none"/>
              </w:rPr>
              <w:t>0≤X＜100</w:t>
            </w:r>
          </w:p>
        </w:tc>
        <w:tc>
          <w:tcPr>
            <w:tcW w:w="998" w:type="dxa"/>
          </w:tcPr>
          <w:p>
            <w:pPr>
              <w:spacing w:before="77"/>
              <w:ind w:left="274"/>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2118" w:type="dxa"/>
            <w:vMerge w:val="continue"/>
            <w:tcBorders>
              <w:top w:val="nil"/>
            </w:tcBorders>
          </w:tcPr>
          <w:p>
            <w:pPr>
              <w:rPr>
                <w:color w:val="auto"/>
                <w:highlight w:val="none"/>
              </w:rPr>
            </w:pPr>
          </w:p>
        </w:tc>
        <w:tc>
          <w:tcPr>
            <w:tcW w:w="1368" w:type="dxa"/>
          </w:tcPr>
          <w:p>
            <w:pPr>
              <w:spacing w:before="87" w:line="220" w:lineRule="auto"/>
              <w:ind w:left="198"/>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资产总额(</w:t>
            </w:r>
            <w:r>
              <w:rPr>
                <w:rFonts w:ascii="宋体" w:hAnsi="宋体" w:eastAsia="宋体" w:cs="宋体"/>
                <w:color w:val="auto"/>
                <w:spacing w:val="-1"/>
                <w:sz w:val="18"/>
                <w:szCs w:val="18"/>
                <w:highlight w:val="none"/>
              </w:rPr>
              <w:t>Z)</w:t>
            </w:r>
          </w:p>
        </w:tc>
        <w:tc>
          <w:tcPr>
            <w:tcW w:w="710" w:type="dxa"/>
          </w:tcPr>
          <w:p>
            <w:pPr>
              <w:spacing w:before="78" w:line="220" w:lineRule="auto"/>
              <w:ind w:left="180"/>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万元</w:t>
            </w:r>
          </w:p>
        </w:tc>
        <w:tc>
          <w:tcPr>
            <w:tcW w:w="1123" w:type="dxa"/>
          </w:tcPr>
          <w:p>
            <w:pPr>
              <w:spacing w:before="78" w:line="238" w:lineRule="auto"/>
              <w:ind w:left="159"/>
              <w:rPr>
                <w:rFonts w:ascii="宋体" w:hAnsi="宋体" w:eastAsia="宋体" w:cs="宋体"/>
                <w:color w:val="auto"/>
                <w:sz w:val="18"/>
                <w:szCs w:val="18"/>
                <w:highlight w:val="none"/>
              </w:rPr>
            </w:pPr>
            <w:r>
              <w:rPr>
                <w:rFonts w:ascii="宋体" w:hAnsi="宋体" w:eastAsia="宋体" w:cs="宋体"/>
                <w:color w:val="auto"/>
                <w:sz w:val="18"/>
                <w:szCs w:val="18"/>
                <w:highlight w:val="none"/>
              </w:rPr>
              <w:t>Z</w:t>
            </w:r>
            <w:r>
              <w:rPr>
                <w:rFonts w:ascii="宋体" w:hAnsi="宋体" w:eastAsia="宋体" w:cs="宋体"/>
                <w:color w:val="auto"/>
                <w:spacing w:val="-1"/>
                <w:sz w:val="18"/>
                <w:szCs w:val="18"/>
                <w:highlight w:val="none"/>
              </w:rPr>
              <w:t>≥1200</w:t>
            </w:r>
            <w:r>
              <w:rPr>
                <w:rFonts w:ascii="宋体" w:hAnsi="宋体" w:eastAsia="宋体" w:cs="宋体"/>
                <w:color w:val="auto"/>
                <w:sz w:val="18"/>
                <w:szCs w:val="18"/>
                <w:highlight w:val="none"/>
              </w:rPr>
              <w:t>00</w:t>
            </w:r>
          </w:p>
        </w:tc>
        <w:tc>
          <w:tcPr>
            <w:tcW w:w="1700" w:type="dxa"/>
          </w:tcPr>
          <w:p>
            <w:pPr>
              <w:spacing w:before="78" w:line="236" w:lineRule="auto"/>
              <w:ind w:left="180"/>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8000≤</w:t>
            </w:r>
            <w:r>
              <w:rPr>
                <w:rFonts w:ascii="宋体" w:hAnsi="宋体" w:eastAsia="宋体" w:cs="宋体"/>
                <w:color w:val="auto"/>
                <w:sz w:val="18"/>
                <w:szCs w:val="18"/>
                <w:highlight w:val="none"/>
              </w:rPr>
              <w:t>Z</w:t>
            </w:r>
            <w:r>
              <w:rPr>
                <w:rFonts w:ascii="宋体" w:hAnsi="宋体" w:eastAsia="宋体" w:cs="宋体"/>
                <w:color w:val="auto"/>
                <w:spacing w:val="-1"/>
                <w:sz w:val="18"/>
                <w:szCs w:val="18"/>
                <w:highlight w:val="none"/>
              </w:rPr>
              <w:t>＜</w:t>
            </w:r>
            <w:r>
              <w:rPr>
                <w:rFonts w:ascii="宋体" w:hAnsi="宋体" w:eastAsia="宋体" w:cs="宋体"/>
                <w:color w:val="auto"/>
                <w:sz w:val="18"/>
                <w:szCs w:val="18"/>
                <w:highlight w:val="none"/>
              </w:rPr>
              <w:t>120000</w:t>
            </w:r>
          </w:p>
        </w:tc>
        <w:tc>
          <w:tcPr>
            <w:tcW w:w="1425" w:type="dxa"/>
          </w:tcPr>
          <w:p>
            <w:pPr>
              <w:spacing w:before="78" w:line="236" w:lineRule="auto"/>
              <w:ind w:left="192"/>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100≤</w:t>
            </w:r>
            <w:r>
              <w:rPr>
                <w:rFonts w:ascii="宋体" w:hAnsi="宋体" w:eastAsia="宋体" w:cs="宋体"/>
                <w:color w:val="auto"/>
                <w:spacing w:val="-1"/>
                <w:sz w:val="18"/>
                <w:szCs w:val="18"/>
                <w:highlight w:val="none"/>
              </w:rPr>
              <w:t>Z</w:t>
            </w:r>
            <w:r>
              <w:rPr>
                <w:rFonts w:ascii="宋体" w:hAnsi="宋体" w:eastAsia="宋体" w:cs="宋体"/>
                <w:color w:val="auto"/>
                <w:spacing w:val="-2"/>
                <w:sz w:val="18"/>
                <w:szCs w:val="18"/>
                <w:highlight w:val="none"/>
              </w:rPr>
              <w:t>＜800</w:t>
            </w:r>
            <w:r>
              <w:rPr>
                <w:rFonts w:ascii="宋体" w:hAnsi="宋体" w:eastAsia="宋体" w:cs="宋体"/>
                <w:color w:val="auto"/>
                <w:spacing w:val="-1"/>
                <w:sz w:val="18"/>
                <w:szCs w:val="18"/>
                <w:highlight w:val="none"/>
              </w:rPr>
              <w:t>0</w:t>
            </w:r>
          </w:p>
        </w:tc>
        <w:tc>
          <w:tcPr>
            <w:tcW w:w="998" w:type="dxa"/>
          </w:tcPr>
          <w:p>
            <w:pPr>
              <w:spacing w:before="78"/>
              <w:ind w:left="23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Z＜100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5" w:hRule="atLeast"/>
        </w:trPr>
        <w:tc>
          <w:tcPr>
            <w:tcW w:w="2118" w:type="dxa"/>
          </w:tcPr>
          <w:p>
            <w:pPr>
              <w:spacing w:before="116" w:line="220" w:lineRule="auto"/>
              <w:ind w:left="12"/>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其</w:t>
            </w:r>
            <w:r>
              <w:rPr>
                <w:rFonts w:ascii="宋体" w:hAnsi="宋体" w:eastAsia="宋体" w:cs="宋体"/>
                <w:color w:val="auto"/>
                <w:sz w:val="18"/>
                <w:szCs w:val="18"/>
                <w:highlight w:val="none"/>
              </w:rPr>
              <w:t>他未列明行业 *</w:t>
            </w:r>
          </w:p>
        </w:tc>
        <w:tc>
          <w:tcPr>
            <w:tcW w:w="1368" w:type="dxa"/>
          </w:tcPr>
          <w:p>
            <w:pPr>
              <w:spacing w:before="107" w:line="220" w:lineRule="auto"/>
              <w:ind w:left="192"/>
              <w:rPr>
                <w:rFonts w:ascii="宋体" w:hAnsi="宋体" w:eastAsia="宋体" w:cs="宋体"/>
                <w:color w:val="auto"/>
                <w:sz w:val="18"/>
                <w:szCs w:val="18"/>
                <w:highlight w:val="none"/>
              </w:rPr>
            </w:pPr>
            <w:r>
              <w:rPr>
                <w:rFonts w:ascii="宋体" w:hAnsi="宋体" w:eastAsia="宋体" w:cs="宋体"/>
                <w:color w:val="auto"/>
                <w:spacing w:val="-15"/>
                <w:sz w:val="18"/>
                <w:szCs w:val="18"/>
                <w:highlight w:val="none"/>
              </w:rPr>
              <w:t>从</w:t>
            </w:r>
            <w:r>
              <w:rPr>
                <w:rFonts w:ascii="宋体" w:hAnsi="宋体" w:eastAsia="宋体" w:cs="宋体"/>
                <w:color w:val="auto"/>
                <w:spacing w:val="-10"/>
                <w:sz w:val="18"/>
                <w:szCs w:val="18"/>
                <w:highlight w:val="none"/>
              </w:rPr>
              <w:t>业人员 (X)</w:t>
            </w:r>
          </w:p>
        </w:tc>
        <w:tc>
          <w:tcPr>
            <w:tcW w:w="710" w:type="dxa"/>
          </w:tcPr>
          <w:p>
            <w:pPr>
              <w:spacing w:before="107" w:line="222" w:lineRule="auto"/>
              <w:ind w:left="269"/>
              <w:rPr>
                <w:rFonts w:ascii="宋体" w:hAnsi="宋体" w:eastAsia="宋体" w:cs="宋体"/>
                <w:color w:val="auto"/>
                <w:sz w:val="18"/>
                <w:szCs w:val="18"/>
                <w:highlight w:val="none"/>
              </w:rPr>
            </w:pPr>
            <w:r>
              <w:rPr>
                <w:rFonts w:ascii="宋体" w:hAnsi="宋体" w:eastAsia="宋体" w:cs="宋体"/>
                <w:color w:val="auto"/>
                <w:sz w:val="18"/>
                <w:szCs w:val="18"/>
                <w:highlight w:val="none"/>
              </w:rPr>
              <w:t>人</w:t>
            </w:r>
          </w:p>
        </w:tc>
        <w:tc>
          <w:tcPr>
            <w:tcW w:w="1123" w:type="dxa"/>
          </w:tcPr>
          <w:p>
            <w:pPr>
              <w:spacing w:before="106" w:line="238" w:lineRule="auto"/>
              <w:ind w:left="294"/>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≥30</w:t>
            </w:r>
            <w:r>
              <w:rPr>
                <w:rFonts w:ascii="宋体" w:hAnsi="宋体" w:eastAsia="宋体" w:cs="宋体"/>
                <w:color w:val="auto"/>
                <w:sz w:val="18"/>
                <w:szCs w:val="18"/>
                <w:highlight w:val="none"/>
              </w:rPr>
              <w:t>0</w:t>
            </w:r>
          </w:p>
        </w:tc>
        <w:tc>
          <w:tcPr>
            <w:tcW w:w="1700" w:type="dxa"/>
          </w:tcPr>
          <w:p>
            <w:pPr>
              <w:spacing w:before="107" w:line="236" w:lineRule="auto"/>
              <w:ind w:left="301"/>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1</w:t>
            </w:r>
            <w:r>
              <w:rPr>
                <w:rFonts w:ascii="宋体" w:hAnsi="宋体" w:eastAsia="宋体" w:cs="宋体"/>
                <w:color w:val="auto"/>
                <w:spacing w:val="-2"/>
                <w:sz w:val="18"/>
                <w:szCs w:val="18"/>
                <w:highlight w:val="none"/>
              </w:rPr>
              <w:t>00≤X＜300</w:t>
            </w:r>
          </w:p>
        </w:tc>
        <w:tc>
          <w:tcPr>
            <w:tcW w:w="1425" w:type="dxa"/>
          </w:tcPr>
          <w:p>
            <w:pPr>
              <w:spacing w:before="107" w:line="236" w:lineRule="auto"/>
              <w:ind w:left="281"/>
              <w:rPr>
                <w:rFonts w:ascii="宋体" w:hAnsi="宋体" w:eastAsia="宋体" w:cs="宋体"/>
                <w:color w:val="auto"/>
                <w:sz w:val="18"/>
                <w:szCs w:val="18"/>
                <w:highlight w:val="none"/>
              </w:rPr>
            </w:pPr>
            <w:r>
              <w:rPr>
                <w:rFonts w:ascii="宋体" w:hAnsi="宋体" w:eastAsia="宋体" w:cs="宋体"/>
                <w:color w:val="auto"/>
                <w:spacing w:val="-4"/>
                <w:sz w:val="18"/>
                <w:szCs w:val="18"/>
                <w:highlight w:val="none"/>
              </w:rPr>
              <w:t>1</w:t>
            </w:r>
            <w:r>
              <w:rPr>
                <w:rFonts w:ascii="宋体" w:hAnsi="宋体" w:eastAsia="宋体" w:cs="宋体"/>
                <w:color w:val="auto"/>
                <w:spacing w:val="-2"/>
                <w:sz w:val="18"/>
                <w:szCs w:val="18"/>
                <w:highlight w:val="none"/>
              </w:rPr>
              <w:t>0≤X＜100</w:t>
            </w:r>
          </w:p>
        </w:tc>
        <w:tc>
          <w:tcPr>
            <w:tcW w:w="998" w:type="dxa"/>
          </w:tcPr>
          <w:p>
            <w:pPr>
              <w:spacing w:before="106"/>
              <w:ind w:left="274"/>
              <w:rPr>
                <w:rFonts w:ascii="宋体" w:hAnsi="宋体" w:eastAsia="宋体" w:cs="宋体"/>
                <w:color w:val="auto"/>
                <w:sz w:val="18"/>
                <w:szCs w:val="18"/>
                <w:highlight w:val="none"/>
              </w:rPr>
            </w:pPr>
            <w:r>
              <w:rPr>
                <w:rFonts w:ascii="宋体" w:hAnsi="宋体" w:eastAsia="宋体" w:cs="宋体"/>
                <w:color w:val="auto"/>
                <w:sz w:val="18"/>
                <w:szCs w:val="18"/>
                <w:highlight w:val="none"/>
              </w:rPr>
              <w:t>X</w:t>
            </w:r>
            <w:r>
              <w:rPr>
                <w:rFonts w:ascii="宋体" w:hAnsi="宋体" w:eastAsia="宋体" w:cs="宋体"/>
                <w:color w:val="auto"/>
                <w:spacing w:val="-1"/>
                <w:sz w:val="18"/>
                <w:szCs w:val="18"/>
                <w:highlight w:val="none"/>
              </w:rPr>
              <w:t>＜10</w:t>
            </w:r>
          </w:p>
        </w:tc>
      </w:tr>
    </w:tbl>
    <w:p>
      <w:pPr>
        <w:rPr>
          <w:color w:val="auto"/>
          <w:highlight w:val="none"/>
        </w:rPr>
      </w:pPr>
    </w:p>
    <w:p>
      <w:pPr>
        <w:rPr>
          <w:color w:val="auto"/>
          <w:highlight w:val="none"/>
        </w:rPr>
        <w:sectPr>
          <w:footerReference r:id="rId29" w:type="default"/>
          <w:pgSz w:w="11907" w:h="16839"/>
          <w:pgMar w:top="1440" w:right="1080" w:bottom="1440" w:left="1080" w:header="0" w:footer="1060" w:gutter="0"/>
          <w:cols w:space="720" w:num="1"/>
        </w:sectPr>
      </w:pPr>
    </w:p>
    <w:p>
      <w:pPr>
        <w:spacing w:line="243" w:lineRule="auto"/>
        <w:rPr>
          <w:color w:val="auto"/>
          <w:highlight w:val="none"/>
        </w:rPr>
      </w:pPr>
    </w:p>
    <w:p>
      <w:pPr>
        <w:spacing w:before="68" w:line="221" w:lineRule="auto"/>
        <w:ind w:left="22"/>
        <w:rPr>
          <w:rFonts w:ascii="宋体" w:hAnsi="宋体" w:eastAsia="宋体" w:cs="宋体"/>
          <w:color w:val="auto"/>
          <w:highlight w:val="none"/>
        </w:rPr>
      </w:pPr>
      <w:r>
        <w:rPr>
          <w:rFonts w:ascii="宋体" w:hAnsi="宋体" w:eastAsia="宋体" w:cs="宋体"/>
          <w:color w:val="auto"/>
          <w:spacing w:val="-7"/>
          <w:highlight w:val="none"/>
        </w:rPr>
        <w:t>说</w:t>
      </w:r>
      <w:r>
        <w:rPr>
          <w:rFonts w:ascii="宋体" w:hAnsi="宋体" w:eastAsia="宋体" w:cs="宋体"/>
          <w:color w:val="auto"/>
          <w:spacing w:val="-6"/>
          <w:highlight w:val="none"/>
        </w:rPr>
        <w:t>明：</w:t>
      </w:r>
    </w:p>
    <w:p>
      <w:pPr>
        <w:spacing w:before="163" w:line="334" w:lineRule="auto"/>
        <w:ind w:left="23" w:right="68" w:firstLine="463"/>
        <w:rPr>
          <w:rFonts w:ascii="宋体" w:hAnsi="宋体" w:eastAsia="宋体" w:cs="宋体"/>
          <w:color w:val="auto"/>
          <w:highlight w:val="none"/>
        </w:rPr>
      </w:pPr>
      <w:r>
        <w:rPr>
          <w:rFonts w:ascii="宋体" w:hAnsi="宋体" w:eastAsia="宋体" w:cs="宋体"/>
          <w:color w:val="auto"/>
          <w:spacing w:val="20"/>
          <w:highlight w:val="none"/>
        </w:rPr>
        <w:t>1</w:t>
      </w:r>
      <w:r>
        <w:rPr>
          <w:rFonts w:ascii="宋体" w:hAnsi="宋体" w:eastAsia="宋体" w:cs="宋体"/>
          <w:color w:val="auto"/>
          <w:spacing w:val="12"/>
          <w:highlight w:val="none"/>
        </w:rPr>
        <w:t>.</w:t>
      </w:r>
      <w:r>
        <w:rPr>
          <w:rFonts w:ascii="宋体" w:hAnsi="宋体" w:eastAsia="宋体" w:cs="宋体"/>
          <w:color w:val="auto"/>
          <w:spacing w:val="10"/>
          <w:highlight w:val="none"/>
        </w:rPr>
        <w:t>大型、中型和小型企业须同时满足所列指标的下限， 否则下划一档； 微型企业只</w:t>
      </w:r>
      <w:r>
        <w:rPr>
          <w:rFonts w:ascii="宋体" w:hAnsi="宋体" w:eastAsia="宋体" w:cs="宋体"/>
          <w:color w:val="auto"/>
          <w:spacing w:val="12"/>
          <w:highlight w:val="none"/>
        </w:rPr>
        <w:t>须满足所列指标中的一项即可</w:t>
      </w:r>
      <w:r>
        <w:rPr>
          <w:rFonts w:ascii="宋体" w:hAnsi="宋体" w:eastAsia="宋体" w:cs="宋体"/>
          <w:color w:val="auto"/>
          <w:spacing w:val="10"/>
          <w:highlight w:val="none"/>
        </w:rPr>
        <w:t>。</w:t>
      </w:r>
    </w:p>
    <w:p>
      <w:pPr>
        <w:spacing w:before="2" w:line="343" w:lineRule="auto"/>
        <w:ind w:left="19" w:firstLine="454"/>
        <w:rPr>
          <w:rFonts w:ascii="宋体" w:hAnsi="宋体" w:eastAsia="宋体" w:cs="宋体"/>
          <w:color w:val="auto"/>
          <w:highlight w:val="none"/>
        </w:rPr>
      </w:pPr>
      <w:r>
        <w:rPr>
          <w:rFonts w:ascii="宋体" w:hAnsi="宋体" w:eastAsia="宋体" w:cs="宋体"/>
          <w:color w:val="auto"/>
          <w:spacing w:val="34"/>
          <w:highlight w:val="none"/>
        </w:rPr>
        <w:t>2</w:t>
      </w:r>
      <w:r>
        <w:rPr>
          <w:rFonts w:ascii="宋体" w:hAnsi="宋体" w:eastAsia="宋体" w:cs="宋体"/>
          <w:color w:val="auto"/>
          <w:spacing w:val="22"/>
          <w:highlight w:val="none"/>
        </w:rPr>
        <w:t>.</w:t>
      </w:r>
      <w:r>
        <w:rPr>
          <w:rFonts w:ascii="宋体" w:hAnsi="宋体" w:eastAsia="宋体" w:cs="宋体"/>
          <w:color w:val="auto"/>
          <w:spacing w:val="17"/>
          <w:highlight w:val="none"/>
        </w:rPr>
        <w:t>附表中各行业的范围以《国民经济行业分类》(</w:t>
      </w:r>
      <w:r>
        <w:rPr>
          <w:rFonts w:ascii="宋体" w:hAnsi="宋体" w:eastAsia="宋体" w:cs="宋体"/>
          <w:color w:val="auto"/>
          <w:highlight w:val="none"/>
        </w:rPr>
        <w:t>GB</w:t>
      </w:r>
      <w:r>
        <w:rPr>
          <w:rFonts w:ascii="宋体" w:hAnsi="宋体" w:eastAsia="宋体" w:cs="宋体"/>
          <w:color w:val="auto"/>
          <w:spacing w:val="17"/>
          <w:highlight w:val="none"/>
        </w:rPr>
        <w:t>/</w:t>
      </w:r>
      <w:r>
        <w:rPr>
          <w:rFonts w:ascii="宋体" w:hAnsi="宋体" w:eastAsia="宋体" w:cs="宋体"/>
          <w:color w:val="auto"/>
          <w:highlight w:val="none"/>
        </w:rPr>
        <w:t>T</w:t>
      </w:r>
      <w:r>
        <w:rPr>
          <w:rFonts w:ascii="宋体" w:hAnsi="宋体" w:eastAsia="宋体" w:cs="宋体"/>
          <w:color w:val="auto"/>
          <w:spacing w:val="17"/>
          <w:highlight w:val="none"/>
        </w:rPr>
        <w:t>4754-2017) 为准。带*的项</w:t>
      </w:r>
      <w:r>
        <w:rPr>
          <w:rFonts w:ascii="宋体" w:hAnsi="宋体" w:eastAsia="宋体" w:cs="宋体"/>
          <w:color w:val="auto"/>
          <w:spacing w:val="34"/>
          <w:highlight w:val="none"/>
        </w:rPr>
        <w:t>为</w:t>
      </w:r>
      <w:r>
        <w:rPr>
          <w:rFonts w:ascii="宋体" w:hAnsi="宋体" w:eastAsia="宋体" w:cs="宋体"/>
          <w:color w:val="auto"/>
          <w:spacing w:val="20"/>
          <w:highlight w:val="none"/>
        </w:rPr>
        <w:t>行</w:t>
      </w:r>
      <w:r>
        <w:rPr>
          <w:rFonts w:ascii="宋体" w:hAnsi="宋体" w:eastAsia="宋体" w:cs="宋体"/>
          <w:color w:val="auto"/>
          <w:spacing w:val="17"/>
          <w:highlight w:val="none"/>
        </w:rPr>
        <w:t>业组合类别，其中，工业包括采矿业，制造业，电力、热力、燃气及水生产和供应</w:t>
      </w:r>
      <w:r>
        <w:rPr>
          <w:rFonts w:ascii="宋体" w:hAnsi="宋体" w:eastAsia="宋体" w:cs="宋体"/>
          <w:color w:val="auto"/>
          <w:spacing w:val="34"/>
          <w:highlight w:val="none"/>
        </w:rPr>
        <w:t>业</w:t>
      </w:r>
      <w:r>
        <w:rPr>
          <w:rFonts w:ascii="宋体" w:hAnsi="宋体" w:eastAsia="宋体" w:cs="宋体"/>
          <w:color w:val="auto"/>
          <w:spacing w:val="20"/>
          <w:highlight w:val="none"/>
        </w:rPr>
        <w:t>；</w:t>
      </w:r>
      <w:r>
        <w:rPr>
          <w:rFonts w:ascii="宋体" w:hAnsi="宋体" w:eastAsia="宋体" w:cs="宋体"/>
          <w:color w:val="auto"/>
          <w:spacing w:val="17"/>
          <w:highlight w:val="none"/>
        </w:rPr>
        <w:t>交通运输业包括道路运输业，水上运输业，航空运输业，管道运输业，多式联运和</w:t>
      </w:r>
      <w:r>
        <w:rPr>
          <w:rFonts w:ascii="宋体" w:hAnsi="宋体" w:eastAsia="宋体" w:cs="宋体"/>
          <w:color w:val="auto"/>
          <w:highlight w:val="none"/>
        </w:rPr>
        <w:t xml:space="preserve"> </w:t>
      </w:r>
      <w:r>
        <w:rPr>
          <w:rFonts w:ascii="宋体" w:hAnsi="宋体" w:eastAsia="宋体" w:cs="宋体"/>
          <w:color w:val="auto"/>
          <w:spacing w:val="22"/>
          <w:highlight w:val="none"/>
        </w:rPr>
        <w:t>运</w:t>
      </w:r>
      <w:r>
        <w:rPr>
          <w:rFonts w:ascii="宋体" w:hAnsi="宋体" w:eastAsia="宋体" w:cs="宋体"/>
          <w:color w:val="auto"/>
          <w:spacing w:val="16"/>
          <w:highlight w:val="none"/>
        </w:rPr>
        <w:t>输</w:t>
      </w:r>
      <w:r>
        <w:rPr>
          <w:rFonts w:ascii="宋体" w:hAnsi="宋体" w:eastAsia="宋体" w:cs="宋体"/>
          <w:color w:val="auto"/>
          <w:spacing w:val="11"/>
          <w:highlight w:val="none"/>
        </w:rPr>
        <w:t>代理业、装卸搬运，不包括铁路运输业；仓储业包括通用仓储，低温仓储，危险品</w:t>
      </w:r>
      <w:r>
        <w:rPr>
          <w:rFonts w:ascii="宋体" w:hAnsi="宋体" w:eastAsia="宋体" w:cs="宋体"/>
          <w:color w:val="auto"/>
          <w:highlight w:val="none"/>
        </w:rPr>
        <w:t xml:space="preserve"> </w:t>
      </w:r>
      <w:r>
        <w:rPr>
          <w:rFonts w:ascii="宋体" w:hAnsi="宋体" w:eastAsia="宋体" w:cs="宋体"/>
          <w:color w:val="auto"/>
          <w:spacing w:val="16"/>
          <w:highlight w:val="none"/>
        </w:rPr>
        <w:t>仓储</w:t>
      </w:r>
      <w:r>
        <w:rPr>
          <w:rFonts w:ascii="宋体" w:hAnsi="宋体" w:eastAsia="宋体" w:cs="宋体"/>
          <w:color w:val="auto"/>
          <w:spacing w:val="12"/>
          <w:highlight w:val="none"/>
        </w:rPr>
        <w:t>，</w:t>
      </w:r>
      <w:r>
        <w:rPr>
          <w:rFonts w:ascii="宋体" w:hAnsi="宋体" w:eastAsia="宋体" w:cs="宋体"/>
          <w:color w:val="auto"/>
          <w:spacing w:val="8"/>
          <w:highlight w:val="none"/>
        </w:rPr>
        <w:t>谷物、棉花等农产品仓储，中药材仓储和其他仓储业</w:t>
      </w:r>
      <w:r>
        <w:rPr>
          <w:rFonts w:hint="eastAsia" w:ascii="宋体" w:hAnsi="宋体" w:eastAsia="宋体" w:cs="宋体"/>
          <w:color w:val="auto"/>
          <w:spacing w:val="8"/>
          <w:highlight w:val="none"/>
        </w:rPr>
        <w:t>；</w:t>
      </w:r>
      <w:r>
        <w:rPr>
          <w:rFonts w:ascii="宋体" w:hAnsi="宋体" w:eastAsia="宋体" w:cs="宋体"/>
          <w:color w:val="auto"/>
          <w:spacing w:val="8"/>
          <w:highlight w:val="none"/>
        </w:rPr>
        <w:t>信息传输业包括电信、广播</w:t>
      </w:r>
      <w:r>
        <w:rPr>
          <w:rFonts w:ascii="宋体" w:hAnsi="宋体" w:eastAsia="宋体" w:cs="宋体"/>
          <w:color w:val="auto"/>
          <w:spacing w:val="20"/>
          <w:highlight w:val="none"/>
        </w:rPr>
        <w:t>电</w:t>
      </w:r>
      <w:r>
        <w:rPr>
          <w:rFonts w:ascii="宋体" w:hAnsi="宋体" w:eastAsia="宋体" w:cs="宋体"/>
          <w:color w:val="auto"/>
          <w:spacing w:val="14"/>
          <w:highlight w:val="none"/>
        </w:rPr>
        <w:t>视</w:t>
      </w:r>
      <w:r>
        <w:rPr>
          <w:rFonts w:ascii="宋体" w:hAnsi="宋体" w:eastAsia="宋体" w:cs="宋体"/>
          <w:color w:val="auto"/>
          <w:spacing w:val="10"/>
          <w:highlight w:val="none"/>
        </w:rPr>
        <w:t>和卫星传输服务，互联网和相关服务；其他未列明行业包括科学研究和技术服务业，</w:t>
      </w:r>
      <w:r>
        <w:rPr>
          <w:rFonts w:ascii="宋体" w:hAnsi="宋体" w:eastAsia="宋体" w:cs="宋体"/>
          <w:color w:val="auto"/>
          <w:spacing w:val="34"/>
          <w:highlight w:val="none"/>
        </w:rPr>
        <w:t>水</w:t>
      </w:r>
      <w:r>
        <w:rPr>
          <w:rFonts w:ascii="宋体" w:hAnsi="宋体" w:eastAsia="宋体" w:cs="宋体"/>
          <w:color w:val="auto"/>
          <w:spacing w:val="20"/>
          <w:highlight w:val="none"/>
        </w:rPr>
        <w:t>利</w:t>
      </w:r>
      <w:r>
        <w:rPr>
          <w:rFonts w:ascii="宋体" w:hAnsi="宋体" w:eastAsia="宋体" w:cs="宋体"/>
          <w:color w:val="auto"/>
          <w:spacing w:val="17"/>
          <w:highlight w:val="none"/>
        </w:rPr>
        <w:t>、环境和公共设施管理业，居民服务、修理和其他服务业，社会工作，文化、体育</w:t>
      </w:r>
      <w:r>
        <w:rPr>
          <w:rFonts w:ascii="宋体" w:hAnsi="宋体" w:eastAsia="宋体" w:cs="宋体"/>
          <w:color w:val="auto"/>
          <w:spacing w:val="28"/>
          <w:highlight w:val="none"/>
        </w:rPr>
        <w:t>和</w:t>
      </w:r>
      <w:r>
        <w:rPr>
          <w:rFonts w:ascii="宋体" w:hAnsi="宋体" w:eastAsia="宋体" w:cs="宋体"/>
          <w:color w:val="auto"/>
          <w:spacing w:val="18"/>
          <w:highlight w:val="none"/>
        </w:rPr>
        <w:t>娱</w:t>
      </w:r>
      <w:r>
        <w:rPr>
          <w:rFonts w:ascii="宋体" w:hAnsi="宋体" w:eastAsia="宋体" w:cs="宋体"/>
          <w:color w:val="auto"/>
          <w:spacing w:val="14"/>
          <w:highlight w:val="none"/>
        </w:rPr>
        <w:t>乐业，以及房地产中介服务，其他房地产业等，不包括自有房地产经营活动。</w:t>
      </w:r>
      <w:r>
        <w:rPr>
          <w:rFonts w:ascii="宋体" w:hAnsi="宋体" w:eastAsia="宋体" w:cs="宋体"/>
          <w:color w:val="auto"/>
          <w:highlight w:val="none"/>
        </w:rPr>
        <w:t xml:space="preserve">      </w:t>
      </w:r>
    </w:p>
    <w:p>
      <w:pPr>
        <w:spacing w:before="2" w:line="343" w:lineRule="auto"/>
        <w:ind w:left="19" w:firstLine="454"/>
        <w:rPr>
          <w:rFonts w:ascii="宋体" w:hAnsi="宋体" w:eastAsia="宋体" w:cs="宋体"/>
          <w:color w:val="auto"/>
          <w:spacing w:val="17"/>
          <w:highlight w:val="none"/>
        </w:rPr>
      </w:pPr>
      <w:r>
        <w:rPr>
          <w:rFonts w:ascii="宋体" w:hAnsi="宋体" w:eastAsia="宋体" w:cs="宋体"/>
          <w:color w:val="auto"/>
          <w:spacing w:val="34"/>
          <w:highlight w:val="none"/>
        </w:rPr>
        <w:t>3</w:t>
      </w:r>
      <w:r>
        <w:rPr>
          <w:rFonts w:ascii="Times New Roman" w:hAnsi="Times New Roman" w:eastAsia="Times New Roman" w:cs="Times New Roman"/>
          <w:color w:val="auto"/>
          <w:spacing w:val="22"/>
          <w:highlight w:val="none"/>
        </w:rPr>
        <w:t>.</w:t>
      </w:r>
      <w:r>
        <w:rPr>
          <w:rFonts w:ascii="宋体" w:hAnsi="宋体" w:eastAsia="宋体" w:cs="宋体"/>
          <w:color w:val="auto"/>
          <w:spacing w:val="22"/>
          <w:highlight w:val="none"/>
        </w:rPr>
        <w:t>企</w:t>
      </w:r>
      <w:r>
        <w:rPr>
          <w:rFonts w:ascii="宋体" w:hAnsi="宋体" w:eastAsia="宋体" w:cs="宋体"/>
          <w:color w:val="auto"/>
          <w:spacing w:val="11"/>
          <w:highlight w:val="none"/>
        </w:rPr>
        <w:t>业划分指标以现行统计制度为准。(</w:t>
      </w:r>
      <w:r>
        <w:rPr>
          <w:rFonts w:ascii="Times New Roman" w:hAnsi="Times New Roman" w:eastAsia="Times New Roman" w:cs="Times New Roman"/>
          <w:color w:val="auto"/>
          <w:spacing w:val="11"/>
          <w:highlight w:val="none"/>
        </w:rPr>
        <w:t>1</w:t>
      </w:r>
      <w:r>
        <w:rPr>
          <w:rFonts w:ascii="宋体" w:hAnsi="宋体" w:eastAsia="宋体" w:cs="宋体"/>
          <w:color w:val="auto"/>
          <w:spacing w:val="11"/>
          <w:highlight w:val="none"/>
        </w:rPr>
        <w:t>) 从业人员， 是指期末从业人员数，没有期末</w:t>
      </w:r>
      <w:r>
        <w:rPr>
          <w:rFonts w:ascii="宋体" w:hAnsi="宋体" w:eastAsia="宋体" w:cs="宋体"/>
          <w:color w:val="auto"/>
          <w:spacing w:val="32"/>
          <w:highlight w:val="none"/>
        </w:rPr>
        <w:t>从</w:t>
      </w:r>
      <w:r>
        <w:rPr>
          <w:rFonts w:ascii="宋体" w:hAnsi="宋体" w:eastAsia="宋体" w:cs="宋体"/>
          <w:color w:val="auto"/>
          <w:spacing w:val="21"/>
          <w:highlight w:val="none"/>
        </w:rPr>
        <w:t>业</w:t>
      </w:r>
      <w:r>
        <w:rPr>
          <w:rFonts w:ascii="宋体" w:hAnsi="宋体" w:eastAsia="宋体" w:cs="宋体"/>
          <w:color w:val="auto"/>
          <w:spacing w:val="16"/>
          <w:highlight w:val="none"/>
        </w:rPr>
        <w:t>人员数的，采用全年平均人员数代替。(</w:t>
      </w:r>
      <w:r>
        <w:rPr>
          <w:rFonts w:ascii="Times New Roman" w:hAnsi="Times New Roman" w:eastAsia="Times New Roman" w:cs="Times New Roman"/>
          <w:color w:val="auto"/>
          <w:spacing w:val="16"/>
          <w:highlight w:val="none"/>
        </w:rPr>
        <w:t>2</w:t>
      </w:r>
      <w:r>
        <w:rPr>
          <w:rFonts w:ascii="宋体" w:hAnsi="宋体" w:eastAsia="宋体" w:cs="宋体"/>
          <w:color w:val="auto"/>
          <w:spacing w:val="16"/>
          <w:highlight w:val="none"/>
        </w:rPr>
        <w:t>) 营业收入，工业、建筑业、限额以上批</w:t>
      </w:r>
      <w:r>
        <w:rPr>
          <w:rFonts w:ascii="宋体" w:hAnsi="宋体" w:eastAsia="宋体" w:cs="宋体"/>
          <w:color w:val="auto"/>
          <w:highlight w:val="none"/>
        </w:rPr>
        <w:t xml:space="preserve"> </w:t>
      </w:r>
      <w:r>
        <w:rPr>
          <w:rFonts w:ascii="宋体" w:hAnsi="宋体" w:eastAsia="宋体" w:cs="宋体"/>
          <w:color w:val="auto"/>
          <w:spacing w:val="34"/>
          <w:highlight w:val="none"/>
        </w:rPr>
        <w:t>发</w:t>
      </w:r>
      <w:r>
        <w:rPr>
          <w:rFonts w:ascii="宋体" w:hAnsi="宋体" w:eastAsia="宋体" w:cs="宋体"/>
          <w:color w:val="auto"/>
          <w:spacing w:val="20"/>
          <w:highlight w:val="none"/>
        </w:rPr>
        <w:t>和</w:t>
      </w:r>
      <w:r>
        <w:rPr>
          <w:rFonts w:ascii="宋体" w:hAnsi="宋体" w:eastAsia="宋体" w:cs="宋体"/>
          <w:color w:val="auto"/>
          <w:spacing w:val="17"/>
          <w:highlight w:val="none"/>
        </w:rPr>
        <w:t>零售业、限额以上住宿和餐饮业以及其他设置主营业务收入指标的行业，采用主营</w:t>
      </w:r>
      <w:r>
        <w:rPr>
          <w:rFonts w:ascii="宋体" w:hAnsi="宋体" w:eastAsia="宋体" w:cs="宋体"/>
          <w:color w:val="auto"/>
          <w:highlight w:val="none"/>
        </w:rPr>
        <w:t xml:space="preserve"> </w:t>
      </w:r>
      <w:r>
        <w:rPr>
          <w:rFonts w:ascii="宋体" w:hAnsi="宋体" w:eastAsia="宋体" w:cs="宋体"/>
          <w:color w:val="auto"/>
          <w:spacing w:val="34"/>
          <w:highlight w:val="none"/>
        </w:rPr>
        <w:t>业</w:t>
      </w:r>
      <w:r>
        <w:rPr>
          <w:rFonts w:ascii="宋体" w:hAnsi="宋体" w:eastAsia="宋体" w:cs="宋体"/>
          <w:color w:val="auto"/>
          <w:spacing w:val="20"/>
          <w:highlight w:val="none"/>
        </w:rPr>
        <w:t>务</w:t>
      </w:r>
      <w:r>
        <w:rPr>
          <w:rFonts w:ascii="宋体" w:hAnsi="宋体" w:eastAsia="宋体" w:cs="宋体"/>
          <w:color w:val="auto"/>
          <w:spacing w:val="17"/>
          <w:highlight w:val="none"/>
        </w:rPr>
        <w:t>收入；限额以下批发与零售业企业采用商品销售额代替；限额以下住宿与餐饮业企</w:t>
      </w:r>
      <w:r>
        <w:rPr>
          <w:rFonts w:ascii="宋体" w:hAnsi="宋体" w:eastAsia="宋体" w:cs="宋体"/>
          <w:color w:val="auto"/>
          <w:spacing w:val="28"/>
          <w:highlight w:val="none"/>
        </w:rPr>
        <w:t>业</w:t>
      </w:r>
      <w:r>
        <w:rPr>
          <w:rFonts w:ascii="宋体" w:hAnsi="宋体" w:eastAsia="宋体" w:cs="宋体"/>
          <w:color w:val="auto"/>
          <w:spacing w:val="15"/>
          <w:highlight w:val="none"/>
        </w:rPr>
        <w:t>采</w:t>
      </w:r>
      <w:r>
        <w:rPr>
          <w:rFonts w:ascii="宋体" w:hAnsi="宋体" w:eastAsia="宋体" w:cs="宋体"/>
          <w:color w:val="auto"/>
          <w:spacing w:val="14"/>
          <w:highlight w:val="none"/>
        </w:rPr>
        <w:t>用营业额代替；农、林、牧、渔业企业采用营业总收入代替；其他未设置主营业务</w:t>
      </w:r>
      <w:r>
        <w:rPr>
          <w:rFonts w:ascii="宋体" w:hAnsi="宋体" w:eastAsia="宋体" w:cs="宋体"/>
          <w:color w:val="auto"/>
          <w:spacing w:val="24"/>
          <w:highlight w:val="none"/>
        </w:rPr>
        <w:t>收</w:t>
      </w:r>
      <w:r>
        <w:rPr>
          <w:rFonts w:ascii="宋体" w:hAnsi="宋体" w:eastAsia="宋体" w:cs="宋体"/>
          <w:color w:val="auto"/>
          <w:spacing w:val="17"/>
          <w:highlight w:val="none"/>
        </w:rPr>
        <w:t>入的行业，采用营业收入指标。(</w:t>
      </w:r>
      <w:r>
        <w:rPr>
          <w:rFonts w:ascii="Times New Roman" w:hAnsi="Times New Roman" w:eastAsia="Times New Roman" w:cs="Times New Roman"/>
          <w:color w:val="auto"/>
          <w:spacing w:val="17"/>
          <w:highlight w:val="none"/>
        </w:rPr>
        <w:t>3</w:t>
      </w:r>
      <w:r>
        <w:rPr>
          <w:rFonts w:ascii="宋体" w:hAnsi="宋体" w:eastAsia="宋体" w:cs="宋体"/>
          <w:color w:val="auto"/>
          <w:spacing w:val="17"/>
          <w:highlight w:val="none"/>
        </w:rPr>
        <w:t>) 资产总额，采用资产总计代替</w:t>
      </w:r>
      <w:r>
        <w:rPr>
          <w:rFonts w:hint="eastAsia" w:ascii="宋体" w:hAnsi="宋体" w:eastAsia="宋体" w:cs="宋体"/>
          <w:color w:val="auto"/>
          <w:spacing w:val="17"/>
          <w:highlight w:val="none"/>
        </w:rPr>
        <w:t>。</w:t>
      </w:r>
    </w:p>
    <w:p>
      <w:pPr>
        <w:rPr>
          <w:rFonts w:ascii="宋体" w:hAnsi="宋体" w:eastAsia="宋体" w:cs="宋体"/>
          <w:color w:val="auto"/>
          <w:spacing w:val="17"/>
          <w:highlight w:val="none"/>
        </w:rPr>
      </w:pPr>
      <w:r>
        <w:rPr>
          <w:rFonts w:hint="eastAsia" w:ascii="宋体" w:hAnsi="宋体" w:eastAsia="宋体" w:cs="宋体"/>
          <w:color w:val="auto"/>
          <w:spacing w:val="17"/>
          <w:highlight w:val="none"/>
        </w:rPr>
        <w:br w:type="page"/>
      </w:r>
    </w:p>
    <w:p>
      <w:pPr>
        <w:pStyle w:val="7"/>
        <w:rPr>
          <w:color w:val="auto"/>
          <w:highlight w:val="none"/>
        </w:rPr>
      </w:pPr>
    </w:p>
    <w:p>
      <w:pPr>
        <w:spacing w:line="440" w:lineRule="exact"/>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t>监狱企业的证明文件[投标人如为监狱企业的，应当提供由省级以上监狱管理局、戒毒管理局 (含新疆生产建设兵团) 出具的属于监狱企业的证明文件, 否则不予享受优惠政策]</w:t>
      </w:r>
    </w:p>
    <w:p>
      <w:pPr>
        <w:spacing w:line="440" w:lineRule="exact"/>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t xml:space="preserve"> (如有，请提供) ；</w:t>
      </w:r>
    </w:p>
    <w:p>
      <w:pPr>
        <w:spacing w:line="440" w:lineRule="exact"/>
        <w:rPr>
          <w:b/>
          <w:bCs/>
          <w:color w:val="auto"/>
          <w:sz w:val="24"/>
          <w:szCs w:val="24"/>
          <w:highlight w:val="none"/>
        </w:rPr>
      </w:pPr>
    </w:p>
    <w:p>
      <w:pPr>
        <w:spacing w:line="440" w:lineRule="exact"/>
        <w:rPr>
          <w:b/>
          <w:bCs/>
          <w:color w:val="auto"/>
          <w:sz w:val="24"/>
          <w:szCs w:val="24"/>
          <w:highlight w:val="none"/>
        </w:rPr>
      </w:pPr>
    </w:p>
    <w:p>
      <w:pPr>
        <w:spacing w:line="440" w:lineRule="exact"/>
        <w:rPr>
          <w:b/>
          <w:bCs/>
          <w:color w:val="auto"/>
          <w:sz w:val="24"/>
          <w:szCs w:val="24"/>
          <w:highlight w:val="none"/>
        </w:rPr>
      </w:pPr>
    </w:p>
    <w:p>
      <w:pPr>
        <w:spacing w:line="440" w:lineRule="exact"/>
        <w:rPr>
          <w:rFonts w:ascii="宋体" w:hAnsi="宋体" w:eastAsia="宋体" w:cs="宋体"/>
          <w:color w:val="auto"/>
          <w:sz w:val="31"/>
          <w:szCs w:val="31"/>
          <w:highlight w:val="none"/>
        </w:rPr>
      </w:pPr>
      <w:r>
        <w:rPr>
          <w:rFonts w:ascii="宋体" w:hAnsi="宋体" w:eastAsia="宋体" w:cs="宋体"/>
          <w:b/>
          <w:bCs/>
          <w:color w:val="auto"/>
          <w:sz w:val="24"/>
          <w:szCs w:val="24"/>
          <w:highlight w:val="none"/>
        </w:rPr>
        <w:t>《残疾人福利性单位声明函》【符合条件的残疾人福利性单位在参加政府采购活动时，应当提供《残疾人福利性单位声明函》(格式见附件)</w:t>
      </w:r>
      <w:r>
        <w:rPr>
          <w:rFonts w:hint="eastAsia" w:ascii="宋体" w:hAnsi="宋体" w:eastAsia="宋体" w:cs="宋体"/>
          <w:b/>
          <w:bCs/>
          <w:color w:val="auto"/>
          <w:sz w:val="24"/>
          <w:szCs w:val="24"/>
          <w:highlight w:val="none"/>
        </w:rPr>
        <w:t>，</w:t>
      </w:r>
      <w:r>
        <w:rPr>
          <w:rFonts w:ascii="宋体" w:hAnsi="宋体" w:eastAsia="宋体" w:cs="宋体"/>
          <w:b/>
          <w:bCs/>
          <w:color w:val="auto"/>
          <w:sz w:val="24"/>
          <w:szCs w:val="24"/>
          <w:highlight w:val="none"/>
        </w:rPr>
        <w:t>并对声明的真实性负责，中标结果将同时公告企业《残疾人福利性单位声明函》，接受社会监督】 (如有，请提供)；</w:t>
      </w:r>
    </w:p>
    <w:p>
      <w:pPr>
        <w:spacing w:line="242" w:lineRule="auto"/>
        <w:rPr>
          <w:color w:val="auto"/>
          <w:highlight w:val="none"/>
        </w:rPr>
      </w:pPr>
    </w:p>
    <w:p>
      <w:pPr>
        <w:spacing w:line="243" w:lineRule="auto"/>
        <w:rPr>
          <w:color w:val="auto"/>
          <w:highlight w:val="none"/>
        </w:rPr>
      </w:pPr>
    </w:p>
    <w:p>
      <w:pPr>
        <w:spacing w:before="65" w:line="228" w:lineRule="auto"/>
        <w:ind w:left="468"/>
        <w:rPr>
          <w:rFonts w:ascii="宋体" w:hAnsi="宋体" w:eastAsia="宋体" w:cs="宋体"/>
          <w:color w:val="auto"/>
          <w:sz w:val="24"/>
          <w:szCs w:val="24"/>
          <w:highlight w:val="none"/>
        </w:rPr>
      </w:pPr>
      <w:r>
        <w:rPr>
          <w:rFonts w:ascii="宋体" w:hAnsi="宋体" w:eastAsia="宋体" w:cs="宋体"/>
          <w:color w:val="auto"/>
          <w:spacing w:val="-4"/>
          <w:sz w:val="24"/>
          <w:szCs w:val="24"/>
          <w:highlight w:val="none"/>
        </w:rPr>
        <w:t>附</w:t>
      </w:r>
      <w:r>
        <w:rPr>
          <w:rFonts w:ascii="宋体" w:hAnsi="宋体" w:eastAsia="宋体" w:cs="宋体"/>
          <w:color w:val="auto"/>
          <w:spacing w:val="-3"/>
          <w:sz w:val="24"/>
          <w:szCs w:val="24"/>
          <w:highlight w:val="none"/>
        </w:rPr>
        <w:t>件</w:t>
      </w:r>
    </w:p>
    <w:p>
      <w:pPr>
        <w:spacing w:before="229" w:line="225" w:lineRule="auto"/>
        <w:ind w:left="2858"/>
        <w:outlineLvl w:val="1"/>
        <w:rPr>
          <w:rFonts w:ascii="宋体" w:hAnsi="宋体" w:eastAsia="宋体" w:cs="宋体"/>
          <w:color w:val="auto"/>
          <w:sz w:val="31"/>
          <w:szCs w:val="31"/>
          <w:highlight w:val="none"/>
        </w:rPr>
      </w:pPr>
      <w:r>
        <w:rPr>
          <w:rFonts w:ascii="宋体" w:hAnsi="宋体" w:eastAsia="宋体" w:cs="宋体"/>
          <w:color w:val="auto"/>
          <w:spacing w:val="-7"/>
          <w:sz w:val="31"/>
          <w:szCs w:val="31"/>
          <w:highlight w:val="none"/>
        </w:rPr>
        <w:t>残</w:t>
      </w:r>
      <w:r>
        <w:rPr>
          <w:rFonts w:ascii="宋体" w:hAnsi="宋体" w:eastAsia="宋体" w:cs="宋体"/>
          <w:color w:val="auto"/>
          <w:spacing w:val="-5"/>
          <w:sz w:val="31"/>
          <w:szCs w:val="31"/>
          <w:highlight w:val="none"/>
        </w:rPr>
        <w:t>疾人福利性单位声明函</w:t>
      </w:r>
    </w:p>
    <w:p>
      <w:pPr>
        <w:spacing w:line="274" w:lineRule="auto"/>
        <w:rPr>
          <w:color w:val="auto"/>
          <w:highlight w:val="none"/>
        </w:rPr>
      </w:pPr>
    </w:p>
    <w:p>
      <w:pPr>
        <w:spacing w:line="274" w:lineRule="auto"/>
        <w:rPr>
          <w:color w:val="auto"/>
          <w:highlight w:val="none"/>
        </w:rPr>
      </w:pPr>
    </w:p>
    <w:p>
      <w:pPr>
        <w:spacing w:line="275" w:lineRule="auto"/>
        <w:rPr>
          <w:color w:val="auto"/>
          <w:highlight w:val="none"/>
        </w:rPr>
      </w:pPr>
    </w:p>
    <w:p>
      <w:pPr>
        <w:spacing w:line="500" w:lineRule="exact"/>
        <w:ind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本单位郑重声明，根据《财政部 民政部 中国残疾人联合会关于促进残疾人就业政府采购政策的通知》 (财库〔2017〕141 号) 的规定，本单位为符合条件的残疾人福利性单位，且本单位参加 ______单位的______项目采购活动提供本单位制造的货物 (由本单位承担工程/提供服务)</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或者提供其他残疾人福利性单位制造的货物 (不包括使用非残疾人福利性单位注册商标的货物) 。</w:t>
      </w:r>
    </w:p>
    <w:p>
      <w:pPr>
        <w:spacing w:line="500" w:lineRule="exact"/>
        <w:ind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本单位对上述声明的真实性负责。如有虚假，将依法承担相应责任。</w:t>
      </w:r>
    </w:p>
    <w:p>
      <w:pPr>
        <w:spacing w:line="500" w:lineRule="exact"/>
        <w:rPr>
          <w:color w:val="auto"/>
          <w:sz w:val="24"/>
          <w:szCs w:val="24"/>
          <w:highlight w:val="none"/>
        </w:rPr>
      </w:pPr>
    </w:p>
    <w:p>
      <w:pPr>
        <w:spacing w:line="500" w:lineRule="exact"/>
        <w:rPr>
          <w:color w:val="auto"/>
          <w:sz w:val="24"/>
          <w:szCs w:val="24"/>
          <w:highlight w:val="none"/>
        </w:rPr>
      </w:pPr>
    </w:p>
    <w:p>
      <w:pPr>
        <w:spacing w:line="500" w:lineRule="exact"/>
        <w:rPr>
          <w:color w:val="auto"/>
          <w:sz w:val="24"/>
          <w:szCs w:val="24"/>
          <w:highlight w:val="none"/>
        </w:rPr>
      </w:pPr>
    </w:p>
    <w:p>
      <w:pPr>
        <w:spacing w:line="500" w:lineRule="exact"/>
        <w:ind w:firstLine="4560" w:firstLineChars="1900"/>
        <w:rPr>
          <w:rFonts w:ascii="宋体" w:hAnsi="宋体" w:eastAsia="宋体" w:cs="宋体"/>
          <w:color w:val="auto"/>
          <w:sz w:val="24"/>
          <w:szCs w:val="24"/>
          <w:highlight w:val="none"/>
        </w:rPr>
      </w:pPr>
      <w:r>
        <w:rPr>
          <w:rFonts w:ascii="宋体" w:hAnsi="宋体" w:eastAsia="宋体" w:cs="宋体"/>
          <w:color w:val="auto"/>
          <w:sz w:val="24"/>
          <w:szCs w:val="24"/>
          <w:highlight w:val="none"/>
        </w:rPr>
        <w:t>单位名称：</w:t>
      </w:r>
      <w:r>
        <w:rPr>
          <w:rFonts w:ascii="宋体" w:hAnsi="宋体" w:eastAsia="宋体" w:cs="宋体"/>
          <w:color w:val="auto"/>
          <w:sz w:val="24"/>
          <w:szCs w:val="24"/>
          <w:highlight w:val="none"/>
          <w:u w:val="single"/>
        </w:rPr>
        <w:t xml:space="preserve">           </w:t>
      </w:r>
      <w:r>
        <w:rPr>
          <w:rFonts w:ascii="宋体" w:hAnsi="宋体" w:eastAsia="宋体" w:cs="宋体"/>
          <w:color w:val="auto"/>
          <w:sz w:val="24"/>
          <w:szCs w:val="24"/>
          <w:highlight w:val="none"/>
        </w:rPr>
        <w:t>[公章(CA 签章)]</w:t>
      </w:r>
    </w:p>
    <w:p>
      <w:pPr>
        <w:spacing w:line="500" w:lineRule="exact"/>
        <w:ind w:firstLine="4560" w:firstLineChars="1900"/>
        <w:rPr>
          <w:rFonts w:ascii="宋体" w:hAnsi="宋体" w:eastAsia="宋体" w:cs="宋体"/>
          <w:color w:val="auto"/>
          <w:highlight w:val="none"/>
        </w:rPr>
      </w:pPr>
      <w:r>
        <w:rPr>
          <w:rFonts w:ascii="宋体" w:hAnsi="宋体" w:eastAsia="宋体" w:cs="宋体"/>
          <w:color w:val="auto"/>
          <w:sz w:val="24"/>
          <w:szCs w:val="24"/>
          <w:highlight w:val="none"/>
        </w:rPr>
        <w:t>日  期：      年    月     日</w:t>
      </w:r>
    </w:p>
    <w:p>
      <w:pPr>
        <w:rPr>
          <w:color w:val="auto"/>
          <w:highlight w:val="none"/>
        </w:rPr>
        <w:sectPr>
          <w:footerReference r:id="rId30" w:type="default"/>
          <w:pgSz w:w="11910" w:h="16840"/>
          <w:pgMar w:top="1134" w:right="1134" w:bottom="1134" w:left="1134" w:header="0" w:footer="637" w:gutter="0"/>
          <w:cols w:space="720" w:num="1"/>
        </w:sectPr>
      </w:pPr>
    </w:p>
    <w:p>
      <w:pPr>
        <w:pStyle w:val="7"/>
        <w:rPr>
          <w:color w:val="auto"/>
          <w:highlight w:val="none"/>
        </w:rPr>
      </w:pPr>
    </w:p>
    <w:p>
      <w:pPr>
        <w:spacing w:before="169" w:line="220" w:lineRule="auto"/>
        <w:ind w:left="2552"/>
        <w:rPr>
          <w:rFonts w:ascii="宋体" w:hAnsi="宋体" w:eastAsia="宋体" w:cs="宋体"/>
          <w:color w:val="auto"/>
          <w:spacing w:val="-1"/>
          <w:sz w:val="52"/>
          <w:szCs w:val="52"/>
          <w:highlight w:val="none"/>
        </w:rPr>
      </w:pPr>
    </w:p>
    <w:p>
      <w:pPr>
        <w:spacing w:before="169" w:line="220" w:lineRule="auto"/>
        <w:ind w:left="2552"/>
        <w:rPr>
          <w:rFonts w:ascii="宋体" w:hAnsi="宋体" w:eastAsia="宋体" w:cs="宋体"/>
          <w:color w:val="auto"/>
          <w:sz w:val="52"/>
          <w:szCs w:val="52"/>
          <w:highlight w:val="none"/>
        </w:rPr>
      </w:pPr>
      <w:r>
        <w:rPr>
          <w:rFonts w:ascii="宋体" w:hAnsi="宋体" w:eastAsia="宋体" w:cs="宋体"/>
          <w:color w:val="auto"/>
          <w:spacing w:val="-1"/>
          <w:sz w:val="52"/>
          <w:szCs w:val="52"/>
          <w:highlight w:val="none"/>
        </w:rPr>
        <w:t xml:space="preserve">投  标  文 </w:t>
      </w:r>
      <w:r>
        <w:rPr>
          <w:rFonts w:ascii="宋体" w:hAnsi="宋体" w:eastAsia="宋体" w:cs="宋体"/>
          <w:color w:val="auto"/>
          <w:sz w:val="52"/>
          <w:szCs w:val="52"/>
          <w:highlight w:val="none"/>
        </w:rPr>
        <w:t xml:space="preserve"> 件</w:t>
      </w:r>
    </w:p>
    <w:p>
      <w:pPr>
        <w:spacing w:line="278" w:lineRule="auto"/>
        <w:rPr>
          <w:color w:val="auto"/>
          <w:highlight w:val="none"/>
        </w:rPr>
      </w:pPr>
    </w:p>
    <w:p>
      <w:pPr>
        <w:spacing w:line="278" w:lineRule="auto"/>
        <w:rPr>
          <w:color w:val="auto"/>
          <w:highlight w:val="none"/>
        </w:rPr>
      </w:pPr>
    </w:p>
    <w:p>
      <w:pPr>
        <w:spacing w:line="279" w:lineRule="auto"/>
        <w:rPr>
          <w:color w:val="auto"/>
          <w:highlight w:val="none"/>
        </w:rPr>
      </w:pPr>
    </w:p>
    <w:p>
      <w:pPr>
        <w:spacing w:line="279" w:lineRule="auto"/>
        <w:rPr>
          <w:color w:val="auto"/>
          <w:highlight w:val="none"/>
        </w:rPr>
      </w:pPr>
    </w:p>
    <w:p>
      <w:pPr>
        <w:spacing w:line="279" w:lineRule="auto"/>
        <w:rPr>
          <w:color w:val="auto"/>
          <w:highlight w:val="none"/>
        </w:rPr>
      </w:pPr>
    </w:p>
    <w:p>
      <w:pPr>
        <w:spacing w:before="91" w:line="220" w:lineRule="auto"/>
        <w:ind w:left="2408"/>
        <w:rPr>
          <w:rFonts w:ascii="宋体" w:hAnsi="宋体" w:eastAsia="宋体" w:cs="宋体"/>
          <w:color w:val="auto"/>
          <w:sz w:val="28"/>
          <w:szCs w:val="28"/>
          <w:highlight w:val="none"/>
        </w:rPr>
      </w:pPr>
      <w:r>
        <w:rPr>
          <w:rFonts w:ascii="宋体" w:hAnsi="宋体" w:eastAsia="宋体" w:cs="宋体"/>
          <w:color w:val="auto"/>
          <w:spacing w:val="-23"/>
          <w:sz w:val="28"/>
          <w:szCs w:val="28"/>
          <w:highlight w:val="none"/>
        </w:rPr>
        <w:t>项</w:t>
      </w:r>
      <w:r>
        <w:rPr>
          <w:rFonts w:ascii="宋体" w:hAnsi="宋体" w:eastAsia="宋体" w:cs="宋体"/>
          <w:color w:val="auto"/>
          <w:spacing w:val="-21"/>
          <w:sz w:val="28"/>
          <w:szCs w:val="28"/>
          <w:highlight w:val="none"/>
        </w:rPr>
        <w:t>目</w:t>
      </w:r>
      <w:r>
        <w:rPr>
          <w:rFonts w:hint="eastAsia" w:ascii="宋体" w:hAnsi="宋体" w:eastAsia="宋体" w:cs="宋体"/>
          <w:color w:val="auto"/>
          <w:spacing w:val="-21"/>
          <w:sz w:val="28"/>
          <w:szCs w:val="28"/>
          <w:highlight w:val="none"/>
        </w:rPr>
        <w:t>名称</w:t>
      </w:r>
      <w:r>
        <w:rPr>
          <w:rFonts w:ascii="宋体" w:hAnsi="宋体" w:eastAsia="宋体" w:cs="宋体"/>
          <w:color w:val="auto"/>
          <w:spacing w:val="-21"/>
          <w:sz w:val="28"/>
          <w:szCs w:val="28"/>
          <w:highlight w:val="none"/>
        </w:rPr>
        <w:t>：</w:t>
      </w:r>
      <w:r>
        <w:rPr>
          <w:rFonts w:ascii="宋体" w:hAnsi="宋体" w:eastAsia="宋体" w:cs="宋体"/>
          <w:color w:val="auto"/>
          <w:sz w:val="28"/>
          <w:szCs w:val="28"/>
          <w:highlight w:val="none"/>
          <w:u w:val="single"/>
        </w:rPr>
        <w:t xml:space="preserve">                    </w:t>
      </w:r>
    </w:p>
    <w:p>
      <w:pPr>
        <w:spacing w:before="91" w:line="220" w:lineRule="auto"/>
        <w:ind w:left="2408"/>
        <w:rPr>
          <w:rFonts w:ascii="宋体" w:hAnsi="宋体" w:eastAsia="宋体" w:cs="宋体"/>
          <w:color w:val="auto"/>
          <w:sz w:val="28"/>
          <w:szCs w:val="28"/>
          <w:highlight w:val="none"/>
        </w:rPr>
      </w:pPr>
      <w:r>
        <w:rPr>
          <w:rFonts w:hint="eastAsia" w:ascii="宋体" w:hAnsi="宋体" w:eastAsia="宋体" w:cs="宋体"/>
          <w:color w:val="auto"/>
          <w:spacing w:val="-23"/>
          <w:sz w:val="28"/>
          <w:szCs w:val="28"/>
          <w:highlight w:val="none"/>
        </w:rPr>
        <w:t>项目编号：</w:t>
      </w:r>
      <w:r>
        <w:rPr>
          <w:rFonts w:ascii="宋体" w:hAnsi="宋体" w:eastAsia="宋体" w:cs="宋体"/>
          <w:color w:val="auto"/>
          <w:sz w:val="28"/>
          <w:szCs w:val="28"/>
          <w:highlight w:val="none"/>
          <w:u w:val="single"/>
        </w:rPr>
        <w:t xml:space="preserve">                    </w:t>
      </w:r>
    </w:p>
    <w:p>
      <w:pPr>
        <w:spacing w:line="249"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jc w:val="center"/>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before="91" w:line="219" w:lineRule="auto"/>
        <w:ind w:firstLine="1360" w:firstLineChars="500"/>
        <w:jc w:val="both"/>
        <w:rPr>
          <w:rFonts w:ascii="宋体" w:hAnsi="宋体" w:eastAsia="宋体" w:cs="宋体"/>
          <w:color w:val="auto"/>
          <w:sz w:val="28"/>
          <w:szCs w:val="28"/>
          <w:highlight w:val="none"/>
        </w:rPr>
      </w:pPr>
      <w:r>
        <w:rPr>
          <w:rFonts w:ascii="宋体" w:hAnsi="宋体" w:eastAsia="宋体" w:cs="宋体"/>
          <w:color w:val="auto"/>
          <w:spacing w:val="-4"/>
          <w:sz w:val="28"/>
          <w:szCs w:val="28"/>
          <w:highlight w:val="none"/>
        </w:rPr>
        <w:t>投标</w:t>
      </w:r>
      <w:r>
        <w:rPr>
          <w:rFonts w:hint="eastAsia" w:ascii="宋体" w:hAnsi="宋体" w:eastAsia="宋体" w:cs="宋体"/>
          <w:color w:val="auto"/>
          <w:spacing w:val="-4"/>
          <w:sz w:val="28"/>
          <w:szCs w:val="28"/>
          <w:highlight w:val="none"/>
        </w:rPr>
        <w:t>内容</w:t>
      </w:r>
      <w:r>
        <w:rPr>
          <w:rFonts w:ascii="宋体" w:hAnsi="宋体" w:eastAsia="宋体" w:cs="宋体"/>
          <w:color w:val="auto"/>
          <w:spacing w:val="-4"/>
          <w:sz w:val="28"/>
          <w:szCs w:val="28"/>
          <w:highlight w:val="none"/>
        </w:rPr>
        <w:t>：</w:t>
      </w:r>
      <w:r>
        <w:rPr>
          <w:rFonts w:ascii="宋体" w:hAnsi="宋体" w:eastAsia="宋体" w:cs="宋体"/>
          <w:color w:val="auto"/>
          <w:spacing w:val="-4"/>
          <w:sz w:val="28"/>
          <w:szCs w:val="28"/>
          <w:highlight w:val="none"/>
          <w:u w:val="single"/>
        </w:rPr>
        <w:t xml:space="preserve">         </w:t>
      </w:r>
      <w:r>
        <w:rPr>
          <w:rFonts w:hint="eastAsia" w:ascii="宋体" w:hAnsi="宋体" w:eastAsia="宋体" w:cs="宋体"/>
          <w:color w:val="auto"/>
          <w:spacing w:val="-4"/>
          <w:sz w:val="28"/>
          <w:szCs w:val="28"/>
          <w:highlight w:val="none"/>
          <w:u w:val="single"/>
        </w:rPr>
        <w:t>技术标部分</w:t>
      </w:r>
      <w:r>
        <w:rPr>
          <w:rFonts w:ascii="宋体" w:hAnsi="宋体" w:eastAsia="宋体" w:cs="宋体"/>
          <w:color w:val="auto"/>
          <w:spacing w:val="-4"/>
          <w:sz w:val="28"/>
          <w:szCs w:val="28"/>
          <w:highlight w:val="none"/>
          <w:u w:val="single"/>
        </w:rPr>
        <w:t xml:space="preserve">  </w:t>
      </w:r>
      <w:r>
        <w:rPr>
          <w:rFonts w:hint="eastAsia" w:ascii="宋体" w:hAnsi="宋体" w:eastAsia="宋体" w:cs="宋体"/>
          <w:color w:val="auto"/>
          <w:spacing w:val="-4"/>
          <w:sz w:val="28"/>
          <w:szCs w:val="28"/>
          <w:highlight w:val="none"/>
          <w:u w:val="single"/>
        </w:rPr>
        <w:t xml:space="preserve">       </w:t>
      </w:r>
    </w:p>
    <w:p>
      <w:pPr>
        <w:spacing w:line="250" w:lineRule="auto"/>
        <w:rPr>
          <w:color w:val="auto"/>
          <w:highlight w:val="none"/>
        </w:rPr>
      </w:pPr>
    </w:p>
    <w:p>
      <w:pPr>
        <w:spacing w:before="91" w:line="219" w:lineRule="auto"/>
        <w:jc w:val="center"/>
        <w:rPr>
          <w:rFonts w:ascii="宋体" w:hAnsi="宋体" w:eastAsia="宋体" w:cs="宋体"/>
          <w:color w:val="auto"/>
          <w:sz w:val="28"/>
          <w:szCs w:val="28"/>
          <w:highlight w:val="none"/>
        </w:rPr>
      </w:pPr>
      <w:r>
        <w:rPr>
          <w:rFonts w:hint="eastAsia" w:ascii="宋体" w:hAnsi="宋体" w:eastAsia="宋体" w:cs="宋体"/>
          <w:color w:val="auto"/>
          <w:spacing w:val="-4"/>
          <w:sz w:val="28"/>
          <w:szCs w:val="28"/>
          <w:highlight w:val="none"/>
        </w:rPr>
        <w:t xml:space="preserve">  </w:t>
      </w:r>
      <w:r>
        <w:rPr>
          <w:rFonts w:ascii="宋体" w:hAnsi="宋体" w:eastAsia="宋体" w:cs="宋体"/>
          <w:color w:val="auto"/>
          <w:spacing w:val="-4"/>
          <w:sz w:val="28"/>
          <w:szCs w:val="28"/>
          <w:highlight w:val="none"/>
        </w:rPr>
        <w:t>投标人：</w:t>
      </w:r>
      <w:r>
        <w:rPr>
          <w:rFonts w:ascii="宋体" w:hAnsi="宋体" w:eastAsia="宋体" w:cs="宋体"/>
          <w:color w:val="auto"/>
          <w:spacing w:val="-4"/>
          <w:sz w:val="28"/>
          <w:szCs w:val="28"/>
          <w:highlight w:val="none"/>
          <w:u w:val="single"/>
        </w:rPr>
        <w:t xml:space="preserve">                        </w:t>
      </w:r>
      <w:r>
        <w:rPr>
          <w:rFonts w:ascii="宋体" w:hAnsi="宋体" w:eastAsia="宋体" w:cs="宋体"/>
          <w:color w:val="auto"/>
          <w:spacing w:val="-4"/>
          <w:sz w:val="28"/>
          <w:szCs w:val="28"/>
          <w:highlight w:val="none"/>
        </w:rPr>
        <w:t>[盖单位公章(</w:t>
      </w:r>
      <w:r>
        <w:rPr>
          <w:rFonts w:ascii="宋体" w:hAnsi="宋体" w:eastAsia="宋体" w:cs="宋体"/>
          <w:color w:val="auto"/>
          <w:spacing w:val="-2"/>
          <w:sz w:val="28"/>
          <w:szCs w:val="28"/>
          <w:highlight w:val="none"/>
        </w:rPr>
        <w:t>C</w:t>
      </w:r>
      <w:r>
        <w:rPr>
          <w:rFonts w:ascii="宋体" w:hAnsi="宋体" w:eastAsia="宋体" w:cs="宋体"/>
          <w:color w:val="auto"/>
          <w:sz w:val="28"/>
          <w:szCs w:val="28"/>
          <w:highlight w:val="none"/>
        </w:rPr>
        <w:t>A</w:t>
      </w:r>
      <w:r>
        <w:rPr>
          <w:rFonts w:ascii="宋体" w:hAnsi="宋体" w:eastAsia="宋体" w:cs="宋体"/>
          <w:color w:val="auto"/>
          <w:spacing w:val="-4"/>
          <w:sz w:val="28"/>
          <w:szCs w:val="28"/>
          <w:highlight w:val="none"/>
        </w:rPr>
        <w:t xml:space="preserve"> 签章)]</w:t>
      </w:r>
    </w:p>
    <w:p>
      <w:pPr>
        <w:spacing w:before="212" w:line="219" w:lineRule="auto"/>
        <w:jc w:val="center"/>
        <w:rPr>
          <w:rFonts w:ascii="宋体" w:hAnsi="宋体" w:eastAsia="宋体" w:cs="宋体"/>
          <w:color w:val="auto"/>
          <w:sz w:val="28"/>
          <w:szCs w:val="28"/>
          <w:highlight w:val="none"/>
        </w:rPr>
      </w:pPr>
      <w:r>
        <w:rPr>
          <w:rFonts w:hint="eastAsia" w:ascii="宋体" w:hAnsi="宋体" w:eastAsia="宋体" w:cs="宋体"/>
          <w:color w:val="auto"/>
          <w:spacing w:val="-9"/>
          <w:sz w:val="28"/>
          <w:szCs w:val="28"/>
          <w:highlight w:val="none"/>
        </w:rPr>
        <w:t xml:space="preserve">  </w:t>
      </w:r>
      <w:r>
        <w:rPr>
          <w:rFonts w:ascii="宋体" w:hAnsi="宋体" w:eastAsia="宋体" w:cs="宋体"/>
          <w:color w:val="auto"/>
          <w:spacing w:val="-9"/>
          <w:sz w:val="28"/>
          <w:szCs w:val="28"/>
          <w:highlight w:val="none"/>
        </w:rPr>
        <w:t>法定代表人或其委托代理人：</w:t>
      </w:r>
      <w:r>
        <w:rPr>
          <w:rFonts w:ascii="宋体" w:hAnsi="宋体" w:eastAsia="宋体" w:cs="宋体"/>
          <w:color w:val="auto"/>
          <w:spacing w:val="-9"/>
          <w:sz w:val="28"/>
          <w:szCs w:val="28"/>
          <w:highlight w:val="none"/>
          <w:u w:val="single"/>
        </w:rPr>
        <w:t xml:space="preserve">       </w:t>
      </w:r>
      <w:r>
        <w:rPr>
          <w:rFonts w:ascii="宋体" w:hAnsi="宋体" w:eastAsia="宋体" w:cs="宋体"/>
          <w:color w:val="auto"/>
          <w:spacing w:val="-9"/>
          <w:sz w:val="28"/>
          <w:szCs w:val="28"/>
          <w:highlight w:val="none"/>
        </w:rPr>
        <w:t>[签字或盖章(C</w:t>
      </w:r>
      <w:r>
        <w:rPr>
          <w:rFonts w:ascii="宋体" w:hAnsi="宋体" w:eastAsia="宋体" w:cs="宋体"/>
          <w:color w:val="auto"/>
          <w:spacing w:val="-3"/>
          <w:sz w:val="28"/>
          <w:szCs w:val="28"/>
          <w:highlight w:val="none"/>
        </w:rPr>
        <w:t>A</w:t>
      </w:r>
      <w:r>
        <w:rPr>
          <w:rFonts w:ascii="宋体" w:hAnsi="宋体" w:eastAsia="宋体" w:cs="宋体"/>
          <w:color w:val="auto"/>
          <w:spacing w:val="-9"/>
          <w:sz w:val="28"/>
          <w:szCs w:val="28"/>
          <w:highlight w:val="none"/>
        </w:rPr>
        <w:t xml:space="preserve"> 签章)]</w:t>
      </w:r>
    </w:p>
    <w:p>
      <w:pPr>
        <w:spacing w:line="254" w:lineRule="auto"/>
        <w:rPr>
          <w:color w:val="auto"/>
          <w:highlight w:val="none"/>
        </w:rPr>
      </w:pPr>
    </w:p>
    <w:p>
      <w:pPr>
        <w:spacing w:line="255" w:lineRule="auto"/>
        <w:rPr>
          <w:color w:val="auto"/>
          <w:highlight w:val="none"/>
        </w:rPr>
      </w:pPr>
    </w:p>
    <w:p>
      <w:pPr>
        <w:spacing w:line="255" w:lineRule="auto"/>
        <w:rPr>
          <w:color w:val="auto"/>
          <w:highlight w:val="none"/>
        </w:rPr>
      </w:pPr>
    </w:p>
    <w:p>
      <w:pPr>
        <w:tabs>
          <w:tab w:val="left" w:pos="3305"/>
        </w:tabs>
        <w:spacing w:before="91" w:line="220" w:lineRule="auto"/>
        <w:ind w:left="2035"/>
        <w:rPr>
          <w:color w:val="auto"/>
          <w:highlight w:val="none"/>
        </w:rPr>
        <w:sectPr>
          <w:footerReference r:id="rId31" w:type="default"/>
          <w:pgSz w:w="11907" w:h="16839"/>
          <w:pgMar w:top="1440" w:right="1080" w:bottom="1440" w:left="1080" w:header="0" w:footer="1060" w:gutter="0"/>
          <w:cols w:space="720" w:num="1"/>
        </w:sectPr>
      </w:pPr>
      <w:r>
        <w:rPr>
          <w:rFonts w:ascii="宋体" w:hAnsi="宋体" w:eastAsia="宋体" w:cs="宋体"/>
          <w:color w:val="auto"/>
          <w:sz w:val="28"/>
          <w:szCs w:val="28"/>
          <w:highlight w:val="none"/>
          <w:u w:val="single"/>
        </w:rPr>
        <w:tab/>
      </w:r>
      <w:r>
        <w:rPr>
          <w:rFonts w:ascii="宋体" w:hAnsi="宋体" w:eastAsia="宋体" w:cs="宋体"/>
          <w:color w:val="auto"/>
          <w:spacing w:val="4"/>
          <w:sz w:val="28"/>
          <w:szCs w:val="28"/>
          <w:highlight w:val="none"/>
        </w:rPr>
        <w:t>年</w:t>
      </w:r>
      <w:r>
        <w:rPr>
          <w:rFonts w:ascii="宋体" w:hAnsi="宋体" w:eastAsia="宋体" w:cs="宋体"/>
          <w:color w:val="auto"/>
          <w:spacing w:val="4"/>
          <w:sz w:val="28"/>
          <w:szCs w:val="28"/>
          <w:highlight w:val="none"/>
          <w:u w:val="single"/>
        </w:rPr>
        <w:t xml:space="preserve">  </w:t>
      </w:r>
      <w:r>
        <w:rPr>
          <w:rFonts w:ascii="宋体" w:hAnsi="宋体" w:eastAsia="宋体" w:cs="宋体"/>
          <w:color w:val="auto"/>
          <w:spacing w:val="3"/>
          <w:sz w:val="28"/>
          <w:szCs w:val="28"/>
          <w:highlight w:val="none"/>
          <w:u w:val="single"/>
        </w:rPr>
        <w:t xml:space="preserve"> </w:t>
      </w:r>
      <w:r>
        <w:rPr>
          <w:rFonts w:ascii="宋体" w:hAnsi="宋体" w:eastAsia="宋体" w:cs="宋体"/>
          <w:color w:val="auto"/>
          <w:spacing w:val="2"/>
          <w:sz w:val="28"/>
          <w:szCs w:val="28"/>
          <w:highlight w:val="none"/>
          <w:u w:val="single"/>
        </w:rPr>
        <w:t xml:space="preserve">      </w:t>
      </w:r>
      <w:r>
        <w:rPr>
          <w:rFonts w:ascii="宋体" w:hAnsi="宋体" w:eastAsia="宋体" w:cs="宋体"/>
          <w:color w:val="auto"/>
          <w:spacing w:val="2"/>
          <w:sz w:val="28"/>
          <w:szCs w:val="28"/>
          <w:highlight w:val="none"/>
        </w:rPr>
        <w:t>月</w:t>
      </w:r>
      <w:r>
        <w:rPr>
          <w:rFonts w:ascii="宋体" w:hAnsi="宋体" w:eastAsia="宋体" w:cs="宋体"/>
          <w:color w:val="auto"/>
          <w:spacing w:val="2"/>
          <w:sz w:val="28"/>
          <w:szCs w:val="28"/>
          <w:highlight w:val="none"/>
          <w:u w:val="single"/>
        </w:rPr>
        <w:t xml:space="preserve">         </w:t>
      </w:r>
      <w:r>
        <w:rPr>
          <w:rFonts w:ascii="宋体" w:hAnsi="宋体" w:eastAsia="宋体" w:cs="宋体"/>
          <w:color w:val="auto"/>
          <w:spacing w:val="2"/>
          <w:sz w:val="28"/>
          <w:szCs w:val="28"/>
          <w:highlight w:val="none"/>
        </w:rPr>
        <w:t>日</w:t>
      </w:r>
    </w:p>
    <w:p>
      <w:pPr>
        <w:spacing w:line="246" w:lineRule="auto"/>
        <w:jc w:val="center"/>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目 录</w:t>
      </w:r>
    </w:p>
    <w:p>
      <w:pPr>
        <w:pStyle w:val="2"/>
        <w:jc w:val="center"/>
        <w:rPr>
          <w:color w:val="auto"/>
          <w:highlight w:val="none"/>
        </w:rPr>
      </w:pPr>
      <w:r>
        <w:rPr>
          <w:rFonts w:hint="eastAsia"/>
          <w:color w:val="auto"/>
          <w:highlight w:val="none"/>
        </w:rPr>
        <w:t>（投标人自行编制）</w:t>
      </w:r>
    </w:p>
    <w:p>
      <w:pPr>
        <w:pStyle w:val="2"/>
        <w:rPr>
          <w:rFonts w:ascii="Arial"/>
          <w:color w:val="auto"/>
          <w:highlight w:val="none"/>
        </w:rPr>
      </w:pPr>
    </w:p>
    <w:p>
      <w:pPr>
        <w:pStyle w:val="2"/>
        <w:rPr>
          <w:rFonts w:ascii="Arial"/>
          <w:color w:val="auto"/>
          <w:highlight w:val="none"/>
        </w:rPr>
      </w:pPr>
    </w:p>
    <w:p>
      <w:pPr>
        <w:pStyle w:val="2"/>
        <w:rPr>
          <w:rFonts w:ascii="Arial"/>
          <w:color w:val="auto"/>
          <w:highlight w:val="no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before="91" w:line="220" w:lineRule="auto"/>
        <w:ind w:left="41"/>
        <w:rPr>
          <w:rFonts w:ascii="宋体" w:hAnsi="宋体" w:eastAsia="宋体" w:cs="宋体"/>
          <w:color w:val="auto"/>
          <w:spacing w:val="-1"/>
          <w:sz w:val="28"/>
          <w:szCs w:val="28"/>
          <w:highlight w:val="none"/>
          <w14:textOutline w14:w="5092" w14:cap="flat" w14:cmpd="sng" w14:algn="ctr">
            <w14:solidFill>
              <w14:srgbClr w14:val="000000"/>
            </w14:solidFill>
            <w14:prstDash w14:val="solid"/>
            <w14:miter w14:val="0"/>
          </w14:textOutline>
        </w:rPr>
      </w:pPr>
    </w:p>
    <w:p>
      <w:pPr>
        <w:spacing w:line="273" w:lineRule="auto"/>
        <w:rPr>
          <w:color w:val="auto"/>
          <w:highlight w:val="none"/>
        </w:rPr>
      </w:pPr>
    </w:p>
    <w:p>
      <w:pPr>
        <w:spacing w:before="91" w:line="220" w:lineRule="auto"/>
        <w:outlineLvl w:val="6"/>
        <w:rPr>
          <w:rFonts w:ascii="宋体" w:hAnsi="宋体" w:eastAsia="宋体" w:cs="宋体"/>
          <w:color w:val="auto"/>
          <w:spacing w:val="-22"/>
          <w:sz w:val="28"/>
          <w:szCs w:val="28"/>
          <w:highlight w:val="none"/>
          <w14:textOutline w14:w="5092" w14:cap="flat" w14:cmpd="sng" w14:algn="ctr">
            <w14:solidFill>
              <w14:srgbClr w14:val="000000"/>
            </w14:solidFill>
            <w14:prstDash w14:val="solid"/>
            <w14:miter w14:val="0"/>
          </w14:textOutline>
        </w:rPr>
      </w:pPr>
      <w:r>
        <w:rPr>
          <w:rFonts w:hint="eastAsia" w:ascii="宋体" w:hAnsi="宋体" w:eastAsia="宋体" w:cs="宋体"/>
          <w:color w:val="auto"/>
          <w:spacing w:val="-22"/>
          <w:sz w:val="28"/>
          <w:szCs w:val="28"/>
          <w:highlight w:val="none"/>
          <w14:textOutline w14:w="5092" w14:cap="flat" w14:cmpd="sng" w14:algn="ctr">
            <w14:solidFill>
              <w14:srgbClr w14:val="000000"/>
            </w14:solidFill>
            <w14:prstDash w14:val="solid"/>
            <w14:miter w14:val="0"/>
          </w14:textOutline>
        </w:rPr>
        <w:t>三、技术标部分</w:t>
      </w:r>
    </w:p>
    <w:p>
      <w:pPr>
        <w:spacing w:line="273" w:lineRule="auto"/>
        <w:rPr>
          <w:color w:val="auto"/>
          <w:highlight w:val="none"/>
        </w:rPr>
      </w:pPr>
    </w:p>
    <w:p>
      <w:pPr>
        <w:spacing w:before="91" w:line="236" w:lineRule="auto"/>
        <w:ind w:left="3798"/>
        <w:outlineLvl w:val="6"/>
        <w:rPr>
          <w:rFonts w:ascii="宋体" w:hAnsi="宋体" w:eastAsia="宋体" w:cs="宋体"/>
          <w:color w:val="auto"/>
          <w:sz w:val="28"/>
          <w:szCs w:val="28"/>
          <w:highlight w:val="none"/>
        </w:rPr>
      </w:pPr>
      <w:r>
        <w:rPr>
          <w:rFonts w:ascii="宋体" w:hAnsi="宋体" w:eastAsia="宋体" w:cs="宋体"/>
          <w:color w:val="auto"/>
          <w:spacing w:val="-8"/>
          <w:sz w:val="28"/>
          <w:szCs w:val="28"/>
          <w:highlight w:val="none"/>
          <w14:textOutline w14:w="5092" w14:cap="flat" w14:cmpd="sng" w14:algn="ctr">
            <w14:solidFill>
              <w14:srgbClr w14:val="000000"/>
            </w14:solidFill>
            <w14:prstDash w14:val="solid"/>
            <w14:miter w14:val="0"/>
          </w14:textOutline>
        </w:rPr>
        <w:t>施工组织设计</w:t>
      </w:r>
    </w:p>
    <w:p>
      <w:pPr>
        <w:spacing w:before="308" w:line="221" w:lineRule="auto"/>
        <w:ind w:left="599"/>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rPr>
        <w:t>1.  投标人编制施工组织设计的要求：</w:t>
      </w:r>
    </w:p>
    <w:p>
      <w:pPr>
        <w:spacing w:before="101" w:line="220" w:lineRule="auto"/>
        <w:ind w:left="585"/>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rPr>
        <w:t>编制时应</w:t>
      </w:r>
      <w:r>
        <w:rPr>
          <w:rFonts w:ascii="宋体" w:hAnsi="宋体" w:eastAsia="宋体" w:cs="宋体"/>
          <w:color w:val="auto"/>
          <w:sz w:val="24"/>
          <w:szCs w:val="24"/>
          <w:highlight w:val="none"/>
        </w:rPr>
        <w:t>按以下章顺序采用文字并结合图表形式进行说明：</w:t>
      </w:r>
    </w:p>
    <w:p>
      <w:pPr>
        <w:spacing w:before="104" w:line="220" w:lineRule="auto"/>
        <w:ind w:left="584"/>
        <w:rPr>
          <w:rFonts w:ascii="宋体" w:hAnsi="宋体" w:eastAsia="宋体" w:cs="宋体"/>
          <w:color w:val="auto"/>
          <w:sz w:val="24"/>
          <w:szCs w:val="24"/>
          <w:highlight w:val="none"/>
        </w:rPr>
      </w:pPr>
      <w:r>
        <w:rPr>
          <w:rFonts w:ascii="宋体" w:hAnsi="宋体" w:eastAsia="宋体" w:cs="宋体"/>
          <w:color w:val="auto"/>
          <w:spacing w:val="-6"/>
          <w:sz w:val="24"/>
          <w:szCs w:val="24"/>
          <w:highlight w:val="none"/>
        </w:rPr>
        <w:t>第</w:t>
      </w:r>
      <w:r>
        <w:rPr>
          <w:rFonts w:ascii="宋体" w:hAnsi="宋体" w:eastAsia="宋体" w:cs="宋体"/>
          <w:color w:val="auto"/>
          <w:spacing w:val="-3"/>
          <w:sz w:val="24"/>
          <w:szCs w:val="24"/>
          <w:highlight w:val="none"/>
        </w:rPr>
        <w:t>一章 总体概述；</w:t>
      </w:r>
    </w:p>
    <w:p>
      <w:pPr>
        <w:spacing w:before="103" w:line="220" w:lineRule="auto"/>
        <w:ind w:left="584"/>
        <w:rPr>
          <w:rFonts w:ascii="宋体" w:hAnsi="宋体" w:eastAsia="宋体" w:cs="宋体"/>
          <w:color w:val="auto"/>
          <w:sz w:val="24"/>
          <w:szCs w:val="24"/>
          <w:highlight w:val="none"/>
        </w:rPr>
      </w:pPr>
      <w:r>
        <w:rPr>
          <w:rFonts w:ascii="宋体" w:hAnsi="宋体" w:eastAsia="宋体" w:cs="宋体"/>
          <w:color w:val="auto"/>
          <w:spacing w:val="-4"/>
          <w:sz w:val="24"/>
          <w:szCs w:val="24"/>
          <w:highlight w:val="none"/>
        </w:rPr>
        <w:t xml:space="preserve">第二章 </w:t>
      </w:r>
      <w:r>
        <w:rPr>
          <w:rFonts w:ascii="宋体" w:hAnsi="宋体" w:eastAsia="宋体" w:cs="宋体"/>
          <w:color w:val="auto"/>
          <w:spacing w:val="-2"/>
          <w:sz w:val="24"/>
          <w:szCs w:val="24"/>
          <w:highlight w:val="none"/>
        </w:rPr>
        <w:t>主要施工方法；</w:t>
      </w:r>
    </w:p>
    <w:p>
      <w:pPr>
        <w:spacing w:before="105" w:line="353" w:lineRule="exact"/>
        <w:ind w:left="584"/>
        <w:rPr>
          <w:rFonts w:ascii="宋体" w:hAnsi="宋体" w:eastAsia="宋体" w:cs="宋体"/>
          <w:color w:val="auto"/>
          <w:sz w:val="24"/>
          <w:szCs w:val="24"/>
          <w:highlight w:val="none"/>
        </w:rPr>
      </w:pPr>
      <w:r>
        <w:rPr>
          <w:rFonts w:ascii="宋体" w:hAnsi="宋体" w:eastAsia="宋体" w:cs="宋体"/>
          <w:color w:val="auto"/>
          <w:spacing w:val="-2"/>
          <w:position w:val="10"/>
          <w:sz w:val="24"/>
          <w:szCs w:val="24"/>
          <w:highlight w:val="none"/>
        </w:rPr>
        <w:t xml:space="preserve">第三章 </w:t>
      </w:r>
      <w:r>
        <w:rPr>
          <w:rFonts w:hint="eastAsia" w:ascii="宋体" w:hAnsi="宋体" w:eastAsia="宋体" w:cs="宋体"/>
          <w:color w:val="auto"/>
          <w:spacing w:val="-2"/>
          <w:position w:val="10"/>
          <w:sz w:val="24"/>
          <w:szCs w:val="24"/>
          <w:highlight w:val="none"/>
        </w:rPr>
        <w:t>施工进度、施工进度计划和各阶段进度的保证措施</w:t>
      </w:r>
      <w:r>
        <w:rPr>
          <w:rFonts w:ascii="宋体" w:hAnsi="宋体" w:eastAsia="宋体" w:cs="宋体"/>
          <w:color w:val="auto"/>
          <w:spacing w:val="-1"/>
          <w:position w:val="10"/>
          <w:sz w:val="24"/>
          <w:szCs w:val="24"/>
          <w:highlight w:val="none"/>
        </w:rPr>
        <w:t>；</w:t>
      </w:r>
    </w:p>
    <w:p>
      <w:pPr>
        <w:spacing w:before="1" w:line="219" w:lineRule="auto"/>
        <w:ind w:left="584"/>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rPr>
        <w:t xml:space="preserve">第四章 </w:t>
      </w:r>
      <w:r>
        <w:rPr>
          <w:rFonts w:hint="eastAsia" w:ascii="宋体" w:hAnsi="宋体" w:eastAsia="宋体" w:cs="宋体"/>
          <w:color w:val="auto"/>
          <w:sz w:val="24"/>
          <w:szCs w:val="24"/>
          <w:highlight w:val="none"/>
        </w:rPr>
        <w:t>劳动力和材料投入计划及其保证措施</w:t>
      </w:r>
      <w:r>
        <w:rPr>
          <w:rFonts w:ascii="宋体" w:hAnsi="宋体" w:eastAsia="宋体" w:cs="宋体"/>
          <w:color w:val="auto"/>
          <w:sz w:val="24"/>
          <w:szCs w:val="24"/>
          <w:highlight w:val="none"/>
        </w:rPr>
        <w:t>；</w:t>
      </w:r>
    </w:p>
    <w:p>
      <w:pPr>
        <w:spacing w:before="105" w:line="220" w:lineRule="auto"/>
        <w:ind w:left="584"/>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rPr>
        <w:t xml:space="preserve">第五章 </w:t>
      </w:r>
      <w:r>
        <w:rPr>
          <w:rFonts w:hint="eastAsia" w:ascii="宋体" w:hAnsi="宋体" w:eastAsia="宋体" w:cs="宋体"/>
          <w:color w:val="auto"/>
          <w:spacing w:val="-2"/>
          <w:sz w:val="24"/>
          <w:szCs w:val="24"/>
          <w:highlight w:val="none"/>
        </w:rPr>
        <w:t>施工平面布置和临时设施布置</w:t>
      </w:r>
      <w:r>
        <w:rPr>
          <w:rFonts w:ascii="宋体" w:hAnsi="宋体" w:eastAsia="宋体" w:cs="宋体"/>
          <w:color w:val="auto"/>
          <w:spacing w:val="-1"/>
          <w:sz w:val="24"/>
          <w:szCs w:val="24"/>
          <w:highlight w:val="none"/>
        </w:rPr>
        <w:t>；</w:t>
      </w:r>
    </w:p>
    <w:p>
      <w:pPr>
        <w:spacing w:before="102" w:line="356" w:lineRule="exact"/>
        <w:ind w:left="584"/>
        <w:rPr>
          <w:rFonts w:ascii="宋体" w:hAnsi="宋体" w:eastAsia="宋体" w:cs="宋体"/>
          <w:color w:val="auto"/>
          <w:sz w:val="24"/>
          <w:szCs w:val="24"/>
          <w:highlight w:val="none"/>
        </w:rPr>
      </w:pPr>
      <w:r>
        <w:rPr>
          <w:rFonts w:ascii="宋体" w:hAnsi="宋体" w:eastAsia="宋体" w:cs="宋体"/>
          <w:color w:val="auto"/>
          <w:spacing w:val="-1"/>
          <w:position w:val="10"/>
          <w:sz w:val="24"/>
          <w:szCs w:val="24"/>
          <w:highlight w:val="none"/>
        </w:rPr>
        <w:t>第六章</w:t>
      </w:r>
      <w:r>
        <w:rPr>
          <w:rFonts w:ascii="宋体" w:hAnsi="宋体" w:eastAsia="宋体" w:cs="宋体"/>
          <w:color w:val="auto"/>
          <w:position w:val="10"/>
          <w:sz w:val="24"/>
          <w:szCs w:val="24"/>
          <w:highlight w:val="none"/>
        </w:rPr>
        <w:t xml:space="preserve"> </w:t>
      </w:r>
      <w:r>
        <w:rPr>
          <w:rFonts w:hint="eastAsia" w:ascii="宋体" w:hAnsi="宋体" w:eastAsia="宋体" w:cs="宋体"/>
          <w:color w:val="auto"/>
          <w:position w:val="10"/>
          <w:sz w:val="24"/>
          <w:szCs w:val="24"/>
          <w:highlight w:val="none"/>
        </w:rPr>
        <w:t>关键施工技术、工艺及工程实施的重点、难点和解决方案</w:t>
      </w:r>
      <w:r>
        <w:rPr>
          <w:rFonts w:ascii="宋体" w:hAnsi="宋体" w:eastAsia="宋体" w:cs="宋体"/>
          <w:color w:val="auto"/>
          <w:position w:val="10"/>
          <w:sz w:val="24"/>
          <w:szCs w:val="24"/>
          <w:highlight w:val="none"/>
        </w:rPr>
        <w:t>；</w:t>
      </w:r>
    </w:p>
    <w:p>
      <w:pPr>
        <w:spacing w:before="1" w:line="219" w:lineRule="auto"/>
        <w:ind w:left="584"/>
        <w:rPr>
          <w:rFonts w:ascii="宋体" w:hAnsi="宋体" w:eastAsia="宋体" w:cs="宋体"/>
          <w:color w:val="auto"/>
          <w:sz w:val="24"/>
          <w:szCs w:val="24"/>
          <w:highlight w:val="none"/>
        </w:rPr>
      </w:pPr>
      <w:r>
        <w:rPr>
          <w:rFonts w:ascii="宋体" w:hAnsi="宋体" w:eastAsia="宋体" w:cs="宋体"/>
          <w:color w:val="auto"/>
          <w:spacing w:val="-4"/>
          <w:sz w:val="24"/>
          <w:szCs w:val="24"/>
          <w:highlight w:val="none"/>
        </w:rPr>
        <w:t>第七</w:t>
      </w:r>
      <w:r>
        <w:rPr>
          <w:rFonts w:ascii="宋体" w:hAnsi="宋体" w:eastAsia="宋体" w:cs="宋体"/>
          <w:color w:val="auto"/>
          <w:spacing w:val="-2"/>
          <w:sz w:val="24"/>
          <w:szCs w:val="24"/>
          <w:highlight w:val="none"/>
        </w:rPr>
        <w:t>章 安全文明施工措施；</w:t>
      </w:r>
    </w:p>
    <w:p>
      <w:pPr>
        <w:spacing w:before="105" w:line="220" w:lineRule="auto"/>
        <w:ind w:left="584"/>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rPr>
        <w:t>第八章 质量</w:t>
      </w:r>
      <w:r>
        <w:rPr>
          <w:rFonts w:ascii="宋体" w:hAnsi="宋体" w:eastAsia="宋体" w:cs="宋体"/>
          <w:color w:val="auto"/>
          <w:sz w:val="24"/>
          <w:szCs w:val="24"/>
          <w:highlight w:val="none"/>
        </w:rPr>
        <w:t>保证与承诺；</w:t>
      </w:r>
    </w:p>
    <w:p>
      <w:pPr>
        <w:spacing w:before="103" w:line="220" w:lineRule="auto"/>
        <w:ind w:left="584"/>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rPr>
        <w:t xml:space="preserve">第九章 </w:t>
      </w:r>
      <w:r>
        <w:rPr>
          <w:rFonts w:hint="eastAsia" w:ascii="宋体" w:hAnsi="宋体" w:eastAsia="宋体" w:cs="宋体"/>
          <w:color w:val="auto"/>
          <w:spacing w:val="-1"/>
          <w:sz w:val="24"/>
          <w:szCs w:val="24"/>
          <w:highlight w:val="none"/>
        </w:rPr>
        <w:t>新技术应用与承诺</w:t>
      </w:r>
      <w:r>
        <w:rPr>
          <w:rFonts w:ascii="宋体" w:hAnsi="宋体" w:eastAsia="宋体" w:cs="宋体"/>
          <w:color w:val="auto"/>
          <w:sz w:val="24"/>
          <w:szCs w:val="24"/>
          <w:highlight w:val="none"/>
        </w:rPr>
        <w:t>。</w:t>
      </w:r>
    </w:p>
    <w:p>
      <w:pPr>
        <w:spacing w:before="105" w:line="220" w:lineRule="auto"/>
        <w:ind w:left="586"/>
        <w:rPr>
          <w:rFonts w:ascii="宋体" w:hAnsi="宋体" w:eastAsia="宋体" w:cs="宋体"/>
          <w:color w:val="auto"/>
          <w:sz w:val="24"/>
          <w:szCs w:val="24"/>
          <w:highlight w:val="none"/>
        </w:rPr>
      </w:pPr>
      <w:r>
        <w:rPr>
          <w:rFonts w:ascii="宋体" w:hAnsi="宋体" w:eastAsia="宋体" w:cs="宋体"/>
          <w:color w:val="auto"/>
          <w:spacing w:val="-1"/>
          <w:sz w:val="24"/>
          <w:szCs w:val="24"/>
          <w:highlight w:val="none"/>
        </w:rPr>
        <w:t>2.  施工组织设计除采用文字表述外可附</w:t>
      </w:r>
      <w:r>
        <w:rPr>
          <w:rFonts w:ascii="宋体" w:hAnsi="宋体" w:eastAsia="宋体" w:cs="宋体"/>
          <w:color w:val="auto"/>
          <w:sz w:val="24"/>
          <w:szCs w:val="24"/>
          <w:highlight w:val="none"/>
        </w:rPr>
        <w:t>下列图表，图表及格式要求附后。</w:t>
      </w:r>
    </w:p>
    <w:p>
      <w:pPr>
        <w:spacing w:line="60" w:lineRule="exact"/>
        <w:rPr>
          <w:color w:val="auto"/>
          <w:sz w:val="24"/>
          <w:szCs w:val="24"/>
          <w:highlight w:val="none"/>
        </w:rPr>
      </w:pPr>
    </w:p>
    <w:p>
      <w:pPr>
        <w:rPr>
          <w:color w:val="auto"/>
          <w:sz w:val="24"/>
          <w:szCs w:val="24"/>
          <w:highlight w:val="none"/>
        </w:rPr>
        <w:sectPr>
          <w:footerReference r:id="rId32" w:type="default"/>
          <w:pgSz w:w="11907" w:h="16839"/>
          <w:pgMar w:top="1440" w:right="1080" w:bottom="1440" w:left="1080" w:header="0" w:footer="993" w:gutter="0"/>
          <w:cols w:equalWidth="0" w:num="1">
            <w:col w:w="9124"/>
          </w:cols>
        </w:sectPr>
      </w:pPr>
    </w:p>
    <w:p>
      <w:pPr>
        <w:pStyle w:val="35"/>
        <w:spacing w:line="300" w:lineRule="exact"/>
        <w:ind w:firstLine="425"/>
        <w:rPr>
          <w:rFonts w:ascii="宋体" w:hAnsi="宋体" w:eastAsia="宋体"/>
          <w:color w:val="auto"/>
          <w:sz w:val="24"/>
          <w:szCs w:val="24"/>
          <w:highlight w:val="none"/>
        </w:rPr>
      </w:pPr>
      <w:r>
        <w:rPr>
          <w:rFonts w:hint="eastAsia" w:ascii="宋体" w:hAnsi="宋体" w:eastAsia="宋体"/>
          <w:color w:val="auto"/>
          <w:sz w:val="24"/>
          <w:szCs w:val="24"/>
          <w:highlight w:val="none"/>
        </w:rPr>
        <w:t>附表一</w:t>
      </w:r>
      <w:r>
        <w:rPr>
          <w:rFonts w:hint="eastAsia" w:ascii="宋体" w:hAnsi="宋体" w:eastAsia="宋体"/>
          <w:color w:val="auto"/>
          <w:sz w:val="24"/>
          <w:szCs w:val="24"/>
          <w:highlight w:val="none"/>
        </w:rPr>
        <w:tab/>
      </w:r>
      <w:r>
        <w:rPr>
          <w:rFonts w:hint="eastAsia" w:ascii="宋体" w:hAnsi="宋体" w:eastAsia="宋体"/>
          <w:color w:val="auto"/>
          <w:sz w:val="24"/>
          <w:szCs w:val="24"/>
          <w:highlight w:val="none"/>
        </w:rPr>
        <w:t>劳动力计划表</w:t>
      </w:r>
    </w:p>
    <w:p>
      <w:pPr>
        <w:pStyle w:val="35"/>
        <w:spacing w:line="300" w:lineRule="exact"/>
        <w:ind w:firstLine="425"/>
        <w:rPr>
          <w:rFonts w:ascii="宋体" w:hAnsi="宋体" w:eastAsia="宋体"/>
          <w:color w:val="auto"/>
          <w:sz w:val="24"/>
          <w:szCs w:val="24"/>
          <w:highlight w:val="none"/>
        </w:rPr>
      </w:pPr>
      <w:r>
        <w:rPr>
          <w:rFonts w:hint="eastAsia" w:ascii="宋体" w:hAnsi="宋体" w:eastAsia="宋体"/>
          <w:color w:val="auto"/>
          <w:sz w:val="24"/>
          <w:szCs w:val="24"/>
          <w:highlight w:val="none"/>
        </w:rPr>
        <w:t>附表二</w:t>
      </w:r>
      <w:r>
        <w:rPr>
          <w:rFonts w:hint="eastAsia" w:ascii="宋体" w:hAnsi="宋体" w:eastAsia="宋体"/>
          <w:color w:val="auto"/>
          <w:sz w:val="24"/>
          <w:szCs w:val="24"/>
          <w:highlight w:val="none"/>
        </w:rPr>
        <w:tab/>
      </w:r>
      <w:r>
        <w:rPr>
          <w:rFonts w:hint="eastAsia" w:ascii="宋体" w:hAnsi="宋体" w:eastAsia="宋体"/>
          <w:color w:val="auto"/>
          <w:sz w:val="24"/>
          <w:szCs w:val="24"/>
          <w:highlight w:val="none"/>
        </w:rPr>
        <w:t>计划开、竣工日期和施工进度横道图</w:t>
      </w:r>
    </w:p>
    <w:p>
      <w:pPr>
        <w:pStyle w:val="35"/>
        <w:spacing w:line="300" w:lineRule="exact"/>
        <w:ind w:firstLine="425"/>
        <w:rPr>
          <w:rFonts w:ascii="宋体" w:hAnsi="宋体" w:eastAsia="宋体"/>
          <w:color w:val="auto"/>
          <w:sz w:val="24"/>
          <w:szCs w:val="24"/>
          <w:highlight w:val="none"/>
        </w:rPr>
      </w:pPr>
      <w:r>
        <w:rPr>
          <w:rFonts w:hint="eastAsia" w:ascii="宋体" w:hAnsi="宋体" w:eastAsia="宋体"/>
          <w:color w:val="auto"/>
          <w:sz w:val="24"/>
          <w:szCs w:val="24"/>
          <w:highlight w:val="none"/>
        </w:rPr>
        <w:t>附表三    施工总平面图</w:t>
      </w:r>
    </w:p>
    <w:p>
      <w:pPr>
        <w:pStyle w:val="35"/>
        <w:spacing w:line="300" w:lineRule="exact"/>
        <w:ind w:firstLine="425"/>
        <w:rPr>
          <w:rFonts w:ascii="宋体" w:hAnsi="宋体" w:eastAsia="宋体"/>
          <w:color w:val="auto"/>
          <w:sz w:val="24"/>
          <w:szCs w:val="24"/>
          <w:highlight w:val="none"/>
        </w:rPr>
      </w:pPr>
      <w:r>
        <w:rPr>
          <w:rFonts w:hint="eastAsia" w:ascii="宋体" w:hAnsi="宋体" w:eastAsia="宋体"/>
          <w:color w:val="auto"/>
          <w:sz w:val="24"/>
          <w:szCs w:val="24"/>
          <w:highlight w:val="none"/>
        </w:rPr>
        <w:t>附表四    临时用地表</w:t>
      </w:r>
    </w:p>
    <w:p>
      <w:pPr>
        <w:spacing w:line="253" w:lineRule="auto"/>
        <w:rPr>
          <w:color w:val="auto"/>
          <w:highlight w:val="none"/>
        </w:rPr>
      </w:pPr>
    </w:p>
    <w:p>
      <w:pPr>
        <w:spacing w:line="253" w:lineRule="auto"/>
        <w:rPr>
          <w:color w:val="auto"/>
          <w:highlight w:val="none"/>
        </w:rPr>
      </w:pPr>
    </w:p>
    <w:p>
      <w:pPr>
        <w:spacing w:line="253" w:lineRule="auto"/>
        <w:rPr>
          <w:color w:val="auto"/>
          <w:highlight w:val="none"/>
        </w:rPr>
      </w:pPr>
    </w:p>
    <w:p>
      <w:pPr>
        <w:spacing w:line="254" w:lineRule="auto"/>
        <w:rPr>
          <w:color w:val="auto"/>
          <w:highlight w:val="none"/>
        </w:rPr>
      </w:pPr>
    </w:p>
    <w:p>
      <w:pPr>
        <w:spacing w:line="254" w:lineRule="auto"/>
        <w:rPr>
          <w:color w:val="auto"/>
          <w:highlight w:val="none"/>
        </w:rPr>
      </w:pPr>
    </w:p>
    <w:p>
      <w:pPr>
        <w:spacing w:before="91" w:line="219" w:lineRule="auto"/>
        <w:outlineLvl w:val="6"/>
        <w:rPr>
          <w:rFonts w:ascii="宋体" w:hAnsi="宋体" w:eastAsia="宋体" w:cs="宋体"/>
          <w:color w:val="auto"/>
          <w:spacing w:val="-15"/>
          <w:highlight w:val="none"/>
          <w14:textOutline w14:w="5092" w14:cap="flat" w14:cmpd="sng" w14:algn="ctr">
            <w14:solidFill>
              <w14:srgbClr w14:val="000000"/>
            </w14:solidFill>
            <w14:prstDash w14:val="solid"/>
            <w14:miter w14:val="0"/>
          </w14:textOutline>
        </w:rPr>
      </w:pPr>
      <w:r>
        <w:rPr>
          <w:rFonts w:hint="eastAsia" w:ascii="宋体" w:hAnsi="宋体" w:eastAsia="宋体" w:cs="宋体"/>
          <w:color w:val="auto"/>
          <w:spacing w:val="-15"/>
          <w:highlight w:val="none"/>
          <w14:textOutline w14:w="5092" w14:cap="flat" w14:cmpd="sng" w14:algn="ctr">
            <w14:solidFill>
              <w14:srgbClr w14:val="000000"/>
            </w14:solidFill>
            <w14:prstDash w14:val="solid"/>
            <w14:miter w14:val="0"/>
          </w14:textOutline>
        </w:rPr>
        <w:t>附表一：劳动力计划表</w:t>
      </w:r>
    </w:p>
    <w:p>
      <w:pPr>
        <w:rPr>
          <w:rFonts w:ascii="宋体" w:hAnsi="宋体" w:eastAsia="宋体" w:cs="宋体"/>
          <w:color w:val="auto"/>
          <w:highlight w:val="none"/>
        </w:rPr>
      </w:pPr>
    </w:p>
    <w:p>
      <w:pPr>
        <w:spacing w:before="90" w:line="195" w:lineRule="auto"/>
        <w:ind w:left="4711"/>
        <w:rPr>
          <w:rFonts w:ascii="宋体" w:hAnsi="宋体" w:eastAsia="宋体" w:cs="宋体"/>
          <w:color w:val="auto"/>
          <w:highlight w:val="none"/>
        </w:rPr>
      </w:pPr>
      <w:r>
        <w:rPr>
          <w:rFonts w:hint="eastAsia" w:ascii="宋体" w:hAnsi="宋体" w:eastAsia="宋体" w:cs="宋体"/>
          <w:color w:val="auto"/>
          <w:spacing w:val="-2"/>
          <w:highlight w:val="none"/>
        </w:rPr>
        <w:t>单</w:t>
      </w:r>
      <w:r>
        <w:rPr>
          <w:rFonts w:hint="eastAsia" w:ascii="宋体" w:hAnsi="宋体" w:eastAsia="宋体" w:cs="宋体"/>
          <w:color w:val="auto"/>
          <w:spacing w:val="-1"/>
          <w:highlight w:val="none"/>
        </w:rPr>
        <w:t>位：人</w:t>
      </w:r>
    </w:p>
    <w:p>
      <w:pPr>
        <w:spacing w:line="115" w:lineRule="exact"/>
        <w:rPr>
          <w:rFonts w:ascii="宋体" w:hAnsi="宋体" w:eastAsia="宋体" w:cs="宋体"/>
          <w:color w:val="auto"/>
          <w:highlight w:val="none"/>
        </w:rPr>
      </w:pPr>
    </w:p>
    <w:tbl>
      <w:tblPr>
        <w:tblStyle w:val="16"/>
        <w:tblW w:w="910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89"/>
        <w:gridCol w:w="1368"/>
        <w:gridCol w:w="1117"/>
        <w:gridCol w:w="1116"/>
        <w:gridCol w:w="1119"/>
        <w:gridCol w:w="1119"/>
        <w:gridCol w:w="1115"/>
        <w:gridCol w:w="12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49" w:hRule="atLeast"/>
        </w:trPr>
        <w:tc>
          <w:tcPr>
            <w:tcW w:w="889" w:type="dxa"/>
            <w:tcBorders>
              <w:top w:val="single" w:color="000000" w:sz="2" w:space="0"/>
              <w:bottom w:val="single" w:color="000000" w:sz="2" w:space="0"/>
            </w:tcBorders>
          </w:tcPr>
          <w:p>
            <w:pPr>
              <w:spacing w:before="258" w:line="178" w:lineRule="auto"/>
              <w:ind w:left="245"/>
              <w:rPr>
                <w:rFonts w:ascii="宋体" w:hAnsi="宋体" w:eastAsia="宋体" w:cs="宋体"/>
                <w:color w:val="auto"/>
                <w:highlight w:val="none"/>
              </w:rPr>
            </w:pPr>
            <w:r>
              <w:rPr>
                <w:rFonts w:hint="eastAsia" w:ascii="宋体" w:hAnsi="宋体" w:eastAsia="宋体" w:cs="宋体"/>
                <w:color w:val="auto"/>
                <w:spacing w:val="-5"/>
                <w:highlight w:val="none"/>
              </w:rPr>
              <w:t>工</w:t>
            </w:r>
            <w:r>
              <w:rPr>
                <w:rFonts w:hint="eastAsia" w:ascii="宋体" w:hAnsi="宋体" w:eastAsia="宋体" w:cs="宋体"/>
                <w:color w:val="auto"/>
                <w:spacing w:val="-4"/>
                <w:highlight w:val="none"/>
              </w:rPr>
              <w:t>种</w:t>
            </w:r>
          </w:p>
        </w:tc>
        <w:tc>
          <w:tcPr>
            <w:tcW w:w="8219" w:type="dxa"/>
            <w:gridSpan w:val="7"/>
            <w:tcBorders>
              <w:top w:val="single" w:color="000000" w:sz="2" w:space="0"/>
              <w:bottom w:val="single" w:color="000000" w:sz="2" w:space="0"/>
            </w:tcBorders>
          </w:tcPr>
          <w:p>
            <w:pPr>
              <w:spacing w:before="234" w:line="193" w:lineRule="auto"/>
              <w:ind w:left="2629"/>
              <w:rPr>
                <w:rFonts w:ascii="宋体" w:hAnsi="宋体" w:eastAsia="宋体" w:cs="宋体"/>
                <w:color w:val="auto"/>
                <w:highlight w:val="none"/>
              </w:rPr>
            </w:pPr>
            <w:r>
              <w:rPr>
                <w:rFonts w:hint="eastAsia" w:ascii="宋体" w:hAnsi="宋体" w:eastAsia="宋体" w:cs="宋体"/>
                <w:color w:val="auto"/>
                <w:spacing w:val="-1"/>
                <w:highlight w:val="none"/>
              </w:rPr>
              <w:t>按工程施工阶段</w:t>
            </w:r>
            <w:r>
              <w:rPr>
                <w:rFonts w:hint="eastAsia" w:ascii="宋体" w:hAnsi="宋体" w:eastAsia="宋体" w:cs="宋体"/>
                <w:color w:val="auto"/>
                <w:highlight w:val="none"/>
              </w:rPr>
              <w:t>投入劳动力情况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889" w:type="dxa"/>
            <w:tcBorders>
              <w:top w:val="single" w:color="000000" w:sz="2" w:space="0"/>
              <w:bottom w:val="single" w:color="000000" w:sz="2" w:space="0"/>
            </w:tcBorders>
          </w:tcPr>
          <w:p>
            <w:pPr>
              <w:rPr>
                <w:rFonts w:ascii="宋体" w:hAnsi="宋体" w:eastAsia="宋体" w:cs="宋体"/>
                <w:color w:val="auto"/>
                <w:highlight w:val="none"/>
              </w:rPr>
            </w:pPr>
          </w:p>
        </w:tc>
        <w:tc>
          <w:tcPr>
            <w:tcW w:w="1368" w:type="dxa"/>
            <w:tcBorders>
              <w:top w:val="single" w:color="000000" w:sz="2" w:space="0"/>
              <w:bottom w:val="single" w:color="000000" w:sz="2" w:space="0"/>
            </w:tcBorders>
          </w:tcPr>
          <w:p>
            <w:pPr>
              <w:rPr>
                <w:rFonts w:ascii="宋体" w:hAnsi="宋体" w:eastAsia="宋体" w:cs="宋体"/>
                <w:color w:val="auto"/>
                <w:highlight w:val="none"/>
              </w:rPr>
            </w:pPr>
          </w:p>
        </w:tc>
        <w:tc>
          <w:tcPr>
            <w:tcW w:w="1117" w:type="dxa"/>
            <w:tcBorders>
              <w:top w:val="single" w:color="000000" w:sz="2" w:space="0"/>
              <w:bottom w:val="single" w:color="000000" w:sz="2" w:space="0"/>
            </w:tcBorders>
          </w:tcPr>
          <w:p>
            <w:pPr>
              <w:rPr>
                <w:rFonts w:ascii="宋体" w:hAnsi="宋体" w:eastAsia="宋体" w:cs="宋体"/>
                <w:color w:val="auto"/>
                <w:highlight w:val="none"/>
              </w:rPr>
            </w:pPr>
          </w:p>
        </w:tc>
        <w:tc>
          <w:tcPr>
            <w:tcW w:w="1116" w:type="dxa"/>
            <w:tcBorders>
              <w:top w:val="single" w:color="000000" w:sz="2" w:space="0"/>
              <w:bottom w:val="single" w:color="000000" w:sz="2" w:space="0"/>
            </w:tcBorders>
          </w:tcPr>
          <w:p>
            <w:pPr>
              <w:rPr>
                <w:rFonts w:ascii="宋体" w:hAnsi="宋体" w:eastAsia="宋体" w:cs="宋体"/>
                <w:color w:val="auto"/>
                <w:highlight w:val="none"/>
              </w:rPr>
            </w:pPr>
          </w:p>
        </w:tc>
        <w:tc>
          <w:tcPr>
            <w:tcW w:w="1119" w:type="dxa"/>
            <w:tcBorders>
              <w:top w:val="single" w:color="000000" w:sz="2" w:space="0"/>
              <w:bottom w:val="single" w:color="000000" w:sz="2" w:space="0"/>
            </w:tcBorders>
          </w:tcPr>
          <w:p>
            <w:pPr>
              <w:rPr>
                <w:rFonts w:ascii="宋体" w:hAnsi="宋体" w:eastAsia="宋体" w:cs="宋体"/>
                <w:color w:val="auto"/>
                <w:highlight w:val="none"/>
              </w:rPr>
            </w:pPr>
          </w:p>
        </w:tc>
        <w:tc>
          <w:tcPr>
            <w:tcW w:w="1119" w:type="dxa"/>
            <w:tcBorders>
              <w:top w:val="single" w:color="000000" w:sz="2" w:space="0"/>
              <w:bottom w:val="single" w:color="000000" w:sz="2" w:space="0"/>
            </w:tcBorders>
          </w:tcPr>
          <w:p>
            <w:pPr>
              <w:rPr>
                <w:rFonts w:ascii="宋体" w:hAnsi="宋体" w:eastAsia="宋体" w:cs="宋体"/>
                <w:color w:val="auto"/>
                <w:highlight w:val="none"/>
              </w:rPr>
            </w:pPr>
          </w:p>
        </w:tc>
        <w:tc>
          <w:tcPr>
            <w:tcW w:w="1115" w:type="dxa"/>
            <w:tcBorders>
              <w:top w:val="single" w:color="000000" w:sz="2" w:space="0"/>
              <w:bottom w:val="single" w:color="000000" w:sz="2" w:space="0"/>
            </w:tcBorders>
          </w:tcPr>
          <w:p>
            <w:pPr>
              <w:rPr>
                <w:rFonts w:ascii="宋体" w:hAnsi="宋体" w:eastAsia="宋体" w:cs="宋体"/>
                <w:color w:val="auto"/>
                <w:highlight w:val="none"/>
              </w:rPr>
            </w:pPr>
          </w:p>
        </w:tc>
        <w:tc>
          <w:tcPr>
            <w:tcW w:w="1265" w:type="dxa"/>
            <w:tcBorders>
              <w:top w:val="single" w:color="000000" w:sz="2" w:space="0"/>
              <w:bottom w:val="single" w:color="000000" w:sz="2" w:space="0"/>
            </w:tcBorders>
          </w:tcPr>
          <w:p>
            <w:pPr>
              <w:rPr>
                <w:rFonts w:ascii="宋体" w:hAnsi="宋体" w:eastAsia="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7" w:hRule="atLeast"/>
        </w:trPr>
        <w:tc>
          <w:tcPr>
            <w:tcW w:w="889" w:type="dxa"/>
            <w:tcBorders>
              <w:top w:val="single" w:color="000000" w:sz="2" w:space="0"/>
              <w:bottom w:val="single" w:color="000000" w:sz="2" w:space="0"/>
            </w:tcBorders>
          </w:tcPr>
          <w:p>
            <w:pPr>
              <w:rPr>
                <w:rFonts w:ascii="宋体" w:hAnsi="宋体" w:eastAsia="宋体" w:cs="宋体"/>
                <w:color w:val="auto"/>
                <w:highlight w:val="none"/>
              </w:rPr>
            </w:pPr>
          </w:p>
        </w:tc>
        <w:tc>
          <w:tcPr>
            <w:tcW w:w="1368" w:type="dxa"/>
            <w:tcBorders>
              <w:top w:val="single" w:color="000000" w:sz="2" w:space="0"/>
              <w:bottom w:val="single" w:color="000000" w:sz="2" w:space="0"/>
            </w:tcBorders>
          </w:tcPr>
          <w:p>
            <w:pPr>
              <w:rPr>
                <w:rFonts w:ascii="宋体" w:hAnsi="宋体" w:eastAsia="宋体" w:cs="宋体"/>
                <w:color w:val="auto"/>
                <w:highlight w:val="none"/>
              </w:rPr>
            </w:pPr>
          </w:p>
        </w:tc>
        <w:tc>
          <w:tcPr>
            <w:tcW w:w="1117" w:type="dxa"/>
            <w:tcBorders>
              <w:top w:val="single" w:color="000000" w:sz="2" w:space="0"/>
              <w:bottom w:val="single" w:color="000000" w:sz="2" w:space="0"/>
            </w:tcBorders>
          </w:tcPr>
          <w:p>
            <w:pPr>
              <w:rPr>
                <w:rFonts w:ascii="宋体" w:hAnsi="宋体" w:eastAsia="宋体" w:cs="宋体"/>
                <w:color w:val="auto"/>
                <w:highlight w:val="none"/>
              </w:rPr>
            </w:pPr>
          </w:p>
        </w:tc>
        <w:tc>
          <w:tcPr>
            <w:tcW w:w="1116" w:type="dxa"/>
            <w:tcBorders>
              <w:top w:val="single" w:color="000000" w:sz="2" w:space="0"/>
              <w:bottom w:val="single" w:color="000000" w:sz="2" w:space="0"/>
            </w:tcBorders>
          </w:tcPr>
          <w:p>
            <w:pPr>
              <w:rPr>
                <w:rFonts w:ascii="宋体" w:hAnsi="宋体" w:eastAsia="宋体" w:cs="宋体"/>
                <w:color w:val="auto"/>
                <w:highlight w:val="none"/>
              </w:rPr>
            </w:pPr>
          </w:p>
        </w:tc>
        <w:tc>
          <w:tcPr>
            <w:tcW w:w="1119" w:type="dxa"/>
            <w:tcBorders>
              <w:top w:val="single" w:color="000000" w:sz="2" w:space="0"/>
              <w:bottom w:val="single" w:color="000000" w:sz="2" w:space="0"/>
            </w:tcBorders>
          </w:tcPr>
          <w:p>
            <w:pPr>
              <w:rPr>
                <w:rFonts w:ascii="宋体" w:hAnsi="宋体" w:eastAsia="宋体" w:cs="宋体"/>
                <w:color w:val="auto"/>
                <w:highlight w:val="none"/>
              </w:rPr>
            </w:pPr>
          </w:p>
        </w:tc>
        <w:tc>
          <w:tcPr>
            <w:tcW w:w="1119" w:type="dxa"/>
            <w:tcBorders>
              <w:top w:val="single" w:color="000000" w:sz="2" w:space="0"/>
              <w:bottom w:val="single" w:color="000000" w:sz="2" w:space="0"/>
            </w:tcBorders>
          </w:tcPr>
          <w:p>
            <w:pPr>
              <w:rPr>
                <w:rFonts w:ascii="宋体" w:hAnsi="宋体" w:eastAsia="宋体" w:cs="宋体"/>
                <w:color w:val="auto"/>
                <w:highlight w:val="none"/>
              </w:rPr>
            </w:pPr>
          </w:p>
        </w:tc>
        <w:tc>
          <w:tcPr>
            <w:tcW w:w="1115" w:type="dxa"/>
            <w:tcBorders>
              <w:top w:val="single" w:color="000000" w:sz="2" w:space="0"/>
              <w:bottom w:val="single" w:color="000000" w:sz="2" w:space="0"/>
            </w:tcBorders>
          </w:tcPr>
          <w:p>
            <w:pPr>
              <w:rPr>
                <w:rFonts w:ascii="宋体" w:hAnsi="宋体" w:eastAsia="宋体" w:cs="宋体"/>
                <w:color w:val="auto"/>
                <w:highlight w:val="none"/>
              </w:rPr>
            </w:pPr>
          </w:p>
        </w:tc>
        <w:tc>
          <w:tcPr>
            <w:tcW w:w="1265" w:type="dxa"/>
            <w:tcBorders>
              <w:top w:val="single" w:color="000000" w:sz="2" w:space="0"/>
              <w:bottom w:val="single" w:color="000000" w:sz="2" w:space="0"/>
            </w:tcBorders>
          </w:tcPr>
          <w:p>
            <w:pPr>
              <w:rPr>
                <w:rFonts w:ascii="宋体" w:hAnsi="宋体" w:eastAsia="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7" w:hRule="atLeast"/>
        </w:trPr>
        <w:tc>
          <w:tcPr>
            <w:tcW w:w="889" w:type="dxa"/>
            <w:tcBorders>
              <w:top w:val="single" w:color="000000" w:sz="2" w:space="0"/>
              <w:bottom w:val="single" w:color="000000" w:sz="2" w:space="0"/>
            </w:tcBorders>
          </w:tcPr>
          <w:p>
            <w:pPr>
              <w:rPr>
                <w:rFonts w:ascii="宋体" w:hAnsi="宋体" w:eastAsia="宋体" w:cs="宋体"/>
                <w:color w:val="auto"/>
                <w:highlight w:val="none"/>
              </w:rPr>
            </w:pPr>
          </w:p>
        </w:tc>
        <w:tc>
          <w:tcPr>
            <w:tcW w:w="1368" w:type="dxa"/>
            <w:tcBorders>
              <w:top w:val="single" w:color="000000" w:sz="2" w:space="0"/>
              <w:bottom w:val="single" w:color="000000" w:sz="2" w:space="0"/>
            </w:tcBorders>
          </w:tcPr>
          <w:p>
            <w:pPr>
              <w:rPr>
                <w:rFonts w:ascii="宋体" w:hAnsi="宋体" w:eastAsia="宋体" w:cs="宋体"/>
                <w:color w:val="auto"/>
                <w:highlight w:val="none"/>
              </w:rPr>
            </w:pPr>
          </w:p>
        </w:tc>
        <w:tc>
          <w:tcPr>
            <w:tcW w:w="1117" w:type="dxa"/>
            <w:tcBorders>
              <w:top w:val="single" w:color="000000" w:sz="2" w:space="0"/>
              <w:bottom w:val="single" w:color="000000" w:sz="2" w:space="0"/>
            </w:tcBorders>
          </w:tcPr>
          <w:p>
            <w:pPr>
              <w:rPr>
                <w:rFonts w:ascii="宋体" w:hAnsi="宋体" w:eastAsia="宋体" w:cs="宋体"/>
                <w:color w:val="auto"/>
                <w:highlight w:val="none"/>
              </w:rPr>
            </w:pPr>
          </w:p>
        </w:tc>
        <w:tc>
          <w:tcPr>
            <w:tcW w:w="1116" w:type="dxa"/>
            <w:tcBorders>
              <w:top w:val="single" w:color="000000" w:sz="2" w:space="0"/>
              <w:bottom w:val="single" w:color="000000" w:sz="2" w:space="0"/>
            </w:tcBorders>
          </w:tcPr>
          <w:p>
            <w:pPr>
              <w:rPr>
                <w:rFonts w:ascii="宋体" w:hAnsi="宋体" w:eastAsia="宋体" w:cs="宋体"/>
                <w:color w:val="auto"/>
                <w:highlight w:val="none"/>
              </w:rPr>
            </w:pPr>
          </w:p>
        </w:tc>
        <w:tc>
          <w:tcPr>
            <w:tcW w:w="1119" w:type="dxa"/>
            <w:tcBorders>
              <w:top w:val="single" w:color="000000" w:sz="2" w:space="0"/>
              <w:bottom w:val="single" w:color="000000" w:sz="2" w:space="0"/>
            </w:tcBorders>
          </w:tcPr>
          <w:p>
            <w:pPr>
              <w:rPr>
                <w:rFonts w:ascii="宋体" w:hAnsi="宋体" w:eastAsia="宋体" w:cs="宋体"/>
                <w:color w:val="auto"/>
                <w:highlight w:val="none"/>
              </w:rPr>
            </w:pPr>
          </w:p>
        </w:tc>
        <w:tc>
          <w:tcPr>
            <w:tcW w:w="1119" w:type="dxa"/>
            <w:tcBorders>
              <w:top w:val="single" w:color="000000" w:sz="2" w:space="0"/>
              <w:bottom w:val="single" w:color="000000" w:sz="2" w:space="0"/>
            </w:tcBorders>
          </w:tcPr>
          <w:p>
            <w:pPr>
              <w:rPr>
                <w:rFonts w:ascii="宋体" w:hAnsi="宋体" w:eastAsia="宋体" w:cs="宋体"/>
                <w:color w:val="auto"/>
                <w:highlight w:val="none"/>
              </w:rPr>
            </w:pPr>
          </w:p>
        </w:tc>
        <w:tc>
          <w:tcPr>
            <w:tcW w:w="1115" w:type="dxa"/>
            <w:tcBorders>
              <w:top w:val="single" w:color="000000" w:sz="2" w:space="0"/>
              <w:bottom w:val="single" w:color="000000" w:sz="2" w:space="0"/>
            </w:tcBorders>
          </w:tcPr>
          <w:p>
            <w:pPr>
              <w:rPr>
                <w:rFonts w:ascii="宋体" w:hAnsi="宋体" w:eastAsia="宋体" w:cs="宋体"/>
                <w:color w:val="auto"/>
                <w:highlight w:val="none"/>
              </w:rPr>
            </w:pPr>
          </w:p>
        </w:tc>
        <w:tc>
          <w:tcPr>
            <w:tcW w:w="1265" w:type="dxa"/>
            <w:tcBorders>
              <w:top w:val="single" w:color="000000" w:sz="2" w:space="0"/>
              <w:bottom w:val="single" w:color="000000" w:sz="2" w:space="0"/>
            </w:tcBorders>
          </w:tcPr>
          <w:p>
            <w:pPr>
              <w:rPr>
                <w:rFonts w:ascii="宋体" w:hAnsi="宋体" w:eastAsia="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9" w:hRule="atLeast"/>
        </w:trPr>
        <w:tc>
          <w:tcPr>
            <w:tcW w:w="889" w:type="dxa"/>
            <w:tcBorders>
              <w:top w:val="single" w:color="000000" w:sz="2" w:space="0"/>
              <w:bottom w:val="single" w:color="000000" w:sz="2" w:space="0"/>
            </w:tcBorders>
          </w:tcPr>
          <w:p>
            <w:pPr>
              <w:rPr>
                <w:rFonts w:ascii="宋体" w:hAnsi="宋体" w:eastAsia="宋体" w:cs="宋体"/>
                <w:color w:val="auto"/>
                <w:highlight w:val="none"/>
              </w:rPr>
            </w:pPr>
          </w:p>
        </w:tc>
        <w:tc>
          <w:tcPr>
            <w:tcW w:w="1368" w:type="dxa"/>
            <w:tcBorders>
              <w:top w:val="single" w:color="000000" w:sz="2" w:space="0"/>
              <w:bottom w:val="single" w:color="000000" w:sz="2" w:space="0"/>
            </w:tcBorders>
          </w:tcPr>
          <w:p>
            <w:pPr>
              <w:rPr>
                <w:rFonts w:ascii="宋体" w:hAnsi="宋体" w:eastAsia="宋体" w:cs="宋体"/>
                <w:color w:val="auto"/>
                <w:highlight w:val="none"/>
              </w:rPr>
            </w:pPr>
          </w:p>
        </w:tc>
        <w:tc>
          <w:tcPr>
            <w:tcW w:w="1117" w:type="dxa"/>
            <w:tcBorders>
              <w:top w:val="single" w:color="000000" w:sz="2" w:space="0"/>
              <w:bottom w:val="single" w:color="000000" w:sz="2" w:space="0"/>
            </w:tcBorders>
          </w:tcPr>
          <w:p>
            <w:pPr>
              <w:rPr>
                <w:rFonts w:ascii="宋体" w:hAnsi="宋体" w:eastAsia="宋体" w:cs="宋体"/>
                <w:color w:val="auto"/>
                <w:highlight w:val="none"/>
              </w:rPr>
            </w:pPr>
          </w:p>
        </w:tc>
        <w:tc>
          <w:tcPr>
            <w:tcW w:w="1116" w:type="dxa"/>
            <w:tcBorders>
              <w:top w:val="single" w:color="000000" w:sz="2" w:space="0"/>
              <w:bottom w:val="single" w:color="000000" w:sz="2" w:space="0"/>
            </w:tcBorders>
          </w:tcPr>
          <w:p>
            <w:pPr>
              <w:rPr>
                <w:rFonts w:ascii="宋体" w:hAnsi="宋体" w:eastAsia="宋体" w:cs="宋体"/>
                <w:color w:val="auto"/>
                <w:highlight w:val="none"/>
              </w:rPr>
            </w:pPr>
          </w:p>
        </w:tc>
        <w:tc>
          <w:tcPr>
            <w:tcW w:w="1119" w:type="dxa"/>
            <w:tcBorders>
              <w:top w:val="single" w:color="000000" w:sz="2" w:space="0"/>
              <w:bottom w:val="single" w:color="000000" w:sz="2" w:space="0"/>
            </w:tcBorders>
          </w:tcPr>
          <w:p>
            <w:pPr>
              <w:rPr>
                <w:rFonts w:ascii="宋体" w:hAnsi="宋体" w:eastAsia="宋体" w:cs="宋体"/>
                <w:color w:val="auto"/>
                <w:highlight w:val="none"/>
              </w:rPr>
            </w:pPr>
          </w:p>
        </w:tc>
        <w:tc>
          <w:tcPr>
            <w:tcW w:w="1119" w:type="dxa"/>
            <w:tcBorders>
              <w:top w:val="single" w:color="000000" w:sz="2" w:space="0"/>
              <w:bottom w:val="single" w:color="000000" w:sz="2" w:space="0"/>
            </w:tcBorders>
          </w:tcPr>
          <w:p>
            <w:pPr>
              <w:rPr>
                <w:rFonts w:ascii="宋体" w:hAnsi="宋体" w:eastAsia="宋体" w:cs="宋体"/>
                <w:color w:val="auto"/>
                <w:highlight w:val="none"/>
              </w:rPr>
            </w:pPr>
          </w:p>
        </w:tc>
        <w:tc>
          <w:tcPr>
            <w:tcW w:w="1115" w:type="dxa"/>
            <w:tcBorders>
              <w:top w:val="single" w:color="000000" w:sz="2" w:space="0"/>
              <w:bottom w:val="single" w:color="000000" w:sz="2" w:space="0"/>
            </w:tcBorders>
          </w:tcPr>
          <w:p>
            <w:pPr>
              <w:rPr>
                <w:rFonts w:ascii="宋体" w:hAnsi="宋体" w:eastAsia="宋体" w:cs="宋体"/>
                <w:color w:val="auto"/>
                <w:highlight w:val="none"/>
              </w:rPr>
            </w:pPr>
          </w:p>
        </w:tc>
        <w:tc>
          <w:tcPr>
            <w:tcW w:w="1265" w:type="dxa"/>
            <w:tcBorders>
              <w:top w:val="single" w:color="000000" w:sz="2" w:space="0"/>
              <w:bottom w:val="single" w:color="000000" w:sz="2" w:space="0"/>
            </w:tcBorders>
          </w:tcPr>
          <w:p>
            <w:pPr>
              <w:rPr>
                <w:rFonts w:ascii="宋体" w:hAnsi="宋体" w:eastAsia="宋体" w:cs="宋体"/>
                <w:color w:val="auto"/>
                <w:highlight w:val="none"/>
              </w:rPr>
            </w:pPr>
          </w:p>
        </w:tc>
      </w:tr>
    </w:tbl>
    <w:p>
      <w:pPr>
        <w:spacing w:line="14" w:lineRule="auto"/>
        <w:rPr>
          <w:rFonts w:ascii="宋体" w:hAnsi="宋体" w:eastAsia="宋体" w:cs="宋体"/>
          <w:color w:val="auto"/>
          <w:sz w:val="2"/>
          <w:highlight w:val="none"/>
        </w:rPr>
      </w:pPr>
    </w:p>
    <w:p>
      <w:pPr>
        <w:rPr>
          <w:rFonts w:ascii="宋体" w:hAnsi="宋体" w:eastAsia="宋体" w:cs="宋体"/>
          <w:color w:val="auto"/>
          <w:highlight w:val="none"/>
        </w:rPr>
        <w:sectPr>
          <w:type w:val="continuous"/>
          <w:pgSz w:w="11907" w:h="16839"/>
          <w:pgMar w:top="1440" w:right="1080" w:bottom="1440" w:left="1080" w:header="0" w:footer="993" w:gutter="0"/>
          <w:cols w:equalWidth="0" w:num="1">
            <w:col w:w="9124"/>
          </w:cols>
        </w:sectPr>
      </w:pPr>
    </w:p>
    <w:p>
      <w:pPr>
        <w:spacing w:line="284" w:lineRule="auto"/>
        <w:rPr>
          <w:rFonts w:ascii="宋体" w:hAnsi="宋体" w:eastAsia="宋体" w:cs="宋体"/>
          <w:color w:val="auto"/>
          <w:highlight w:val="none"/>
        </w:rPr>
      </w:pPr>
    </w:p>
    <w:p>
      <w:pPr>
        <w:spacing w:before="91" w:line="219" w:lineRule="auto"/>
        <w:outlineLvl w:val="6"/>
        <w:rPr>
          <w:rFonts w:ascii="宋体" w:hAnsi="宋体" w:eastAsia="宋体" w:cs="宋体"/>
          <w:color w:val="auto"/>
          <w:spacing w:val="-15"/>
          <w:highlight w:val="none"/>
          <w14:textOutline w14:w="5092" w14:cap="flat" w14:cmpd="sng" w14:algn="ctr">
            <w14:solidFill>
              <w14:srgbClr w14:val="000000"/>
            </w14:solidFill>
            <w14:prstDash w14:val="solid"/>
            <w14:miter w14:val="0"/>
          </w14:textOutline>
        </w:rPr>
      </w:pPr>
      <w:r>
        <w:rPr>
          <w:rFonts w:hint="eastAsia" w:ascii="宋体" w:hAnsi="宋体" w:eastAsia="宋体" w:cs="宋体"/>
          <w:color w:val="auto"/>
          <w:spacing w:val="-15"/>
          <w:highlight w:val="none"/>
          <w14:textOutline w14:w="5092" w14:cap="flat" w14:cmpd="sng" w14:algn="ctr">
            <w14:solidFill>
              <w14:srgbClr w14:val="000000"/>
            </w14:solidFill>
            <w14:prstDash w14:val="solid"/>
            <w14:miter w14:val="0"/>
          </w14:textOutline>
        </w:rPr>
        <w:t>附表二：计划开、竣工日期和施工进度横道图</w:t>
      </w:r>
    </w:p>
    <w:p>
      <w:pPr>
        <w:spacing w:line="243" w:lineRule="auto"/>
        <w:rPr>
          <w:rFonts w:ascii="宋体" w:hAnsi="宋体" w:eastAsia="宋体" w:cs="宋体"/>
          <w:color w:val="auto"/>
          <w:highlight w:val="none"/>
        </w:rPr>
      </w:pPr>
    </w:p>
    <w:p>
      <w:pPr>
        <w:spacing w:before="90" w:line="432" w:lineRule="auto"/>
        <w:ind w:right="261" w:firstLine="410"/>
        <w:rPr>
          <w:rFonts w:ascii="宋体" w:hAnsi="宋体" w:eastAsia="宋体" w:cs="宋体"/>
          <w:color w:val="auto"/>
          <w:highlight w:val="none"/>
        </w:rPr>
      </w:pPr>
      <w:r>
        <w:rPr>
          <w:rFonts w:hint="eastAsia" w:ascii="宋体" w:hAnsi="宋体" w:eastAsia="宋体" w:cs="宋体"/>
          <w:color w:val="auto"/>
          <w:spacing w:val="1"/>
          <w:sz w:val="19"/>
          <w:szCs w:val="19"/>
          <w:highlight w:val="none"/>
        </w:rPr>
        <w:t>1.</w:t>
      </w:r>
      <w:r>
        <w:rPr>
          <w:rFonts w:hint="eastAsia" w:ascii="宋体" w:hAnsi="宋体" w:eastAsia="宋体" w:cs="宋体"/>
          <w:color w:val="auto"/>
          <w:spacing w:val="1"/>
          <w:highlight w:val="none"/>
        </w:rPr>
        <w:t>投标人应递交施</w:t>
      </w:r>
      <w:r>
        <w:rPr>
          <w:rFonts w:hint="eastAsia" w:ascii="宋体" w:hAnsi="宋体" w:eastAsia="宋体" w:cs="宋体"/>
          <w:color w:val="auto"/>
          <w:highlight w:val="none"/>
        </w:rPr>
        <w:t xml:space="preserve">工进度横道图 ，说明按招标文件要求的计划工期进行施工的各个关键日 </w:t>
      </w:r>
      <w:r>
        <w:rPr>
          <w:rFonts w:hint="eastAsia" w:ascii="宋体" w:hAnsi="宋体" w:eastAsia="宋体" w:cs="宋体"/>
          <w:color w:val="auto"/>
          <w:spacing w:val="-10"/>
          <w:highlight w:val="none"/>
        </w:rPr>
        <w:t>期</w:t>
      </w:r>
      <w:r>
        <w:rPr>
          <w:rFonts w:hint="eastAsia" w:ascii="宋体" w:hAnsi="宋体" w:eastAsia="宋体" w:cs="宋体"/>
          <w:color w:val="auto"/>
          <w:spacing w:val="-9"/>
          <w:highlight w:val="none"/>
        </w:rPr>
        <w:t>。</w:t>
      </w:r>
    </w:p>
    <w:p>
      <w:pPr>
        <w:spacing w:line="275" w:lineRule="auto"/>
        <w:rPr>
          <w:rFonts w:ascii="宋体" w:hAnsi="宋体" w:eastAsia="宋体" w:cs="宋体"/>
          <w:color w:val="auto"/>
          <w:highlight w:val="none"/>
        </w:rPr>
      </w:pPr>
    </w:p>
    <w:p>
      <w:pPr>
        <w:spacing w:line="276" w:lineRule="auto"/>
        <w:rPr>
          <w:rFonts w:ascii="宋体" w:hAnsi="宋体" w:eastAsia="宋体" w:cs="宋体"/>
          <w:color w:val="auto"/>
          <w:highlight w:val="none"/>
        </w:rPr>
      </w:pPr>
    </w:p>
    <w:p>
      <w:pPr>
        <w:spacing w:line="276" w:lineRule="auto"/>
        <w:rPr>
          <w:rFonts w:ascii="宋体" w:hAnsi="宋体" w:eastAsia="宋体" w:cs="宋体"/>
          <w:color w:val="auto"/>
          <w:highlight w:val="none"/>
        </w:rPr>
      </w:pPr>
    </w:p>
    <w:p>
      <w:pPr>
        <w:spacing w:line="276" w:lineRule="auto"/>
        <w:rPr>
          <w:rFonts w:ascii="宋体" w:hAnsi="宋体" w:eastAsia="宋体" w:cs="宋体"/>
          <w:color w:val="auto"/>
          <w:highlight w:val="none"/>
        </w:rPr>
      </w:pPr>
    </w:p>
    <w:p>
      <w:pPr>
        <w:spacing w:before="91" w:line="219" w:lineRule="auto"/>
        <w:outlineLvl w:val="6"/>
        <w:rPr>
          <w:rFonts w:ascii="宋体" w:hAnsi="宋体" w:eastAsia="宋体" w:cs="宋体"/>
          <w:color w:val="auto"/>
          <w:spacing w:val="-15"/>
          <w:highlight w:val="none"/>
          <w14:textOutline w14:w="5092" w14:cap="flat" w14:cmpd="sng" w14:algn="ctr">
            <w14:solidFill>
              <w14:srgbClr w14:val="000000"/>
            </w14:solidFill>
            <w14:prstDash w14:val="solid"/>
            <w14:miter w14:val="0"/>
          </w14:textOutline>
        </w:rPr>
      </w:pPr>
      <w:r>
        <w:rPr>
          <w:rFonts w:hint="eastAsia" w:ascii="宋体" w:hAnsi="宋体" w:eastAsia="宋体" w:cs="宋体"/>
          <w:color w:val="auto"/>
          <w:spacing w:val="-15"/>
          <w:highlight w:val="none"/>
          <w14:textOutline w14:w="5092" w14:cap="flat" w14:cmpd="sng" w14:algn="ctr">
            <w14:solidFill>
              <w14:srgbClr w14:val="000000"/>
            </w14:solidFill>
            <w14:prstDash w14:val="solid"/>
            <w14:miter w14:val="0"/>
          </w14:textOutline>
        </w:rPr>
        <w:t>附表三：施工总平面图</w:t>
      </w:r>
    </w:p>
    <w:p>
      <w:pPr>
        <w:spacing w:before="329" w:line="426" w:lineRule="auto"/>
        <w:ind w:firstLine="419"/>
        <w:rPr>
          <w:rFonts w:ascii="宋体" w:hAnsi="宋体" w:eastAsia="宋体" w:cs="宋体"/>
          <w:color w:val="auto"/>
          <w:highlight w:val="none"/>
        </w:rPr>
      </w:pPr>
      <w:r>
        <w:rPr>
          <w:rFonts w:hint="eastAsia" w:ascii="宋体" w:hAnsi="宋体" w:eastAsia="宋体" w:cs="宋体"/>
          <w:color w:val="auto"/>
          <w:spacing w:val="-14"/>
          <w:highlight w:val="none"/>
        </w:rPr>
        <w:t>投标人应</w:t>
      </w:r>
      <w:r>
        <w:rPr>
          <w:rFonts w:hint="eastAsia" w:ascii="宋体" w:hAnsi="宋体" w:eastAsia="宋体" w:cs="宋体"/>
          <w:color w:val="auto"/>
          <w:spacing w:val="-7"/>
          <w:highlight w:val="none"/>
        </w:rPr>
        <w:t>递交一份施工总平面图 ，绘出现场临时设施布置图表并附文字说明 ，说明临时 设施、</w:t>
      </w:r>
      <w:r>
        <w:rPr>
          <w:rFonts w:hint="eastAsia" w:ascii="宋体" w:hAnsi="宋体" w:eastAsia="宋体" w:cs="宋体"/>
          <w:color w:val="auto"/>
          <w:highlight w:val="none"/>
        </w:rPr>
        <w:t xml:space="preserve"> </w:t>
      </w:r>
      <w:r>
        <w:rPr>
          <w:rFonts w:hint="eastAsia" w:ascii="宋体" w:hAnsi="宋体" w:eastAsia="宋体" w:cs="宋体"/>
          <w:color w:val="auto"/>
          <w:spacing w:val="-5"/>
          <w:highlight w:val="none"/>
        </w:rPr>
        <w:t>加工车间、现场办公、设备及仓储、供电、供水、卫生、生活、道路、消防等设施的 情况和布</w:t>
      </w:r>
      <w:r>
        <w:rPr>
          <w:rFonts w:hint="eastAsia" w:ascii="宋体" w:hAnsi="宋体" w:eastAsia="宋体" w:cs="宋体"/>
          <w:color w:val="auto"/>
          <w:spacing w:val="-2"/>
          <w:highlight w:val="none"/>
        </w:rPr>
        <w:t>置</w:t>
      </w:r>
      <w:r>
        <w:rPr>
          <w:rFonts w:hint="eastAsia" w:ascii="宋体" w:hAnsi="宋体" w:eastAsia="宋体" w:cs="宋体"/>
          <w:color w:val="auto"/>
          <w:highlight w:val="none"/>
        </w:rPr>
        <w:t>。</w:t>
      </w:r>
    </w:p>
    <w:p>
      <w:pPr>
        <w:spacing w:line="280" w:lineRule="auto"/>
        <w:rPr>
          <w:rFonts w:ascii="宋体" w:hAnsi="宋体" w:eastAsia="宋体" w:cs="宋体"/>
          <w:color w:val="auto"/>
          <w:highlight w:val="none"/>
        </w:rPr>
      </w:pPr>
    </w:p>
    <w:p>
      <w:pPr>
        <w:spacing w:line="280" w:lineRule="auto"/>
        <w:rPr>
          <w:rFonts w:ascii="宋体" w:hAnsi="宋体" w:eastAsia="宋体" w:cs="宋体"/>
          <w:color w:val="auto"/>
          <w:highlight w:val="none"/>
        </w:rPr>
      </w:pPr>
    </w:p>
    <w:p>
      <w:pPr>
        <w:spacing w:line="281" w:lineRule="auto"/>
        <w:rPr>
          <w:rFonts w:ascii="宋体" w:hAnsi="宋体" w:eastAsia="宋体" w:cs="宋体"/>
          <w:color w:val="auto"/>
          <w:highlight w:val="none"/>
        </w:rPr>
      </w:pPr>
    </w:p>
    <w:p>
      <w:pPr>
        <w:spacing w:line="281" w:lineRule="auto"/>
        <w:rPr>
          <w:rFonts w:ascii="宋体" w:hAnsi="宋体" w:eastAsia="宋体" w:cs="宋体"/>
          <w:color w:val="auto"/>
          <w:highlight w:val="none"/>
        </w:rPr>
      </w:pPr>
    </w:p>
    <w:p>
      <w:pPr>
        <w:spacing w:before="91" w:line="219" w:lineRule="auto"/>
        <w:outlineLvl w:val="6"/>
        <w:rPr>
          <w:rFonts w:ascii="宋体" w:hAnsi="宋体" w:eastAsia="宋体" w:cs="宋体"/>
          <w:color w:val="auto"/>
          <w:spacing w:val="-15"/>
          <w:highlight w:val="none"/>
          <w14:textOutline w14:w="5092" w14:cap="flat" w14:cmpd="sng" w14:algn="ctr">
            <w14:solidFill>
              <w14:srgbClr w14:val="000000"/>
            </w14:solidFill>
            <w14:prstDash w14:val="solid"/>
            <w14:miter w14:val="0"/>
          </w14:textOutline>
        </w:rPr>
      </w:pPr>
      <w:r>
        <w:rPr>
          <w:rFonts w:hint="eastAsia" w:ascii="宋体" w:hAnsi="宋体" w:eastAsia="宋体" w:cs="宋体"/>
          <w:color w:val="auto"/>
          <w:spacing w:val="-15"/>
          <w:highlight w:val="none"/>
          <w14:textOutline w14:w="5092" w14:cap="flat" w14:cmpd="sng" w14:algn="ctr">
            <w14:solidFill>
              <w14:srgbClr w14:val="000000"/>
            </w14:solidFill>
            <w14:prstDash w14:val="solid"/>
            <w14:miter w14:val="0"/>
          </w14:textOutline>
        </w:rPr>
        <w:t>附表四 ：临时用地表</w:t>
      </w:r>
    </w:p>
    <w:p>
      <w:pPr>
        <w:spacing w:line="117" w:lineRule="exact"/>
        <w:rPr>
          <w:rFonts w:ascii="宋体" w:hAnsi="宋体" w:eastAsia="宋体" w:cs="宋体"/>
          <w:color w:val="auto"/>
          <w:highlight w:val="none"/>
        </w:rPr>
      </w:pPr>
    </w:p>
    <w:tbl>
      <w:tblPr>
        <w:tblStyle w:val="16"/>
        <w:tblW w:w="8628" w:type="dxa"/>
        <w:tblInd w:w="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37"/>
        <w:gridCol w:w="2116"/>
        <w:gridCol w:w="2118"/>
        <w:gridCol w:w="22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1" w:hRule="atLeast"/>
        </w:trPr>
        <w:tc>
          <w:tcPr>
            <w:tcW w:w="2137" w:type="dxa"/>
            <w:tcBorders>
              <w:top w:val="single" w:color="000000" w:sz="2" w:space="0"/>
              <w:bottom w:val="single" w:color="000000" w:sz="2" w:space="0"/>
            </w:tcBorders>
          </w:tcPr>
          <w:p>
            <w:pPr>
              <w:spacing w:before="291" w:line="195" w:lineRule="auto"/>
              <w:ind w:left="809"/>
              <w:rPr>
                <w:rFonts w:ascii="宋体" w:hAnsi="宋体" w:eastAsia="宋体" w:cs="宋体"/>
                <w:color w:val="auto"/>
                <w:highlight w:val="none"/>
              </w:rPr>
            </w:pPr>
            <w:r>
              <w:rPr>
                <w:rFonts w:hint="eastAsia" w:ascii="宋体" w:hAnsi="宋体" w:eastAsia="宋体" w:cs="宋体"/>
                <w:color w:val="auto"/>
                <w:spacing w:val="13"/>
                <w:highlight w:val="none"/>
              </w:rPr>
              <w:t>用</w:t>
            </w:r>
            <w:r>
              <w:rPr>
                <w:rFonts w:hint="eastAsia" w:ascii="宋体" w:hAnsi="宋体" w:eastAsia="宋体" w:cs="宋体"/>
                <w:color w:val="auto"/>
                <w:spacing w:val="12"/>
                <w:highlight w:val="none"/>
              </w:rPr>
              <w:t xml:space="preserve"> 途</w:t>
            </w:r>
          </w:p>
        </w:tc>
        <w:tc>
          <w:tcPr>
            <w:tcW w:w="2116" w:type="dxa"/>
            <w:tcBorders>
              <w:top w:val="single" w:color="000000" w:sz="2" w:space="0"/>
              <w:bottom w:val="single" w:color="000000" w:sz="2" w:space="0"/>
            </w:tcBorders>
          </w:tcPr>
          <w:p>
            <w:pPr>
              <w:spacing w:before="295" w:line="188" w:lineRule="auto"/>
              <w:ind w:left="267"/>
              <w:rPr>
                <w:rFonts w:ascii="宋体" w:hAnsi="宋体" w:eastAsia="宋体" w:cs="宋体"/>
                <w:color w:val="auto"/>
                <w:highlight w:val="none"/>
              </w:rPr>
            </w:pPr>
            <w:r>
              <w:rPr>
                <w:rFonts w:hint="eastAsia" w:ascii="宋体" w:hAnsi="宋体" w:eastAsia="宋体" w:cs="宋体"/>
                <w:color w:val="auto"/>
                <w:spacing w:val="30"/>
                <w:highlight w:val="none"/>
              </w:rPr>
              <w:t>面</w:t>
            </w:r>
            <w:r>
              <w:rPr>
                <w:rFonts w:hint="eastAsia" w:ascii="宋体" w:hAnsi="宋体" w:eastAsia="宋体" w:cs="宋体"/>
                <w:color w:val="auto"/>
                <w:spacing w:val="28"/>
                <w:highlight w:val="none"/>
              </w:rPr>
              <w:t xml:space="preserve"> 积(平方米)</w:t>
            </w:r>
          </w:p>
        </w:tc>
        <w:tc>
          <w:tcPr>
            <w:tcW w:w="2118" w:type="dxa"/>
            <w:tcBorders>
              <w:top w:val="single" w:color="000000" w:sz="2" w:space="0"/>
              <w:bottom w:val="single" w:color="000000" w:sz="2" w:space="0"/>
            </w:tcBorders>
          </w:tcPr>
          <w:p>
            <w:pPr>
              <w:spacing w:before="318" w:line="178" w:lineRule="auto"/>
              <w:ind w:left="791"/>
              <w:rPr>
                <w:rFonts w:ascii="宋体" w:hAnsi="宋体" w:eastAsia="宋体" w:cs="宋体"/>
                <w:color w:val="auto"/>
                <w:highlight w:val="none"/>
              </w:rPr>
            </w:pPr>
            <w:r>
              <w:rPr>
                <w:rFonts w:hint="eastAsia" w:ascii="宋体" w:hAnsi="宋体" w:eastAsia="宋体" w:cs="宋体"/>
                <w:color w:val="auto"/>
                <w:spacing w:val="-2"/>
                <w:highlight w:val="none"/>
              </w:rPr>
              <w:t>位  置</w:t>
            </w:r>
          </w:p>
        </w:tc>
        <w:tc>
          <w:tcPr>
            <w:tcW w:w="2257" w:type="dxa"/>
            <w:tcBorders>
              <w:top w:val="single" w:color="000000" w:sz="2" w:space="0"/>
              <w:bottom w:val="single" w:color="000000" w:sz="2" w:space="0"/>
            </w:tcBorders>
          </w:tcPr>
          <w:p>
            <w:pPr>
              <w:spacing w:before="297" w:line="191" w:lineRule="auto"/>
              <w:ind w:left="711"/>
              <w:rPr>
                <w:rFonts w:ascii="宋体" w:hAnsi="宋体" w:eastAsia="宋体" w:cs="宋体"/>
                <w:color w:val="auto"/>
                <w:highlight w:val="none"/>
              </w:rPr>
            </w:pPr>
            <w:r>
              <w:rPr>
                <w:rFonts w:hint="eastAsia" w:ascii="宋体" w:hAnsi="宋体" w:eastAsia="宋体" w:cs="宋体"/>
                <w:color w:val="auto"/>
                <w:spacing w:val="-5"/>
                <w:highlight w:val="none"/>
              </w:rPr>
              <w:t>需</w:t>
            </w:r>
            <w:r>
              <w:rPr>
                <w:rFonts w:hint="eastAsia" w:ascii="宋体" w:hAnsi="宋体" w:eastAsia="宋体" w:cs="宋体"/>
                <w:color w:val="auto"/>
                <w:spacing w:val="-3"/>
                <w:highlight w:val="none"/>
              </w:rPr>
              <w:t>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2" w:hRule="atLeast"/>
        </w:trPr>
        <w:tc>
          <w:tcPr>
            <w:tcW w:w="2137" w:type="dxa"/>
            <w:tcBorders>
              <w:top w:val="single" w:color="000000" w:sz="2" w:space="0"/>
              <w:bottom w:val="single" w:color="000000" w:sz="2" w:space="0"/>
            </w:tcBorders>
          </w:tcPr>
          <w:p>
            <w:pPr>
              <w:rPr>
                <w:rFonts w:ascii="宋体" w:hAnsi="宋体" w:eastAsia="宋体" w:cs="宋体"/>
                <w:color w:val="auto"/>
                <w:highlight w:val="none"/>
              </w:rPr>
            </w:pPr>
          </w:p>
        </w:tc>
        <w:tc>
          <w:tcPr>
            <w:tcW w:w="2116" w:type="dxa"/>
            <w:tcBorders>
              <w:top w:val="single" w:color="000000" w:sz="2" w:space="0"/>
              <w:bottom w:val="single" w:color="000000" w:sz="2" w:space="0"/>
            </w:tcBorders>
          </w:tcPr>
          <w:p>
            <w:pPr>
              <w:rPr>
                <w:rFonts w:ascii="宋体" w:hAnsi="宋体" w:eastAsia="宋体" w:cs="宋体"/>
                <w:color w:val="auto"/>
                <w:highlight w:val="none"/>
              </w:rPr>
            </w:pPr>
          </w:p>
        </w:tc>
        <w:tc>
          <w:tcPr>
            <w:tcW w:w="2118" w:type="dxa"/>
            <w:tcBorders>
              <w:top w:val="single" w:color="000000" w:sz="2" w:space="0"/>
              <w:bottom w:val="single" w:color="000000" w:sz="2" w:space="0"/>
            </w:tcBorders>
          </w:tcPr>
          <w:p>
            <w:pPr>
              <w:rPr>
                <w:rFonts w:ascii="宋体" w:hAnsi="宋体" w:eastAsia="宋体" w:cs="宋体"/>
                <w:color w:val="auto"/>
                <w:highlight w:val="none"/>
              </w:rPr>
            </w:pPr>
          </w:p>
        </w:tc>
        <w:tc>
          <w:tcPr>
            <w:tcW w:w="2257" w:type="dxa"/>
            <w:tcBorders>
              <w:top w:val="single" w:color="000000" w:sz="2" w:space="0"/>
              <w:bottom w:val="single" w:color="000000" w:sz="2" w:space="0"/>
            </w:tcBorders>
          </w:tcPr>
          <w:p>
            <w:pPr>
              <w:rPr>
                <w:rFonts w:ascii="宋体" w:hAnsi="宋体" w:eastAsia="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2" w:hRule="atLeast"/>
        </w:trPr>
        <w:tc>
          <w:tcPr>
            <w:tcW w:w="2137" w:type="dxa"/>
            <w:tcBorders>
              <w:top w:val="single" w:color="000000" w:sz="2" w:space="0"/>
              <w:bottom w:val="single" w:color="000000" w:sz="2" w:space="0"/>
            </w:tcBorders>
          </w:tcPr>
          <w:p>
            <w:pPr>
              <w:rPr>
                <w:rFonts w:ascii="宋体" w:hAnsi="宋体" w:eastAsia="宋体" w:cs="宋体"/>
                <w:color w:val="auto"/>
                <w:highlight w:val="none"/>
              </w:rPr>
            </w:pPr>
          </w:p>
        </w:tc>
        <w:tc>
          <w:tcPr>
            <w:tcW w:w="2116" w:type="dxa"/>
            <w:tcBorders>
              <w:top w:val="single" w:color="000000" w:sz="2" w:space="0"/>
              <w:bottom w:val="single" w:color="000000" w:sz="2" w:space="0"/>
            </w:tcBorders>
          </w:tcPr>
          <w:p>
            <w:pPr>
              <w:rPr>
                <w:rFonts w:ascii="宋体" w:hAnsi="宋体" w:eastAsia="宋体" w:cs="宋体"/>
                <w:color w:val="auto"/>
                <w:highlight w:val="none"/>
              </w:rPr>
            </w:pPr>
          </w:p>
        </w:tc>
        <w:tc>
          <w:tcPr>
            <w:tcW w:w="2118" w:type="dxa"/>
            <w:tcBorders>
              <w:top w:val="single" w:color="000000" w:sz="2" w:space="0"/>
              <w:bottom w:val="single" w:color="000000" w:sz="2" w:space="0"/>
            </w:tcBorders>
          </w:tcPr>
          <w:p>
            <w:pPr>
              <w:rPr>
                <w:rFonts w:ascii="宋体" w:hAnsi="宋体" w:eastAsia="宋体" w:cs="宋体"/>
                <w:color w:val="auto"/>
                <w:highlight w:val="none"/>
              </w:rPr>
            </w:pPr>
          </w:p>
        </w:tc>
        <w:tc>
          <w:tcPr>
            <w:tcW w:w="2257" w:type="dxa"/>
            <w:tcBorders>
              <w:top w:val="single" w:color="000000" w:sz="2" w:space="0"/>
              <w:bottom w:val="single" w:color="000000" w:sz="2" w:space="0"/>
            </w:tcBorders>
          </w:tcPr>
          <w:p>
            <w:pPr>
              <w:rPr>
                <w:rFonts w:ascii="宋体" w:hAnsi="宋体" w:eastAsia="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2" w:hRule="atLeast"/>
        </w:trPr>
        <w:tc>
          <w:tcPr>
            <w:tcW w:w="2137" w:type="dxa"/>
            <w:tcBorders>
              <w:top w:val="single" w:color="000000" w:sz="2" w:space="0"/>
              <w:bottom w:val="single" w:color="000000" w:sz="2" w:space="0"/>
            </w:tcBorders>
          </w:tcPr>
          <w:p>
            <w:pPr>
              <w:rPr>
                <w:rFonts w:ascii="宋体" w:hAnsi="宋体" w:eastAsia="宋体" w:cs="宋体"/>
                <w:color w:val="auto"/>
                <w:highlight w:val="none"/>
              </w:rPr>
            </w:pPr>
          </w:p>
        </w:tc>
        <w:tc>
          <w:tcPr>
            <w:tcW w:w="2116" w:type="dxa"/>
            <w:tcBorders>
              <w:top w:val="single" w:color="000000" w:sz="2" w:space="0"/>
              <w:bottom w:val="single" w:color="000000" w:sz="2" w:space="0"/>
            </w:tcBorders>
          </w:tcPr>
          <w:p>
            <w:pPr>
              <w:rPr>
                <w:rFonts w:ascii="宋体" w:hAnsi="宋体" w:eastAsia="宋体" w:cs="宋体"/>
                <w:color w:val="auto"/>
                <w:highlight w:val="none"/>
              </w:rPr>
            </w:pPr>
          </w:p>
        </w:tc>
        <w:tc>
          <w:tcPr>
            <w:tcW w:w="2118" w:type="dxa"/>
            <w:tcBorders>
              <w:top w:val="single" w:color="000000" w:sz="2" w:space="0"/>
              <w:bottom w:val="single" w:color="000000" w:sz="2" w:space="0"/>
            </w:tcBorders>
          </w:tcPr>
          <w:p>
            <w:pPr>
              <w:rPr>
                <w:rFonts w:ascii="宋体" w:hAnsi="宋体" w:eastAsia="宋体" w:cs="宋体"/>
                <w:color w:val="auto"/>
                <w:highlight w:val="none"/>
              </w:rPr>
            </w:pPr>
          </w:p>
        </w:tc>
        <w:tc>
          <w:tcPr>
            <w:tcW w:w="2257" w:type="dxa"/>
            <w:tcBorders>
              <w:top w:val="single" w:color="000000" w:sz="2" w:space="0"/>
              <w:bottom w:val="single" w:color="000000" w:sz="2" w:space="0"/>
            </w:tcBorders>
          </w:tcPr>
          <w:p>
            <w:pPr>
              <w:rPr>
                <w:rFonts w:ascii="宋体" w:hAnsi="宋体" w:eastAsia="宋体" w:cs="宋体"/>
                <w:color w:val="auto"/>
                <w:highlight w:val="none"/>
              </w:rPr>
            </w:pPr>
          </w:p>
        </w:tc>
      </w:tr>
    </w:tbl>
    <w:p>
      <w:pPr>
        <w:spacing w:before="91" w:line="219" w:lineRule="auto"/>
        <w:rPr>
          <w:rFonts w:ascii="宋体" w:hAnsi="宋体" w:eastAsia="宋体" w:cs="宋体"/>
          <w:color w:val="auto"/>
          <w:spacing w:val="-18"/>
          <w:sz w:val="28"/>
          <w:szCs w:val="28"/>
          <w:highlight w:val="none"/>
          <w14:textOutline w14:w="5092" w14:cap="flat" w14:cmpd="sng" w14:algn="ctr">
            <w14:solidFill>
              <w14:srgbClr w14:val="000000"/>
            </w14:solidFill>
            <w14:prstDash w14:val="solid"/>
            <w14:miter w14:val="0"/>
          </w14:textOutline>
        </w:rPr>
      </w:pPr>
    </w:p>
    <w:p>
      <w:pPr>
        <w:spacing w:before="91" w:line="219" w:lineRule="auto"/>
        <w:rPr>
          <w:rFonts w:ascii="宋体" w:hAnsi="宋体" w:eastAsia="宋体" w:cs="宋体"/>
          <w:color w:val="auto"/>
          <w:spacing w:val="-18"/>
          <w:sz w:val="28"/>
          <w:szCs w:val="28"/>
          <w:highlight w:val="none"/>
          <w14:textOutline w14:w="5092" w14:cap="flat" w14:cmpd="sng" w14:algn="ctr">
            <w14:solidFill>
              <w14:srgbClr w14:val="000000"/>
            </w14:solidFill>
            <w14:prstDash w14:val="solid"/>
            <w14:miter w14:val="0"/>
          </w14:textOutline>
        </w:rPr>
      </w:pPr>
    </w:p>
    <w:p>
      <w:pPr>
        <w:rPr>
          <w:rFonts w:ascii="宋体" w:hAnsi="宋体" w:eastAsia="宋体" w:cs="宋体"/>
          <w:color w:val="auto"/>
          <w:spacing w:val="-18"/>
          <w:sz w:val="28"/>
          <w:szCs w:val="28"/>
          <w:highlight w:val="none"/>
          <w14:textOutline w14:w="5092" w14:cap="flat" w14:cmpd="sng" w14:algn="ctr">
            <w14:solidFill>
              <w14:srgbClr w14:val="000000"/>
            </w14:solidFill>
            <w14:prstDash w14:val="solid"/>
            <w14:miter w14:val="0"/>
          </w14:textOutline>
        </w:rPr>
      </w:pPr>
      <w:r>
        <w:rPr>
          <w:rFonts w:ascii="宋体" w:hAnsi="宋体" w:eastAsia="宋体" w:cs="宋体"/>
          <w:color w:val="auto"/>
          <w:spacing w:val="-18"/>
          <w:sz w:val="28"/>
          <w:szCs w:val="28"/>
          <w:highlight w:val="none"/>
          <w14:textOutline w14:w="5092" w14:cap="flat" w14:cmpd="sng" w14:algn="ctr">
            <w14:solidFill>
              <w14:srgbClr w14:val="000000"/>
            </w14:solidFill>
            <w14:prstDash w14:val="solid"/>
            <w14:miter w14:val="0"/>
          </w14:textOutline>
        </w:rPr>
        <w:br w:type="page"/>
      </w:r>
    </w:p>
    <w:p>
      <w:pPr>
        <w:spacing w:before="169" w:line="220" w:lineRule="auto"/>
        <w:ind w:left="2552"/>
        <w:rPr>
          <w:rFonts w:ascii="宋体" w:hAnsi="宋体" w:eastAsia="宋体" w:cs="宋体"/>
          <w:color w:val="auto"/>
          <w:spacing w:val="-1"/>
          <w:sz w:val="52"/>
          <w:szCs w:val="52"/>
          <w:highlight w:val="none"/>
        </w:rPr>
      </w:pPr>
    </w:p>
    <w:p>
      <w:pPr>
        <w:spacing w:before="169" w:line="220" w:lineRule="auto"/>
        <w:ind w:left="2552"/>
        <w:rPr>
          <w:rFonts w:ascii="宋体" w:hAnsi="宋体" w:eastAsia="宋体" w:cs="宋体"/>
          <w:color w:val="auto"/>
          <w:sz w:val="52"/>
          <w:szCs w:val="52"/>
          <w:highlight w:val="none"/>
        </w:rPr>
      </w:pPr>
      <w:r>
        <w:rPr>
          <w:rFonts w:ascii="宋体" w:hAnsi="宋体" w:eastAsia="宋体" w:cs="宋体"/>
          <w:color w:val="auto"/>
          <w:spacing w:val="-1"/>
          <w:sz w:val="52"/>
          <w:szCs w:val="52"/>
          <w:highlight w:val="none"/>
        </w:rPr>
        <w:t xml:space="preserve">投  标  文 </w:t>
      </w:r>
      <w:r>
        <w:rPr>
          <w:rFonts w:ascii="宋体" w:hAnsi="宋体" w:eastAsia="宋体" w:cs="宋体"/>
          <w:color w:val="auto"/>
          <w:sz w:val="52"/>
          <w:szCs w:val="52"/>
          <w:highlight w:val="none"/>
        </w:rPr>
        <w:t xml:space="preserve"> 件</w:t>
      </w:r>
    </w:p>
    <w:p>
      <w:pPr>
        <w:spacing w:line="278" w:lineRule="auto"/>
        <w:rPr>
          <w:color w:val="auto"/>
          <w:highlight w:val="none"/>
        </w:rPr>
      </w:pPr>
    </w:p>
    <w:p>
      <w:pPr>
        <w:spacing w:line="278" w:lineRule="auto"/>
        <w:rPr>
          <w:color w:val="auto"/>
          <w:highlight w:val="none"/>
        </w:rPr>
      </w:pPr>
    </w:p>
    <w:p>
      <w:pPr>
        <w:spacing w:line="279" w:lineRule="auto"/>
        <w:rPr>
          <w:color w:val="auto"/>
          <w:highlight w:val="none"/>
        </w:rPr>
      </w:pPr>
    </w:p>
    <w:p>
      <w:pPr>
        <w:spacing w:line="279" w:lineRule="auto"/>
        <w:rPr>
          <w:color w:val="auto"/>
          <w:highlight w:val="none"/>
        </w:rPr>
      </w:pPr>
    </w:p>
    <w:p>
      <w:pPr>
        <w:spacing w:line="279" w:lineRule="auto"/>
        <w:rPr>
          <w:color w:val="auto"/>
          <w:highlight w:val="none"/>
        </w:rPr>
      </w:pPr>
    </w:p>
    <w:p>
      <w:pPr>
        <w:spacing w:before="91" w:line="220" w:lineRule="auto"/>
        <w:ind w:left="2408"/>
        <w:rPr>
          <w:rFonts w:ascii="宋体" w:hAnsi="宋体" w:eastAsia="宋体" w:cs="宋体"/>
          <w:color w:val="auto"/>
          <w:sz w:val="28"/>
          <w:szCs w:val="28"/>
          <w:highlight w:val="none"/>
        </w:rPr>
      </w:pPr>
      <w:r>
        <w:rPr>
          <w:rFonts w:ascii="宋体" w:hAnsi="宋体" w:eastAsia="宋体" w:cs="宋体"/>
          <w:color w:val="auto"/>
          <w:spacing w:val="-23"/>
          <w:sz w:val="28"/>
          <w:szCs w:val="28"/>
          <w:highlight w:val="none"/>
        </w:rPr>
        <w:t>项</w:t>
      </w:r>
      <w:r>
        <w:rPr>
          <w:rFonts w:ascii="宋体" w:hAnsi="宋体" w:eastAsia="宋体" w:cs="宋体"/>
          <w:color w:val="auto"/>
          <w:spacing w:val="-21"/>
          <w:sz w:val="28"/>
          <w:szCs w:val="28"/>
          <w:highlight w:val="none"/>
        </w:rPr>
        <w:t>目</w:t>
      </w:r>
      <w:r>
        <w:rPr>
          <w:rFonts w:hint="eastAsia" w:ascii="宋体" w:hAnsi="宋体" w:eastAsia="宋体" w:cs="宋体"/>
          <w:color w:val="auto"/>
          <w:spacing w:val="-21"/>
          <w:sz w:val="28"/>
          <w:szCs w:val="28"/>
          <w:highlight w:val="none"/>
        </w:rPr>
        <w:t>名称</w:t>
      </w:r>
      <w:r>
        <w:rPr>
          <w:rFonts w:ascii="宋体" w:hAnsi="宋体" w:eastAsia="宋体" w:cs="宋体"/>
          <w:color w:val="auto"/>
          <w:spacing w:val="-21"/>
          <w:sz w:val="28"/>
          <w:szCs w:val="28"/>
          <w:highlight w:val="none"/>
        </w:rPr>
        <w:t>：</w:t>
      </w:r>
      <w:r>
        <w:rPr>
          <w:rFonts w:ascii="宋体" w:hAnsi="宋体" w:eastAsia="宋体" w:cs="宋体"/>
          <w:color w:val="auto"/>
          <w:sz w:val="28"/>
          <w:szCs w:val="28"/>
          <w:highlight w:val="none"/>
          <w:u w:val="single"/>
        </w:rPr>
        <w:t xml:space="preserve">                    </w:t>
      </w:r>
    </w:p>
    <w:p>
      <w:pPr>
        <w:spacing w:before="91" w:line="220" w:lineRule="auto"/>
        <w:ind w:left="2408"/>
        <w:rPr>
          <w:rFonts w:ascii="宋体" w:hAnsi="宋体" w:eastAsia="宋体" w:cs="宋体"/>
          <w:color w:val="auto"/>
          <w:sz w:val="28"/>
          <w:szCs w:val="28"/>
          <w:highlight w:val="none"/>
        </w:rPr>
      </w:pPr>
      <w:r>
        <w:rPr>
          <w:rFonts w:hint="eastAsia" w:ascii="宋体" w:hAnsi="宋体" w:eastAsia="宋体" w:cs="宋体"/>
          <w:color w:val="auto"/>
          <w:spacing w:val="-23"/>
          <w:sz w:val="28"/>
          <w:szCs w:val="28"/>
          <w:highlight w:val="none"/>
        </w:rPr>
        <w:t>项目编号：</w:t>
      </w:r>
      <w:r>
        <w:rPr>
          <w:rFonts w:ascii="宋体" w:hAnsi="宋体" w:eastAsia="宋体" w:cs="宋体"/>
          <w:color w:val="auto"/>
          <w:sz w:val="28"/>
          <w:szCs w:val="28"/>
          <w:highlight w:val="none"/>
          <w:u w:val="single"/>
        </w:rPr>
        <w:t xml:space="preserve">                    </w:t>
      </w:r>
    </w:p>
    <w:p>
      <w:pPr>
        <w:spacing w:line="249"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jc w:val="center"/>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before="91" w:line="219" w:lineRule="auto"/>
        <w:ind w:firstLine="1360" w:firstLineChars="500"/>
        <w:jc w:val="both"/>
        <w:rPr>
          <w:rFonts w:ascii="宋体" w:hAnsi="宋体" w:eastAsia="宋体" w:cs="宋体"/>
          <w:color w:val="auto"/>
          <w:sz w:val="28"/>
          <w:szCs w:val="28"/>
          <w:highlight w:val="none"/>
        </w:rPr>
      </w:pPr>
      <w:r>
        <w:rPr>
          <w:rFonts w:ascii="宋体" w:hAnsi="宋体" w:eastAsia="宋体" w:cs="宋体"/>
          <w:color w:val="auto"/>
          <w:spacing w:val="-4"/>
          <w:sz w:val="28"/>
          <w:szCs w:val="28"/>
          <w:highlight w:val="none"/>
        </w:rPr>
        <w:t>投标</w:t>
      </w:r>
      <w:r>
        <w:rPr>
          <w:rFonts w:hint="eastAsia" w:ascii="宋体" w:hAnsi="宋体" w:eastAsia="宋体" w:cs="宋体"/>
          <w:color w:val="auto"/>
          <w:spacing w:val="-4"/>
          <w:sz w:val="28"/>
          <w:szCs w:val="28"/>
          <w:highlight w:val="none"/>
        </w:rPr>
        <w:t>内容</w:t>
      </w:r>
      <w:r>
        <w:rPr>
          <w:rFonts w:ascii="宋体" w:hAnsi="宋体" w:eastAsia="宋体" w:cs="宋体"/>
          <w:color w:val="auto"/>
          <w:spacing w:val="-4"/>
          <w:sz w:val="28"/>
          <w:szCs w:val="28"/>
          <w:highlight w:val="none"/>
        </w:rPr>
        <w:t>：</w:t>
      </w:r>
      <w:r>
        <w:rPr>
          <w:rFonts w:ascii="宋体" w:hAnsi="宋体" w:eastAsia="宋体" w:cs="宋体"/>
          <w:color w:val="auto"/>
          <w:spacing w:val="-4"/>
          <w:sz w:val="28"/>
          <w:szCs w:val="28"/>
          <w:highlight w:val="none"/>
          <w:u w:val="single"/>
        </w:rPr>
        <w:t xml:space="preserve">         </w:t>
      </w:r>
      <w:r>
        <w:rPr>
          <w:rFonts w:hint="eastAsia" w:ascii="宋体" w:hAnsi="宋体" w:eastAsia="宋体" w:cs="宋体"/>
          <w:color w:val="auto"/>
          <w:spacing w:val="-4"/>
          <w:sz w:val="28"/>
          <w:szCs w:val="28"/>
          <w:highlight w:val="none"/>
          <w:u w:val="single"/>
        </w:rPr>
        <w:t>企业信誉实力部分</w:t>
      </w:r>
      <w:r>
        <w:rPr>
          <w:rFonts w:ascii="宋体" w:hAnsi="宋体" w:eastAsia="宋体" w:cs="宋体"/>
          <w:color w:val="auto"/>
          <w:spacing w:val="-4"/>
          <w:sz w:val="28"/>
          <w:szCs w:val="28"/>
          <w:highlight w:val="none"/>
          <w:u w:val="single"/>
        </w:rPr>
        <w:t xml:space="preserve">  </w:t>
      </w:r>
      <w:r>
        <w:rPr>
          <w:rFonts w:hint="eastAsia" w:ascii="宋体" w:hAnsi="宋体" w:eastAsia="宋体" w:cs="宋体"/>
          <w:color w:val="auto"/>
          <w:spacing w:val="-4"/>
          <w:sz w:val="28"/>
          <w:szCs w:val="28"/>
          <w:highlight w:val="none"/>
          <w:u w:val="single"/>
        </w:rPr>
        <w:t xml:space="preserve">       </w:t>
      </w:r>
    </w:p>
    <w:p>
      <w:pPr>
        <w:spacing w:line="250" w:lineRule="auto"/>
        <w:rPr>
          <w:color w:val="auto"/>
          <w:highlight w:val="none"/>
        </w:rPr>
      </w:pPr>
    </w:p>
    <w:p>
      <w:pPr>
        <w:spacing w:before="91" w:line="219" w:lineRule="auto"/>
        <w:jc w:val="center"/>
        <w:rPr>
          <w:rFonts w:ascii="宋体" w:hAnsi="宋体" w:eastAsia="宋体" w:cs="宋体"/>
          <w:color w:val="auto"/>
          <w:sz w:val="28"/>
          <w:szCs w:val="28"/>
          <w:highlight w:val="none"/>
        </w:rPr>
      </w:pPr>
      <w:r>
        <w:rPr>
          <w:rFonts w:hint="eastAsia" w:ascii="宋体" w:hAnsi="宋体" w:eastAsia="宋体" w:cs="宋体"/>
          <w:color w:val="auto"/>
          <w:spacing w:val="-4"/>
          <w:sz w:val="28"/>
          <w:szCs w:val="28"/>
          <w:highlight w:val="none"/>
        </w:rPr>
        <w:t xml:space="preserve">  </w:t>
      </w:r>
      <w:r>
        <w:rPr>
          <w:rFonts w:ascii="宋体" w:hAnsi="宋体" w:eastAsia="宋体" w:cs="宋体"/>
          <w:color w:val="auto"/>
          <w:spacing w:val="-4"/>
          <w:sz w:val="28"/>
          <w:szCs w:val="28"/>
          <w:highlight w:val="none"/>
        </w:rPr>
        <w:t>投标人：</w:t>
      </w:r>
      <w:r>
        <w:rPr>
          <w:rFonts w:ascii="宋体" w:hAnsi="宋体" w:eastAsia="宋体" w:cs="宋体"/>
          <w:color w:val="auto"/>
          <w:spacing w:val="-4"/>
          <w:sz w:val="28"/>
          <w:szCs w:val="28"/>
          <w:highlight w:val="none"/>
          <w:u w:val="single"/>
        </w:rPr>
        <w:t xml:space="preserve">                        </w:t>
      </w:r>
      <w:r>
        <w:rPr>
          <w:rFonts w:ascii="宋体" w:hAnsi="宋体" w:eastAsia="宋体" w:cs="宋体"/>
          <w:color w:val="auto"/>
          <w:spacing w:val="-4"/>
          <w:sz w:val="28"/>
          <w:szCs w:val="28"/>
          <w:highlight w:val="none"/>
        </w:rPr>
        <w:t>[盖单位公章(</w:t>
      </w:r>
      <w:r>
        <w:rPr>
          <w:rFonts w:ascii="宋体" w:hAnsi="宋体" w:eastAsia="宋体" w:cs="宋体"/>
          <w:color w:val="auto"/>
          <w:spacing w:val="-2"/>
          <w:sz w:val="28"/>
          <w:szCs w:val="28"/>
          <w:highlight w:val="none"/>
        </w:rPr>
        <w:t>C</w:t>
      </w:r>
      <w:r>
        <w:rPr>
          <w:rFonts w:ascii="宋体" w:hAnsi="宋体" w:eastAsia="宋体" w:cs="宋体"/>
          <w:color w:val="auto"/>
          <w:sz w:val="28"/>
          <w:szCs w:val="28"/>
          <w:highlight w:val="none"/>
        </w:rPr>
        <w:t>A</w:t>
      </w:r>
      <w:r>
        <w:rPr>
          <w:rFonts w:ascii="宋体" w:hAnsi="宋体" w:eastAsia="宋体" w:cs="宋体"/>
          <w:color w:val="auto"/>
          <w:spacing w:val="-4"/>
          <w:sz w:val="28"/>
          <w:szCs w:val="28"/>
          <w:highlight w:val="none"/>
        </w:rPr>
        <w:t xml:space="preserve"> 签章)]</w:t>
      </w:r>
    </w:p>
    <w:p>
      <w:pPr>
        <w:spacing w:before="212" w:line="219" w:lineRule="auto"/>
        <w:jc w:val="center"/>
        <w:rPr>
          <w:rFonts w:ascii="宋体" w:hAnsi="宋体" w:eastAsia="宋体" w:cs="宋体"/>
          <w:color w:val="auto"/>
          <w:sz w:val="28"/>
          <w:szCs w:val="28"/>
          <w:highlight w:val="none"/>
        </w:rPr>
      </w:pPr>
      <w:r>
        <w:rPr>
          <w:rFonts w:hint="eastAsia" w:ascii="宋体" w:hAnsi="宋体" w:eastAsia="宋体" w:cs="宋体"/>
          <w:color w:val="auto"/>
          <w:spacing w:val="-9"/>
          <w:sz w:val="28"/>
          <w:szCs w:val="28"/>
          <w:highlight w:val="none"/>
        </w:rPr>
        <w:t xml:space="preserve">  </w:t>
      </w:r>
      <w:r>
        <w:rPr>
          <w:rFonts w:ascii="宋体" w:hAnsi="宋体" w:eastAsia="宋体" w:cs="宋体"/>
          <w:color w:val="auto"/>
          <w:spacing w:val="-9"/>
          <w:sz w:val="28"/>
          <w:szCs w:val="28"/>
          <w:highlight w:val="none"/>
        </w:rPr>
        <w:t>法定代表人或其委托代理人：</w:t>
      </w:r>
      <w:r>
        <w:rPr>
          <w:rFonts w:ascii="宋体" w:hAnsi="宋体" w:eastAsia="宋体" w:cs="宋体"/>
          <w:color w:val="auto"/>
          <w:spacing w:val="-9"/>
          <w:sz w:val="28"/>
          <w:szCs w:val="28"/>
          <w:highlight w:val="none"/>
          <w:u w:val="single"/>
        </w:rPr>
        <w:t xml:space="preserve">       </w:t>
      </w:r>
      <w:r>
        <w:rPr>
          <w:rFonts w:ascii="宋体" w:hAnsi="宋体" w:eastAsia="宋体" w:cs="宋体"/>
          <w:color w:val="auto"/>
          <w:spacing w:val="-9"/>
          <w:sz w:val="28"/>
          <w:szCs w:val="28"/>
          <w:highlight w:val="none"/>
        </w:rPr>
        <w:t>[签字或盖章(C</w:t>
      </w:r>
      <w:r>
        <w:rPr>
          <w:rFonts w:ascii="宋体" w:hAnsi="宋体" w:eastAsia="宋体" w:cs="宋体"/>
          <w:color w:val="auto"/>
          <w:spacing w:val="-3"/>
          <w:sz w:val="28"/>
          <w:szCs w:val="28"/>
          <w:highlight w:val="none"/>
        </w:rPr>
        <w:t>A</w:t>
      </w:r>
      <w:r>
        <w:rPr>
          <w:rFonts w:ascii="宋体" w:hAnsi="宋体" w:eastAsia="宋体" w:cs="宋体"/>
          <w:color w:val="auto"/>
          <w:spacing w:val="-9"/>
          <w:sz w:val="28"/>
          <w:szCs w:val="28"/>
          <w:highlight w:val="none"/>
        </w:rPr>
        <w:t xml:space="preserve"> 签章)]</w:t>
      </w:r>
    </w:p>
    <w:p>
      <w:pPr>
        <w:spacing w:line="254" w:lineRule="auto"/>
        <w:rPr>
          <w:color w:val="auto"/>
          <w:highlight w:val="none"/>
        </w:rPr>
      </w:pPr>
    </w:p>
    <w:p>
      <w:pPr>
        <w:spacing w:line="255" w:lineRule="auto"/>
        <w:rPr>
          <w:color w:val="auto"/>
          <w:highlight w:val="none"/>
        </w:rPr>
      </w:pPr>
    </w:p>
    <w:p>
      <w:pPr>
        <w:spacing w:line="255" w:lineRule="auto"/>
        <w:rPr>
          <w:color w:val="auto"/>
          <w:highlight w:val="none"/>
        </w:rPr>
      </w:pPr>
    </w:p>
    <w:p>
      <w:pPr>
        <w:pStyle w:val="7"/>
        <w:rPr>
          <w:color w:val="auto"/>
          <w:highlight w:val="none"/>
        </w:rPr>
      </w:pPr>
      <w:r>
        <w:rPr>
          <w:rFonts w:ascii="宋体" w:hAnsi="宋体" w:eastAsia="宋体" w:cs="宋体"/>
          <w:color w:val="auto"/>
          <w:sz w:val="28"/>
          <w:szCs w:val="28"/>
          <w:highlight w:val="none"/>
          <w:u w:val="single"/>
        </w:rPr>
        <w:tab/>
      </w:r>
      <w:r>
        <w:rPr>
          <w:rFonts w:ascii="宋体" w:hAnsi="宋体" w:eastAsia="宋体" w:cs="宋体"/>
          <w:color w:val="auto"/>
          <w:spacing w:val="4"/>
          <w:sz w:val="28"/>
          <w:szCs w:val="28"/>
          <w:highlight w:val="none"/>
        </w:rPr>
        <w:t>年</w:t>
      </w:r>
      <w:r>
        <w:rPr>
          <w:rFonts w:ascii="宋体" w:hAnsi="宋体" w:eastAsia="宋体" w:cs="宋体"/>
          <w:color w:val="auto"/>
          <w:spacing w:val="4"/>
          <w:sz w:val="28"/>
          <w:szCs w:val="28"/>
          <w:highlight w:val="none"/>
          <w:u w:val="single"/>
        </w:rPr>
        <w:t xml:space="preserve">  </w:t>
      </w:r>
      <w:r>
        <w:rPr>
          <w:rFonts w:ascii="宋体" w:hAnsi="宋体" w:eastAsia="宋体" w:cs="宋体"/>
          <w:color w:val="auto"/>
          <w:spacing w:val="3"/>
          <w:sz w:val="28"/>
          <w:szCs w:val="28"/>
          <w:highlight w:val="none"/>
          <w:u w:val="single"/>
        </w:rPr>
        <w:t xml:space="preserve"> </w:t>
      </w:r>
      <w:r>
        <w:rPr>
          <w:rFonts w:ascii="宋体" w:hAnsi="宋体" w:eastAsia="宋体" w:cs="宋体"/>
          <w:color w:val="auto"/>
          <w:spacing w:val="2"/>
          <w:sz w:val="28"/>
          <w:szCs w:val="28"/>
          <w:highlight w:val="none"/>
          <w:u w:val="single"/>
        </w:rPr>
        <w:t xml:space="preserve">      </w:t>
      </w:r>
      <w:r>
        <w:rPr>
          <w:rFonts w:ascii="宋体" w:hAnsi="宋体" w:eastAsia="宋体" w:cs="宋体"/>
          <w:color w:val="auto"/>
          <w:spacing w:val="2"/>
          <w:sz w:val="28"/>
          <w:szCs w:val="28"/>
          <w:highlight w:val="none"/>
        </w:rPr>
        <w:t>月</w:t>
      </w:r>
      <w:r>
        <w:rPr>
          <w:rFonts w:ascii="宋体" w:hAnsi="宋体" w:eastAsia="宋体" w:cs="宋体"/>
          <w:color w:val="auto"/>
          <w:spacing w:val="2"/>
          <w:sz w:val="28"/>
          <w:szCs w:val="28"/>
          <w:highlight w:val="none"/>
          <w:u w:val="single"/>
        </w:rPr>
        <w:t xml:space="preserve">         </w:t>
      </w:r>
      <w:r>
        <w:rPr>
          <w:rFonts w:ascii="宋体" w:hAnsi="宋体" w:eastAsia="宋体" w:cs="宋体"/>
          <w:color w:val="auto"/>
          <w:spacing w:val="2"/>
          <w:sz w:val="28"/>
          <w:szCs w:val="28"/>
          <w:highlight w:val="none"/>
        </w:rPr>
        <w:t>日</w:t>
      </w:r>
    </w:p>
    <w:p>
      <w:pPr>
        <w:rPr>
          <w:rFonts w:ascii="宋体" w:hAnsi="宋体" w:eastAsia="宋体" w:cs="宋体"/>
          <w:color w:val="auto"/>
          <w:spacing w:val="-18"/>
          <w:sz w:val="28"/>
          <w:szCs w:val="28"/>
          <w:highlight w:val="none"/>
          <w14:textOutline w14:w="5092" w14:cap="flat" w14:cmpd="sng" w14:algn="ctr">
            <w14:solidFill>
              <w14:srgbClr w14:val="000000"/>
            </w14:solidFill>
            <w14:prstDash w14:val="solid"/>
            <w14:miter w14:val="0"/>
          </w14:textOutline>
        </w:rPr>
      </w:pPr>
      <w:r>
        <w:rPr>
          <w:rFonts w:ascii="宋体" w:hAnsi="宋体" w:eastAsia="宋体" w:cs="宋体"/>
          <w:color w:val="auto"/>
          <w:spacing w:val="-18"/>
          <w:sz w:val="28"/>
          <w:szCs w:val="28"/>
          <w:highlight w:val="none"/>
          <w14:textOutline w14:w="5092" w14:cap="flat" w14:cmpd="sng" w14:algn="ctr">
            <w14:solidFill>
              <w14:srgbClr w14:val="000000"/>
            </w14:solidFill>
            <w14:prstDash w14:val="solid"/>
            <w14:miter w14:val="0"/>
          </w14:textOutline>
        </w:rPr>
        <w:br w:type="page"/>
      </w:r>
    </w:p>
    <w:p>
      <w:pPr>
        <w:spacing w:before="91" w:line="219" w:lineRule="auto"/>
        <w:outlineLvl w:val="6"/>
        <w:rPr>
          <w:rFonts w:ascii="宋体" w:hAnsi="宋体" w:eastAsia="宋体" w:cs="宋体"/>
          <w:color w:val="auto"/>
          <w:sz w:val="28"/>
          <w:szCs w:val="28"/>
          <w:highlight w:val="none"/>
        </w:rPr>
      </w:pPr>
      <w:r>
        <w:rPr>
          <w:rFonts w:ascii="宋体" w:hAnsi="宋体" w:eastAsia="宋体" w:cs="宋体"/>
          <w:color w:val="auto"/>
          <w:spacing w:val="-18"/>
          <w:sz w:val="28"/>
          <w:szCs w:val="28"/>
          <w:highlight w:val="none"/>
          <w14:textOutline w14:w="5092" w14:cap="flat" w14:cmpd="sng" w14:algn="ctr">
            <w14:solidFill>
              <w14:srgbClr w14:val="000000"/>
            </w14:solidFill>
            <w14:prstDash w14:val="solid"/>
            <w14:miter w14:val="0"/>
          </w14:textOutline>
        </w:rPr>
        <w:t>四</w:t>
      </w:r>
      <w:r>
        <w:rPr>
          <w:rFonts w:ascii="宋体" w:hAnsi="宋体" w:eastAsia="宋体" w:cs="宋体"/>
          <w:color w:val="auto"/>
          <w:spacing w:val="-15"/>
          <w:sz w:val="28"/>
          <w:szCs w:val="28"/>
          <w:highlight w:val="none"/>
          <w14:textOutline w14:w="5092" w14:cap="flat" w14:cmpd="sng" w14:algn="ctr">
            <w14:solidFill>
              <w14:srgbClr w14:val="000000"/>
            </w14:solidFill>
            <w14:prstDash w14:val="solid"/>
            <w14:miter w14:val="0"/>
          </w14:textOutline>
        </w:rPr>
        <w:t>、</w:t>
      </w:r>
      <w:r>
        <w:rPr>
          <w:rFonts w:ascii="宋体" w:hAnsi="宋体" w:eastAsia="宋体" w:cs="宋体"/>
          <w:color w:val="auto"/>
          <w:spacing w:val="-15"/>
          <w:sz w:val="28"/>
          <w:szCs w:val="28"/>
          <w:highlight w:val="none"/>
        </w:rPr>
        <w:t xml:space="preserve"> </w:t>
      </w:r>
      <w:r>
        <w:rPr>
          <w:rFonts w:ascii="宋体" w:hAnsi="宋体" w:eastAsia="宋体" w:cs="宋体"/>
          <w:color w:val="auto"/>
          <w:spacing w:val="-15"/>
          <w:sz w:val="30"/>
          <w:szCs w:val="30"/>
          <w:highlight w:val="none"/>
          <w14:textOutline w14:w="5092" w14:cap="flat" w14:cmpd="sng" w14:algn="ctr">
            <w14:solidFill>
              <w14:srgbClr w14:val="000000"/>
            </w14:solidFill>
            <w14:prstDash w14:val="solid"/>
            <w14:miter w14:val="0"/>
          </w14:textOutline>
        </w:rPr>
        <w:t>企业信誉实力部分</w:t>
      </w:r>
    </w:p>
    <w:p>
      <w:pPr>
        <w:spacing w:line="266" w:lineRule="auto"/>
        <w:rPr>
          <w:color w:val="auto"/>
          <w:highlight w:val="none"/>
        </w:rPr>
      </w:pPr>
    </w:p>
    <w:p>
      <w:pPr>
        <w:spacing w:line="267" w:lineRule="auto"/>
        <w:rPr>
          <w:color w:val="auto"/>
          <w:highlight w:val="none"/>
        </w:rPr>
      </w:pPr>
    </w:p>
    <w:p>
      <w:pPr>
        <w:jc w:val="center"/>
        <w:rPr>
          <w:rFonts w:ascii="宋体" w:hAnsi="宋体" w:eastAsia="宋体" w:cs="宋体"/>
          <w:b/>
          <w:color w:val="auto"/>
          <w:sz w:val="30"/>
          <w:szCs w:val="30"/>
          <w:highlight w:val="none"/>
        </w:rPr>
      </w:pPr>
      <w:r>
        <w:rPr>
          <w:rFonts w:hint="eastAsia" w:ascii="宋体" w:hAnsi="宋体" w:eastAsia="宋体" w:cs="宋体"/>
          <w:b/>
          <w:bCs/>
          <w:color w:val="auto"/>
          <w:sz w:val="30"/>
          <w:szCs w:val="30"/>
          <w:highlight w:val="none"/>
        </w:rPr>
        <w:t>企业信誉实力一览表（格式自拟）</w:t>
      </w:r>
      <w:r>
        <w:rPr>
          <w:rFonts w:hint="eastAsia" w:ascii="宋体" w:hAnsi="宋体" w:eastAsia="宋体" w:cs="宋体"/>
          <w:b/>
          <w:color w:val="auto"/>
          <w:sz w:val="30"/>
          <w:szCs w:val="30"/>
          <w:highlight w:val="none"/>
        </w:rPr>
        <w:t>（如有）</w:t>
      </w:r>
    </w:p>
    <w:p>
      <w:pPr>
        <w:rPr>
          <w:color w:val="auto"/>
          <w:highlight w:val="none"/>
        </w:rPr>
      </w:pPr>
    </w:p>
    <w:p>
      <w:pPr>
        <w:rPr>
          <w:color w:val="auto"/>
          <w:highlight w:val="none"/>
        </w:rPr>
        <w:sectPr>
          <w:footerReference r:id="rId33" w:type="default"/>
          <w:pgSz w:w="11907" w:h="16839"/>
          <w:pgMar w:top="1440" w:right="1080" w:bottom="1440" w:left="1080" w:header="0" w:footer="993" w:gutter="0"/>
          <w:cols w:space="720" w:num="1"/>
        </w:sectPr>
      </w:pPr>
    </w:p>
    <w:p>
      <w:pPr>
        <w:spacing w:line="380" w:lineRule="exact"/>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附件：</w:t>
      </w:r>
    </w:p>
    <w:p>
      <w:pPr>
        <w:jc w:val="center"/>
        <w:rPr>
          <w:rFonts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质疑函范本</w:t>
      </w:r>
    </w:p>
    <w:p>
      <w:pPr>
        <w:spacing w:before="312" w:beforeLines="100" w:line="360" w:lineRule="auto"/>
        <w:rPr>
          <w:rFonts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一、质疑供应商基本信息</w:t>
      </w:r>
    </w:p>
    <w:p>
      <w:pPr>
        <w:spacing w:line="360" w:lineRule="auto"/>
        <w:rPr>
          <w:rFonts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质疑供应商：</w:t>
      </w:r>
      <w:r>
        <w:rPr>
          <w:rFonts w:hint="eastAsia" w:ascii="宋体" w:hAnsi="宋体" w:eastAsia="宋体" w:cs="宋体"/>
          <w:color w:val="auto"/>
          <w:sz w:val="28"/>
          <w:szCs w:val="28"/>
          <w:highlight w:val="none"/>
          <w:u w:val="dotted"/>
        </w:rPr>
        <w:t xml:space="preserve">                                        </w:t>
      </w:r>
    </w:p>
    <w:p>
      <w:pPr>
        <w:spacing w:line="360" w:lineRule="auto"/>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地址：</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p>
    <w:p>
      <w:pPr>
        <w:spacing w:line="360" w:lineRule="auto"/>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联系人：</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p>
    <w:p>
      <w:pPr>
        <w:spacing w:line="360" w:lineRule="auto"/>
        <w:rPr>
          <w:rFonts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授权代表：</w:t>
      </w:r>
      <w:r>
        <w:rPr>
          <w:rFonts w:hint="eastAsia" w:ascii="宋体" w:hAnsi="宋体" w:eastAsia="宋体" w:cs="宋体"/>
          <w:color w:val="auto"/>
          <w:sz w:val="28"/>
          <w:szCs w:val="28"/>
          <w:highlight w:val="none"/>
          <w:u w:val="dotted"/>
        </w:rPr>
        <w:t xml:space="preserve">                                          </w:t>
      </w:r>
    </w:p>
    <w:p>
      <w:pPr>
        <w:spacing w:line="360" w:lineRule="auto"/>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 xml:space="preserve"> </w:t>
      </w:r>
    </w:p>
    <w:p>
      <w:pPr>
        <w:spacing w:line="360" w:lineRule="auto"/>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地址： </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p>
    <w:p>
      <w:pPr>
        <w:spacing w:line="360" w:lineRule="auto"/>
        <w:rPr>
          <w:rFonts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二、质疑项目基本情况</w:t>
      </w:r>
    </w:p>
    <w:p>
      <w:pPr>
        <w:spacing w:line="360" w:lineRule="auto"/>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质疑项目的名称：</w:t>
      </w:r>
      <w:r>
        <w:rPr>
          <w:rFonts w:hint="eastAsia" w:ascii="宋体" w:hAnsi="宋体" w:eastAsia="宋体" w:cs="宋体"/>
          <w:color w:val="auto"/>
          <w:sz w:val="28"/>
          <w:szCs w:val="28"/>
          <w:highlight w:val="none"/>
          <w:u w:val="dotted"/>
        </w:rPr>
        <w:t xml:space="preserve">                                      </w:t>
      </w:r>
    </w:p>
    <w:p>
      <w:pPr>
        <w:spacing w:line="360" w:lineRule="auto"/>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质疑项目的编号：</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包号：</w:t>
      </w:r>
      <w:r>
        <w:rPr>
          <w:rFonts w:hint="eastAsia" w:ascii="宋体" w:hAnsi="宋体" w:eastAsia="宋体" w:cs="宋体"/>
          <w:color w:val="auto"/>
          <w:sz w:val="28"/>
          <w:szCs w:val="28"/>
          <w:highlight w:val="none"/>
          <w:u w:val="dotted"/>
        </w:rPr>
        <w:t xml:space="preserve">                 </w:t>
      </w:r>
    </w:p>
    <w:p>
      <w:pPr>
        <w:spacing w:line="360" w:lineRule="auto"/>
        <w:rPr>
          <w:rFonts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采购人名称：</w:t>
      </w:r>
      <w:r>
        <w:rPr>
          <w:rFonts w:hint="eastAsia" w:ascii="宋体" w:hAnsi="宋体" w:eastAsia="宋体" w:cs="宋体"/>
          <w:color w:val="auto"/>
          <w:sz w:val="28"/>
          <w:szCs w:val="28"/>
          <w:highlight w:val="none"/>
          <w:u w:val="dotted"/>
        </w:rPr>
        <w:t xml:space="preserve">                                         </w:t>
      </w:r>
    </w:p>
    <w:p>
      <w:pPr>
        <w:spacing w:line="360" w:lineRule="auto"/>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采购文件获取日期：</w:t>
      </w:r>
      <w:r>
        <w:rPr>
          <w:rFonts w:hint="eastAsia" w:ascii="宋体" w:hAnsi="宋体" w:eastAsia="宋体" w:cs="宋体"/>
          <w:color w:val="auto"/>
          <w:sz w:val="28"/>
          <w:szCs w:val="28"/>
          <w:highlight w:val="none"/>
          <w:u w:val="dotted"/>
        </w:rPr>
        <w:t xml:space="preserve">                                           </w:t>
      </w:r>
    </w:p>
    <w:p>
      <w:pPr>
        <w:spacing w:line="360" w:lineRule="auto"/>
        <w:rPr>
          <w:rFonts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三、质疑事项具体内容</w:t>
      </w:r>
    </w:p>
    <w:p>
      <w:pPr>
        <w:spacing w:line="360" w:lineRule="auto"/>
        <w:rPr>
          <w:rFonts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质疑事项1：</w:t>
      </w:r>
      <w:r>
        <w:rPr>
          <w:rFonts w:hint="eastAsia" w:ascii="宋体" w:hAnsi="宋体" w:eastAsia="宋体" w:cs="宋体"/>
          <w:color w:val="auto"/>
          <w:sz w:val="28"/>
          <w:szCs w:val="28"/>
          <w:highlight w:val="none"/>
          <w:u w:val="dotted"/>
        </w:rPr>
        <w:t xml:space="preserve">                                         </w:t>
      </w:r>
    </w:p>
    <w:p>
      <w:pPr>
        <w:spacing w:line="360" w:lineRule="auto"/>
        <w:rPr>
          <w:rFonts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事实依据：</w:t>
      </w:r>
      <w:r>
        <w:rPr>
          <w:rFonts w:hint="eastAsia" w:ascii="宋体" w:hAnsi="宋体" w:eastAsia="宋体" w:cs="宋体"/>
          <w:color w:val="auto"/>
          <w:sz w:val="28"/>
          <w:szCs w:val="28"/>
          <w:highlight w:val="none"/>
          <w:u w:val="dotted"/>
        </w:rPr>
        <w:t xml:space="preserve">                                          </w:t>
      </w:r>
    </w:p>
    <w:p>
      <w:pPr>
        <w:spacing w:line="360" w:lineRule="auto"/>
        <w:rPr>
          <w:rFonts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法律依据：</w:t>
      </w:r>
      <w:r>
        <w:rPr>
          <w:rFonts w:hint="eastAsia" w:ascii="宋体" w:hAnsi="宋体" w:eastAsia="宋体" w:cs="宋体"/>
          <w:color w:val="auto"/>
          <w:sz w:val="28"/>
          <w:szCs w:val="28"/>
          <w:highlight w:val="none"/>
          <w:u w:val="dotted"/>
        </w:rPr>
        <w:t xml:space="preserve">                                          </w:t>
      </w:r>
    </w:p>
    <w:p>
      <w:pPr>
        <w:spacing w:line="360" w:lineRule="auto"/>
        <w:rPr>
          <w:rFonts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u w:val="dotted"/>
        </w:rPr>
        <w:t xml:space="preserve">                                                     </w:t>
      </w:r>
    </w:p>
    <w:p>
      <w:pPr>
        <w:spacing w:line="360" w:lineRule="auto"/>
        <w:rPr>
          <w:rFonts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质疑事项2</w:t>
      </w:r>
    </w:p>
    <w:p>
      <w:pPr>
        <w:spacing w:line="360" w:lineRule="auto"/>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w:t>
      </w:r>
    </w:p>
    <w:p>
      <w:pPr>
        <w:spacing w:line="360" w:lineRule="auto"/>
        <w:rPr>
          <w:rFonts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四、与质疑事项相关的质疑请求</w:t>
      </w:r>
    </w:p>
    <w:p>
      <w:pPr>
        <w:spacing w:line="360" w:lineRule="auto"/>
        <w:rPr>
          <w:rFonts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请求：</w:t>
      </w:r>
      <w:r>
        <w:rPr>
          <w:rFonts w:hint="eastAsia" w:ascii="宋体" w:hAnsi="宋体" w:eastAsia="宋体" w:cs="宋体"/>
          <w:color w:val="auto"/>
          <w:sz w:val="28"/>
          <w:szCs w:val="28"/>
          <w:highlight w:val="none"/>
          <w:u w:val="dotted"/>
        </w:rPr>
        <w:t xml:space="preserve">                                               </w:t>
      </w:r>
    </w:p>
    <w:p>
      <w:pP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签字(签章)：                   公章：                      </w:t>
      </w:r>
    </w:p>
    <w:p>
      <w:pP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日期：    </w:t>
      </w:r>
    </w:p>
    <w:p>
      <w:pPr>
        <w:rPr>
          <w:rFonts w:ascii="宋体" w:hAnsi="宋体" w:eastAsia="宋体" w:cs="宋体"/>
          <w:b/>
          <w:color w:val="auto"/>
          <w:sz w:val="28"/>
          <w:szCs w:val="28"/>
          <w:highlight w:val="none"/>
        </w:rPr>
      </w:pPr>
    </w:p>
    <w:p>
      <w:pPr>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质疑函制作说明：</w:t>
      </w:r>
    </w:p>
    <w:p>
      <w:pPr>
        <w:ind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1.供应商提出质疑时，应提交质疑函和必要的证明材料。</w:t>
      </w:r>
    </w:p>
    <w:p>
      <w:pPr>
        <w:ind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3.质疑供应商若对项目的某一分包进行质疑，质疑函中应列明具体分包号。</w:t>
      </w:r>
    </w:p>
    <w:p>
      <w:pPr>
        <w:ind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4.质疑函的质疑事项应具体、明确，并有必要的事实依据和法律依据。</w:t>
      </w:r>
    </w:p>
    <w:p>
      <w:pPr>
        <w:ind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5.质疑函的质疑请求应与质疑事项相关。</w:t>
      </w:r>
    </w:p>
    <w:p>
      <w:pPr>
        <w:ind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6.质疑供应商为自然人的，质疑函应由本人签字；质疑供应商为法人或者其他组织的，质疑函应由法定代表人、主要负责人，或者其授权代表签字或者盖章，并加盖公章。</w:t>
      </w:r>
    </w:p>
    <w:p>
      <w:pPr>
        <w:spacing w:line="380" w:lineRule="exact"/>
        <w:rPr>
          <w:rFonts w:ascii="宋体" w:hAnsi="宋体" w:eastAsia="宋体" w:cs="宋体"/>
          <w:b/>
          <w:color w:val="auto"/>
          <w:sz w:val="32"/>
          <w:szCs w:val="32"/>
          <w:highlight w:val="none"/>
        </w:rPr>
      </w:pPr>
    </w:p>
    <w:p>
      <w:pPr>
        <w:spacing w:line="380" w:lineRule="exact"/>
        <w:ind w:firstLine="826" w:firstLineChars="257"/>
        <w:rPr>
          <w:rFonts w:ascii="宋体" w:hAnsi="宋体" w:eastAsia="宋体" w:cs="宋体"/>
          <w:b/>
          <w:color w:val="auto"/>
          <w:sz w:val="32"/>
          <w:szCs w:val="32"/>
          <w:highlight w:val="none"/>
        </w:rPr>
      </w:pPr>
    </w:p>
    <w:p>
      <w:pPr>
        <w:rPr>
          <w:color w:val="auto"/>
          <w:highlight w:val="none"/>
        </w:rPr>
      </w:pPr>
    </w:p>
    <w:p>
      <w:pP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outlineLvl w:val="0"/>
        <w:rPr>
          <w:rFonts w:ascii="宋体" w:hAnsi="宋体" w:eastAsia="宋体" w:cs="宋体"/>
          <w:color w:val="auto"/>
          <w:sz w:val="28"/>
          <w:szCs w:val="28"/>
          <w:highlight w:val="none"/>
        </w:rPr>
      </w:pPr>
      <w:bookmarkStart w:id="3718" w:name="_Toc373"/>
      <w:bookmarkStart w:id="3719" w:name="_Toc26760"/>
      <w:r>
        <w:rPr>
          <w:rFonts w:hint="eastAsia" w:ascii="宋体" w:hAnsi="宋体" w:eastAsia="宋体" w:cs="宋体"/>
          <w:color w:val="auto"/>
          <w:sz w:val="28"/>
          <w:szCs w:val="28"/>
          <w:highlight w:val="none"/>
        </w:rPr>
        <w:t>附件：广西线上“政采贷”政策告知函</w:t>
      </w:r>
      <w:bookmarkEnd w:id="3718"/>
      <w:bookmarkEnd w:id="3719"/>
    </w:p>
    <w:p>
      <w:pPr>
        <w:ind w:firstLine="560" w:firstLineChars="200"/>
        <w:rPr>
          <w:rFonts w:ascii="宋体" w:hAnsi="宋体" w:eastAsia="宋体" w:cs="宋体"/>
          <w:color w:val="auto"/>
          <w:sz w:val="28"/>
          <w:szCs w:val="28"/>
          <w:highlight w:val="none"/>
        </w:rPr>
      </w:pPr>
    </w:p>
    <w:p>
      <w:pPr>
        <w:ind w:firstLine="562" w:firstLineChars="200"/>
        <w:jc w:val="center"/>
        <w:outlineLvl w:val="0"/>
        <w:rPr>
          <w:rFonts w:ascii="宋体" w:hAnsi="宋体" w:eastAsia="宋体" w:cs="宋体"/>
          <w:b/>
          <w:bCs/>
          <w:color w:val="auto"/>
          <w:sz w:val="28"/>
          <w:szCs w:val="28"/>
          <w:highlight w:val="none"/>
        </w:rPr>
      </w:pPr>
      <w:bookmarkStart w:id="3720" w:name="_Toc111"/>
      <w:bookmarkStart w:id="3721" w:name="_Toc2158"/>
      <w:r>
        <w:rPr>
          <w:rFonts w:hint="eastAsia" w:ascii="宋体" w:hAnsi="宋体" w:eastAsia="宋体" w:cs="宋体"/>
          <w:b/>
          <w:bCs/>
          <w:color w:val="auto"/>
          <w:sz w:val="28"/>
          <w:szCs w:val="28"/>
          <w:highlight w:val="none"/>
        </w:rPr>
        <w:t>广西线上“政采贷”政策告知函</w:t>
      </w:r>
      <w:bookmarkEnd w:id="3720"/>
      <w:bookmarkEnd w:id="3721"/>
    </w:p>
    <w:p>
      <w:pPr>
        <w:spacing w:line="360" w:lineRule="auto"/>
        <w:ind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各供应商：</w:t>
      </w:r>
    </w:p>
    <w:p>
      <w:pPr>
        <w:spacing w:line="360" w:lineRule="auto"/>
        <w:ind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欢迎贵公司参与政府采购活动！</w:t>
      </w:r>
    </w:p>
    <w:p>
      <w:pPr>
        <w:spacing w:line="360" w:lineRule="auto"/>
        <w:ind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线上“政采贷”是人民银行南宁中心支行和自治区财政厅共同支持企业发展，针对参与政府采购活动的企业融资难、融资贵、融资慢、融资繁问题推出的一项融资政策。贵公司若成为本次政府采购项目的中标（成交）供应商，可持政府采购合同在线向银行金融机构申请贷款，融资机构将根据《中国人民银行南宁中心支行 广西壮族自治区财政厅关于推广线上“政采贷”融资模式的通知》（南宁银发[2021]258号），按照双方自愿的原则提供便捷、优惠的贷款服务。</w:t>
      </w:r>
    </w:p>
    <w:p>
      <w:pPr>
        <w:spacing w:line="360" w:lineRule="auto"/>
        <w:ind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相关金融产品和银行金融机构联系方式，可在中征应收账款融资服务平台查询（网址：https://www.crcrfsp.com/，客服电话：400-009-0001）。</w:t>
      </w:r>
    </w:p>
    <w:p>
      <w:pPr>
        <w:pStyle w:val="35"/>
        <w:rPr>
          <w:rFonts w:ascii="宋体" w:hAnsi="宋体" w:eastAsia="宋体"/>
          <w:color w:val="auto"/>
          <w:highlight w:val="none"/>
        </w:rPr>
      </w:pPr>
    </w:p>
    <w:p>
      <w:pPr>
        <w:rPr>
          <w:color w:val="auto"/>
          <w:highlight w:val="none"/>
        </w:rPr>
      </w:pPr>
    </w:p>
    <w:sectPr>
      <w:footerReference r:id="rId34" w:type="default"/>
      <w:pgSz w:w="11906" w:h="16838"/>
      <w:pgMar w:top="1803" w:right="1440" w:bottom="180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996"/>
      <w:rPr>
        <w:rFonts w:ascii="Times New Roman" w:hAnsi="Times New Roman" w:eastAsia="Times New Roman" w:cs="Times New Roman"/>
        <w:sz w:val="18"/>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254"/>
      <w:rPr>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124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124</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9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139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EhH8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qEhH8tAgAAVw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139</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1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140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iTWU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NiTWUtAgAAVw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140</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6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141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vHiU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svHiUtAgAAVw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141</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3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142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0uKUt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u0uKUtAgAAVw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142</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4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E1eNA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sTV40CwCAABX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146</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3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148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qPGc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pSo8ZywCAABX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148</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3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xmuc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OrK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PWxmuctAgAAVw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152</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3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153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38yactAgAAV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38yactAgAAVw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153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99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3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155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zM9X0tAgAAVwQAAA4AAABkcnMvZTJvRG9jLnhtbK1UzY7TMBC+I/EO&#10;lu80aVcs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LzM9X0tAgAAVw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155</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3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156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ZNNQg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n31dpwuXDwAlxo5IonusdEK7a7tme1M&#10;cQIxZ7re8JZvaiTfMh/umUMz4MEYl3CHpZQGSUxvUVIZ9/Vf5zEeNYKXkgbNlVONWaJEftCoHQDD&#10;YLjB2A2GPqhbg26dYAwtTyYuuCAHs3RGfcEMrWIOuJjmyJTTMJi3oWtwzCAXq1UKQrdZFrb6wfII&#10;HcXzdnUIEDDpGkXplOi1Qr+lyvSzERv6z32KevofL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ZNNQgtAgAAVw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156</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6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160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4AZkgtAgAAVwQAAA4AAABkcnMvZTJvRG9jLnhtbK1UzY7TMBC+I/EO&#10;lu80aVes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4AZkgtAgAAVw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160</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1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162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NLTQM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BJJopVPz04/vp&#10;58Pp1zeCMwjUWj9D3L1FZOjemQ5tM5x7HEbeXeVU/IIRgR9Yx4u8oguEx0vTyXSaw8XhGzbAzx6v&#10;W+fDe2EUiUZBHeqXZGWHjQ996BASs2mzbqRMNZSatAW9ev02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0tNAywCAABX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162</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3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164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QaAL0tAgAAVwQAAA4AAABkcnMvZTJvRG9jLnhtbK1UzY7TMBC+I/EO&#10;lu80aRd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pkQzhYqfvn87&#10;/fh1+vmV4AwCtdbPEPdgERm6t6ZD2wznHoeRd1c5Fb9gROCHvMeLvKILhMdL08l0msPF4Rs2wM8e&#10;r1vnwzthFIlGQR3ql2Rlh40PfegQErNps26kTDWUmrQFvb56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QaAL0tAgAAVw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164</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61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165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OxXU/0tAgAAVw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165</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167</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167</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3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168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Q64M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Z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PQ64MtAgAAVw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168</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4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170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duMMtAgAAVwQAAA4AAABkcnMvZTJvRG9jLnhtbK1UzY7TMBC+I/EO&#10;lu80aRd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okQzhYqfvn87&#10;/fh1+vmV4AwCtdbPEPdgERm6t6ZD2wznHoeRd1c5Fb9gROCHvMeLvKILhMdL08l0msPF4Rs2wM8e&#10;r1vnwzthFIlGQR3ql2Rlh40PfegQErNps26kTDWUmrQFvb56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uduMMtAgAAVw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170</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8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173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J7cdktAgAAV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GJ7cdktAgAAVw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173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93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8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176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o2IpktAgAAV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o2IpktAgAAVwQAAA4AAAAAAAAAAQAgAAAAHw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176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9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254"/>
      <w:rPr>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rPr>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254"/>
      <w:rPr>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254"/>
      <w:rPr>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91009F"/>
    <w:multiLevelType w:val="singleLevel"/>
    <w:tmpl w:val="2491009F"/>
    <w:lvl w:ilvl="0" w:tentative="0">
      <w:start w:val="1"/>
      <w:numFmt w:val="decimal"/>
      <w:suff w:val="nothing"/>
      <w:lvlText w:val="%1、"/>
      <w:lvlJc w:val="left"/>
    </w:lvl>
  </w:abstractNum>
  <w:abstractNum w:abstractNumId="1">
    <w:nsid w:val="337DBAEF"/>
    <w:multiLevelType w:val="singleLevel"/>
    <w:tmpl w:val="337DBAEF"/>
    <w:lvl w:ilvl="0" w:tentative="0">
      <w:start w:val="1"/>
      <w:numFmt w:val="chineseCounting"/>
      <w:suff w:val="nothing"/>
      <w:lvlText w:val="%1、"/>
      <w:lvlJc w:val="left"/>
      <w:rPr>
        <w:rFonts w:hint="eastAsia"/>
      </w:rPr>
    </w:lvl>
  </w:abstractNum>
  <w:abstractNum w:abstractNumId="2">
    <w:nsid w:val="5B9D5306"/>
    <w:multiLevelType w:val="singleLevel"/>
    <w:tmpl w:val="5B9D5306"/>
    <w:lvl w:ilvl="0" w:tentative="0">
      <w:start w:val="4"/>
      <w:numFmt w:val="decimal"/>
      <w:suff w:val="nothing"/>
      <w:lvlText w:val="（%1）"/>
      <w:lvlJc w:val="left"/>
    </w:lvl>
  </w:abstractNum>
  <w:abstractNum w:abstractNumId="3">
    <w:nsid w:val="5B9D5307"/>
    <w:multiLevelType w:val="singleLevel"/>
    <w:tmpl w:val="5B9D5307"/>
    <w:lvl w:ilvl="0" w:tentative="0">
      <w:start w:val="2"/>
      <w:numFmt w:val="decimal"/>
      <w:suff w:val="nothing"/>
      <w:lvlText w:val="（%1）"/>
      <w:lvlJc w:val="left"/>
    </w:lvl>
  </w:abstractNum>
  <w:abstractNum w:abstractNumId="4">
    <w:nsid w:val="5B9D5308"/>
    <w:multiLevelType w:val="singleLevel"/>
    <w:tmpl w:val="5B9D5308"/>
    <w:lvl w:ilvl="0" w:tentative="0">
      <w:start w:val="8"/>
      <w:numFmt w:val="decimal"/>
      <w:suff w:val="space"/>
      <w:lvlText w:val="%1."/>
      <w:lvlJc w:val="left"/>
    </w:lvl>
  </w:abstractNum>
  <w:abstractNum w:abstractNumId="5">
    <w:nsid w:val="5B9D5309"/>
    <w:multiLevelType w:val="singleLevel"/>
    <w:tmpl w:val="5B9D5309"/>
    <w:lvl w:ilvl="0" w:tentative="0">
      <w:start w:val="6"/>
      <w:numFmt w:val="chineseCounting"/>
      <w:suff w:val="nothing"/>
      <w:lvlText w:val="%1、"/>
      <w:lvlJc w:val="left"/>
      <w:rPr>
        <w:rFonts w:hint="eastAsia"/>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ThiNDRlMWMyZWU5OGRjYmFjZmQ0YTE4Yjk5ZDA0NWQifQ=="/>
  </w:docVars>
  <w:rsids>
    <w:rsidRoot w:val="00546E8B"/>
    <w:rsid w:val="00517009"/>
    <w:rsid w:val="00546E8B"/>
    <w:rsid w:val="00871134"/>
    <w:rsid w:val="0089602A"/>
    <w:rsid w:val="00D96382"/>
    <w:rsid w:val="00F00B98"/>
    <w:rsid w:val="01B05289"/>
    <w:rsid w:val="027C3382"/>
    <w:rsid w:val="02814DBA"/>
    <w:rsid w:val="03600D18"/>
    <w:rsid w:val="03C54F4B"/>
    <w:rsid w:val="076C61A0"/>
    <w:rsid w:val="0A03621B"/>
    <w:rsid w:val="0C837A6D"/>
    <w:rsid w:val="0D8B6727"/>
    <w:rsid w:val="11170296"/>
    <w:rsid w:val="11F40D07"/>
    <w:rsid w:val="13213C9C"/>
    <w:rsid w:val="137F36AD"/>
    <w:rsid w:val="17D82A95"/>
    <w:rsid w:val="180B17EE"/>
    <w:rsid w:val="1867206B"/>
    <w:rsid w:val="18F07B8B"/>
    <w:rsid w:val="19214BD4"/>
    <w:rsid w:val="1AAC3A4A"/>
    <w:rsid w:val="1CF62BB8"/>
    <w:rsid w:val="1D6E6490"/>
    <w:rsid w:val="1EF5217E"/>
    <w:rsid w:val="207B66B3"/>
    <w:rsid w:val="286B525F"/>
    <w:rsid w:val="295F1EB7"/>
    <w:rsid w:val="298B40AE"/>
    <w:rsid w:val="29CF52A6"/>
    <w:rsid w:val="2A0C4820"/>
    <w:rsid w:val="2D47282D"/>
    <w:rsid w:val="30297EDA"/>
    <w:rsid w:val="36534252"/>
    <w:rsid w:val="38A169E7"/>
    <w:rsid w:val="397D083C"/>
    <w:rsid w:val="3BC44F5A"/>
    <w:rsid w:val="3CC44151"/>
    <w:rsid w:val="3D4C19EE"/>
    <w:rsid w:val="3DB01C3A"/>
    <w:rsid w:val="3E216694"/>
    <w:rsid w:val="3E2F0602"/>
    <w:rsid w:val="42724E1E"/>
    <w:rsid w:val="429C0645"/>
    <w:rsid w:val="42F038C8"/>
    <w:rsid w:val="43AD7A66"/>
    <w:rsid w:val="46E63B0D"/>
    <w:rsid w:val="494D2A33"/>
    <w:rsid w:val="4A116313"/>
    <w:rsid w:val="4AE95EA8"/>
    <w:rsid w:val="4B89601B"/>
    <w:rsid w:val="4BFA22D2"/>
    <w:rsid w:val="4D2F4CAD"/>
    <w:rsid w:val="4DA46784"/>
    <w:rsid w:val="503D2218"/>
    <w:rsid w:val="53567F00"/>
    <w:rsid w:val="53740BBC"/>
    <w:rsid w:val="54236053"/>
    <w:rsid w:val="57430FD1"/>
    <w:rsid w:val="581931CF"/>
    <w:rsid w:val="585C2981"/>
    <w:rsid w:val="5B9E05D7"/>
    <w:rsid w:val="5EFF6126"/>
    <w:rsid w:val="5FCD3B2E"/>
    <w:rsid w:val="5FEA54BF"/>
    <w:rsid w:val="603E338A"/>
    <w:rsid w:val="6089042B"/>
    <w:rsid w:val="60ED35FB"/>
    <w:rsid w:val="63402869"/>
    <w:rsid w:val="635A22A1"/>
    <w:rsid w:val="65F938CF"/>
    <w:rsid w:val="66F77775"/>
    <w:rsid w:val="6828049B"/>
    <w:rsid w:val="6CF40DC4"/>
    <w:rsid w:val="6F0F62F9"/>
    <w:rsid w:val="707662E3"/>
    <w:rsid w:val="7098623C"/>
    <w:rsid w:val="71114C52"/>
    <w:rsid w:val="71CD6190"/>
    <w:rsid w:val="724D7F70"/>
    <w:rsid w:val="73F90F3E"/>
    <w:rsid w:val="76AA5D47"/>
    <w:rsid w:val="77DB67F6"/>
    <w:rsid w:val="78EF56B2"/>
    <w:rsid w:val="7A8111B2"/>
    <w:rsid w:val="7ADD77A8"/>
    <w:rsid w:val="7DAA3C87"/>
    <w:rsid w:val="7EAA7A04"/>
    <w:rsid w:val="7FEB5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3"/>
    <w:basedOn w:val="1"/>
    <w:next w:val="1"/>
    <w:qFormat/>
    <w:uiPriority w:val="99"/>
    <w:pPr>
      <w:keepNext/>
      <w:keepLines/>
      <w:spacing w:line="360" w:lineRule="auto"/>
      <w:outlineLvl w:val="2"/>
    </w:pPr>
    <w:rPr>
      <w:b/>
      <w:bCs/>
      <w:sz w:val="24"/>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5">
    <w:name w:val="Normal Indent"/>
    <w:basedOn w:val="1"/>
    <w:next w:val="1"/>
    <w:qFormat/>
    <w:uiPriority w:val="0"/>
    <w:pPr>
      <w:ind w:firstLine="420"/>
    </w:pPr>
    <w:rPr>
      <w:sz w:val="20"/>
    </w:rPr>
  </w:style>
  <w:style w:type="paragraph" w:styleId="6">
    <w:name w:val="annotation text"/>
    <w:basedOn w:val="1"/>
    <w:qFormat/>
    <w:uiPriority w:val="0"/>
  </w:style>
  <w:style w:type="paragraph" w:styleId="7">
    <w:name w:val="Body Text"/>
    <w:basedOn w:val="1"/>
    <w:next w:val="1"/>
    <w:qFormat/>
    <w:uiPriority w:val="0"/>
    <w:pPr>
      <w:jc w:val="center"/>
    </w:pPr>
  </w:style>
  <w:style w:type="paragraph" w:styleId="8">
    <w:name w:val="Plain Text"/>
    <w:basedOn w:val="1"/>
    <w:next w:val="1"/>
    <w:qFormat/>
    <w:uiPriority w:val="0"/>
    <w:rPr>
      <w:rFonts w:ascii="宋体" w:hAnsi="Courier New"/>
      <w:szCs w:val="20"/>
    </w:rPr>
  </w:style>
  <w:style w:type="paragraph" w:styleId="9">
    <w:name w:val="footer"/>
    <w:basedOn w:val="1"/>
    <w:qFormat/>
    <w:uiPriority w:val="0"/>
    <w:pPr>
      <w:tabs>
        <w:tab w:val="center" w:pos="4153"/>
        <w:tab w:val="right" w:pos="8306"/>
      </w:tabs>
    </w:pPr>
    <w:rPr>
      <w:sz w:val="18"/>
    </w:rPr>
  </w:style>
  <w:style w:type="paragraph" w:styleId="10">
    <w:name w:val="toc 1"/>
    <w:basedOn w:val="1"/>
    <w:next w:val="1"/>
    <w:qFormat/>
    <w:uiPriority w:val="0"/>
  </w:style>
  <w:style w:type="paragraph" w:styleId="11">
    <w:name w:val="Body Text First Indent"/>
    <w:basedOn w:val="7"/>
    <w:qFormat/>
    <w:uiPriority w:val="0"/>
    <w:pPr>
      <w:ind w:firstLine="420" w:firstLineChars="100"/>
    </w:pPr>
  </w:style>
  <w:style w:type="paragraph" w:styleId="12">
    <w:name w:val="Body Text First Indent 2"/>
    <w:basedOn w:val="1"/>
    <w:next w:val="11"/>
    <w:unhideWhenUsed/>
    <w:qFormat/>
    <w:uiPriority w:val="99"/>
    <w:pPr>
      <w:ind w:firstLine="420" w:firstLineChars="200"/>
    </w:pPr>
  </w:style>
  <w:style w:type="character" w:styleId="15">
    <w:name w:val="Hyperlink"/>
    <w:basedOn w:val="14"/>
    <w:qFormat/>
    <w:uiPriority w:val="99"/>
    <w:rPr>
      <w:color w:val="0000FF"/>
      <w:u w:val="single"/>
    </w:rPr>
  </w:style>
  <w:style w:type="table" w:customStyle="1" w:styleId="16">
    <w:name w:val="Table Normal"/>
    <w:semiHidden/>
    <w:unhideWhenUsed/>
    <w:qFormat/>
    <w:uiPriority w:val="0"/>
    <w:tblPr>
      <w:tblCellMar>
        <w:top w:w="0" w:type="dxa"/>
        <w:left w:w="0" w:type="dxa"/>
        <w:bottom w:w="0" w:type="dxa"/>
        <w:right w:w="0" w:type="dxa"/>
      </w:tblCellMar>
    </w:tblPr>
  </w:style>
  <w:style w:type="paragraph" w:customStyle="1" w:styleId="17">
    <w:name w:val="首行缩进"/>
    <w:basedOn w:val="1"/>
    <w:qFormat/>
    <w:uiPriority w:val="0"/>
    <w:pPr>
      <w:ind w:firstLine="480" w:firstLineChars="200"/>
    </w:pPr>
  </w:style>
  <w:style w:type="paragraph" w:customStyle="1" w:styleId="18">
    <w:name w:val="Default"/>
    <w:next w:val="19"/>
    <w:qFormat/>
    <w:uiPriority w:val="0"/>
    <w:pPr>
      <w:widowControl w:val="0"/>
      <w:autoSpaceDE w:val="0"/>
      <w:autoSpaceDN w:val="0"/>
      <w:adjustRightInd w:val="0"/>
      <w:spacing w:after="200" w:line="276" w:lineRule="auto"/>
    </w:pPr>
    <w:rPr>
      <w:rFonts w:ascii="等线" w:hAnsi="等线" w:eastAsia="等线" w:cs="Calibri"/>
      <w:color w:val="000000"/>
      <w:sz w:val="24"/>
      <w:szCs w:val="24"/>
      <w:lang w:val="en-US" w:eastAsia="zh-CN" w:bidi="ar-SA"/>
    </w:rPr>
  </w:style>
  <w:style w:type="paragraph" w:customStyle="1" w:styleId="19">
    <w:name w:val="正文文字 6"/>
    <w:next w:val="1"/>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customStyle="1" w:styleId="20">
    <w:name w:val="正文_1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21">
    <w:name w:val="正文小标题_0"/>
    <w:basedOn w:val="22"/>
    <w:qFormat/>
    <w:uiPriority w:val="0"/>
    <w:pPr>
      <w:spacing w:line="420" w:lineRule="exact"/>
    </w:pPr>
    <w:rPr>
      <w:rFonts w:hAnsi="宋体" w:eastAsia="宋体"/>
      <w:sz w:val="21"/>
      <w:szCs w:val="21"/>
    </w:rPr>
  </w:style>
  <w:style w:type="paragraph" w:customStyle="1" w:styleId="22">
    <w:name w:val="标题 1_0"/>
    <w:basedOn w:val="23"/>
    <w:next w:val="23"/>
    <w:qFormat/>
    <w:uiPriority w:val="99"/>
    <w:pPr>
      <w:keepNext/>
      <w:keepLines/>
      <w:spacing w:line="360" w:lineRule="auto"/>
      <w:outlineLvl w:val="0"/>
    </w:pPr>
    <w:rPr>
      <w:rFonts w:eastAsia="黑体"/>
      <w:b/>
      <w:bCs/>
      <w:kern w:val="44"/>
      <w:sz w:val="32"/>
      <w:szCs w:val="44"/>
    </w:rPr>
  </w:style>
  <w:style w:type="paragraph" w:customStyle="1" w:styleId="23">
    <w:name w:val="正文_0"/>
    <w:next w:val="2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4">
    <w:name w:val="正文文本_0"/>
    <w:basedOn w:val="23"/>
    <w:unhideWhenUsed/>
    <w:qFormat/>
    <w:uiPriority w:val="99"/>
    <w:pPr>
      <w:adjustRightInd w:val="0"/>
      <w:spacing w:after="60" w:line="360" w:lineRule="atLeast"/>
      <w:ind w:left="72" w:leftChars="30" w:right="30" w:rightChars="30"/>
      <w:jc w:val="center"/>
    </w:pPr>
    <w:rPr>
      <w:rFonts w:ascii="Calibri" w:hAnsi="Calibri"/>
      <w:kern w:val="0"/>
      <w:sz w:val="20"/>
      <w:szCs w:val="20"/>
      <w:lang w:val="zh-CN"/>
    </w:rPr>
  </w:style>
  <w:style w:type="paragraph" w:customStyle="1" w:styleId="25">
    <w:name w:val="正文呀2_0"/>
    <w:basedOn w:val="26"/>
    <w:qFormat/>
    <w:uiPriority w:val="0"/>
    <w:rPr>
      <w:rFonts w:ascii="Times New Roman" w:hAnsi="Times New Roman"/>
    </w:rPr>
  </w:style>
  <w:style w:type="paragraph" w:customStyle="1" w:styleId="26">
    <w:name w:val="正文呀_0"/>
    <w:basedOn w:val="27"/>
    <w:qFormat/>
    <w:uiPriority w:val="0"/>
    <w:pPr>
      <w:spacing w:line="420" w:lineRule="exact"/>
      <w:ind w:firstLine="420" w:firstLineChars="200"/>
    </w:pPr>
    <w:rPr>
      <w:rFonts w:ascii="宋体" w:hAnsi="宋体"/>
      <w:szCs w:val="21"/>
    </w:rPr>
  </w:style>
  <w:style w:type="paragraph" w:customStyle="1" w:styleId="27">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正文呀2_1"/>
    <w:basedOn w:val="29"/>
    <w:qFormat/>
    <w:uiPriority w:val="0"/>
    <w:rPr>
      <w:rFonts w:ascii="Times New Roman" w:hAnsi="Times New Roman"/>
      <w:kern w:val="2"/>
      <w:sz w:val="21"/>
      <w:lang w:val="en-US"/>
    </w:rPr>
  </w:style>
  <w:style w:type="paragraph" w:customStyle="1" w:styleId="29">
    <w:name w:val="正文呀_1"/>
    <w:basedOn w:val="23"/>
    <w:qFormat/>
    <w:uiPriority w:val="0"/>
    <w:pPr>
      <w:spacing w:line="420" w:lineRule="exact"/>
      <w:ind w:firstLine="420" w:firstLineChars="200"/>
    </w:pPr>
    <w:rPr>
      <w:rFonts w:ascii="宋体" w:hAnsi="宋体"/>
      <w:kern w:val="0"/>
      <w:sz w:val="20"/>
      <w:szCs w:val="21"/>
      <w:lang w:val="zh-CN"/>
    </w:rPr>
  </w:style>
  <w:style w:type="paragraph" w:customStyle="1" w:styleId="30">
    <w:name w:val="纯文本_0"/>
    <w:basedOn w:val="23"/>
    <w:unhideWhenUsed/>
    <w:qFormat/>
    <w:uiPriority w:val="0"/>
    <w:rPr>
      <w:rFonts w:ascii="宋体" w:hAnsi="Courier New"/>
      <w:szCs w:val="24"/>
    </w:rPr>
  </w:style>
  <w:style w:type="paragraph" w:customStyle="1" w:styleId="31">
    <w:name w:val="正文呀2"/>
    <w:basedOn w:val="32"/>
    <w:qFormat/>
    <w:uiPriority w:val="0"/>
    <w:rPr>
      <w:rFonts w:eastAsia="宋体"/>
    </w:rPr>
  </w:style>
  <w:style w:type="paragraph" w:customStyle="1" w:styleId="32">
    <w:name w:val="正文呀"/>
    <w:basedOn w:val="1"/>
    <w:qFormat/>
    <w:uiPriority w:val="0"/>
    <w:pPr>
      <w:spacing w:after="200" w:line="420" w:lineRule="exact"/>
      <w:ind w:firstLine="420" w:firstLineChars="200"/>
    </w:pPr>
    <w:rPr>
      <w:rFonts w:ascii="宋体" w:hAnsi="宋体" w:eastAsia="等线"/>
    </w:rPr>
  </w:style>
  <w:style w:type="paragraph" w:customStyle="1" w:styleId="33">
    <w:name w:val="无间隔_0"/>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5">
    <w:name w:val="p0"/>
    <w:basedOn w:val="1"/>
    <w:qFormat/>
    <w:uiPriority w:val="99"/>
    <w:rPr>
      <w:rFonts w:ascii="Calibri" w:hAnsi="Calibri" w:cs="宋体"/>
    </w:rPr>
  </w:style>
  <w:style w:type="paragraph" w:customStyle="1" w:styleId="36">
    <w:name w:val="_Style 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WPSOffice手动目录 1"/>
    <w:qFormat/>
    <w:uiPriority w:val="0"/>
    <w:rPr>
      <w:rFonts w:ascii="Arial" w:hAnsi="Arial" w:eastAsia="Arial" w:cs="Arial"/>
      <w:lang w:val="en-US" w:eastAsia="zh-CN" w:bidi="ar-SA"/>
    </w:rPr>
  </w:style>
  <w:style w:type="paragraph" w:customStyle="1" w:styleId="38">
    <w:name w:val="Body text|1"/>
    <w:basedOn w:val="1"/>
    <w:qFormat/>
    <w:uiPriority w:val="0"/>
    <w:pPr>
      <w:spacing w:line="360" w:lineRule="auto"/>
      <w:ind w:firstLine="400"/>
    </w:pPr>
    <w:rPr>
      <w:rFonts w:ascii="宋体" w:hAnsi="宋体" w:cs="宋体"/>
      <w:szCs w:val="20"/>
      <w:lang w:val="zh-CN" w:bidi="zh-CN"/>
    </w:rPr>
  </w:style>
  <w:style w:type="paragraph" w:customStyle="1" w:styleId="39">
    <w:name w:val="Table Paragraph"/>
    <w:basedOn w:val="1"/>
    <w:qFormat/>
    <w:uiPriority w:val="1"/>
    <w:rPr>
      <w:rFonts w:ascii="宋体" w:hAnsi="宋体" w:cs="宋体"/>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9" Type="http://schemas.openxmlformats.org/officeDocument/2006/relationships/fontTable" Target="fontTable.xml"/><Relationship Id="rId48" Type="http://schemas.openxmlformats.org/officeDocument/2006/relationships/numbering" Target="numbering.xml"/><Relationship Id="rId47" Type="http://schemas.openxmlformats.org/officeDocument/2006/relationships/customXml" Target="../customXml/item1.xml"/><Relationship Id="rId46" Type="http://schemas.openxmlformats.org/officeDocument/2006/relationships/image" Target="media/image6.wmf"/><Relationship Id="rId45" Type="http://schemas.openxmlformats.org/officeDocument/2006/relationships/oleObject" Target="embeddings/oleObject5.bin"/><Relationship Id="rId44" Type="http://schemas.openxmlformats.org/officeDocument/2006/relationships/image" Target="media/image5.wmf"/><Relationship Id="rId43" Type="http://schemas.openxmlformats.org/officeDocument/2006/relationships/oleObject" Target="embeddings/oleObject4.bin"/><Relationship Id="rId42" Type="http://schemas.openxmlformats.org/officeDocument/2006/relationships/image" Target="media/image4.wmf"/><Relationship Id="rId41" Type="http://schemas.openxmlformats.org/officeDocument/2006/relationships/oleObject" Target="embeddings/oleObject3.bin"/><Relationship Id="rId40" Type="http://schemas.openxmlformats.org/officeDocument/2006/relationships/image" Target="media/image3.wmf"/><Relationship Id="rId4" Type="http://schemas.openxmlformats.org/officeDocument/2006/relationships/footer" Target="footer1.xml"/><Relationship Id="rId39" Type="http://schemas.openxmlformats.org/officeDocument/2006/relationships/oleObject" Target="embeddings/oleObject2.bin"/><Relationship Id="rId38" Type="http://schemas.openxmlformats.org/officeDocument/2006/relationships/image" Target="media/image2.wmf"/><Relationship Id="rId37" Type="http://schemas.openxmlformats.org/officeDocument/2006/relationships/oleObject" Target="embeddings/oleObject1.bin"/><Relationship Id="rId36" Type="http://schemas.openxmlformats.org/officeDocument/2006/relationships/image" Target="media/image1.png"/><Relationship Id="rId35" Type="http://schemas.openxmlformats.org/officeDocument/2006/relationships/theme" Target="theme/theme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header" Target="header1.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header" Target="header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176</Pages>
  <Words>108347</Words>
  <Characters>114348</Characters>
  <Lines>921</Lines>
  <Paragraphs>259</Paragraphs>
  <TotalTime>32</TotalTime>
  <ScaleCrop>false</ScaleCrop>
  <LinksUpToDate>false</LinksUpToDate>
  <CharactersWithSpaces>123986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2022-09-09T09:14:00Z</dcterms:created>
  <dc:creator>周粥粥</dc:creator>
  <cp:lastModifiedBy>王小鸡</cp:lastModifiedBy>
  <dcterms:modified xsi:type="dcterms:W3CDTF">2023-08-11T08:27:30Z</dcterms:modified>
  <dc:title>广西德正建设项目管理有限责任公司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2023-02-06T17:54:13Z</vt:filetime>
  </property>
  <property fmtid="{D5CDD505-2E9C-101B-9397-08002B2CF9AE}" pid="4" name="KSOProductBuildVer">
    <vt:lpwstr>2052-11.1.0.14036</vt:lpwstr>
  </property>
  <property fmtid="{D5CDD505-2E9C-101B-9397-08002B2CF9AE}" pid="5" name="ICV">
    <vt:lpwstr>649D86A6DA71490BBF8D51713DC04EC4_13</vt:lpwstr>
  </property>
</Properties>
</file>