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auto"/>
          <w:spacing w:val="116"/>
          <w:sz w:val="52"/>
        </w:rPr>
      </w:pPr>
    </w:p>
    <w:p>
      <w:pPr>
        <w:jc w:val="center"/>
        <w:rPr>
          <w:rFonts w:ascii="宋体" w:hAnsi="宋体"/>
          <w:b/>
          <w:bCs/>
          <w:color w:val="auto"/>
          <w:sz w:val="48"/>
          <w:szCs w:val="36"/>
        </w:rPr>
      </w:pPr>
      <w:r>
        <w:rPr>
          <w:rFonts w:hint="eastAsia" w:ascii="宋体" w:hAnsi="宋体"/>
          <w:b/>
          <w:bCs/>
          <w:color w:val="auto"/>
          <w:sz w:val="48"/>
          <w:szCs w:val="36"/>
        </w:rPr>
        <w:t>广西汇晟工程咨询有限公司</w:t>
      </w:r>
    </w:p>
    <w:p>
      <w:pPr>
        <w:rPr>
          <w:rFonts w:ascii="宋体" w:hAnsi="宋体"/>
          <w:b/>
          <w:bCs/>
          <w:color w:val="auto"/>
          <w:sz w:val="28"/>
          <w:szCs w:val="28"/>
        </w:rPr>
      </w:pPr>
    </w:p>
    <w:p>
      <w:pPr>
        <w:jc w:val="center"/>
        <w:rPr>
          <w:rFonts w:ascii="宋体" w:hAnsi="宋体"/>
          <w:b/>
          <w:bCs/>
          <w:color w:val="auto"/>
          <w:w w:val="90"/>
          <w:sz w:val="72"/>
          <w:szCs w:val="72"/>
        </w:rPr>
      </w:pPr>
    </w:p>
    <w:p>
      <w:pPr>
        <w:jc w:val="center"/>
        <w:rPr>
          <w:rFonts w:ascii="宋体" w:hAnsi="宋体"/>
          <w:b/>
          <w:bCs/>
          <w:color w:val="auto"/>
          <w:w w:val="90"/>
          <w:sz w:val="96"/>
          <w:szCs w:val="72"/>
        </w:rPr>
      </w:pPr>
      <w:r>
        <w:rPr>
          <w:rFonts w:hint="eastAsia" w:ascii="宋体" w:hAnsi="宋体"/>
          <w:b/>
          <w:bCs/>
          <w:color w:val="auto"/>
          <w:w w:val="90"/>
          <w:sz w:val="96"/>
          <w:szCs w:val="72"/>
        </w:rPr>
        <w:t>竞争性磋商采购文件</w:t>
      </w:r>
    </w:p>
    <w:p>
      <w:pPr>
        <w:rPr>
          <w:rFonts w:ascii="宋体" w:hAnsi="宋体"/>
          <w:color w:val="auto"/>
          <w:sz w:val="28"/>
          <w:szCs w:val="28"/>
        </w:rPr>
      </w:pPr>
    </w:p>
    <w:p>
      <w:pPr>
        <w:rPr>
          <w:rFonts w:ascii="宋体" w:hAnsi="宋体"/>
          <w:color w:val="auto"/>
          <w:sz w:val="28"/>
          <w:szCs w:val="28"/>
        </w:rPr>
      </w:pPr>
    </w:p>
    <w:p>
      <w:pPr>
        <w:jc w:val="center"/>
        <w:rPr>
          <w:rFonts w:ascii="华文楷体" w:hAnsi="华文楷体" w:eastAsia="华文楷体"/>
          <w:color w:val="auto"/>
        </w:rPr>
      </w:pPr>
    </w:p>
    <w:p>
      <w:pPr>
        <w:pStyle w:val="7"/>
        <w:rPr>
          <w:rFonts w:ascii="华文楷体" w:hAnsi="华文楷体" w:eastAsia="华文楷体"/>
          <w:color w:val="auto"/>
        </w:rPr>
      </w:pPr>
    </w:p>
    <w:p>
      <w:pPr>
        <w:rPr>
          <w:color w:val="auto"/>
        </w:rPr>
      </w:pPr>
    </w:p>
    <w:p>
      <w:pPr>
        <w:spacing w:beforeLines="100" w:line="700" w:lineRule="exact"/>
        <w:ind w:left="2496" w:leftChars="500" w:hanging="1446" w:hangingChars="400"/>
        <w:jc w:val="left"/>
        <w:rPr>
          <w:b/>
          <w:color w:val="auto"/>
          <w:sz w:val="36"/>
          <w:szCs w:val="36"/>
        </w:rPr>
      </w:pPr>
      <w:r>
        <w:rPr>
          <w:rFonts w:hint="eastAsia"/>
          <w:b/>
          <w:color w:val="auto"/>
          <w:sz w:val="36"/>
          <w:szCs w:val="36"/>
        </w:rPr>
        <w:t>项目名称：蒙山县农村乱占耕地建房状况调查</w:t>
      </w:r>
    </w:p>
    <w:p>
      <w:pPr>
        <w:spacing w:beforeLines="100" w:line="700" w:lineRule="exact"/>
        <w:ind w:firstLine="1084" w:firstLineChars="300"/>
        <w:rPr>
          <w:color w:val="auto"/>
        </w:rPr>
      </w:pPr>
      <w:r>
        <w:rPr>
          <w:rFonts w:hint="eastAsia"/>
          <w:b/>
          <w:color w:val="auto"/>
          <w:sz w:val="36"/>
          <w:szCs w:val="36"/>
        </w:rPr>
        <w:t>项目编号：MSZC2020-C3-03365-001</w:t>
      </w:r>
    </w:p>
    <w:p>
      <w:pPr>
        <w:ind w:left="-2" w:leftChars="-1" w:firstLine="2246" w:firstLineChars="699"/>
        <w:rPr>
          <w:b/>
          <w:color w:val="auto"/>
          <w:sz w:val="32"/>
          <w:szCs w:val="32"/>
        </w:rPr>
      </w:pPr>
    </w:p>
    <w:p>
      <w:pPr>
        <w:ind w:left="-2" w:leftChars="-1" w:firstLine="2246" w:firstLineChars="699"/>
        <w:rPr>
          <w:b/>
          <w:color w:val="auto"/>
          <w:sz w:val="32"/>
          <w:szCs w:val="32"/>
        </w:rPr>
      </w:pPr>
    </w:p>
    <w:p>
      <w:pPr>
        <w:ind w:left="-2" w:leftChars="-1" w:firstLine="2246" w:firstLineChars="699"/>
        <w:rPr>
          <w:b/>
          <w:color w:val="auto"/>
          <w:sz w:val="32"/>
          <w:szCs w:val="32"/>
        </w:rPr>
      </w:pPr>
    </w:p>
    <w:p>
      <w:pPr>
        <w:pStyle w:val="7"/>
        <w:rPr>
          <w:b/>
          <w:color w:val="auto"/>
          <w:sz w:val="32"/>
          <w:szCs w:val="32"/>
        </w:rPr>
      </w:pPr>
    </w:p>
    <w:p>
      <w:pPr>
        <w:rPr>
          <w:color w:val="auto"/>
        </w:rPr>
      </w:pPr>
    </w:p>
    <w:p>
      <w:pPr>
        <w:rPr>
          <w:color w:val="auto"/>
        </w:rPr>
      </w:pPr>
    </w:p>
    <w:p>
      <w:pPr>
        <w:ind w:left="-2" w:leftChars="-1" w:firstLine="2246" w:firstLineChars="699"/>
        <w:rPr>
          <w:b/>
          <w:color w:val="auto"/>
          <w:sz w:val="32"/>
          <w:szCs w:val="32"/>
        </w:rPr>
      </w:pPr>
    </w:p>
    <w:p>
      <w:pPr>
        <w:ind w:left="-2" w:leftChars="-1" w:firstLine="2246" w:firstLineChars="699"/>
        <w:rPr>
          <w:b/>
          <w:color w:val="auto"/>
          <w:sz w:val="32"/>
          <w:szCs w:val="32"/>
        </w:rPr>
      </w:pPr>
    </w:p>
    <w:p>
      <w:pPr>
        <w:ind w:firstLine="1446" w:firstLineChars="450"/>
        <w:rPr>
          <w:b/>
          <w:color w:val="auto"/>
          <w:sz w:val="32"/>
          <w:szCs w:val="32"/>
        </w:rPr>
      </w:pPr>
      <w:r>
        <w:rPr>
          <w:rFonts w:hint="eastAsia"/>
          <w:b/>
          <w:color w:val="auto"/>
          <w:sz w:val="32"/>
          <w:szCs w:val="32"/>
        </w:rPr>
        <w:t>采购人：蒙山县自然资源局</w:t>
      </w:r>
    </w:p>
    <w:p>
      <w:pPr>
        <w:ind w:left="-2" w:firstLine="1365" w:firstLineChars="650"/>
        <w:rPr>
          <w:color w:val="auto"/>
        </w:rPr>
      </w:pPr>
    </w:p>
    <w:p>
      <w:pPr>
        <w:ind w:firstLine="1439" w:firstLineChars="448"/>
        <w:rPr>
          <w:b/>
          <w:color w:val="auto"/>
          <w:sz w:val="32"/>
          <w:szCs w:val="32"/>
        </w:rPr>
      </w:pPr>
    </w:p>
    <w:p>
      <w:pPr>
        <w:ind w:firstLine="1439" w:firstLineChars="448"/>
        <w:rPr>
          <w:b/>
          <w:color w:val="auto"/>
          <w:spacing w:val="-8"/>
          <w:sz w:val="32"/>
          <w:szCs w:val="32"/>
        </w:rPr>
      </w:pPr>
      <w:r>
        <w:rPr>
          <w:rFonts w:hint="eastAsia"/>
          <w:b/>
          <w:color w:val="auto"/>
          <w:sz w:val="32"/>
          <w:szCs w:val="32"/>
        </w:rPr>
        <w:t>采购代理机构：广西汇晟工程咨询有限公司</w:t>
      </w:r>
    </w:p>
    <w:p>
      <w:pPr>
        <w:jc w:val="center"/>
        <w:rPr>
          <w:b/>
          <w:color w:val="auto"/>
          <w:sz w:val="32"/>
          <w:szCs w:val="32"/>
        </w:rPr>
      </w:pPr>
    </w:p>
    <w:p>
      <w:pPr>
        <w:ind w:firstLine="3855" w:firstLineChars="1200"/>
        <w:rPr>
          <w:b/>
          <w:color w:val="auto"/>
          <w:spacing w:val="-8"/>
          <w:sz w:val="32"/>
          <w:szCs w:val="32"/>
        </w:rPr>
      </w:pPr>
      <w:r>
        <w:rPr>
          <w:rFonts w:hint="eastAsia"/>
          <w:b/>
          <w:color w:val="auto"/>
          <w:sz w:val="32"/>
          <w:szCs w:val="32"/>
        </w:rPr>
        <w:t>2020</w:t>
      </w:r>
      <w:r>
        <w:rPr>
          <w:rFonts w:hint="eastAsia"/>
          <w:b/>
          <w:color w:val="auto"/>
          <w:spacing w:val="-8"/>
          <w:sz w:val="32"/>
          <w:szCs w:val="32"/>
        </w:rPr>
        <w:t>年10月</w:t>
      </w:r>
    </w:p>
    <w:p>
      <w:pPr>
        <w:jc w:val="center"/>
        <w:rPr>
          <w:b/>
          <w:color w:val="auto"/>
          <w:sz w:val="32"/>
          <w:szCs w:val="32"/>
        </w:rPr>
      </w:pPr>
    </w:p>
    <w:p>
      <w:pPr>
        <w:pStyle w:val="24"/>
        <w:ind w:left="0"/>
        <w:jc w:val="center"/>
        <w:rPr>
          <w:rFonts w:ascii="黑体" w:eastAsia="黑体"/>
          <w:color w:val="auto"/>
          <w:sz w:val="36"/>
          <w:szCs w:val="36"/>
        </w:rPr>
      </w:pPr>
    </w:p>
    <w:p>
      <w:pPr>
        <w:rPr>
          <w:color w:val="auto"/>
        </w:rPr>
      </w:pPr>
    </w:p>
    <w:p>
      <w:pPr>
        <w:pStyle w:val="24"/>
        <w:ind w:left="0"/>
        <w:jc w:val="center"/>
        <w:rPr>
          <w:rFonts w:ascii="黑体" w:eastAsia="黑体"/>
          <w:color w:val="auto"/>
          <w:sz w:val="36"/>
          <w:szCs w:val="36"/>
        </w:rPr>
      </w:pPr>
    </w:p>
    <w:p>
      <w:pPr>
        <w:pStyle w:val="24"/>
        <w:ind w:left="0"/>
        <w:jc w:val="center"/>
        <w:rPr>
          <w:rFonts w:ascii="黑体" w:eastAsia="黑体"/>
          <w:color w:val="auto"/>
          <w:sz w:val="36"/>
          <w:szCs w:val="36"/>
        </w:rPr>
      </w:pPr>
    </w:p>
    <w:p>
      <w:pPr>
        <w:pStyle w:val="24"/>
        <w:ind w:left="0"/>
        <w:jc w:val="both"/>
        <w:rPr>
          <w:rFonts w:ascii="黑体" w:eastAsia="黑体"/>
          <w:color w:val="auto"/>
          <w:sz w:val="36"/>
          <w:szCs w:val="36"/>
        </w:rPr>
      </w:pPr>
    </w:p>
    <w:p>
      <w:pPr>
        <w:pStyle w:val="24"/>
        <w:ind w:left="0"/>
        <w:jc w:val="center"/>
        <w:rPr>
          <w:rFonts w:ascii="黑体" w:eastAsia="黑体"/>
          <w:color w:val="auto"/>
          <w:sz w:val="36"/>
          <w:szCs w:val="36"/>
        </w:rPr>
      </w:pPr>
    </w:p>
    <w:p>
      <w:pPr>
        <w:pStyle w:val="24"/>
        <w:ind w:left="0"/>
        <w:jc w:val="center"/>
        <w:rPr>
          <w:rFonts w:ascii="黑体" w:eastAsia="黑体"/>
          <w:color w:val="auto"/>
          <w:sz w:val="36"/>
          <w:szCs w:val="36"/>
        </w:rPr>
      </w:pPr>
      <w:r>
        <w:rPr>
          <w:rFonts w:hint="eastAsia" w:ascii="黑体" w:eastAsia="黑体"/>
          <w:color w:val="auto"/>
          <w:sz w:val="36"/>
          <w:szCs w:val="36"/>
        </w:rPr>
        <w:t>目    录</w:t>
      </w:r>
    </w:p>
    <w:p>
      <w:pPr>
        <w:rPr>
          <w:color w:val="auto"/>
        </w:rPr>
      </w:pPr>
    </w:p>
    <w:p>
      <w:pPr>
        <w:rPr>
          <w:color w:val="auto"/>
        </w:rPr>
      </w:pPr>
    </w:p>
    <w:p>
      <w:pPr>
        <w:pStyle w:val="24"/>
        <w:spacing w:line="900" w:lineRule="exact"/>
        <w:ind w:left="539"/>
        <w:rPr>
          <w:rStyle w:val="35"/>
          <w:rFonts w:eastAsia="方正隶书简体"/>
          <w:color w:val="auto"/>
          <w:sz w:val="36"/>
          <w:szCs w:val="36"/>
        </w:rPr>
      </w:pPr>
      <w:r>
        <w:rPr>
          <w:rStyle w:val="35"/>
          <w:rFonts w:ascii="Times New Roman" w:hAnsi="Times New Roman" w:eastAsia="方正隶书简体"/>
          <w:color w:val="auto"/>
          <w:sz w:val="36"/>
          <w:szCs w:val="36"/>
        </w:rPr>
        <w:fldChar w:fldCharType="begin"/>
      </w:r>
      <w:r>
        <w:rPr>
          <w:rStyle w:val="35"/>
          <w:rFonts w:ascii="Times New Roman" w:hAnsi="Times New Roman" w:eastAsia="方正隶书简体"/>
          <w:color w:val="auto"/>
          <w:sz w:val="36"/>
          <w:szCs w:val="36"/>
        </w:rPr>
        <w:instrText xml:space="preserve"> TOC \o "1-3" \h \z \u </w:instrText>
      </w:r>
      <w:r>
        <w:rPr>
          <w:rStyle w:val="35"/>
          <w:rFonts w:ascii="Times New Roman" w:hAnsi="Times New Roman" w:eastAsia="方正隶书简体"/>
          <w:color w:val="auto"/>
          <w:sz w:val="36"/>
          <w:szCs w:val="36"/>
        </w:rPr>
        <w:fldChar w:fldCharType="separate"/>
      </w:r>
      <w:r>
        <w:rPr>
          <w:color w:val="auto"/>
        </w:rPr>
        <w:fldChar w:fldCharType="begin"/>
      </w:r>
      <w:r>
        <w:rPr>
          <w:color w:val="auto"/>
        </w:rPr>
        <w:instrText xml:space="preserve"> HYPERLINK \l "_Toc444005977" </w:instrText>
      </w:r>
      <w:r>
        <w:rPr>
          <w:color w:val="auto"/>
        </w:rPr>
        <w:fldChar w:fldCharType="separate"/>
      </w:r>
      <w:r>
        <w:rPr>
          <w:rStyle w:val="35"/>
          <w:rFonts w:hint="eastAsia" w:ascii="Times New Roman" w:hAnsi="Times New Roman" w:eastAsia="方正隶书简体"/>
          <w:color w:val="auto"/>
          <w:sz w:val="36"/>
          <w:szCs w:val="36"/>
        </w:rPr>
        <w:t>竞争性磋商公告</w:t>
      </w:r>
      <w:r>
        <w:rPr>
          <w:rStyle w:val="35"/>
          <w:rFonts w:ascii="Times New Roman" w:hAnsi="Times New Roman" w:eastAsia="方正隶书简体"/>
          <w:color w:val="auto"/>
          <w:sz w:val="36"/>
          <w:szCs w:val="36"/>
        </w:rPr>
        <w:tab/>
      </w:r>
      <w:r>
        <w:rPr>
          <w:rStyle w:val="35"/>
          <w:rFonts w:hint="eastAsia" w:ascii="Times New Roman" w:hAnsi="Times New Roman" w:eastAsia="方正隶书简体"/>
          <w:color w:val="auto"/>
          <w:sz w:val="36"/>
          <w:szCs w:val="36"/>
        </w:rPr>
        <w:t>3</w:t>
      </w:r>
      <w:r>
        <w:rPr>
          <w:rStyle w:val="35"/>
          <w:rFonts w:hint="eastAsia" w:ascii="Times New Roman" w:hAnsi="Times New Roman" w:eastAsia="方正隶书简体"/>
          <w:color w:val="auto"/>
          <w:sz w:val="36"/>
          <w:szCs w:val="36"/>
        </w:rPr>
        <w:fldChar w:fldCharType="end"/>
      </w:r>
    </w:p>
    <w:p>
      <w:pPr>
        <w:pStyle w:val="24"/>
        <w:spacing w:line="900" w:lineRule="exact"/>
        <w:ind w:left="539"/>
        <w:rPr>
          <w:rStyle w:val="35"/>
          <w:rFonts w:eastAsia="方正隶书简体"/>
          <w:color w:val="auto"/>
          <w:sz w:val="36"/>
          <w:szCs w:val="36"/>
        </w:rPr>
      </w:pPr>
      <w:r>
        <w:rPr>
          <w:color w:val="auto"/>
        </w:rPr>
        <w:fldChar w:fldCharType="begin"/>
      </w:r>
      <w:r>
        <w:rPr>
          <w:color w:val="auto"/>
        </w:rPr>
        <w:instrText xml:space="preserve"> HYPERLINK \l "_Toc444005978" </w:instrText>
      </w:r>
      <w:r>
        <w:rPr>
          <w:color w:val="auto"/>
        </w:rPr>
        <w:fldChar w:fldCharType="separate"/>
      </w:r>
      <w:r>
        <w:rPr>
          <w:rStyle w:val="35"/>
          <w:rFonts w:hint="eastAsia" w:ascii="Times New Roman" w:hAnsi="Times New Roman" w:eastAsia="方正隶书简体"/>
          <w:color w:val="auto"/>
          <w:sz w:val="36"/>
          <w:szCs w:val="36"/>
        </w:rPr>
        <w:t>第一章服务商须知及前附表</w:t>
      </w:r>
      <w:r>
        <w:rPr>
          <w:rStyle w:val="35"/>
          <w:rFonts w:ascii="Times New Roman" w:hAnsi="Times New Roman" w:eastAsia="方正隶书简体"/>
          <w:color w:val="auto"/>
          <w:sz w:val="36"/>
          <w:szCs w:val="36"/>
        </w:rPr>
        <w:tab/>
      </w:r>
      <w:r>
        <w:rPr>
          <w:rStyle w:val="35"/>
          <w:rFonts w:hint="eastAsia" w:ascii="Times New Roman" w:hAnsi="Times New Roman" w:eastAsia="方正隶书简体"/>
          <w:color w:val="auto"/>
          <w:sz w:val="36"/>
          <w:szCs w:val="36"/>
        </w:rPr>
        <w:t>6</w:t>
      </w:r>
      <w:r>
        <w:rPr>
          <w:rStyle w:val="35"/>
          <w:rFonts w:hint="eastAsia" w:ascii="Times New Roman" w:hAnsi="Times New Roman" w:eastAsia="方正隶书简体"/>
          <w:color w:val="auto"/>
          <w:sz w:val="36"/>
          <w:szCs w:val="36"/>
        </w:rPr>
        <w:fldChar w:fldCharType="end"/>
      </w:r>
    </w:p>
    <w:p>
      <w:pPr>
        <w:pStyle w:val="24"/>
        <w:spacing w:line="900" w:lineRule="exact"/>
        <w:ind w:left="539"/>
        <w:rPr>
          <w:rStyle w:val="35"/>
          <w:rFonts w:eastAsia="方正隶书简体"/>
          <w:color w:val="auto"/>
          <w:sz w:val="36"/>
          <w:szCs w:val="36"/>
        </w:rPr>
      </w:pPr>
      <w:r>
        <w:rPr>
          <w:color w:val="auto"/>
        </w:rPr>
        <w:fldChar w:fldCharType="begin"/>
      </w:r>
      <w:r>
        <w:rPr>
          <w:color w:val="auto"/>
        </w:rPr>
        <w:instrText xml:space="preserve"> HYPERLINK \l "_Toc444006018" </w:instrText>
      </w:r>
      <w:r>
        <w:rPr>
          <w:color w:val="auto"/>
        </w:rPr>
        <w:fldChar w:fldCharType="separate"/>
      </w:r>
      <w:r>
        <w:rPr>
          <w:rStyle w:val="35"/>
          <w:rFonts w:hint="eastAsia" w:ascii="Times New Roman" w:hAnsi="Times New Roman" w:eastAsia="方正隶书简体"/>
          <w:color w:val="auto"/>
          <w:sz w:val="36"/>
          <w:szCs w:val="36"/>
        </w:rPr>
        <w:t>第二章服务内容及要求</w:t>
      </w:r>
      <w:r>
        <w:rPr>
          <w:rStyle w:val="35"/>
          <w:rFonts w:ascii="Times New Roman" w:hAnsi="Times New Roman" w:eastAsia="方正隶书简体"/>
          <w:color w:val="auto"/>
          <w:sz w:val="36"/>
          <w:szCs w:val="36"/>
        </w:rPr>
        <w:tab/>
      </w:r>
      <w:r>
        <w:rPr>
          <w:rStyle w:val="35"/>
          <w:rFonts w:ascii="Times New Roman" w:hAnsi="Times New Roman" w:eastAsia="方正隶书简体"/>
          <w:color w:val="auto"/>
          <w:sz w:val="36"/>
          <w:szCs w:val="36"/>
        </w:rPr>
        <w:fldChar w:fldCharType="begin"/>
      </w:r>
      <w:r>
        <w:rPr>
          <w:rStyle w:val="35"/>
          <w:rFonts w:ascii="Times New Roman" w:hAnsi="Times New Roman" w:eastAsia="方正隶书简体"/>
          <w:color w:val="auto"/>
          <w:sz w:val="36"/>
          <w:szCs w:val="36"/>
        </w:rPr>
        <w:instrText xml:space="preserve"> PAGEREF _Toc444006018 \h </w:instrText>
      </w:r>
      <w:r>
        <w:rPr>
          <w:rStyle w:val="35"/>
          <w:rFonts w:ascii="Times New Roman" w:hAnsi="Times New Roman" w:eastAsia="方正隶书简体"/>
          <w:color w:val="auto"/>
          <w:sz w:val="36"/>
          <w:szCs w:val="36"/>
        </w:rPr>
        <w:fldChar w:fldCharType="separate"/>
      </w:r>
      <w:r>
        <w:rPr>
          <w:rStyle w:val="35"/>
          <w:rFonts w:ascii="Times New Roman" w:hAnsi="Times New Roman" w:eastAsia="方正隶书简体"/>
          <w:color w:val="auto"/>
          <w:sz w:val="36"/>
          <w:szCs w:val="36"/>
        </w:rPr>
        <w:t>21</w:t>
      </w:r>
      <w:r>
        <w:rPr>
          <w:rStyle w:val="35"/>
          <w:rFonts w:ascii="Times New Roman" w:hAnsi="Times New Roman" w:eastAsia="方正隶书简体"/>
          <w:color w:val="auto"/>
          <w:sz w:val="36"/>
          <w:szCs w:val="36"/>
        </w:rPr>
        <w:fldChar w:fldCharType="end"/>
      </w:r>
      <w:r>
        <w:rPr>
          <w:rStyle w:val="35"/>
          <w:rFonts w:ascii="Times New Roman" w:hAnsi="Times New Roman" w:eastAsia="方正隶书简体"/>
          <w:color w:val="auto"/>
          <w:sz w:val="36"/>
          <w:szCs w:val="36"/>
        </w:rPr>
        <w:fldChar w:fldCharType="end"/>
      </w:r>
    </w:p>
    <w:p>
      <w:pPr>
        <w:pStyle w:val="24"/>
        <w:spacing w:line="900" w:lineRule="exact"/>
        <w:ind w:left="539"/>
        <w:rPr>
          <w:rStyle w:val="35"/>
          <w:rFonts w:eastAsia="方正隶书简体"/>
          <w:color w:val="auto"/>
          <w:sz w:val="36"/>
          <w:szCs w:val="36"/>
        </w:rPr>
      </w:pPr>
      <w:r>
        <w:rPr>
          <w:color w:val="auto"/>
        </w:rPr>
        <w:fldChar w:fldCharType="begin"/>
      </w:r>
      <w:r>
        <w:rPr>
          <w:color w:val="auto"/>
        </w:rPr>
        <w:instrText xml:space="preserve"> HYPERLINK \l "_Toc444006019" </w:instrText>
      </w:r>
      <w:r>
        <w:rPr>
          <w:color w:val="auto"/>
        </w:rPr>
        <w:fldChar w:fldCharType="separate"/>
      </w:r>
      <w:r>
        <w:rPr>
          <w:rStyle w:val="35"/>
          <w:rFonts w:hint="eastAsia" w:ascii="Times New Roman" w:hAnsi="Times New Roman" w:eastAsia="方正隶书简体"/>
          <w:color w:val="auto"/>
          <w:sz w:val="36"/>
          <w:szCs w:val="36"/>
        </w:rPr>
        <w:t>第三章政府采购合同（格式）</w:t>
      </w:r>
      <w:r>
        <w:rPr>
          <w:rStyle w:val="35"/>
          <w:rFonts w:ascii="Times New Roman" w:hAnsi="Times New Roman" w:eastAsia="方正隶书简体"/>
          <w:color w:val="auto"/>
          <w:sz w:val="36"/>
          <w:szCs w:val="36"/>
        </w:rPr>
        <w:tab/>
      </w:r>
      <w:r>
        <w:rPr>
          <w:rStyle w:val="35"/>
          <w:rFonts w:ascii="Times New Roman" w:hAnsi="Times New Roman" w:eastAsia="方正隶书简体"/>
          <w:color w:val="auto"/>
          <w:sz w:val="36"/>
          <w:szCs w:val="36"/>
        </w:rPr>
        <w:fldChar w:fldCharType="begin"/>
      </w:r>
      <w:r>
        <w:rPr>
          <w:rStyle w:val="35"/>
          <w:rFonts w:ascii="Times New Roman" w:hAnsi="Times New Roman" w:eastAsia="方正隶书简体"/>
          <w:color w:val="auto"/>
          <w:sz w:val="36"/>
          <w:szCs w:val="36"/>
        </w:rPr>
        <w:instrText xml:space="preserve"> PAGEREF _Toc444006019 \h </w:instrText>
      </w:r>
      <w:r>
        <w:rPr>
          <w:rStyle w:val="35"/>
          <w:rFonts w:ascii="Times New Roman" w:hAnsi="Times New Roman" w:eastAsia="方正隶书简体"/>
          <w:color w:val="auto"/>
          <w:sz w:val="36"/>
          <w:szCs w:val="36"/>
        </w:rPr>
        <w:fldChar w:fldCharType="separate"/>
      </w:r>
      <w:r>
        <w:rPr>
          <w:rStyle w:val="35"/>
          <w:rFonts w:ascii="Times New Roman" w:hAnsi="Times New Roman" w:eastAsia="方正隶书简体"/>
          <w:color w:val="auto"/>
          <w:sz w:val="36"/>
          <w:szCs w:val="36"/>
        </w:rPr>
        <w:t>2</w:t>
      </w:r>
      <w:r>
        <w:rPr>
          <w:rStyle w:val="35"/>
          <w:rFonts w:hint="eastAsia" w:ascii="Times New Roman" w:hAnsi="Times New Roman" w:eastAsia="方正隶书简体"/>
          <w:color w:val="auto"/>
          <w:sz w:val="36"/>
          <w:szCs w:val="36"/>
        </w:rPr>
        <w:t>6</w:t>
      </w:r>
      <w:r>
        <w:rPr>
          <w:rStyle w:val="35"/>
          <w:rFonts w:ascii="Times New Roman" w:hAnsi="Times New Roman" w:eastAsia="方正隶书简体"/>
          <w:color w:val="auto"/>
          <w:sz w:val="36"/>
          <w:szCs w:val="36"/>
        </w:rPr>
        <w:fldChar w:fldCharType="end"/>
      </w:r>
      <w:r>
        <w:rPr>
          <w:rStyle w:val="35"/>
          <w:rFonts w:ascii="Times New Roman" w:hAnsi="Times New Roman" w:eastAsia="方正隶书简体"/>
          <w:color w:val="auto"/>
          <w:sz w:val="36"/>
          <w:szCs w:val="36"/>
        </w:rPr>
        <w:fldChar w:fldCharType="end"/>
      </w:r>
    </w:p>
    <w:p>
      <w:pPr>
        <w:pStyle w:val="24"/>
        <w:spacing w:line="900" w:lineRule="exact"/>
        <w:ind w:left="539"/>
        <w:rPr>
          <w:rStyle w:val="35"/>
          <w:rFonts w:eastAsia="方正隶书简体"/>
          <w:color w:val="auto"/>
          <w:sz w:val="36"/>
          <w:szCs w:val="36"/>
        </w:rPr>
      </w:pPr>
      <w:r>
        <w:rPr>
          <w:color w:val="auto"/>
        </w:rPr>
        <w:fldChar w:fldCharType="begin"/>
      </w:r>
      <w:r>
        <w:rPr>
          <w:color w:val="auto"/>
        </w:rPr>
        <w:instrText xml:space="preserve"> HYPERLINK \l "_Toc444006020" </w:instrText>
      </w:r>
      <w:r>
        <w:rPr>
          <w:color w:val="auto"/>
        </w:rPr>
        <w:fldChar w:fldCharType="separate"/>
      </w:r>
      <w:r>
        <w:rPr>
          <w:rStyle w:val="35"/>
          <w:rFonts w:hint="eastAsia" w:ascii="Times New Roman" w:hAnsi="Times New Roman" w:eastAsia="方正隶书简体"/>
          <w:color w:val="auto"/>
          <w:sz w:val="36"/>
          <w:szCs w:val="36"/>
        </w:rPr>
        <w:t>第四章评标方法</w:t>
      </w:r>
      <w:r>
        <w:rPr>
          <w:rStyle w:val="35"/>
          <w:rFonts w:ascii="Times New Roman" w:hAnsi="Times New Roman" w:eastAsia="方正隶书简体"/>
          <w:color w:val="auto"/>
          <w:sz w:val="36"/>
          <w:szCs w:val="36"/>
        </w:rPr>
        <w:tab/>
      </w:r>
      <w:r>
        <w:rPr>
          <w:rStyle w:val="35"/>
          <w:rFonts w:hint="eastAsia" w:ascii="Times New Roman" w:hAnsi="Times New Roman" w:eastAsia="方正隶书简体"/>
          <w:color w:val="auto"/>
          <w:sz w:val="36"/>
          <w:szCs w:val="36"/>
        </w:rPr>
        <w:t>3</w:t>
      </w:r>
      <w:r>
        <w:rPr>
          <w:rStyle w:val="35"/>
          <w:rFonts w:hint="eastAsia" w:ascii="Times New Roman" w:hAnsi="Times New Roman" w:eastAsia="方正隶书简体"/>
          <w:color w:val="auto"/>
          <w:sz w:val="36"/>
          <w:szCs w:val="36"/>
        </w:rPr>
        <w:fldChar w:fldCharType="end"/>
      </w:r>
      <w:r>
        <w:rPr>
          <w:rStyle w:val="35"/>
          <w:rFonts w:hint="eastAsia" w:ascii="Times New Roman" w:hAnsi="Times New Roman" w:eastAsia="方正隶书简体"/>
          <w:color w:val="auto"/>
          <w:sz w:val="36"/>
          <w:szCs w:val="36"/>
          <w:u w:val="none"/>
        </w:rPr>
        <w:t>1</w:t>
      </w:r>
    </w:p>
    <w:p>
      <w:pPr>
        <w:pStyle w:val="24"/>
        <w:spacing w:line="900" w:lineRule="exact"/>
        <w:ind w:left="539"/>
        <w:rPr>
          <w:rStyle w:val="35"/>
          <w:rFonts w:eastAsia="方正隶书简体"/>
          <w:color w:val="auto"/>
          <w:sz w:val="36"/>
          <w:szCs w:val="36"/>
        </w:rPr>
      </w:pPr>
      <w:r>
        <w:rPr>
          <w:color w:val="auto"/>
        </w:rPr>
        <w:fldChar w:fldCharType="begin"/>
      </w:r>
      <w:r>
        <w:rPr>
          <w:color w:val="auto"/>
        </w:rPr>
        <w:instrText xml:space="preserve"> HYPERLINK \l "_Toc444006024" </w:instrText>
      </w:r>
      <w:r>
        <w:rPr>
          <w:color w:val="auto"/>
        </w:rPr>
        <w:fldChar w:fldCharType="separate"/>
      </w:r>
      <w:r>
        <w:rPr>
          <w:rStyle w:val="35"/>
          <w:rFonts w:hint="eastAsia" w:ascii="Times New Roman" w:hAnsi="Times New Roman" w:eastAsia="方正隶书简体"/>
          <w:color w:val="auto"/>
          <w:sz w:val="36"/>
          <w:szCs w:val="36"/>
        </w:rPr>
        <w:t>第五章响应文件（格式）</w:t>
      </w:r>
      <w:r>
        <w:rPr>
          <w:rStyle w:val="35"/>
          <w:rFonts w:ascii="Times New Roman" w:hAnsi="Times New Roman" w:eastAsia="方正隶书简体"/>
          <w:color w:val="auto"/>
          <w:sz w:val="36"/>
          <w:szCs w:val="36"/>
        </w:rPr>
        <w:tab/>
      </w:r>
      <w:r>
        <w:rPr>
          <w:rStyle w:val="35"/>
          <w:rFonts w:hint="eastAsia" w:ascii="Times New Roman" w:hAnsi="Times New Roman" w:eastAsia="方正隶书简体"/>
          <w:color w:val="auto"/>
          <w:sz w:val="36"/>
          <w:szCs w:val="36"/>
        </w:rPr>
        <w:t>3</w:t>
      </w:r>
      <w:r>
        <w:rPr>
          <w:rStyle w:val="35"/>
          <w:rFonts w:hint="eastAsia" w:ascii="Times New Roman" w:hAnsi="Times New Roman" w:eastAsia="方正隶书简体"/>
          <w:color w:val="auto"/>
          <w:sz w:val="36"/>
          <w:szCs w:val="36"/>
        </w:rPr>
        <w:fldChar w:fldCharType="end"/>
      </w:r>
      <w:r>
        <w:rPr>
          <w:rStyle w:val="35"/>
          <w:rFonts w:hint="eastAsia" w:ascii="Times New Roman" w:hAnsi="Times New Roman" w:eastAsia="方正隶书简体"/>
          <w:color w:val="auto"/>
          <w:sz w:val="36"/>
          <w:szCs w:val="36"/>
          <w:u w:val="none"/>
        </w:rPr>
        <w:t>4</w:t>
      </w:r>
    </w:p>
    <w:p>
      <w:pPr>
        <w:pStyle w:val="24"/>
        <w:spacing w:line="900" w:lineRule="exact"/>
        <w:ind w:left="539"/>
        <w:rPr>
          <w:rStyle w:val="35"/>
          <w:rFonts w:eastAsia="方正隶书简体"/>
          <w:color w:val="auto"/>
          <w:sz w:val="36"/>
          <w:szCs w:val="36"/>
        </w:rPr>
      </w:pPr>
      <w:r>
        <w:rPr>
          <w:color w:val="auto"/>
        </w:rPr>
        <w:fldChar w:fldCharType="begin"/>
      </w:r>
      <w:r>
        <w:rPr>
          <w:color w:val="auto"/>
        </w:rPr>
        <w:instrText xml:space="preserve"> HYPERLINK \l "_Toc444006025" </w:instrText>
      </w:r>
      <w:r>
        <w:rPr>
          <w:color w:val="auto"/>
        </w:rPr>
        <w:fldChar w:fldCharType="separate"/>
      </w:r>
      <w:r>
        <w:rPr>
          <w:rStyle w:val="35"/>
          <w:rFonts w:hint="eastAsia" w:ascii="Times New Roman" w:hAnsi="Times New Roman" w:eastAsia="方正隶书简体"/>
          <w:color w:val="auto"/>
          <w:sz w:val="36"/>
          <w:szCs w:val="36"/>
        </w:rPr>
        <w:t>第六章附件</w:t>
      </w:r>
      <w:r>
        <w:rPr>
          <w:rStyle w:val="35"/>
          <w:rFonts w:ascii="Times New Roman" w:hAnsi="Times New Roman" w:eastAsia="方正隶书简体"/>
          <w:color w:val="auto"/>
          <w:sz w:val="36"/>
          <w:szCs w:val="36"/>
        </w:rPr>
        <w:tab/>
      </w:r>
      <w:r>
        <w:rPr>
          <w:rStyle w:val="35"/>
          <w:rFonts w:hint="eastAsia" w:ascii="Times New Roman" w:hAnsi="Times New Roman" w:eastAsia="方正隶书简体"/>
          <w:color w:val="auto"/>
          <w:sz w:val="36"/>
          <w:szCs w:val="36"/>
        </w:rPr>
        <w:t>45</w:t>
      </w:r>
      <w:r>
        <w:rPr>
          <w:rStyle w:val="35"/>
          <w:rFonts w:hint="eastAsia" w:ascii="Times New Roman" w:hAnsi="Times New Roman" w:eastAsia="方正隶书简体"/>
          <w:color w:val="auto"/>
          <w:sz w:val="36"/>
          <w:szCs w:val="36"/>
        </w:rPr>
        <w:fldChar w:fldCharType="end"/>
      </w:r>
    </w:p>
    <w:p>
      <w:pPr>
        <w:pStyle w:val="24"/>
        <w:spacing w:line="900" w:lineRule="exact"/>
        <w:ind w:left="539"/>
        <w:rPr>
          <w:color w:val="auto"/>
          <w:spacing w:val="-8"/>
          <w:sz w:val="28"/>
        </w:rPr>
      </w:pPr>
      <w:r>
        <w:rPr>
          <w:rStyle w:val="35"/>
          <w:rFonts w:ascii="Times New Roman" w:hAnsi="Times New Roman" w:eastAsia="方正隶书简体"/>
          <w:color w:val="auto"/>
          <w:sz w:val="36"/>
          <w:szCs w:val="36"/>
        </w:rPr>
        <w:fldChar w:fldCharType="end"/>
      </w: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spacing w:line="140" w:lineRule="exact"/>
        <w:rPr>
          <w:color w:val="auto"/>
        </w:rPr>
      </w:pPr>
    </w:p>
    <w:p>
      <w:pPr>
        <w:pStyle w:val="17"/>
        <w:spacing w:line="140" w:lineRule="exact"/>
        <w:rPr>
          <w:color w:val="auto"/>
        </w:rPr>
      </w:pPr>
    </w:p>
    <w:p>
      <w:pPr>
        <w:pStyle w:val="17"/>
        <w:spacing w:line="140" w:lineRule="exact"/>
        <w:rPr>
          <w:color w:val="auto"/>
        </w:rPr>
      </w:pPr>
    </w:p>
    <w:p>
      <w:pPr>
        <w:pStyle w:val="17"/>
        <w:spacing w:line="140" w:lineRule="exact"/>
        <w:rPr>
          <w:color w:val="auto"/>
        </w:rPr>
      </w:pPr>
    </w:p>
    <w:p>
      <w:pPr>
        <w:pStyle w:val="17"/>
        <w:spacing w:line="140" w:lineRule="exact"/>
        <w:rPr>
          <w:color w:val="auto"/>
        </w:rPr>
      </w:pPr>
    </w:p>
    <w:p>
      <w:pPr>
        <w:pStyle w:val="17"/>
        <w:spacing w:line="140" w:lineRule="exact"/>
        <w:rPr>
          <w:color w:val="auto"/>
        </w:rPr>
      </w:pPr>
    </w:p>
    <w:p>
      <w:pPr>
        <w:pStyle w:val="17"/>
        <w:spacing w:line="140" w:lineRule="exact"/>
        <w:rPr>
          <w:color w:val="auto"/>
        </w:rPr>
      </w:pPr>
    </w:p>
    <w:p>
      <w:pPr>
        <w:pStyle w:val="17"/>
        <w:spacing w:line="140" w:lineRule="exact"/>
        <w:rPr>
          <w:color w:val="auto"/>
        </w:rPr>
      </w:pPr>
    </w:p>
    <w:p>
      <w:pPr>
        <w:pStyle w:val="17"/>
        <w:spacing w:line="140" w:lineRule="exact"/>
        <w:rPr>
          <w:color w:val="auto"/>
        </w:rPr>
      </w:pPr>
    </w:p>
    <w:p>
      <w:pPr>
        <w:pStyle w:val="17"/>
        <w:spacing w:line="140" w:lineRule="exact"/>
        <w:rPr>
          <w:color w:val="auto"/>
        </w:rPr>
      </w:pPr>
    </w:p>
    <w:p>
      <w:pPr>
        <w:pStyle w:val="17"/>
        <w:spacing w:line="140" w:lineRule="exact"/>
        <w:rPr>
          <w:color w:val="auto"/>
        </w:rPr>
      </w:pPr>
    </w:p>
    <w:p>
      <w:pPr>
        <w:pStyle w:val="17"/>
        <w:spacing w:line="140" w:lineRule="exact"/>
        <w:rPr>
          <w:color w:val="auto"/>
        </w:rPr>
      </w:pPr>
    </w:p>
    <w:p>
      <w:pPr>
        <w:pStyle w:val="17"/>
        <w:spacing w:line="140" w:lineRule="exact"/>
        <w:rPr>
          <w:color w:val="auto"/>
        </w:rPr>
      </w:pPr>
    </w:p>
    <w:p>
      <w:pPr>
        <w:pStyle w:val="17"/>
        <w:spacing w:line="140" w:lineRule="exact"/>
        <w:rPr>
          <w:color w:val="auto"/>
        </w:rPr>
      </w:pPr>
    </w:p>
    <w:p>
      <w:pPr>
        <w:pStyle w:val="17"/>
        <w:spacing w:line="140" w:lineRule="exact"/>
        <w:rPr>
          <w:color w:val="auto"/>
        </w:rPr>
      </w:pPr>
    </w:p>
    <w:p>
      <w:pPr>
        <w:pStyle w:val="17"/>
        <w:spacing w:line="140" w:lineRule="exact"/>
        <w:rPr>
          <w:color w:val="auto"/>
        </w:rPr>
      </w:pPr>
    </w:p>
    <w:p>
      <w:pPr>
        <w:pStyle w:val="17"/>
        <w:spacing w:line="140" w:lineRule="exact"/>
        <w:rPr>
          <w:color w:val="auto"/>
        </w:rPr>
      </w:pPr>
    </w:p>
    <w:p>
      <w:pPr>
        <w:pStyle w:val="17"/>
        <w:spacing w:line="140" w:lineRule="exact"/>
        <w:rPr>
          <w:color w:val="auto"/>
        </w:rPr>
      </w:pPr>
    </w:p>
    <w:p>
      <w:pPr>
        <w:pStyle w:val="17"/>
        <w:spacing w:line="140" w:lineRule="exact"/>
        <w:rPr>
          <w:color w:val="auto"/>
        </w:rPr>
      </w:pPr>
    </w:p>
    <w:p>
      <w:pPr>
        <w:pStyle w:val="17"/>
        <w:spacing w:line="140" w:lineRule="exact"/>
        <w:rPr>
          <w:color w:val="auto"/>
        </w:rPr>
      </w:pPr>
    </w:p>
    <w:p>
      <w:pPr>
        <w:pStyle w:val="17"/>
        <w:spacing w:line="140" w:lineRule="exact"/>
        <w:rPr>
          <w:color w:val="auto"/>
        </w:rPr>
      </w:pPr>
    </w:p>
    <w:p>
      <w:pPr>
        <w:pStyle w:val="17"/>
        <w:spacing w:line="140" w:lineRule="exact"/>
        <w:rPr>
          <w:color w:val="auto"/>
        </w:rPr>
      </w:pPr>
    </w:p>
    <w:p>
      <w:pPr>
        <w:pStyle w:val="17"/>
        <w:spacing w:line="140" w:lineRule="exact"/>
        <w:rPr>
          <w:color w:val="auto"/>
        </w:rPr>
      </w:pPr>
    </w:p>
    <w:p>
      <w:pPr>
        <w:pStyle w:val="17"/>
        <w:pBdr>
          <w:bottom w:val="single" w:color="auto" w:sz="6" w:space="1"/>
        </w:pBdr>
        <w:spacing w:line="360" w:lineRule="exact"/>
        <w:jc w:val="center"/>
        <w:rPr>
          <w:rFonts w:hAnsi="宋体"/>
          <w:b/>
          <w:color w:val="auto"/>
          <w:sz w:val="32"/>
          <w:szCs w:val="32"/>
        </w:rPr>
      </w:pPr>
      <w:r>
        <w:rPr>
          <w:rFonts w:hint="eastAsia" w:hAnsi="宋体"/>
          <w:b/>
          <w:color w:val="auto"/>
          <w:sz w:val="32"/>
          <w:szCs w:val="32"/>
        </w:rPr>
        <w:t>广西汇晟工程咨询有限公司</w:t>
      </w:r>
    </w:p>
    <w:p>
      <w:pPr>
        <w:pStyle w:val="17"/>
        <w:spacing w:line="360" w:lineRule="exact"/>
        <w:jc w:val="center"/>
        <w:rPr>
          <w:rFonts w:hAnsi="宋体"/>
          <w:b/>
          <w:color w:val="auto"/>
          <w:sz w:val="32"/>
          <w:szCs w:val="32"/>
        </w:rPr>
      </w:pPr>
      <w:r>
        <w:rPr>
          <w:rFonts w:hint="eastAsia" w:hAnsi="宋体"/>
          <w:b/>
          <w:color w:val="auto"/>
          <w:sz w:val="32"/>
          <w:szCs w:val="32"/>
        </w:rPr>
        <w:t>蒙山县农村乱占耕地建房状况调查</w:t>
      </w:r>
      <w:r>
        <w:rPr>
          <w:rFonts w:hAnsi="宋体"/>
          <w:b/>
          <w:color w:val="auto"/>
          <w:sz w:val="32"/>
          <w:szCs w:val="32"/>
        </w:rPr>
        <w:t>（</w:t>
      </w:r>
      <w:bookmarkStart w:id="0" w:name="_Toc444005977"/>
      <w:r>
        <w:rPr>
          <w:rFonts w:hint="eastAsia" w:hAnsi="宋体"/>
          <w:b/>
          <w:color w:val="auto"/>
          <w:sz w:val="32"/>
          <w:szCs w:val="32"/>
        </w:rPr>
        <w:t>MSZC2020-C3-03365-001）</w:t>
      </w:r>
    </w:p>
    <w:p>
      <w:pPr>
        <w:pStyle w:val="17"/>
        <w:spacing w:line="360" w:lineRule="exact"/>
        <w:jc w:val="center"/>
        <w:rPr>
          <w:rFonts w:hAnsi="宋体"/>
          <w:bCs/>
          <w:color w:val="auto"/>
          <w:sz w:val="32"/>
          <w:szCs w:val="32"/>
        </w:rPr>
      </w:pPr>
      <w:r>
        <w:rPr>
          <w:rFonts w:hAnsi="宋体"/>
          <w:b/>
          <w:bCs/>
          <w:color w:val="auto"/>
          <w:sz w:val="32"/>
          <w:szCs w:val="32"/>
        </w:rPr>
        <w:t>竞争性磋商公告</w:t>
      </w:r>
      <w:bookmarkEnd w:id="0"/>
    </w:p>
    <w:p>
      <w:pPr>
        <w:pBdr>
          <w:top w:val="single" w:color="auto" w:sz="4" w:space="0"/>
          <w:left w:val="single" w:color="auto" w:sz="4" w:space="0"/>
          <w:bottom w:val="single" w:color="auto" w:sz="4" w:space="0"/>
          <w:right w:val="single" w:color="auto" w:sz="4" w:space="0"/>
        </w:pBdr>
        <w:spacing w:line="380" w:lineRule="exact"/>
        <w:ind w:firstLine="420" w:firstLineChars="200"/>
        <w:rPr>
          <w:rFonts w:ascii="宋体" w:hAnsi="宋体"/>
          <w:bCs/>
          <w:color w:val="auto"/>
        </w:rPr>
      </w:pPr>
      <w:r>
        <w:rPr>
          <w:rFonts w:hint="eastAsia" w:ascii="宋体" w:hAnsi="宋体"/>
          <w:bCs/>
          <w:color w:val="auto"/>
        </w:rPr>
        <w:t>项目概况：</w:t>
      </w:r>
    </w:p>
    <w:p>
      <w:pPr>
        <w:pBdr>
          <w:top w:val="single" w:color="auto" w:sz="4" w:space="0"/>
          <w:left w:val="single" w:color="auto" w:sz="4" w:space="0"/>
          <w:bottom w:val="single" w:color="auto" w:sz="4" w:space="0"/>
          <w:right w:val="single" w:color="auto" w:sz="4" w:space="0"/>
        </w:pBdr>
        <w:spacing w:line="380" w:lineRule="exact"/>
        <w:ind w:firstLine="420" w:firstLineChars="200"/>
        <w:rPr>
          <w:rFonts w:ascii="宋体" w:hAnsi="宋体"/>
          <w:bCs/>
          <w:color w:val="auto"/>
        </w:rPr>
      </w:pPr>
      <w:r>
        <w:rPr>
          <w:rFonts w:hint="eastAsia" w:ascii="宋体" w:hAnsi="宋体"/>
          <w:bCs/>
          <w:color w:val="auto"/>
          <w:u w:val="single"/>
        </w:rPr>
        <w:t>蒙山县农村乱占耕地建房状况调查（项目编号：MSZC2020-C3-03365-001）</w:t>
      </w:r>
      <w:r>
        <w:rPr>
          <w:rFonts w:hint="eastAsia" w:ascii="宋体" w:hAnsi="宋体"/>
          <w:bCs/>
          <w:color w:val="auto"/>
        </w:rPr>
        <w:t>项目的潜在供应商应在</w:t>
      </w:r>
      <w:r>
        <w:rPr>
          <w:rFonts w:hint="eastAsia" w:ascii="宋体" w:hAnsi="宋体"/>
          <w:bCs/>
          <w:color w:val="auto"/>
          <w:u w:val="single"/>
        </w:rPr>
        <w:t>梧州市蒙山县公共资源交易平台（http://182.90.118.195:8100）和“政府采购云平台”（https://www.zcy.gov.cn）</w:t>
      </w:r>
      <w:r>
        <w:rPr>
          <w:rFonts w:hint="eastAsia" w:ascii="宋体" w:hAnsi="宋体"/>
          <w:bCs/>
          <w:color w:val="auto"/>
        </w:rPr>
        <w:t>同时获取采购文件，并于</w:t>
      </w:r>
      <w:r>
        <w:rPr>
          <w:rFonts w:hint="eastAsia" w:ascii="宋体" w:hAnsi="宋体"/>
          <w:bCs/>
          <w:color w:val="auto"/>
          <w:u w:val="single"/>
        </w:rPr>
        <w:t>2020年10月20日9时30分</w:t>
      </w:r>
      <w:r>
        <w:rPr>
          <w:rFonts w:hint="eastAsia" w:ascii="宋体" w:hAnsi="宋体"/>
          <w:bCs/>
          <w:color w:val="auto"/>
        </w:rPr>
        <w:t>（北京时间）前提交响应文件。</w:t>
      </w:r>
    </w:p>
    <w:p>
      <w:pPr>
        <w:spacing w:line="380" w:lineRule="exact"/>
        <w:ind w:firstLine="422" w:firstLineChars="200"/>
        <w:rPr>
          <w:rFonts w:ascii="宋体" w:hAnsi="宋体"/>
          <w:b/>
          <w:color w:val="auto"/>
        </w:rPr>
      </w:pPr>
      <w:r>
        <w:rPr>
          <w:rFonts w:hint="eastAsia" w:ascii="宋体" w:hAnsi="宋体"/>
          <w:b/>
          <w:color w:val="auto"/>
        </w:rPr>
        <w:t>一、项目基本情况：</w:t>
      </w:r>
    </w:p>
    <w:p>
      <w:pPr>
        <w:spacing w:line="380" w:lineRule="exact"/>
        <w:ind w:firstLine="420" w:firstLineChars="200"/>
        <w:rPr>
          <w:rFonts w:hint="eastAsia" w:ascii="宋体" w:hAnsi="宋体" w:eastAsia="宋体"/>
          <w:bCs/>
          <w:color w:val="auto"/>
          <w:lang w:eastAsia="zh-CN"/>
        </w:rPr>
      </w:pPr>
      <w:r>
        <w:rPr>
          <w:rFonts w:hint="eastAsia" w:ascii="宋体" w:hAnsi="宋体"/>
          <w:bCs/>
          <w:color w:val="auto"/>
        </w:rPr>
        <w:t>项目编号：</w:t>
      </w:r>
      <w:r>
        <w:rPr>
          <w:rFonts w:hint="eastAsia" w:ascii="宋体" w:hAnsi="宋体"/>
          <w:bCs/>
          <w:color w:val="auto"/>
          <w:lang w:eastAsia="zh-CN"/>
        </w:rPr>
        <w:t>MSZC2020-C3-03365-001</w:t>
      </w:r>
      <w:bookmarkStart w:id="291" w:name="_GoBack"/>
      <w:bookmarkEnd w:id="291"/>
    </w:p>
    <w:p>
      <w:pPr>
        <w:spacing w:line="380" w:lineRule="exact"/>
        <w:ind w:firstLine="420" w:firstLineChars="200"/>
        <w:rPr>
          <w:rFonts w:ascii="宋体" w:hAnsi="宋体"/>
          <w:bCs/>
          <w:color w:val="auto"/>
        </w:rPr>
      </w:pPr>
      <w:r>
        <w:rPr>
          <w:rFonts w:hint="eastAsia" w:ascii="宋体" w:hAnsi="宋体"/>
          <w:bCs/>
          <w:color w:val="auto"/>
        </w:rPr>
        <w:t>项目名称：蒙山县农村乱占耕地建房状况调查</w:t>
      </w:r>
    </w:p>
    <w:p>
      <w:pPr>
        <w:spacing w:line="380" w:lineRule="exact"/>
        <w:ind w:firstLine="420" w:firstLineChars="200"/>
        <w:rPr>
          <w:rFonts w:ascii="宋体" w:hAnsi="宋体"/>
          <w:bCs/>
          <w:color w:val="auto"/>
        </w:rPr>
      </w:pPr>
      <w:r>
        <w:rPr>
          <w:rFonts w:hint="eastAsia" w:ascii="宋体" w:hAnsi="宋体"/>
          <w:bCs/>
          <w:color w:val="auto"/>
        </w:rPr>
        <w:t>采购方式：</w:t>
      </w:r>
      <w:r>
        <w:rPr>
          <w:rFonts w:hint="eastAsia" w:ascii="宋体" w:hAnsi="宋体"/>
          <w:bCs/>
          <w:color w:val="auto"/>
        </w:rPr>
        <w:sym w:font="Wingdings 2" w:char="00A3"/>
      </w:r>
      <w:r>
        <w:rPr>
          <w:rFonts w:hint="eastAsia" w:ascii="宋体" w:hAnsi="宋体"/>
          <w:bCs/>
          <w:color w:val="auto"/>
        </w:rPr>
        <w:t>竞争性谈判</w:t>
      </w:r>
      <w:r>
        <w:rPr>
          <w:rFonts w:hint="eastAsia" w:ascii="MS Mincho" w:hAnsi="MS Mincho" w:cs="MS Mincho"/>
          <w:color w:val="auto"/>
        </w:rPr>
        <w:sym w:font="Wingdings 2" w:char="0052"/>
      </w:r>
      <w:r>
        <w:rPr>
          <w:rFonts w:hint="eastAsia" w:ascii="宋体" w:hAnsi="宋体"/>
          <w:bCs/>
          <w:color w:val="auto"/>
        </w:rPr>
        <w:t>竞争性磋商 □询价</w:t>
      </w:r>
    </w:p>
    <w:p>
      <w:pPr>
        <w:spacing w:line="380" w:lineRule="exact"/>
        <w:ind w:firstLine="420" w:firstLineChars="200"/>
        <w:rPr>
          <w:rFonts w:ascii="宋体" w:hAnsi="宋体"/>
          <w:bCs/>
          <w:color w:val="auto"/>
        </w:rPr>
      </w:pPr>
      <w:r>
        <w:rPr>
          <w:rFonts w:hint="eastAsia" w:ascii="宋体" w:hAnsi="宋体"/>
          <w:bCs/>
          <w:color w:val="auto"/>
        </w:rPr>
        <w:t>预算金额：150万元。</w:t>
      </w:r>
    </w:p>
    <w:p>
      <w:pPr>
        <w:spacing w:line="380" w:lineRule="exact"/>
        <w:ind w:firstLine="420" w:firstLineChars="200"/>
        <w:rPr>
          <w:rFonts w:ascii="宋体" w:hAnsi="宋体"/>
          <w:bCs/>
          <w:color w:val="auto"/>
        </w:rPr>
      </w:pPr>
      <w:r>
        <w:rPr>
          <w:rFonts w:hint="eastAsia" w:ascii="宋体" w:hAnsi="宋体"/>
          <w:bCs/>
          <w:color w:val="auto"/>
        </w:rPr>
        <w:t>采购需求：见下表，如需进一步了解,详见竞争性磋商文件。</w:t>
      </w:r>
    </w:p>
    <w:tbl>
      <w:tblPr>
        <w:tblStyle w:val="31"/>
        <w:tblpPr w:leftFromText="180" w:rightFromText="180" w:vertAnchor="text" w:horzAnchor="page" w:tblpX="1376" w:tblpY="266"/>
        <w:tblOverlap w:val="never"/>
        <w:tblW w:w="91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2004"/>
        <w:gridCol w:w="4728"/>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24" w:type="dxa"/>
            <w:noWrap/>
            <w:vAlign w:val="center"/>
          </w:tcPr>
          <w:p>
            <w:pPr>
              <w:pStyle w:val="77"/>
              <w:ind w:right="105"/>
              <w:jc w:val="center"/>
              <w:rPr>
                <w:rFonts w:ascii="宋体" w:hAnsi="宋体" w:cs="宋体"/>
                <w:color w:val="auto"/>
                <w:szCs w:val="21"/>
              </w:rPr>
            </w:pPr>
            <w:r>
              <w:rPr>
                <w:rFonts w:hint="eastAsia" w:ascii="宋体" w:hAnsi="宋体" w:cs="宋体"/>
                <w:color w:val="auto"/>
                <w:szCs w:val="21"/>
              </w:rPr>
              <w:t>序号</w:t>
            </w:r>
          </w:p>
        </w:tc>
        <w:tc>
          <w:tcPr>
            <w:tcW w:w="2004" w:type="dxa"/>
            <w:noWrap/>
            <w:vAlign w:val="center"/>
          </w:tcPr>
          <w:p>
            <w:pPr>
              <w:pStyle w:val="77"/>
              <w:jc w:val="center"/>
              <w:rPr>
                <w:rFonts w:ascii="宋体" w:hAnsi="宋体" w:cs="宋体"/>
                <w:color w:val="auto"/>
                <w:szCs w:val="21"/>
              </w:rPr>
            </w:pPr>
          </w:p>
          <w:p>
            <w:pPr>
              <w:pStyle w:val="77"/>
              <w:ind w:left="149" w:right="140"/>
              <w:jc w:val="center"/>
              <w:rPr>
                <w:rFonts w:ascii="宋体" w:hAnsi="宋体" w:cs="宋体"/>
                <w:color w:val="auto"/>
                <w:szCs w:val="21"/>
              </w:rPr>
            </w:pPr>
            <w:r>
              <w:rPr>
                <w:rFonts w:hint="eastAsia" w:cs="宋体"/>
                <w:color w:val="auto"/>
                <w:szCs w:val="21"/>
              </w:rPr>
              <w:t>采购名称</w:t>
            </w:r>
          </w:p>
        </w:tc>
        <w:tc>
          <w:tcPr>
            <w:tcW w:w="4728" w:type="dxa"/>
            <w:noWrap/>
            <w:vAlign w:val="center"/>
          </w:tcPr>
          <w:p>
            <w:pPr>
              <w:pStyle w:val="77"/>
              <w:jc w:val="center"/>
              <w:rPr>
                <w:rFonts w:ascii="宋体" w:hAnsi="宋体" w:cs="宋体"/>
                <w:color w:val="auto"/>
                <w:szCs w:val="21"/>
              </w:rPr>
            </w:pPr>
          </w:p>
          <w:p>
            <w:pPr>
              <w:pStyle w:val="77"/>
              <w:ind w:right="151"/>
              <w:jc w:val="center"/>
              <w:rPr>
                <w:rFonts w:ascii="宋体" w:hAnsi="宋体" w:cs="宋体"/>
                <w:color w:val="auto"/>
                <w:szCs w:val="21"/>
              </w:rPr>
            </w:pPr>
            <w:r>
              <w:rPr>
                <w:rFonts w:hint="eastAsia" w:ascii="宋体" w:hAnsi="宋体" w:cs="宋体"/>
                <w:color w:val="auto"/>
                <w:szCs w:val="21"/>
              </w:rPr>
              <w:t>工作内容</w:t>
            </w:r>
          </w:p>
        </w:tc>
        <w:tc>
          <w:tcPr>
            <w:tcW w:w="1800" w:type="dxa"/>
            <w:noWrap/>
            <w:vAlign w:val="center"/>
          </w:tcPr>
          <w:p>
            <w:pPr>
              <w:pStyle w:val="77"/>
              <w:jc w:val="center"/>
              <w:rPr>
                <w:rFonts w:ascii="宋体" w:hAnsi="宋体" w:cs="宋体"/>
                <w:color w:val="auto"/>
                <w:szCs w:val="21"/>
              </w:rPr>
            </w:pPr>
          </w:p>
          <w:p>
            <w:pPr>
              <w:pStyle w:val="77"/>
              <w:jc w:val="center"/>
              <w:rPr>
                <w:rFonts w:ascii="宋体" w:hAnsi="宋体" w:cs="宋体"/>
                <w:color w:val="auto"/>
                <w:szCs w:val="21"/>
              </w:rPr>
            </w:pPr>
            <w:r>
              <w:rPr>
                <w:rFonts w:hint="eastAsia" w:ascii="宋体" w:hAnsi="宋体" w:cs="宋体"/>
                <w:color w:val="auto"/>
                <w:szCs w:val="21"/>
              </w:rPr>
              <w:t>数量(约）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0" w:hRule="atLeast"/>
        </w:trPr>
        <w:tc>
          <w:tcPr>
            <w:tcW w:w="624" w:type="dxa"/>
            <w:noWrap/>
          </w:tcPr>
          <w:p>
            <w:pPr>
              <w:pStyle w:val="77"/>
              <w:jc w:val="center"/>
              <w:rPr>
                <w:rFonts w:ascii="宋体" w:hAnsi="宋体" w:cs="宋体"/>
                <w:color w:val="auto"/>
                <w:szCs w:val="21"/>
              </w:rPr>
            </w:pPr>
          </w:p>
          <w:p>
            <w:pPr>
              <w:pStyle w:val="77"/>
              <w:ind w:right="158"/>
              <w:jc w:val="center"/>
              <w:rPr>
                <w:rFonts w:ascii="宋体" w:hAnsi="宋体" w:cs="宋体"/>
                <w:color w:val="auto"/>
                <w:szCs w:val="21"/>
              </w:rPr>
            </w:pPr>
          </w:p>
          <w:p>
            <w:pPr>
              <w:pStyle w:val="77"/>
              <w:ind w:right="158"/>
              <w:jc w:val="center"/>
              <w:rPr>
                <w:rFonts w:ascii="宋体" w:hAnsi="宋体" w:cs="宋体"/>
                <w:color w:val="auto"/>
                <w:szCs w:val="21"/>
              </w:rPr>
            </w:pPr>
            <w:r>
              <w:rPr>
                <w:rFonts w:hint="eastAsia" w:ascii="宋体" w:hAnsi="宋体" w:cs="宋体"/>
                <w:color w:val="auto"/>
                <w:szCs w:val="21"/>
              </w:rPr>
              <w:t>1</w:t>
            </w:r>
          </w:p>
        </w:tc>
        <w:tc>
          <w:tcPr>
            <w:tcW w:w="2004" w:type="dxa"/>
            <w:noWrap/>
            <w:vAlign w:val="center"/>
          </w:tcPr>
          <w:p>
            <w:pPr>
              <w:pStyle w:val="37"/>
              <w:ind w:firstLine="0" w:firstLineChars="0"/>
              <w:rPr>
                <w:rFonts w:ascii="宋体" w:hAnsi="宋体" w:cs="宋体"/>
                <w:color w:val="auto"/>
                <w:szCs w:val="21"/>
              </w:rPr>
            </w:pPr>
            <w:r>
              <w:rPr>
                <w:rFonts w:hint="eastAsia" w:ascii="宋体" w:hAnsi="宋体" w:cs="宋体"/>
                <w:color w:val="auto"/>
                <w:szCs w:val="21"/>
              </w:rPr>
              <w:t>蒙山县农村乱占耕地建房状况调查</w:t>
            </w:r>
          </w:p>
        </w:tc>
        <w:tc>
          <w:tcPr>
            <w:tcW w:w="4728" w:type="dxa"/>
            <w:noWrap/>
            <w:vAlign w:val="center"/>
          </w:tcPr>
          <w:p>
            <w:pPr>
              <w:pStyle w:val="37"/>
              <w:autoSpaceDE w:val="0"/>
              <w:autoSpaceDN w:val="0"/>
              <w:spacing w:line="216" w:lineRule="auto"/>
              <w:rPr>
                <w:rFonts w:ascii="宋体" w:hAnsi="宋体" w:cs="宋体"/>
                <w:color w:val="auto"/>
                <w:szCs w:val="22"/>
                <w:lang w:val="zh-CN"/>
              </w:rPr>
            </w:pPr>
            <w:r>
              <w:rPr>
                <w:rFonts w:hint="eastAsia" w:ascii="宋体" w:hAnsi="宋体" w:cs="宋体"/>
                <w:color w:val="auto"/>
                <w:szCs w:val="21"/>
              </w:rPr>
              <w:t>工作内容包括</w:t>
            </w:r>
            <w:r>
              <w:rPr>
                <w:rFonts w:hint="eastAsia" w:cs="宋体"/>
                <w:color w:val="auto"/>
                <w:szCs w:val="21"/>
              </w:rPr>
              <w:t>前期资料收集和业务培训工作，</w:t>
            </w:r>
            <w:r>
              <w:rPr>
                <w:rFonts w:hint="eastAsia" w:ascii="宋体" w:hAnsi="宋体" w:cs="宋体"/>
                <w:color w:val="auto"/>
                <w:szCs w:val="22"/>
                <w:lang w:val="zh-CN"/>
              </w:rPr>
              <w:t>标段范围内</w:t>
            </w:r>
          </w:p>
          <w:p>
            <w:pPr>
              <w:pStyle w:val="37"/>
              <w:autoSpaceDE w:val="0"/>
              <w:autoSpaceDN w:val="0"/>
              <w:spacing w:line="216" w:lineRule="auto"/>
              <w:ind w:firstLine="0" w:firstLineChars="0"/>
              <w:rPr>
                <w:rFonts w:ascii="宋体" w:hAnsi="宋体" w:cs="宋体"/>
                <w:color w:val="auto"/>
                <w:szCs w:val="22"/>
                <w:lang w:val="zh-CN"/>
              </w:rPr>
            </w:pPr>
            <w:r>
              <w:rPr>
                <w:rFonts w:hint="eastAsia" w:ascii="宋体" w:hAnsi="宋体" w:cs="宋体"/>
                <w:color w:val="auto"/>
                <w:szCs w:val="22"/>
                <w:lang w:val="zh-CN"/>
              </w:rPr>
              <w:t>（1）项目准备工作；</w:t>
            </w:r>
          </w:p>
          <w:p>
            <w:pPr>
              <w:pStyle w:val="37"/>
              <w:autoSpaceDE w:val="0"/>
              <w:autoSpaceDN w:val="0"/>
              <w:spacing w:line="216" w:lineRule="auto"/>
              <w:ind w:firstLine="0" w:firstLineChars="0"/>
              <w:rPr>
                <w:rFonts w:ascii="宋体" w:hAnsi="宋体" w:cs="宋体"/>
                <w:color w:val="auto"/>
                <w:szCs w:val="22"/>
                <w:lang w:val="zh-CN"/>
              </w:rPr>
            </w:pPr>
            <w:r>
              <w:rPr>
                <w:rFonts w:hint="eastAsia" w:ascii="宋体" w:hAnsi="宋体" w:cs="宋体"/>
                <w:color w:val="auto"/>
                <w:szCs w:val="22"/>
                <w:lang w:val="zh-CN"/>
              </w:rPr>
              <w:t>（2）实地开展调查摸排工作及拍照举证工作；</w:t>
            </w:r>
          </w:p>
          <w:p>
            <w:pPr>
              <w:pStyle w:val="37"/>
              <w:autoSpaceDE w:val="0"/>
              <w:autoSpaceDN w:val="0"/>
              <w:spacing w:line="216" w:lineRule="auto"/>
              <w:ind w:firstLine="0" w:firstLineChars="0"/>
              <w:rPr>
                <w:rFonts w:ascii="宋体" w:hAnsi="宋体" w:cs="宋体"/>
                <w:color w:val="auto"/>
                <w:szCs w:val="21"/>
                <w:lang w:val="zh-CN"/>
              </w:rPr>
            </w:pPr>
            <w:r>
              <w:rPr>
                <w:rFonts w:hint="eastAsia" w:ascii="宋体" w:hAnsi="宋体" w:cs="宋体"/>
                <w:color w:val="auto"/>
                <w:szCs w:val="22"/>
                <w:lang w:val="zh-CN"/>
              </w:rPr>
              <w:t>（</w:t>
            </w:r>
            <w:r>
              <w:rPr>
                <w:rFonts w:hint="eastAsia" w:ascii="宋体" w:hAnsi="宋体" w:cs="宋体"/>
                <w:color w:val="auto"/>
                <w:szCs w:val="21"/>
              </w:rPr>
              <w:t>3</w:t>
            </w:r>
            <w:r>
              <w:rPr>
                <w:rFonts w:hint="eastAsia" w:ascii="宋体" w:hAnsi="宋体" w:cs="宋体"/>
                <w:color w:val="auto"/>
                <w:szCs w:val="21"/>
                <w:lang w:val="zh-CN"/>
              </w:rPr>
              <w:t>）</w:t>
            </w:r>
            <w:r>
              <w:rPr>
                <w:rFonts w:hint="eastAsia" w:ascii="宋体" w:hAnsi="宋体" w:cs="宋体"/>
                <w:color w:val="auto"/>
                <w:szCs w:val="21"/>
              </w:rPr>
              <w:t>蒙山县农村乱占耕地建房问题摸排</w:t>
            </w:r>
            <w:r>
              <w:rPr>
                <w:rFonts w:hint="eastAsia" w:ascii="宋体" w:hAnsi="宋体" w:cs="宋体"/>
                <w:color w:val="auto"/>
                <w:szCs w:val="21"/>
                <w:lang w:val="zh-CN"/>
              </w:rPr>
              <w:t>数据库建设和内业数据调查核实及分类造册形成台账工作；</w:t>
            </w:r>
          </w:p>
          <w:p>
            <w:pPr>
              <w:pStyle w:val="37"/>
              <w:autoSpaceDE w:val="0"/>
              <w:autoSpaceDN w:val="0"/>
              <w:spacing w:line="216" w:lineRule="auto"/>
              <w:ind w:firstLine="0" w:firstLineChars="0"/>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4</w:t>
            </w:r>
            <w:r>
              <w:rPr>
                <w:rFonts w:hint="eastAsia" w:ascii="宋体" w:hAnsi="宋体" w:cs="宋体"/>
                <w:color w:val="auto"/>
                <w:szCs w:val="21"/>
                <w:lang w:val="zh-CN"/>
              </w:rPr>
              <w:t>）统一数据汇交工作；</w:t>
            </w:r>
          </w:p>
          <w:p>
            <w:pPr>
              <w:pStyle w:val="77"/>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2"/>
                <w:lang w:val="zh-CN"/>
              </w:rPr>
              <w:t>5)核实纠正工作，上报最终摸排成果。</w:t>
            </w:r>
          </w:p>
        </w:tc>
        <w:tc>
          <w:tcPr>
            <w:tcW w:w="1800" w:type="dxa"/>
            <w:noWrap/>
            <w:vAlign w:val="center"/>
          </w:tcPr>
          <w:p>
            <w:pPr>
              <w:pStyle w:val="77"/>
              <w:ind w:right="212" w:firstLine="210" w:firstLineChars="100"/>
              <w:jc w:val="center"/>
              <w:rPr>
                <w:rFonts w:ascii="宋体" w:hAnsi="宋体" w:cs="宋体"/>
                <w:color w:val="auto"/>
                <w:szCs w:val="21"/>
              </w:rPr>
            </w:pPr>
            <w:r>
              <w:rPr>
                <w:rFonts w:hint="eastAsia" w:cs="宋体"/>
                <w:color w:val="auto"/>
                <w:szCs w:val="21"/>
              </w:rPr>
              <w:t>10526个图斑</w:t>
            </w:r>
          </w:p>
        </w:tc>
      </w:tr>
    </w:tbl>
    <w:p>
      <w:pPr>
        <w:pStyle w:val="22"/>
        <w:jc w:val="center"/>
        <w:rPr>
          <w:color w:val="auto"/>
        </w:rPr>
      </w:pPr>
    </w:p>
    <w:p>
      <w:pPr>
        <w:pStyle w:val="22"/>
        <w:rPr>
          <w:color w:val="auto"/>
        </w:rPr>
      </w:pPr>
    </w:p>
    <w:p>
      <w:pPr>
        <w:spacing w:line="380" w:lineRule="exact"/>
        <w:ind w:firstLine="420" w:firstLineChars="200"/>
        <w:rPr>
          <w:rFonts w:ascii="宋体" w:hAnsi="宋体"/>
          <w:bCs/>
          <w:color w:val="auto"/>
        </w:rPr>
      </w:pPr>
      <w:r>
        <w:rPr>
          <w:rFonts w:hint="eastAsia" w:ascii="宋体" w:hAnsi="宋体"/>
          <w:bCs/>
          <w:color w:val="auto"/>
        </w:rPr>
        <w:t>合同履约期限：要求在2021年2月28日前完成（按广西壮族自治区自然资源厅对农村乱占耕地建房问题摸排工作的相关文件要求规定的时限）。</w:t>
      </w:r>
    </w:p>
    <w:p>
      <w:pPr>
        <w:spacing w:line="380" w:lineRule="exact"/>
        <w:ind w:firstLine="420" w:firstLineChars="200"/>
        <w:rPr>
          <w:rFonts w:ascii="宋体" w:hAnsi="宋体"/>
          <w:bCs/>
          <w:color w:val="auto"/>
        </w:rPr>
      </w:pPr>
      <w:r>
        <w:rPr>
          <w:rFonts w:hint="eastAsia" w:ascii="宋体" w:hAnsi="宋体"/>
          <w:bCs/>
          <w:color w:val="auto"/>
        </w:rPr>
        <w:t>本项目</w:t>
      </w:r>
      <w:r>
        <w:rPr>
          <w:rFonts w:hint="eastAsia" w:ascii="宋体" w:hAnsi="宋体"/>
          <w:bCs/>
          <w:color w:val="auto"/>
          <w:u w:val="single"/>
        </w:rPr>
        <w:t>不接受</w:t>
      </w:r>
      <w:r>
        <w:rPr>
          <w:rFonts w:hint="eastAsia" w:ascii="宋体" w:hAnsi="宋体"/>
          <w:bCs/>
          <w:color w:val="auto"/>
        </w:rPr>
        <w:t>联合体。</w:t>
      </w:r>
    </w:p>
    <w:p>
      <w:pPr>
        <w:spacing w:line="380" w:lineRule="exact"/>
        <w:ind w:firstLine="422" w:firstLineChars="200"/>
        <w:rPr>
          <w:rFonts w:ascii="宋体" w:hAnsi="宋体"/>
          <w:b/>
          <w:color w:val="auto"/>
        </w:rPr>
      </w:pPr>
      <w:r>
        <w:rPr>
          <w:rFonts w:hint="eastAsia" w:ascii="宋体" w:hAnsi="宋体"/>
          <w:b/>
          <w:color w:val="auto"/>
        </w:rPr>
        <w:t>二、申请人的资格要求：</w:t>
      </w:r>
    </w:p>
    <w:p>
      <w:pPr>
        <w:spacing w:line="380" w:lineRule="exact"/>
        <w:ind w:firstLine="420" w:firstLineChars="200"/>
        <w:rPr>
          <w:rFonts w:ascii="宋体" w:hAnsi="宋体"/>
          <w:bCs/>
          <w:color w:val="auto"/>
        </w:rPr>
      </w:pPr>
      <w:r>
        <w:rPr>
          <w:rFonts w:hint="eastAsia" w:ascii="宋体" w:hAnsi="宋体"/>
          <w:bCs/>
          <w:color w:val="auto"/>
        </w:rPr>
        <w:t>1、符合《中华人民共和国政府采购法》第二十二条规定的资格条件，并在人员、设备、资金等方面具有相应的能力。</w:t>
      </w:r>
    </w:p>
    <w:p>
      <w:pPr>
        <w:spacing w:line="380" w:lineRule="exact"/>
        <w:ind w:firstLine="420" w:firstLineChars="200"/>
        <w:rPr>
          <w:rFonts w:ascii="宋体" w:hAnsi="宋体"/>
          <w:bCs/>
          <w:color w:val="auto"/>
        </w:rPr>
      </w:pPr>
      <w:r>
        <w:rPr>
          <w:rFonts w:hint="eastAsia" w:ascii="宋体" w:hAnsi="宋体"/>
          <w:bCs/>
          <w:color w:val="auto"/>
        </w:rPr>
        <w:t>（1）具有独立承担民事责任的能力；</w:t>
      </w:r>
    </w:p>
    <w:p>
      <w:pPr>
        <w:spacing w:line="380" w:lineRule="exact"/>
        <w:ind w:firstLine="420" w:firstLineChars="200"/>
        <w:rPr>
          <w:rFonts w:ascii="宋体" w:hAnsi="宋体"/>
          <w:bCs/>
          <w:color w:val="auto"/>
        </w:rPr>
      </w:pPr>
      <w:r>
        <w:rPr>
          <w:rFonts w:hint="eastAsia" w:ascii="宋体" w:hAnsi="宋体"/>
          <w:bCs/>
          <w:color w:val="auto"/>
        </w:rPr>
        <w:t>（2）具有良好的商业信誉和健全的财务会计制度；</w:t>
      </w:r>
    </w:p>
    <w:p>
      <w:pPr>
        <w:spacing w:line="380" w:lineRule="exact"/>
        <w:ind w:firstLine="420" w:firstLineChars="200"/>
        <w:rPr>
          <w:rFonts w:ascii="宋体" w:hAnsi="宋体"/>
          <w:bCs/>
          <w:color w:val="auto"/>
        </w:rPr>
      </w:pPr>
      <w:r>
        <w:rPr>
          <w:rFonts w:hint="eastAsia" w:ascii="宋体" w:hAnsi="宋体"/>
          <w:bCs/>
          <w:color w:val="auto"/>
        </w:rPr>
        <w:t>（3）具有履行合同所必需的设备和专业技术能力；</w:t>
      </w:r>
    </w:p>
    <w:p>
      <w:pPr>
        <w:spacing w:line="380" w:lineRule="exact"/>
        <w:ind w:firstLine="420" w:firstLineChars="200"/>
        <w:rPr>
          <w:rFonts w:ascii="宋体" w:hAnsi="宋体"/>
          <w:bCs/>
          <w:color w:val="auto"/>
        </w:rPr>
      </w:pPr>
      <w:r>
        <w:rPr>
          <w:rFonts w:hint="eastAsia" w:ascii="宋体" w:hAnsi="宋体"/>
          <w:bCs/>
          <w:color w:val="auto"/>
        </w:rPr>
        <w:t>（4）有依法缴纳税收和社会保障资金的良好记录；</w:t>
      </w:r>
    </w:p>
    <w:p>
      <w:pPr>
        <w:spacing w:line="380" w:lineRule="exact"/>
        <w:ind w:firstLine="420" w:firstLineChars="200"/>
        <w:rPr>
          <w:rFonts w:ascii="宋体" w:hAnsi="宋体"/>
          <w:bCs/>
          <w:color w:val="auto"/>
        </w:rPr>
      </w:pPr>
      <w:r>
        <w:rPr>
          <w:rFonts w:hint="eastAsia" w:ascii="宋体" w:hAnsi="宋体"/>
          <w:bCs/>
          <w:color w:val="auto"/>
        </w:rPr>
        <w:t>（5）参加政府采购活动前三年内，在经营活动中没有重大违法记录；</w:t>
      </w:r>
    </w:p>
    <w:p>
      <w:pPr>
        <w:spacing w:line="380" w:lineRule="exact"/>
        <w:ind w:firstLine="420" w:firstLineChars="200"/>
        <w:rPr>
          <w:rFonts w:ascii="宋体" w:hAnsi="宋体"/>
          <w:bCs/>
          <w:color w:val="auto"/>
        </w:rPr>
      </w:pPr>
      <w:r>
        <w:rPr>
          <w:rFonts w:hint="eastAsia" w:ascii="宋体" w:hAnsi="宋体"/>
          <w:bCs/>
          <w:color w:val="auto"/>
        </w:rPr>
        <w:t>（6）法律、行政法规规定的其他条件。</w:t>
      </w:r>
    </w:p>
    <w:p>
      <w:pPr>
        <w:spacing w:line="380" w:lineRule="exact"/>
        <w:ind w:firstLine="420" w:firstLineChars="200"/>
        <w:rPr>
          <w:rFonts w:ascii="宋体" w:hAnsi="宋体"/>
          <w:bCs/>
          <w:color w:val="auto"/>
        </w:rPr>
      </w:pPr>
      <w:r>
        <w:rPr>
          <w:rFonts w:hint="eastAsia" w:ascii="宋体" w:hAnsi="宋体"/>
          <w:bCs/>
          <w:color w:val="auto"/>
        </w:rPr>
        <w:t>2.本项目需落实的政府采购政策：《政府采购促进中小企业发展暂行办法》（财库[2011]181号）、财政部司法部《关于政府采购支持监狱企业发展有关问题的通知》（财库[2014]68号）、财政部《环保总局关于环境标志产品政府采购实施的意见》（财库[2006]90号）、财政部国家发展改革委关于印发《节能产品政府采购实施意见》的通知（财库[2004]185号）、《财政部民政部中国残疾人联合会关于促进残疾人就业政府采购政策的通知》（财库〔2017〕141号）等政府采购相关政策。</w:t>
      </w:r>
    </w:p>
    <w:p>
      <w:pPr>
        <w:snapToGrid w:val="0"/>
        <w:spacing w:line="360" w:lineRule="exact"/>
        <w:ind w:firstLine="420" w:firstLineChars="200"/>
        <w:rPr>
          <w:rFonts w:ascii="宋体" w:hAnsi="宋体" w:cs="Arial"/>
          <w:color w:val="auto"/>
          <w:szCs w:val="21"/>
        </w:rPr>
      </w:pPr>
      <w:r>
        <w:rPr>
          <w:rFonts w:hint="eastAsia" w:ascii="宋体" w:hAnsi="宋体" w:cs="Arial"/>
          <w:color w:val="auto"/>
          <w:szCs w:val="21"/>
        </w:rPr>
        <w:t>3、国内注册（指按国家有关规定要求注册的）经营本次服务的供应商，并具备独立法人资格。</w:t>
      </w:r>
    </w:p>
    <w:p>
      <w:pPr>
        <w:snapToGrid w:val="0"/>
        <w:spacing w:line="360" w:lineRule="exact"/>
        <w:ind w:firstLine="420" w:firstLineChars="200"/>
        <w:rPr>
          <w:rFonts w:ascii="宋体" w:hAnsi="宋体" w:cs="宋体"/>
          <w:color w:val="auto"/>
          <w:szCs w:val="21"/>
        </w:rPr>
      </w:pPr>
      <w:r>
        <w:rPr>
          <w:rFonts w:hint="eastAsia" w:ascii="宋体" w:hAnsi="宋体" w:cs="Arial"/>
          <w:color w:val="auto"/>
          <w:szCs w:val="21"/>
        </w:rPr>
        <w:t>4、具有测绘地理信息行政主管部门颁发的乙级测绘资质证书（乙级测绘资质范围必须包含不动产测绘、工程测量、地理信息系统工程三项内容），并具备相应的技术、设备、经济能力和良好信誉的供应商。</w:t>
      </w:r>
    </w:p>
    <w:p>
      <w:pPr>
        <w:snapToGrid w:val="0"/>
        <w:spacing w:line="360" w:lineRule="exact"/>
        <w:ind w:firstLine="420" w:firstLineChars="200"/>
        <w:rPr>
          <w:rFonts w:ascii="宋体" w:hAnsi="宋体" w:cs="Arial"/>
          <w:color w:val="auto"/>
          <w:szCs w:val="21"/>
        </w:rPr>
      </w:pPr>
      <w:r>
        <w:rPr>
          <w:rFonts w:hint="eastAsia" w:ascii="宋体" w:hAnsi="宋体" w:cs="Arial"/>
          <w:color w:val="auto"/>
          <w:szCs w:val="21"/>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360" w:lineRule="exact"/>
        <w:ind w:firstLine="420" w:firstLineChars="200"/>
        <w:rPr>
          <w:rFonts w:ascii="宋体" w:hAnsi="宋体" w:cs="Arial"/>
          <w:color w:val="auto"/>
          <w:szCs w:val="21"/>
        </w:rPr>
      </w:pPr>
      <w:r>
        <w:rPr>
          <w:rFonts w:hint="eastAsia" w:ascii="宋体" w:hAnsi="宋体" w:cs="Arial"/>
          <w:color w:val="auto"/>
          <w:szCs w:val="21"/>
        </w:rPr>
        <w:t>6、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采购活动。</w:t>
      </w:r>
    </w:p>
    <w:p>
      <w:pPr>
        <w:spacing w:line="380" w:lineRule="exact"/>
        <w:ind w:firstLine="422" w:firstLineChars="200"/>
        <w:rPr>
          <w:rFonts w:ascii="宋体" w:hAnsi="宋体"/>
          <w:b/>
          <w:color w:val="auto"/>
        </w:rPr>
      </w:pPr>
      <w:r>
        <w:rPr>
          <w:rFonts w:hint="eastAsia" w:ascii="宋体" w:hAnsi="宋体"/>
          <w:b/>
          <w:color w:val="auto"/>
        </w:rPr>
        <w:t>三、获取采购文件</w:t>
      </w:r>
    </w:p>
    <w:p>
      <w:pPr>
        <w:ind w:firstLine="420" w:firstLineChars="200"/>
        <w:rPr>
          <w:rFonts w:ascii="宋体" w:hAnsi="宋体"/>
          <w:bCs/>
          <w:color w:val="auto"/>
        </w:rPr>
      </w:pPr>
      <w:r>
        <w:rPr>
          <w:rFonts w:hint="eastAsia" w:ascii="宋体" w:hAnsi="宋体"/>
          <w:bCs/>
          <w:color w:val="auto"/>
        </w:rPr>
        <w:t>时间：</w:t>
      </w:r>
      <w:r>
        <w:rPr>
          <w:rFonts w:hint="eastAsia" w:ascii="宋体" w:hAnsi="宋体"/>
          <w:bCs/>
          <w:color w:val="auto"/>
        </w:rPr>
        <w:t>2020年10月10日</w:t>
      </w:r>
      <w:r>
        <w:rPr>
          <w:rFonts w:hint="eastAsia" w:ascii="宋体" w:hAnsi="宋体"/>
          <w:bCs/>
          <w:color w:val="auto"/>
        </w:rPr>
        <w:t>至响应文件提交截止时间前止；</w:t>
      </w:r>
    </w:p>
    <w:p>
      <w:pPr>
        <w:ind w:firstLine="420" w:firstLineChars="200"/>
        <w:rPr>
          <w:rFonts w:ascii="宋体" w:hAnsi="宋体"/>
          <w:bCs/>
          <w:color w:val="auto"/>
        </w:rPr>
      </w:pPr>
      <w:r>
        <w:rPr>
          <w:rFonts w:hint="eastAsia" w:ascii="宋体" w:hAnsi="宋体"/>
          <w:bCs/>
          <w:color w:val="auto"/>
        </w:rPr>
        <w:t>地点：“梧州市蒙山县公共资源交易平台”（http://182.90.118.195:8100）、“政府采购云平台”（https://www.zcy.gov.cn）</w:t>
      </w:r>
    </w:p>
    <w:p>
      <w:pPr>
        <w:spacing w:line="380" w:lineRule="exact"/>
        <w:ind w:firstLine="420" w:firstLineChars="200"/>
        <w:rPr>
          <w:rFonts w:ascii="宋体" w:hAnsi="宋体"/>
          <w:bCs/>
          <w:color w:val="auto"/>
        </w:rPr>
      </w:pPr>
      <w:r>
        <w:rPr>
          <w:rFonts w:hint="eastAsia" w:ascii="宋体" w:hAnsi="宋体"/>
          <w:bCs/>
          <w:color w:val="auto"/>
        </w:rPr>
        <w:t>方式：登陆“梧州市蒙山县公共资源交易平台”（http://182.90.118.195:8100）和“政府采购云平台”（https://www.zcy.gov.cn）同时下载招标文件。</w:t>
      </w:r>
    </w:p>
    <w:p>
      <w:pPr>
        <w:spacing w:line="380" w:lineRule="exact"/>
        <w:ind w:firstLine="422" w:firstLineChars="200"/>
        <w:rPr>
          <w:rFonts w:ascii="宋体" w:hAnsi="宋体"/>
          <w:b/>
          <w:color w:val="auto"/>
        </w:rPr>
      </w:pPr>
      <w:r>
        <w:rPr>
          <w:rFonts w:hint="eastAsia" w:ascii="宋体" w:hAnsi="宋体"/>
          <w:b/>
          <w:color w:val="auto"/>
        </w:rPr>
        <w:t>四、响应文件提交</w:t>
      </w:r>
    </w:p>
    <w:p>
      <w:pPr>
        <w:spacing w:line="380" w:lineRule="exact"/>
        <w:ind w:firstLine="420" w:firstLineChars="200"/>
        <w:rPr>
          <w:rFonts w:ascii="宋体" w:hAnsi="宋体"/>
          <w:bCs/>
          <w:color w:val="auto"/>
        </w:rPr>
      </w:pPr>
      <w:r>
        <w:rPr>
          <w:rFonts w:hint="eastAsia" w:ascii="宋体" w:hAnsi="宋体"/>
          <w:bCs/>
          <w:color w:val="auto"/>
        </w:rPr>
        <w:t>截止时间</w:t>
      </w:r>
      <w:r>
        <w:rPr>
          <w:rFonts w:hint="eastAsia" w:ascii="宋体" w:hAnsi="宋体"/>
          <w:bCs/>
          <w:color w:val="auto"/>
        </w:rPr>
        <w:t>：2020年10月20日9时30分</w:t>
      </w:r>
      <w:r>
        <w:rPr>
          <w:rFonts w:hint="eastAsia" w:ascii="宋体" w:hAnsi="宋体"/>
          <w:bCs/>
          <w:color w:val="auto"/>
        </w:rPr>
        <w:t>（北京时间）</w:t>
      </w:r>
    </w:p>
    <w:p>
      <w:pPr>
        <w:spacing w:line="380" w:lineRule="exact"/>
        <w:ind w:firstLine="420" w:firstLineChars="200"/>
        <w:rPr>
          <w:rFonts w:ascii="宋体" w:hAnsi="宋体"/>
          <w:bCs/>
          <w:color w:val="auto"/>
        </w:rPr>
      </w:pPr>
      <w:r>
        <w:rPr>
          <w:rFonts w:hint="eastAsia" w:ascii="宋体" w:hAnsi="宋体"/>
          <w:bCs/>
          <w:color w:val="auto"/>
        </w:rPr>
        <w:t>地点：蒙山县公共资源交易中心开标厅（即县政务服务中心四楼）。</w:t>
      </w:r>
    </w:p>
    <w:p>
      <w:pPr>
        <w:spacing w:line="380" w:lineRule="exact"/>
        <w:ind w:firstLine="422" w:firstLineChars="200"/>
        <w:rPr>
          <w:rFonts w:ascii="宋体" w:hAnsi="宋体"/>
          <w:b/>
          <w:color w:val="auto"/>
        </w:rPr>
      </w:pPr>
      <w:r>
        <w:rPr>
          <w:rFonts w:hint="eastAsia" w:ascii="宋体" w:hAnsi="宋体"/>
          <w:b/>
          <w:color w:val="auto"/>
        </w:rPr>
        <w:t>五、开启</w:t>
      </w:r>
    </w:p>
    <w:p>
      <w:pPr>
        <w:spacing w:line="380" w:lineRule="exact"/>
        <w:ind w:firstLine="420" w:firstLineChars="200"/>
        <w:rPr>
          <w:rFonts w:ascii="宋体" w:hAnsi="宋体"/>
          <w:bCs/>
          <w:color w:val="auto"/>
        </w:rPr>
      </w:pPr>
      <w:r>
        <w:rPr>
          <w:rFonts w:hint="eastAsia" w:ascii="宋体" w:hAnsi="宋体"/>
          <w:bCs/>
          <w:color w:val="auto"/>
        </w:rPr>
        <w:t>时间：</w:t>
      </w:r>
      <w:r>
        <w:rPr>
          <w:rFonts w:hint="eastAsia" w:ascii="宋体" w:hAnsi="宋体"/>
          <w:bCs/>
          <w:color w:val="auto"/>
        </w:rPr>
        <w:t>2020年10月20日9时30分（北京时间）</w:t>
      </w:r>
      <w:r>
        <w:rPr>
          <w:rFonts w:hint="eastAsia" w:ascii="宋体" w:hAnsi="宋体"/>
          <w:bCs/>
          <w:color w:val="auto"/>
        </w:rPr>
        <w:t>响应文件截止时间后，具体时间根据现场通知为准。</w:t>
      </w:r>
    </w:p>
    <w:p>
      <w:pPr>
        <w:spacing w:line="380" w:lineRule="exact"/>
        <w:ind w:firstLine="420" w:firstLineChars="200"/>
        <w:rPr>
          <w:rFonts w:ascii="宋体" w:hAnsi="宋体"/>
          <w:bCs/>
          <w:color w:val="auto"/>
        </w:rPr>
      </w:pPr>
      <w:r>
        <w:rPr>
          <w:rFonts w:hint="eastAsia" w:ascii="宋体" w:hAnsi="宋体"/>
          <w:bCs/>
          <w:color w:val="auto"/>
        </w:rPr>
        <w:t>地点：蒙山县公共资源交易中心评标厅</w:t>
      </w:r>
    </w:p>
    <w:p>
      <w:pPr>
        <w:spacing w:line="380" w:lineRule="exact"/>
        <w:ind w:firstLine="422" w:firstLineChars="200"/>
        <w:rPr>
          <w:rFonts w:ascii="宋体" w:hAnsi="宋体"/>
          <w:b/>
          <w:color w:val="auto"/>
        </w:rPr>
      </w:pPr>
      <w:r>
        <w:rPr>
          <w:rFonts w:hint="eastAsia" w:ascii="宋体" w:hAnsi="宋体"/>
          <w:b/>
          <w:color w:val="auto"/>
        </w:rPr>
        <w:t>六、公告期限</w:t>
      </w:r>
    </w:p>
    <w:p>
      <w:pPr>
        <w:spacing w:line="380" w:lineRule="exact"/>
        <w:ind w:firstLine="420" w:firstLineChars="200"/>
        <w:rPr>
          <w:rFonts w:ascii="宋体" w:hAnsi="宋体"/>
          <w:bCs/>
          <w:color w:val="auto"/>
        </w:rPr>
      </w:pPr>
      <w:r>
        <w:rPr>
          <w:rFonts w:hint="eastAsia" w:ascii="宋体" w:hAnsi="宋体"/>
          <w:bCs/>
          <w:color w:val="auto"/>
        </w:rPr>
        <w:t>自本公告发布之日起5个工作日。</w:t>
      </w:r>
    </w:p>
    <w:p>
      <w:pPr>
        <w:numPr>
          <w:ilvl w:val="0"/>
          <w:numId w:val="1"/>
        </w:numPr>
        <w:spacing w:line="380" w:lineRule="exact"/>
        <w:ind w:firstLine="422" w:firstLineChars="200"/>
        <w:rPr>
          <w:rFonts w:ascii="宋体" w:hAnsi="宋体"/>
          <w:b/>
          <w:color w:val="auto"/>
        </w:rPr>
      </w:pPr>
      <w:r>
        <w:rPr>
          <w:rFonts w:hint="eastAsia" w:ascii="宋体" w:hAnsi="宋体"/>
          <w:b/>
          <w:color w:val="auto"/>
        </w:rPr>
        <w:t>其他补充事宜：</w:t>
      </w:r>
    </w:p>
    <w:p>
      <w:pPr>
        <w:spacing w:line="380" w:lineRule="exact"/>
        <w:ind w:firstLine="420" w:firstLineChars="200"/>
        <w:rPr>
          <w:rFonts w:ascii="宋体" w:hAnsi="宋体" w:cs="宋体"/>
          <w:color w:val="auto"/>
          <w:szCs w:val="21"/>
        </w:rPr>
      </w:pPr>
      <w:r>
        <w:rPr>
          <w:rFonts w:ascii="宋体" w:hAnsi="宋体" w:cs="宋体"/>
          <w:color w:val="auto"/>
          <w:szCs w:val="21"/>
        </w:rPr>
        <w:t xml:space="preserve">1. </w:t>
      </w:r>
      <w:r>
        <w:rPr>
          <w:rFonts w:hint="eastAsia" w:ascii="宋体" w:hAnsi="宋体" w:cs="宋体"/>
          <w:color w:val="auto"/>
          <w:szCs w:val="21"/>
        </w:rPr>
        <w:t>为保证平台正常运行，投标人报名的时候需要在网上平台进行注册、下载采购文件。</w:t>
      </w:r>
    </w:p>
    <w:p>
      <w:pPr>
        <w:spacing w:line="380" w:lineRule="exact"/>
        <w:ind w:left="420" w:leftChars="200"/>
        <w:rPr>
          <w:rFonts w:ascii="宋体" w:hAnsi="宋体" w:cs="宋体"/>
          <w:color w:val="auto"/>
          <w:szCs w:val="21"/>
        </w:rPr>
      </w:pPr>
      <w:r>
        <w:rPr>
          <w:rFonts w:ascii="宋体" w:hAnsi="宋体" w:cs="宋体"/>
          <w:color w:val="auto"/>
          <w:szCs w:val="21"/>
        </w:rPr>
        <w:t xml:space="preserve">2. </w:t>
      </w:r>
      <w:r>
        <w:rPr>
          <w:rFonts w:hint="eastAsia" w:ascii="宋体" w:hAnsi="宋体" w:cs="宋体"/>
          <w:color w:val="auto"/>
          <w:szCs w:val="21"/>
        </w:rPr>
        <w:t>已在“梧州市蒙山县公共资源交易平台”完成注册的供应商，使用其注册成功的账号登录</w:t>
      </w:r>
      <w:r>
        <w:rPr>
          <w:rFonts w:ascii="宋体" w:hAnsi="宋体" w:cs="宋体"/>
          <w:color w:val="auto"/>
          <w:szCs w:val="21"/>
        </w:rPr>
        <w:t>(</w:t>
      </w:r>
      <w:r>
        <w:rPr>
          <w:rFonts w:hint="eastAsia" w:ascii="宋体" w:hAnsi="宋体" w:cs="宋体"/>
          <w:color w:val="auto"/>
          <w:szCs w:val="21"/>
        </w:rPr>
        <w:t>地址为：</w:t>
      </w:r>
      <w:r>
        <w:rPr>
          <w:rFonts w:ascii="宋体" w:hAnsi="宋体" w:cs="宋体"/>
          <w:color w:val="auto"/>
          <w:szCs w:val="21"/>
        </w:rPr>
        <w:t>http://182.90.118.195:8100)</w:t>
      </w:r>
      <w:r>
        <w:rPr>
          <w:rFonts w:hint="eastAsia" w:ascii="宋体" w:hAnsi="宋体" w:cs="宋体"/>
          <w:color w:val="auto"/>
          <w:szCs w:val="21"/>
        </w:rPr>
        <w:t>进入系统进行报名、下载招标文件；未注册供应商请到“梧州市蒙山县公共资源交易平台”</w:t>
      </w:r>
      <w:r>
        <w:rPr>
          <w:rFonts w:ascii="宋体" w:hAnsi="宋体" w:cs="宋体"/>
          <w:color w:val="auto"/>
          <w:szCs w:val="21"/>
        </w:rPr>
        <w:t xml:space="preserve"> (</w:t>
      </w:r>
      <w:r>
        <w:rPr>
          <w:rFonts w:hint="eastAsia" w:ascii="宋体" w:hAnsi="宋体" w:cs="宋体"/>
          <w:color w:val="auto"/>
          <w:szCs w:val="21"/>
        </w:rPr>
        <w:t>地址为：</w:t>
      </w:r>
      <w:r>
        <w:rPr>
          <w:rFonts w:ascii="宋体" w:hAnsi="宋体" w:cs="宋体"/>
          <w:color w:val="auto"/>
          <w:szCs w:val="21"/>
        </w:rPr>
        <w:t>http://182.90.118.195:8100)</w:t>
      </w:r>
      <w:r>
        <w:rPr>
          <w:rFonts w:hint="eastAsia" w:ascii="宋体" w:hAnsi="宋体" w:cs="宋体"/>
          <w:color w:val="auto"/>
          <w:szCs w:val="21"/>
        </w:rPr>
        <w:t>，进行免费注册。（使用火狐浏览器或者谷歌浏览器）。</w:t>
      </w:r>
    </w:p>
    <w:p>
      <w:pPr>
        <w:spacing w:line="380" w:lineRule="exact"/>
        <w:ind w:left="42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基于第三方交易平台工作原理，开标现场需要进行网上签到，请投标人至少提前</w:t>
      </w:r>
      <w:r>
        <w:rPr>
          <w:rFonts w:ascii="宋体" w:hAnsi="宋体" w:cs="宋体"/>
          <w:color w:val="auto"/>
          <w:szCs w:val="21"/>
        </w:rPr>
        <w:t>30</w:t>
      </w:r>
      <w:r>
        <w:rPr>
          <w:rFonts w:hint="eastAsia" w:ascii="宋体" w:hAnsi="宋体" w:cs="宋体"/>
          <w:color w:val="auto"/>
          <w:szCs w:val="21"/>
        </w:rPr>
        <w:t>分钟进场，因系统时间截止而无法签到的，责任由投标人自行承担）。</w:t>
      </w:r>
    </w:p>
    <w:p>
      <w:pPr>
        <w:spacing w:line="380" w:lineRule="exact"/>
        <w:ind w:left="420"/>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“梧州市蒙山县公共资源交易平台”有关操作说明见平台附件“投标人操作手册”。</w:t>
      </w:r>
    </w:p>
    <w:p>
      <w:pPr>
        <w:spacing w:line="380" w:lineRule="exact"/>
        <w:ind w:left="420"/>
        <w:rPr>
          <w:rFonts w:ascii="宋体" w:hAnsi="宋体" w:cs="宋体"/>
          <w:color w:val="auto"/>
          <w:szCs w:val="21"/>
        </w:rPr>
      </w:pPr>
      <w:r>
        <w:rPr>
          <w:rFonts w:hint="eastAsia" w:ascii="宋体" w:hAnsi="宋体" w:cs="宋体"/>
          <w:color w:val="auto"/>
          <w:szCs w:val="21"/>
        </w:rPr>
        <w:t>5.未注册“政府采购云平台”的供应商请在“政府采购云平台”（https://www.zcy.gov.cn），进行免费注册。如在操作过程中遇到问题或需技术支持，请致电政采云客服热线：400-881-7190。</w:t>
      </w:r>
    </w:p>
    <w:p>
      <w:pPr>
        <w:spacing w:line="380" w:lineRule="exact"/>
        <w:ind w:firstLine="422" w:firstLineChars="200"/>
        <w:rPr>
          <w:rFonts w:ascii="宋体" w:hAnsi="宋体"/>
          <w:b/>
          <w:color w:val="auto"/>
        </w:rPr>
      </w:pPr>
      <w:r>
        <w:rPr>
          <w:rFonts w:hint="eastAsia" w:ascii="宋体" w:hAnsi="宋体"/>
          <w:b/>
          <w:color w:val="auto"/>
        </w:rPr>
        <w:t>八、凡对本次采购提出询问，请按以下方式联系。</w:t>
      </w:r>
    </w:p>
    <w:p>
      <w:pPr>
        <w:spacing w:line="380" w:lineRule="exact"/>
        <w:rPr>
          <w:rFonts w:ascii="宋体" w:hAnsi="宋体" w:cs="宋体"/>
          <w:color w:val="auto"/>
          <w:szCs w:val="21"/>
        </w:rPr>
      </w:pPr>
      <w:r>
        <w:rPr>
          <w:rFonts w:hint="eastAsia" w:ascii="宋体" w:hAnsi="宋体" w:cs="宋体"/>
          <w:color w:val="auto"/>
          <w:szCs w:val="21"/>
        </w:rPr>
        <w:t xml:space="preserve">    1.采购人名称：</w:t>
      </w:r>
      <w:r>
        <w:rPr>
          <w:rFonts w:hint="eastAsia" w:ascii="宋体" w:hAnsi="宋体"/>
          <w:color w:val="auto"/>
        </w:rPr>
        <w:t>蒙山县自然资源局</w:t>
      </w:r>
    </w:p>
    <w:p>
      <w:pPr>
        <w:spacing w:line="380" w:lineRule="exact"/>
        <w:rPr>
          <w:rFonts w:ascii="宋体" w:hAnsi="宋体" w:cs="宋体"/>
          <w:color w:val="auto"/>
          <w:szCs w:val="21"/>
        </w:rPr>
      </w:pPr>
      <w:r>
        <w:rPr>
          <w:rFonts w:hint="eastAsia" w:ascii="宋体" w:hAnsi="宋体" w:cs="宋体"/>
          <w:color w:val="auto"/>
          <w:szCs w:val="21"/>
        </w:rPr>
        <w:t xml:space="preserve">      地址：</w:t>
      </w:r>
      <w:r>
        <w:rPr>
          <w:rFonts w:hint="eastAsia" w:hAnsi="宋体"/>
          <w:bCs/>
          <w:color w:val="auto"/>
        </w:rPr>
        <w:t>蒙山县蒙山镇</w:t>
      </w:r>
    </w:p>
    <w:p>
      <w:pPr>
        <w:spacing w:line="380" w:lineRule="exact"/>
        <w:rPr>
          <w:rFonts w:ascii="宋体" w:hAnsi="宋体" w:cs="宋体"/>
          <w:color w:val="auto"/>
          <w:szCs w:val="21"/>
        </w:rPr>
      </w:pPr>
      <w:r>
        <w:rPr>
          <w:rFonts w:hint="eastAsia" w:ascii="宋体" w:hAnsi="宋体" w:cs="宋体"/>
          <w:color w:val="auto"/>
          <w:szCs w:val="21"/>
        </w:rPr>
        <w:t xml:space="preserve">      联系方式: 李先生/</w:t>
      </w:r>
      <w:r>
        <w:rPr>
          <w:rFonts w:ascii="宋体" w:hAnsi="宋体" w:cs="宋体"/>
          <w:color w:val="auto"/>
          <w:szCs w:val="21"/>
        </w:rPr>
        <w:t>0774-628</w:t>
      </w:r>
      <w:r>
        <w:rPr>
          <w:rFonts w:hint="eastAsia" w:ascii="宋体" w:hAnsi="宋体" w:cs="宋体"/>
          <w:color w:val="auto"/>
          <w:szCs w:val="21"/>
        </w:rPr>
        <w:t>4946</w:t>
      </w:r>
    </w:p>
    <w:p>
      <w:pPr>
        <w:spacing w:line="380" w:lineRule="exact"/>
        <w:rPr>
          <w:rFonts w:ascii="宋体" w:hAnsi="宋体" w:cs="宋体"/>
          <w:color w:val="auto"/>
          <w:szCs w:val="21"/>
        </w:rPr>
      </w:pPr>
      <w:r>
        <w:rPr>
          <w:rFonts w:hint="eastAsia" w:ascii="宋体" w:hAnsi="宋体" w:cs="宋体"/>
          <w:color w:val="auto"/>
          <w:szCs w:val="21"/>
        </w:rPr>
        <w:t xml:space="preserve">    2.采购代理机构：广西汇晟工程咨询有限公司          </w:t>
      </w:r>
    </w:p>
    <w:p>
      <w:pPr>
        <w:spacing w:line="380" w:lineRule="exact"/>
        <w:ind w:firstLine="630" w:firstLineChars="300"/>
        <w:rPr>
          <w:rFonts w:ascii="宋体" w:hAnsi="宋体" w:cs="宋体"/>
          <w:color w:val="auto"/>
          <w:szCs w:val="21"/>
        </w:rPr>
      </w:pPr>
      <w:r>
        <w:rPr>
          <w:rFonts w:hint="eastAsia" w:ascii="宋体" w:hAnsi="宋体" w:cs="宋体"/>
          <w:color w:val="auto"/>
          <w:szCs w:val="21"/>
        </w:rPr>
        <w:t>地址：</w:t>
      </w:r>
      <w:r>
        <w:rPr>
          <w:rFonts w:hint="eastAsia"/>
          <w:color w:val="auto"/>
        </w:rPr>
        <w:t>蒙山县蒙山镇滨江一期工程A1-7号地块</w:t>
      </w:r>
    </w:p>
    <w:p>
      <w:pPr>
        <w:spacing w:line="380" w:lineRule="exact"/>
        <w:rPr>
          <w:rFonts w:ascii="宋体" w:hAnsi="宋体" w:cs="宋体"/>
          <w:color w:val="auto"/>
          <w:szCs w:val="21"/>
        </w:rPr>
      </w:pPr>
      <w:r>
        <w:rPr>
          <w:rFonts w:hint="eastAsia" w:ascii="宋体" w:hAnsi="宋体" w:cs="宋体"/>
          <w:color w:val="auto"/>
          <w:szCs w:val="21"/>
        </w:rPr>
        <w:t xml:space="preserve">      联系方式：李小姐/0774-6296670</w:t>
      </w:r>
    </w:p>
    <w:p>
      <w:pPr>
        <w:spacing w:line="380" w:lineRule="exact"/>
        <w:ind w:left="420"/>
        <w:rPr>
          <w:color w:val="auto"/>
        </w:rPr>
      </w:pPr>
      <w:r>
        <w:rPr>
          <w:rFonts w:hint="eastAsia"/>
          <w:color w:val="auto"/>
        </w:rPr>
        <w:t>3.项目联系方式</w:t>
      </w:r>
    </w:p>
    <w:p>
      <w:pPr>
        <w:spacing w:line="380" w:lineRule="exact"/>
        <w:ind w:firstLine="630" w:firstLineChars="300"/>
        <w:rPr>
          <w:color w:val="auto"/>
        </w:rPr>
      </w:pPr>
      <w:r>
        <w:rPr>
          <w:rFonts w:hint="eastAsia"/>
          <w:color w:val="auto"/>
        </w:rPr>
        <w:t>项目联系人：李小姐</w:t>
      </w:r>
    </w:p>
    <w:p>
      <w:pPr>
        <w:spacing w:line="380" w:lineRule="exact"/>
        <w:ind w:firstLine="630" w:firstLineChars="300"/>
        <w:rPr>
          <w:color w:val="auto"/>
        </w:rPr>
      </w:pPr>
      <w:r>
        <w:rPr>
          <w:rFonts w:hint="eastAsia"/>
          <w:color w:val="auto"/>
        </w:rPr>
        <w:t>电话：0774-6296670</w:t>
      </w:r>
    </w:p>
    <w:p>
      <w:pPr>
        <w:spacing w:line="380" w:lineRule="exact"/>
        <w:ind w:left="420"/>
        <w:rPr>
          <w:color w:val="auto"/>
        </w:rPr>
      </w:pPr>
      <w:r>
        <w:rPr>
          <w:rFonts w:hint="eastAsia"/>
          <w:color w:val="auto"/>
        </w:rPr>
        <w:t>4.监督部门: 蒙山县政府采购监督管理中心，电话:0774-6287208</w:t>
      </w:r>
    </w:p>
    <w:p>
      <w:pPr>
        <w:spacing w:line="380" w:lineRule="exact"/>
        <w:ind w:left="420"/>
        <w:rPr>
          <w:color w:val="auto"/>
        </w:rPr>
      </w:pPr>
    </w:p>
    <w:p>
      <w:pPr>
        <w:spacing w:line="380" w:lineRule="exact"/>
        <w:rPr>
          <w:rFonts w:ascii="宋体" w:hAnsi="宋体" w:cs="宋体"/>
          <w:color w:val="auto"/>
          <w:sz w:val="24"/>
          <w:szCs w:val="21"/>
        </w:rPr>
      </w:pPr>
    </w:p>
    <w:p>
      <w:pPr>
        <w:spacing w:line="380" w:lineRule="exact"/>
        <w:jc w:val="right"/>
        <w:rPr>
          <w:rFonts w:ascii="宋体" w:hAnsi="宋体"/>
          <w:color w:val="auto"/>
          <w:szCs w:val="21"/>
        </w:rPr>
      </w:pPr>
      <w:r>
        <w:rPr>
          <w:rFonts w:hint="eastAsia" w:ascii="宋体" w:hAnsi="宋体" w:cs="宋体"/>
          <w:color w:val="auto"/>
          <w:szCs w:val="21"/>
        </w:rPr>
        <w:t>采购代理机构：</w:t>
      </w:r>
      <w:r>
        <w:rPr>
          <w:rFonts w:hint="eastAsia" w:ascii="宋体" w:hAnsi="宋体" w:cs="Arial"/>
          <w:color w:val="auto"/>
          <w:szCs w:val="21"/>
        </w:rPr>
        <w:t>广西汇晟工程咨询有限公司</w:t>
      </w:r>
    </w:p>
    <w:p>
      <w:pPr>
        <w:pStyle w:val="17"/>
        <w:spacing w:line="400" w:lineRule="exact"/>
        <w:ind w:firstLine="7140" w:firstLineChars="3400"/>
        <w:jc w:val="center"/>
        <w:rPr>
          <w:rFonts w:hAnsi="宋体"/>
          <w:bCs/>
          <w:color w:val="auto"/>
          <w:sz w:val="24"/>
          <w:szCs w:val="16"/>
        </w:rPr>
      </w:pPr>
      <w:r>
        <w:rPr>
          <w:rFonts w:hint="eastAsia" w:hAnsi="宋体" w:cs="宋体"/>
          <w:color w:val="auto"/>
          <w:szCs w:val="21"/>
        </w:rPr>
        <w:t>2020年10月10日</w:t>
      </w:r>
      <w:r>
        <w:rPr>
          <w:rFonts w:ascii="金山简隶书" w:eastAsia="金山简隶书"/>
          <w:b/>
          <w:color w:val="auto"/>
        </w:rPr>
        <w:br w:type="page"/>
      </w:r>
      <w:bookmarkStart w:id="1" w:name="_Toc239839860"/>
      <w:bookmarkStart w:id="2" w:name="_Toc444005978"/>
      <w:bookmarkStart w:id="3" w:name="_Toc185702546"/>
      <w:bookmarkStart w:id="4" w:name="_Toc156106929"/>
      <w:bookmarkStart w:id="5" w:name="_Toc185702968"/>
      <w:bookmarkStart w:id="6" w:name="_Toc147248396"/>
      <w:r>
        <w:rPr>
          <w:rFonts w:hint="eastAsia" w:ascii="方正隶书简体" w:hAnsi="宋体" w:eastAsia="方正隶书简体"/>
          <w:bCs/>
          <w:color w:val="auto"/>
          <w:sz w:val="32"/>
          <w:szCs w:val="15"/>
        </w:rPr>
        <w:t>第一章   服务商须知及前附表</w:t>
      </w:r>
      <w:bookmarkEnd w:id="1"/>
      <w:bookmarkEnd w:id="2"/>
      <w:bookmarkEnd w:id="3"/>
      <w:bookmarkEnd w:id="4"/>
      <w:bookmarkEnd w:id="5"/>
      <w:bookmarkEnd w:id="6"/>
      <w:bookmarkStart w:id="7" w:name="_Toc206525680"/>
      <w:bookmarkStart w:id="8" w:name="_Toc207770833"/>
      <w:bookmarkStart w:id="9" w:name="_Toc444005979"/>
      <w:bookmarkStart w:id="10" w:name="_Toc230578055"/>
      <w:bookmarkStart w:id="11" w:name="_Toc185702547"/>
      <w:bookmarkStart w:id="12" w:name="_Toc239839861"/>
    </w:p>
    <w:bookmarkEnd w:id="7"/>
    <w:bookmarkEnd w:id="8"/>
    <w:bookmarkEnd w:id="9"/>
    <w:bookmarkEnd w:id="10"/>
    <w:bookmarkEnd w:id="11"/>
    <w:bookmarkEnd w:id="12"/>
    <w:p>
      <w:pPr>
        <w:pStyle w:val="39"/>
        <w:spacing w:line="400" w:lineRule="exact"/>
        <w:jc w:val="center"/>
        <w:rPr>
          <w:rFonts w:hAnsi="宋体"/>
          <w:bCs/>
          <w:color w:val="auto"/>
          <w:sz w:val="32"/>
        </w:rPr>
      </w:pPr>
    </w:p>
    <w:tbl>
      <w:tblPr>
        <w:tblStyle w:val="31"/>
        <w:tblpPr w:leftFromText="180" w:rightFromText="180" w:vertAnchor="text" w:horzAnchor="page" w:tblpX="1369" w:tblpY="111"/>
        <w:tblOverlap w:val="never"/>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654"/>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trPr>
        <w:tc>
          <w:tcPr>
            <w:tcW w:w="536" w:type="dxa"/>
            <w:vAlign w:val="center"/>
          </w:tcPr>
          <w:p>
            <w:pPr>
              <w:pStyle w:val="39"/>
              <w:snapToGrid w:val="0"/>
              <w:spacing w:line="400" w:lineRule="exact"/>
              <w:ind w:left="-105" w:leftChars="-50" w:right="-105" w:rightChars="-50"/>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654" w:type="dxa"/>
            <w:vAlign w:val="center"/>
          </w:tcPr>
          <w:p>
            <w:pPr>
              <w:pStyle w:val="39"/>
              <w:snapToGrid w:val="0"/>
              <w:spacing w:line="400" w:lineRule="exact"/>
              <w:ind w:left="-105" w:leftChars="-50" w:right="-105" w:rightChars="-50"/>
              <w:jc w:val="center"/>
              <w:rPr>
                <w:rFonts w:asciiTheme="minorEastAsia" w:hAnsiTheme="minorEastAsia" w:eastAsiaTheme="minorEastAsia"/>
                <w:color w:val="auto"/>
              </w:rPr>
            </w:pPr>
            <w:r>
              <w:rPr>
                <w:rFonts w:hint="eastAsia" w:asciiTheme="minorEastAsia" w:hAnsiTheme="minorEastAsia" w:eastAsiaTheme="minorEastAsia"/>
                <w:color w:val="auto"/>
              </w:rPr>
              <w:t>条款号</w:t>
            </w:r>
          </w:p>
        </w:tc>
        <w:tc>
          <w:tcPr>
            <w:tcW w:w="8190" w:type="dxa"/>
            <w:vAlign w:val="center"/>
          </w:tcPr>
          <w:p>
            <w:pPr>
              <w:pStyle w:val="39"/>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36"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654"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1.1</w:t>
            </w:r>
          </w:p>
        </w:tc>
        <w:tc>
          <w:tcPr>
            <w:tcW w:w="8190"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项目名称：蒙山县农村乱占耕地建房状况调查</w:t>
            </w:r>
          </w:p>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项目编号：MSZC2020-C3-03365-001</w:t>
            </w:r>
          </w:p>
          <w:p>
            <w:pPr>
              <w:pStyle w:val="37"/>
              <w:autoSpaceDE w:val="0"/>
              <w:autoSpaceDN w:val="0"/>
              <w:spacing w:line="400" w:lineRule="exact"/>
              <w:ind w:firstLine="0" w:firstLineChars="0"/>
              <w:rPr>
                <w:rFonts w:ascii="宋体" w:hAnsi="宋体" w:cs="宋体"/>
                <w:color w:val="auto"/>
                <w:szCs w:val="22"/>
                <w:lang w:val="zh-CN"/>
              </w:rPr>
            </w:pPr>
            <w:r>
              <w:rPr>
                <w:rFonts w:hint="eastAsia" w:asciiTheme="minorEastAsia" w:hAnsiTheme="minorEastAsia" w:eastAsiaTheme="minorEastAsia"/>
                <w:color w:val="auto"/>
                <w:szCs w:val="21"/>
              </w:rPr>
              <w:t>采购内容：</w:t>
            </w:r>
            <w:r>
              <w:rPr>
                <w:rFonts w:hint="eastAsia" w:ascii="宋体" w:hAnsi="宋体" w:cs="宋体"/>
                <w:color w:val="auto"/>
                <w:szCs w:val="21"/>
              </w:rPr>
              <w:t>工作内容包括</w:t>
            </w:r>
            <w:r>
              <w:rPr>
                <w:rFonts w:hint="eastAsia" w:cs="宋体"/>
                <w:color w:val="auto"/>
                <w:szCs w:val="21"/>
              </w:rPr>
              <w:t>前期资料收集和业务培训工作，</w:t>
            </w:r>
            <w:r>
              <w:rPr>
                <w:rFonts w:hint="eastAsia" w:ascii="宋体" w:hAnsi="宋体" w:cs="宋体"/>
                <w:color w:val="auto"/>
                <w:szCs w:val="22"/>
                <w:lang w:val="zh-CN"/>
              </w:rPr>
              <w:t>标段范围内：</w:t>
            </w:r>
          </w:p>
          <w:p>
            <w:pPr>
              <w:pStyle w:val="37"/>
              <w:autoSpaceDE w:val="0"/>
              <w:autoSpaceDN w:val="0"/>
              <w:spacing w:line="400" w:lineRule="exact"/>
              <w:rPr>
                <w:rFonts w:cs="宋体"/>
                <w:color w:val="auto"/>
                <w:szCs w:val="21"/>
              </w:rPr>
            </w:pPr>
            <w:r>
              <w:rPr>
                <w:rFonts w:hint="eastAsia" w:cs="宋体"/>
                <w:color w:val="auto"/>
                <w:szCs w:val="21"/>
              </w:rPr>
              <w:t>（1）项目准备工作；</w:t>
            </w:r>
          </w:p>
          <w:p>
            <w:pPr>
              <w:pStyle w:val="37"/>
              <w:autoSpaceDE w:val="0"/>
              <w:autoSpaceDN w:val="0"/>
              <w:spacing w:line="400" w:lineRule="exact"/>
              <w:rPr>
                <w:rFonts w:cs="宋体"/>
                <w:color w:val="auto"/>
                <w:szCs w:val="21"/>
              </w:rPr>
            </w:pPr>
            <w:r>
              <w:rPr>
                <w:rFonts w:hint="eastAsia" w:cs="宋体"/>
                <w:color w:val="auto"/>
                <w:szCs w:val="21"/>
              </w:rPr>
              <w:t>（2）实地开展调查摸排工作及拍照举证工作；</w:t>
            </w:r>
          </w:p>
          <w:p>
            <w:pPr>
              <w:pStyle w:val="37"/>
              <w:autoSpaceDE w:val="0"/>
              <w:autoSpaceDN w:val="0"/>
              <w:spacing w:line="400" w:lineRule="exact"/>
              <w:rPr>
                <w:rFonts w:cs="宋体"/>
                <w:color w:val="auto"/>
                <w:szCs w:val="21"/>
              </w:rPr>
            </w:pPr>
            <w:r>
              <w:rPr>
                <w:rFonts w:hint="eastAsia" w:cs="宋体"/>
                <w:color w:val="auto"/>
                <w:szCs w:val="21"/>
              </w:rPr>
              <w:t>（3）蒙山县农村乱占耕地建房问题摸排数据库建设和内业数据调查核实及分类造册形成台账工作；</w:t>
            </w:r>
          </w:p>
          <w:p>
            <w:pPr>
              <w:pStyle w:val="37"/>
              <w:autoSpaceDE w:val="0"/>
              <w:autoSpaceDN w:val="0"/>
              <w:spacing w:line="400" w:lineRule="exact"/>
              <w:rPr>
                <w:rFonts w:cs="宋体"/>
                <w:color w:val="auto"/>
                <w:szCs w:val="21"/>
              </w:rPr>
            </w:pPr>
            <w:r>
              <w:rPr>
                <w:rFonts w:hint="eastAsia" w:cs="宋体"/>
                <w:color w:val="auto"/>
                <w:szCs w:val="21"/>
              </w:rPr>
              <w:t>（4）统一数据汇交工作；</w:t>
            </w:r>
          </w:p>
          <w:p>
            <w:pPr>
              <w:pStyle w:val="37"/>
              <w:autoSpaceDE w:val="0"/>
              <w:autoSpaceDN w:val="0"/>
              <w:spacing w:line="400" w:lineRule="exact"/>
              <w:rPr>
                <w:rFonts w:cs="宋体"/>
                <w:color w:val="auto"/>
                <w:szCs w:val="21"/>
              </w:rPr>
            </w:pPr>
            <w:r>
              <w:rPr>
                <w:rFonts w:hint="eastAsia" w:cs="宋体"/>
                <w:color w:val="auto"/>
                <w:szCs w:val="21"/>
              </w:rPr>
              <w:t>(5)核实纠正工作，上报最终摸排成果。</w:t>
            </w:r>
          </w:p>
          <w:p>
            <w:pPr>
              <w:spacing w:line="400" w:lineRule="exact"/>
              <w:rPr>
                <w:rFonts w:asciiTheme="minorEastAsia" w:hAnsiTheme="minorEastAsia" w:eastAsiaTheme="minorEastAsia"/>
                <w:color w:val="auto"/>
                <w:szCs w:val="21"/>
              </w:rPr>
            </w:pPr>
            <w:r>
              <w:rPr>
                <w:rFonts w:hint="eastAsia" w:cs="宋体"/>
                <w:color w:val="auto"/>
                <w:szCs w:val="21"/>
              </w:rPr>
              <w:t>约10526个图斑</w:t>
            </w:r>
            <w:r>
              <w:rPr>
                <w:rFonts w:hint="eastAsia" w:ascii="宋体" w:hAnsi="宋体"/>
                <w:color w:val="auto"/>
                <w:szCs w:val="20"/>
              </w:rPr>
              <w:t>（</w:t>
            </w:r>
            <w:r>
              <w:rPr>
                <w:rFonts w:hint="eastAsia" w:asciiTheme="minorEastAsia" w:hAnsiTheme="minorEastAsia" w:eastAsiaTheme="minorEastAsia"/>
                <w:color w:val="auto"/>
                <w:szCs w:val="21"/>
              </w:rPr>
              <w:t>如需进一步了解详细内容，详见采购需求）。</w:t>
            </w:r>
          </w:p>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采购预算：人民币150万元</w:t>
            </w:r>
          </w:p>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采购方式：竞争性磋商</w:t>
            </w:r>
          </w:p>
          <w:p>
            <w:pPr>
              <w:pStyle w:val="17"/>
              <w:snapToGrid w:val="0"/>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项目类型：服务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536"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2</w:t>
            </w:r>
          </w:p>
        </w:tc>
        <w:tc>
          <w:tcPr>
            <w:tcW w:w="654"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2.1</w:t>
            </w:r>
          </w:p>
        </w:tc>
        <w:tc>
          <w:tcPr>
            <w:tcW w:w="8190" w:type="dxa"/>
            <w:vAlign w:val="center"/>
          </w:tcPr>
          <w:p>
            <w:pPr>
              <w:pStyle w:val="17"/>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服务商资格及要求：</w:t>
            </w:r>
          </w:p>
          <w:p>
            <w:pPr>
              <w:spacing w:line="400" w:lineRule="exact"/>
              <w:ind w:firstLine="420" w:firstLineChars="200"/>
              <w:rPr>
                <w:rFonts w:ascii="宋体" w:hAnsi="宋体"/>
                <w:bCs/>
                <w:color w:val="auto"/>
              </w:rPr>
            </w:pPr>
            <w:r>
              <w:rPr>
                <w:rFonts w:hint="eastAsia" w:ascii="宋体" w:hAnsi="宋体"/>
                <w:bCs/>
                <w:color w:val="auto"/>
              </w:rPr>
              <w:t>1、符合《中华人民共和国政府采购法》第二十二条规定的资格条件，并在人员、设备、资金等方面具有相应的能力。</w:t>
            </w:r>
          </w:p>
          <w:p>
            <w:pPr>
              <w:spacing w:line="400" w:lineRule="exact"/>
              <w:ind w:firstLine="420" w:firstLineChars="200"/>
              <w:rPr>
                <w:rFonts w:ascii="宋体" w:hAnsi="宋体"/>
                <w:bCs/>
                <w:color w:val="auto"/>
              </w:rPr>
            </w:pPr>
            <w:r>
              <w:rPr>
                <w:rFonts w:hint="eastAsia" w:ascii="宋体" w:hAnsi="宋体"/>
                <w:bCs/>
                <w:color w:val="auto"/>
              </w:rPr>
              <w:t>（1）具有独立承担民事责任的能力；</w:t>
            </w:r>
          </w:p>
          <w:p>
            <w:pPr>
              <w:spacing w:line="400" w:lineRule="exact"/>
              <w:ind w:firstLine="420" w:firstLineChars="200"/>
              <w:rPr>
                <w:rFonts w:ascii="宋体" w:hAnsi="宋体"/>
                <w:bCs/>
                <w:color w:val="auto"/>
              </w:rPr>
            </w:pPr>
            <w:r>
              <w:rPr>
                <w:rFonts w:hint="eastAsia" w:ascii="宋体" w:hAnsi="宋体"/>
                <w:bCs/>
                <w:color w:val="auto"/>
              </w:rPr>
              <w:t>（2）具有良好的商业信誉和健全的财务会计制度；</w:t>
            </w:r>
          </w:p>
          <w:p>
            <w:pPr>
              <w:spacing w:line="400" w:lineRule="exact"/>
              <w:ind w:firstLine="420" w:firstLineChars="200"/>
              <w:rPr>
                <w:rFonts w:ascii="宋体" w:hAnsi="宋体"/>
                <w:bCs/>
                <w:color w:val="auto"/>
              </w:rPr>
            </w:pPr>
            <w:r>
              <w:rPr>
                <w:rFonts w:hint="eastAsia" w:ascii="宋体" w:hAnsi="宋体"/>
                <w:bCs/>
                <w:color w:val="auto"/>
              </w:rPr>
              <w:t>（3）具有履行合同所必需的设备和专业技术能力；</w:t>
            </w:r>
          </w:p>
          <w:p>
            <w:pPr>
              <w:spacing w:line="400" w:lineRule="exact"/>
              <w:ind w:firstLine="420" w:firstLineChars="200"/>
              <w:rPr>
                <w:rFonts w:ascii="宋体" w:hAnsi="宋体"/>
                <w:bCs/>
                <w:color w:val="auto"/>
              </w:rPr>
            </w:pPr>
            <w:r>
              <w:rPr>
                <w:rFonts w:hint="eastAsia" w:ascii="宋体" w:hAnsi="宋体"/>
                <w:bCs/>
                <w:color w:val="auto"/>
              </w:rPr>
              <w:t>（4）有依法缴纳税收和社会保障资金的良好记录；</w:t>
            </w:r>
          </w:p>
          <w:p>
            <w:pPr>
              <w:spacing w:line="400" w:lineRule="exact"/>
              <w:ind w:firstLine="420" w:firstLineChars="200"/>
              <w:rPr>
                <w:rFonts w:ascii="宋体" w:hAnsi="宋体"/>
                <w:bCs/>
                <w:color w:val="auto"/>
              </w:rPr>
            </w:pPr>
            <w:r>
              <w:rPr>
                <w:rFonts w:hint="eastAsia" w:ascii="宋体" w:hAnsi="宋体"/>
                <w:bCs/>
                <w:color w:val="auto"/>
              </w:rPr>
              <w:t>（5）参加政府采购活动前三年内，在经营活动中没有重大违法记录；</w:t>
            </w:r>
          </w:p>
          <w:p>
            <w:pPr>
              <w:spacing w:line="400" w:lineRule="exact"/>
              <w:ind w:firstLine="420" w:firstLineChars="200"/>
              <w:rPr>
                <w:rFonts w:ascii="宋体" w:hAnsi="宋体"/>
                <w:bCs/>
                <w:color w:val="auto"/>
              </w:rPr>
            </w:pPr>
            <w:r>
              <w:rPr>
                <w:rFonts w:hint="eastAsia" w:ascii="宋体" w:hAnsi="宋体"/>
                <w:bCs/>
                <w:color w:val="auto"/>
              </w:rPr>
              <w:t>（6）法律、行政法规规定的其他条件。</w:t>
            </w:r>
          </w:p>
          <w:p>
            <w:pPr>
              <w:spacing w:line="400" w:lineRule="exact"/>
              <w:ind w:firstLine="420" w:firstLineChars="200"/>
              <w:rPr>
                <w:rFonts w:ascii="宋体" w:hAnsi="宋体"/>
                <w:bCs/>
                <w:color w:val="auto"/>
              </w:rPr>
            </w:pPr>
            <w:r>
              <w:rPr>
                <w:rFonts w:hint="eastAsia" w:ascii="宋体" w:hAnsi="宋体"/>
                <w:bCs/>
                <w:color w:val="auto"/>
              </w:rPr>
              <w:t>2.本项目需落实的政府采购政策：《政府采购促进中小企业发展暂行办法》（财库[2011]181号）、财政部司法部《关于政府采购支持监狱企业发展有关问题的通知》（财库[2014]68号）、财政部《环保总局关于环境标志产品政府采购实施的意见》（财库[2006]90号）、财政部国家发展改革委关于印发《节能产品政府采购实施意见》的通知（财库[2004]185号）、《财政部民政部中国残疾人联合会关于促进残疾人就业政府采购政策的通知》（财库〔2017〕141号）等政府采购相关政策。</w:t>
            </w:r>
          </w:p>
          <w:p>
            <w:pPr>
              <w:snapToGrid w:val="0"/>
              <w:spacing w:line="400" w:lineRule="exact"/>
              <w:ind w:firstLine="420" w:firstLineChars="200"/>
              <w:rPr>
                <w:rFonts w:ascii="宋体" w:hAnsi="宋体" w:cs="Arial"/>
                <w:color w:val="auto"/>
                <w:szCs w:val="21"/>
              </w:rPr>
            </w:pPr>
            <w:r>
              <w:rPr>
                <w:rFonts w:hint="eastAsia" w:ascii="宋体" w:hAnsi="宋体" w:cs="Arial"/>
                <w:color w:val="auto"/>
                <w:szCs w:val="21"/>
              </w:rPr>
              <w:t>3、国内注册（指按国家有关规定要求注册的）经营本次服务的供应商，并具备独立法人资格。</w:t>
            </w:r>
          </w:p>
          <w:p>
            <w:pPr>
              <w:snapToGrid w:val="0"/>
              <w:spacing w:line="400" w:lineRule="exact"/>
              <w:ind w:firstLine="420" w:firstLineChars="200"/>
              <w:rPr>
                <w:rFonts w:ascii="宋体" w:hAnsi="宋体" w:cs="宋体"/>
                <w:color w:val="auto"/>
                <w:szCs w:val="21"/>
              </w:rPr>
            </w:pPr>
            <w:r>
              <w:rPr>
                <w:rFonts w:hint="eastAsia" w:ascii="宋体" w:hAnsi="宋体" w:cs="Arial"/>
                <w:color w:val="auto"/>
                <w:szCs w:val="21"/>
              </w:rPr>
              <w:t>4、具有测绘地理信息行政主管部门颁发的乙级测绘资质证书（乙级测绘资质范围必须包含不动产测绘、工程测量、地理信息系统工程三项内容），并具备相应的技术、设备、经济能力和良好信誉的供应商。</w:t>
            </w:r>
          </w:p>
          <w:p>
            <w:pPr>
              <w:snapToGrid w:val="0"/>
              <w:spacing w:line="400" w:lineRule="exact"/>
              <w:ind w:firstLine="420" w:firstLineChars="200"/>
              <w:rPr>
                <w:rFonts w:ascii="宋体" w:hAnsi="宋体" w:cs="Arial"/>
                <w:color w:val="auto"/>
                <w:szCs w:val="21"/>
              </w:rPr>
            </w:pPr>
            <w:r>
              <w:rPr>
                <w:rFonts w:hint="eastAsia" w:ascii="宋体" w:hAnsi="宋体" w:cs="Arial"/>
                <w:color w:val="auto"/>
                <w:szCs w:val="21"/>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rPr>
                <w:rFonts w:ascii="宋体" w:hAnsi="宋体" w:cs="宋体"/>
                <w:color w:val="auto"/>
                <w:szCs w:val="21"/>
              </w:rPr>
            </w:pPr>
            <w:r>
              <w:rPr>
                <w:rFonts w:hint="eastAsia" w:ascii="宋体" w:hAnsi="宋体" w:cs="Arial"/>
                <w:color w:val="auto"/>
                <w:szCs w:val="21"/>
              </w:rPr>
              <w:t>6、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536"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3</w:t>
            </w:r>
          </w:p>
        </w:tc>
        <w:tc>
          <w:tcPr>
            <w:tcW w:w="654"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10.1</w:t>
            </w:r>
          </w:p>
        </w:tc>
        <w:tc>
          <w:tcPr>
            <w:tcW w:w="8190" w:type="dxa"/>
            <w:vAlign w:val="center"/>
          </w:tcPr>
          <w:p>
            <w:pPr>
              <w:pStyle w:val="17"/>
              <w:snapToGrid w:val="0"/>
              <w:spacing w:line="400" w:lineRule="exact"/>
              <w:ind w:left="309" w:hanging="308" w:hangingChars="147"/>
              <w:rPr>
                <w:rFonts w:asciiTheme="minorEastAsia" w:hAnsiTheme="minorEastAsia" w:eastAsiaTheme="minorEastAsia"/>
                <w:color w:val="auto"/>
              </w:rPr>
            </w:pPr>
            <w:r>
              <w:rPr>
                <w:rFonts w:hint="eastAsia" w:asciiTheme="minorEastAsia" w:hAnsiTheme="minorEastAsia" w:eastAsiaTheme="minorEastAsia"/>
                <w:bCs/>
                <w:color w:val="auto"/>
              </w:rPr>
              <w:t>1、磋商报价方式：</w:t>
            </w:r>
            <w:r>
              <w:rPr>
                <w:rFonts w:hint="eastAsia" w:asciiTheme="minorEastAsia" w:hAnsiTheme="minorEastAsia" w:eastAsiaTheme="minorEastAsia"/>
                <w:color w:val="auto"/>
              </w:rPr>
              <w:t>服务商必须就《服务内容及要求》中的所有服务内容有可能发生的所有费用作唯一完整报价。（本项目只允许提交一个方案的报价，不接受任何有选择性的报价。）</w:t>
            </w:r>
          </w:p>
          <w:p>
            <w:pPr>
              <w:pStyle w:val="17"/>
              <w:snapToGrid w:val="0"/>
              <w:spacing w:line="400" w:lineRule="exact"/>
              <w:ind w:left="309" w:hanging="308" w:hangingChars="147"/>
              <w:rPr>
                <w:rFonts w:asciiTheme="minorEastAsia" w:hAnsiTheme="minorEastAsia" w:eastAsiaTheme="minorEastAsia"/>
                <w:bCs/>
                <w:color w:val="auto"/>
                <w:szCs w:val="21"/>
              </w:rPr>
            </w:pPr>
            <w:r>
              <w:rPr>
                <w:rFonts w:hint="eastAsia" w:asciiTheme="minorEastAsia" w:hAnsiTheme="minorEastAsia" w:eastAsiaTheme="minorEastAsia"/>
                <w:color w:val="auto"/>
              </w:rPr>
              <w:t>2、承包方式：本项目编写采用总价承包方式。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36"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4</w:t>
            </w:r>
          </w:p>
        </w:tc>
        <w:tc>
          <w:tcPr>
            <w:tcW w:w="654"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14.1</w:t>
            </w:r>
          </w:p>
        </w:tc>
        <w:tc>
          <w:tcPr>
            <w:tcW w:w="8190" w:type="dxa"/>
            <w:vAlign w:val="center"/>
          </w:tcPr>
          <w:p>
            <w:pPr>
              <w:pStyle w:val="17"/>
              <w:snapToGrid w:val="0"/>
              <w:spacing w:line="400" w:lineRule="exact"/>
              <w:ind w:left="1037" w:hanging="1037" w:hangingChars="494"/>
              <w:rPr>
                <w:rFonts w:asciiTheme="minorEastAsia" w:hAnsiTheme="minorEastAsia" w:eastAsiaTheme="minorEastAsia"/>
                <w:color w:val="auto"/>
              </w:rPr>
            </w:pPr>
            <w:r>
              <w:rPr>
                <w:rFonts w:hint="eastAsia" w:asciiTheme="minorEastAsia" w:hAnsiTheme="minorEastAsia" w:eastAsiaTheme="minorEastAsia"/>
                <w:color w:val="auto"/>
              </w:rPr>
              <w:t>磋商有效期：提交响应文件截止时间后60天。</w:t>
            </w:r>
          </w:p>
          <w:p>
            <w:pPr>
              <w:pStyle w:val="17"/>
              <w:snapToGrid w:val="0"/>
              <w:spacing w:line="400" w:lineRule="exact"/>
              <w:ind w:left="1037" w:hanging="1037" w:hangingChars="494"/>
              <w:rPr>
                <w:rFonts w:asciiTheme="minorEastAsia" w:hAnsiTheme="minorEastAsia" w:eastAsiaTheme="minorEastAsia"/>
                <w:color w:val="auto"/>
              </w:rPr>
            </w:pPr>
            <w:r>
              <w:rPr>
                <w:rFonts w:hint="eastAsia" w:asciiTheme="minorEastAsia" w:hAnsiTheme="minorEastAsia" w:eastAsiaTheme="minorEastAsia"/>
                <w:color w:val="auto"/>
              </w:rPr>
              <w:t>[注：磋商保证金</w:t>
            </w:r>
            <w:r>
              <w:rPr>
                <w:rFonts w:hint="eastAsia" w:cs="方正仿宋简体" w:asciiTheme="minorEastAsia" w:hAnsiTheme="minorEastAsia" w:eastAsiaTheme="minorEastAsia"/>
                <w:color w:val="auto"/>
                <w:kern w:val="0"/>
              </w:rPr>
              <w:t>有效期应比磋商有效期延长25日。</w:t>
            </w:r>
            <w:r>
              <w:rPr>
                <w:rFonts w:hint="eastAsia" w:asciiTheme="minorEastAsia" w:hAnsiTheme="minorEastAsia" w:eastAsiaTheme="minor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36"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5</w:t>
            </w:r>
          </w:p>
        </w:tc>
        <w:tc>
          <w:tcPr>
            <w:tcW w:w="654"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15.5</w:t>
            </w:r>
          </w:p>
        </w:tc>
        <w:tc>
          <w:tcPr>
            <w:tcW w:w="8190" w:type="dxa"/>
            <w:vAlign w:val="center"/>
          </w:tcPr>
          <w:p>
            <w:pPr>
              <w:pStyle w:val="17"/>
              <w:snapToGrid w:val="0"/>
              <w:spacing w:line="400" w:lineRule="exact"/>
              <w:ind w:left="1037" w:hanging="1037" w:hangingChars="494"/>
              <w:rPr>
                <w:rFonts w:asciiTheme="minorEastAsia" w:hAnsiTheme="minorEastAsia" w:eastAsiaTheme="minorEastAsia"/>
                <w:color w:val="auto"/>
              </w:rPr>
            </w:pPr>
            <w:r>
              <w:rPr>
                <w:rFonts w:hint="eastAsia" w:asciiTheme="minorEastAsia" w:hAnsiTheme="minorEastAsia" w:eastAsiaTheme="minorEastAsia"/>
                <w:color w:val="auto"/>
              </w:rPr>
              <w:t>响应文件：一套正本  三套副本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536"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6</w:t>
            </w:r>
          </w:p>
        </w:tc>
        <w:tc>
          <w:tcPr>
            <w:tcW w:w="654"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16.1</w:t>
            </w:r>
          </w:p>
        </w:tc>
        <w:tc>
          <w:tcPr>
            <w:tcW w:w="8190" w:type="dxa"/>
            <w:vAlign w:val="center"/>
          </w:tcPr>
          <w:p>
            <w:pPr>
              <w:pStyle w:val="39"/>
              <w:snapToGrid w:val="0"/>
              <w:spacing w:line="400" w:lineRule="exact"/>
              <w:ind w:left="304" w:hanging="304" w:hangingChars="145"/>
              <w:rPr>
                <w:rFonts w:asciiTheme="minorEastAsia" w:hAnsiTheme="minorEastAsia" w:eastAsiaTheme="minorEastAsia"/>
                <w:color w:val="auto"/>
              </w:rPr>
            </w:pPr>
            <w:r>
              <w:rPr>
                <w:rFonts w:hint="eastAsia" w:asciiTheme="minorEastAsia" w:hAnsiTheme="minorEastAsia" w:eastAsiaTheme="minorEastAsia"/>
                <w:color w:val="auto"/>
              </w:rPr>
              <w:t>磋商保证金提交：</w:t>
            </w:r>
          </w:p>
          <w:p>
            <w:pPr>
              <w:pStyle w:val="39"/>
              <w:snapToGrid w:val="0"/>
              <w:spacing w:line="400" w:lineRule="exact"/>
              <w:ind w:left="300" w:leftChars="143" w:firstLine="105" w:firstLineChars="50"/>
              <w:rPr>
                <w:rFonts w:asciiTheme="minorEastAsia" w:hAnsiTheme="minorEastAsia" w:eastAsiaTheme="minorEastAsia"/>
                <w:color w:val="auto"/>
              </w:rPr>
            </w:pPr>
            <w:r>
              <w:rPr>
                <w:rFonts w:hint="eastAsia" w:cs="宋体" w:asciiTheme="minorEastAsia" w:hAnsiTheme="minorEastAsia" w:eastAsiaTheme="minorEastAsia"/>
                <w:b/>
                <w:color w:val="auto"/>
                <w:szCs w:val="21"/>
              </w:rPr>
              <w:t>磋商保证金(人民币)</w:t>
            </w:r>
            <w:r>
              <w:rPr>
                <w:rFonts w:hint="eastAsia" w:cs="宋体" w:asciiTheme="minorEastAsia" w:hAnsiTheme="minorEastAsia" w:eastAsiaTheme="minorEastAsia"/>
                <w:color w:val="auto"/>
                <w:szCs w:val="21"/>
              </w:rPr>
              <w:t>：</w:t>
            </w:r>
            <w:r>
              <w:rPr>
                <w:rFonts w:hint="eastAsia" w:asciiTheme="minorEastAsia" w:hAnsiTheme="minorEastAsia" w:eastAsiaTheme="minorEastAsia"/>
                <w:color w:val="auto"/>
                <w:spacing w:val="-4"/>
                <w:szCs w:val="21"/>
              </w:rPr>
              <w:t>15000元</w:t>
            </w:r>
            <w:r>
              <w:rPr>
                <w:rFonts w:hint="eastAsia" w:asciiTheme="minorEastAsia" w:hAnsiTheme="minorEastAsia" w:eastAsiaTheme="minorEastAsia"/>
                <w:color w:val="auto"/>
              </w:rPr>
              <w:t>（须足额缴纳）</w:t>
            </w:r>
          </w:p>
          <w:p>
            <w:pPr>
              <w:spacing w:line="400" w:lineRule="exact"/>
              <w:rPr>
                <w:color w:val="auto"/>
              </w:rPr>
            </w:pPr>
            <w:r>
              <w:rPr>
                <w:rFonts w:hint="eastAsia" w:asciiTheme="minorEastAsia" w:hAnsiTheme="minorEastAsia" w:eastAsiaTheme="minorEastAsia"/>
                <w:color w:val="auto"/>
                <w:szCs w:val="21"/>
              </w:rPr>
              <w:t>磋商保证金形式：</w:t>
            </w:r>
            <w:r>
              <w:rPr>
                <w:rFonts w:hint="eastAsia"/>
                <w:color w:val="auto"/>
                <w:szCs w:val="21"/>
              </w:rPr>
              <w:t>银行转账、电汇、支票、汇票、本票、银行保函等非现金形式。【备注：采用银行保函方式的，必须为无条件保函，保函有效期不得低于投标有效期。】</w:t>
            </w:r>
          </w:p>
          <w:p>
            <w:pPr>
              <w:spacing w:line="400" w:lineRule="exact"/>
              <w:rPr>
                <w:color w:val="auto"/>
                <w:szCs w:val="21"/>
              </w:rPr>
            </w:pPr>
            <w:r>
              <w:rPr>
                <w:rFonts w:hint="eastAsia"/>
                <w:color w:val="auto"/>
                <w:szCs w:val="21"/>
              </w:rPr>
              <w:t>交款方式：</w:t>
            </w:r>
          </w:p>
          <w:p>
            <w:pPr>
              <w:spacing w:line="400" w:lineRule="exact"/>
              <w:rPr>
                <w:color w:val="auto"/>
                <w:szCs w:val="21"/>
              </w:rPr>
            </w:pPr>
            <w:r>
              <w:rPr>
                <w:rFonts w:hint="eastAsia"/>
                <w:color w:val="auto"/>
                <w:szCs w:val="21"/>
              </w:rPr>
              <w:t>1、必须从投标人的基本账户转账或电汇支付形式转出并于投标截止时间前到以下指定的投标保证金专用账户（以到账时间为准），并在银行转账底单或网银支付凭证加盖公章（标注项目名称、编号），且在“梧州市蒙山县公共资源交易平台”添加基本账户信息并提交审核通过后，上传保证金缴纳信息，否则将视为未缴纳投标保证金，将无法在开标现场网上签到，后果由投标人自行承担。</w:t>
            </w:r>
          </w:p>
          <w:p>
            <w:pPr>
              <w:spacing w:line="400" w:lineRule="exact"/>
              <w:rPr>
                <w:color w:val="auto"/>
                <w:szCs w:val="21"/>
              </w:rPr>
            </w:pPr>
            <w:r>
              <w:rPr>
                <w:rFonts w:hint="eastAsia"/>
                <w:color w:val="auto"/>
                <w:szCs w:val="21"/>
              </w:rPr>
              <w:t>2、投标人使用银行保函时，投标人将保函原件电子扫描件作为投标文件的组成部分同步上传至梧州市蒙山县公共资源交易平台系统，否则投标无效。在投标时间截止时间前，投标人在开标现场递交保函原件，由招标人核验保函信息，确认保函是否有效后交由招标人或当地交易中心管理，保函原件无效的或未能在投标截止时间前现场提交的，其投标无效。</w:t>
            </w:r>
          </w:p>
          <w:p>
            <w:pPr>
              <w:spacing w:line="400" w:lineRule="exact"/>
              <w:rPr>
                <w:color w:val="auto"/>
                <w:szCs w:val="21"/>
              </w:rPr>
            </w:pPr>
            <w:r>
              <w:rPr>
                <w:rFonts w:hint="eastAsia"/>
                <w:color w:val="auto"/>
                <w:szCs w:val="21"/>
              </w:rPr>
              <w:t>   开户名称：</w:t>
            </w:r>
            <w:r>
              <w:rPr>
                <w:rFonts w:hint="eastAsia"/>
                <w:color w:val="auto"/>
                <w:szCs w:val="21"/>
                <w:u w:val="single"/>
              </w:rPr>
              <w:t>蒙山县公共资源交易中心</w:t>
            </w:r>
          </w:p>
          <w:p>
            <w:pPr>
              <w:spacing w:line="400" w:lineRule="exact"/>
              <w:rPr>
                <w:color w:val="auto"/>
                <w:szCs w:val="21"/>
              </w:rPr>
            </w:pPr>
            <w:r>
              <w:rPr>
                <w:rFonts w:hint="eastAsia"/>
                <w:color w:val="auto"/>
                <w:szCs w:val="21"/>
              </w:rPr>
              <w:t>    开户银行：</w:t>
            </w:r>
            <w:r>
              <w:rPr>
                <w:rFonts w:hint="eastAsia"/>
                <w:color w:val="auto"/>
                <w:szCs w:val="21"/>
                <w:u w:val="single"/>
              </w:rPr>
              <w:t>广西蒙山农村商业银行股份有限公司营业部</w:t>
            </w:r>
          </w:p>
          <w:p>
            <w:pPr>
              <w:spacing w:line="400" w:lineRule="exact"/>
              <w:ind w:firstLine="210" w:firstLineChars="100"/>
              <w:rPr>
                <w:color w:val="auto"/>
                <w:szCs w:val="21"/>
              </w:rPr>
            </w:pPr>
            <w:r>
              <w:rPr>
                <w:rFonts w:hint="eastAsia"/>
                <w:color w:val="auto"/>
                <w:szCs w:val="21"/>
              </w:rPr>
              <w:t>银行账号：</w:t>
            </w:r>
            <w:r>
              <w:rPr>
                <w:rFonts w:hint="eastAsia"/>
                <w:color w:val="auto"/>
                <w:szCs w:val="21"/>
                <w:u w:val="single"/>
              </w:rPr>
              <w:t>蒙山县人民政府门户网项目公告下方虚拟子账号</w:t>
            </w:r>
          </w:p>
          <w:p>
            <w:pPr>
              <w:spacing w:line="400" w:lineRule="exact"/>
              <w:rPr>
                <w:color w:val="auto"/>
                <w:szCs w:val="21"/>
                <w:u w:val="single"/>
              </w:rPr>
            </w:pPr>
            <w:r>
              <w:rPr>
                <w:rFonts w:hint="eastAsia"/>
                <w:color w:val="auto"/>
                <w:szCs w:val="21"/>
              </w:rPr>
              <w:t>蒙山县公共资源交易中心负责对保证金递交方式进行解释。</w:t>
            </w:r>
          </w:p>
          <w:p>
            <w:pPr>
              <w:spacing w:line="400" w:lineRule="exact"/>
              <w:ind w:firstLine="420" w:firstLineChars="200"/>
              <w:rPr>
                <w:rFonts w:asciiTheme="minorEastAsia" w:hAnsiTheme="minorEastAsia" w:eastAsiaTheme="minorEastAsia"/>
                <w:color w:val="auto"/>
                <w:szCs w:val="21"/>
              </w:rPr>
            </w:pPr>
            <w:r>
              <w:rPr>
                <w:color w:val="auto"/>
                <w:szCs w:val="21"/>
              </w:rPr>
              <w:t>注：1.请注明投标项目名称和项目编号投标保证金，如不按照以上注明，后果自负。</w:t>
            </w:r>
            <w:r>
              <w:rPr>
                <w:color w:val="auto"/>
                <w:szCs w:val="21"/>
              </w:rPr>
              <w:br w:type="textWrapping"/>
            </w:r>
            <w:r>
              <w:rPr>
                <w:color w:val="auto"/>
                <w:szCs w:val="21"/>
              </w:rPr>
              <w:t>2. </w:t>
            </w:r>
            <w:r>
              <w:rPr>
                <w:rFonts w:hint="eastAsia"/>
                <w:color w:val="auto"/>
                <w:szCs w:val="21"/>
              </w:rPr>
              <w:t>投标</w:t>
            </w:r>
            <w:r>
              <w:rPr>
                <w:color w:val="auto"/>
                <w:szCs w:val="21"/>
              </w:rPr>
              <w:t>保证金必须在投标截止时间前到达指定账户，</w:t>
            </w:r>
            <w:r>
              <w:rPr>
                <w:rFonts w:hint="eastAsia"/>
                <w:color w:val="auto"/>
                <w:szCs w:val="21"/>
              </w:rPr>
              <w:t>并在保证金缴纳凭证加盖公章。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trPr>
        <w:tc>
          <w:tcPr>
            <w:tcW w:w="536"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7</w:t>
            </w:r>
          </w:p>
        </w:tc>
        <w:tc>
          <w:tcPr>
            <w:tcW w:w="654"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18</w:t>
            </w:r>
          </w:p>
        </w:tc>
        <w:tc>
          <w:tcPr>
            <w:tcW w:w="8190" w:type="dxa"/>
            <w:vAlign w:val="center"/>
          </w:tcPr>
          <w:p>
            <w:pPr>
              <w:pStyle w:val="17"/>
              <w:snapToGrid w:val="0"/>
              <w:spacing w:line="400" w:lineRule="exact"/>
              <w:ind w:left="1037" w:hanging="1037" w:hangingChars="494"/>
              <w:rPr>
                <w:rFonts w:asciiTheme="minorEastAsia" w:hAnsiTheme="minorEastAsia" w:eastAsiaTheme="minorEastAsia"/>
                <w:color w:val="auto"/>
              </w:rPr>
            </w:pPr>
            <w:r>
              <w:rPr>
                <w:rFonts w:hint="eastAsia" w:asciiTheme="minorEastAsia" w:hAnsiTheme="minorEastAsia" w:eastAsiaTheme="minorEastAsia"/>
                <w:color w:val="auto"/>
              </w:rPr>
              <w:t>响应文件提交的截止时间：</w:t>
            </w:r>
            <w:r>
              <w:rPr>
                <w:rFonts w:hint="eastAsia" w:asciiTheme="minorEastAsia" w:hAnsiTheme="minorEastAsia" w:eastAsiaTheme="minorEastAsia"/>
                <w:color w:val="auto"/>
                <w:kern w:val="0"/>
                <w:szCs w:val="21"/>
              </w:rPr>
              <w:t>2020年10月20日北京时间09时30分</w:t>
            </w:r>
            <w:r>
              <w:rPr>
                <w:rFonts w:hint="eastAsia" w:asciiTheme="minorEastAsia" w:hAnsiTheme="minorEastAsia" w:eastAsiaTheme="minorEastAsia"/>
                <w:color w:val="auto"/>
              </w:rPr>
              <w:t>整</w:t>
            </w:r>
          </w:p>
          <w:p>
            <w:pPr>
              <w:pStyle w:val="17"/>
              <w:snapToGrid w:val="0"/>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响应文件提交的地点：</w:t>
            </w:r>
            <w:r>
              <w:rPr>
                <w:rFonts w:hint="eastAsia" w:cs="宋体" w:asciiTheme="minorEastAsia" w:hAnsiTheme="minorEastAsia" w:eastAsiaTheme="minorEastAsia"/>
                <w:color w:val="auto"/>
                <w:szCs w:val="21"/>
                <w:shd w:val="clear" w:color="auto" w:fill="FFFFFF"/>
              </w:rPr>
              <w:t>蒙山县公共资源交易中心（即县政务服务中心四楼）</w:t>
            </w:r>
          </w:p>
          <w:p>
            <w:pPr>
              <w:pStyle w:val="17"/>
              <w:snapToGrid w:val="0"/>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服务商的法定代表人或其委托代理人必须签到出席截标会并提交以下资料原件接受核查，否则响应无效。</w:t>
            </w:r>
          </w:p>
          <w:p>
            <w:pPr>
              <w:pStyle w:val="17"/>
              <w:snapToGrid w:val="0"/>
              <w:spacing w:line="400" w:lineRule="exact"/>
              <w:rPr>
                <w:rFonts w:asciiTheme="minorEastAsia" w:hAnsiTheme="minorEastAsia" w:eastAsiaTheme="minorEastAsia"/>
                <w:color w:val="auto"/>
              </w:rPr>
            </w:pPr>
            <w:r>
              <w:rPr>
                <w:rFonts w:hint="eastAsia"/>
                <w:color w:val="auto"/>
              </w:rPr>
              <w:t>（1）法定代表人持有效身份证或委托代理人必须持有效身份证和法人授权委托书原件</w:t>
            </w:r>
            <w:r>
              <w:rPr>
                <w:rFonts w:hint="eastAsia" w:cs="宋体" w:asciiTheme="minorEastAsia" w:hAnsiTheme="minorEastAsia" w:eastAsiaTheme="minorEastAsia"/>
                <w:color w:val="auto"/>
                <w:szCs w:val="21"/>
              </w:rPr>
              <w:t>（2）营业执照副本复印件或有效的事业单位法人证书复印件（3）</w:t>
            </w:r>
            <w:r>
              <w:rPr>
                <w:rFonts w:hint="eastAsia" w:cs="宋体" w:asciiTheme="minorEastAsia" w:hAnsiTheme="minorEastAsia" w:eastAsiaTheme="minorEastAsia"/>
                <w:color w:val="auto"/>
                <w:kern w:val="0"/>
                <w:szCs w:val="21"/>
              </w:rPr>
              <w:t>参加政府采购活动前3年内在经营活动中没有重大违法记录的书面声明原件</w:t>
            </w:r>
            <w:r>
              <w:rPr>
                <w:rFonts w:hint="eastAsia" w:cs="宋体" w:asciiTheme="minorEastAsia" w:hAnsiTheme="minorEastAsia" w:eastAsiaTheme="minorEastAsia"/>
                <w:color w:val="auto"/>
                <w:szCs w:val="21"/>
              </w:rPr>
              <w:t>（4）保证金缴纳凭证复印件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36" w:type="dxa"/>
            <w:vMerge w:val="restart"/>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8</w:t>
            </w:r>
          </w:p>
        </w:tc>
        <w:tc>
          <w:tcPr>
            <w:tcW w:w="654"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21.1</w:t>
            </w:r>
          </w:p>
        </w:tc>
        <w:tc>
          <w:tcPr>
            <w:tcW w:w="8190" w:type="dxa"/>
            <w:vAlign w:val="center"/>
          </w:tcPr>
          <w:p>
            <w:pPr>
              <w:pStyle w:val="39"/>
              <w:snapToGrid w:val="0"/>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响应文件开启时间（评审时间）：</w:t>
            </w:r>
            <w:r>
              <w:rPr>
                <w:rFonts w:hint="eastAsia" w:asciiTheme="minorEastAsia" w:hAnsiTheme="minorEastAsia" w:eastAsiaTheme="minorEastAsia"/>
                <w:color w:val="auto"/>
                <w:kern w:val="0"/>
                <w:szCs w:val="21"/>
              </w:rPr>
              <w:t>2020年10月20日北京时间09时30分</w:t>
            </w:r>
            <w:r>
              <w:rPr>
                <w:rFonts w:hint="eastAsia" w:asciiTheme="minorEastAsia" w:hAnsiTheme="minorEastAsia" w:eastAsiaTheme="minorEastAsia"/>
                <w:color w:val="auto"/>
              </w:rPr>
              <w:t>整截标后</w:t>
            </w:r>
          </w:p>
          <w:p>
            <w:pPr>
              <w:pStyle w:val="17"/>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响应文件开启地点（评审地点）：</w:t>
            </w:r>
            <w:r>
              <w:rPr>
                <w:rFonts w:hint="eastAsia" w:cs="宋体" w:asciiTheme="minorEastAsia" w:hAnsiTheme="minorEastAsia" w:eastAsiaTheme="minorEastAsia"/>
                <w:color w:val="auto"/>
                <w:szCs w:val="21"/>
                <w:shd w:val="clear" w:color="auto" w:fill="FFFFFF"/>
              </w:rPr>
              <w:t>蒙山县公共资源交易中心（即县政务服务中心四楼）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536" w:type="dxa"/>
            <w:vMerge w:val="continue"/>
            <w:vAlign w:val="center"/>
          </w:tcPr>
          <w:p>
            <w:pPr>
              <w:snapToGrid w:val="0"/>
              <w:spacing w:line="400" w:lineRule="exact"/>
              <w:jc w:val="center"/>
              <w:rPr>
                <w:rFonts w:asciiTheme="minorEastAsia" w:hAnsiTheme="minorEastAsia" w:eastAsiaTheme="minorEastAsia"/>
                <w:color w:val="auto"/>
              </w:rPr>
            </w:pPr>
          </w:p>
        </w:tc>
        <w:tc>
          <w:tcPr>
            <w:tcW w:w="654"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21.2</w:t>
            </w:r>
          </w:p>
        </w:tc>
        <w:tc>
          <w:tcPr>
            <w:tcW w:w="8190" w:type="dxa"/>
            <w:vAlign w:val="center"/>
          </w:tcPr>
          <w:p>
            <w:pPr>
              <w:pStyle w:val="39"/>
              <w:snapToGrid w:val="0"/>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磋商时间</w:t>
            </w:r>
            <w:r>
              <w:rPr>
                <w:rFonts w:hint="eastAsia" w:asciiTheme="minorEastAsia" w:hAnsiTheme="minorEastAsia" w:eastAsiaTheme="minorEastAsia"/>
                <w:color w:val="auto"/>
                <w:kern w:val="0"/>
                <w:szCs w:val="21"/>
              </w:rPr>
              <w:t>2020年10月20日北京时间09时30分</w:t>
            </w:r>
            <w:r>
              <w:rPr>
                <w:rFonts w:hint="eastAsia" w:asciiTheme="minorEastAsia" w:hAnsiTheme="minorEastAsia" w:eastAsiaTheme="minorEastAsia"/>
                <w:color w:val="auto"/>
              </w:rPr>
              <w:t>整截标后，具体时间由广西汇晟工程咨询有限公司另行通知。</w:t>
            </w:r>
          </w:p>
          <w:p>
            <w:pPr>
              <w:pStyle w:val="39"/>
              <w:snapToGrid w:val="0"/>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磋商地点：</w:t>
            </w:r>
            <w:r>
              <w:rPr>
                <w:rFonts w:hint="eastAsia" w:cs="宋体" w:asciiTheme="minorEastAsia" w:hAnsiTheme="minorEastAsia" w:eastAsiaTheme="minorEastAsia"/>
                <w:color w:val="auto"/>
                <w:szCs w:val="21"/>
                <w:shd w:val="clear" w:color="auto" w:fill="FFFFFF"/>
              </w:rPr>
              <w:t>蒙山县公共资源交易中心（即县政务服务中心四楼）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6"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9</w:t>
            </w:r>
          </w:p>
        </w:tc>
        <w:tc>
          <w:tcPr>
            <w:tcW w:w="654" w:type="dxa"/>
            <w:vAlign w:val="center"/>
          </w:tcPr>
          <w:p>
            <w:pPr>
              <w:snapToGrid w:val="0"/>
              <w:spacing w:line="400" w:lineRule="exact"/>
              <w:jc w:val="center"/>
              <w:rPr>
                <w:rFonts w:asciiTheme="minorEastAsia" w:hAnsiTheme="minorEastAsia" w:eastAsiaTheme="minorEastAsia"/>
                <w:color w:val="auto"/>
              </w:rPr>
            </w:pPr>
            <w:r>
              <w:rPr>
                <w:rFonts w:asciiTheme="minorEastAsia" w:hAnsiTheme="minorEastAsia" w:eastAsiaTheme="minorEastAsia"/>
                <w:color w:val="auto"/>
              </w:rPr>
              <w:t>21.2</w:t>
            </w:r>
          </w:p>
        </w:tc>
        <w:tc>
          <w:tcPr>
            <w:tcW w:w="8190" w:type="dxa"/>
            <w:vAlign w:val="center"/>
          </w:tcPr>
          <w:p>
            <w:pPr>
              <w:pStyle w:val="17"/>
              <w:snapToGrid w:val="0"/>
              <w:spacing w:line="400" w:lineRule="exact"/>
              <w:ind w:left="1037" w:hanging="1037" w:hangingChars="494"/>
              <w:rPr>
                <w:rFonts w:asciiTheme="minorEastAsia" w:hAnsiTheme="minorEastAsia" w:eastAsiaTheme="minorEastAsia"/>
                <w:color w:val="auto"/>
              </w:rPr>
            </w:pPr>
            <w:r>
              <w:rPr>
                <w:rFonts w:hint="eastAsia" w:asciiTheme="minorEastAsia" w:hAnsiTheme="minorEastAsia" w:eastAsiaTheme="minorEastAsia"/>
                <w:color w:val="auto"/>
              </w:rPr>
              <w:t>评标办法：综合评分法（详见第四章）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36"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10</w:t>
            </w:r>
          </w:p>
        </w:tc>
        <w:tc>
          <w:tcPr>
            <w:tcW w:w="654"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27.2</w:t>
            </w:r>
          </w:p>
        </w:tc>
        <w:tc>
          <w:tcPr>
            <w:tcW w:w="8190" w:type="dxa"/>
            <w:vAlign w:val="center"/>
          </w:tcPr>
          <w:p>
            <w:pPr>
              <w:pStyle w:val="17"/>
              <w:spacing w:line="400" w:lineRule="exact"/>
              <w:rPr>
                <w:color w:val="auto"/>
              </w:rPr>
            </w:pPr>
            <w:bookmarkStart w:id="13" w:name="OLE_LINK1"/>
            <w:r>
              <w:rPr>
                <w:rFonts w:hint="eastAsia"/>
                <w:color w:val="auto"/>
              </w:rPr>
              <w:t>履约保证金：履约保证金额为中标合同价款的 3 % ，中标人在领取中标通知书之前向蒙山县公共资源交易中心足额缴纳（如中标人不按时交足则取消中标资格）</w:t>
            </w:r>
          </w:p>
          <w:p>
            <w:pPr>
              <w:pStyle w:val="17"/>
              <w:spacing w:line="400" w:lineRule="exact"/>
              <w:rPr>
                <w:color w:val="auto"/>
              </w:rPr>
            </w:pPr>
            <w:r>
              <w:rPr>
                <w:rFonts w:hint="eastAsia"/>
                <w:color w:val="auto"/>
              </w:rPr>
              <w:t>履约保证金在项目验收合格一个月后无息退还。</w:t>
            </w:r>
          </w:p>
          <w:p>
            <w:pPr>
              <w:pStyle w:val="17"/>
              <w:spacing w:line="400" w:lineRule="exact"/>
              <w:rPr>
                <w:color w:val="auto"/>
              </w:rPr>
            </w:pPr>
            <w:r>
              <w:rPr>
                <w:rFonts w:hint="eastAsia"/>
                <w:color w:val="auto"/>
              </w:rPr>
              <w:t>蒙山县公共资源交易中心银行账户：</w:t>
            </w:r>
          </w:p>
          <w:p>
            <w:pPr>
              <w:pStyle w:val="17"/>
              <w:spacing w:line="400" w:lineRule="exact"/>
              <w:rPr>
                <w:color w:val="auto"/>
              </w:rPr>
            </w:pPr>
            <w:r>
              <w:rPr>
                <w:rFonts w:hint="eastAsia"/>
                <w:color w:val="auto"/>
              </w:rPr>
              <w:t>户名：蒙山县公共资源交易中心</w:t>
            </w:r>
          </w:p>
          <w:p>
            <w:pPr>
              <w:pStyle w:val="17"/>
              <w:spacing w:line="400" w:lineRule="exact"/>
              <w:rPr>
                <w:color w:val="auto"/>
              </w:rPr>
            </w:pPr>
            <w:r>
              <w:rPr>
                <w:rFonts w:hint="eastAsia"/>
                <w:color w:val="auto"/>
              </w:rPr>
              <w:t>账号：423612010130955986</w:t>
            </w:r>
          </w:p>
          <w:p>
            <w:pPr>
              <w:pStyle w:val="17"/>
              <w:spacing w:line="400" w:lineRule="exact"/>
              <w:rPr>
                <w:color w:val="auto"/>
              </w:rPr>
            </w:pPr>
            <w:r>
              <w:rPr>
                <w:rFonts w:hint="eastAsia"/>
                <w:color w:val="auto"/>
              </w:rPr>
              <w:t>开户行：广西蒙山农村商业银行股份有限公司营业部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536"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12</w:t>
            </w:r>
          </w:p>
        </w:tc>
        <w:tc>
          <w:tcPr>
            <w:tcW w:w="654"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29</w:t>
            </w:r>
          </w:p>
        </w:tc>
        <w:tc>
          <w:tcPr>
            <w:tcW w:w="8190" w:type="dxa"/>
            <w:vAlign w:val="center"/>
          </w:tcPr>
          <w:p>
            <w:pPr>
              <w:pStyle w:val="39"/>
              <w:snapToGrid w:val="0"/>
              <w:spacing w:line="400" w:lineRule="exact"/>
              <w:ind w:left="126" w:hanging="126"/>
              <w:rPr>
                <w:rFonts w:asciiTheme="minorEastAsia" w:hAnsiTheme="minorEastAsia" w:eastAsiaTheme="minorEastAsia"/>
                <w:color w:val="auto"/>
              </w:rPr>
            </w:pPr>
            <w:r>
              <w:rPr>
                <w:rFonts w:hint="eastAsia" w:asciiTheme="minorEastAsia" w:hAnsiTheme="minorEastAsia" w:eastAsiaTheme="minorEastAsia"/>
                <w:color w:val="auto"/>
              </w:rPr>
              <w:t>1、成交服务费：签订合同前，成交人须凭“履约保证金收据”领取成交通知书，并向广西汇晟工程咨询有限公司一次性付清招标代理服务费，其金额按国家发展计划委员会计价格〔</w:t>
            </w:r>
            <w:r>
              <w:rPr>
                <w:rFonts w:asciiTheme="minorEastAsia" w:hAnsiTheme="minorEastAsia" w:eastAsiaTheme="minorEastAsia"/>
                <w:color w:val="auto"/>
              </w:rPr>
              <w:t>20</w:t>
            </w:r>
            <w:r>
              <w:rPr>
                <w:rFonts w:hint="eastAsia" w:asciiTheme="minorEastAsia" w:hAnsiTheme="minorEastAsia" w:eastAsiaTheme="minorEastAsia"/>
                <w:color w:val="auto"/>
              </w:rPr>
              <w:t>11〕534号《招标代理服务收费管理暂行办法》</w:t>
            </w:r>
            <w:r>
              <w:rPr>
                <w:rFonts w:hint="eastAsia" w:asciiTheme="minorEastAsia" w:hAnsiTheme="minorEastAsia" w:eastAsiaTheme="minorEastAsia"/>
                <w:bCs/>
                <w:color w:val="auto"/>
              </w:rPr>
              <w:t>招标收费标准</w:t>
            </w:r>
            <w:r>
              <w:rPr>
                <w:rFonts w:hint="eastAsia" w:asciiTheme="minorEastAsia" w:hAnsiTheme="minorEastAsia" w:eastAsiaTheme="minorEastAsia"/>
                <w:color w:val="auto"/>
              </w:rPr>
              <w:t>收取。</w:t>
            </w:r>
          </w:p>
          <w:p>
            <w:pPr>
              <w:adjustRightInd w:val="0"/>
              <w:snapToGrid w:val="0"/>
              <w:spacing w:line="400" w:lineRule="exact"/>
              <w:ind w:left="315" w:hanging="315" w:hangingChars="150"/>
              <w:rPr>
                <w:rFonts w:asciiTheme="minorEastAsia" w:hAnsiTheme="minorEastAsia" w:eastAsiaTheme="minorEastAsia"/>
                <w:color w:val="auto"/>
              </w:rPr>
            </w:pPr>
            <w:r>
              <w:rPr>
                <w:rFonts w:hint="eastAsia" w:asciiTheme="minorEastAsia" w:hAnsiTheme="minorEastAsia" w:eastAsiaTheme="minorEastAsia"/>
                <w:color w:val="auto"/>
              </w:rPr>
              <w:t>2、</w:t>
            </w:r>
            <w:r>
              <w:rPr>
                <w:rFonts w:hint="eastAsia" w:asciiTheme="minorEastAsia" w:hAnsiTheme="minorEastAsia" w:eastAsiaTheme="minorEastAsia"/>
                <w:color w:val="auto"/>
                <w:szCs w:val="21"/>
              </w:rPr>
              <w:t>上述款项，请现金现缴（或转账电汇转入下列银行帐户），否则不予签订合同。</w:t>
            </w:r>
          </w:p>
          <w:p>
            <w:pPr>
              <w:adjustRightInd w:val="0"/>
              <w:snapToGrid w:val="0"/>
              <w:spacing w:line="400" w:lineRule="exact"/>
              <w:ind w:firstLine="357" w:firstLineChars="170"/>
              <w:rPr>
                <w:rFonts w:asciiTheme="minorEastAsia" w:hAnsiTheme="minorEastAsia" w:eastAsiaTheme="minorEastAsia"/>
                <w:color w:val="auto"/>
              </w:rPr>
            </w:pPr>
            <w:r>
              <w:rPr>
                <w:rFonts w:hint="eastAsia" w:asciiTheme="minorEastAsia" w:hAnsiTheme="minorEastAsia" w:eastAsiaTheme="minorEastAsia"/>
                <w:color w:val="auto"/>
              </w:rPr>
              <w:t xml:space="preserve">开户名称：广西汇晟工程咨询有限公司蒙山分公司 </w:t>
            </w:r>
          </w:p>
          <w:p>
            <w:pPr>
              <w:adjustRightInd w:val="0"/>
              <w:snapToGrid w:val="0"/>
              <w:spacing w:line="400" w:lineRule="exact"/>
              <w:ind w:firstLine="357" w:firstLineChars="170"/>
              <w:rPr>
                <w:rFonts w:asciiTheme="minorEastAsia" w:hAnsiTheme="minorEastAsia" w:eastAsiaTheme="minorEastAsia"/>
                <w:color w:val="auto"/>
              </w:rPr>
            </w:pPr>
            <w:r>
              <w:rPr>
                <w:rFonts w:hint="eastAsia" w:asciiTheme="minorEastAsia" w:hAnsiTheme="minorEastAsia" w:eastAsiaTheme="minorEastAsia"/>
                <w:color w:val="auto"/>
              </w:rPr>
              <w:t>开户银行：中国工商银行股份有限公司蒙山县支行</w:t>
            </w:r>
          </w:p>
          <w:p>
            <w:pPr>
              <w:adjustRightInd w:val="0"/>
              <w:snapToGrid w:val="0"/>
              <w:spacing w:line="400" w:lineRule="exact"/>
              <w:ind w:firstLine="357" w:firstLineChars="170"/>
              <w:rPr>
                <w:rFonts w:asciiTheme="minorEastAsia" w:hAnsiTheme="minorEastAsia" w:eastAsiaTheme="minorEastAsia"/>
                <w:color w:val="auto"/>
              </w:rPr>
            </w:pPr>
            <w:r>
              <w:rPr>
                <w:rFonts w:hint="eastAsia" w:asciiTheme="minorEastAsia" w:hAnsiTheme="minorEastAsia" w:eastAsiaTheme="minorEastAsia"/>
                <w:color w:val="auto"/>
              </w:rPr>
              <w:t>银行账号：21043 07009 10005 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6"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13</w:t>
            </w:r>
          </w:p>
        </w:tc>
        <w:tc>
          <w:tcPr>
            <w:tcW w:w="654" w:type="dxa"/>
            <w:vAlign w:val="center"/>
          </w:tcPr>
          <w:p>
            <w:pPr>
              <w:snapToGrid w:val="0"/>
              <w:spacing w:line="400" w:lineRule="exact"/>
              <w:jc w:val="center"/>
              <w:rPr>
                <w:rFonts w:asciiTheme="minorEastAsia" w:hAnsiTheme="minorEastAsia" w:eastAsiaTheme="minorEastAsia"/>
                <w:color w:val="auto"/>
              </w:rPr>
            </w:pPr>
          </w:p>
        </w:tc>
        <w:tc>
          <w:tcPr>
            <w:tcW w:w="8190" w:type="dxa"/>
            <w:vAlign w:val="center"/>
          </w:tcPr>
          <w:p>
            <w:pPr>
              <w:pStyle w:val="39"/>
              <w:snapToGrid w:val="0"/>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采购人、采购代理机构不再组织服务商进行现场考察或召开磋商前答疑会。编制单位可自行到现场踏勘，在现场考察过程中，报名单位及其聘用、雇佣人员如果发生意外人身伤亡伤害、财物或其它损失等一切风险均由报名单位自理，采购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36"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14</w:t>
            </w:r>
          </w:p>
        </w:tc>
        <w:tc>
          <w:tcPr>
            <w:tcW w:w="654" w:type="dxa"/>
            <w:vAlign w:val="center"/>
          </w:tcPr>
          <w:p>
            <w:pPr>
              <w:snapToGrid w:val="0"/>
              <w:spacing w:line="400" w:lineRule="exact"/>
              <w:jc w:val="center"/>
              <w:rPr>
                <w:rFonts w:asciiTheme="minorEastAsia" w:hAnsiTheme="minorEastAsia" w:eastAsiaTheme="minorEastAsia"/>
                <w:color w:val="auto"/>
              </w:rPr>
            </w:pPr>
          </w:p>
        </w:tc>
        <w:tc>
          <w:tcPr>
            <w:tcW w:w="8190" w:type="dxa"/>
            <w:vAlign w:val="center"/>
          </w:tcPr>
          <w:p>
            <w:pPr>
              <w:pStyle w:val="39"/>
              <w:snapToGrid w:val="0"/>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服务商必须对响应文件中所提供的所有文件的真实性、有效性及合法性负责，如果经查实服务商提供虚假资料的，响应无效，如成交，即取消其成交资格。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36"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15</w:t>
            </w:r>
          </w:p>
        </w:tc>
        <w:tc>
          <w:tcPr>
            <w:tcW w:w="654" w:type="dxa"/>
            <w:vAlign w:val="center"/>
          </w:tcPr>
          <w:p>
            <w:pPr>
              <w:snapToGrid w:val="0"/>
              <w:spacing w:line="400" w:lineRule="exact"/>
              <w:jc w:val="center"/>
              <w:rPr>
                <w:rFonts w:asciiTheme="minorEastAsia" w:hAnsiTheme="minorEastAsia" w:eastAsiaTheme="minorEastAsia"/>
                <w:color w:val="auto"/>
              </w:rPr>
            </w:pPr>
          </w:p>
        </w:tc>
        <w:tc>
          <w:tcPr>
            <w:tcW w:w="8190" w:type="dxa"/>
            <w:vAlign w:val="center"/>
          </w:tcPr>
          <w:p>
            <w:pPr>
              <w:pStyle w:val="39"/>
              <w:snapToGrid w:val="0"/>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本项目不允许转包或分包，如成交人出现转包或分包情形，采购单位有权取消其成交资格，且磋商保证金不予退还。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536"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16</w:t>
            </w:r>
          </w:p>
        </w:tc>
        <w:tc>
          <w:tcPr>
            <w:tcW w:w="654" w:type="dxa"/>
            <w:vAlign w:val="center"/>
          </w:tcPr>
          <w:p>
            <w:pPr>
              <w:snapToGrid w:val="0"/>
              <w:spacing w:line="400" w:lineRule="exact"/>
              <w:jc w:val="center"/>
              <w:rPr>
                <w:rFonts w:asciiTheme="minorEastAsia" w:hAnsiTheme="minorEastAsia" w:eastAsiaTheme="minorEastAsia"/>
                <w:color w:val="auto"/>
              </w:rPr>
            </w:pPr>
          </w:p>
        </w:tc>
        <w:tc>
          <w:tcPr>
            <w:tcW w:w="8190" w:type="dxa"/>
            <w:vAlign w:val="center"/>
          </w:tcPr>
          <w:p>
            <w:pPr>
              <w:pStyle w:val="12"/>
              <w:spacing w:line="400" w:lineRule="exact"/>
              <w:rPr>
                <w:rFonts w:asciiTheme="minorEastAsia" w:hAnsiTheme="minorEastAsia" w:eastAsiaTheme="minorEastAsia"/>
                <w:b/>
                <w:bCs/>
                <w:color w:val="auto"/>
              </w:rPr>
            </w:pPr>
            <w:r>
              <w:rPr>
                <w:rFonts w:hint="eastAsia" w:asciiTheme="minorEastAsia" w:hAnsiTheme="minorEastAsia" w:eastAsiaTheme="minorEastAsia"/>
                <w:b/>
                <w:bCs/>
                <w:color w:val="auto"/>
              </w:rPr>
              <w:t>政府采购合同备案：</w:t>
            </w:r>
          </w:p>
          <w:p>
            <w:pPr>
              <w:pStyle w:val="12"/>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rPr>
              <w:t>1、</w:t>
            </w:r>
            <w:r>
              <w:rPr>
                <w:rFonts w:hint="eastAsia" w:asciiTheme="minorEastAsia" w:hAnsiTheme="minorEastAsia" w:eastAsiaTheme="minorEastAsia"/>
                <w:color w:val="auto"/>
                <w:szCs w:val="21"/>
              </w:rPr>
              <w:t>政府采购合同自签订之日起2个工作日内，成交服务商必须将政府采购合同送本采购代理机构确认。</w:t>
            </w:r>
          </w:p>
          <w:p>
            <w:pPr>
              <w:pStyle w:val="39"/>
              <w:snapToGrid w:val="0"/>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2、政府采购合同自签订之日起2个工作日内，采购单位必须将政府采购合同报送政采云平台和梧州市蒙山县公共资源交易平台备案。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6" w:type="dxa"/>
            <w:vAlign w:val="center"/>
          </w:tcPr>
          <w:p>
            <w:pPr>
              <w:snapToGrid w:val="0"/>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17</w:t>
            </w:r>
          </w:p>
        </w:tc>
        <w:tc>
          <w:tcPr>
            <w:tcW w:w="654" w:type="dxa"/>
            <w:vAlign w:val="center"/>
          </w:tcPr>
          <w:p>
            <w:pPr>
              <w:snapToGrid w:val="0"/>
              <w:spacing w:line="400" w:lineRule="exact"/>
              <w:jc w:val="center"/>
              <w:rPr>
                <w:rFonts w:asciiTheme="minorEastAsia" w:hAnsiTheme="minorEastAsia" w:eastAsiaTheme="minorEastAsia"/>
                <w:color w:val="auto"/>
              </w:rPr>
            </w:pPr>
          </w:p>
        </w:tc>
        <w:tc>
          <w:tcPr>
            <w:tcW w:w="8190" w:type="dxa"/>
            <w:vAlign w:val="center"/>
          </w:tcPr>
          <w:p>
            <w:pPr>
              <w:spacing w:line="400" w:lineRule="exact"/>
              <w:ind w:left="1550" w:hanging="1550" w:hangingChars="735"/>
              <w:rPr>
                <w:rFonts w:asciiTheme="minorEastAsia" w:hAnsiTheme="minorEastAsia" w:eastAsiaTheme="minorEastAsia"/>
                <w:b/>
                <w:bCs/>
                <w:color w:val="auto"/>
              </w:rPr>
            </w:pPr>
            <w:r>
              <w:rPr>
                <w:rFonts w:hint="eastAsia" w:asciiTheme="minorEastAsia" w:hAnsiTheme="minorEastAsia" w:eastAsiaTheme="minorEastAsia"/>
                <w:b/>
                <w:bCs/>
                <w:color w:val="auto"/>
              </w:rPr>
              <w:t>付款方式：</w:t>
            </w:r>
          </w:p>
          <w:p>
            <w:pPr>
              <w:spacing w:line="400" w:lineRule="exact"/>
              <w:ind w:left="1543" w:hanging="1543" w:hangingChars="735"/>
              <w:rPr>
                <w:rFonts w:asciiTheme="minorEastAsia" w:hAnsiTheme="minorEastAsia" w:eastAsiaTheme="minorEastAsia"/>
                <w:color w:val="auto"/>
              </w:rPr>
            </w:pPr>
            <w:r>
              <w:rPr>
                <w:rFonts w:hint="eastAsia" w:asciiTheme="minorEastAsia" w:hAnsiTheme="minorEastAsia" w:eastAsiaTheme="minorEastAsia"/>
                <w:color w:val="auto"/>
              </w:rPr>
              <w:t>1、合同签订 20 个工作日内，甲方向乙方支付合同金额的30%作为前期工作经费。</w:t>
            </w:r>
          </w:p>
          <w:p>
            <w:pPr>
              <w:spacing w:line="400" w:lineRule="exact"/>
              <w:ind w:hanging="3"/>
              <w:rPr>
                <w:rFonts w:asciiTheme="minorEastAsia" w:hAnsiTheme="minorEastAsia" w:eastAsiaTheme="minorEastAsia"/>
                <w:color w:val="auto"/>
              </w:rPr>
            </w:pPr>
            <w:r>
              <w:rPr>
                <w:rFonts w:hint="eastAsia" w:asciiTheme="minorEastAsia" w:hAnsiTheme="minorEastAsia" w:eastAsiaTheme="minorEastAsia"/>
                <w:color w:val="auto"/>
              </w:rPr>
              <w:t>2、按时完成初步摸排结果通过信息平台汇交后 30 个工作日内，甲方向乙方支付合同金额的50%。</w:t>
            </w:r>
          </w:p>
          <w:p>
            <w:pPr>
              <w:spacing w:line="400" w:lineRule="exact"/>
              <w:ind w:hanging="3"/>
              <w:rPr>
                <w:rFonts w:asciiTheme="minorEastAsia" w:hAnsiTheme="minorEastAsia" w:eastAsiaTheme="minorEastAsia"/>
                <w:color w:val="auto"/>
              </w:rPr>
            </w:pPr>
            <w:r>
              <w:rPr>
                <w:rFonts w:hint="eastAsia" w:asciiTheme="minorEastAsia" w:hAnsiTheme="minorEastAsia" w:eastAsiaTheme="minorEastAsia"/>
                <w:color w:val="auto"/>
              </w:rPr>
              <w:t>3、按时完成核实纠正工作，上报最终摸排成果后 30 个工作日内，甲方向乙方支付合同金额的10%。</w:t>
            </w:r>
          </w:p>
          <w:p>
            <w:pPr>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4、剩余10%待完成蒙山县农村乱占耕地建房问题摸排数据库建设工作后，30 个工作日内向乙方支付。</w:t>
            </w:r>
          </w:p>
          <w:p>
            <w:pPr>
              <w:spacing w:line="400" w:lineRule="exact"/>
              <w:ind w:left="1543" w:hanging="1543" w:hangingChars="735"/>
              <w:rPr>
                <w:rFonts w:asciiTheme="minorEastAsia" w:hAnsiTheme="minorEastAsia" w:eastAsiaTheme="minorEastAsia"/>
                <w:b/>
                <w:bCs/>
                <w:color w:val="auto"/>
              </w:rPr>
            </w:pPr>
            <w:r>
              <w:rPr>
                <w:rFonts w:hint="eastAsia" w:asciiTheme="minorEastAsia" w:hAnsiTheme="minorEastAsia" w:eastAsiaTheme="minorEastAsia"/>
                <w:color w:val="auto"/>
              </w:rPr>
              <w:t>5、乙方应向甲方提供合格的等额发票。</w:t>
            </w:r>
          </w:p>
        </w:tc>
      </w:tr>
    </w:tbl>
    <w:p>
      <w:pPr>
        <w:pStyle w:val="39"/>
        <w:spacing w:line="140" w:lineRule="exact"/>
        <w:rPr>
          <w:color w:val="auto"/>
          <w:sz w:val="32"/>
        </w:rPr>
      </w:pPr>
    </w:p>
    <w:p>
      <w:pPr>
        <w:pStyle w:val="17"/>
        <w:jc w:val="center"/>
        <w:rPr>
          <w:color w:val="auto"/>
        </w:rPr>
      </w:pPr>
      <w:r>
        <w:rPr>
          <w:color w:val="auto"/>
        </w:rPr>
        <w:br w:type="page"/>
      </w:r>
      <w:r>
        <w:rPr>
          <w:rFonts w:hint="eastAsia" w:hAnsi="宋体"/>
          <w:b/>
          <w:color w:val="auto"/>
          <w:sz w:val="32"/>
        </w:rPr>
        <w:t>服 务 商 须 知</w:t>
      </w:r>
    </w:p>
    <w:p>
      <w:pPr>
        <w:spacing w:line="390" w:lineRule="exact"/>
        <w:ind w:firstLine="420"/>
        <w:rPr>
          <w:rFonts w:ascii="宋体" w:hAnsi="宋体"/>
          <w:color w:val="auto"/>
          <w:szCs w:val="21"/>
        </w:rPr>
      </w:pPr>
    </w:p>
    <w:p>
      <w:pPr>
        <w:pStyle w:val="3"/>
        <w:spacing w:line="390" w:lineRule="exact"/>
        <w:jc w:val="center"/>
        <w:rPr>
          <w:color w:val="auto"/>
        </w:rPr>
      </w:pPr>
      <w:bookmarkStart w:id="14" w:name="_Toc230578056"/>
      <w:bookmarkStart w:id="15" w:name="_Toc207770834"/>
      <w:bookmarkStart w:id="16" w:name="_Toc185702548"/>
      <w:bookmarkStart w:id="17" w:name="_Toc239839862"/>
      <w:bookmarkStart w:id="18" w:name="_Toc206525681"/>
      <w:bookmarkStart w:id="19" w:name="_Toc444005980"/>
      <w:r>
        <w:rPr>
          <w:rFonts w:hint="eastAsia"/>
          <w:color w:val="auto"/>
        </w:rPr>
        <w:t>一总则</w:t>
      </w:r>
      <w:bookmarkEnd w:id="14"/>
      <w:bookmarkEnd w:id="15"/>
      <w:bookmarkEnd w:id="16"/>
      <w:bookmarkEnd w:id="17"/>
      <w:bookmarkEnd w:id="18"/>
      <w:bookmarkEnd w:id="19"/>
    </w:p>
    <w:p>
      <w:pPr>
        <w:pStyle w:val="5"/>
        <w:spacing w:before="0" w:after="0" w:line="390" w:lineRule="exact"/>
        <w:rPr>
          <w:rFonts w:ascii="宋体" w:hAnsi="宋体" w:eastAsia="宋体"/>
          <w:color w:val="auto"/>
          <w:sz w:val="21"/>
          <w:szCs w:val="21"/>
        </w:rPr>
      </w:pPr>
      <w:bookmarkStart w:id="20" w:name="_Toc239839863"/>
      <w:bookmarkStart w:id="21" w:name="_Toc185702549"/>
      <w:bookmarkStart w:id="22" w:name="_Toc207770835"/>
      <w:bookmarkStart w:id="23" w:name="_Toc206525682"/>
      <w:bookmarkStart w:id="24" w:name="_Toc230578057"/>
      <w:bookmarkStart w:id="25" w:name="_Toc444005981"/>
      <w:r>
        <w:rPr>
          <w:rFonts w:hint="eastAsia" w:ascii="宋体" w:hAnsi="宋体" w:eastAsia="宋体"/>
          <w:color w:val="auto"/>
          <w:sz w:val="21"/>
          <w:szCs w:val="21"/>
        </w:rPr>
        <w:t>1、</w:t>
      </w:r>
      <w:bookmarkEnd w:id="20"/>
      <w:bookmarkEnd w:id="21"/>
      <w:bookmarkEnd w:id="22"/>
      <w:bookmarkEnd w:id="23"/>
      <w:bookmarkEnd w:id="24"/>
      <w:r>
        <w:rPr>
          <w:rFonts w:hint="eastAsia" w:ascii="宋体" w:hAnsi="宋体" w:eastAsia="宋体"/>
          <w:color w:val="auto"/>
          <w:sz w:val="21"/>
          <w:szCs w:val="21"/>
        </w:rPr>
        <w:t>适用范围及定义</w:t>
      </w:r>
      <w:bookmarkEnd w:id="25"/>
    </w:p>
    <w:p>
      <w:pPr>
        <w:spacing w:line="390" w:lineRule="exact"/>
        <w:ind w:firstLine="420"/>
        <w:rPr>
          <w:rFonts w:ascii="宋体" w:hAnsi="宋体"/>
          <w:color w:val="auto"/>
          <w:szCs w:val="21"/>
        </w:rPr>
      </w:pPr>
      <w:bookmarkStart w:id="26" w:name="_Toc239839864"/>
      <w:bookmarkStart w:id="27" w:name="_Toc230578058"/>
      <w:bookmarkStart w:id="28" w:name="_Toc185702550"/>
      <w:bookmarkStart w:id="29" w:name="_Toc207770836"/>
      <w:bookmarkStart w:id="30" w:name="_Toc206525683"/>
      <w:r>
        <w:rPr>
          <w:rFonts w:hint="eastAsia" w:ascii="宋体" w:hAnsi="宋体"/>
          <w:color w:val="auto"/>
          <w:szCs w:val="21"/>
        </w:rPr>
        <w:t>1</w:t>
      </w:r>
      <w:r>
        <w:rPr>
          <w:rFonts w:ascii="宋体" w:hAnsi="宋体"/>
          <w:color w:val="auto"/>
          <w:szCs w:val="21"/>
        </w:rPr>
        <w:t>.1</w:t>
      </w:r>
      <w:r>
        <w:rPr>
          <w:rFonts w:hint="eastAsia" w:ascii="宋体" w:hAnsi="宋体"/>
          <w:color w:val="auto"/>
          <w:szCs w:val="21"/>
        </w:rPr>
        <w:t>适用范围：本竞争性磋商文件仅适用于本次招标中所述项目的货物、服务类政府采购项目。</w:t>
      </w:r>
    </w:p>
    <w:p>
      <w:pPr>
        <w:spacing w:line="390" w:lineRule="exact"/>
        <w:ind w:firstLine="420"/>
        <w:rPr>
          <w:rFonts w:ascii="宋体" w:hAnsi="宋体"/>
          <w:color w:val="auto"/>
          <w:szCs w:val="21"/>
        </w:rPr>
      </w:pPr>
      <w:r>
        <w:rPr>
          <w:rFonts w:hint="eastAsia" w:ascii="宋体" w:hAnsi="宋体"/>
          <w:color w:val="auto"/>
          <w:szCs w:val="21"/>
        </w:rPr>
        <w:t>1.2定义：</w:t>
      </w:r>
    </w:p>
    <w:p>
      <w:pPr>
        <w:spacing w:line="390" w:lineRule="exact"/>
        <w:ind w:firstLine="420"/>
        <w:rPr>
          <w:rFonts w:ascii="宋体" w:hAnsi="宋体"/>
          <w:color w:val="auto"/>
          <w:szCs w:val="21"/>
        </w:rPr>
      </w:pPr>
      <w:r>
        <w:rPr>
          <w:rFonts w:hint="eastAsia" w:ascii="宋体" w:hAnsi="宋体"/>
          <w:color w:val="auto"/>
          <w:szCs w:val="21"/>
        </w:rPr>
        <w:t>1.2.1“采购人”系指本次采购项目的业主方或买方。</w:t>
      </w:r>
    </w:p>
    <w:p>
      <w:pPr>
        <w:spacing w:line="390" w:lineRule="exact"/>
        <w:ind w:firstLine="420"/>
        <w:rPr>
          <w:rFonts w:ascii="宋体" w:hAnsi="宋体"/>
          <w:color w:val="auto"/>
          <w:szCs w:val="21"/>
        </w:rPr>
      </w:pPr>
      <w:r>
        <w:rPr>
          <w:rFonts w:hint="eastAsia" w:ascii="宋体" w:hAnsi="宋体"/>
          <w:color w:val="auto"/>
          <w:szCs w:val="21"/>
        </w:rPr>
        <w:t>1.2.2“采购代理机构” 系指本次采购项目活动组织方广西汇晟工程咨询有限公司。</w:t>
      </w:r>
    </w:p>
    <w:p>
      <w:pPr>
        <w:spacing w:line="390" w:lineRule="exact"/>
        <w:ind w:firstLine="420"/>
        <w:rPr>
          <w:rFonts w:ascii="宋体" w:hAnsi="宋体"/>
          <w:color w:val="auto"/>
          <w:szCs w:val="21"/>
        </w:rPr>
      </w:pPr>
      <w:r>
        <w:rPr>
          <w:rFonts w:hint="eastAsia" w:ascii="宋体" w:hAnsi="宋体"/>
          <w:color w:val="auto"/>
          <w:szCs w:val="21"/>
        </w:rPr>
        <w:t>1.2.3“服务商”系指按要求至</w:t>
      </w:r>
      <w:r>
        <w:rPr>
          <w:rFonts w:hint="eastAsia"/>
          <w:color w:val="auto"/>
          <w:szCs w:val="21"/>
        </w:rPr>
        <w:t>采购代理机构进行报名登记并购买</w:t>
      </w:r>
      <w:r>
        <w:rPr>
          <w:rFonts w:hint="eastAsia" w:ascii="宋体" w:hAnsi="宋体"/>
          <w:color w:val="auto"/>
          <w:szCs w:val="21"/>
        </w:rPr>
        <w:t>竞争性磋商文件且提交“响应文件”参加采购活动的服务商。在竞标阶段称为服务商；在签订和履行合同阶段称为成交人。</w:t>
      </w:r>
    </w:p>
    <w:p>
      <w:pPr>
        <w:spacing w:line="390" w:lineRule="exact"/>
        <w:ind w:firstLine="420"/>
        <w:rPr>
          <w:rFonts w:ascii="宋体" w:hAnsi="宋体"/>
          <w:color w:val="auto"/>
          <w:szCs w:val="21"/>
        </w:rPr>
      </w:pPr>
      <w:r>
        <w:rPr>
          <w:rFonts w:hint="eastAsia" w:ascii="宋体" w:hAnsi="宋体"/>
          <w:color w:val="auto"/>
          <w:szCs w:val="21"/>
        </w:rPr>
        <w:t>1.2.4“货物”系指卖方按竞争性磋商文件规定向买方提供的一切货物、设备、机械、仪器仪表、备品备件、工具、手册及其它有关技术资料和材料。</w:t>
      </w:r>
    </w:p>
    <w:p>
      <w:pPr>
        <w:spacing w:line="390" w:lineRule="exact"/>
        <w:ind w:firstLine="420"/>
        <w:rPr>
          <w:rFonts w:ascii="宋体" w:hAnsi="宋体"/>
          <w:color w:val="auto"/>
          <w:szCs w:val="21"/>
        </w:rPr>
      </w:pPr>
      <w:r>
        <w:rPr>
          <w:rFonts w:hint="eastAsia" w:ascii="宋体" w:hAnsi="宋体"/>
          <w:color w:val="auto"/>
          <w:szCs w:val="21"/>
        </w:rPr>
        <w:t>1.2.5“服务”系指竞争性磋商文件规定卖方须承担的技术协助、校准、培训以及其他类似的义务。</w:t>
      </w:r>
    </w:p>
    <w:p>
      <w:pPr>
        <w:spacing w:line="390" w:lineRule="exact"/>
        <w:ind w:firstLine="420"/>
        <w:rPr>
          <w:rFonts w:ascii="宋体" w:hAnsi="宋体"/>
          <w:color w:val="auto"/>
          <w:szCs w:val="21"/>
        </w:rPr>
      </w:pPr>
      <w:r>
        <w:rPr>
          <w:rFonts w:hint="eastAsia" w:ascii="宋体" w:hAnsi="宋体"/>
          <w:color w:val="auto"/>
          <w:szCs w:val="21"/>
        </w:rPr>
        <w:t>1.2.6“响应文件”是指：服务商根据竞争性磋商文件要求，编制包含报价、技术和服务等所有内容的文件。</w:t>
      </w:r>
    </w:p>
    <w:p>
      <w:pPr>
        <w:pStyle w:val="5"/>
        <w:spacing w:before="0" w:after="0" w:line="390" w:lineRule="exact"/>
        <w:rPr>
          <w:rFonts w:ascii="宋体" w:hAnsi="宋体" w:eastAsia="宋体"/>
          <w:color w:val="auto"/>
          <w:sz w:val="21"/>
          <w:szCs w:val="21"/>
        </w:rPr>
      </w:pPr>
      <w:bookmarkStart w:id="31" w:name="_Toc444005982"/>
      <w:r>
        <w:rPr>
          <w:rFonts w:hint="eastAsia" w:ascii="宋体" w:hAnsi="宋体" w:eastAsia="宋体"/>
          <w:color w:val="auto"/>
          <w:sz w:val="21"/>
          <w:szCs w:val="21"/>
        </w:rPr>
        <w:t>2、</w:t>
      </w:r>
      <w:bookmarkEnd w:id="26"/>
      <w:bookmarkEnd w:id="27"/>
      <w:bookmarkEnd w:id="28"/>
      <w:bookmarkEnd w:id="29"/>
      <w:bookmarkEnd w:id="30"/>
      <w:r>
        <w:rPr>
          <w:rFonts w:hint="eastAsia" w:ascii="宋体" w:hAnsi="宋体" w:eastAsia="宋体"/>
          <w:color w:val="auto"/>
          <w:sz w:val="21"/>
          <w:szCs w:val="21"/>
        </w:rPr>
        <w:t>合格的服务商</w:t>
      </w:r>
      <w:bookmarkEnd w:id="31"/>
    </w:p>
    <w:p>
      <w:pPr>
        <w:pStyle w:val="17"/>
        <w:spacing w:line="390" w:lineRule="exact"/>
        <w:ind w:firstLine="420"/>
        <w:rPr>
          <w:rFonts w:hAnsi="宋体"/>
          <w:color w:val="auto"/>
        </w:rPr>
      </w:pPr>
      <w:r>
        <w:rPr>
          <w:rFonts w:hint="eastAsia"/>
          <w:color w:val="auto"/>
        </w:rPr>
        <w:t>2.1合格的服务商应符合服务商须知前附表所规定的资格要求</w:t>
      </w:r>
      <w:r>
        <w:rPr>
          <w:rFonts w:hint="eastAsia" w:hAnsi="宋体"/>
          <w:color w:val="auto"/>
        </w:rPr>
        <w:t>。</w:t>
      </w:r>
    </w:p>
    <w:p>
      <w:pPr>
        <w:pStyle w:val="17"/>
        <w:spacing w:line="390" w:lineRule="exact"/>
        <w:ind w:firstLine="420"/>
        <w:rPr>
          <w:color w:val="auto"/>
        </w:rPr>
      </w:pPr>
      <w:r>
        <w:rPr>
          <w:rFonts w:hint="eastAsia"/>
          <w:color w:val="auto"/>
        </w:rPr>
        <w:t>2.2符合服务商资格的服务商应承担竞标及履约中应承担的全部责任与义务。</w:t>
      </w:r>
    </w:p>
    <w:p>
      <w:pPr>
        <w:pStyle w:val="5"/>
        <w:spacing w:before="0" w:after="0" w:line="390" w:lineRule="exact"/>
        <w:rPr>
          <w:rFonts w:ascii="宋体" w:hAnsi="宋体" w:eastAsia="宋体"/>
          <w:color w:val="auto"/>
          <w:sz w:val="21"/>
          <w:szCs w:val="21"/>
        </w:rPr>
      </w:pPr>
      <w:bookmarkStart w:id="32" w:name="_Toc239839865"/>
      <w:bookmarkStart w:id="33" w:name="_Toc206525684"/>
      <w:bookmarkStart w:id="34" w:name="_Toc444005983"/>
      <w:bookmarkStart w:id="35" w:name="_Toc185702551"/>
      <w:bookmarkStart w:id="36" w:name="_Toc207770837"/>
      <w:bookmarkStart w:id="37" w:name="_Toc230578059"/>
      <w:r>
        <w:rPr>
          <w:rFonts w:hint="eastAsia" w:ascii="宋体" w:hAnsi="宋体" w:eastAsia="宋体"/>
          <w:color w:val="auto"/>
          <w:sz w:val="21"/>
          <w:szCs w:val="21"/>
        </w:rPr>
        <w:t>3、竞标费用</w:t>
      </w:r>
      <w:bookmarkEnd w:id="32"/>
      <w:bookmarkEnd w:id="33"/>
      <w:bookmarkEnd w:id="34"/>
      <w:bookmarkEnd w:id="35"/>
      <w:bookmarkEnd w:id="36"/>
      <w:bookmarkEnd w:id="37"/>
    </w:p>
    <w:p>
      <w:pPr>
        <w:pStyle w:val="17"/>
        <w:spacing w:line="390" w:lineRule="exact"/>
        <w:ind w:firstLine="420"/>
        <w:rPr>
          <w:color w:val="auto"/>
        </w:rPr>
      </w:pPr>
      <w:r>
        <w:rPr>
          <w:rFonts w:hint="eastAsia"/>
          <w:color w:val="auto"/>
        </w:rPr>
        <w:t>3.1服务商应自行承担所有与编写和提交响应文件有关的费用，不论</w:t>
      </w:r>
      <w:r>
        <w:rPr>
          <w:rFonts w:hint="eastAsia" w:hAnsi="宋体"/>
          <w:color w:val="auto"/>
        </w:rPr>
        <w:t>磋商</w:t>
      </w:r>
      <w:r>
        <w:rPr>
          <w:rFonts w:hint="eastAsia"/>
          <w:color w:val="auto"/>
        </w:rPr>
        <w:t>结果如何，采购人（采购代理机构）在任何情况下无义务和责任承担此类费用。</w:t>
      </w:r>
    </w:p>
    <w:p>
      <w:pPr>
        <w:pStyle w:val="17"/>
        <w:spacing w:line="390" w:lineRule="exact"/>
        <w:ind w:firstLine="420"/>
        <w:rPr>
          <w:color w:val="auto"/>
        </w:rPr>
      </w:pPr>
    </w:p>
    <w:p>
      <w:pPr>
        <w:pStyle w:val="3"/>
        <w:spacing w:line="390" w:lineRule="exact"/>
        <w:jc w:val="center"/>
        <w:rPr>
          <w:color w:val="auto"/>
        </w:rPr>
      </w:pPr>
      <w:bookmarkStart w:id="38" w:name="_Toc185702552"/>
      <w:bookmarkStart w:id="39" w:name="_Toc239839866"/>
      <w:bookmarkStart w:id="40" w:name="_Toc207770838"/>
      <w:bookmarkStart w:id="41" w:name="_Toc230578060"/>
      <w:bookmarkStart w:id="42" w:name="_Toc206525685"/>
      <w:bookmarkStart w:id="43" w:name="_Toc444005984"/>
      <w:r>
        <w:rPr>
          <w:rFonts w:hint="eastAsia"/>
          <w:color w:val="auto"/>
        </w:rPr>
        <w:t>二竞争性磋商文件（简称</w:t>
      </w:r>
      <w:r>
        <w:rPr>
          <w:rFonts w:hint="eastAsia" w:ascii="宋体" w:hAnsi="宋体"/>
          <w:color w:val="auto"/>
        </w:rPr>
        <w:t>磋商</w:t>
      </w:r>
      <w:r>
        <w:rPr>
          <w:rFonts w:hint="eastAsia"/>
          <w:color w:val="auto"/>
        </w:rPr>
        <w:t>文件）</w:t>
      </w:r>
      <w:bookmarkEnd w:id="38"/>
      <w:bookmarkEnd w:id="39"/>
      <w:bookmarkEnd w:id="40"/>
      <w:bookmarkEnd w:id="41"/>
      <w:bookmarkEnd w:id="42"/>
      <w:bookmarkEnd w:id="43"/>
    </w:p>
    <w:p>
      <w:pPr>
        <w:pStyle w:val="5"/>
        <w:spacing w:before="0" w:after="0" w:line="390" w:lineRule="exact"/>
        <w:rPr>
          <w:rFonts w:ascii="宋体" w:hAnsi="宋体" w:eastAsia="宋体"/>
          <w:color w:val="auto"/>
          <w:sz w:val="21"/>
          <w:szCs w:val="21"/>
        </w:rPr>
      </w:pPr>
      <w:bookmarkStart w:id="44" w:name="_Toc206525686"/>
      <w:bookmarkStart w:id="45" w:name="_Toc239839867"/>
      <w:bookmarkStart w:id="46" w:name="_Toc444005985"/>
      <w:bookmarkStart w:id="47" w:name="_Toc230578061"/>
      <w:bookmarkStart w:id="48" w:name="_Toc185702553"/>
      <w:bookmarkStart w:id="49" w:name="_Toc207770839"/>
      <w:r>
        <w:rPr>
          <w:rFonts w:hint="eastAsia" w:ascii="宋体" w:hAnsi="宋体" w:eastAsia="宋体"/>
          <w:color w:val="auto"/>
          <w:sz w:val="21"/>
          <w:szCs w:val="21"/>
        </w:rPr>
        <w:t>4、磋商文件的构成</w:t>
      </w:r>
      <w:bookmarkEnd w:id="44"/>
      <w:bookmarkEnd w:id="45"/>
      <w:bookmarkEnd w:id="46"/>
      <w:bookmarkEnd w:id="47"/>
      <w:bookmarkEnd w:id="48"/>
      <w:bookmarkEnd w:id="49"/>
    </w:p>
    <w:p>
      <w:pPr>
        <w:pStyle w:val="17"/>
        <w:spacing w:line="390" w:lineRule="exact"/>
        <w:ind w:firstLine="420"/>
        <w:rPr>
          <w:color w:val="auto"/>
        </w:rPr>
      </w:pPr>
      <w:r>
        <w:rPr>
          <w:rFonts w:hint="eastAsia"/>
          <w:color w:val="auto"/>
        </w:rPr>
        <w:t>4.1</w:t>
      </w:r>
      <w:r>
        <w:rPr>
          <w:rFonts w:hint="eastAsia" w:hAnsi="宋体"/>
          <w:color w:val="auto"/>
        </w:rPr>
        <w:t>磋商</w:t>
      </w:r>
      <w:r>
        <w:rPr>
          <w:rFonts w:hint="eastAsia"/>
          <w:color w:val="auto"/>
        </w:rPr>
        <w:t>文件包括：</w:t>
      </w:r>
    </w:p>
    <w:p>
      <w:pPr>
        <w:pStyle w:val="17"/>
        <w:spacing w:line="390" w:lineRule="exact"/>
        <w:ind w:firstLine="426"/>
        <w:rPr>
          <w:rFonts w:hAnsi="宋体"/>
          <w:color w:val="auto"/>
        </w:rPr>
      </w:pPr>
      <w:r>
        <w:rPr>
          <w:rFonts w:hint="eastAsia"/>
          <w:color w:val="auto"/>
        </w:rPr>
        <w:t xml:space="preserve">竞争性磋商公告 </w:t>
      </w:r>
      <w:r>
        <w:rPr>
          <w:rFonts w:hint="eastAsia"/>
          <w:color w:val="auto"/>
          <w:spacing w:val="2"/>
        </w:rPr>
        <w:t>{ 见</w:t>
      </w:r>
      <w:r>
        <w:rPr>
          <w:rFonts w:hAnsi="宋体"/>
          <w:color w:val="auto"/>
        </w:rPr>
        <w:t>20</w:t>
      </w:r>
      <w:r>
        <w:rPr>
          <w:rFonts w:hint="eastAsia" w:hAnsi="宋体"/>
          <w:color w:val="auto"/>
        </w:rPr>
        <w:t>20</w:t>
      </w:r>
      <w:r>
        <w:rPr>
          <w:rFonts w:hAnsi="宋体"/>
          <w:color w:val="auto"/>
        </w:rPr>
        <w:t>年</w:t>
      </w:r>
      <w:r>
        <w:rPr>
          <w:rFonts w:hint="eastAsia" w:hAnsi="宋体"/>
          <w:color w:val="auto"/>
        </w:rPr>
        <w:t>10</w:t>
      </w:r>
      <w:r>
        <w:rPr>
          <w:rFonts w:hAnsi="宋体"/>
          <w:color w:val="auto"/>
        </w:rPr>
        <w:t>月</w:t>
      </w:r>
      <w:r>
        <w:rPr>
          <w:rFonts w:hint="eastAsia" w:hAnsi="宋体"/>
          <w:color w:val="auto"/>
        </w:rPr>
        <w:t>10</w:t>
      </w:r>
      <w:r>
        <w:rPr>
          <w:rFonts w:hAnsi="宋体"/>
          <w:color w:val="auto"/>
        </w:rPr>
        <w:t>日</w:t>
      </w:r>
      <w:r>
        <w:rPr>
          <w:rFonts w:hAnsi="宋体"/>
          <w:color w:val="auto"/>
          <w:szCs w:val="21"/>
        </w:rPr>
        <w:t>广</w:t>
      </w:r>
      <w:r>
        <w:rPr>
          <w:rFonts w:hAnsi="宋体"/>
          <w:color w:val="auto"/>
          <w:szCs w:val="21"/>
        </w:rPr>
        <w:t>西壮族自治区政府采购网</w:t>
      </w:r>
      <w:r>
        <w:rPr>
          <w:rFonts w:hint="eastAsia"/>
          <w:color w:val="auto"/>
          <w:spacing w:val="2"/>
        </w:rPr>
        <w:t>、</w:t>
      </w:r>
      <w:r>
        <w:rPr>
          <w:rFonts w:hAnsi="宋体"/>
          <w:color w:val="auto"/>
          <w:szCs w:val="21"/>
        </w:rPr>
        <w:t>梧州市政府采购网</w:t>
      </w:r>
      <w:r>
        <w:rPr>
          <w:rFonts w:hint="eastAsia" w:hAnsi="宋体"/>
          <w:color w:val="auto"/>
          <w:spacing w:val="2"/>
          <w:szCs w:val="21"/>
        </w:rPr>
        <w:t>、</w:t>
      </w:r>
      <w:r>
        <w:rPr>
          <w:rFonts w:hint="eastAsia" w:hAnsi="宋体"/>
          <w:color w:val="auto"/>
          <w:szCs w:val="21"/>
        </w:rPr>
        <w:t>广西蒙山县人民政府门户网</w:t>
      </w:r>
      <w:r>
        <w:rPr>
          <w:rFonts w:hint="eastAsia"/>
          <w:color w:val="auto"/>
        </w:rPr>
        <w:t>；</w:t>
      </w:r>
    </w:p>
    <w:p>
      <w:pPr>
        <w:pStyle w:val="17"/>
        <w:spacing w:line="390" w:lineRule="exact"/>
        <w:ind w:firstLine="426"/>
        <w:rPr>
          <w:color w:val="auto"/>
        </w:rPr>
      </w:pPr>
      <w:r>
        <w:rPr>
          <w:rFonts w:hint="eastAsia"/>
          <w:color w:val="auto"/>
        </w:rPr>
        <w:t>第一章  服务商须知及前附表</w:t>
      </w:r>
    </w:p>
    <w:p>
      <w:pPr>
        <w:pStyle w:val="17"/>
        <w:spacing w:line="390" w:lineRule="exact"/>
        <w:ind w:firstLine="420"/>
        <w:rPr>
          <w:color w:val="auto"/>
        </w:rPr>
      </w:pPr>
      <w:r>
        <w:rPr>
          <w:rFonts w:hint="eastAsia"/>
          <w:color w:val="auto"/>
        </w:rPr>
        <w:t xml:space="preserve">第二章  </w:t>
      </w:r>
      <w:r>
        <w:rPr>
          <w:rFonts w:hint="eastAsia" w:hAnsi="宋体"/>
          <w:color w:val="auto"/>
          <w:szCs w:val="21"/>
        </w:rPr>
        <w:t>服务内容及要求</w:t>
      </w:r>
    </w:p>
    <w:p>
      <w:pPr>
        <w:pStyle w:val="17"/>
        <w:spacing w:line="390" w:lineRule="exact"/>
        <w:ind w:firstLine="420"/>
        <w:rPr>
          <w:color w:val="auto"/>
        </w:rPr>
      </w:pPr>
      <w:r>
        <w:rPr>
          <w:rFonts w:hint="eastAsia"/>
          <w:color w:val="auto"/>
        </w:rPr>
        <w:t>第三章  政府采购合同（格式）</w:t>
      </w:r>
    </w:p>
    <w:p>
      <w:pPr>
        <w:pStyle w:val="17"/>
        <w:spacing w:line="390" w:lineRule="exact"/>
        <w:ind w:firstLine="420"/>
        <w:rPr>
          <w:color w:val="auto"/>
        </w:rPr>
      </w:pPr>
      <w:r>
        <w:rPr>
          <w:rFonts w:hint="eastAsia"/>
          <w:color w:val="auto"/>
        </w:rPr>
        <w:t>第四章  评标方法</w:t>
      </w:r>
    </w:p>
    <w:p>
      <w:pPr>
        <w:pStyle w:val="17"/>
        <w:spacing w:line="390" w:lineRule="exact"/>
        <w:ind w:firstLine="420"/>
        <w:rPr>
          <w:color w:val="auto"/>
        </w:rPr>
      </w:pPr>
      <w:r>
        <w:rPr>
          <w:rFonts w:hint="eastAsia"/>
          <w:color w:val="auto"/>
        </w:rPr>
        <w:t>第五章  响应文件（格式）</w:t>
      </w:r>
    </w:p>
    <w:p>
      <w:pPr>
        <w:pStyle w:val="17"/>
        <w:spacing w:line="390" w:lineRule="exact"/>
        <w:ind w:firstLine="420"/>
        <w:rPr>
          <w:color w:val="auto"/>
        </w:rPr>
      </w:pPr>
      <w:r>
        <w:rPr>
          <w:rFonts w:hint="eastAsia"/>
          <w:color w:val="auto"/>
        </w:rPr>
        <w:t>第六章  附件</w:t>
      </w:r>
    </w:p>
    <w:p>
      <w:pPr>
        <w:pStyle w:val="5"/>
        <w:spacing w:before="0" w:after="0" w:line="400" w:lineRule="exact"/>
        <w:rPr>
          <w:rFonts w:ascii="宋体" w:hAnsi="宋体" w:eastAsia="宋体"/>
          <w:color w:val="auto"/>
          <w:sz w:val="21"/>
          <w:szCs w:val="21"/>
        </w:rPr>
      </w:pPr>
      <w:bookmarkStart w:id="50" w:name="_Toc207770840"/>
      <w:bookmarkStart w:id="51" w:name="_Toc185702554"/>
      <w:bookmarkStart w:id="52" w:name="_Toc206525687"/>
      <w:bookmarkStart w:id="53" w:name="_Toc239839868"/>
      <w:bookmarkStart w:id="54" w:name="_Toc230578062"/>
      <w:bookmarkStart w:id="55" w:name="_Toc444005986"/>
      <w:r>
        <w:rPr>
          <w:rFonts w:hint="eastAsia" w:ascii="宋体" w:hAnsi="宋体" w:eastAsia="宋体"/>
          <w:color w:val="auto"/>
          <w:sz w:val="21"/>
          <w:szCs w:val="21"/>
        </w:rPr>
        <w:t>5、磋商文件的澄清和修改</w:t>
      </w:r>
      <w:bookmarkEnd w:id="50"/>
      <w:bookmarkEnd w:id="51"/>
      <w:bookmarkEnd w:id="52"/>
      <w:bookmarkEnd w:id="53"/>
      <w:bookmarkEnd w:id="54"/>
      <w:bookmarkEnd w:id="55"/>
    </w:p>
    <w:p>
      <w:pPr>
        <w:pStyle w:val="17"/>
        <w:spacing w:line="400" w:lineRule="exact"/>
        <w:ind w:firstLine="420"/>
        <w:rPr>
          <w:color w:val="auto"/>
        </w:rPr>
      </w:pPr>
      <w:r>
        <w:rPr>
          <w:rFonts w:hint="eastAsia"/>
          <w:color w:val="auto"/>
        </w:rPr>
        <w:t>5.1服务商应认真查阅磋商文件中的内容和服务要求，如发现内容有误的，服务商必须在提交响应文件截止时间五日前要求澄清。否则，由此产生的后果由服务商负责。</w:t>
      </w:r>
    </w:p>
    <w:p>
      <w:pPr>
        <w:pStyle w:val="17"/>
        <w:spacing w:line="400" w:lineRule="exact"/>
        <w:ind w:firstLine="420"/>
        <w:rPr>
          <w:color w:val="auto"/>
        </w:rPr>
      </w:pPr>
      <w:r>
        <w:rPr>
          <w:rFonts w:hint="eastAsia"/>
          <w:color w:val="auto"/>
        </w:rPr>
        <w:t>5.2任何要求澄清文件的服务商，均应在提交首次响应文件截止时间五日前的正常工作时间以书面形式（内容包括</w:t>
      </w:r>
      <w:r>
        <w:rPr>
          <w:rFonts w:hint="eastAsia" w:hAnsi="宋体"/>
          <w:color w:val="auto"/>
          <w:szCs w:val="21"/>
        </w:rPr>
        <w:t>项目名称及编号、澄清内容、要求澄清的单位名称或姓名、地址、联系电话等，</w:t>
      </w:r>
      <w:r>
        <w:rPr>
          <w:rFonts w:hint="eastAsia"/>
          <w:color w:val="auto"/>
        </w:rPr>
        <w:t>并加盖公章，法定代表人签字</w:t>
      </w:r>
      <w:r>
        <w:rPr>
          <w:rFonts w:hint="eastAsia" w:hAnsi="宋体"/>
          <w:color w:val="auto"/>
          <w:szCs w:val="21"/>
        </w:rPr>
        <w:t>）</w:t>
      </w:r>
      <w:r>
        <w:rPr>
          <w:rFonts w:hint="eastAsia"/>
          <w:color w:val="auto"/>
        </w:rPr>
        <w:t>通知采购代理机构，否则，采购代理机构将不予受理，同时认定其他要求澄清的方式为无效。采购代理机构将以书面形式予以答复。</w:t>
      </w:r>
    </w:p>
    <w:p>
      <w:pPr>
        <w:pStyle w:val="17"/>
        <w:spacing w:line="400" w:lineRule="exact"/>
        <w:ind w:firstLine="420"/>
        <w:rPr>
          <w:color w:val="auto"/>
        </w:rPr>
      </w:pPr>
      <w:r>
        <w:rPr>
          <w:rFonts w:hint="eastAsia"/>
          <w:color w:val="auto"/>
        </w:rPr>
        <w:t>5.3采购代理机构对已发出的磋商文件进行必要澄清或修改的，在磋商文件要求提交首次响应文件截止时间五日前，在</w:t>
      </w:r>
      <w:r>
        <w:rPr>
          <w:rFonts w:hAnsi="宋体"/>
          <w:color w:val="auto"/>
          <w:szCs w:val="21"/>
        </w:rPr>
        <w:t>广西壮族自治区政府采购网</w:t>
      </w:r>
      <w:r>
        <w:rPr>
          <w:rFonts w:hint="eastAsia"/>
          <w:color w:val="auto"/>
        </w:rPr>
        <w:t>、</w:t>
      </w:r>
      <w:r>
        <w:rPr>
          <w:rFonts w:hAnsi="宋体"/>
          <w:color w:val="auto"/>
          <w:szCs w:val="21"/>
        </w:rPr>
        <w:t>梧州市政府采购网</w:t>
      </w:r>
      <w:r>
        <w:rPr>
          <w:rFonts w:hint="eastAsia" w:hAnsi="宋体"/>
          <w:color w:val="auto"/>
          <w:szCs w:val="21"/>
        </w:rPr>
        <w:t>、广西蒙山县人民政府门户网</w:t>
      </w:r>
      <w:r>
        <w:rPr>
          <w:rFonts w:hint="eastAsia" w:hAnsi="宋体"/>
          <w:color w:val="auto"/>
        </w:rPr>
        <w:t>网站</w:t>
      </w:r>
      <w:r>
        <w:rPr>
          <w:rFonts w:hint="eastAsia"/>
          <w:color w:val="auto"/>
        </w:rPr>
        <w:t>上发布更正公告，该澄清或修改的内容为磋商文件的组成部分并对其具有约束力。</w:t>
      </w:r>
    </w:p>
    <w:p>
      <w:pPr>
        <w:pStyle w:val="17"/>
        <w:spacing w:line="400" w:lineRule="exact"/>
        <w:ind w:firstLine="420"/>
        <w:rPr>
          <w:color w:val="auto"/>
        </w:rPr>
      </w:pPr>
      <w:r>
        <w:rPr>
          <w:color w:val="auto"/>
        </w:rPr>
        <w:t>5.</w:t>
      </w:r>
      <w:r>
        <w:rPr>
          <w:rFonts w:hint="eastAsia"/>
          <w:color w:val="auto"/>
        </w:rPr>
        <w:t>4采购代理机构可视具体情况，延长提交响应文件截止时间和开标时间。采购代理机构至少在磋商文件要求提交响应文件截止时间两日前，在</w:t>
      </w:r>
      <w:r>
        <w:rPr>
          <w:rFonts w:hAnsi="宋体"/>
          <w:color w:val="auto"/>
          <w:szCs w:val="21"/>
        </w:rPr>
        <w:t>广西壮族自治区政府采购网</w:t>
      </w:r>
      <w:r>
        <w:rPr>
          <w:rFonts w:hint="eastAsia"/>
          <w:color w:val="auto"/>
        </w:rPr>
        <w:t>、</w:t>
      </w:r>
      <w:r>
        <w:rPr>
          <w:rFonts w:hAnsi="宋体"/>
          <w:color w:val="auto"/>
          <w:szCs w:val="21"/>
        </w:rPr>
        <w:t>梧州市政府采购网</w:t>
      </w:r>
      <w:r>
        <w:rPr>
          <w:rFonts w:hint="eastAsia"/>
          <w:color w:val="auto"/>
        </w:rPr>
        <w:t>、</w:t>
      </w:r>
      <w:r>
        <w:rPr>
          <w:rFonts w:hint="eastAsia" w:hAnsi="宋体"/>
          <w:color w:val="auto"/>
          <w:szCs w:val="21"/>
        </w:rPr>
        <w:t>广西蒙山县人民政府门户网</w:t>
      </w:r>
      <w:r>
        <w:rPr>
          <w:rFonts w:hint="eastAsia" w:hAnsi="宋体"/>
          <w:color w:val="auto"/>
        </w:rPr>
        <w:t>网站</w:t>
      </w:r>
      <w:r>
        <w:rPr>
          <w:rFonts w:hint="eastAsia"/>
          <w:color w:val="auto"/>
        </w:rPr>
        <w:t>上发布变更公告。</w:t>
      </w:r>
    </w:p>
    <w:p>
      <w:pPr>
        <w:pStyle w:val="17"/>
        <w:spacing w:line="400" w:lineRule="exact"/>
        <w:ind w:firstLine="420"/>
        <w:rPr>
          <w:color w:val="auto"/>
          <w:spacing w:val="-2"/>
        </w:rPr>
      </w:pPr>
      <w:r>
        <w:rPr>
          <w:rFonts w:hint="eastAsia"/>
          <w:color w:val="auto"/>
          <w:spacing w:val="-2"/>
        </w:rPr>
        <w:t>5.5与本项目磋商文件相关的更改通知（或补遗通知等），服务商在网上查询到本项目的更改通知或补遗文件后应填写《收件回执》通知采购代理机构，确认已收到该文件，否则，由此造成一切后果由竞标人承担。</w:t>
      </w:r>
    </w:p>
    <w:p>
      <w:pPr>
        <w:pStyle w:val="17"/>
        <w:spacing w:line="400" w:lineRule="exact"/>
        <w:ind w:firstLine="420"/>
        <w:rPr>
          <w:color w:val="auto"/>
        </w:rPr>
      </w:pPr>
    </w:p>
    <w:p>
      <w:pPr>
        <w:pStyle w:val="3"/>
        <w:spacing w:line="400" w:lineRule="exact"/>
        <w:jc w:val="center"/>
        <w:rPr>
          <w:color w:val="auto"/>
        </w:rPr>
      </w:pPr>
      <w:bookmarkStart w:id="56" w:name="_Toc207770841"/>
      <w:bookmarkStart w:id="57" w:name="_Toc206525688"/>
      <w:bookmarkStart w:id="58" w:name="_Toc185702555"/>
      <w:bookmarkStart w:id="59" w:name="_Toc230578063"/>
      <w:bookmarkStart w:id="60" w:name="_Toc239839869"/>
      <w:bookmarkStart w:id="61" w:name="_Toc444005987"/>
      <w:r>
        <w:rPr>
          <w:rFonts w:hint="eastAsia"/>
          <w:color w:val="auto"/>
        </w:rPr>
        <w:t>三响应文件的编制</w:t>
      </w:r>
      <w:bookmarkEnd w:id="56"/>
      <w:bookmarkEnd w:id="57"/>
      <w:bookmarkEnd w:id="58"/>
      <w:bookmarkEnd w:id="59"/>
      <w:bookmarkEnd w:id="60"/>
      <w:bookmarkEnd w:id="61"/>
    </w:p>
    <w:p>
      <w:pPr>
        <w:pStyle w:val="5"/>
        <w:spacing w:before="0" w:after="0" w:line="400" w:lineRule="exact"/>
        <w:rPr>
          <w:rFonts w:ascii="宋体" w:hAnsi="宋体" w:eastAsia="宋体"/>
          <w:color w:val="auto"/>
          <w:sz w:val="21"/>
          <w:szCs w:val="21"/>
        </w:rPr>
      </w:pPr>
      <w:bookmarkStart w:id="62" w:name="_Toc239839870"/>
      <w:bookmarkStart w:id="63" w:name="_Toc206525689"/>
      <w:bookmarkStart w:id="64" w:name="_Toc207770842"/>
      <w:bookmarkStart w:id="65" w:name="_Toc444005988"/>
      <w:bookmarkStart w:id="66" w:name="_Toc230578064"/>
      <w:bookmarkStart w:id="67" w:name="_Toc185702556"/>
      <w:r>
        <w:rPr>
          <w:rFonts w:hint="eastAsia" w:ascii="宋体" w:hAnsi="宋体" w:eastAsia="宋体"/>
          <w:color w:val="auto"/>
          <w:sz w:val="21"/>
          <w:szCs w:val="21"/>
        </w:rPr>
        <w:t>6、响应文件编写的注意事项</w:t>
      </w:r>
      <w:bookmarkEnd w:id="62"/>
      <w:bookmarkEnd w:id="63"/>
      <w:bookmarkEnd w:id="64"/>
      <w:bookmarkEnd w:id="65"/>
      <w:bookmarkEnd w:id="66"/>
      <w:bookmarkEnd w:id="67"/>
    </w:p>
    <w:p>
      <w:pPr>
        <w:pStyle w:val="17"/>
        <w:spacing w:line="400" w:lineRule="exact"/>
        <w:ind w:firstLine="420"/>
        <w:rPr>
          <w:color w:val="auto"/>
        </w:rPr>
      </w:pPr>
      <w:r>
        <w:rPr>
          <w:rFonts w:hint="eastAsia"/>
          <w:color w:val="auto"/>
        </w:rPr>
        <w:t>6.1服务商应仔细阅读磋商文件，按磋商文件的要求编制响应文件。如果没有按磋商文件要求提交响应文件，没有对磋商文件提出的实质性要求和条件作出响应，该竞标将被拒绝。</w:t>
      </w:r>
    </w:p>
    <w:p>
      <w:pPr>
        <w:pStyle w:val="17"/>
        <w:spacing w:line="400" w:lineRule="exact"/>
        <w:ind w:firstLine="420"/>
        <w:rPr>
          <w:color w:val="auto"/>
          <w:spacing w:val="-2"/>
          <w:szCs w:val="21"/>
        </w:rPr>
      </w:pPr>
      <w:r>
        <w:rPr>
          <w:rFonts w:hint="eastAsia"/>
          <w:color w:val="auto"/>
          <w:spacing w:val="-2"/>
          <w:szCs w:val="21"/>
        </w:rPr>
        <w:t>6.2对磋商文件提出的实质性要求和条件作出响应是指服务商必须对磋商文件中涉及竞标项目的价格、技术要求、数量、售后服务及其它要求、合同主要条款等内容作出满足或者优于原要求和条件的承诺。</w:t>
      </w:r>
    </w:p>
    <w:p>
      <w:pPr>
        <w:pStyle w:val="5"/>
        <w:spacing w:before="0" w:after="0" w:line="400" w:lineRule="exact"/>
        <w:rPr>
          <w:rFonts w:ascii="宋体" w:hAnsi="宋体" w:eastAsia="宋体"/>
          <w:color w:val="auto"/>
          <w:sz w:val="21"/>
          <w:szCs w:val="21"/>
        </w:rPr>
      </w:pPr>
      <w:bookmarkStart w:id="68" w:name="_Toc444005989"/>
      <w:bookmarkStart w:id="69" w:name="_Toc185702557"/>
      <w:bookmarkStart w:id="70" w:name="_Toc207770843"/>
      <w:bookmarkStart w:id="71" w:name="_Toc239839871"/>
      <w:bookmarkStart w:id="72" w:name="_Toc230578065"/>
      <w:bookmarkStart w:id="73" w:name="_Toc206525690"/>
      <w:r>
        <w:rPr>
          <w:rFonts w:hint="eastAsia" w:ascii="宋体" w:hAnsi="宋体" w:eastAsia="宋体"/>
          <w:color w:val="auto"/>
          <w:sz w:val="21"/>
          <w:szCs w:val="21"/>
        </w:rPr>
        <w:t>7、响应文件的文字及计量单位</w:t>
      </w:r>
      <w:bookmarkEnd w:id="68"/>
      <w:bookmarkEnd w:id="69"/>
      <w:bookmarkEnd w:id="70"/>
      <w:bookmarkEnd w:id="71"/>
      <w:bookmarkEnd w:id="72"/>
      <w:bookmarkEnd w:id="73"/>
    </w:p>
    <w:p>
      <w:pPr>
        <w:pStyle w:val="17"/>
        <w:spacing w:line="400" w:lineRule="exact"/>
        <w:ind w:firstLine="435"/>
        <w:rPr>
          <w:color w:val="auto"/>
          <w:spacing w:val="-4"/>
          <w:szCs w:val="21"/>
        </w:rPr>
      </w:pPr>
      <w:r>
        <w:rPr>
          <w:rFonts w:hint="eastAsia"/>
          <w:color w:val="auto"/>
          <w:spacing w:val="-4"/>
          <w:szCs w:val="21"/>
        </w:rPr>
        <w:t>7.1服务商的响应文件以及服务商与采购代理机构的所有来往的函件统一使用中文（另有规定的除外）。</w:t>
      </w:r>
    </w:p>
    <w:p>
      <w:pPr>
        <w:pStyle w:val="17"/>
        <w:spacing w:line="400" w:lineRule="exact"/>
        <w:ind w:firstLine="435"/>
        <w:rPr>
          <w:color w:val="auto"/>
        </w:rPr>
      </w:pPr>
      <w:r>
        <w:rPr>
          <w:rFonts w:hint="eastAsia"/>
          <w:color w:val="auto"/>
        </w:rPr>
        <w:t>7.2响应文件使用的计量单位除磋商文件中有特殊规定外，一律使用法定计量单位。</w:t>
      </w:r>
    </w:p>
    <w:p>
      <w:pPr>
        <w:pStyle w:val="5"/>
        <w:spacing w:before="0" w:after="0" w:line="400" w:lineRule="exact"/>
        <w:rPr>
          <w:rFonts w:ascii="宋体" w:hAnsi="宋体" w:eastAsia="宋体"/>
          <w:color w:val="auto"/>
          <w:sz w:val="21"/>
          <w:szCs w:val="21"/>
        </w:rPr>
      </w:pPr>
      <w:bookmarkStart w:id="74" w:name="_Toc185702558"/>
      <w:bookmarkStart w:id="75" w:name="_Toc206525691"/>
      <w:bookmarkStart w:id="76" w:name="_Toc230578066"/>
      <w:bookmarkStart w:id="77" w:name="_Toc207770844"/>
      <w:bookmarkStart w:id="78" w:name="_Toc239839872"/>
      <w:bookmarkStart w:id="79" w:name="_Toc444005990"/>
      <w:r>
        <w:rPr>
          <w:rFonts w:hint="eastAsia" w:ascii="宋体" w:hAnsi="宋体" w:eastAsia="宋体"/>
          <w:color w:val="auto"/>
          <w:sz w:val="21"/>
          <w:szCs w:val="21"/>
        </w:rPr>
        <w:t>8、响应文件的构成</w:t>
      </w:r>
      <w:bookmarkEnd w:id="74"/>
      <w:bookmarkEnd w:id="75"/>
      <w:bookmarkEnd w:id="76"/>
      <w:bookmarkEnd w:id="77"/>
      <w:r>
        <w:rPr>
          <w:rFonts w:hint="eastAsia" w:ascii="宋体" w:hAnsi="宋体" w:eastAsia="宋体"/>
          <w:color w:val="auto"/>
          <w:sz w:val="21"/>
          <w:szCs w:val="21"/>
        </w:rPr>
        <w:t>及装订要求</w:t>
      </w:r>
      <w:bookmarkEnd w:id="78"/>
      <w:bookmarkEnd w:id="79"/>
    </w:p>
    <w:p>
      <w:pPr>
        <w:pStyle w:val="17"/>
        <w:spacing w:line="400" w:lineRule="exact"/>
        <w:ind w:firstLine="420"/>
        <w:rPr>
          <w:color w:val="auto"/>
          <w:spacing w:val="-2"/>
          <w:szCs w:val="21"/>
        </w:rPr>
      </w:pPr>
      <w:r>
        <w:rPr>
          <w:rFonts w:hint="eastAsia"/>
          <w:color w:val="auto"/>
          <w:spacing w:val="-2"/>
          <w:szCs w:val="21"/>
        </w:rPr>
        <w:t>8.1服务商编写的且在响应文件提交截止时间前提交的响应文件应包括下列内容：（详见第五章要求）</w:t>
      </w:r>
    </w:p>
    <w:p>
      <w:pPr>
        <w:pStyle w:val="17"/>
        <w:spacing w:line="400" w:lineRule="exact"/>
        <w:ind w:firstLine="420"/>
        <w:rPr>
          <w:color w:val="auto"/>
        </w:rPr>
      </w:pPr>
      <w:r>
        <w:rPr>
          <w:rFonts w:hint="eastAsia"/>
          <w:color w:val="auto"/>
        </w:rPr>
        <w:t>以下一～五项内容项作为服务商资格和符合性审查的内容，必须提供，</w:t>
      </w:r>
      <w:r>
        <w:rPr>
          <w:rFonts w:hint="eastAsia"/>
          <w:color w:val="auto"/>
          <w:szCs w:val="21"/>
        </w:rPr>
        <w:t>如提供不全或无效或未按规定加盖单位公章的将被认定为资格审查不合格而取消其竞标资格。</w:t>
      </w:r>
      <w:r>
        <w:rPr>
          <w:rFonts w:hint="eastAsia"/>
          <w:color w:val="auto"/>
        </w:rPr>
        <w:t>其他文件可根据实际情况提供。</w:t>
      </w:r>
    </w:p>
    <w:p>
      <w:pPr>
        <w:pStyle w:val="17"/>
        <w:spacing w:line="400" w:lineRule="exact"/>
        <w:ind w:firstLine="420" w:firstLineChars="200"/>
        <w:rPr>
          <w:color w:val="auto"/>
        </w:rPr>
      </w:pPr>
      <w:bookmarkStart w:id="80" w:name="_Toc207770845"/>
      <w:bookmarkStart w:id="81" w:name="_Toc185702559"/>
      <w:bookmarkStart w:id="82" w:name="_Toc206525692"/>
      <w:bookmarkStart w:id="83" w:name="_Toc230578067"/>
      <w:r>
        <w:rPr>
          <w:rFonts w:hint="eastAsia"/>
          <w:color w:val="auto"/>
        </w:rPr>
        <w:t>一、</w:t>
      </w:r>
      <w:r>
        <w:rPr>
          <w:rFonts w:hint="eastAsia" w:hAnsi="宋体"/>
          <w:color w:val="auto"/>
        </w:rPr>
        <w:t>响应函</w:t>
      </w:r>
    </w:p>
    <w:p>
      <w:pPr>
        <w:pStyle w:val="17"/>
        <w:spacing w:line="400" w:lineRule="exact"/>
        <w:ind w:firstLine="420" w:firstLineChars="200"/>
        <w:rPr>
          <w:color w:val="auto"/>
        </w:rPr>
      </w:pPr>
      <w:r>
        <w:rPr>
          <w:rFonts w:hint="eastAsia"/>
          <w:color w:val="auto"/>
        </w:rPr>
        <w:t>二、磋商报价表</w:t>
      </w:r>
    </w:p>
    <w:p>
      <w:pPr>
        <w:pStyle w:val="17"/>
        <w:spacing w:line="400" w:lineRule="exact"/>
        <w:ind w:firstLine="420" w:firstLineChars="200"/>
        <w:rPr>
          <w:color w:val="auto"/>
        </w:rPr>
      </w:pPr>
      <w:r>
        <w:rPr>
          <w:rFonts w:hint="eastAsia"/>
          <w:color w:val="auto"/>
        </w:rPr>
        <w:t>三、商务条款响应表</w:t>
      </w:r>
    </w:p>
    <w:p>
      <w:pPr>
        <w:pStyle w:val="17"/>
        <w:spacing w:line="400" w:lineRule="exact"/>
        <w:ind w:firstLine="420" w:firstLineChars="200"/>
        <w:rPr>
          <w:color w:val="auto"/>
        </w:rPr>
      </w:pPr>
      <w:r>
        <w:rPr>
          <w:rFonts w:hint="eastAsia"/>
          <w:color w:val="auto"/>
        </w:rPr>
        <w:t>四、服务商资格证明文件</w:t>
      </w:r>
    </w:p>
    <w:p>
      <w:pPr>
        <w:pStyle w:val="17"/>
        <w:spacing w:line="400" w:lineRule="exact"/>
        <w:ind w:firstLine="420" w:firstLineChars="200"/>
        <w:rPr>
          <w:color w:val="auto"/>
        </w:rPr>
      </w:pPr>
      <w:r>
        <w:rPr>
          <w:rFonts w:hint="eastAsia"/>
          <w:color w:val="auto"/>
        </w:rPr>
        <w:t>五、</w:t>
      </w:r>
      <w:r>
        <w:rPr>
          <w:rFonts w:hint="eastAsia" w:cs="宋体"/>
          <w:color w:val="auto"/>
          <w:szCs w:val="21"/>
          <w:lang w:val="zh-CN"/>
        </w:rPr>
        <w:t>拟投入的技术力量和人员配备情况</w:t>
      </w:r>
      <w:r>
        <w:rPr>
          <w:rFonts w:hint="eastAsia"/>
          <w:color w:val="auto"/>
        </w:rPr>
        <w:t>、技术方案[本方案应包括规划技术方案；项目实施人员一览表等，根据项目要求自行拟写。]</w:t>
      </w:r>
    </w:p>
    <w:p>
      <w:pPr>
        <w:pStyle w:val="17"/>
        <w:spacing w:line="400" w:lineRule="exact"/>
        <w:ind w:firstLine="420" w:firstLineChars="200"/>
        <w:rPr>
          <w:color w:val="auto"/>
        </w:rPr>
      </w:pPr>
      <w:r>
        <w:rPr>
          <w:rFonts w:hint="eastAsia"/>
          <w:color w:val="auto"/>
        </w:rPr>
        <w:t>六、其它资料（服务商认为有必要提供的声明、证明文件资料，如公司简介、业绩、信誉等，由服务商根据自己的实际情况自行提供。）</w:t>
      </w:r>
    </w:p>
    <w:p>
      <w:pPr>
        <w:pStyle w:val="17"/>
        <w:spacing w:line="400" w:lineRule="exact"/>
        <w:ind w:firstLine="420"/>
        <w:rPr>
          <w:color w:val="auto"/>
        </w:rPr>
      </w:pPr>
      <w:r>
        <w:rPr>
          <w:rFonts w:hint="eastAsia"/>
          <w:color w:val="auto"/>
        </w:rPr>
        <w:t>8.2服务商必须按磋商文件第五章《响应文件格式》要求顺序自编目录及页码装订成册，响应文件装订位置必须胶装封边，不允许使用活页夹、拉杆夹、夹条等可能导致响应文件散落或脱页的装订方式，否则将视为无效响应文件。</w:t>
      </w:r>
    </w:p>
    <w:p>
      <w:pPr>
        <w:pStyle w:val="5"/>
        <w:spacing w:before="0" w:after="0" w:line="400" w:lineRule="exact"/>
        <w:rPr>
          <w:rFonts w:ascii="宋体" w:hAnsi="宋体" w:eastAsia="宋体"/>
          <w:color w:val="auto"/>
          <w:sz w:val="21"/>
          <w:szCs w:val="21"/>
        </w:rPr>
      </w:pPr>
      <w:bookmarkStart w:id="84" w:name="_Toc444005991"/>
      <w:bookmarkStart w:id="85" w:name="_Toc239839873"/>
      <w:r>
        <w:rPr>
          <w:rFonts w:hint="eastAsia" w:ascii="宋体" w:hAnsi="宋体" w:eastAsia="宋体"/>
          <w:color w:val="auto"/>
          <w:sz w:val="21"/>
          <w:szCs w:val="21"/>
        </w:rPr>
        <w:t>9、响应文件格式</w:t>
      </w:r>
      <w:bookmarkEnd w:id="80"/>
      <w:bookmarkEnd w:id="81"/>
      <w:bookmarkEnd w:id="82"/>
      <w:bookmarkEnd w:id="83"/>
      <w:bookmarkEnd w:id="84"/>
      <w:bookmarkEnd w:id="85"/>
    </w:p>
    <w:p>
      <w:pPr>
        <w:pStyle w:val="17"/>
        <w:spacing w:line="400" w:lineRule="exact"/>
        <w:ind w:firstLine="420"/>
        <w:rPr>
          <w:bCs/>
          <w:color w:val="auto"/>
        </w:rPr>
      </w:pPr>
      <w:bookmarkStart w:id="86" w:name="_Toc207770846"/>
      <w:bookmarkStart w:id="87" w:name="_Toc206525693"/>
      <w:bookmarkStart w:id="88" w:name="_Toc239839874"/>
      <w:bookmarkStart w:id="89" w:name="_Toc185702560"/>
      <w:bookmarkStart w:id="90" w:name="_Toc230578068"/>
      <w:r>
        <w:rPr>
          <w:bCs/>
          <w:color w:val="auto"/>
        </w:rPr>
        <w:t>9</w:t>
      </w:r>
      <w:r>
        <w:rPr>
          <w:rFonts w:hint="eastAsia"/>
          <w:bCs/>
          <w:color w:val="auto"/>
        </w:rPr>
        <w:t>.1服务商应按竞争性磋商文件第五章提供的文件格式详细完整地填写各项内容。</w:t>
      </w:r>
    </w:p>
    <w:p>
      <w:pPr>
        <w:pStyle w:val="17"/>
        <w:spacing w:line="400" w:lineRule="exact"/>
        <w:ind w:firstLine="420"/>
        <w:rPr>
          <w:b/>
          <w:color w:val="auto"/>
        </w:rPr>
      </w:pPr>
      <w:r>
        <w:rPr>
          <w:color w:val="auto"/>
        </w:rPr>
        <w:t>9</w:t>
      </w:r>
      <w:r>
        <w:rPr>
          <w:rFonts w:hint="eastAsia"/>
          <w:color w:val="auto"/>
        </w:rPr>
        <w:t>.2在磋商报价表中，服务商必须按格式文件完整填写，不能自行修改格式内容。</w:t>
      </w:r>
    </w:p>
    <w:p>
      <w:pPr>
        <w:pStyle w:val="5"/>
        <w:spacing w:before="0" w:after="0" w:line="400" w:lineRule="exact"/>
        <w:rPr>
          <w:rFonts w:ascii="宋体" w:hAnsi="宋体" w:eastAsia="宋体"/>
          <w:color w:val="auto"/>
          <w:sz w:val="21"/>
          <w:szCs w:val="21"/>
        </w:rPr>
      </w:pPr>
      <w:bookmarkStart w:id="91" w:name="_Toc444005992"/>
      <w:r>
        <w:rPr>
          <w:rFonts w:hint="eastAsia" w:ascii="宋体" w:hAnsi="宋体" w:eastAsia="宋体"/>
          <w:color w:val="auto"/>
          <w:sz w:val="21"/>
          <w:szCs w:val="21"/>
        </w:rPr>
        <w:t>1</w:t>
      </w:r>
      <w:r>
        <w:rPr>
          <w:rFonts w:ascii="宋体" w:hAnsi="宋体" w:eastAsia="宋体"/>
          <w:color w:val="auto"/>
          <w:sz w:val="21"/>
          <w:szCs w:val="21"/>
        </w:rPr>
        <w:t>0</w:t>
      </w:r>
      <w:r>
        <w:rPr>
          <w:rFonts w:hint="eastAsia" w:ascii="宋体" w:hAnsi="宋体" w:eastAsia="宋体"/>
          <w:color w:val="auto"/>
          <w:sz w:val="21"/>
          <w:szCs w:val="21"/>
        </w:rPr>
        <w:t>、磋商报价</w:t>
      </w:r>
      <w:bookmarkEnd w:id="86"/>
      <w:bookmarkEnd w:id="87"/>
      <w:bookmarkEnd w:id="88"/>
      <w:bookmarkEnd w:id="89"/>
      <w:bookmarkEnd w:id="90"/>
      <w:bookmarkEnd w:id="91"/>
    </w:p>
    <w:p>
      <w:pPr>
        <w:pStyle w:val="17"/>
        <w:spacing w:line="400" w:lineRule="exact"/>
        <w:ind w:firstLine="420" w:firstLineChars="200"/>
        <w:rPr>
          <w:rFonts w:hAnsi="宋体"/>
          <w:color w:val="auto"/>
          <w:szCs w:val="21"/>
        </w:rPr>
      </w:pPr>
      <w:r>
        <w:rPr>
          <w:rFonts w:hint="eastAsia"/>
          <w:color w:val="auto"/>
        </w:rPr>
        <w:t>1</w:t>
      </w:r>
      <w:r>
        <w:rPr>
          <w:color w:val="auto"/>
        </w:rPr>
        <w:t>0</w:t>
      </w:r>
      <w:r>
        <w:rPr>
          <w:rFonts w:hint="eastAsia"/>
          <w:color w:val="auto"/>
        </w:rPr>
        <w:t>.1磋商报价：</w:t>
      </w:r>
      <w:r>
        <w:rPr>
          <w:rFonts w:hint="eastAsia" w:hAnsi="宋体"/>
          <w:bCs/>
          <w:color w:val="auto"/>
        </w:rPr>
        <w:t>服务商必须就《服务内容及要求》中的所有服务内容有可能发生的所有费用作唯一完整报价。（</w:t>
      </w:r>
      <w:r>
        <w:rPr>
          <w:rFonts w:hint="eastAsia"/>
          <w:bCs/>
          <w:color w:val="auto"/>
        </w:rPr>
        <w:t>本项目只允许提交一个方案的报价，不接受任何有选择性的报价。）</w:t>
      </w:r>
    </w:p>
    <w:p>
      <w:pPr>
        <w:pStyle w:val="17"/>
        <w:spacing w:line="400" w:lineRule="exact"/>
        <w:ind w:firstLine="420" w:firstLineChars="200"/>
        <w:rPr>
          <w:rFonts w:hAnsi="宋体"/>
          <w:bCs/>
          <w:color w:val="auto"/>
          <w:szCs w:val="21"/>
        </w:rPr>
      </w:pPr>
      <w:r>
        <w:rPr>
          <w:rFonts w:hint="eastAsia"/>
          <w:color w:val="auto"/>
        </w:rPr>
        <w:t>1</w:t>
      </w:r>
      <w:r>
        <w:rPr>
          <w:color w:val="auto"/>
        </w:rPr>
        <w:t>0</w:t>
      </w:r>
      <w:r>
        <w:rPr>
          <w:rFonts w:hint="eastAsia"/>
          <w:color w:val="auto"/>
        </w:rPr>
        <w:t>.2</w:t>
      </w:r>
      <w:r>
        <w:rPr>
          <w:rFonts w:hint="eastAsia" w:hAnsi="宋体"/>
          <w:bCs/>
          <w:color w:val="auto"/>
          <w:szCs w:val="21"/>
        </w:rPr>
        <w:t>磋商报价</w:t>
      </w:r>
      <w:r>
        <w:rPr>
          <w:rFonts w:hint="eastAsia" w:hAnsi="宋体"/>
          <w:color w:val="auto"/>
          <w:szCs w:val="21"/>
        </w:rPr>
        <w:t>应包含顺利实施和完成服务所发生的各项劳务费、技术服务费、前期调查及资料收集、审查、评审、公示、设备、交通、通讯、办公场地、管理费、税费和利润及通过审批等所有费用和政策性文件规定及合同包含的所有风险、责任等各项应有的费用，除非上述费用在合同中另有说明。合同期内，费用不再调整。</w:t>
      </w:r>
    </w:p>
    <w:p>
      <w:pPr>
        <w:pStyle w:val="17"/>
        <w:spacing w:line="400" w:lineRule="exact"/>
        <w:ind w:firstLine="420"/>
        <w:rPr>
          <w:rFonts w:hAnsi="宋体"/>
          <w:color w:val="auto"/>
        </w:rPr>
      </w:pPr>
      <w:bookmarkStart w:id="92" w:name="_Toc230578069"/>
      <w:bookmarkStart w:id="93" w:name="_Toc207770847"/>
      <w:bookmarkStart w:id="94" w:name="_Toc239839875"/>
      <w:bookmarkStart w:id="95" w:name="_Toc206525694"/>
      <w:bookmarkStart w:id="96" w:name="_Toc185702561"/>
      <w:r>
        <w:rPr>
          <w:rFonts w:hint="eastAsia" w:hAnsi="宋体"/>
          <w:color w:val="auto"/>
        </w:rPr>
        <w:t>10.3服务商</w:t>
      </w:r>
      <w:r>
        <w:rPr>
          <w:rFonts w:hAnsi="宋体"/>
          <w:color w:val="auto"/>
        </w:rPr>
        <w:t>应在</w:t>
      </w:r>
      <w:r>
        <w:rPr>
          <w:rFonts w:hint="eastAsia" w:hAnsi="宋体"/>
          <w:color w:val="auto"/>
        </w:rPr>
        <w:t>响应文件</w:t>
      </w:r>
      <w:r>
        <w:rPr>
          <w:rFonts w:hAnsi="宋体"/>
          <w:color w:val="auto"/>
        </w:rPr>
        <w:t>中的</w:t>
      </w:r>
      <w:r>
        <w:rPr>
          <w:rFonts w:hint="eastAsia" w:hAnsi="宋体"/>
          <w:color w:val="auto"/>
        </w:rPr>
        <w:t>磋商报价</w:t>
      </w:r>
      <w:r>
        <w:rPr>
          <w:rFonts w:hAnsi="宋体"/>
          <w:color w:val="auto"/>
        </w:rPr>
        <w:t>表上标明，</w:t>
      </w:r>
      <w:r>
        <w:rPr>
          <w:rFonts w:hint="eastAsia" w:hAnsi="宋体"/>
          <w:color w:val="auto"/>
        </w:rPr>
        <w:t>本次竞标拟提供货物的单价金额及竞标总价，经最终磋商后不得更改，服务商对本项目的报价必须是唯一的。</w:t>
      </w:r>
    </w:p>
    <w:p>
      <w:pPr>
        <w:pStyle w:val="17"/>
        <w:spacing w:line="400" w:lineRule="exact"/>
        <w:ind w:firstLine="420" w:firstLineChars="200"/>
        <w:rPr>
          <w:color w:val="auto"/>
        </w:rPr>
      </w:pPr>
      <w:r>
        <w:rPr>
          <w:rFonts w:hint="eastAsia"/>
          <w:color w:val="auto"/>
        </w:rPr>
        <w:t>1</w:t>
      </w:r>
      <w:r>
        <w:rPr>
          <w:color w:val="auto"/>
        </w:rPr>
        <w:t>0</w:t>
      </w:r>
      <w:r>
        <w:rPr>
          <w:rFonts w:hint="eastAsia"/>
          <w:color w:val="auto"/>
        </w:rPr>
        <w:t>.4服务商所填报的服务内容如存在有漏项的情况且在评标时被接受，则将被认定为该遗漏项已包含在磋商报价中，成交人在供货时应按响应文件及经澄清后的结果要求完整提供货物及服务，采购人对其漏报的项目不追加任何货款。</w:t>
      </w:r>
    </w:p>
    <w:p>
      <w:pPr>
        <w:pStyle w:val="17"/>
        <w:spacing w:line="400" w:lineRule="exact"/>
        <w:ind w:firstLine="420"/>
        <w:rPr>
          <w:rFonts w:hAnsi="宋体"/>
          <w:color w:val="auto"/>
        </w:rPr>
      </w:pPr>
      <w:r>
        <w:rPr>
          <w:rFonts w:hint="eastAsia" w:hAnsi="宋体"/>
          <w:color w:val="auto"/>
        </w:rPr>
        <w:t>10.5本项目不接受有任何选择的报价，任何有选择的报价或包含价格调整要求的竞标，将被认为是非响应性竞标而作为无效响应文件处理。</w:t>
      </w:r>
    </w:p>
    <w:p>
      <w:pPr>
        <w:pStyle w:val="5"/>
        <w:spacing w:before="0" w:after="0" w:line="400" w:lineRule="exact"/>
        <w:rPr>
          <w:rFonts w:ascii="宋体" w:hAnsi="宋体" w:eastAsia="宋体"/>
          <w:color w:val="auto"/>
          <w:sz w:val="21"/>
          <w:szCs w:val="21"/>
        </w:rPr>
      </w:pPr>
      <w:bookmarkStart w:id="97" w:name="_Toc444005993"/>
      <w:r>
        <w:rPr>
          <w:rFonts w:hint="eastAsia" w:ascii="宋体" w:hAnsi="宋体" w:eastAsia="宋体"/>
          <w:color w:val="auto"/>
          <w:sz w:val="21"/>
          <w:szCs w:val="21"/>
        </w:rPr>
        <w:t>11、竞标货币</w:t>
      </w:r>
      <w:bookmarkEnd w:id="92"/>
      <w:bookmarkEnd w:id="93"/>
      <w:bookmarkEnd w:id="94"/>
      <w:bookmarkEnd w:id="95"/>
      <w:bookmarkEnd w:id="96"/>
      <w:bookmarkEnd w:id="97"/>
    </w:p>
    <w:p>
      <w:pPr>
        <w:pStyle w:val="17"/>
        <w:spacing w:line="400" w:lineRule="exact"/>
        <w:ind w:firstLine="420"/>
        <w:rPr>
          <w:color w:val="auto"/>
        </w:rPr>
      </w:pPr>
      <w:r>
        <w:rPr>
          <w:rFonts w:hint="eastAsia"/>
          <w:color w:val="auto"/>
        </w:rPr>
        <w:t>11.1竞标应以人民币报价。</w:t>
      </w:r>
    </w:p>
    <w:p>
      <w:pPr>
        <w:pStyle w:val="5"/>
        <w:spacing w:before="0" w:after="0" w:line="400" w:lineRule="exact"/>
        <w:rPr>
          <w:rFonts w:ascii="宋体" w:hAnsi="宋体" w:eastAsia="宋体"/>
          <w:color w:val="auto"/>
          <w:sz w:val="21"/>
          <w:szCs w:val="21"/>
        </w:rPr>
      </w:pPr>
      <w:bookmarkStart w:id="98" w:name="_Toc206525695"/>
      <w:bookmarkStart w:id="99" w:name="_Toc185702562"/>
      <w:bookmarkStart w:id="100" w:name="_Toc444005994"/>
      <w:bookmarkStart w:id="101" w:name="_Toc207770848"/>
      <w:bookmarkStart w:id="102" w:name="_Toc239839876"/>
      <w:bookmarkStart w:id="103" w:name="_Toc230578070"/>
      <w:r>
        <w:rPr>
          <w:rFonts w:hint="eastAsia" w:ascii="宋体" w:hAnsi="宋体" w:eastAsia="宋体"/>
          <w:color w:val="auto"/>
          <w:sz w:val="21"/>
          <w:szCs w:val="21"/>
        </w:rPr>
        <w:t>12、服务商资格证明文件</w:t>
      </w:r>
      <w:bookmarkEnd w:id="98"/>
      <w:bookmarkEnd w:id="99"/>
      <w:bookmarkEnd w:id="100"/>
      <w:bookmarkEnd w:id="101"/>
      <w:bookmarkEnd w:id="102"/>
      <w:bookmarkEnd w:id="103"/>
    </w:p>
    <w:p>
      <w:pPr>
        <w:pStyle w:val="17"/>
        <w:spacing w:line="400" w:lineRule="exact"/>
        <w:ind w:firstLine="420"/>
        <w:rPr>
          <w:color w:val="auto"/>
          <w:u w:val="single"/>
        </w:rPr>
      </w:pPr>
      <w:r>
        <w:rPr>
          <w:rFonts w:hint="eastAsia"/>
          <w:color w:val="auto"/>
        </w:rPr>
        <w:t>12.1资格证明文件应包含</w:t>
      </w:r>
      <w:r>
        <w:rPr>
          <w:rFonts w:hint="eastAsia"/>
          <w:color w:val="auto"/>
          <w:szCs w:val="21"/>
        </w:rPr>
        <w:t>：</w:t>
      </w:r>
      <w:r>
        <w:rPr>
          <w:rFonts w:hint="eastAsia"/>
          <w:color w:val="auto"/>
        </w:rPr>
        <w:t>[以下所有文件均按要求提供且加盖服务商单位公章。如提供不全或未按规定加盖单位公章或是无效文件的，将被视为未能通过资格和符合性审查。]</w:t>
      </w:r>
    </w:p>
    <w:p>
      <w:pPr>
        <w:pStyle w:val="17"/>
        <w:spacing w:line="410" w:lineRule="exact"/>
        <w:ind w:firstLine="420"/>
        <w:rPr>
          <w:rFonts w:hAnsi="宋体"/>
          <w:bCs/>
          <w:color w:val="auto"/>
        </w:rPr>
      </w:pPr>
      <w:r>
        <w:rPr>
          <w:rFonts w:hint="eastAsia"/>
          <w:bCs/>
          <w:color w:val="auto"/>
        </w:rPr>
        <w:t>(1)服务商有效的营业执照副本</w:t>
      </w:r>
      <w:r>
        <w:rPr>
          <w:rFonts w:hint="eastAsia" w:hAnsi="宋体" w:cs="宋体"/>
          <w:color w:val="auto"/>
          <w:szCs w:val="21"/>
        </w:rPr>
        <w:t>或有效的事业单位法人证书</w:t>
      </w:r>
      <w:r>
        <w:rPr>
          <w:rFonts w:hint="eastAsia" w:hAnsi="宋体" w:cs="宋体"/>
          <w:color w:val="auto"/>
          <w:spacing w:val="-5"/>
        </w:rPr>
        <w:t>等主体资格证明副本复印件</w:t>
      </w:r>
      <w:r>
        <w:rPr>
          <w:rFonts w:hint="eastAsia" w:hAnsi="宋体"/>
          <w:bCs/>
          <w:color w:val="auto"/>
        </w:rPr>
        <w:t>（复印件</w:t>
      </w:r>
      <w:r>
        <w:rPr>
          <w:rFonts w:hint="eastAsia"/>
          <w:bCs/>
          <w:color w:val="auto"/>
          <w:szCs w:val="21"/>
        </w:rPr>
        <w:t>，</w:t>
      </w:r>
      <w:r>
        <w:rPr>
          <w:rFonts w:hint="eastAsia" w:hAnsi="宋体"/>
          <w:b/>
          <w:bCs/>
          <w:color w:val="auto"/>
        </w:rPr>
        <w:t>必须提供</w:t>
      </w:r>
      <w:r>
        <w:rPr>
          <w:rFonts w:hint="eastAsia" w:hAnsi="宋体"/>
          <w:color w:val="auto"/>
        </w:rPr>
        <w:t>，</w:t>
      </w:r>
      <w:r>
        <w:rPr>
          <w:rFonts w:hint="eastAsia"/>
          <w:bCs/>
          <w:color w:val="auto"/>
          <w:szCs w:val="21"/>
        </w:rPr>
        <w:t>清晰反映经营期限</w:t>
      </w:r>
      <w:r>
        <w:rPr>
          <w:rFonts w:hint="eastAsia" w:hAnsi="宋体"/>
          <w:bCs/>
          <w:color w:val="auto"/>
        </w:rPr>
        <w:t>和经营范围）</w:t>
      </w:r>
    </w:p>
    <w:p>
      <w:pPr>
        <w:pStyle w:val="17"/>
        <w:spacing w:line="400" w:lineRule="exact"/>
        <w:ind w:left="105" w:leftChars="50" w:firstLine="315" w:firstLineChars="150"/>
        <w:rPr>
          <w:rFonts w:hAnsi="宋体"/>
          <w:bCs/>
          <w:color w:val="auto"/>
          <w:szCs w:val="21"/>
        </w:rPr>
      </w:pPr>
      <w:r>
        <w:rPr>
          <w:rFonts w:hint="eastAsia"/>
          <w:bCs/>
          <w:color w:val="auto"/>
        </w:rPr>
        <w:t>(2)</w:t>
      </w:r>
      <w:r>
        <w:rPr>
          <w:rFonts w:hint="eastAsia" w:hAnsi="宋体"/>
          <w:bCs/>
          <w:color w:val="auto"/>
          <w:szCs w:val="21"/>
        </w:rPr>
        <w:t>投标人资格要求提供的相关资质证书等证明材料复印件</w:t>
      </w:r>
      <w:r>
        <w:rPr>
          <w:rFonts w:hint="eastAsia" w:hAnsi="宋体"/>
          <w:bCs/>
          <w:color w:val="auto"/>
        </w:rPr>
        <w:t>（复印件</w:t>
      </w:r>
      <w:r>
        <w:rPr>
          <w:rFonts w:hint="eastAsia"/>
          <w:bCs/>
          <w:color w:val="auto"/>
          <w:szCs w:val="21"/>
        </w:rPr>
        <w:t>，</w:t>
      </w:r>
      <w:r>
        <w:rPr>
          <w:rFonts w:hint="eastAsia" w:hAnsi="宋体"/>
          <w:b/>
          <w:bCs/>
          <w:color w:val="auto"/>
        </w:rPr>
        <w:t>必须提供</w:t>
      </w:r>
      <w:r>
        <w:rPr>
          <w:rFonts w:hint="eastAsia" w:hAnsi="宋体"/>
          <w:color w:val="auto"/>
        </w:rPr>
        <w:t>）</w:t>
      </w:r>
    </w:p>
    <w:p>
      <w:pPr>
        <w:pStyle w:val="17"/>
        <w:spacing w:line="400" w:lineRule="exact"/>
        <w:ind w:firstLine="420"/>
        <w:rPr>
          <w:rFonts w:hAnsi="宋体"/>
          <w:bCs/>
          <w:color w:val="auto"/>
        </w:rPr>
      </w:pPr>
      <w:r>
        <w:rPr>
          <w:rFonts w:hint="eastAsia"/>
          <w:bCs/>
          <w:color w:val="auto"/>
        </w:rPr>
        <w:t>(3)法定代表人身份证明书（原件）、法定代表人身份证</w:t>
      </w:r>
      <w:r>
        <w:rPr>
          <w:rFonts w:hint="eastAsia" w:hAnsi="宋体"/>
          <w:bCs/>
          <w:color w:val="auto"/>
        </w:rPr>
        <w:t>(正、背面复印件，</w:t>
      </w:r>
      <w:r>
        <w:rPr>
          <w:rFonts w:hint="eastAsia" w:hAnsi="宋体"/>
          <w:b/>
          <w:bCs/>
          <w:color w:val="auto"/>
        </w:rPr>
        <w:t>必须提供</w:t>
      </w:r>
      <w:r>
        <w:rPr>
          <w:rFonts w:hint="eastAsia" w:hAnsi="宋体"/>
          <w:bCs/>
          <w:color w:val="auto"/>
        </w:rPr>
        <w:t>）</w:t>
      </w:r>
    </w:p>
    <w:p>
      <w:pPr>
        <w:pStyle w:val="17"/>
        <w:spacing w:line="400" w:lineRule="exact"/>
        <w:ind w:firstLine="420"/>
        <w:rPr>
          <w:rFonts w:hAnsi="宋体"/>
          <w:bCs/>
          <w:color w:val="auto"/>
          <w:szCs w:val="21"/>
        </w:rPr>
      </w:pPr>
      <w:r>
        <w:rPr>
          <w:rFonts w:hint="eastAsia"/>
          <w:bCs/>
          <w:color w:val="auto"/>
        </w:rPr>
        <w:t>(4)法定代表人授权委托书（原件）、委托代理人身份证（正、背面</w:t>
      </w:r>
      <w:r>
        <w:rPr>
          <w:rFonts w:hint="eastAsia" w:hAnsi="宋体"/>
          <w:bCs/>
          <w:color w:val="auto"/>
          <w:szCs w:val="21"/>
        </w:rPr>
        <w:t>复印件</w:t>
      </w:r>
      <w:r>
        <w:rPr>
          <w:rFonts w:hint="eastAsia" w:hAnsi="宋体"/>
          <w:bCs/>
          <w:color w:val="auto"/>
          <w:spacing w:val="-2"/>
          <w:szCs w:val="21"/>
        </w:rPr>
        <w:t>）</w:t>
      </w:r>
      <w:r>
        <w:rPr>
          <w:rFonts w:hint="eastAsia" w:hAnsi="宋体"/>
          <w:bCs/>
          <w:color w:val="auto"/>
          <w:szCs w:val="21"/>
        </w:rPr>
        <w:t>[</w:t>
      </w:r>
      <w:r>
        <w:rPr>
          <w:rFonts w:hint="eastAsia"/>
          <w:b/>
          <w:color w:val="auto"/>
        </w:rPr>
        <w:t>委托代理人参加磋商时则必须提供</w:t>
      </w:r>
      <w:r>
        <w:rPr>
          <w:rFonts w:hint="eastAsia" w:hAnsi="宋体"/>
          <w:bCs/>
          <w:color w:val="auto"/>
          <w:szCs w:val="21"/>
        </w:rPr>
        <w:t>]</w:t>
      </w:r>
    </w:p>
    <w:p>
      <w:pPr>
        <w:pStyle w:val="17"/>
        <w:spacing w:line="400" w:lineRule="exact"/>
        <w:ind w:firstLine="420"/>
        <w:rPr>
          <w:rFonts w:hAnsi="宋体"/>
          <w:bCs/>
          <w:color w:val="auto"/>
        </w:rPr>
      </w:pPr>
      <w:r>
        <w:rPr>
          <w:rFonts w:hint="eastAsia" w:hAnsi="宋体"/>
          <w:bCs/>
          <w:color w:val="auto"/>
        </w:rPr>
        <w:t>(5)磋商保证金缴纳凭证（复印件，</w:t>
      </w:r>
      <w:r>
        <w:rPr>
          <w:rFonts w:hint="eastAsia" w:hAnsi="宋体"/>
          <w:b/>
          <w:bCs/>
          <w:color w:val="auto"/>
        </w:rPr>
        <w:t>必须提供</w:t>
      </w:r>
      <w:r>
        <w:rPr>
          <w:rFonts w:hint="eastAsia" w:hAnsi="宋体"/>
          <w:bCs/>
          <w:color w:val="auto"/>
        </w:rPr>
        <w:t>）</w:t>
      </w:r>
    </w:p>
    <w:p>
      <w:pPr>
        <w:pStyle w:val="17"/>
        <w:spacing w:line="400" w:lineRule="exact"/>
        <w:ind w:firstLine="315" w:firstLineChars="150"/>
        <w:rPr>
          <w:rFonts w:hAnsi="宋体"/>
          <w:bCs/>
          <w:color w:val="auto"/>
        </w:rPr>
      </w:pPr>
      <w:r>
        <w:rPr>
          <w:rFonts w:hint="eastAsia" w:hAnsi="宋体"/>
          <w:bCs/>
          <w:color w:val="auto"/>
        </w:rPr>
        <w:t>（6）本项目服务承诺书（</w:t>
      </w:r>
      <w:r>
        <w:rPr>
          <w:rFonts w:hint="eastAsia" w:hAnsi="宋体"/>
          <w:b/>
          <w:bCs/>
          <w:color w:val="auto"/>
        </w:rPr>
        <w:t>必须提供</w:t>
      </w:r>
      <w:r>
        <w:rPr>
          <w:rFonts w:hint="eastAsia" w:hAnsi="宋体"/>
          <w:color w:val="auto"/>
        </w:rPr>
        <w:t>，</w:t>
      </w:r>
      <w:r>
        <w:rPr>
          <w:rFonts w:hint="eastAsia" w:hAnsi="宋体"/>
          <w:bCs/>
          <w:color w:val="auto"/>
        </w:rPr>
        <w:t>由服务商自行编写）</w:t>
      </w:r>
    </w:p>
    <w:p>
      <w:pPr>
        <w:pStyle w:val="17"/>
        <w:spacing w:line="400" w:lineRule="exact"/>
        <w:ind w:firstLine="315" w:firstLineChars="150"/>
        <w:rPr>
          <w:rFonts w:hAnsi="宋体"/>
          <w:bCs/>
          <w:color w:val="auto"/>
        </w:rPr>
      </w:pPr>
      <w:r>
        <w:rPr>
          <w:rFonts w:hint="eastAsia" w:hAnsi="宋体"/>
          <w:bCs/>
          <w:color w:val="auto"/>
        </w:rPr>
        <w:t>（7）本项目服务</w:t>
      </w:r>
      <w:r>
        <w:rPr>
          <w:rFonts w:hint="eastAsia" w:hAnsi="宋体"/>
          <w:color w:val="auto"/>
          <w:szCs w:val="21"/>
        </w:rPr>
        <w:t>项目实施方案</w:t>
      </w:r>
      <w:r>
        <w:rPr>
          <w:rFonts w:hint="eastAsia" w:hAnsi="宋体"/>
          <w:bCs/>
          <w:color w:val="auto"/>
        </w:rPr>
        <w:t>（</w:t>
      </w:r>
      <w:r>
        <w:rPr>
          <w:rFonts w:hint="eastAsia" w:hAnsi="宋体"/>
          <w:b/>
          <w:bCs/>
          <w:color w:val="auto"/>
        </w:rPr>
        <w:t>必须提供</w:t>
      </w:r>
      <w:r>
        <w:rPr>
          <w:rFonts w:hint="eastAsia" w:hAnsi="宋体"/>
          <w:color w:val="auto"/>
        </w:rPr>
        <w:t>，</w:t>
      </w:r>
      <w:r>
        <w:rPr>
          <w:rFonts w:hint="eastAsia" w:hAnsi="宋体"/>
          <w:bCs/>
          <w:color w:val="auto"/>
        </w:rPr>
        <w:t>由服务商自行编写）</w:t>
      </w:r>
    </w:p>
    <w:p>
      <w:pPr>
        <w:spacing w:line="360" w:lineRule="auto"/>
        <w:ind w:firstLine="315" w:firstLineChars="150"/>
        <w:rPr>
          <w:color w:val="auto"/>
        </w:rPr>
      </w:pPr>
      <w:r>
        <w:rPr>
          <w:rFonts w:hint="eastAsia" w:hAnsi="宋体"/>
          <w:bCs/>
          <w:color w:val="auto"/>
        </w:rPr>
        <w:t>（8）服务商拟投入本项目的服务人员方案（必须提供，由服务商自行编写）</w:t>
      </w:r>
      <w:r>
        <w:rPr>
          <w:rFonts w:hint="eastAsia"/>
          <w:color w:val="auto"/>
        </w:rPr>
        <w:t>；</w:t>
      </w:r>
    </w:p>
    <w:p>
      <w:pPr>
        <w:pStyle w:val="17"/>
        <w:spacing w:line="400" w:lineRule="exact"/>
        <w:ind w:firstLine="420" w:firstLineChars="200"/>
        <w:rPr>
          <w:rFonts w:hAnsi="宋体"/>
          <w:color w:val="auto"/>
        </w:rPr>
      </w:pPr>
      <w:r>
        <w:rPr>
          <w:rFonts w:hint="eastAsia"/>
          <w:bCs/>
          <w:color w:val="auto"/>
        </w:rPr>
        <w:t>(9</w:t>
      </w:r>
      <w:r>
        <w:rPr>
          <w:rFonts w:hint="eastAsia" w:hAnsi="宋体"/>
          <w:bCs/>
          <w:color w:val="auto"/>
        </w:rPr>
        <w:t>)</w:t>
      </w:r>
      <w:r>
        <w:rPr>
          <w:rFonts w:hint="eastAsia" w:ascii="ˎ̥" w:hAnsi="ˎ̥" w:cs="宋体"/>
          <w:color w:val="auto"/>
          <w:kern w:val="0"/>
          <w:szCs w:val="21"/>
        </w:rPr>
        <w:t>参加政府采购活动前3年内在经营活动中没有重大违法记录的书面声明</w:t>
      </w:r>
      <w:r>
        <w:rPr>
          <w:rFonts w:hint="eastAsia" w:hAnsi="宋体"/>
          <w:bCs/>
          <w:color w:val="auto"/>
        </w:rPr>
        <w:t>（</w:t>
      </w:r>
      <w:r>
        <w:rPr>
          <w:rFonts w:hint="eastAsia" w:hAnsi="宋体"/>
          <w:b/>
          <w:bCs/>
          <w:color w:val="auto"/>
        </w:rPr>
        <w:t>必须提供</w:t>
      </w:r>
      <w:r>
        <w:rPr>
          <w:rFonts w:hint="eastAsia" w:hAnsi="宋体"/>
          <w:color w:val="auto"/>
        </w:rPr>
        <w:t>，原件放在响应文件正本，复印件放在响应文件副本。）</w:t>
      </w:r>
    </w:p>
    <w:p>
      <w:pPr>
        <w:pStyle w:val="17"/>
        <w:spacing w:line="400" w:lineRule="exact"/>
        <w:ind w:firstLine="420" w:firstLineChars="200"/>
        <w:rPr>
          <w:rFonts w:hAnsi="宋体"/>
          <w:b/>
          <w:color w:val="auto"/>
          <w:szCs w:val="21"/>
        </w:rPr>
      </w:pPr>
      <w:r>
        <w:rPr>
          <w:rFonts w:hint="eastAsia" w:hAnsi="宋体"/>
          <w:color w:val="auto"/>
        </w:rPr>
        <w:t>（10）2019年财务报告复印件或银行出具的资信证明复印件</w:t>
      </w:r>
      <w:r>
        <w:rPr>
          <w:rFonts w:hint="eastAsia" w:hAnsi="宋体"/>
          <w:bCs/>
          <w:color w:val="auto"/>
        </w:rPr>
        <w:t>（复印件，</w:t>
      </w:r>
      <w:r>
        <w:rPr>
          <w:rFonts w:hint="eastAsia" w:hAnsi="宋体"/>
          <w:b/>
          <w:bCs/>
          <w:color w:val="auto"/>
        </w:rPr>
        <w:t>必须提供</w:t>
      </w:r>
      <w:r>
        <w:rPr>
          <w:rFonts w:hint="eastAsia" w:hAnsi="宋体"/>
          <w:bCs/>
          <w:color w:val="auto"/>
        </w:rPr>
        <w:t>）。</w:t>
      </w:r>
      <w:r>
        <w:rPr>
          <w:rFonts w:hint="eastAsia" w:hAnsi="宋体"/>
          <w:b/>
          <w:color w:val="auto"/>
          <w:szCs w:val="21"/>
        </w:rPr>
        <w:t>新成立的按实际情况提供月度财务报表或银行出具的资信证明复印件。</w:t>
      </w:r>
    </w:p>
    <w:p>
      <w:pPr>
        <w:pStyle w:val="17"/>
        <w:spacing w:line="400" w:lineRule="exact"/>
        <w:ind w:firstLine="420" w:firstLineChars="200"/>
        <w:rPr>
          <w:rFonts w:hAnsi="宋体"/>
          <w:bCs/>
          <w:color w:val="auto"/>
        </w:rPr>
      </w:pPr>
      <w:r>
        <w:rPr>
          <w:rFonts w:hint="eastAsia" w:hAnsi="宋体"/>
          <w:bCs/>
          <w:color w:val="auto"/>
        </w:rPr>
        <w:t>（11）磋商截止时间前半年内</w:t>
      </w:r>
      <w:r>
        <w:rPr>
          <w:rFonts w:hint="eastAsia" w:hAnsi="宋体"/>
          <w:color w:val="auto"/>
          <w:szCs w:val="21"/>
        </w:rPr>
        <w:t>任意三个月</w:t>
      </w:r>
      <w:r>
        <w:rPr>
          <w:rFonts w:hint="eastAsia" w:hAnsi="宋体"/>
          <w:bCs/>
          <w:color w:val="auto"/>
        </w:rPr>
        <w:t>依法缴纳社会保障资金的凭证复印件（如社保部门开具的 证明、收款收据等，或银行缴款凭证、回单等，如为非社保部门开具的凭证或回单的应清晰反映：缴款单位名称、社保单位名称、保险名称、缴款金额等内容）。无缴费记录的，应提供竞标人所在地社保部门出具的《依法缴纳或依法免缴社保费证明》（复印件，</w:t>
      </w:r>
      <w:r>
        <w:rPr>
          <w:rFonts w:hint="eastAsia" w:hAnsi="宋体"/>
          <w:b/>
          <w:color w:val="auto"/>
        </w:rPr>
        <w:t>必须提供</w:t>
      </w:r>
      <w:r>
        <w:rPr>
          <w:rFonts w:hint="eastAsia" w:hAnsi="宋体"/>
          <w:bCs/>
          <w:color w:val="auto"/>
        </w:rPr>
        <w:t>，格式自拟）。</w:t>
      </w:r>
      <w:r>
        <w:rPr>
          <w:rFonts w:hint="eastAsia" w:hAnsi="宋体"/>
          <w:b/>
          <w:color w:val="auto"/>
          <w:szCs w:val="21"/>
        </w:rPr>
        <w:t>新成立不足三个月的投标人按实际提供。</w:t>
      </w:r>
    </w:p>
    <w:p>
      <w:pPr>
        <w:pStyle w:val="17"/>
        <w:spacing w:line="400" w:lineRule="exact"/>
        <w:ind w:firstLine="315" w:firstLineChars="150"/>
        <w:rPr>
          <w:rFonts w:hAnsi="宋体"/>
          <w:bCs/>
          <w:color w:val="auto"/>
        </w:rPr>
      </w:pPr>
      <w:r>
        <w:rPr>
          <w:rFonts w:hint="eastAsia" w:hAnsi="宋体"/>
          <w:bCs/>
          <w:color w:val="auto"/>
        </w:rPr>
        <w:t>（12）磋商截止时间前半年内任意三个月依法缴纳税收（国税或地税）的凭证复印件（如税务机关开具的完税证、银行缴税付款凭证或缴款回单等，如为非税务机关开具的凭证或回单的，应清晰反映：付款人名称、账号，征收机关名称，缴款金额，税种名称，所属时期 等内容）。无纳税记录的，应提供竞标人所在地税务部门出具的《依法纳税或依法免税证明》（复印件，</w:t>
      </w:r>
      <w:r>
        <w:rPr>
          <w:rFonts w:hint="eastAsia" w:hAnsi="宋体"/>
          <w:b/>
          <w:color w:val="auto"/>
        </w:rPr>
        <w:t>必须提供</w:t>
      </w:r>
      <w:r>
        <w:rPr>
          <w:rFonts w:hint="eastAsia" w:hAnsi="宋体"/>
          <w:bCs/>
          <w:color w:val="auto"/>
        </w:rPr>
        <w:t>，格式自拟），《依法纳税或依法免税证明》原件一年内保持有效。</w:t>
      </w:r>
      <w:r>
        <w:rPr>
          <w:rFonts w:hint="eastAsia" w:hAnsi="宋体"/>
          <w:b/>
          <w:color w:val="auto"/>
          <w:szCs w:val="21"/>
        </w:rPr>
        <w:t>新成立不足三个月的投标人按实际提供。</w:t>
      </w:r>
    </w:p>
    <w:p>
      <w:pPr>
        <w:pStyle w:val="17"/>
        <w:spacing w:line="400" w:lineRule="exact"/>
        <w:ind w:firstLine="315" w:firstLineChars="150"/>
        <w:rPr>
          <w:rFonts w:hAnsi="宋体"/>
          <w:bCs/>
          <w:color w:val="auto"/>
        </w:rPr>
      </w:pPr>
      <w:r>
        <w:rPr>
          <w:rFonts w:hint="eastAsia" w:hAnsi="宋体"/>
          <w:bCs/>
          <w:color w:val="auto"/>
        </w:rPr>
        <w:t>（13）诚信声明原件：按第五章“竞标文件格式”提供的“诚信声明（格式）”的要求填写。</w:t>
      </w:r>
    </w:p>
    <w:p>
      <w:pPr>
        <w:pStyle w:val="5"/>
        <w:spacing w:before="0" w:after="0" w:line="400" w:lineRule="exact"/>
        <w:rPr>
          <w:rFonts w:ascii="宋体" w:hAnsi="宋体" w:eastAsia="宋体"/>
          <w:b w:val="0"/>
          <w:bCs w:val="0"/>
          <w:color w:val="auto"/>
          <w:sz w:val="21"/>
          <w:szCs w:val="21"/>
        </w:rPr>
      </w:pPr>
      <w:bookmarkStart w:id="104" w:name="_Toc205094801"/>
      <w:bookmarkStart w:id="105" w:name="_Toc231492909"/>
      <w:bookmarkStart w:id="106" w:name="_Toc239839877"/>
      <w:bookmarkStart w:id="107" w:name="_Toc185702563"/>
      <w:bookmarkStart w:id="108" w:name="_Toc231493224"/>
      <w:bookmarkStart w:id="109" w:name="_Toc444005995"/>
      <w:r>
        <w:rPr>
          <w:rFonts w:hint="eastAsia" w:ascii="宋体" w:hAnsi="宋体" w:eastAsia="宋体"/>
          <w:color w:val="auto"/>
          <w:sz w:val="21"/>
          <w:szCs w:val="21"/>
        </w:rPr>
        <w:t>13</w:t>
      </w:r>
      <w:bookmarkEnd w:id="104"/>
      <w:bookmarkEnd w:id="105"/>
      <w:bookmarkEnd w:id="106"/>
      <w:bookmarkEnd w:id="107"/>
      <w:bookmarkEnd w:id="108"/>
      <w:r>
        <w:rPr>
          <w:rFonts w:hint="eastAsia" w:ascii="宋体" w:hAnsi="宋体" w:eastAsia="宋体"/>
          <w:color w:val="auto"/>
          <w:sz w:val="21"/>
          <w:szCs w:val="21"/>
        </w:rPr>
        <w:t>、服务商认为有必要提供的其它资料</w:t>
      </w:r>
      <w:bookmarkEnd w:id="109"/>
    </w:p>
    <w:p>
      <w:pPr>
        <w:pStyle w:val="17"/>
        <w:spacing w:line="400" w:lineRule="exact"/>
        <w:ind w:firstLine="420"/>
        <w:rPr>
          <w:color w:val="auto"/>
        </w:rPr>
      </w:pPr>
      <w:r>
        <w:rPr>
          <w:rFonts w:hint="eastAsia"/>
          <w:color w:val="auto"/>
        </w:rPr>
        <w:t>服务商在响应文件中自行提供的文件及资料。它们可以是：</w:t>
      </w:r>
    </w:p>
    <w:p>
      <w:pPr>
        <w:pStyle w:val="17"/>
        <w:spacing w:line="400" w:lineRule="exact"/>
        <w:ind w:firstLine="420"/>
        <w:rPr>
          <w:color w:val="auto"/>
        </w:rPr>
      </w:pPr>
      <w:r>
        <w:rPr>
          <w:rFonts w:hint="eastAsia"/>
          <w:color w:val="auto"/>
        </w:rPr>
        <w:t>13.1业绩（自2017年的业绩，以提供有</w:t>
      </w:r>
      <w:r>
        <w:rPr>
          <w:rFonts w:hint="eastAsia" w:hAnsi="宋体"/>
          <w:color w:val="auto"/>
          <w:kern w:val="0"/>
          <w:szCs w:val="21"/>
        </w:rPr>
        <w:t>中标通知书或合同协议书</w:t>
      </w:r>
      <w:r>
        <w:rPr>
          <w:rFonts w:hint="eastAsia"/>
          <w:color w:val="auto"/>
        </w:rPr>
        <w:t>为准，若有，请提供复印件。）</w:t>
      </w:r>
    </w:p>
    <w:p>
      <w:pPr>
        <w:pStyle w:val="17"/>
        <w:spacing w:line="400" w:lineRule="exact"/>
        <w:ind w:firstLine="420"/>
        <w:rPr>
          <w:color w:val="auto"/>
        </w:rPr>
      </w:pPr>
      <w:r>
        <w:rPr>
          <w:rFonts w:hint="eastAsia"/>
          <w:color w:val="auto"/>
        </w:rPr>
        <w:t>13.2信誉（自2017年以来获得的由地市级或以上相关行政主管部门颁发的与企业生产经营相关的各种荣誉奖项等，若有，请提供复印件。）</w:t>
      </w:r>
    </w:p>
    <w:p>
      <w:pPr>
        <w:pStyle w:val="17"/>
        <w:spacing w:line="380" w:lineRule="exact"/>
        <w:ind w:firstLine="420"/>
        <w:rPr>
          <w:rFonts w:hAnsi="宋体"/>
          <w:bCs/>
          <w:color w:val="auto"/>
          <w:spacing w:val="-4"/>
          <w:szCs w:val="21"/>
        </w:rPr>
      </w:pPr>
      <w:r>
        <w:rPr>
          <w:rFonts w:hint="eastAsia"/>
          <w:color w:val="auto"/>
        </w:rPr>
        <w:t>13.3其它资料（声明、证明文件资料，如公司简介，人员情况等，由服务商根据自己的实际情况自行提供。）</w:t>
      </w:r>
    </w:p>
    <w:p>
      <w:pPr>
        <w:pStyle w:val="5"/>
        <w:spacing w:before="0" w:after="0" w:line="400" w:lineRule="exact"/>
        <w:rPr>
          <w:rFonts w:ascii="宋体" w:hAnsi="宋体" w:eastAsia="宋体"/>
          <w:color w:val="auto"/>
          <w:sz w:val="21"/>
          <w:szCs w:val="21"/>
        </w:rPr>
      </w:pPr>
      <w:bookmarkStart w:id="110" w:name="_Toc206525697"/>
      <w:bookmarkStart w:id="111" w:name="_Toc239839878"/>
      <w:bookmarkStart w:id="112" w:name="_Toc230578072"/>
      <w:bookmarkStart w:id="113" w:name="_Toc444005996"/>
      <w:bookmarkStart w:id="114" w:name="_Toc185702564"/>
      <w:bookmarkStart w:id="115" w:name="_Toc207770850"/>
      <w:r>
        <w:rPr>
          <w:rFonts w:hint="eastAsia" w:ascii="宋体" w:hAnsi="宋体" w:eastAsia="宋体"/>
          <w:color w:val="auto"/>
          <w:sz w:val="21"/>
          <w:szCs w:val="21"/>
        </w:rPr>
        <w:t>14、竞标的有效期</w:t>
      </w:r>
      <w:bookmarkEnd w:id="110"/>
      <w:bookmarkEnd w:id="111"/>
      <w:bookmarkEnd w:id="112"/>
      <w:bookmarkEnd w:id="113"/>
      <w:bookmarkEnd w:id="114"/>
      <w:bookmarkEnd w:id="115"/>
    </w:p>
    <w:p>
      <w:pPr>
        <w:pStyle w:val="17"/>
        <w:spacing w:line="400" w:lineRule="exact"/>
        <w:ind w:firstLine="420"/>
        <w:rPr>
          <w:color w:val="auto"/>
        </w:rPr>
      </w:pPr>
      <w:r>
        <w:rPr>
          <w:rFonts w:hint="eastAsia"/>
          <w:color w:val="auto"/>
        </w:rPr>
        <w:t>14.1磋商有效期：响应文件从提交响应文件截止时间后60天内有效。</w:t>
      </w:r>
    </w:p>
    <w:p>
      <w:pPr>
        <w:pStyle w:val="17"/>
        <w:spacing w:line="400" w:lineRule="exact"/>
        <w:ind w:firstLine="420"/>
        <w:rPr>
          <w:color w:val="auto"/>
        </w:rPr>
      </w:pPr>
      <w:r>
        <w:rPr>
          <w:rFonts w:hint="eastAsia"/>
          <w:color w:val="auto"/>
        </w:rPr>
        <w:t>14.2在特殊情况下，采购代理机构可与服务商协商延长响应文件的有效期。服务商可同意或不同意延长磋商有效期，不同意延长磋商有效期的服务商，其磋商保证金将在原磋商有效期满后5个工作日内予以退还，不付利息；同意延长磋商有效期的服务商不能要求对原响应文件（经评标委员会确认有效且没有超出响应文件的范围或改变竞标的实质内容的澄清或说明作为响应文件的组成部分）作任何改变，并同意在延长的磋商有效期内遵循本响应文件，在延长的磋商有效期满之前继续具有约束力。</w:t>
      </w:r>
    </w:p>
    <w:p>
      <w:pPr>
        <w:pStyle w:val="5"/>
        <w:spacing w:before="0" w:after="0" w:line="400" w:lineRule="exact"/>
        <w:rPr>
          <w:rFonts w:ascii="宋体" w:hAnsi="宋体" w:eastAsia="宋体"/>
          <w:color w:val="auto"/>
          <w:sz w:val="21"/>
          <w:szCs w:val="21"/>
        </w:rPr>
      </w:pPr>
      <w:bookmarkStart w:id="116" w:name="_Toc444005997"/>
      <w:bookmarkStart w:id="117" w:name="_Toc239839879"/>
      <w:bookmarkStart w:id="118" w:name="_Toc185702565"/>
      <w:bookmarkStart w:id="119" w:name="_Toc230578073"/>
      <w:bookmarkStart w:id="120" w:name="_Toc207770851"/>
      <w:bookmarkStart w:id="121" w:name="_Toc206525698"/>
      <w:r>
        <w:rPr>
          <w:rFonts w:hint="eastAsia" w:ascii="宋体" w:hAnsi="宋体" w:eastAsia="宋体"/>
          <w:color w:val="auto"/>
          <w:sz w:val="21"/>
          <w:szCs w:val="21"/>
        </w:rPr>
        <w:t>15、响应文件书写及签名、盖章要求</w:t>
      </w:r>
      <w:bookmarkEnd w:id="116"/>
      <w:bookmarkEnd w:id="117"/>
      <w:bookmarkEnd w:id="118"/>
      <w:bookmarkEnd w:id="119"/>
      <w:bookmarkEnd w:id="120"/>
      <w:bookmarkEnd w:id="121"/>
    </w:p>
    <w:p>
      <w:pPr>
        <w:pStyle w:val="17"/>
        <w:spacing w:line="400" w:lineRule="exact"/>
        <w:ind w:firstLine="420"/>
        <w:rPr>
          <w:color w:val="auto"/>
        </w:rPr>
      </w:pPr>
      <w:r>
        <w:rPr>
          <w:rFonts w:hint="eastAsia"/>
          <w:color w:val="auto"/>
        </w:rPr>
        <w:t>15.1响应文件正本必须用不褪色的墨水工整书写或打印。</w:t>
      </w:r>
    </w:p>
    <w:p>
      <w:pPr>
        <w:pStyle w:val="17"/>
        <w:spacing w:line="400" w:lineRule="exact"/>
        <w:ind w:firstLine="420"/>
        <w:rPr>
          <w:color w:val="auto"/>
        </w:rPr>
      </w:pPr>
      <w:r>
        <w:rPr>
          <w:rFonts w:hint="eastAsia"/>
          <w:color w:val="auto"/>
        </w:rPr>
        <w:t>15.2响应文件的书写应清楚工整，修改处应有由法定代表人或委托代理人签字和加盖单位公章，否则其响应无效。</w:t>
      </w:r>
    </w:p>
    <w:p>
      <w:pPr>
        <w:pStyle w:val="17"/>
        <w:spacing w:line="400" w:lineRule="exact"/>
        <w:ind w:firstLine="420"/>
        <w:rPr>
          <w:color w:val="auto"/>
        </w:rPr>
      </w:pPr>
      <w:r>
        <w:rPr>
          <w:rFonts w:hint="eastAsia"/>
          <w:color w:val="auto"/>
        </w:rPr>
        <w:t>15.3字迹潦草、表达不清或未按要求填写的响应文件可能将被认定为无效的竞标。</w:t>
      </w:r>
    </w:p>
    <w:p>
      <w:pPr>
        <w:pStyle w:val="17"/>
        <w:spacing w:line="400" w:lineRule="exact"/>
        <w:ind w:firstLine="420"/>
        <w:rPr>
          <w:color w:val="auto"/>
          <w:spacing w:val="-4"/>
          <w:szCs w:val="21"/>
        </w:rPr>
      </w:pPr>
      <w:r>
        <w:rPr>
          <w:rFonts w:hint="eastAsia"/>
          <w:color w:val="auto"/>
          <w:spacing w:val="-4"/>
          <w:szCs w:val="21"/>
        </w:rPr>
        <w:t>15.4响应文件应由法定代表人或委托代理人在凡规定签名、签章处逐一签名和盖单位公章，否则其响应无效。</w:t>
      </w:r>
    </w:p>
    <w:p>
      <w:pPr>
        <w:pStyle w:val="17"/>
        <w:spacing w:line="400" w:lineRule="exact"/>
        <w:ind w:firstLine="420"/>
        <w:rPr>
          <w:color w:val="auto"/>
        </w:rPr>
      </w:pPr>
      <w:r>
        <w:rPr>
          <w:rFonts w:hint="eastAsia"/>
          <w:color w:val="auto"/>
        </w:rPr>
        <w:t>15.5响应文件的份数：</w:t>
      </w:r>
      <w:r>
        <w:rPr>
          <w:rFonts w:hint="eastAsia"/>
          <w:bCs/>
          <w:color w:val="auto"/>
        </w:rPr>
        <w:t>正本一份，副本三份，共四份</w:t>
      </w:r>
      <w:r>
        <w:rPr>
          <w:rFonts w:hint="eastAsia"/>
          <w:color w:val="auto"/>
        </w:rPr>
        <w:t>。并在每份文件注明“正本”、“副本”字样，一旦正本和副本不符，以正本为准。</w:t>
      </w:r>
    </w:p>
    <w:p>
      <w:pPr>
        <w:pStyle w:val="5"/>
        <w:spacing w:before="0" w:after="0" w:line="400" w:lineRule="exact"/>
        <w:rPr>
          <w:rFonts w:ascii="宋体" w:hAnsi="宋体" w:eastAsia="宋体"/>
          <w:color w:val="auto"/>
          <w:sz w:val="21"/>
          <w:szCs w:val="21"/>
        </w:rPr>
      </w:pPr>
      <w:bookmarkStart w:id="122" w:name="_Toc444005998"/>
      <w:bookmarkStart w:id="123" w:name="_Toc239839880"/>
      <w:bookmarkStart w:id="124" w:name="_Toc207770852"/>
      <w:bookmarkStart w:id="125" w:name="_Toc206525699"/>
      <w:bookmarkStart w:id="126" w:name="_Toc230578074"/>
      <w:bookmarkStart w:id="127" w:name="_Toc185702566"/>
      <w:r>
        <w:rPr>
          <w:rFonts w:hint="eastAsia" w:ascii="宋体" w:hAnsi="宋体" w:eastAsia="宋体"/>
          <w:color w:val="auto"/>
          <w:sz w:val="21"/>
          <w:szCs w:val="21"/>
        </w:rPr>
        <w:t>16、磋商保证金</w:t>
      </w:r>
      <w:bookmarkEnd w:id="122"/>
      <w:bookmarkEnd w:id="123"/>
      <w:bookmarkEnd w:id="124"/>
      <w:bookmarkEnd w:id="125"/>
      <w:bookmarkEnd w:id="126"/>
      <w:bookmarkEnd w:id="127"/>
    </w:p>
    <w:p>
      <w:pPr>
        <w:pStyle w:val="17"/>
        <w:spacing w:line="400" w:lineRule="exact"/>
        <w:ind w:firstLine="420"/>
        <w:rPr>
          <w:color w:val="auto"/>
          <w:spacing w:val="-4"/>
        </w:rPr>
      </w:pPr>
      <w:r>
        <w:rPr>
          <w:rFonts w:hint="eastAsia"/>
          <w:color w:val="auto"/>
          <w:spacing w:val="-4"/>
        </w:rPr>
        <w:t xml:space="preserve">16.1 </w:t>
      </w:r>
      <w:r>
        <w:rPr>
          <w:rFonts w:hint="eastAsia" w:hAnsi="宋体"/>
          <w:color w:val="auto"/>
          <w:szCs w:val="21"/>
        </w:rPr>
        <w:t>磋商保证金的提交：服务商</w:t>
      </w:r>
      <w:r>
        <w:rPr>
          <w:rFonts w:hint="eastAsia"/>
          <w:color w:val="auto"/>
          <w:spacing w:val="-4"/>
        </w:rPr>
        <w:t>必须按</w:t>
      </w:r>
      <w:r>
        <w:rPr>
          <w:rFonts w:hint="eastAsia" w:hAnsi="宋体"/>
          <w:color w:val="auto"/>
          <w:szCs w:val="21"/>
        </w:rPr>
        <w:t>服务商</w:t>
      </w:r>
      <w:r>
        <w:rPr>
          <w:rFonts w:hint="eastAsia"/>
          <w:color w:val="auto"/>
          <w:spacing w:val="-4"/>
        </w:rPr>
        <w:t>须知前附表第6项的要求提交</w:t>
      </w:r>
      <w:r>
        <w:rPr>
          <w:rFonts w:hint="eastAsia" w:hAnsi="宋体"/>
          <w:color w:val="auto"/>
          <w:szCs w:val="21"/>
        </w:rPr>
        <w:t>磋商保证金</w:t>
      </w:r>
      <w:r>
        <w:rPr>
          <w:rFonts w:hint="eastAsia"/>
          <w:color w:val="auto"/>
        </w:rPr>
        <w:t>。</w:t>
      </w:r>
    </w:p>
    <w:p>
      <w:pPr>
        <w:pStyle w:val="17"/>
        <w:spacing w:line="400" w:lineRule="exact"/>
        <w:ind w:firstLine="420"/>
        <w:rPr>
          <w:rFonts w:hAnsi="宋体"/>
          <w:color w:val="auto"/>
        </w:rPr>
      </w:pPr>
      <w:r>
        <w:rPr>
          <w:rFonts w:hint="eastAsia"/>
          <w:color w:val="auto"/>
        </w:rPr>
        <w:t>16.2</w:t>
      </w:r>
      <w:r>
        <w:rPr>
          <w:rFonts w:hint="eastAsia" w:hAnsi="宋体"/>
          <w:color w:val="auto"/>
          <w:szCs w:val="21"/>
        </w:rPr>
        <w:t>服务商</w:t>
      </w:r>
      <w:r>
        <w:rPr>
          <w:rFonts w:hint="eastAsia"/>
          <w:color w:val="auto"/>
        </w:rPr>
        <w:t>必须</w:t>
      </w:r>
      <w:r>
        <w:rPr>
          <w:rFonts w:hint="eastAsia" w:hAnsi="宋体"/>
          <w:color w:val="auto"/>
        </w:rPr>
        <w:t>将</w:t>
      </w:r>
      <w:r>
        <w:rPr>
          <w:rFonts w:hint="eastAsia" w:hAnsi="宋体"/>
          <w:color w:val="auto"/>
          <w:szCs w:val="21"/>
        </w:rPr>
        <w:t>磋商保证金</w:t>
      </w:r>
      <w:r>
        <w:rPr>
          <w:rFonts w:hint="eastAsia" w:hAnsi="宋体"/>
          <w:color w:val="auto"/>
        </w:rPr>
        <w:t>缴纳证明(</w:t>
      </w:r>
      <w:r>
        <w:rPr>
          <w:rFonts w:hint="eastAsia"/>
          <w:color w:val="auto"/>
        </w:rPr>
        <w:t>银行进账单</w:t>
      </w:r>
      <w:r>
        <w:rPr>
          <w:rFonts w:hint="eastAsia" w:hAnsi="宋体"/>
          <w:color w:val="auto"/>
        </w:rPr>
        <w:t>)复印件按要求附在响应文件内。</w:t>
      </w:r>
    </w:p>
    <w:p>
      <w:pPr>
        <w:pStyle w:val="17"/>
        <w:spacing w:line="400" w:lineRule="exact"/>
        <w:ind w:firstLine="420"/>
        <w:rPr>
          <w:rFonts w:hAnsi="宋体"/>
          <w:color w:val="auto"/>
        </w:rPr>
      </w:pPr>
      <w:r>
        <w:rPr>
          <w:rFonts w:hint="eastAsia"/>
          <w:color w:val="auto"/>
        </w:rPr>
        <w:t>16.3对未按竞争性磋商文件要求缴纳磋商保证金的，将视其为不响应竞标条件而予以拒绝。</w:t>
      </w:r>
    </w:p>
    <w:p>
      <w:pPr>
        <w:pStyle w:val="17"/>
        <w:spacing w:line="400" w:lineRule="exact"/>
        <w:ind w:firstLine="420"/>
        <w:rPr>
          <w:color w:val="auto"/>
        </w:rPr>
      </w:pPr>
      <w:r>
        <w:rPr>
          <w:rFonts w:hint="eastAsia"/>
          <w:color w:val="auto"/>
        </w:rPr>
        <w:t>16.4磋商保证金的退还</w:t>
      </w:r>
    </w:p>
    <w:p>
      <w:pPr>
        <w:pStyle w:val="17"/>
        <w:spacing w:line="410" w:lineRule="exact"/>
        <w:ind w:firstLine="420"/>
        <w:rPr>
          <w:color w:val="auto"/>
        </w:rPr>
      </w:pPr>
      <w:r>
        <w:rPr>
          <w:rFonts w:hint="eastAsia"/>
          <w:color w:val="auto"/>
        </w:rPr>
        <w:t>16.4.1成交</w:t>
      </w:r>
      <w:r>
        <w:rPr>
          <w:rFonts w:hint="eastAsia" w:hAnsi="宋体"/>
          <w:bCs/>
          <w:color w:val="auto"/>
        </w:rPr>
        <w:t>人</w:t>
      </w:r>
      <w:r>
        <w:rPr>
          <w:rFonts w:hint="eastAsia"/>
          <w:color w:val="auto"/>
          <w:spacing w:val="-4"/>
        </w:rPr>
        <w:t>按服务商须知前附表第11项要求</w:t>
      </w:r>
      <w:r>
        <w:rPr>
          <w:rFonts w:hint="eastAsia"/>
          <w:color w:val="auto"/>
        </w:rPr>
        <w:t>办理履约保证金缴纳手续，</w:t>
      </w:r>
      <w:r>
        <w:rPr>
          <w:rFonts w:hint="eastAsia" w:hAnsi="宋体" w:cs="宋体"/>
          <w:color w:val="auto"/>
          <w:szCs w:val="21"/>
        </w:rPr>
        <w:t>蒙山县公共资源交易中心</w:t>
      </w:r>
      <w:r>
        <w:rPr>
          <w:rFonts w:hint="eastAsia"/>
          <w:color w:val="auto"/>
        </w:rPr>
        <w:t>将在采购合同签订后5个工作日内以原缴交方式予以退还，不付利息。</w:t>
      </w:r>
    </w:p>
    <w:p>
      <w:pPr>
        <w:pStyle w:val="17"/>
        <w:spacing w:line="410" w:lineRule="exact"/>
        <w:ind w:firstLine="420"/>
        <w:rPr>
          <w:color w:val="auto"/>
        </w:rPr>
      </w:pPr>
      <w:r>
        <w:rPr>
          <w:rFonts w:hint="eastAsia"/>
          <w:color w:val="auto"/>
        </w:rPr>
        <w:t>16.4.2未成交服务商</w:t>
      </w:r>
      <w:r>
        <w:rPr>
          <w:rFonts w:hint="eastAsia" w:hAnsi="宋体"/>
          <w:bCs/>
          <w:color w:val="auto"/>
        </w:rPr>
        <w:t>按第六章附件“磋商保证金退付确认函”的要求到</w:t>
      </w:r>
      <w:r>
        <w:rPr>
          <w:rFonts w:hint="eastAsia" w:hAnsi="宋体" w:cs="宋体"/>
          <w:color w:val="auto"/>
          <w:szCs w:val="21"/>
        </w:rPr>
        <w:t>蒙山县公共资源交易中心</w:t>
      </w:r>
      <w:r>
        <w:rPr>
          <w:rFonts w:hint="eastAsia" w:hAnsi="宋体"/>
          <w:bCs/>
          <w:color w:val="auto"/>
        </w:rPr>
        <w:t>办理退还磋商保证金手续，</w:t>
      </w:r>
      <w:r>
        <w:rPr>
          <w:rFonts w:hint="eastAsia" w:hAnsi="宋体" w:cs="宋体"/>
          <w:color w:val="auto"/>
          <w:szCs w:val="21"/>
        </w:rPr>
        <w:t>蒙山县公共资源交易中心</w:t>
      </w:r>
      <w:r>
        <w:rPr>
          <w:rFonts w:hint="eastAsia"/>
          <w:color w:val="auto"/>
        </w:rPr>
        <w:t>将在成交通知书发出后5个工作日内以原缴交方式予以退还，不付利息。</w:t>
      </w:r>
    </w:p>
    <w:p>
      <w:pPr>
        <w:pStyle w:val="17"/>
        <w:spacing w:line="400" w:lineRule="exact"/>
        <w:ind w:firstLine="420"/>
        <w:rPr>
          <w:color w:val="auto"/>
        </w:rPr>
      </w:pPr>
      <w:r>
        <w:rPr>
          <w:rFonts w:hint="eastAsia"/>
          <w:color w:val="auto"/>
        </w:rPr>
        <w:t>16.5 涉及质疑和投诉的服务商，在质疑和投诉调查处理结束前其磋商保证金暂不退还。</w:t>
      </w:r>
    </w:p>
    <w:p>
      <w:pPr>
        <w:pStyle w:val="17"/>
        <w:spacing w:line="400" w:lineRule="exact"/>
        <w:ind w:firstLine="420"/>
        <w:rPr>
          <w:color w:val="auto"/>
        </w:rPr>
      </w:pPr>
      <w:r>
        <w:rPr>
          <w:rFonts w:hint="eastAsia"/>
          <w:color w:val="auto"/>
        </w:rPr>
        <w:t>16.6 有下列情形之一的，磋商保证金不予退还：</w:t>
      </w:r>
    </w:p>
    <w:p>
      <w:pPr>
        <w:pStyle w:val="17"/>
        <w:spacing w:line="400" w:lineRule="exact"/>
        <w:ind w:firstLine="420"/>
        <w:rPr>
          <w:color w:val="auto"/>
        </w:rPr>
      </w:pPr>
      <w:r>
        <w:rPr>
          <w:rFonts w:hint="eastAsia"/>
          <w:color w:val="auto"/>
        </w:rPr>
        <w:t>（1）服务商在提交响应文件截止时间后或在磋商有效期内撤回其响应文件的；</w:t>
      </w:r>
    </w:p>
    <w:p>
      <w:pPr>
        <w:pStyle w:val="17"/>
        <w:spacing w:line="400" w:lineRule="exact"/>
        <w:ind w:firstLine="420"/>
        <w:rPr>
          <w:color w:val="auto"/>
        </w:rPr>
      </w:pPr>
      <w:r>
        <w:rPr>
          <w:rFonts w:hint="eastAsia"/>
          <w:color w:val="auto"/>
        </w:rPr>
        <w:t>（2）服务商在响应文件中提供虚假材料的；</w:t>
      </w:r>
    </w:p>
    <w:p>
      <w:pPr>
        <w:pStyle w:val="17"/>
        <w:spacing w:line="400" w:lineRule="exact"/>
        <w:ind w:firstLine="420"/>
        <w:rPr>
          <w:color w:val="auto"/>
        </w:rPr>
      </w:pPr>
      <w:r>
        <w:rPr>
          <w:rFonts w:hint="eastAsia"/>
          <w:color w:val="auto"/>
        </w:rPr>
        <w:t>（3）成交人未按本须知第28条规定缴纳履约保证金的；</w:t>
      </w:r>
    </w:p>
    <w:p>
      <w:pPr>
        <w:pStyle w:val="17"/>
        <w:spacing w:line="400" w:lineRule="exact"/>
        <w:ind w:firstLine="420"/>
        <w:rPr>
          <w:color w:val="auto"/>
        </w:rPr>
      </w:pPr>
      <w:r>
        <w:rPr>
          <w:rFonts w:hint="eastAsia"/>
          <w:color w:val="auto"/>
        </w:rPr>
        <w:t>（4）成交人无正当理由不与采购人按本须知第27条签订合同的；</w:t>
      </w:r>
    </w:p>
    <w:p>
      <w:pPr>
        <w:pStyle w:val="17"/>
        <w:spacing w:line="400" w:lineRule="exact"/>
        <w:ind w:firstLine="420"/>
        <w:rPr>
          <w:color w:val="auto"/>
        </w:rPr>
      </w:pPr>
      <w:r>
        <w:rPr>
          <w:rFonts w:hint="eastAsia"/>
          <w:color w:val="auto"/>
        </w:rPr>
        <w:t>（5）中标后与采购人签订对磋商文件和响应文件作了实质性修改的合同，或与采购人私下订立背离合同实质性内容的协议的；</w:t>
      </w:r>
    </w:p>
    <w:p>
      <w:pPr>
        <w:pStyle w:val="17"/>
        <w:spacing w:line="400" w:lineRule="exact"/>
        <w:ind w:firstLine="420"/>
        <w:rPr>
          <w:color w:val="auto"/>
        </w:rPr>
      </w:pPr>
      <w:r>
        <w:rPr>
          <w:rFonts w:hint="eastAsia"/>
          <w:color w:val="auto"/>
        </w:rPr>
        <w:t>（6）将成交项目转让给他人；或者在响应文件中未说明，且未经采购人同意，将成交项目分包给他人的。</w:t>
      </w:r>
    </w:p>
    <w:p>
      <w:pPr>
        <w:pStyle w:val="17"/>
        <w:spacing w:line="400" w:lineRule="exact"/>
        <w:rPr>
          <w:b/>
          <w:color w:val="auto"/>
        </w:rPr>
      </w:pPr>
    </w:p>
    <w:p>
      <w:pPr>
        <w:pStyle w:val="3"/>
        <w:spacing w:line="400" w:lineRule="exact"/>
        <w:jc w:val="center"/>
        <w:rPr>
          <w:color w:val="auto"/>
        </w:rPr>
      </w:pPr>
      <w:bookmarkStart w:id="128" w:name="_Toc207770853"/>
      <w:bookmarkStart w:id="129" w:name="_Toc230578075"/>
      <w:bookmarkStart w:id="130" w:name="_Toc239839881"/>
      <w:bookmarkStart w:id="131" w:name="_Toc185702567"/>
      <w:bookmarkStart w:id="132" w:name="_Toc206525700"/>
      <w:bookmarkStart w:id="133" w:name="_Toc444005999"/>
      <w:r>
        <w:rPr>
          <w:rFonts w:hint="eastAsia"/>
          <w:color w:val="auto"/>
        </w:rPr>
        <w:t>四响应文件</w:t>
      </w:r>
      <w:bookmarkEnd w:id="128"/>
      <w:bookmarkEnd w:id="129"/>
      <w:bookmarkEnd w:id="130"/>
      <w:bookmarkEnd w:id="131"/>
      <w:bookmarkEnd w:id="132"/>
      <w:r>
        <w:rPr>
          <w:rFonts w:hint="eastAsia"/>
          <w:color w:val="auto"/>
          <w:spacing w:val="-4"/>
        </w:rPr>
        <w:t>提交</w:t>
      </w:r>
      <w:bookmarkEnd w:id="133"/>
    </w:p>
    <w:p>
      <w:pPr>
        <w:pStyle w:val="5"/>
        <w:spacing w:before="0" w:after="0" w:line="400" w:lineRule="exact"/>
        <w:rPr>
          <w:rFonts w:ascii="宋体" w:hAnsi="宋体" w:eastAsia="宋体"/>
          <w:color w:val="auto"/>
          <w:sz w:val="21"/>
          <w:szCs w:val="21"/>
        </w:rPr>
      </w:pPr>
      <w:bookmarkStart w:id="134" w:name="_Toc239839882"/>
      <w:bookmarkStart w:id="135" w:name="_Toc207770854"/>
      <w:bookmarkStart w:id="136" w:name="_Toc185702568"/>
      <w:bookmarkStart w:id="137" w:name="_Toc206525701"/>
      <w:bookmarkStart w:id="138" w:name="_Toc444006000"/>
      <w:bookmarkStart w:id="139" w:name="_Toc230578076"/>
      <w:r>
        <w:rPr>
          <w:rFonts w:hint="eastAsia" w:ascii="宋体" w:hAnsi="宋体" w:eastAsia="宋体"/>
          <w:color w:val="auto"/>
          <w:sz w:val="21"/>
          <w:szCs w:val="21"/>
        </w:rPr>
        <w:t>17、响应文件的密封与标记</w:t>
      </w:r>
      <w:bookmarkEnd w:id="134"/>
      <w:bookmarkEnd w:id="135"/>
      <w:bookmarkEnd w:id="136"/>
      <w:bookmarkEnd w:id="137"/>
      <w:bookmarkEnd w:id="138"/>
      <w:bookmarkEnd w:id="139"/>
    </w:p>
    <w:p>
      <w:pPr>
        <w:pStyle w:val="17"/>
        <w:spacing w:line="400" w:lineRule="exact"/>
        <w:ind w:firstLine="420"/>
        <w:rPr>
          <w:rFonts w:hAnsi="宋体"/>
          <w:color w:val="auto"/>
        </w:rPr>
      </w:pPr>
      <w:r>
        <w:rPr>
          <w:rFonts w:hint="eastAsia"/>
          <w:color w:val="auto"/>
        </w:rPr>
        <w:t>17.1服务商应将响应文件正、副本分别</w:t>
      </w:r>
      <w:r>
        <w:rPr>
          <w:rFonts w:hint="eastAsia" w:ascii="Times New Roman" w:hAnsi="Times New Roman"/>
          <w:color w:val="auto"/>
        </w:rPr>
        <w:t>装订成册，在每个文本封面上标明“响应文件正本（副本）”</w:t>
      </w:r>
      <w:r>
        <w:rPr>
          <w:rFonts w:hint="eastAsia"/>
          <w:color w:val="auto"/>
        </w:rPr>
        <w:t>，</w:t>
      </w:r>
      <w:r>
        <w:rPr>
          <w:rFonts w:hint="eastAsia" w:hAnsi="宋体"/>
          <w:color w:val="auto"/>
        </w:rPr>
        <w:t>以及项目名称、项目编号、服务商名称等内容。</w:t>
      </w:r>
    </w:p>
    <w:p>
      <w:pPr>
        <w:pStyle w:val="17"/>
        <w:spacing w:line="400" w:lineRule="exact"/>
        <w:ind w:firstLine="412" w:firstLineChars="200"/>
        <w:rPr>
          <w:rFonts w:hAnsi="宋体"/>
          <w:color w:val="auto"/>
          <w:spacing w:val="-2"/>
          <w:szCs w:val="21"/>
        </w:rPr>
      </w:pPr>
      <w:r>
        <w:rPr>
          <w:rFonts w:hint="eastAsia" w:hAnsi="宋体"/>
          <w:color w:val="auto"/>
          <w:spacing w:val="-2"/>
          <w:szCs w:val="21"/>
        </w:rPr>
        <w:t>17.2服务商应将响应文件（正本一本，副本三本）一并装入响应文件袋中加以密封；并在封口处密封签章（公章、密封章、法定代表人或其委托代理人签字均可）。</w:t>
      </w:r>
    </w:p>
    <w:p>
      <w:pPr>
        <w:pStyle w:val="17"/>
        <w:spacing w:line="400" w:lineRule="exact"/>
        <w:ind w:firstLine="420" w:firstLineChars="200"/>
        <w:rPr>
          <w:rFonts w:hAnsi="宋体"/>
          <w:color w:val="auto"/>
        </w:rPr>
      </w:pPr>
      <w:r>
        <w:rPr>
          <w:rFonts w:hint="eastAsia" w:hAnsi="宋体"/>
          <w:color w:val="auto"/>
        </w:rPr>
        <w:t xml:space="preserve">17.3响应文件袋上应写明： </w:t>
      </w:r>
    </w:p>
    <w:p>
      <w:pPr>
        <w:pStyle w:val="17"/>
        <w:spacing w:line="400" w:lineRule="exact"/>
        <w:ind w:firstLine="900"/>
        <w:rPr>
          <w:rFonts w:hAnsi="宋体"/>
          <w:color w:val="auto"/>
          <w:u w:val="single"/>
        </w:rPr>
      </w:pPr>
      <w:r>
        <w:rPr>
          <w:rFonts w:hint="eastAsia" w:hAnsi="宋体"/>
          <w:color w:val="auto"/>
        </w:rPr>
        <w:t>⑴ 采购代理机构：</w:t>
      </w:r>
      <w:r>
        <w:rPr>
          <w:rFonts w:hint="eastAsia" w:hAnsi="宋体"/>
          <w:color w:val="auto"/>
          <w:u w:val="single"/>
        </w:rPr>
        <w:t>广西汇晟工程咨询有限公司</w:t>
      </w:r>
    </w:p>
    <w:p>
      <w:pPr>
        <w:pStyle w:val="17"/>
        <w:spacing w:line="400" w:lineRule="exact"/>
        <w:ind w:firstLine="900"/>
        <w:rPr>
          <w:rFonts w:hAnsi="宋体"/>
          <w:color w:val="auto"/>
          <w:u w:val="single"/>
        </w:rPr>
      </w:pPr>
      <w:r>
        <w:rPr>
          <w:rFonts w:hint="eastAsia" w:hAnsi="宋体"/>
          <w:color w:val="auto"/>
        </w:rPr>
        <w:t>⑵ 项目名称：</w:t>
      </w:r>
    </w:p>
    <w:p>
      <w:pPr>
        <w:pStyle w:val="17"/>
        <w:spacing w:line="400" w:lineRule="exact"/>
        <w:ind w:firstLine="900"/>
        <w:rPr>
          <w:rFonts w:hAnsi="宋体"/>
          <w:color w:val="auto"/>
          <w:u w:val="single"/>
        </w:rPr>
      </w:pPr>
      <w:r>
        <w:rPr>
          <w:rFonts w:hint="eastAsia" w:hAnsi="宋体"/>
          <w:color w:val="auto"/>
        </w:rPr>
        <w:t>⑶ 项目编号：</w:t>
      </w:r>
    </w:p>
    <w:p>
      <w:pPr>
        <w:pStyle w:val="17"/>
        <w:spacing w:line="400" w:lineRule="exact"/>
        <w:ind w:firstLine="900"/>
        <w:rPr>
          <w:rFonts w:hAnsi="宋体"/>
          <w:color w:val="auto"/>
          <w:u w:val="single"/>
        </w:rPr>
      </w:pPr>
      <w:r>
        <w:rPr>
          <w:rFonts w:hint="eastAsia" w:hAnsi="宋体"/>
          <w:color w:val="auto"/>
        </w:rPr>
        <w:t>⑷ 竞标单位：</w:t>
      </w:r>
    </w:p>
    <w:p>
      <w:pPr>
        <w:pStyle w:val="17"/>
        <w:spacing w:line="400" w:lineRule="exact"/>
        <w:ind w:firstLine="900"/>
        <w:rPr>
          <w:rFonts w:hAnsi="宋体"/>
          <w:color w:val="auto"/>
        </w:rPr>
      </w:pPr>
      <w:r>
        <w:rPr>
          <w:rFonts w:hint="eastAsia" w:hAnsi="宋体"/>
          <w:color w:val="auto"/>
        </w:rPr>
        <w:t>⑸ 注    明“年月日时分前不得拆封”</w:t>
      </w:r>
    </w:p>
    <w:p>
      <w:pPr>
        <w:pStyle w:val="17"/>
        <w:spacing w:line="400" w:lineRule="exact"/>
        <w:ind w:firstLine="420"/>
        <w:rPr>
          <w:color w:val="auto"/>
        </w:rPr>
      </w:pPr>
      <w:r>
        <w:rPr>
          <w:rFonts w:hint="eastAsia"/>
          <w:color w:val="auto"/>
        </w:rPr>
        <w:t>17.4响应文件的密封以响应文件袋无明显缝隙露出袋内文件且封口处有签字或盖章为合格。</w:t>
      </w:r>
    </w:p>
    <w:p>
      <w:pPr>
        <w:pStyle w:val="17"/>
        <w:spacing w:line="400" w:lineRule="exact"/>
        <w:ind w:firstLine="420"/>
        <w:rPr>
          <w:color w:val="auto"/>
        </w:rPr>
      </w:pPr>
      <w:r>
        <w:rPr>
          <w:rFonts w:hint="eastAsia"/>
          <w:color w:val="auto"/>
        </w:rPr>
        <w:t>17.5服务商在</w:t>
      </w:r>
      <w:r>
        <w:rPr>
          <w:rFonts w:hint="eastAsia"/>
          <w:color w:val="auto"/>
          <w:spacing w:val="-4"/>
        </w:rPr>
        <w:t>提交</w:t>
      </w:r>
      <w:r>
        <w:rPr>
          <w:rFonts w:hint="eastAsia"/>
          <w:color w:val="auto"/>
        </w:rPr>
        <w:t>响应文件时，未按本须知要求密封、标记的，采购代理机构有权拒收，拒收所产生的后果由服务商自负。</w:t>
      </w:r>
    </w:p>
    <w:p>
      <w:pPr>
        <w:pStyle w:val="5"/>
        <w:spacing w:before="0" w:after="0" w:line="400" w:lineRule="exact"/>
        <w:rPr>
          <w:rFonts w:ascii="宋体" w:hAnsi="宋体" w:eastAsia="宋体"/>
          <w:color w:val="auto"/>
          <w:sz w:val="21"/>
          <w:szCs w:val="21"/>
        </w:rPr>
      </w:pPr>
      <w:bookmarkStart w:id="140" w:name="_Toc185702569"/>
      <w:bookmarkStart w:id="141" w:name="_Toc230578077"/>
      <w:bookmarkStart w:id="142" w:name="_Toc444006001"/>
      <w:bookmarkStart w:id="143" w:name="_Toc239839883"/>
      <w:bookmarkStart w:id="144" w:name="_Toc207770855"/>
      <w:bookmarkStart w:id="145" w:name="_Toc206525702"/>
      <w:r>
        <w:rPr>
          <w:rFonts w:hint="eastAsia" w:ascii="宋体" w:hAnsi="宋体" w:eastAsia="宋体"/>
          <w:color w:val="auto"/>
          <w:sz w:val="21"/>
          <w:szCs w:val="21"/>
        </w:rPr>
        <w:t>18、响应文件提交的截止时间</w:t>
      </w:r>
      <w:bookmarkEnd w:id="140"/>
      <w:r>
        <w:rPr>
          <w:rFonts w:hint="eastAsia" w:ascii="宋体" w:hAnsi="宋体" w:eastAsia="宋体"/>
          <w:color w:val="auto"/>
          <w:sz w:val="21"/>
          <w:szCs w:val="21"/>
        </w:rPr>
        <w:t>、地点</w:t>
      </w:r>
      <w:bookmarkEnd w:id="141"/>
      <w:bookmarkEnd w:id="142"/>
      <w:bookmarkEnd w:id="143"/>
      <w:bookmarkEnd w:id="144"/>
      <w:bookmarkEnd w:id="145"/>
    </w:p>
    <w:p>
      <w:pPr>
        <w:pStyle w:val="17"/>
        <w:tabs>
          <w:tab w:val="left" w:pos="1957"/>
        </w:tabs>
        <w:spacing w:line="400" w:lineRule="exact"/>
        <w:ind w:firstLine="420"/>
        <w:rPr>
          <w:color w:val="auto"/>
          <w:spacing w:val="-4"/>
        </w:rPr>
      </w:pPr>
      <w:r>
        <w:rPr>
          <w:rFonts w:hint="eastAsia"/>
          <w:color w:val="auto"/>
        </w:rPr>
        <w:t>18.1</w:t>
      </w:r>
      <w:r>
        <w:rPr>
          <w:rFonts w:hint="eastAsia"/>
          <w:color w:val="auto"/>
          <w:spacing w:val="-4"/>
        </w:rPr>
        <w:t>响应文件的提交不得迟于本须知前附表第7项指定的截止时间。</w:t>
      </w:r>
      <w:r>
        <w:rPr>
          <w:rFonts w:hint="eastAsia"/>
          <w:color w:val="auto"/>
        </w:rPr>
        <w:t>在截止时间后送达的响应文件为无效文件，采购人、采购代理机构或者磋商小组应当拒收。</w:t>
      </w:r>
    </w:p>
    <w:p>
      <w:pPr>
        <w:pStyle w:val="17"/>
        <w:spacing w:line="400" w:lineRule="exact"/>
        <w:ind w:firstLine="420"/>
        <w:rPr>
          <w:color w:val="auto"/>
        </w:rPr>
      </w:pPr>
      <w:r>
        <w:rPr>
          <w:rFonts w:hint="eastAsia"/>
          <w:color w:val="auto"/>
        </w:rPr>
        <w:t>18.2服务商必须在规定时间内将响应文件密封送达本须知前附表第7项指定地点</w:t>
      </w:r>
      <w:r>
        <w:rPr>
          <w:rFonts w:hint="eastAsia" w:hAnsi="宋体"/>
          <w:color w:val="auto"/>
        </w:rPr>
        <w:t>。</w:t>
      </w:r>
    </w:p>
    <w:p>
      <w:pPr>
        <w:pStyle w:val="17"/>
        <w:spacing w:line="400" w:lineRule="exact"/>
        <w:ind w:firstLine="420"/>
        <w:rPr>
          <w:color w:val="auto"/>
        </w:rPr>
      </w:pPr>
      <w:r>
        <w:rPr>
          <w:rFonts w:hint="eastAsia"/>
          <w:color w:val="auto"/>
        </w:rPr>
        <w:t>18.3服务商的法定代表人或其委托代理人必须签到出席截标会并按第7项要求提交相关证明文件接受核查，否则</w:t>
      </w:r>
      <w:r>
        <w:rPr>
          <w:rFonts w:hint="eastAsia"/>
          <w:color w:val="auto"/>
          <w:spacing w:val="-4"/>
          <w:szCs w:val="21"/>
        </w:rPr>
        <w:t>响应</w:t>
      </w:r>
      <w:r>
        <w:rPr>
          <w:rFonts w:hint="eastAsia"/>
          <w:color w:val="auto"/>
        </w:rPr>
        <w:t>无效。</w:t>
      </w:r>
    </w:p>
    <w:p>
      <w:pPr>
        <w:pStyle w:val="5"/>
        <w:spacing w:before="0" w:after="0" w:line="400" w:lineRule="exact"/>
        <w:rPr>
          <w:rFonts w:ascii="宋体" w:hAnsi="宋体" w:eastAsia="宋体"/>
          <w:color w:val="auto"/>
          <w:sz w:val="21"/>
          <w:szCs w:val="21"/>
        </w:rPr>
      </w:pPr>
      <w:bookmarkStart w:id="146" w:name="_Toc185702570"/>
      <w:bookmarkStart w:id="147" w:name="_Toc207770856"/>
      <w:bookmarkStart w:id="148" w:name="_Toc444006002"/>
      <w:bookmarkStart w:id="149" w:name="_Toc230578078"/>
      <w:bookmarkStart w:id="150" w:name="_Toc239839884"/>
      <w:bookmarkStart w:id="151" w:name="_Toc147250378"/>
      <w:bookmarkStart w:id="152" w:name="_Toc147250332"/>
      <w:bookmarkStart w:id="153" w:name="_Toc206525703"/>
      <w:bookmarkStart w:id="154" w:name="_Toc147250534"/>
      <w:r>
        <w:rPr>
          <w:rFonts w:hint="eastAsia" w:ascii="宋体" w:hAnsi="宋体" w:eastAsia="宋体"/>
          <w:color w:val="auto"/>
          <w:sz w:val="21"/>
          <w:szCs w:val="21"/>
        </w:rPr>
        <w:t>19、响应文件的修改及撤回</w:t>
      </w:r>
      <w:bookmarkEnd w:id="146"/>
      <w:bookmarkEnd w:id="147"/>
      <w:bookmarkEnd w:id="148"/>
      <w:bookmarkEnd w:id="149"/>
      <w:bookmarkEnd w:id="150"/>
      <w:bookmarkEnd w:id="151"/>
      <w:bookmarkEnd w:id="152"/>
      <w:bookmarkEnd w:id="153"/>
      <w:bookmarkEnd w:id="154"/>
    </w:p>
    <w:p>
      <w:pPr>
        <w:pStyle w:val="17"/>
        <w:spacing w:line="400" w:lineRule="exact"/>
        <w:ind w:firstLine="443" w:firstLineChars="211"/>
        <w:rPr>
          <w:color w:val="auto"/>
        </w:rPr>
      </w:pPr>
      <w:r>
        <w:rPr>
          <w:rFonts w:hint="eastAsia"/>
          <w:color w:val="auto"/>
        </w:rPr>
        <w:t>19.1服务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17"/>
        <w:spacing w:line="400" w:lineRule="exact"/>
        <w:ind w:firstLine="443" w:firstLineChars="211"/>
        <w:rPr>
          <w:color w:val="auto"/>
        </w:rPr>
      </w:pPr>
      <w:r>
        <w:rPr>
          <w:rFonts w:hint="eastAsia"/>
          <w:color w:val="auto"/>
        </w:rPr>
        <w:t>19.2响应文件的修改和撤回通知应按本须知第17条的规定密封、标记和</w:t>
      </w:r>
      <w:r>
        <w:rPr>
          <w:rFonts w:hint="eastAsia"/>
          <w:color w:val="auto"/>
          <w:spacing w:val="-4"/>
        </w:rPr>
        <w:t>提交</w:t>
      </w:r>
      <w:r>
        <w:rPr>
          <w:rFonts w:hint="eastAsia"/>
          <w:color w:val="auto"/>
        </w:rPr>
        <w:t>，并在封面上标明“修改”或“撤回”字样。</w:t>
      </w:r>
    </w:p>
    <w:p>
      <w:pPr>
        <w:pStyle w:val="17"/>
        <w:spacing w:line="400" w:lineRule="exact"/>
        <w:ind w:right="-126" w:rightChars="-60" w:firstLine="360"/>
        <w:rPr>
          <w:color w:val="auto"/>
          <w:spacing w:val="-2"/>
        </w:rPr>
      </w:pPr>
      <w:r>
        <w:rPr>
          <w:rFonts w:hint="eastAsia"/>
          <w:color w:val="auto"/>
          <w:spacing w:val="-2"/>
        </w:rPr>
        <w:t>19.3在</w:t>
      </w:r>
      <w:r>
        <w:rPr>
          <w:rFonts w:hint="eastAsia" w:hAnsi="宋体"/>
          <w:color w:val="auto"/>
          <w:spacing w:val="-2"/>
        </w:rPr>
        <w:t>磋商</w:t>
      </w:r>
      <w:r>
        <w:rPr>
          <w:rFonts w:hint="eastAsia"/>
          <w:color w:val="auto"/>
          <w:spacing w:val="-2"/>
        </w:rPr>
        <w:t>结束后的磋商有效期内，服务商不得撤回其响应文件，否则其全部磋商保证金将不予退还。</w:t>
      </w:r>
    </w:p>
    <w:p>
      <w:pPr>
        <w:pStyle w:val="17"/>
        <w:spacing w:line="400" w:lineRule="exact"/>
        <w:ind w:firstLine="420"/>
        <w:rPr>
          <w:color w:val="auto"/>
        </w:rPr>
      </w:pPr>
    </w:p>
    <w:p>
      <w:pPr>
        <w:pStyle w:val="3"/>
        <w:spacing w:line="400" w:lineRule="exact"/>
        <w:jc w:val="center"/>
        <w:rPr>
          <w:color w:val="auto"/>
        </w:rPr>
      </w:pPr>
      <w:bookmarkStart w:id="155" w:name="_Toc239839885"/>
      <w:bookmarkStart w:id="156" w:name="_Toc207770857"/>
      <w:bookmarkStart w:id="157" w:name="_Toc185702571"/>
      <w:bookmarkStart w:id="158" w:name="_Toc206525704"/>
      <w:bookmarkStart w:id="159" w:name="_Toc230578079"/>
      <w:bookmarkStart w:id="160" w:name="_Toc444006003"/>
      <w:r>
        <w:rPr>
          <w:rFonts w:hint="eastAsia"/>
          <w:color w:val="auto"/>
        </w:rPr>
        <w:t>五响应文件评</w:t>
      </w:r>
      <w:bookmarkEnd w:id="155"/>
      <w:bookmarkEnd w:id="156"/>
      <w:bookmarkEnd w:id="157"/>
      <w:bookmarkEnd w:id="158"/>
      <w:bookmarkEnd w:id="159"/>
      <w:r>
        <w:rPr>
          <w:rFonts w:hint="eastAsia"/>
          <w:color w:val="auto"/>
        </w:rPr>
        <w:t>审</w:t>
      </w:r>
      <w:bookmarkEnd w:id="160"/>
    </w:p>
    <w:p>
      <w:pPr>
        <w:pStyle w:val="5"/>
        <w:spacing w:before="0" w:after="0" w:line="400" w:lineRule="exact"/>
        <w:rPr>
          <w:rFonts w:ascii="宋体" w:hAnsi="宋体" w:eastAsia="宋体"/>
          <w:color w:val="auto"/>
          <w:sz w:val="21"/>
          <w:szCs w:val="21"/>
        </w:rPr>
      </w:pPr>
      <w:bookmarkStart w:id="161" w:name="_Toc239839886"/>
      <w:bookmarkStart w:id="162" w:name="_Toc185702572"/>
      <w:bookmarkStart w:id="163" w:name="_Toc230578080"/>
      <w:bookmarkStart w:id="164" w:name="_Toc207770858"/>
      <w:bookmarkStart w:id="165" w:name="_Toc206525705"/>
      <w:bookmarkStart w:id="166" w:name="_Toc444006004"/>
      <w:r>
        <w:rPr>
          <w:rFonts w:hint="eastAsia" w:ascii="宋体" w:hAnsi="宋体" w:eastAsia="宋体"/>
          <w:color w:val="auto"/>
          <w:sz w:val="21"/>
          <w:szCs w:val="21"/>
        </w:rPr>
        <w:t>20、</w:t>
      </w:r>
      <w:bookmarkEnd w:id="161"/>
      <w:bookmarkEnd w:id="162"/>
      <w:bookmarkEnd w:id="163"/>
      <w:bookmarkEnd w:id="164"/>
      <w:bookmarkEnd w:id="165"/>
      <w:r>
        <w:rPr>
          <w:rFonts w:hint="eastAsia" w:ascii="宋体" w:hAnsi="宋体" w:eastAsia="宋体"/>
          <w:color w:val="auto"/>
          <w:sz w:val="21"/>
          <w:szCs w:val="21"/>
        </w:rPr>
        <w:t>组建磋商小组</w:t>
      </w:r>
      <w:bookmarkEnd w:id="166"/>
    </w:p>
    <w:p>
      <w:pPr>
        <w:pStyle w:val="17"/>
        <w:spacing w:line="400" w:lineRule="exact"/>
        <w:ind w:firstLine="420" w:firstLineChars="200"/>
        <w:rPr>
          <w:rFonts w:ascii="Times New Roman" w:hAnsi="Times New Roman"/>
          <w:bCs/>
          <w:color w:val="auto"/>
        </w:rPr>
      </w:pPr>
      <w:r>
        <w:rPr>
          <w:rFonts w:hint="eastAsia" w:hAnsi="宋体"/>
          <w:color w:val="auto"/>
        </w:rPr>
        <w:t>20.1根据要求</w:t>
      </w:r>
      <w:r>
        <w:rPr>
          <w:rFonts w:hAnsi="宋体"/>
          <w:color w:val="auto"/>
        </w:rPr>
        <w:t>组建竞争性磋商小组（以下简称磋商小组）</w:t>
      </w:r>
      <w:r>
        <w:rPr>
          <w:rFonts w:hint="eastAsia" w:hAnsi="宋体"/>
          <w:color w:val="auto"/>
        </w:rPr>
        <w:t>，</w:t>
      </w:r>
      <w:r>
        <w:rPr>
          <w:rFonts w:hAnsi="宋体"/>
          <w:color w:val="auto"/>
        </w:rPr>
        <w:t>磋商小组由采购人代表和评审专家共</w:t>
      </w:r>
      <w:r>
        <w:rPr>
          <w:rFonts w:hint="eastAsia" w:hAnsi="宋体"/>
          <w:color w:val="auto"/>
        </w:rPr>
        <w:t>三</w:t>
      </w:r>
      <w:r>
        <w:rPr>
          <w:rFonts w:hAnsi="宋体"/>
          <w:color w:val="auto"/>
        </w:rPr>
        <w:t>人以上</w:t>
      </w:r>
      <w:r>
        <w:rPr>
          <w:rFonts w:hint="eastAsia" w:hAnsi="宋体"/>
          <w:color w:val="auto"/>
        </w:rPr>
        <w:t>（含三人）</w:t>
      </w:r>
      <w:r>
        <w:rPr>
          <w:rFonts w:hAnsi="宋体"/>
          <w:color w:val="auto"/>
        </w:rPr>
        <w:t>单数组成，其中评审专家人数不少于磋商小组成员总数的2/3。</w:t>
      </w:r>
      <w:r>
        <w:rPr>
          <w:rFonts w:ascii="Times New Roman" w:hAnsi="Times New Roman"/>
          <w:bCs/>
          <w:color w:val="auto"/>
        </w:rPr>
        <w:t>“</w:t>
      </w:r>
      <w:r>
        <w:rPr>
          <w:rFonts w:hAnsi="宋体"/>
          <w:color w:val="auto"/>
        </w:rPr>
        <w:t>磋商</w:t>
      </w:r>
      <w:r>
        <w:rPr>
          <w:rFonts w:ascii="Times New Roman" w:hAnsi="Times New Roman"/>
          <w:bCs/>
          <w:color w:val="auto"/>
        </w:rPr>
        <w:t>小组”构成：本采购项目的“</w:t>
      </w:r>
      <w:r>
        <w:rPr>
          <w:rFonts w:hAnsi="宋体"/>
          <w:color w:val="auto"/>
        </w:rPr>
        <w:t>磋商</w:t>
      </w:r>
      <w:r>
        <w:rPr>
          <w:rFonts w:ascii="Times New Roman" w:hAnsi="Times New Roman"/>
          <w:bCs/>
          <w:color w:val="auto"/>
        </w:rPr>
        <w:t>小组”分别由政府采购云平台中随机抽取的专家。</w:t>
      </w:r>
    </w:p>
    <w:p>
      <w:pPr>
        <w:pStyle w:val="17"/>
        <w:spacing w:line="400" w:lineRule="exact"/>
        <w:ind w:firstLine="420"/>
        <w:rPr>
          <w:rFonts w:hAnsi="宋体"/>
          <w:color w:val="auto"/>
        </w:rPr>
      </w:pPr>
      <w:r>
        <w:rPr>
          <w:rFonts w:hint="eastAsia" w:hAnsi="宋体"/>
          <w:color w:val="auto"/>
        </w:rPr>
        <w:t>20.2</w:t>
      </w:r>
      <w:r>
        <w:rPr>
          <w:rFonts w:hAnsi="宋体"/>
          <w:color w:val="auto"/>
        </w:rPr>
        <w:t>评审专家应当遵守评审工作纪律，不得泄露评审情况和评审中获悉的商业秘密。</w:t>
      </w:r>
    </w:p>
    <w:p>
      <w:pPr>
        <w:pStyle w:val="17"/>
        <w:spacing w:line="400" w:lineRule="exact"/>
        <w:ind w:firstLine="420"/>
        <w:rPr>
          <w:rFonts w:hAnsi="宋体"/>
          <w:color w:val="auto"/>
        </w:rPr>
      </w:pPr>
      <w:r>
        <w:rPr>
          <w:rFonts w:hint="eastAsia" w:hAnsi="宋体"/>
          <w:color w:val="auto"/>
        </w:rPr>
        <w:t>20.3</w:t>
      </w:r>
      <w:r>
        <w:rPr>
          <w:rFonts w:hAnsi="宋体"/>
          <w:color w:val="auto"/>
        </w:rPr>
        <w:t>磋商小组成员应当按照客观、公正、审慎的原则，根据磋商文件规定的评审程序、评审方法和评审标准进行独立评审。</w:t>
      </w:r>
    </w:p>
    <w:p>
      <w:pPr>
        <w:pStyle w:val="5"/>
        <w:spacing w:before="0" w:after="0" w:line="400" w:lineRule="exact"/>
        <w:rPr>
          <w:rFonts w:ascii="宋体" w:hAnsi="宋体" w:eastAsia="宋体"/>
          <w:color w:val="auto"/>
          <w:sz w:val="21"/>
          <w:szCs w:val="21"/>
        </w:rPr>
      </w:pPr>
      <w:bookmarkStart w:id="167" w:name="_Toc230578081"/>
      <w:bookmarkStart w:id="168" w:name="_Toc207770859"/>
      <w:bookmarkStart w:id="169" w:name="_Toc185702573"/>
      <w:bookmarkStart w:id="170" w:name="_Toc239839887"/>
      <w:bookmarkStart w:id="171" w:name="_Toc206525706"/>
      <w:bookmarkStart w:id="172" w:name="_Toc444006005"/>
      <w:r>
        <w:rPr>
          <w:rFonts w:hint="eastAsia" w:ascii="宋体" w:hAnsi="宋体" w:eastAsia="宋体"/>
          <w:color w:val="auto"/>
          <w:sz w:val="21"/>
          <w:szCs w:val="21"/>
        </w:rPr>
        <w:t>21、评</w:t>
      </w:r>
      <w:bookmarkEnd w:id="167"/>
      <w:bookmarkEnd w:id="168"/>
      <w:bookmarkEnd w:id="169"/>
      <w:bookmarkEnd w:id="170"/>
      <w:bookmarkEnd w:id="171"/>
      <w:r>
        <w:rPr>
          <w:rFonts w:hint="eastAsia" w:ascii="宋体" w:hAnsi="宋体" w:eastAsia="宋体"/>
          <w:color w:val="auto"/>
          <w:sz w:val="21"/>
          <w:szCs w:val="21"/>
        </w:rPr>
        <w:t>审程序</w:t>
      </w:r>
      <w:bookmarkEnd w:id="172"/>
    </w:p>
    <w:p>
      <w:pPr>
        <w:pStyle w:val="17"/>
        <w:spacing w:line="400" w:lineRule="exact"/>
        <w:ind w:firstLine="420"/>
        <w:rPr>
          <w:color w:val="auto"/>
        </w:rPr>
      </w:pPr>
      <w:r>
        <w:rPr>
          <w:rFonts w:hint="eastAsia"/>
          <w:color w:val="auto"/>
        </w:rPr>
        <w:t>21.1</w:t>
      </w:r>
      <w:r>
        <w:rPr>
          <w:rFonts w:hint="eastAsia" w:hAnsi="宋体"/>
          <w:color w:val="auto"/>
          <w:szCs w:val="21"/>
        </w:rPr>
        <w:t>响应文件开启时间及地点：</w:t>
      </w:r>
      <w:r>
        <w:rPr>
          <w:rFonts w:hint="eastAsia"/>
          <w:color w:val="auto"/>
          <w:spacing w:val="-4"/>
        </w:rPr>
        <w:t>本须知前附表第8项规定的时间和地点</w:t>
      </w:r>
    </w:p>
    <w:p>
      <w:pPr>
        <w:pStyle w:val="17"/>
        <w:spacing w:line="400" w:lineRule="exact"/>
        <w:ind w:firstLine="420"/>
        <w:rPr>
          <w:color w:val="auto"/>
        </w:rPr>
      </w:pPr>
      <w:r>
        <w:rPr>
          <w:rFonts w:hint="eastAsia"/>
          <w:color w:val="auto"/>
        </w:rPr>
        <w:t>21.2磋商小组成员按照客观、公正、审慎的原则，根据磋商文件规定的评审程序、评审方法和评审标准进行独立评审。</w:t>
      </w:r>
    </w:p>
    <w:p>
      <w:pPr>
        <w:pStyle w:val="17"/>
        <w:spacing w:line="400" w:lineRule="exact"/>
        <w:ind w:firstLine="420"/>
        <w:rPr>
          <w:b/>
          <w:color w:val="auto"/>
        </w:rPr>
      </w:pPr>
      <w:r>
        <w:rPr>
          <w:rFonts w:hint="eastAsia"/>
          <w:color w:val="auto"/>
        </w:rPr>
        <w:t>21.2.1响应文件初审。初审分为资格性审查和符合性审查。</w:t>
      </w:r>
    </w:p>
    <w:p>
      <w:pPr>
        <w:pStyle w:val="17"/>
        <w:spacing w:line="400" w:lineRule="exact"/>
        <w:ind w:firstLine="420"/>
        <w:rPr>
          <w:color w:val="auto"/>
        </w:rPr>
      </w:pPr>
      <w:bookmarkStart w:id="173" w:name="_Toc207770860"/>
      <w:bookmarkStart w:id="174" w:name="_Toc206525707"/>
      <w:bookmarkStart w:id="175" w:name="_Toc185702574"/>
      <w:bookmarkStart w:id="176" w:name="_Toc230578082"/>
      <w:r>
        <w:rPr>
          <w:rFonts w:hint="eastAsia"/>
          <w:color w:val="auto"/>
        </w:rPr>
        <w:t>(1)资格性检查。依据法律法规和竞争性磋商文件的规定对响应文件的</w:t>
      </w:r>
      <w:r>
        <w:rPr>
          <w:color w:val="auto"/>
        </w:rPr>
        <w:t>资质证明、</w:t>
      </w:r>
      <w:r>
        <w:rPr>
          <w:rFonts w:hint="eastAsia"/>
          <w:color w:val="auto"/>
        </w:rPr>
        <w:t>磋商保证金</w:t>
      </w:r>
      <w:r>
        <w:rPr>
          <w:color w:val="auto"/>
        </w:rPr>
        <w:t>等进行审查，以确定</w:t>
      </w:r>
      <w:r>
        <w:rPr>
          <w:rFonts w:hint="eastAsia"/>
          <w:color w:val="auto"/>
        </w:rPr>
        <w:t>服务商</w:t>
      </w:r>
      <w:r>
        <w:rPr>
          <w:color w:val="auto"/>
        </w:rPr>
        <w:t>是否具备</w:t>
      </w:r>
      <w:r>
        <w:rPr>
          <w:rFonts w:hint="eastAsia"/>
          <w:color w:val="auto"/>
        </w:rPr>
        <w:t>竞</w:t>
      </w:r>
      <w:r>
        <w:rPr>
          <w:color w:val="auto"/>
        </w:rPr>
        <w:t>标资格。它所涉及到的主要文件和内容</w:t>
      </w:r>
      <w:r>
        <w:rPr>
          <w:rFonts w:hint="eastAsia"/>
          <w:color w:val="auto"/>
        </w:rPr>
        <w:t>为磋商文件竞标须知第12条、第15条所述的资格证明文件内容和签章的合格性、合法性等。如果服务商不具备竞标资格，不满足磋商文件所规定的资格标准或提供资格证明文件不全的，其竞标将被拒绝。</w:t>
      </w:r>
    </w:p>
    <w:p>
      <w:pPr>
        <w:pStyle w:val="17"/>
        <w:spacing w:line="400" w:lineRule="exact"/>
        <w:ind w:firstLine="420"/>
        <w:rPr>
          <w:color w:val="auto"/>
        </w:rPr>
      </w:pPr>
      <w:r>
        <w:rPr>
          <w:rFonts w:hint="eastAsia"/>
          <w:color w:val="auto"/>
        </w:rPr>
        <w:t>(2)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服务商的竞争地位。对没有实质性响应的响应文件将不进行评审，其竞标将被拒绝。</w:t>
      </w:r>
    </w:p>
    <w:p>
      <w:pPr>
        <w:pStyle w:val="17"/>
        <w:spacing w:line="400" w:lineRule="exact"/>
        <w:ind w:firstLine="420"/>
        <w:rPr>
          <w:color w:val="auto"/>
        </w:rPr>
      </w:pPr>
      <w:r>
        <w:rPr>
          <w:rFonts w:hint="eastAsia"/>
          <w:color w:val="auto"/>
        </w:rPr>
        <w:t>(3) 出现下列情况之一的，视为</w:t>
      </w:r>
      <w:r>
        <w:rPr>
          <w:rFonts w:hint="eastAsia" w:hAnsi="宋体"/>
          <w:color w:val="auto"/>
          <w:szCs w:val="21"/>
        </w:rPr>
        <w:t>未实质性响应磋商文件的响应文件，按无效响应处理</w:t>
      </w:r>
      <w:r>
        <w:rPr>
          <w:rFonts w:hint="eastAsia"/>
          <w:color w:val="auto"/>
        </w:rPr>
        <w:t>。</w:t>
      </w:r>
    </w:p>
    <w:p>
      <w:pPr>
        <w:pStyle w:val="17"/>
        <w:spacing w:line="400" w:lineRule="exact"/>
        <w:ind w:left="900" w:hanging="300"/>
        <w:rPr>
          <w:color w:val="auto"/>
        </w:rPr>
      </w:pPr>
      <w:r>
        <w:rPr>
          <w:rFonts w:hint="eastAsia"/>
          <w:color w:val="auto"/>
        </w:rPr>
        <w:t>① 响应文件未按本须知第8条、第17条规定进行编制、签署、盖章、装订、密封的；</w:t>
      </w:r>
    </w:p>
    <w:p>
      <w:pPr>
        <w:pStyle w:val="17"/>
        <w:spacing w:line="400" w:lineRule="exact"/>
        <w:ind w:left="900" w:hanging="300"/>
        <w:rPr>
          <w:color w:val="auto"/>
        </w:rPr>
      </w:pPr>
      <w:r>
        <w:rPr>
          <w:rFonts w:hint="eastAsia"/>
          <w:color w:val="auto"/>
        </w:rPr>
        <w:t>② 未按本须知第12条、第13条规定提交必须提供且有效的证明文件的；</w:t>
      </w:r>
    </w:p>
    <w:p>
      <w:pPr>
        <w:pStyle w:val="17"/>
        <w:spacing w:line="400" w:lineRule="exact"/>
        <w:ind w:left="900" w:hanging="300"/>
        <w:rPr>
          <w:color w:val="auto"/>
        </w:rPr>
      </w:pPr>
      <w:r>
        <w:rPr>
          <w:rFonts w:hint="eastAsia"/>
          <w:color w:val="auto"/>
        </w:rPr>
        <w:t>③ 未按本须知第12.1款、第15条规定应由法定代表人或委托代理人在凡规定签名、盖章处逐一签名和加盖公章的；或签字人未经法定代表人有效授权委托的；</w:t>
      </w:r>
    </w:p>
    <w:p>
      <w:pPr>
        <w:pStyle w:val="17"/>
        <w:spacing w:line="400" w:lineRule="exact"/>
        <w:ind w:left="900" w:hanging="300"/>
        <w:rPr>
          <w:color w:val="auto"/>
        </w:rPr>
      </w:pPr>
      <w:r>
        <w:rPr>
          <w:rFonts w:hint="eastAsia"/>
          <w:color w:val="auto"/>
        </w:rPr>
        <w:t>④ 未按有关要求提交或足额提交磋商保证金的；</w:t>
      </w:r>
    </w:p>
    <w:p>
      <w:pPr>
        <w:pStyle w:val="17"/>
        <w:spacing w:line="400" w:lineRule="exact"/>
        <w:ind w:left="900" w:hanging="300"/>
        <w:rPr>
          <w:color w:val="auto"/>
        </w:rPr>
      </w:pPr>
      <w:r>
        <w:rPr>
          <w:rFonts w:hint="eastAsia"/>
          <w:color w:val="auto"/>
        </w:rPr>
        <w:t>⑤ 磋商有效期不满足磋商文件要求的；</w:t>
      </w:r>
    </w:p>
    <w:p>
      <w:pPr>
        <w:pStyle w:val="17"/>
        <w:spacing w:line="400" w:lineRule="exact"/>
        <w:ind w:left="900" w:hanging="300"/>
        <w:rPr>
          <w:color w:val="auto"/>
        </w:rPr>
      </w:pPr>
      <w:r>
        <w:rPr>
          <w:rFonts w:hint="eastAsia"/>
          <w:color w:val="auto"/>
        </w:rPr>
        <w:t>⑥ 响应文件的关键内容字迹模糊、无法辨认的；</w:t>
      </w:r>
    </w:p>
    <w:p>
      <w:pPr>
        <w:pStyle w:val="17"/>
        <w:spacing w:line="400" w:lineRule="exact"/>
        <w:ind w:left="900" w:hanging="300"/>
        <w:rPr>
          <w:color w:val="auto"/>
        </w:rPr>
      </w:pPr>
      <w:r>
        <w:rPr>
          <w:rFonts w:hint="eastAsia"/>
          <w:color w:val="auto"/>
        </w:rPr>
        <w:t>⑦ 服务商提交的是可选择的报价的，或最后报价超过采购预算价的；</w:t>
      </w:r>
    </w:p>
    <w:p>
      <w:pPr>
        <w:pStyle w:val="17"/>
        <w:spacing w:line="400" w:lineRule="exact"/>
        <w:ind w:left="900" w:hanging="300"/>
        <w:rPr>
          <w:color w:val="auto"/>
          <w:spacing w:val="-6"/>
          <w:szCs w:val="21"/>
        </w:rPr>
      </w:pPr>
      <w:r>
        <w:rPr>
          <w:rFonts w:hint="eastAsia"/>
          <w:color w:val="auto"/>
          <w:spacing w:val="-6"/>
          <w:szCs w:val="21"/>
        </w:rPr>
        <w:t>⑧ 竞标内容与采购内容及要求存在重大偏离或保留的（如严重背离采购需求、合同协议要求、等）；</w:t>
      </w:r>
    </w:p>
    <w:p>
      <w:pPr>
        <w:pStyle w:val="17"/>
        <w:spacing w:line="400" w:lineRule="exact"/>
        <w:ind w:left="900" w:hanging="300"/>
        <w:rPr>
          <w:color w:val="auto"/>
        </w:rPr>
      </w:pPr>
      <w:r>
        <w:rPr>
          <w:rFonts w:hint="eastAsia"/>
          <w:color w:val="auto"/>
        </w:rPr>
        <w:t xml:space="preserve">⑨ </w:t>
      </w:r>
      <w:r>
        <w:rPr>
          <w:color w:val="auto"/>
        </w:rPr>
        <w:t>通过对</w:t>
      </w:r>
      <w:r>
        <w:rPr>
          <w:rFonts w:hint="eastAsia"/>
          <w:color w:val="auto"/>
        </w:rPr>
        <w:t>“服务内容及要求”</w:t>
      </w:r>
      <w:r>
        <w:rPr>
          <w:color w:val="auto"/>
        </w:rPr>
        <w:t>内容的修改以达到</w:t>
      </w:r>
      <w:r>
        <w:rPr>
          <w:rFonts w:hint="eastAsia"/>
          <w:color w:val="auto"/>
        </w:rPr>
        <w:t>满足</w:t>
      </w:r>
      <w:r>
        <w:rPr>
          <w:color w:val="auto"/>
        </w:rPr>
        <w:t>技术要求的</w:t>
      </w:r>
      <w:r>
        <w:rPr>
          <w:rFonts w:hint="eastAsia"/>
          <w:color w:val="auto"/>
        </w:rPr>
        <w:t>；响应文件商务条款偏离表没有按要求表述的或与项目要求表述不一致却没有提供相关依据说明的；</w:t>
      </w:r>
    </w:p>
    <w:p>
      <w:pPr>
        <w:pStyle w:val="17"/>
        <w:spacing w:line="400" w:lineRule="exact"/>
        <w:ind w:left="900" w:hanging="300"/>
        <w:rPr>
          <w:color w:val="auto"/>
        </w:rPr>
      </w:pPr>
      <w:r>
        <w:rPr>
          <w:rFonts w:hint="eastAsia"/>
          <w:color w:val="auto"/>
        </w:rPr>
        <w:t>⑩ 响应文件中提供虚假或失实资料的；</w:t>
      </w:r>
    </w:p>
    <w:p>
      <w:pPr>
        <w:pStyle w:val="17"/>
        <w:spacing w:line="400" w:lineRule="exact"/>
        <w:ind w:left="900" w:hanging="300"/>
        <w:rPr>
          <w:color w:val="auto"/>
        </w:rPr>
      </w:pPr>
      <w:r>
        <w:rPr>
          <w:color w:val="auto"/>
        </w:rPr>
        <w:fldChar w:fldCharType="begin"/>
      </w:r>
      <w:r>
        <w:rPr>
          <w:rFonts w:hint="eastAsia"/>
          <w:color w:val="auto"/>
        </w:rPr>
        <w:instrText xml:space="preserve">eq \o\ac(</w:instrText>
      </w:r>
      <w:r>
        <w:rPr>
          <w:rFonts w:hint="eastAsia"/>
          <w:color w:val="auto"/>
          <w:position w:val="-4"/>
          <w:sz w:val="37"/>
        </w:rPr>
        <w:instrText xml:space="preserve">○</w:instrText>
      </w:r>
      <w:r>
        <w:rPr>
          <w:rFonts w:hint="eastAsia"/>
          <w:color w:val="auto"/>
        </w:rPr>
        <w:instrText xml:space="preserve">,11)</w:instrText>
      </w:r>
      <w:r>
        <w:rPr>
          <w:color w:val="auto"/>
        </w:rPr>
        <w:fldChar w:fldCharType="end"/>
      </w:r>
      <w:r>
        <w:rPr>
          <w:rFonts w:hint="eastAsia"/>
          <w:color w:val="auto"/>
        </w:rPr>
        <w:t xml:space="preserve"> 不符合有关法律、法规和磋商文件中规定的其他实质性条款。</w:t>
      </w:r>
    </w:p>
    <w:p>
      <w:pPr>
        <w:pStyle w:val="17"/>
        <w:spacing w:line="400" w:lineRule="exact"/>
        <w:ind w:firstLine="420"/>
        <w:rPr>
          <w:color w:val="auto"/>
        </w:rPr>
      </w:pPr>
      <w:r>
        <w:rPr>
          <w:rFonts w:hint="eastAsia"/>
          <w:color w:val="auto"/>
        </w:rPr>
        <w:t>21.2.2澄清有关问题。</w:t>
      </w:r>
    </w:p>
    <w:p>
      <w:pPr>
        <w:pStyle w:val="17"/>
        <w:spacing w:line="400" w:lineRule="exact"/>
        <w:ind w:firstLine="420"/>
        <w:rPr>
          <w:color w:val="auto"/>
        </w:rPr>
      </w:pPr>
      <w:r>
        <w:rPr>
          <w:rFonts w:hint="eastAsia"/>
          <w:color w:val="auto"/>
        </w:rPr>
        <w:t>(1)</w:t>
      </w:r>
      <w:r>
        <w:rPr>
          <w:color w:val="auto"/>
        </w:rPr>
        <w:t xml:space="preserve"> 磋商小组在对响应文件的有效性、完整性和响应程度进行审查时，可以要求服务商对响应文件中含义不明确、同类问题表述不一致或者有明显文字和计算错误的内容等作出必要的澄清、说明或者更正。服务商的澄清、说明或者更正不得超出响应文件的范围或者改变响应文件的实质性内容。</w:t>
      </w:r>
    </w:p>
    <w:p>
      <w:pPr>
        <w:pStyle w:val="17"/>
        <w:spacing w:line="400" w:lineRule="exact"/>
        <w:ind w:firstLine="420"/>
        <w:rPr>
          <w:color w:val="auto"/>
        </w:rPr>
      </w:pPr>
      <w:r>
        <w:rPr>
          <w:rFonts w:hint="eastAsia"/>
          <w:color w:val="auto"/>
        </w:rPr>
        <w:t>(2)</w:t>
      </w:r>
      <w:r>
        <w:rPr>
          <w:color w:val="auto"/>
        </w:rPr>
        <w:t>磋商小组要求服务商澄清、说明或者更正响应文件应当以书面形式作出。服务商的澄清、说明或者更正应当由法定代表人或其授权代表签字或者加盖公章。由授权代表签字的，应当附法定代表人授权书。</w:t>
      </w:r>
    </w:p>
    <w:p>
      <w:pPr>
        <w:pStyle w:val="17"/>
        <w:spacing w:line="400" w:lineRule="exact"/>
        <w:ind w:firstLine="420"/>
        <w:rPr>
          <w:color w:val="auto"/>
        </w:rPr>
      </w:pPr>
      <w:r>
        <w:rPr>
          <w:rFonts w:hint="eastAsia"/>
          <w:color w:val="auto"/>
        </w:rPr>
        <w:t>(3)响应文件如果出现计算或表达上的错误，修正错误的原则如下：</w:t>
      </w:r>
    </w:p>
    <w:p>
      <w:pPr>
        <w:pStyle w:val="17"/>
        <w:spacing w:line="400" w:lineRule="exact"/>
        <w:ind w:firstLine="420"/>
        <w:rPr>
          <w:color w:val="auto"/>
        </w:rPr>
      </w:pPr>
      <w:r>
        <w:rPr>
          <w:rFonts w:hint="eastAsia"/>
          <w:color w:val="auto"/>
        </w:rPr>
        <w:t>① 响应文件中《磋商报价表》与《</w:t>
      </w:r>
      <w:r>
        <w:rPr>
          <w:rFonts w:hint="eastAsia" w:hAnsi="宋体"/>
          <w:color w:val="auto"/>
        </w:rPr>
        <w:t>响应函</w:t>
      </w:r>
      <w:r>
        <w:rPr>
          <w:rFonts w:hint="eastAsia"/>
          <w:color w:val="auto"/>
        </w:rPr>
        <w:t>》内容不一致的，以《</w:t>
      </w:r>
      <w:r>
        <w:rPr>
          <w:rFonts w:hint="eastAsia" w:hAnsi="宋体"/>
          <w:color w:val="auto"/>
        </w:rPr>
        <w:t>响应函</w:t>
      </w:r>
      <w:r>
        <w:rPr>
          <w:rFonts w:hint="eastAsia"/>
          <w:color w:val="auto"/>
        </w:rPr>
        <w:t>》为准。</w:t>
      </w:r>
    </w:p>
    <w:p>
      <w:pPr>
        <w:pStyle w:val="17"/>
        <w:spacing w:line="400" w:lineRule="exact"/>
        <w:ind w:firstLine="420"/>
        <w:rPr>
          <w:color w:val="auto"/>
        </w:rPr>
      </w:pPr>
      <w:r>
        <w:rPr>
          <w:rFonts w:hint="eastAsia"/>
          <w:color w:val="auto"/>
        </w:rPr>
        <w:t>② 响应文件的大写金额和小写金额不一致的，以大写金额为准；</w:t>
      </w:r>
    </w:p>
    <w:p>
      <w:pPr>
        <w:pStyle w:val="17"/>
        <w:spacing w:line="400" w:lineRule="exact"/>
        <w:ind w:firstLine="420"/>
        <w:rPr>
          <w:color w:val="auto"/>
        </w:rPr>
      </w:pPr>
      <w:r>
        <w:rPr>
          <w:rFonts w:hint="eastAsia"/>
          <w:color w:val="auto"/>
        </w:rPr>
        <w:t>③ 总价金额与按单价汇总金额不一致的，以单价金额计算结果为准；</w:t>
      </w:r>
    </w:p>
    <w:p>
      <w:pPr>
        <w:pStyle w:val="17"/>
        <w:spacing w:line="400" w:lineRule="exact"/>
        <w:ind w:firstLine="420"/>
        <w:rPr>
          <w:color w:val="auto"/>
        </w:rPr>
      </w:pPr>
      <w:r>
        <w:rPr>
          <w:rFonts w:hint="eastAsia"/>
          <w:color w:val="auto"/>
        </w:rPr>
        <w:t>④ 单价金额小数点有明显错位的，应以总价为准，并修改单价；</w:t>
      </w:r>
    </w:p>
    <w:p>
      <w:pPr>
        <w:pStyle w:val="17"/>
        <w:spacing w:line="400" w:lineRule="exact"/>
        <w:ind w:firstLine="420"/>
        <w:rPr>
          <w:color w:val="auto"/>
        </w:rPr>
      </w:pPr>
      <w:r>
        <w:rPr>
          <w:rFonts w:hint="eastAsia"/>
          <w:color w:val="auto"/>
        </w:rPr>
        <w:t>⑤ 对不同文字文本响应文件的解释发生异议的，以中文文本为准。</w:t>
      </w:r>
    </w:p>
    <w:p>
      <w:pPr>
        <w:pStyle w:val="17"/>
        <w:spacing w:line="400" w:lineRule="exact"/>
        <w:ind w:firstLine="420"/>
        <w:rPr>
          <w:color w:val="auto"/>
          <w:szCs w:val="21"/>
        </w:rPr>
      </w:pPr>
      <w:r>
        <w:rPr>
          <w:rFonts w:hint="eastAsia"/>
          <w:color w:val="auto"/>
          <w:szCs w:val="21"/>
        </w:rPr>
        <w:t>⑥ 按上述修正错误的原则及方法调整或修正响应文件的磋商报价，在服务商确认后，调整后的磋商报价对服务商起约束作用。如果服务商拒绝确认，不接受修正后的价格或报价，则其响应文件将不予评审，其竞标将被拒绝，采购人有权没收其磋商保证金。</w:t>
      </w:r>
    </w:p>
    <w:p>
      <w:pPr>
        <w:pStyle w:val="17"/>
        <w:spacing w:line="400" w:lineRule="exact"/>
        <w:ind w:firstLine="420"/>
        <w:rPr>
          <w:color w:val="auto"/>
          <w:szCs w:val="21"/>
        </w:rPr>
      </w:pPr>
      <w:r>
        <w:rPr>
          <w:rFonts w:hint="eastAsia"/>
          <w:color w:val="auto"/>
          <w:szCs w:val="21"/>
        </w:rPr>
        <w:t>21.2.3磋商。时间及地点：</w:t>
      </w:r>
      <w:r>
        <w:rPr>
          <w:rFonts w:hint="eastAsia"/>
          <w:color w:val="auto"/>
          <w:spacing w:val="-4"/>
          <w:szCs w:val="21"/>
        </w:rPr>
        <w:t>本须知前附表第8项规定的时间和地点</w:t>
      </w:r>
    </w:p>
    <w:p>
      <w:pPr>
        <w:pStyle w:val="17"/>
        <w:spacing w:line="400" w:lineRule="exact"/>
        <w:ind w:firstLine="420"/>
        <w:rPr>
          <w:rFonts w:hAnsi="宋体"/>
          <w:color w:val="auto"/>
          <w:szCs w:val="21"/>
        </w:rPr>
      </w:pPr>
      <w:r>
        <w:rPr>
          <w:rFonts w:hint="eastAsia" w:hAnsi="宋体"/>
          <w:color w:val="auto"/>
          <w:szCs w:val="21"/>
        </w:rPr>
        <w:t>(1)</w:t>
      </w:r>
      <w:r>
        <w:rPr>
          <w:rFonts w:hAnsi="宋体"/>
          <w:color w:val="auto"/>
          <w:szCs w:val="21"/>
        </w:rPr>
        <w:t>磋商小组所有成员集中与单一服务商分别进行磋商</w:t>
      </w:r>
      <w:r>
        <w:rPr>
          <w:rFonts w:hint="eastAsia" w:hAnsi="宋体"/>
          <w:color w:val="auto"/>
          <w:szCs w:val="21"/>
        </w:rPr>
        <w:t>（最多三轮）</w:t>
      </w:r>
      <w:r>
        <w:rPr>
          <w:rFonts w:hAnsi="宋体"/>
          <w:color w:val="auto"/>
          <w:szCs w:val="21"/>
        </w:rPr>
        <w:t>，</w:t>
      </w:r>
      <w:r>
        <w:rPr>
          <w:rFonts w:hint="eastAsia" w:hAnsi="宋体"/>
          <w:color w:val="auto"/>
          <w:szCs w:val="21"/>
        </w:rPr>
        <w:t>磋商的内容包括技术条件、商务性条件及磋商小组认为需要磋商的内容。</w:t>
      </w:r>
    </w:p>
    <w:p>
      <w:pPr>
        <w:pStyle w:val="17"/>
        <w:spacing w:line="400" w:lineRule="exact"/>
        <w:ind w:firstLine="420"/>
        <w:rPr>
          <w:rFonts w:hAnsi="宋体"/>
          <w:color w:val="auto"/>
          <w:szCs w:val="21"/>
        </w:rPr>
      </w:pPr>
      <w:r>
        <w:rPr>
          <w:rFonts w:hint="eastAsia" w:hAnsi="宋体"/>
          <w:color w:val="auto"/>
          <w:szCs w:val="21"/>
        </w:rPr>
        <w:t>(2)</w:t>
      </w:r>
      <w:r>
        <w:rPr>
          <w:rFonts w:hAnsi="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w:t>
      </w:r>
    </w:p>
    <w:p>
      <w:pPr>
        <w:pStyle w:val="17"/>
        <w:spacing w:line="400" w:lineRule="exact"/>
        <w:ind w:firstLine="420"/>
        <w:rPr>
          <w:rFonts w:hAnsi="宋体"/>
          <w:color w:val="auto"/>
          <w:szCs w:val="21"/>
        </w:rPr>
      </w:pPr>
      <w:r>
        <w:rPr>
          <w:rFonts w:hint="eastAsia" w:hAnsi="宋体"/>
          <w:color w:val="auto"/>
          <w:szCs w:val="21"/>
        </w:rPr>
        <w:t>(3)</w:t>
      </w:r>
      <w:r>
        <w:rPr>
          <w:rFonts w:hAnsi="宋体"/>
          <w:color w:val="auto"/>
          <w:szCs w:val="21"/>
        </w:rPr>
        <w:t>对磋商文件作出的实质性变动是磋商文件的有效组成部分，磋商小组应当及时以书面形式同时通知所有参加磋商的服务商。</w:t>
      </w:r>
    </w:p>
    <w:p>
      <w:pPr>
        <w:pStyle w:val="17"/>
        <w:spacing w:line="400" w:lineRule="exact"/>
        <w:ind w:firstLine="420"/>
        <w:rPr>
          <w:rFonts w:hAnsi="宋体"/>
          <w:color w:val="auto"/>
          <w:szCs w:val="21"/>
        </w:rPr>
      </w:pPr>
      <w:r>
        <w:rPr>
          <w:rFonts w:hint="eastAsia" w:hAnsi="宋体"/>
          <w:color w:val="auto"/>
          <w:szCs w:val="21"/>
        </w:rPr>
        <w:t>(4)</w:t>
      </w:r>
      <w:r>
        <w:rPr>
          <w:rFonts w:hAnsi="宋体"/>
          <w:color w:val="auto"/>
          <w:szCs w:val="21"/>
        </w:rPr>
        <w:t>服务商应当按照磋商文件的变动情况和磋商小组的要求重新提交响应文件，并由其法定代表人或授权代表签字或者加盖公章。由授权代表签字的，应当附法定代表人授权书。</w:t>
      </w:r>
    </w:p>
    <w:p>
      <w:pPr>
        <w:pStyle w:val="17"/>
        <w:spacing w:line="400" w:lineRule="exact"/>
        <w:ind w:firstLine="420"/>
        <w:rPr>
          <w:rFonts w:hAnsi="宋体"/>
          <w:color w:val="auto"/>
          <w:szCs w:val="21"/>
        </w:rPr>
      </w:pPr>
      <w:r>
        <w:rPr>
          <w:rFonts w:hint="eastAsia" w:hAnsi="宋体"/>
          <w:color w:val="auto"/>
          <w:szCs w:val="21"/>
        </w:rPr>
        <w:t>(5)</w:t>
      </w:r>
      <w:r>
        <w:rPr>
          <w:rFonts w:hAnsi="宋体"/>
          <w:color w:val="auto"/>
          <w:szCs w:val="21"/>
        </w:rPr>
        <w:t>磋商文件能够详细列明采购标的的技术、服务要求的，磋商结束后，磋商小组要求所有实质性响应的服务商在规定时间内提交最后报价。</w:t>
      </w:r>
    </w:p>
    <w:p>
      <w:pPr>
        <w:pStyle w:val="17"/>
        <w:spacing w:line="400" w:lineRule="exact"/>
        <w:ind w:firstLine="420"/>
        <w:rPr>
          <w:rFonts w:hAnsi="宋体"/>
          <w:color w:val="auto"/>
          <w:szCs w:val="21"/>
        </w:rPr>
      </w:pPr>
      <w:r>
        <w:rPr>
          <w:rFonts w:hint="eastAsia" w:hAnsi="宋体"/>
          <w:color w:val="auto"/>
          <w:szCs w:val="21"/>
        </w:rPr>
        <w:t>(6)</w:t>
      </w:r>
      <w:r>
        <w:rPr>
          <w:rFonts w:hAnsi="宋体"/>
          <w:color w:val="auto"/>
          <w:szCs w:val="21"/>
        </w:rPr>
        <w:t>磋商文件不能详细列明采购标的的技术、服务要求，经磋商由服务商提供最终设计方案或解决方案的，磋商结束后，磋商小组按照少数服从多数的原则投票推荐3家以上服务商的设计方案或者解决方案，并要求其在规定时间内提交最后报价。最后报价是服务商响应文件的有效组成部分。</w:t>
      </w:r>
    </w:p>
    <w:p>
      <w:pPr>
        <w:pStyle w:val="17"/>
        <w:spacing w:line="400" w:lineRule="exact"/>
        <w:ind w:firstLine="420"/>
        <w:rPr>
          <w:rFonts w:hAnsi="宋体"/>
          <w:color w:val="auto"/>
          <w:szCs w:val="21"/>
        </w:rPr>
      </w:pPr>
      <w:r>
        <w:rPr>
          <w:rFonts w:hint="eastAsia" w:hAnsi="宋体"/>
          <w:color w:val="auto"/>
          <w:szCs w:val="21"/>
        </w:rPr>
        <w:t>(7)服务商未在通知的时间内到达现场参加磋商的，或未提交书面说明退出磋商的，或未在规定时间内提交书面应答文件和最后报价的，视为服务商自动放弃磋商。</w:t>
      </w:r>
    </w:p>
    <w:p>
      <w:pPr>
        <w:pStyle w:val="17"/>
        <w:spacing w:line="400" w:lineRule="exact"/>
        <w:ind w:firstLine="420"/>
        <w:rPr>
          <w:rFonts w:hAnsi="宋体"/>
          <w:color w:val="auto"/>
          <w:szCs w:val="21"/>
        </w:rPr>
      </w:pPr>
      <w:r>
        <w:rPr>
          <w:rFonts w:hint="eastAsia" w:hAnsi="宋体"/>
          <w:color w:val="auto"/>
          <w:szCs w:val="21"/>
        </w:rPr>
        <w:t>(8)最终磋商结束后，磋商小组不得再与服务商进行任何形式的商谈。磋商的任何一方不得透露与磋商有关的其他服务商的技术资料、价格和其他信息。</w:t>
      </w:r>
    </w:p>
    <w:p>
      <w:pPr>
        <w:pStyle w:val="17"/>
        <w:spacing w:line="400" w:lineRule="exact"/>
        <w:ind w:firstLine="420"/>
        <w:rPr>
          <w:color w:val="auto"/>
          <w:szCs w:val="21"/>
        </w:rPr>
      </w:pPr>
      <w:r>
        <w:rPr>
          <w:rFonts w:hint="eastAsia"/>
          <w:color w:val="auto"/>
          <w:szCs w:val="21"/>
        </w:rPr>
        <w:t>21.2.4比较与评价。</w:t>
      </w:r>
      <w:r>
        <w:rPr>
          <w:rFonts w:ascii="Arial" w:hAnsi="Arial" w:cs="Arial"/>
          <w:color w:val="auto"/>
          <w:kern w:val="0"/>
          <w:szCs w:val="21"/>
        </w:rPr>
        <w:t>经磋商确定最终采购需求和提交最后报价的服务商后，由磋商小组采用</w:t>
      </w:r>
      <w:r>
        <w:rPr>
          <w:rFonts w:ascii="Arial" w:hAnsi="Arial" w:cs="Arial"/>
          <w:b/>
          <w:color w:val="auto"/>
          <w:kern w:val="0"/>
          <w:szCs w:val="21"/>
          <w:u w:val="single"/>
        </w:rPr>
        <w:t>综合评分法</w:t>
      </w:r>
      <w:r>
        <w:rPr>
          <w:rFonts w:hint="eastAsia"/>
          <w:color w:val="auto"/>
          <w:szCs w:val="21"/>
        </w:rPr>
        <w:t>（详见第四章）</w:t>
      </w:r>
      <w:r>
        <w:rPr>
          <w:rFonts w:ascii="Arial" w:hAnsi="Arial" w:cs="Arial"/>
          <w:color w:val="auto"/>
          <w:kern w:val="0"/>
          <w:szCs w:val="21"/>
        </w:rPr>
        <w:t>对提交最后报价的服务商的响应文件和最后报价进行综合评分。</w:t>
      </w:r>
    </w:p>
    <w:p>
      <w:pPr>
        <w:pStyle w:val="17"/>
        <w:spacing w:line="400" w:lineRule="exact"/>
        <w:ind w:firstLine="420"/>
        <w:rPr>
          <w:color w:val="auto"/>
          <w:szCs w:val="21"/>
        </w:rPr>
      </w:pPr>
      <w:r>
        <w:rPr>
          <w:rFonts w:hint="eastAsia"/>
          <w:color w:val="auto"/>
          <w:szCs w:val="21"/>
        </w:rPr>
        <w:t>21.2.5推荐成交候选人名单及编写评审报告。</w:t>
      </w:r>
      <w:r>
        <w:rPr>
          <w:rFonts w:ascii="Arial" w:hAnsi="Arial" w:cs="Arial"/>
          <w:color w:val="auto"/>
          <w:kern w:val="0"/>
          <w:szCs w:val="21"/>
        </w:rPr>
        <w:t>磋商小组</w:t>
      </w:r>
      <w:r>
        <w:rPr>
          <w:rFonts w:hint="eastAsia" w:ascii="Arial" w:hAnsi="Arial" w:cs="Arial"/>
          <w:color w:val="auto"/>
          <w:kern w:val="0"/>
          <w:szCs w:val="21"/>
        </w:rPr>
        <w:t>根</w:t>
      </w:r>
      <w:r>
        <w:rPr>
          <w:rFonts w:ascii="Arial" w:hAnsi="Arial" w:cs="Arial"/>
          <w:color w:val="auto"/>
          <w:kern w:val="0"/>
          <w:szCs w:val="21"/>
        </w:rPr>
        <w:t>据综合评分情况，按照</w:t>
      </w:r>
      <w:r>
        <w:rPr>
          <w:rFonts w:hint="eastAsia"/>
          <w:color w:val="auto"/>
          <w:spacing w:val="-2"/>
          <w:szCs w:val="21"/>
        </w:rPr>
        <w:t>评分办法的成交标准及成交候选人推荐原则依次推荐成交候选人名单</w:t>
      </w:r>
      <w:r>
        <w:rPr>
          <w:rFonts w:hint="eastAsia" w:ascii="Arial" w:hAnsi="Arial" w:cs="Arial"/>
          <w:color w:val="auto"/>
          <w:kern w:val="0"/>
          <w:szCs w:val="21"/>
        </w:rPr>
        <w:t>，</w:t>
      </w:r>
      <w:r>
        <w:rPr>
          <w:rFonts w:ascii="Arial" w:hAnsi="Arial" w:cs="Arial"/>
          <w:color w:val="auto"/>
          <w:kern w:val="0"/>
          <w:szCs w:val="21"/>
        </w:rPr>
        <w:t>并</w:t>
      </w:r>
      <w:r>
        <w:rPr>
          <w:rFonts w:hint="eastAsia" w:ascii="Arial" w:hAnsi="Arial" w:cs="Arial"/>
          <w:color w:val="auto"/>
          <w:kern w:val="0"/>
          <w:szCs w:val="21"/>
        </w:rPr>
        <w:t>根据磋商过程和结果</w:t>
      </w:r>
      <w:r>
        <w:rPr>
          <w:rFonts w:ascii="Arial" w:hAnsi="Arial" w:cs="Arial"/>
          <w:color w:val="auto"/>
          <w:kern w:val="0"/>
          <w:szCs w:val="21"/>
        </w:rPr>
        <w:t>编写评审报告。</w:t>
      </w:r>
    </w:p>
    <w:p>
      <w:pPr>
        <w:pStyle w:val="17"/>
        <w:spacing w:line="400" w:lineRule="exact"/>
        <w:ind w:right="-187" w:rightChars="-89" w:firstLine="420"/>
        <w:rPr>
          <w:color w:val="auto"/>
          <w:spacing w:val="-2"/>
          <w:szCs w:val="21"/>
        </w:rPr>
      </w:pPr>
      <w:r>
        <w:rPr>
          <w:rFonts w:hint="eastAsia"/>
          <w:color w:val="auto"/>
          <w:spacing w:val="-2"/>
          <w:szCs w:val="21"/>
        </w:rPr>
        <w:t>21.3评标会纪律</w:t>
      </w:r>
    </w:p>
    <w:p>
      <w:pPr>
        <w:pStyle w:val="17"/>
        <w:spacing w:line="400" w:lineRule="exact"/>
        <w:ind w:firstLine="420"/>
        <w:rPr>
          <w:color w:val="auto"/>
          <w:szCs w:val="21"/>
        </w:rPr>
      </w:pPr>
      <w:r>
        <w:rPr>
          <w:rFonts w:hint="eastAsia"/>
          <w:color w:val="auto"/>
          <w:szCs w:val="21"/>
        </w:rPr>
        <w:t>21.3.1评标过程的保密性。磋商小组成员、有关工作人员及其他知情人不得透露对响应文件评审、比较、成交候选人的推荐情况以及与评标有关的其他情况。</w:t>
      </w:r>
    </w:p>
    <w:p>
      <w:pPr>
        <w:pStyle w:val="17"/>
        <w:spacing w:line="400" w:lineRule="exact"/>
        <w:ind w:right="-187" w:rightChars="-89" w:firstLine="420"/>
        <w:rPr>
          <w:color w:val="auto"/>
          <w:szCs w:val="21"/>
        </w:rPr>
      </w:pPr>
      <w:r>
        <w:rPr>
          <w:rFonts w:hint="eastAsia"/>
          <w:color w:val="auto"/>
          <w:szCs w:val="21"/>
        </w:rPr>
        <w:t>21.3.2在磋商评审期间，服务商试图影响采购人和磋商小组的任何活动，将导致其报价被拒绝，并承担相应的法律责任。</w:t>
      </w:r>
    </w:p>
    <w:p>
      <w:pPr>
        <w:pStyle w:val="5"/>
        <w:spacing w:before="0" w:after="0" w:line="400" w:lineRule="exact"/>
        <w:rPr>
          <w:rFonts w:ascii="宋体" w:hAnsi="宋体" w:eastAsia="宋体"/>
          <w:color w:val="auto"/>
          <w:sz w:val="21"/>
          <w:szCs w:val="21"/>
        </w:rPr>
      </w:pPr>
      <w:bookmarkStart w:id="177" w:name="_Toc239839888"/>
      <w:bookmarkStart w:id="178" w:name="_Toc444006006"/>
      <w:r>
        <w:rPr>
          <w:rFonts w:hint="eastAsia" w:ascii="宋体" w:hAnsi="宋体" w:eastAsia="宋体"/>
          <w:color w:val="auto"/>
          <w:sz w:val="21"/>
          <w:szCs w:val="21"/>
        </w:rPr>
        <w:t>22、无效的响应文件</w:t>
      </w:r>
      <w:bookmarkEnd w:id="173"/>
      <w:bookmarkEnd w:id="174"/>
      <w:bookmarkEnd w:id="175"/>
      <w:bookmarkEnd w:id="176"/>
      <w:bookmarkEnd w:id="177"/>
      <w:bookmarkEnd w:id="178"/>
    </w:p>
    <w:p>
      <w:pPr>
        <w:pStyle w:val="17"/>
        <w:spacing w:line="400" w:lineRule="exact"/>
        <w:ind w:firstLine="420"/>
        <w:rPr>
          <w:color w:val="auto"/>
        </w:rPr>
      </w:pPr>
      <w:r>
        <w:rPr>
          <w:rFonts w:hint="eastAsia"/>
          <w:color w:val="auto"/>
        </w:rPr>
        <w:t>22.1服务商或响应文件出现下列情况之一的，视为</w:t>
      </w:r>
      <w:r>
        <w:rPr>
          <w:rFonts w:hint="eastAsia" w:hAnsi="宋体"/>
          <w:color w:val="auto"/>
          <w:szCs w:val="21"/>
        </w:rPr>
        <w:t>未实质性响应磋商文件的响应文件，按无效响应处理：</w:t>
      </w:r>
    </w:p>
    <w:p>
      <w:pPr>
        <w:pStyle w:val="17"/>
        <w:spacing w:line="400" w:lineRule="exact"/>
        <w:ind w:left="728" w:leftChars="200" w:hanging="308" w:hangingChars="147"/>
        <w:rPr>
          <w:color w:val="auto"/>
        </w:rPr>
      </w:pPr>
      <w:r>
        <w:rPr>
          <w:rFonts w:hint="eastAsia"/>
          <w:color w:val="auto"/>
        </w:rPr>
        <w:t>(1)未按照服务商须知前附表第7项要求在截标会现场提交相关证明文件核查的或提交的文件与响应文件内容不相符的；</w:t>
      </w:r>
    </w:p>
    <w:p>
      <w:pPr>
        <w:pStyle w:val="17"/>
        <w:spacing w:line="400" w:lineRule="exact"/>
        <w:ind w:left="420"/>
        <w:rPr>
          <w:color w:val="auto"/>
        </w:rPr>
      </w:pPr>
      <w:r>
        <w:rPr>
          <w:rFonts w:hint="eastAsia"/>
          <w:color w:val="auto"/>
        </w:rPr>
        <w:t>(2)未按照竞争性磋商文件要求提供资格证明文件或其它必须提供的文件的；</w:t>
      </w:r>
    </w:p>
    <w:p>
      <w:pPr>
        <w:pStyle w:val="17"/>
        <w:spacing w:line="400" w:lineRule="exact"/>
        <w:ind w:left="420"/>
        <w:rPr>
          <w:color w:val="auto"/>
        </w:rPr>
      </w:pPr>
      <w:r>
        <w:rPr>
          <w:rFonts w:hint="eastAsia"/>
          <w:bCs/>
          <w:color w:val="auto"/>
        </w:rPr>
        <w:t>(3)</w:t>
      </w:r>
      <w:r>
        <w:rPr>
          <w:rFonts w:hint="eastAsia"/>
          <w:color w:val="auto"/>
        </w:rPr>
        <w:t>应交未交磋商保证金的；</w:t>
      </w:r>
    </w:p>
    <w:p>
      <w:pPr>
        <w:pStyle w:val="17"/>
        <w:spacing w:line="400" w:lineRule="exact"/>
        <w:ind w:left="420"/>
        <w:rPr>
          <w:color w:val="auto"/>
        </w:rPr>
      </w:pPr>
      <w:r>
        <w:rPr>
          <w:rFonts w:hint="eastAsia"/>
          <w:bCs/>
          <w:color w:val="auto"/>
        </w:rPr>
        <w:t>(4)</w:t>
      </w:r>
      <w:r>
        <w:rPr>
          <w:rFonts w:hint="eastAsia"/>
          <w:color w:val="auto"/>
        </w:rPr>
        <w:t>未按照磋商文件规定要求密封、签署、盖章的；</w:t>
      </w:r>
    </w:p>
    <w:p>
      <w:pPr>
        <w:pStyle w:val="17"/>
        <w:spacing w:line="400" w:lineRule="exact"/>
        <w:ind w:left="420"/>
        <w:rPr>
          <w:color w:val="auto"/>
        </w:rPr>
      </w:pPr>
      <w:r>
        <w:rPr>
          <w:rFonts w:hint="eastAsia"/>
          <w:bCs/>
          <w:color w:val="auto"/>
        </w:rPr>
        <w:t>(5)</w:t>
      </w:r>
      <w:r>
        <w:rPr>
          <w:rFonts w:hint="eastAsia"/>
          <w:color w:val="auto"/>
        </w:rPr>
        <w:t>不具备磋商文件中规定资格要求的；</w:t>
      </w:r>
    </w:p>
    <w:p>
      <w:pPr>
        <w:pStyle w:val="17"/>
        <w:spacing w:line="400" w:lineRule="exact"/>
        <w:ind w:left="420"/>
        <w:rPr>
          <w:color w:val="auto"/>
        </w:rPr>
      </w:pPr>
      <w:r>
        <w:rPr>
          <w:rFonts w:hint="eastAsia"/>
          <w:color w:val="auto"/>
        </w:rPr>
        <w:t>(6)不符合法律、法规和磋商文件中规定的其它实质性要求的。</w:t>
      </w:r>
    </w:p>
    <w:p>
      <w:pPr>
        <w:pStyle w:val="5"/>
        <w:spacing w:before="0" w:after="0" w:line="400" w:lineRule="exact"/>
        <w:rPr>
          <w:rFonts w:ascii="宋体" w:hAnsi="宋体" w:eastAsia="宋体"/>
          <w:color w:val="auto"/>
          <w:sz w:val="21"/>
          <w:szCs w:val="21"/>
        </w:rPr>
      </w:pPr>
      <w:bookmarkStart w:id="179" w:name="_Toc185702575"/>
      <w:bookmarkStart w:id="180" w:name="_Toc206525708"/>
      <w:bookmarkStart w:id="181" w:name="_Toc207770861"/>
      <w:bookmarkStart w:id="182" w:name="_Toc239839889"/>
      <w:bookmarkStart w:id="183" w:name="_Toc230578083"/>
      <w:bookmarkStart w:id="184" w:name="_Toc444006007"/>
      <w:r>
        <w:rPr>
          <w:rFonts w:hint="eastAsia" w:ascii="宋体" w:hAnsi="宋体" w:eastAsia="宋体"/>
          <w:color w:val="auto"/>
          <w:sz w:val="21"/>
          <w:szCs w:val="21"/>
        </w:rPr>
        <w:t>23、废标</w:t>
      </w:r>
      <w:bookmarkEnd w:id="179"/>
      <w:bookmarkEnd w:id="180"/>
      <w:bookmarkEnd w:id="181"/>
      <w:bookmarkEnd w:id="182"/>
      <w:bookmarkEnd w:id="183"/>
      <w:bookmarkEnd w:id="184"/>
    </w:p>
    <w:p>
      <w:pPr>
        <w:pStyle w:val="17"/>
        <w:spacing w:line="400" w:lineRule="exact"/>
        <w:ind w:firstLine="435"/>
        <w:rPr>
          <w:bCs/>
          <w:color w:val="auto"/>
        </w:rPr>
      </w:pPr>
      <w:r>
        <w:rPr>
          <w:rFonts w:hint="eastAsia"/>
          <w:bCs/>
          <w:color w:val="auto"/>
        </w:rPr>
        <w:t>23.1磋商采购项目出现下列情形之一的，将予以废标；</w:t>
      </w:r>
    </w:p>
    <w:p>
      <w:pPr>
        <w:pStyle w:val="17"/>
        <w:spacing w:line="400" w:lineRule="exact"/>
        <w:ind w:left="420"/>
        <w:rPr>
          <w:bCs/>
          <w:color w:val="auto"/>
        </w:rPr>
      </w:pPr>
      <w:r>
        <w:rPr>
          <w:rFonts w:hint="eastAsia"/>
          <w:bCs/>
          <w:color w:val="auto"/>
        </w:rPr>
        <w:t>(1)出现影响采购公正的违法、违规行为的；</w:t>
      </w:r>
    </w:p>
    <w:p>
      <w:pPr>
        <w:pStyle w:val="17"/>
        <w:spacing w:line="400" w:lineRule="exact"/>
        <w:ind w:left="420"/>
        <w:rPr>
          <w:bCs/>
          <w:color w:val="auto"/>
        </w:rPr>
      </w:pPr>
      <w:r>
        <w:rPr>
          <w:rFonts w:hint="eastAsia"/>
          <w:bCs/>
          <w:color w:val="auto"/>
        </w:rPr>
        <w:t>(2)所有服务商的报价均超过了采购预算，采购人不能支付的；</w:t>
      </w:r>
    </w:p>
    <w:p>
      <w:pPr>
        <w:pStyle w:val="17"/>
        <w:spacing w:line="400" w:lineRule="exact"/>
        <w:ind w:left="420"/>
        <w:rPr>
          <w:bCs/>
          <w:color w:val="auto"/>
        </w:rPr>
      </w:pPr>
      <w:r>
        <w:rPr>
          <w:rFonts w:hint="eastAsia"/>
          <w:bCs/>
          <w:color w:val="auto"/>
        </w:rPr>
        <w:t>(3)因重大变故，采购任务取消的；</w:t>
      </w:r>
    </w:p>
    <w:p>
      <w:pPr>
        <w:pStyle w:val="17"/>
        <w:spacing w:line="400" w:lineRule="exact"/>
        <w:ind w:left="420"/>
        <w:rPr>
          <w:bCs/>
          <w:color w:val="auto"/>
        </w:rPr>
      </w:pPr>
      <w:r>
        <w:rPr>
          <w:rFonts w:hint="eastAsia"/>
          <w:bCs/>
          <w:color w:val="auto"/>
        </w:rPr>
        <w:t>(4)磋商文件存在不合理条款的，竞争性磋商公告时间及程序不符合规定的；</w:t>
      </w:r>
    </w:p>
    <w:p>
      <w:pPr>
        <w:pStyle w:val="17"/>
        <w:spacing w:line="400" w:lineRule="exact"/>
        <w:ind w:left="435"/>
        <w:rPr>
          <w:bCs/>
          <w:color w:val="auto"/>
          <w:szCs w:val="21"/>
        </w:rPr>
      </w:pPr>
      <w:r>
        <w:rPr>
          <w:rFonts w:hint="eastAsia"/>
          <w:bCs/>
          <w:color w:val="auto"/>
          <w:szCs w:val="21"/>
        </w:rPr>
        <w:t>23.2废标后，</w:t>
      </w:r>
      <w:r>
        <w:rPr>
          <w:rFonts w:hint="eastAsia"/>
          <w:color w:val="auto"/>
          <w:szCs w:val="21"/>
        </w:rPr>
        <w:t>采购代理机构</w:t>
      </w:r>
      <w:r>
        <w:rPr>
          <w:rFonts w:hint="eastAsia"/>
          <w:bCs/>
          <w:color w:val="auto"/>
          <w:szCs w:val="21"/>
        </w:rPr>
        <w:t>将把废标理由通知所有服务商。</w:t>
      </w:r>
    </w:p>
    <w:p>
      <w:pPr>
        <w:pStyle w:val="17"/>
        <w:spacing w:line="400" w:lineRule="exact"/>
        <w:ind w:left="435"/>
        <w:rPr>
          <w:b/>
          <w:bCs/>
          <w:color w:val="auto"/>
        </w:rPr>
      </w:pPr>
    </w:p>
    <w:p>
      <w:pPr>
        <w:pStyle w:val="3"/>
        <w:spacing w:line="400" w:lineRule="exact"/>
        <w:jc w:val="center"/>
        <w:rPr>
          <w:color w:val="auto"/>
        </w:rPr>
      </w:pPr>
      <w:bookmarkStart w:id="185" w:name="_Toc239839890"/>
      <w:bookmarkStart w:id="186" w:name="_Toc206525709"/>
      <w:bookmarkStart w:id="187" w:name="_Toc207770862"/>
      <w:bookmarkStart w:id="188" w:name="_Toc444006008"/>
      <w:bookmarkStart w:id="189" w:name="_Toc185702576"/>
      <w:bookmarkStart w:id="190" w:name="_Toc230578084"/>
      <w:r>
        <w:rPr>
          <w:rFonts w:hint="eastAsia"/>
          <w:color w:val="auto"/>
        </w:rPr>
        <w:t>六签订合同</w:t>
      </w:r>
      <w:bookmarkEnd w:id="185"/>
      <w:bookmarkEnd w:id="186"/>
      <w:bookmarkEnd w:id="187"/>
      <w:bookmarkEnd w:id="188"/>
      <w:bookmarkEnd w:id="189"/>
      <w:bookmarkEnd w:id="190"/>
    </w:p>
    <w:p>
      <w:pPr>
        <w:pStyle w:val="5"/>
        <w:spacing w:before="0" w:after="0" w:line="400" w:lineRule="exact"/>
        <w:rPr>
          <w:rFonts w:ascii="宋体" w:hAnsi="宋体" w:eastAsia="宋体"/>
          <w:color w:val="auto"/>
          <w:sz w:val="21"/>
          <w:szCs w:val="21"/>
        </w:rPr>
      </w:pPr>
      <w:bookmarkStart w:id="191" w:name="_Toc207770863"/>
      <w:bookmarkStart w:id="192" w:name="_Toc185702577"/>
      <w:bookmarkStart w:id="193" w:name="_Toc230578085"/>
      <w:bookmarkStart w:id="194" w:name="_Toc206525710"/>
      <w:bookmarkStart w:id="195" w:name="_Toc239839891"/>
      <w:bookmarkStart w:id="196" w:name="_Toc444006009"/>
      <w:r>
        <w:rPr>
          <w:rFonts w:hint="eastAsia" w:ascii="宋体" w:hAnsi="宋体" w:eastAsia="宋体"/>
          <w:color w:val="auto"/>
          <w:sz w:val="21"/>
          <w:szCs w:val="21"/>
        </w:rPr>
        <w:t>24、成交</w:t>
      </w:r>
      <w:bookmarkEnd w:id="191"/>
      <w:bookmarkEnd w:id="192"/>
      <w:bookmarkEnd w:id="193"/>
      <w:bookmarkEnd w:id="194"/>
      <w:r>
        <w:rPr>
          <w:rFonts w:hint="eastAsia" w:ascii="宋体" w:hAnsi="宋体" w:eastAsia="宋体"/>
          <w:color w:val="auto"/>
          <w:sz w:val="21"/>
          <w:szCs w:val="21"/>
        </w:rPr>
        <w:t>结果</w:t>
      </w:r>
      <w:bookmarkEnd w:id="195"/>
      <w:r>
        <w:rPr>
          <w:rFonts w:hint="eastAsia" w:ascii="宋体" w:hAnsi="宋体" w:eastAsia="宋体"/>
          <w:color w:val="auto"/>
          <w:sz w:val="21"/>
          <w:szCs w:val="21"/>
        </w:rPr>
        <w:t>公告</w:t>
      </w:r>
      <w:bookmarkEnd w:id="196"/>
    </w:p>
    <w:p>
      <w:pPr>
        <w:pStyle w:val="17"/>
        <w:spacing w:line="400" w:lineRule="exact"/>
        <w:ind w:firstLine="420"/>
        <w:rPr>
          <w:color w:val="auto"/>
        </w:rPr>
      </w:pPr>
      <w:r>
        <w:rPr>
          <w:rFonts w:hint="eastAsia"/>
          <w:color w:val="auto"/>
        </w:rPr>
        <w:t>24.1本项目评审工作结束后，采购代理机构将在</w:t>
      </w:r>
      <w:r>
        <w:rPr>
          <w:rFonts w:hAnsi="宋体"/>
          <w:color w:val="auto"/>
          <w:szCs w:val="21"/>
        </w:rPr>
        <w:t>广西壮族自治区政府采购网</w:t>
      </w:r>
      <w:r>
        <w:rPr>
          <w:rFonts w:hint="eastAsia"/>
          <w:color w:val="auto"/>
        </w:rPr>
        <w:t>、</w:t>
      </w:r>
      <w:r>
        <w:rPr>
          <w:rFonts w:hAnsi="宋体"/>
          <w:color w:val="auto"/>
          <w:szCs w:val="21"/>
        </w:rPr>
        <w:t>梧州市政府采购网</w:t>
      </w:r>
      <w:r>
        <w:rPr>
          <w:rFonts w:hint="eastAsia" w:hAnsi="宋体"/>
          <w:color w:val="auto"/>
          <w:szCs w:val="21"/>
        </w:rPr>
        <w:t>、广西蒙山县人民政府门户网</w:t>
      </w:r>
      <w:r>
        <w:rPr>
          <w:rFonts w:hint="eastAsia" w:hAnsi="宋体"/>
          <w:color w:val="auto"/>
        </w:rPr>
        <w:t>网站</w:t>
      </w:r>
      <w:r>
        <w:rPr>
          <w:rFonts w:hint="eastAsia"/>
          <w:color w:val="auto"/>
        </w:rPr>
        <w:t>上公布成交结果。</w:t>
      </w:r>
    </w:p>
    <w:p>
      <w:pPr>
        <w:pStyle w:val="17"/>
        <w:spacing w:line="400" w:lineRule="exact"/>
        <w:ind w:firstLine="420"/>
        <w:rPr>
          <w:color w:val="auto"/>
        </w:rPr>
      </w:pPr>
      <w:r>
        <w:rPr>
          <w:rFonts w:hint="eastAsia"/>
          <w:color w:val="auto"/>
        </w:rPr>
        <w:t>24.2服务商如对成交公告有异议，可以在成交公告发布后七个工作日内以书面形式向采购代理机构提出质疑。采购代理机构将在收到服务商的书面形式质疑后七个工作日内做出答复,但答复的内容不得涉及商业秘密。</w:t>
      </w:r>
    </w:p>
    <w:p>
      <w:pPr>
        <w:pStyle w:val="17"/>
        <w:spacing w:line="400" w:lineRule="exact"/>
        <w:ind w:firstLine="420"/>
        <w:rPr>
          <w:color w:val="auto"/>
        </w:rPr>
      </w:pPr>
      <w:r>
        <w:rPr>
          <w:rFonts w:hint="eastAsia"/>
          <w:color w:val="auto"/>
        </w:rPr>
        <w:t>24.3质疑服务商必须首先经过质疑程序，在对采购代理机构的答复不满意或者采购代理机构未在规定的时间内做出答复的，可以在答复期满后十五个工作日内书面向同级政府采购监督管理部门投诉。</w:t>
      </w:r>
    </w:p>
    <w:p>
      <w:pPr>
        <w:pStyle w:val="5"/>
        <w:spacing w:before="0" w:after="0" w:line="400" w:lineRule="exact"/>
        <w:rPr>
          <w:rFonts w:ascii="宋体" w:hAnsi="宋体" w:eastAsia="宋体"/>
          <w:color w:val="auto"/>
          <w:sz w:val="21"/>
          <w:szCs w:val="21"/>
        </w:rPr>
      </w:pPr>
      <w:bookmarkStart w:id="197" w:name="_Toc239839892"/>
      <w:bookmarkStart w:id="198" w:name="_Toc207770864"/>
      <w:bookmarkStart w:id="199" w:name="_Toc444006010"/>
      <w:bookmarkStart w:id="200" w:name="_Toc230578086"/>
      <w:bookmarkStart w:id="201" w:name="_Toc185702578"/>
      <w:bookmarkStart w:id="202" w:name="_Toc206525711"/>
      <w:r>
        <w:rPr>
          <w:rFonts w:hint="eastAsia" w:ascii="宋体" w:hAnsi="宋体" w:eastAsia="宋体"/>
          <w:color w:val="auto"/>
          <w:sz w:val="21"/>
          <w:szCs w:val="21"/>
        </w:rPr>
        <w:t>25、成交通知</w:t>
      </w:r>
      <w:bookmarkEnd w:id="197"/>
      <w:bookmarkEnd w:id="198"/>
      <w:bookmarkEnd w:id="199"/>
      <w:bookmarkEnd w:id="200"/>
      <w:bookmarkEnd w:id="201"/>
      <w:bookmarkEnd w:id="202"/>
    </w:p>
    <w:p>
      <w:pPr>
        <w:pStyle w:val="17"/>
        <w:spacing w:line="400" w:lineRule="exact"/>
        <w:ind w:firstLine="404" w:firstLineChars="200"/>
        <w:rPr>
          <w:color w:val="auto"/>
          <w:spacing w:val="-4"/>
          <w:szCs w:val="21"/>
        </w:rPr>
      </w:pPr>
      <w:r>
        <w:rPr>
          <w:rFonts w:hint="eastAsia"/>
          <w:color w:val="auto"/>
          <w:spacing w:val="-4"/>
          <w:szCs w:val="21"/>
        </w:rPr>
        <w:t>25.1成交结果公示期间无服务商提出质疑，采购代理机构将在公示期后向成交人发出成交通知书。</w:t>
      </w:r>
    </w:p>
    <w:p>
      <w:pPr>
        <w:pStyle w:val="17"/>
        <w:spacing w:line="400" w:lineRule="exact"/>
        <w:ind w:firstLine="420" w:firstLineChars="200"/>
        <w:rPr>
          <w:rFonts w:hAnsi="宋体"/>
          <w:b/>
          <w:color w:val="auto"/>
          <w:szCs w:val="21"/>
        </w:rPr>
      </w:pPr>
      <w:r>
        <w:rPr>
          <w:rFonts w:hint="eastAsia"/>
          <w:color w:val="auto"/>
        </w:rPr>
        <w:t>25.2</w:t>
      </w:r>
      <w:r>
        <w:rPr>
          <w:rFonts w:hint="eastAsia" w:hAnsi="宋体"/>
          <w:color w:val="auto"/>
          <w:szCs w:val="21"/>
        </w:rPr>
        <w:t>成交通知书对采购人和成交人具有法律效力。成交通知书发出后，成交人放弃成交项目的，应当依法承担法律责任。</w:t>
      </w:r>
      <w:r>
        <w:rPr>
          <w:rFonts w:hint="eastAsia" w:hAnsi="宋体"/>
          <w:color w:val="auto"/>
          <w:kern w:val="0"/>
          <w:szCs w:val="21"/>
        </w:rPr>
        <w:t>在成交通知书发出到合同签署这段时间里，</w:t>
      </w:r>
      <w:r>
        <w:rPr>
          <w:rFonts w:hint="eastAsia" w:hAnsi="宋体"/>
          <w:color w:val="auto"/>
          <w:szCs w:val="21"/>
        </w:rPr>
        <w:t>磋商文件和响应文件没有涉及的内容可以进行磋商，</w:t>
      </w:r>
      <w:r>
        <w:rPr>
          <w:rFonts w:hint="eastAsia" w:hAnsi="宋体"/>
          <w:color w:val="auto"/>
          <w:kern w:val="0"/>
          <w:szCs w:val="21"/>
        </w:rPr>
        <w:t>采购人和成交人均不得采取有碍合同生效或履行的行动。</w:t>
      </w:r>
    </w:p>
    <w:p>
      <w:pPr>
        <w:pStyle w:val="17"/>
        <w:spacing w:line="400" w:lineRule="exact"/>
        <w:ind w:firstLine="420" w:firstLineChars="200"/>
        <w:rPr>
          <w:color w:val="auto"/>
        </w:rPr>
      </w:pPr>
      <w:r>
        <w:rPr>
          <w:rFonts w:hint="eastAsia" w:hAnsi="宋体"/>
          <w:color w:val="auto"/>
          <w:szCs w:val="21"/>
        </w:rPr>
        <w:t>25.3</w:t>
      </w:r>
      <w:r>
        <w:rPr>
          <w:rFonts w:hint="eastAsia"/>
          <w:color w:val="auto"/>
        </w:rPr>
        <w:t>采购代理机构无义务向落标的服务商解释落标原因和退还响应文件。</w:t>
      </w:r>
    </w:p>
    <w:p>
      <w:pPr>
        <w:pStyle w:val="5"/>
        <w:spacing w:before="0" w:after="0" w:line="400" w:lineRule="exact"/>
        <w:rPr>
          <w:rFonts w:ascii="宋体" w:hAnsi="宋体" w:eastAsia="宋体"/>
          <w:color w:val="auto"/>
          <w:sz w:val="21"/>
          <w:szCs w:val="21"/>
        </w:rPr>
      </w:pPr>
      <w:bookmarkStart w:id="203" w:name="_Toc147250544"/>
      <w:bookmarkStart w:id="204" w:name="_Toc444006011"/>
      <w:bookmarkStart w:id="205" w:name="_Toc185702579"/>
      <w:bookmarkStart w:id="206" w:name="_Toc239839893"/>
      <w:bookmarkStart w:id="207" w:name="_Toc206525712"/>
      <w:bookmarkStart w:id="208" w:name="_Toc147250388"/>
      <w:bookmarkStart w:id="209" w:name="_Toc147250342"/>
      <w:bookmarkStart w:id="210" w:name="_Toc230578087"/>
      <w:bookmarkStart w:id="211" w:name="_Toc207770865"/>
      <w:r>
        <w:rPr>
          <w:rFonts w:hint="eastAsia" w:ascii="宋体" w:hAnsi="宋体" w:eastAsia="宋体"/>
          <w:color w:val="auto"/>
          <w:sz w:val="21"/>
          <w:szCs w:val="21"/>
        </w:rPr>
        <w:t>26、合同授予标准</w:t>
      </w:r>
      <w:bookmarkEnd w:id="203"/>
      <w:bookmarkEnd w:id="204"/>
      <w:bookmarkEnd w:id="205"/>
      <w:bookmarkEnd w:id="206"/>
      <w:bookmarkEnd w:id="207"/>
      <w:bookmarkEnd w:id="208"/>
      <w:bookmarkEnd w:id="209"/>
      <w:bookmarkEnd w:id="210"/>
      <w:bookmarkEnd w:id="211"/>
    </w:p>
    <w:p>
      <w:pPr>
        <w:pStyle w:val="17"/>
        <w:spacing w:line="400" w:lineRule="exact"/>
        <w:ind w:firstLine="435"/>
        <w:rPr>
          <w:bCs/>
          <w:color w:val="auto"/>
        </w:rPr>
      </w:pPr>
      <w:r>
        <w:rPr>
          <w:rFonts w:hint="eastAsia"/>
          <w:bCs/>
          <w:color w:val="auto"/>
        </w:rPr>
        <w:t>26.1合同授予被确定为实质上响应磋商文件要求，评标认为具备履行合同能力，</w:t>
      </w:r>
      <w:r>
        <w:rPr>
          <w:rFonts w:hint="eastAsia" w:hAnsi="宋体"/>
          <w:color w:val="auto"/>
        </w:rPr>
        <w:t>采购结果报告中推荐名次排名第一的成交候选人为成交人。</w:t>
      </w:r>
    </w:p>
    <w:p>
      <w:pPr>
        <w:pStyle w:val="17"/>
        <w:spacing w:line="400" w:lineRule="exact"/>
        <w:ind w:firstLine="420" w:firstLineChars="200"/>
        <w:rPr>
          <w:bCs/>
          <w:color w:val="auto"/>
        </w:rPr>
      </w:pPr>
      <w:r>
        <w:rPr>
          <w:rFonts w:hint="eastAsia"/>
          <w:bCs/>
          <w:color w:val="auto"/>
        </w:rPr>
        <w:t>26.2采购人应按照评标报告中推荐的成交候选人顺序确定成交人，也可以事先授权磋商小组直接确定成交人。</w:t>
      </w:r>
    </w:p>
    <w:p>
      <w:pPr>
        <w:pStyle w:val="17"/>
        <w:spacing w:line="400" w:lineRule="exact"/>
        <w:ind w:firstLine="420" w:firstLineChars="200"/>
        <w:rPr>
          <w:bCs/>
          <w:color w:val="auto"/>
        </w:rPr>
      </w:pPr>
      <w:r>
        <w:rPr>
          <w:rFonts w:hint="eastAsia"/>
          <w:bCs/>
          <w:color w:val="auto"/>
        </w:rPr>
        <w:t>26.3若排名第一的成交候选人自愿放弃成交人资格或不能履行合同，则排名第二的成交候选人为成交人，依次类推。</w:t>
      </w:r>
    </w:p>
    <w:p>
      <w:pPr>
        <w:pStyle w:val="5"/>
        <w:spacing w:before="0" w:after="0" w:line="400" w:lineRule="exact"/>
        <w:rPr>
          <w:rFonts w:ascii="宋体" w:hAnsi="宋体" w:eastAsia="宋体"/>
          <w:color w:val="auto"/>
          <w:sz w:val="21"/>
          <w:szCs w:val="21"/>
        </w:rPr>
      </w:pPr>
      <w:bookmarkStart w:id="212" w:name="_Toc207770866"/>
      <w:bookmarkStart w:id="213" w:name="_Toc185702580"/>
      <w:bookmarkStart w:id="214" w:name="_Toc230578088"/>
      <w:bookmarkStart w:id="215" w:name="_Toc239839894"/>
      <w:bookmarkStart w:id="216" w:name="_Toc206525713"/>
      <w:bookmarkStart w:id="217" w:name="_Toc444006012"/>
      <w:r>
        <w:rPr>
          <w:rFonts w:hint="eastAsia" w:ascii="宋体" w:hAnsi="宋体" w:eastAsia="宋体"/>
          <w:color w:val="auto"/>
          <w:sz w:val="21"/>
          <w:szCs w:val="21"/>
        </w:rPr>
        <w:t>27、签订合同</w:t>
      </w:r>
      <w:bookmarkEnd w:id="212"/>
      <w:bookmarkEnd w:id="213"/>
      <w:bookmarkEnd w:id="214"/>
      <w:bookmarkEnd w:id="215"/>
      <w:bookmarkEnd w:id="216"/>
      <w:bookmarkEnd w:id="217"/>
    </w:p>
    <w:p>
      <w:pPr>
        <w:pStyle w:val="17"/>
        <w:spacing w:line="400" w:lineRule="exact"/>
        <w:ind w:firstLine="420"/>
        <w:rPr>
          <w:color w:val="auto"/>
        </w:rPr>
      </w:pPr>
      <w:bookmarkStart w:id="218" w:name="_Toc185702581"/>
      <w:r>
        <w:rPr>
          <w:rFonts w:hint="eastAsia"/>
          <w:color w:val="auto"/>
        </w:rPr>
        <w:t>27.1合同将授予被确定为成交的服务商。</w:t>
      </w:r>
    </w:p>
    <w:p>
      <w:pPr>
        <w:pStyle w:val="17"/>
        <w:spacing w:line="400" w:lineRule="exact"/>
        <w:ind w:firstLine="420"/>
        <w:rPr>
          <w:color w:val="auto"/>
        </w:rPr>
      </w:pPr>
      <w:r>
        <w:rPr>
          <w:rFonts w:hint="eastAsia"/>
          <w:color w:val="auto"/>
        </w:rPr>
        <w:t>27.2成交服务商须凭成交通知书原件按告知函中规定的时间、地点与采购单位签订合同。成交服务商不得再与采购人签署订立背离合同实质性内容的其它协议或声明。</w:t>
      </w:r>
    </w:p>
    <w:p>
      <w:pPr>
        <w:pStyle w:val="17"/>
        <w:spacing w:line="400" w:lineRule="exact"/>
        <w:ind w:firstLine="420"/>
        <w:rPr>
          <w:color w:val="auto"/>
        </w:rPr>
      </w:pPr>
      <w:r>
        <w:rPr>
          <w:rFonts w:hint="eastAsia"/>
          <w:color w:val="auto"/>
        </w:rPr>
        <w:t>27.3如成交人不按成交通知书的规定签订合同，则按成交人违约处理，对成交人所</w:t>
      </w:r>
      <w:r>
        <w:rPr>
          <w:rFonts w:hint="eastAsia"/>
          <w:color w:val="auto"/>
          <w:spacing w:val="-4"/>
        </w:rPr>
        <w:t>提交</w:t>
      </w:r>
      <w:r>
        <w:rPr>
          <w:rFonts w:hint="eastAsia"/>
          <w:color w:val="auto"/>
        </w:rPr>
        <w:t>的全部磋商保证金将不予退还。</w:t>
      </w:r>
    </w:p>
    <w:p>
      <w:pPr>
        <w:pStyle w:val="17"/>
        <w:spacing w:line="400" w:lineRule="exact"/>
        <w:ind w:firstLine="420" w:firstLineChars="200"/>
        <w:rPr>
          <w:rFonts w:hAnsi="宋体"/>
          <w:bCs/>
          <w:color w:val="auto"/>
          <w:szCs w:val="21"/>
        </w:rPr>
      </w:pPr>
      <w:r>
        <w:rPr>
          <w:rFonts w:hint="eastAsia" w:hAnsi="宋体"/>
          <w:bCs/>
          <w:color w:val="auto"/>
          <w:szCs w:val="21"/>
        </w:rPr>
        <w:t>27.4</w:t>
      </w:r>
      <w:r>
        <w:rPr>
          <w:rFonts w:hAnsi="宋体" w:cs="Arial"/>
          <w:color w:val="auto"/>
          <w:kern w:val="0"/>
          <w:szCs w:val="21"/>
        </w:rPr>
        <w:t>成交服务商拒绝签订政府采购合同的，采购人可以按照</w:t>
      </w:r>
      <w:r>
        <w:rPr>
          <w:rFonts w:hint="eastAsia" w:hAnsi="宋体" w:cs="Arial"/>
          <w:color w:val="auto"/>
          <w:kern w:val="0"/>
          <w:szCs w:val="21"/>
        </w:rPr>
        <w:t>评审报告中的推荐的候选人顺序</w:t>
      </w:r>
      <w:r>
        <w:rPr>
          <w:rFonts w:hAnsi="宋体" w:cs="Arial"/>
          <w:color w:val="auto"/>
          <w:kern w:val="0"/>
          <w:szCs w:val="21"/>
        </w:rPr>
        <w:t>确定其他服务商作为成交服务商并签订政府采购合同，也可以重新开展采购活动。拒绝签订政府采购合同的成交服务商不得参加对该项目重新开展的采购活动。</w:t>
      </w:r>
    </w:p>
    <w:p>
      <w:pPr>
        <w:pStyle w:val="17"/>
        <w:spacing w:line="400" w:lineRule="exact"/>
        <w:ind w:firstLine="420"/>
        <w:rPr>
          <w:color w:val="auto"/>
        </w:rPr>
      </w:pPr>
      <w:r>
        <w:rPr>
          <w:rFonts w:hint="eastAsia"/>
          <w:color w:val="auto"/>
        </w:rPr>
        <w:t>27.5由于成交人放弃成交或未按规定签订合同，造成本项目的合同成交价提高（指采购人选择第二成交候选人导致成交金额高于违约人的成交价），所超出违约人的成交价部分由违约人承担赔偿责任。</w:t>
      </w:r>
    </w:p>
    <w:p>
      <w:pPr>
        <w:pStyle w:val="17"/>
        <w:spacing w:line="400" w:lineRule="exact"/>
        <w:ind w:firstLine="420"/>
        <w:rPr>
          <w:color w:val="auto"/>
        </w:rPr>
      </w:pPr>
      <w:r>
        <w:rPr>
          <w:rFonts w:hint="eastAsia"/>
          <w:color w:val="auto"/>
        </w:rPr>
        <w:t>27.6采购合同必须与磋商文件第三章合同书格式(包括内容和结构)相一致，不能改变主要条款。</w:t>
      </w:r>
    </w:p>
    <w:p>
      <w:pPr>
        <w:pStyle w:val="5"/>
        <w:spacing w:before="0" w:after="0" w:line="400" w:lineRule="exact"/>
        <w:rPr>
          <w:rFonts w:ascii="宋体" w:hAnsi="宋体" w:eastAsia="宋体"/>
          <w:color w:val="auto"/>
          <w:sz w:val="21"/>
          <w:szCs w:val="21"/>
        </w:rPr>
      </w:pPr>
      <w:bookmarkStart w:id="219" w:name="_Toc444006013"/>
      <w:bookmarkStart w:id="220" w:name="_Toc207770867"/>
      <w:bookmarkStart w:id="221" w:name="_Toc239839895"/>
      <w:bookmarkStart w:id="222" w:name="_Toc230578089"/>
      <w:bookmarkStart w:id="223" w:name="_Toc206525714"/>
      <w:r>
        <w:rPr>
          <w:rFonts w:hint="eastAsia" w:ascii="宋体" w:hAnsi="宋体" w:eastAsia="宋体"/>
          <w:color w:val="auto"/>
          <w:sz w:val="21"/>
          <w:szCs w:val="21"/>
        </w:rPr>
        <w:t>28、履约保证金</w:t>
      </w:r>
      <w:bookmarkEnd w:id="218"/>
      <w:bookmarkEnd w:id="219"/>
      <w:bookmarkEnd w:id="220"/>
      <w:bookmarkEnd w:id="221"/>
      <w:bookmarkEnd w:id="222"/>
      <w:bookmarkEnd w:id="223"/>
    </w:p>
    <w:p>
      <w:pPr>
        <w:pStyle w:val="17"/>
        <w:spacing w:line="400" w:lineRule="exact"/>
        <w:ind w:firstLine="519" w:firstLineChars="257"/>
        <w:rPr>
          <w:color w:val="auto"/>
          <w:spacing w:val="-4"/>
        </w:rPr>
      </w:pPr>
      <w:r>
        <w:rPr>
          <w:rFonts w:hint="eastAsia"/>
          <w:color w:val="auto"/>
          <w:spacing w:val="-4"/>
        </w:rPr>
        <w:t xml:space="preserve">28.1 </w:t>
      </w:r>
      <w:r>
        <w:rPr>
          <w:rFonts w:hint="eastAsia" w:hAnsi="宋体"/>
          <w:color w:val="auto"/>
          <w:szCs w:val="21"/>
        </w:rPr>
        <w:t>履约保证金的</w:t>
      </w:r>
      <w:r>
        <w:rPr>
          <w:rFonts w:hint="eastAsia"/>
          <w:color w:val="auto"/>
          <w:spacing w:val="-4"/>
        </w:rPr>
        <w:t>提交</w:t>
      </w:r>
      <w:r>
        <w:rPr>
          <w:rFonts w:hint="eastAsia" w:hAnsi="宋体"/>
          <w:color w:val="auto"/>
          <w:szCs w:val="21"/>
        </w:rPr>
        <w:t>：</w:t>
      </w:r>
      <w:r>
        <w:rPr>
          <w:rFonts w:hint="eastAsia"/>
          <w:color w:val="auto"/>
          <w:spacing w:val="-4"/>
        </w:rPr>
        <w:t>成交人必须按服务商须知前附表第10项的要求在接到采购代理机构通知后</w:t>
      </w:r>
      <w:r>
        <w:rPr>
          <w:rFonts w:hint="eastAsia"/>
          <w:color w:val="auto"/>
          <w:u w:val="single"/>
        </w:rPr>
        <w:t>5个工作日内</w:t>
      </w:r>
      <w:r>
        <w:rPr>
          <w:rFonts w:hint="eastAsia"/>
          <w:color w:val="auto"/>
          <w:spacing w:val="-4"/>
        </w:rPr>
        <w:t>缴纳履约保证金，</w:t>
      </w:r>
      <w:r>
        <w:rPr>
          <w:rFonts w:hint="eastAsia"/>
          <w:color w:val="auto"/>
        </w:rPr>
        <w:t>对未按要求缴纳履约保证金的，不予给予成交通知书及签订合同。逾期即取消其成交资格并没收其磋商保证金。</w:t>
      </w:r>
    </w:p>
    <w:p>
      <w:pPr>
        <w:pStyle w:val="17"/>
        <w:spacing w:line="400" w:lineRule="exact"/>
        <w:ind w:firstLine="420"/>
        <w:rPr>
          <w:b/>
          <w:color w:val="auto"/>
        </w:rPr>
      </w:pPr>
      <w:r>
        <w:rPr>
          <w:rFonts w:hint="eastAsia"/>
          <w:color w:val="auto"/>
        </w:rPr>
        <w:t xml:space="preserve">28.2 </w:t>
      </w:r>
      <w:r>
        <w:rPr>
          <w:rFonts w:hint="eastAsia"/>
          <w:color w:val="auto"/>
          <w:spacing w:val="-4"/>
        </w:rPr>
        <w:t>履约保证金的退还</w:t>
      </w:r>
      <w:r>
        <w:rPr>
          <w:rFonts w:hint="eastAsia"/>
          <w:color w:val="auto"/>
        </w:rPr>
        <w:t>：成交人按合同履约后，按</w:t>
      </w:r>
      <w:r>
        <w:rPr>
          <w:rFonts w:hint="eastAsia"/>
          <w:color w:val="auto"/>
          <w:spacing w:val="-4"/>
        </w:rPr>
        <w:t>服务商须知前附表第10项的要求</w:t>
      </w:r>
      <w:r>
        <w:rPr>
          <w:rFonts w:hint="eastAsia"/>
          <w:color w:val="auto"/>
        </w:rPr>
        <w:t>办理退还履约保证金手续，不付利息。</w:t>
      </w:r>
    </w:p>
    <w:p>
      <w:pPr>
        <w:pStyle w:val="17"/>
        <w:spacing w:line="400" w:lineRule="exact"/>
        <w:ind w:firstLine="420"/>
        <w:rPr>
          <w:color w:val="auto"/>
        </w:rPr>
      </w:pPr>
      <w:r>
        <w:rPr>
          <w:rFonts w:hint="eastAsia"/>
          <w:color w:val="auto"/>
        </w:rPr>
        <w:t>28.3</w:t>
      </w:r>
      <w:r>
        <w:rPr>
          <w:rFonts w:hint="eastAsia" w:hAnsi="宋体"/>
          <w:color w:val="auto"/>
          <w:szCs w:val="21"/>
        </w:rPr>
        <w:t>履约保证金作为违约金的一部分及用于补偿甲方因乙方不能完成其合同义务而蒙受的损失。</w:t>
      </w:r>
      <w:r>
        <w:rPr>
          <w:rFonts w:hint="eastAsia"/>
          <w:color w:val="auto"/>
        </w:rPr>
        <w:t>如成交人不按双方签订的合同规定履约，则对其全部履约保证金不予退还，履约保证金不足以赔偿损失的，按实际损失赔偿。</w:t>
      </w:r>
    </w:p>
    <w:p>
      <w:pPr>
        <w:pStyle w:val="17"/>
        <w:spacing w:line="400" w:lineRule="exact"/>
        <w:ind w:firstLine="420"/>
        <w:rPr>
          <w:color w:val="auto"/>
        </w:rPr>
      </w:pPr>
      <w:r>
        <w:rPr>
          <w:rFonts w:hint="eastAsia"/>
          <w:color w:val="auto"/>
        </w:rPr>
        <w:t>28.4在履约保证金到期退还日期前，若成交人的开户名称、开户银行、帐号有变动的，请以书面形式通知</w:t>
      </w:r>
      <w:r>
        <w:rPr>
          <w:rFonts w:hint="eastAsia" w:hAnsi="宋体" w:cs="宋体"/>
          <w:color w:val="auto"/>
          <w:szCs w:val="21"/>
        </w:rPr>
        <w:t>蒙山县公共资源交易中心</w:t>
      </w:r>
      <w:r>
        <w:rPr>
          <w:rFonts w:hint="eastAsia"/>
          <w:color w:val="auto"/>
        </w:rPr>
        <w:t>，否则由此产生的后果由成交人自负。</w:t>
      </w:r>
    </w:p>
    <w:p>
      <w:pPr>
        <w:pStyle w:val="3"/>
        <w:spacing w:line="400" w:lineRule="exact"/>
        <w:jc w:val="center"/>
        <w:rPr>
          <w:color w:val="auto"/>
        </w:rPr>
      </w:pPr>
      <w:bookmarkStart w:id="224" w:name="_Toc230578090"/>
      <w:bookmarkStart w:id="225" w:name="_Toc185702582"/>
      <w:bookmarkStart w:id="226" w:name="_Toc207770868"/>
      <w:bookmarkStart w:id="227" w:name="_Toc444006014"/>
      <w:bookmarkStart w:id="228" w:name="_Toc206525715"/>
      <w:bookmarkStart w:id="229" w:name="_Toc239839896"/>
      <w:r>
        <w:rPr>
          <w:rFonts w:hint="eastAsia"/>
          <w:color w:val="auto"/>
        </w:rPr>
        <w:t>七其他事项</w:t>
      </w:r>
      <w:bookmarkEnd w:id="224"/>
      <w:bookmarkEnd w:id="225"/>
      <w:bookmarkEnd w:id="226"/>
      <w:bookmarkEnd w:id="227"/>
      <w:bookmarkEnd w:id="228"/>
      <w:bookmarkEnd w:id="229"/>
    </w:p>
    <w:p>
      <w:pPr>
        <w:pStyle w:val="5"/>
        <w:spacing w:before="0" w:after="0" w:line="400" w:lineRule="exact"/>
        <w:rPr>
          <w:rFonts w:ascii="宋体" w:hAnsi="宋体" w:eastAsia="宋体"/>
          <w:color w:val="auto"/>
          <w:sz w:val="21"/>
          <w:szCs w:val="21"/>
        </w:rPr>
      </w:pPr>
      <w:bookmarkStart w:id="230" w:name="_Toc206525716"/>
      <w:bookmarkStart w:id="231" w:name="_Toc239839897"/>
      <w:bookmarkStart w:id="232" w:name="_Toc207770869"/>
      <w:bookmarkStart w:id="233" w:name="_Toc444006015"/>
      <w:bookmarkStart w:id="234" w:name="_Toc230578091"/>
      <w:bookmarkStart w:id="235" w:name="_Toc185702583"/>
      <w:r>
        <w:rPr>
          <w:rFonts w:hint="eastAsia" w:ascii="宋体" w:hAnsi="宋体" w:eastAsia="宋体"/>
          <w:color w:val="auto"/>
          <w:sz w:val="21"/>
          <w:szCs w:val="21"/>
        </w:rPr>
        <w:t>29、成交服务费</w:t>
      </w:r>
      <w:bookmarkEnd w:id="230"/>
      <w:bookmarkEnd w:id="231"/>
      <w:bookmarkEnd w:id="232"/>
      <w:bookmarkEnd w:id="233"/>
      <w:bookmarkEnd w:id="234"/>
      <w:bookmarkEnd w:id="235"/>
    </w:p>
    <w:p>
      <w:pPr>
        <w:pStyle w:val="17"/>
        <w:spacing w:line="400" w:lineRule="exact"/>
        <w:ind w:firstLine="411" w:firstLineChars="196"/>
        <w:rPr>
          <w:bCs/>
          <w:color w:val="auto"/>
        </w:rPr>
      </w:pPr>
      <w:r>
        <w:rPr>
          <w:rFonts w:hint="eastAsia"/>
          <w:bCs/>
          <w:color w:val="auto"/>
        </w:rPr>
        <w:t>29.1</w:t>
      </w:r>
      <w:r>
        <w:rPr>
          <w:rFonts w:hint="eastAsia" w:hAnsi="宋体"/>
          <w:color w:val="auto"/>
        </w:rPr>
        <w:t>成交服务费：签订合同前，成交人须凭履约保证金收据复印件领取成交通知书，并向广西汇晟工程咨询有限公司一次性付清招标代理服务费，其金额按国家发展计划委员会计价格〔2011〕534号《招标代理服务收费管理暂行办法》</w:t>
      </w:r>
      <w:r>
        <w:rPr>
          <w:rFonts w:hint="eastAsia" w:hAnsi="宋体"/>
          <w:bCs/>
          <w:color w:val="auto"/>
        </w:rPr>
        <w:t>招标收费标准</w:t>
      </w:r>
      <w:r>
        <w:rPr>
          <w:rFonts w:hint="eastAsia" w:hAnsi="宋体"/>
          <w:color w:val="auto"/>
        </w:rPr>
        <w:t>收取。否则，采购代理机构将视之为违约，取消该成交决定并没收成交人已提交的全部磋商保证金。</w:t>
      </w:r>
    </w:p>
    <w:p>
      <w:pPr>
        <w:pStyle w:val="17"/>
        <w:spacing w:line="400" w:lineRule="exact"/>
        <w:ind w:firstLine="420"/>
        <w:rPr>
          <w:rFonts w:hAnsi="宋体"/>
          <w:color w:val="auto"/>
        </w:rPr>
      </w:pPr>
      <w:r>
        <w:rPr>
          <w:rFonts w:hint="eastAsia" w:hAnsi="宋体"/>
          <w:color w:val="auto"/>
        </w:rPr>
        <w:t>29.2代理服务收费标准：</w:t>
      </w:r>
    </w:p>
    <w:tbl>
      <w:tblPr>
        <w:tblStyle w:val="31"/>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5"/>
        <w:gridCol w:w="1922"/>
        <w:gridCol w:w="1923"/>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3185" w:type="dxa"/>
            <w:noWrap/>
          </w:tcPr>
          <w:p>
            <w:pPr>
              <w:pStyle w:val="17"/>
              <w:snapToGrid w:val="0"/>
              <w:ind w:firstLine="210" w:firstLineChars="100"/>
              <w:rPr>
                <w:rFonts w:hAnsi="宋体"/>
                <w:color w:val="auto"/>
              </w:rPr>
            </w:pPr>
            <w:r>
              <w:rPr>
                <w:rFonts w:hAnsi="宋体"/>
                <w:color w:val="auto"/>
              </w:rPr>
              <w:pict>
                <v:group id="__TH_G22五号27" o:spid="_x0000_s1032" o:spt="203" style="position:absolute;left:0pt;margin-left:-5.75pt;margin-top:-0.1pt;height:58pt;width:159.6pt;z-index:251658240;mso-width-relative:page;mso-height-relative:page;" coordorigin="959,1984" coordsize="2534,1072203203">
                  <o:lock v:ext="edit"/>
                  <v:line id="__TH_L25" o:spid="_x0000_s1033" o:spt="20" style="position:absolute;left:2226;top:1984;height:1072;width:1267;" coordsize="21600,21600">
                    <v:path arrowok="t"/>
                    <v:fill focussize="0,0"/>
                    <v:stroke weight="0.5pt"/>
                    <v:imagedata o:title=""/>
                    <o:lock v:ext="edit"/>
                  </v:line>
                  <v:line id="__TH_L26" o:spid="_x0000_s1034" o:spt="20" style="position:absolute;left:959;top:2520;height:536;width:2534;" coordsize="21600,21600">
                    <v:path arrowok="t"/>
                    <v:fill focussize="0,0"/>
                    <v:stroke weight="0.5pt"/>
                    <v:imagedata o:title=""/>
                    <o:lock v:ext="edit"/>
                  </v:line>
                </v:group>
              </w:pict>
            </w:r>
            <w:r>
              <w:rPr>
                <w:rFonts w:hint="eastAsia" w:hAnsi="宋体"/>
                <w:color w:val="auto"/>
              </w:rPr>
              <w:t xml:space="preserve">                 服务类型</w:t>
            </w:r>
          </w:p>
          <w:p>
            <w:pPr>
              <w:pStyle w:val="17"/>
              <w:snapToGrid w:val="0"/>
              <w:ind w:firstLine="630"/>
              <w:rPr>
                <w:rFonts w:hAnsi="宋体"/>
                <w:color w:val="auto"/>
              </w:rPr>
            </w:pPr>
            <w:r>
              <w:rPr>
                <w:rFonts w:hint="eastAsia" w:hAnsi="宋体"/>
                <w:color w:val="auto"/>
              </w:rPr>
              <w:t>费  率</w:t>
            </w:r>
          </w:p>
          <w:p>
            <w:pPr>
              <w:pStyle w:val="17"/>
              <w:snapToGrid w:val="0"/>
              <w:rPr>
                <w:rFonts w:hAnsi="宋体"/>
                <w:color w:val="auto"/>
              </w:rPr>
            </w:pPr>
          </w:p>
          <w:p>
            <w:pPr>
              <w:pStyle w:val="17"/>
              <w:snapToGrid w:val="0"/>
              <w:rPr>
                <w:rFonts w:hAnsi="宋体"/>
                <w:color w:val="auto"/>
              </w:rPr>
            </w:pPr>
            <w:r>
              <w:rPr>
                <w:rFonts w:hint="eastAsia" w:hAnsi="宋体"/>
                <w:color w:val="auto"/>
              </w:rPr>
              <w:t>成交金额（万元）</w:t>
            </w:r>
          </w:p>
        </w:tc>
        <w:tc>
          <w:tcPr>
            <w:tcW w:w="1922" w:type="dxa"/>
            <w:noWrap/>
            <w:vAlign w:val="center"/>
          </w:tcPr>
          <w:p>
            <w:pPr>
              <w:pStyle w:val="17"/>
              <w:snapToGrid w:val="0"/>
              <w:jc w:val="center"/>
              <w:rPr>
                <w:rFonts w:hAnsi="宋体"/>
                <w:color w:val="auto"/>
              </w:rPr>
            </w:pPr>
            <w:r>
              <w:rPr>
                <w:rFonts w:hint="eastAsia" w:hAnsi="宋体"/>
                <w:color w:val="auto"/>
              </w:rPr>
              <w:t>货物招标</w:t>
            </w:r>
          </w:p>
        </w:tc>
        <w:tc>
          <w:tcPr>
            <w:tcW w:w="1923" w:type="dxa"/>
            <w:noWrap/>
            <w:vAlign w:val="center"/>
          </w:tcPr>
          <w:p>
            <w:pPr>
              <w:pStyle w:val="17"/>
              <w:snapToGrid w:val="0"/>
              <w:jc w:val="center"/>
              <w:rPr>
                <w:rFonts w:hAnsi="宋体"/>
                <w:color w:val="auto"/>
              </w:rPr>
            </w:pPr>
            <w:r>
              <w:rPr>
                <w:rFonts w:hint="eastAsia" w:hAnsi="宋体"/>
                <w:color w:val="auto"/>
              </w:rPr>
              <w:t>服务招标</w:t>
            </w:r>
          </w:p>
        </w:tc>
        <w:tc>
          <w:tcPr>
            <w:tcW w:w="1923" w:type="dxa"/>
            <w:noWrap/>
            <w:vAlign w:val="center"/>
          </w:tcPr>
          <w:p>
            <w:pPr>
              <w:pStyle w:val="17"/>
              <w:snapToGrid w:val="0"/>
              <w:jc w:val="center"/>
              <w:rPr>
                <w:rFonts w:hAnsi="宋体"/>
                <w:color w:val="auto"/>
              </w:rPr>
            </w:pPr>
            <w:r>
              <w:rPr>
                <w:rFonts w:hint="eastAsia" w:hAnsi="宋体"/>
                <w:color w:val="auto"/>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185" w:type="dxa"/>
            <w:noWrap/>
            <w:vAlign w:val="center"/>
          </w:tcPr>
          <w:p>
            <w:pPr>
              <w:pStyle w:val="17"/>
              <w:snapToGrid w:val="0"/>
              <w:jc w:val="center"/>
              <w:rPr>
                <w:rFonts w:hAnsi="宋体"/>
                <w:color w:val="auto"/>
              </w:rPr>
            </w:pPr>
            <w:r>
              <w:rPr>
                <w:rFonts w:hint="eastAsia" w:hAnsi="宋体"/>
                <w:color w:val="auto"/>
              </w:rPr>
              <w:t>100以下</w:t>
            </w:r>
          </w:p>
        </w:tc>
        <w:tc>
          <w:tcPr>
            <w:tcW w:w="1922" w:type="dxa"/>
            <w:noWrap/>
            <w:vAlign w:val="center"/>
          </w:tcPr>
          <w:p>
            <w:pPr>
              <w:pStyle w:val="17"/>
              <w:snapToGrid w:val="0"/>
              <w:jc w:val="center"/>
              <w:rPr>
                <w:rFonts w:hAnsi="宋体"/>
                <w:color w:val="auto"/>
              </w:rPr>
            </w:pPr>
            <w:r>
              <w:rPr>
                <w:rFonts w:hint="eastAsia" w:hAnsi="宋体"/>
                <w:color w:val="auto"/>
              </w:rPr>
              <w:t>1.5%</w:t>
            </w:r>
          </w:p>
        </w:tc>
        <w:tc>
          <w:tcPr>
            <w:tcW w:w="1923" w:type="dxa"/>
            <w:noWrap/>
            <w:vAlign w:val="center"/>
          </w:tcPr>
          <w:p>
            <w:pPr>
              <w:pStyle w:val="17"/>
              <w:snapToGrid w:val="0"/>
              <w:jc w:val="center"/>
              <w:rPr>
                <w:rFonts w:hAnsi="宋体"/>
                <w:color w:val="auto"/>
              </w:rPr>
            </w:pPr>
            <w:r>
              <w:rPr>
                <w:rFonts w:hint="eastAsia" w:hAnsi="宋体"/>
                <w:color w:val="auto"/>
              </w:rPr>
              <w:t>1.5%</w:t>
            </w:r>
          </w:p>
        </w:tc>
        <w:tc>
          <w:tcPr>
            <w:tcW w:w="1923" w:type="dxa"/>
            <w:noWrap/>
            <w:vAlign w:val="center"/>
          </w:tcPr>
          <w:p>
            <w:pPr>
              <w:pStyle w:val="17"/>
              <w:snapToGrid w:val="0"/>
              <w:jc w:val="center"/>
              <w:rPr>
                <w:rFonts w:hAnsi="宋体"/>
                <w:color w:val="auto"/>
              </w:rPr>
            </w:pPr>
            <w:r>
              <w:rPr>
                <w:rFonts w:hint="eastAsia" w:hAnsi="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85" w:type="dxa"/>
            <w:noWrap/>
            <w:vAlign w:val="center"/>
          </w:tcPr>
          <w:p>
            <w:pPr>
              <w:pStyle w:val="17"/>
              <w:snapToGrid w:val="0"/>
              <w:jc w:val="center"/>
              <w:rPr>
                <w:rFonts w:hAnsi="宋体"/>
                <w:color w:val="auto"/>
              </w:rPr>
            </w:pPr>
            <w:r>
              <w:rPr>
                <w:rFonts w:hint="eastAsia" w:hAnsi="宋体"/>
                <w:color w:val="auto"/>
              </w:rPr>
              <w:t>100-500</w:t>
            </w:r>
          </w:p>
        </w:tc>
        <w:tc>
          <w:tcPr>
            <w:tcW w:w="1922" w:type="dxa"/>
            <w:noWrap/>
            <w:vAlign w:val="center"/>
          </w:tcPr>
          <w:p>
            <w:pPr>
              <w:pStyle w:val="17"/>
              <w:snapToGrid w:val="0"/>
              <w:jc w:val="center"/>
              <w:rPr>
                <w:rFonts w:hAnsi="宋体"/>
                <w:color w:val="auto"/>
              </w:rPr>
            </w:pPr>
            <w:r>
              <w:rPr>
                <w:rFonts w:hint="eastAsia" w:hAnsi="宋体"/>
                <w:color w:val="auto"/>
              </w:rPr>
              <w:t>1.1%</w:t>
            </w:r>
          </w:p>
        </w:tc>
        <w:tc>
          <w:tcPr>
            <w:tcW w:w="1923" w:type="dxa"/>
            <w:noWrap/>
            <w:vAlign w:val="center"/>
          </w:tcPr>
          <w:p>
            <w:pPr>
              <w:pStyle w:val="17"/>
              <w:snapToGrid w:val="0"/>
              <w:jc w:val="center"/>
              <w:rPr>
                <w:rFonts w:hAnsi="宋体"/>
                <w:color w:val="auto"/>
              </w:rPr>
            </w:pPr>
            <w:r>
              <w:rPr>
                <w:rFonts w:hint="eastAsia" w:hAnsi="宋体"/>
                <w:color w:val="auto"/>
              </w:rPr>
              <w:t>0.8%</w:t>
            </w:r>
          </w:p>
        </w:tc>
        <w:tc>
          <w:tcPr>
            <w:tcW w:w="1923" w:type="dxa"/>
            <w:noWrap/>
            <w:vAlign w:val="center"/>
          </w:tcPr>
          <w:p>
            <w:pPr>
              <w:pStyle w:val="17"/>
              <w:snapToGrid w:val="0"/>
              <w:jc w:val="center"/>
              <w:rPr>
                <w:rFonts w:hAnsi="宋体"/>
                <w:color w:val="auto"/>
              </w:rPr>
            </w:pPr>
            <w:r>
              <w:rPr>
                <w:rFonts w:hint="eastAsia" w:hAnsi="宋体"/>
                <w:color w:val="auto"/>
              </w:rPr>
              <w:t>0.7%</w:t>
            </w:r>
          </w:p>
        </w:tc>
      </w:tr>
    </w:tbl>
    <w:p>
      <w:pPr>
        <w:pStyle w:val="18"/>
        <w:ind w:left="0" w:leftChars="0"/>
        <w:rPr>
          <w:color w:val="auto"/>
        </w:rPr>
      </w:pPr>
    </w:p>
    <w:p>
      <w:pPr>
        <w:pStyle w:val="17"/>
        <w:spacing w:line="400" w:lineRule="exact"/>
        <w:ind w:firstLine="420"/>
        <w:rPr>
          <w:rFonts w:hAnsi="宋体"/>
          <w:color w:val="auto"/>
        </w:rPr>
      </w:pPr>
      <w:bookmarkStart w:id="236" w:name="_Toc185702584"/>
      <w:bookmarkStart w:id="237" w:name="_Toc230578092"/>
      <w:bookmarkStart w:id="238" w:name="_Toc206525717"/>
      <w:bookmarkStart w:id="239" w:name="_Toc207770870"/>
      <w:bookmarkStart w:id="240" w:name="_Toc239839898"/>
      <w:r>
        <w:rPr>
          <w:rFonts w:hint="eastAsia" w:hAnsi="宋体"/>
          <w:color w:val="auto"/>
        </w:rPr>
        <w:t>注：招标代理服务收费按差额定率累进法计算。例如：某服务招标代理业务成交金额为200万元，计算招标代理服务收费额如下：</w:t>
      </w:r>
    </w:p>
    <w:p>
      <w:pPr>
        <w:pStyle w:val="17"/>
        <w:spacing w:line="400" w:lineRule="exact"/>
        <w:ind w:firstLine="420"/>
        <w:rPr>
          <w:rFonts w:hAnsi="宋体"/>
          <w:color w:val="auto"/>
        </w:rPr>
      </w:pPr>
      <w:r>
        <w:rPr>
          <w:rFonts w:hint="eastAsia" w:hAnsi="宋体"/>
          <w:color w:val="auto"/>
        </w:rPr>
        <w:t>100万元×1.5%=1.5万元</w:t>
      </w:r>
    </w:p>
    <w:p>
      <w:pPr>
        <w:pStyle w:val="17"/>
        <w:spacing w:line="400" w:lineRule="exact"/>
        <w:ind w:firstLine="420"/>
        <w:rPr>
          <w:rFonts w:hAnsi="宋体"/>
          <w:color w:val="auto"/>
        </w:rPr>
      </w:pPr>
      <w:r>
        <w:rPr>
          <w:rFonts w:hint="eastAsia" w:hAnsi="宋体"/>
          <w:color w:val="auto"/>
        </w:rPr>
        <w:t>（200-100）万元×0.8%=0.8万元</w:t>
      </w:r>
    </w:p>
    <w:p>
      <w:pPr>
        <w:pStyle w:val="17"/>
        <w:spacing w:line="400" w:lineRule="exact"/>
        <w:ind w:firstLine="420"/>
        <w:rPr>
          <w:rFonts w:hAnsi="宋体"/>
          <w:color w:val="auto"/>
        </w:rPr>
      </w:pPr>
      <w:r>
        <w:rPr>
          <w:rFonts w:hint="eastAsia" w:hAnsi="宋体"/>
          <w:color w:val="auto"/>
        </w:rPr>
        <w:t>合计收费=1.5+0.8=2.3（万元）</w:t>
      </w:r>
    </w:p>
    <w:p>
      <w:pPr>
        <w:pStyle w:val="17"/>
        <w:spacing w:line="400" w:lineRule="exact"/>
        <w:ind w:firstLine="420"/>
        <w:rPr>
          <w:rFonts w:hAnsi="宋体"/>
          <w:color w:val="auto"/>
        </w:rPr>
      </w:pPr>
      <w:r>
        <w:rPr>
          <w:rFonts w:hint="eastAsia" w:hAnsi="宋体"/>
          <w:color w:val="auto"/>
        </w:rPr>
        <w:t>29.3上述服务费款项，请现金现缴（或转账电汇转入下列银行帐户），否则不予签订合同。</w:t>
      </w:r>
    </w:p>
    <w:p>
      <w:pPr>
        <w:pStyle w:val="5"/>
        <w:spacing w:before="0" w:after="0" w:line="400" w:lineRule="exact"/>
        <w:ind w:firstLine="420" w:firstLineChars="200"/>
        <w:rPr>
          <w:rFonts w:ascii="宋体" w:hAnsi="宋体" w:eastAsia="宋体"/>
          <w:b w:val="0"/>
          <w:bCs w:val="0"/>
          <w:color w:val="auto"/>
          <w:sz w:val="21"/>
          <w:szCs w:val="21"/>
        </w:rPr>
      </w:pPr>
      <w:bookmarkStart w:id="241" w:name="_Toc444006016"/>
      <w:r>
        <w:rPr>
          <w:rFonts w:hint="eastAsia" w:ascii="宋体" w:hAnsi="宋体" w:eastAsia="宋体"/>
          <w:b w:val="0"/>
          <w:bCs w:val="0"/>
          <w:color w:val="auto"/>
          <w:sz w:val="21"/>
          <w:szCs w:val="21"/>
        </w:rPr>
        <w:t xml:space="preserve">开户名称：广西汇晟工程咨询有限公司蒙山分公司 </w:t>
      </w:r>
    </w:p>
    <w:p>
      <w:pPr>
        <w:pStyle w:val="5"/>
        <w:spacing w:before="0" w:after="0" w:line="400" w:lineRule="exact"/>
        <w:ind w:firstLine="420" w:firstLineChars="200"/>
        <w:rPr>
          <w:rFonts w:ascii="宋体" w:hAnsi="宋体" w:eastAsia="宋体"/>
          <w:b w:val="0"/>
          <w:bCs w:val="0"/>
          <w:color w:val="auto"/>
          <w:sz w:val="21"/>
          <w:szCs w:val="21"/>
        </w:rPr>
      </w:pPr>
      <w:r>
        <w:rPr>
          <w:rFonts w:hint="eastAsia" w:ascii="宋体" w:hAnsi="宋体" w:eastAsia="宋体"/>
          <w:b w:val="0"/>
          <w:bCs w:val="0"/>
          <w:color w:val="auto"/>
          <w:sz w:val="21"/>
          <w:szCs w:val="21"/>
        </w:rPr>
        <w:t>开户银行：中国工商银行股份有限公司蒙山县支行</w:t>
      </w:r>
    </w:p>
    <w:p>
      <w:pPr>
        <w:pStyle w:val="5"/>
        <w:spacing w:before="0" w:after="0" w:line="400" w:lineRule="exact"/>
        <w:ind w:firstLine="420" w:firstLineChars="200"/>
        <w:rPr>
          <w:rFonts w:ascii="宋体" w:hAnsi="宋体" w:eastAsia="宋体"/>
          <w:b w:val="0"/>
          <w:bCs w:val="0"/>
          <w:color w:val="auto"/>
          <w:sz w:val="21"/>
          <w:szCs w:val="21"/>
        </w:rPr>
      </w:pPr>
      <w:r>
        <w:rPr>
          <w:rFonts w:hint="eastAsia" w:ascii="宋体" w:hAnsi="宋体" w:eastAsia="宋体"/>
          <w:b w:val="0"/>
          <w:bCs w:val="0"/>
          <w:color w:val="auto"/>
          <w:sz w:val="21"/>
          <w:szCs w:val="21"/>
        </w:rPr>
        <w:t>银行账号：21043 07009 10005 1946</w:t>
      </w:r>
    </w:p>
    <w:p>
      <w:pPr>
        <w:pStyle w:val="5"/>
        <w:spacing w:before="0" w:after="0" w:line="400" w:lineRule="exact"/>
        <w:rPr>
          <w:rFonts w:ascii="宋体" w:hAnsi="宋体" w:eastAsia="宋体"/>
          <w:color w:val="auto"/>
          <w:sz w:val="21"/>
          <w:szCs w:val="21"/>
        </w:rPr>
      </w:pPr>
      <w:r>
        <w:rPr>
          <w:rFonts w:hint="eastAsia" w:ascii="宋体" w:hAnsi="宋体" w:eastAsia="宋体"/>
          <w:color w:val="auto"/>
          <w:sz w:val="21"/>
          <w:szCs w:val="21"/>
        </w:rPr>
        <w:t>30、解释权</w:t>
      </w:r>
      <w:bookmarkEnd w:id="236"/>
      <w:bookmarkEnd w:id="237"/>
      <w:bookmarkEnd w:id="238"/>
      <w:bookmarkEnd w:id="239"/>
      <w:bookmarkEnd w:id="240"/>
      <w:bookmarkEnd w:id="241"/>
    </w:p>
    <w:p>
      <w:pPr>
        <w:pStyle w:val="17"/>
        <w:spacing w:line="400" w:lineRule="exact"/>
        <w:ind w:firstLine="420"/>
        <w:rPr>
          <w:color w:val="auto"/>
        </w:rPr>
      </w:pPr>
      <w:r>
        <w:rPr>
          <w:rFonts w:hint="eastAsia"/>
          <w:color w:val="auto"/>
        </w:rPr>
        <w:t>30.1本磋商文件是根据国家有关法律、法规以及政府采购管理有关规定和参照国际惯例编制，解释权属本采购代理机构。</w:t>
      </w:r>
    </w:p>
    <w:p>
      <w:pPr>
        <w:pStyle w:val="5"/>
        <w:spacing w:before="0" w:after="0" w:line="400" w:lineRule="exact"/>
        <w:rPr>
          <w:rFonts w:ascii="宋体" w:hAnsi="宋体" w:eastAsia="宋体"/>
          <w:color w:val="auto"/>
          <w:sz w:val="21"/>
          <w:szCs w:val="21"/>
        </w:rPr>
      </w:pPr>
      <w:bookmarkStart w:id="242" w:name="_Toc206525718"/>
      <w:bookmarkStart w:id="243" w:name="_Toc185702585"/>
      <w:bookmarkStart w:id="244" w:name="_Toc444006017"/>
      <w:bookmarkStart w:id="245" w:name="_Toc207770871"/>
      <w:bookmarkStart w:id="246" w:name="_Toc239839899"/>
      <w:bookmarkStart w:id="247" w:name="_Toc230578093"/>
      <w:r>
        <w:rPr>
          <w:rFonts w:hint="eastAsia" w:ascii="宋体" w:hAnsi="宋体" w:eastAsia="宋体"/>
          <w:color w:val="auto"/>
          <w:sz w:val="21"/>
          <w:szCs w:val="21"/>
        </w:rPr>
        <w:t>31、有关事宜</w:t>
      </w:r>
      <w:bookmarkEnd w:id="242"/>
      <w:bookmarkEnd w:id="243"/>
      <w:bookmarkEnd w:id="244"/>
      <w:bookmarkEnd w:id="245"/>
      <w:bookmarkEnd w:id="246"/>
      <w:bookmarkEnd w:id="247"/>
    </w:p>
    <w:p>
      <w:pPr>
        <w:pStyle w:val="17"/>
        <w:spacing w:line="400" w:lineRule="exact"/>
        <w:ind w:firstLine="420"/>
        <w:rPr>
          <w:rFonts w:hAnsi="宋体"/>
          <w:color w:val="auto"/>
        </w:rPr>
      </w:pPr>
      <w:r>
        <w:rPr>
          <w:rFonts w:hint="eastAsia" w:hAnsi="宋体"/>
          <w:color w:val="auto"/>
        </w:rPr>
        <w:t>31.1所有与本磋商文件有关的函电请按下列通讯地址联系：</w:t>
      </w:r>
    </w:p>
    <w:p>
      <w:pPr>
        <w:pStyle w:val="17"/>
        <w:spacing w:line="400" w:lineRule="exact"/>
        <w:ind w:firstLine="840" w:firstLineChars="400"/>
        <w:rPr>
          <w:rFonts w:hAnsi="宋体"/>
          <w:color w:val="auto"/>
          <w:u w:val="single"/>
        </w:rPr>
      </w:pPr>
      <w:r>
        <w:rPr>
          <w:rFonts w:hint="eastAsia" w:hAnsi="宋体"/>
          <w:color w:val="auto"/>
        </w:rPr>
        <w:t>采购代理机构：广西汇晟工程咨询有限公司</w:t>
      </w:r>
    </w:p>
    <w:p>
      <w:pPr>
        <w:pStyle w:val="17"/>
        <w:spacing w:line="400" w:lineRule="exact"/>
        <w:ind w:firstLine="840" w:firstLineChars="400"/>
        <w:rPr>
          <w:rFonts w:hAnsi="宋体"/>
          <w:color w:val="auto"/>
        </w:rPr>
      </w:pPr>
      <w:r>
        <w:rPr>
          <w:rFonts w:hint="eastAsia" w:hAnsi="宋体"/>
          <w:bCs/>
          <w:color w:val="auto"/>
        </w:rPr>
        <w:t>本项目业务联系</w:t>
      </w:r>
      <w:r>
        <w:rPr>
          <w:rFonts w:hint="eastAsia" w:hAnsi="宋体"/>
          <w:color w:val="auto"/>
        </w:rPr>
        <w:t>地址：</w:t>
      </w:r>
      <w:r>
        <w:rPr>
          <w:rFonts w:hint="eastAsia" w:ascii="ˎ̥" w:hAnsi="ˎ̥" w:cs="Arial"/>
          <w:color w:val="auto"/>
          <w:kern w:val="0"/>
          <w:szCs w:val="21"/>
        </w:rPr>
        <w:t>蒙山县蒙山镇滨江一期工程A1-7号地块</w:t>
      </w:r>
    </w:p>
    <w:p>
      <w:pPr>
        <w:pStyle w:val="17"/>
        <w:spacing w:line="400" w:lineRule="exact"/>
        <w:ind w:firstLine="840" w:firstLineChars="400"/>
        <w:rPr>
          <w:rFonts w:hAnsi="宋体"/>
          <w:color w:val="auto"/>
        </w:rPr>
      </w:pPr>
      <w:r>
        <w:rPr>
          <w:rFonts w:hint="eastAsia" w:hAnsi="宋体"/>
          <w:color w:val="auto"/>
        </w:rPr>
        <w:t>邮政编码：546700</w:t>
      </w:r>
    </w:p>
    <w:p>
      <w:pPr>
        <w:pStyle w:val="17"/>
        <w:spacing w:line="400" w:lineRule="exact"/>
        <w:ind w:firstLine="840" w:firstLineChars="400"/>
        <w:rPr>
          <w:rFonts w:hAnsi="宋体"/>
          <w:color w:val="auto"/>
        </w:rPr>
      </w:pPr>
      <w:r>
        <w:rPr>
          <w:rFonts w:hint="eastAsia" w:hAnsi="宋体"/>
          <w:color w:val="auto"/>
        </w:rPr>
        <w:t>办公电话： 0774-6296670</w:t>
      </w:r>
    </w:p>
    <w:p>
      <w:pPr>
        <w:pStyle w:val="17"/>
        <w:spacing w:line="400" w:lineRule="exact"/>
        <w:ind w:firstLine="840" w:firstLineChars="400"/>
        <w:rPr>
          <w:rFonts w:hAnsi="宋体"/>
          <w:color w:val="auto"/>
        </w:rPr>
      </w:pPr>
      <w:r>
        <w:rPr>
          <w:rFonts w:hint="eastAsia" w:hAnsi="宋体"/>
          <w:color w:val="auto"/>
        </w:rPr>
        <w:t>联 系 人：李小姐</w:t>
      </w:r>
    </w:p>
    <w:p>
      <w:pPr>
        <w:pStyle w:val="17"/>
        <w:spacing w:line="380" w:lineRule="exact"/>
        <w:rPr>
          <w:color w:val="auto"/>
        </w:rPr>
      </w:pPr>
      <w:r>
        <w:rPr>
          <w:rFonts w:hAnsi="宋体"/>
          <w:color w:val="auto"/>
        </w:rPr>
        <w:br w:type="page"/>
      </w:r>
    </w:p>
    <w:p>
      <w:pPr>
        <w:pStyle w:val="3"/>
        <w:numPr>
          <w:ilvl w:val="0"/>
          <w:numId w:val="2"/>
        </w:numPr>
        <w:spacing w:line="560" w:lineRule="exact"/>
        <w:jc w:val="center"/>
        <w:rPr>
          <w:rFonts w:ascii="方正隶书简体" w:hAnsi="宋体" w:eastAsia="方正隶书简体"/>
          <w:bCs/>
          <w:color w:val="auto"/>
          <w:sz w:val="40"/>
          <w:szCs w:val="22"/>
        </w:rPr>
      </w:pPr>
      <w:bookmarkStart w:id="248" w:name="_Toc147248434"/>
      <w:bookmarkEnd w:id="248"/>
      <w:bookmarkStart w:id="249" w:name="_Toc185703008"/>
      <w:bookmarkEnd w:id="249"/>
      <w:bookmarkStart w:id="250" w:name="_Toc185702586"/>
      <w:bookmarkEnd w:id="250"/>
      <w:bookmarkStart w:id="251" w:name="_Toc239839900"/>
      <w:bookmarkEnd w:id="251"/>
      <w:bookmarkStart w:id="252" w:name="_Toc156106969"/>
      <w:bookmarkEnd w:id="252"/>
      <w:bookmarkStart w:id="253" w:name="_Toc444006018"/>
      <w:r>
        <w:rPr>
          <w:rFonts w:hint="eastAsia" w:ascii="方正隶书简体" w:hAnsi="宋体" w:eastAsia="方正隶书简体"/>
          <w:bCs/>
          <w:color w:val="auto"/>
          <w:sz w:val="40"/>
          <w:szCs w:val="22"/>
        </w:rPr>
        <w:t>服务内容及要求</w:t>
      </w:r>
      <w:bookmarkEnd w:id="253"/>
    </w:p>
    <w:p>
      <w:pPr>
        <w:pStyle w:val="3"/>
        <w:spacing w:line="400" w:lineRule="exact"/>
        <w:ind w:firstLine="482" w:firstLineChars="200"/>
        <w:rPr>
          <w:rFonts w:ascii="宋体" w:hAnsi="宋体" w:cs="宋体"/>
          <w:color w:val="auto"/>
          <w:sz w:val="24"/>
        </w:rPr>
      </w:pPr>
    </w:p>
    <w:p>
      <w:pPr>
        <w:pStyle w:val="3"/>
        <w:spacing w:line="400" w:lineRule="exact"/>
        <w:ind w:firstLine="482" w:firstLineChars="200"/>
        <w:rPr>
          <w:rFonts w:ascii="宋体" w:hAnsi="宋体" w:cs="宋体"/>
          <w:color w:val="auto"/>
          <w:sz w:val="24"/>
        </w:rPr>
      </w:pPr>
      <w:r>
        <w:rPr>
          <w:rFonts w:hint="eastAsia" w:ascii="宋体" w:hAnsi="宋体" w:cs="宋体"/>
          <w:color w:val="auto"/>
          <w:sz w:val="24"/>
        </w:rPr>
        <w:t>一、项目概况</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为贯彻落实《广西壮族自治区自然资源厅 广西壮族自治区农业农村厅 关于开展全区农村乱占耕地建房状况调查的通知》（桂自然资发〔2020〕30号）的精神，接照上级部门的工作部署，并结合自然资源部《农村乱占耕地建房问题摸排工作方案（征求意见稿）》的要求，以及《农村乱占耕地建房专项整治行动部际协调机制办公室关于印发农村乱占耕地建房问题摸排工作方案的通知》（协调机制办发[2020]1号）、广西壮族自治区自然资源厅办公室关于进一步推进全区农村乱占耕地建房状况调查工作的通知（桂自然资办[2020]364号）的文件通知，我县开展农村乱占耕地建房状况调查工作，坚持问题导向，全面摸清我县2013年以来农村乱占耕地建房状态，为落实耕地保护责任目标，下一步做好农村宅基地管理工作，以及乱占耕地分步整治、分类处置存量问题奠定基础。</w:t>
      </w:r>
    </w:p>
    <w:p>
      <w:pPr>
        <w:pStyle w:val="3"/>
        <w:spacing w:line="400" w:lineRule="exact"/>
        <w:ind w:firstLine="482" w:firstLineChars="200"/>
        <w:rPr>
          <w:rFonts w:ascii="宋体" w:hAnsi="宋体" w:cs="宋体"/>
          <w:color w:val="auto"/>
          <w:sz w:val="24"/>
        </w:rPr>
      </w:pPr>
      <w:r>
        <w:rPr>
          <w:rFonts w:hint="eastAsia" w:ascii="宋体" w:hAnsi="宋体" w:cs="宋体"/>
          <w:color w:val="auto"/>
          <w:sz w:val="24"/>
        </w:rPr>
        <w:t>二、服务内容</w:t>
      </w:r>
    </w:p>
    <w:p>
      <w:pPr>
        <w:pStyle w:val="3"/>
        <w:spacing w:line="400" w:lineRule="exact"/>
        <w:ind w:firstLine="482" w:firstLineChars="200"/>
        <w:rPr>
          <w:rFonts w:ascii="宋体" w:hAnsi="宋体" w:cs="宋体"/>
          <w:color w:val="auto"/>
          <w:sz w:val="24"/>
        </w:rPr>
      </w:pPr>
      <w:r>
        <w:rPr>
          <w:rFonts w:hint="eastAsia" w:ascii="宋体" w:hAnsi="宋体" w:cs="宋体"/>
          <w:color w:val="auto"/>
          <w:sz w:val="24"/>
        </w:rPr>
        <w:t>2.1工作目标</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通过对2013年1月1日以来全县农村乱占耕地建设的房屋以及之前个别或部分与2013年以来违法违规建房行为有整体关联性的房屋，要一并调查。开展摸排工作，摸清全县农村乱占耕地建房底数，此次摸排类型分为住宅类、公共管理和公共服务类，以及工矿、仓储、商服、旅游等产业类。对农村宅基地类住宅，以宗为单元开展摸排, 并认定房屋是否符合当地“一户一宅”政策或“分户条件”；对单元楼式的多户住宅，以项目为单元开展摸排，摸清房屋类型、建设和使用情况、土地违法和处罚情况等；其他两类以项目为单元，摸清该类房屋用途、建设主体、建设依据、土地违法和处罚情况等，最终形成农村乱占耕地建房问题工作台账和数据库。为落实耕地保护责任目标，下一步做好农村宅基地管理工作，以及乱占耕地分步整治、分类处置存量问题奠定基础，重点整治强占多占、非法出售等恶意占用耕地建房行为，保障农民合理的建房需求。</w:t>
      </w:r>
    </w:p>
    <w:p>
      <w:pPr>
        <w:pStyle w:val="3"/>
        <w:spacing w:line="400" w:lineRule="exact"/>
        <w:ind w:firstLine="482" w:firstLineChars="200"/>
        <w:rPr>
          <w:rFonts w:ascii="宋体" w:hAnsi="宋体" w:cs="宋体"/>
          <w:b w:val="0"/>
          <w:bCs/>
          <w:color w:val="auto"/>
          <w:sz w:val="24"/>
        </w:rPr>
      </w:pPr>
      <w:r>
        <w:rPr>
          <w:rFonts w:hint="eastAsia" w:ascii="宋体" w:hAnsi="宋体" w:cs="宋体"/>
          <w:color w:val="auto"/>
          <w:sz w:val="24"/>
        </w:rPr>
        <w:t>2.2工作内容</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（1）项目准备工作；</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（2）实地开展调查摸排工作及拍照举证工作；</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（3）蒙山县农村乱占耕地建房问题摸排数据库建设和内业数据调查核实及分类造册形成台账工作；</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（4）统一数据汇交工作；</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(5)核实纠正工作，上报最终摸排成果。</w:t>
      </w:r>
    </w:p>
    <w:p>
      <w:pPr>
        <w:pStyle w:val="3"/>
        <w:spacing w:line="400" w:lineRule="exact"/>
        <w:ind w:firstLine="482" w:firstLineChars="200"/>
        <w:rPr>
          <w:rFonts w:ascii="宋体" w:hAnsi="宋体" w:cs="宋体"/>
          <w:color w:val="auto"/>
          <w:sz w:val="24"/>
        </w:rPr>
      </w:pPr>
      <w:r>
        <w:rPr>
          <w:rFonts w:hint="eastAsia" w:ascii="宋体" w:hAnsi="宋体" w:cs="宋体"/>
          <w:color w:val="auto"/>
          <w:sz w:val="24"/>
        </w:rPr>
        <w:t>2.3项目准备工作</w:t>
      </w:r>
    </w:p>
    <w:p>
      <w:pPr>
        <w:pStyle w:val="3"/>
        <w:spacing w:line="400" w:lineRule="exact"/>
        <w:ind w:firstLine="482" w:firstLineChars="200"/>
        <w:rPr>
          <w:rFonts w:ascii="宋体" w:hAnsi="宋体" w:cs="宋体"/>
          <w:b w:val="0"/>
          <w:bCs/>
          <w:color w:val="auto"/>
          <w:sz w:val="24"/>
        </w:rPr>
      </w:pPr>
      <w:r>
        <w:rPr>
          <w:rFonts w:hint="eastAsia" w:ascii="宋体" w:hAnsi="宋体" w:cs="宋体"/>
          <w:color w:val="auto"/>
          <w:sz w:val="24"/>
        </w:rPr>
        <w:t>2.3.1资料准备</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收集整理以下成果资料：</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（1）第二次全国土地调查最终成果数据库及遥感影像底图；</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（2）2012—2018年度土地变更调查最终成果数据库及遥感影像底图；</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（3）第三次全国国土调查统一时点更新遥感影像底图；</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（4）2012—2018年度土地卫片执法图斑；</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（5）2019年四个季度和2020年一、二季度土地卫片执法图斑；</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（6）国家提取2013年以来乱占耕地建房遥感监测图斑；</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（7）最新基本农田和永久基本农田数据库；</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（8）最新土地利用规划数据库；</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（9）最新城乡规划数据；</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（10）现有不动产登记成果（包括广西不动产登记管理系统数据、农村宅基地和集体建设用地测量成果、历年地籍调查、地籍测量成果）；</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（11）土地承包经营权确权登记发证成果及遥感影像底图；</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（12）2010年以来新增耕地项目图斑；</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（13）历年农转用审批备案数据库；</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（14）历年城乡增减挂钩项目备案数据库；</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（15）其它相关材料，如建设用地规划许可证、建设工程规划许可证等。</w:t>
      </w:r>
    </w:p>
    <w:p>
      <w:pPr>
        <w:pStyle w:val="3"/>
        <w:spacing w:line="400" w:lineRule="exact"/>
        <w:ind w:firstLine="482" w:firstLineChars="200"/>
        <w:rPr>
          <w:rFonts w:ascii="宋体" w:hAnsi="宋体" w:cs="宋体"/>
          <w:b w:val="0"/>
          <w:bCs/>
          <w:color w:val="auto"/>
          <w:sz w:val="24"/>
        </w:rPr>
      </w:pPr>
      <w:r>
        <w:rPr>
          <w:rFonts w:hint="eastAsia" w:ascii="宋体" w:hAnsi="宋体" w:cs="宋体"/>
          <w:color w:val="auto"/>
          <w:sz w:val="24"/>
        </w:rPr>
        <w:t>2.3.2数据预处理</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将相关资料的坐标系统统一转换为2000国家大地坐标系，高斯-克吕格投影，中央子午线111度，3°带，数据加带号37。</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利用国家统一下发的基础资料、本省（区、市）土地利用规划数据、城乡（村庄）规划以及国土空间规划数据、第三次全国国土调查初步成果及有关遥感影像资料，结合农村宅基地和集体建设用地确权发证、地籍调查（测量），以及土地承包经营权调查有关工作成果，制作本地区摸排工作基础资料。</w:t>
      </w:r>
    </w:p>
    <w:p>
      <w:pPr>
        <w:pStyle w:val="3"/>
        <w:spacing w:line="400" w:lineRule="exact"/>
        <w:ind w:firstLine="482" w:firstLineChars="200"/>
        <w:rPr>
          <w:rFonts w:ascii="宋体" w:hAnsi="宋体" w:cs="宋体"/>
          <w:b w:val="0"/>
          <w:bCs/>
          <w:color w:val="auto"/>
          <w:sz w:val="24"/>
        </w:rPr>
      </w:pPr>
      <w:r>
        <w:rPr>
          <w:rFonts w:hint="eastAsia" w:ascii="宋体" w:hAnsi="宋体" w:cs="宋体"/>
          <w:color w:val="auto"/>
          <w:sz w:val="24"/>
        </w:rPr>
        <w:t>2.3.3内业核查信息</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初步核实图斑信息，分析图斑土地利用现状、土地利用总体规划、占用耕地、基本农田情况，用地批文批准范围占比等情况，初步分析图斑的合法性。</w:t>
      </w:r>
    </w:p>
    <w:p>
      <w:pPr>
        <w:pStyle w:val="3"/>
        <w:spacing w:line="400" w:lineRule="exact"/>
        <w:ind w:firstLine="482" w:firstLineChars="200"/>
        <w:rPr>
          <w:rFonts w:ascii="宋体" w:hAnsi="宋体" w:cs="宋体"/>
          <w:color w:val="auto"/>
          <w:sz w:val="24"/>
        </w:rPr>
      </w:pPr>
      <w:r>
        <w:rPr>
          <w:rFonts w:hint="eastAsia" w:ascii="宋体" w:hAnsi="宋体" w:cs="宋体"/>
          <w:color w:val="auto"/>
          <w:sz w:val="24"/>
        </w:rPr>
        <w:t>2.4实地调查核实工作及拍照举证工作；</w:t>
      </w:r>
    </w:p>
    <w:p>
      <w:pPr>
        <w:pStyle w:val="3"/>
        <w:spacing w:line="400" w:lineRule="exact"/>
        <w:ind w:firstLine="482" w:firstLineChars="200"/>
        <w:rPr>
          <w:rFonts w:ascii="宋体" w:hAnsi="宋体" w:cs="宋体"/>
          <w:color w:val="auto"/>
          <w:sz w:val="24"/>
        </w:rPr>
      </w:pPr>
      <w:r>
        <w:rPr>
          <w:rFonts w:hint="eastAsia" w:ascii="宋体" w:hAnsi="宋体" w:cs="宋体"/>
          <w:color w:val="auto"/>
          <w:sz w:val="24"/>
        </w:rPr>
        <w:t>2.4.1外业调查核实工作</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开展外业实地调查工作，按照房屋的主要用途分为以下三种类型：住宅类、公共管理服务类、产业类，逐宗地填写三类农村乱占耕地建房问题摸排信息采集表，根据实际情况分别开展以下具体内容：</w:t>
      </w:r>
    </w:p>
    <w:p>
      <w:pPr>
        <w:pStyle w:val="3"/>
        <w:spacing w:line="400" w:lineRule="exact"/>
        <w:ind w:firstLine="482" w:firstLineChars="200"/>
        <w:rPr>
          <w:rFonts w:ascii="宋体" w:hAnsi="宋体" w:cs="宋体"/>
          <w:b w:val="0"/>
          <w:bCs/>
          <w:color w:val="auto"/>
          <w:sz w:val="24"/>
        </w:rPr>
      </w:pPr>
      <w:r>
        <w:rPr>
          <w:rFonts w:hint="eastAsia" w:ascii="宋体" w:hAnsi="宋体" w:cs="宋体"/>
          <w:color w:val="auto"/>
          <w:sz w:val="24"/>
        </w:rPr>
        <w:t>一是住宅类。</w:t>
      </w:r>
      <w:r>
        <w:rPr>
          <w:rFonts w:hint="eastAsia" w:ascii="宋体" w:hAnsi="宋体" w:cs="宋体"/>
          <w:b w:val="0"/>
          <w:bCs/>
          <w:color w:val="auto"/>
          <w:sz w:val="24"/>
        </w:rPr>
        <w:t>逐栋查清该类房屋项目类型，房屋形式，建设主体，房屋建设使用情况，该类土地违法情况、处罚情况等，最终形成住宅类农村乱占耕地建房问题工作台账。对属于农村村民建住房的，判断房屋是否符合当地“一户一宅”政策，或是否满足“分户条件”，或是否属于保障农村村民“户有所居”需要，并说明原因。摸排结果和认定情况要予以公示。</w:t>
      </w:r>
    </w:p>
    <w:p>
      <w:pPr>
        <w:pStyle w:val="3"/>
        <w:spacing w:line="400" w:lineRule="exact"/>
        <w:ind w:firstLine="482" w:firstLineChars="200"/>
        <w:rPr>
          <w:rFonts w:ascii="宋体" w:hAnsi="宋体" w:cs="宋体"/>
          <w:b w:val="0"/>
          <w:bCs/>
          <w:color w:val="auto"/>
          <w:sz w:val="24"/>
        </w:rPr>
      </w:pPr>
      <w:r>
        <w:rPr>
          <w:rFonts w:hint="eastAsia" w:ascii="宋体" w:hAnsi="宋体" w:cs="宋体"/>
          <w:color w:val="auto"/>
          <w:sz w:val="24"/>
        </w:rPr>
        <w:t>二是公共管理和公共服务类。</w:t>
      </w:r>
      <w:r>
        <w:rPr>
          <w:rFonts w:hint="eastAsia" w:ascii="宋体" w:hAnsi="宋体" w:cs="宋体"/>
          <w:b w:val="0"/>
          <w:bCs/>
          <w:color w:val="auto"/>
          <w:sz w:val="24"/>
        </w:rPr>
        <w:t>逐栋查清该类房屋的实际用途，调查建设依据或原因，主管部门，建设主体，该类土地违法、处罚等，最终形成公共管理和公共服务类农村乱占耕地建房问题工作台账。</w:t>
      </w:r>
    </w:p>
    <w:p>
      <w:pPr>
        <w:pStyle w:val="3"/>
        <w:spacing w:line="400" w:lineRule="exact"/>
        <w:ind w:firstLine="482" w:firstLineChars="200"/>
        <w:rPr>
          <w:rFonts w:ascii="宋体" w:hAnsi="宋体" w:cs="宋体"/>
          <w:b w:val="0"/>
          <w:bCs/>
          <w:color w:val="auto"/>
          <w:sz w:val="24"/>
        </w:rPr>
      </w:pPr>
      <w:r>
        <w:rPr>
          <w:rFonts w:hint="eastAsia" w:ascii="宋体" w:hAnsi="宋体" w:cs="宋体"/>
          <w:color w:val="auto"/>
          <w:sz w:val="24"/>
        </w:rPr>
        <w:t>三是工矿、仓储、商服、旅游等产业类。</w:t>
      </w:r>
      <w:r>
        <w:rPr>
          <w:rFonts w:hint="eastAsia" w:ascii="宋体" w:hAnsi="宋体" w:cs="宋体"/>
          <w:b w:val="0"/>
          <w:bCs/>
          <w:color w:val="auto"/>
          <w:sz w:val="24"/>
        </w:rPr>
        <w:t>逐栋查清该类房屋的实际用途，调查建设依据或原因，主管部门，建设主体，该类土地违法、处罚等，最终形成产业类农村乱占耕地建房问题工作台账。</w:t>
      </w:r>
    </w:p>
    <w:p>
      <w:pPr>
        <w:pStyle w:val="3"/>
        <w:spacing w:line="400" w:lineRule="exact"/>
        <w:ind w:firstLine="482" w:firstLineChars="200"/>
        <w:rPr>
          <w:rFonts w:ascii="宋体" w:hAnsi="宋体" w:cs="宋体"/>
          <w:color w:val="auto"/>
          <w:sz w:val="24"/>
        </w:rPr>
      </w:pPr>
      <w:r>
        <w:rPr>
          <w:rFonts w:hint="eastAsia" w:ascii="宋体" w:hAnsi="宋体" w:cs="宋体"/>
          <w:color w:val="auto"/>
          <w:sz w:val="24"/>
        </w:rPr>
        <w:t>2.4.2拍照举证工作</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摸排过程中，使用国土调查云APP手机软件，拍摄带位置坐标的实地现场照片，要从不同角度拍摄能全面反映房屋及占地状况，完成外业举证工作。</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实地现场照片分三类，每类2～3张，具体为：</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（1）宗地整体照片</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反应建筑物的整体特征，需要不同方位角度的照片。宗地周边有硬化地表时，拍摄范围需要包括硬化地表的区域。</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（2）建筑照片</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靠近拍摄建筑物的一些典型特征，能够辅助判断建筑物的房屋结构、用途等。</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（3）内部特征照片</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建筑物内部的照片，主要反应建筑物的用途情况。</w:t>
      </w:r>
    </w:p>
    <w:p>
      <w:pPr>
        <w:pStyle w:val="3"/>
        <w:spacing w:line="400" w:lineRule="exact"/>
        <w:ind w:firstLine="482" w:firstLineChars="200"/>
        <w:rPr>
          <w:rFonts w:ascii="宋体" w:hAnsi="宋体" w:cs="宋体"/>
          <w:b w:val="0"/>
          <w:bCs/>
          <w:color w:val="auto"/>
          <w:sz w:val="24"/>
        </w:rPr>
      </w:pPr>
      <w:r>
        <w:rPr>
          <w:rFonts w:hint="eastAsia" w:ascii="宋体" w:hAnsi="宋体" w:cs="宋体"/>
          <w:color w:val="auto"/>
          <w:sz w:val="24"/>
        </w:rPr>
        <w:t>2.4.3补充完善工作</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对实地调查过程中，发现房屋占地面积没有国土调查、确权登记或地籍调查（测量）等成果可准确确定的，可采取皮尺丈量、图上勾绘等简便方法确定。在分类处置时，根据实际需要再进行测量，完善其它信息。</w:t>
      </w:r>
    </w:p>
    <w:p>
      <w:pPr>
        <w:pStyle w:val="3"/>
        <w:spacing w:line="400" w:lineRule="exact"/>
        <w:ind w:firstLine="482" w:firstLineChars="200"/>
        <w:rPr>
          <w:rFonts w:ascii="宋体" w:hAnsi="宋体" w:cs="宋体"/>
          <w:color w:val="auto"/>
          <w:sz w:val="24"/>
        </w:rPr>
      </w:pPr>
      <w:r>
        <w:rPr>
          <w:rFonts w:hint="eastAsia" w:ascii="宋体" w:hAnsi="宋体" w:cs="宋体"/>
          <w:color w:val="auto"/>
          <w:sz w:val="24"/>
        </w:rPr>
        <w:t>2.5数据库建设和内业数据调查核实及分类造册工作</w:t>
      </w:r>
    </w:p>
    <w:p>
      <w:pPr>
        <w:pStyle w:val="3"/>
        <w:spacing w:line="400" w:lineRule="exact"/>
        <w:ind w:firstLine="482" w:firstLineChars="200"/>
        <w:rPr>
          <w:rFonts w:ascii="宋体" w:hAnsi="宋体" w:cs="宋体"/>
          <w:color w:val="auto"/>
          <w:sz w:val="24"/>
        </w:rPr>
      </w:pPr>
      <w:r>
        <w:rPr>
          <w:rFonts w:hint="eastAsia" w:ascii="宋体" w:hAnsi="宋体" w:cs="宋体"/>
          <w:color w:val="auto"/>
          <w:sz w:val="24"/>
        </w:rPr>
        <w:t>2.5.1录入调查表格</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录入外业调查表格，挂接到图斑矢量数据中，建设数据库。</w:t>
      </w:r>
    </w:p>
    <w:p>
      <w:pPr>
        <w:pStyle w:val="3"/>
        <w:spacing w:line="400" w:lineRule="exact"/>
        <w:ind w:firstLine="482" w:firstLineChars="200"/>
        <w:rPr>
          <w:rFonts w:ascii="宋体" w:hAnsi="宋体" w:cs="宋体"/>
          <w:color w:val="auto"/>
          <w:sz w:val="24"/>
        </w:rPr>
      </w:pPr>
      <w:r>
        <w:rPr>
          <w:rFonts w:hint="eastAsia" w:ascii="宋体" w:hAnsi="宋体" w:cs="宋体"/>
          <w:color w:val="auto"/>
          <w:sz w:val="24"/>
        </w:rPr>
        <w:t>2.5.2数据检查核实</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（1）属性数据内容检查核实</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对属性数据内容的完整性、规范性和正确性进行检查核实。</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（2）矢量数据内容检查核实</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对矢量数据进行拓扑检查，修改数据拓扑问题。叠加其它数据，检查各项属性数据是否正确。</w:t>
      </w:r>
    </w:p>
    <w:p>
      <w:pPr>
        <w:pStyle w:val="3"/>
        <w:spacing w:line="400" w:lineRule="exact"/>
        <w:ind w:firstLine="482" w:firstLineChars="200"/>
        <w:rPr>
          <w:rFonts w:ascii="宋体" w:hAnsi="宋体" w:cs="宋体"/>
          <w:b w:val="0"/>
          <w:bCs/>
          <w:color w:val="auto"/>
          <w:sz w:val="24"/>
        </w:rPr>
      </w:pPr>
      <w:r>
        <w:rPr>
          <w:rFonts w:hint="eastAsia" w:ascii="宋体" w:hAnsi="宋体" w:cs="宋体"/>
          <w:color w:val="auto"/>
          <w:sz w:val="24"/>
        </w:rPr>
        <w:t>2.5.3汇总统计各类面积数据</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按图斑汇总统计宗地范围内地类占地面积。</w:t>
      </w:r>
    </w:p>
    <w:p>
      <w:pPr>
        <w:pStyle w:val="3"/>
        <w:spacing w:line="400" w:lineRule="exact"/>
        <w:ind w:firstLine="482" w:firstLineChars="200"/>
        <w:rPr>
          <w:rFonts w:ascii="宋体" w:hAnsi="宋体" w:cs="宋体"/>
          <w:color w:val="auto"/>
          <w:sz w:val="24"/>
        </w:rPr>
      </w:pPr>
      <w:r>
        <w:rPr>
          <w:rFonts w:hint="eastAsia" w:ascii="宋体" w:hAnsi="宋体" w:cs="宋体"/>
          <w:color w:val="auto"/>
          <w:sz w:val="24"/>
        </w:rPr>
        <w:t>2.5.4分类造册，形成工作台账。</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分类别按宗地进行造册，造册内容包括调查表格、实地照片和佐证材料等内容。</w:t>
      </w:r>
    </w:p>
    <w:p>
      <w:pPr>
        <w:pStyle w:val="3"/>
        <w:spacing w:line="400" w:lineRule="exact"/>
        <w:ind w:firstLine="482" w:firstLineChars="200"/>
        <w:rPr>
          <w:rFonts w:ascii="宋体" w:hAnsi="宋体" w:cs="宋体"/>
          <w:b w:val="0"/>
          <w:bCs/>
          <w:color w:val="auto"/>
          <w:sz w:val="24"/>
        </w:rPr>
      </w:pPr>
      <w:r>
        <w:rPr>
          <w:rFonts w:hint="eastAsia" w:ascii="宋体" w:hAnsi="宋体" w:cs="宋体"/>
          <w:color w:val="auto"/>
          <w:sz w:val="24"/>
        </w:rPr>
        <w:t>2.5.5公示</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对住宅类房屋的调查成果以村（组）为单元进行成果公示，公示时间一般不少于10天。</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对公示成果有异议的信息进行补充完善。</w:t>
      </w:r>
    </w:p>
    <w:p>
      <w:pPr>
        <w:pStyle w:val="3"/>
        <w:spacing w:line="400" w:lineRule="exact"/>
        <w:ind w:firstLine="482" w:firstLineChars="200"/>
        <w:rPr>
          <w:rFonts w:ascii="宋体" w:hAnsi="宋体" w:cs="宋体"/>
          <w:color w:val="auto"/>
          <w:sz w:val="24"/>
        </w:rPr>
      </w:pPr>
      <w:r>
        <w:rPr>
          <w:rFonts w:hint="eastAsia" w:ascii="宋体" w:hAnsi="宋体" w:cs="宋体"/>
          <w:color w:val="auto"/>
          <w:sz w:val="24"/>
        </w:rPr>
        <w:t>2.6统一数据汇交工作</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利用国家自然资源综合信息监管平台，记录房屋位置信息，上传现场照片，上报摸排结果，形成统计汇总结果，按照国家层面要求，确保数据顺利汇交。</w:t>
      </w:r>
    </w:p>
    <w:p>
      <w:pPr>
        <w:pStyle w:val="3"/>
        <w:spacing w:line="400" w:lineRule="exact"/>
        <w:ind w:firstLine="482" w:firstLineChars="200"/>
        <w:rPr>
          <w:rFonts w:ascii="宋体" w:hAnsi="宋体" w:cs="宋体"/>
          <w:b w:val="0"/>
          <w:bCs/>
          <w:color w:val="auto"/>
          <w:sz w:val="24"/>
        </w:rPr>
      </w:pPr>
      <w:r>
        <w:rPr>
          <w:rFonts w:hint="eastAsia" w:ascii="宋体" w:hAnsi="宋体" w:cs="宋体"/>
          <w:color w:val="auto"/>
          <w:sz w:val="24"/>
        </w:rPr>
        <w:t>2.7检查验收工作</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按区厅要求完成县级自检、市级检查和自治区级检查工作，协助完成国家级调研、督导，内业核查和外业抽查等检验工作。</w:t>
      </w:r>
    </w:p>
    <w:p>
      <w:pPr>
        <w:pStyle w:val="3"/>
        <w:spacing w:line="400" w:lineRule="exact"/>
        <w:ind w:firstLine="482" w:firstLineChars="200"/>
        <w:rPr>
          <w:rFonts w:ascii="宋体" w:hAnsi="宋体" w:cs="宋体"/>
          <w:b w:val="0"/>
          <w:bCs/>
          <w:color w:val="auto"/>
          <w:sz w:val="24"/>
        </w:rPr>
      </w:pPr>
      <w:r>
        <w:rPr>
          <w:rFonts w:hint="eastAsia" w:ascii="宋体" w:hAnsi="宋体" w:cs="宋体"/>
          <w:color w:val="auto"/>
          <w:sz w:val="24"/>
        </w:rPr>
        <w:t>三 、作业技术依据</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（1）《全球定位系统（GPS）测量规范》，GB∕T 18314-2009；</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（2）《卫星定位城市测量技术规范》（CJJ∕T 73-2010）；</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（3）《城市测量规范》（CJJ∕T 8-2011）；</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（4）《地籍调查规程》（TD∕T 1001-2012）；</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（5）《房产测量规范 第1单元：房产测量规定》（GB∕T 17986.1-2000）；</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（6）大地测量控制点坐标转换技术规范（CH∕T 2014-2016）；</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（7）《国家基本比例尺地图测绘基本技术规定》，GB 35650-2017；</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（8）《国家基本比例尺地图图式 第1部分∶1∶500 1∶1000 1∶2000地形图图式》（GB∕T 20257.1-2017）；</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（9）《1∶500 1∶1000 1∶2000外业数字测图规程》，GB∕T 14912-2017；</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（10）《土地利用现状分类》（GB∕T 21010-2017）；</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（11）《土地利用数据库标准》（TD∕T 1016-2007）</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（12）《县土地利用总体规划数据库标准》（TD∕T 1027-2010）</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（13）《县级土地利用总体规划制图规范》（国土资源部，2009年发布）</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（14）《数字测绘成果质量检查与验收》（GB∕T 18316-2008）；</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（15）《测绘成果质量检查与验收》（GB∕T 24356-2009）；</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（16）《关于开展农村乱占耕地建房状况调查的通知》（桂自然资发〔2020〕30 号）；</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（17）《农村乱占耕地建房专项整治行动部际协调机制办公室关于印发农村乱占耕地建房问题摸排工作方案的通知》（协调机制办发[2020]1号）；</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（18）广西壮族自治区自然资源厅办公室关于进一步推进全区农村乱占耕地建房状况调查工作的通知（桂自然资办[2020]364号）。</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当实际操作过程中确实无法参照的需编写技术补充规定。</w:t>
      </w:r>
    </w:p>
    <w:p>
      <w:pPr>
        <w:pStyle w:val="3"/>
        <w:spacing w:line="400" w:lineRule="exact"/>
        <w:ind w:firstLine="482" w:firstLineChars="200"/>
        <w:rPr>
          <w:rFonts w:ascii="宋体" w:hAnsi="宋体" w:cs="宋体"/>
          <w:color w:val="auto"/>
          <w:sz w:val="24"/>
        </w:rPr>
      </w:pPr>
      <w:r>
        <w:rPr>
          <w:rFonts w:hint="eastAsia" w:ascii="宋体" w:hAnsi="宋体" w:cs="宋体"/>
          <w:color w:val="auto"/>
          <w:sz w:val="24"/>
        </w:rPr>
        <w:t>四、成果要求</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成果需要满足国家农村乱占耕地建房数据汇交平台的要求，并满足相关技术标准要求。</w:t>
      </w:r>
    </w:p>
    <w:p>
      <w:pPr>
        <w:pStyle w:val="3"/>
        <w:spacing w:line="400" w:lineRule="exact"/>
        <w:ind w:firstLine="482" w:firstLineChars="200"/>
        <w:rPr>
          <w:rFonts w:ascii="宋体" w:hAnsi="宋体" w:cs="宋体"/>
          <w:color w:val="auto"/>
          <w:sz w:val="24"/>
        </w:rPr>
      </w:pPr>
      <w:r>
        <w:rPr>
          <w:rFonts w:hint="eastAsia" w:ascii="宋体" w:hAnsi="宋体" w:cs="宋体"/>
          <w:color w:val="auto"/>
          <w:sz w:val="24"/>
        </w:rPr>
        <w:t>五、成果内容</w:t>
      </w:r>
    </w:p>
    <w:p>
      <w:pPr>
        <w:pStyle w:val="3"/>
        <w:spacing w:line="400" w:lineRule="exact"/>
        <w:ind w:firstLine="482" w:firstLineChars="200"/>
        <w:rPr>
          <w:rFonts w:ascii="宋体" w:hAnsi="宋体" w:cs="宋体"/>
          <w:color w:val="auto"/>
          <w:sz w:val="24"/>
        </w:rPr>
      </w:pPr>
      <w:r>
        <w:rPr>
          <w:rFonts w:hint="eastAsia" w:ascii="宋体" w:hAnsi="宋体" w:cs="宋体"/>
          <w:color w:val="auto"/>
          <w:sz w:val="24"/>
        </w:rPr>
        <w:t>5.1.1汇交数据</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按国家农村乱占耕地建房数据汇交平台要求组织的汇交数据包。</w:t>
      </w:r>
    </w:p>
    <w:p>
      <w:pPr>
        <w:pStyle w:val="3"/>
        <w:spacing w:line="400" w:lineRule="exact"/>
        <w:ind w:firstLine="482" w:firstLineChars="200"/>
        <w:rPr>
          <w:rFonts w:ascii="宋体" w:hAnsi="宋体" w:cs="宋体"/>
          <w:color w:val="auto"/>
          <w:sz w:val="24"/>
        </w:rPr>
      </w:pPr>
      <w:r>
        <w:rPr>
          <w:rFonts w:hint="eastAsia" w:ascii="宋体" w:hAnsi="宋体" w:cs="宋体"/>
          <w:color w:val="auto"/>
          <w:sz w:val="24"/>
        </w:rPr>
        <w:t>5.1.2表格成果(以国家/区最终下发的表格为准）</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（1）蒙山县农村占用耕地建房情况台账\农村乱占耕地建房问题摸排信息采集表，纸质；</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（2）蒙山县各级农村占用耕地建房情况汇总表；</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（3）蒙山县各级农村占用耕地建房情况统计表；</w:t>
      </w:r>
    </w:p>
    <w:p>
      <w:pPr>
        <w:pStyle w:val="3"/>
        <w:spacing w:line="400" w:lineRule="exact"/>
        <w:ind w:firstLine="482" w:firstLineChars="200"/>
        <w:rPr>
          <w:rFonts w:ascii="宋体" w:hAnsi="宋体" w:cs="宋体"/>
          <w:b w:val="0"/>
          <w:bCs/>
          <w:color w:val="auto"/>
          <w:sz w:val="24"/>
        </w:rPr>
      </w:pPr>
      <w:r>
        <w:rPr>
          <w:rFonts w:hint="eastAsia" w:ascii="宋体" w:hAnsi="宋体" w:cs="宋体"/>
          <w:color w:val="auto"/>
          <w:sz w:val="24"/>
        </w:rPr>
        <w:t>5.1.3测量成果（如需要测量）</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（1）宗地图；</w:t>
      </w:r>
    </w:p>
    <w:p>
      <w:pPr>
        <w:pStyle w:val="3"/>
        <w:spacing w:line="400" w:lineRule="exact"/>
        <w:ind w:firstLine="482" w:firstLineChars="200"/>
        <w:rPr>
          <w:rFonts w:ascii="宋体" w:hAnsi="宋体" w:cs="宋体"/>
          <w:b w:val="0"/>
          <w:bCs/>
          <w:color w:val="auto"/>
          <w:sz w:val="24"/>
        </w:rPr>
      </w:pPr>
      <w:r>
        <w:rPr>
          <w:rFonts w:hint="eastAsia" w:ascii="宋体" w:hAnsi="宋体" w:cs="宋体"/>
          <w:color w:val="auto"/>
          <w:sz w:val="24"/>
        </w:rPr>
        <w:t>5.1.4文档成果</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（1）技术设计书；</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（2）检查报告；</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（3）工作报告；</w:t>
      </w:r>
    </w:p>
    <w:p>
      <w:pPr>
        <w:pStyle w:val="3"/>
        <w:spacing w:line="400" w:lineRule="exact"/>
        <w:ind w:firstLine="482" w:firstLineChars="200"/>
        <w:rPr>
          <w:rFonts w:ascii="宋体" w:hAnsi="宋体" w:cs="宋体"/>
          <w:b w:val="0"/>
          <w:bCs/>
          <w:color w:val="auto"/>
          <w:sz w:val="24"/>
        </w:rPr>
      </w:pPr>
      <w:r>
        <w:rPr>
          <w:rFonts w:hint="eastAsia" w:ascii="宋体" w:hAnsi="宋体" w:cs="宋体"/>
          <w:color w:val="auto"/>
          <w:sz w:val="24"/>
        </w:rPr>
        <w:t>5.2成果介质</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上述成果中标明纸质的需要提供纸质成果，所有成果均含电子版数据。</w:t>
      </w:r>
    </w:p>
    <w:p>
      <w:pPr>
        <w:pStyle w:val="3"/>
        <w:spacing w:line="400" w:lineRule="exact"/>
        <w:ind w:firstLine="482" w:firstLineChars="200"/>
        <w:rPr>
          <w:rFonts w:ascii="宋体" w:hAnsi="宋体" w:cs="宋体"/>
          <w:color w:val="auto"/>
          <w:sz w:val="24"/>
        </w:rPr>
      </w:pPr>
      <w:r>
        <w:rPr>
          <w:rFonts w:hint="eastAsia" w:ascii="宋体" w:hAnsi="宋体" w:cs="宋体"/>
          <w:color w:val="auto"/>
          <w:sz w:val="24"/>
        </w:rPr>
        <w:t>六、项目要求完成时间</w:t>
      </w:r>
    </w:p>
    <w:p>
      <w:pPr>
        <w:pStyle w:val="3"/>
        <w:spacing w:line="400" w:lineRule="exact"/>
        <w:ind w:firstLine="480" w:firstLineChars="200"/>
        <w:rPr>
          <w:rFonts w:ascii="宋体" w:hAnsi="宋体" w:cs="宋体"/>
          <w:b w:val="0"/>
          <w:bCs/>
          <w:color w:val="auto"/>
          <w:sz w:val="24"/>
        </w:rPr>
      </w:pPr>
      <w:r>
        <w:rPr>
          <w:rFonts w:hint="eastAsia" w:ascii="宋体" w:hAnsi="宋体" w:cs="宋体"/>
          <w:b w:val="0"/>
          <w:bCs/>
          <w:color w:val="auto"/>
          <w:sz w:val="24"/>
        </w:rPr>
        <w:t>要求在2021年2月28日前完成（按广西壮族自治区自然资源厅对农村乱占耕地建房问题摸排工作的相关文件要求规定的时限）。</w:t>
      </w:r>
    </w:p>
    <w:p>
      <w:pPr>
        <w:pStyle w:val="8"/>
        <w:spacing w:line="400" w:lineRule="exact"/>
        <w:rPr>
          <w:rFonts w:ascii="宋体" w:hAnsi="宋体" w:eastAsia="宋体" w:cs="宋体"/>
          <w:color w:val="auto"/>
        </w:rPr>
      </w:pPr>
      <w:r>
        <w:rPr>
          <w:rFonts w:hint="eastAsia" w:ascii="宋体" w:hAnsi="宋体" w:eastAsia="宋体" w:cs="宋体"/>
          <w:color w:val="auto"/>
        </w:rPr>
        <w:t>七、服务要求</w:t>
      </w:r>
    </w:p>
    <w:p>
      <w:pPr>
        <w:pStyle w:val="37"/>
        <w:spacing w:line="400" w:lineRule="exact"/>
        <w:ind w:firstLine="480"/>
        <w:rPr>
          <w:rFonts w:ascii="宋体" w:hAnsi="宋体" w:cs="宋体"/>
          <w:color w:val="auto"/>
          <w:sz w:val="24"/>
        </w:rPr>
      </w:pPr>
      <w:r>
        <w:rPr>
          <w:rFonts w:hint="eastAsia" w:ascii="宋体" w:hAnsi="宋体" w:cs="宋体"/>
          <w:color w:val="auto"/>
          <w:sz w:val="24"/>
        </w:rPr>
        <w:t>1、招标单位有权根据进度情况适当调配项目，中标人须无条件接受。</w:t>
      </w:r>
    </w:p>
    <w:p>
      <w:pPr>
        <w:pStyle w:val="37"/>
        <w:spacing w:line="400" w:lineRule="exact"/>
        <w:ind w:firstLine="480"/>
        <w:rPr>
          <w:rFonts w:ascii="宋体" w:hAnsi="宋体" w:cs="宋体"/>
          <w:color w:val="auto"/>
          <w:sz w:val="24"/>
        </w:rPr>
      </w:pPr>
      <w:r>
        <w:rPr>
          <w:rFonts w:hint="eastAsia" w:ascii="宋体" w:hAnsi="宋体" w:cs="宋体"/>
          <w:color w:val="auto"/>
          <w:sz w:val="24"/>
        </w:rPr>
        <w:t>2、符合现行国家行业部门颁布的有关规程规范和标准要求，并按要求通过审查与评审。</w:t>
      </w:r>
    </w:p>
    <w:p>
      <w:pPr>
        <w:pStyle w:val="37"/>
        <w:spacing w:line="400" w:lineRule="exact"/>
        <w:ind w:firstLine="480"/>
        <w:rPr>
          <w:rFonts w:ascii="宋体" w:hAnsi="宋体" w:cs="宋体"/>
          <w:color w:val="auto"/>
          <w:sz w:val="24"/>
        </w:rPr>
      </w:pPr>
      <w:r>
        <w:rPr>
          <w:rFonts w:hint="eastAsia" w:ascii="宋体" w:hAnsi="宋体" w:cs="宋体"/>
          <w:color w:val="auto"/>
          <w:sz w:val="24"/>
        </w:rPr>
        <w:t>3、中标单位需承诺在中标后在当地设有售后服务点，并要求售后点需要有1-2个以上的技术人员常驻售后服务点，配合采购单位完成服务相关事宜。</w:t>
      </w:r>
    </w:p>
    <w:p>
      <w:pPr>
        <w:pStyle w:val="37"/>
        <w:spacing w:line="400" w:lineRule="exact"/>
        <w:ind w:firstLine="480"/>
        <w:rPr>
          <w:rFonts w:ascii="宋体" w:hAnsi="宋体" w:cs="宋体"/>
          <w:color w:val="auto"/>
          <w:sz w:val="24"/>
        </w:rPr>
      </w:pPr>
      <w:r>
        <w:rPr>
          <w:rFonts w:hint="eastAsia" w:ascii="宋体" w:hAnsi="宋体" w:cs="宋体"/>
          <w:color w:val="auto"/>
          <w:sz w:val="24"/>
        </w:rPr>
        <w:t>4、中标单位必须服从委托人的任务分配并在委托人规定的时间内完成调查任务并提交合格测绘成果。</w:t>
      </w:r>
    </w:p>
    <w:p>
      <w:pPr>
        <w:pStyle w:val="37"/>
        <w:spacing w:line="400" w:lineRule="exact"/>
        <w:ind w:firstLine="480"/>
        <w:rPr>
          <w:rFonts w:ascii="宋体" w:hAnsi="宋体" w:cs="宋体"/>
          <w:color w:val="auto"/>
          <w:sz w:val="24"/>
        </w:rPr>
      </w:pPr>
      <w:r>
        <w:rPr>
          <w:rFonts w:hint="eastAsia" w:ascii="宋体" w:hAnsi="宋体" w:cs="宋体"/>
          <w:color w:val="auto"/>
          <w:sz w:val="24"/>
        </w:rPr>
        <w:t>5、本项目不允许转包与分包，如有违反，一经发现，委托人有权解除合同，并不予支付费用和赔偿解除合同造成的损失，同时保留对实施方的追索权。</w:t>
      </w:r>
    </w:p>
    <w:p>
      <w:pPr>
        <w:pStyle w:val="8"/>
        <w:spacing w:line="400" w:lineRule="exact"/>
        <w:rPr>
          <w:rFonts w:ascii="宋体" w:hAnsi="宋体" w:eastAsia="宋体" w:cs="宋体"/>
          <w:color w:val="auto"/>
        </w:rPr>
      </w:pPr>
      <w:r>
        <w:rPr>
          <w:rFonts w:hint="eastAsia" w:ascii="宋体" w:hAnsi="宋体" w:eastAsia="宋体" w:cs="宋体"/>
          <w:color w:val="auto"/>
        </w:rPr>
        <w:t>八、付款方式</w:t>
      </w:r>
    </w:p>
    <w:p>
      <w:pPr>
        <w:framePr w:hSpace="180" w:wrap="around" w:vAnchor="text" w:hAnchor="page" w:x="1369" w:y="111"/>
        <w:spacing w:line="400" w:lineRule="exact"/>
        <w:ind w:left="1543" w:hanging="1543" w:hangingChars="735"/>
        <w:rPr>
          <w:rFonts w:asciiTheme="minorEastAsia" w:hAnsiTheme="minorEastAsia" w:eastAsiaTheme="minorEastAsia"/>
          <w:color w:val="auto"/>
        </w:rPr>
      </w:pPr>
      <w:r>
        <w:rPr>
          <w:rFonts w:hint="eastAsia" w:asciiTheme="minorEastAsia" w:hAnsiTheme="minorEastAsia" w:eastAsiaTheme="minorEastAsia"/>
          <w:color w:val="auto"/>
        </w:rPr>
        <w:t xml:space="preserve">   1、合同签订 20 个工作日内，甲方向乙方支付合同金额的30%作为前期工作经费。</w:t>
      </w:r>
    </w:p>
    <w:p>
      <w:pPr>
        <w:framePr w:hSpace="180" w:wrap="around" w:vAnchor="text" w:hAnchor="page" w:x="1369" w:y="111"/>
        <w:spacing w:line="400" w:lineRule="exact"/>
        <w:ind w:hanging="3"/>
        <w:rPr>
          <w:rFonts w:asciiTheme="minorEastAsia" w:hAnsiTheme="minorEastAsia" w:eastAsiaTheme="minorEastAsia"/>
          <w:color w:val="auto"/>
        </w:rPr>
      </w:pPr>
      <w:r>
        <w:rPr>
          <w:rFonts w:hint="eastAsia" w:asciiTheme="minorEastAsia" w:hAnsiTheme="minorEastAsia" w:eastAsiaTheme="minorEastAsia"/>
          <w:color w:val="auto"/>
        </w:rPr>
        <w:t xml:space="preserve">   2、按时完成初步摸排结果通过信息平台汇交后 30 个工作日内，甲方向乙方支付合同金额的50%。</w:t>
      </w:r>
    </w:p>
    <w:p>
      <w:pPr>
        <w:framePr w:hSpace="180" w:wrap="around" w:vAnchor="text" w:hAnchor="page" w:x="1369" w:y="111"/>
        <w:spacing w:line="400" w:lineRule="exact"/>
        <w:ind w:hanging="3"/>
        <w:rPr>
          <w:rFonts w:asciiTheme="minorEastAsia" w:hAnsiTheme="minorEastAsia" w:eastAsiaTheme="minorEastAsia"/>
          <w:color w:val="auto"/>
        </w:rPr>
      </w:pPr>
      <w:r>
        <w:rPr>
          <w:rFonts w:hint="eastAsia" w:asciiTheme="minorEastAsia" w:hAnsiTheme="minorEastAsia" w:eastAsiaTheme="minorEastAsia"/>
          <w:color w:val="auto"/>
        </w:rPr>
        <w:t xml:space="preserve">   3、按时完成核实纠正工作，上报最终摸排成果后 30 个工作日内，甲方向乙方支付合同金额的10%。</w:t>
      </w:r>
    </w:p>
    <w:p>
      <w:pPr>
        <w:framePr w:hSpace="180" w:wrap="around" w:vAnchor="text" w:hAnchor="page" w:x="1369" w:y="111"/>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 xml:space="preserve">   4、剩余10%待完成蒙山县农村乱占耕地建房问题摸排数据库建设工作后，30 个工作日内向乙方支付。</w:t>
      </w:r>
    </w:p>
    <w:p>
      <w:pPr>
        <w:spacing w:line="400" w:lineRule="exact"/>
        <w:rPr>
          <w:color w:val="auto"/>
        </w:rPr>
      </w:pPr>
      <w:r>
        <w:rPr>
          <w:rFonts w:hint="eastAsia" w:asciiTheme="minorEastAsia" w:hAnsiTheme="minorEastAsia" w:eastAsiaTheme="minorEastAsia"/>
          <w:color w:val="auto"/>
        </w:rPr>
        <w:t xml:space="preserve">     5、乙方应向甲方提供合格的等额发票。</w:t>
      </w:r>
    </w:p>
    <w:p>
      <w:pPr>
        <w:pStyle w:val="3"/>
        <w:spacing w:line="560" w:lineRule="exact"/>
        <w:rPr>
          <w:b w:val="0"/>
          <w:color w:val="auto"/>
          <w:sz w:val="32"/>
          <w:szCs w:val="32"/>
        </w:rPr>
      </w:pPr>
      <w:bookmarkStart w:id="254" w:name="_Toc185702587"/>
      <w:bookmarkStart w:id="255" w:name="_Toc156106970"/>
      <w:bookmarkStart w:id="256" w:name="_Toc239839916"/>
      <w:bookmarkStart w:id="257" w:name="_Toc444006019"/>
      <w:bookmarkStart w:id="258" w:name="_Toc147248435"/>
      <w:bookmarkStart w:id="259" w:name="_Toc185703009"/>
    </w:p>
    <w:p>
      <w:pPr>
        <w:pStyle w:val="4"/>
        <w:rPr>
          <w:color w:val="auto"/>
        </w:rPr>
      </w:pPr>
    </w:p>
    <w:p>
      <w:pPr>
        <w:pStyle w:val="4"/>
        <w:rPr>
          <w:color w:val="auto"/>
        </w:rPr>
      </w:pPr>
    </w:p>
    <w:p>
      <w:pPr>
        <w:pStyle w:val="4"/>
        <w:rPr>
          <w:color w:val="auto"/>
        </w:rPr>
      </w:pPr>
    </w:p>
    <w:p>
      <w:pPr>
        <w:pStyle w:val="3"/>
        <w:spacing w:line="560" w:lineRule="exact"/>
        <w:jc w:val="center"/>
        <w:rPr>
          <w:rFonts w:ascii="方正隶书简体" w:hAnsi="宋体" w:eastAsia="方正隶书简体"/>
          <w:bCs/>
          <w:color w:val="auto"/>
          <w:sz w:val="44"/>
        </w:rPr>
      </w:pPr>
      <w:r>
        <w:rPr>
          <w:rFonts w:hint="eastAsia" w:ascii="方正隶书简体" w:hAnsi="宋体" w:eastAsia="方正隶书简体"/>
          <w:bCs/>
          <w:color w:val="auto"/>
          <w:sz w:val="44"/>
        </w:rPr>
        <w:t>第三章   政府采购合同（格式）</w:t>
      </w:r>
      <w:bookmarkEnd w:id="254"/>
      <w:bookmarkEnd w:id="255"/>
      <w:bookmarkEnd w:id="256"/>
      <w:bookmarkEnd w:id="257"/>
      <w:bookmarkEnd w:id="258"/>
      <w:bookmarkEnd w:id="259"/>
    </w:p>
    <w:p>
      <w:pPr>
        <w:pStyle w:val="17"/>
        <w:spacing w:line="400" w:lineRule="exact"/>
        <w:ind w:firstLine="4" w:firstLineChars="2"/>
        <w:rPr>
          <w:rFonts w:hAnsi="宋体"/>
          <w:b/>
          <w:bCs/>
          <w:color w:val="auto"/>
          <w:szCs w:val="21"/>
        </w:rPr>
      </w:pPr>
      <w:r>
        <w:rPr>
          <w:rFonts w:hint="eastAsia" w:hAnsi="宋体"/>
          <w:b/>
          <w:bCs/>
          <w:color w:val="auto"/>
          <w:szCs w:val="21"/>
        </w:rPr>
        <w:t>注：</w:t>
      </w:r>
    </w:p>
    <w:p>
      <w:pPr>
        <w:pStyle w:val="17"/>
        <w:spacing w:line="400" w:lineRule="exact"/>
        <w:ind w:left="314" w:leftChars="2" w:hanging="310" w:hangingChars="147"/>
        <w:rPr>
          <w:rFonts w:hAnsi="宋体"/>
          <w:b/>
          <w:bCs/>
          <w:color w:val="auto"/>
          <w:szCs w:val="21"/>
        </w:rPr>
      </w:pPr>
      <w:r>
        <w:rPr>
          <w:rFonts w:hint="eastAsia" w:hAnsi="宋体"/>
          <w:b/>
          <w:bCs/>
          <w:color w:val="auto"/>
          <w:szCs w:val="21"/>
        </w:rPr>
        <w:t>1、本合同样本仅供参考，具体内容由采购人和成交人协商确定，但补充和修改不得造成与本章格式内容有实质性的违背。</w:t>
      </w:r>
    </w:p>
    <w:p>
      <w:pPr>
        <w:pStyle w:val="17"/>
        <w:spacing w:line="400" w:lineRule="exact"/>
        <w:ind w:left="314" w:leftChars="2" w:hanging="310" w:hangingChars="147"/>
        <w:rPr>
          <w:rFonts w:hAnsi="宋体"/>
          <w:b/>
          <w:bCs/>
          <w:color w:val="auto"/>
          <w:szCs w:val="21"/>
        </w:rPr>
      </w:pPr>
      <w:r>
        <w:rPr>
          <w:rFonts w:hint="eastAsia" w:hAnsi="宋体"/>
          <w:b/>
          <w:bCs/>
          <w:color w:val="auto"/>
          <w:szCs w:val="21"/>
        </w:rPr>
        <w:t>2、合同基本条款部分采用国家工商行政管理局和建设部颁布的《规划项目设计合同》GF-2000-0209范本。如与合同书不一致之处以合同书为准。</w:t>
      </w:r>
    </w:p>
    <w:p>
      <w:pPr>
        <w:rPr>
          <w:rFonts w:hAnsi="宋体"/>
          <w:b/>
          <w:bCs/>
          <w:color w:val="auto"/>
        </w:rPr>
      </w:pPr>
      <w:r>
        <w:rPr>
          <w:rFonts w:hint="eastAsia" w:hAnsi="宋体"/>
          <w:b/>
          <w:bCs/>
          <w:color w:val="auto"/>
        </w:rPr>
        <w:cr/>
      </w: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pStyle w:val="7"/>
        <w:rPr>
          <w:rFonts w:hAnsi="宋体"/>
          <w:b/>
          <w:bCs/>
          <w:color w:val="auto"/>
        </w:rPr>
      </w:pPr>
    </w:p>
    <w:p>
      <w:pPr>
        <w:rPr>
          <w:rFonts w:hAnsi="宋体"/>
          <w:b/>
          <w:bCs/>
          <w:color w:val="auto"/>
        </w:rPr>
      </w:pPr>
    </w:p>
    <w:p>
      <w:pPr>
        <w:pStyle w:val="7"/>
        <w:rPr>
          <w:rFonts w:hAnsi="宋体"/>
          <w:b/>
          <w:bCs/>
          <w:color w:val="auto"/>
        </w:rPr>
      </w:pPr>
    </w:p>
    <w:p>
      <w:pPr>
        <w:rPr>
          <w:rFonts w:hAnsi="宋体"/>
          <w:b/>
          <w:bCs/>
          <w:color w:val="auto"/>
        </w:rPr>
      </w:pPr>
    </w:p>
    <w:p>
      <w:pPr>
        <w:pStyle w:val="7"/>
        <w:rPr>
          <w:rFonts w:hAnsi="宋体"/>
          <w:b/>
          <w:bCs/>
          <w:color w:val="auto"/>
        </w:rPr>
      </w:pPr>
    </w:p>
    <w:p>
      <w:pPr>
        <w:rPr>
          <w:rFonts w:hAnsi="宋体"/>
          <w:b/>
          <w:bCs/>
          <w:color w:val="auto"/>
        </w:rPr>
      </w:pPr>
    </w:p>
    <w:p>
      <w:pPr>
        <w:pStyle w:val="7"/>
        <w:rPr>
          <w:rFonts w:hAnsi="宋体"/>
          <w:b/>
          <w:bCs/>
          <w:color w:val="auto"/>
        </w:rPr>
      </w:pPr>
    </w:p>
    <w:p>
      <w:pPr>
        <w:rPr>
          <w:rFonts w:hAnsi="宋体"/>
          <w:b/>
          <w:bCs/>
          <w:color w:val="auto"/>
        </w:rPr>
      </w:pPr>
    </w:p>
    <w:p>
      <w:pPr>
        <w:pStyle w:val="7"/>
        <w:rPr>
          <w:rFonts w:hAnsi="宋体"/>
          <w:b/>
          <w:bCs/>
          <w:color w:val="auto"/>
        </w:rPr>
      </w:pPr>
    </w:p>
    <w:p>
      <w:pPr>
        <w:rPr>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rFonts w:hAnsi="宋体"/>
          <w:b/>
          <w:bCs/>
          <w:color w:val="auto"/>
        </w:rPr>
      </w:pPr>
    </w:p>
    <w:p>
      <w:pPr>
        <w:rPr>
          <w:color w:val="auto"/>
        </w:rPr>
      </w:pPr>
    </w:p>
    <w:p>
      <w:pPr>
        <w:pStyle w:val="27"/>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ind w:firstLine="420"/>
        <w:jc w:val="center"/>
        <w:rPr>
          <w:rFonts w:ascii="宋体" w:hAnsi="宋体" w:eastAsia="宋体"/>
          <w:b/>
          <w:bCs/>
          <w:color w:val="auto"/>
          <w:sz w:val="48"/>
          <w:szCs w:val="36"/>
        </w:rPr>
      </w:pPr>
    </w:p>
    <w:p>
      <w:pPr>
        <w:pStyle w:val="27"/>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ind w:firstLine="420"/>
        <w:jc w:val="center"/>
        <w:rPr>
          <w:rFonts w:ascii="宋体" w:hAnsi="宋体" w:eastAsia="宋体"/>
          <w:b/>
          <w:bCs/>
          <w:color w:val="auto"/>
          <w:sz w:val="48"/>
          <w:szCs w:val="36"/>
        </w:rPr>
      </w:pPr>
    </w:p>
    <w:p>
      <w:pPr>
        <w:pStyle w:val="27"/>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ind w:firstLine="420"/>
        <w:jc w:val="center"/>
        <w:rPr>
          <w:rFonts w:ascii="宋体" w:hAnsi="宋体" w:eastAsia="宋体"/>
          <w:b/>
          <w:bCs/>
          <w:color w:val="auto"/>
          <w:sz w:val="48"/>
          <w:szCs w:val="36"/>
        </w:rPr>
      </w:pPr>
    </w:p>
    <w:p>
      <w:pPr>
        <w:pStyle w:val="27"/>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ind w:firstLine="420"/>
        <w:jc w:val="center"/>
        <w:rPr>
          <w:rFonts w:ascii="宋体" w:hAnsi="宋体" w:eastAsia="宋体"/>
          <w:b/>
          <w:bCs/>
          <w:color w:val="auto"/>
          <w:sz w:val="48"/>
          <w:szCs w:val="36"/>
        </w:rPr>
      </w:pPr>
    </w:p>
    <w:p>
      <w:pPr>
        <w:pStyle w:val="27"/>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ind w:firstLine="420"/>
        <w:jc w:val="center"/>
        <w:rPr>
          <w:rFonts w:ascii="宋体" w:hAnsi="宋体" w:eastAsia="宋体"/>
          <w:b/>
          <w:bCs/>
          <w:color w:val="auto"/>
          <w:sz w:val="48"/>
          <w:szCs w:val="36"/>
        </w:rPr>
      </w:pPr>
    </w:p>
    <w:p>
      <w:pPr>
        <w:pStyle w:val="27"/>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ind w:firstLine="420"/>
        <w:jc w:val="center"/>
        <w:rPr>
          <w:rFonts w:ascii="宋体" w:hAnsi="宋体" w:eastAsia="宋体"/>
          <w:b/>
          <w:bCs/>
          <w:color w:val="auto"/>
          <w:sz w:val="48"/>
          <w:szCs w:val="36"/>
        </w:rPr>
      </w:pPr>
      <w:r>
        <w:rPr>
          <w:rFonts w:hint="eastAsia" w:ascii="宋体" w:hAnsi="宋体" w:eastAsia="宋体"/>
          <w:b/>
          <w:bCs/>
          <w:color w:val="auto"/>
          <w:sz w:val="48"/>
          <w:szCs w:val="36"/>
        </w:rPr>
        <w:t>政府采购合同书</w:t>
      </w:r>
    </w:p>
    <w:p>
      <w:pPr>
        <w:pStyle w:val="27"/>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ind w:firstLine="420"/>
        <w:jc w:val="center"/>
        <w:rPr>
          <w:rFonts w:ascii="宋体" w:hAnsi="宋体" w:eastAsia="宋体"/>
          <w:b/>
          <w:bCs/>
          <w:color w:val="auto"/>
          <w:sz w:val="48"/>
          <w:szCs w:val="36"/>
        </w:rPr>
      </w:pPr>
    </w:p>
    <w:p>
      <w:pPr>
        <w:pStyle w:val="27"/>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ind w:firstLine="420"/>
        <w:rPr>
          <w:b/>
          <w:color w:val="auto"/>
          <w:sz w:val="32"/>
        </w:rPr>
      </w:pPr>
    </w:p>
    <w:p>
      <w:pPr>
        <w:pStyle w:val="27"/>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ind w:firstLine="420"/>
        <w:rPr>
          <w:b/>
          <w:color w:val="auto"/>
          <w:sz w:val="32"/>
        </w:rPr>
      </w:pPr>
    </w:p>
    <w:p>
      <w:pPr>
        <w:pStyle w:val="27"/>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ind w:firstLine="420"/>
        <w:rPr>
          <w:b/>
          <w:color w:val="auto"/>
          <w:sz w:val="32"/>
        </w:rPr>
      </w:pPr>
    </w:p>
    <w:p>
      <w:pPr>
        <w:pStyle w:val="27"/>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ind w:firstLine="420"/>
        <w:rPr>
          <w:b/>
          <w:color w:val="auto"/>
          <w:sz w:val="32"/>
        </w:rPr>
      </w:pPr>
    </w:p>
    <w:p>
      <w:pPr>
        <w:pStyle w:val="27"/>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ind w:firstLine="420"/>
        <w:rPr>
          <w:b/>
          <w:color w:val="auto"/>
          <w:sz w:val="32"/>
        </w:rPr>
      </w:pPr>
    </w:p>
    <w:p>
      <w:pPr>
        <w:pStyle w:val="27"/>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ind w:firstLine="420"/>
        <w:rPr>
          <w:b/>
          <w:color w:val="auto"/>
          <w:sz w:val="32"/>
        </w:rPr>
      </w:pPr>
    </w:p>
    <w:p>
      <w:pPr>
        <w:pStyle w:val="27"/>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ind w:firstLine="420"/>
        <w:rPr>
          <w:b/>
          <w:color w:val="auto"/>
          <w:sz w:val="32"/>
        </w:rPr>
      </w:pPr>
    </w:p>
    <w:p>
      <w:pPr>
        <w:pStyle w:val="27"/>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ind w:firstLine="420"/>
        <w:rPr>
          <w:b/>
          <w:color w:val="auto"/>
          <w:sz w:val="32"/>
        </w:rPr>
      </w:pPr>
    </w:p>
    <w:p>
      <w:pPr>
        <w:pStyle w:val="27"/>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ind w:firstLine="420"/>
        <w:rPr>
          <w:b/>
          <w:color w:val="auto"/>
          <w:sz w:val="32"/>
        </w:rPr>
      </w:pPr>
    </w:p>
    <w:p>
      <w:pPr>
        <w:pStyle w:val="27"/>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ind w:firstLine="420"/>
        <w:rPr>
          <w:b/>
          <w:color w:val="auto"/>
          <w:sz w:val="32"/>
        </w:rPr>
      </w:pPr>
    </w:p>
    <w:p>
      <w:pPr>
        <w:pStyle w:val="27"/>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ind w:firstLine="420"/>
        <w:rPr>
          <w:b/>
          <w:color w:val="auto"/>
          <w:sz w:val="32"/>
        </w:rPr>
      </w:pPr>
    </w:p>
    <w:p>
      <w:pPr>
        <w:pStyle w:val="27"/>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80" w:lineRule="exact"/>
        <w:ind w:left="2775" w:leftChars="550" w:hanging="1620" w:hangingChars="450"/>
        <w:rPr>
          <w:rFonts w:ascii="宋体" w:hAnsi="宋体" w:eastAsia="宋体"/>
          <w:color w:val="auto"/>
          <w:sz w:val="36"/>
          <w:szCs w:val="21"/>
        </w:rPr>
      </w:pPr>
      <w:r>
        <w:rPr>
          <w:rFonts w:hint="eastAsia" w:ascii="宋体" w:hAnsi="宋体" w:eastAsia="宋体"/>
          <w:color w:val="auto"/>
          <w:sz w:val="36"/>
          <w:szCs w:val="21"/>
        </w:rPr>
        <w:t>合同名称：蒙山县农村乱占耕地建房状况调查</w:t>
      </w:r>
    </w:p>
    <w:p>
      <w:pPr>
        <w:pStyle w:val="17"/>
        <w:spacing w:line="460" w:lineRule="exact"/>
        <w:jc w:val="center"/>
        <w:rPr>
          <w:rFonts w:ascii="Times New Roman" w:hAnsi="Times New Roman"/>
          <w:b/>
          <w:color w:val="auto"/>
          <w:sz w:val="32"/>
        </w:rPr>
      </w:pPr>
    </w:p>
    <w:p>
      <w:pPr>
        <w:pStyle w:val="17"/>
        <w:spacing w:line="460" w:lineRule="exact"/>
        <w:jc w:val="center"/>
        <w:rPr>
          <w:rFonts w:ascii="Times New Roman" w:hAnsi="Times New Roman"/>
          <w:b/>
          <w:color w:val="auto"/>
          <w:sz w:val="32"/>
        </w:rPr>
      </w:pPr>
    </w:p>
    <w:p>
      <w:pPr>
        <w:pStyle w:val="17"/>
        <w:spacing w:line="460" w:lineRule="exact"/>
        <w:ind w:firstLine="1080" w:firstLineChars="300"/>
        <w:rPr>
          <w:rFonts w:ascii="Times New Roman" w:hAnsi="Times New Roman"/>
          <w:bCs/>
          <w:color w:val="auto"/>
          <w:sz w:val="36"/>
          <w:szCs w:val="36"/>
        </w:rPr>
      </w:pPr>
      <w:r>
        <w:rPr>
          <w:rFonts w:hint="eastAsia" w:ascii="Times New Roman" w:hAnsi="Times New Roman"/>
          <w:bCs/>
          <w:color w:val="auto"/>
          <w:sz w:val="36"/>
          <w:szCs w:val="36"/>
        </w:rPr>
        <w:t>合同编号：MSZC2020-C3-03365-001</w:t>
      </w:r>
    </w:p>
    <w:p>
      <w:pPr>
        <w:pStyle w:val="17"/>
        <w:spacing w:line="460" w:lineRule="exact"/>
        <w:jc w:val="center"/>
        <w:rPr>
          <w:rFonts w:ascii="Times New Roman" w:hAnsi="Times New Roman"/>
          <w:b/>
          <w:color w:val="auto"/>
          <w:sz w:val="32"/>
        </w:rPr>
      </w:pPr>
    </w:p>
    <w:p>
      <w:pPr>
        <w:pStyle w:val="17"/>
        <w:spacing w:line="460" w:lineRule="exact"/>
        <w:jc w:val="center"/>
        <w:rPr>
          <w:rFonts w:ascii="Times New Roman" w:hAnsi="Times New Roman"/>
          <w:b/>
          <w:color w:val="auto"/>
          <w:sz w:val="32"/>
        </w:rPr>
      </w:pPr>
    </w:p>
    <w:p>
      <w:pPr>
        <w:pStyle w:val="17"/>
        <w:spacing w:line="460" w:lineRule="exact"/>
        <w:jc w:val="center"/>
        <w:rPr>
          <w:rFonts w:ascii="Times New Roman" w:hAnsi="Times New Roman"/>
          <w:b/>
          <w:color w:val="auto"/>
          <w:sz w:val="32"/>
        </w:rPr>
      </w:pPr>
    </w:p>
    <w:p>
      <w:pPr>
        <w:pStyle w:val="17"/>
        <w:spacing w:line="460" w:lineRule="exact"/>
        <w:jc w:val="center"/>
        <w:rPr>
          <w:rFonts w:ascii="Times New Roman" w:hAnsi="Times New Roman"/>
          <w:b/>
          <w:color w:val="auto"/>
          <w:sz w:val="32"/>
        </w:rPr>
      </w:pPr>
    </w:p>
    <w:p>
      <w:pPr>
        <w:pStyle w:val="17"/>
        <w:spacing w:line="460" w:lineRule="exact"/>
        <w:jc w:val="center"/>
        <w:rPr>
          <w:rFonts w:ascii="Times New Roman" w:hAnsi="Times New Roman"/>
          <w:b/>
          <w:color w:val="auto"/>
          <w:sz w:val="32"/>
        </w:rPr>
      </w:pPr>
    </w:p>
    <w:p>
      <w:pPr>
        <w:pStyle w:val="17"/>
        <w:spacing w:line="460" w:lineRule="exact"/>
        <w:rPr>
          <w:rFonts w:ascii="Times New Roman" w:hAnsi="Times New Roman"/>
          <w:b/>
          <w:color w:val="auto"/>
          <w:sz w:val="32"/>
        </w:rPr>
      </w:pPr>
    </w:p>
    <w:p>
      <w:pPr>
        <w:pStyle w:val="17"/>
        <w:spacing w:line="460" w:lineRule="exact"/>
        <w:jc w:val="center"/>
        <w:rPr>
          <w:rFonts w:ascii="Times New Roman" w:hAnsi="Times New Roman"/>
          <w:b/>
          <w:color w:val="auto"/>
          <w:sz w:val="32"/>
        </w:rPr>
      </w:pPr>
    </w:p>
    <w:p>
      <w:pPr>
        <w:spacing w:line="360" w:lineRule="auto"/>
        <w:ind w:firstLine="900" w:firstLineChars="250"/>
        <w:rPr>
          <w:bCs/>
          <w:color w:val="auto"/>
          <w:sz w:val="36"/>
        </w:rPr>
      </w:pPr>
      <w:r>
        <w:rPr>
          <w:bCs/>
          <w:color w:val="auto"/>
          <w:sz w:val="36"/>
        </w:rPr>
        <w:t>签订时间：年月日</w:t>
      </w:r>
    </w:p>
    <w:p>
      <w:pPr>
        <w:ind w:firstLine="882" w:firstLineChars="245"/>
        <w:rPr>
          <w:bCs/>
          <w:color w:val="auto"/>
          <w:sz w:val="36"/>
        </w:rPr>
      </w:pPr>
      <w:r>
        <w:rPr>
          <w:bCs/>
          <w:color w:val="auto"/>
          <w:sz w:val="36"/>
        </w:rPr>
        <w:t>签订地点：</w:t>
      </w:r>
    </w:p>
    <w:p>
      <w:pPr>
        <w:ind w:firstLine="885" w:firstLineChars="245"/>
        <w:rPr>
          <w:b/>
          <w:color w:val="auto"/>
          <w:sz w:val="36"/>
        </w:rPr>
      </w:pPr>
    </w:p>
    <w:p>
      <w:pPr>
        <w:rPr>
          <w:color w:val="auto"/>
        </w:rPr>
      </w:pPr>
    </w:p>
    <w:p>
      <w:pPr>
        <w:rPr>
          <w:color w:val="auto"/>
        </w:rPr>
      </w:pPr>
    </w:p>
    <w:p>
      <w:pPr>
        <w:pStyle w:val="7"/>
        <w:rPr>
          <w:color w:val="auto"/>
        </w:rPr>
      </w:pPr>
    </w:p>
    <w:p>
      <w:pPr>
        <w:rPr>
          <w:color w:val="auto"/>
        </w:rPr>
      </w:pPr>
    </w:p>
    <w:p>
      <w:pPr>
        <w:rPr>
          <w:rFonts w:asciiTheme="majorEastAsia" w:hAnsiTheme="majorEastAsia" w:eastAsiaTheme="majorEastAsia" w:cstheme="majorEastAsia"/>
          <w:color w:val="auto"/>
        </w:rPr>
      </w:pPr>
    </w:p>
    <w:p>
      <w:pPr>
        <w:adjustRightInd w:val="0"/>
        <w:snapToGrid w:val="0"/>
        <w:spacing w:line="360" w:lineRule="auto"/>
        <w:rPr>
          <w:rStyle w:val="73"/>
          <w:rFonts w:asciiTheme="majorEastAsia" w:hAnsiTheme="majorEastAsia" w:eastAsiaTheme="majorEastAsia" w:cstheme="majorEastAsia"/>
          <w:bCs/>
          <w:color w:val="auto"/>
          <w:sz w:val="24"/>
        </w:rPr>
      </w:pPr>
    </w:p>
    <w:p>
      <w:pPr>
        <w:adjustRightInd w:val="0"/>
        <w:snapToGrid w:val="0"/>
        <w:rPr>
          <w:rStyle w:val="73"/>
          <w:rFonts w:asciiTheme="majorEastAsia" w:hAnsiTheme="majorEastAsia" w:eastAsiaTheme="majorEastAsia" w:cstheme="majorEastAsia"/>
          <w:bCs/>
          <w:color w:val="auto"/>
          <w:sz w:val="24"/>
        </w:rPr>
      </w:pPr>
    </w:p>
    <w:p>
      <w:pPr>
        <w:adjustRightInd w:val="0"/>
        <w:snapToGrid w:val="0"/>
        <w:ind w:firstLine="240" w:firstLineChars="100"/>
        <w:rPr>
          <w:rFonts w:asciiTheme="majorEastAsia" w:hAnsiTheme="majorEastAsia" w:eastAsiaTheme="majorEastAsia" w:cstheme="majorEastAsia"/>
          <w:bCs/>
          <w:color w:val="auto"/>
          <w:sz w:val="24"/>
          <w:u w:val="single"/>
        </w:rPr>
      </w:pPr>
      <w:r>
        <w:rPr>
          <w:rStyle w:val="73"/>
          <w:rFonts w:hint="eastAsia" w:asciiTheme="majorEastAsia" w:hAnsiTheme="majorEastAsia" w:eastAsiaTheme="majorEastAsia" w:cstheme="majorEastAsia"/>
          <w:bCs/>
          <w:color w:val="auto"/>
          <w:sz w:val="24"/>
        </w:rPr>
        <w:t>委托方</w:t>
      </w:r>
      <w:r>
        <w:rPr>
          <w:rFonts w:hint="eastAsia" w:asciiTheme="majorEastAsia" w:hAnsiTheme="majorEastAsia" w:eastAsiaTheme="majorEastAsia" w:cstheme="majorEastAsia"/>
          <w:bCs/>
          <w:color w:val="auto"/>
          <w:sz w:val="24"/>
        </w:rPr>
        <w:t>（以下简称“甲方”）</w:t>
      </w:r>
      <w:r>
        <w:rPr>
          <w:rStyle w:val="73"/>
          <w:rFonts w:hint="eastAsia" w:asciiTheme="majorEastAsia" w:hAnsiTheme="majorEastAsia" w:eastAsiaTheme="majorEastAsia" w:cstheme="majorEastAsia"/>
          <w:bCs/>
          <w:color w:val="auto"/>
          <w:sz w:val="24"/>
        </w:rPr>
        <w:t>：</w:t>
      </w:r>
    </w:p>
    <w:p>
      <w:pPr>
        <w:adjustRightInd w:val="0"/>
        <w:snapToGrid w:val="0"/>
        <w:rPr>
          <w:rStyle w:val="73"/>
          <w:rFonts w:asciiTheme="majorEastAsia" w:hAnsiTheme="majorEastAsia" w:eastAsiaTheme="majorEastAsia" w:cstheme="majorEastAsia"/>
          <w:bCs/>
          <w:color w:val="auto"/>
          <w:sz w:val="24"/>
        </w:rPr>
      </w:pPr>
    </w:p>
    <w:p>
      <w:pPr>
        <w:adjustRightInd w:val="0"/>
        <w:snapToGrid w:val="0"/>
        <w:ind w:firstLine="240" w:firstLineChars="100"/>
        <w:rPr>
          <w:rFonts w:asciiTheme="majorEastAsia" w:hAnsiTheme="majorEastAsia" w:eastAsiaTheme="majorEastAsia" w:cstheme="majorEastAsia"/>
          <w:bCs/>
          <w:color w:val="auto"/>
          <w:sz w:val="24"/>
          <w:u w:val="single"/>
        </w:rPr>
      </w:pPr>
      <w:r>
        <w:rPr>
          <w:rStyle w:val="73"/>
          <w:rFonts w:hint="eastAsia" w:asciiTheme="majorEastAsia" w:hAnsiTheme="majorEastAsia" w:eastAsiaTheme="majorEastAsia" w:cstheme="majorEastAsia"/>
          <w:bCs/>
          <w:color w:val="auto"/>
          <w:sz w:val="24"/>
        </w:rPr>
        <w:t>受委托方（以下简称“乙方”）：</w:t>
      </w:r>
    </w:p>
    <w:p>
      <w:pPr>
        <w:pStyle w:val="14"/>
        <w:ind w:left="468" w:leftChars="223" w:right="549" w:firstLine="419" w:firstLineChars="221"/>
        <w:rPr>
          <w:rFonts w:ascii="宋体" w:hAnsi="宋体" w:cs="宋体"/>
          <w:color w:val="auto"/>
          <w:spacing w:val="-10"/>
        </w:rPr>
      </w:pPr>
    </w:p>
    <w:p>
      <w:pPr>
        <w:pStyle w:val="14"/>
        <w:ind w:left="468" w:leftChars="223" w:right="549" w:firstLine="419" w:firstLineChars="221"/>
        <w:rPr>
          <w:rFonts w:ascii="宋体" w:hAnsi="宋体" w:cs="宋体"/>
          <w:color w:val="auto"/>
        </w:rPr>
      </w:pPr>
      <w:r>
        <w:rPr>
          <w:rFonts w:hint="eastAsia" w:ascii="宋体" w:hAnsi="宋体" w:cs="宋体"/>
          <w:color w:val="auto"/>
          <w:spacing w:val="-10"/>
        </w:rPr>
        <w:t>根据《中华人民共和国政府采购法》、《中华人民共和国合同法》等法律、法规规定，按照招标文件</w:t>
      </w:r>
      <w:r>
        <w:rPr>
          <w:rFonts w:hint="eastAsia" w:ascii="宋体" w:hAnsi="宋体" w:cs="宋体"/>
          <w:color w:val="auto"/>
          <w:spacing w:val="-5"/>
        </w:rPr>
        <w:t>规定条款和中标供应商承诺，甲乙双方签订本合同。</w:t>
      </w:r>
    </w:p>
    <w:p>
      <w:pPr>
        <w:pStyle w:val="10"/>
        <w:tabs>
          <w:tab w:val="left" w:pos="1877"/>
        </w:tabs>
        <w:ind w:left="1033"/>
        <w:rPr>
          <w:rFonts w:ascii="宋体" w:hAnsi="宋体" w:eastAsia="宋体" w:cs="宋体"/>
          <w:color w:val="auto"/>
        </w:rPr>
      </w:pPr>
      <w:r>
        <w:rPr>
          <w:rFonts w:hint="eastAsia" w:ascii="宋体" w:hAnsi="宋体" w:eastAsia="宋体" w:cs="宋体"/>
          <w:color w:val="auto"/>
        </w:rPr>
        <w:t>第一条</w:t>
      </w:r>
      <w:r>
        <w:rPr>
          <w:rFonts w:hint="eastAsia" w:ascii="宋体" w:hAnsi="宋体" w:eastAsia="宋体" w:cs="宋体"/>
          <w:color w:val="auto"/>
        </w:rPr>
        <w:tab/>
      </w:r>
      <w:r>
        <w:rPr>
          <w:rFonts w:hint="eastAsia" w:ascii="宋体" w:hAnsi="宋体" w:eastAsia="宋体" w:cs="宋体"/>
          <w:color w:val="auto"/>
        </w:rPr>
        <w:t>项目</w:t>
      </w:r>
    </w:p>
    <w:p>
      <w:pPr>
        <w:pStyle w:val="14"/>
        <w:tabs>
          <w:tab w:val="left" w:pos="3080"/>
        </w:tabs>
        <w:ind w:left="990"/>
        <w:rPr>
          <w:rFonts w:ascii="宋体" w:hAnsi="宋体" w:cs="宋体"/>
          <w:color w:val="auto"/>
          <w:u w:val="single"/>
        </w:rPr>
      </w:pPr>
      <w:r>
        <w:rPr>
          <w:rFonts w:hint="eastAsia" w:ascii="宋体" w:hAnsi="宋体" w:cs="宋体"/>
          <w:color w:val="auto"/>
        </w:rPr>
        <w:t>1、</w:t>
      </w:r>
      <w:r>
        <w:rPr>
          <w:rFonts w:hint="eastAsia" w:ascii="宋体" w:hAnsi="宋体" w:cs="宋体"/>
          <w:color w:val="auto"/>
          <w:spacing w:val="-3"/>
        </w:rPr>
        <w:t>项</w:t>
      </w:r>
      <w:r>
        <w:rPr>
          <w:rFonts w:hint="eastAsia" w:ascii="宋体" w:hAnsi="宋体" w:cs="宋体"/>
          <w:color w:val="auto"/>
        </w:rPr>
        <w:t>目</w:t>
      </w:r>
      <w:r>
        <w:rPr>
          <w:rFonts w:hint="eastAsia" w:ascii="宋体" w:hAnsi="宋体" w:cs="宋体"/>
          <w:color w:val="auto"/>
          <w:spacing w:val="-3"/>
        </w:rPr>
        <w:t>名</w:t>
      </w:r>
      <w:r>
        <w:rPr>
          <w:rFonts w:hint="eastAsia" w:ascii="宋体" w:hAnsi="宋体" w:cs="宋体"/>
          <w:color w:val="auto"/>
        </w:rPr>
        <w:t>称</w:t>
      </w:r>
      <w:r>
        <w:rPr>
          <w:rFonts w:hint="eastAsia" w:ascii="宋体" w:hAnsi="宋体" w:cs="宋体"/>
          <w:color w:val="auto"/>
          <w:u w:val="single"/>
        </w:rPr>
        <w:t>：</w:t>
      </w:r>
      <w:r>
        <w:rPr>
          <w:rFonts w:hint="eastAsia" w:ascii="宋体" w:hAnsi="宋体" w:cs="宋体"/>
          <w:color w:val="auto"/>
          <w:u w:val="single"/>
        </w:rPr>
        <w:tab/>
      </w:r>
      <w:r>
        <w:rPr>
          <w:rFonts w:hint="eastAsia" w:ascii="宋体" w:hAnsi="宋体" w:cs="宋体"/>
          <w:color w:val="auto"/>
          <w:u w:val="single"/>
          <w:lang w:val="en-US" w:eastAsia="zh-CN"/>
        </w:rPr>
        <w:t xml:space="preserve">           </w:t>
      </w:r>
      <w:r>
        <w:rPr>
          <w:rFonts w:hint="eastAsia" w:ascii="宋体" w:hAnsi="宋体" w:cs="宋体"/>
          <w:color w:val="auto"/>
          <w:u w:val="single"/>
        </w:rPr>
        <w:t>。</w:t>
      </w:r>
    </w:p>
    <w:p>
      <w:pPr>
        <w:pStyle w:val="14"/>
        <w:ind w:left="468" w:leftChars="223" w:right="549" w:firstLine="464" w:firstLineChars="221"/>
        <w:rPr>
          <w:rFonts w:ascii="宋体" w:hAnsi="宋体" w:cs="宋体"/>
          <w:color w:val="auto"/>
        </w:rPr>
      </w:pPr>
      <w:r>
        <w:rPr>
          <w:rFonts w:hint="eastAsia" w:ascii="宋体" w:hAnsi="宋体" w:cs="宋体"/>
          <w:color w:val="auto"/>
        </w:rPr>
        <w:t>2、合同单价为元/个图斑，中标总价款：人民币</w:t>
      </w:r>
      <w:r>
        <w:rPr>
          <w:rFonts w:hint="eastAsia" w:ascii="宋体" w:hAnsi="宋体" w:cs="宋体"/>
          <w:color w:val="auto"/>
          <w:u w:val="single"/>
          <w:lang w:val="en-US" w:eastAsia="zh-CN"/>
        </w:rPr>
        <w:t xml:space="preserve">             </w:t>
      </w:r>
      <w:r>
        <w:rPr>
          <w:rFonts w:hint="eastAsia" w:ascii="宋体" w:hAnsi="宋体" w:cs="宋体"/>
          <w:color w:val="auto"/>
        </w:rPr>
        <w:t>元整（￥</w:t>
      </w:r>
      <w:r>
        <w:rPr>
          <w:rFonts w:hint="eastAsia" w:ascii="宋体" w:hAnsi="宋体" w:cs="宋体"/>
          <w:color w:val="auto"/>
          <w:u w:val="single"/>
          <w:lang w:val="en-US" w:eastAsia="zh-CN"/>
        </w:rPr>
        <w:t xml:space="preserve">            </w:t>
      </w:r>
      <w:r>
        <w:rPr>
          <w:rFonts w:hint="eastAsia" w:ascii="宋体" w:hAnsi="宋体" w:cs="宋体"/>
          <w:color w:val="auto"/>
        </w:rPr>
        <w:t>元），采用报价为固定总价合同形式。合同价款本合同执行中相关的一切税费均由乙方承担。</w:t>
      </w:r>
    </w:p>
    <w:p>
      <w:pPr>
        <w:pStyle w:val="14"/>
        <w:ind w:left="468" w:leftChars="223" w:right="549" w:firstLine="464" w:firstLineChars="221"/>
        <w:rPr>
          <w:rFonts w:ascii="宋体" w:hAnsi="宋体" w:cs="宋体"/>
          <w:color w:val="auto"/>
        </w:rPr>
      </w:pPr>
      <w:r>
        <w:rPr>
          <w:rFonts w:hint="eastAsia" w:ascii="宋体" w:hAnsi="宋体" w:cs="宋体"/>
          <w:color w:val="auto"/>
        </w:rPr>
        <w:t>3、乙方须根据招标文件的规定，完成</w:t>
      </w:r>
      <w:r>
        <w:rPr>
          <w:rFonts w:hint="eastAsia" w:cs="宋体"/>
          <w:color w:val="auto"/>
        </w:rPr>
        <w:t>并提交成果</w:t>
      </w:r>
      <w:r>
        <w:rPr>
          <w:rFonts w:hint="eastAsia" w:ascii="宋体" w:hAnsi="宋体" w:cs="宋体"/>
          <w:color w:val="auto"/>
        </w:rPr>
        <w:t>服务工作。前述必须满足本项目《竞争性磋商文件》第二章服务内容及要求的各项要求及符合招标文件的各项规定。</w:t>
      </w:r>
    </w:p>
    <w:p>
      <w:pPr>
        <w:pStyle w:val="10"/>
        <w:tabs>
          <w:tab w:val="left" w:pos="1877"/>
        </w:tabs>
        <w:ind w:left="1033"/>
        <w:rPr>
          <w:rFonts w:ascii="宋体" w:hAnsi="宋体" w:eastAsia="宋体" w:cs="宋体"/>
          <w:color w:val="auto"/>
        </w:rPr>
      </w:pPr>
      <w:r>
        <w:rPr>
          <w:rFonts w:hint="eastAsia" w:ascii="宋体" w:hAnsi="宋体" w:eastAsia="宋体" w:cs="宋体"/>
          <w:color w:val="auto"/>
        </w:rPr>
        <w:t>第二条</w:t>
      </w:r>
      <w:r>
        <w:rPr>
          <w:rFonts w:hint="eastAsia" w:ascii="宋体" w:hAnsi="宋体" w:eastAsia="宋体" w:cs="宋体"/>
          <w:color w:val="auto"/>
        </w:rPr>
        <w:tab/>
      </w:r>
      <w:r>
        <w:rPr>
          <w:rFonts w:hint="eastAsia" w:ascii="宋体" w:hAnsi="宋体" w:eastAsia="宋体" w:cs="宋体"/>
          <w:color w:val="auto"/>
        </w:rPr>
        <w:t>付款方式</w:t>
      </w:r>
    </w:p>
    <w:p>
      <w:pPr>
        <w:pStyle w:val="14"/>
        <w:tabs>
          <w:tab w:val="left" w:pos="4350"/>
        </w:tabs>
        <w:ind w:left="990"/>
        <w:rPr>
          <w:rFonts w:ascii="宋体" w:hAnsi="宋体" w:cs="宋体"/>
          <w:color w:val="auto"/>
        </w:rPr>
      </w:pPr>
      <w:r>
        <w:rPr>
          <w:rFonts w:hint="eastAsia" w:ascii="宋体" w:hAnsi="宋体" w:cs="宋体"/>
          <w:color w:val="auto"/>
        </w:rPr>
        <w:t>1、付款</w:t>
      </w:r>
      <w:r>
        <w:rPr>
          <w:rFonts w:hint="eastAsia" w:ascii="宋体" w:hAnsi="宋体" w:cs="宋体"/>
          <w:color w:val="auto"/>
          <w:spacing w:val="-3"/>
        </w:rPr>
        <w:t>方</w:t>
      </w:r>
      <w:r>
        <w:rPr>
          <w:rFonts w:hint="eastAsia" w:ascii="宋体" w:hAnsi="宋体" w:cs="宋体"/>
          <w:color w:val="auto"/>
        </w:rPr>
        <w:t>式</w:t>
      </w:r>
      <w:r>
        <w:rPr>
          <w:rFonts w:hint="eastAsia" w:ascii="宋体" w:hAnsi="宋体" w:cs="宋体"/>
          <w:color w:val="auto"/>
          <w:spacing w:val="-3"/>
        </w:rPr>
        <w:t>：</w:t>
      </w:r>
      <w:r>
        <w:rPr>
          <w:rFonts w:hint="eastAsia" w:ascii="宋体" w:hAnsi="宋体" w:cs="宋体"/>
          <w:color w:val="auto"/>
          <w:spacing w:val="-3"/>
          <w:u w:val="single"/>
        </w:rPr>
        <w:tab/>
      </w:r>
      <w:r>
        <w:rPr>
          <w:rFonts w:hint="eastAsia" w:ascii="宋体" w:hAnsi="宋体" w:cs="宋体"/>
          <w:color w:val="auto"/>
        </w:rPr>
        <w:t>。</w:t>
      </w:r>
    </w:p>
    <w:p>
      <w:pPr>
        <w:pStyle w:val="14"/>
        <w:tabs>
          <w:tab w:val="left" w:pos="4350"/>
        </w:tabs>
        <w:ind w:left="990"/>
        <w:rPr>
          <w:rFonts w:ascii="宋体" w:hAnsi="宋体" w:cs="宋体"/>
          <w:color w:val="auto"/>
        </w:rPr>
      </w:pPr>
      <w:r>
        <w:rPr>
          <w:rFonts w:hint="eastAsia" w:ascii="宋体" w:hAnsi="宋体" w:cs="宋体"/>
          <w:color w:val="auto"/>
        </w:rPr>
        <w:t>2、当采购数量与实际使用数量不一致时，乙方应根据实际使用量提供，合同的最终结算金额最高150万元。</w:t>
      </w:r>
    </w:p>
    <w:p>
      <w:pPr>
        <w:pStyle w:val="10"/>
        <w:tabs>
          <w:tab w:val="left" w:pos="1877"/>
        </w:tabs>
        <w:ind w:left="1033"/>
        <w:rPr>
          <w:rFonts w:ascii="宋体" w:hAnsi="宋体" w:eastAsia="宋体" w:cs="宋体"/>
          <w:color w:val="auto"/>
        </w:rPr>
      </w:pPr>
      <w:r>
        <w:rPr>
          <w:rFonts w:hint="eastAsia" w:ascii="宋体" w:hAnsi="宋体" w:eastAsia="宋体" w:cs="宋体"/>
          <w:color w:val="auto"/>
        </w:rPr>
        <w:t>第三条</w:t>
      </w:r>
      <w:r>
        <w:rPr>
          <w:rFonts w:hint="eastAsia" w:ascii="宋体" w:hAnsi="宋体" w:eastAsia="宋体" w:cs="宋体"/>
          <w:color w:val="auto"/>
        </w:rPr>
        <w:tab/>
      </w:r>
      <w:r>
        <w:rPr>
          <w:rFonts w:hint="eastAsia" w:ascii="宋体" w:hAnsi="宋体" w:eastAsia="宋体" w:cs="宋体"/>
          <w:color w:val="auto"/>
        </w:rPr>
        <w:t>交付时间</w:t>
      </w:r>
    </w:p>
    <w:p>
      <w:pPr>
        <w:pStyle w:val="14"/>
        <w:tabs>
          <w:tab w:val="left" w:pos="5711"/>
        </w:tabs>
        <w:ind w:left="1033"/>
        <w:rPr>
          <w:rFonts w:ascii="宋体" w:hAnsi="宋体" w:cs="宋体"/>
          <w:color w:val="auto"/>
          <w:u w:val="single"/>
        </w:rPr>
      </w:pPr>
      <w:r>
        <w:rPr>
          <w:rFonts w:hint="eastAsia" w:ascii="宋体" w:hAnsi="宋体" w:cs="宋体"/>
          <w:color w:val="auto"/>
        </w:rPr>
        <w:t>交付</w:t>
      </w:r>
      <w:r>
        <w:rPr>
          <w:rFonts w:hint="eastAsia" w:ascii="宋体" w:hAnsi="宋体" w:cs="宋体"/>
          <w:color w:val="auto"/>
          <w:spacing w:val="-3"/>
        </w:rPr>
        <w:t>时</w:t>
      </w:r>
      <w:r>
        <w:rPr>
          <w:rFonts w:hint="eastAsia" w:ascii="宋体" w:hAnsi="宋体" w:cs="宋体"/>
          <w:color w:val="auto"/>
        </w:rPr>
        <w:t>间：</w:t>
      </w:r>
      <w:r>
        <w:rPr>
          <w:rFonts w:hint="eastAsia" w:ascii="宋体" w:hAnsi="宋体" w:cs="宋体"/>
          <w:color w:val="auto"/>
          <w:u w:val="single"/>
        </w:rPr>
        <w:tab/>
      </w:r>
      <w:r>
        <w:rPr>
          <w:rFonts w:hint="eastAsia" w:ascii="宋体" w:hAnsi="宋体" w:cs="宋体"/>
          <w:color w:val="auto"/>
          <w:u w:val="single"/>
        </w:rPr>
        <w:t>。经书面协商一致</w:t>
      </w:r>
      <w:r>
        <w:rPr>
          <w:rFonts w:hint="eastAsia" w:ascii="宋体" w:hAnsi="宋体" w:cs="宋体"/>
          <w:color w:val="auto"/>
          <w:spacing w:val="-89"/>
          <w:u w:val="single"/>
        </w:rPr>
        <w:t>，</w:t>
      </w:r>
      <w:r>
        <w:rPr>
          <w:rFonts w:hint="eastAsia" w:ascii="宋体" w:hAnsi="宋体" w:cs="宋体"/>
          <w:color w:val="auto"/>
          <w:u w:val="single"/>
        </w:rPr>
        <w:t>可以延长或缩短该期限。</w:t>
      </w:r>
    </w:p>
    <w:p>
      <w:pPr>
        <w:pStyle w:val="10"/>
        <w:numPr>
          <w:ilvl w:val="0"/>
          <w:numId w:val="3"/>
        </w:numPr>
        <w:tabs>
          <w:tab w:val="left" w:pos="1877"/>
        </w:tabs>
        <w:ind w:left="1033"/>
        <w:rPr>
          <w:rFonts w:ascii="宋体" w:hAnsi="宋体" w:eastAsia="宋体" w:cs="宋体"/>
          <w:color w:val="auto"/>
        </w:rPr>
      </w:pPr>
      <w:r>
        <w:rPr>
          <w:rFonts w:hint="eastAsia" w:ascii="宋体" w:hAnsi="宋体" w:eastAsia="宋体" w:cs="宋体"/>
          <w:color w:val="auto"/>
        </w:rPr>
        <w:t>工作内容</w:t>
      </w:r>
    </w:p>
    <w:p>
      <w:pPr>
        <w:pStyle w:val="4"/>
        <w:ind w:firstLine="840" w:firstLineChars="400"/>
        <w:rPr>
          <w:rFonts w:ascii="宋体" w:hAnsi="宋体" w:cs="宋体"/>
          <w:color w:val="auto"/>
          <w:szCs w:val="21"/>
        </w:rPr>
      </w:pPr>
      <w:r>
        <w:rPr>
          <w:rFonts w:hint="eastAsia" w:ascii="宋体" w:hAnsi="宋体" w:cs="宋体"/>
          <w:color w:val="auto"/>
          <w:szCs w:val="21"/>
        </w:rPr>
        <w:t>（1）项目准备工作；</w:t>
      </w:r>
    </w:p>
    <w:p>
      <w:pPr>
        <w:pStyle w:val="4"/>
        <w:ind w:firstLine="840" w:firstLineChars="400"/>
        <w:rPr>
          <w:rFonts w:ascii="宋体" w:hAnsi="宋体" w:cs="宋体"/>
          <w:color w:val="auto"/>
          <w:szCs w:val="21"/>
        </w:rPr>
      </w:pPr>
      <w:r>
        <w:rPr>
          <w:rFonts w:hint="eastAsia" w:ascii="宋体" w:hAnsi="宋体" w:cs="宋体"/>
          <w:color w:val="auto"/>
          <w:szCs w:val="21"/>
        </w:rPr>
        <w:t>（2）实地开展调查摸排工作及拍照举证工作；</w:t>
      </w:r>
    </w:p>
    <w:p>
      <w:pPr>
        <w:pStyle w:val="4"/>
        <w:ind w:firstLine="840" w:firstLineChars="400"/>
        <w:rPr>
          <w:rFonts w:ascii="宋体" w:hAnsi="宋体" w:cs="宋体"/>
          <w:color w:val="auto"/>
          <w:szCs w:val="21"/>
        </w:rPr>
      </w:pPr>
      <w:r>
        <w:rPr>
          <w:rFonts w:hint="eastAsia" w:ascii="宋体" w:hAnsi="宋体" w:cs="宋体"/>
          <w:color w:val="auto"/>
          <w:szCs w:val="21"/>
        </w:rPr>
        <w:t>（3）蒙山县农村乱占耕地建房问题摸排数据库建设和内业数据调查核实及分类造册形成台账工作；</w:t>
      </w:r>
    </w:p>
    <w:p>
      <w:pPr>
        <w:pStyle w:val="4"/>
        <w:ind w:firstLine="840" w:firstLineChars="400"/>
        <w:rPr>
          <w:rFonts w:ascii="宋体" w:hAnsi="宋体" w:cs="宋体"/>
          <w:color w:val="auto"/>
          <w:szCs w:val="21"/>
        </w:rPr>
      </w:pPr>
      <w:r>
        <w:rPr>
          <w:rFonts w:hint="eastAsia" w:ascii="宋体" w:hAnsi="宋体" w:cs="宋体"/>
          <w:color w:val="auto"/>
          <w:szCs w:val="21"/>
        </w:rPr>
        <w:t>（4）统一数据汇交工作；</w:t>
      </w:r>
    </w:p>
    <w:p>
      <w:pPr>
        <w:pStyle w:val="4"/>
        <w:ind w:firstLine="840" w:firstLineChars="400"/>
        <w:rPr>
          <w:rFonts w:ascii="宋体" w:hAnsi="宋体" w:cs="宋体"/>
          <w:color w:val="auto"/>
          <w:sz w:val="24"/>
        </w:rPr>
      </w:pPr>
      <w:r>
        <w:rPr>
          <w:rFonts w:hint="eastAsia" w:ascii="宋体" w:hAnsi="宋体" w:cs="宋体"/>
          <w:color w:val="auto"/>
          <w:szCs w:val="21"/>
        </w:rPr>
        <w:t xml:space="preserve"> (5)核实纠正工作，上报最终摸排成果。</w:t>
      </w:r>
    </w:p>
    <w:p>
      <w:pPr>
        <w:ind w:firstLine="632" w:firstLineChars="300"/>
        <w:rPr>
          <w:rFonts w:ascii="宋体" w:hAnsi="宋体" w:cs="宋体"/>
          <w:b/>
          <w:bCs/>
          <w:color w:val="auto"/>
          <w:szCs w:val="21"/>
        </w:rPr>
      </w:pPr>
      <w:r>
        <w:rPr>
          <w:rFonts w:hint="eastAsia" w:ascii="宋体" w:hAnsi="宋体" w:cs="宋体"/>
          <w:b/>
          <w:bCs/>
          <w:color w:val="auto"/>
          <w:szCs w:val="21"/>
        </w:rPr>
        <w:t>第</w:t>
      </w:r>
      <w:r>
        <w:rPr>
          <w:rFonts w:hint="eastAsia" w:cs="宋体"/>
          <w:b/>
          <w:bCs/>
          <w:color w:val="auto"/>
          <w:szCs w:val="21"/>
        </w:rPr>
        <w:t>五</w:t>
      </w:r>
      <w:r>
        <w:rPr>
          <w:rFonts w:hint="eastAsia" w:ascii="宋体" w:hAnsi="宋体" w:cs="宋体"/>
          <w:b/>
          <w:bCs/>
          <w:color w:val="auto"/>
          <w:szCs w:val="21"/>
        </w:rPr>
        <w:t>条、成果要求</w:t>
      </w:r>
    </w:p>
    <w:p>
      <w:pPr>
        <w:pStyle w:val="4"/>
        <w:ind w:firstLine="720" w:firstLineChars="300"/>
        <w:rPr>
          <w:rFonts w:ascii="宋体" w:hAnsi="宋体" w:cs="宋体"/>
          <w:color w:val="auto"/>
          <w:sz w:val="24"/>
        </w:rPr>
      </w:pPr>
      <w:r>
        <w:rPr>
          <w:rFonts w:hint="eastAsia" w:ascii="宋体" w:hAnsi="宋体" w:cs="宋体"/>
          <w:color w:val="auto"/>
          <w:sz w:val="24"/>
        </w:rPr>
        <w:t>成果需要满足国家乱占耕地建房数据汇交平台的要求，并满足相关技术标准要求。</w:t>
      </w:r>
    </w:p>
    <w:p>
      <w:pPr>
        <w:tabs>
          <w:tab w:val="left" w:pos="1875"/>
        </w:tabs>
        <w:ind w:right="5735" w:firstLine="632" w:firstLineChars="300"/>
        <w:rPr>
          <w:rFonts w:ascii="宋体" w:hAnsi="宋体" w:cs="宋体"/>
          <w:b/>
          <w:color w:val="auto"/>
        </w:rPr>
      </w:pPr>
      <w:r>
        <w:rPr>
          <w:rFonts w:hint="eastAsia" w:ascii="宋体" w:hAnsi="宋体" w:cs="宋体"/>
          <w:b/>
          <w:color w:val="auto"/>
        </w:rPr>
        <w:t>第</w:t>
      </w:r>
      <w:r>
        <w:rPr>
          <w:rFonts w:hint="eastAsia" w:cs="宋体"/>
          <w:b/>
          <w:color w:val="auto"/>
        </w:rPr>
        <w:t>六</w:t>
      </w:r>
      <w:r>
        <w:rPr>
          <w:rFonts w:hint="eastAsia" w:ascii="宋体" w:hAnsi="宋体" w:cs="宋体"/>
          <w:b/>
          <w:color w:val="auto"/>
        </w:rPr>
        <w:t>条乙方服务要求</w:t>
      </w:r>
    </w:p>
    <w:p>
      <w:pPr>
        <w:pStyle w:val="14"/>
        <w:ind w:firstLine="630" w:firstLineChars="300"/>
        <w:rPr>
          <w:rFonts w:ascii="宋体" w:hAnsi="宋体" w:cs="宋体"/>
          <w:color w:val="auto"/>
        </w:rPr>
      </w:pPr>
      <w:r>
        <w:rPr>
          <w:rFonts w:hint="eastAsia" w:ascii="宋体" w:hAnsi="宋体" w:cs="宋体"/>
          <w:color w:val="auto"/>
        </w:rPr>
        <w:t>1、招标单位有权根据进度情况适当调配项目，乙方须无条件接受。</w:t>
      </w:r>
    </w:p>
    <w:p>
      <w:pPr>
        <w:pStyle w:val="14"/>
        <w:ind w:firstLine="630" w:firstLineChars="300"/>
        <w:rPr>
          <w:rFonts w:ascii="宋体" w:hAnsi="宋体" w:cs="宋体"/>
          <w:color w:val="auto"/>
        </w:rPr>
      </w:pPr>
      <w:r>
        <w:rPr>
          <w:rFonts w:hint="eastAsia" w:ascii="宋体" w:hAnsi="宋体" w:cs="宋体"/>
          <w:color w:val="auto"/>
        </w:rPr>
        <w:t>2、符合现行国家行业部门颁布的有关规程规范和标准要求，并按要求通过审查与评审。</w:t>
      </w:r>
    </w:p>
    <w:p>
      <w:pPr>
        <w:pStyle w:val="14"/>
        <w:ind w:firstLine="630" w:firstLineChars="300"/>
        <w:rPr>
          <w:rFonts w:ascii="宋体" w:hAnsi="宋体" w:cs="宋体"/>
          <w:color w:val="auto"/>
        </w:rPr>
      </w:pPr>
      <w:r>
        <w:rPr>
          <w:rFonts w:hint="eastAsia" w:ascii="宋体" w:hAnsi="宋体" w:cs="宋体"/>
          <w:color w:val="auto"/>
        </w:rPr>
        <w:t>3、乙方必须服从委托人的任务分配并在委托人规定的时间内完成测量任务并提交合格测绘成果。</w:t>
      </w:r>
    </w:p>
    <w:p>
      <w:pPr>
        <w:pStyle w:val="14"/>
        <w:ind w:left="199" w:leftChars="95" w:right="213" w:firstLine="420" w:firstLineChars="200"/>
        <w:rPr>
          <w:rFonts w:ascii="宋体" w:hAnsi="宋体" w:cs="宋体"/>
          <w:color w:val="auto"/>
        </w:rPr>
      </w:pPr>
      <w:r>
        <w:rPr>
          <w:rFonts w:hint="eastAsia" w:ascii="宋体" w:hAnsi="宋体" w:cs="宋体"/>
          <w:color w:val="auto"/>
        </w:rPr>
        <w:t>4、本项目测绘不允许转包与分包，如有违反，一经发现，委托人有权解除测绘合同，并不予支付测绘费用和赔偿解除合同造成的损失，同时保留对实施方的追索权。</w:t>
      </w:r>
    </w:p>
    <w:p>
      <w:pPr>
        <w:pStyle w:val="10"/>
        <w:tabs>
          <w:tab w:val="left" w:pos="1875"/>
        </w:tabs>
        <w:ind w:left="0" w:firstLine="632" w:firstLineChars="300"/>
        <w:rPr>
          <w:rFonts w:ascii="宋体" w:hAnsi="宋体" w:eastAsia="宋体" w:cs="宋体"/>
          <w:color w:val="auto"/>
        </w:rPr>
      </w:pPr>
      <w:r>
        <w:rPr>
          <w:rFonts w:hint="eastAsia" w:ascii="宋体" w:hAnsi="宋体" w:eastAsia="宋体" w:cs="宋体"/>
          <w:color w:val="auto"/>
        </w:rPr>
        <w:t>第七条违约条款</w:t>
      </w:r>
    </w:p>
    <w:p>
      <w:pPr>
        <w:pStyle w:val="14"/>
        <w:ind w:firstLine="630" w:firstLineChars="300"/>
        <w:rPr>
          <w:rFonts w:ascii="宋体" w:hAnsi="宋体" w:cs="宋体"/>
          <w:color w:val="auto"/>
        </w:rPr>
      </w:pPr>
      <w:r>
        <w:rPr>
          <w:rFonts w:hint="eastAsia" w:ascii="宋体" w:hAnsi="宋体" w:cs="宋体"/>
          <w:color w:val="auto"/>
        </w:rPr>
        <w:t>1、乙方为甲方开发的软件为委托开发方式，在开发完成以后，该软件的一切权利归甲方所有。</w:t>
      </w:r>
    </w:p>
    <w:p>
      <w:pPr>
        <w:pStyle w:val="14"/>
        <w:ind w:left="199" w:leftChars="95" w:firstLine="420" w:firstLineChars="200"/>
        <w:rPr>
          <w:rFonts w:ascii="宋体" w:hAnsi="宋体" w:cs="宋体"/>
          <w:color w:val="auto"/>
        </w:rPr>
      </w:pPr>
      <w:r>
        <w:rPr>
          <w:rFonts w:hint="eastAsia" w:ascii="宋体" w:hAnsi="宋体" w:cs="宋体"/>
          <w:color w:val="auto"/>
        </w:rPr>
        <w:t>2、应尊重甲方所有的版权等一切权利，不得对该软件产品进行反向工程，反向编译，反汇编或出租、出让等。否则乙方愿意承担由此给甲方带来的一切损失，甲方保留追究乙方法律责任的权利。</w:t>
      </w:r>
    </w:p>
    <w:p>
      <w:pPr>
        <w:pStyle w:val="14"/>
        <w:ind w:left="199" w:leftChars="95" w:firstLine="420" w:firstLineChars="200"/>
        <w:rPr>
          <w:rFonts w:ascii="宋体" w:hAnsi="宋体" w:cs="宋体"/>
          <w:color w:val="auto"/>
        </w:rPr>
      </w:pPr>
      <w:r>
        <w:rPr>
          <w:rFonts w:hint="eastAsia" w:ascii="宋体" w:hAnsi="宋体" w:cs="宋体"/>
          <w:color w:val="auto"/>
        </w:rPr>
        <w:t>3、乙方应保证其为甲方开发的软件不侵犯任何第三方的知识产权等一切权利，否则乙方将承担由此造成的一切责任及给甲方带来的损失，甲方将不承担任何责任。</w:t>
      </w:r>
    </w:p>
    <w:p>
      <w:pPr>
        <w:pStyle w:val="14"/>
        <w:ind w:left="199" w:leftChars="95" w:firstLine="420" w:firstLineChars="200"/>
        <w:rPr>
          <w:rFonts w:ascii="宋体" w:hAnsi="宋体" w:cs="宋体"/>
          <w:color w:val="auto"/>
        </w:rPr>
      </w:pPr>
      <w:r>
        <w:rPr>
          <w:rFonts w:hint="eastAsia" w:ascii="宋体" w:hAnsi="宋体" w:cs="宋体"/>
          <w:color w:val="auto"/>
        </w:rPr>
        <w:t>4、乙方未按本合同约定交付时间交付成果的，每逾期一日，乙方应向甲方支付合同总价千分之五的违约金，逾期超过 30 日，甲方有权解除合同。甲方因此解除合同的，有权不予支付任何款项给乙方，已经支付的，乙方应当自甲方要求返还之日起 5 日内予以返还，此外乙方还应支付合同总价 15%的违约金给甲方并赔偿甲方经济损失。</w:t>
      </w:r>
    </w:p>
    <w:p>
      <w:pPr>
        <w:pStyle w:val="14"/>
        <w:ind w:left="199" w:leftChars="95" w:firstLine="420" w:firstLineChars="200"/>
        <w:rPr>
          <w:rFonts w:ascii="宋体" w:hAnsi="宋体" w:cs="宋体"/>
          <w:color w:val="auto"/>
        </w:rPr>
      </w:pPr>
      <w:r>
        <w:rPr>
          <w:rFonts w:hint="eastAsia" w:ascii="宋体" w:hAnsi="宋体" w:cs="宋体"/>
          <w:color w:val="auto"/>
        </w:rPr>
        <w:t>5、没有甲方事先书面同意，乙方不得将由甲方提供的有关合同或任何合同条文、规格、计划或资料提供给与履行本合同无关的任何其他人。即使向履行本合同有关的人员提供，也应注意保密并限于履行合同的必需范围。乙方未履行保密义务的，按本条第 8 款承担违约责任。</w:t>
      </w:r>
    </w:p>
    <w:p>
      <w:pPr>
        <w:pStyle w:val="14"/>
        <w:ind w:left="199" w:leftChars="95" w:firstLine="420" w:firstLineChars="200"/>
        <w:rPr>
          <w:rFonts w:ascii="宋体" w:hAnsi="宋体" w:cs="宋体"/>
          <w:color w:val="auto"/>
        </w:rPr>
      </w:pPr>
      <w:r>
        <w:rPr>
          <w:rFonts w:hint="eastAsia" w:ascii="宋体" w:hAnsi="宋体" w:cs="宋体"/>
          <w:color w:val="auto"/>
        </w:rPr>
        <w:t>6、乙方所提供的服务质量不合格的，应及时调整，调整不及时的按逾期交货处罚；因质量问题甲方不同意接收的或特殊情况甲方同意接收的，乙方应向甲方支付合同总价 5%违约金并赔偿甲方经济损失。</w:t>
      </w:r>
    </w:p>
    <w:p>
      <w:pPr>
        <w:pStyle w:val="14"/>
        <w:ind w:left="199" w:leftChars="95" w:firstLine="420" w:firstLineChars="200"/>
        <w:rPr>
          <w:rFonts w:ascii="宋体" w:hAnsi="宋体" w:cs="宋体"/>
          <w:color w:val="auto"/>
        </w:rPr>
      </w:pPr>
      <w:r>
        <w:rPr>
          <w:rFonts w:hint="eastAsia" w:ascii="宋体" w:hAnsi="宋体" w:cs="宋体"/>
          <w:color w:val="auto"/>
        </w:rPr>
        <w:t>7、乙方未按本合同和招标文件中规定的服务承诺提供维修服务的，乙方应按本合同的合同总价 5%向甲方支付违约金。</w:t>
      </w:r>
    </w:p>
    <w:p>
      <w:pPr>
        <w:pStyle w:val="14"/>
        <w:ind w:left="199" w:leftChars="95" w:firstLine="420" w:firstLineChars="200"/>
        <w:rPr>
          <w:rFonts w:ascii="宋体" w:hAnsi="宋体" w:cs="宋体"/>
          <w:color w:val="auto"/>
        </w:rPr>
      </w:pPr>
      <w:r>
        <w:rPr>
          <w:rFonts w:hint="eastAsia" w:ascii="宋体" w:hAnsi="宋体" w:cs="宋体"/>
          <w:color w:val="auto"/>
        </w:rPr>
        <w:t>8、未经甲方书面同意，乙方不得转让（无进口资格的供应商委托进口货物除外）其应履行的合同义务。若乙   方违反该条约定，甲方有权解除合同。甲方因此解除合同的，有权不予支付任何款项给乙方，已经支付的，乙方应当自甲方要求返还之日起 5 日内予以返还，此外乙方还应支付合同总价 15%的违约金给甲方并赔偿甲方经济损失。若甲方没有因此解除合同，甲方有权要求乙方支付合同总价 15%的违约金给甲方并赔偿甲方经济损失，并要求乙方继续履行合同约定的义务。</w:t>
      </w:r>
    </w:p>
    <w:p>
      <w:pPr>
        <w:pStyle w:val="14"/>
        <w:ind w:firstLine="630" w:firstLineChars="300"/>
        <w:rPr>
          <w:rFonts w:ascii="宋体" w:hAnsi="宋体" w:cs="宋体"/>
          <w:color w:val="auto"/>
        </w:rPr>
      </w:pPr>
      <w:r>
        <w:rPr>
          <w:rFonts w:hint="eastAsia" w:ascii="宋体" w:hAnsi="宋体" w:cs="宋体"/>
          <w:color w:val="auto"/>
        </w:rPr>
        <w:t>9、其它违约行为按合同总价 5%收取违约金。</w:t>
      </w:r>
    </w:p>
    <w:p>
      <w:pPr>
        <w:pStyle w:val="14"/>
        <w:ind w:left="199" w:leftChars="95" w:firstLine="420" w:firstLineChars="200"/>
        <w:rPr>
          <w:rFonts w:ascii="宋体" w:hAnsi="宋体" w:cs="宋体"/>
          <w:color w:val="auto"/>
        </w:rPr>
      </w:pPr>
      <w:r>
        <w:rPr>
          <w:rFonts w:hint="eastAsia" w:ascii="宋体" w:hAnsi="宋体" w:cs="宋体"/>
          <w:color w:val="auto"/>
        </w:rPr>
        <w:t>10、乙方支付的违约金不足以弥补甲方损失的，应承担赔偿责任，甲方有权继续向乙方追偿。损失包括甲方的全部经济损失及为此支出的合理费用（包括不限于为此支出的诉讼费、保全费、律师费、差旅费等）</w:t>
      </w:r>
    </w:p>
    <w:p>
      <w:pPr>
        <w:pStyle w:val="10"/>
        <w:tabs>
          <w:tab w:val="left" w:pos="1875"/>
        </w:tabs>
        <w:ind w:left="0" w:firstLine="632" w:firstLineChars="300"/>
        <w:rPr>
          <w:rFonts w:ascii="宋体" w:hAnsi="宋体" w:eastAsia="宋体" w:cs="宋体"/>
          <w:color w:val="auto"/>
        </w:rPr>
      </w:pPr>
      <w:r>
        <w:rPr>
          <w:rFonts w:hint="eastAsia" w:ascii="宋体" w:hAnsi="宋体" w:eastAsia="宋体" w:cs="宋体"/>
          <w:color w:val="auto"/>
        </w:rPr>
        <w:t>第八条 不可抗力事件处理</w:t>
      </w:r>
    </w:p>
    <w:p>
      <w:pPr>
        <w:pStyle w:val="10"/>
        <w:tabs>
          <w:tab w:val="left" w:pos="1875"/>
        </w:tabs>
        <w:ind w:left="0" w:firstLine="630" w:firstLineChars="300"/>
        <w:rPr>
          <w:rFonts w:ascii="宋体" w:hAnsi="宋体" w:eastAsia="宋体" w:cs="宋体"/>
          <w:b w:val="0"/>
          <w:bCs w:val="0"/>
          <w:color w:val="auto"/>
        </w:rPr>
      </w:pPr>
      <w:r>
        <w:rPr>
          <w:rFonts w:hint="eastAsia" w:ascii="宋体" w:hAnsi="宋体" w:eastAsia="宋体" w:cs="宋体"/>
          <w:b w:val="0"/>
          <w:bCs w:val="0"/>
          <w:color w:val="auto"/>
        </w:rPr>
        <w:t>1、在合同有效期内，任何一方因不可抗力事件导致不能履行合同，则合同履行期可延长，其延长期与不可抗力影响期相同。</w:t>
      </w:r>
    </w:p>
    <w:p>
      <w:pPr>
        <w:pStyle w:val="10"/>
        <w:tabs>
          <w:tab w:val="left" w:pos="1875"/>
        </w:tabs>
        <w:ind w:left="0" w:firstLine="630" w:firstLineChars="300"/>
        <w:rPr>
          <w:rFonts w:ascii="宋体" w:hAnsi="宋体" w:eastAsia="宋体" w:cs="宋体"/>
          <w:b w:val="0"/>
          <w:bCs w:val="0"/>
          <w:color w:val="auto"/>
        </w:rPr>
      </w:pPr>
      <w:r>
        <w:rPr>
          <w:rFonts w:hint="eastAsia" w:ascii="宋体" w:hAnsi="宋体" w:eastAsia="宋体" w:cs="宋体"/>
          <w:b w:val="0"/>
          <w:bCs w:val="0"/>
          <w:color w:val="auto"/>
        </w:rPr>
        <w:t>2、由于不可抗力事件不能全部或部分履行合同义务时，任一方可中止履行其在本合同项下的义务（在不可抗力事件发生前应履行但未履行的义务除外）。</w:t>
      </w:r>
    </w:p>
    <w:p>
      <w:pPr>
        <w:pStyle w:val="10"/>
        <w:tabs>
          <w:tab w:val="left" w:pos="1875"/>
        </w:tabs>
        <w:ind w:left="0" w:firstLine="630" w:firstLineChars="300"/>
        <w:rPr>
          <w:rFonts w:ascii="宋体" w:hAnsi="宋体" w:eastAsia="宋体" w:cs="宋体"/>
          <w:b w:val="0"/>
          <w:bCs w:val="0"/>
          <w:color w:val="auto"/>
        </w:rPr>
      </w:pPr>
      <w:r>
        <w:rPr>
          <w:rFonts w:hint="eastAsia" w:ascii="宋体" w:hAnsi="宋体" w:eastAsia="宋体" w:cs="宋体"/>
          <w:b w:val="0"/>
          <w:bCs w:val="0"/>
          <w:color w:val="auto"/>
        </w:rPr>
        <w:t>3、不可抗力事件发生后，应立即通知对方，并寄送有关权威机构出具的证明。声称受到不可抗力的一方应在任何时候采取合理的行动，以避免或尽量减少不可抗力事件的影响。由于主观原因延误，未及时采取必要措施而导致损失扩大的，不能免除责任。</w:t>
      </w:r>
    </w:p>
    <w:p>
      <w:pPr>
        <w:pStyle w:val="10"/>
        <w:tabs>
          <w:tab w:val="left" w:pos="1875"/>
        </w:tabs>
        <w:ind w:left="0" w:firstLine="630" w:firstLineChars="300"/>
        <w:rPr>
          <w:rFonts w:ascii="宋体" w:hAnsi="宋体" w:eastAsia="宋体" w:cs="宋体"/>
          <w:b w:val="0"/>
          <w:bCs w:val="0"/>
          <w:color w:val="auto"/>
        </w:rPr>
      </w:pPr>
      <w:r>
        <w:rPr>
          <w:rFonts w:hint="eastAsia" w:ascii="宋体" w:hAnsi="宋体" w:eastAsia="宋体" w:cs="宋体"/>
          <w:b w:val="0"/>
          <w:bCs w:val="0"/>
          <w:color w:val="auto"/>
        </w:rPr>
        <w:t>4、不可抗力事件延续一百二十天以上，双方应通过友好协商，确定是否继续履行合同。</w:t>
      </w:r>
    </w:p>
    <w:p>
      <w:pPr>
        <w:pStyle w:val="10"/>
        <w:rPr>
          <w:rFonts w:ascii="宋体" w:hAnsi="宋体" w:eastAsia="宋体" w:cs="宋体"/>
          <w:color w:val="auto"/>
        </w:rPr>
      </w:pPr>
      <w:r>
        <w:rPr>
          <w:rFonts w:hint="eastAsia" w:ascii="宋体" w:hAnsi="宋体" w:eastAsia="宋体" w:cs="宋体"/>
          <w:color w:val="auto"/>
        </w:rPr>
        <w:t>第九条 其它</w:t>
      </w:r>
    </w:p>
    <w:p>
      <w:pPr>
        <w:pStyle w:val="14"/>
        <w:ind w:firstLine="630" w:firstLineChars="300"/>
        <w:rPr>
          <w:rFonts w:ascii="宋体" w:hAnsi="宋体" w:cs="宋体"/>
          <w:color w:val="auto"/>
        </w:rPr>
      </w:pPr>
      <w:r>
        <w:rPr>
          <w:rFonts w:hint="eastAsia" w:ascii="宋体" w:hAnsi="宋体" w:cs="宋体"/>
          <w:color w:val="auto"/>
        </w:rPr>
        <w:t>1、除在不可抗力或双方协议的情况下，本合同书不能取消。</w:t>
      </w:r>
    </w:p>
    <w:p>
      <w:pPr>
        <w:pStyle w:val="14"/>
        <w:ind w:left="199" w:leftChars="95" w:firstLine="420" w:firstLineChars="200"/>
        <w:rPr>
          <w:rFonts w:ascii="宋体" w:hAnsi="宋体" w:cs="宋体"/>
          <w:color w:val="auto"/>
        </w:rPr>
      </w:pPr>
      <w:r>
        <w:rPr>
          <w:rFonts w:hint="eastAsia" w:ascii="宋体" w:hAnsi="宋体" w:cs="宋体"/>
          <w:color w:val="auto"/>
        </w:rPr>
        <w:t>2、如双方在合同有效期内有任何争议，应友好协商解决。若协商不成，可向甲方所在地有管辖权的人民法院提起诉讼。</w:t>
      </w:r>
    </w:p>
    <w:p>
      <w:pPr>
        <w:pStyle w:val="10"/>
        <w:tabs>
          <w:tab w:val="left" w:pos="2240"/>
        </w:tabs>
        <w:rPr>
          <w:rFonts w:ascii="宋体" w:hAnsi="宋体" w:eastAsia="宋体" w:cs="宋体"/>
          <w:color w:val="auto"/>
        </w:rPr>
      </w:pPr>
      <w:r>
        <w:rPr>
          <w:rFonts w:hint="eastAsia" w:ascii="宋体" w:hAnsi="宋体" w:eastAsia="宋体" w:cs="宋体"/>
          <w:color w:val="auto"/>
        </w:rPr>
        <w:t>第十条合同的变更、终止</w:t>
      </w:r>
      <w:r>
        <w:rPr>
          <w:rFonts w:hint="eastAsia" w:ascii="宋体" w:hAnsi="宋体" w:eastAsia="宋体" w:cs="宋体"/>
          <w:color w:val="auto"/>
          <w:spacing w:val="-3"/>
        </w:rPr>
        <w:t>与</w:t>
      </w:r>
      <w:r>
        <w:rPr>
          <w:rFonts w:hint="eastAsia" w:ascii="宋体" w:hAnsi="宋体" w:eastAsia="宋体" w:cs="宋体"/>
          <w:color w:val="auto"/>
        </w:rPr>
        <w:t>转让</w:t>
      </w:r>
    </w:p>
    <w:p>
      <w:pPr>
        <w:pStyle w:val="14"/>
        <w:ind w:firstLine="630" w:firstLineChars="300"/>
        <w:rPr>
          <w:rFonts w:ascii="宋体" w:hAnsi="宋体" w:cs="宋体"/>
          <w:color w:val="auto"/>
        </w:rPr>
      </w:pPr>
      <w:r>
        <w:rPr>
          <w:rFonts w:hint="eastAsia" w:ascii="宋体" w:hAnsi="宋体" w:cs="宋体"/>
          <w:color w:val="auto"/>
        </w:rPr>
        <w:t>1、除《中华人民共和国政府采购法》第五十条规定的情形外，本合同一经签订，甲乙双方不得擅自变更、中止或终止。</w:t>
      </w:r>
    </w:p>
    <w:p>
      <w:pPr>
        <w:pStyle w:val="14"/>
        <w:ind w:firstLine="630" w:firstLineChars="300"/>
        <w:rPr>
          <w:rFonts w:ascii="宋体" w:hAnsi="宋体" w:cs="宋体"/>
          <w:color w:val="auto"/>
        </w:rPr>
      </w:pPr>
      <w:r>
        <w:rPr>
          <w:rFonts w:hint="eastAsia" w:ascii="宋体" w:hAnsi="宋体" w:cs="宋体"/>
          <w:color w:val="auto"/>
        </w:rPr>
        <w:t>2、经双方法定代表人或授权代表签字并加盖单位公章后生效。</w:t>
      </w:r>
    </w:p>
    <w:p>
      <w:pPr>
        <w:pStyle w:val="14"/>
        <w:ind w:left="199" w:leftChars="95" w:firstLine="420" w:firstLineChars="200"/>
        <w:rPr>
          <w:rFonts w:ascii="宋体" w:hAnsi="宋体" w:cs="宋体"/>
          <w:color w:val="auto"/>
        </w:rPr>
      </w:pPr>
      <w:r>
        <w:rPr>
          <w:rFonts w:hint="eastAsia" w:ascii="宋体" w:hAnsi="宋体" w:cs="宋体"/>
          <w:color w:val="auto"/>
        </w:rPr>
        <w:t>3、合同执行中涉及采购资金和采购内容修改或补充的，须经财政部门审批，并签书面补充协议报财政部门备案，方可作为主合同不可分割的一部分。</w:t>
      </w:r>
    </w:p>
    <w:p>
      <w:pPr>
        <w:pStyle w:val="14"/>
        <w:ind w:firstLine="630" w:firstLineChars="300"/>
        <w:rPr>
          <w:rFonts w:ascii="宋体" w:hAnsi="宋体" w:cs="宋体"/>
          <w:color w:val="auto"/>
        </w:rPr>
      </w:pPr>
      <w:r>
        <w:rPr>
          <w:rFonts w:hint="eastAsia" w:ascii="宋体" w:hAnsi="宋体" w:cs="宋体"/>
          <w:color w:val="auto"/>
        </w:rPr>
        <w:t xml:space="preserve">4、本合同未尽事宜，遵照《合同法》有关条文执行。 </w:t>
      </w:r>
    </w:p>
    <w:p>
      <w:pPr>
        <w:pStyle w:val="14"/>
        <w:ind w:firstLine="632" w:firstLineChars="300"/>
        <w:rPr>
          <w:rFonts w:ascii="宋体" w:hAnsi="宋体" w:cs="宋体"/>
          <w:b/>
          <w:color w:val="auto"/>
        </w:rPr>
      </w:pPr>
      <w:r>
        <w:rPr>
          <w:rFonts w:hint="eastAsia" w:ascii="宋体" w:hAnsi="宋体" w:cs="宋体"/>
          <w:b/>
          <w:color w:val="auto"/>
        </w:rPr>
        <w:t>第十</w:t>
      </w:r>
      <w:r>
        <w:rPr>
          <w:rFonts w:hint="eastAsia" w:cs="宋体"/>
          <w:b/>
          <w:color w:val="auto"/>
        </w:rPr>
        <w:t>一</w:t>
      </w:r>
      <w:r>
        <w:rPr>
          <w:rFonts w:hint="eastAsia" w:ascii="宋体" w:hAnsi="宋体" w:cs="宋体"/>
          <w:b/>
          <w:color w:val="auto"/>
        </w:rPr>
        <w:t>条</w:t>
      </w:r>
      <w:r>
        <w:rPr>
          <w:rFonts w:hint="eastAsia" w:ascii="宋体" w:hAnsi="宋体" w:cs="宋体"/>
          <w:b/>
          <w:color w:val="auto"/>
        </w:rPr>
        <w:tab/>
      </w:r>
    </w:p>
    <w:p>
      <w:pPr>
        <w:pStyle w:val="14"/>
        <w:ind w:left="199" w:leftChars="95" w:firstLine="420" w:firstLineChars="200"/>
        <w:rPr>
          <w:rFonts w:ascii="宋体" w:hAnsi="宋体" w:cs="宋体"/>
          <w:color w:val="auto"/>
        </w:rPr>
      </w:pPr>
      <w:r>
        <w:rPr>
          <w:rFonts w:hint="eastAsia" w:ascii="宋体" w:hAnsi="宋体" w:cs="宋体"/>
          <w:color w:val="auto"/>
        </w:rPr>
        <w:t>本合同正本一式五份，甲乙双方各执二份，采购代理机构执一份，自双方法定代表人（负责人）或委托代理人签字并加盖单位公章之日起生效。（政府采购合同自签订之日起2个工作日内，采购单位必须将政府采购合同报送政采云平台和梧州市蒙山县公共资源交易平台备案）。</w:t>
      </w:r>
    </w:p>
    <w:p>
      <w:pPr>
        <w:snapToGrid w:val="0"/>
        <w:rPr>
          <w:rFonts w:ascii="宋体" w:hAnsi="宋体"/>
          <w:color w:val="auto"/>
          <w:szCs w:val="21"/>
        </w:rPr>
        <w:sectPr>
          <w:footerReference r:id="rId3" w:type="default"/>
          <w:pgSz w:w="11920" w:h="16850"/>
          <w:pgMar w:top="1559" w:right="1304" w:bottom="1134" w:left="1134" w:header="734" w:footer="870" w:gutter="0"/>
          <w:pgNumType w:start="1"/>
          <w:cols w:space="720" w:num="1"/>
        </w:sect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ign w:val="center"/>
          </w:tcPr>
          <w:p>
            <w:pPr>
              <w:snapToGrid w:val="0"/>
              <w:rPr>
                <w:rFonts w:ascii="宋体" w:hAnsi="宋体"/>
                <w:color w:val="auto"/>
                <w:szCs w:val="21"/>
              </w:rPr>
            </w:pPr>
            <w:r>
              <w:rPr>
                <w:rFonts w:hint="eastAsia" w:ascii="宋体" w:hAnsi="宋体"/>
                <w:color w:val="auto"/>
                <w:szCs w:val="21"/>
              </w:rPr>
              <w:t>甲方（章）</w:t>
            </w:r>
          </w:p>
          <w:p>
            <w:pPr>
              <w:snapToGrid w:val="0"/>
              <w:rPr>
                <w:rFonts w:ascii="宋体" w:hAnsi="宋体"/>
                <w:color w:val="auto"/>
                <w:szCs w:val="21"/>
              </w:rPr>
            </w:pPr>
          </w:p>
          <w:p>
            <w:pPr>
              <w:snapToGrid w:val="0"/>
              <w:ind w:firstLine="945" w:firstLineChars="450"/>
              <w:rPr>
                <w:rFonts w:ascii="宋体" w:hAnsi="宋体"/>
                <w:color w:val="auto"/>
                <w:szCs w:val="21"/>
              </w:rPr>
            </w:pPr>
            <w:r>
              <w:rPr>
                <w:rFonts w:hint="eastAsia" w:ascii="宋体" w:hAnsi="宋体"/>
                <w:color w:val="auto"/>
                <w:szCs w:val="21"/>
              </w:rPr>
              <w:t>年   月   日</w:t>
            </w:r>
          </w:p>
        </w:tc>
        <w:tc>
          <w:tcPr>
            <w:tcW w:w="4517" w:type="dxa"/>
            <w:noWrap/>
            <w:vAlign w:val="center"/>
          </w:tcPr>
          <w:p>
            <w:pPr>
              <w:snapToGrid w:val="0"/>
              <w:rPr>
                <w:rFonts w:ascii="宋体" w:hAnsi="宋体"/>
                <w:color w:val="auto"/>
                <w:szCs w:val="21"/>
              </w:rPr>
            </w:pPr>
            <w:r>
              <w:rPr>
                <w:rFonts w:hint="eastAsia" w:ascii="宋体" w:hAnsi="宋体"/>
                <w:color w:val="auto"/>
                <w:szCs w:val="21"/>
              </w:rPr>
              <w:t>乙方（章）</w:t>
            </w:r>
          </w:p>
          <w:p>
            <w:pPr>
              <w:snapToGrid w:val="0"/>
              <w:rPr>
                <w:rFonts w:ascii="宋体" w:hAnsi="宋体"/>
                <w:color w:val="auto"/>
                <w:szCs w:val="21"/>
              </w:rPr>
            </w:pPr>
          </w:p>
          <w:p>
            <w:pPr>
              <w:snapToGrid w:val="0"/>
              <w:rPr>
                <w:rFonts w:ascii="宋体" w:hAnsi="宋体"/>
                <w:color w:val="auto"/>
                <w:szCs w:val="21"/>
              </w:rPr>
            </w:pPr>
            <w:r>
              <w:rPr>
                <w:rFonts w:hint="eastAsia" w:ascii="宋体" w:hAnsi="宋体"/>
                <w:color w:val="auto"/>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ign w:val="center"/>
          </w:tcPr>
          <w:p>
            <w:pPr>
              <w:snapToGrid w:val="0"/>
              <w:rPr>
                <w:rFonts w:ascii="宋体" w:hAnsi="宋体"/>
                <w:color w:val="auto"/>
                <w:szCs w:val="21"/>
              </w:rPr>
            </w:pPr>
            <w:r>
              <w:rPr>
                <w:rFonts w:hint="eastAsia" w:ascii="宋体" w:hAnsi="宋体"/>
                <w:color w:val="auto"/>
                <w:szCs w:val="21"/>
              </w:rPr>
              <w:t>单位地址：</w:t>
            </w:r>
          </w:p>
        </w:tc>
        <w:tc>
          <w:tcPr>
            <w:tcW w:w="4517" w:type="dxa"/>
            <w:noWrap/>
            <w:vAlign w:val="center"/>
          </w:tcPr>
          <w:p>
            <w:pPr>
              <w:snapToGrid w:val="0"/>
              <w:rPr>
                <w:rFonts w:ascii="宋体" w:hAnsi="宋体"/>
                <w:color w:val="auto"/>
                <w:szCs w:val="21"/>
              </w:rPr>
            </w:pPr>
            <w:r>
              <w:rPr>
                <w:rFonts w:hint="eastAsia" w:ascii="宋体" w:hAnsi="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noWrap/>
            <w:vAlign w:val="center"/>
          </w:tcPr>
          <w:p>
            <w:pPr>
              <w:snapToGrid w:val="0"/>
              <w:rPr>
                <w:rFonts w:ascii="宋体" w:hAnsi="宋体"/>
                <w:color w:val="auto"/>
                <w:szCs w:val="21"/>
              </w:rPr>
            </w:pPr>
            <w:r>
              <w:rPr>
                <w:rFonts w:hint="eastAsia" w:ascii="宋体" w:hAnsi="宋体"/>
                <w:color w:val="auto"/>
                <w:szCs w:val="21"/>
              </w:rPr>
              <w:t>法定代表人：</w:t>
            </w:r>
          </w:p>
        </w:tc>
        <w:tc>
          <w:tcPr>
            <w:tcW w:w="4517" w:type="dxa"/>
            <w:noWrap/>
            <w:vAlign w:val="center"/>
          </w:tcPr>
          <w:p>
            <w:pPr>
              <w:snapToGrid w:val="0"/>
              <w:rPr>
                <w:rFonts w:ascii="宋体" w:hAnsi="宋体"/>
                <w:color w:val="auto"/>
                <w:szCs w:val="21"/>
              </w:rPr>
            </w:pPr>
            <w:r>
              <w:rPr>
                <w:rFonts w:hint="eastAsia" w:ascii="宋体" w:hAnsi="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noWrap/>
            <w:vAlign w:val="center"/>
          </w:tcPr>
          <w:p>
            <w:pPr>
              <w:snapToGrid w:val="0"/>
              <w:rPr>
                <w:rFonts w:ascii="宋体" w:hAnsi="宋体"/>
                <w:color w:val="auto"/>
                <w:szCs w:val="21"/>
              </w:rPr>
            </w:pPr>
            <w:r>
              <w:rPr>
                <w:rFonts w:hint="eastAsia" w:ascii="宋体" w:hAnsi="宋体"/>
                <w:color w:val="auto"/>
                <w:szCs w:val="21"/>
              </w:rPr>
              <w:t>委托代理人：</w:t>
            </w:r>
          </w:p>
        </w:tc>
        <w:tc>
          <w:tcPr>
            <w:tcW w:w="4517" w:type="dxa"/>
            <w:noWrap/>
            <w:vAlign w:val="center"/>
          </w:tcPr>
          <w:p>
            <w:pPr>
              <w:snapToGrid w:val="0"/>
              <w:rPr>
                <w:rFonts w:ascii="宋体" w:hAnsi="宋体"/>
                <w:color w:val="auto"/>
                <w:szCs w:val="21"/>
              </w:rPr>
            </w:pPr>
            <w:r>
              <w:rPr>
                <w:rFonts w:hint="eastAsia" w:ascii="宋体" w:hAnsi="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ign w:val="center"/>
          </w:tcPr>
          <w:p>
            <w:pPr>
              <w:snapToGrid w:val="0"/>
              <w:rPr>
                <w:rFonts w:ascii="宋体" w:hAnsi="宋体"/>
                <w:color w:val="auto"/>
                <w:szCs w:val="21"/>
              </w:rPr>
            </w:pPr>
            <w:r>
              <w:rPr>
                <w:rFonts w:hint="eastAsia" w:ascii="宋体" w:hAnsi="宋体"/>
                <w:color w:val="auto"/>
                <w:szCs w:val="21"/>
              </w:rPr>
              <w:t>电话：</w:t>
            </w:r>
          </w:p>
        </w:tc>
        <w:tc>
          <w:tcPr>
            <w:tcW w:w="4517" w:type="dxa"/>
            <w:noWrap/>
            <w:vAlign w:val="center"/>
          </w:tcPr>
          <w:p>
            <w:pPr>
              <w:snapToGrid w:val="0"/>
              <w:rPr>
                <w:rFonts w:ascii="宋体" w:hAnsi="宋体"/>
                <w:color w:val="auto"/>
                <w:szCs w:val="21"/>
              </w:rPr>
            </w:pPr>
            <w:r>
              <w:rPr>
                <w:rFonts w:hint="eastAsia" w:ascii="宋体" w:hAnsi="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ign w:val="center"/>
          </w:tcPr>
          <w:p>
            <w:pPr>
              <w:snapToGrid w:val="0"/>
              <w:rPr>
                <w:rFonts w:ascii="宋体" w:hAnsi="宋体"/>
                <w:color w:val="auto"/>
                <w:szCs w:val="21"/>
              </w:rPr>
            </w:pPr>
            <w:r>
              <w:rPr>
                <w:rFonts w:hint="eastAsia" w:ascii="宋体" w:hAnsi="宋体"/>
                <w:color w:val="auto"/>
                <w:szCs w:val="21"/>
              </w:rPr>
              <w:t>电子邮箱：</w:t>
            </w:r>
          </w:p>
        </w:tc>
        <w:tc>
          <w:tcPr>
            <w:tcW w:w="4517" w:type="dxa"/>
            <w:noWrap/>
            <w:vAlign w:val="center"/>
          </w:tcPr>
          <w:p>
            <w:pPr>
              <w:snapToGrid w:val="0"/>
              <w:rPr>
                <w:rFonts w:ascii="宋体" w:hAnsi="宋体"/>
                <w:color w:val="auto"/>
                <w:szCs w:val="21"/>
              </w:rPr>
            </w:pPr>
            <w:r>
              <w:rPr>
                <w:rFonts w:hint="eastAsia" w:ascii="宋体" w:hAnsi="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ign w:val="center"/>
          </w:tcPr>
          <w:p>
            <w:pPr>
              <w:snapToGrid w:val="0"/>
              <w:rPr>
                <w:rFonts w:ascii="宋体" w:hAnsi="宋体"/>
                <w:color w:val="auto"/>
                <w:szCs w:val="21"/>
              </w:rPr>
            </w:pPr>
            <w:r>
              <w:rPr>
                <w:rFonts w:hint="eastAsia" w:ascii="宋体" w:hAnsi="宋体"/>
                <w:color w:val="auto"/>
                <w:szCs w:val="21"/>
              </w:rPr>
              <w:t>开户银行：</w:t>
            </w:r>
          </w:p>
        </w:tc>
        <w:tc>
          <w:tcPr>
            <w:tcW w:w="4517" w:type="dxa"/>
            <w:noWrap/>
            <w:vAlign w:val="center"/>
          </w:tcPr>
          <w:p>
            <w:pPr>
              <w:snapToGrid w:val="0"/>
              <w:rPr>
                <w:rFonts w:ascii="宋体" w:hAnsi="宋体"/>
                <w:color w:val="auto"/>
                <w:szCs w:val="21"/>
              </w:rPr>
            </w:pPr>
            <w:r>
              <w:rPr>
                <w:rFonts w:hint="eastAsia" w:ascii="宋体" w:hAnsi="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ign w:val="center"/>
          </w:tcPr>
          <w:p>
            <w:pPr>
              <w:snapToGrid w:val="0"/>
              <w:rPr>
                <w:rFonts w:ascii="宋体" w:hAnsi="宋体"/>
                <w:color w:val="auto"/>
                <w:szCs w:val="21"/>
              </w:rPr>
            </w:pPr>
            <w:r>
              <w:rPr>
                <w:rFonts w:hint="eastAsia" w:ascii="宋体" w:hAnsi="宋体"/>
                <w:color w:val="auto"/>
                <w:szCs w:val="21"/>
              </w:rPr>
              <w:t>账号：</w:t>
            </w:r>
          </w:p>
        </w:tc>
        <w:tc>
          <w:tcPr>
            <w:tcW w:w="4517" w:type="dxa"/>
            <w:noWrap/>
            <w:vAlign w:val="center"/>
          </w:tcPr>
          <w:p>
            <w:pPr>
              <w:snapToGrid w:val="0"/>
              <w:rPr>
                <w:rFonts w:ascii="宋体" w:hAnsi="宋体"/>
                <w:color w:val="auto"/>
                <w:szCs w:val="21"/>
              </w:rPr>
            </w:pPr>
            <w:r>
              <w:rPr>
                <w:rFonts w:hint="eastAsia" w:ascii="宋体" w:hAnsi="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ign w:val="center"/>
          </w:tcPr>
          <w:p>
            <w:pPr>
              <w:snapToGrid w:val="0"/>
              <w:rPr>
                <w:rFonts w:ascii="宋体" w:hAnsi="宋体"/>
                <w:color w:val="auto"/>
                <w:szCs w:val="21"/>
              </w:rPr>
            </w:pPr>
            <w:r>
              <w:rPr>
                <w:rFonts w:hint="eastAsia" w:ascii="宋体" w:hAnsi="宋体"/>
                <w:color w:val="auto"/>
                <w:szCs w:val="21"/>
              </w:rPr>
              <w:t>邮政编码：</w:t>
            </w:r>
          </w:p>
        </w:tc>
        <w:tc>
          <w:tcPr>
            <w:tcW w:w="4517" w:type="dxa"/>
            <w:noWrap/>
            <w:vAlign w:val="center"/>
          </w:tcPr>
          <w:p>
            <w:pPr>
              <w:snapToGrid w:val="0"/>
              <w:rPr>
                <w:rFonts w:ascii="宋体" w:hAnsi="宋体"/>
                <w:color w:val="auto"/>
                <w:szCs w:val="21"/>
              </w:rPr>
            </w:pPr>
            <w:r>
              <w:rPr>
                <w:rFonts w:hint="eastAsia" w:ascii="宋体" w:hAnsi="宋体"/>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9033" w:type="dxa"/>
            <w:gridSpan w:val="2"/>
            <w:noWrap/>
            <w:vAlign w:val="center"/>
          </w:tcPr>
          <w:p>
            <w:pPr>
              <w:snapToGrid w:val="0"/>
              <w:rPr>
                <w:rFonts w:ascii="宋体" w:hAnsi="宋体"/>
                <w:color w:val="auto"/>
                <w:szCs w:val="21"/>
              </w:rPr>
            </w:pPr>
            <w:r>
              <w:rPr>
                <w:rFonts w:hint="eastAsia" w:ascii="宋体" w:hAnsi="宋体"/>
                <w:color w:val="auto"/>
                <w:szCs w:val="21"/>
              </w:rPr>
              <w:t>经办人：</w:t>
            </w:r>
          </w:p>
          <w:p>
            <w:pPr>
              <w:snapToGrid w:val="0"/>
              <w:rPr>
                <w:rFonts w:ascii="宋体" w:hAnsi="宋体"/>
                <w:color w:val="auto"/>
                <w:szCs w:val="21"/>
              </w:rPr>
            </w:pPr>
          </w:p>
          <w:p>
            <w:pPr>
              <w:snapToGrid w:val="0"/>
              <w:ind w:firstLine="630" w:firstLineChars="300"/>
              <w:jc w:val="right"/>
              <w:rPr>
                <w:rFonts w:ascii="宋体" w:hAnsi="宋体"/>
                <w:color w:val="auto"/>
                <w:szCs w:val="21"/>
              </w:rPr>
            </w:pPr>
            <w:r>
              <w:rPr>
                <w:rFonts w:hint="eastAsia" w:ascii="宋体" w:hAnsi="宋体"/>
                <w:color w:val="auto"/>
                <w:szCs w:val="21"/>
              </w:rPr>
              <w:t>年    月    日</w:t>
            </w:r>
          </w:p>
        </w:tc>
      </w:tr>
    </w:tbl>
    <w:p>
      <w:pPr>
        <w:pStyle w:val="14"/>
        <w:ind w:left="199" w:leftChars="95" w:firstLine="420" w:firstLineChars="200"/>
        <w:rPr>
          <w:rFonts w:ascii="宋体" w:hAnsi="宋体" w:cs="宋体"/>
          <w:color w:val="auto"/>
        </w:rPr>
        <w:sectPr>
          <w:footerReference r:id="rId4" w:type="default"/>
          <w:pgSz w:w="11920" w:h="16850"/>
          <w:pgMar w:top="1559" w:right="1304" w:bottom="1134" w:left="1134" w:header="734" w:footer="870" w:gutter="0"/>
          <w:cols w:space="720" w:num="1"/>
        </w:sectPr>
      </w:pPr>
    </w:p>
    <w:p>
      <w:pPr>
        <w:pStyle w:val="3"/>
        <w:spacing w:line="560" w:lineRule="exact"/>
        <w:jc w:val="center"/>
        <w:rPr>
          <w:rFonts w:ascii="方正隶书简体" w:hAnsi="宋体" w:eastAsia="方正隶书简体"/>
          <w:bCs/>
          <w:color w:val="auto"/>
          <w:sz w:val="44"/>
        </w:rPr>
      </w:pPr>
      <w:bookmarkStart w:id="260" w:name="_Toc156106971"/>
      <w:bookmarkStart w:id="261" w:name="_Toc147248436"/>
      <w:bookmarkStart w:id="262" w:name="_Toc239839917"/>
      <w:bookmarkStart w:id="263" w:name="_Toc185703010"/>
      <w:bookmarkStart w:id="264" w:name="_Toc444006020"/>
      <w:bookmarkStart w:id="265" w:name="_Toc185702588"/>
      <w:r>
        <w:rPr>
          <w:rFonts w:hint="eastAsia" w:ascii="方正隶书简体" w:hAnsi="宋体" w:eastAsia="方正隶书简体"/>
          <w:bCs/>
          <w:color w:val="auto"/>
          <w:sz w:val="44"/>
        </w:rPr>
        <w:t>第四章   评标</w:t>
      </w:r>
      <w:bookmarkEnd w:id="260"/>
      <w:bookmarkEnd w:id="261"/>
      <w:r>
        <w:rPr>
          <w:rFonts w:hint="eastAsia" w:ascii="方正隶书简体" w:hAnsi="宋体" w:eastAsia="方正隶书简体"/>
          <w:bCs/>
          <w:color w:val="auto"/>
          <w:sz w:val="44"/>
        </w:rPr>
        <w:t>方法</w:t>
      </w:r>
      <w:bookmarkEnd w:id="262"/>
      <w:bookmarkEnd w:id="263"/>
      <w:bookmarkEnd w:id="264"/>
      <w:bookmarkEnd w:id="265"/>
    </w:p>
    <w:p>
      <w:pPr>
        <w:rPr>
          <w:color w:val="auto"/>
        </w:rPr>
      </w:pPr>
    </w:p>
    <w:p>
      <w:pPr>
        <w:pStyle w:val="17"/>
        <w:spacing w:line="360" w:lineRule="auto"/>
        <w:ind w:firstLine="525" w:firstLineChars="250"/>
        <w:outlineLvl w:val="0"/>
        <w:rPr>
          <w:rFonts w:asciiTheme="minorEastAsia" w:hAnsiTheme="minorEastAsia" w:eastAsiaTheme="minorEastAsia"/>
          <w:bCs/>
          <w:color w:val="auto"/>
          <w:szCs w:val="21"/>
        </w:rPr>
      </w:pPr>
      <w:bookmarkStart w:id="266" w:name="_Toc395066558"/>
      <w:bookmarkStart w:id="267" w:name="_Toc444006021"/>
      <w:bookmarkStart w:id="268" w:name="_Toc405943016"/>
      <w:r>
        <w:rPr>
          <w:rFonts w:hint="eastAsia" w:asciiTheme="minorEastAsia" w:hAnsiTheme="minorEastAsia" w:eastAsiaTheme="minorEastAsia"/>
          <w:bCs/>
          <w:color w:val="auto"/>
          <w:szCs w:val="21"/>
        </w:rPr>
        <w:t>一、评审依据及方式</w:t>
      </w:r>
    </w:p>
    <w:p>
      <w:pPr>
        <w:pStyle w:val="17"/>
        <w:spacing w:line="360" w:lineRule="auto"/>
        <w:ind w:firstLine="525" w:firstLineChars="250"/>
        <w:outlineLvl w:val="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1.评审依据：磋商小组以竞争性磋商文件和响应文件为评审依据，对供应商的报价、项目实施方案、质量和保密方案、售后服务方案、人员及技术实力、信誉业绩方面内容按百分制打分。</w:t>
      </w:r>
    </w:p>
    <w:p>
      <w:pPr>
        <w:pStyle w:val="17"/>
        <w:spacing w:line="360" w:lineRule="auto"/>
        <w:ind w:firstLine="525" w:firstLineChars="250"/>
        <w:outlineLvl w:val="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2.评审方式：以封闭方式进行评审。</w:t>
      </w:r>
    </w:p>
    <w:p>
      <w:pPr>
        <w:pStyle w:val="17"/>
        <w:spacing w:line="360" w:lineRule="auto"/>
        <w:ind w:firstLine="525" w:firstLineChars="250"/>
        <w:outlineLvl w:val="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3.根据财库〔2012〕69号文规定，采购人和采购代理机构，磋商小组成员要严格遵守政府采购相关法律制度，依法履行各自职责，公正、客观、审慎地组织和参与评审工作。</w:t>
      </w:r>
    </w:p>
    <w:p>
      <w:pPr>
        <w:pStyle w:val="17"/>
        <w:spacing w:line="360" w:lineRule="auto"/>
        <w:ind w:firstLine="525" w:firstLineChars="250"/>
        <w:outlineLvl w:val="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二、评审办法</w:t>
      </w:r>
    </w:p>
    <w:p>
      <w:pPr>
        <w:pStyle w:val="17"/>
        <w:spacing w:line="360" w:lineRule="auto"/>
        <w:ind w:firstLine="525" w:firstLineChars="250"/>
        <w:outlineLvl w:val="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（一）对进入详评的，采用综合评分法。</w:t>
      </w:r>
    </w:p>
    <w:p>
      <w:pPr>
        <w:pStyle w:val="17"/>
        <w:spacing w:line="360" w:lineRule="auto"/>
        <w:ind w:firstLine="525" w:firstLineChars="250"/>
        <w:outlineLvl w:val="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（二）计分办法（按四舍五入取至小数点后二位）</w:t>
      </w:r>
    </w:p>
    <w:p>
      <w:pPr>
        <w:pStyle w:val="17"/>
        <w:spacing w:line="360" w:lineRule="exact"/>
        <w:ind w:firstLine="422" w:firstLineChars="200"/>
        <w:rPr>
          <w:rFonts w:hAnsi="宋体"/>
          <w:b/>
          <w:bCs/>
          <w:color w:val="auto"/>
        </w:rPr>
      </w:pPr>
      <w:r>
        <w:rPr>
          <w:rFonts w:hint="eastAsia" w:hAnsi="宋体"/>
          <w:b/>
          <w:bCs/>
          <w:color w:val="auto"/>
        </w:rPr>
        <w:t>1、价格分………………………………………………………………………………20分</w:t>
      </w:r>
    </w:p>
    <w:p>
      <w:pPr>
        <w:spacing w:line="391" w:lineRule="auto"/>
        <w:ind w:left="199" w:leftChars="95" w:right="360" w:firstLine="420" w:firstLineChars="200"/>
        <w:rPr>
          <w:rFonts w:ascii="宋体" w:hAnsi="宋体" w:cs="宋体"/>
          <w:color w:val="auto"/>
          <w:szCs w:val="21"/>
        </w:rPr>
      </w:pPr>
      <w:r>
        <w:rPr>
          <w:rFonts w:hint="eastAsia" w:ascii="宋体" w:hAnsi="宋体" w:cs="宋体"/>
          <w:color w:val="auto"/>
          <w:szCs w:val="21"/>
        </w:rPr>
        <w:t>（1）按照《政府采购促进中小企业发展暂行办法》（财库〔2011〕181 号），响应供应商认定为小型和微型企业（以响应文件提供的符合规定的有关证明材料为准）且所投产品均为小型和   微型企业产品的，对最后报价给予 10%的扣除，扣除后的价格为评标报价，即评标报价=最终报价×（1-10%）；大中型企业与小型、微型企业组成联合体投标，其中小型、微型企业的协议合同金额占到联合体协议合同总金额 30%以上的，联合体最终报价给予 2%的扣除，扣除后的价格为评标报价，即评标报价=投标价×（1-2%）；除上述情况外，评标报价=最终报价。投标服务提供企业按《关于政府采购支持监狱企业发展有关问题的通知》(财库〔2014〕68 号)认定为监狱企业的， 在政府采购活动中，监狱企业视同小型、微型企业。监狱企业以提供由省级以上监狱管理局、戒毒管理局(含新疆生产建设兵团)出具的属于监狱企业的证明文件为准。投标服务提供企业按《三部门联合发布关于促进残疾人就业政府采购政策的通知》（财库[2017]141 号）认定为残疾人福利性单位的，视同小型、微型企业；残疾人福利性单位参加政府采购活动时，应当提供《残疾人福利性单位声明函》。残疾人福利性单位属于小型、微型企业的，不重复享受政策。</w:t>
      </w:r>
    </w:p>
    <w:p>
      <w:pPr>
        <w:spacing w:line="400" w:lineRule="exact"/>
        <w:ind w:firstLine="632" w:firstLineChars="300"/>
        <w:rPr>
          <w:rFonts w:ascii="宋体" w:hAnsi="宋体" w:cs="宋体"/>
          <w:b/>
          <w:bCs/>
          <w:color w:val="auto"/>
          <w:szCs w:val="21"/>
        </w:rPr>
      </w:pPr>
      <w:r>
        <w:rPr>
          <w:rFonts w:hint="eastAsia" w:ascii="宋体" w:hAnsi="宋体" w:cs="宋体"/>
          <w:b/>
          <w:bCs/>
          <w:color w:val="auto"/>
          <w:szCs w:val="21"/>
        </w:rPr>
        <w:t>2、项目实施方案分…………………………………………………………………（满分27分）</w:t>
      </w:r>
    </w:p>
    <w:p>
      <w:pPr>
        <w:spacing w:line="360" w:lineRule="auto"/>
        <w:ind w:left="199" w:leftChars="95" w:firstLine="518" w:firstLineChars="247"/>
        <w:rPr>
          <w:rFonts w:ascii="宋体" w:hAnsi="宋体" w:cs="宋体"/>
          <w:color w:val="auto"/>
          <w:szCs w:val="21"/>
        </w:rPr>
      </w:pPr>
      <w:r>
        <w:rPr>
          <w:rFonts w:hint="eastAsia" w:ascii="宋体" w:hAnsi="宋体" w:cs="宋体"/>
          <w:color w:val="auto"/>
          <w:szCs w:val="21"/>
        </w:rPr>
        <w:t>一档（0分～9分）：实施方案完整，项目实施计划可行，项目管理组织机构及人员职能满足要求。提供的方案在整体要求、技术路线、项目实施技术及设计架构的合理性、采用的技术先进性、设计的完整性以及系统的扩展性、实用性、规范性、易用性、可行性、可靠性一般，方案基本可行、论证基本准确，没有明显技术错误。</w:t>
      </w:r>
    </w:p>
    <w:p>
      <w:pPr>
        <w:spacing w:line="360" w:lineRule="auto"/>
        <w:ind w:left="199" w:leftChars="95" w:firstLine="518" w:firstLineChars="247"/>
        <w:rPr>
          <w:rFonts w:ascii="宋体" w:hAnsi="宋体" w:cs="宋体"/>
          <w:color w:val="auto"/>
          <w:szCs w:val="21"/>
        </w:rPr>
      </w:pPr>
      <w:r>
        <w:rPr>
          <w:rFonts w:hint="eastAsia" w:ascii="宋体" w:hAnsi="宋体" w:cs="宋体"/>
          <w:color w:val="auto"/>
          <w:szCs w:val="21"/>
        </w:rPr>
        <w:t>二档（9.1分～18分）：实施方案完整清晰，项目实施计划完整可行，项目管理组织机构及人员职能清晰，实施人员数量满足项目需求。提供的方案在整体要求、技术路线、项目实施技术及设计架构的合理性、采用的技术先进性、设计的完整性以及系统的扩展性、实用性、规范性、易用性、可行性、可靠性较好，方案可行、论证基本准确，没有技术错误，实现技术较新可行，模块功能描述相对具体，方案阐述具体详细，与项目需求的吻合度较好的；</w:t>
      </w:r>
    </w:p>
    <w:p>
      <w:pPr>
        <w:spacing w:line="360" w:lineRule="auto"/>
        <w:ind w:left="199" w:leftChars="95" w:firstLine="518" w:firstLineChars="247"/>
        <w:rPr>
          <w:rFonts w:ascii="宋体" w:hAnsi="宋体" w:cs="宋体"/>
          <w:color w:val="auto"/>
          <w:szCs w:val="21"/>
        </w:rPr>
      </w:pPr>
      <w:r>
        <w:rPr>
          <w:rFonts w:hint="eastAsia" w:ascii="宋体" w:hAnsi="宋体" w:cs="宋体"/>
          <w:color w:val="auto"/>
          <w:szCs w:val="21"/>
        </w:rPr>
        <w:t>三档（18.1 分～27分）：实施方案完整清晰，项目实施计划完整、可行性高，项目所需的各项保障措施得当到位，项目管理组织机构设置全面、人员安排充足、职能分工明确，整体清晰可控。提供的方案在整体要求、技术路线、项目实施技术及设计架构的合理性、采用的技术先进性、设计的完整性以及系统的扩展性、实用性、规范性、易用性、可行性、可靠性比较优秀。技术方案可行且具先进性、创新性，论证很准确。各流程描述具体、实施步骤详细，与项目需求高度吻合。</w:t>
      </w:r>
    </w:p>
    <w:p>
      <w:pPr>
        <w:spacing w:line="400" w:lineRule="exact"/>
        <w:ind w:firstLine="632" w:firstLineChars="300"/>
        <w:rPr>
          <w:rFonts w:ascii="宋体" w:hAnsi="宋体" w:cs="宋体"/>
          <w:color w:val="auto"/>
          <w:szCs w:val="21"/>
        </w:rPr>
      </w:pPr>
      <w:r>
        <w:rPr>
          <w:rFonts w:hint="eastAsia" w:ascii="宋体" w:hAnsi="宋体" w:cs="宋体"/>
          <w:b/>
          <w:bCs/>
          <w:color w:val="auto"/>
          <w:szCs w:val="21"/>
        </w:rPr>
        <w:t>3、质量和保密方案分………………………………………………………………（满分12分）</w:t>
      </w:r>
    </w:p>
    <w:p>
      <w:pPr>
        <w:spacing w:line="360" w:lineRule="auto"/>
        <w:ind w:firstLine="611" w:firstLineChars="291"/>
        <w:rPr>
          <w:rFonts w:ascii="宋体" w:hAnsi="宋体" w:cs="宋体"/>
          <w:color w:val="auto"/>
          <w:szCs w:val="21"/>
        </w:rPr>
      </w:pPr>
      <w:r>
        <w:rPr>
          <w:rFonts w:hint="eastAsia" w:ascii="宋体" w:hAnsi="宋体" w:cs="宋体"/>
          <w:color w:val="auto"/>
          <w:szCs w:val="21"/>
        </w:rPr>
        <w:t>一档（0分～4分）：①质量保证及质量承诺基本符合项目需求。②有保密管理制度和措施；</w:t>
      </w:r>
    </w:p>
    <w:p>
      <w:pPr>
        <w:spacing w:line="360" w:lineRule="auto"/>
        <w:ind w:left="199" w:leftChars="95" w:firstLine="401" w:firstLineChars="191"/>
        <w:rPr>
          <w:rFonts w:ascii="宋体" w:hAnsi="宋体" w:cs="宋体"/>
          <w:color w:val="auto"/>
          <w:szCs w:val="21"/>
        </w:rPr>
      </w:pPr>
      <w:r>
        <w:rPr>
          <w:rFonts w:hint="eastAsia" w:ascii="宋体" w:hAnsi="宋体" w:cs="宋体"/>
          <w:color w:val="auto"/>
          <w:szCs w:val="21"/>
        </w:rPr>
        <w:t>二档（4.1分～8分）：①有专门的质检机构进行质量把关，有明确的内部质量管理奖罚措施；②有具体的质量管理制度和措施，实行过程检查制度和三级检查制度；③有保密管理制度和措施。</w:t>
      </w:r>
    </w:p>
    <w:p>
      <w:pPr>
        <w:spacing w:line="360" w:lineRule="auto"/>
        <w:ind w:left="199" w:leftChars="95" w:firstLine="401" w:firstLineChars="191"/>
        <w:rPr>
          <w:rFonts w:ascii="宋体" w:hAnsi="宋体" w:cs="宋体"/>
          <w:color w:val="auto"/>
          <w:szCs w:val="21"/>
        </w:rPr>
      </w:pPr>
      <w:r>
        <w:rPr>
          <w:rFonts w:hint="eastAsia" w:ascii="宋体" w:hAnsi="宋体" w:cs="宋体"/>
          <w:color w:val="auto"/>
          <w:szCs w:val="21"/>
        </w:rPr>
        <w:t>三档（8.1分～12分）：①有专门的质检机构进行质量把关，有明确的内部质量管理奖罚措施；②有具体的质量管理制度和措施，包括:建立过程检查制度和三级检查制度，制度完善，措施有效到位；③有具体详细的保密管理制度和措施；</w:t>
      </w:r>
      <w:r>
        <w:rPr>
          <w:rFonts w:hint="eastAsia" w:ascii="宋体" w:hAnsi="宋体" w:cs="宋体"/>
          <w:color w:val="auto"/>
          <w:szCs w:val="21"/>
        </w:rPr>
        <w:fldChar w:fldCharType="begin"/>
      </w:r>
      <w:r>
        <w:rPr>
          <w:rFonts w:hint="eastAsia" w:ascii="宋体" w:hAnsi="宋体" w:cs="宋体"/>
          <w:color w:val="auto"/>
          <w:szCs w:val="21"/>
        </w:rPr>
        <w:instrText xml:space="preserve"> eq \o\ac(○,4)</w:instrText>
      </w:r>
      <w:r>
        <w:rPr>
          <w:rFonts w:hint="eastAsia" w:ascii="宋体" w:hAnsi="宋体" w:cs="宋体"/>
          <w:color w:val="auto"/>
          <w:szCs w:val="21"/>
        </w:rPr>
        <w:fldChar w:fldCharType="end"/>
      </w:r>
      <w:r>
        <w:rPr>
          <w:rFonts w:hint="eastAsia" w:ascii="宋体" w:hAnsi="宋体" w:cs="宋体"/>
          <w:color w:val="auto"/>
          <w:szCs w:val="21"/>
        </w:rPr>
        <w:t>有技术培训、质量意识和保密知识教育，并且投入项目实施人员中具有涉密测绘成果管理人员岗位培训证书5人以上。</w:t>
      </w:r>
    </w:p>
    <w:p>
      <w:pPr>
        <w:spacing w:line="400" w:lineRule="exact"/>
        <w:ind w:firstLine="632" w:firstLineChars="300"/>
        <w:rPr>
          <w:rFonts w:ascii="宋体" w:hAnsi="宋体" w:cs="宋体"/>
          <w:b/>
          <w:bCs/>
          <w:color w:val="auto"/>
          <w:szCs w:val="21"/>
        </w:rPr>
      </w:pPr>
      <w:r>
        <w:rPr>
          <w:rFonts w:hint="eastAsia" w:ascii="宋体" w:hAnsi="宋体" w:cs="宋体"/>
          <w:b/>
          <w:bCs/>
          <w:color w:val="auto"/>
          <w:szCs w:val="21"/>
        </w:rPr>
        <w:t>4、售后服务方案分………………………………………………………………（满分6分）</w:t>
      </w:r>
    </w:p>
    <w:p>
      <w:pPr>
        <w:shd w:val="clear" w:color="000000" w:fill="auto"/>
        <w:spacing w:line="360" w:lineRule="auto"/>
        <w:ind w:left="199" w:leftChars="95" w:firstLine="401" w:firstLineChars="191"/>
        <w:rPr>
          <w:rFonts w:ascii="宋体" w:hAnsi="宋体" w:cs="宋体"/>
          <w:color w:val="auto"/>
          <w:szCs w:val="21"/>
        </w:rPr>
      </w:pPr>
      <w:r>
        <w:rPr>
          <w:rFonts w:hint="eastAsia" w:ascii="宋体" w:hAnsi="宋体" w:cs="宋体"/>
          <w:color w:val="auto"/>
          <w:szCs w:val="21"/>
        </w:rPr>
        <w:t>一档（0分～2分）：有固定的办公场所，承诺应采购人需求响应时间在8小时内到达现场并作出相应处理；承诺免费提供售后服务(含技术培训)，售后服务基本满足项目需求；（须提供固定办公场所证明复印件并加盖单位公章，否则不得分)；</w:t>
      </w:r>
    </w:p>
    <w:p>
      <w:pPr>
        <w:shd w:val="clear" w:color="000000" w:fill="auto"/>
        <w:spacing w:line="360" w:lineRule="auto"/>
        <w:ind w:left="199" w:leftChars="95" w:firstLine="401" w:firstLineChars="191"/>
        <w:rPr>
          <w:rFonts w:ascii="宋体" w:hAnsi="宋体" w:cs="宋体"/>
          <w:color w:val="auto"/>
          <w:szCs w:val="21"/>
        </w:rPr>
      </w:pPr>
      <w:r>
        <w:rPr>
          <w:rFonts w:hint="eastAsia" w:ascii="宋体" w:hAnsi="宋体" w:cs="宋体"/>
          <w:color w:val="auto"/>
          <w:szCs w:val="21"/>
        </w:rPr>
        <w:t>二档（2.1 分～4分）：有固定的办公场所，承诺应采购人需求响应时间在4小时内到达现场并作出相应处理；承诺免费提供售后服务(含技术培训)1 年以上；提供完整的售后服务方案（须提供固定办公场所证明复印件并加盖单位公章，否则不得分)；</w:t>
      </w:r>
    </w:p>
    <w:p>
      <w:pPr>
        <w:shd w:val="clear" w:color="000000" w:fill="auto"/>
        <w:spacing w:line="360" w:lineRule="auto"/>
        <w:ind w:left="199" w:leftChars="95" w:firstLine="401" w:firstLineChars="191"/>
        <w:rPr>
          <w:rFonts w:ascii="宋体" w:hAnsi="宋体" w:cs="宋体"/>
          <w:color w:val="auto"/>
          <w:szCs w:val="21"/>
        </w:rPr>
      </w:pPr>
      <w:r>
        <w:rPr>
          <w:rFonts w:hint="eastAsia" w:ascii="宋体" w:hAnsi="宋体" w:cs="宋体"/>
          <w:color w:val="auto"/>
          <w:szCs w:val="21"/>
        </w:rPr>
        <w:t>三档（4.1分～6分）：</w:t>
      </w:r>
      <w:r>
        <w:rPr>
          <w:rFonts w:hint="eastAsia" w:cs="宋体"/>
          <w:color w:val="auto"/>
          <w:szCs w:val="21"/>
        </w:rPr>
        <w:t>在梧州市辖区</w:t>
      </w:r>
      <w:r>
        <w:rPr>
          <w:rFonts w:hint="eastAsia" w:ascii="宋体" w:hAnsi="宋体" w:cs="宋体"/>
          <w:color w:val="auto"/>
          <w:szCs w:val="21"/>
        </w:rPr>
        <w:t>有固定的办公场所，</w:t>
      </w:r>
      <w:r>
        <w:rPr>
          <w:rFonts w:hint="eastAsia" w:cs="宋体"/>
          <w:color w:val="auto"/>
          <w:szCs w:val="21"/>
        </w:rPr>
        <w:t>且提供</w:t>
      </w:r>
      <w:r>
        <w:rPr>
          <w:rStyle w:val="79"/>
          <w:rFonts w:ascii="宋体" w:hAnsi="宋体"/>
          <w:color w:val="auto"/>
          <w:szCs w:val="21"/>
        </w:rPr>
        <w:t>开标前至少6个月服务点办公地点产权证书或租赁合同</w:t>
      </w:r>
      <w:r>
        <w:rPr>
          <w:rStyle w:val="79"/>
          <w:rFonts w:hint="eastAsia"/>
          <w:color w:val="auto"/>
          <w:szCs w:val="21"/>
        </w:rPr>
        <w:t>，</w:t>
      </w:r>
      <w:r>
        <w:rPr>
          <w:rFonts w:hint="eastAsia" w:ascii="宋体" w:hAnsi="宋体" w:cs="宋体"/>
          <w:color w:val="auto"/>
          <w:szCs w:val="21"/>
        </w:rPr>
        <w:t>承诺应采购人需求响应时间在</w:t>
      </w:r>
      <w:r>
        <w:rPr>
          <w:rFonts w:hint="eastAsia" w:cs="宋体"/>
          <w:color w:val="auto"/>
          <w:szCs w:val="21"/>
        </w:rPr>
        <w:t>3</w:t>
      </w:r>
      <w:r>
        <w:rPr>
          <w:rFonts w:hint="eastAsia" w:ascii="宋体" w:hAnsi="宋体" w:cs="宋体"/>
          <w:color w:val="auto"/>
          <w:szCs w:val="21"/>
        </w:rPr>
        <w:t>小时内到达现场并作出相应处理；承诺免费提供各种与项目成果使用有关的技术培训，承诺免费提供售后服务(含技术培训)2年以上；能提供完整、详细的售后服务方案（须提供固定办公场所证明复印件并加盖单位公章，否则不得分)。</w:t>
      </w:r>
    </w:p>
    <w:p>
      <w:pPr>
        <w:spacing w:line="400" w:lineRule="exact"/>
        <w:ind w:firstLine="632" w:firstLineChars="300"/>
        <w:rPr>
          <w:rFonts w:ascii="宋体" w:hAnsi="宋体" w:cs="宋体"/>
          <w:b/>
          <w:bCs/>
          <w:color w:val="auto"/>
          <w:szCs w:val="21"/>
        </w:rPr>
      </w:pPr>
      <w:r>
        <w:rPr>
          <w:rFonts w:hint="eastAsia" w:ascii="宋体" w:hAnsi="宋体" w:cs="宋体"/>
          <w:b/>
          <w:bCs/>
          <w:color w:val="auto"/>
          <w:szCs w:val="21"/>
        </w:rPr>
        <w:t>5、人员及技术实力分……………………………………………………………………（满分19分）</w:t>
      </w:r>
    </w:p>
    <w:p>
      <w:pPr>
        <w:spacing w:line="360" w:lineRule="exact"/>
        <w:ind w:firstLine="630" w:firstLineChars="300"/>
        <w:rPr>
          <w:color w:val="auto"/>
        </w:rPr>
      </w:pPr>
      <w:r>
        <w:rPr>
          <w:rFonts w:hint="eastAsia" w:ascii="宋体" w:hAnsi="宋体" w:cs="宋体"/>
          <w:color w:val="auto"/>
          <w:szCs w:val="21"/>
        </w:rPr>
        <w:t>（1）</w:t>
      </w:r>
      <w:r>
        <w:rPr>
          <w:rStyle w:val="79"/>
          <w:rFonts w:ascii="宋体" w:hAnsi="宋体" w:cs="宋体"/>
          <w:bCs/>
          <w:color w:val="auto"/>
          <w:szCs w:val="21"/>
        </w:rPr>
        <w:t>投标人具有由国家认证认可监督管理部门批准设立的认证机构颁发并在有效期内的质量管理体系认证得</w:t>
      </w:r>
      <w:r>
        <w:rPr>
          <w:rStyle w:val="79"/>
          <w:rFonts w:hint="eastAsia" w:cs="宋体"/>
          <w:bCs/>
          <w:color w:val="auto"/>
          <w:szCs w:val="21"/>
        </w:rPr>
        <w:t>2</w:t>
      </w:r>
      <w:r>
        <w:rPr>
          <w:rStyle w:val="79"/>
          <w:rFonts w:ascii="宋体" w:hAnsi="宋体" w:cs="宋体"/>
          <w:bCs/>
          <w:color w:val="auto"/>
          <w:szCs w:val="21"/>
        </w:rPr>
        <w:t>分。</w:t>
      </w:r>
    </w:p>
    <w:p>
      <w:pPr>
        <w:spacing w:line="360" w:lineRule="auto"/>
        <w:ind w:firstLine="630" w:firstLineChars="300"/>
        <w:rPr>
          <w:rFonts w:ascii="宋体" w:hAnsi="宋体" w:cs="宋体"/>
          <w:color w:val="auto"/>
          <w:szCs w:val="21"/>
        </w:rPr>
      </w:pPr>
      <w:r>
        <w:rPr>
          <w:rFonts w:hint="eastAsia" w:ascii="宋体" w:hAnsi="宋体" w:cs="宋体"/>
          <w:color w:val="auto"/>
          <w:szCs w:val="21"/>
        </w:rPr>
        <w:t>（</w:t>
      </w:r>
      <w:r>
        <w:rPr>
          <w:rFonts w:hint="eastAsia" w:cs="宋体"/>
          <w:color w:val="auto"/>
          <w:szCs w:val="21"/>
        </w:rPr>
        <w:t>2</w:t>
      </w:r>
      <w:r>
        <w:rPr>
          <w:rFonts w:hint="eastAsia" w:ascii="宋体" w:hAnsi="宋体" w:cs="宋体"/>
          <w:color w:val="auto"/>
          <w:szCs w:val="21"/>
        </w:rPr>
        <w:t>）</w:t>
      </w:r>
      <w:r>
        <w:rPr>
          <w:rStyle w:val="79"/>
          <w:rFonts w:ascii="宋体" w:hAnsi="宋体" w:cs="宋体"/>
          <w:bCs/>
          <w:color w:val="auto"/>
          <w:szCs w:val="21"/>
        </w:rPr>
        <w:t>投标人具有</w:t>
      </w:r>
      <w:r>
        <w:rPr>
          <w:rStyle w:val="79"/>
          <w:rFonts w:hint="eastAsia" w:cs="宋体"/>
          <w:bCs/>
          <w:color w:val="auto"/>
          <w:szCs w:val="21"/>
        </w:rPr>
        <w:t>广西不动产登记代理机构颁发的注册证书</w:t>
      </w:r>
      <w:r>
        <w:rPr>
          <w:rStyle w:val="79"/>
          <w:rFonts w:ascii="新宋体" w:hAnsi="新宋体"/>
          <w:color w:val="auto"/>
          <w:szCs w:val="21"/>
        </w:rPr>
        <w:t>地市级</w:t>
      </w:r>
      <w:r>
        <w:rPr>
          <w:rStyle w:val="79"/>
          <w:rFonts w:hint="eastAsia" w:ascii="新宋体" w:hAnsi="新宋体"/>
          <w:color w:val="auto"/>
          <w:szCs w:val="21"/>
        </w:rPr>
        <w:t>的，得1分，区级的，得2分，最高得2分。</w:t>
      </w:r>
    </w:p>
    <w:p>
      <w:pPr>
        <w:tabs>
          <w:tab w:val="left" w:pos="5760"/>
        </w:tabs>
        <w:spacing w:line="360" w:lineRule="auto"/>
        <w:ind w:left="199" w:leftChars="95" w:firstLine="420" w:firstLineChars="200"/>
        <w:rPr>
          <w:rFonts w:ascii="宋体" w:hAnsi="宋体" w:cs="宋体"/>
          <w:color w:val="auto"/>
          <w:szCs w:val="21"/>
        </w:rPr>
      </w:pPr>
      <w:r>
        <w:rPr>
          <w:rFonts w:hint="eastAsia" w:ascii="宋体" w:hAnsi="宋体" w:cs="宋体"/>
          <w:color w:val="auto"/>
          <w:szCs w:val="21"/>
        </w:rPr>
        <w:t>（</w:t>
      </w:r>
      <w:r>
        <w:rPr>
          <w:rFonts w:hint="eastAsia" w:cs="宋体"/>
          <w:color w:val="auto"/>
          <w:szCs w:val="21"/>
        </w:rPr>
        <w:t>3</w:t>
      </w:r>
      <w:r>
        <w:rPr>
          <w:rFonts w:hint="eastAsia" w:ascii="宋体" w:hAnsi="宋体" w:cs="宋体"/>
          <w:color w:val="auto"/>
          <w:szCs w:val="21"/>
        </w:rPr>
        <w:t>）拟投入的项目负责人、技术负责人具有测绘工程或土地管理高级工程师职称，每个得3分，最高得6分。</w:t>
      </w:r>
    </w:p>
    <w:p>
      <w:pPr>
        <w:tabs>
          <w:tab w:val="left" w:pos="5760"/>
        </w:tabs>
        <w:spacing w:line="360" w:lineRule="auto"/>
        <w:ind w:left="210" w:leftChars="100" w:firstLine="420" w:firstLineChars="200"/>
        <w:rPr>
          <w:rFonts w:ascii="宋体" w:hAnsi="宋体" w:cs="宋体"/>
          <w:color w:val="auto"/>
        </w:rPr>
      </w:pPr>
      <w:r>
        <w:rPr>
          <w:rFonts w:hint="eastAsia" w:ascii="宋体" w:hAnsi="宋体" w:cs="宋体"/>
          <w:color w:val="auto"/>
          <w:szCs w:val="21"/>
        </w:rPr>
        <w:t>(</w:t>
      </w:r>
      <w:r>
        <w:rPr>
          <w:rFonts w:hint="eastAsia" w:cs="宋体"/>
          <w:color w:val="auto"/>
          <w:szCs w:val="21"/>
        </w:rPr>
        <w:t>4</w:t>
      </w:r>
      <w:r>
        <w:rPr>
          <w:rFonts w:hint="eastAsia" w:ascii="宋体" w:hAnsi="宋体" w:cs="宋体"/>
          <w:color w:val="auto"/>
          <w:szCs w:val="21"/>
        </w:rPr>
        <w:t>)拟投入人员中具有测绘、土地管理专业、</w:t>
      </w:r>
      <w:r>
        <w:rPr>
          <w:rFonts w:hint="eastAsia" w:cs="宋体"/>
          <w:color w:val="auto"/>
          <w:szCs w:val="21"/>
        </w:rPr>
        <w:t>地籍</w:t>
      </w:r>
      <w:r>
        <w:rPr>
          <w:rFonts w:hint="eastAsia" w:ascii="宋体" w:hAnsi="宋体" w:cs="宋体"/>
          <w:color w:val="auto"/>
          <w:szCs w:val="21"/>
        </w:rPr>
        <w:t>专业中</w:t>
      </w:r>
      <w:r>
        <w:rPr>
          <w:rFonts w:hint="eastAsia" w:cs="宋体"/>
          <w:color w:val="auto"/>
          <w:szCs w:val="21"/>
        </w:rPr>
        <w:t>高</w:t>
      </w:r>
      <w:r>
        <w:rPr>
          <w:rFonts w:hint="eastAsia" w:ascii="宋体" w:hAnsi="宋体" w:cs="宋体"/>
          <w:color w:val="auto"/>
          <w:szCs w:val="21"/>
        </w:rPr>
        <w:t>级工程师职称的，每人得1分，最高得7分。</w:t>
      </w:r>
    </w:p>
    <w:p>
      <w:pPr>
        <w:spacing w:line="360" w:lineRule="auto"/>
        <w:ind w:firstLine="630" w:firstLineChars="300"/>
        <w:rPr>
          <w:rFonts w:ascii="宋体" w:hAnsi="宋体" w:cs="宋体"/>
          <w:color w:val="auto"/>
        </w:rPr>
      </w:pPr>
      <w:r>
        <w:rPr>
          <w:rFonts w:hint="eastAsia" w:ascii="宋体" w:hAnsi="宋体" w:cs="宋体"/>
          <w:color w:val="auto"/>
          <w:szCs w:val="21"/>
        </w:rPr>
        <w:t>(</w:t>
      </w:r>
      <w:r>
        <w:rPr>
          <w:rFonts w:hint="eastAsia" w:cs="宋体"/>
          <w:color w:val="auto"/>
          <w:szCs w:val="21"/>
        </w:rPr>
        <w:t>5</w:t>
      </w:r>
      <w:r>
        <w:rPr>
          <w:rFonts w:hint="eastAsia" w:ascii="宋体" w:hAnsi="宋体" w:cs="宋体"/>
          <w:color w:val="auto"/>
          <w:szCs w:val="21"/>
        </w:rPr>
        <w:t>)拟投入人员中具有省级地理信息主管部门颁发的涉密人员培训合格证书，每人得1分，最高得2分。</w:t>
      </w:r>
    </w:p>
    <w:p>
      <w:pPr>
        <w:spacing w:line="360" w:lineRule="auto"/>
        <w:ind w:firstLine="632" w:firstLineChars="300"/>
        <w:rPr>
          <w:rFonts w:ascii="宋体" w:hAnsi="宋体" w:cs="宋体"/>
          <w:color w:val="auto"/>
          <w:szCs w:val="21"/>
        </w:rPr>
      </w:pPr>
      <w:r>
        <w:rPr>
          <w:rFonts w:hint="eastAsia" w:ascii="宋体" w:hAnsi="宋体" w:cs="宋体"/>
          <w:b/>
          <w:bCs/>
          <w:color w:val="auto"/>
          <w:szCs w:val="21"/>
        </w:rPr>
        <w:t>6、信誉业绩分……………………………………………………………………（满分</w:t>
      </w:r>
      <w:r>
        <w:rPr>
          <w:rFonts w:hint="eastAsia" w:cs="宋体"/>
          <w:b/>
          <w:bCs/>
          <w:color w:val="auto"/>
          <w:szCs w:val="21"/>
        </w:rPr>
        <w:t>16</w:t>
      </w:r>
      <w:r>
        <w:rPr>
          <w:rFonts w:hint="eastAsia" w:ascii="宋体" w:hAnsi="宋体" w:cs="宋体"/>
          <w:b/>
          <w:bCs/>
          <w:color w:val="auto"/>
          <w:szCs w:val="21"/>
        </w:rPr>
        <w:t>分）</w:t>
      </w:r>
    </w:p>
    <w:p>
      <w:pPr>
        <w:spacing w:line="360" w:lineRule="exact"/>
        <w:ind w:firstLine="420" w:firstLineChars="200"/>
        <w:rPr>
          <w:rStyle w:val="79"/>
          <w:rFonts w:ascii="宋体" w:hAnsi="宋体"/>
          <w:color w:val="auto"/>
          <w:szCs w:val="21"/>
        </w:rPr>
      </w:pPr>
      <w:r>
        <w:rPr>
          <w:rStyle w:val="79"/>
          <w:rFonts w:ascii="宋体" w:hAnsi="宋体"/>
          <w:color w:val="auto"/>
          <w:szCs w:val="21"/>
        </w:rPr>
        <w:t>投标人自2015年以来完成或承担的同类项目业绩：</w:t>
      </w:r>
    </w:p>
    <w:p>
      <w:pPr>
        <w:autoSpaceDE w:val="0"/>
        <w:autoSpaceDN w:val="0"/>
        <w:ind w:firstLine="630" w:firstLineChars="300"/>
        <w:rPr>
          <w:rStyle w:val="79"/>
          <w:rFonts w:ascii="宋体" w:hAnsi="宋体"/>
          <w:color w:val="auto"/>
          <w:szCs w:val="21"/>
        </w:rPr>
      </w:pPr>
      <w:r>
        <w:rPr>
          <w:rStyle w:val="79"/>
          <w:rFonts w:ascii="宋体" w:hAnsi="宋体"/>
          <w:color w:val="auto"/>
          <w:szCs w:val="21"/>
        </w:rPr>
        <w:t>1、投标人承担过重大不动产测绘项目的（合同金额在</w:t>
      </w:r>
      <w:r>
        <w:rPr>
          <w:rStyle w:val="79"/>
          <w:rFonts w:hint="eastAsia"/>
          <w:color w:val="auto"/>
          <w:szCs w:val="21"/>
        </w:rPr>
        <w:t>80</w:t>
      </w:r>
      <w:r>
        <w:rPr>
          <w:rStyle w:val="79"/>
          <w:rFonts w:ascii="宋体" w:hAnsi="宋体"/>
          <w:color w:val="auto"/>
          <w:szCs w:val="21"/>
        </w:rPr>
        <w:t>万元以上），每项得</w:t>
      </w:r>
      <w:r>
        <w:rPr>
          <w:rStyle w:val="79"/>
          <w:rFonts w:hint="eastAsia"/>
          <w:color w:val="auto"/>
          <w:szCs w:val="21"/>
        </w:rPr>
        <w:t>2</w:t>
      </w:r>
      <w:r>
        <w:rPr>
          <w:rStyle w:val="79"/>
          <w:rFonts w:ascii="宋体" w:hAnsi="宋体"/>
          <w:color w:val="auto"/>
          <w:szCs w:val="21"/>
        </w:rPr>
        <w:t>分，最高得</w:t>
      </w:r>
      <w:r>
        <w:rPr>
          <w:rStyle w:val="79"/>
          <w:rFonts w:hint="eastAsia"/>
          <w:color w:val="auto"/>
          <w:szCs w:val="21"/>
        </w:rPr>
        <w:t>4</w:t>
      </w:r>
      <w:r>
        <w:rPr>
          <w:rStyle w:val="79"/>
          <w:rFonts w:ascii="宋体" w:hAnsi="宋体"/>
          <w:color w:val="auto"/>
          <w:szCs w:val="21"/>
        </w:rPr>
        <w:t>分。</w:t>
      </w:r>
    </w:p>
    <w:p>
      <w:pPr>
        <w:autoSpaceDE w:val="0"/>
        <w:autoSpaceDN w:val="0"/>
        <w:ind w:firstLine="630" w:firstLineChars="300"/>
        <w:rPr>
          <w:rStyle w:val="79"/>
          <w:rFonts w:ascii="宋体" w:hAnsi="宋体"/>
          <w:color w:val="auto"/>
          <w:szCs w:val="21"/>
        </w:rPr>
      </w:pPr>
      <w:r>
        <w:rPr>
          <w:rStyle w:val="79"/>
          <w:rFonts w:ascii="宋体" w:hAnsi="宋体"/>
          <w:color w:val="auto"/>
          <w:szCs w:val="21"/>
        </w:rPr>
        <w:t>2、投标人承担过第三次</w:t>
      </w:r>
      <w:r>
        <w:rPr>
          <w:rStyle w:val="79"/>
          <w:rFonts w:hint="eastAsia"/>
          <w:color w:val="auto"/>
          <w:szCs w:val="21"/>
        </w:rPr>
        <w:t>全国</w:t>
      </w:r>
      <w:r>
        <w:rPr>
          <w:rStyle w:val="79"/>
          <w:rFonts w:ascii="宋体" w:hAnsi="宋体"/>
          <w:color w:val="auto"/>
          <w:szCs w:val="21"/>
        </w:rPr>
        <w:t>国土调查或年度</w:t>
      </w:r>
      <w:r>
        <w:rPr>
          <w:rStyle w:val="79"/>
          <w:rFonts w:hint="eastAsia" w:ascii="宋体" w:hAnsi="宋体"/>
          <w:color w:val="auto"/>
          <w:szCs w:val="21"/>
        </w:rPr>
        <w:t>土地变更调查与遥感监测项目</w:t>
      </w:r>
      <w:r>
        <w:rPr>
          <w:rStyle w:val="79"/>
          <w:rFonts w:ascii="宋体" w:hAnsi="宋体"/>
          <w:color w:val="auto"/>
          <w:szCs w:val="21"/>
        </w:rPr>
        <w:t>的，每项得</w:t>
      </w:r>
      <w:r>
        <w:rPr>
          <w:rStyle w:val="79"/>
          <w:rFonts w:hint="eastAsia"/>
          <w:color w:val="auto"/>
          <w:szCs w:val="21"/>
        </w:rPr>
        <w:t>3</w:t>
      </w:r>
      <w:r>
        <w:rPr>
          <w:rStyle w:val="79"/>
          <w:rFonts w:ascii="宋体" w:hAnsi="宋体"/>
          <w:color w:val="auto"/>
          <w:szCs w:val="21"/>
        </w:rPr>
        <w:t>分，最高得</w:t>
      </w:r>
      <w:r>
        <w:rPr>
          <w:rStyle w:val="79"/>
          <w:rFonts w:hint="eastAsia"/>
          <w:color w:val="auto"/>
          <w:szCs w:val="21"/>
        </w:rPr>
        <w:t>9</w:t>
      </w:r>
      <w:r>
        <w:rPr>
          <w:rStyle w:val="79"/>
          <w:rFonts w:ascii="宋体" w:hAnsi="宋体"/>
          <w:color w:val="auto"/>
          <w:szCs w:val="21"/>
        </w:rPr>
        <w:t>分。</w:t>
      </w:r>
    </w:p>
    <w:p>
      <w:pPr>
        <w:autoSpaceDE w:val="0"/>
        <w:autoSpaceDN w:val="0"/>
        <w:ind w:left="199" w:leftChars="95" w:firstLine="420" w:firstLineChars="200"/>
        <w:rPr>
          <w:rFonts w:ascii="宋体" w:hAnsi="宋体" w:cs="宋体"/>
          <w:color w:val="auto"/>
          <w:szCs w:val="21"/>
        </w:rPr>
      </w:pPr>
      <w:r>
        <w:rPr>
          <w:rStyle w:val="79"/>
          <w:rFonts w:ascii="宋体" w:hAnsi="宋体"/>
          <w:color w:val="auto"/>
          <w:szCs w:val="21"/>
        </w:rPr>
        <w:t>3、投标人承担过违法用地测绘项目的，每项得</w:t>
      </w:r>
      <w:r>
        <w:rPr>
          <w:rStyle w:val="79"/>
          <w:rFonts w:hint="eastAsia"/>
          <w:color w:val="auto"/>
          <w:szCs w:val="21"/>
        </w:rPr>
        <w:t>3</w:t>
      </w:r>
      <w:r>
        <w:rPr>
          <w:rStyle w:val="79"/>
          <w:rFonts w:ascii="宋体" w:hAnsi="宋体"/>
          <w:color w:val="auto"/>
          <w:szCs w:val="21"/>
        </w:rPr>
        <w:t>分，最高得</w:t>
      </w:r>
      <w:r>
        <w:rPr>
          <w:rStyle w:val="79"/>
          <w:rFonts w:hint="eastAsia"/>
          <w:color w:val="auto"/>
          <w:szCs w:val="21"/>
        </w:rPr>
        <w:t>3</w:t>
      </w:r>
      <w:r>
        <w:rPr>
          <w:rStyle w:val="79"/>
          <w:rFonts w:ascii="宋体" w:hAnsi="宋体"/>
          <w:color w:val="auto"/>
          <w:szCs w:val="21"/>
        </w:rPr>
        <w:t>分。</w:t>
      </w:r>
    </w:p>
    <w:p>
      <w:pPr>
        <w:adjustRightIn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(三)总得分=1+2+3+4+5+6。</w:t>
      </w:r>
    </w:p>
    <w:p>
      <w:pPr>
        <w:pStyle w:val="17"/>
        <w:spacing w:line="360" w:lineRule="auto"/>
        <w:ind w:firstLine="525" w:firstLineChars="250"/>
        <w:outlineLvl w:val="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三、推荐成交候选供应商原则</w:t>
      </w:r>
    </w:p>
    <w:p>
      <w:pPr>
        <w:pStyle w:val="17"/>
        <w:spacing w:line="360" w:lineRule="auto"/>
        <w:ind w:firstLine="525" w:firstLineChars="250"/>
        <w:outlineLvl w:val="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依次按服务承诺方案分、项目实施方案分由高到低顺序排列并推荐成交候选供应商。</w:t>
      </w:r>
    </w:p>
    <w:p>
      <w:pPr>
        <w:pStyle w:val="17"/>
        <w:spacing w:line="360" w:lineRule="auto"/>
        <w:ind w:firstLine="525" w:firstLineChars="250"/>
        <w:outlineLvl w:val="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（2）采购单位应当确定磋商小组推荐排名第一的成交候选供应商为成交供应商。</w:t>
      </w:r>
    </w:p>
    <w:p>
      <w:pPr>
        <w:pStyle w:val="17"/>
        <w:spacing w:line="360" w:lineRule="auto"/>
        <w:ind w:firstLine="525" w:firstLineChars="250"/>
        <w:outlineLvl w:val="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pPr>
        <w:pStyle w:val="17"/>
        <w:spacing w:line="360" w:lineRule="auto"/>
        <w:ind w:firstLine="525" w:firstLineChars="250"/>
        <w:outlineLvl w:val="0"/>
        <w:rPr>
          <w:rFonts w:ascii="方正隶书简体" w:hAnsi="宋体" w:eastAsia="方正隶书简体"/>
          <w:bCs/>
          <w:color w:val="auto"/>
          <w:sz w:val="44"/>
        </w:rPr>
      </w:pPr>
      <w:r>
        <w:rPr>
          <w:rFonts w:hint="eastAsia" w:asciiTheme="minorEastAsia" w:hAnsiTheme="minorEastAsia" w:eastAsiaTheme="minorEastAsia"/>
          <w:bCs/>
          <w:color w:val="auto"/>
          <w:szCs w:val="21"/>
        </w:rPr>
        <w:t>（4）排名第二的成交候选供应商因前款规定的同样原因不能签订合同的，采购单位可以确定排名第三的成交候选人为成交供应商。以此类推。</w:t>
      </w:r>
      <w:bookmarkEnd w:id="266"/>
      <w:bookmarkEnd w:id="267"/>
      <w:bookmarkEnd w:id="268"/>
      <w:bookmarkStart w:id="269" w:name="_Toc147248437"/>
      <w:bookmarkStart w:id="270" w:name="_Toc185702613"/>
      <w:bookmarkStart w:id="271" w:name="_Toc444006024"/>
      <w:bookmarkStart w:id="272" w:name="_Toc156106972"/>
      <w:bookmarkStart w:id="273" w:name="_Toc185703035"/>
      <w:bookmarkStart w:id="274" w:name="_Toc239839919"/>
    </w:p>
    <w:p>
      <w:pPr>
        <w:pStyle w:val="3"/>
        <w:spacing w:line="560" w:lineRule="exact"/>
        <w:jc w:val="center"/>
        <w:rPr>
          <w:rFonts w:ascii="方正隶书简体" w:hAnsi="宋体" w:eastAsia="方正隶书简体"/>
          <w:bCs/>
          <w:color w:val="auto"/>
          <w:sz w:val="44"/>
        </w:rPr>
      </w:pPr>
    </w:p>
    <w:p>
      <w:pPr>
        <w:pStyle w:val="3"/>
        <w:spacing w:line="560" w:lineRule="exact"/>
        <w:jc w:val="center"/>
        <w:rPr>
          <w:rFonts w:ascii="方正隶书简体" w:hAnsi="宋体" w:eastAsia="方正隶书简体"/>
          <w:bCs/>
          <w:color w:val="auto"/>
          <w:sz w:val="44"/>
        </w:rPr>
      </w:pPr>
      <w:r>
        <w:rPr>
          <w:rFonts w:hint="eastAsia" w:ascii="方正隶书简体" w:hAnsi="宋体" w:eastAsia="方正隶书简体"/>
          <w:bCs/>
          <w:color w:val="auto"/>
          <w:sz w:val="44"/>
        </w:rPr>
        <w:t>第五章   响应文件（格式）</w:t>
      </w:r>
      <w:bookmarkEnd w:id="269"/>
      <w:bookmarkEnd w:id="270"/>
      <w:bookmarkEnd w:id="271"/>
      <w:bookmarkEnd w:id="272"/>
      <w:bookmarkEnd w:id="273"/>
      <w:bookmarkEnd w:id="274"/>
    </w:p>
    <w:p>
      <w:pPr>
        <w:spacing w:line="400" w:lineRule="exact"/>
        <w:rPr>
          <w:color w:val="auto"/>
        </w:rPr>
      </w:pPr>
    </w:p>
    <w:p>
      <w:pPr>
        <w:spacing w:line="400" w:lineRule="exact"/>
        <w:rPr>
          <w:color w:val="auto"/>
        </w:rPr>
      </w:pPr>
    </w:p>
    <w:p>
      <w:pPr>
        <w:autoSpaceDE w:val="0"/>
        <w:autoSpaceDN w:val="0"/>
        <w:adjustRightInd w:val="0"/>
        <w:spacing w:line="360" w:lineRule="auto"/>
        <w:rPr>
          <w:color w:val="auto"/>
          <w:szCs w:val="21"/>
        </w:rPr>
      </w:pPr>
      <w:r>
        <w:rPr>
          <w:rFonts w:hint="eastAsia" w:ascii="宋体" w:cs="宋体"/>
          <w:color w:val="auto"/>
          <w:szCs w:val="21"/>
          <w:lang w:val="zh-CN"/>
        </w:rPr>
        <w:t>说明：</w:t>
      </w:r>
    </w:p>
    <w:p>
      <w:pPr>
        <w:pStyle w:val="17"/>
        <w:spacing w:line="400" w:lineRule="exact"/>
        <w:ind w:left="315" w:hanging="315" w:hangingChars="150"/>
        <w:rPr>
          <w:color w:val="auto"/>
          <w:szCs w:val="21"/>
        </w:rPr>
      </w:pPr>
      <w:r>
        <w:rPr>
          <w:rFonts w:hint="eastAsia" w:cs="宋体"/>
          <w:color w:val="auto"/>
          <w:szCs w:val="21"/>
          <w:lang w:val="zh-CN"/>
        </w:rPr>
        <w:t>1、</w:t>
      </w:r>
      <w:r>
        <w:rPr>
          <w:rFonts w:hint="eastAsia" w:hAnsi="宋体"/>
          <w:color w:val="auto"/>
          <w:szCs w:val="21"/>
        </w:rPr>
        <w:t>本章所列的报价文件格式</w:t>
      </w:r>
      <w:r>
        <w:rPr>
          <w:rFonts w:hint="eastAsia" w:cs="宋体"/>
          <w:color w:val="auto"/>
          <w:szCs w:val="21"/>
          <w:lang w:val="zh-CN"/>
        </w:rPr>
        <w:t>，服务商可根据自身情况进行补充和修改、扩展，但补充和修改不得造成与本章格式内容有实质性的违背。</w:t>
      </w:r>
    </w:p>
    <w:p>
      <w:pPr>
        <w:pStyle w:val="17"/>
        <w:spacing w:line="400" w:lineRule="exact"/>
        <w:ind w:left="315" w:hanging="315" w:hangingChars="150"/>
        <w:rPr>
          <w:rFonts w:cs="宋体"/>
          <w:color w:val="auto"/>
          <w:szCs w:val="21"/>
          <w:lang w:val="zh-CN"/>
        </w:rPr>
      </w:pPr>
      <w:r>
        <w:rPr>
          <w:rFonts w:hint="eastAsia" w:cs="宋体"/>
          <w:color w:val="auto"/>
          <w:szCs w:val="21"/>
          <w:lang w:val="zh-CN"/>
        </w:rPr>
        <w:t>2、</w:t>
      </w:r>
      <w:r>
        <w:rPr>
          <w:rFonts w:hint="eastAsia" w:hAnsi="宋体"/>
          <w:color w:val="auto"/>
          <w:sz w:val="20"/>
        </w:rPr>
        <w:t>目录</w:t>
      </w:r>
      <w:r>
        <w:rPr>
          <w:rFonts w:hint="eastAsia" w:hAnsi="宋体"/>
          <w:color w:val="auto"/>
          <w:szCs w:val="21"/>
        </w:rPr>
        <w:t>由服务商自拟</w:t>
      </w:r>
      <w:r>
        <w:rPr>
          <w:rFonts w:hint="eastAsia" w:cs="宋体"/>
          <w:color w:val="auto"/>
          <w:szCs w:val="21"/>
          <w:lang w:val="zh-CN"/>
        </w:rPr>
        <w:t>。</w:t>
      </w:r>
    </w:p>
    <w:p>
      <w:pPr>
        <w:pStyle w:val="17"/>
        <w:spacing w:line="400" w:lineRule="exact"/>
        <w:ind w:left="315" w:hanging="315" w:hangingChars="150"/>
        <w:rPr>
          <w:rFonts w:cs="宋体"/>
          <w:color w:val="auto"/>
          <w:szCs w:val="21"/>
          <w:lang w:val="zh-CN"/>
        </w:rPr>
      </w:pPr>
      <w:r>
        <w:rPr>
          <w:rFonts w:hint="eastAsia" w:cs="宋体"/>
          <w:color w:val="auto"/>
          <w:szCs w:val="21"/>
          <w:lang w:val="zh-CN"/>
        </w:rPr>
        <w:t>3、</w:t>
      </w:r>
      <w:r>
        <w:rPr>
          <w:rFonts w:hint="eastAsia" w:hAnsi="宋体"/>
          <w:color w:val="auto"/>
          <w:szCs w:val="21"/>
        </w:rPr>
        <w:t>服务商</w:t>
      </w:r>
      <w:r>
        <w:rPr>
          <w:rFonts w:hint="eastAsia" w:cs="宋体"/>
          <w:color w:val="auto"/>
          <w:szCs w:val="21"/>
          <w:lang w:val="zh-CN"/>
        </w:rPr>
        <w:t>资格证明文件按</w:t>
      </w:r>
      <w:r>
        <w:rPr>
          <w:rFonts w:hint="eastAsia" w:hAnsi="宋体"/>
          <w:color w:val="auto"/>
          <w:szCs w:val="21"/>
        </w:rPr>
        <w:t>服务商</w:t>
      </w:r>
      <w:r>
        <w:rPr>
          <w:rFonts w:hint="eastAsia" w:cs="宋体"/>
          <w:color w:val="auto"/>
          <w:szCs w:val="21"/>
          <w:lang w:val="zh-CN"/>
        </w:rPr>
        <w:t>须知要求提供。</w:t>
      </w:r>
    </w:p>
    <w:p>
      <w:pPr>
        <w:pStyle w:val="17"/>
        <w:spacing w:line="400" w:lineRule="exact"/>
        <w:ind w:left="315" w:hanging="315" w:hangingChars="150"/>
        <w:rPr>
          <w:rFonts w:cs="宋体"/>
          <w:color w:val="auto"/>
          <w:szCs w:val="21"/>
          <w:lang w:val="zh-CN"/>
        </w:rPr>
      </w:pPr>
      <w:r>
        <w:rPr>
          <w:rFonts w:hint="eastAsia" w:cs="宋体"/>
          <w:color w:val="auto"/>
          <w:szCs w:val="21"/>
          <w:lang w:val="zh-CN"/>
        </w:rPr>
        <w:t>4、《法人授权委托书》填写说明：</w:t>
      </w:r>
    </w:p>
    <w:p>
      <w:pPr>
        <w:pStyle w:val="17"/>
        <w:spacing w:line="400" w:lineRule="exact"/>
        <w:ind w:left="540" w:leftChars="107" w:hanging="315" w:hangingChars="150"/>
        <w:rPr>
          <w:rFonts w:hAnsi="宋体"/>
          <w:bCs/>
          <w:color w:val="auto"/>
          <w:szCs w:val="21"/>
        </w:rPr>
      </w:pPr>
      <w:r>
        <w:rPr>
          <w:rFonts w:hint="eastAsia" w:hAnsi="宋体"/>
          <w:bCs/>
          <w:color w:val="auto"/>
          <w:szCs w:val="21"/>
        </w:rPr>
        <w:t>1）委托书所签发的代理期限必须涵盖代理人所有签字为有效时间。</w:t>
      </w:r>
    </w:p>
    <w:p>
      <w:pPr>
        <w:pStyle w:val="17"/>
        <w:spacing w:line="400" w:lineRule="exact"/>
        <w:ind w:left="540" w:leftChars="107" w:hanging="315" w:hangingChars="150"/>
        <w:rPr>
          <w:rFonts w:hAnsi="宋体"/>
          <w:bCs/>
          <w:color w:val="auto"/>
          <w:szCs w:val="21"/>
        </w:rPr>
      </w:pPr>
      <w:r>
        <w:rPr>
          <w:rFonts w:hint="eastAsia" w:hAnsi="宋体"/>
          <w:bCs/>
          <w:color w:val="auto"/>
          <w:szCs w:val="21"/>
        </w:rPr>
        <w:t>2）委托书内容填写要明确，文字要工整清楚，涂改无效。</w:t>
      </w:r>
    </w:p>
    <w:p>
      <w:pPr>
        <w:pStyle w:val="17"/>
        <w:spacing w:line="400" w:lineRule="exact"/>
        <w:ind w:left="540" w:leftChars="107" w:hanging="315" w:hangingChars="150"/>
        <w:rPr>
          <w:rFonts w:hAnsi="宋体"/>
          <w:bCs/>
          <w:color w:val="auto"/>
          <w:szCs w:val="21"/>
        </w:rPr>
      </w:pPr>
      <w:r>
        <w:rPr>
          <w:rFonts w:hint="eastAsia" w:hAnsi="宋体"/>
          <w:bCs/>
          <w:color w:val="auto"/>
          <w:szCs w:val="21"/>
        </w:rPr>
        <w:t>3）委托书不得转借、转让，不得买卖。</w:t>
      </w:r>
    </w:p>
    <w:p>
      <w:pPr>
        <w:pStyle w:val="17"/>
        <w:spacing w:line="400" w:lineRule="exact"/>
        <w:ind w:left="540" w:leftChars="107" w:hanging="315" w:hangingChars="150"/>
        <w:rPr>
          <w:rFonts w:hAnsi="宋体"/>
          <w:bCs/>
          <w:color w:val="auto"/>
          <w:szCs w:val="21"/>
        </w:rPr>
      </w:pPr>
      <w:r>
        <w:rPr>
          <w:rFonts w:hint="eastAsia" w:hAnsi="宋体"/>
          <w:bCs/>
          <w:color w:val="auto"/>
          <w:szCs w:val="21"/>
        </w:rPr>
        <w:t>4）代理人根据授权范围，以委托单位的名义签订合同，并将此委托书提交给对方作为合同附件。</w:t>
      </w:r>
    </w:p>
    <w:p>
      <w:pPr>
        <w:pStyle w:val="17"/>
        <w:spacing w:line="400" w:lineRule="exact"/>
        <w:ind w:left="315" w:hanging="315" w:hangingChars="150"/>
        <w:rPr>
          <w:rFonts w:cs="宋体"/>
          <w:color w:val="auto"/>
          <w:szCs w:val="21"/>
          <w:lang w:val="zh-CN"/>
        </w:rPr>
      </w:pPr>
    </w:p>
    <w:p>
      <w:pPr>
        <w:spacing w:line="400" w:lineRule="exact"/>
        <w:rPr>
          <w:color w:val="auto"/>
        </w:rPr>
      </w:pPr>
    </w:p>
    <w:p>
      <w:pPr>
        <w:pStyle w:val="17"/>
        <w:rPr>
          <w:rFonts w:hAnsi="宋体"/>
          <w:color w:val="auto"/>
          <w:sz w:val="36"/>
          <w:szCs w:val="36"/>
        </w:rPr>
      </w:pPr>
      <w:r>
        <w:rPr>
          <w:rFonts w:ascii="Times New Roman" w:hAnsi="Times New Roman"/>
          <w:color w:val="auto"/>
          <w:szCs w:val="24"/>
        </w:rPr>
        <w:br w:type="page"/>
      </w:r>
      <w:r>
        <w:rPr>
          <w:rFonts w:hint="eastAsia" w:hAnsi="宋体"/>
          <w:color w:val="auto"/>
          <w:sz w:val="36"/>
          <w:szCs w:val="36"/>
        </w:rPr>
        <w:t>（封面格式）</w:t>
      </w:r>
    </w:p>
    <w:p>
      <w:pPr>
        <w:pStyle w:val="17"/>
        <w:jc w:val="right"/>
        <w:rPr>
          <w:rFonts w:hAnsi="宋体"/>
          <w:b/>
          <w:color w:val="auto"/>
          <w:sz w:val="36"/>
          <w:szCs w:val="36"/>
        </w:rPr>
      </w:pPr>
      <w:r>
        <w:rPr>
          <w:rFonts w:hint="eastAsia" w:hAnsi="宋体"/>
          <w:b/>
          <w:color w:val="auto"/>
          <w:sz w:val="36"/>
          <w:szCs w:val="36"/>
        </w:rPr>
        <w:t>正本（副本）</w:t>
      </w:r>
    </w:p>
    <w:p>
      <w:pPr>
        <w:pStyle w:val="17"/>
        <w:spacing w:line="400" w:lineRule="exact"/>
        <w:jc w:val="center"/>
        <w:rPr>
          <w:rFonts w:hAnsi="宋体"/>
          <w:b/>
          <w:color w:val="auto"/>
          <w:sz w:val="36"/>
          <w:szCs w:val="36"/>
        </w:rPr>
      </w:pPr>
    </w:p>
    <w:p>
      <w:pPr>
        <w:pStyle w:val="17"/>
        <w:spacing w:line="1000" w:lineRule="exact"/>
        <w:ind w:left="359" w:leftChars="171" w:right="412" w:rightChars="196"/>
        <w:jc w:val="center"/>
        <w:rPr>
          <w:rFonts w:hAnsi="宋体"/>
          <w:b/>
          <w:color w:val="auto"/>
          <w:sz w:val="48"/>
          <w:szCs w:val="48"/>
        </w:rPr>
      </w:pPr>
      <w:r>
        <w:rPr>
          <w:rFonts w:hint="eastAsia" w:hAnsi="宋体"/>
          <w:b/>
          <w:color w:val="auto"/>
          <w:sz w:val="48"/>
          <w:szCs w:val="48"/>
        </w:rPr>
        <w:t>蒙山县农村乱占耕地建房状况调查</w:t>
      </w:r>
    </w:p>
    <w:p>
      <w:pPr>
        <w:pStyle w:val="17"/>
        <w:spacing w:line="1000" w:lineRule="exact"/>
        <w:jc w:val="center"/>
        <w:rPr>
          <w:rFonts w:hAnsi="宋体"/>
          <w:b/>
          <w:color w:val="auto"/>
          <w:sz w:val="48"/>
          <w:szCs w:val="48"/>
        </w:rPr>
      </w:pPr>
      <w:r>
        <w:rPr>
          <w:rFonts w:hint="eastAsia" w:hAnsi="宋体"/>
          <w:b/>
          <w:color w:val="auto"/>
          <w:sz w:val="48"/>
          <w:szCs w:val="48"/>
        </w:rPr>
        <w:t>（MSZC2020-C3-03365-001）</w:t>
      </w:r>
    </w:p>
    <w:p>
      <w:pPr>
        <w:pStyle w:val="17"/>
        <w:jc w:val="center"/>
        <w:rPr>
          <w:rFonts w:hAnsi="宋体"/>
          <w:b/>
          <w:color w:val="auto"/>
          <w:sz w:val="36"/>
          <w:szCs w:val="36"/>
        </w:rPr>
      </w:pPr>
    </w:p>
    <w:p>
      <w:pPr>
        <w:pStyle w:val="17"/>
        <w:jc w:val="center"/>
        <w:rPr>
          <w:rFonts w:hAnsi="宋体"/>
          <w:b/>
          <w:color w:val="auto"/>
          <w:sz w:val="36"/>
          <w:szCs w:val="36"/>
        </w:rPr>
      </w:pPr>
    </w:p>
    <w:p>
      <w:pPr>
        <w:pStyle w:val="17"/>
        <w:jc w:val="center"/>
        <w:rPr>
          <w:rFonts w:hAnsi="宋体"/>
          <w:b/>
          <w:color w:val="auto"/>
          <w:spacing w:val="200"/>
          <w:sz w:val="72"/>
          <w:szCs w:val="72"/>
        </w:rPr>
      </w:pPr>
      <w:r>
        <w:rPr>
          <w:rFonts w:hint="eastAsia" w:hAnsi="宋体"/>
          <w:b/>
          <w:color w:val="auto"/>
          <w:spacing w:val="200"/>
          <w:sz w:val="72"/>
          <w:szCs w:val="72"/>
        </w:rPr>
        <w:t>响应文件</w:t>
      </w:r>
    </w:p>
    <w:p>
      <w:pPr>
        <w:pStyle w:val="17"/>
        <w:jc w:val="center"/>
        <w:rPr>
          <w:rFonts w:hAnsi="宋体"/>
          <w:b/>
          <w:color w:val="auto"/>
          <w:sz w:val="36"/>
          <w:szCs w:val="36"/>
        </w:rPr>
      </w:pPr>
    </w:p>
    <w:p>
      <w:pPr>
        <w:pStyle w:val="17"/>
        <w:ind w:firstLine="2570" w:firstLineChars="800"/>
        <w:rPr>
          <w:rFonts w:hAnsi="宋体"/>
          <w:b/>
          <w:color w:val="auto"/>
          <w:sz w:val="32"/>
          <w:szCs w:val="32"/>
          <w:u w:val="single"/>
        </w:rPr>
      </w:pPr>
    </w:p>
    <w:p>
      <w:pPr>
        <w:pStyle w:val="17"/>
        <w:ind w:firstLine="2570" w:firstLineChars="800"/>
        <w:rPr>
          <w:rFonts w:hAnsi="宋体"/>
          <w:b/>
          <w:color w:val="auto"/>
          <w:sz w:val="32"/>
          <w:szCs w:val="32"/>
          <w:u w:val="single"/>
        </w:rPr>
      </w:pPr>
    </w:p>
    <w:p>
      <w:pPr>
        <w:pStyle w:val="17"/>
        <w:ind w:firstLine="2570" w:firstLineChars="800"/>
        <w:rPr>
          <w:rFonts w:hAnsi="宋体"/>
          <w:b/>
          <w:color w:val="auto"/>
          <w:sz w:val="32"/>
          <w:szCs w:val="32"/>
          <w:u w:val="single"/>
        </w:rPr>
      </w:pPr>
    </w:p>
    <w:p>
      <w:pPr>
        <w:pStyle w:val="17"/>
        <w:spacing w:line="1000" w:lineRule="exact"/>
        <w:ind w:firstLine="540" w:firstLineChars="168"/>
        <w:rPr>
          <w:rFonts w:hAnsi="宋体"/>
          <w:b/>
          <w:color w:val="auto"/>
          <w:sz w:val="32"/>
          <w:szCs w:val="32"/>
          <w:u w:val="single"/>
        </w:rPr>
      </w:pPr>
      <w:r>
        <w:rPr>
          <w:rFonts w:hint="eastAsia" w:hAnsi="宋体"/>
          <w:b/>
          <w:color w:val="auto"/>
          <w:sz w:val="32"/>
          <w:szCs w:val="32"/>
        </w:rPr>
        <w:t>服务商：</w:t>
      </w:r>
      <w:r>
        <w:rPr>
          <w:rFonts w:hint="eastAsia" w:hAnsi="宋体"/>
          <w:b/>
          <w:color w:val="auto"/>
          <w:sz w:val="32"/>
          <w:szCs w:val="32"/>
          <w:u w:val="single"/>
        </w:rPr>
        <w:t xml:space="preserve">                         （名称加盖单位公章）</w:t>
      </w:r>
    </w:p>
    <w:p>
      <w:pPr>
        <w:pStyle w:val="17"/>
        <w:spacing w:line="1000" w:lineRule="exact"/>
        <w:ind w:firstLine="540" w:firstLineChars="168"/>
        <w:rPr>
          <w:rFonts w:hAnsi="宋体"/>
          <w:b/>
          <w:color w:val="auto"/>
          <w:sz w:val="32"/>
          <w:szCs w:val="32"/>
        </w:rPr>
      </w:pPr>
      <w:r>
        <w:rPr>
          <w:rFonts w:hint="eastAsia" w:hAnsi="宋体"/>
          <w:b/>
          <w:color w:val="auto"/>
          <w:sz w:val="32"/>
          <w:szCs w:val="32"/>
        </w:rPr>
        <w:t>法定代表人(负责人)或其委托代理人：</w:t>
      </w:r>
      <w:r>
        <w:rPr>
          <w:rFonts w:hint="eastAsia" w:hAnsi="宋体"/>
          <w:b/>
          <w:color w:val="auto"/>
          <w:sz w:val="32"/>
          <w:szCs w:val="32"/>
          <w:u w:val="single"/>
        </w:rPr>
        <w:t xml:space="preserve">           （签名）</w:t>
      </w:r>
    </w:p>
    <w:p>
      <w:pPr>
        <w:pStyle w:val="17"/>
        <w:ind w:firstLine="482" w:firstLineChars="150"/>
        <w:rPr>
          <w:rFonts w:hAnsi="宋体"/>
          <w:b/>
          <w:color w:val="auto"/>
          <w:sz w:val="32"/>
          <w:szCs w:val="32"/>
        </w:rPr>
      </w:pPr>
    </w:p>
    <w:p>
      <w:pPr>
        <w:pStyle w:val="17"/>
        <w:jc w:val="center"/>
        <w:rPr>
          <w:rFonts w:hAnsi="宋体"/>
          <w:b/>
          <w:color w:val="auto"/>
          <w:sz w:val="32"/>
          <w:szCs w:val="32"/>
        </w:rPr>
      </w:pPr>
      <w:r>
        <w:rPr>
          <w:rFonts w:hint="eastAsia" w:hAnsi="宋体"/>
          <w:b/>
          <w:color w:val="auto"/>
          <w:sz w:val="32"/>
          <w:szCs w:val="32"/>
        </w:rPr>
        <w:t>竞标日期：年月日</w:t>
      </w:r>
    </w:p>
    <w:p>
      <w:pPr>
        <w:pStyle w:val="17"/>
        <w:spacing w:line="500" w:lineRule="exact"/>
        <w:ind w:firstLine="4000" w:firstLineChars="1250"/>
        <w:rPr>
          <w:color w:val="auto"/>
        </w:rPr>
      </w:pPr>
      <w:r>
        <w:rPr>
          <w:rFonts w:hAnsi="宋体"/>
          <w:color w:val="auto"/>
          <w:sz w:val="32"/>
          <w:szCs w:val="32"/>
        </w:rPr>
        <w:br w:type="page"/>
      </w:r>
      <w:r>
        <w:rPr>
          <w:rFonts w:hint="eastAsia"/>
          <w:b/>
          <w:color w:val="auto"/>
          <w:sz w:val="32"/>
        </w:rPr>
        <w:t>响应函（格式）</w:t>
      </w:r>
    </w:p>
    <w:p>
      <w:pPr>
        <w:pStyle w:val="17"/>
        <w:spacing w:line="440" w:lineRule="exact"/>
        <w:rPr>
          <w:color w:val="auto"/>
        </w:rPr>
      </w:pPr>
      <w:r>
        <w:rPr>
          <w:rFonts w:hint="eastAsia"/>
          <w:color w:val="auto"/>
        </w:rPr>
        <w:t>致：广西汇晟工程咨询有限公司</w:t>
      </w:r>
    </w:p>
    <w:p>
      <w:pPr>
        <w:pStyle w:val="17"/>
        <w:spacing w:line="440" w:lineRule="exact"/>
        <w:ind w:left="210" w:leftChars="100" w:firstLine="420" w:firstLineChars="200"/>
        <w:rPr>
          <w:color w:val="auto"/>
          <w:szCs w:val="21"/>
        </w:rPr>
      </w:pPr>
      <w:r>
        <w:rPr>
          <w:rFonts w:hint="eastAsia"/>
          <w:color w:val="auto"/>
          <w:szCs w:val="21"/>
        </w:rPr>
        <w:t>根据贵方</w:t>
      </w:r>
      <w:r>
        <w:rPr>
          <w:rFonts w:hint="eastAsia"/>
          <w:color w:val="auto"/>
          <w:szCs w:val="21"/>
          <w:u w:val="single"/>
        </w:rPr>
        <w:t>蒙山县农村乱占耕地建房状况调查</w:t>
      </w:r>
      <w:r>
        <w:rPr>
          <w:rFonts w:hint="eastAsia"/>
          <w:color w:val="auto"/>
          <w:szCs w:val="21"/>
        </w:rPr>
        <w:t>项目竞争性磋商文件，项目编号：MSZC2020-C3-03365-001，正式授权下述签字人</w:t>
      </w:r>
      <w:r>
        <w:rPr>
          <w:rFonts w:hint="eastAsia"/>
          <w:color w:val="auto"/>
          <w:szCs w:val="21"/>
          <w:u w:val="single"/>
        </w:rPr>
        <w:t>（姓名和职务）</w:t>
      </w:r>
      <w:r>
        <w:rPr>
          <w:rFonts w:hint="eastAsia"/>
          <w:color w:val="auto"/>
          <w:szCs w:val="21"/>
        </w:rPr>
        <w:t>代表服务商</w:t>
      </w:r>
      <w:r>
        <w:rPr>
          <w:rFonts w:hint="eastAsia"/>
          <w:color w:val="auto"/>
          <w:szCs w:val="21"/>
          <w:u w:val="single"/>
        </w:rPr>
        <w:t>（磋商单位名称）</w:t>
      </w:r>
      <w:r>
        <w:rPr>
          <w:rFonts w:hint="eastAsia"/>
          <w:color w:val="auto"/>
          <w:szCs w:val="21"/>
        </w:rPr>
        <w:t>，提交下述文件正本一份，副本三份。</w:t>
      </w:r>
    </w:p>
    <w:p>
      <w:pPr>
        <w:pStyle w:val="17"/>
        <w:spacing w:line="440" w:lineRule="exact"/>
        <w:ind w:left="101" w:leftChars="48" w:firstLine="520" w:firstLineChars="248"/>
        <w:rPr>
          <w:color w:val="auto"/>
        </w:rPr>
      </w:pPr>
      <w:r>
        <w:rPr>
          <w:rFonts w:hint="eastAsia"/>
          <w:color w:val="auto"/>
        </w:rPr>
        <w:t>一、响应函</w:t>
      </w:r>
    </w:p>
    <w:p>
      <w:pPr>
        <w:pStyle w:val="17"/>
        <w:spacing w:line="440" w:lineRule="exact"/>
        <w:ind w:left="101" w:leftChars="48" w:firstLine="520" w:firstLineChars="248"/>
        <w:rPr>
          <w:color w:val="auto"/>
        </w:rPr>
      </w:pPr>
      <w:r>
        <w:rPr>
          <w:rFonts w:hint="eastAsia"/>
          <w:color w:val="auto"/>
        </w:rPr>
        <w:t>二、服务商须知第12条、第13条要求服务商必须提交的全部资格证明文件</w:t>
      </w:r>
    </w:p>
    <w:p>
      <w:pPr>
        <w:pStyle w:val="17"/>
        <w:spacing w:line="440" w:lineRule="exact"/>
        <w:ind w:left="101" w:leftChars="48" w:firstLine="520" w:firstLineChars="248"/>
        <w:rPr>
          <w:color w:val="auto"/>
        </w:rPr>
      </w:pPr>
      <w:r>
        <w:rPr>
          <w:rFonts w:hint="eastAsia"/>
          <w:color w:val="auto"/>
        </w:rPr>
        <w:t>三、证明服务商合格的文件。</w:t>
      </w:r>
    </w:p>
    <w:p>
      <w:pPr>
        <w:pStyle w:val="17"/>
        <w:spacing w:line="440" w:lineRule="exact"/>
        <w:ind w:left="101" w:leftChars="48" w:firstLine="520" w:firstLineChars="248"/>
        <w:rPr>
          <w:color w:val="auto"/>
        </w:rPr>
      </w:pPr>
      <w:r>
        <w:rPr>
          <w:rFonts w:hint="eastAsia"/>
          <w:color w:val="auto"/>
        </w:rPr>
        <w:t>据此函，签字人兹宣布同意如下：</w:t>
      </w:r>
    </w:p>
    <w:p>
      <w:pPr>
        <w:pStyle w:val="17"/>
        <w:spacing w:line="440" w:lineRule="exact"/>
        <w:ind w:firstLine="420" w:firstLineChars="200"/>
        <w:rPr>
          <w:rFonts w:hAnsi="宋体"/>
          <w:color w:val="auto"/>
          <w:szCs w:val="21"/>
        </w:rPr>
      </w:pPr>
      <w:r>
        <w:rPr>
          <w:rFonts w:hint="eastAsia" w:hAnsi="宋体"/>
          <w:color w:val="auto"/>
          <w:szCs w:val="21"/>
        </w:rPr>
        <w:t>1、</w:t>
      </w:r>
      <w:r>
        <w:rPr>
          <w:rFonts w:hint="eastAsia"/>
          <w:color w:val="auto"/>
          <w:szCs w:val="21"/>
        </w:rPr>
        <w:t>经考察现场和研究，我方就本项目的设计任务及相关服务进行竞标</w:t>
      </w:r>
      <w:r>
        <w:rPr>
          <w:rFonts w:hint="eastAsia" w:hAnsi="宋体"/>
          <w:color w:val="auto"/>
          <w:szCs w:val="21"/>
        </w:rPr>
        <w:t>，承诺：本项目的投标总报价为（人民币）</w:t>
      </w:r>
      <w:r>
        <w:rPr>
          <w:rFonts w:hint="eastAsia" w:hAnsi="宋体"/>
          <w:color w:val="auto"/>
          <w:szCs w:val="21"/>
          <w:u w:val="single"/>
        </w:rPr>
        <w:t xml:space="preserve">                 （￥           ）</w:t>
      </w:r>
      <w:r>
        <w:rPr>
          <w:rFonts w:hint="eastAsia" w:hAnsi="宋体"/>
          <w:color w:val="auto"/>
          <w:szCs w:val="21"/>
        </w:rPr>
        <w:t>，</w:t>
      </w:r>
      <w:r>
        <w:rPr>
          <w:rFonts w:hint="eastAsia"/>
          <w:color w:val="auto"/>
          <w:szCs w:val="21"/>
        </w:rPr>
        <w:t>完成时间</w:t>
      </w:r>
      <w:r>
        <w:rPr>
          <w:rFonts w:hint="eastAsia" w:hAnsi="宋体"/>
          <w:color w:val="auto"/>
          <w:szCs w:val="21"/>
          <w:u w:val="single"/>
        </w:rPr>
        <w:t>：</w:t>
      </w:r>
      <w:r>
        <w:rPr>
          <w:rFonts w:hint="eastAsia" w:hAnsi="宋体"/>
          <w:color w:val="auto"/>
          <w:szCs w:val="21"/>
          <w:u w:val="single"/>
          <w:lang w:val="en-US" w:eastAsia="zh-CN"/>
        </w:rPr>
        <w:t xml:space="preserve">              </w:t>
      </w:r>
      <w:r>
        <w:rPr>
          <w:rFonts w:hint="eastAsia" w:hAnsi="宋体"/>
          <w:color w:val="auto"/>
          <w:szCs w:val="21"/>
        </w:rPr>
        <w:t xml:space="preserve"> 。</w:t>
      </w:r>
    </w:p>
    <w:p>
      <w:pPr>
        <w:pStyle w:val="17"/>
        <w:spacing w:line="440" w:lineRule="exact"/>
        <w:ind w:firstLine="420" w:firstLineChars="200"/>
        <w:rPr>
          <w:color w:val="auto"/>
        </w:rPr>
      </w:pPr>
      <w:r>
        <w:rPr>
          <w:rFonts w:hint="eastAsia"/>
          <w:color w:val="auto"/>
        </w:rPr>
        <w:t>2、我方同意在服务商须知规定的截标日期起遵循本响应文件，在服务商须知第14条规定的磋商有效期满之前均具有约束力，并按时到场参加磋商。</w:t>
      </w:r>
    </w:p>
    <w:p>
      <w:pPr>
        <w:pStyle w:val="17"/>
        <w:spacing w:line="440" w:lineRule="exact"/>
        <w:ind w:firstLine="420" w:firstLineChars="200"/>
        <w:rPr>
          <w:color w:val="auto"/>
        </w:rPr>
      </w:pPr>
      <w:r>
        <w:rPr>
          <w:rFonts w:hint="eastAsia"/>
          <w:color w:val="auto"/>
        </w:rPr>
        <w:t>3、我方承诺已经具备《中华人民共和国政府采购法》中规定的参加政府采购活动的服务商应当具备的条件：</w:t>
      </w:r>
    </w:p>
    <w:p>
      <w:pPr>
        <w:pStyle w:val="17"/>
        <w:spacing w:line="440" w:lineRule="exact"/>
        <w:ind w:firstLine="420" w:firstLineChars="200"/>
        <w:rPr>
          <w:color w:val="auto"/>
        </w:rPr>
      </w:pPr>
      <w:r>
        <w:rPr>
          <w:rFonts w:hint="eastAsia"/>
          <w:color w:val="auto"/>
        </w:rPr>
        <w:t>（1）具有独立承担民事责任的能力；</w:t>
      </w:r>
    </w:p>
    <w:p>
      <w:pPr>
        <w:pStyle w:val="17"/>
        <w:spacing w:line="440" w:lineRule="exact"/>
        <w:ind w:firstLine="420" w:firstLineChars="200"/>
        <w:rPr>
          <w:color w:val="auto"/>
        </w:rPr>
      </w:pPr>
      <w:r>
        <w:rPr>
          <w:rFonts w:hint="eastAsia"/>
          <w:color w:val="auto"/>
        </w:rPr>
        <w:t>（2）具有良好的商业信誉和健全的财务会计制度；</w:t>
      </w:r>
    </w:p>
    <w:p>
      <w:pPr>
        <w:pStyle w:val="17"/>
        <w:spacing w:line="440" w:lineRule="exact"/>
        <w:ind w:firstLine="420" w:firstLineChars="200"/>
        <w:rPr>
          <w:color w:val="auto"/>
        </w:rPr>
      </w:pPr>
      <w:r>
        <w:rPr>
          <w:rFonts w:hint="eastAsia"/>
          <w:color w:val="auto"/>
        </w:rPr>
        <w:t>（3）具有履行合同所必需的设备和专业技术能力；</w:t>
      </w:r>
    </w:p>
    <w:p>
      <w:pPr>
        <w:pStyle w:val="17"/>
        <w:spacing w:line="440" w:lineRule="exact"/>
        <w:ind w:firstLine="420" w:firstLineChars="200"/>
        <w:rPr>
          <w:color w:val="auto"/>
        </w:rPr>
      </w:pPr>
      <w:r>
        <w:rPr>
          <w:rFonts w:hint="eastAsia"/>
          <w:color w:val="auto"/>
        </w:rPr>
        <w:t>（4）有依法缴纳税收和社会保障资金的良好记录；</w:t>
      </w:r>
    </w:p>
    <w:p>
      <w:pPr>
        <w:pStyle w:val="17"/>
        <w:spacing w:line="440" w:lineRule="exact"/>
        <w:ind w:firstLine="420" w:firstLineChars="200"/>
        <w:rPr>
          <w:color w:val="auto"/>
        </w:rPr>
      </w:pPr>
      <w:r>
        <w:rPr>
          <w:rFonts w:hint="eastAsia"/>
          <w:color w:val="auto"/>
        </w:rPr>
        <w:t>（5）参加此项采购活动前三年内，在经营活动中没有重大违法记录。</w:t>
      </w:r>
    </w:p>
    <w:p>
      <w:pPr>
        <w:pStyle w:val="17"/>
        <w:spacing w:line="440" w:lineRule="exact"/>
        <w:ind w:firstLine="420" w:firstLineChars="200"/>
        <w:rPr>
          <w:color w:val="auto"/>
        </w:rPr>
      </w:pPr>
      <w:r>
        <w:rPr>
          <w:rFonts w:hint="eastAsia"/>
          <w:color w:val="auto"/>
        </w:rPr>
        <w:t>4、我方根据磋商文件的规定，承担完成合同的责任和义务。</w:t>
      </w:r>
    </w:p>
    <w:p>
      <w:pPr>
        <w:pStyle w:val="17"/>
        <w:spacing w:line="440" w:lineRule="exact"/>
        <w:ind w:firstLine="420" w:firstLineChars="200"/>
        <w:rPr>
          <w:color w:val="auto"/>
        </w:rPr>
      </w:pPr>
      <w:r>
        <w:rPr>
          <w:rFonts w:hint="eastAsia"/>
          <w:color w:val="auto"/>
        </w:rPr>
        <w:t>5、我方已详细审核磋商文件，我方知道必须放弃提出含糊不清或误解问题的权利。</w:t>
      </w:r>
    </w:p>
    <w:p>
      <w:pPr>
        <w:pStyle w:val="17"/>
        <w:spacing w:line="440" w:lineRule="exact"/>
        <w:ind w:firstLine="420" w:firstLineChars="200"/>
        <w:rPr>
          <w:color w:val="auto"/>
        </w:rPr>
      </w:pPr>
      <w:r>
        <w:rPr>
          <w:rFonts w:hint="eastAsia"/>
          <w:color w:val="auto"/>
        </w:rPr>
        <w:t>6、如果在提交响应文件截止时间后的磋商有效期内撤回竞标或者有其他违约行为，贵方可对我方的磋商保证金不予退还。</w:t>
      </w:r>
    </w:p>
    <w:p>
      <w:pPr>
        <w:pStyle w:val="17"/>
        <w:spacing w:line="440" w:lineRule="exact"/>
        <w:ind w:firstLine="420" w:firstLineChars="200"/>
        <w:rPr>
          <w:color w:val="auto"/>
        </w:rPr>
      </w:pPr>
      <w:r>
        <w:rPr>
          <w:rFonts w:hint="eastAsia"/>
          <w:color w:val="auto"/>
        </w:rPr>
        <w:t>7、同意向贵方提供贵方可能要求的与本竞标有关的任何数据或资料。</w:t>
      </w:r>
    </w:p>
    <w:p>
      <w:pPr>
        <w:pStyle w:val="17"/>
        <w:spacing w:line="440" w:lineRule="exact"/>
        <w:ind w:firstLine="420" w:firstLineChars="200"/>
        <w:rPr>
          <w:color w:val="auto"/>
        </w:rPr>
      </w:pPr>
      <w:r>
        <w:rPr>
          <w:rFonts w:hint="eastAsia"/>
          <w:color w:val="auto"/>
        </w:rPr>
        <w:t>8、我方完全理解贵方不一定要接受最低报价的服务商为成交人。</w:t>
      </w:r>
    </w:p>
    <w:p>
      <w:pPr>
        <w:pStyle w:val="17"/>
        <w:spacing w:line="440" w:lineRule="exact"/>
        <w:ind w:firstLine="420" w:firstLineChars="200"/>
        <w:rPr>
          <w:color w:val="auto"/>
        </w:rPr>
      </w:pPr>
      <w:r>
        <w:rPr>
          <w:rFonts w:hint="eastAsia"/>
          <w:color w:val="auto"/>
        </w:rPr>
        <w:t>9、若贵方需要，我方愿意提供我方作出的一切承诺的证明材料。</w:t>
      </w:r>
    </w:p>
    <w:p>
      <w:pPr>
        <w:pStyle w:val="17"/>
        <w:spacing w:line="440" w:lineRule="exact"/>
        <w:ind w:firstLine="420" w:firstLineChars="200"/>
        <w:rPr>
          <w:rFonts w:hAnsi="宋体"/>
          <w:color w:val="auto"/>
        </w:rPr>
      </w:pPr>
      <w:r>
        <w:rPr>
          <w:rFonts w:hint="eastAsia"/>
          <w:color w:val="auto"/>
        </w:rPr>
        <w:t>10、我方将严格遵守《中华人民共和国政府采购法》第七十七条规定，服务商有下列情形之一的，处以采购金额5</w:t>
      </w:r>
      <w:r>
        <w:rPr>
          <w:rFonts w:hAnsi="宋体"/>
          <w:color w:val="auto"/>
        </w:rPr>
        <w:t>‰</w:t>
      </w:r>
      <w:r>
        <w:rPr>
          <w:rFonts w:hint="eastAsia" w:hAnsi="宋体"/>
          <w:color w:val="auto"/>
        </w:rPr>
        <w:t>以上10</w:t>
      </w:r>
      <w:r>
        <w:rPr>
          <w:rFonts w:hAnsi="宋体"/>
          <w:color w:val="auto"/>
        </w:rPr>
        <w:t>‰</w:t>
      </w:r>
      <w:r>
        <w:rPr>
          <w:rFonts w:hint="eastAsia" w:hAnsi="宋体"/>
          <w:color w:val="auto"/>
        </w:rPr>
        <w:t>以下的罚款，列入不良行为记录名单，在一到三年内禁止参加政府采购活动，有违法所得的，并处没收违法所得，情节严重的，由工商行政管理机关吊销营业执照；构成犯罪的，依法追究刑事责任：</w:t>
      </w:r>
    </w:p>
    <w:p>
      <w:pPr>
        <w:pStyle w:val="17"/>
        <w:spacing w:line="440" w:lineRule="exact"/>
        <w:ind w:firstLine="420" w:firstLineChars="200"/>
        <w:rPr>
          <w:rFonts w:hAnsi="宋体"/>
          <w:color w:val="auto"/>
        </w:rPr>
      </w:pPr>
      <w:r>
        <w:rPr>
          <w:rFonts w:hint="eastAsia" w:hAnsi="宋体"/>
          <w:color w:val="auto"/>
        </w:rPr>
        <w:t>（1）提供虚假材料谋取成交的；</w:t>
      </w:r>
    </w:p>
    <w:p>
      <w:pPr>
        <w:pStyle w:val="17"/>
        <w:spacing w:line="440" w:lineRule="exact"/>
        <w:ind w:firstLine="420" w:firstLineChars="200"/>
        <w:rPr>
          <w:rFonts w:hAnsi="宋体"/>
          <w:color w:val="auto"/>
        </w:rPr>
      </w:pPr>
      <w:r>
        <w:rPr>
          <w:rFonts w:hint="eastAsia" w:hAnsi="宋体"/>
          <w:color w:val="auto"/>
        </w:rPr>
        <w:t>（2）采取不正当手段诋毁、排挤其他服务商的；</w:t>
      </w:r>
    </w:p>
    <w:p>
      <w:pPr>
        <w:pStyle w:val="17"/>
        <w:spacing w:line="440" w:lineRule="exact"/>
        <w:ind w:firstLine="420" w:firstLineChars="200"/>
        <w:rPr>
          <w:rFonts w:hAnsi="宋体"/>
          <w:color w:val="auto"/>
        </w:rPr>
      </w:pPr>
      <w:r>
        <w:rPr>
          <w:rFonts w:hint="eastAsia" w:hAnsi="宋体"/>
          <w:color w:val="auto"/>
        </w:rPr>
        <w:t>（3）与采购人、其他服务商或者采购代理机构恶意串通的；</w:t>
      </w:r>
    </w:p>
    <w:p>
      <w:pPr>
        <w:pStyle w:val="17"/>
        <w:spacing w:line="440" w:lineRule="exact"/>
        <w:ind w:firstLine="420" w:firstLineChars="200"/>
        <w:rPr>
          <w:rFonts w:hAnsi="宋体"/>
          <w:color w:val="auto"/>
        </w:rPr>
      </w:pPr>
      <w:r>
        <w:rPr>
          <w:rFonts w:hint="eastAsia" w:hAnsi="宋体"/>
          <w:color w:val="auto"/>
        </w:rPr>
        <w:t>（4）向采购人、采购代理机构行贿或者提供其他不正当利益的；</w:t>
      </w:r>
    </w:p>
    <w:p>
      <w:pPr>
        <w:pStyle w:val="17"/>
        <w:spacing w:line="440" w:lineRule="exact"/>
        <w:ind w:firstLine="420" w:firstLineChars="200"/>
        <w:rPr>
          <w:rFonts w:hAnsi="宋体"/>
          <w:color w:val="auto"/>
        </w:rPr>
      </w:pPr>
      <w:r>
        <w:rPr>
          <w:rFonts w:hint="eastAsia" w:hAnsi="宋体"/>
          <w:color w:val="auto"/>
        </w:rPr>
        <w:t>（5）拒绝有关部门监督检查或提供虚假情况的。</w:t>
      </w:r>
    </w:p>
    <w:p>
      <w:pPr>
        <w:pStyle w:val="17"/>
        <w:spacing w:line="500" w:lineRule="exact"/>
        <w:rPr>
          <w:color w:val="auto"/>
        </w:rPr>
      </w:pPr>
    </w:p>
    <w:p>
      <w:pPr>
        <w:pStyle w:val="17"/>
        <w:spacing w:line="500" w:lineRule="exact"/>
        <w:ind w:left="101" w:leftChars="48" w:firstLine="520" w:firstLineChars="248"/>
        <w:rPr>
          <w:color w:val="auto"/>
        </w:rPr>
      </w:pPr>
      <w:r>
        <w:rPr>
          <w:rFonts w:hint="eastAsia"/>
          <w:color w:val="auto"/>
        </w:rPr>
        <w:t>与本磋商有关的正式通讯地址为：</w:t>
      </w:r>
    </w:p>
    <w:p>
      <w:pPr>
        <w:pStyle w:val="17"/>
        <w:spacing w:line="500" w:lineRule="exact"/>
        <w:ind w:left="101" w:leftChars="48" w:firstLine="520" w:firstLineChars="248"/>
        <w:rPr>
          <w:color w:val="auto"/>
        </w:rPr>
      </w:pPr>
      <w:r>
        <w:rPr>
          <w:rFonts w:hint="eastAsia"/>
          <w:color w:val="auto"/>
        </w:rPr>
        <w:t>地址：    邮政编码：</w:t>
      </w:r>
    </w:p>
    <w:p>
      <w:pPr>
        <w:pStyle w:val="17"/>
        <w:spacing w:line="500" w:lineRule="exact"/>
        <w:ind w:firstLine="630" w:firstLineChars="300"/>
        <w:rPr>
          <w:color w:val="auto"/>
          <w:u w:val="single"/>
        </w:rPr>
      </w:pPr>
      <w:r>
        <w:rPr>
          <w:rFonts w:hint="eastAsia"/>
          <w:color w:val="auto"/>
        </w:rPr>
        <w:t>电话、传真或电传：</w:t>
      </w:r>
    </w:p>
    <w:p>
      <w:pPr>
        <w:pStyle w:val="17"/>
        <w:spacing w:line="500" w:lineRule="exact"/>
        <w:ind w:firstLine="630" w:firstLineChars="300"/>
        <w:rPr>
          <w:color w:val="auto"/>
        </w:rPr>
      </w:pPr>
      <w:r>
        <w:rPr>
          <w:rFonts w:hint="eastAsia"/>
          <w:color w:val="auto"/>
        </w:rPr>
        <w:t>开户名称：</w:t>
      </w:r>
    </w:p>
    <w:p>
      <w:pPr>
        <w:pStyle w:val="17"/>
        <w:spacing w:line="500" w:lineRule="exact"/>
        <w:ind w:firstLine="630" w:firstLineChars="300"/>
        <w:rPr>
          <w:color w:val="auto"/>
        </w:rPr>
      </w:pPr>
      <w:r>
        <w:rPr>
          <w:rFonts w:hint="eastAsia"/>
          <w:color w:val="auto"/>
        </w:rPr>
        <w:t>开户银行：</w:t>
      </w:r>
    </w:p>
    <w:p>
      <w:pPr>
        <w:pStyle w:val="17"/>
        <w:spacing w:line="500" w:lineRule="exact"/>
        <w:ind w:firstLine="630" w:firstLineChars="300"/>
        <w:rPr>
          <w:color w:val="auto"/>
          <w:u w:val="single"/>
        </w:rPr>
      </w:pPr>
      <w:r>
        <w:rPr>
          <w:rFonts w:hint="eastAsia"/>
          <w:color w:val="auto"/>
        </w:rPr>
        <w:t>帐    号：</w:t>
      </w:r>
    </w:p>
    <w:p>
      <w:pPr>
        <w:pStyle w:val="17"/>
        <w:spacing w:line="500" w:lineRule="exact"/>
        <w:ind w:firstLine="630" w:firstLineChars="300"/>
        <w:rPr>
          <w:color w:val="auto"/>
        </w:rPr>
      </w:pPr>
    </w:p>
    <w:p>
      <w:pPr>
        <w:pStyle w:val="17"/>
        <w:spacing w:line="600" w:lineRule="exact"/>
        <w:ind w:firstLine="3060"/>
        <w:rPr>
          <w:color w:val="auto"/>
          <w:u w:val="single"/>
        </w:rPr>
      </w:pPr>
      <w:r>
        <w:rPr>
          <w:rFonts w:hint="eastAsia"/>
          <w:color w:val="auto"/>
        </w:rPr>
        <w:t>服务商名称（加盖单位公章）：</w:t>
      </w:r>
    </w:p>
    <w:p>
      <w:pPr>
        <w:pStyle w:val="17"/>
        <w:spacing w:line="600" w:lineRule="exact"/>
        <w:ind w:firstLine="3060"/>
        <w:rPr>
          <w:color w:val="auto"/>
        </w:rPr>
      </w:pPr>
      <w:r>
        <w:rPr>
          <w:rFonts w:hint="eastAsia"/>
          <w:color w:val="auto"/>
        </w:rPr>
        <w:t>法定代表人或委托代理人签名：</w:t>
      </w:r>
    </w:p>
    <w:p>
      <w:pPr>
        <w:pStyle w:val="17"/>
        <w:spacing w:line="600" w:lineRule="exact"/>
        <w:ind w:firstLine="3060"/>
        <w:rPr>
          <w:color w:val="auto"/>
          <w:u w:val="single"/>
        </w:rPr>
      </w:pPr>
      <w:r>
        <w:rPr>
          <w:rFonts w:hint="eastAsia"/>
          <w:color w:val="auto"/>
        </w:rPr>
        <w:t>响应日期：</w:t>
      </w:r>
    </w:p>
    <w:p>
      <w:pPr>
        <w:pStyle w:val="17"/>
        <w:spacing w:line="500" w:lineRule="exact"/>
        <w:ind w:left="101" w:leftChars="48" w:firstLine="520" w:firstLineChars="248"/>
        <w:rPr>
          <w:color w:val="auto"/>
        </w:rPr>
      </w:pPr>
    </w:p>
    <w:p>
      <w:pPr>
        <w:pStyle w:val="17"/>
        <w:spacing w:line="460" w:lineRule="exact"/>
        <w:ind w:left="101" w:leftChars="48" w:firstLine="520" w:firstLineChars="248"/>
        <w:rPr>
          <w:color w:val="auto"/>
        </w:rPr>
      </w:pPr>
    </w:p>
    <w:p>
      <w:pPr>
        <w:spacing w:line="320" w:lineRule="exact"/>
        <w:rPr>
          <w:rFonts w:ascii="宋体" w:hAnsi="宋体"/>
          <w:b/>
          <w:color w:val="auto"/>
          <w:szCs w:val="21"/>
        </w:rPr>
      </w:pPr>
      <w:r>
        <w:rPr>
          <w:rFonts w:hint="eastAsia" w:ascii="宋体" w:hAnsi="宋体"/>
          <w:b/>
          <w:color w:val="auto"/>
          <w:szCs w:val="21"/>
        </w:rPr>
        <w:t>说明：</w:t>
      </w:r>
    </w:p>
    <w:p>
      <w:pPr>
        <w:spacing w:line="320" w:lineRule="exact"/>
        <w:ind w:left="315" w:hanging="315" w:hangingChars="150"/>
        <w:rPr>
          <w:rFonts w:ascii="宋体" w:hAnsi="宋体"/>
          <w:color w:val="auto"/>
          <w:szCs w:val="21"/>
        </w:rPr>
      </w:pPr>
      <w:r>
        <w:rPr>
          <w:rFonts w:hint="eastAsia" w:ascii="宋体" w:hAnsi="宋体"/>
          <w:color w:val="auto"/>
          <w:szCs w:val="21"/>
        </w:rPr>
        <w:t>1、所有价格均系用人民币表示，单位为元，精确到小数点后两位；</w:t>
      </w:r>
    </w:p>
    <w:p>
      <w:pPr>
        <w:spacing w:line="320" w:lineRule="exact"/>
        <w:ind w:left="315" w:hanging="315" w:hangingChars="150"/>
        <w:rPr>
          <w:rFonts w:ascii="宋体" w:hAnsi="宋体"/>
          <w:color w:val="auto"/>
          <w:szCs w:val="21"/>
        </w:rPr>
      </w:pPr>
      <w:r>
        <w:rPr>
          <w:rFonts w:hint="eastAsia" w:ascii="宋体" w:hAnsi="宋体"/>
          <w:color w:val="auto"/>
          <w:szCs w:val="21"/>
        </w:rPr>
        <w:t>2、报价一经涂改，应在涂改处加盖单位公章或者由法定代表人或其委托代理人签字或盖章，否则其报价无效；</w:t>
      </w:r>
    </w:p>
    <w:p>
      <w:pPr>
        <w:spacing w:line="320" w:lineRule="exact"/>
        <w:ind w:left="315" w:hanging="315" w:hangingChars="150"/>
        <w:rPr>
          <w:rFonts w:ascii="宋体" w:hAnsi="宋体"/>
          <w:color w:val="auto"/>
        </w:rPr>
      </w:pPr>
      <w:r>
        <w:rPr>
          <w:rFonts w:hint="eastAsia" w:ascii="宋体" w:hAnsi="宋体"/>
          <w:color w:val="auto"/>
        </w:rPr>
        <w:t>3、以上报价应与“报价表”中的内容一致。响应函</w:t>
      </w:r>
      <w:r>
        <w:rPr>
          <w:rFonts w:ascii="宋体" w:hAnsi="宋体"/>
          <w:color w:val="auto"/>
        </w:rPr>
        <w:t>与</w:t>
      </w:r>
      <w:r>
        <w:rPr>
          <w:rFonts w:hint="eastAsia" w:ascii="宋体" w:hAnsi="宋体"/>
          <w:color w:val="auto"/>
        </w:rPr>
        <w:t>磋商报价</w:t>
      </w:r>
      <w:r>
        <w:rPr>
          <w:rFonts w:ascii="宋体" w:hAnsi="宋体"/>
          <w:color w:val="auto"/>
        </w:rPr>
        <w:t>表</w:t>
      </w:r>
      <w:r>
        <w:rPr>
          <w:rFonts w:hint="eastAsia" w:ascii="宋体" w:hAnsi="宋体"/>
          <w:color w:val="auto"/>
        </w:rPr>
        <w:t>的</w:t>
      </w:r>
      <w:r>
        <w:rPr>
          <w:rFonts w:ascii="宋体" w:hAnsi="宋体"/>
          <w:color w:val="auto"/>
        </w:rPr>
        <w:t>内容不</w:t>
      </w:r>
      <w:r>
        <w:rPr>
          <w:rFonts w:hint="eastAsia" w:ascii="宋体" w:hAnsi="宋体"/>
          <w:color w:val="auto"/>
        </w:rPr>
        <w:t>一致的</w:t>
      </w:r>
      <w:r>
        <w:rPr>
          <w:rFonts w:ascii="宋体" w:hAnsi="宋体"/>
          <w:color w:val="auto"/>
        </w:rPr>
        <w:t>，以</w:t>
      </w:r>
      <w:r>
        <w:rPr>
          <w:rFonts w:hint="eastAsia" w:ascii="宋体" w:hAnsi="宋体"/>
          <w:color w:val="auto"/>
        </w:rPr>
        <w:t>响应函</w:t>
      </w:r>
      <w:r>
        <w:rPr>
          <w:rFonts w:ascii="宋体" w:hAnsi="宋体"/>
          <w:color w:val="auto"/>
        </w:rPr>
        <w:t>为准</w:t>
      </w:r>
      <w:r>
        <w:rPr>
          <w:rFonts w:hint="eastAsia" w:ascii="宋体" w:hAnsi="宋体"/>
          <w:color w:val="auto"/>
        </w:rPr>
        <w:t>；</w:t>
      </w:r>
    </w:p>
    <w:p>
      <w:pPr>
        <w:spacing w:line="320" w:lineRule="exact"/>
        <w:ind w:left="315" w:hanging="315" w:hangingChars="150"/>
        <w:rPr>
          <w:rFonts w:hAnsi="宋体"/>
          <w:color w:val="auto"/>
        </w:rPr>
      </w:pPr>
      <w:r>
        <w:rPr>
          <w:rFonts w:hint="eastAsia" w:ascii="宋体" w:hAnsi="宋体"/>
          <w:color w:val="auto"/>
        </w:rPr>
        <w:t>4、服务商必须按以上格式填</w:t>
      </w:r>
      <w:r>
        <w:rPr>
          <w:rFonts w:hint="eastAsia"/>
          <w:color w:val="auto"/>
        </w:rPr>
        <w:t>写，加盖单位公章并签名，否则，无签名、盖单位公章的，响应无效。</w:t>
      </w:r>
    </w:p>
    <w:p>
      <w:pPr>
        <w:pStyle w:val="17"/>
        <w:spacing w:line="400" w:lineRule="exact"/>
        <w:rPr>
          <w:b/>
          <w:color w:val="auto"/>
          <w:sz w:val="32"/>
        </w:rPr>
      </w:pPr>
    </w:p>
    <w:p>
      <w:pPr>
        <w:pStyle w:val="17"/>
        <w:spacing w:line="400" w:lineRule="exact"/>
        <w:rPr>
          <w:bCs/>
          <w:color w:val="auto"/>
        </w:rPr>
      </w:pPr>
      <w:r>
        <w:rPr>
          <w:b/>
          <w:color w:val="auto"/>
          <w:sz w:val="32"/>
        </w:rPr>
        <w:br w:type="page"/>
      </w:r>
    </w:p>
    <w:p>
      <w:pPr>
        <w:pStyle w:val="17"/>
        <w:jc w:val="center"/>
        <w:rPr>
          <w:b/>
          <w:color w:val="auto"/>
          <w:sz w:val="32"/>
        </w:rPr>
      </w:pPr>
      <w:r>
        <w:rPr>
          <w:rFonts w:hint="eastAsia"/>
          <w:b/>
          <w:color w:val="auto"/>
          <w:sz w:val="32"/>
        </w:rPr>
        <w:t>磋商报价表（格式）</w:t>
      </w:r>
    </w:p>
    <w:p>
      <w:pPr>
        <w:tabs>
          <w:tab w:val="left" w:pos="5040"/>
        </w:tabs>
        <w:rPr>
          <w:rFonts w:ascii="宋体" w:hAnsi="宋体"/>
          <w:color w:val="auto"/>
          <w:sz w:val="24"/>
        </w:rPr>
      </w:pPr>
    </w:p>
    <w:p>
      <w:pPr>
        <w:pStyle w:val="17"/>
        <w:spacing w:beforeLines="50" w:afterLines="50"/>
        <w:rPr>
          <w:rFonts w:hAnsi="宋体"/>
          <w:color w:val="auto"/>
          <w:sz w:val="24"/>
          <w:u w:val="single"/>
        </w:rPr>
      </w:pPr>
      <w:r>
        <w:rPr>
          <w:rFonts w:hint="eastAsia" w:hAnsi="宋体"/>
          <w:color w:val="auto"/>
          <w:sz w:val="24"/>
        </w:rPr>
        <w:t>项目名称：</w:t>
      </w:r>
    </w:p>
    <w:p>
      <w:pPr>
        <w:pStyle w:val="17"/>
        <w:spacing w:beforeLines="50" w:afterLines="50"/>
        <w:rPr>
          <w:rFonts w:hAnsi="宋体"/>
          <w:color w:val="auto"/>
          <w:sz w:val="24"/>
          <w:u w:val="single"/>
        </w:rPr>
      </w:pPr>
      <w:r>
        <w:rPr>
          <w:rFonts w:hint="eastAsia" w:hAnsi="宋体"/>
          <w:color w:val="auto"/>
          <w:sz w:val="24"/>
        </w:rPr>
        <w:t>项目编号：</w:t>
      </w:r>
    </w:p>
    <w:p>
      <w:pPr>
        <w:tabs>
          <w:tab w:val="left" w:pos="5040"/>
        </w:tabs>
        <w:jc w:val="right"/>
        <w:rPr>
          <w:rFonts w:ascii="宋体" w:hAnsi="宋体"/>
          <w:color w:val="auto"/>
          <w:sz w:val="24"/>
        </w:rPr>
      </w:pPr>
      <w:r>
        <w:rPr>
          <w:rFonts w:hint="eastAsia" w:ascii="宋体" w:hAnsi="宋体"/>
          <w:color w:val="auto"/>
          <w:sz w:val="24"/>
        </w:rPr>
        <w:t>金额单位：元</w:t>
      </w:r>
    </w:p>
    <w:tbl>
      <w:tblPr>
        <w:tblStyle w:val="31"/>
        <w:tblW w:w="98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2775"/>
        <w:gridCol w:w="1712"/>
        <w:gridCol w:w="1563"/>
        <w:gridCol w:w="2537"/>
        <w:gridCol w:w="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499" w:type="dxa"/>
            <w:noWrap/>
          </w:tcPr>
          <w:p>
            <w:pPr>
              <w:pStyle w:val="77"/>
              <w:spacing w:line="280" w:lineRule="exact"/>
              <w:ind w:left="133" w:right="131"/>
              <w:jc w:val="center"/>
              <w:rPr>
                <w:rFonts w:ascii="宋体" w:hAnsi="宋体" w:cs="宋体"/>
                <w:color w:val="auto"/>
                <w:sz w:val="24"/>
              </w:rPr>
            </w:pPr>
            <w:r>
              <w:rPr>
                <w:rFonts w:hint="eastAsia" w:cs="宋体"/>
                <w:color w:val="auto"/>
                <w:sz w:val="24"/>
              </w:rPr>
              <w:t>序号</w:t>
            </w:r>
          </w:p>
        </w:tc>
        <w:tc>
          <w:tcPr>
            <w:tcW w:w="2775" w:type="dxa"/>
            <w:noWrap/>
            <w:vAlign w:val="center"/>
          </w:tcPr>
          <w:p>
            <w:pPr>
              <w:pStyle w:val="77"/>
              <w:spacing w:line="280" w:lineRule="exact"/>
              <w:ind w:left="210" w:right="206"/>
              <w:jc w:val="center"/>
              <w:rPr>
                <w:rFonts w:ascii="宋体" w:hAnsi="宋体" w:cs="宋体"/>
                <w:color w:val="auto"/>
                <w:sz w:val="24"/>
              </w:rPr>
            </w:pPr>
            <w:r>
              <w:rPr>
                <w:rFonts w:hint="eastAsia" w:cs="宋体"/>
                <w:color w:val="auto"/>
                <w:sz w:val="24"/>
              </w:rPr>
              <w:t>采购内容</w:t>
            </w:r>
          </w:p>
        </w:tc>
        <w:tc>
          <w:tcPr>
            <w:tcW w:w="1712" w:type="dxa"/>
            <w:noWrap/>
            <w:vAlign w:val="center"/>
          </w:tcPr>
          <w:p>
            <w:pPr>
              <w:pStyle w:val="77"/>
              <w:spacing w:line="280" w:lineRule="exact"/>
              <w:ind w:left="507" w:right="502"/>
              <w:jc w:val="center"/>
              <w:rPr>
                <w:rFonts w:ascii="宋体" w:hAnsi="宋体" w:cs="宋体"/>
                <w:color w:val="auto"/>
                <w:sz w:val="24"/>
              </w:rPr>
            </w:pPr>
            <w:r>
              <w:rPr>
                <w:rFonts w:hint="eastAsia" w:ascii="宋体" w:hAnsi="宋体" w:cs="宋体"/>
                <w:color w:val="auto"/>
                <w:sz w:val="24"/>
              </w:rPr>
              <w:t>数量（约）</w:t>
            </w:r>
          </w:p>
        </w:tc>
        <w:tc>
          <w:tcPr>
            <w:tcW w:w="1563" w:type="dxa"/>
            <w:noWrap/>
            <w:vAlign w:val="center"/>
          </w:tcPr>
          <w:p>
            <w:pPr>
              <w:pStyle w:val="77"/>
              <w:spacing w:line="280" w:lineRule="exact"/>
              <w:ind w:left="475" w:right="471"/>
              <w:jc w:val="center"/>
              <w:rPr>
                <w:rFonts w:ascii="宋体" w:hAnsi="宋体" w:cs="宋体"/>
                <w:color w:val="auto"/>
                <w:sz w:val="24"/>
              </w:rPr>
            </w:pPr>
            <w:r>
              <w:rPr>
                <w:rFonts w:hint="eastAsia" w:ascii="宋体" w:hAnsi="宋体" w:cs="宋体"/>
                <w:color w:val="auto"/>
                <w:sz w:val="24"/>
              </w:rPr>
              <w:t>投标单价</w:t>
            </w:r>
          </w:p>
        </w:tc>
        <w:tc>
          <w:tcPr>
            <w:tcW w:w="2537" w:type="dxa"/>
            <w:noWrap/>
            <w:vAlign w:val="center"/>
          </w:tcPr>
          <w:p>
            <w:pPr>
              <w:pStyle w:val="77"/>
              <w:spacing w:line="280" w:lineRule="exact"/>
              <w:ind w:left="2"/>
              <w:jc w:val="center"/>
              <w:rPr>
                <w:rFonts w:ascii="宋体" w:hAnsi="宋体" w:cs="宋体"/>
                <w:color w:val="auto"/>
                <w:sz w:val="24"/>
              </w:rPr>
            </w:pPr>
            <w:r>
              <w:rPr>
                <w:rFonts w:hint="eastAsia" w:ascii="宋体" w:hAnsi="宋体" w:cs="宋体"/>
                <w:color w:val="auto"/>
                <w:sz w:val="24"/>
              </w:rPr>
              <w:t>投标总报价</w:t>
            </w:r>
          </w:p>
        </w:tc>
        <w:tc>
          <w:tcPr>
            <w:tcW w:w="731" w:type="dxa"/>
            <w:noWrap/>
            <w:vAlign w:val="center"/>
          </w:tcPr>
          <w:p>
            <w:pPr>
              <w:pStyle w:val="77"/>
              <w:spacing w:line="280" w:lineRule="exact"/>
              <w:ind w:left="2"/>
              <w:jc w:val="center"/>
              <w:rPr>
                <w:rFonts w:ascii="宋体" w:hAnsi="宋体" w:cs="宋体"/>
                <w:color w:val="auto"/>
                <w:sz w:val="24"/>
              </w:rPr>
            </w:pPr>
            <w:r>
              <w:rPr>
                <w:rFonts w:hint="eastAsia" w:ascii="宋体" w:hAnsi="宋体" w:cs="宋体"/>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499" w:type="dxa"/>
            <w:noWrap/>
            <w:vAlign w:val="center"/>
          </w:tcPr>
          <w:p>
            <w:pPr>
              <w:pStyle w:val="77"/>
              <w:rPr>
                <w:rFonts w:ascii="宋体" w:hAnsi="宋体" w:cs="宋体"/>
                <w:color w:val="auto"/>
                <w:sz w:val="24"/>
              </w:rPr>
            </w:pPr>
          </w:p>
          <w:p>
            <w:pPr>
              <w:pStyle w:val="77"/>
              <w:rPr>
                <w:rFonts w:ascii="宋体" w:hAnsi="宋体" w:cs="宋体"/>
                <w:color w:val="auto"/>
                <w:sz w:val="32"/>
              </w:rPr>
            </w:pPr>
          </w:p>
          <w:p>
            <w:pPr>
              <w:pStyle w:val="77"/>
              <w:ind w:left="133" w:right="131"/>
              <w:rPr>
                <w:rFonts w:ascii="宋体" w:hAnsi="宋体" w:cs="宋体"/>
                <w:color w:val="auto"/>
                <w:sz w:val="24"/>
                <w:u w:val="single"/>
              </w:rPr>
            </w:pPr>
          </w:p>
          <w:p>
            <w:pPr>
              <w:pStyle w:val="77"/>
              <w:ind w:left="133" w:right="131"/>
              <w:rPr>
                <w:rFonts w:ascii="宋体" w:hAnsi="宋体" w:cs="宋体"/>
                <w:color w:val="auto"/>
                <w:sz w:val="24"/>
              </w:rPr>
            </w:pPr>
            <w:r>
              <w:rPr>
                <w:rFonts w:hint="eastAsia" w:cs="宋体"/>
                <w:color w:val="auto"/>
                <w:sz w:val="24"/>
              </w:rPr>
              <w:t>1</w:t>
            </w:r>
          </w:p>
          <w:p>
            <w:pPr>
              <w:pStyle w:val="77"/>
              <w:ind w:left="133" w:right="131"/>
              <w:rPr>
                <w:rFonts w:ascii="宋体" w:hAnsi="宋体" w:cs="宋体"/>
                <w:color w:val="auto"/>
                <w:sz w:val="24"/>
                <w:u w:val="single"/>
              </w:rPr>
            </w:pPr>
          </w:p>
          <w:p>
            <w:pPr>
              <w:pStyle w:val="77"/>
              <w:ind w:left="133" w:right="131"/>
              <w:rPr>
                <w:rFonts w:ascii="宋体" w:hAnsi="宋体" w:cs="宋体"/>
                <w:color w:val="auto"/>
                <w:sz w:val="24"/>
              </w:rPr>
            </w:pPr>
          </w:p>
        </w:tc>
        <w:tc>
          <w:tcPr>
            <w:tcW w:w="2775" w:type="dxa"/>
            <w:noWrap/>
            <w:vAlign w:val="center"/>
          </w:tcPr>
          <w:p>
            <w:pPr>
              <w:pStyle w:val="77"/>
              <w:rPr>
                <w:rFonts w:ascii="宋体" w:hAnsi="宋体" w:cs="宋体"/>
                <w:color w:val="auto"/>
                <w:sz w:val="24"/>
              </w:rPr>
            </w:pPr>
            <w:r>
              <w:rPr>
                <w:rFonts w:hint="eastAsia" w:cs="宋体"/>
                <w:color w:val="auto"/>
              </w:rPr>
              <w:t>蒙山县辖区内农村乱占耕地建房状况调查</w:t>
            </w:r>
          </w:p>
        </w:tc>
        <w:tc>
          <w:tcPr>
            <w:tcW w:w="1712" w:type="dxa"/>
            <w:noWrap/>
            <w:vAlign w:val="center"/>
          </w:tcPr>
          <w:p>
            <w:pPr>
              <w:pStyle w:val="77"/>
              <w:tabs>
                <w:tab w:val="left" w:pos="1069"/>
                <w:tab w:val="left" w:pos="1127"/>
              </w:tabs>
              <w:spacing w:line="350" w:lineRule="auto"/>
              <w:ind w:right="-29" w:firstLine="240" w:firstLineChars="100"/>
              <w:rPr>
                <w:rFonts w:ascii="宋体" w:hAnsi="宋体" w:cs="宋体"/>
                <w:color w:val="auto"/>
                <w:sz w:val="24"/>
              </w:rPr>
            </w:pPr>
            <w:r>
              <w:rPr>
                <w:rFonts w:hint="eastAsia" w:ascii="宋体" w:hAnsi="宋体" w:cs="宋体"/>
                <w:color w:val="auto"/>
                <w:sz w:val="24"/>
              </w:rPr>
              <w:t>10526个图斑</w:t>
            </w:r>
          </w:p>
        </w:tc>
        <w:tc>
          <w:tcPr>
            <w:tcW w:w="1563" w:type="dxa"/>
            <w:noWrap/>
            <w:vAlign w:val="center"/>
          </w:tcPr>
          <w:p>
            <w:pPr>
              <w:pStyle w:val="77"/>
              <w:tabs>
                <w:tab w:val="left" w:pos="1126"/>
              </w:tabs>
              <w:spacing w:line="350" w:lineRule="auto"/>
              <w:ind w:right="-29" w:firstLine="210" w:firstLineChars="100"/>
              <w:rPr>
                <w:rFonts w:hint="default" w:ascii="宋体" w:hAnsi="宋体" w:eastAsia="宋体" w:cs="宋体"/>
                <w:color w:val="auto"/>
                <w:sz w:val="24"/>
                <w:u w:val="single"/>
                <w:lang w:val="en-US" w:eastAsia="zh-CN"/>
              </w:rPr>
            </w:pPr>
            <w:r>
              <w:rPr>
                <w:rFonts w:hint="eastAsia"/>
                <w:color w:val="auto"/>
                <w:u w:val="single"/>
                <w:lang w:val="en-US" w:eastAsia="zh-CN"/>
              </w:rPr>
              <w:t xml:space="preserve">    </w:t>
            </w:r>
            <w:r>
              <w:rPr>
                <w:rFonts w:hint="eastAsia"/>
                <w:color w:val="auto"/>
              </w:rPr>
              <w:t>元/个图斑</w:t>
            </w:r>
          </w:p>
        </w:tc>
        <w:tc>
          <w:tcPr>
            <w:tcW w:w="2537" w:type="dxa"/>
            <w:noWrap/>
            <w:vAlign w:val="center"/>
          </w:tcPr>
          <w:p>
            <w:pPr>
              <w:pStyle w:val="77"/>
              <w:rPr>
                <w:rFonts w:ascii="宋体" w:hAnsi="宋体" w:cs="宋体"/>
                <w:color w:val="auto"/>
                <w:sz w:val="24"/>
              </w:rPr>
            </w:pPr>
          </w:p>
          <w:p>
            <w:pPr>
              <w:pStyle w:val="77"/>
              <w:rPr>
                <w:rFonts w:ascii="宋体" w:hAnsi="宋体" w:cs="宋体"/>
                <w:color w:val="auto"/>
                <w:sz w:val="17"/>
              </w:rPr>
            </w:pPr>
          </w:p>
          <w:p>
            <w:pPr>
              <w:pStyle w:val="77"/>
              <w:tabs>
                <w:tab w:val="left" w:pos="1408"/>
              </w:tabs>
              <w:ind w:left="88"/>
              <w:rPr>
                <w:rFonts w:ascii="宋体" w:hAnsi="宋体" w:cs="宋体"/>
                <w:color w:val="auto"/>
                <w:sz w:val="24"/>
              </w:rPr>
            </w:pPr>
          </w:p>
        </w:tc>
        <w:tc>
          <w:tcPr>
            <w:tcW w:w="731" w:type="dxa"/>
            <w:noWrap/>
            <w:vAlign w:val="center"/>
          </w:tcPr>
          <w:p>
            <w:pPr>
              <w:pStyle w:val="77"/>
              <w:tabs>
                <w:tab w:val="left" w:pos="1408"/>
              </w:tabs>
              <w:ind w:left="88"/>
              <w:rPr>
                <w:rFonts w:ascii="宋体" w:hAnsi="宋体" w:cs="宋体"/>
                <w:color w:val="auto"/>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9817" w:type="dxa"/>
            <w:gridSpan w:val="6"/>
            <w:noWrap/>
            <w:vAlign w:val="center"/>
          </w:tcPr>
          <w:p>
            <w:pPr>
              <w:pStyle w:val="77"/>
              <w:tabs>
                <w:tab w:val="left" w:pos="1408"/>
              </w:tabs>
              <w:ind w:left="88"/>
              <w:jc w:val="left"/>
              <w:rPr>
                <w:rFonts w:ascii="宋体" w:hAnsi="宋体" w:cs="宋体"/>
                <w:color w:val="auto"/>
                <w:sz w:val="24"/>
                <w:u w:val="single"/>
              </w:rPr>
            </w:pPr>
          </w:p>
          <w:p>
            <w:pPr>
              <w:pStyle w:val="77"/>
              <w:tabs>
                <w:tab w:val="left" w:pos="1408"/>
              </w:tabs>
              <w:ind w:left="88"/>
              <w:jc w:val="left"/>
              <w:rPr>
                <w:rFonts w:hint="default" w:ascii="宋体" w:hAnsi="宋体" w:eastAsia="宋体" w:cs="宋体"/>
                <w:color w:val="auto"/>
                <w:sz w:val="24"/>
                <w:u w:val="single"/>
                <w:lang w:val="en-US" w:eastAsia="zh-CN"/>
              </w:rPr>
            </w:pPr>
            <w:r>
              <w:rPr>
                <w:rFonts w:hint="eastAsia" w:ascii="宋体" w:hAnsi="宋体" w:cs="宋体"/>
                <w:color w:val="auto"/>
                <w:sz w:val="24"/>
              </w:rPr>
              <w:t>投标总报价人民币：（大写）</w:t>
            </w:r>
            <w:r>
              <w:rPr>
                <w:rFonts w:hint="eastAsia" w:ascii="宋体" w:hAnsi="宋体" w:cs="宋体"/>
                <w:color w:val="auto"/>
                <w:sz w:val="24"/>
                <w:u w:val="single"/>
                <w:lang w:val="en-US" w:eastAsia="zh-CN"/>
              </w:rPr>
              <w:t xml:space="preserve">                </w:t>
            </w:r>
            <w:r>
              <w:rPr>
                <w:rFonts w:hint="eastAsia" w:ascii="宋体" w:hAnsi="宋体" w:cs="宋体"/>
                <w:color w:val="auto"/>
                <w:sz w:val="24"/>
              </w:rPr>
              <w:t>（小写）</w:t>
            </w:r>
            <w:r>
              <w:rPr>
                <w:rFonts w:hint="eastAsia" w:ascii="宋体" w:hAnsi="宋体" w:cs="宋体"/>
                <w:color w:val="auto"/>
                <w:sz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9817" w:type="dxa"/>
            <w:gridSpan w:val="6"/>
            <w:noWrap/>
            <w:vAlign w:val="center"/>
          </w:tcPr>
          <w:p>
            <w:pPr>
              <w:pStyle w:val="77"/>
              <w:tabs>
                <w:tab w:val="left" w:pos="1408"/>
              </w:tabs>
              <w:ind w:left="88"/>
              <w:jc w:val="left"/>
              <w:rPr>
                <w:rFonts w:ascii="宋体" w:hAnsi="宋体" w:cs="宋体"/>
                <w:color w:val="auto"/>
              </w:rPr>
            </w:pPr>
            <w:r>
              <w:rPr>
                <w:rFonts w:hint="eastAsia" w:ascii="宋体" w:hAnsi="宋体" w:cs="宋体"/>
                <w:color w:val="auto"/>
              </w:rPr>
              <w:t>完成时间</w:t>
            </w:r>
            <w:r>
              <w:rPr>
                <w:rFonts w:hint="eastAsia" w:cs="宋体"/>
                <w:color w:val="auto"/>
                <w:sz w:val="24"/>
              </w:rPr>
              <w:t>：</w:t>
            </w:r>
          </w:p>
        </w:tc>
      </w:tr>
    </w:tbl>
    <w:p>
      <w:pPr>
        <w:tabs>
          <w:tab w:val="left" w:pos="5040"/>
        </w:tabs>
        <w:rPr>
          <w:rFonts w:ascii="宋体" w:hAnsi="宋体"/>
          <w:color w:val="auto"/>
          <w:sz w:val="24"/>
        </w:rPr>
      </w:pPr>
    </w:p>
    <w:p>
      <w:pPr>
        <w:pStyle w:val="17"/>
        <w:rPr>
          <w:rFonts w:hAnsi="宋体"/>
          <w:color w:val="auto"/>
          <w:sz w:val="24"/>
          <w:szCs w:val="24"/>
        </w:rPr>
      </w:pPr>
    </w:p>
    <w:p>
      <w:pPr>
        <w:pStyle w:val="17"/>
        <w:spacing w:line="600" w:lineRule="exact"/>
        <w:ind w:firstLine="3060"/>
        <w:rPr>
          <w:color w:val="auto"/>
          <w:sz w:val="24"/>
          <w:szCs w:val="24"/>
          <w:u w:val="single"/>
        </w:rPr>
      </w:pPr>
      <w:r>
        <w:rPr>
          <w:rFonts w:hint="eastAsia"/>
          <w:color w:val="auto"/>
          <w:sz w:val="24"/>
          <w:szCs w:val="24"/>
        </w:rPr>
        <w:t>服务商名称（加盖单位公章）：</w:t>
      </w:r>
    </w:p>
    <w:p>
      <w:pPr>
        <w:pStyle w:val="17"/>
        <w:spacing w:line="600" w:lineRule="exact"/>
        <w:ind w:firstLine="3060"/>
        <w:rPr>
          <w:color w:val="auto"/>
          <w:sz w:val="24"/>
          <w:szCs w:val="24"/>
        </w:rPr>
      </w:pPr>
      <w:r>
        <w:rPr>
          <w:rFonts w:hint="eastAsia"/>
          <w:color w:val="auto"/>
          <w:sz w:val="24"/>
          <w:szCs w:val="24"/>
        </w:rPr>
        <w:t>法定代表人或委托代理人签名：</w:t>
      </w:r>
    </w:p>
    <w:p>
      <w:pPr>
        <w:pStyle w:val="17"/>
        <w:spacing w:line="600" w:lineRule="exact"/>
        <w:ind w:firstLine="3060"/>
        <w:rPr>
          <w:color w:val="auto"/>
          <w:sz w:val="24"/>
          <w:szCs w:val="24"/>
          <w:u w:val="single"/>
        </w:rPr>
      </w:pPr>
      <w:r>
        <w:rPr>
          <w:rFonts w:hint="eastAsia"/>
          <w:color w:val="auto"/>
          <w:sz w:val="24"/>
          <w:szCs w:val="24"/>
        </w:rPr>
        <w:t>响应日期：</w:t>
      </w:r>
    </w:p>
    <w:p>
      <w:pPr>
        <w:pStyle w:val="17"/>
        <w:spacing w:line="400" w:lineRule="exact"/>
        <w:rPr>
          <w:color w:val="auto"/>
        </w:rPr>
      </w:pPr>
    </w:p>
    <w:p>
      <w:pPr>
        <w:pStyle w:val="17"/>
        <w:spacing w:line="400" w:lineRule="exact"/>
        <w:rPr>
          <w:color w:val="auto"/>
        </w:rPr>
      </w:pPr>
    </w:p>
    <w:p>
      <w:pPr>
        <w:pStyle w:val="17"/>
        <w:spacing w:line="400" w:lineRule="exact"/>
        <w:rPr>
          <w:color w:val="auto"/>
        </w:rPr>
      </w:pPr>
    </w:p>
    <w:p>
      <w:pPr>
        <w:pStyle w:val="17"/>
        <w:spacing w:line="400" w:lineRule="exact"/>
        <w:rPr>
          <w:color w:val="auto"/>
        </w:rPr>
      </w:pPr>
      <w:r>
        <w:rPr>
          <w:rFonts w:hint="eastAsia"/>
          <w:b/>
          <w:color w:val="auto"/>
        </w:rPr>
        <w:t>说明：</w:t>
      </w:r>
    </w:p>
    <w:p>
      <w:pPr>
        <w:pStyle w:val="17"/>
        <w:ind w:left="315" w:hanging="315" w:hangingChars="150"/>
        <w:rPr>
          <w:rFonts w:hAnsi="宋体"/>
          <w:bCs/>
          <w:color w:val="auto"/>
          <w:szCs w:val="21"/>
        </w:rPr>
      </w:pPr>
      <w:r>
        <w:rPr>
          <w:rFonts w:hint="eastAsia" w:hAnsi="宋体"/>
          <w:bCs/>
          <w:color w:val="auto"/>
          <w:szCs w:val="21"/>
        </w:rPr>
        <w:t>1、该表中内容应与“</w:t>
      </w:r>
      <w:r>
        <w:rPr>
          <w:rFonts w:hint="eastAsia" w:hAnsi="宋体"/>
          <w:color w:val="auto"/>
        </w:rPr>
        <w:t>响应函</w:t>
      </w:r>
      <w:r>
        <w:rPr>
          <w:rFonts w:hint="eastAsia" w:hAnsi="宋体"/>
          <w:bCs/>
          <w:color w:val="auto"/>
          <w:szCs w:val="21"/>
        </w:rPr>
        <w:t>”中的内容一致，不得填报有选择性方案。</w:t>
      </w:r>
    </w:p>
    <w:p>
      <w:pPr>
        <w:pStyle w:val="17"/>
        <w:ind w:left="315" w:hanging="315" w:hangingChars="150"/>
        <w:rPr>
          <w:color w:val="auto"/>
        </w:rPr>
      </w:pPr>
      <w:r>
        <w:rPr>
          <w:rFonts w:hint="eastAsia"/>
          <w:color w:val="auto"/>
        </w:rPr>
        <w:t>2、服务商必须按以上格式填写，加盖单位公章并签名。否则，无签名、盖单位公章的，响应无效。</w:t>
      </w:r>
    </w:p>
    <w:p>
      <w:pPr>
        <w:pStyle w:val="17"/>
        <w:rPr>
          <w:bCs/>
          <w:color w:val="auto"/>
        </w:rPr>
      </w:pPr>
      <w:r>
        <w:rPr>
          <w:color w:val="auto"/>
        </w:rPr>
        <w:br w:type="page"/>
      </w:r>
    </w:p>
    <w:p>
      <w:pPr>
        <w:pStyle w:val="17"/>
        <w:spacing w:beforeLines="50" w:afterLines="50"/>
        <w:jc w:val="center"/>
        <w:rPr>
          <w:rFonts w:hAnsi="宋体"/>
          <w:b/>
          <w:color w:val="auto"/>
          <w:sz w:val="30"/>
          <w:szCs w:val="30"/>
        </w:rPr>
      </w:pPr>
      <w:r>
        <w:rPr>
          <w:rFonts w:hint="eastAsia" w:hAnsi="宋体"/>
          <w:b/>
          <w:color w:val="auto"/>
          <w:sz w:val="30"/>
          <w:szCs w:val="30"/>
        </w:rPr>
        <w:t>商务条款响应表（格式）</w:t>
      </w:r>
    </w:p>
    <w:p>
      <w:pPr>
        <w:pStyle w:val="17"/>
        <w:spacing w:line="400" w:lineRule="exact"/>
        <w:jc w:val="left"/>
        <w:rPr>
          <w:rFonts w:hAnsi="宋体"/>
          <w:b/>
          <w:color w:val="auto"/>
          <w:sz w:val="24"/>
          <w:u w:val="single"/>
        </w:rPr>
      </w:pPr>
    </w:p>
    <w:tbl>
      <w:tblPr>
        <w:tblStyle w:val="31"/>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772"/>
        <w:gridCol w:w="2873"/>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pStyle w:val="17"/>
              <w:snapToGrid w:val="0"/>
              <w:jc w:val="center"/>
              <w:rPr>
                <w:color w:val="auto"/>
              </w:rPr>
            </w:pPr>
            <w:r>
              <w:rPr>
                <w:rFonts w:hint="eastAsia"/>
                <w:color w:val="auto"/>
              </w:rPr>
              <w:t>序号</w:t>
            </w:r>
          </w:p>
        </w:tc>
        <w:tc>
          <w:tcPr>
            <w:tcW w:w="3772" w:type="dxa"/>
            <w:vAlign w:val="center"/>
          </w:tcPr>
          <w:p>
            <w:pPr>
              <w:pStyle w:val="17"/>
              <w:snapToGrid w:val="0"/>
              <w:jc w:val="center"/>
              <w:rPr>
                <w:color w:val="auto"/>
              </w:rPr>
            </w:pPr>
            <w:r>
              <w:rPr>
                <w:rFonts w:hint="eastAsia" w:cs="Courier New"/>
                <w:color w:val="auto"/>
              </w:rPr>
              <w:t>服务内容</w:t>
            </w:r>
            <w:r>
              <w:rPr>
                <w:rFonts w:cs="Courier New"/>
                <w:color w:val="auto"/>
              </w:rPr>
              <w:t>及要求</w:t>
            </w:r>
          </w:p>
        </w:tc>
        <w:tc>
          <w:tcPr>
            <w:tcW w:w="2873" w:type="dxa"/>
            <w:vAlign w:val="center"/>
          </w:tcPr>
          <w:p>
            <w:pPr>
              <w:pStyle w:val="17"/>
              <w:snapToGrid w:val="0"/>
              <w:jc w:val="center"/>
              <w:rPr>
                <w:color w:val="auto"/>
              </w:rPr>
            </w:pPr>
            <w:r>
              <w:rPr>
                <w:rFonts w:hint="eastAsia"/>
                <w:color w:val="auto"/>
              </w:rPr>
              <w:t>响应文件具体</w:t>
            </w:r>
            <w:r>
              <w:rPr>
                <w:rFonts w:hint="eastAsia" w:cs="Courier New"/>
                <w:color w:val="auto"/>
              </w:rPr>
              <w:t>情况</w:t>
            </w:r>
          </w:p>
        </w:tc>
        <w:tc>
          <w:tcPr>
            <w:tcW w:w="1802" w:type="dxa"/>
            <w:vAlign w:val="center"/>
          </w:tcPr>
          <w:p>
            <w:pPr>
              <w:pStyle w:val="17"/>
              <w:snapToGrid w:val="0"/>
              <w:jc w:val="center"/>
              <w:rPr>
                <w:color w:val="auto"/>
              </w:rPr>
            </w:pPr>
            <w:r>
              <w:rPr>
                <w:rFonts w:hint="eastAsia" w:cs="Courier New"/>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36" w:type="dxa"/>
            <w:vAlign w:val="center"/>
          </w:tcPr>
          <w:p>
            <w:pPr>
              <w:pStyle w:val="17"/>
              <w:snapToGrid w:val="0"/>
              <w:jc w:val="center"/>
              <w:rPr>
                <w:color w:val="auto"/>
              </w:rPr>
            </w:pPr>
            <w:r>
              <w:rPr>
                <w:rFonts w:hint="eastAsia"/>
                <w:color w:val="auto"/>
              </w:rPr>
              <w:t>1</w:t>
            </w:r>
          </w:p>
        </w:tc>
        <w:tc>
          <w:tcPr>
            <w:tcW w:w="3772" w:type="dxa"/>
          </w:tcPr>
          <w:p>
            <w:pPr>
              <w:pStyle w:val="17"/>
              <w:snapToGrid w:val="0"/>
              <w:jc w:val="left"/>
              <w:rPr>
                <w:color w:val="auto"/>
              </w:rPr>
            </w:pPr>
          </w:p>
        </w:tc>
        <w:tc>
          <w:tcPr>
            <w:tcW w:w="2873" w:type="dxa"/>
            <w:vAlign w:val="center"/>
          </w:tcPr>
          <w:p>
            <w:pPr>
              <w:pStyle w:val="17"/>
              <w:snapToGrid w:val="0"/>
              <w:jc w:val="center"/>
              <w:rPr>
                <w:color w:val="auto"/>
              </w:rPr>
            </w:pPr>
          </w:p>
        </w:tc>
        <w:tc>
          <w:tcPr>
            <w:tcW w:w="1802" w:type="dxa"/>
            <w:vAlign w:val="center"/>
          </w:tcPr>
          <w:p>
            <w:pPr>
              <w:pStyle w:val="17"/>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36" w:type="dxa"/>
            <w:vAlign w:val="center"/>
          </w:tcPr>
          <w:p>
            <w:pPr>
              <w:pStyle w:val="17"/>
              <w:snapToGrid w:val="0"/>
              <w:jc w:val="center"/>
              <w:rPr>
                <w:color w:val="auto"/>
              </w:rPr>
            </w:pPr>
            <w:r>
              <w:rPr>
                <w:rFonts w:hint="eastAsia"/>
                <w:color w:val="auto"/>
              </w:rPr>
              <w:t>2</w:t>
            </w:r>
          </w:p>
        </w:tc>
        <w:tc>
          <w:tcPr>
            <w:tcW w:w="3772" w:type="dxa"/>
            <w:vAlign w:val="center"/>
          </w:tcPr>
          <w:p>
            <w:pPr>
              <w:pStyle w:val="17"/>
              <w:snapToGrid w:val="0"/>
              <w:jc w:val="left"/>
              <w:rPr>
                <w:color w:val="auto"/>
              </w:rPr>
            </w:pPr>
          </w:p>
        </w:tc>
        <w:tc>
          <w:tcPr>
            <w:tcW w:w="2873" w:type="dxa"/>
            <w:vAlign w:val="center"/>
          </w:tcPr>
          <w:p>
            <w:pPr>
              <w:pStyle w:val="17"/>
              <w:snapToGrid w:val="0"/>
              <w:jc w:val="center"/>
              <w:rPr>
                <w:color w:val="auto"/>
              </w:rPr>
            </w:pPr>
          </w:p>
        </w:tc>
        <w:tc>
          <w:tcPr>
            <w:tcW w:w="1802" w:type="dxa"/>
            <w:vAlign w:val="center"/>
          </w:tcPr>
          <w:p>
            <w:pPr>
              <w:pStyle w:val="17"/>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36" w:type="dxa"/>
            <w:vAlign w:val="center"/>
          </w:tcPr>
          <w:p>
            <w:pPr>
              <w:pStyle w:val="17"/>
              <w:snapToGrid w:val="0"/>
              <w:jc w:val="center"/>
              <w:rPr>
                <w:color w:val="auto"/>
              </w:rPr>
            </w:pPr>
            <w:r>
              <w:rPr>
                <w:rFonts w:hint="eastAsia"/>
                <w:color w:val="auto"/>
              </w:rPr>
              <w:t>3</w:t>
            </w:r>
          </w:p>
        </w:tc>
        <w:tc>
          <w:tcPr>
            <w:tcW w:w="3772" w:type="dxa"/>
            <w:vAlign w:val="center"/>
          </w:tcPr>
          <w:p>
            <w:pPr>
              <w:pStyle w:val="17"/>
              <w:snapToGrid w:val="0"/>
              <w:jc w:val="left"/>
              <w:rPr>
                <w:color w:val="auto"/>
              </w:rPr>
            </w:pPr>
          </w:p>
        </w:tc>
        <w:tc>
          <w:tcPr>
            <w:tcW w:w="2873" w:type="dxa"/>
            <w:vAlign w:val="center"/>
          </w:tcPr>
          <w:p>
            <w:pPr>
              <w:pStyle w:val="17"/>
              <w:snapToGrid w:val="0"/>
              <w:jc w:val="center"/>
              <w:rPr>
                <w:color w:val="auto"/>
              </w:rPr>
            </w:pPr>
          </w:p>
        </w:tc>
        <w:tc>
          <w:tcPr>
            <w:tcW w:w="1802" w:type="dxa"/>
            <w:vAlign w:val="center"/>
          </w:tcPr>
          <w:p>
            <w:pPr>
              <w:pStyle w:val="17"/>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36" w:type="dxa"/>
            <w:vAlign w:val="center"/>
          </w:tcPr>
          <w:p>
            <w:pPr>
              <w:pStyle w:val="17"/>
              <w:snapToGrid w:val="0"/>
              <w:jc w:val="center"/>
              <w:rPr>
                <w:color w:val="auto"/>
              </w:rPr>
            </w:pPr>
            <w:r>
              <w:rPr>
                <w:rFonts w:hint="eastAsia"/>
                <w:color w:val="auto"/>
              </w:rPr>
              <w:t>……</w:t>
            </w:r>
          </w:p>
        </w:tc>
        <w:tc>
          <w:tcPr>
            <w:tcW w:w="3772" w:type="dxa"/>
            <w:vAlign w:val="center"/>
          </w:tcPr>
          <w:p>
            <w:pPr>
              <w:pStyle w:val="17"/>
              <w:snapToGrid w:val="0"/>
              <w:jc w:val="left"/>
              <w:rPr>
                <w:color w:val="auto"/>
              </w:rPr>
            </w:pPr>
          </w:p>
        </w:tc>
        <w:tc>
          <w:tcPr>
            <w:tcW w:w="2873" w:type="dxa"/>
            <w:vAlign w:val="center"/>
          </w:tcPr>
          <w:p>
            <w:pPr>
              <w:pStyle w:val="17"/>
              <w:snapToGrid w:val="0"/>
              <w:jc w:val="center"/>
              <w:rPr>
                <w:color w:val="auto"/>
              </w:rPr>
            </w:pPr>
          </w:p>
        </w:tc>
        <w:tc>
          <w:tcPr>
            <w:tcW w:w="1802" w:type="dxa"/>
            <w:vAlign w:val="center"/>
          </w:tcPr>
          <w:p>
            <w:pPr>
              <w:pStyle w:val="17"/>
              <w:snapToGrid w:val="0"/>
              <w:jc w:val="center"/>
              <w:rPr>
                <w:color w:val="auto"/>
              </w:rPr>
            </w:pPr>
          </w:p>
        </w:tc>
      </w:tr>
    </w:tbl>
    <w:p>
      <w:pPr>
        <w:pStyle w:val="17"/>
        <w:spacing w:beforeLines="50" w:afterLines="50"/>
        <w:rPr>
          <w:rFonts w:hAnsi="宋体"/>
          <w:b/>
          <w:color w:val="auto"/>
          <w:sz w:val="24"/>
          <w:u w:val="single"/>
        </w:rPr>
      </w:pPr>
    </w:p>
    <w:p>
      <w:pPr>
        <w:pStyle w:val="17"/>
        <w:spacing w:line="600" w:lineRule="exact"/>
        <w:ind w:firstLine="3060"/>
        <w:rPr>
          <w:color w:val="auto"/>
          <w:u w:val="single"/>
        </w:rPr>
      </w:pPr>
      <w:r>
        <w:rPr>
          <w:rFonts w:hint="eastAsia"/>
          <w:color w:val="auto"/>
        </w:rPr>
        <w:t>服务商名称（加盖单位公章）：</w:t>
      </w:r>
    </w:p>
    <w:p>
      <w:pPr>
        <w:pStyle w:val="17"/>
        <w:spacing w:line="600" w:lineRule="exact"/>
        <w:ind w:firstLine="3060"/>
        <w:rPr>
          <w:color w:val="auto"/>
        </w:rPr>
      </w:pPr>
      <w:r>
        <w:rPr>
          <w:rFonts w:hint="eastAsia"/>
          <w:color w:val="auto"/>
        </w:rPr>
        <w:t>法定代表人或委托代理人签名：</w:t>
      </w:r>
    </w:p>
    <w:p>
      <w:pPr>
        <w:pStyle w:val="17"/>
        <w:spacing w:line="600" w:lineRule="exact"/>
        <w:ind w:firstLine="3060"/>
        <w:rPr>
          <w:color w:val="auto"/>
          <w:u w:val="single"/>
        </w:rPr>
      </w:pPr>
      <w:r>
        <w:rPr>
          <w:rFonts w:hint="eastAsia"/>
          <w:color w:val="auto"/>
        </w:rPr>
        <w:t>响应日期：</w:t>
      </w:r>
    </w:p>
    <w:p>
      <w:pPr>
        <w:spacing w:line="400" w:lineRule="exact"/>
        <w:ind w:firstLine="210" w:firstLineChars="100"/>
        <w:rPr>
          <w:color w:val="auto"/>
          <w:u w:val="single"/>
        </w:rPr>
      </w:pPr>
    </w:p>
    <w:p>
      <w:pPr>
        <w:spacing w:line="400" w:lineRule="exact"/>
        <w:ind w:firstLine="210" w:firstLineChars="100"/>
        <w:rPr>
          <w:color w:val="auto"/>
          <w:u w:val="single"/>
        </w:rPr>
      </w:pPr>
    </w:p>
    <w:p>
      <w:pPr>
        <w:spacing w:line="400" w:lineRule="exact"/>
        <w:ind w:firstLine="210" w:firstLineChars="100"/>
        <w:rPr>
          <w:color w:val="auto"/>
          <w:u w:val="single"/>
        </w:rPr>
      </w:pPr>
    </w:p>
    <w:p>
      <w:pPr>
        <w:spacing w:line="400" w:lineRule="exact"/>
        <w:ind w:firstLine="210" w:firstLineChars="100"/>
        <w:rPr>
          <w:color w:val="auto"/>
          <w:u w:val="single"/>
        </w:rPr>
      </w:pPr>
    </w:p>
    <w:p>
      <w:pPr>
        <w:spacing w:line="400" w:lineRule="exact"/>
        <w:ind w:firstLine="210" w:firstLineChars="100"/>
        <w:rPr>
          <w:color w:val="auto"/>
          <w:u w:val="single"/>
        </w:rPr>
      </w:pPr>
    </w:p>
    <w:p>
      <w:pPr>
        <w:spacing w:line="400" w:lineRule="exact"/>
        <w:rPr>
          <w:color w:val="auto"/>
          <w:u w:val="single"/>
        </w:rPr>
      </w:pPr>
      <w:r>
        <w:rPr>
          <w:rFonts w:hint="eastAsia"/>
          <w:b/>
          <w:bCs/>
          <w:color w:val="auto"/>
        </w:rPr>
        <w:t>说明：应根据投标服务内容及要求、对照招标文件要求在“偏离情况”栏注明“正偏离”、“负偏离”或“无偏离”。</w:t>
      </w:r>
    </w:p>
    <w:p>
      <w:pPr>
        <w:spacing w:line="400" w:lineRule="exact"/>
        <w:rPr>
          <w:color w:val="auto"/>
          <w:u w:val="single"/>
        </w:rPr>
      </w:pPr>
      <w:r>
        <w:rPr>
          <w:color w:val="auto"/>
        </w:rPr>
        <w:br w:type="page"/>
      </w:r>
    </w:p>
    <w:p>
      <w:pPr>
        <w:pStyle w:val="17"/>
        <w:spacing w:beforeLines="50" w:afterLines="50"/>
        <w:jc w:val="center"/>
        <w:rPr>
          <w:rFonts w:hAnsi="宋体"/>
          <w:b/>
          <w:color w:val="auto"/>
          <w:sz w:val="30"/>
          <w:szCs w:val="30"/>
        </w:rPr>
      </w:pPr>
      <w:r>
        <w:rPr>
          <w:rFonts w:hint="eastAsia" w:hAnsi="宋体"/>
          <w:b/>
          <w:color w:val="auto"/>
          <w:sz w:val="30"/>
          <w:szCs w:val="30"/>
        </w:rPr>
        <w:t>服务商资格证明文件</w:t>
      </w:r>
    </w:p>
    <w:p>
      <w:pPr>
        <w:pStyle w:val="17"/>
        <w:spacing w:line="410" w:lineRule="exact"/>
        <w:ind w:firstLine="420"/>
        <w:rPr>
          <w:rFonts w:hAnsi="宋体"/>
          <w:bCs/>
          <w:color w:val="auto"/>
        </w:rPr>
      </w:pPr>
      <w:r>
        <w:rPr>
          <w:rFonts w:hint="eastAsia"/>
          <w:bCs/>
          <w:color w:val="auto"/>
        </w:rPr>
        <w:t>(1)服务商有效的营业执照副本</w:t>
      </w:r>
      <w:r>
        <w:rPr>
          <w:rFonts w:hint="eastAsia" w:hAnsi="宋体" w:cs="宋体"/>
          <w:color w:val="auto"/>
          <w:szCs w:val="21"/>
        </w:rPr>
        <w:t>或有效的事业单位法人证书</w:t>
      </w:r>
      <w:r>
        <w:rPr>
          <w:rFonts w:hint="eastAsia" w:hAnsi="宋体" w:cs="宋体"/>
          <w:color w:val="auto"/>
          <w:spacing w:val="-5"/>
        </w:rPr>
        <w:t>等主体资格证明副本复印件</w:t>
      </w:r>
      <w:r>
        <w:rPr>
          <w:rFonts w:hint="eastAsia" w:hAnsi="宋体"/>
          <w:bCs/>
          <w:color w:val="auto"/>
        </w:rPr>
        <w:t>（复印件</w:t>
      </w:r>
      <w:r>
        <w:rPr>
          <w:rFonts w:hint="eastAsia"/>
          <w:bCs/>
          <w:color w:val="auto"/>
          <w:szCs w:val="21"/>
        </w:rPr>
        <w:t>，</w:t>
      </w:r>
      <w:r>
        <w:rPr>
          <w:rFonts w:hint="eastAsia" w:hAnsi="宋体"/>
          <w:color w:val="auto"/>
        </w:rPr>
        <w:t>必须提供，</w:t>
      </w:r>
      <w:r>
        <w:rPr>
          <w:rFonts w:hint="eastAsia"/>
          <w:bCs/>
          <w:color w:val="auto"/>
          <w:szCs w:val="21"/>
        </w:rPr>
        <w:t>清晰反映经营期限</w:t>
      </w:r>
      <w:r>
        <w:rPr>
          <w:rFonts w:hint="eastAsia" w:hAnsi="宋体"/>
          <w:bCs/>
          <w:color w:val="auto"/>
        </w:rPr>
        <w:t>和经营范围）；</w:t>
      </w:r>
    </w:p>
    <w:p>
      <w:pPr>
        <w:pStyle w:val="17"/>
        <w:spacing w:line="400" w:lineRule="exact"/>
        <w:ind w:left="105" w:leftChars="50" w:firstLine="315" w:firstLineChars="150"/>
        <w:rPr>
          <w:rFonts w:hAnsi="宋体"/>
          <w:bCs/>
          <w:color w:val="auto"/>
          <w:szCs w:val="21"/>
        </w:rPr>
      </w:pPr>
      <w:r>
        <w:rPr>
          <w:rFonts w:hint="eastAsia"/>
          <w:bCs/>
          <w:color w:val="auto"/>
        </w:rPr>
        <w:t>(2)</w:t>
      </w:r>
      <w:r>
        <w:rPr>
          <w:rFonts w:hint="eastAsia" w:hAnsi="宋体"/>
          <w:bCs/>
          <w:color w:val="auto"/>
          <w:szCs w:val="21"/>
        </w:rPr>
        <w:t>投标人资格要求提供的相关资质证书等证明材料复印件</w:t>
      </w:r>
      <w:r>
        <w:rPr>
          <w:rFonts w:hint="eastAsia" w:hAnsi="宋体"/>
          <w:bCs/>
          <w:color w:val="auto"/>
        </w:rPr>
        <w:t>（复印件</w:t>
      </w:r>
      <w:r>
        <w:rPr>
          <w:rFonts w:hint="eastAsia"/>
          <w:bCs/>
          <w:color w:val="auto"/>
          <w:szCs w:val="21"/>
        </w:rPr>
        <w:t>，</w:t>
      </w:r>
      <w:r>
        <w:rPr>
          <w:rFonts w:hint="eastAsia" w:hAnsi="宋体"/>
          <w:color w:val="auto"/>
        </w:rPr>
        <w:t>必须提供）；</w:t>
      </w:r>
    </w:p>
    <w:p>
      <w:pPr>
        <w:pStyle w:val="17"/>
        <w:spacing w:line="400" w:lineRule="exact"/>
        <w:ind w:firstLine="420"/>
        <w:rPr>
          <w:rFonts w:hAnsi="宋体"/>
          <w:bCs/>
          <w:color w:val="auto"/>
        </w:rPr>
      </w:pPr>
      <w:r>
        <w:rPr>
          <w:rFonts w:hint="eastAsia"/>
          <w:bCs/>
          <w:color w:val="auto"/>
        </w:rPr>
        <w:t>(3)法定代表人身份证明书（原件）、法定代表人身份证</w:t>
      </w:r>
      <w:r>
        <w:rPr>
          <w:rFonts w:hint="eastAsia" w:hAnsi="宋体"/>
          <w:bCs/>
          <w:color w:val="auto"/>
        </w:rPr>
        <w:t>(正、背面复印件，</w:t>
      </w:r>
      <w:r>
        <w:rPr>
          <w:rFonts w:hint="eastAsia" w:hAnsi="宋体"/>
          <w:color w:val="auto"/>
        </w:rPr>
        <w:t>必须提供</w:t>
      </w:r>
      <w:r>
        <w:rPr>
          <w:rFonts w:hint="eastAsia" w:hAnsi="宋体"/>
          <w:bCs/>
          <w:color w:val="auto"/>
        </w:rPr>
        <w:t>）；</w:t>
      </w:r>
    </w:p>
    <w:p>
      <w:pPr>
        <w:pStyle w:val="17"/>
        <w:spacing w:line="400" w:lineRule="exact"/>
        <w:ind w:firstLine="420"/>
        <w:rPr>
          <w:rFonts w:hAnsi="宋体"/>
          <w:bCs/>
          <w:color w:val="auto"/>
          <w:szCs w:val="21"/>
        </w:rPr>
      </w:pPr>
      <w:r>
        <w:rPr>
          <w:rFonts w:hint="eastAsia"/>
          <w:bCs/>
          <w:color w:val="auto"/>
        </w:rPr>
        <w:t>(4)法定代表人授权委托书（原件）、委托代理人身份证（正、背面</w:t>
      </w:r>
      <w:r>
        <w:rPr>
          <w:rFonts w:hint="eastAsia" w:hAnsi="宋体"/>
          <w:bCs/>
          <w:color w:val="auto"/>
          <w:szCs w:val="21"/>
        </w:rPr>
        <w:t>复印件</w:t>
      </w:r>
      <w:r>
        <w:rPr>
          <w:rFonts w:hint="eastAsia" w:hAnsi="宋体"/>
          <w:bCs/>
          <w:color w:val="auto"/>
          <w:spacing w:val="-2"/>
          <w:szCs w:val="21"/>
        </w:rPr>
        <w:t>）</w:t>
      </w:r>
      <w:r>
        <w:rPr>
          <w:rFonts w:hint="eastAsia" w:hAnsi="宋体"/>
          <w:bCs/>
          <w:color w:val="auto"/>
          <w:szCs w:val="21"/>
        </w:rPr>
        <w:t>[</w:t>
      </w:r>
      <w:r>
        <w:rPr>
          <w:rFonts w:hint="eastAsia"/>
          <w:bCs/>
          <w:color w:val="auto"/>
        </w:rPr>
        <w:t>委托代理人参加磋商时则必须提供</w:t>
      </w:r>
      <w:r>
        <w:rPr>
          <w:rFonts w:hint="eastAsia" w:hAnsi="宋体"/>
          <w:bCs/>
          <w:color w:val="auto"/>
          <w:szCs w:val="21"/>
        </w:rPr>
        <w:t>]；</w:t>
      </w:r>
    </w:p>
    <w:p>
      <w:pPr>
        <w:pStyle w:val="17"/>
        <w:spacing w:line="400" w:lineRule="exact"/>
        <w:ind w:firstLine="420"/>
        <w:rPr>
          <w:rFonts w:hAnsi="宋体"/>
          <w:bCs/>
          <w:color w:val="auto"/>
        </w:rPr>
      </w:pPr>
      <w:r>
        <w:rPr>
          <w:rFonts w:hint="eastAsia" w:hAnsi="宋体"/>
          <w:bCs/>
          <w:color w:val="auto"/>
        </w:rPr>
        <w:t>(5)磋商保证金缴纳凭证（复印件，</w:t>
      </w:r>
      <w:r>
        <w:rPr>
          <w:rFonts w:hint="eastAsia" w:hAnsi="宋体"/>
          <w:color w:val="auto"/>
        </w:rPr>
        <w:t>必须提供</w:t>
      </w:r>
      <w:r>
        <w:rPr>
          <w:rFonts w:hint="eastAsia" w:hAnsi="宋体"/>
          <w:bCs/>
          <w:color w:val="auto"/>
        </w:rPr>
        <w:t>）；</w:t>
      </w:r>
    </w:p>
    <w:p>
      <w:pPr>
        <w:pStyle w:val="17"/>
        <w:spacing w:line="400" w:lineRule="exact"/>
        <w:ind w:firstLine="315" w:firstLineChars="150"/>
        <w:rPr>
          <w:rFonts w:hAnsi="宋体"/>
          <w:bCs/>
          <w:color w:val="auto"/>
        </w:rPr>
      </w:pPr>
      <w:r>
        <w:rPr>
          <w:rFonts w:hint="eastAsia" w:hAnsi="宋体"/>
          <w:bCs/>
          <w:color w:val="auto"/>
        </w:rPr>
        <w:t>（6）本项目服务承诺书（</w:t>
      </w:r>
      <w:r>
        <w:rPr>
          <w:rFonts w:hint="eastAsia" w:hAnsi="宋体"/>
          <w:color w:val="auto"/>
        </w:rPr>
        <w:t>必须提供，</w:t>
      </w:r>
      <w:r>
        <w:rPr>
          <w:rFonts w:hint="eastAsia" w:hAnsi="宋体"/>
          <w:bCs/>
          <w:color w:val="auto"/>
        </w:rPr>
        <w:t>由服务商自行编写）；</w:t>
      </w:r>
    </w:p>
    <w:p>
      <w:pPr>
        <w:pStyle w:val="17"/>
        <w:spacing w:line="400" w:lineRule="exact"/>
        <w:ind w:firstLine="315" w:firstLineChars="150"/>
        <w:rPr>
          <w:rFonts w:hAnsi="宋体"/>
          <w:bCs/>
          <w:color w:val="auto"/>
        </w:rPr>
      </w:pPr>
      <w:r>
        <w:rPr>
          <w:rFonts w:hint="eastAsia" w:hAnsi="宋体"/>
          <w:bCs/>
          <w:color w:val="auto"/>
        </w:rPr>
        <w:t>（7）本项目服务</w:t>
      </w:r>
      <w:r>
        <w:rPr>
          <w:rFonts w:hint="eastAsia" w:hAnsi="宋体"/>
          <w:color w:val="auto"/>
          <w:szCs w:val="21"/>
        </w:rPr>
        <w:t>项目实施方案</w:t>
      </w:r>
      <w:r>
        <w:rPr>
          <w:rFonts w:hint="eastAsia" w:hAnsi="宋体"/>
          <w:bCs/>
          <w:color w:val="auto"/>
        </w:rPr>
        <w:t>（</w:t>
      </w:r>
      <w:r>
        <w:rPr>
          <w:rFonts w:hint="eastAsia" w:hAnsi="宋体"/>
          <w:color w:val="auto"/>
        </w:rPr>
        <w:t>必须提供，</w:t>
      </w:r>
      <w:r>
        <w:rPr>
          <w:rFonts w:hint="eastAsia" w:hAnsi="宋体"/>
          <w:bCs/>
          <w:color w:val="auto"/>
        </w:rPr>
        <w:t>由服务商自行编写）；</w:t>
      </w:r>
    </w:p>
    <w:p>
      <w:pPr>
        <w:spacing w:line="360" w:lineRule="auto"/>
        <w:ind w:firstLine="315" w:firstLineChars="150"/>
        <w:rPr>
          <w:color w:val="auto"/>
        </w:rPr>
      </w:pPr>
      <w:r>
        <w:rPr>
          <w:rFonts w:hint="eastAsia" w:hAnsi="宋体"/>
          <w:bCs/>
          <w:color w:val="auto"/>
        </w:rPr>
        <w:t>（8）服务商拟投入本项目的服务人员方案（必须提供，由服务商自行编写）</w:t>
      </w:r>
      <w:r>
        <w:rPr>
          <w:rFonts w:hint="eastAsia"/>
          <w:color w:val="auto"/>
        </w:rPr>
        <w:t>；</w:t>
      </w:r>
    </w:p>
    <w:p>
      <w:pPr>
        <w:pStyle w:val="17"/>
        <w:spacing w:line="400" w:lineRule="exact"/>
        <w:ind w:firstLine="420" w:firstLineChars="200"/>
        <w:rPr>
          <w:rFonts w:hAnsi="宋体"/>
          <w:color w:val="auto"/>
        </w:rPr>
      </w:pPr>
      <w:r>
        <w:rPr>
          <w:rFonts w:hint="eastAsia"/>
          <w:bCs/>
          <w:color w:val="auto"/>
        </w:rPr>
        <w:t>(9</w:t>
      </w:r>
      <w:r>
        <w:rPr>
          <w:rFonts w:hint="eastAsia" w:hAnsi="宋体"/>
          <w:bCs/>
          <w:color w:val="auto"/>
        </w:rPr>
        <w:t>)</w:t>
      </w:r>
      <w:r>
        <w:rPr>
          <w:rFonts w:hint="eastAsia" w:ascii="ˎ̥" w:hAnsi="ˎ̥" w:cs="宋体"/>
          <w:color w:val="auto"/>
          <w:kern w:val="0"/>
          <w:szCs w:val="21"/>
        </w:rPr>
        <w:t>参加政府采购活动前3年内在经营活动中没有重大违法记录的书面声明；</w:t>
      </w:r>
      <w:r>
        <w:rPr>
          <w:rFonts w:hint="eastAsia" w:hAnsi="宋体"/>
          <w:bCs/>
          <w:color w:val="auto"/>
        </w:rPr>
        <w:t>（</w:t>
      </w:r>
      <w:r>
        <w:rPr>
          <w:rFonts w:hint="eastAsia" w:hAnsi="宋体"/>
          <w:color w:val="auto"/>
        </w:rPr>
        <w:t>必须提供，原件放在响应文件正本，复印件放在响应文件副本。）</w:t>
      </w:r>
    </w:p>
    <w:p>
      <w:pPr>
        <w:pStyle w:val="17"/>
        <w:spacing w:line="400" w:lineRule="exact"/>
        <w:ind w:firstLine="420" w:firstLineChars="200"/>
        <w:rPr>
          <w:rFonts w:hAnsi="宋体"/>
          <w:b/>
          <w:color w:val="auto"/>
          <w:szCs w:val="21"/>
        </w:rPr>
      </w:pPr>
      <w:r>
        <w:rPr>
          <w:rFonts w:hint="eastAsia" w:hAnsi="宋体"/>
          <w:color w:val="auto"/>
        </w:rPr>
        <w:t>（10）2019年财务报告复印件或银行出具的资信证明复印件</w:t>
      </w:r>
      <w:r>
        <w:rPr>
          <w:rFonts w:hint="eastAsia" w:hAnsi="宋体"/>
          <w:bCs/>
          <w:color w:val="auto"/>
        </w:rPr>
        <w:t>（复印件，</w:t>
      </w:r>
      <w:r>
        <w:rPr>
          <w:rFonts w:hint="eastAsia" w:hAnsi="宋体"/>
          <w:color w:val="auto"/>
        </w:rPr>
        <w:t>必须提供</w:t>
      </w:r>
      <w:r>
        <w:rPr>
          <w:rFonts w:hint="eastAsia" w:hAnsi="宋体"/>
          <w:bCs/>
          <w:color w:val="auto"/>
        </w:rPr>
        <w:t>）。</w:t>
      </w:r>
      <w:r>
        <w:rPr>
          <w:rFonts w:hint="eastAsia" w:hAnsi="宋体"/>
          <w:b/>
          <w:color w:val="auto"/>
          <w:szCs w:val="21"/>
        </w:rPr>
        <w:t>新成立的按实际情况提供月度财务报表或银行出具的资信证明复印件。</w:t>
      </w:r>
    </w:p>
    <w:p>
      <w:pPr>
        <w:pStyle w:val="17"/>
        <w:spacing w:line="400" w:lineRule="exact"/>
        <w:ind w:firstLine="420" w:firstLineChars="200"/>
        <w:rPr>
          <w:rFonts w:hAnsi="宋体"/>
          <w:bCs/>
          <w:color w:val="auto"/>
        </w:rPr>
      </w:pPr>
      <w:r>
        <w:rPr>
          <w:rFonts w:hint="eastAsia" w:hAnsi="宋体"/>
          <w:bCs/>
          <w:color w:val="auto"/>
        </w:rPr>
        <w:t>（11）磋商截止时间前半年内</w:t>
      </w:r>
      <w:r>
        <w:rPr>
          <w:rFonts w:hint="eastAsia" w:hAnsi="宋体"/>
          <w:color w:val="auto"/>
          <w:szCs w:val="21"/>
        </w:rPr>
        <w:t>任意三个月</w:t>
      </w:r>
      <w:r>
        <w:rPr>
          <w:rFonts w:hint="eastAsia" w:hAnsi="宋体"/>
          <w:bCs/>
          <w:color w:val="auto"/>
        </w:rPr>
        <w:t>依法缴纳社会保障资金的凭证复印件（如社保部门开具的 证明、收款收据等，或银行缴款凭证、回单等，如为非社保部门开具的凭证或回单的应清晰反映：缴款单位名称、社保单位名称、保险名称、缴款金额等内容）。无缴费记录的，应提供竞标人所在地社保部门出具的《依法缴纳或依法免缴社保费证明》（复印件，格式自拟）。</w:t>
      </w:r>
      <w:r>
        <w:rPr>
          <w:rFonts w:hint="eastAsia" w:hAnsi="宋体"/>
          <w:b/>
          <w:color w:val="auto"/>
          <w:szCs w:val="21"/>
        </w:rPr>
        <w:t>新成立不足三个月的投标人按实际提供。</w:t>
      </w:r>
    </w:p>
    <w:p>
      <w:pPr>
        <w:pStyle w:val="17"/>
        <w:spacing w:line="400" w:lineRule="exact"/>
        <w:ind w:firstLine="315" w:firstLineChars="150"/>
        <w:rPr>
          <w:rFonts w:hAnsi="宋体"/>
          <w:bCs/>
          <w:color w:val="auto"/>
        </w:rPr>
      </w:pPr>
      <w:r>
        <w:rPr>
          <w:rFonts w:hint="eastAsia" w:hAnsi="宋体"/>
          <w:bCs/>
          <w:color w:val="auto"/>
        </w:rPr>
        <w:t>（12）磋商截止时间前半年内任意三个月依法缴纳税收（国税或地税）的凭证复印件（如税务机关开具的完税证、银行缴税付款凭证或缴款回单等，如为非税务机关开具的凭证或回单的，应清晰反映：付款人名称、账号，征收机关名称，缴款金额，税种名称，所属时期 等内容）。无纳税记录的，应提供竞标人所在地税务部门出具的《依法纳税或依法免税证明》（复印件，格式自拟），《依法纳税或依法免税证明》原件一年内保持有效。</w:t>
      </w:r>
      <w:r>
        <w:rPr>
          <w:rFonts w:hint="eastAsia" w:hAnsi="宋体"/>
          <w:b/>
          <w:color w:val="auto"/>
          <w:szCs w:val="21"/>
        </w:rPr>
        <w:t>新成立不足三个月的投标人按实际提供。</w:t>
      </w:r>
    </w:p>
    <w:p>
      <w:pPr>
        <w:pStyle w:val="17"/>
        <w:spacing w:line="400" w:lineRule="exact"/>
        <w:ind w:firstLine="315" w:firstLineChars="150"/>
        <w:rPr>
          <w:rFonts w:hAnsi="宋体"/>
          <w:bCs/>
          <w:color w:val="auto"/>
        </w:rPr>
      </w:pPr>
      <w:r>
        <w:rPr>
          <w:rFonts w:hint="eastAsia" w:hAnsi="宋体"/>
          <w:bCs/>
          <w:color w:val="auto"/>
        </w:rPr>
        <w:t>（13）诚信声明原件：按第五章“竞标文件格式”提供的“诚信声明（格式）”的要求填写。</w:t>
      </w:r>
    </w:p>
    <w:p>
      <w:pPr>
        <w:pStyle w:val="17"/>
        <w:spacing w:line="200" w:lineRule="exact"/>
        <w:rPr>
          <w:color w:val="auto"/>
          <w:u w:val="single"/>
        </w:rPr>
      </w:pPr>
    </w:p>
    <w:p>
      <w:pPr>
        <w:pStyle w:val="17"/>
        <w:spacing w:line="200" w:lineRule="exact"/>
        <w:rPr>
          <w:color w:val="auto"/>
          <w:u w:val="single"/>
        </w:rPr>
      </w:pPr>
    </w:p>
    <w:p>
      <w:pPr>
        <w:pStyle w:val="17"/>
        <w:spacing w:line="200" w:lineRule="exact"/>
        <w:rPr>
          <w:color w:val="auto"/>
          <w:u w:val="single"/>
        </w:rPr>
      </w:pPr>
    </w:p>
    <w:p>
      <w:pPr>
        <w:pStyle w:val="17"/>
        <w:spacing w:line="200" w:lineRule="exact"/>
        <w:rPr>
          <w:color w:val="auto"/>
          <w:u w:val="single"/>
        </w:rPr>
      </w:pPr>
    </w:p>
    <w:p>
      <w:pPr>
        <w:pStyle w:val="17"/>
        <w:spacing w:line="200" w:lineRule="exact"/>
        <w:rPr>
          <w:color w:val="auto"/>
          <w:u w:val="single"/>
        </w:rPr>
      </w:pPr>
    </w:p>
    <w:p>
      <w:pPr>
        <w:pStyle w:val="17"/>
        <w:spacing w:line="200" w:lineRule="exact"/>
        <w:rPr>
          <w:color w:val="auto"/>
          <w:u w:val="single"/>
        </w:rPr>
      </w:pPr>
    </w:p>
    <w:p>
      <w:pPr>
        <w:pStyle w:val="17"/>
        <w:spacing w:line="200" w:lineRule="exact"/>
        <w:rPr>
          <w:color w:val="auto"/>
          <w:u w:val="single"/>
        </w:rPr>
      </w:pPr>
    </w:p>
    <w:p>
      <w:pPr>
        <w:pStyle w:val="17"/>
        <w:spacing w:line="200" w:lineRule="exact"/>
        <w:rPr>
          <w:color w:val="auto"/>
          <w:u w:val="single"/>
        </w:rPr>
      </w:pPr>
    </w:p>
    <w:p>
      <w:pPr>
        <w:pStyle w:val="17"/>
        <w:spacing w:line="200" w:lineRule="exact"/>
        <w:rPr>
          <w:color w:val="auto"/>
          <w:u w:val="single"/>
        </w:rPr>
      </w:pPr>
    </w:p>
    <w:p>
      <w:pPr>
        <w:pStyle w:val="17"/>
        <w:spacing w:line="200" w:lineRule="exact"/>
        <w:rPr>
          <w:color w:val="auto"/>
          <w:u w:val="single"/>
        </w:rPr>
      </w:pPr>
    </w:p>
    <w:p>
      <w:pPr>
        <w:pStyle w:val="17"/>
        <w:spacing w:line="200" w:lineRule="exact"/>
        <w:rPr>
          <w:color w:val="auto"/>
          <w:u w:val="single"/>
        </w:rPr>
      </w:pPr>
    </w:p>
    <w:p>
      <w:pPr>
        <w:spacing w:beforeLines="100" w:afterLines="50"/>
        <w:rPr>
          <w:b/>
          <w:color w:val="auto"/>
          <w:sz w:val="30"/>
          <w:szCs w:val="30"/>
        </w:rPr>
      </w:pPr>
    </w:p>
    <w:p>
      <w:pPr>
        <w:spacing w:beforeLines="100" w:afterLines="50"/>
        <w:jc w:val="center"/>
        <w:rPr>
          <w:b/>
          <w:color w:val="auto"/>
          <w:sz w:val="30"/>
          <w:szCs w:val="30"/>
        </w:rPr>
      </w:pPr>
    </w:p>
    <w:p>
      <w:pPr>
        <w:spacing w:beforeLines="100" w:afterLines="50"/>
        <w:jc w:val="center"/>
        <w:rPr>
          <w:b/>
          <w:color w:val="auto"/>
          <w:sz w:val="30"/>
          <w:szCs w:val="30"/>
        </w:rPr>
      </w:pPr>
      <w:r>
        <w:rPr>
          <w:b/>
          <w:color w:val="auto"/>
          <w:sz w:val="30"/>
          <w:szCs w:val="30"/>
        </w:rPr>
        <w:t>法定代表人身份证明书格式</w:t>
      </w:r>
    </w:p>
    <w:p>
      <w:pPr>
        <w:spacing w:beforeLines="100" w:afterLines="50"/>
        <w:jc w:val="center"/>
        <w:rPr>
          <w:b/>
          <w:color w:val="auto"/>
          <w:sz w:val="30"/>
          <w:szCs w:val="30"/>
        </w:rPr>
      </w:pPr>
    </w:p>
    <w:p>
      <w:pPr>
        <w:spacing w:line="600" w:lineRule="exact"/>
        <w:ind w:firstLine="820" w:firstLineChars="342"/>
        <w:rPr>
          <w:color w:val="auto"/>
          <w:sz w:val="24"/>
        </w:rPr>
      </w:pPr>
      <w:r>
        <w:rPr>
          <w:rFonts w:hint="eastAsia"/>
          <w:color w:val="auto"/>
          <w:sz w:val="24"/>
          <w:lang w:eastAsia="zh-CN"/>
        </w:rPr>
        <w:t>服务商</w:t>
      </w:r>
      <w:r>
        <w:rPr>
          <w:color w:val="auto"/>
          <w:sz w:val="24"/>
        </w:rPr>
        <w:t>：</w:t>
      </w:r>
      <w:r>
        <w:rPr>
          <w:color w:val="auto"/>
          <w:sz w:val="24"/>
          <w:u w:val="single"/>
        </w:rPr>
        <w:t xml:space="preserve">                                                     </w:t>
      </w:r>
    </w:p>
    <w:p>
      <w:pPr>
        <w:spacing w:line="600" w:lineRule="exact"/>
        <w:ind w:firstLine="820" w:firstLineChars="342"/>
        <w:rPr>
          <w:color w:val="auto"/>
          <w:sz w:val="24"/>
        </w:rPr>
      </w:pPr>
      <w:r>
        <w:rPr>
          <w:color w:val="auto"/>
          <w:sz w:val="24"/>
        </w:rPr>
        <w:t>单位性质：</w:t>
      </w:r>
      <w:r>
        <w:rPr>
          <w:color w:val="auto"/>
          <w:sz w:val="24"/>
          <w:u w:val="single"/>
        </w:rPr>
        <w:t xml:space="preserve">                                                     </w:t>
      </w:r>
    </w:p>
    <w:p>
      <w:pPr>
        <w:spacing w:line="600" w:lineRule="exact"/>
        <w:ind w:firstLine="820" w:firstLineChars="342"/>
        <w:rPr>
          <w:color w:val="auto"/>
          <w:sz w:val="24"/>
        </w:rPr>
      </w:pPr>
      <w:r>
        <w:rPr>
          <w:color w:val="auto"/>
          <w:sz w:val="24"/>
        </w:rPr>
        <w:t>地    址：</w:t>
      </w:r>
      <w:r>
        <w:rPr>
          <w:color w:val="auto"/>
          <w:sz w:val="24"/>
          <w:u w:val="single"/>
        </w:rPr>
        <w:t xml:space="preserve">                                                     </w:t>
      </w:r>
    </w:p>
    <w:p>
      <w:pPr>
        <w:spacing w:line="600" w:lineRule="exact"/>
        <w:ind w:firstLine="820" w:firstLineChars="342"/>
        <w:rPr>
          <w:color w:val="auto"/>
          <w:sz w:val="24"/>
        </w:rPr>
      </w:pPr>
      <w:r>
        <w:rPr>
          <w:color w:val="auto"/>
          <w:sz w:val="24"/>
        </w:rPr>
        <w:t>成立时间：</w:t>
      </w: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日</w:t>
      </w:r>
    </w:p>
    <w:p>
      <w:pPr>
        <w:spacing w:line="600" w:lineRule="exact"/>
        <w:ind w:firstLine="820" w:firstLineChars="342"/>
        <w:rPr>
          <w:color w:val="auto"/>
          <w:sz w:val="24"/>
        </w:rPr>
      </w:pPr>
      <w:r>
        <w:rPr>
          <w:color w:val="auto"/>
          <w:sz w:val="24"/>
        </w:rPr>
        <w:t>经营期限：</w:t>
      </w:r>
      <w:r>
        <w:rPr>
          <w:color w:val="auto"/>
          <w:sz w:val="24"/>
          <w:u w:val="single"/>
        </w:rPr>
        <w:t xml:space="preserve">                                                     </w:t>
      </w:r>
    </w:p>
    <w:p>
      <w:pPr>
        <w:spacing w:line="600" w:lineRule="exact"/>
        <w:ind w:firstLine="820" w:firstLineChars="342"/>
        <w:rPr>
          <w:color w:val="auto"/>
          <w:sz w:val="24"/>
        </w:rPr>
      </w:pPr>
      <w:r>
        <w:rPr>
          <w:color w:val="auto"/>
          <w:sz w:val="24"/>
        </w:rPr>
        <w:t>姓    名：</w:t>
      </w:r>
      <w:r>
        <w:rPr>
          <w:color w:val="auto"/>
          <w:sz w:val="24"/>
          <w:u w:val="single"/>
        </w:rPr>
        <w:t xml:space="preserve">                       </w:t>
      </w:r>
      <w:r>
        <w:rPr>
          <w:color w:val="auto"/>
          <w:sz w:val="24"/>
        </w:rPr>
        <w:t xml:space="preserve">   性     别：</w:t>
      </w:r>
      <w:r>
        <w:rPr>
          <w:color w:val="auto"/>
          <w:sz w:val="24"/>
          <w:u w:val="single"/>
        </w:rPr>
        <w:t xml:space="preserve">                </w:t>
      </w:r>
    </w:p>
    <w:p>
      <w:pPr>
        <w:spacing w:line="600" w:lineRule="exact"/>
        <w:ind w:firstLine="820" w:firstLineChars="342"/>
        <w:rPr>
          <w:color w:val="auto"/>
          <w:sz w:val="24"/>
        </w:rPr>
      </w:pPr>
      <w:r>
        <w:rPr>
          <w:color w:val="auto"/>
          <w:sz w:val="24"/>
        </w:rPr>
        <w:t>年    龄：</w:t>
      </w:r>
      <w:r>
        <w:rPr>
          <w:color w:val="auto"/>
          <w:sz w:val="24"/>
          <w:u w:val="single"/>
        </w:rPr>
        <w:t xml:space="preserve">                       </w:t>
      </w:r>
      <w:r>
        <w:rPr>
          <w:color w:val="auto"/>
          <w:sz w:val="24"/>
        </w:rPr>
        <w:t xml:space="preserve">   职     务：</w:t>
      </w:r>
      <w:r>
        <w:rPr>
          <w:color w:val="auto"/>
          <w:sz w:val="24"/>
          <w:u w:val="single"/>
        </w:rPr>
        <w:t xml:space="preserve">                </w:t>
      </w:r>
    </w:p>
    <w:p>
      <w:pPr>
        <w:spacing w:line="600" w:lineRule="exact"/>
        <w:ind w:firstLine="820" w:firstLineChars="342"/>
        <w:rPr>
          <w:color w:val="auto"/>
          <w:sz w:val="24"/>
        </w:rPr>
      </w:pPr>
      <w:r>
        <w:rPr>
          <w:color w:val="auto"/>
          <w:sz w:val="24"/>
        </w:rPr>
        <w:t>系</w:t>
      </w:r>
      <w:r>
        <w:rPr>
          <w:color w:val="auto"/>
          <w:sz w:val="24"/>
          <w:u w:val="single"/>
        </w:rPr>
        <w:t xml:space="preserve">                                          </w:t>
      </w:r>
      <w:r>
        <w:rPr>
          <w:color w:val="auto"/>
          <w:sz w:val="24"/>
        </w:rPr>
        <w:t>（</w:t>
      </w:r>
      <w:r>
        <w:rPr>
          <w:rFonts w:hint="eastAsia"/>
          <w:color w:val="auto"/>
          <w:sz w:val="24"/>
          <w:lang w:eastAsia="zh-CN"/>
        </w:rPr>
        <w:t>服务商</w:t>
      </w:r>
      <w:r>
        <w:rPr>
          <w:color w:val="auto"/>
          <w:sz w:val="24"/>
        </w:rPr>
        <w:t>名称）的</w:t>
      </w:r>
      <w:r>
        <w:rPr>
          <w:rFonts w:hint="eastAsia"/>
          <w:color w:val="auto"/>
          <w:sz w:val="24"/>
        </w:rPr>
        <w:t>法定代表人</w:t>
      </w:r>
      <w:r>
        <w:rPr>
          <w:color w:val="auto"/>
          <w:sz w:val="24"/>
        </w:rPr>
        <w:t>。</w:t>
      </w:r>
    </w:p>
    <w:p>
      <w:pPr>
        <w:spacing w:line="500" w:lineRule="exact"/>
        <w:ind w:firstLine="820" w:firstLineChars="342"/>
        <w:rPr>
          <w:color w:val="auto"/>
          <w:sz w:val="24"/>
        </w:rPr>
      </w:pPr>
    </w:p>
    <w:p>
      <w:pPr>
        <w:spacing w:line="500" w:lineRule="exact"/>
        <w:ind w:firstLine="820" w:firstLineChars="342"/>
        <w:rPr>
          <w:color w:val="auto"/>
          <w:sz w:val="24"/>
        </w:rPr>
      </w:pPr>
      <w:r>
        <w:rPr>
          <w:color w:val="auto"/>
          <w:sz w:val="24"/>
        </w:rPr>
        <w:t>特此证明</w:t>
      </w:r>
    </w:p>
    <w:p>
      <w:pPr>
        <w:spacing w:line="500" w:lineRule="exact"/>
        <w:rPr>
          <w:color w:val="auto"/>
          <w:sz w:val="24"/>
        </w:rPr>
      </w:pPr>
    </w:p>
    <w:p>
      <w:pPr>
        <w:spacing w:line="500" w:lineRule="exact"/>
        <w:rPr>
          <w:color w:val="auto"/>
          <w:sz w:val="24"/>
        </w:rPr>
      </w:pPr>
    </w:p>
    <w:p>
      <w:pPr>
        <w:spacing w:line="500" w:lineRule="exact"/>
        <w:rPr>
          <w:color w:val="auto"/>
          <w:sz w:val="24"/>
        </w:rPr>
      </w:pPr>
    </w:p>
    <w:p>
      <w:pPr>
        <w:wordWrap/>
        <w:spacing w:line="500" w:lineRule="exact"/>
        <w:ind w:right="420"/>
        <w:jc w:val="right"/>
        <w:rPr>
          <w:color w:val="auto"/>
          <w:sz w:val="24"/>
        </w:rPr>
      </w:pPr>
      <w:r>
        <w:rPr>
          <w:rFonts w:hint="eastAsia"/>
          <w:color w:val="auto"/>
          <w:sz w:val="24"/>
          <w:lang w:eastAsia="zh-CN"/>
        </w:rPr>
        <w:t>服务商</w:t>
      </w:r>
      <w:r>
        <w:rPr>
          <w:color w:val="auto"/>
          <w:sz w:val="24"/>
        </w:rPr>
        <w:t>：</w:t>
      </w:r>
      <w:r>
        <w:rPr>
          <w:color w:val="auto"/>
          <w:sz w:val="24"/>
          <w:u w:val="single"/>
        </w:rPr>
        <w:t xml:space="preserve">                      </w:t>
      </w:r>
      <w:r>
        <w:rPr>
          <w:color w:val="auto"/>
          <w:sz w:val="24"/>
        </w:rPr>
        <w:t>（盖单位章）</w:t>
      </w:r>
    </w:p>
    <w:p>
      <w:pPr>
        <w:spacing w:line="500" w:lineRule="exact"/>
        <w:ind w:right="420"/>
        <w:jc w:val="right"/>
        <w:rPr>
          <w:color w:val="auto"/>
          <w:sz w:val="24"/>
        </w:rPr>
      </w:pPr>
    </w:p>
    <w:p>
      <w:pPr>
        <w:jc w:val="center"/>
        <w:rPr>
          <w:b/>
          <w:color w:val="auto"/>
          <w:sz w:val="30"/>
          <w:szCs w:val="30"/>
        </w:rPr>
      </w:pPr>
      <w:r>
        <w:rPr>
          <w:rFonts w:hint="eastAsia"/>
          <w:color w:val="auto"/>
          <w:sz w:val="24"/>
          <w:u w:val="none"/>
          <w:lang w:val="en-US" w:eastAsia="zh-CN"/>
        </w:rPr>
        <w:t xml:space="preserve">                             </w:t>
      </w:r>
      <w:r>
        <w:rPr>
          <w:color w:val="auto"/>
          <w:sz w:val="24"/>
          <w:u w:val="none"/>
        </w:rPr>
        <w:t xml:space="preserve"> </w:t>
      </w: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日</w:t>
      </w:r>
    </w:p>
    <w:p>
      <w:pPr>
        <w:pStyle w:val="82"/>
        <w:rPr>
          <w:b/>
          <w:color w:val="auto"/>
          <w:sz w:val="30"/>
          <w:szCs w:val="30"/>
        </w:rPr>
      </w:pPr>
    </w:p>
    <w:p>
      <w:pPr>
        <w:spacing w:line="500" w:lineRule="exact"/>
        <w:ind w:firstLine="718" w:firstLineChars="342"/>
        <w:rPr>
          <w:color w:val="auto"/>
          <w:szCs w:val="21"/>
        </w:rPr>
      </w:pPr>
      <w:r>
        <w:rPr>
          <w:rFonts w:hint="eastAsia"/>
          <w:color w:val="auto"/>
          <w:szCs w:val="21"/>
        </w:rPr>
        <w:t>附：法定代表人身份证复印件</w:t>
      </w:r>
    </w:p>
    <w:p>
      <w:pPr>
        <w:spacing w:line="500" w:lineRule="exact"/>
        <w:ind w:firstLine="480" w:firstLineChars="200"/>
        <w:rPr>
          <w:rFonts w:ascii="宋体" w:hAnsi="宋体"/>
          <w:bCs/>
          <w:color w:val="auto"/>
          <w:sz w:val="24"/>
        </w:rPr>
      </w:pPr>
    </w:p>
    <w:p>
      <w:pPr>
        <w:pStyle w:val="17"/>
        <w:spacing w:line="200" w:lineRule="exact"/>
        <w:rPr>
          <w:color w:val="auto"/>
          <w:u w:val="single"/>
        </w:rPr>
      </w:pPr>
    </w:p>
    <w:p>
      <w:pPr>
        <w:spacing w:line="400" w:lineRule="exact"/>
        <w:jc w:val="center"/>
        <w:rPr>
          <w:b/>
          <w:color w:val="auto"/>
          <w:sz w:val="32"/>
          <w:szCs w:val="32"/>
        </w:rPr>
      </w:pPr>
    </w:p>
    <w:p>
      <w:pPr>
        <w:pStyle w:val="7"/>
        <w:rPr>
          <w:b/>
          <w:color w:val="auto"/>
          <w:sz w:val="32"/>
          <w:szCs w:val="32"/>
        </w:rPr>
      </w:pPr>
    </w:p>
    <w:p>
      <w:pPr>
        <w:rPr>
          <w:color w:val="auto"/>
        </w:rPr>
      </w:pPr>
    </w:p>
    <w:p>
      <w:pPr>
        <w:spacing w:line="400" w:lineRule="exact"/>
        <w:jc w:val="center"/>
        <w:rPr>
          <w:b/>
          <w:color w:val="auto"/>
          <w:sz w:val="32"/>
          <w:szCs w:val="32"/>
        </w:rPr>
      </w:pPr>
      <w:r>
        <w:rPr>
          <w:rFonts w:hint="eastAsia"/>
          <w:b/>
          <w:color w:val="auto"/>
          <w:sz w:val="32"/>
          <w:szCs w:val="32"/>
        </w:rPr>
        <w:t>法人授权委托书</w:t>
      </w:r>
      <w:r>
        <w:rPr>
          <w:rFonts w:hint="eastAsia"/>
          <w:b/>
          <w:color w:val="auto"/>
          <w:sz w:val="32"/>
        </w:rPr>
        <w:t>（格式）</w:t>
      </w:r>
    </w:p>
    <w:p>
      <w:pPr>
        <w:pStyle w:val="17"/>
        <w:spacing w:line="200" w:lineRule="exact"/>
        <w:rPr>
          <w:color w:val="auto"/>
        </w:rPr>
      </w:pPr>
    </w:p>
    <w:p>
      <w:pPr>
        <w:pStyle w:val="17"/>
        <w:spacing w:line="400" w:lineRule="exact"/>
        <w:ind w:firstLine="420"/>
        <w:rPr>
          <w:color w:val="auto"/>
        </w:rPr>
      </w:pPr>
      <w:r>
        <w:rPr>
          <w:rFonts w:hint="eastAsia"/>
          <w:color w:val="auto"/>
        </w:rPr>
        <w:t>本授权委托书声明：我</w:t>
      </w:r>
      <w:r>
        <w:rPr>
          <w:rFonts w:hint="eastAsia"/>
          <w:color w:val="auto"/>
          <w:lang w:val="en-US" w:eastAsia="zh-CN"/>
        </w:rPr>
        <w:t xml:space="preserve"> </w:t>
      </w:r>
      <w:r>
        <w:rPr>
          <w:rFonts w:hint="eastAsia"/>
          <w:color w:val="auto"/>
          <w:u w:val="single"/>
        </w:rPr>
        <w:t>（姓名）</w:t>
      </w:r>
      <w:r>
        <w:rPr>
          <w:rFonts w:hint="eastAsia"/>
          <w:color w:val="auto"/>
          <w:u w:val="single"/>
          <w:lang w:val="en-US" w:eastAsia="zh-CN"/>
        </w:rPr>
        <w:t xml:space="preserve">   </w:t>
      </w:r>
      <w:r>
        <w:rPr>
          <w:rFonts w:hint="eastAsia"/>
          <w:color w:val="auto"/>
        </w:rPr>
        <w:t>系</w:t>
      </w:r>
      <w:r>
        <w:rPr>
          <w:rFonts w:hint="eastAsia"/>
          <w:color w:val="auto"/>
          <w:u w:val="single"/>
        </w:rPr>
        <w:t>（竞标单位名称）</w:t>
      </w:r>
      <w:r>
        <w:rPr>
          <w:rFonts w:hint="eastAsia"/>
          <w:color w:val="auto"/>
          <w:u w:val="single"/>
          <w:lang w:val="en-US" w:eastAsia="zh-CN"/>
        </w:rPr>
        <w:t xml:space="preserve"> </w:t>
      </w:r>
      <w:r>
        <w:rPr>
          <w:rFonts w:hint="eastAsia"/>
          <w:color w:val="auto"/>
        </w:rPr>
        <w:t>的法定代表人，现授权委托</w:t>
      </w:r>
      <w:r>
        <w:rPr>
          <w:rFonts w:hint="eastAsia"/>
          <w:color w:val="auto"/>
          <w:u w:val="single"/>
        </w:rPr>
        <w:t>（单位名称）</w:t>
      </w:r>
      <w:r>
        <w:rPr>
          <w:rFonts w:hint="eastAsia"/>
          <w:color w:val="auto"/>
        </w:rPr>
        <w:t>的</w:t>
      </w:r>
      <w:r>
        <w:rPr>
          <w:rFonts w:hint="eastAsia"/>
          <w:color w:val="auto"/>
          <w:u w:val="single"/>
        </w:rPr>
        <w:t>（姓名）</w:t>
      </w:r>
      <w:r>
        <w:rPr>
          <w:rFonts w:hint="eastAsia"/>
          <w:color w:val="auto"/>
          <w:u w:val="single"/>
          <w:lang w:val="en-US" w:eastAsia="zh-CN"/>
        </w:rPr>
        <w:t xml:space="preserve">  </w:t>
      </w:r>
      <w:r>
        <w:rPr>
          <w:rFonts w:hint="eastAsia"/>
          <w:color w:val="auto"/>
        </w:rPr>
        <w:t>为我公司被授权人，以本公司的名义参加广西汇晟工程咨询有限公司组织实施的</w:t>
      </w:r>
      <w:r>
        <w:rPr>
          <w:rFonts w:hint="eastAsia"/>
          <w:color w:val="auto"/>
          <w:u w:val="single"/>
        </w:rPr>
        <w:t>（项目名称</w:t>
      </w:r>
      <w:r>
        <w:rPr>
          <w:rFonts w:hint="eastAsia"/>
          <w:color w:val="auto"/>
          <w:u w:val="single"/>
          <w:lang w:eastAsia="zh-CN"/>
        </w:rPr>
        <w:t>：</w:t>
      </w:r>
      <w:r>
        <w:rPr>
          <w:rFonts w:hint="eastAsia"/>
          <w:color w:val="auto"/>
          <w:u w:val="single"/>
          <w:lang w:val="en-US" w:eastAsia="zh-CN"/>
        </w:rPr>
        <w:t xml:space="preserve">         </w:t>
      </w:r>
      <w:r>
        <w:rPr>
          <w:rFonts w:hint="eastAsia"/>
          <w:color w:val="auto"/>
          <w:u w:val="single"/>
        </w:rPr>
        <w:t xml:space="preserve">）（项目编号: </w:t>
      </w:r>
      <w:r>
        <w:rPr>
          <w:rFonts w:hint="eastAsia"/>
          <w:color w:val="auto"/>
          <w:u w:val="single"/>
          <w:lang w:val="en-US" w:eastAsia="zh-CN"/>
        </w:rPr>
        <w:t xml:space="preserve">     </w:t>
      </w:r>
      <w:r>
        <w:rPr>
          <w:rFonts w:hint="eastAsia"/>
          <w:color w:val="auto"/>
          <w:u w:val="single"/>
        </w:rPr>
        <w:t xml:space="preserve"> ）</w:t>
      </w:r>
      <w:r>
        <w:rPr>
          <w:rFonts w:hint="eastAsia"/>
          <w:color w:val="auto"/>
        </w:rPr>
        <w:t>的采购活动。被授权人在开标、评标、合同磋商过程中所签署的一切文件和处理与这有关的一切事务，我均予以承认。</w:t>
      </w:r>
    </w:p>
    <w:p>
      <w:pPr>
        <w:pStyle w:val="17"/>
        <w:spacing w:line="400" w:lineRule="exact"/>
        <w:ind w:firstLine="420"/>
        <w:rPr>
          <w:color w:val="auto"/>
        </w:rPr>
      </w:pPr>
      <w:r>
        <w:rPr>
          <w:rFonts w:hint="eastAsia"/>
          <w:color w:val="auto"/>
        </w:rPr>
        <w:t>被授权人在授权委托书有效期内签署的所有文件不因授权委托的撤销而失效，除非有撤销授权委托的书面通知，本授权委托书自投标开始至合同履行完毕止。</w:t>
      </w:r>
    </w:p>
    <w:p>
      <w:pPr>
        <w:pStyle w:val="17"/>
        <w:spacing w:line="400" w:lineRule="exact"/>
        <w:ind w:firstLine="420"/>
        <w:rPr>
          <w:color w:val="auto"/>
        </w:rPr>
      </w:pPr>
      <w:r>
        <w:rPr>
          <w:rFonts w:hint="eastAsia"/>
          <w:color w:val="auto"/>
        </w:rPr>
        <w:t>被授权人无转委托权。特此委托。</w:t>
      </w:r>
    </w:p>
    <w:p>
      <w:pPr>
        <w:pStyle w:val="17"/>
        <w:spacing w:line="400" w:lineRule="exact"/>
        <w:ind w:firstLine="420"/>
        <w:rPr>
          <w:color w:val="auto"/>
        </w:rPr>
      </w:pPr>
      <w:r>
        <w:rPr>
          <w:rFonts w:hint="eastAsia"/>
          <w:color w:val="auto"/>
        </w:rPr>
        <w:t>委托单位：</w:t>
      </w:r>
      <w:r>
        <w:rPr>
          <w:rFonts w:hint="eastAsia"/>
          <w:color w:val="auto"/>
          <w:u w:val="single"/>
        </w:rPr>
        <w:t xml:space="preserve">              （盖单位公章）</w:t>
      </w:r>
      <w:r>
        <w:rPr>
          <w:rFonts w:hint="eastAsia"/>
          <w:color w:val="auto"/>
        </w:rPr>
        <w:t xml:space="preserve">        法定代表人：</w:t>
      </w:r>
      <w:r>
        <w:rPr>
          <w:rFonts w:hint="eastAsia"/>
          <w:color w:val="auto"/>
          <w:u w:val="single"/>
        </w:rPr>
        <w:t xml:space="preserve">             （签字或私章）</w:t>
      </w:r>
    </w:p>
    <w:p>
      <w:pPr>
        <w:pStyle w:val="17"/>
        <w:pBdr>
          <w:bottom w:val="single" w:color="auto" w:sz="6" w:space="1"/>
        </w:pBdr>
        <w:spacing w:line="400" w:lineRule="exact"/>
        <w:ind w:firstLine="420"/>
        <w:rPr>
          <w:color w:val="auto"/>
        </w:rPr>
      </w:pPr>
      <w:r>
        <w:rPr>
          <w:rFonts w:hint="eastAsia"/>
          <w:color w:val="auto"/>
        </w:rPr>
        <w:t>签发日期：</w:t>
      </w:r>
      <w:r>
        <w:rPr>
          <w:rFonts w:hint="eastAsia"/>
          <w:color w:val="auto"/>
          <w:lang w:val="en-US" w:eastAsia="zh-CN"/>
        </w:rPr>
        <w:t xml:space="preserve">  </w:t>
      </w:r>
      <w:r>
        <w:rPr>
          <w:rFonts w:hint="eastAsia"/>
          <w:color w:val="auto"/>
        </w:rPr>
        <w:t>年</w:t>
      </w:r>
      <w:r>
        <w:rPr>
          <w:rFonts w:hint="eastAsia"/>
          <w:color w:val="auto"/>
          <w:lang w:val="en-US" w:eastAsia="zh-CN"/>
        </w:rPr>
        <w:t xml:space="preserve">   </w:t>
      </w:r>
      <w:r>
        <w:rPr>
          <w:rFonts w:hint="eastAsia"/>
          <w:color w:val="auto"/>
        </w:rPr>
        <w:t>月</w:t>
      </w:r>
      <w:r>
        <w:rPr>
          <w:rFonts w:hint="eastAsia"/>
          <w:color w:val="auto"/>
          <w:lang w:val="en-US" w:eastAsia="zh-CN"/>
        </w:rPr>
        <w:t xml:space="preserve">   </w:t>
      </w:r>
      <w:r>
        <w:rPr>
          <w:rFonts w:hint="eastAsia"/>
          <w:color w:val="auto"/>
        </w:rPr>
        <w:t>日</w:t>
      </w:r>
    </w:p>
    <w:p>
      <w:pPr>
        <w:pStyle w:val="17"/>
        <w:pBdr>
          <w:bottom w:val="single" w:color="auto" w:sz="6" w:space="1"/>
        </w:pBdr>
        <w:spacing w:line="340" w:lineRule="exact"/>
        <w:ind w:firstLine="420"/>
        <w:rPr>
          <w:color w:val="auto"/>
        </w:rPr>
      </w:pPr>
    </w:p>
    <w:p>
      <w:pPr>
        <w:pStyle w:val="17"/>
        <w:spacing w:line="200" w:lineRule="exact"/>
        <w:rPr>
          <w:color w:val="auto"/>
        </w:rPr>
      </w:pPr>
    </w:p>
    <w:p>
      <w:pPr>
        <w:pStyle w:val="17"/>
        <w:tabs>
          <w:tab w:val="left" w:pos="5768"/>
        </w:tabs>
        <w:spacing w:line="340" w:lineRule="exact"/>
        <w:ind w:firstLine="420"/>
        <w:rPr>
          <w:color w:val="auto"/>
        </w:rPr>
      </w:pPr>
      <w:r>
        <w:rPr>
          <w:rFonts w:hint="eastAsia"/>
          <w:color w:val="auto"/>
        </w:rPr>
        <w:t>附：1、代理人工作单位：</w:t>
      </w:r>
      <w:r>
        <w:rPr>
          <w:rFonts w:hint="eastAsia"/>
          <w:color w:val="auto"/>
        </w:rPr>
        <w:tab/>
      </w:r>
      <w:r>
        <w:rPr>
          <w:rFonts w:hint="eastAsia"/>
          <w:color w:val="auto"/>
        </w:rPr>
        <w:t>职务：</w:t>
      </w:r>
    </w:p>
    <w:p>
      <w:pPr>
        <w:pStyle w:val="17"/>
        <w:tabs>
          <w:tab w:val="left" w:pos="5768"/>
        </w:tabs>
        <w:spacing w:line="340" w:lineRule="exact"/>
        <w:ind w:firstLine="1155"/>
        <w:rPr>
          <w:color w:val="auto"/>
        </w:rPr>
      </w:pPr>
      <w:r>
        <w:rPr>
          <w:rFonts w:hint="eastAsia"/>
          <w:color w:val="auto"/>
        </w:rPr>
        <w:t>身份证号码：</w:t>
      </w:r>
      <w:r>
        <w:rPr>
          <w:rFonts w:hint="eastAsia"/>
          <w:color w:val="auto"/>
        </w:rPr>
        <w:tab/>
      </w:r>
      <w:r>
        <w:rPr>
          <w:rFonts w:hint="eastAsia"/>
          <w:color w:val="auto"/>
        </w:rPr>
        <w:t>性别：          年龄：</w:t>
      </w:r>
    </w:p>
    <w:p>
      <w:pPr>
        <w:pStyle w:val="17"/>
        <w:spacing w:line="340" w:lineRule="exact"/>
        <w:ind w:firstLine="840"/>
        <w:rPr>
          <w:color w:val="auto"/>
        </w:rPr>
      </w:pPr>
      <w:r>
        <w:rPr>
          <w:rFonts w:hint="eastAsia"/>
          <w:color w:val="auto"/>
        </w:rPr>
        <w:t>2、委托人企业法人营业执照号码：</w:t>
      </w:r>
    </w:p>
    <w:p>
      <w:pPr>
        <w:pStyle w:val="17"/>
        <w:tabs>
          <w:tab w:val="left" w:pos="5768"/>
        </w:tabs>
        <w:spacing w:line="340" w:lineRule="exact"/>
        <w:ind w:firstLine="1155"/>
        <w:rPr>
          <w:color w:val="auto"/>
        </w:rPr>
      </w:pPr>
      <w:r>
        <w:rPr>
          <w:rFonts w:hint="eastAsia"/>
          <w:color w:val="auto"/>
        </w:rPr>
        <w:t>地    址：</w:t>
      </w:r>
      <w:r>
        <w:rPr>
          <w:rFonts w:hint="eastAsia"/>
          <w:color w:val="auto"/>
        </w:rPr>
        <w:tab/>
      </w:r>
      <w:r>
        <w:rPr>
          <w:rFonts w:hint="eastAsia"/>
          <w:color w:val="auto"/>
        </w:rPr>
        <w:t>经济性质：</w:t>
      </w:r>
    </w:p>
    <w:p>
      <w:pPr>
        <w:pStyle w:val="17"/>
        <w:tabs>
          <w:tab w:val="left" w:pos="5768"/>
        </w:tabs>
        <w:spacing w:line="340" w:lineRule="exact"/>
        <w:ind w:firstLine="1155"/>
        <w:rPr>
          <w:color w:val="auto"/>
        </w:rPr>
      </w:pPr>
      <w:r>
        <w:rPr>
          <w:rFonts w:hint="eastAsia"/>
          <w:color w:val="auto"/>
        </w:rPr>
        <w:t>经营范围：</w:t>
      </w:r>
    </w:p>
    <w:p>
      <w:pPr>
        <w:pStyle w:val="17"/>
        <w:spacing w:line="340" w:lineRule="exact"/>
        <w:ind w:firstLine="840"/>
        <w:rPr>
          <w:color w:val="auto"/>
        </w:rPr>
      </w:pPr>
      <w:r>
        <w:rPr>
          <w:rFonts w:hint="eastAsia"/>
          <w:color w:val="auto"/>
        </w:rPr>
        <w:t>3、法定代表人身份证、委托代理人身份证复印件</w:t>
      </w:r>
    </w:p>
    <w:tbl>
      <w:tblPr>
        <w:tblStyle w:val="31"/>
        <w:tblW w:w="9628" w:type="dxa"/>
        <w:tblInd w:w="0" w:type="dxa"/>
        <w:tblLayout w:type="fixed"/>
        <w:tblCellMar>
          <w:top w:w="0" w:type="dxa"/>
          <w:left w:w="108" w:type="dxa"/>
          <w:bottom w:w="0" w:type="dxa"/>
          <w:right w:w="108" w:type="dxa"/>
        </w:tblCellMar>
      </w:tblPr>
      <w:tblGrid>
        <w:gridCol w:w="4608"/>
        <w:gridCol w:w="416"/>
        <w:gridCol w:w="4604"/>
      </w:tblGrid>
      <w:tr>
        <w:tblPrEx>
          <w:tblCellMar>
            <w:top w:w="0" w:type="dxa"/>
            <w:left w:w="108" w:type="dxa"/>
            <w:bottom w:w="0" w:type="dxa"/>
            <w:right w:w="108" w:type="dxa"/>
          </w:tblCellMar>
        </w:tblPrEx>
        <w:trPr>
          <w:trHeight w:val="5971" w:hRule="atLeast"/>
        </w:trPr>
        <w:tc>
          <w:tcPr>
            <w:tcW w:w="460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粘贴法定代表人身份证</w:t>
            </w:r>
            <w:r>
              <w:rPr>
                <w:color w:val="auto"/>
                <w:szCs w:val="21"/>
              </w:rPr>
              <w:t>(</w:t>
            </w:r>
            <w:r>
              <w:rPr>
                <w:rFonts w:hint="eastAsia"/>
                <w:color w:val="auto"/>
                <w:szCs w:val="21"/>
              </w:rPr>
              <w:t>正、背</w:t>
            </w:r>
            <w:r>
              <w:rPr>
                <w:color w:val="auto"/>
                <w:szCs w:val="21"/>
              </w:rPr>
              <w:t>)</w:t>
            </w:r>
            <w:r>
              <w:rPr>
                <w:rFonts w:hint="eastAsia"/>
                <w:color w:val="auto"/>
                <w:szCs w:val="21"/>
              </w:rPr>
              <w:t>面复印件</w:t>
            </w:r>
          </w:p>
          <w:p>
            <w:pPr>
              <w:spacing w:line="340" w:lineRule="exact"/>
              <w:jc w:val="center"/>
              <w:rPr>
                <w:color w:val="auto"/>
                <w:szCs w:val="21"/>
              </w:rPr>
            </w:pPr>
            <w:r>
              <w:rPr>
                <w:rFonts w:hint="eastAsia"/>
                <w:color w:val="auto"/>
                <w:szCs w:val="21"/>
              </w:rPr>
              <w:t>（加盖单位公章）</w:t>
            </w:r>
          </w:p>
        </w:tc>
        <w:tc>
          <w:tcPr>
            <w:tcW w:w="416" w:type="dxa"/>
            <w:tcBorders>
              <w:left w:val="single" w:color="auto" w:sz="4" w:space="0"/>
              <w:right w:val="single" w:color="auto" w:sz="4" w:space="0"/>
            </w:tcBorders>
          </w:tcPr>
          <w:p>
            <w:pPr>
              <w:spacing w:line="340" w:lineRule="exact"/>
              <w:rPr>
                <w:color w:val="auto"/>
                <w:szCs w:val="21"/>
              </w:rPr>
            </w:pPr>
          </w:p>
        </w:tc>
        <w:tc>
          <w:tcPr>
            <w:tcW w:w="460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粘贴委托代理人身份证</w:t>
            </w:r>
            <w:r>
              <w:rPr>
                <w:color w:val="auto"/>
                <w:szCs w:val="21"/>
              </w:rPr>
              <w:t>(</w:t>
            </w:r>
            <w:r>
              <w:rPr>
                <w:rFonts w:hint="eastAsia"/>
                <w:color w:val="auto"/>
                <w:szCs w:val="21"/>
              </w:rPr>
              <w:t>正、背</w:t>
            </w:r>
            <w:r>
              <w:rPr>
                <w:color w:val="auto"/>
                <w:szCs w:val="21"/>
              </w:rPr>
              <w:t>)</w:t>
            </w:r>
            <w:r>
              <w:rPr>
                <w:rFonts w:hint="eastAsia"/>
                <w:color w:val="auto"/>
                <w:szCs w:val="21"/>
              </w:rPr>
              <w:t>面复印件</w:t>
            </w:r>
          </w:p>
          <w:p>
            <w:pPr>
              <w:spacing w:line="340" w:lineRule="exact"/>
              <w:jc w:val="center"/>
              <w:rPr>
                <w:color w:val="auto"/>
                <w:szCs w:val="21"/>
              </w:rPr>
            </w:pPr>
            <w:r>
              <w:rPr>
                <w:rFonts w:hint="eastAsia"/>
                <w:color w:val="auto"/>
                <w:szCs w:val="21"/>
              </w:rPr>
              <w:t>（加盖单位公章）</w:t>
            </w:r>
          </w:p>
        </w:tc>
      </w:tr>
    </w:tbl>
    <w:p>
      <w:pPr>
        <w:pStyle w:val="17"/>
        <w:spacing w:line="400" w:lineRule="exact"/>
        <w:jc w:val="center"/>
        <w:rPr>
          <w:rFonts w:hAnsi="宋体"/>
          <w:color w:val="auto"/>
        </w:rPr>
      </w:pPr>
      <w:r>
        <w:rPr>
          <w:rFonts w:hAnsi="宋体"/>
          <w:color w:val="auto"/>
          <w:szCs w:val="21"/>
        </w:rPr>
        <w:br w:type="page"/>
      </w:r>
      <w:r>
        <w:rPr>
          <w:rFonts w:hint="eastAsia" w:hAnsi="宋体"/>
          <w:color w:val="auto"/>
          <w:sz w:val="28"/>
          <w:szCs w:val="24"/>
        </w:rPr>
        <w:t>拟投入的技术力量和人员配备情况</w:t>
      </w:r>
    </w:p>
    <w:p>
      <w:pPr>
        <w:spacing w:line="360" w:lineRule="auto"/>
        <w:rPr>
          <w:rFonts w:ascii="宋体" w:hAnsi="宋体"/>
          <w:color w:val="auto"/>
          <w:kern w:val="0"/>
          <w:szCs w:val="21"/>
        </w:rPr>
      </w:pPr>
      <w:r>
        <w:rPr>
          <w:rFonts w:hint="eastAsia" w:ascii="宋体" w:hAnsi="宋体"/>
          <w:color w:val="auto"/>
          <w:kern w:val="0"/>
          <w:szCs w:val="21"/>
        </w:rPr>
        <w:t>（1）项目负责人简历表</w:t>
      </w:r>
    </w:p>
    <w:tbl>
      <w:tblPr>
        <w:tblStyle w:val="31"/>
        <w:tblW w:w="9379" w:type="dxa"/>
        <w:jc w:val="center"/>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522"/>
        <w:gridCol w:w="1610"/>
        <w:gridCol w:w="1301"/>
        <w:gridCol w:w="1399"/>
        <w:gridCol w:w="434"/>
        <w:gridCol w:w="1522"/>
        <w:gridCol w:w="1591"/>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98" w:hRule="atLeast"/>
          <w:jc w:val="center"/>
        </w:trPr>
        <w:tc>
          <w:tcPr>
            <w:tcW w:w="1522" w:type="dxa"/>
            <w:tcBorders>
              <w:top w:val="single" w:color="auto" w:sz="4" w:space="0"/>
              <w:bottom w:val="single" w:color="000000" w:sz="4" w:space="0"/>
              <w:right w:val="single" w:color="000000" w:sz="4" w:space="0"/>
            </w:tcBorders>
            <w:vAlign w:val="center"/>
          </w:tcPr>
          <w:p>
            <w:pPr>
              <w:autoSpaceDE w:val="0"/>
              <w:autoSpaceDN w:val="0"/>
              <w:spacing w:line="440" w:lineRule="exact"/>
              <w:jc w:val="center"/>
              <w:rPr>
                <w:rFonts w:hAnsi="宋体"/>
                <w:color w:val="auto"/>
                <w:kern w:val="0"/>
                <w:szCs w:val="21"/>
              </w:rPr>
            </w:pPr>
            <w:r>
              <w:rPr>
                <w:rFonts w:hint="eastAsia" w:hAnsi="宋体"/>
                <w:color w:val="auto"/>
                <w:kern w:val="0"/>
                <w:szCs w:val="21"/>
              </w:rPr>
              <w:t>姓名</w:t>
            </w:r>
          </w:p>
        </w:tc>
        <w:tc>
          <w:tcPr>
            <w:tcW w:w="1610" w:type="dxa"/>
            <w:tcBorders>
              <w:top w:val="single" w:color="auto" w:sz="4" w:space="0"/>
              <w:bottom w:val="single" w:color="000000" w:sz="4" w:space="0"/>
              <w:right w:val="single" w:color="auto" w:sz="4" w:space="0"/>
            </w:tcBorders>
            <w:vAlign w:val="center"/>
          </w:tcPr>
          <w:p>
            <w:pPr>
              <w:autoSpaceDE w:val="0"/>
              <w:autoSpaceDN w:val="0"/>
              <w:spacing w:line="440" w:lineRule="exact"/>
              <w:jc w:val="center"/>
              <w:rPr>
                <w:rFonts w:hAnsi="宋体"/>
                <w:color w:val="auto"/>
                <w:kern w:val="0"/>
                <w:szCs w:val="21"/>
              </w:rPr>
            </w:pPr>
          </w:p>
        </w:tc>
        <w:tc>
          <w:tcPr>
            <w:tcW w:w="1301" w:type="dxa"/>
            <w:tcBorders>
              <w:top w:val="single" w:color="auto" w:sz="4" w:space="0"/>
              <w:left w:val="single" w:color="auto" w:sz="4" w:space="0"/>
              <w:bottom w:val="single" w:color="000000" w:sz="4" w:space="0"/>
              <w:right w:val="single" w:color="000000" w:sz="4" w:space="0"/>
            </w:tcBorders>
            <w:vAlign w:val="center"/>
          </w:tcPr>
          <w:p>
            <w:pPr>
              <w:autoSpaceDE w:val="0"/>
              <w:autoSpaceDN w:val="0"/>
              <w:spacing w:line="440" w:lineRule="exact"/>
              <w:jc w:val="center"/>
              <w:rPr>
                <w:rFonts w:hAnsi="宋体"/>
                <w:color w:val="auto"/>
                <w:kern w:val="0"/>
                <w:szCs w:val="21"/>
              </w:rPr>
            </w:pPr>
            <w:r>
              <w:rPr>
                <w:rFonts w:hint="eastAsia" w:hAnsi="宋体"/>
                <w:color w:val="auto"/>
                <w:kern w:val="0"/>
                <w:szCs w:val="21"/>
              </w:rPr>
              <w:t>性别</w:t>
            </w:r>
          </w:p>
        </w:tc>
        <w:tc>
          <w:tcPr>
            <w:tcW w:w="1833" w:type="dxa"/>
            <w:gridSpan w:val="2"/>
            <w:tcBorders>
              <w:top w:val="single" w:color="auto" w:sz="4" w:space="0"/>
              <w:bottom w:val="single" w:color="000000" w:sz="4" w:space="0"/>
              <w:right w:val="single" w:color="auto" w:sz="4" w:space="0"/>
            </w:tcBorders>
            <w:vAlign w:val="center"/>
          </w:tcPr>
          <w:p>
            <w:pPr>
              <w:autoSpaceDE w:val="0"/>
              <w:autoSpaceDN w:val="0"/>
              <w:spacing w:line="440" w:lineRule="exact"/>
              <w:jc w:val="center"/>
              <w:rPr>
                <w:rFonts w:hAnsi="宋体"/>
                <w:color w:val="auto"/>
                <w:kern w:val="0"/>
                <w:szCs w:val="21"/>
              </w:rPr>
            </w:pPr>
          </w:p>
        </w:tc>
        <w:tc>
          <w:tcPr>
            <w:tcW w:w="1522" w:type="dxa"/>
            <w:tcBorders>
              <w:top w:val="single" w:color="auto" w:sz="4" w:space="0"/>
              <w:left w:val="single" w:color="auto" w:sz="4" w:space="0"/>
              <w:bottom w:val="single" w:color="000000" w:sz="4" w:space="0"/>
              <w:right w:val="single" w:color="000000" w:sz="4" w:space="0"/>
            </w:tcBorders>
            <w:vAlign w:val="center"/>
          </w:tcPr>
          <w:p>
            <w:pPr>
              <w:autoSpaceDE w:val="0"/>
              <w:autoSpaceDN w:val="0"/>
              <w:spacing w:line="440" w:lineRule="exact"/>
              <w:jc w:val="center"/>
              <w:rPr>
                <w:rFonts w:hAnsi="宋体"/>
                <w:color w:val="auto"/>
                <w:kern w:val="0"/>
                <w:szCs w:val="21"/>
              </w:rPr>
            </w:pPr>
            <w:r>
              <w:rPr>
                <w:rFonts w:hint="eastAsia" w:hAnsi="宋体"/>
                <w:color w:val="auto"/>
                <w:kern w:val="0"/>
                <w:szCs w:val="21"/>
              </w:rPr>
              <w:t>出生日期</w:t>
            </w:r>
          </w:p>
        </w:tc>
        <w:tc>
          <w:tcPr>
            <w:tcW w:w="1591" w:type="dxa"/>
            <w:tcBorders>
              <w:top w:val="single" w:color="auto" w:sz="4" w:space="0"/>
              <w:bottom w:val="single" w:color="000000" w:sz="4" w:space="0"/>
              <w:right w:val="single" w:color="000000" w:sz="4" w:space="0"/>
            </w:tcBorders>
            <w:vAlign w:val="center"/>
          </w:tcPr>
          <w:p>
            <w:pPr>
              <w:autoSpaceDE w:val="0"/>
              <w:autoSpaceDN w:val="0"/>
              <w:spacing w:line="440" w:lineRule="exact"/>
              <w:jc w:val="center"/>
              <w:rPr>
                <w:rFonts w:hAnsi="宋体"/>
                <w:color w:val="auto"/>
                <w:kern w:val="0"/>
                <w:szCs w:val="21"/>
              </w:rPr>
            </w:pPr>
            <w:r>
              <w:rPr>
                <w:rFonts w:hint="eastAsia" w:hAnsi="宋体"/>
                <w:color w:val="auto"/>
                <w:kern w:val="0"/>
                <w:szCs w:val="21"/>
              </w:rPr>
              <w:t>年月日</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7" w:hRule="atLeast"/>
          <w:jc w:val="center"/>
        </w:trPr>
        <w:tc>
          <w:tcPr>
            <w:tcW w:w="1522" w:type="dxa"/>
            <w:tcBorders>
              <w:bottom w:val="single" w:color="000000" w:sz="4" w:space="0"/>
              <w:right w:val="single" w:color="000000" w:sz="4" w:space="0"/>
            </w:tcBorders>
            <w:vAlign w:val="center"/>
          </w:tcPr>
          <w:p>
            <w:pPr>
              <w:autoSpaceDE w:val="0"/>
              <w:autoSpaceDN w:val="0"/>
              <w:spacing w:line="440" w:lineRule="exact"/>
              <w:jc w:val="center"/>
              <w:rPr>
                <w:rFonts w:hAnsi="宋体"/>
                <w:color w:val="auto"/>
                <w:kern w:val="0"/>
                <w:szCs w:val="21"/>
              </w:rPr>
            </w:pPr>
            <w:r>
              <w:rPr>
                <w:rFonts w:hint="eastAsia" w:hAnsi="宋体"/>
                <w:color w:val="auto"/>
                <w:kern w:val="0"/>
                <w:szCs w:val="21"/>
              </w:rPr>
              <w:t>毕业院校专业</w:t>
            </w:r>
          </w:p>
        </w:tc>
        <w:tc>
          <w:tcPr>
            <w:tcW w:w="4744" w:type="dxa"/>
            <w:gridSpan w:val="4"/>
            <w:tcBorders>
              <w:bottom w:val="single" w:color="000000" w:sz="4" w:space="0"/>
              <w:right w:val="single" w:color="auto" w:sz="4" w:space="0"/>
            </w:tcBorders>
            <w:vAlign w:val="center"/>
          </w:tcPr>
          <w:p>
            <w:pPr>
              <w:autoSpaceDE w:val="0"/>
              <w:autoSpaceDN w:val="0"/>
              <w:spacing w:line="440" w:lineRule="exact"/>
              <w:jc w:val="center"/>
              <w:rPr>
                <w:rFonts w:hAnsi="宋体"/>
                <w:color w:val="auto"/>
                <w:kern w:val="0"/>
                <w:szCs w:val="21"/>
              </w:rPr>
            </w:pPr>
          </w:p>
        </w:tc>
        <w:tc>
          <w:tcPr>
            <w:tcW w:w="1522" w:type="dxa"/>
            <w:tcBorders>
              <w:left w:val="single" w:color="auto" w:sz="4" w:space="0"/>
              <w:bottom w:val="single" w:color="000000" w:sz="4" w:space="0"/>
              <w:right w:val="single" w:color="000000" w:sz="4" w:space="0"/>
            </w:tcBorders>
            <w:vAlign w:val="center"/>
          </w:tcPr>
          <w:p>
            <w:pPr>
              <w:autoSpaceDE w:val="0"/>
              <w:autoSpaceDN w:val="0"/>
              <w:spacing w:line="440" w:lineRule="exact"/>
              <w:jc w:val="center"/>
              <w:rPr>
                <w:rFonts w:hAnsi="宋体"/>
                <w:color w:val="auto"/>
                <w:kern w:val="0"/>
                <w:szCs w:val="21"/>
              </w:rPr>
            </w:pPr>
            <w:r>
              <w:rPr>
                <w:rFonts w:hint="eastAsia" w:hAnsi="宋体"/>
                <w:color w:val="auto"/>
                <w:kern w:val="0"/>
                <w:szCs w:val="21"/>
              </w:rPr>
              <w:t>毕业时间</w:t>
            </w:r>
          </w:p>
        </w:tc>
        <w:tc>
          <w:tcPr>
            <w:tcW w:w="1591" w:type="dxa"/>
            <w:tcBorders>
              <w:bottom w:val="single" w:color="000000" w:sz="4" w:space="0"/>
              <w:right w:val="single" w:color="000000" w:sz="4" w:space="0"/>
            </w:tcBorders>
            <w:vAlign w:val="center"/>
          </w:tcPr>
          <w:p>
            <w:pPr>
              <w:autoSpaceDE w:val="0"/>
              <w:autoSpaceDN w:val="0"/>
              <w:spacing w:line="440" w:lineRule="exact"/>
              <w:jc w:val="center"/>
              <w:rPr>
                <w:rFonts w:hAnsi="宋体"/>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56" w:hRule="atLeast"/>
          <w:jc w:val="center"/>
        </w:trPr>
        <w:tc>
          <w:tcPr>
            <w:tcW w:w="1522" w:type="dxa"/>
            <w:tcBorders>
              <w:bottom w:val="single" w:color="000000" w:sz="4" w:space="0"/>
              <w:right w:val="single" w:color="000000" w:sz="4" w:space="0"/>
            </w:tcBorders>
            <w:vAlign w:val="center"/>
          </w:tcPr>
          <w:p>
            <w:pPr>
              <w:autoSpaceDE w:val="0"/>
              <w:autoSpaceDN w:val="0"/>
              <w:spacing w:line="440" w:lineRule="exact"/>
              <w:jc w:val="center"/>
              <w:rPr>
                <w:rFonts w:hAnsi="宋体"/>
                <w:color w:val="auto"/>
                <w:kern w:val="0"/>
                <w:szCs w:val="21"/>
              </w:rPr>
            </w:pPr>
            <w:r>
              <w:rPr>
                <w:rFonts w:hint="eastAsia" w:hAnsi="宋体"/>
                <w:color w:val="auto"/>
                <w:kern w:val="0"/>
                <w:szCs w:val="21"/>
              </w:rPr>
              <w:t>从事本专业时间</w:t>
            </w:r>
          </w:p>
        </w:tc>
        <w:tc>
          <w:tcPr>
            <w:tcW w:w="2911" w:type="dxa"/>
            <w:gridSpan w:val="2"/>
            <w:tcBorders>
              <w:bottom w:val="single" w:color="000000" w:sz="4" w:space="0"/>
              <w:right w:val="single" w:color="000000" w:sz="4" w:space="0"/>
            </w:tcBorders>
            <w:vAlign w:val="center"/>
          </w:tcPr>
          <w:p>
            <w:pPr>
              <w:autoSpaceDE w:val="0"/>
              <w:autoSpaceDN w:val="0"/>
              <w:spacing w:line="440" w:lineRule="exact"/>
              <w:jc w:val="center"/>
              <w:rPr>
                <w:rFonts w:hAnsi="宋体"/>
                <w:color w:val="auto"/>
                <w:kern w:val="0"/>
                <w:szCs w:val="21"/>
              </w:rPr>
            </w:pPr>
          </w:p>
        </w:tc>
        <w:tc>
          <w:tcPr>
            <w:tcW w:w="1833" w:type="dxa"/>
            <w:gridSpan w:val="2"/>
            <w:tcBorders>
              <w:top w:val="single" w:color="auto" w:sz="4" w:space="0"/>
              <w:bottom w:val="single" w:color="000000" w:sz="4" w:space="0"/>
              <w:right w:val="single" w:color="auto" w:sz="4" w:space="0"/>
            </w:tcBorders>
            <w:vAlign w:val="center"/>
          </w:tcPr>
          <w:p>
            <w:pPr>
              <w:autoSpaceDE w:val="0"/>
              <w:autoSpaceDN w:val="0"/>
              <w:spacing w:line="440" w:lineRule="exact"/>
              <w:jc w:val="center"/>
              <w:rPr>
                <w:rFonts w:hAnsi="宋体"/>
                <w:color w:val="auto"/>
                <w:kern w:val="0"/>
                <w:szCs w:val="21"/>
              </w:rPr>
            </w:pPr>
            <w:r>
              <w:rPr>
                <w:rFonts w:hint="eastAsia" w:hAnsi="宋体"/>
                <w:color w:val="auto"/>
                <w:kern w:val="0"/>
                <w:szCs w:val="21"/>
              </w:rPr>
              <w:t>为服务商服</w:t>
            </w:r>
          </w:p>
          <w:p>
            <w:pPr>
              <w:autoSpaceDE w:val="0"/>
              <w:autoSpaceDN w:val="0"/>
              <w:spacing w:line="440" w:lineRule="exact"/>
              <w:jc w:val="center"/>
              <w:rPr>
                <w:rFonts w:hAnsi="宋体"/>
                <w:color w:val="auto"/>
                <w:kern w:val="0"/>
                <w:szCs w:val="21"/>
              </w:rPr>
            </w:pPr>
            <w:r>
              <w:rPr>
                <w:rFonts w:hint="eastAsia" w:hAnsi="宋体"/>
                <w:color w:val="auto"/>
                <w:kern w:val="0"/>
                <w:szCs w:val="21"/>
              </w:rPr>
              <w:t>务时间</w:t>
            </w:r>
          </w:p>
        </w:tc>
        <w:tc>
          <w:tcPr>
            <w:tcW w:w="1522" w:type="dxa"/>
            <w:tcBorders>
              <w:left w:val="single" w:color="auto" w:sz="4" w:space="0"/>
              <w:bottom w:val="single" w:color="000000" w:sz="4" w:space="0"/>
              <w:right w:val="single" w:color="000000" w:sz="4" w:space="0"/>
            </w:tcBorders>
            <w:vAlign w:val="center"/>
          </w:tcPr>
          <w:p>
            <w:pPr>
              <w:autoSpaceDE w:val="0"/>
              <w:autoSpaceDN w:val="0"/>
              <w:spacing w:line="440" w:lineRule="exact"/>
              <w:jc w:val="center"/>
              <w:rPr>
                <w:rFonts w:hAnsi="宋体"/>
                <w:color w:val="auto"/>
                <w:kern w:val="0"/>
                <w:szCs w:val="21"/>
              </w:rPr>
            </w:pPr>
          </w:p>
        </w:tc>
        <w:tc>
          <w:tcPr>
            <w:tcW w:w="1591" w:type="dxa"/>
            <w:tcBorders>
              <w:bottom w:val="single" w:color="000000" w:sz="4" w:space="0"/>
              <w:right w:val="single" w:color="000000" w:sz="4" w:space="0"/>
            </w:tcBorders>
            <w:vAlign w:val="center"/>
          </w:tcPr>
          <w:p>
            <w:pPr>
              <w:autoSpaceDE w:val="0"/>
              <w:autoSpaceDN w:val="0"/>
              <w:spacing w:line="440" w:lineRule="exact"/>
              <w:jc w:val="center"/>
              <w:rPr>
                <w:rFonts w:hAnsi="宋体"/>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56" w:hRule="atLeast"/>
          <w:jc w:val="center"/>
        </w:trPr>
        <w:tc>
          <w:tcPr>
            <w:tcW w:w="1522" w:type="dxa"/>
            <w:tcBorders>
              <w:bottom w:val="single" w:color="000000" w:sz="4" w:space="0"/>
              <w:right w:val="single" w:color="000000" w:sz="4" w:space="0"/>
            </w:tcBorders>
            <w:vAlign w:val="center"/>
          </w:tcPr>
          <w:p>
            <w:pPr>
              <w:autoSpaceDE w:val="0"/>
              <w:autoSpaceDN w:val="0"/>
              <w:spacing w:line="440" w:lineRule="exact"/>
              <w:jc w:val="center"/>
              <w:rPr>
                <w:rFonts w:hAnsi="宋体"/>
                <w:color w:val="auto"/>
                <w:kern w:val="0"/>
                <w:szCs w:val="21"/>
              </w:rPr>
            </w:pPr>
            <w:r>
              <w:rPr>
                <w:rFonts w:hint="eastAsia" w:hAnsi="宋体"/>
                <w:color w:val="auto"/>
                <w:kern w:val="0"/>
                <w:szCs w:val="21"/>
              </w:rPr>
              <w:t>执业时间</w:t>
            </w:r>
          </w:p>
        </w:tc>
        <w:tc>
          <w:tcPr>
            <w:tcW w:w="2911" w:type="dxa"/>
            <w:gridSpan w:val="2"/>
            <w:tcBorders>
              <w:bottom w:val="single" w:color="000000" w:sz="4" w:space="0"/>
              <w:right w:val="single" w:color="000000" w:sz="4" w:space="0"/>
            </w:tcBorders>
            <w:vAlign w:val="center"/>
          </w:tcPr>
          <w:p>
            <w:pPr>
              <w:autoSpaceDE w:val="0"/>
              <w:autoSpaceDN w:val="0"/>
              <w:spacing w:line="440" w:lineRule="exact"/>
              <w:jc w:val="center"/>
              <w:rPr>
                <w:rFonts w:hAnsi="宋体"/>
                <w:color w:val="auto"/>
                <w:kern w:val="0"/>
                <w:szCs w:val="21"/>
              </w:rPr>
            </w:pPr>
          </w:p>
        </w:tc>
        <w:tc>
          <w:tcPr>
            <w:tcW w:w="1833" w:type="dxa"/>
            <w:gridSpan w:val="2"/>
            <w:tcBorders>
              <w:bottom w:val="single" w:color="000000" w:sz="4" w:space="0"/>
              <w:right w:val="single" w:color="auto" w:sz="4" w:space="0"/>
            </w:tcBorders>
            <w:vAlign w:val="center"/>
          </w:tcPr>
          <w:p>
            <w:pPr>
              <w:autoSpaceDE w:val="0"/>
              <w:autoSpaceDN w:val="0"/>
              <w:spacing w:line="440" w:lineRule="exact"/>
              <w:jc w:val="center"/>
              <w:rPr>
                <w:rFonts w:hAnsi="宋体"/>
                <w:color w:val="auto"/>
                <w:kern w:val="0"/>
                <w:szCs w:val="21"/>
              </w:rPr>
            </w:pPr>
            <w:r>
              <w:rPr>
                <w:rFonts w:hint="eastAsia" w:hAnsi="宋体"/>
                <w:color w:val="auto"/>
                <w:kern w:val="0"/>
                <w:szCs w:val="21"/>
              </w:rPr>
              <w:t>职称</w:t>
            </w:r>
          </w:p>
        </w:tc>
        <w:tc>
          <w:tcPr>
            <w:tcW w:w="3113" w:type="dxa"/>
            <w:gridSpan w:val="2"/>
            <w:tcBorders>
              <w:left w:val="single" w:color="auto" w:sz="4" w:space="0"/>
              <w:bottom w:val="single" w:color="000000" w:sz="4" w:space="0"/>
              <w:right w:val="single" w:color="000000" w:sz="4" w:space="0"/>
            </w:tcBorders>
            <w:vAlign w:val="center"/>
          </w:tcPr>
          <w:p>
            <w:pPr>
              <w:autoSpaceDE w:val="0"/>
              <w:autoSpaceDN w:val="0"/>
              <w:spacing w:line="440" w:lineRule="exact"/>
              <w:jc w:val="center"/>
              <w:rPr>
                <w:rFonts w:hAnsi="宋体"/>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56" w:hRule="atLeast"/>
          <w:jc w:val="center"/>
        </w:trPr>
        <w:tc>
          <w:tcPr>
            <w:tcW w:w="4433" w:type="dxa"/>
            <w:gridSpan w:val="3"/>
            <w:tcBorders>
              <w:bottom w:val="single" w:color="000000" w:sz="4" w:space="0"/>
              <w:right w:val="single" w:color="000000" w:sz="4" w:space="0"/>
            </w:tcBorders>
            <w:vAlign w:val="center"/>
          </w:tcPr>
          <w:p>
            <w:pPr>
              <w:autoSpaceDE w:val="0"/>
              <w:autoSpaceDN w:val="0"/>
              <w:spacing w:line="440" w:lineRule="exact"/>
              <w:jc w:val="center"/>
              <w:rPr>
                <w:rFonts w:hAnsi="宋体"/>
                <w:color w:val="auto"/>
                <w:kern w:val="0"/>
                <w:szCs w:val="21"/>
              </w:rPr>
            </w:pPr>
            <w:r>
              <w:rPr>
                <w:rFonts w:hint="eastAsia" w:hAnsi="宋体"/>
                <w:color w:val="auto"/>
                <w:kern w:val="0"/>
                <w:szCs w:val="21"/>
              </w:rPr>
              <w:t>在本项目拟任职务</w:t>
            </w:r>
          </w:p>
        </w:tc>
        <w:tc>
          <w:tcPr>
            <w:tcW w:w="4946" w:type="dxa"/>
            <w:gridSpan w:val="4"/>
            <w:tcBorders>
              <w:bottom w:val="single" w:color="000000" w:sz="4" w:space="0"/>
              <w:right w:val="single" w:color="000000" w:sz="4" w:space="0"/>
            </w:tcBorders>
            <w:vAlign w:val="center"/>
          </w:tcPr>
          <w:p>
            <w:pPr>
              <w:autoSpaceDE w:val="0"/>
              <w:autoSpaceDN w:val="0"/>
              <w:spacing w:line="440" w:lineRule="exact"/>
              <w:jc w:val="center"/>
              <w:rPr>
                <w:rFonts w:hAnsi="宋体"/>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3" w:hRule="atLeast"/>
          <w:jc w:val="center"/>
        </w:trPr>
        <w:tc>
          <w:tcPr>
            <w:tcW w:w="9379" w:type="dxa"/>
            <w:gridSpan w:val="7"/>
            <w:tcBorders>
              <w:bottom w:val="single" w:color="000000" w:sz="4" w:space="0"/>
              <w:right w:val="single" w:color="000000" w:sz="4" w:space="0"/>
            </w:tcBorders>
            <w:vAlign w:val="center"/>
          </w:tcPr>
          <w:p>
            <w:pPr>
              <w:autoSpaceDE w:val="0"/>
              <w:autoSpaceDN w:val="0"/>
              <w:spacing w:line="440" w:lineRule="exact"/>
              <w:jc w:val="center"/>
              <w:rPr>
                <w:rFonts w:hAnsi="宋体"/>
                <w:color w:val="auto"/>
                <w:kern w:val="0"/>
                <w:szCs w:val="21"/>
              </w:rPr>
            </w:pPr>
            <w:r>
              <w:rPr>
                <w:rFonts w:hint="eastAsia" w:hAnsi="宋体"/>
                <w:color w:val="auto"/>
                <w:kern w:val="0"/>
                <w:szCs w:val="21"/>
              </w:rPr>
              <w:t>主要经历</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1522" w:type="dxa"/>
            <w:tcBorders>
              <w:bottom w:val="single" w:color="000000" w:sz="4" w:space="0"/>
              <w:right w:val="single" w:color="000000" w:sz="4" w:space="0"/>
            </w:tcBorders>
            <w:vAlign w:val="center"/>
          </w:tcPr>
          <w:p>
            <w:pPr>
              <w:autoSpaceDE w:val="0"/>
              <w:autoSpaceDN w:val="0"/>
              <w:spacing w:line="440" w:lineRule="exact"/>
              <w:jc w:val="center"/>
              <w:rPr>
                <w:rFonts w:hAnsi="宋体"/>
                <w:color w:val="auto"/>
                <w:kern w:val="0"/>
                <w:szCs w:val="21"/>
              </w:rPr>
            </w:pPr>
            <w:r>
              <w:rPr>
                <w:rFonts w:hint="eastAsia" w:hAnsi="宋体"/>
                <w:color w:val="auto"/>
                <w:kern w:val="0"/>
                <w:szCs w:val="21"/>
              </w:rPr>
              <w:t>时间</w:t>
            </w:r>
          </w:p>
        </w:tc>
        <w:tc>
          <w:tcPr>
            <w:tcW w:w="4310" w:type="dxa"/>
            <w:gridSpan w:val="3"/>
            <w:tcBorders>
              <w:bottom w:val="single" w:color="000000" w:sz="4" w:space="0"/>
              <w:right w:val="single" w:color="auto" w:sz="4" w:space="0"/>
            </w:tcBorders>
            <w:vAlign w:val="center"/>
          </w:tcPr>
          <w:p>
            <w:pPr>
              <w:autoSpaceDE w:val="0"/>
              <w:autoSpaceDN w:val="0"/>
              <w:spacing w:line="440" w:lineRule="exact"/>
              <w:jc w:val="center"/>
              <w:rPr>
                <w:rFonts w:hAnsi="宋体"/>
                <w:color w:val="auto"/>
                <w:kern w:val="0"/>
                <w:szCs w:val="21"/>
              </w:rPr>
            </w:pPr>
            <w:r>
              <w:rPr>
                <w:rFonts w:hint="eastAsia" w:hAnsi="宋体"/>
                <w:color w:val="auto"/>
                <w:kern w:val="0"/>
                <w:szCs w:val="21"/>
              </w:rPr>
              <w:t>参加过的项目名称及规模</w:t>
            </w:r>
          </w:p>
        </w:tc>
        <w:tc>
          <w:tcPr>
            <w:tcW w:w="3547" w:type="dxa"/>
            <w:gridSpan w:val="3"/>
            <w:tcBorders>
              <w:left w:val="single" w:color="auto" w:sz="4" w:space="0"/>
              <w:bottom w:val="single" w:color="000000" w:sz="4" w:space="0"/>
              <w:right w:val="single" w:color="000000" w:sz="4" w:space="0"/>
            </w:tcBorders>
            <w:vAlign w:val="center"/>
          </w:tcPr>
          <w:p>
            <w:pPr>
              <w:autoSpaceDE w:val="0"/>
              <w:autoSpaceDN w:val="0"/>
              <w:spacing w:line="440" w:lineRule="exact"/>
              <w:jc w:val="center"/>
              <w:rPr>
                <w:rFonts w:hAnsi="宋体"/>
                <w:color w:val="auto"/>
                <w:kern w:val="0"/>
                <w:szCs w:val="21"/>
              </w:rPr>
            </w:pPr>
            <w:r>
              <w:rPr>
                <w:rFonts w:hint="eastAsia" w:hAnsi="宋体"/>
                <w:color w:val="auto"/>
                <w:kern w:val="0"/>
                <w:szCs w:val="21"/>
              </w:rPr>
              <w:t>该项目中担任职务</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478" w:hRule="atLeast"/>
          <w:jc w:val="center"/>
        </w:trPr>
        <w:tc>
          <w:tcPr>
            <w:tcW w:w="1522" w:type="dxa"/>
            <w:tcBorders>
              <w:bottom w:val="single" w:color="auto" w:sz="4" w:space="0"/>
              <w:right w:val="single" w:color="000000" w:sz="4" w:space="0"/>
            </w:tcBorders>
            <w:vAlign w:val="center"/>
          </w:tcPr>
          <w:p>
            <w:pPr>
              <w:autoSpaceDE w:val="0"/>
              <w:autoSpaceDN w:val="0"/>
              <w:spacing w:line="440" w:lineRule="exact"/>
              <w:jc w:val="center"/>
              <w:rPr>
                <w:rFonts w:hAnsi="宋体"/>
                <w:color w:val="auto"/>
                <w:kern w:val="0"/>
                <w:szCs w:val="21"/>
              </w:rPr>
            </w:pPr>
          </w:p>
        </w:tc>
        <w:tc>
          <w:tcPr>
            <w:tcW w:w="4310" w:type="dxa"/>
            <w:gridSpan w:val="3"/>
            <w:tcBorders>
              <w:bottom w:val="single" w:color="auto" w:sz="4" w:space="0"/>
              <w:right w:val="single" w:color="auto" w:sz="4" w:space="0"/>
            </w:tcBorders>
            <w:vAlign w:val="center"/>
          </w:tcPr>
          <w:p>
            <w:pPr>
              <w:autoSpaceDE w:val="0"/>
              <w:autoSpaceDN w:val="0"/>
              <w:spacing w:line="440" w:lineRule="exact"/>
              <w:jc w:val="center"/>
              <w:rPr>
                <w:rFonts w:hAnsi="宋体"/>
                <w:color w:val="auto"/>
                <w:kern w:val="0"/>
                <w:szCs w:val="21"/>
              </w:rPr>
            </w:pPr>
          </w:p>
        </w:tc>
        <w:tc>
          <w:tcPr>
            <w:tcW w:w="3547" w:type="dxa"/>
            <w:gridSpan w:val="3"/>
            <w:tcBorders>
              <w:left w:val="single" w:color="auto" w:sz="4" w:space="0"/>
              <w:bottom w:val="single" w:color="auto" w:sz="4" w:space="0"/>
              <w:right w:val="single" w:color="000000" w:sz="4" w:space="0"/>
            </w:tcBorders>
            <w:vAlign w:val="center"/>
          </w:tcPr>
          <w:p>
            <w:pPr>
              <w:autoSpaceDE w:val="0"/>
              <w:autoSpaceDN w:val="0"/>
              <w:spacing w:line="440" w:lineRule="exact"/>
              <w:jc w:val="center"/>
              <w:rPr>
                <w:rFonts w:hAnsi="宋体"/>
                <w:color w:val="auto"/>
                <w:kern w:val="0"/>
                <w:szCs w:val="21"/>
              </w:rPr>
            </w:pPr>
          </w:p>
        </w:tc>
      </w:tr>
    </w:tbl>
    <w:p>
      <w:pPr>
        <w:ind w:left="360"/>
        <w:rPr>
          <w:rFonts w:hAnsi="宋体"/>
          <w:bCs/>
          <w:color w:val="auto"/>
          <w:szCs w:val="21"/>
        </w:rPr>
      </w:pPr>
    </w:p>
    <w:p>
      <w:pPr>
        <w:rPr>
          <w:rFonts w:hAnsi="宋体"/>
          <w:color w:val="auto"/>
        </w:rPr>
      </w:pPr>
      <w:r>
        <w:rPr>
          <w:rFonts w:hint="eastAsia" w:hAnsi="宋体"/>
          <w:bCs/>
          <w:color w:val="auto"/>
          <w:szCs w:val="21"/>
        </w:rPr>
        <w:t>备注：附项目经理资格证书和身份证等，复印件均须加盖服务商单位公章。】</w:t>
      </w:r>
    </w:p>
    <w:p>
      <w:pPr>
        <w:tabs>
          <w:tab w:val="left" w:pos="826"/>
        </w:tabs>
        <w:snapToGrid w:val="0"/>
        <w:rPr>
          <w:b/>
          <w:color w:val="auto"/>
          <w:sz w:val="24"/>
        </w:rPr>
      </w:pPr>
      <w:bookmarkStart w:id="275" w:name="_Toc446958825"/>
      <w:bookmarkStart w:id="276" w:name="_Toc91153315"/>
      <w:bookmarkStart w:id="277" w:name="_Toc421089486"/>
      <w:bookmarkStart w:id="278" w:name="_Toc326328273"/>
      <w:bookmarkStart w:id="279" w:name="_Toc96865258"/>
      <w:bookmarkStart w:id="280" w:name="_Toc265702596"/>
      <w:bookmarkStart w:id="281" w:name="_Toc234125840"/>
      <w:bookmarkStart w:id="282" w:name="_Toc391392841"/>
    </w:p>
    <w:p>
      <w:pPr>
        <w:tabs>
          <w:tab w:val="left" w:pos="826"/>
        </w:tabs>
        <w:snapToGrid w:val="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2</w:t>
      </w:r>
      <w:r>
        <w:rPr>
          <w:rFonts w:ascii="宋体" w:hAnsi="宋体"/>
          <w:color w:val="auto"/>
          <w:kern w:val="0"/>
          <w:szCs w:val="21"/>
        </w:rPr>
        <w:t>）</w:t>
      </w:r>
      <w:r>
        <w:rPr>
          <w:rFonts w:hint="eastAsia" w:ascii="宋体" w:hAnsi="宋体"/>
          <w:color w:val="auto"/>
          <w:kern w:val="0"/>
          <w:szCs w:val="21"/>
        </w:rPr>
        <w:t>拟投入的技术力量、人员配置</w:t>
      </w:r>
    </w:p>
    <w:tbl>
      <w:tblPr>
        <w:tblStyle w:val="31"/>
        <w:tblW w:w="925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194"/>
        <w:gridCol w:w="1194"/>
        <w:gridCol w:w="1194"/>
        <w:gridCol w:w="1194"/>
        <w:gridCol w:w="1194"/>
        <w:gridCol w:w="119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tcPr>
          <w:p>
            <w:pPr>
              <w:rPr>
                <w:rFonts w:hAnsi="宋体"/>
                <w:color w:val="auto"/>
                <w:szCs w:val="21"/>
              </w:rPr>
            </w:pPr>
            <w:r>
              <w:rPr>
                <w:rFonts w:hint="eastAsia" w:hAnsi="宋体"/>
                <w:color w:val="auto"/>
                <w:szCs w:val="21"/>
              </w:rPr>
              <w:t>序号</w:t>
            </w:r>
          </w:p>
        </w:tc>
        <w:tc>
          <w:tcPr>
            <w:tcW w:w="1194" w:type="dxa"/>
          </w:tcPr>
          <w:p>
            <w:pPr>
              <w:rPr>
                <w:rFonts w:hAnsi="宋体"/>
                <w:color w:val="auto"/>
                <w:szCs w:val="21"/>
              </w:rPr>
            </w:pPr>
            <w:r>
              <w:rPr>
                <w:rFonts w:hint="eastAsia" w:hAnsi="宋体"/>
                <w:color w:val="auto"/>
                <w:szCs w:val="21"/>
              </w:rPr>
              <w:t>姓名</w:t>
            </w:r>
          </w:p>
        </w:tc>
        <w:tc>
          <w:tcPr>
            <w:tcW w:w="1194" w:type="dxa"/>
          </w:tcPr>
          <w:p>
            <w:pPr>
              <w:rPr>
                <w:rFonts w:hAnsi="宋体"/>
                <w:color w:val="auto"/>
                <w:szCs w:val="21"/>
              </w:rPr>
            </w:pPr>
            <w:r>
              <w:rPr>
                <w:rFonts w:hint="eastAsia" w:hAnsi="宋体"/>
                <w:color w:val="auto"/>
                <w:szCs w:val="21"/>
              </w:rPr>
              <w:t>性别</w:t>
            </w:r>
          </w:p>
        </w:tc>
        <w:tc>
          <w:tcPr>
            <w:tcW w:w="1194" w:type="dxa"/>
          </w:tcPr>
          <w:p>
            <w:pPr>
              <w:rPr>
                <w:rFonts w:hAnsi="宋体"/>
                <w:color w:val="auto"/>
                <w:szCs w:val="21"/>
              </w:rPr>
            </w:pPr>
            <w:r>
              <w:rPr>
                <w:rFonts w:hint="eastAsia" w:hAnsi="宋体"/>
                <w:color w:val="auto"/>
                <w:szCs w:val="21"/>
              </w:rPr>
              <w:t>出生日期</w:t>
            </w:r>
          </w:p>
        </w:tc>
        <w:tc>
          <w:tcPr>
            <w:tcW w:w="1194" w:type="dxa"/>
          </w:tcPr>
          <w:p>
            <w:pPr>
              <w:rPr>
                <w:rFonts w:hAnsi="宋体"/>
                <w:color w:val="auto"/>
                <w:szCs w:val="21"/>
              </w:rPr>
            </w:pPr>
            <w:r>
              <w:rPr>
                <w:rFonts w:hint="eastAsia" w:hAnsi="宋体"/>
                <w:color w:val="auto"/>
                <w:szCs w:val="21"/>
              </w:rPr>
              <w:t>学历</w:t>
            </w:r>
          </w:p>
        </w:tc>
        <w:tc>
          <w:tcPr>
            <w:tcW w:w="1194" w:type="dxa"/>
          </w:tcPr>
          <w:p>
            <w:pPr>
              <w:rPr>
                <w:rFonts w:hAnsi="宋体"/>
                <w:color w:val="auto"/>
                <w:szCs w:val="21"/>
              </w:rPr>
            </w:pPr>
            <w:r>
              <w:rPr>
                <w:rFonts w:hint="eastAsia" w:hAnsi="宋体"/>
                <w:color w:val="auto"/>
                <w:szCs w:val="21"/>
              </w:rPr>
              <w:t>专业</w:t>
            </w:r>
          </w:p>
        </w:tc>
        <w:tc>
          <w:tcPr>
            <w:tcW w:w="1194" w:type="dxa"/>
          </w:tcPr>
          <w:p>
            <w:pPr>
              <w:rPr>
                <w:rFonts w:hAnsi="宋体"/>
                <w:color w:val="auto"/>
                <w:szCs w:val="21"/>
              </w:rPr>
            </w:pPr>
            <w:r>
              <w:rPr>
                <w:rFonts w:hint="eastAsia" w:hAnsi="宋体"/>
                <w:color w:val="auto"/>
                <w:szCs w:val="21"/>
              </w:rPr>
              <w:t>技术职称</w:t>
            </w:r>
          </w:p>
        </w:tc>
        <w:tc>
          <w:tcPr>
            <w:tcW w:w="1195" w:type="dxa"/>
          </w:tcPr>
          <w:p>
            <w:pPr>
              <w:rPr>
                <w:rFonts w:hAnsi="宋体"/>
                <w:color w:val="auto"/>
                <w:szCs w:val="21"/>
              </w:rPr>
            </w:pPr>
            <w:r>
              <w:rPr>
                <w:rFonts w:hint="eastAsia" w:hAnsi="宋体"/>
                <w:color w:val="auto"/>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5" w:type="dxa"/>
          </w:tcPr>
          <w:p>
            <w:pP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5" w:type="dxa"/>
          </w:tcPr>
          <w:p>
            <w:pP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5" w:type="dxa"/>
          </w:tcPr>
          <w:p>
            <w:pP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5" w:type="dxa"/>
          </w:tcPr>
          <w:p>
            <w:pP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5" w:type="dxa"/>
          </w:tcPr>
          <w:p>
            <w:pP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4" w:type="dxa"/>
          </w:tcPr>
          <w:p>
            <w:pPr>
              <w:rPr>
                <w:rFonts w:hAnsi="宋体"/>
                <w:color w:val="auto"/>
                <w:szCs w:val="21"/>
              </w:rPr>
            </w:pPr>
          </w:p>
        </w:tc>
        <w:tc>
          <w:tcPr>
            <w:tcW w:w="1195" w:type="dxa"/>
          </w:tcPr>
          <w:p>
            <w:pPr>
              <w:rPr>
                <w:rFonts w:hAnsi="宋体"/>
                <w:color w:val="auto"/>
                <w:szCs w:val="21"/>
              </w:rPr>
            </w:pPr>
          </w:p>
        </w:tc>
      </w:tr>
    </w:tbl>
    <w:p>
      <w:pPr>
        <w:tabs>
          <w:tab w:val="left" w:pos="0"/>
        </w:tabs>
        <w:spacing w:line="360" w:lineRule="auto"/>
        <w:ind w:right="-210"/>
        <w:rPr>
          <w:rFonts w:eastAsia="楷体_GB2312"/>
          <w:color w:val="auto"/>
        </w:rPr>
      </w:pPr>
    </w:p>
    <w:p>
      <w:pPr>
        <w:tabs>
          <w:tab w:val="left" w:pos="0"/>
        </w:tabs>
        <w:spacing w:line="360" w:lineRule="auto"/>
        <w:ind w:right="-210"/>
        <w:rPr>
          <w:rFonts w:eastAsia="楷体_GB2312"/>
          <w:color w:val="auto"/>
        </w:rPr>
      </w:pPr>
      <w:r>
        <w:rPr>
          <w:rFonts w:eastAsia="楷体_GB2312"/>
          <w:color w:val="auto"/>
        </w:rPr>
        <w:t>【备注：</w:t>
      </w:r>
      <w:r>
        <w:rPr>
          <w:rFonts w:hint="eastAsia" w:eastAsia="楷体_GB2312"/>
          <w:color w:val="auto"/>
        </w:rPr>
        <w:t>附</w:t>
      </w:r>
      <w:r>
        <w:rPr>
          <w:rFonts w:eastAsia="楷体_GB2312"/>
          <w:color w:val="auto"/>
        </w:rPr>
        <w:t>各岗位人员</w:t>
      </w:r>
      <w:r>
        <w:rPr>
          <w:rFonts w:hint="eastAsia" w:eastAsia="楷体_GB2312"/>
          <w:color w:val="auto"/>
        </w:rPr>
        <w:t>执业</w:t>
      </w:r>
      <w:r>
        <w:rPr>
          <w:rFonts w:eastAsia="楷体_GB2312"/>
          <w:color w:val="auto"/>
        </w:rPr>
        <w:t>资格证件</w:t>
      </w:r>
      <w:r>
        <w:rPr>
          <w:rFonts w:hint="eastAsia" w:eastAsia="楷体_GB2312"/>
          <w:color w:val="auto"/>
        </w:rPr>
        <w:t>和身份证</w:t>
      </w:r>
      <w:r>
        <w:rPr>
          <w:rFonts w:eastAsia="楷体_GB2312"/>
          <w:color w:val="auto"/>
        </w:rPr>
        <w:t>复印件</w:t>
      </w:r>
      <w:r>
        <w:rPr>
          <w:rFonts w:hint="eastAsia" w:eastAsia="楷体_GB2312"/>
          <w:color w:val="auto"/>
        </w:rPr>
        <w:t>，</w:t>
      </w:r>
      <w:r>
        <w:rPr>
          <w:rFonts w:eastAsia="楷体_GB2312"/>
          <w:color w:val="auto"/>
        </w:rPr>
        <w:t>复印件</w:t>
      </w:r>
      <w:r>
        <w:rPr>
          <w:rFonts w:hint="eastAsia" w:eastAsia="楷体_GB2312"/>
          <w:color w:val="auto"/>
        </w:rPr>
        <w:t>均须加盖服务商单位公章。</w:t>
      </w:r>
      <w:r>
        <w:rPr>
          <w:rFonts w:eastAsia="楷体_GB2312"/>
          <w:color w:val="auto"/>
        </w:rPr>
        <w:t>】</w:t>
      </w:r>
    </w:p>
    <w:bookmarkEnd w:id="275"/>
    <w:bookmarkEnd w:id="276"/>
    <w:bookmarkEnd w:id="277"/>
    <w:bookmarkEnd w:id="278"/>
    <w:bookmarkEnd w:id="279"/>
    <w:bookmarkEnd w:id="280"/>
    <w:bookmarkEnd w:id="281"/>
    <w:bookmarkEnd w:id="282"/>
    <w:p>
      <w:pPr>
        <w:rPr>
          <w:color w:val="auto"/>
          <w:szCs w:val="21"/>
        </w:rPr>
      </w:pPr>
    </w:p>
    <w:p>
      <w:pPr>
        <w:rPr>
          <w:color w:val="auto"/>
          <w:szCs w:val="21"/>
        </w:rPr>
      </w:pPr>
    </w:p>
    <w:p>
      <w:pPr>
        <w:rPr>
          <w:color w:val="auto"/>
          <w:szCs w:val="21"/>
        </w:rPr>
      </w:pPr>
    </w:p>
    <w:p>
      <w:pPr>
        <w:rPr>
          <w:color w:val="auto"/>
          <w:szCs w:val="21"/>
        </w:rPr>
      </w:pPr>
    </w:p>
    <w:p>
      <w:pPr>
        <w:jc w:val="center"/>
        <w:rPr>
          <w:color w:val="auto"/>
          <w:sz w:val="32"/>
          <w:szCs w:val="21"/>
        </w:rPr>
      </w:pPr>
      <w:r>
        <w:rPr>
          <w:rFonts w:hint="eastAsia"/>
          <w:color w:val="auto"/>
          <w:sz w:val="32"/>
          <w:szCs w:val="21"/>
        </w:rPr>
        <w:t>诚信声明（格式）</w:t>
      </w:r>
    </w:p>
    <w:p>
      <w:pPr>
        <w:rPr>
          <w:color w:val="auto"/>
          <w:szCs w:val="21"/>
        </w:rPr>
      </w:pPr>
    </w:p>
    <w:p>
      <w:pPr>
        <w:spacing w:line="360" w:lineRule="auto"/>
        <w:ind w:firstLine="525" w:firstLineChars="250"/>
        <w:rPr>
          <w:color w:val="auto"/>
          <w:szCs w:val="21"/>
        </w:rPr>
      </w:pPr>
      <w:r>
        <w:rPr>
          <w:rFonts w:hint="eastAsia"/>
          <w:color w:val="auto"/>
          <w:szCs w:val="21"/>
        </w:rPr>
        <w:t>本企业法定代表人（法定代表人、身份证号码）郑重声明，本企业参加</w:t>
      </w:r>
      <w:r>
        <w:rPr>
          <w:rFonts w:hint="eastAsia"/>
          <w:color w:val="auto"/>
          <w:szCs w:val="21"/>
          <w:u w:val="single"/>
        </w:rPr>
        <w:t>（项目名称）</w:t>
      </w:r>
      <w:r>
        <w:rPr>
          <w:rFonts w:hint="eastAsia"/>
          <w:color w:val="auto"/>
          <w:szCs w:val="21"/>
        </w:rPr>
        <w:t>（</w:t>
      </w:r>
      <w:r>
        <w:rPr>
          <w:rFonts w:hint="eastAsia"/>
          <w:color w:val="auto"/>
          <w:szCs w:val="21"/>
          <w:u w:val="single"/>
        </w:rPr>
        <w:t>项目编号：</w:t>
      </w:r>
      <w:r>
        <w:rPr>
          <w:rFonts w:hint="eastAsia"/>
          <w:color w:val="auto"/>
          <w:szCs w:val="21"/>
        </w:rPr>
        <w:t>）所提交的所有资料、填写数据及所包含的附件资料内容是真实的、合法的、有效的，所提供的服务能按竞标文件所承诺的提供。所提交的货物是全新的、未使用的原装产品，且在正常安装、使用和保养条件下，其使用寿命期内各项指标均达到质量要求。本企业承诺在本项目的整个采购活动过程中严格遵守职业道德，坚持公开、公正、公平原则，依法依规参与竞争，决不从事任何不正当竞争和任何违法违纪行为，保持廉洁自律。同样我在此所作的声明也是真实有效的。并愿意对在竞标过程中有关部门的调查结果承担责任。本企业提交的所有竞标资料如有不实，愿接受财政部门和行业主管部门依据有关法律法规给予的处罚。</w:t>
      </w:r>
    </w:p>
    <w:p>
      <w:pPr>
        <w:rPr>
          <w:color w:val="auto"/>
          <w:szCs w:val="21"/>
        </w:rPr>
      </w:pPr>
    </w:p>
    <w:p>
      <w:pPr>
        <w:rPr>
          <w:color w:val="auto"/>
          <w:szCs w:val="21"/>
        </w:rPr>
      </w:pPr>
    </w:p>
    <w:p>
      <w:pPr>
        <w:rPr>
          <w:color w:val="auto"/>
          <w:szCs w:val="21"/>
          <w:u w:val="single"/>
        </w:rPr>
      </w:pPr>
      <w:r>
        <w:rPr>
          <w:rFonts w:hint="eastAsia"/>
          <w:color w:val="auto"/>
          <w:szCs w:val="21"/>
        </w:rPr>
        <w:t>服务商名称（盖单位公章）：</w:t>
      </w:r>
    </w:p>
    <w:p>
      <w:pPr>
        <w:rPr>
          <w:color w:val="auto"/>
          <w:szCs w:val="21"/>
        </w:rPr>
      </w:pPr>
      <w:r>
        <w:rPr>
          <w:rFonts w:hint="eastAsia"/>
          <w:color w:val="auto"/>
          <w:szCs w:val="21"/>
        </w:rPr>
        <w:t>法定代表人或其委托代理人（签字或盖章）</w:t>
      </w:r>
    </w:p>
    <w:p>
      <w:pPr>
        <w:pStyle w:val="24"/>
        <w:rPr>
          <w:color w:val="auto"/>
        </w:rPr>
      </w:pPr>
    </w:p>
    <w:p>
      <w:pPr>
        <w:rPr>
          <w:color w:val="auto"/>
          <w:szCs w:val="21"/>
        </w:rPr>
      </w:pPr>
    </w:p>
    <w:p>
      <w:pPr>
        <w:pStyle w:val="24"/>
        <w:rPr>
          <w:color w:val="auto"/>
        </w:rPr>
      </w:pPr>
    </w:p>
    <w:p>
      <w:pPr>
        <w:rPr>
          <w:color w:val="auto"/>
          <w:szCs w:val="21"/>
        </w:rPr>
      </w:pPr>
    </w:p>
    <w:p>
      <w:pPr>
        <w:pStyle w:val="24"/>
        <w:rPr>
          <w:color w:val="auto"/>
        </w:rPr>
      </w:pPr>
    </w:p>
    <w:p>
      <w:pPr>
        <w:rPr>
          <w:color w:val="auto"/>
          <w:szCs w:val="21"/>
        </w:rPr>
      </w:pPr>
    </w:p>
    <w:p>
      <w:pPr>
        <w:pStyle w:val="24"/>
        <w:rPr>
          <w:color w:val="auto"/>
        </w:rPr>
      </w:pPr>
    </w:p>
    <w:p>
      <w:pPr>
        <w:rPr>
          <w:color w:val="auto"/>
          <w:szCs w:val="21"/>
        </w:rPr>
      </w:pPr>
    </w:p>
    <w:p>
      <w:pPr>
        <w:pStyle w:val="24"/>
        <w:rPr>
          <w:color w:val="auto"/>
        </w:rPr>
      </w:pPr>
    </w:p>
    <w:p>
      <w:pPr>
        <w:rPr>
          <w:color w:val="auto"/>
          <w:szCs w:val="21"/>
        </w:rPr>
      </w:pPr>
    </w:p>
    <w:p>
      <w:pPr>
        <w:pStyle w:val="24"/>
        <w:rPr>
          <w:color w:val="auto"/>
        </w:rPr>
      </w:pPr>
    </w:p>
    <w:p>
      <w:pPr>
        <w:rPr>
          <w:color w:val="auto"/>
          <w:szCs w:val="21"/>
        </w:rPr>
      </w:pPr>
    </w:p>
    <w:p>
      <w:pPr>
        <w:pStyle w:val="24"/>
        <w:rPr>
          <w:color w:val="auto"/>
        </w:rPr>
      </w:pPr>
    </w:p>
    <w:p>
      <w:pPr>
        <w:rPr>
          <w:color w:val="auto"/>
          <w:szCs w:val="21"/>
        </w:rPr>
      </w:pPr>
    </w:p>
    <w:p>
      <w:pPr>
        <w:pStyle w:val="24"/>
        <w:rPr>
          <w:color w:val="auto"/>
        </w:rPr>
      </w:pPr>
    </w:p>
    <w:p>
      <w:pPr>
        <w:rPr>
          <w:color w:val="auto"/>
          <w:szCs w:val="21"/>
        </w:rPr>
      </w:pPr>
    </w:p>
    <w:p>
      <w:pPr>
        <w:pStyle w:val="24"/>
        <w:rPr>
          <w:color w:val="auto"/>
        </w:rPr>
      </w:pPr>
    </w:p>
    <w:p>
      <w:pPr>
        <w:rPr>
          <w:color w:val="auto"/>
          <w:szCs w:val="21"/>
        </w:rPr>
      </w:pPr>
    </w:p>
    <w:p>
      <w:pPr>
        <w:pStyle w:val="24"/>
        <w:rPr>
          <w:color w:val="auto"/>
        </w:rPr>
      </w:pPr>
    </w:p>
    <w:p>
      <w:pPr>
        <w:rPr>
          <w:color w:val="auto"/>
          <w:szCs w:val="21"/>
        </w:rPr>
      </w:pPr>
    </w:p>
    <w:p>
      <w:pPr>
        <w:pStyle w:val="24"/>
        <w:rPr>
          <w:color w:val="auto"/>
        </w:rPr>
      </w:pPr>
    </w:p>
    <w:p>
      <w:pPr>
        <w:rPr>
          <w:color w:val="auto"/>
          <w:szCs w:val="21"/>
        </w:rPr>
      </w:pPr>
    </w:p>
    <w:p>
      <w:pPr>
        <w:pStyle w:val="24"/>
        <w:rPr>
          <w:color w:val="auto"/>
        </w:rPr>
      </w:pPr>
    </w:p>
    <w:p>
      <w:pPr>
        <w:pStyle w:val="17"/>
        <w:spacing w:line="400" w:lineRule="exact"/>
        <w:jc w:val="center"/>
        <w:rPr>
          <w:b/>
          <w:color w:val="auto"/>
          <w:sz w:val="30"/>
          <w:szCs w:val="30"/>
        </w:rPr>
      </w:pPr>
      <w:bookmarkStart w:id="283" w:name="_Toc210184913"/>
      <w:bookmarkStart w:id="284" w:name="_Toc206525312"/>
      <w:bookmarkStart w:id="285" w:name="_Toc205094828"/>
      <w:bookmarkStart w:id="286" w:name="_Toc230578120"/>
      <w:bookmarkStart w:id="287" w:name="_Toc211355201"/>
      <w:r>
        <w:rPr>
          <w:rFonts w:hint="eastAsia" w:ascii="隶书" w:hAnsi="宋体" w:eastAsia="隶书"/>
          <w:bCs/>
          <w:color w:val="auto"/>
          <w:sz w:val="44"/>
        </w:rPr>
        <w:t>第六章   附件</w:t>
      </w:r>
      <w:bookmarkEnd w:id="283"/>
      <w:bookmarkEnd w:id="284"/>
      <w:bookmarkEnd w:id="285"/>
      <w:bookmarkEnd w:id="286"/>
      <w:bookmarkEnd w:id="287"/>
      <w:bookmarkStart w:id="288" w:name="_Toc210184914"/>
      <w:bookmarkStart w:id="289" w:name="_Toc211355202"/>
      <w:bookmarkStart w:id="290" w:name="_Toc206525311"/>
    </w:p>
    <w:p>
      <w:pPr>
        <w:pStyle w:val="17"/>
        <w:spacing w:line="400" w:lineRule="exact"/>
        <w:jc w:val="center"/>
        <w:rPr>
          <w:b/>
          <w:color w:val="auto"/>
          <w:sz w:val="30"/>
          <w:szCs w:val="30"/>
        </w:rPr>
      </w:pPr>
      <w:r>
        <w:rPr>
          <w:rFonts w:hint="eastAsia" w:hAnsi="宋体"/>
          <w:b/>
          <w:bCs/>
          <w:color w:val="auto"/>
          <w:sz w:val="28"/>
          <w:szCs w:val="28"/>
        </w:rPr>
        <w:t>附件1：</w:t>
      </w:r>
      <w:r>
        <w:rPr>
          <w:rFonts w:hint="eastAsia"/>
          <w:b/>
          <w:color w:val="auto"/>
          <w:sz w:val="30"/>
          <w:szCs w:val="30"/>
        </w:rPr>
        <w:t>政府采购项目履约保证金退付审批表</w:t>
      </w:r>
    </w:p>
    <w:bookmarkEnd w:id="288"/>
    <w:bookmarkEnd w:id="289"/>
    <w:bookmarkEnd w:id="290"/>
    <w:p>
      <w:pPr>
        <w:pStyle w:val="17"/>
        <w:spacing w:line="400" w:lineRule="exact"/>
        <w:rPr>
          <w:color w:val="auto"/>
        </w:rPr>
      </w:pPr>
      <w:r>
        <w:rPr>
          <w:rFonts w:hint="eastAsia"/>
          <w:color w:val="auto"/>
          <w:sz w:val="20"/>
          <w:szCs w:val="21"/>
        </w:rPr>
        <w:t>（注：中标人按合同履约的，于服务期满后填写意见书并经采购人确认，递交到</w:t>
      </w:r>
      <w:r>
        <w:rPr>
          <w:rFonts w:hint="eastAsia" w:hAnsi="宋体" w:cs="宋体"/>
          <w:color w:val="auto"/>
          <w:sz w:val="20"/>
          <w:szCs w:val="21"/>
          <w:shd w:val="clear" w:color="auto" w:fill="FFFFFF"/>
        </w:rPr>
        <w:t>蒙山县公共</w:t>
      </w:r>
      <w:r>
        <w:rPr>
          <w:rFonts w:hint="eastAsia" w:hAnsi="宋体" w:cs="宋体"/>
          <w:color w:val="auto"/>
          <w:szCs w:val="21"/>
          <w:shd w:val="clear" w:color="auto" w:fill="FFFFFF"/>
        </w:rPr>
        <w:t>资源交易中心</w:t>
      </w:r>
      <w:r>
        <w:rPr>
          <w:rFonts w:hint="eastAsia"/>
          <w:color w:val="auto"/>
          <w:szCs w:val="21"/>
        </w:rPr>
        <w:t>。）</w:t>
      </w:r>
    </w:p>
    <w:p>
      <w:pPr>
        <w:spacing w:line="240" w:lineRule="exact"/>
        <w:rPr>
          <w:rFonts w:ascii="宋体" w:hAnsi="宋体"/>
          <w:b/>
          <w:color w:val="auto"/>
          <w:szCs w:val="21"/>
        </w:rPr>
      </w:pPr>
      <w:r>
        <w:rPr>
          <w:rFonts w:hint="eastAsia" w:ascii="宋体" w:hAnsi="宋体"/>
          <w:b/>
          <w:color w:val="auto"/>
          <w:szCs w:val="21"/>
        </w:rPr>
        <w:t>1、申请表一式一份；</w:t>
      </w:r>
    </w:p>
    <w:p>
      <w:pPr>
        <w:spacing w:line="240" w:lineRule="exact"/>
        <w:ind w:left="310" w:hanging="310" w:hangingChars="147"/>
        <w:rPr>
          <w:rFonts w:ascii="宋体" w:hAnsi="宋体"/>
          <w:b/>
          <w:color w:val="auto"/>
          <w:szCs w:val="21"/>
        </w:rPr>
      </w:pPr>
      <w:r>
        <w:rPr>
          <w:rFonts w:hint="eastAsia" w:ascii="宋体" w:hAnsi="宋体"/>
          <w:b/>
          <w:color w:val="auto"/>
          <w:szCs w:val="21"/>
        </w:rPr>
        <w:t>2、附交付履约保证金凭据原件、履约保证金银行转账底单复印件（加盖公章）、项目合同及验收合格证明复印件（加盖公章）。</w:t>
      </w:r>
    </w:p>
    <w:p>
      <w:pPr>
        <w:pStyle w:val="17"/>
        <w:spacing w:line="200" w:lineRule="exact"/>
        <w:rPr>
          <w:b/>
          <w:color w:val="auto"/>
          <w:szCs w:val="21"/>
        </w:rPr>
      </w:pPr>
    </w:p>
    <w:p>
      <w:pPr>
        <w:spacing w:line="200" w:lineRule="exact"/>
        <w:rPr>
          <w:color w:val="auto"/>
        </w:rPr>
      </w:pPr>
    </w:p>
    <w:tbl>
      <w:tblPr>
        <w:tblStyle w:val="31"/>
        <w:tblpPr w:leftFromText="180" w:rightFromText="180" w:vertAnchor="page" w:horzAnchor="margin" w:tblpXSpec="center" w:tblpY="29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40"/>
        <w:gridCol w:w="252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供应商申请</w:t>
            </w:r>
          </w:p>
        </w:tc>
        <w:tc>
          <w:tcPr>
            <w:tcW w:w="8280"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olor w:val="auto"/>
                <w:sz w:val="24"/>
              </w:rPr>
            </w:pPr>
            <w:r>
              <w:rPr>
                <w:rFonts w:hint="eastAsia" w:ascii="仿宋" w:hAnsi="仿宋" w:eastAsia="仿宋"/>
                <w:color w:val="auto"/>
                <w:sz w:val="24"/>
              </w:rPr>
              <w:t>政府采购项目编号：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rPr>
            </w:pPr>
          </w:p>
        </w:tc>
        <w:tc>
          <w:tcPr>
            <w:tcW w:w="8280"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olor w:val="auto"/>
                <w:sz w:val="24"/>
              </w:rPr>
            </w:pPr>
          </w:p>
          <w:p>
            <w:pPr>
              <w:rPr>
                <w:rFonts w:ascii="仿宋" w:hAnsi="仿宋" w:eastAsia="仿宋"/>
                <w:color w:val="auto"/>
                <w:sz w:val="24"/>
                <w:u w:val="single"/>
              </w:rPr>
            </w:pPr>
            <w:r>
              <w:rPr>
                <w:rFonts w:hint="eastAsia" w:ascii="仿宋" w:hAnsi="仿宋" w:eastAsia="仿宋"/>
                <w:color w:val="auto"/>
                <w:sz w:val="24"/>
              </w:rPr>
              <w:t>项目名称：</w:t>
            </w:r>
          </w:p>
          <w:p>
            <w:pPr>
              <w:rPr>
                <w:rFonts w:ascii="仿宋" w:hAnsi="仿宋" w:eastAsia="仿宋"/>
                <w:color w:val="auto"/>
                <w:sz w:val="24"/>
              </w:rPr>
            </w:pPr>
            <w:r>
              <w:rPr>
                <w:rFonts w:hint="eastAsia" w:ascii="仿宋" w:hAnsi="仿宋" w:eastAsia="仿宋"/>
                <w:color w:val="auto"/>
                <w:sz w:val="24"/>
              </w:rPr>
              <w:t>该项目已于年月日验收合格并交付使用，请将履约保证金（大写）（附履约保证金收据、银行转账单复印件、合同及验收合格证明）退付到以下账户：</w:t>
            </w:r>
          </w:p>
          <w:p>
            <w:pPr>
              <w:rPr>
                <w:rFonts w:ascii="仿宋" w:hAnsi="仿宋" w:eastAsia="仿宋"/>
                <w:color w:val="auto"/>
                <w:sz w:val="24"/>
              </w:rPr>
            </w:pPr>
          </w:p>
          <w:p>
            <w:pPr>
              <w:ind w:firstLine="480" w:firstLineChars="200"/>
              <w:rPr>
                <w:rFonts w:ascii="仿宋" w:hAnsi="仿宋" w:eastAsia="仿宋"/>
                <w:color w:val="auto"/>
                <w:sz w:val="24"/>
              </w:rPr>
            </w:pPr>
            <w:r>
              <w:rPr>
                <w:rFonts w:hint="eastAsia" w:ascii="仿宋" w:hAnsi="仿宋" w:eastAsia="仿宋"/>
                <w:color w:val="auto"/>
                <w:sz w:val="24"/>
              </w:rPr>
              <w:t>单位全称：</w:t>
            </w:r>
          </w:p>
          <w:p>
            <w:pPr>
              <w:rPr>
                <w:rFonts w:ascii="仿宋" w:hAnsi="仿宋" w:eastAsia="仿宋"/>
                <w:color w:val="auto"/>
                <w:sz w:val="24"/>
              </w:rPr>
            </w:pPr>
          </w:p>
          <w:p>
            <w:pPr>
              <w:ind w:firstLine="480" w:firstLineChars="200"/>
              <w:rPr>
                <w:rFonts w:ascii="仿宋" w:hAnsi="仿宋" w:eastAsia="仿宋"/>
                <w:color w:val="auto"/>
                <w:sz w:val="24"/>
              </w:rPr>
            </w:pPr>
            <w:r>
              <w:rPr>
                <w:rFonts w:hint="eastAsia" w:ascii="仿宋" w:hAnsi="仿宋" w:eastAsia="仿宋"/>
                <w:color w:val="auto"/>
                <w:sz w:val="24"/>
              </w:rPr>
              <w:t>开户银行：</w:t>
            </w:r>
          </w:p>
          <w:p>
            <w:pPr>
              <w:rPr>
                <w:rFonts w:ascii="仿宋" w:hAnsi="仿宋" w:eastAsia="仿宋"/>
                <w:color w:val="auto"/>
                <w:sz w:val="24"/>
              </w:rPr>
            </w:pPr>
          </w:p>
          <w:p>
            <w:pPr>
              <w:ind w:firstLine="480" w:firstLineChars="200"/>
              <w:rPr>
                <w:rFonts w:ascii="仿宋" w:hAnsi="仿宋" w:eastAsia="仿宋"/>
                <w:color w:val="auto"/>
                <w:sz w:val="24"/>
              </w:rPr>
            </w:pPr>
            <w:r>
              <w:rPr>
                <w:rFonts w:hint="eastAsia" w:ascii="仿宋" w:hAnsi="仿宋" w:eastAsia="仿宋"/>
                <w:color w:val="auto"/>
                <w:sz w:val="24"/>
              </w:rPr>
              <w:t>账号：</w:t>
            </w:r>
          </w:p>
          <w:p>
            <w:pPr>
              <w:rPr>
                <w:rFonts w:ascii="仿宋" w:hAnsi="仿宋" w:eastAsia="仿宋"/>
                <w:color w:val="auto"/>
                <w:sz w:val="24"/>
              </w:rPr>
            </w:pPr>
            <w:r>
              <w:rPr>
                <w:rFonts w:hint="eastAsia" w:ascii="仿宋" w:hAnsi="仿宋" w:eastAsia="仿宋"/>
                <w:color w:val="auto"/>
                <w:sz w:val="24"/>
              </w:rPr>
              <w:t xml:space="preserve">                                          供应商签章</w:t>
            </w:r>
          </w:p>
          <w:p>
            <w:pPr>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联系人：           联系电话：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采购单位同意退付金额</w:t>
            </w:r>
          </w:p>
        </w:tc>
        <w:tc>
          <w:tcPr>
            <w:tcW w:w="8280"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退付意见：(是否同意退付履约保证金)</w:t>
            </w:r>
          </w:p>
          <w:p>
            <w:pPr>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退付金额（大写）（￥ 元）</w:t>
            </w:r>
          </w:p>
          <w:p>
            <w:pPr>
              <w:rPr>
                <w:rFonts w:ascii="仿宋" w:hAnsi="仿宋" w:eastAsia="仿宋"/>
                <w:color w:val="auto"/>
                <w:sz w:val="24"/>
              </w:rPr>
            </w:pPr>
          </w:p>
          <w:p>
            <w:pPr>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 xml:space="preserve">                                        采购单位：  盖  章</w:t>
            </w:r>
          </w:p>
          <w:p>
            <w:pPr>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联系人：           联系电话：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采购单位审核意见</w:t>
            </w:r>
          </w:p>
        </w:tc>
        <w:tc>
          <w:tcPr>
            <w:tcW w:w="8280"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此表于年月日收到（接表人填写），送表人签字：</w:t>
            </w:r>
          </w:p>
          <w:p>
            <w:pPr>
              <w:rPr>
                <w:rFonts w:ascii="仿宋" w:hAnsi="仿宋" w:eastAsia="仿宋"/>
                <w:color w:val="auto"/>
                <w:sz w:val="24"/>
              </w:rPr>
            </w:pPr>
          </w:p>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rPr>
            </w:pPr>
          </w:p>
        </w:tc>
        <w:tc>
          <w:tcPr>
            <w:tcW w:w="2340" w:type="dxa"/>
            <w:tcBorders>
              <w:top w:val="single" w:color="auto" w:sz="4" w:space="0"/>
              <w:left w:val="single" w:color="auto" w:sz="4" w:space="0"/>
              <w:bottom w:val="single" w:color="auto" w:sz="4" w:space="0"/>
              <w:right w:val="single" w:color="auto" w:sz="4" w:space="0"/>
            </w:tcBorders>
          </w:tcPr>
          <w:p>
            <w:pPr>
              <w:rPr>
                <w:rFonts w:ascii="仿宋" w:hAnsi="仿宋" w:eastAsia="仿宋"/>
                <w:color w:val="auto"/>
                <w:sz w:val="24"/>
              </w:rPr>
            </w:pPr>
            <w:r>
              <w:rPr>
                <w:rFonts w:hint="eastAsia" w:ascii="仿宋" w:hAnsi="仿宋" w:eastAsia="仿宋"/>
                <w:color w:val="auto"/>
                <w:sz w:val="24"/>
              </w:rPr>
              <w:t>经办人审核意见</w:t>
            </w:r>
          </w:p>
          <w:p>
            <w:pPr>
              <w:rPr>
                <w:rFonts w:ascii="仿宋" w:hAnsi="仿宋" w:eastAsia="仿宋"/>
                <w:color w:val="auto"/>
                <w:sz w:val="24"/>
              </w:rPr>
            </w:pPr>
          </w:p>
          <w:p>
            <w:pPr>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 xml:space="preserve">    年   月   日</w:t>
            </w:r>
          </w:p>
        </w:tc>
        <w:tc>
          <w:tcPr>
            <w:tcW w:w="2520" w:type="dxa"/>
            <w:tcBorders>
              <w:top w:val="single" w:color="auto" w:sz="4" w:space="0"/>
              <w:left w:val="single" w:color="auto" w:sz="4" w:space="0"/>
              <w:bottom w:val="single" w:color="auto" w:sz="4" w:space="0"/>
              <w:right w:val="single" w:color="auto" w:sz="4" w:space="0"/>
            </w:tcBorders>
          </w:tcPr>
          <w:p>
            <w:pPr>
              <w:rPr>
                <w:rFonts w:ascii="仿宋" w:hAnsi="仿宋" w:eastAsia="仿宋"/>
                <w:color w:val="auto"/>
                <w:sz w:val="24"/>
              </w:rPr>
            </w:pPr>
            <w:r>
              <w:rPr>
                <w:rFonts w:hint="eastAsia" w:ascii="仿宋" w:hAnsi="仿宋" w:eastAsia="仿宋"/>
                <w:color w:val="auto"/>
                <w:sz w:val="24"/>
              </w:rPr>
              <w:t>分管领导意见</w:t>
            </w:r>
          </w:p>
          <w:p>
            <w:pPr>
              <w:rPr>
                <w:rFonts w:ascii="仿宋" w:hAnsi="仿宋" w:eastAsia="仿宋"/>
                <w:color w:val="auto"/>
                <w:sz w:val="24"/>
              </w:rPr>
            </w:pPr>
          </w:p>
          <w:p>
            <w:pPr>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 xml:space="preserve">    年   月   日</w:t>
            </w:r>
          </w:p>
        </w:tc>
        <w:tc>
          <w:tcPr>
            <w:tcW w:w="3420" w:type="dxa"/>
            <w:tcBorders>
              <w:top w:val="single" w:color="auto" w:sz="4" w:space="0"/>
              <w:left w:val="single" w:color="auto" w:sz="4" w:space="0"/>
              <w:bottom w:val="single" w:color="auto" w:sz="4" w:space="0"/>
              <w:right w:val="single" w:color="auto" w:sz="4" w:space="0"/>
            </w:tcBorders>
          </w:tcPr>
          <w:p>
            <w:pPr>
              <w:rPr>
                <w:rFonts w:ascii="仿宋" w:hAnsi="仿宋" w:eastAsia="仿宋"/>
                <w:color w:val="auto"/>
                <w:sz w:val="24"/>
              </w:rPr>
            </w:pPr>
            <w:r>
              <w:rPr>
                <w:rFonts w:hint="eastAsia" w:ascii="仿宋" w:hAnsi="仿宋" w:eastAsia="仿宋"/>
                <w:color w:val="auto"/>
                <w:sz w:val="24"/>
              </w:rPr>
              <w:t>单位领导意见</w:t>
            </w:r>
          </w:p>
          <w:p>
            <w:pPr>
              <w:rPr>
                <w:rFonts w:ascii="仿宋" w:hAnsi="仿宋" w:eastAsia="仿宋"/>
                <w:color w:val="auto"/>
                <w:sz w:val="24"/>
              </w:rPr>
            </w:pPr>
          </w:p>
          <w:p>
            <w:pPr>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 xml:space="preserve">    年   月   日</w:t>
            </w:r>
          </w:p>
        </w:tc>
      </w:tr>
    </w:tbl>
    <w:p>
      <w:pPr>
        <w:rPr>
          <w:color w:val="auto"/>
        </w:rPr>
      </w:pPr>
    </w:p>
    <w:p>
      <w:pPr>
        <w:pStyle w:val="24"/>
        <w:rPr>
          <w:color w:val="auto"/>
        </w:rPr>
      </w:pPr>
    </w:p>
    <w:p>
      <w:pPr>
        <w:rPr>
          <w:color w:val="auto"/>
        </w:rPr>
      </w:pPr>
    </w:p>
    <w:p>
      <w:pPr>
        <w:pStyle w:val="24"/>
        <w:rPr>
          <w:color w:val="auto"/>
        </w:rPr>
      </w:pPr>
    </w:p>
    <w:p>
      <w:pPr>
        <w:pStyle w:val="17"/>
        <w:spacing w:line="400" w:lineRule="exact"/>
        <w:rPr>
          <w:rFonts w:hAnsi="宋体"/>
          <w:bCs/>
          <w:color w:val="auto"/>
          <w:sz w:val="28"/>
          <w:szCs w:val="28"/>
        </w:rPr>
      </w:pPr>
      <w:r>
        <w:rPr>
          <w:rFonts w:hint="eastAsia" w:hAnsi="宋体"/>
          <w:b/>
          <w:bCs/>
          <w:color w:val="auto"/>
          <w:sz w:val="28"/>
          <w:szCs w:val="28"/>
        </w:rPr>
        <w:t xml:space="preserve">附件2：   </w:t>
      </w:r>
      <w:r>
        <w:rPr>
          <w:rFonts w:hint="eastAsia" w:hAnsi="宋体"/>
          <w:bCs/>
          <w:color w:val="auto"/>
          <w:sz w:val="28"/>
          <w:szCs w:val="28"/>
        </w:rPr>
        <w:t>有关法律法规对政府采购当事人应承担法律责任的规定</w:t>
      </w:r>
    </w:p>
    <w:p>
      <w:pPr>
        <w:pStyle w:val="17"/>
        <w:spacing w:line="400" w:lineRule="exact"/>
        <w:ind w:firstLine="420"/>
        <w:rPr>
          <w:color w:val="auto"/>
        </w:rPr>
      </w:pPr>
    </w:p>
    <w:p>
      <w:pPr>
        <w:pStyle w:val="17"/>
        <w:spacing w:line="400" w:lineRule="exact"/>
        <w:ind w:firstLine="420"/>
        <w:rPr>
          <w:b/>
          <w:color w:val="auto"/>
          <w:sz w:val="24"/>
        </w:rPr>
      </w:pPr>
      <w:r>
        <w:rPr>
          <w:rFonts w:hint="eastAsia"/>
          <w:b/>
          <w:color w:val="auto"/>
          <w:sz w:val="24"/>
        </w:rPr>
        <w:t>《中华人民共和国政府采购法》有关规定：</w:t>
      </w:r>
    </w:p>
    <w:p>
      <w:pPr>
        <w:pStyle w:val="17"/>
        <w:spacing w:line="400" w:lineRule="exact"/>
        <w:ind w:firstLine="420"/>
        <w:rPr>
          <w:color w:val="auto"/>
        </w:rPr>
      </w:pPr>
      <w:r>
        <w:rPr>
          <w:color w:val="auto"/>
        </w:rPr>
        <w:t>第三条 政府采购应当遵循公开透明原则、公平竞争原则、公正原则和诚实信用原则。</w:t>
      </w:r>
    </w:p>
    <w:p>
      <w:pPr>
        <w:pStyle w:val="17"/>
        <w:spacing w:line="400" w:lineRule="exact"/>
        <w:ind w:firstLine="420"/>
        <w:rPr>
          <w:color w:val="auto"/>
        </w:rPr>
      </w:pPr>
      <w:r>
        <w:rPr>
          <w:color w:val="auto"/>
        </w:rPr>
        <w:t xml:space="preserve">第四十六条 采购人与中标、成交供应商应当在中标、成交通知书发出之日起三十日内，按照采购文件确定的事项签订政府采购合同。 </w:t>
      </w:r>
    </w:p>
    <w:p>
      <w:pPr>
        <w:pStyle w:val="17"/>
        <w:spacing w:line="400" w:lineRule="exact"/>
        <w:ind w:firstLine="420"/>
        <w:rPr>
          <w:color w:val="auto"/>
        </w:rPr>
      </w:pPr>
      <w:r>
        <w:rPr>
          <w:color w:val="auto"/>
        </w:rPr>
        <w:t>中标、成交通知书对采购人和中标、成交供应商均具有法律效力。中标、成交通知书发出后，采购人改变中标、成交结果的，或者中标、成交供应商放弃中标、成交项目的，应当依法承担法律责任。</w:t>
      </w:r>
    </w:p>
    <w:p>
      <w:pPr>
        <w:pStyle w:val="17"/>
        <w:spacing w:line="400" w:lineRule="exact"/>
        <w:ind w:firstLine="420"/>
        <w:rPr>
          <w:color w:val="auto"/>
        </w:rPr>
      </w:pPr>
      <w:r>
        <w:rPr>
          <w:color w:val="auto"/>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投标的</w:t>
      </w:r>
      <w:r>
        <w:rPr>
          <w:rFonts w:hint="eastAsia"/>
          <w:color w:val="auto"/>
        </w:rPr>
        <w:t>；</w:t>
      </w:r>
      <w:r>
        <w:rPr>
          <w:color w:val="auto"/>
        </w:rPr>
        <w:t xml:space="preserve">（六）拒绝有关部门监督检查或者提供虚假情况的。 </w:t>
      </w:r>
    </w:p>
    <w:p>
      <w:pPr>
        <w:pStyle w:val="17"/>
        <w:spacing w:line="400" w:lineRule="exact"/>
        <w:ind w:firstLine="420"/>
        <w:rPr>
          <w:color w:val="auto"/>
        </w:rPr>
      </w:pPr>
      <w:r>
        <w:rPr>
          <w:color w:val="auto"/>
        </w:rPr>
        <w:t xml:space="preserve">供应商有前款第（一）至（五）项情形之一的，中标、成交无效。 </w:t>
      </w:r>
    </w:p>
    <w:p>
      <w:pPr>
        <w:pStyle w:val="17"/>
        <w:spacing w:line="400" w:lineRule="exact"/>
        <w:ind w:firstLine="420"/>
        <w:rPr>
          <w:color w:val="auto"/>
        </w:rPr>
      </w:pPr>
      <w:r>
        <w:rPr>
          <w:color w:val="auto"/>
        </w:rPr>
        <w:t>第七十九条 政府采购当事人有本法第七十一条、第七十二条、第七十七条违法行为之一，给他人造成损失的，并应依照有关民事法律规定承担民事责任。</w:t>
      </w:r>
    </w:p>
    <w:p>
      <w:pPr>
        <w:pStyle w:val="17"/>
        <w:spacing w:line="400" w:lineRule="exact"/>
        <w:ind w:firstLine="420"/>
        <w:rPr>
          <w:b/>
          <w:color w:val="auto"/>
        </w:rPr>
      </w:pPr>
      <w:r>
        <w:rPr>
          <w:rFonts w:hint="eastAsia"/>
          <w:b/>
          <w:color w:val="auto"/>
        </w:rPr>
        <w:t>《中华人民共和国合同法》有关规定：</w:t>
      </w:r>
    </w:p>
    <w:p>
      <w:pPr>
        <w:pStyle w:val="17"/>
        <w:spacing w:line="400" w:lineRule="exact"/>
        <w:ind w:firstLine="420"/>
        <w:rPr>
          <w:color w:val="auto"/>
        </w:rPr>
      </w:pPr>
      <w:r>
        <w:rPr>
          <w:rFonts w:hint="eastAsia"/>
          <w:color w:val="auto"/>
        </w:rPr>
        <w:t>第四十二条 当事人在订立合同过程中有下列情形之一，给对方造成损失的，应当承担损害赔偿责任：</w:t>
      </w:r>
    </w:p>
    <w:p>
      <w:pPr>
        <w:pStyle w:val="17"/>
        <w:spacing w:line="400" w:lineRule="exact"/>
        <w:ind w:firstLine="420"/>
        <w:rPr>
          <w:color w:val="auto"/>
        </w:rPr>
      </w:pPr>
      <w:r>
        <w:rPr>
          <w:rFonts w:hint="eastAsia"/>
          <w:color w:val="auto"/>
        </w:rPr>
        <w:t>（一）假借订立合同，恶意进行磋商；</w:t>
      </w:r>
    </w:p>
    <w:p>
      <w:pPr>
        <w:pStyle w:val="17"/>
        <w:spacing w:line="400" w:lineRule="exact"/>
        <w:ind w:firstLine="420"/>
        <w:rPr>
          <w:color w:val="auto"/>
        </w:rPr>
      </w:pPr>
      <w:r>
        <w:rPr>
          <w:rFonts w:hint="eastAsia"/>
          <w:color w:val="auto"/>
        </w:rPr>
        <w:t>（二）故意隐瞒与订立合同有关的重要事实或者提供虚假情况；</w:t>
      </w:r>
    </w:p>
    <w:p>
      <w:pPr>
        <w:rPr>
          <w:color w:val="auto"/>
        </w:rPr>
      </w:pPr>
      <w:r>
        <w:rPr>
          <w:rFonts w:hint="eastAsia"/>
          <w:color w:val="auto"/>
        </w:rPr>
        <w:t>（三）有其他违背诚实信用原则的行为。</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17"/>
        <w:spacing w:line="400" w:lineRule="exact"/>
        <w:rPr>
          <w:rFonts w:hAnsi="宋体"/>
          <w:b/>
          <w:bCs/>
          <w:color w:val="auto"/>
          <w:sz w:val="28"/>
          <w:szCs w:val="28"/>
        </w:rPr>
      </w:pPr>
      <w:r>
        <w:rPr>
          <w:rFonts w:hint="eastAsia" w:hAnsi="宋体"/>
          <w:b/>
          <w:bCs/>
          <w:color w:val="auto"/>
          <w:sz w:val="28"/>
          <w:szCs w:val="28"/>
        </w:rPr>
        <w:t>附件3：</w:t>
      </w:r>
      <w:r>
        <w:rPr>
          <w:rFonts w:hint="eastAsia" w:hAnsi="宋体" w:cs="宋体"/>
          <w:b/>
          <w:color w:val="auto"/>
          <w:sz w:val="28"/>
          <w:szCs w:val="28"/>
        </w:rPr>
        <w:t>《中小企业声明函》格式</w:t>
      </w:r>
      <w:r>
        <w:rPr>
          <w:rFonts w:hint="eastAsia" w:hAnsi="宋体" w:cs="宋体"/>
          <w:b/>
          <w:color w:val="auto"/>
          <w:szCs w:val="21"/>
        </w:rPr>
        <w:t>（非小型、微型企业无需填写）</w:t>
      </w:r>
    </w:p>
    <w:p>
      <w:pPr>
        <w:pStyle w:val="17"/>
        <w:spacing w:line="400" w:lineRule="exact"/>
        <w:jc w:val="center"/>
        <w:rPr>
          <w:rFonts w:hAnsi="宋体"/>
          <w:b/>
          <w:bCs/>
          <w:color w:val="auto"/>
          <w:sz w:val="28"/>
          <w:szCs w:val="28"/>
        </w:rPr>
      </w:pPr>
    </w:p>
    <w:p>
      <w:pPr>
        <w:pStyle w:val="17"/>
        <w:spacing w:line="400" w:lineRule="exact"/>
        <w:jc w:val="center"/>
        <w:rPr>
          <w:rFonts w:hAnsi="宋体"/>
          <w:b/>
          <w:bCs/>
          <w:color w:val="auto"/>
          <w:sz w:val="28"/>
          <w:szCs w:val="28"/>
        </w:rPr>
      </w:pPr>
      <w:r>
        <w:rPr>
          <w:rFonts w:hint="eastAsia" w:hAnsi="宋体"/>
          <w:b/>
          <w:bCs/>
          <w:color w:val="auto"/>
          <w:sz w:val="28"/>
          <w:szCs w:val="28"/>
        </w:rPr>
        <w:t>中小企业声明函</w:t>
      </w:r>
    </w:p>
    <w:p>
      <w:pPr>
        <w:pStyle w:val="17"/>
        <w:spacing w:line="400" w:lineRule="exact"/>
        <w:jc w:val="center"/>
        <w:rPr>
          <w:rFonts w:hAnsi="宋体"/>
          <w:b/>
          <w:bCs/>
          <w:color w:val="auto"/>
          <w:sz w:val="28"/>
          <w:szCs w:val="28"/>
        </w:rPr>
      </w:pPr>
    </w:p>
    <w:p>
      <w:pPr>
        <w:pStyle w:val="17"/>
        <w:spacing w:line="360" w:lineRule="auto"/>
        <w:jc w:val="left"/>
        <w:rPr>
          <w:rFonts w:hAnsi="宋体"/>
          <w:bCs/>
          <w:color w:val="auto"/>
          <w:sz w:val="24"/>
          <w:szCs w:val="28"/>
        </w:rPr>
      </w:pPr>
      <w:r>
        <w:rPr>
          <w:rFonts w:hint="eastAsia" w:hAnsi="宋体"/>
          <w:bCs/>
          <w:color w:val="auto"/>
          <w:sz w:val="24"/>
          <w:szCs w:val="28"/>
        </w:rPr>
        <w:t xml:space="preserve">    本公司郑重声明，根据《政府采购促进中小企业发展暂行办法》（财库[2011]181号）的规定，本公司为</w:t>
      </w:r>
      <w:r>
        <w:rPr>
          <w:rFonts w:hint="eastAsia" w:hAnsi="宋体"/>
          <w:bCs/>
          <w:color w:val="auto"/>
          <w:sz w:val="24"/>
          <w:szCs w:val="28"/>
          <w:u w:val="single"/>
        </w:rPr>
        <w:t>（请填写：中型、小型、微型）</w:t>
      </w:r>
      <w:r>
        <w:rPr>
          <w:rFonts w:hint="eastAsia" w:hAnsi="宋体"/>
          <w:bCs/>
          <w:color w:val="auto"/>
          <w:sz w:val="24"/>
          <w:szCs w:val="28"/>
        </w:rPr>
        <w:t>企业。即，本公司同时满足以下条件：</w:t>
      </w:r>
    </w:p>
    <w:p>
      <w:pPr>
        <w:pStyle w:val="17"/>
        <w:spacing w:line="360" w:lineRule="auto"/>
        <w:ind w:firstLine="480" w:firstLineChars="200"/>
        <w:jc w:val="left"/>
        <w:rPr>
          <w:rFonts w:hAnsi="宋体"/>
          <w:bCs/>
          <w:color w:val="auto"/>
          <w:sz w:val="24"/>
          <w:szCs w:val="28"/>
        </w:rPr>
      </w:pPr>
      <w:r>
        <w:rPr>
          <w:rFonts w:hint="eastAsia" w:hAnsi="宋体"/>
          <w:bCs/>
          <w:color w:val="auto"/>
          <w:sz w:val="24"/>
          <w:szCs w:val="28"/>
        </w:rPr>
        <w:t>1.根据《工业和信息化部、国家统计局、国家发展和改革委员会、财政部关于印发中小企业划型标准规定的通知》（工信部联企业[2011]300号）规定的划分标准，本公司为</w:t>
      </w:r>
      <w:r>
        <w:rPr>
          <w:rFonts w:hint="eastAsia" w:hAnsi="宋体"/>
          <w:bCs/>
          <w:color w:val="auto"/>
          <w:sz w:val="24"/>
          <w:szCs w:val="28"/>
          <w:u w:val="single"/>
        </w:rPr>
        <w:t>（请填写：中型、小型、微型）</w:t>
      </w:r>
      <w:r>
        <w:rPr>
          <w:rFonts w:hint="eastAsia" w:hAnsi="宋体"/>
          <w:bCs/>
          <w:color w:val="auto"/>
          <w:sz w:val="24"/>
          <w:szCs w:val="28"/>
        </w:rPr>
        <w:t>企业。</w:t>
      </w:r>
    </w:p>
    <w:p>
      <w:pPr>
        <w:pStyle w:val="17"/>
        <w:spacing w:line="360" w:lineRule="auto"/>
        <w:ind w:firstLine="360" w:firstLineChars="150"/>
        <w:jc w:val="left"/>
        <w:rPr>
          <w:rFonts w:hAnsi="宋体"/>
          <w:bCs/>
          <w:color w:val="auto"/>
          <w:sz w:val="24"/>
          <w:szCs w:val="28"/>
        </w:rPr>
      </w:pPr>
      <w:r>
        <w:rPr>
          <w:rFonts w:hint="eastAsia" w:hAnsi="宋体"/>
          <w:bCs/>
          <w:color w:val="auto"/>
          <w:sz w:val="24"/>
          <w:szCs w:val="28"/>
        </w:rPr>
        <w:t>2.本公司参加单位的项目采购活动提供本企业制造的货物，由本企业承担工程、提供服务，或者提供其他</w:t>
      </w:r>
      <w:r>
        <w:rPr>
          <w:rFonts w:hint="eastAsia" w:hAnsi="宋体"/>
          <w:bCs/>
          <w:color w:val="auto"/>
          <w:sz w:val="24"/>
          <w:szCs w:val="28"/>
          <w:u w:val="single"/>
        </w:rPr>
        <w:t>（请填写：中型、小型、微型）</w:t>
      </w:r>
      <w:r>
        <w:rPr>
          <w:rFonts w:hint="eastAsia" w:hAnsi="宋体"/>
          <w:bCs/>
          <w:color w:val="auto"/>
          <w:sz w:val="24"/>
          <w:szCs w:val="28"/>
        </w:rPr>
        <w:t>企业制造的货物。本条所称货物不包括使用大型企业注册商标的货物。</w:t>
      </w:r>
    </w:p>
    <w:p>
      <w:pPr>
        <w:pStyle w:val="17"/>
        <w:spacing w:line="360" w:lineRule="auto"/>
        <w:ind w:firstLine="360" w:firstLineChars="150"/>
        <w:jc w:val="left"/>
        <w:rPr>
          <w:rFonts w:hAnsi="宋体"/>
          <w:bCs/>
          <w:color w:val="auto"/>
          <w:sz w:val="24"/>
          <w:szCs w:val="28"/>
        </w:rPr>
      </w:pPr>
      <w:r>
        <w:rPr>
          <w:rFonts w:hint="eastAsia" w:hAnsi="宋体"/>
          <w:bCs/>
          <w:color w:val="auto"/>
          <w:sz w:val="24"/>
          <w:szCs w:val="28"/>
        </w:rPr>
        <w:t>本公司对上述声明的真实性负责。如有虚假，将依法承担相应责任。</w:t>
      </w:r>
    </w:p>
    <w:p>
      <w:pPr>
        <w:pStyle w:val="17"/>
        <w:spacing w:line="360" w:lineRule="auto"/>
        <w:jc w:val="center"/>
        <w:rPr>
          <w:rFonts w:hAnsi="宋体"/>
          <w:b/>
          <w:bCs/>
          <w:color w:val="auto"/>
          <w:sz w:val="28"/>
          <w:szCs w:val="28"/>
        </w:rPr>
      </w:pPr>
    </w:p>
    <w:p>
      <w:pPr>
        <w:pStyle w:val="17"/>
        <w:spacing w:line="400" w:lineRule="exact"/>
        <w:jc w:val="center"/>
        <w:rPr>
          <w:rFonts w:hAnsi="宋体"/>
          <w:b/>
          <w:bCs/>
          <w:color w:val="auto"/>
          <w:sz w:val="28"/>
          <w:szCs w:val="28"/>
        </w:rPr>
      </w:pPr>
      <w:r>
        <w:rPr>
          <w:rFonts w:hint="eastAsia" w:hAnsi="宋体"/>
          <w:b/>
          <w:bCs/>
          <w:color w:val="auto"/>
          <w:sz w:val="28"/>
          <w:szCs w:val="28"/>
        </w:rPr>
        <w:t>　　　　　　　　　　　　　　　　　　　　　　　　　　　</w:t>
      </w:r>
    </w:p>
    <w:p>
      <w:pPr>
        <w:pStyle w:val="17"/>
        <w:spacing w:line="400" w:lineRule="exact"/>
        <w:jc w:val="center"/>
        <w:rPr>
          <w:rFonts w:hAnsi="宋体"/>
          <w:bCs/>
          <w:color w:val="auto"/>
          <w:sz w:val="28"/>
          <w:szCs w:val="28"/>
        </w:rPr>
      </w:pPr>
      <w:r>
        <w:rPr>
          <w:rFonts w:hint="eastAsia" w:hAnsi="宋体"/>
          <w:bCs/>
          <w:color w:val="auto"/>
          <w:sz w:val="28"/>
          <w:szCs w:val="28"/>
        </w:rPr>
        <w:t xml:space="preserve">    企业名称（盖章）：</w:t>
      </w:r>
    </w:p>
    <w:p>
      <w:pPr>
        <w:pStyle w:val="17"/>
        <w:spacing w:line="400" w:lineRule="exact"/>
        <w:jc w:val="center"/>
        <w:rPr>
          <w:rFonts w:hAnsi="宋体"/>
          <w:bCs/>
          <w:color w:val="auto"/>
          <w:sz w:val="28"/>
          <w:szCs w:val="28"/>
        </w:rPr>
      </w:pPr>
    </w:p>
    <w:p>
      <w:pPr>
        <w:pStyle w:val="17"/>
        <w:spacing w:line="400" w:lineRule="exact"/>
        <w:jc w:val="center"/>
        <w:rPr>
          <w:rFonts w:hAnsi="宋体"/>
          <w:bCs/>
          <w:color w:val="auto"/>
          <w:sz w:val="28"/>
          <w:szCs w:val="28"/>
        </w:rPr>
      </w:pPr>
      <w:r>
        <w:rPr>
          <w:rFonts w:hint="eastAsia" w:hAnsi="宋体"/>
          <w:bCs/>
          <w:color w:val="auto"/>
          <w:sz w:val="28"/>
          <w:szCs w:val="28"/>
        </w:rPr>
        <w:t>　　　　　　日  期：</w:t>
      </w:r>
    </w:p>
    <w:p>
      <w:pPr>
        <w:pStyle w:val="17"/>
        <w:spacing w:line="400" w:lineRule="exact"/>
        <w:jc w:val="center"/>
        <w:rPr>
          <w:rFonts w:hAnsi="宋体"/>
          <w:bCs/>
          <w:color w:val="auto"/>
          <w:sz w:val="28"/>
          <w:szCs w:val="28"/>
        </w:rPr>
      </w:pPr>
    </w:p>
    <w:p>
      <w:pPr>
        <w:pStyle w:val="17"/>
        <w:spacing w:line="400" w:lineRule="exact"/>
        <w:jc w:val="center"/>
        <w:rPr>
          <w:rFonts w:hAnsi="宋体"/>
          <w:b/>
          <w:bCs/>
          <w:color w:val="auto"/>
          <w:sz w:val="28"/>
          <w:szCs w:val="28"/>
        </w:rPr>
      </w:pPr>
    </w:p>
    <w:p>
      <w:pPr>
        <w:pStyle w:val="17"/>
        <w:spacing w:line="400" w:lineRule="exact"/>
        <w:jc w:val="center"/>
        <w:rPr>
          <w:rFonts w:hAnsi="宋体"/>
          <w:b/>
          <w:bCs/>
          <w:color w:val="auto"/>
          <w:sz w:val="28"/>
          <w:szCs w:val="28"/>
        </w:rPr>
      </w:pPr>
    </w:p>
    <w:p>
      <w:pPr>
        <w:pStyle w:val="17"/>
        <w:spacing w:line="400" w:lineRule="exact"/>
        <w:jc w:val="center"/>
        <w:rPr>
          <w:rFonts w:hAnsi="宋体"/>
          <w:b/>
          <w:bCs/>
          <w:color w:val="auto"/>
          <w:sz w:val="28"/>
          <w:szCs w:val="28"/>
        </w:rPr>
      </w:pPr>
    </w:p>
    <w:p>
      <w:pPr>
        <w:pStyle w:val="17"/>
        <w:spacing w:line="400" w:lineRule="exact"/>
        <w:jc w:val="center"/>
        <w:rPr>
          <w:rFonts w:hAnsi="宋体"/>
          <w:b/>
          <w:bCs/>
          <w:color w:val="auto"/>
          <w:sz w:val="28"/>
          <w:szCs w:val="28"/>
        </w:rPr>
      </w:pPr>
    </w:p>
    <w:p>
      <w:pPr>
        <w:pStyle w:val="17"/>
        <w:spacing w:line="400" w:lineRule="exact"/>
        <w:jc w:val="center"/>
        <w:rPr>
          <w:rFonts w:hAnsi="宋体"/>
          <w:b/>
          <w:bCs/>
          <w:color w:val="auto"/>
          <w:sz w:val="28"/>
          <w:szCs w:val="28"/>
        </w:rPr>
      </w:pPr>
    </w:p>
    <w:p>
      <w:pPr>
        <w:pStyle w:val="17"/>
        <w:spacing w:line="400" w:lineRule="exact"/>
        <w:jc w:val="center"/>
        <w:rPr>
          <w:rFonts w:hAnsi="宋体"/>
          <w:b/>
          <w:bCs/>
          <w:color w:val="auto"/>
          <w:sz w:val="28"/>
          <w:szCs w:val="28"/>
        </w:rPr>
      </w:pPr>
    </w:p>
    <w:p>
      <w:pPr>
        <w:pStyle w:val="17"/>
        <w:spacing w:line="400" w:lineRule="exact"/>
        <w:jc w:val="center"/>
        <w:rPr>
          <w:rFonts w:hAnsi="宋体"/>
          <w:b/>
          <w:bCs/>
          <w:color w:val="auto"/>
          <w:sz w:val="28"/>
          <w:szCs w:val="28"/>
        </w:rPr>
      </w:pPr>
    </w:p>
    <w:p>
      <w:pPr>
        <w:pStyle w:val="17"/>
        <w:spacing w:line="400" w:lineRule="exact"/>
        <w:jc w:val="center"/>
        <w:rPr>
          <w:rFonts w:hAnsi="宋体"/>
          <w:b/>
          <w:bCs/>
          <w:color w:val="auto"/>
          <w:sz w:val="28"/>
          <w:szCs w:val="28"/>
        </w:rPr>
      </w:pPr>
    </w:p>
    <w:p>
      <w:pPr>
        <w:pStyle w:val="17"/>
        <w:spacing w:line="400" w:lineRule="exact"/>
        <w:jc w:val="center"/>
        <w:rPr>
          <w:rFonts w:hAnsi="宋体"/>
          <w:b/>
          <w:bCs/>
          <w:color w:val="auto"/>
          <w:sz w:val="28"/>
          <w:szCs w:val="28"/>
        </w:rPr>
      </w:pPr>
    </w:p>
    <w:p>
      <w:pPr>
        <w:pStyle w:val="17"/>
        <w:spacing w:line="400" w:lineRule="exact"/>
        <w:jc w:val="center"/>
        <w:rPr>
          <w:rFonts w:hAnsi="宋体"/>
          <w:b/>
          <w:bCs/>
          <w:color w:val="auto"/>
          <w:sz w:val="28"/>
          <w:szCs w:val="28"/>
        </w:rPr>
      </w:pPr>
    </w:p>
    <w:p>
      <w:pPr>
        <w:pStyle w:val="17"/>
        <w:spacing w:line="400" w:lineRule="exact"/>
        <w:rPr>
          <w:rFonts w:hAnsi="宋体"/>
          <w:b/>
          <w:bCs/>
          <w:color w:val="auto"/>
          <w:sz w:val="28"/>
          <w:szCs w:val="28"/>
        </w:rPr>
      </w:pPr>
    </w:p>
    <w:p>
      <w:pPr>
        <w:pStyle w:val="17"/>
        <w:spacing w:line="400" w:lineRule="exact"/>
        <w:jc w:val="left"/>
        <w:rPr>
          <w:rFonts w:hAnsi="宋体"/>
          <w:b/>
          <w:bCs/>
          <w:color w:val="auto"/>
          <w:sz w:val="28"/>
          <w:szCs w:val="28"/>
        </w:rPr>
      </w:pPr>
    </w:p>
    <w:p>
      <w:pPr>
        <w:pStyle w:val="17"/>
        <w:spacing w:line="400" w:lineRule="exact"/>
        <w:jc w:val="left"/>
        <w:rPr>
          <w:rFonts w:hAnsi="宋体"/>
          <w:b/>
          <w:bCs/>
          <w:color w:val="auto"/>
          <w:sz w:val="28"/>
          <w:szCs w:val="28"/>
        </w:rPr>
      </w:pPr>
      <w:r>
        <w:rPr>
          <w:rFonts w:hint="eastAsia" w:hAnsi="宋体" w:cs="宋体"/>
          <w:b/>
          <w:color w:val="auto"/>
          <w:sz w:val="28"/>
          <w:szCs w:val="28"/>
        </w:rPr>
        <w:t>附件4：《残疾人福利性单位声明函》格式</w:t>
      </w:r>
      <w:r>
        <w:rPr>
          <w:rFonts w:hint="eastAsia" w:hAnsi="宋体" w:cs="宋体"/>
          <w:b/>
          <w:color w:val="auto"/>
          <w:szCs w:val="21"/>
        </w:rPr>
        <w:t>（非残疾人福利性单位无需填写）</w:t>
      </w:r>
    </w:p>
    <w:p>
      <w:pPr>
        <w:pStyle w:val="17"/>
        <w:spacing w:line="400" w:lineRule="exact"/>
        <w:jc w:val="center"/>
        <w:rPr>
          <w:rFonts w:hAnsi="宋体"/>
          <w:b/>
          <w:bCs/>
          <w:color w:val="auto"/>
          <w:sz w:val="28"/>
          <w:szCs w:val="28"/>
        </w:rPr>
      </w:pPr>
    </w:p>
    <w:p>
      <w:pPr>
        <w:pStyle w:val="17"/>
        <w:spacing w:line="400" w:lineRule="exact"/>
        <w:jc w:val="center"/>
        <w:rPr>
          <w:rFonts w:hAnsi="宋体"/>
          <w:b/>
          <w:bCs/>
          <w:color w:val="auto"/>
          <w:sz w:val="28"/>
          <w:szCs w:val="28"/>
        </w:rPr>
      </w:pPr>
      <w:r>
        <w:rPr>
          <w:rFonts w:hint="eastAsia" w:hAnsi="宋体"/>
          <w:b/>
          <w:bCs/>
          <w:color w:val="auto"/>
          <w:sz w:val="28"/>
          <w:szCs w:val="28"/>
        </w:rPr>
        <w:t>残疾人福利性单位声明函</w:t>
      </w:r>
    </w:p>
    <w:p>
      <w:pPr>
        <w:pStyle w:val="17"/>
        <w:spacing w:line="360" w:lineRule="auto"/>
        <w:jc w:val="left"/>
        <w:rPr>
          <w:rFonts w:hAnsi="宋体"/>
          <w:bCs/>
          <w:color w:val="auto"/>
          <w:sz w:val="24"/>
          <w:szCs w:val="28"/>
        </w:rPr>
      </w:pPr>
    </w:p>
    <w:p>
      <w:pPr>
        <w:pStyle w:val="17"/>
        <w:spacing w:line="360" w:lineRule="auto"/>
        <w:ind w:firstLine="480" w:firstLineChars="200"/>
        <w:jc w:val="left"/>
        <w:rPr>
          <w:rFonts w:hAnsi="宋体"/>
          <w:bCs/>
          <w:color w:val="auto"/>
          <w:sz w:val="24"/>
          <w:szCs w:val="28"/>
        </w:rPr>
      </w:pPr>
      <w:r>
        <w:rPr>
          <w:rFonts w:hint="eastAsia" w:hAnsi="宋体"/>
          <w:bCs/>
          <w:color w:val="auto"/>
          <w:sz w:val="24"/>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7"/>
        <w:spacing w:line="360" w:lineRule="auto"/>
        <w:ind w:firstLine="360" w:firstLineChars="150"/>
        <w:jc w:val="left"/>
        <w:rPr>
          <w:rFonts w:hAnsi="宋体"/>
          <w:bCs/>
          <w:color w:val="auto"/>
          <w:sz w:val="24"/>
          <w:szCs w:val="28"/>
        </w:rPr>
      </w:pPr>
      <w:r>
        <w:rPr>
          <w:rFonts w:hint="eastAsia" w:hAnsi="宋体"/>
          <w:bCs/>
          <w:color w:val="auto"/>
          <w:sz w:val="24"/>
          <w:szCs w:val="28"/>
        </w:rPr>
        <w:t>本单位对上述声明的真实性负责。如有虚假，将依法承担相应责任。</w:t>
      </w:r>
    </w:p>
    <w:p>
      <w:pPr>
        <w:pStyle w:val="17"/>
        <w:spacing w:line="360" w:lineRule="auto"/>
        <w:jc w:val="left"/>
        <w:rPr>
          <w:rFonts w:hAnsi="宋体"/>
          <w:bCs/>
          <w:color w:val="auto"/>
          <w:sz w:val="24"/>
          <w:szCs w:val="28"/>
        </w:rPr>
      </w:pPr>
    </w:p>
    <w:p>
      <w:pPr>
        <w:pStyle w:val="17"/>
        <w:spacing w:line="400" w:lineRule="exact"/>
        <w:jc w:val="center"/>
        <w:rPr>
          <w:rFonts w:hAnsi="宋体"/>
          <w:bCs/>
          <w:color w:val="auto"/>
          <w:sz w:val="28"/>
          <w:szCs w:val="28"/>
        </w:rPr>
      </w:pPr>
    </w:p>
    <w:p>
      <w:pPr>
        <w:pStyle w:val="17"/>
        <w:spacing w:line="400" w:lineRule="exact"/>
        <w:jc w:val="center"/>
        <w:rPr>
          <w:rFonts w:hAnsi="宋体"/>
          <w:bCs/>
          <w:color w:val="auto"/>
          <w:sz w:val="28"/>
          <w:szCs w:val="28"/>
        </w:rPr>
      </w:pPr>
      <w:r>
        <w:rPr>
          <w:rFonts w:hint="eastAsia" w:hAnsi="宋体"/>
          <w:bCs/>
          <w:color w:val="auto"/>
          <w:sz w:val="28"/>
          <w:szCs w:val="28"/>
        </w:rPr>
        <w:t xml:space="preserve">                        单位名称（盖章）：</w:t>
      </w:r>
    </w:p>
    <w:p>
      <w:pPr>
        <w:rPr>
          <w:color w:val="auto"/>
        </w:rPr>
        <w:sectPr>
          <w:headerReference r:id="rId6" w:type="first"/>
          <w:footerReference r:id="rId9" w:type="first"/>
          <w:headerReference r:id="rId5" w:type="default"/>
          <w:footerReference r:id="rId7" w:type="default"/>
          <w:footerReference r:id="rId8" w:type="even"/>
          <w:pgSz w:w="11906" w:h="16838"/>
          <w:pgMar w:top="1247" w:right="1247" w:bottom="1418" w:left="1247" w:header="680" w:footer="851" w:gutter="0"/>
          <w:cols w:space="720" w:num="1"/>
          <w:docGrid w:type="lines" w:linePitch="331" w:charSpace="0"/>
        </w:sectPr>
      </w:pPr>
      <w:r>
        <w:rPr>
          <w:rFonts w:hint="eastAsia" w:hAnsi="宋体"/>
          <w:bCs/>
          <w:color w:val="auto"/>
          <w:sz w:val="28"/>
          <w:szCs w:val="28"/>
        </w:rPr>
        <w:t xml:space="preserve">                                               日  期：</w:t>
      </w:r>
    </w:p>
    <w:p>
      <w:pPr>
        <w:rPr>
          <w:color w:val="auto"/>
        </w:rPr>
      </w:pPr>
    </w:p>
    <w:sectPr>
      <w:footerReference r:id="rId10" w:type="default"/>
      <w:pgSz w:w="11906" w:h="16838"/>
      <w:pgMar w:top="1247" w:right="1247" w:bottom="1418" w:left="1247" w:header="680" w:footer="851"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icrosoft JhengHei">
    <w:panose1 w:val="020B0604030504040204"/>
    <w:charset w:val="88"/>
    <w:family w:val="auto"/>
    <w:pitch w:val="default"/>
    <w:sig w:usb0="00000087" w:usb1="28AF4000" w:usb2="00000016" w:usb3="00000000" w:csb0="00100009"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华文楷体">
    <w:panose1 w:val="02010600040101010101"/>
    <w:charset w:val="86"/>
    <w:family w:val="auto"/>
    <w:pitch w:val="default"/>
    <w:sig w:usb0="00000287" w:usb1="080F0000" w:usb2="00000000" w:usb3="00000000" w:csb0="0004009F" w:csb1="DFD70000"/>
  </w:font>
  <w:font w:name="方正隶书简体">
    <w:altName w:val="微软雅黑"/>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金山简隶书">
    <w:altName w:val="宋体"/>
    <w:panose1 w:val="00000000000000000000"/>
    <w:charset w:val="86"/>
    <w:family w:val="auto"/>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13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30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sdt>
                <w:sdtPr>
                  <w:id w:val="32917555"/>
                </w:sdtPr>
                <w:sdtContent>
                  <w:p>
                    <w:pPr>
                      <w:pStyle w:val="22"/>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7"/>
                </w:pPr>
              </w:p>
            </w:txbxContent>
          </v:textbox>
        </v:shape>
      </w:pict>
    </w:r>
  </w:p>
  <w:p>
    <w:pPr>
      <w:pStyle w:val="22"/>
      <w:tabs>
        <w:tab w:val="left" w:pos="7142"/>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4"/>
      </w:rPr>
    </w:pPr>
    <w:r>
      <w:rPr>
        <w:rStyle w:val="34"/>
      </w:rPr>
      <w:fldChar w:fldCharType="begin"/>
    </w:r>
    <w:r>
      <w:rPr>
        <w:rStyle w:val="34"/>
      </w:rPr>
      <w:instrText xml:space="preserve">PAGE  </w:instrText>
    </w:r>
    <w:r>
      <w:rPr>
        <w:rStyle w:val="34"/>
      </w:rPr>
      <w:fldChar w:fldCharType="separate"/>
    </w:r>
    <w:r>
      <w:rPr>
        <w:rStyle w:val="34"/>
      </w:rPr>
      <w:t>1</w:t>
    </w:r>
    <w:r>
      <w:rPr>
        <w:rStyle w:val="3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rPr>
                    <w:rFonts w:hint="eastAsia"/>
                  </w:rPr>
                  <w:t>61</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595" w:firstLineChars="2553"/>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50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8306"/>
      </w:tabs>
      <w:jc w:val="both"/>
      <w:rPr>
        <w:rFonts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ind w:firstLine="1980"/>
      <w:jc w:val="right"/>
      <w:rPr>
        <w:rFonts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035E89"/>
    <w:multiLevelType w:val="singleLevel"/>
    <w:tmpl w:val="98035E89"/>
    <w:lvl w:ilvl="0" w:tentative="0">
      <w:start w:val="2"/>
      <w:numFmt w:val="chineseCounting"/>
      <w:suff w:val="space"/>
      <w:lvlText w:val="第%1章"/>
      <w:lvlJc w:val="left"/>
      <w:rPr>
        <w:rFonts w:hint="eastAsia"/>
      </w:rPr>
    </w:lvl>
  </w:abstractNum>
  <w:abstractNum w:abstractNumId="1">
    <w:nsid w:val="0000001E"/>
    <w:multiLevelType w:val="singleLevel"/>
    <w:tmpl w:val="0000001E"/>
    <w:lvl w:ilvl="0" w:tentative="0">
      <w:start w:val="4"/>
      <w:numFmt w:val="chineseCounting"/>
      <w:lvlText w:val="第%1条"/>
      <w:lvlJc w:val="left"/>
      <w:rPr>
        <w:rFonts w:hint="eastAsia"/>
      </w:rPr>
    </w:lvl>
  </w:abstractNum>
  <w:abstractNum w:abstractNumId="2">
    <w:nsid w:val="241D1B56"/>
    <w:multiLevelType w:val="singleLevel"/>
    <w:tmpl w:val="241D1B56"/>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E6439D"/>
    <w:rsid w:val="00002687"/>
    <w:rsid w:val="00011F82"/>
    <w:rsid w:val="00016FA4"/>
    <w:rsid w:val="00020BD4"/>
    <w:rsid w:val="00023743"/>
    <w:rsid w:val="000307AB"/>
    <w:rsid w:val="00030AEF"/>
    <w:rsid w:val="00033199"/>
    <w:rsid w:val="0003433E"/>
    <w:rsid w:val="00036777"/>
    <w:rsid w:val="00043A0F"/>
    <w:rsid w:val="00060B6F"/>
    <w:rsid w:val="000711FB"/>
    <w:rsid w:val="00075498"/>
    <w:rsid w:val="00084B92"/>
    <w:rsid w:val="00090CF6"/>
    <w:rsid w:val="000937B9"/>
    <w:rsid w:val="0009601F"/>
    <w:rsid w:val="00096BE5"/>
    <w:rsid w:val="0009731E"/>
    <w:rsid w:val="000C2184"/>
    <w:rsid w:val="000E4148"/>
    <w:rsid w:val="000F1AC6"/>
    <w:rsid w:val="000F62F0"/>
    <w:rsid w:val="0010088E"/>
    <w:rsid w:val="00100A1D"/>
    <w:rsid w:val="00111444"/>
    <w:rsid w:val="00133710"/>
    <w:rsid w:val="00134FD2"/>
    <w:rsid w:val="001431DF"/>
    <w:rsid w:val="001432C6"/>
    <w:rsid w:val="00161468"/>
    <w:rsid w:val="00164E75"/>
    <w:rsid w:val="00173638"/>
    <w:rsid w:val="00181726"/>
    <w:rsid w:val="001934CD"/>
    <w:rsid w:val="001A1090"/>
    <w:rsid w:val="001A61D3"/>
    <w:rsid w:val="001B23C3"/>
    <w:rsid w:val="001B27F0"/>
    <w:rsid w:val="001C20DB"/>
    <w:rsid w:val="001C33AE"/>
    <w:rsid w:val="001C512D"/>
    <w:rsid w:val="001C6FCF"/>
    <w:rsid w:val="001D0A5F"/>
    <w:rsid w:val="001D1A50"/>
    <w:rsid w:val="001E22B6"/>
    <w:rsid w:val="001E5951"/>
    <w:rsid w:val="001F24D7"/>
    <w:rsid w:val="00200499"/>
    <w:rsid w:val="002005A2"/>
    <w:rsid w:val="002065DF"/>
    <w:rsid w:val="00210DBC"/>
    <w:rsid w:val="00227FE0"/>
    <w:rsid w:val="002426FC"/>
    <w:rsid w:val="002537B2"/>
    <w:rsid w:val="00254F1C"/>
    <w:rsid w:val="00255FAE"/>
    <w:rsid w:val="00266E91"/>
    <w:rsid w:val="002700D8"/>
    <w:rsid w:val="0027101E"/>
    <w:rsid w:val="002727BF"/>
    <w:rsid w:val="002759EE"/>
    <w:rsid w:val="002801BA"/>
    <w:rsid w:val="00282D47"/>
    <w:rsid w:val="002901AE"/>
    <w:rsid w:val="00291C89"/>
    <w:rsid w:val="00293604"/>
    <w:rsid w:val="002A1B39"/>
    <w:rsid w:val="002B0CA4"/>
    <w:rsid w:val="002B37F2"/>
    <w:rsid w:val="002B4C83"/>
    <w:rsid w:val="002C19C0"/>
    <w:rsid w:val="002C3B31"/>
    <w:rsid w:val="002F0425"/>
    <w:rsid w:val="002F2C51"/>
    <w:rsid w:val="00300730"/>
    <w:rsid w:val="00305A38"/>
    <w:rsid w:val="00321BFF"/>
    <w:rsid w:val="003263AB"/>
    <w:rsid w:val="00326F2E"/>
    <w:rsid w:val="00344AE2"/>
    <w:rsid w:val="00344B02"/>
    <w:rsid w:val="00347A3B"/>
    <w:rsid w:val="00357C37"/>
    <w:rsid w:val="00360C80"/>
    <w:rsid w:val="00367E27"/>
    <w:rsid w:val="0037381F"/>
    <w:rsid w:val="00374399"/>
    <w:rsid w:val="003827F4"/>
    <w:rsid w:val="00385369"/>
    <w:rsid w:val="0039625B"/>
    <w:rsid w:val="00397FA8"/>
    <w:rsid w:val="003A1453"/>
    <w:rsid w:val="003A6FD8"/>
    <w:rsid w:val="003B0F8A"/>
    <w:rsid w:val="003B3F50"/>
    <w:rsid w:val="003B4E37"/>
    <w:rsid w:val="003C2A6B"/>
    <w:rsid w:val="003C2B44"/>
    <w:rsid w:val="003C30A8"/>
    <w:rsid w:val="003C7FCC"/>
    <w:rsid w:val="003D56E8"/>
    <w:rsid w:val="003D6E5C"/>
    <w:rsid w:val="003E6CEE"/>
    <w:rsid w:val="003F1587"/>
    <w:rsid w:val="003F1C22"/>
    <w:rsid w:val="0040400E"/>
    <w:rsid w:val="004144A3"/>
    <w:rsid w:val="004174FB"/>
    <w:rsid w:val="00420865"/>
    <w:rsid w:val="00433041"/>
    <w:rsid w:val="00436677"/>
    <w:rsid w:val="0044326C"/>
    <w:rsid w:val="00443C9D"/>
    <w:rsid w:val="004457F0"/>
    <w:rsid w:val="00451FD1"/>
    <w:rsid w:val="004560E8"/>
    <w:rsid w:val="0045665F"/>
    <w:rsid w:val="004718AA"/>
    <w:rsid w:val="00474097"/>
    <w:rsid w:val="004913A7"/>
    <w:rsid w:val="00494C7D"/>
    <w:rsid w:val="004B03E0"/>
    <w:rsid w:val="004B1055"/>
    <w:rsid w:val="004B40FD"/>
    <w:rsid w:val="004C1149"/>
    <w:rsid w:val="004C259C"/>
    <w:rsid w:val="004C2B07"/>
    <w:rsid w:val="004D56C5"/>
    <w:rsid w:val="004D5AEC"/>
    <w:rsid w:val="004D6AEA"/>
    <w:rsid w:val="004D7B46"/>
    <w:rsid w:val="004F04D3"/>
    <w:rsid w:val="004F1E70"/>
    <w:rsid w:val="004F2159"/>
    <w:rsid w:val="004F2D20"/>
    <w:rsid w:val="004F4670"/>
    <w:rsid w:val="005009BD"/>
    <w:rsid w:val="00513904"/>
    <w:rsid w:val="00527F5F"/>
    <w:rsid w:val="00531810"/>
    <w:rsid w:val="00531A87"/>
    <w:rsid w:val="005412BE"/>
    <w:rsid w:val="00542C66"/>
    <w:rsid w:val="00553784"/>
    <w:rsid w:val="005557AC"/>
    <w:rsid w:val="00561060"/>
    <w:rsid w:val="00563BAE"/>
    <w:rsid w:val="0056492B"/>
    <w:rsid w:val="00576546"/>
    <w:rsid w:val="00580F74"/>
    <w:rsid w:val="00584ADD"/>
    <w:rsid w:val="00584B7C"/>
    <w:rsid w:val="0059146D"/>
    <w:rsid w:val="005A1FF2"/>
    <w:rsid w:val="005A3B89"/>
    <w:rsid w:val="005A631A"/>
    <w:rsid w:val="005B54BD"/>
    <w:rsid w:val="005B7E7E"/>
    <w:rsid w:val="005C0E01"/>
    <w:rsid w:val="005C36E1"/>
    <w:rsid w:val="005C4E76"/>
    <w:rsid w:val="005D0FAE"/>
    <w:rsid w:val="005D5D46"/>
    <w:rsid w:val="00606329"/>
    <w:rsid w:val="006156D3"/>
    <w:rsid w:val="00615A13"/>
    <w:rsid w:val="00632021"/>
    <w:rsid w:val="00636ABF"/>
    <w:rsid w:val="006414C0"/>
    <w:rsid w:val="00646942"/>
    <w:rsid w:val="00646D1E"/>
    <w:rsid w:val="00654FF7"/>
    <w:rsid w:val="0065583A"/>
    <w:rsid w:val="0066157C"/>
    <w:rsid w:val="0066554A"/>
    <w:rsid w:val="0067366E"/>
    <w:rsid w:val="00675D0D"/>
    <w:rsid w:val="006810BE"/>
    <w:rsid w:val="0068797C"/>
    <w:rsid w:val="00693CBF"/>
    <w:rsid w:val="0069669C"/>
    <w:rsid w:val="00697AAE"/>
    <w:rsid w:val="006A0507"/>
    <w:rsid w:val="006A32FB"/>
    <w:rsid w:val="006A63F7"/>
    <w:rsid w:val="006B30FA"/>
    <w:rsid w:val="006B41DC"/>
    <w:rsid w:val="006C47FA"/>
    <w:rsid w:val="006C5859"/>
    <w:rsid w:val="006F5BBE"/>
    <w:rsid w:val="00710713"/>
    <w:rsid w:val="0072389F"/>
    <w:rsid w:val="007263E9"/>
    <w:rsid w:val="00734FB5"/>
    <w:rsid w:val="00745F05"/>
    <w:rsid w:val="0075045C"/>
    <w:rsid w:val="00753E75"/>
    <w:rsid w:val="00757447"/>
    <w:rsid w:val="0075752C"/>
    <w:rsid w:val="00760288"/>
    <w:rsid w:val="0077067B"/>
    <w:rsid w:val="00770A7C"/>
    <w:rsid w:val="0077323E"/>
    <w:rsid w:val="00782607"/>
    <w:rsid w:val="0078770E"/>
    <w:rsid w:val="00790F2A"/>
    <w:rsid w:val="00795616"/>
    <w:rsid w:val="007979BD"/>
    <w:rsid w:val="007A7FE8"/>
    <w:rsid w:val="007B106E"/>
    <w:rsid w:val="007B24F3"/>
    <w:rsid w:val="007B48BF"/>
    <w:rsid w:val="007B642C"/>
    <w:rsid w:val="007D76D3"/>
    <w:rsid w:val="007F07F1"/>
    <w:rsid w:val="007F0C07"/>
    <w:rsid w:val="007F11D1"/>
    <w:rsid w:val="007F2D12"/>
    <w:rsid w:val="00814129"/>
    <w:rsid w:val="00814B1E"/>
    <w:rsid w:val="00816E66"/>
    <w:rsid w:val="008233B5"/>
    <w:rsid w:val="00826853"/>
    <w:rsid w:val="008347E4"/>
    <w:rsid w:val="00835A6A"/>
    <w:rsid w:val="0084231F"/>
    <w:rsid w:val="00845804"/>
    <w:rsid w:val="00853EFD"/>
    <w:rsid w:val="008573D0"/>
    <w:rsid w:val="0086162B"/>
    <w:rsid w:val="00863049"/>
    <w:rsid w:val="00863B67"/>
    <w:rsid w:val="00870818"/>
    <w:rsid w:val="00886276"/>
    <w:rsid w:val="00895F08"/>
    <w:rsid w:val="008A0112"/>
    <w:rsid w:val="008A2D7D"/>
    <w:rsid w:val="008A77C7"/>
    <w:rsid w:val="008A7A21"/>
    <w:rsid w:val="008B12C1"/>
    <w:rsid w:val="008B415D"/>
    <w:rsid w:val="008B4247"/>
    <w:rsid w:val="008D1035"/>
    <w:rsid w:val="008D6761"/>
    <w:rsid w:val="008E6856"/>
    <w:rsid w:val="008E6D04"/>
    <w:rsid w:val="008F24CC"/>
    <w:rsid w:val="008F4EAF"/>
    <w:rsid w:val="00911378"/>
    <w:rsid w:val="00917C09"/>
    <w:rsid w:val="0092130E"/>
    <w:rsid w:val="00923F2A"/>
    <w:rsid w:val="009240D7"/>
    <w:rsid w:val="00926C5B"/>
    <w:rsid w:val="009308EF"/>
    <w:rsid w:val="00932EAC"/>
    <w:rsid w:val="00937B45"/>
    <w:rsid w:val="00941C26"/>
    <w:rsid w:val="009539AF"/>
    <w:rsid w:val="00953A81"/>
    <w:rsid w:val="00961E13"/>
    <w:rsid w:val="00962A4E"/>
    <w:rsid w:val="009630F0"/>
    <w:rsid w:val="00975686"/>
    <w:rsid w:val="00977131"/>
    <w:rsid w:val="00981C80"/>
    <w:rsid w:val="009917F9"/>
    <w:rsid w:val="009979EE"/>
    <w:rsid w:val="00997A3B"/>
    <w:rsid w:val="009A1DBD"/>
    <w:rsid w:val="009B3D64"/>
    <w:rsid w:val="009D3686"/>
    <w:rsid w:val="009E0712"/>
    <w:rsid w:val="009F10C5"/>
    <w:rsid w:val="009F3D46"/>
    <w:rsid w:val="00A24687"/>
    <w:rsid w:val="00A348D6"/>
    <w:rsid w:val="00A547ED"/>
    <w:rsid w:val="00A55F4E"/>
    <w:rsid w:val="00A568A5"/>
    <w:rsid w:val="00A76B0F"/>
    <w:rsid w:val="00A77337"/>
    <w:rsid w:val="00A87604"/>
    <w:rsid w:val="00A902C7"/>
    <w:rsid w:val="00A93BDB"/>
    <w:rsid w:val="00AA7480"/>
    <w:rsid w:val="00AA7D21"/>
    <w:rsid w:val="00AB534F"/>
    <w:rsid w:val="00AC5F36"/>
    <w:rsid w:val="00AC7169"/>
    <w:rsid w:val="00AE64A6"/>
    <w:rsid w:val="00AF29DF"/>
    <w:rsid w:val="00AF6E01"/>
    <w:rsid w:val="00B00B6E"/>
    <w:rsid w:val="00B02717"/>
    <w:rsid w:val="00B11CA8"/>
    <w:rsid w:val="00B15168"/>
    <w:rsid w:val="00B15E9C"/>
    <w:rsid w:val="00B16C59"/>
    <w:rsid w:val="00B224E8"/>
    <w:rsid w:val="00B2596E"/>
    <w:rsid w:val="00B45BA3"/>
    <w:rsid w:val="00B65E9D"/>
    <w:rsid w:val="00B75D10"/>
    <w:rsid w:val="00B846FA"/>
    <w:rsid w:val="00B903DF"/>
    <w:rsid w:val="00B920C6"/>
    <w:rsid w:val="00B9355D"/>
    <w:rsid w:val="00BA136B"/>
    <w:rsid w:val="00BA4453"/>
    <w:rsid w:val="00BB4303"/>
    <w:rsid w:val="00BC0355"/>
    <w:rsid w:val="00BC69F5"/>
    <w:rsid w:val="00BE5733"/>
    <w:rsid w:val="00BE7412"/>
    <w:rsid w:val="00BF5E83"/>
    <w:rsid w:val="00C0474C"/>
    <w:rsid w:val="00C05D84"/>
    <w:rsid w:val="00C10599"/>
    <w:rsid w:val="00C16E5F"/>
    <w:rsid w:val="00C273EA"/>
    <w:rsid w:val="00C27C00"/>
    <w:rsid w:val="00C30CCD"/>
    <w:rsid w:val="00C31FA3"/>
    <w:rsid w:val="00C43EB5"/>
    <w:rsid w:val="00C56A49"/>
    <w:rsid w:val="00C610C2"/>
    <w:rsid w:val="00C90BAB"/>
    <w:rsid w:val="00CA1BB4"/>
    <w:rsid w:val="00CA34E1"/>
    <w:rsid w:val="00CB09D9"/>
    <w:rsid w:val="00CC68F0"/>
    <w:rsid w:val="00CF00DF"/>
    <w:rsid w:val="00CF3F48"/>
    <w:rsid w:val="00CF5574"/>
    <w:rsid w:val="00D0362E"/>
    <w:rsid w:val="00D13EC1"/>
    <w:rsid w:val="00D221B2"/>
    <w:rsid w:val="00D22BA5"/>
    <w:rsid w:val="00D27463"/>
    <w:rsid w:val="00D30D3A"/>
    <w:rsid w:val="00D50461"/>
    <w:rsid w:val="00D52B7F"/>
    <w:rsid w:val="00D5318C"/>
    <w:rsid w:val="00D61144"/>
    <w:rsid w:val="00D63943"/>
    <w:rsid w:val="00D63D0A"/>
    <w:rsid w:val="00D63DBA"/>
    <w:rsid w:val="00D6581C"/>
    <w:rsid w:val="00D7696C"/>
    <w:rsid w:val="00D8002C"/>
    <w:rsid w:val="00D819B5"/>
    <w:rsid w:val="00D937C0"/>
    <w:rsid w:val="00DA6054"/>
    <w:rsid w:val="00DC7802"/>
    <w:rsid w:val="00DD32DE"/>
    <w:rsid w:val="00DE3DCC"/>
    <w:rsid w:val="00DE6D82"/>
    <w:rsid w:val="00DF175D"/>
    <w:rsid w:val="00DF6EA9"/>
    <w:rsid w:val="00E236C6"/>
    <w:rsid w:val="00E25122"/>
    <w:rsid w:val="00E3332A"/>
    <w:rsid w:val="00E34DF1"/>
    <w:rsid w:val="00E4084B"/>
    <w:rsid w:val="00E6376F"/>
    <w:rsid w:val="00E6439D"/>
    <w:rsid w:val="00E648F3"/>
    <w:rsid w:val="00E71929"/>
    <w:rsid w:val="00E72073"/>
    <w:rsid w:val="00E72517"/>
    <w:rsid w:val="00E74F5E"/>
    <w:rsid w:val="00E81601"/>
    <w:rsid w:val="00E91D41"/>
    <w:rsid w:val="00E9410A"/>
    <w:rsid w:val="00EA293E"/>
    <w:rsid w:val="00EA446F"/>
    <w:rsid w:val="00EA4CF1"/>
    <w:rsid w:val="00EB17E6"/>
    <w:rsid w:val="00EB374B"/>
    <w:rsid w:val="00EB4DEE"/>
    <w:rsid w:val="00EC1EAC"/>
    <w:rsid w:val="00ED10F8"/>
    <w:rsid w:val="00ED74C7"/>
    <w:rsid w:val="00EE26CD"/>
    <w:rsid w:val="00EF6CC1"/>
    <w:rsid w:val="00EF7D5B"/>
    <w:rsid w:val="00F01629"/>
    <w:rsid w:val="00F02042"/>
    <w:rsid w:val="00F16499"/>
    <w:rsid w:val="00F27C1E"/>
    <w:rsid w:val="00F3362F"/>
    <w:rsid w:val="00F40A65"/>
    <w:rsid w:val="00F4371F"/>
    <w:rsid w:val="00F43886"/>
    <w:rsid w:val="00F47F43"/>
    <w:rsid w:val="00F503CB"/>
    <w:rsid w:val="00F56C31"/>
    <w:rsid w:val="00F60856"/>
    <w:rsid w:val="00F6140F"/>
    <w:rsid w:val="00F72082"/>
    <w:rsid w:val="00F82A58"/>
    <w:rsid w:val="00F842B9"/>
    <w:rsid w:val="00F915C9"/>
    <w:rsid w:val="00F974AA"/>
    <w:rsid w:val="00FA33BB"/>
    <w:rsid w:val="00FC1095"/>
    <w:rsid w:val="00FC5FB3"/>
    <w:rsid w:val="00FC6632"/>
    <w:rsid w:val="00FE2BAF"/>
    <w:rsid w:val="00FE6B17"/>
    <w:rsid w:val="00FE7049"/>
    <w:rsid w:val="00FF148B"/>
    <w:rsid w:val="01064980"/>
    <w:rsid w:val="01490343"/>
    <w:rsid w:val="01C53DDE"/>
    <w:rsid w:val="02A55A49"/>
    <w:rsid w:val="033C2933"/>
    <w:rsid w:val="04597CAA"/>
    <w:rsid w:val="05116D9C"/>
    <w:rsid w:val="05704B21"/>
    <w:rsid w:val="05B70EED"/>
    <w:rsid w:val="05C93156"/>
    <w:rsid w:val="06043B04"/>
    <w:rsid w:val="0781493F"/>
    <w:rsid w:val="08426786"/>
    <w:rsid w:val="09001455"/>
    <w:rsid w:val="09011B95"/>
    <w:rsid w:val="0959767A"/>
    <w:rsid w:val="09871202"/>
    <w:rsid w:val="0ABD425F"/>
    <w:rsid w:val="0B022CDB"/>
    <w:rsid w:val="0B1022E5"/>
    <w:rsid w:val="0B9848E3"/>
    <w:rsid w:val="0BC20056"/>
    <w:rsid w:val="0BDE35F8"/>
    <w:rsid w:val="0CE7604A"/>
    <w:rsid w:val="0D116D55"/>
    <w:rsid w:val="0EB36D9E"/>
    <w:rsid w:val="10A67CEF"/>
    <w:rsid w:val="14417039"/>
    <w:rsid w:val="15B033EE"/>
    <w:rsid w:val="1B104E8A"/>
    <w:rsid w:val="1B445F43"/>
    <w:rsid w:val="1BB86261"/>
    <w:rsid w:val="1F1D0E60"/>
    <w:rsid w:val="1F2D7FAC"/>
    <w:rsid w:val="1F417A07"/>
    <w:rsid w:val="1FDA64F0"/>
    <w:rsid w:val="20327E5A"/>
    <w:rsid w:val="20420A88"/>
    <w:rsid w:val="205938B3"/>
    <w:rsid w:val="20845C68"/>
    <w:rsid w:val="22CC34BE"/>
    <w:rsid w:val="232A09E5"/>
    <w:rsid w:val="24867E4A"/>
    <w:rsid w:val="24A251B6"/>
    <w:rsid w:val="25D04D33"/>
    <w:rsid w:val="26743D62"/>
    <w:rsid w:val="26AD3F1B"/>
    <w:rsid w:val="27026D02"/>
    <w:rsid w:val="274F153B"/>
    <w:rsid w:val="27922B90"/>
    <w:rsid w:val="28D36538"/>
    <w:rsid w:val="294073CD"/>
    <w:rsid w:val="294201E0"/>
    <w:rsid w:val="29F54A4E"/>
    <w:rsid w:val="2A2100EB"/>
    <w:rsid w:val="2AB87660"/>
    <w:rsid w:val="2ACA0FA9"/>
    <w:rsid w:val="2ADE37B7"/>
    <w:rsid w:val="2AE75361"/>
    <w:rsid w:val="2B594542"/>
    <w:rsid w:val="2C627B72"/>
    <w:rsid w:val="2C84506C"/>
    <w:rsid w:val="2C84670C"/>
    <w:rsid w:val="2E977F92"/>
    <w:rsid w:val="2FD53783"/>
    <w:rsid w:val="2FFB7344"/>
    <w:rsid w:val="30900F7C"/>
    <w:rsid w:val="3140081B"/>
    <w:rsid w:val="31F57C47"/>
    <w:rsid w:val="32124B9A"/>
    <w:rsid w:val="3438495B"/>
    <w:rsid w:val="354C1F1C"/>
    <w:rsid w:val="358F6EB7"/>
    <w:rsid w:val="36761646"/>
    <w:rsid w:val="36B163E0"/>
    <w:rsid w:val="36DA0AA8"/>
    <w:rsid w:val="383B0DBF"/>
    <w:rsid w:val="3979647A"/>
    <w:rsid w:val="3B33162D"/>
    <w:rsid w:val="3B39346E"/>
    <w:rsid w:val="3BD04CE2"/>
    <w:rsid w:val="3BE0299E"/>
    <w:rsid w:val="3C760461"/>
    <w:rsid w:val="3C970E77"/>
    <w:rsid w:val="3D060CCA"/>
    <w:rsid w:val="3D1E7082"/>
    <w:rsid w:val="3DA8009F"/>
    <w:rsid w:val="3EFD755B"/>
    <w:rsid w:val="40AE1FE6"/>
    <w:rsid w:val="41625BB3"/>
    <w:rsid w:val="42287FEA"/>
    <w:rsid w:val="43593E56"/>
    <w:rsid w:val="45BF0538"/>
    <w:rsid w:val="46CF658C"/>
    <w:rsid w:val="46D07EE6"/>
    <w:rsid w:val="47980176"/>
    <w:rsid w:val="47F215B5"/>
    <w:rsid w:val="490A65DF"/>
    <w:rsid w:val="49416304"/>
    <w:rsid w:val="4A070E22"/>
    <w:rsid w:val="4AF67674"/>
    <w:rsid w:val="4AFC3D46"/>
    <w:rsid w:val="4C714177"/>
    <w:rsid w:val="4C7451EB"/>
    <w:rsid w:val="4C896B0E"/>
    <w:rsid w:val="4D020113"/>
    <w:rsid w:val="4D2227DA"/>
    <w:rsid w:val="4DB3694B"/>
    <w:rsid w:val="4E6F33F3"/>
    <w:rsid w:val="4F4A41FC"/>
    <w:rsid w:val="50253D3C"/>
    <w:rsid w:val="518F070B"/>
    <w:rsid w:val="52166633"/>
    <w:rsid w:val="523C330A"/>
    <w:rsid w:val="524728D7"/>
    <w:rsid w:val="529E59E5"/>
    <w:rsid w:val="52FD6FF5"/>
    <w:rsid w:val="530F2243"/>
    <w:rsid w:val="53F53607"/>
    <w:rsid w:val="55120EF7"/>
    <w:rsid w:val="5644228F"/>
    <w:rsid w:val="56695463"/>
    <w:rsid w:val="575900EA"/>
    <w:rsid w:val="57700D60"/>
    <w:rsid w:val="591803A8"/>
    <w:rsid w:val="598C2BE4"/>
    <w:rsid w:val="5BA30D14"/>
    <w:rsid w:val="5D18180A"/>
    <w:rsid w:val="5D3C4752"/>
    <w:rsid w:val="5D4F60E0"/>
    <w:rsid w:val="5DFF09F7"/>
    <w:rsid w:val="5E4D4C24"/>
    <w:rsid w:val="5F525B36"/>
    <w:rsid w:val="628D2868"/>
    <w:rsid w:val="65A57F8F"/>
    <w:rsid w:val="65A803D0"/>
    <w:rsid w:val="65BF54B8"/>
    <w:rsid w:val="69216729"/>
    <w:rsid w:val="69592B9C"/>
    <w:rsid w:val="69B54E73"/>
    <w:rsid w:val="69E45682"/>
    <w:rsid w:val="6A173059"/>
    <w:rsid w:val="6A6B03FF"/>
    <w:rsid w:val="6ABC5C2E"/>
    <w:rsid w:val="6CBD7B34"/>
    <w:rsid w:val="6CDF3DF9"/>
    <w:rsid w:val="6DAD0022"/>
    <w:rsid w:val="6E6B1AB7"/>
    <w:rsid w:val="6FFD27C1"/>
    <w:rsid w:val="70542286"/>
    <w:rsid w:val="7076091B"/>
    <w:rsid w:val="7087560C"/>
    <w:rsid w:val="70A62238"/>
    <w:rsid w:val="71654D4D"/>
    <w:rsid w:val="72062B0A"/>
    <w:rsid w:val="73A30207"/>
    <w:rsid w:val="75D36771"/>
    <w:rsid w:val="762A0AC3"/>
    <w:rsid w:val="77BE04EE"/>
    <w:rsid w:val="78136346"/>
    <w:rsid w:val="78EB41B8"/>
    <w:rsid w:val="79FF2F22"/>
    <w:rsid w:val="7A64204B"/>
    <w:rsid w:val="7AD473A0"/>
    <w:rsid w:val="7B7B73F7"/>
    <w:rsid w:val="7B852AB6"/>
    <w:rsid w:val="7BC73AED"/>
    <w:rsid w:val="7BE07B16"/>
    <w:rsid w:val="7C7A6F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nhideWhenUsed="0" w:uiPriority="0" w:semiHidden="0"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iPriority="39" w:semiHidden="0"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53"/>
    <w:qFormat/>
    <w:uiPriority w:val="0"/>
    <w:pPr>
      <w:keepNext/>
      <w:outlineLvl w:val="0"/>
    </w:pPr>
    <w:rPr>
      <w:b/>
    </w:rPr>
  </w:style>
  <w:style w:type="paragraph" w:styleId="5">
    <w:name w:val="heading 2"/>
    <w:basedOn w:val="1"/>
    <w:next w:val="4"/>
    <w:link w:val="54"/>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2"/>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ind w:left="437"/>
      <w:outlineLvl w:val="3"/>
    </w:pPr>
    <w:rPr>
      <w:sz w:val="28"/>
      <w:szCs w:val="28"/>
    </w:rPr>
  </w:style>
  <w:style w:type="paragraph" w:styleId="8">
    <w:name w:val="heading 5"/>
    <w:basedOn w:val="1"/>
    <w:next w:val="1"/>
    <w:qFormat/>
    <w:uiPriority w:val="0"/>
    <w:pPr>
      <w:spacing w:line="367" w:lineRule="exact"/>
      <w:ind w:left="682"/>
      <w:outlineLvl w:val="4"/>
    </w:pPr>
    <w:rPr>
      <w:rFonts w:ascii="Microsoft JhengHei" w:hAnsi="Microsoft JhengHei" w:eastAsia="Microsoft JhengHei" w:cs="Microsoft JhengHei"/>
      <w:b/>
      <w:bCs/>
      <w:sz w:val="24"/>
    </w:rPr>
  </w:style>
  <w:style w:type="paragraph" w:styleId="9">
    <w:name w:val="heading 6"/>
    <w:basedOn w:val="1"/>
    <w:next w:val="1"/>
    <w:qFormat/>
    <w:uiPriority w:val="0"/>
    <w:pPr>
      <w:ind w:left="437"/>
      <w:outlineLvl w:val="5"/>
    </w:pPr>
    <w:rPr>
      <w:sz w:val="24"/>
    </w:rPr>
  </w:style>
  <w:style w:type="paragraph" w:styleId="10">
    <w:name w:val="heading 8"/>
    <w:basedOn w:val="1"/>
    <w:next w:val="1"/>
    <w:qFormat/>
    <w:uiPriority w:val="0"/>
    <w:pPr>
      <w:ind w:left="553"/>
      <w:outlineLvl w:val="7"/>
    </w:pPr>
    <w:rPr>
      <w:rFonts w:ascii="Microsoft JhengHei" w:hAnsi="Microsoft JhengHei" w:eastAsia="Microsoft JhengHei" w:cs="Microsoft JhengHei"/>
      <w:b/>
      <w:bCs/>
      <w:szCs w:val="21"/>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customStyle="1" w:styleId="4">
    <w:name w:val="正文缩进1"/>
    <w:basedOn w:val="1"/>
    <w:qFormat/>
    <w:uiPriority w:val="0"/>
    <w:pPr>
      <w:ind w:firstLine="420" w:firstLineChars="200"/>
    </w:pPr>
  </w:style>
  <w:style w:type="paragraph" w:styleId="11">
    <w:name w:val="Document Map"/>
    <w:basedOn w:val="1"/>
    <w:link w:val="67"/>
    <w:semiHidden/>
    <w:qFormat/>
    <w:uiPriority w:val="0"/>
    <w:pPr>
      <w:shd w:val="clear" w:color="auto" w:fill="000080"/>
    </w:pPr>
  </w:style>
  <w:style w:type="paragraph" w:styleId="12">
    <w:name w:val="annotation text"/>
    <w:basedOn w:val="1"/>
    <w:link w:val="60"/>
    <w:semiHidden/>
    <w:qFormat/>
    <w:uiPriority w:val="0"/>
    <w:pPr>
      <w:jc w:val="left"/>
    </w:pPr>
  </w:style>
  <w:style w:type="paragraph" w:styleId="13">
    <w:name w:val="Body Text 3"/>
    <w:basedOn w:val="1"/>
    <w:qFormat/>
    <w:uiPriority w:val="0"/>
    <w:pPr>
      <w:spacing w:line="500" w:lineRule="exact"/>
    </w:pPr>
    <w:rPr>
      <w:b/>
      <w:bCs/>
      <w:kern w:val="0"/>
      <w:sz w:val="24"/>
    </w:rPr>
  </w:style>
  <w:style w:type="paragraph" w:styleId="14">
    <w:name w:val="Body Text"/>
    <w:basedOn w:val="1"/>
    <w:link w:val="73"/>
    <w:unhideWhenUsed/>
    <w:qFormat/>
    <w:uiPriority w:val="99"/>
    <w:pPr>
      <w:spacing w:after="120"/>
    </w:pPr>
  </w:style>
  <w:style w:type="paragraph" w:styleId="15">
    <w:name w:val="Body Text Indent"/>
    <w:basedOn w:val="1"/>
    <w:link w:val="58"/>
    <w:qFormat/>
    <w:uiPriority w:val="0"/>
    <w:pPr>
      <w:spacing w:line="200" w:lineRule="exact"/>
      <w:ind w:firstLine="301"/>
    </w:pPr>
    <w:rPr>
      <w:rFonts w:ascii="宋体" w:hAnsi="Courier New"/>
      <w:spacing w:val="-4"/>
      <w:sz w:val="18"/>
      <w:szCs w:val="20"/>
    </w:rPr>
  </w:style>
  <w:style w:type="paragraph" w:styleId="16">
    <w:name w:val="toc 3"/>
    <w:basedOn w:val="1"/>
    <w:next w:val="1"/>
    <w:unhideWhenUsed/>
    <w:qFormat/>
    <w:uiPriority w:val="39"/>
    <w:pPr>
      <w:ind w:left="840" w:leftChars="400"/>
    </w:pPr>
  </w:style>
  <w:style w:type="paragraph" w:styleId="17">
    <w:name w:val="Plain Text"/>
    <w:basedOn w:val="1"/>
    <w:next w:val="18"/>
    <w:link w:val="56"/>
    <w:qFormat/>
    <w:uiPriority w:val="0"/>
    <w:rPr>
      <w:rFonts w:ascii="宋体" w:hAnsi="Courier New"/>
      <w:szCs w:val="20"/>
    </w:rPr>
  </w:style>
  <w:style w:type="paragraph" w:styleId="18">
    <w:name w:val="Date"/>
    <w:basedOn w:val="1"/>
    <w:next w:val="1"/>
    <w:link w:val="63"/>
    <w:qFormat/>
    <w:uiPriority w:val="0"/>
    <w:pPr>
      <w:ind w:left="100" w:leftChars="2500"/>
    </w:pPr>
  </w:style>
  <w:style w:type="paragraph" w:styleId="19">
    <w:name w:val="toc 8"/>
    <w:basedOn w:val="1"/>
    <w:next w:val="1"/>
    <w:qFormat/>
    <w:uiPriority w:val="0"/>
    <w:pPr>
      <w:ind w:left="2940" w:leftChars="1400"/>
    </w:pPr>
    <w:rPr>
      <w:rFonts w:ascii="Calibri" w:hAnsi="Calibri"/>
      <w:szCs w:val="22"/>
    </w:rPr>
  </w:style>
  <w:style w:type="paragraph" w:styleId="20">
    <w:name w:val="Body Text Indent 2"/>
    <w:basedOn w:val="1"/>
    <w:qFormat/>
    <w:uiPriority w:val="0"/>
    <w:pPr>
      <w:ind w:firstLine="480" w:firstLineChars="200"/>
    </w:pPr>
    <w:rPr>
      <w:rFonts w:ascii="仿宋_GB2312" w:eastAsia="仿宋_GB2312"/>
      <w:sz w:val="24"/>
    </w:rPr>
  </w:style>
  <w:style w:type="paragraph" w:styleId="21">
    <w:name w:val="Balloon Text"/>
    <w:basedOn w:val="1"/>
    <w:link w:val="59"/>
    <w:semiHidden/>
    <w:qFormat/>
    <w:uiPriority w:val="0"/>
    <w:rPr>
      <w:sz w:val="18"/>
      <w:szCs w:val="18"/>
    </w:rPr>
  </w:style>
  <w:style w:type="paragraph" w:styleId="22">
    <w:name w:val="footer"/>
    <w:basedOn w:val="1"/>
    <w:link w:val="52"/>
    <w:unhideWhenUsed/>
    <w:qFormat/>
    <w:uiPriority w:val="99"/>
    <w:pPr>
      <w:tabs>
        <w:tab w:val="center" w:pos="4153"/>
        <w:tab w:val="right" w:pos="8306"/>
      </w:tabs>
      <w:snapToGrid w:val="0"/>
      <w:jc w:val="left"/>
    </w:pPr>
    <w:rPr>
      <w:sz w:val="18"/>
      <w:szCs w:val="18"/>
    </w:rPr>
  </w:style>
  <w:style w:type="paragraph" w:styleId="23">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8820"/>
      </w:tabs>
      <w:ind w:left="540"/>
      <w:jc w:val="left"/>
    </w:pPr>
    <w:rPr>
      <w:rFonts w:ascii="宋体" w:hAnsi="宋体"/>
      <w:b/>
      <w:bCs/>
      <w:caps/>
      <w:szCs w:val="21"/>
    </w:rPr>
  </w:style>
  <w:style w:type="paragraph" w:styleId="25">
    <w:name w:val="Body Text Indent 3"/>
    <w:basedOn w:val="1"/>
    <w:link w:val="64"/>
    <w:qFormat/>
    <w:uiPriority w:val="0"/>
    <w:pPr>
      <w:spacing w:after="120"/>
      <w:ind w:left="420" w:leftChars="200"/>
    </w:pPr>
    <w:rPr>
      <w:sz w:val="16"/>
      <w:szCs w:val="16"/>
    </w:rPr>
  </w:style>
  <w:style w:type="paragraph" w:styleId="26">
    <w:name w:val="toc 2"/>
    <w:basedOn w:val="1"/>
    <w:next w:val="1"/>
    <w:semiHidden/>
    <w:qFormat/>
    <w:uiPriority w:val="0"/>
    <w:pPr>
      <w:tabs>
        <w:tab w:val="right" w:leader="dot" w:pos="8280"/>
      </w:tabs>
      <w:spacing w:line="320" w:lineRule="exact"/>
      <w:ind w:left="1080"/>
      <w:jc w:val="left"/>
    </w:pPr>
    <w:rPr>
      <w:rFonts w:ascii="宋体" w:hAnsi="宋体"/>
      <w:smallCaps/>
      <w:sz w:val="20"/>
      <w:szCs w:val="20"/>
    </w:rPr>
  </w:style>
  <w:style w:type="paragraph" w:styleId="27">
    <w:name w:val="HTML Preformatted"/>
    <w:basedOn w:val="1"/>
    <w:link w:val="5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9">
    <w:name w:val="index 1"/>
    <w:basedOn w:val="1"/>
    <w:next w:val="1"/>
    <w:semiHidden/>
    <w:qFormat/>
    <w:uiPriority w:val="0"/>
    <w:pPr>
      <w:spacing w:line="360" w:lineRule="auto"/>
    </w:pPr>
    <w:rPr>
      <w:rFonts w:ascii="宋体" w:hAnsi="宋体"/>
      <w:bCs/>
      <w:szCs w:val="21"/>
    </w:rPr>
  </w:style>
  <w:style w:type="paragraph" w:styleId="30">
    <w:name w:val="annotation subject"/>
    <w:basedOn w:val="12"/>
    <w:next w:val="12"/>
    <w:link w:val="61"/>
    <w:semiHidden/>
    <w:qFormat/>
    <w:uiPriority w:val="0"/>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Hyperlink"/>
    <w:basedOn w:val="33"/>
    <w:qFormat/>
    <w:uiPriority w:val="0"/>
    <w:rPr>
      <w:color w:val="0000FF"/>
      <w:u w:val="single"/>
    </w:rPr>
  </w:style>
  <w:style w:type="character" w:styleId="36">
    <w:name w:val="annotation reference"/>
    <w:basedOn w:val="33"/>
    <w:semiHidden/>
    <w:qFormat/>
    <w:uiPriority w:val="0"/>
    <w:rPr>
      <w:sz w:val="21"/>
      <w:szCs w:val="21"/>
    </w:rPr>
  </w:style>
  <w:style w:type="paragraph" w:customStyle="1" w:styleId="37">
    <w:name w:val="Normal Indent1"/>
    <w:basedOn w:val="1"/>
    <w:qFormat/>
    <w:uiPriority w:val="0"/>
    <w:pPr>
      <w:ind w:firstLine="420" w:firstLineChars="200"/>
    </w:pPr>
  </w:style>
  <w:style w:type="paragraph" w:customStyle="1" w:styleId="38">
    <w:name w:val="Char Char Char Char"/>
    <w:basedOn w:val="1"/>
    <w:qFormat/>
    <w:uiPriority w:val="0"/>
    <w:rPr>
      <w:rFonts w:ascii="Tahoma" w:hAnsi="Tahoma"/>
      <w:sz w:val="24"/>
      <w:szCs w:val="20"/>
    </w:rPr>
  </w:style>
  <w:style w:type="paragraph" w:customStyle="1" w:styleId="39">
    <w:name w:val="2"/>
    <w:basedOn w:val="1"/>
    <w:next w:val="17"/>
    <w:qFormat/>
    <w:uiPriority w:val="0"/>
    <w:rPr>
      <w:rFonts w:ascii="宋体" w:hAnsi="Courier New"/>
      <w:szCs w:val="20"/>
    </w:rPr>
  </w:style>
  <w:style w:type="paragraph" w:customStyle="1" w:styleId="40">
    <w:name w:val="样式1"/>
    <w:basedOn w:val="1"/>
    <w:qFormat/>
    <w:uiPriority w:val="0"/>
    <w:pPr>
      <w:tabs>
        <w:tab w:val="left" w:pos="709"/>
      </w:tabs>
      <w:adjustRightInd w:val="0"/>
      <w:ind w:left="709" w:hanging="709"/>
    </w:pPr>
    <w:rPr>
      <w:rFonts w:ascii="宋体" w:hAnsi="宋体"/>
      <w:kern w:val="0"/>
      <w:szCs w:val="21"/>
    </w:rPr>
  </w:style>
  <w:style w:type="paragraph" w:customStyle="1" w:styleId="41">
    <w:name w:val="Char Char"/>
    <w:basedOn w:val="1"/>
    <w:qFormat/>
    <w:uiPriority w:val="0"/>
    <w:rPr>
      <w:rFonts w:ascii="仿宋_GB2312" w:eastAsia="仿宋_GB2312"/>
      <w:b/>
      <w:sz w:val="32"/>
      <w:szCs w:val="32"/>
    </w:rPr>
  </w:style>
  <w:style w:type="paragraph" w:customStyle="1" w:styleId="42">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43">
    <w:name w:val="Char2 Char Char Char"/>
    <w:basedOn w:val="1"/>
    <w:qFormat/>
    <w:uiPriority w:val="0"/>
    <w:rPr>
      <w:rFonts w:ascii="Tahoma" w:hAnsi="Tahoma"/>
      <w:sz w:val="24"/>
      <w:szCs w:val="20"/>
    </w:rPr>
  </w:style>
  <w:style w:type="paragraph" w:customStyle="1" w:styleId="44">
    <w:name w:val="Char Char Char Char1"/>
    <w:basedOn w:val="1"/>
    <w:qFormat/>
    <w:uiPriority w:val="0"/>
    <w:rPr>
      <w:rFonts w:ascii="Tahoma" w:hAnsi="Tahoma"/>
      <w:sz w:val="24"/>
      <w:szCs w:val="20"/>
    </w:rPr>
  </w:style>
  <w:style w:type="paragraph" w:customStyle="1" w:styleId="4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6">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47">
    <w:name w:val="列出段落1"/>
    <w:basedOn w:val="1"/>
    <w:qFormat/>
    <w:uiPriority w:val="0"/>
    <w:pPr>
      <w:spacing w:line="360" w:lineRule="auto"/>
      <w:ind w:firstLine="420" w:firstLineChars="200"/>
    </w:pPr>
    <w:rPr>
      <w:rFonts w:ascii="宋体" w:hAnsi="宋体" w:cs="宋体"/>
      <w:sz w:val="24"/>
    </w:rPr>
  </w:style>
  <w:style w:type="paragraph" w:customStyle="1" w:styleId="48">
    <w:name w:val="_Style 5"/>
    <w:basedOn w:val="1"/>
    <w:qFormat/>
    <w:uiPriority w:val="0"/>
    <w:pPr>
      <w:tabs>
        <w:tab w:val="left" w:pos="360"/>
      </w:tabs>
      <w:spacing w:line="360" w:lineRule="auto"/>
      <w:ind w:left="482" w:firstLine="200" w:firstLineChars="200"/>
    </w:pPr>
  </w:style>
  <w:style w:type="paragraph" w:customStyle="1" w:styleId="49">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0"/>
    </w:rPr>
  </w:style>
  <w:style w:type="character" w:customStyle="1" w:styleId="51">
    <w:name w:val="页眉 Char"/>
    <w:basedOn w:val="33"/>
    <w:link w:val="23"/>
    <w:qFormat/>
    <w:uiPriority w:val="99"/>
    <w:rPr>
      <w:sz w:val="18"/>
      <w:szCs w:val="18"/>
    </w:rPr>
  </w:style>
  <w:style w:type="character" w:customStyle="1" w:styleId="52">
    <w:name w:val="页脚 Char"/>
    <w:basedOn w:val="33"/>
    <w:link w:val="22"/>
    <w:qFormat/>
    <w:uiPriority w:val="99"/>
    <w:rPr>
      <w:sz w:val="18"/>
      <w:szCs w:val="18"/>
    </w:rPr>
  </w:style>
  <w:style w:type="character" w:customStyle="1" w:styleId="53">
    <w:name w:val="标题 1 Char"/>
    <w:basedOn w:val="33"/>
    <w:link w:val="3"/>
    <w:qFormat/>
    <w:uiPriority w:val="0"/>
    <w:rPr>
      <w:rFonts w:ascii="Times New Roman" w:hAnsi="Times New Roman" w:eastAsia="宋体" w:cs="Times New Roman"/>
      <w:b/>
      <w:szCs w:val="24"/>
    </w:rPr>
  </w:style>
  <w:style w:type="character" w:customStyle="1" w:styleId="54">
    <w:name w:val="标题 2 Char"/>
    <w:basedOn w:val="33"/>
    <w:link w:val="5"/>
    <w:qFormat/>
    <w:uiPriority w:val="0"/>
    <w:rPr>
      <w:rFonts w:ascii="Arial" w:hAnsi="Arial" w:eastAsia="黑体" w:cs="Times New Roman"/>
      <w:b/>
      <w:bCs/>
      <w:sz w:val="32"/>
      <w:szCs w:val="32"/>
    </w:rPr>
  </w:style>
  <w:style w:type="character" w:customStyle="1" w:styleId="55">
    <w:name w:val="纯文本 Char"/>
    <w:basedOn w:val="33"/>
    <w:qFormat/>
    <w:uiPriority w:val="0"/>
    <w:rPr>
      <w:rFonts w:ascii="宋体" w:hAnsi="Courier New" w:eastAsia="宋体" w:cs="Courier New"/>
      <w:szCs w:val="21"/>
    </w:rPr>
  </w:style>
  <w:style w:type="character" w:customStyle="1" w:styleId="56">
    <w:name w:val="纯文本 Char1"/>
    <w:basedOn w:val="33"/>
    <w:link w:val="17"/>
    <w:qFormat/>
    <w:locked/>
    <w:uiPriority w:val="0"/>
    <w:rPr>
      <w:rFonts w:ascii="宋体" w:hAnsi="Courier New" w:eastAsia="宋体" w:cs="Times New Roman"/>
      <w:szCs w:val="20"/>
    </w:rPr>
  </w:style>
  <w:style w:type="character" w:customStyle="1" w:styleId="57">
    <w:name w:val="HTML 预设格式 Char"/>
    <w:basedOn w:val="33"/>
    <w:link w:val="27"/>
    <w:qFormat/>
    <w:uiPriority w:val="0"/>
    <w:rPr>
      <w:rFonts w:ascii="黑体" w:hAnsi="Courier New" w:eastAsia="黑体" w:cs="Courier New"/>
      <w:kern w:val="0"/>
      <w:sz w:val="20"/>
      <w:szCs w:val="20"/>
    </w:rPr>
  </w:style>
  <w:style w:type="character" w:customStyle="1" w:styleId="58">
    <w:name w:val="正文文本缩进 Char"/>
    <w:basedOn w:val="33"/>
    <w:link w:val="15"/>
    <w:qFormat/>
    <w:uiPriority w:val="0"/>
    <w:rPr>
      <w:rFonts w:ascii="宋体" w:hAnsi="Courier New" w:eastAsia="宋体" w:cs="Times New Roman"/>
      <w:spacing w:val="-4"/>
      <w:sz w:val="18"/>
      <w:szCs w:val="20"/>
    </w:rPr>
  </w:style>
  <w:style w:type="character" w:customStyle="1" w:styleId="59">
    <w:name w:val="批注框文本 Char"/>
    <w:basedOn w:val="33"/>
    <w:link w:val="21"/>
    <w:semiHidden/>
    <w:qFormat/>
    <w:uiPriority w:val="0"/>
    <w:rPr>
      <w:rFonts w:ascii="Times New Roman" w:hAnsi="Times New Roman" w:eastAsia="宋体" w:cs="Times New Roman"/>
      <w:sz w:val="18"/>
      <w:szCs w:val="18"/>
    </w:rPr>
  </w:style>
  <w:style w:type="character" w:customStyle="1" w:styleId="60">
    <w:name w:val="批注文字 Char"/>
    <w:basedOn w:val="33"/>
    <w:link w:val="12"/>
    <w:semiHidden/>
    <w:qFormat/>
    <w:uiPriority w:val="0"/>
    <w:rPr>
      <w:rFonts w:ascii="Times New Roman" w:hAnsi="Times New Roman" w:eastAsia="宋体" w:cs="Times New Roman"/>
      <w:szCs w:val="24"/>
    </w:rPr>
  </w:style>
  <w:style w:type="character" w:customStyle="1" w:styleId="61">
    <w:name w:val="批注主题 Char"/>
    <w:basedOn w:val="60"/>
    <w:link w:val="30"/>
    <w:semiHidden/>
    <w:qFormat/>
    <w:uiPriority w:val="0"/>
    <w:rPr>
      <w:rFonts w:ascii="Times New Roman" w:hAnsi="Times New Roman" w:eastAsia="宋体" w:cs="Times New Roman"/>
      <w:b/>
      <w:bCs/>
      <w:szCs w:val="24"/>
    </w:rPr>
  </w:style>
  <w:style w:type="character" w:customStyle="1" w:styleId="62">
    <w:name w:val="正文缩进 Char"/>
    <w:basedOn w:val="33"/>
    <w:qFormat/>
    <w:uiPriority w:val="0"/>
    <w:rPr>
      <w:rFonts w:ascii="Times New Roman" w:hAnsi="Times New Roman" w:eastAsia="宋体" w:cs="Times New Roman"/>
      <w:szCs w:val="20"/>
    </w:rPr>
  </w:style>
  <w:style w:type="character" w:customStyle="1" w:styleId="63">
    <w:name w:val="日期 Char"/>
    <w:basedOn w:val="33"/>
    <w:link w:val="18"/>
    <w:qFormat/>
    <w:uiPriority w:val="0"/>
    <w:rPr>
      <w:rFonts w:ascii="Times New Roman" w:hAnsi="Times New Roman" w:eastAsia="宋体" w:cs="Times New Roman"/>
      <w:szCs w:val="24"/>
    </w:rPr>
  </w:style>
  <w:style w:type="character" w:customStyle="1" w:styleId="64">
    <w:name w:val="正文文本缩进 3 Char"/>
    <w:basedOn w:val="33"/>
    <w:link w:val="25"/>
    <w:qFormat/>
    <w:uiPriority w:val="0"/>
    <w:rPr>
      <w:rFonts w:ascii="Times New Roman" w:hAnsi="Times New Roman" w:eastAsia="宋体" w:cs="Times New Roman"/>
      <w:sz w:val="16"/>
      <w:szCs w:val="16"/>
    </w:rPr>
  </w:style>
  <w:style w:type="character" w:customStyle="1" w:styleId="65">
    <w:name w:val="105v1"/>
    <w:qFormat/>
    <w:uiPriority w:val="0"/>
    <w:rPr>
      <w:rFonts w:hint="default" w:ascii="ˎ̥" w:hAnsi="ˎ̥"/>
      <w:sz w:val="21"/>
      <w:szCs w:val="21"/>
    </w:rPr>
  </w:style>
  <w:style w:type="character" w:customStyle="1" w:styleId="66">
    <w:name w:val="htd0"/>
    <w:basedOn w:val="33"/>
    <w:qFormat/>
    <w:uiPriority w:val="0"/>
  </w:style>
  <w:style w:type="character" w:customStyle="1" w:styleId="67">
    <w:name w:val="文档结构图 Char"/>
    <w:basedOn w:val="33"/>
    <w:link w:val="11"/>
    <w:semiHidden/>
    <w:qFormat/>
    <w:uiPriority w:val="0"/>
    <w:rPr>
      <w:rFonts w:ascii="Times New Roman" w:hAnsi="Times New Roman" w:eastAsia="宋体" w:cs="Times New Roman"/>
      <w:szCs w:val="24"/>
      <w:shd w:val="clear" w:color="auto" w:fill="000080"/>
    </w:rPr>
  </w:style>
  <w:style w:type="character" w:customStyle="1" w:styleId="68">
    <w:name w:val="普通文字 Char Char2"/>
    <w:basedOn w:val="33"/>
    <w:qFormat/>
    <w:uiPriority w:val="0"/>
    <w:rPr>
      <w:rFonts w:ascii="宋体" w:hAnsi="Courier New" w:eastAsia="宋体"/>
      <w:kern w:val="2"/>
      <w:sz w:val="21"/>
      <w:lang w:val="en-US" w:eastAsia="zh-CN" w:bidi="ar-SA"/>
    </w:rPr>
  </w:style>
  <w:style w:type="character" w:customStyle="1" w:styleId="69">
    <w:name w:val="Char Char2"/>
    <w:qFormat/>
    <w:uiPriority w:val="0"/>
    <w:rPr>
      <w:kern w:val="2"/>
      <w:sz w:val="16"/>
    </w:rPr>
  </w:style>
  <w:style w:type="character" w:customStyle="1" w:styleId="70">
    <w:name w:val="apple-converted-space"/>
    <w:basedOn w:val="33"/>
    <w:qFormat/>
    <w:uiPriority w:val="0"/>
  </w:style>
  <w:style w:type="character" w:customStyle="1" w:styleId="71">
    <w:name w:val="grame"/>
    <w:basedOn w:val="33"/>
    <w:qFormat/>
    <w:uiPriority w:val="0"/>
    <w:rPr>
      <w:rFonts w:ascii="Tahoma" w:hAnsi="Tahoma" w:eastAsia="宋体"/>
      <w:kern w:val="2"/>
      <w:sz w:val="24"/>
      <w:szCs w:val="24"/>
      <w:lang w:val="en-US" w:eastAsia="zh-CN" w:bidi="ar-SA"/>
    </w:rPr>
  </w:style>
  <w:style w:type="character" w:customStyle="1" w:styleId="72">
    <w:name w:val="标题 3 Char"/>
    <w:basedOn w:val="33"/>
    <w:link w:val="6"/>
    <w:qFormat/>
    <w:uiPriority w:val="0"/>
    <w:rPr>
      <w:b/>
      <w:bCs/>
      <w:kern w:val="2"/>
      <w:sz w:val="32"/>
      <w:szCs w:val="32"/>
    </w:rPr>
  </w:style>
  <w:style w:type="character" w:customStyle="1" w:styleId="73">
    <w:name w:val="正文文本 Char"/>
    <w:basedOn w:val="33"/>
    <w:link w:val="14"/>
    <w:qFormat/>
    <w:uiPriority w:val="0"/>
    <w:rPr>
      <w:kern w:val="2"/>
      <w:sz w:val="21"/>
      <w:szCs w:val="24"/>
    </w:rPr>
  </w:style>
  <w:style w:type="character" w:customStyle="1" w:styleId="74">
    <w:name w:val="标题 #2_"/>
    <w:link w:val="75"/>
    <w:qFormat/>
    <w:uiPriority w:val="0"/>
    <w:rPr>
      <w:rFonts w:ascii="MingLiU" w:eastAsia="MingLiU"/>
      <w:sz w:val="15"/>
      <w:szCs w:val="15"/>
      <w:shd w:val="clear" w:color="auto" w:fill="FFFFFF"/>
    </w:rPr>
  </w:style>
  <w:style w:type="paragraph" w:customStyle="1" w:styleId="75">
    <w:name w:val="标题 #2"/>
    <w:basedOn w:val="1"/>
    <w:link w:val="74"/>
    <w:qFormat/>
    <w:uiPriority w:val="0"/>
    <w:pPr>
      <w:shd w:val="clear" w:color="auto" w:fill="FFFFFF"/>
      <w:spacing w:line="278" w:lineRule="exact"/>
      <w:ind w:firstLine="320"/>
      <w:jc w:val="distribute"/>
      <w:outlineLvl w:val="1"/>
    </w:pPr>
    <w:rPr>
      <w:rFonts w:ascii="MingLiU" w:eastAsia="MingLiU"/>
      <w:kern w:val="0"/>
      <w:sz w:val="15"/>
      <w:szCs w:val="15"/>
      <w:shd w:val="clear" w:color="auto" w:fill="FFFFFF"/>
    </w:rPr>
  </w:style>
  <w:style w:type="paragraph" w:customStyle="1" w:styleId="7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77">
    <w:name w:val="Table Paragraph"/>
    <w:basedOn w:val="1"/>
    <w:qFormat/>
    <w:uiPriority w:val="0"/>
  </w:style>
  <w:style w:type="paragraph" w:customStyle="1" w:styleId="78">
    <w:name w:val="列出段落2"/>
    <w:basedOn w:val="1"/>
    <w:qFormat/>
    <w:uiPriority w:val="0"/>
    <w:pPr>
      <w:ind w:left="140" w:hanging="530"/>
    </w:pPr>
  </w:style>
  <w:style w:type="character" w:customStyle="1" w:styleId="79">
    <w:name w:val="NormalCharacter"/>
    <w:qFormat/>
    <w:uiPriority w:val="0"/>
  </w:style>
  <w:style w:type="paragraph" w:customStyle="1" w:styleId="80">
    <w:name w:val="纯文本1"/>
    <w:basedOn w:val="1"/>
    <w:next w:val="81"/>
    <w:qFormat/>
    <w:uiPriority w:val="0"/>
    <w:rPr>
      <w:rFonts w:hAnsi="Courier New"/>
      <w:szCs w:val="20"/>
    </w:rPr>
  </w:style>
  <w:style w:type="paragraph" w:customStyle="1" w:styleId="81">
    <w:name w:val="TOC 标题2"/>
    <w:next w:val="1"/>
    <w:qFormat/>
    <w:uiPriority w:val="0"/>
    <w:pPr>
      <w:wordWrap w:val="0"/>
    </w:pPr>
    <w:rPr>
      <w:rFonts w:ascii="Times New Roman" w:hAnsi="Times New Roman" w:eastAsia="宋体" w:cs="Times New Roman"/>
      <w:sz w:val="32"/>
      <w:szCs w:val="22"/>
      <w:lang w:val="en-US" w:eastAsia="zh-CN" w:bidi="ar-SA"/>
    </w:rPr>
  </w:style>
  <w:style w:type="paragraph" w:customStyle="1" w:styleId="82">
    <w:name w:val="表格文字"/>
    <w:basedOn w:val="1"/>
    <w:qFormat/>
    <w:uiPriority w:val="0"/>
    <w:pPr>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2"/>
    <customShpInfo spid="_x0000_s2050"/>
    <customShpInfo spid="_x0000_s2053"/>
    <customShpInfo spid="_x0000_s2051"/>
    <customShpInfo spid="_x0000_s1033"/>
    <customShpInfo spid="_x0000_s1034"/>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CAFCD-8791-4235-B2DD-20DD8ECE53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50</Pages>
  <Words>5159</Words>
  <Characters>29412</Characters>
  <Lines>245</Lines>
  <Paragraphs>69</Paragraphs>
  <TotalTime>6</TotalTime>
  <ScaleCrop>false</ScaleCrop>
  <LinksUpToDate>false</LinksUpToDate>
  <CharactersWithSpaces>34502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2016-05-30T07:35:00Z</dcterms:created>
  <dc:creator>as</dc:creator>
  <cp:lastModifiedBy>Administrator</cp:lastModifiedBy>
  <cp:lastPrinted>2019-07-29T02:16:00Z</cp:lastPrinted>
  <dcterms:modified xsi:type="dcterms:W3CDTF">2020-10-10T01:12:25Z</dcterms:modified>
  <dc:title>_x0001_</dc:title>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