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stheme="minorEastAsia"/>
          <w:color w:val="auto"/>
          <w:highlight w:val="none"/>
        </w:rPr>
      </w:pPr>
    </w:p>
    <w:p>
      <w:pPr>
        <w:spacing w:line="360" w:lineRule="auto"/>
        <w:ind w:left="-630" w:leftChars="-300" w:right="-141" w:rightChars="-67"/>
        <w:jc w:val="center"/>
        <w:rPr>
          <w:rFonts w:ascii="宋体" w:hAnsi="宋体" w:eastAsia="宋体"/>
          <w:b/>
          <w:color w:val="auto"/>
          <w:sz w:val="56"/>
          <w:szCs w:val="56"/>
          <w:highlight w:val="none"/>
        </w:rPr>
      </w:pPr>
      <w:r>
        <w:rPr>
          <w:rFonts w:hint="eastAsia" w:ascii="宋体" w:hAnsi="宋体"/>
          <w:b/>
          <w:color w:val="auto"/>
          <w:sz w:val="56"/>
          <w:szCs w:val="56"/>
          <w:highlight w:val="none"/>
        </w:rPr>
        <w:t xml:space="preserve"> </w:t>
      </w:r>
      <w:r>
        <w:rPr>
          <w:rFonts w:hint="eastAsia" w:ascii="宋体" w:hAnsi="宋体"/>
          <w:b/>
          <w:color w:val="auto"/>
          <w:sz w:val="52"/>
          <w:szCs w:val="52"/>
          <w:highlight w:val="none"/>
        </w:rPr>
        <w:t xml:space="preserve"> 广西振弘建设管理有限公司</w:t>
      </w:r>
    </w:p>
    <w:p>
      <w:pPr>
        <w:spacing w:line="600" w:lineRule="exact"/>
        <w:ind w:left="-630" w:leftChars="-300" w:right="-141" w:rightChars="-67"/>
        <w:jc w:val="center"/>
        <w:rPr>
          <w:rFonts w:ascii="宋体" w:hAnsi="宋体"/>
          <w:b/>
          <w:color w:val="auto"/>
          <w:sz w:val="56"/>
          <w:szCs w:val="56"/>
          <w:highlight w:val="none"/>
        </w:rPr>
      </w:pPr>
      <w:r>
        <w:rPr>
          <w:color w:val="auto"/>
          <w:sz w:val="52"/>
          <w:highlight w:val="none"/>
        </w:rPr>
        <mc:AlternateContent>
          <mc:Choice Requires="wps">
            <w:drawing>
              <wp:anchor distT="0" distB="0" distL="114300" distR="114300" simplePos="0" relativeHeight="251671552" behindDoc="0" locked="0" layoutInCell="1" allowOverlap="1">
                <wp:simplePos x="0" y="0"/>
                <wp:positionH relativeFrom="column">
                  <wp:posOffset>369570</wp:posOffset>
                </wp:positionH>
                <wp:positionV relativeFrom="paragraph">
                  <wp:posOffset>86995</wp:posOffset>
                </wp:positionV>
                <wp:extent cx="5376545" cy="6985"/>
                <wp:effectExtent l="0" t="28575" r="14605" b="40640"/>
                <wp:wrapNone/>
                <wp:docPr id="5" name="直线 6"/>
                <wp:cNvGraphicFramePr/>
                <a:graphic xmlns:a="http://schemas.openxmlformats.org/drawingml/2006/main">
                  <a:graphicData uri="http://schemas.microsoft.com/office/word/2010/wordprocessingShape">
                    <wps:wsp>
                      <wps:cNvCnPr/>
                      <wps:spPr>
                        <a:xfrm flipV="1">
                          <a:off x="0" y="0"/>
                          <a:ext cx="5376545" cy="698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29.1pt;margin-top:6.85pt;height:0.55pt;width:423.35pt;z-index:251671552;mso-width-relative:page;mso-height-relative:page;" filled="f" stroked="t" coordsize="21600,21600" o:gfxdata="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4fMDYAAAACAEAAA8AAAAAAAAAAQAgAAAAIgAAAGRycy9kb3ducmV2Lnht&#10;bFBLAQIUABQAAAAIAIdO4kBh9O91+QEAAO8DAAAOAAAAAAAAAAEAIAAAACcBAABkcnMvZTJvRG9j&#10;LnhtbFBLBQYAAAAABgAGAFkBAACSBQAAAAA=&#10;">
                <v:fill on="f" focussize="0,0"/>
                <v:stroke weight="4.5pt" color="#FF0000" linestyle="thinThick" joinstyle="round"/>
                <v:imagedata o:title=""/>
                <o:lock v:ext="edit" aspectratio="f"/>
              </v:line>
            </w:pict>
          </mc:Fallback>
        </mc:AlternateContent>
      </w:r>
    </w:p>
    <w:p>
      <w:pPr>
        <w:jc w:val="center"/>
        <w:rPr>
          <w:b/>
          <w:bCs/>
          <w:color w:val="auto"/>
          <w:sz w:val="72"/>
          <w:szCs w:val="144"/>
          <w:highlight w:val="none"/>
        </w:rPr>
      </w:pPr>
      <w:bookmarkStart w:id="0" w:name="_Toc2619"/>
    </w:p>
    <w:p>
      <w:pPr>
        <w:jc w:val="center"/>
        <w:rPr>
          <w:b/>
          <w:bCs/>
          <w:color w:val="auto"/>
          <w:sz w:val="72"/>
          <w:szCs w:val="144"/>
          <w:highlight w:val="none"/>
        </w:rPr>
      </w:pPr>
      <w:bookmarkStart w:id="1" w:name="_Toc17872"/>
      <w:r>
        <w:rPr>
          <w:rFonts w:hint="eastAsia" w:ascii="宋体" w:hAnsi="宋体" w:cs="宋体"/>
          <w:color w:val="auto"/>
          <w:highlight w:val="none"/>
        </w:rPr>
        <w:drawing>
          <wp:anchor distT="0" distB="0" distL="114300" distR="114300" simplePos="0" relativeHeight="251674624" behindDoc="1" locked="0" layoutInCell="1" allowOverlap="1">
            <wp:simplePos x="0" y="0"/>
            <wp:positionH relativeFrom="column">
              <wp:posOffset>2532380</wp:posOffset>
            </wp:positionH>
            <wp:positionV relativeFrom="paragraph">
              <wp:posOffset>-541020</wp:posOffset>
            </wp:positionV>
            <wp:extent cx="1609090" cy="1823085"/>
            <wp:effectExtent l="0" t="0" r="10160" b="5715"/>
            <wp:wrapNone/>
            <wp:docPr id="2" name="图片 30" descr="振弘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descr="振弘LOGO"/>
                    <pic:cNvPicPr>
                      <a:picLocks noChangeAspect="1"/>
                    </pic:cNvPicPr>
                  </pic:nvPicPr>
                  <pic:blipFill>
                    <a:blip r:embed="rId64"/>
                    <a:stretch>
                      <a:fillRect/>
                    </a:stretch>
                  </pic:blipFill>
                  <pic:spPr>
                    <a:xfrm>
                      <a:off x="0" y="0"/>
                      <a:ext cx="1609090" cy="1823085"/>
                    </a:xfrm>
                    <a:prstGeom prst="rect">
                      <a:avLst/>
                    </a:prstGeom>
                    <a:noFill/>
                    <a:ln>
                      <a:noFill/>
                    </a:ln>
                  </pic:spPr>
                </pic:pic>
              </a:graphicData>
            </a:graphic>
          </wp:anchor>
        </w:drawing>
      </w:r>
      <w:bookmarkEnd w:id="1"/>
    </w:p>
    <w:p>
      <w:pPr>
        <w:jc w:val="center"/>
        <w:rPr>
          <w:b/>
          <w:bCs/>
          <w:color w:val="auto"/>
          <w:sz w:val="72"/>
          <w:szCs w:val="144"/>
          <w:highlight w:val="none"/>
        </w:rPr>
      </w:pPr>
    </w:p>
    <w:p>
      <w:pPr>
        <w:jc w:val="center"/>
        <w:rPr>
          <w:b/>
          <w:bCs/>
          <w:color w:val="auto"/>
          <w:sz w:val="72"/>
          <w:szCs w:val="144"/>
          <w:highlight w:val="none"/>
        </w:rPr>
      </w:pPr>
    </w:p>
    <w:p>
      <w:pPr>
        <w:jc w:val="center"/>
        <w:rPr>
          <w:b/>
          <w:bCs/>
          <w:color w:val="auto"/>
          <w:sz w:val="72"/>
          <w:szCs w:val="144"/>
          <w:highlight w:val="none"/>
        </w:rPr>
      </w:pPr>
    </w:p>
    <w:p>
      <w:pPr>
        <w:jc w:val="center"/>
        <w:rPr>
          <w:rFonts w:asciiTheme="minorEastAsia" w:hAnsiTheme="minorEastAsia" w:eastAsiaTheme="minorEastAsia" w:cstheme="minorEastAsia"/>
          <w:color w:val="auto"/>
          <w:sz w:val="72"/>
          <w:szCs w:val="72"/>
          <w:highlight w:val="none"/>
        </w:rPr>
      </w:pPr>
      <w:r>
        <w:rPr>
          <w:rFonts w:hint="eastAsia"/>
          <w:b/>
          <w:bCs/>
          <w:color w:val="auto"/>
          <w:sz w:val="72"/>
          <w:szCs w:val="144"/>
          <w:highlight w:val="none"/>
        </w:rPr>
        <w:t>竞争性磋商采购文件</w:t>
      </w:r>
      <w:bookmarkEnd w:id="0"/>
    </w:p>
    <w:p>
      <w:pPr>
        <w:spacing w:line="360" w:lineRule="auto"/>
        <w:rPr>
          <w:rFonts w:asciiTheme="minorEastAsia" w:hAnsiTheme="minorEastAsia" w:eastAsiaTheme="minorEastAsia" w:cstheme="minorEastAsia"/>
          <w:color w:val="auto"/>
          <w:highlight w:val="none"/>
        </w:rPr>
      </w:pPr>
    </w:p>
    <w:p>
      <w:pPr>
        <w:spacing w:before="68" w:line="360" w:lineRule="auto"/>
        <w:ind w:firstLine="378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（全流程电子化评标）</w:t>
      </w:r>
    </w:p>
    <w:p>
      <w:pPr>
        <w:spacing w:line="360" w:lineRule="auto"/>
        <w:rPr>
          <w:rFonts w:asciiTheme="minorEastAsia" w:hAnsiTheme="minorEastAsia" w:eastAsiaTheme="minorEastAsia" w:cstheme="minorEastAsia"/>
          <w:color w:val="auto"/>
          <w:highlight w:val="none"/>
        </w:rPr>
      </w:pPr>
    </w:p>
    <w:p>
      <w:pPr>
        <w:pStyle w:val="11"/>
        <w:spacing w:line="360" w:lineRule="auto"/>
        <w:ind w:left="2239" w:leftChars="304" w:hanging="1601" w:hangingChars="500"/>
        <w:rPr>
          <w:rFonts w:hint="eastAsia" w:hAnsi="宋体" w:eastAsia="宋体"/>
          <w:b/>
          <w:color w:val="auto"/>
          <w:sz w:val="32"/>
          <w:szCs w:val="32"/>
          <w:highlight w:val="none"/>
          <w:lang w:eastAsia="zh-CN"/>
        </w:rPr>
      </w:pPr>
      <w:r>
        <w:rPr>
          <w:rFonts w:hint="eastAsia" w:hAnsi="宋体"/>
          <w:b/>
          <w:color w:val="auto"/>
          <w:sz w:val="32"/>
          <w:szCs w:val="32"/>
          <w:highlight w:val="none"/>
        </w:rPr>
        <w:t>项目名称：</w:t>
      </w:r>
      <w:r>
        <w:rPr>
          <w:rFonts w:hint="eastAsia" w:hAnsi="宋体" w:eastAsia="宋体"/>
          <w:b/>
          <w:color w:val="auto"/>
          <w:sz w:val="32"/>
          <w:szCs w:val="32"/>
          <w:highlight w:val="none"/>
          <w:lang w:eastAsia="zh-CN"/>
        </w:rPr>
        <w:t>罗城仫佬族自治县测土配方有机肥料采购及服务项目</w:t>
      </w:r>
    </w:p>
    <w:p>
      <w:pPr>
        <w:pStyle w:val="11"/>
        <w:spacing w:line="360" w:lineRule="auto"/>
        <w:ind w:firstLine="640" w:firstLineChars="200"/>
        <w:rPr>
          <w:rFonts w:hint="eastAsia" w:hAnsi="宋体" w:eastAsia="宋体"/>
          <w:color w:val="auto"/>
          <w:highlight w:val="none"/>
          <w:lang w:eastAsia="zh-CN"/>
        </w:rPr>
      </w:pPr>
      <w:r>
        <w:rPr>
          <w:rFonts w:hint="eastAsia" w:hAnsi="宋体"/>
          <w:b/>
          <w:color w:val="auto"/>
          <w:sz w:val="32"/>
          <w:szCs w:val="32"/>
          <w:highlight w:val="none"/>
        </w:rPr>
        <w:t>项目编号：</w:t>
      </w:r>
      <w:bookmarkStart w:id="2" w:name="_Toc221441075"/>
      <w:bookmarkStart w:id="3" w:name="_Toc222757817"/>
      <w:bookmarkStart w:id="4" w:name="_Toc230520432"/>
      <w:bookmarkStart w:id="5" w:name="_Toc235612824"/>
      <w:bookmarkStart w:id="6" w:name="_Toc227505660"/>
      <w:bookmarkStart w:id="7" w:name="_Toc221441334"/>
      <w:bookmarkStart w:id="8" w:name="_Toc221440907"/>
      <w:bookmarkStart w:id="9" w:name="_Toc221786665"/>
      <w:bookmarkStart w:id="10" w:name="_Toc233178271"/>
      <w:bookmarkStart w:id="11" w:name="_Toc221440991"/>
      <w:r>
        <w:rPr>
          <w:rFonts w:hint="eastAsia" w:hAnsi="宋体" w:eastAsia="宋体"/>
          <w:b/>
          <w:color w:val="auto"/>
          <w:sz w:val="32"/>
          <w:szCs w:val="32"/>
          <w:highlight w:val="none"/>
          <w:lang w:eastAsia="zh-CN"/>
        </w:rPr>
        <w:t>HCZC2022-C3-250146-GXZH</w:t>
      </w:r>
    </w:p>
    <w:p>
      <w:pPr>
        <w:tabs>
          <w:tab w:val="left" w:pos="993"/>
        </w:tabs>
        <w:spacing w:line="360" w:lineRule="auto"/>
        <w:ind w:firstLine="1800" w:firstLineChars="500"/>
        <w:rPr>
          <w:rFonts w:ascii="宋体" w:hAnsi="宋体"/>
          <w:b/>
          <w:color w:val="auto"/>
          <w:sz w:val="32"/>
          <w:szCs w:val="32"/>
          <w:highlight w:val="none"/>
        </w:rPr>
      </w:pPr>
      <w:r>
        <w:rPr>
          <w:color w:val="auto"/>
          <w:sz w:val="36"/>
          <w:szCs w:val="36"/>
          <w:highlight w:val="none"/>
        </w:rPr>
        <mc:AlternateContent>
          <mc:Choice Requires="wps">
            <w:drawing>
              <wp:anchor distT="0" distB="0" distL="114300" distR="114300" simplePos="0" relativeHeight="251673600" behindDoc="0" locked="0" layoutInCell="0" allowOverlap="1">
                <wp:simplePos x="0" y="0"/>
                <wp:positionH relativeFrom="column">
                  <wp:posOffset>38100</wp:posOffset>
                </wp:positionH>
                <wp:positionV relativeFrom="paragraph">
                  <wp:posOffset>161290</wp:posOffset>
                </wp:positionV>
                <wp:extent cx="5796280" cy="31115"/>
                <wp:effectExtent l="0" t="19050" r="13970" b="26035"/>
                <wp:wrapTopAndBottom/>
                <wp:docPr id="6" name="直接连接符 2"/>
                <wp:cNvGraphicFramePr/>
                <a:graphic xmlns:a="http://schemas.openxmlformats.org/drawingml/2006/main">
                  <a:graphicData uri="http://schemas.microsoft.com/office/word/2010/wordprocessingShape">
                    <wps:wsp>
                      <wps:cNvCnPr/>
                      <wps:spPr>
                        <a:xfrm>
                          <a:off x="0" y="0"/>
                          <a:ext cx="5796280" cy="3111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3pt;margin-top:12.7pt;height:2.45pt;width:456.4pt;mso-wrap-distance-bottom:0pt;mso-wrap-distance-top:0pt;z-index:251673600;mso-width-relative:page;mso-height-relative:page;" filled="f" stroked="t" coordsize="21600,21600" o:allowincell="f" o:gfxdata="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7yCAdoAAAAHAQAADwAAAAAAAAABACAAAAAiAAAAZHJzL2Rvd25yZXYu&#10;eG1sUEsBAhQAFAAAAAgAh07iQILoKYj5AQAA6QMAAA4AAAAAAAAAAQAgAAAAKQEAAGRycy9lMm9E&#10;b2MueG1sUEsFBgAAAAAGAAYAWQEAAJQFAAAAAA==&#10;">
                <v:fill on="f" focussize="0,0"/>
                <v:stroke weight="3pt" color="#FF0000" joinstyle="round"/>
                <v:imagedata o:title=""/>
                <o:lock v:ext="edit" aspectratio="f"/>
                <w10:wrap type="topAndBottom"/>
              </v:line>
            </w:pict>
          </mc:Fallback>
        </mc:AlternateContent>
      </w:r>
      <w:bookmarkEnd w:id="2"/>
      <w:bookmarkEnd w:id="3"/>
      <w:bookmarkEnd w:id="4"/>
      <w:bookmarkEnd w:id="5"/>
      <w:bookmarkEnd w:id="6"/>
      <w:bookmarkEnd w:id="7"/>
      <w:bookmarkEnd w:id="8"/>
      <w:bookmarkEnd w:id="9"/>
      <w:bookmarkEnd w:id="10"/>
      <w:bookmarkEnd w:id="11"/>
    </w:p>
    <w:p>
      <w:pPr>
        <w:tabs>
          <w:tab w:val="left" w:pos="993"/>
        </w:tabs>
        <w:spacing w:line="360" w:lineRule="auto"/>
        <w:ind w:firstLine="640"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采 购 单 位：</w:t>
      </w:r>
      <w:r>
        <w:rPr>
          <w:rFonts w:hint="eastAsia" w:ascii="宋体" w:hAnsi="宋体" w:eastAsia="宋体"/>
          <w:b/>
          <w:color w:val="auto"/>
          <w:sz w:val="32"/>
          <w:szCs w:val="32"/>
          <w:highlight w:val="none"/>
          <w:lang w:eastAsia="zh-CN"/>
        </w:rPr>
        <w:t>罗城仫佬族自治县糖业发展中心</w:t>
      </w:r>
    </w:p>
    <w:p>
      <w:pPr>
        <w:tabs>
          <w:tab w:val="left" w:pos="993"/>
        </w:tabs>
        <w:spacing w:line="360" w:lineRule="auto"/>
        <w:ind w:firstLine="640" w:firstLineChars="200"/>
        <w:rPr>
          <w:rFonts w:ascii="宋体" w:hAnsi="宋体" w:eastAsia="宋体"/>
          <w:b/>
          <w:color w:val="auto"/>
          <w:sz w:val="32"/>
          <w:szCs w:val="32"/>
          <w:highlight w:val="none"/>
        </w:rPr>
      </w:pPr>
      <w:r>
        <w:rPr>
          <w:rFonts w:hint="eastAsia" w:ascii="宋体" w:hAnsi="宋体"/>
          <w:b/>
          <w:color w:val="auto"/>
          <w:sz w:val="32"/>
          <w:szCs w:val="32"/>
          <w:highlight w:val="none"/>
        </w:rPr>
        <w:t>采购代理机构：广西振弘建设管理有限公司</w:t>
      </w:r>
    </w:p>
    <w:p>
      <w:pPr>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pPr>
        <w:spacing w:line="400" w:lineRule="exact"/>
        <w:ind w:firstLine="3602" w:firstLineChars="1000"/>
        <w:rPr>
          <w:rFonts w:ascii="宋体" w:hAnsi="宋体"/>
          <w:b/>
          <w:color w:val="auto"/>
          <w:sz w:val="36"/>
          <w:szCs w:val="36"/>
          <w:highlight w:val="none"/>
        </w:rPr>
      </w:pPr>
      <w:r>
        <w:rPr>
          <w:rFonts w:hint="eastAsia" w:ascii="宋体" w:hAnsi="宋体"/>
          <w:b/>
          <w:color w:val="auto"/>
          <w:sz w:val="36"/>
          <w:szCs w:val="36"/>
          <w:highlight w:val="none"/>
        </w:rPr>
        <w:t>二</w:t>
      </w:r>
      <w:r>
        <w:rPr>
          <w:rFonts w:hint="eastAsia" w:ascii="宋体" w:hAnsi="宋体" w:eastAsia="宋体"/>
          <w:b/>
          <w:color w:val="auto"/>
          <w:sz w:val="36"/>
          <w:szCs w:val="36"/>
          <w:highlight w:val="none"/>
        </w:rPr>
        <w:t>〇</w:t>
      </w:r>
      <w:r>
        <w:rPr>
          <w:rFonts w:hint="eastAsia" w:ascii="宋体" w:hAnsi="宋体"/>
          <w:b/>
          <w:color w:val="auto"/>
          <w:sz w:val="36"/>
          <w:szCs w:val="36"/>
          <w:highlight w:val="none"/>
        </w:rPr>
        <w:t>二二年</w:t>
      </w:r>
      <w:r>
        <w:rPr>
          <w:rFonts w:hint="eastAsia" w:ascii="宋体" w:hAnsi="宋体" w:eastAsia="宋体"/>
          <w:b/>
          <w:color w:val="auto"/>
          <w:sz w:val="36"/>
          <w:szCs w:val="36"/>
          <w:highlight w:val="none"/>
          <w:lang w:val="en-US" w:eastAsia="zh-CN"/>
        </w:rPr>
        <w:t>四</w:t>
      </w:r>
      <w:r>
        <w:rPr>
          <w:rFonts w:hint="eastAsia" w:ascii="宋体" w:hAnsi="宋体"/>
          <w:b/>
          <w:color w:val="auto"/>
          <w:sz w:val="36"/>
          <w:szCs w:val="36"/>
          <w:highlight w:val="none"/>
        </w:rPr>
        <w:t>月</w:t>
      </w:r>
    </w:p>
    <w:p>
      <w:pPr>
        <w:rPr>
          <w:rFonts w:asciiTheme="minorEastAsia" w:hAnsiTheme="minorEastAsia" w:eastAsiaTheme="minorEastAsia" w:cstheme="minorEastAsia"/>
          <w:color w:val="auto"/>
          <w:sz w:val="30"/>
          <w:szCs w:val="30"/>
          <w:highlight w:val="none"/>
        </w:rPr>
      </w:pPr>
      <w:r>
        <w:rPr>
          <w:rFonts w:asciiTheme="minorEastAsia" w:hAnsiTheme="minorEastAsia" w:eastAsiaTheme="minorEastAsia" w:cstheme="minorEastAsia"/>
          <w:color w:val="auto"/>
          <w:sz w:val="30"/>
          <w:szCs w:val="30"/>
          <w:highlight w:val="none"/>
        </w:rPr>
        <w:br w:type="page"/>
      </w:r>
    </w:p>
    <w:p>
      <w:pPr>
        <w:pStyle w:val="32"/>
        <w:rPr>
          <w:color w:val="auto"/>
          <w:highlight w:val="none"/>
        </w:rPr>
      </w:pPr>
    </w:p>
    <w:p>
      <w:pPr>
        <w:tabs>
          <w:tab w:val="left" w:pos="2621"/>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sdt>
      <w:sdtPr>
        <w:rPr>
          <w:rFonts w:ascii="宋体" w:hAnsi="宋体" w:eastAsia="宋体"/>
          <w:color w:val="auto"/>
          <w:sz w:val="32"/>
          <w:szCs w:val="32"/>
          <w:highlight w:val="none"/>
        </w:rPr>
        <w:id w:val="147451607"/>
      </w:sdtPr>
      <w:sdtEndPr>
        <w:rPr>
          <w:rFonts w:asciiTheme="minorEastAsia" w:hAnsiTheme="minorEastAsia" w:eastAsiaTheme="minorEastAsia" w:cstheme="minorEastAsia"/>
          <w:color w:val="auto"/>
          <w:sz w:val="21"/>
          <w:szCs w:val="21"/>
          <w:highlight w:val="none"/>
        </w:rPr>
      </w:sdtEndPr>
      <w:sdtContent>
        <w:p>
          <w:pPr>
            <w:spacing w:line="48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pStyle w:val="38"/>
            <w:tabs>
              <w:tab w:val="right" w:leader="dot" w:pos="9638"/>
            </w:tabs>
            <w:spacing w:line="48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"_Toc1515" </w:instrText>
          </w:r>
          <w:r>
            <w:rPr>
              <w:color w:val="auto"/>
              <w:highlight w:val="none"/>
            </w:rPr>
            <w:fldChar w:fldCharType="separate"/>
          </w:r>
          <w:r>
            <w:rPr>
              <w:rFonts w:hint="eastAsia" w:ascii="宋体" w:hAnsi="宋体" w:cs="宋体"/>
              <w:bCs/>
              <w:color w:val="auto"/>
              <w:spacing w:val="-4"/>
              <w:sz w:val="32"/>
              <w:szCs w:val="32"/>
              <w:highlight w:val="none"/>
            </w:rPr>
            <w:t>第一章竞争性磋商公告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_Toc1515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8"/>
            <w:tabs>
              <w:tab w:val="right" w:leader="dot" w:pos="9638"/>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"_Toc25615" </w:instrText>
          </w:r>
          <w:r>
            <w:rPr>
              <w:color w:val="auto"/>
              <w:highlight w:val="none"/>
            </w:rPr>
            <w:fldChar w:fldCharType="separate"/>
          </w:r>
          <w:r>
            <w:rPr>
              <w:rFonts w:hint="eastAsia" w:ascii="宋体" w:hAnsi="宋体" w:cs="宋体"/>
              <w:bCs/>
              <w:color w:val="auto"/>
              <w:spacing w:val="-3"/>
              <w:sz w:val="32"/>
              <w:szCs w:val="32"/>
              <w:highlight w:val="none"/>
            </w:rPr>
            <w:t>第二章</w:t>
          </w:r>
          <w:r>
            <w:rPr>
              <w:rFonts w:hint="eastAsia" w:ascii="宋体" w:hAnsi="宋体" w:cs="宋体"/>
              <w:color w:val="auto"/>
              <w:spacing w:val="-3"/>
              <w:sz w:val="32"/>
              <w:szCs w:val="32"/>
              <w:highlight w:val="none"/>
            </w:rPr>
            <w:t>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t>5</w:t>
          </w:r>
          <w:r>
            <w:rPr>
              <w:rFonts w:hint="eastAsia" w:ascii="宋体" w:hAnsi="宋体" w:cs="宋体"/>
              <w:color w:val="auto"/>
              <w:sz w:val="32"/>
              <w:szCs w:val="32"/>
              <w:highlight w:val="none"/>
            </w:rPr>
            <w:fldChar w:fldCharType="end"/>
          </w:r>
        </w:p>
        <w:p>
          <w:pPr>
            <w:pStyle w:val="38"/>
            <w:tabs>
              <w:tab w:val="right" w:leader="dot" w:pos="9638"/>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"_Toc25433" </w:instrText>
          </w:r>
          <w:r>
            <w:rPr>
              <w:color w:val="auto"/>
              <w:highlight w:val="none"/>
            </w:rPr>
            <w:fldChar w:fldCharType="separate"/>
          </w:r>
          <w:r>
            <w:rPr>
              <w:rFonts w:hint="eastAsia" w:ascii="宋体" w:hAnsi="宋体" w:cs="宋体"/>
              <w:color w:val="auto"/>
              <w:spacing w:val="-3"/>
              <w:sz w:val="32"/>
              <w:szCs w:val="32"/>
              <w:highlight w:val="none"/>
            </w:rPr>
            <w:t>第三章</w:t>
          </w:r>
          <w:r>
            <w:rPr>
              <w:rFonts w:hint="eastAsia" w:ascii="宋体" w:hAnsi="宋体" w:cs="宋体"/>
              <w:bCs/>
              <w:color w:val="auto"/>
              <w:spacing w:val="-3"/>
              <w:sz w:val="32"/>
              <w:szCs w:val="32"/>
              <w:highlight w:val="none"/>
            </w:rPr>
            <w:t>服务需求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2</w:t>
          </w:r>
        </w:p>
        <w:p>
          <w:pPr>
            <w:pStyle w:val="38"/>
            <w:tabs>
              <w:tab w:val="right" w:leader="dot" w:pos="9638"/>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"_Toc31433" </w:instrText>
          </w:r>
          <w:r>
            <w:rPr>
              <w:color w:val="auto"/>
              <w:highlight w:val="none"/>
            </w:rPr>
            <w:fldChar w:fldCharType="separate"/>
          </w:r>
          <w:r>
            <w:rPr>
              <w:rFonts w:hint="eastAsia" w:ascii="宋体" w:hAnsi="宋体" w:cs="宋体"/>
              <w:bCs/>
              <w:color w:val="auto"/>
              <w:spacing w:val="-2"/>
              <w:sz w:val="32"/>
              <w:szCs w:val="32"/>
              <w:highlight w:val="none"/>
            </w:rPr>
            <w:t>第四章评审程序、评审方法和评审标准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_Toc31433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8"/>
            <w:tabs>
              <w:tab w:val="right" w:leader="dot" w:pos="9638"/>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"_Toc3391" </w:instrText>
          </w:r>
          <w:r>
            <w:rPr>
              <w:color w:val="auto"/>
              <w:highlight w:val="none"/>
            </w:rPr>
            <w:fldChar w:fldCharType="separate"/>
          </w:r>
          <w:r>
            <w:rPr>
              <w:rFonts w:hint="eastAsia" w:ascii="宋体" w:hAnsi="宋体" w:cs="宋体"/>
              <w:color w:val="auto"/>
              <w:spacing w:val="-7"/>
              <w:sz w:val="32"/>
              <w:szCs w:val="32"/>
              <w:highlight w:val="none"/>
            </w:rPr>
            <w:t>第五章响应文件格式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_Toc3391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8"/>
            <w:tabs>
              <w:tab w:val="right" w:leader="dot" w:pos="9638"/>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"_Toc16767" </w:instrText>
          </w:r>
          <w:r>
            <w:rPr>
              <w:color w:val="auto"/>
              <w:highlight w:val="none"/>
            </w:rPr>
            <w:fldChar w:fldCharType="separate"/>
          </w:r>
          <w:r>
            <w:rPr>
              <w:rFonts w:hint="eastAsia" w:ascii="宋体" w:hAnsi="宋体" w:cs="宋体"/>
              <w:color w:val="auto"/>
              <w:spacing w:val="-5"/>
              <w:sz w:val="32"/>
              <w:szCs w:val="32"/>
              <w:highlight w:val="none"/>
            </w:rPr>
            <w:t>第六章合同文本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_Toc16767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8"/>
            <w:tabs>
              <w:tab w:val="right" w:leader="dot" w:pos="9638"/>
            </w:tabs>
            <w:spacing w:line="480" w:lineRule="auto"/>
            <w:rPr>
              <w:rFonts w:ascii="宋体" w:hAnsi="宋体" w:cs="宋体"/>
              <w:color w:val="auto"/>
              <w:sz w:val="32"/>
              <w:szCs w:val="32"/>
              <w:highlight w:val="none"/>
            </w:rPr>
          </w:pPr>
        </w:p>
        <w:p>
          <w:pPr>
            <w:spacing w:line="480" w:lineRule="auto"/>
            <w:rPr>
              <w:rFonts w:asciiTheme="minorEastAsia" w:hAnsiTheme="minorEastAsia" w:eastAsiaTheme="minorEastAsia" w:cstheme="minorEastAsia"/>
              <w:color w:val="auto"/>
              <w:highlight w:val="none"/>
            </w:rPr>
            <w:sectPr>
              <w:headerReference r:id="rId3" w:type="default"/>
              <w:footerReference r:id="rId4" w:type="default"/>
              <w:pgSz w:w="11906" w:h="16838"/>
              <w:pgMar w:top="1067" w:right="1134" w:bottom="1343" w:left="1134" w:header="836" w:footer="1224" w:gutter="0"/>
              <w:cols w:space="720" w:num="1"/>
            </w:sectPr>
          </w:pPr>
          <w:r>
            <w:rPr>
              <w:rFonts w:hint="eastAsia" w:ascii="宋体" w:hAnsi="宋体" w:eastAsia="宋体" w:cs="宋体"/>
              <w:color w:val="auto"/>
              <w:sz w:val="32"/>
              <w:szCs w:val="32"/>
              <w:highlight w:val="none"/>
            </w:rPr>
            <w:fldChar w:fldCharType="end"/>
          </w:r>
        </w:p>
      </w:sdtContent>
    </w:sdt>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2495"/>
        <w:outlineLvl w:val="0"/>
        <w:rPr>
          <w:rFonts w:asciiTheme="minorEastAsia" w:hAnsiTheme="minorEastAsia" w:eastAsiaTheme="minorEastAsia" w:cstheme="minorEastAsia"/>
          <w:b/>
          <w:bCs/>
          <w:color w:val="auto"/>
          <w:sz w:val="44"/>
          <w:szCs w:val="44"/>
          <w:highlight w:val="none"/>
        </w:rPr>
      </w:pPr>
      <w:bookmarkStart w:id="12" w:name="_Toc1515"/>
      <w:r>
        <w:rPr>
          <w:rFonts w:hint="eastAsia" w:asciiTheme="minorEastAsia" w:hAnsiTheme="minorEastAsia" w:eastAsiaTheme="minorEastAsia" w:cstheme="minorEastAsia"/>
          <w:b/>
          <w:bCs/>
          <w:color w:val="auto"/>
          <w:spacing w:val="-4"/>
          <w:sz w:val="44"/>
          <w:szCs w:val="44"/>
          <w:highlight w:val="none"/>
        </w:rPr>
        <w:t>第一章  竞争性磋商公告</w:t>
      </w:r>
      <w:bookmarkEnd w:id="12"/>
    </w:p>
    <w:p>
      <w:pPr>
        <w:spacing w:line="360" w:lineRule="auto"/>
        <w:jc w:val="center"/>
        <w:rPr>
          <w:b/>
          <w:color w:val="auto"/>
          <w:sz w:val="28"/>
          <w:szCs w:val="28"/>
          <w:highlight w:val="none"/>
        </w:rPr>
      </w:pPr>
      <w:r>
        <w:rPr>
          <w:rFonts w:hint="eastAsia" w:ascii="宋体" w:hAnsi="宋体" w:eastAsia="宋体" w:cs="宋体"/>
          <w:b/>
          <w:color w:val="auto"/>
          <w:sz w:val="28"/>
          <w:szCs w:val="28"/>
          <w:highlight w:val="none"/>
        </w:rPr>
        <w:t>广西振弘建设管理有限公司关于</w:t>
      </w:r>
      <w:r>
        <w:rPr>
          <w:rFonts w:hint="eastAsia" w:ascii="宋体" w:hAnsi="宋体" w:eastAsia="宋体" w:cs="宋体"/>
          <w:b/>
          <w:color w:val="auto"/>
          <w:sz w:val="28"/>
          <w:szCs w:val="28"/>
          <w:highlight w:val="none"/>
          <w:lang w:eastAsia="zh-CN"/>
        </w:rPr>
        <w:t>罗城仫佬族自治县测土配方有机肥料采购及服务项目</w:t>
      </w:r>
      <w:r>
        <w:rPr>
          <w:rFonts w:hint="eastAsia" w:ascii="宋体" w:hAnsi="宋体" w:eastAsia="宋体" w:cs="宋体"/>
          <w:b/>
          <w:color w:val="auto"/>
          <w:sz w:val="28"/>
          <w:szCs w:val="28"/>
          <w:highlight w:val="none"/>
        </w:rPr>
        <w:t>（项目编号：</w:t>
      </w:r>
      <w:r>
        <w:rPr>
          <w:rFonts w:hint="eastAsia" w:eastAsia="宋体"/>
          <w:b/>
          <w:color w:val="auto"/>
          <w:sz w:val="28"/>
          <w:szCs w:val="28"/>
          <w:highlight w:val="none"/>
          <w:lang w:eastAsia="zh-CN"/>
        </w:rPr>
        <w:t>HCZC2022-C3-250146-GXZH</w:t>
      </w:r>
      <w:r>
        <w:rPr>
          <w:rFonts w:hint="eastAsia" w:ascii="宋体" w:hAnsi="宋体" w:eastAsia="宋体" w:cs="宋体"/>
          <w:b/>
          <w:color w:val="auto"/>
          <w:sz w:val="28"/>
          <w:szCs w:val="28"/>
          <w:highlight w:val="none"/>
        </w:rPr>
        <w:t>）竞争性磋商采购公告</w:t>
      </w:r>
    </w:p>
    <w:p>
      <w:pPr>
        <w:spacing w:before="258" w:line="360" w:lineRule="auto"/>
        <w:textAlignment w:val="center"/>
        <w:rPr>
          <w:rFonts w:asciiTheme="minorEastAsia" w:hAnsiTheme="minorEastAsia" w:eastAsiaTheme="minorEastAsia" w:cstheme="minorEastAsia"/>
          <w:color w:val="auto"/>
          <w:highlight w:val="none"/>
        </w:rPr>
      </w:pPr>
    </w:p>
    <w:tbl>
      <w:tblPr>
        <w:tblStyle w:val="19"/>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500" w:type="dxa"/>
          </w:tcPr>
          <w:p>
            <w:pPr>
              <w:pStyle w:val="10"/>
              <w:spacing w:line="360" w:lineRule="auto"/>
              <w:rPr>
                <w:rStyle w:val="27"/>
                <w:rFonts w:ascii="Calibri" w:hAnsi="Calibri" w:cs="Times New Roman"/>
                <w:color w:val="auto"/>
                <w:kern w:val="2"/>
                <w:highlight w:val="none"/>
              </w:rPr>
            </w:pPr>
            <w:r>
              <w:rPr>
                <w:rStyle w:val="27"/>
                <w:rFonts w:hint="eastAsia" w:ascii="Calibri" w:hAnsi="Calibri" w:cs="Times New Roman"/>
                <w:color w:val="auto"/>
                <w:kern w:val="2"/>
                <w:highlight w:val="none"/>
              </w:rPr>
              <w:t>项目概况：</w:t>
            </w:r>
          </w:p>
          <w:p>
            <w:pPr>
              <w:pStyle w:val="15"/>
              <w:spacing w:line="360" w:lineRule="auto"/>
              <w:ind w:left="0" w:leftChars="0" w:firstLine="420" w:firstLineChars="200"/>
              <w:rPr>
                <w:rFonts w:ascii="Calibri" w:hAnsi="Calibri" w:cs="Times New Roman"/>
                <w:color w:val="auto"/>
                <w:kern w:val="2"/>
                <w:szCs w:val="21"/>
                <w:highlight w:val="none"/>
              </w:rPr>
            </w:pPr>
            <w:r>
              <w:rPr>
                <w:rFonts w:hint="eastAsia" w:ascii="Calibri" w:hAnsi="Calibri" w:eastAsia="宋体" w:cs="Times New Roman"/>
                <w:color w:val="auto"/>
                <w:kern w:val="2"/>
                <w:szCs w:val="21"/>
                <w:highlight w:val="none"/>
                <w:u w:val="single"/>
                <w:lang w:eastAsia="zh-CN"/>
              </w:rPr>
              <w:t>罗城仫佬族自治县测土配方有机肥料采购及服务项目</w:t>
            </w:r>
            <w:r>
              <w:rPr>
                <w:rFonts w:hint="eastAsia" w:ascii="Calibri" w:hAnsi="Calibri" w:cs="Times New Roman"/>
                <w:color w:val="auto"/>
                <w:kern w:val="2"/>
                <w:szCs w:val="21"/>
                <w:highlight w:val="none"/>
              </w:rPr>
              <w:t>项目的潜在供应商在</w:t>
            </w:r>
            <w:r>
              <w:rPr>
                <w:rFonts w:hint="eastAsia" w:ascii="宋体" w:hAnsi="宋体" w:cs="宋体"/>
                <w:color w:val="auto"/>
                <w:kern w:val="2"/>
                <w:szCs w:val="21"/>
                <w:highlight w:val="none"/>
              </w:rPr>
              <w:t>广西壮族自治区公共资源电子交易系统（河池）http://111.12.75.167/TPBidder及</w:t>
            </w:r>
            <w:r>
              <w:rPr>
                <w:rFonts w:hint="eastAsia" w:ascii="宋体" w:hAnsi="宋体" w:cs="宋体"/>
                <w:bCs/>
                <w:color w:val="auto"/>
                <w:kern w:val="2"/>
                <w:szCs w:val="21"/>
                <w:highlight w:val="none"/>
              </w:rPr>
              <w:t>政府采购云平台（http://www.zcygov.cn/）获取</w:t>
            </w:r>
            <w:r>
              <w:rPr>
                <w:rFonts w:ascii="宋体" w:hAnsi="宋体" w:eastAsia="宋体" w:cs="宋体"/>
                <w:color w:val="auto"/>
                <w:spacing w:val="-6"/>
                <w:kern w:val="2"/>
                <w:szCs w:val="21"/>
                <w:highlight w:val="none"/>
              </w:rPr>
              <w:t>竞争性磋商</w:t>
            </w:r>
            <w:r>
              <w:rPr>
                <w:rFonts w:hint="eastAsia" w:ascii="宋体" w:hAnsi="宋体" w:cs="宋体"/>
                <w:bCs/>
                <w:color w:val="auto"/>
                <w:kern w:val="2"/>
                <w:szCs w:val="21"/>
                <w:highlight w:val="none"/>
              </w:rPr>
              <w:t>采购文件，并于</w:t>
            </w:r>
            <w:r>
              <w:rPr>
                <w:rFonts w:hint="eastAsia" w:ascii="Calibri" w:hAnsi="Calibri" w:eastAsia="宋体" w:cs="Times New Roman"/>
                <w:color w:val="auto"/>
                <w:kern w:val="2"/>
                <w:szCs w:val="21"/>
                <w:highlight w:val="none"/>
                <w:u w:val="single"/>
                <w:lang w:eastAsia="zh-CN"/>
              </w:rPr>
              <w:t>2022年5月12日10时30分</w:t>
            </w:r>
            <w:r>
              <w:rPr>
                <w:rFonts w:hint="eastAsia" w:ascii="Calibri" w:hAnsi="Calibri" w:cs="Times New Roman"/>
                <w:color w:val="auto"/>
                <w:kern w:val="2"/>
                <w:szCs w:val="21"/>
                <w:highlight w:val="none"/>
              </w:rPr>
              <w:t>（</w:t>
            </w:r>
            <w:r>
              <w:rPr>
                <w:rFonts w:hint="eastAsia" w:ascii="Calibri" w:hAnsi="Calibri" w:cs="Times New Roman"/>
                <w:color w:val="auto"/>
                <w:kern w:val="2"/>
                <w:szCs w:val="21"/>
                <w:highlight w:val="none"/>
              </w:rPr>
              <w:t>北京时间）前</w:t>
            </w:r>
            <w:r>
              <w:rPr>
                <w:rFonts w:hint="eastAsia" w:ascii="Calibri" w:hAnsi="Calibri" w:eastAsia="宋体" w:cs="Times New Roman"/>
                <w:color w:val="auto"/>
                <w:kern w:val="2"/>
                <w:szCs w:val="21"/>
                <w:highlight w:val="none"/>
              </w:rPr>
              <w:t>在</w:t>
            </w:r>
            <w:r>
              <w:rPr>
                <w:rFonts w:hint="eastAsia" w:ascii="宋体" w:hAnsi="宋体" w:eastAsia="宋体" w:cs="宋体"/>
                <w:color w:val="auto"/>
                <w:kern w:val="2"/>
                <w:szCs w:val="21"/>
                <w:highlight w:val="none"/>
              </w:rPr>
              <w:t>“政采云”平台（</w:t>
            </w:r>
            <w:r>
              <w:rPr>
                <w:color w:val="auto"/>
                <w:kern w:val="2"/>
                <w:highlight w:val="none"/>
              </w:rPr>
              <w:fldChar w:fldCharType="begin"/>
            </w:r>
            <w:r>
              <w:rPr>
                <w:color w:val="auto"/>
                <w:kern w:val="2"/>
                <w:highlight w:val="none"/>
              </w:rPr>
              <w:instrText xml:space="preserve"> HYPERLINK "https://www.zcygov.cn/）获取（下载）招标文件，并于2021年" </w:instrText>
            </w:r>
            <w:r>
              <w:rPr>
                <w:color w:val="auto"/>
                <w:kern w:val="2"/>
                <w:highlight w:val="none"/>
              </w:rPr>
              <w:fldChar w:fldCharType="separate"/>
            </w:r>
            <w:r>
              <w:rPr>
                <w:rStyle w:val="27"/>
                <w:rFonts w:hint="eastAsia" w:ascii="宋体" w:hAnsi="宋体" w:eastAsia="宋体" w:cs="宋体"/>
                <w:color w:val="auto"/>
                <w:kern w:val="2"/>
                <w:szCs w:val="21"/>
                <w:highlight w:val="none"/>
              </w:rPr>
              <w:t>https://www.zcygov.cn/）</w:t>
            </w:r>
            <w:r>
              <w:rPr>
                <w:rStyle w:val="27"/>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t>递交（上传）投标文件</w:t>
            </w:r>
            <w:r>
              <w:rPr>
                <w:rFonts w:hint="eastAsia" w:ascii="Calibri" w:hAnsi="Calibri" w:cs="Times New Roman"/>
                <w:color w:val="auto"/>
                <w:kern w:val="2"/>
                <w:szCs w:val="21"/>
                <w:highlight w:val="none"/>
              </w:rPr>
              <w:t>提交响应文件。</w:t>
            </w:r>
          </w:p>
        </w:tc>
      </w:tr>
    </w:tbl>
    <w:p>
      <w:pPr>
        <w:pStyle w:val="16"/>
        <w:spacing w:beforeAutospacing="0" w:afterAutospacing="0" w:line="360" w:lineRule="auto"/>
        <w:rPr>
          <w:rFonts w:eastAsia="宋体" w:cs="宋体"/>
          <w:color w:val="auto"/>
          <w:sz w:val="21"/>
          <w:highlight w:val="none"/>
        </w:rPr>
      </w:pPr>
      <w:r>
        <w:rPr>
          <w:rStyle w:val="21"/>
          <w:rFonts w:hint="eastAsia" w:eastAsia="宋体" w:cs="宋体"/>
          <w:color w:val="auto"/>
          <w:sz w:val="21"/>
          <w:highlight w:val="none"/>
        </w:rPr>
        <w:t>一、项目基本情况</w:t>
      </w:r>
    </w:p>
    <w:p>
      <w:pPr>
        <w:pStyle w:val="16"/>
        <w:spacing w:beforeAutospacing="0" w:afterAutospacing="0" w:line="360" w:lineRule="auto"/>
        <w:ind w:firstLine="420"/>
        <w:rPr>
          <w:rFonts w:hint="eastAsia" w:eastAsia="宋体" w:cs="宋体"/>
          <w:color w:val="auto"/>
          <w:sz w:val="21"/>
          <w:highlight w:val="none"/>
          <w:lang w:eastAsia="zh-CN"/>
        </w:rPr>
      </w:pPr>
      <w:r>
        <w:rPr>
          <w:rFonts w:hint="eastAsia" w:eastAsia="宋体" w:cs="宋体"/>
          <w:color w:val="auto"/>
          <w:sz w:val="21"/>
          <w:highlight w:val="none"/>
        </w:rPr>
        <w:t>1.项目编号：</w:t>
      </w:r>
      <w:r>
        <w:rPr>
          <w:rFonts w:hint="eastAsia" w:eastAsia="宋体" w:cs="宋体"/>
          <w:color w:val="auto"/>
          <w:sz w:val="21"/>
          <w:highlight w:val="none"/>
          <w:lang w:eastAsia="zh-CN"/>
        </w:rPr>
        <w:t>HCZC2022-C3-250146-GXZH</w:t>
      </w:r>
    </w:p>
    <w:p>
      <w:pPr>
        <w:pStyle w:val="16"/>
        <w:spacing w:beforeAutospacing="0" w:afterAutospacing="0" w:line="360" w:lineRule="auto"/>
        <w:ind w:firstLine="420"/>
        <w:rPr>
          <w:rFonts w:hint="eastAsia" w:eastAsia="宋体" w:cs="宋体"/>
          <w:color w:val="auto"/>
          <w:sz w:val="21"/>
          <w:highlight w:val="none"/>
          <w:lang w:eastAsia="zh-CN"/>
        </w:rPr>
      </w:pPr>
      <w:r>
        <w:rPr>
          <w:rFonts w:hint="eastAsia" w:eastAsia="宋体" w:cs="宋体"/>
          <w:color w:val="auto"/>
          <w:sz w:val="21"/>
          <w:highlight w:val="none"/>
        </w:rPr>
        <w:t>2.项目名称：</w:t>
      </w:r>
      <w:r>
        <w:rPr>
          <w:rFonts w:hint="eastAsia" w:eastAsia="宋体" w:cs="宋体"/>
          <w:color w:val="auto"/>
          <w:sz w:val="21"/>
          <w:highlight w:val="none"/>
          <w:lang w:eastAsia="zh-CN"/>
        </w:rPr>
        <w:t>罗城仫佬族自治县测土配方有机肥料采购及服务项目</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3.采购方式：竞争性磋商</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4.预算金额（人民币）：</w:t>
      </w:r>
      <w:r>
        <w:rPr>
          <w:rFonts w:hint="eastAsia" w:eastAsia="宋体" w:cs="宋体"/>
          <w:color w:val="auto"/>
          <w:sz w:val="21"/>
          <w:highlight w:val="none"/>
          <w:lang w:eastAsia="zh-CN"/>
        </w:rPr>
        <w:t>壹佰万元整（¥1000000.00）</w:t>
      </w:r>
      <w:r>
        <w:rPr>
          <w:rFonts w:hint="eastAsia" w:eastAsia="宋体" w:cs="宋体"/>
          <w:color w:val="auto"/>
          <w:sz w:val="21"/>
          <w:highlight w:val="none"/>
        </w:rPr>
        <w:t>；</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5.最高限价（如有）：</w:t>
      </w:r>
      <w:r>
        <w:rPr>
          <w:rFonts w:hint="eastAsia" w:eastAsia="宋体" w:cs="宋体"/>
          <w:color w:val="auto"/>
          <w:sz w:val="21"/>
          <w:highlight w:val="none"/>
          <w:lang w:eastAsia="zh-CN"/>
        </w:rPr>
        <w:t>壹佰万元整（¥1000000.00）</w:t>
      </w:r>
      <w:r>
        <w:rPr>
          <w:rFonts w:hint="eastAsia" w:eastAsia="宋体" w:cs="宋体"/>
          <w:color w:val="auto"/>
          <w:sz w:val="21"/>
          <w:highlight w:val="none"/>
        </w:rPr>
        <w:t>；</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6.采购需求：</w:t>
      </w:r>
      <w:r>
        <w:rPr>
          <w:rFonts w:hint="eastAsia" w:eastAsia="宋体" w:cs="宋体"/>
          <w:color w:val="auto"/>
          <w:sz w:val="21"/>
          <w:highlight w:val="none"/>
          <w:lang w:eastAsia="zh-CN"/>
        </w:rPr>
        <w:t>罗城仫佬族自治县测土配方有机肥料采购及</w:t>
      </w:r>
      <w:r>
        <w:rPr>
          <w:rFonts w:hint="eastAsia" w:eastAsia="宋体" w:cs="宋体"/>
          <w:color w:val="auto"/>
          <w:sz w:val="21"/>
          <w:highlight w:val="none"/>
          <w:lang w:val="en-US" w:eastAsia="zh-CN"/>
        </w:rPr>
        <w:t>进行前期调查、</w:t>
      </w:r>
      <w:r>
        <w:rPr>
          <w:rFonts w:hint="eastAsia" w:eastAsia="宋体" w:cs="宋体"/>
          <w:color w:val="auto"/>
          <w:sz w:val="21"/>
          <w:highlight w:val="none"/>
          <w:lang w:eastAsia="zh-CN"/>
        </w:rPr>
        <w:t>土壤测试、田间实验，配方设计</w:t>
      </w:r>
      <w:r>
        <w:rPr>
          <w:rFonts w:hint="eastAsia" w:eastAsia="宋体" w:cs="宋体"/>
          <w:color w:val="auto"/>
          <w:sz w:val="21"/>
          <w:highlight w:val="none"/>
          <w:lang w:val="en-US" w:eastAsia="zh-CN"/>
        </w:rPr>
        <w:t>等</w:t>
      </w:r>
      <w:r>
        <w:rPr>
          <w:rFonts w:hint="eastAsia" w:eastAsia="宋体" w:cs="宋体"/>
          <w:color w:val="auto"/>
          <w:sz w:val="21"/>
          <w:highlight w:val="none"/>
          <w:lang w:val="en-US" w:eastAsia="zh-CN"/>
        </w:rPr>
        <w:t>具体</w:t>
      </w:r>
      <w:r>
        <w:rPr>
          <w:rFonts w:hint="eastAsia" w:eastAsia="宋体" w:cs="宋体"/>
          <w:color w:val="auto"/>
          <w:sz w:val="21"/>
          <w:highlight w:val="none"/>
        </w:rPr>
        <w:t>详见采购文件。</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7.合同履行期限：</w:t>
      </w:r>
      <w:r>
        <w:rPr>
          <w:rFonts w:hint="eastAsia" w:eastAsia="宋体" w:cs="宋体"/>
          <w:color w:val="auto"/>
          <w:sz w:val="21"/>
          <w:highlight w:val="none"/>
          <w:shd w:val="clear" w:color="auto"/>
          <w:lang w:eastAsia="zh-CN"/>
        </w:rPr>
        <w:t>自签订合同之日起15日历天内供货完毕，11月底完成测产验收。</w:t>
      </w:r>
    </w:p>
    <w:p>
      <w:pPr>
        <w:pStyle w:val="16"/>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8.本项目不接受联合体投标</w:t>
      </w:r>
    </w:p>
    <w:p>
      <w:pPr>
        <w:spacing w:before="81" w:line="360" w:lineRule="auto"/>
        <w:rPr>
          <w:rFonts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二、供应商的资格条件</w:t>
      </w:r>
    </w:p>
    <w:p>
      <w:pPr>
        <w:pStyle w:val="16"/>
        <w:wordWrap w:val="0"/>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1.满足《中华人民共和国政府采购法》第二十二条规定；</w:t>
      </w:r>
    </w:p>
    <w:p>
      <w:pPr>
        <w:pStyle w:val="16"/>
        <w:wordWrap w:val="0"/>
        <w:spacing w:beforeAutospacing="0" w:afterAutospacing="0" w:line="360" w:lineRule="auto"/>
        <w:ind w:firstLine="420"/>
        <w:rPr>
          <w:rFonts w:eastAsia="宋体" w:cs="宋体"/>
          <w:color w:val="auto"/>
          <w:sz w:val="21"/>
          <w:highlight w:val="none"/>
        </w:rPr>
      </w:pPr>
      <w:r>
        <w:rPr>
          <w:rFonts w:hint="eastAsia" w:eastAsia="宋体" w:cs="宋体"/>
          <w:color w:val="auto"/>
          <w:sz w:val="21"/>
          <w:highlight w:val="none"/>
        </w:rPr>
        <w:t>2.落实政府采购政策需满足的资格要求：无</w:t>
      </w:r>
    </w:p>
    <w:p>
      <w:pPr>
        <w:pStyle w:val="16"/>
        <w:wordWrap w:val="0"/>
        <w:spacing w:beforeAutospacing="0" w:afterAutospacing="0" w:line="360" w:lineRule="auto"/>
        <w:ind w:firstLine="420"/>
        <w:rPr>
          <w:rFonts w:hint="eastAsia" w:eastAsia="宋体" w:cs="宋体"/>
          <w:color w:val="auto"/>
          <w:sz w:val="21"/>
          <w:highlight w:val="none"/>
          <w:lang w:val="en-US" w:eastAsia="zh-CN"/>
        </w:rPr>
      </w:pPr>
      <w:r>
        <w:rPr>
          <w:rFonts w:hint="eastAsia" w:eastAsia="宋体" w:cs="宋体"/>
          <w:color w:val="auto"/>
          <w:sz w:val="21"/>
          <w:highlight w:val="none"/>
        </w:rPr>
        <w:t>3.本项目的特定资格要求：</w:t>
      </w:r>
      <w:r>
        <w:rPr>
          <w:rFonts w:hint="eastAsia" w:eastAsia="宋体" w:cs="宋体"/>
          <w:color w:val="auto"/>
          <w:sz w:val="21"/>
          <w:highlight w:val="none"/>
          <w:shd w:val="clear" w:color="auto"/>
          <w:lang w:val="en-US" w:eastAsia="zh-CN"/>
        </w:rPr>
        <w:t>无</w:t>
      </w:r>
    </w:p>
    <w:p>
      <w:pPr>
        <w:spacing w:before="105" w:line="360" w:lineRule="auto"/>
        <w:ind w:firstLine="501"/>
        <w:rPr>
          <w:rFonts w:ascii="宋体" w:hAnsi="宋体" w:eastAsia="宋体" w:cs="宋体"/>
          <w:b/>
          <w:bCs/>
          <w:color w:val="auto"/>
          <w:highlight w:val="none"/>
        </w:rPr>
      </w:pPr>
      <w:r>
        <w:rPr>
          <w:rFonts w:hint="eastAsia" w:ascii="宋体" w:hAnsi="宋体" w:eastAsia="宋体" w:cs="宋体"/>
          <w:b/>
          <w:bCs/>
          <w:color w:val="auto"/>
          <w:highlight w:val="none"/>
        </w:rPr>
        <w:t>三、获取竞争性磋商文件</w:t>
      </w:r>
    </w:p>
    <w:p>
      <w:pPr>
        <w:spacing w:before="122" w:line="360" w:lineRule="auto"/>
        <w:ind w:firstLine="444"/>
        <w:rPr>
          <w:rFonts w:ascii="宋体" w:hAnsi="宋体" w:eastAsia="宋体" w:cs="宋体"/>
          <w:color w:val="auto"/>
          <w:highlight w:val="none"/>
        </w:rPr>
      </w:pPr>
      <w:r>
        <w:rPr>
          <w:rFonts w:hint="eastAsia" w:ascii="宋体" w:hAnsi="宋体" w:eastAsia="宋体" w:cs="宋体"/>
          <w:color w:val="auto"/>
          <w:highlight w:val="none"/>
        </w:rPr>
        <w:t>1.时间：自公告发布之日起。</w:t>
      </w:r>
    </w:p>
    <w:p>
      <w:pPr>
        <w:spacing w:before="104" w:line="360" w:lineRule="auto"/>
        <w:ind w:left="8" w:right="182" w:firstLine="425"/>
        <w:rPr>
          <w:rFonts w:ascii="宋体" w:hAnsi="宋体" w:eastAsia="宋体" w:cs="宋体"/>
          <w:color w:val="auto"/>
          <w:highlight w:val="none"/>
        </w:rPr>
      </w:pPr>
      <w:r>
        <w:rPr>
          <w:rFonts w:hint="eastAsia" w:ascii="宋体" w:hAnsi="宋体" w:eastAsia="宋体" w:cs="宋体"/>
          <w:color w:val="auto"/>
          <w:spacing w:val="11"/>
          <w:highlight w:val="none"/>
        </w:rPr>
        <w:t>2.获取方式:网上下载。本项目不发放纸质采购文件，供应商可自行在“政采云”平台</w:t>
      </w:r>
      <w:r>
        <w:rPr>
          <w:rFonts w:hint="eastAsia" w:ascii="宋体" w:hAnsi="宋体" w:eastAsia="宋体" w:cs="宋体"/>
          <w:color w:val="auto"/>
          <w:spacing w:val="-10"/>
          <w:highlight w:val="none"/>
        </w:rPr>
        <w:t>（http：//www.zcygov.cn）和</w:t>
      </w:r>
      <w:r>
        <w:rPr>
          <w:rFonts w:hint="eastAsia" w:ascii="宋体" w:hAnsi="宋体" w:cs="宋体"/>
          <w:color w:val="auto"/>
          <w:kern w:val="2"/>
          <w:highlight w:val="none"/>
        </w:rPr>
        <w:t>广西壮族自治区公共资源电子交易系统（河池）http://111.12.75.167/TPBidder</w:t>
      </w:r>
      <w:r>
        <w:rPr>
          <w:rFonts w:hint="eastAsia" w:ascii="宋体" w:hAnsi="宋体" w:eastAsia="宋体" w:cs="宋体"/>
          <w:color w:val="auto"/>
          <w:spacing w:val="-10"/>
          <w:highlight w:val="none"/>
        </w:rPr>
        <w:t>下载采购文件（注：①政采云操作路径：登录“政采云”平台-项目采购-获取采</w:t>
      </w:r>
      <w:r>
        <w:rPr>
          <w:rFonts w:hint="eastAsia" w:ascii="宋体" w:hAnsi="宋体" w:eastAsia="宋体" w:cs="宋体"/>
          <w:color w:val="auto"/>
          <w:spacing w:val="1"/>
          <w:highlight w:val="none"/>
        </w:rPr>
        <w:t>购文件-找到本项目-点击“申请获取采购文件”②</w:t>
      </w:r>
      <w:r>
        <w:rPr>
          <w:rFonts w:hint="eastAsia" w:ascii="宋体" w:hAnsi="宋体" w:cs="宋体"/>
          <w:color w:val="auto"/>
          <w:kern w:val="2"/>
          <w:highlight w:val="none"/>
        </w:rPr>
        <w:t>电子交易系统（河池）</w:t>
      </w:r>
      <w:r>
        <w:rPr>
          <w:rFonts w:hint="eastAsia" w:ascii="宋体" w:hAnsi="宋体" w:eastAsia="宋体" w:cs="宋体"/>
          <w:color w:val="auto"/>
          <w:spacing w:val="-10"/>
          <w:highlight w:val="none"/>
        </w:rPr>
        <w:t>操作路径：在电子交易平台注册，并在系统上下载采购文件</w:t>
      </w:r>
      <w:r>
        <w:rPr>
          <w:rFonts w:hint="eastAsia" w:ascii="宋体" w:hAnsi="宋体" w:eastAsia="宋体" w:cs="宋体"/>
          <w:color w:val="auto"/>
          <w:spacing w:val="-52"/>
          <w:highlight w:val="none"/>
        </w:rPr>
        <w:t>）。</w:t>
      </w:r>
      <w:r>
        <w:rPr>
          <w:rFonts w:hint="eastAsia" w:ascii="宋体" w:hAnsi="宋体" w:eastAsia="宋体" w:cs="宋体"/>
          <w:color w:val="auto"/>
          <w:spacing w:val="1"/>
          <w:highlight w:val="none"/>
        </w:rPr>
        <w:t>电子响应文件制作需要基于“政采云”平</w:t>
      </w:r>
      <w:r>
        <w:rPr>
          <w:rFonts w:hint="eastAsia" w:ascii="宋体" w:hAnsi="宋体" w:eastAsia="宋体" w:cs="宋体"/>
          <w:color w:val="auto"/>
          <w:spacing w:val="-9"/>
          <w:highlight w:val="none"/>
        </w:rPr>
        <w:t>台（http：//www.zcygov.cn）获取的采购文件编制。</w:t>
      </w:r>
    </w:p>
    <w:p>
      <w:pPr>
        <w:spacing w:before="104" w:line="360" w:lineRule="auto"/>
        <w:ind w:left="8" w:right="182" w:firstLine="425"/>
        <w:rPr>
          <w:rFonts w:ascii="宋体" w:hAnsi="宋体" w:eastAsia="宋体" w:cs="宋体"/>
          <w:color w:val="auto"/>
          <w:spacing w:val="11"/>
          <w:highlight w:val="none"/>
        </w:rPr>
      </w:pPr>
      <w:r>
        <w:rPr>
          <w:rFonts w:hint="eastAsia" w:ascii="宋体" w:hAnsi="宋体" w:eastAsia="宋体" w:cs="宋体"/>
          <w:color w:val="auto"/>
          <w:spacing w:val="11"/>
          <w:highlight w:val="none"/>
        </w:rPr>
        <w:t>3.售价：0元。</w:t>
      </w:r>
    </w:p>
    <w:p>
      <w:pPr>
        <w:spacing w:before="105" w:line="360" w:lineRule="auto"/>
        <w:ind w:firstLine="511"/>
        <w:rPr>
          <w:rFonts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四、响应文件提交</w:t>
      </w:r>
    </w:p>
    <w:p>
      <w:pPr>
        <w:spacing w:before="105" w:line="360" w:lineRule="auto"/>
        <w:ind w:firstLine="500"/>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rPr>
        <w:t>1.响应文件提交截止时间（北京时间）：</w:t>
      </w:r>
      <w:r>
        <w:rPr>
          <w:rFonts w:hint="eastAsia" w:ascii="宋体" w:hAnsi="宋体" w:eastAsia="宋体" w:cs="宋体"/>
          <w:color w:val="auto"/>
          <w:spacing w:val="-4"/>
          <w:highlight w:val="none"/>
          <w:u w:val="single"/>
          <w:lang w:eastAsia="zh-CN"/>
        </w:rPr>
        <w:t>2022年5月12日10时30分</w:t>
      </w:r>
    </w:p>
    <w:p>
      <w:pPr>
        <w:spacing w:before="105" w:line="360" w:lineRule="auto"/>
        <w:ind w:firstLine="500"/>
        <w:rPr>
          <w:rFonts w:ascii="宋体" w:hAnsi="宋体" w:eastAsia="宋体" w:cs="宋体"/>
          <w:color w:val="auto"/>
          <w:spacing w:val="-4"/>
          <w:highlight w:val="none"/>
        </w:rPr>
      </w:pPr>
      <w:r>
        <w:rPr>
          <w:rFonts w:hint="eastAsia" w:ascii="宋体" w:hAnsi="宋体" w:eastAsia="宋体" w:cs="宋体"/>
          <w:color w:val="auto"/>
          <w:spacing w:val="-4"/>
          <w:highlight w:val="none"/>
        </w:rPr>
        <w:t>2.响应文件提交地点：“政采云” 平台</w:t>
      </w:r>
    </w:p>
    <w:p>
      <w:pPr>
        <w:spacing w:before="105" w:line="360" w:lineRule="auto"/>
        <w:ind w:firstLine="500"/>
        <w:rPr>
          <w:rFonts w:ascii="宋体" w:hAnsi="宋体" w:eastAsia="宋体" w:cs="宋体"/>
          <w:color w:val="auto"/>
          <w:spacing w:val="-4"/>
          <w:highlight w:val="none"/>
        </w:rPr>
      </w:pPr>
      <w:r>
        <w:rPr>
          <w:rFonts w:hint="eastAsia" w:ascii="宋体" w:hAnsi="宋体" w:eastAsia="宋体" w:cs="宋体"/>
          <w:color w:val="auto"/>
          <w:spacing w:val="-4"/>
          <w:highlight w:val="none"/>
        </w:rPr>
        <w:t>注：本项目为全流程电子化项目，申请人需要提交电子响应文件，电子响应文件必须用数字证书 CA 锁加密后在响应文件提交截止时间前，通过网络上传至 “政采云” 平台。</w:t>
      </w:r>
    </w:p>
    <w:p>
      <w:pPr>
        <w:spacing w:before="1" w:line="360" w:lineRule="auto"/>
        <w:ind w:firstLine="432"/>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五、开启（首次响应文件开启时间）</w:t>
      </w:r>
    </w:p>
    <w:p>
      <w:pPr>
        <w:spacing w:before="1" w:line="360" w:lineRule="auto"/>
        <w:ind w:firstLine="432"/>
        <w:rPr>
          <w:rFonts w:hint="eastAsia" w:ascii="宋体" w:hAnsi="宋体" w:eastAsia="宋体" w:cs="宋体"/>
          <w:color w:val="auto"/>
          <w:spacing w:val="-8"/>
          <w:position w:val="7"/>
          <w:highlight w:val="none"/>
          <w:lang w:eastAsia="zh-CN"/>
        </w:rPr>
      </w:pPr>
      <w:r>
        <w:rPr>
          <w:rFonts w:hint="eastAsia" w:ascii="宋体" w:hAnsi="宋体" w:eastAsia="宋体" w:cs="宋体"/>
          <w:color w:val="auto"/>
          <w:spacing w:val="-8"/>
          <w:position w:val="7"/>
          <w:highlight w:val="none"/>
        </w:rPr>
        <w:t>1.时间（北京时间）：</w:t>
      </w:r>
      <w:r>
        <w:rPr>
          <w:rFonts w:hint="eastAsia" w:ascii="宋体" w:hAnsi="宋体" w:eastAsia="宋体" w:cs="宋体"/>
          <w:color w:val="auto"/>
          <w:spacing w:val="-4"/>
          <w:highlight w:val="none"/>
          <w:u w:val="single"/>
          <w:lang w:eastAsia="zh-CN"/>
        </w:rPr>
        <w:t>2022年5月12日10时30分</w:t>
      </w:r>
    </w:p>
    <w:p>
      <w:pPr>
        <w:spacing w:before="1" w:line="360" w:lineRule="auto"/>
        <w:ind w:firstLine="432"/>
        <w:rPr>
          <w:rFonts w:ascii="宋体" w:hAnsi="宋体" w:eastAsia="宋体" w:cs="宋体"/>
          <w:color w:val="auto"/>
          <w:highlight w:val="none"/>
        </w:rPr>
      </w:pPr>
      <w:r>
        <w:rPr>
          <w:rFonts w:hint="eastAsia" w:ascii="宋体" w:hAnsi="宋体" w:eastAsia="宋体" w:cs="宋体"/>
          <w:color w:val="auto"/>
          <w:spacing w:val="-10"/>
          <w:highlight w:val="none"/>
        </w:rPr>
        <w:t>2.地点：</w:t>
      </w:r>
      <w:r>
        <w:rPr>
          <w:rFonts w:hint="eastAsia" w:ascii="宋体" w:hAnsi="宋体" w:eastAsia="宋体" w:cs="宋体"/>
          <w:color w:val="auto"/>
          <w:highlight w:val="none"/>
        </w:rPr>
        <w:t>“政采云”平台电子开标大厅开标；</w:t>
      </w:r>
    </w:p>
    <w:p>
      <w:pPr>
        <w:spacing w:before="81" w:line="360" w:lineRule="auto"/>
        <w:ind w:firstLine="499"/>
        <w:rPr>
          <w:rFonts w:ascii="宋体" w:hAnsi="宋体" w:eastAsia="宋体" w:cs="宋体"/>
          <w:b/>
          <w:bCs/>
          <w:color w:val="auto"/>
          <w:highlight w:val="none"/>
        </w:rPr>
      </w:pPr>
      <w:r>
        <w:rPr>
          <w:rFonts w:hint="eastAsia" w:ascii="宋体" w:hAnsi="宋体" w:eastAsia="宋体" w:cs="宋体"/>
          <w:b/>
          <w:bCs/>
          <w:color w:val="auto"/>
          <w:spacing w:val="-3"/>
          <w:highlight w:val="none"/>
        </w:rPr>
        <w:t>六、公告期限</w:t>
      </w:r>
    </w:p>
    <w:p>
      <w:pPr>
        <w:spacing w:before="121" w:line="360" w:lineRule="auto"/>
        <w:ind w:firstLine="471"/>
        <w:rPr>
          <w:rFonts w:ascii="宋体" w:hAnsi="宋体" w:eastAsia="宋体" w:cs="宋体"/>
          <w:color w:val="auto"/>
          <w:highlight w:val="none"/>
        </w:rPr>
      </w:pPr>
      <w:r>
        <w:rPr>
          <w:rFonts w:hint="eastAsia" w:ascii="宋体" w:hAnsi="宋体" w:eastAsia="宋体" w:cs="宋体"/>
          <w:color w:val="auto"/>
          <w:spacing w:val="-5"/>
          <w:highlight w:val="none"/>
        </w:rPr>
        <w:t>自本公告发布之日起5个工作日。</w:t>
      </w:r>
    </w:p>
    <w:p>
      <w:pPr>
        <w:spacing w:before="78" w:line="360" w:lineRule="auto"/>
        <w:ind w:firstLine="500"/>
        <w:rPr>
          <w:rFonts w:ascii="宋体" w:hAnsi="宋体" w:eastAsia="宋体" w:cs="宋体"/>
          <w:b/>
          <w:bCs/>
          <w:color w:val="auto"/>
          <w:highlight w:val="none"/>
        </w:rPr>
      </w:pPr>
      <w:r>
        <w:rPr>
          <w:rFonts w:hint="eastAsia" w:ascii="宋体" w:hAnsi="宋体" w:eastAsia="宋体" w:cs="宋体"/>
          <w:b/>
          <w:bCs/>
          <w:color w:val="auto"/>
          <w:spacing w:val="-2"/>
          <w:highlight w:val="none"/>
        </w:rPr>
        <w:t>七、其他补充事宜</w:t>
      </w:r>
    </w:p>
    <w:p>
      <w:pPr>
        <w:spacing w:line="360" w:lineRule="auto"/>
        <w:ind w:firstLine="420" w:firstLineChars="200"/>
        <w:rPr>
          <w:rFonts w:ascii="宋体" w:hAnsi="宋体" w:cs="宋体"/>
          <w:b/>
          <w:color w:val="auto"/>
          <w:highlight w:val="none"/>
        </w:rPr>
      </w:pPr>
      <w:r>
        <w:rPr>
          <w:rFonts w:hint="eastAsia" w:ascii="宋体" w:hAnsi="宋体" w:cs="宋体"/>
          <w:color w:val="auto"/>
          <w:highlight w:val="none"/>
        </w:rPr>
        <w:t>1、本项目需要落实的政府采购政策：《政府采购促进中小企业发展暂行办法》（财库〔2020〕46号）、《关于政府采购支持监狱企业发展有关问题的通知》（财库〔2014〕68号）、《三部门联合发布关于促进残疾人就业政府采购政策的通知》（财库〔2017〕141号）。</w:t>
      </w:r>
    </w:p>
    <w:p>
      <w:pPr>
        <w:pStyle w:val="43"/>
        <w:spacing w:line="360" w:lineRule="auto"/>
        <w:ind w:firstLine="493" w:firstLineChars="235"/>
        <w:rPr>
          <w:rFonts w:hint="eastAsia" w:ascii="宋体" w:hAnsi="宋体" w:cs="宋体"/>
          <w:color w:val="auto"/>
          <w:highlight w:val="none"/>
        </w:rPr>
      </w:pPr>
      <w:r>
        <w:rPr>
          <w:rFonts w:hint="eastAsia" w:ascii="宋体" w:hAnsi="宋体" w:cs="宋体"/>
          <w:color w:val="auto"/>
          <w:highlight w:val="none"/>
        </w:rPr>
        <w:t>2、投标保证金（人民币）：本项目不收取投标保证金。</w:t>
      </w:r>
    </w:p>
    <w:p>
      <w:pPr>
        <w:pStyle w:val="43"/>
        <w:spacing w:line="360" w:lineRule="auto"/>
        <w:ind w:firstLine="495" w:firstLineChars="235"/>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3.其他资格要求</w:t>
      </w:r>
    </w:p>
    <w:p>
      <w:pPr>
        <w:pStyle w:val="43"/>
        <w:spacing w:line="360" w:lineRule="auto"/>
        <w:ind w:firstLine="493" w:firstLineChars="235"/>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在国内注册的有独立法人资格，具备独立承担民事责任和赔偿能力。</w:t>
      </w:r>
    </w:p>
    <w:p>
      <w:pPr>
        <w:pStyle w:val="43"/>
        <w:spacing w:line="360" w:lineRule="auto"/>
        <w:ind w:firstLine="493" w:firstLineChars="235"/>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cs="宋体"/>
          <w:color w:val="auto"/>
          <w:highlight w:val="none"/>
        </w:rPr>
        <w:t>生产或经营本次招标项目涉及的采购</w:t>
      </w:r>
      <w:r>
        <w:rPr>
          <w:rFonts w:hint="eastAsia" w:ascii="宋体" w:hAnsi="宋体" w:eastAsia="宋体" w:cs="宋体"/>
          <w:color w:val="auto"/>
          <w:highlight w:val="none"/>
          <w:lang w:val="en-US" w:eastAsia="zh-CN"/>
        </w:rPr>
        <w:t>服务及货物</w:t>
      </w:r>
      <w:r>
        <w:rPr>
          <w:rFonts w:hint="eastAsia" w:ascii="宋体" w:hAnsi="宋体" w:cs="宋体"/>
          <w:color w:val="auto"/>
          <w:highlight w:val="none"/>
        </w:rPr>
        <w:t>，具备法人资格且同时具备《中华人民共和国政府采购法》第二十二条规定条件的供应商；</w:t>
      </w:r>
    </w:p>
    <w:p>
      <w:pPr>
        <w:pStyle w:val="43"/>
        <w:spacing w:line="360" w:lineRule="auto"/>
        <w:ind w:firstLine="493" w:firstLineChars="235"/>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3"/>
        <w:spacing w:line="360" w:lineRule="auto"/>
        <w:ind w:firstLine="493" w:firstLineChars="235"/>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cs="宋体"/>
          <w:color w:val="auto"/>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3"/>
        <w:spacing w:line="360" w:lineRule="auto"/>
        <w:ind w:firstLine="493" w:firstLineChars="235"/>
        <w:rPr>
          <w:rFonts w:ascii="宋体" w:hAnsi="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rPr>
        <w:t xml:space="preserve">、在线竞标响应（电子竞标）说明 </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1）本项目通过政采云平台实行在线竞标响应（电子竞标），供应商需要先安装“政采云电子交易客户端”，并按照本竞争性谈判文件和政采云平台的要求，通过“政采云电子交易客户端”编制并加密响应文件。供应商未按规定编制并加密的响应文件，政采云平台将予以拒收。</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政采云电子交易客户端”请自行前往广西政府采购网下载并安装（http://zfcg.gxzf.gov.cn/OfficeService/DownloadArea/2455918.html?utm=sites_group_front.b8b6c91.0.0.c51f9820a48111eabb9bcbdf01af125e）；电子竞标具体操作流程参考《政府采购项目电子交易管理操作指南-供应商》，指南可在“政府采购云平台（https://www.zcygov.cn/）服务中心-帮助文档-最新指南”下载；通过政采云平台参与在线竞标时如遇平台技术问题详询400-881-7190。</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为确保网上操作合法、有效和安全，供应商应当在响应文件递交截止时间前完成在“政府采购云平台”的身份认证，确保在电子竞标过程中能够对相关数据电文进行加密和使用电子签章。使用“政采云电子交易客户端”需要提前申领CA数字证书，申领流程详见附件1《CA证书办理操作指南》（完成CA数字证书办理预计一周左右，建议供应商获取竞争性谈判采购文件后立即办理）；</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3）供应商应当在响应文件递交截止时间前，将生成的“电子加密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（4）响应文件提交截止时间后，代理机构向各供应商发出电子加密响应文件【开始解密】通知，代理机构发起解密通知后 30 分钟内，响应文件提交截止时间前已将生成的“电子加密响应文件”上传递交至政采云平台的供应商，必须在此时间段内登录政采云平台，用“项目采购-开标评标”功能完成电子响应文件的解密。供应商响应文件提交截止前通过“政府采购云平台”上传递交的“电子加密响应文件”无法正常解密的，请及时联系代理机构，代理机构与项目归属监督部门备案后告知供应商可通过邮件传输递交电子备份文件，通过邮件传输递交电子备份文件也必须在发起解密通知后 30 分钟内完成，逾期未完成传输的，拒收其响应文件。</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磋商）等，后果由供应商自行承担。</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（6）本项目为全流程电子标项目，无需供应商来开标现场递交响应文件，供应商授权委托代理人不用到开标现场参加开标（截标）会。</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注：能够出现异常解密、递交电子备份文件的前提，是供应商已上传了标书且未能按时正常解密标书；系统生成标书时，生成两份，一个是投标用的标书，一个是备份标书；提供的备份标书要跟上传的电子标书是同一份，否则系统也不支持进行异常解密。</w:t>
      </w:r>
    </w:p>
    <w:p>
      <w:pPr>
        <w:pStyle w:val="10"/>
        <w:spacing w:line="360" w:lineRule="auto"/>
        <w:ind w:firstLine="420" w:firstLineChars="200"/>
        <w:rPr>
          <w:color w:val="auto"/>
          <w:sz w:val="21"/>
          <w:highlight w:val="none"/>
        </w:rPr>
      </w:pPr>
      <w:r>
        <w:rPr>
          <w:rFonts w:hint="eastAsia" w:ascii="宋体" w:hAnsi="宋体" w:eastAsia="宋体" w:cs="Times New Roman"/>
          <w:color w:val="auto"/>
          <w:sz w:val="21"/>
          <w:highlight w:val="none"/>
        </w:rPr>
        <w:t>（7）本项目不接受未登陆政采云平台（www.zcygov.cn）获取本项目竞争性磋商文件的供应商竞标。</w:t>
      </w:r>
    </w:p>
    <w:p>
      <w:pPr>
        <w:shd w:val="clear" w:color="auto" w:fill="FFFFFF"/>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rPr>
        <w:t>、网上查询地址：本次招标公告同时在中国政府采购网（www.ccgp.gov.cn）、广西壮族自治区政府采购网 （www. gxzfcg.</w:t>
      </w:r>
      <w:r>
        <w:rPr>
          <w:rFonts w:hint="eastAsia" w:ascii="宋体" w:hAnsi="宋体" w:eastAsia="宋体" w:cs="宋体"/>
          <w:color w:val="auto"/>
          <w:highlight w:val="none"/>
        </w:rPr>
        <w:t>gov.cn/）、</w:t>
      </w:r>
      <w:r>
        <w:rPr>
          <w:rFonts w:hint="eastAsia" w:ascii="宋体" w:hAnsi="宋体" w:cs="宋体"/>
          <w:color w:val="auto"/>
          <w:highlight w:val="none"/>
        </w:rPr>
        <w:t>全国公共资源交易平台（广西.河池）http://ggzy.jgswj.gxzf.gov.cn/hcggzy/电子交易平台</w:t>
      </w:r>
      <w:r>
        <w:rPr>
          <w:rFonts w:hint="eastAsia" w:ascii="宋体" w:hAnsi="宋体" w:eastAsia="宋体" w:cs="宋体"/>
          <w:color w:val="auto"/>
          <w:highlight w:val="none"/>
        </w:rPr>
        <w:t>上发布。</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3.监督部门</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监督部门信息名称：</w:t>
      </w:r>
      <w:r>
        <w:rPr>
          <w:rFonts w:hint="eastAsia" w:ascii="宋体" w:hAnsi="宋体" w:eastAsia="宋体" w:cs="宋体"/>
          <w:color w:val="auto"/>
          <w:highlight w:val="none"/>
          <w:lang w:eastAsia="zh-CN"/>
        </w:rPr>
        <w:t>罗城仫佬族自治县财政局政府采购监督管理股</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lang w:eastAsia="zh-CN"/>
        </w:rPr>
        <w:t>0778-8221879</w:t>
      </w:r>
    </w:p>
    <w:p>
      <w:pPr>
        <w:pStyle w:val="2"/>
        <w:rPr>
          <w:color w:val="auto"/>
          <w:highlight w:val="none"/>
        </w:rPr>
      </w:pP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八、凡对本次采购提出询问，请按以下方式联系</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1.采购人信息</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罗城仫佬族自治县糖业发展中心</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罗城仫佬族自治县朝阳路169号</w:t>
      </w:r>
      <w:r>
        <w:rPr>
          <w:rFonts w:hint="eastAsia" w:ascii="宋体" w:hAnsi="宋体" w:eastAsia="宋体" w:cs="宋体"/>
          <w:color w:val="auto"/>
          <w:highlight w:val="none"/>
          <w:lang w:val="en-US" w:eastAsia="zh-CN"/>
        </w:rPr>
        <w:t xml:space="preserve"> </w:t>
      </w:r>
    </w:p>
    <w:p>
      <w:pPr>
        <w:spacing w:after="33"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eastAsia="宋体" w:cs="宋体"/>
          <w:color w:val="auto"/>
          <w:highlight w:val="none"/>
          <w:lang w:val="en-US" w:eastAsia="zh-CN"/>
        </w:rPr>
        <w:t xml:space="preserve"> 吴薇   联系电话：0778-8212249</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2.采购代理机构信息</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名称：广西振弘建设管理有限公司　</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地址：河池市金城江区城西大道西城铭苑一栋一单元4楼　</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项目联系人：兰晴  联系电话：0778-2302888</w:t>
      </w:r>
    </w:p>
    <w:p>
      <w:pPr>
        <w:spacing w:before="25" w:line="360" w:lineRule="auto"/>
        <w:jc w:val="right"/>
        <w:rPr>
          <w:rFonts w:asciiTheme="minorEastAsia" w:hAnsiTheme="minorEastAsia" w:eastAsiaTheme="minorEastAsia" w:cstheme="minorEastAsia"/>
          <w:color w:val="auto"/>
          <w:highlight w:val="none"/>
        </w:rPr>
      </w:pPr>
    </w:p>
    <w:p>
      <w:pPr>
        <w:spacing w:before="25" w:line="360" w:lineRule="auto"/>
        <w:jc w:val="right"/>
        <w:rPr>
          <w:rFonts w:asciiTheme="minorEastAsia" w:hAnsiTheme="minorEastAsia" w:eastAsiaTheme="minorEastAsia" w:cstheme="minorEastAsia"/>
          <w:color w:val="auto"/>
          <w:highlight w:val="none"/>
        </w:rPr>
      </w:pPr>
    </w:p>
    <w:p>
      <w:pPr>
        <w:spacing w:before="25" w:line="360" w:lineRule="auto"/>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广西振弘建设管理有限公司</w:t>
      </w:r>
    </w:p>
    <w:p>
      <w:pPr>
        <w:spacing w:before="25" w:line="360" w:lineRule="auto"/>
        <w:jc w:val="center"/>
        <w:rPr>
          <w:rFonts w:ascii="宋体" w:hAnsi="宋体" w:eastAsia="宋体" w:cs="宋体"/>
          <w:color w:val="auto"/>
          <w:highlight w:val="none"/>
        </w:rPr>
      </w:pPr>
      <w:r>
        <w:rPr>
          <w:rFonts w:hint="eastAsia" w:asciiTheme="minorEastAsia" w:hAnsiTheme="minorEastAsia" w:eastAsiaTheme="minorEastAsia" w:cstheme="minorEastAsia"/>
          <w:color w:val="auto"/>
          <w:highlight w:val="none"/>
        </w:rPr>
        <w:t xml:space="preserve">                                                                   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29</w:t>
      </w:r>
      <w:r>
        <w:rPr>
          <w:rFonts w:hint="eastAsia" w:asciiTheme="minorEastAsia" w:hAnsiTheme="minorEastAsia" w:eastAsiaTheme="minorEastAsia" w:cstheme="minorEastAsia"/>
          <w:color w:val="auto"/>
          <w:highlight w:val="none"/>
        </w:rPr>
        <w:t>日</w:t>
      </w:r>
    </w:p>
    <w:p>
      <w:pPr>
        <w:spacing w:line="360" w:lineRule="auto"/>
        <w:rPr>
          <w:rFonts w:asciiTheme="minorEastAsia" w:hAnsiTheme="minorEastAsia" w:eastAsiaTheme="minorEastAsia" w:cstheme="minorEastAsia"/>
          <w:color w:val="auto"/>
          <w:highlight w:val="none"/>
        </w:rPr>
        <w:sectPr>
          <w:headerReference r:id="rId5" w:type="default"/>
          <w:footerReference r:id="rId6" w:type="default"/>
          <w:pgSz w:w="11906" w:h="16838"/>
          <w:pgMar w:top="1134" w:right="1134" w:bottom="1134" w:left="1134" w:header="704" w:footer="952" w:gutter="0"/>
          <w:pgNumType w:start="1"/>
          <w:cols w:space="720" w:num="1"/>
        </w:sectPr>
      </w:pPr>
    </w:p>
    <w:p>
      <w:pPr>
        <w:spacing w:before="104" w:line="360" w:lineRule="auto"/>
        <w:ind w:firstLine="3890"/>
        <w:outlineLvl w:val="0"/>
        <w:rPr>
          <w:rFonts w:asciiTheme="minorEastAsia" w:hAnsiTheme="minorEastAsia" w:eastAsiaTheme="minorEastAsia" w:cstheme="minorEastAsia"/>
          <w:b/>
          <w:bCs/>
          <w:color w:val="auto"/>
          <w:sz w:val="32"/>
          <w:szCs w:val="32"/>
          <w:highlight w:val="none"/>
        </w:rPr>
      </w:pPr>
      <w:bookmarkStart w:id="13" w:name="合同签订"/>
      <w:bookmarkEnd w:id="13"/>
      <w:bookmarkStart w:id="14" w:name="_Toc25433"/>
      <w:r>
        <w:rPr>
          <w:rFonts w:hint="eastAsia" w:asciiTheme="minorEastAsia" w:hAnsiTheme="minorEastAsia" w:eastAsiaTheme="minorEastAsia" w:cstheme="minorEastAsia"/>
          <w:b/>
          <w:bCs/>
          <w:color w:val="auto"/>
          <w:spacing w:val="-3"/>
          <w:sz w:val="32"/>
          <w:szCs w:val="32"/>
          <w:highlight w:val="none"/>
        </w:rPr>
        <w:t>第二章  供应商须知</w:t>
      </w:r>
      <w:bookmarkEnd w:id="14"/>
    </w:p>
    <w:p>
      <w:pPr>
        <w:spacing w:before="104" w:line="360" w:lineRule="auto"/>
        <w:ind w:firstLine="3366"/>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第一节供应商须知前附表</w:t>
      </w:r>
    </w:p>
    <w:tbl>
      <w:tblPr>
        <w:tblStyle w:val="34"/>
        <w:tblW w:w="100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932"/>
        <w:gridCol w:w="6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38" w:type="dxa"/>
            <w:vAlign w:val="center"/>
          </w:tcPr>
          <w:p>
            <w:pPr>
              <w:spacing w:before="2" w:line="360" w:lineRule="auto"/>
              <w:ind w:firstLine="159"/>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条款号</w:t>
            </w:r>
          </w:p>
        </w:tc>
        <w:tc>
          <w:tcPr>
            <w:tcW w:w="1932" w:type="dxa"/>
            <w:vAlign w:val="center"/>
          </w:tcPr>
          <w:p>
            <w:pPr>
              <w:spacing w:before="158" w:line="360" w:lineRule="auto"/>
              <w:ind w:firstLine="412"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条款内容</w:t>
            </w:r>
          </w:p>
        </w:tc>
        <w:tc>
          <w:tcPr>
            <w:tcW w:w="6837" w:type="dxa"/>
            <w:vAlign w:val="center"/>
          </w:tcPr>
          <w:p>
            <w:pPr>
              <w:spacing w:before="2" w:line="360" w:lineRule="auto"/>
              <w:ind w:firstLine="3017"/>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238" w:type="dxa"/>
          </w:tcPr>
          <w:p>
            <w:pPr>
              <w:spacing w:before="27" w:line="360" w:lineRule="auto"/>
              <w:ind w:firstLine="2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3.1</w:t>
            </w:r>
          </w:p>
        </w:tc>
        <w:tc>
          <w:tcPr>
            <w:tcW w:w="1932" w:type="dxa"/>
          </w:tcPr>
          <w:p>
            <w:pPr>
              <w:spacing w:line="360" w:lineRule="auto"/>
              <w:ind w:left="108" w:right="100" w:firstLine="3"/>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供应商资格条件</w:t>
            </w:r>
          </w:p>
        </w:tc>
        <w:tc>
          <w:tcPr>
            <w:tcW w:w="6837" w:type="dxa"/>
          </w:tcPr>
          <w:p>
            <w:pPr>
              <w:spacing w:line="360" w:lineRule="auto"/>
              <w:ind w:left="108" w:right="100" w:firstLine="3"/>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38" w:type="dxa"/>
          </w:tcPr>
          <w:p>
            <w:pPr>
              <w:spacing w:before="30" w:line="360" w:lineRule="auto"/>
              <w:ind w:firstLine="2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5.1</w:t>
            </w:r>
          </w:p>
        </w:tc>
        <w:tc>
          <w:tcPr>
            <w:tcW w:w="1932" w:type="dxa"/>
          </w:tcPr>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是否接受联合体竞标</w:t>
            </w:r>
          </w:p>
        </w:tc>
        <w:tc>
          <w:tcPr>
            <w:tcW w:w="6837" w:type="dxa"/>
          </w:tcPr>
          <w:p>
            <w:pPr>
              <w:spacing w:line="360" w:lineRule="auto"/>
              <w:ind w:firstLine="14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8" w:type="dxa"/>
          </w:tcPr>
          <w:p>
            <w:pPr>
              <w:spacing w:before="68" w:line="360" w:lineRule="auto"/>
              <w:ind w:firstLine="2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6.1</w:t>
            </w:r>
          </w:p>
        </w:tc>
        <w:tc>
          <w:tcPr>
            <w:tcW w:w="1932" w:type="dxa"/>
            <w:tcBorders>
              <w:right w:val="single" w:color="000000" w:sz="2" w:space="0"/>
            </w:tcBorders>
            <w:vAlign w:val="center"/>
          </w:tcPr>
          <w:p>
            <w:pPr>
              <w:spacing w:before="68" w:line="360" w:lineRule="auto"/>
              <w:jc w:val="both"/>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是否允许分包</w:t>
            </w:r>
          </w:p>
        </w:tc>
        <w:tc>
          <w:tcPr>
            <w:tcW w:w="6837" w:type="dxa"/>
            <w:vAlign w:val="center"/>
          </w:tcPr>
          <w:p>
            <w:pPr>
              <w:spacing w:before="1" w:line="360" w:lineRule="auto"/>
              <w:ind w:firstLine="130"/>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9" w:hRule="atLeast"/>
        </w:trPr>
        <w:tc>
          <w:tcPr>
            <w:tcW w:w="1238" w:type="dxa"/>
            <w:vAlign w:val="center"/>
          </w:tcPr>
          <w:p>
            <w:pPr>
              <w:spacing w:before="38" w:line="360" w:lineRule="auto"/>
              <w:ind w:firstLine="173"/>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12.1.1</w:t>
            </w:r>
          </w:p>
        </w:tc>
        <w:tc>
          <w:tcPr>
            <w:tcW w:w="1932" w:type="dxa"/>
            <w:vAlign w:val="center"/>
          </w:tcPr>
          <w:p>
            <w:pPr>
              <w:spacing w:before="4"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资格证明文件组成</w:t>
            </w:r>
          </w:p>
        </w:tc>
        <w:tc>
          <w:tcPr>
            <w:tcW w:w="6837" w:type="dxa"/>
          </w:tcPr>
          <w:p>
            <w:pPr>
              <w:spacing w:before="3" w:line="360" w:lineRule="auto"/>
              <w:ind w:left="108" w:right="237" w:firstLine="16"/>
              <w:rPr>
                <w:rFonts w:hint="eastAsia"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1.供应商为法人或者其他组织的提供其营业执照等证明文件（如营业执照或者事业单位法人证书或者执业许可证等</w:t>
            </w:r>
            <w:r>
              <w:rPr>
                <w:rFonts w:hint="eastAsia" w:asciiTheme="minorEastAsia" w:hAnsiTheme="minorEastAsia" w:eastAsiaTheme="minorEastAsia" w:cstheme="minorEastAsia"/>
                <w:color w:val="auto"/>
                <w:spacing w:val="10"/>
                <w:highlight w:val="none"/>
              </w:rPr>
              <w:t>），</w:t>
            </w:r>
            <w:r>
              <w:rPr>
                <w:rFonts w:hint="eastAsia" w:asciiTheme="minorEastAsia" w:hAnsiTheme="minorEastAsia" w:eastAsiaTheme="minorEastAsia" w:cstheme="minorEastAsia"/>
                <w:color w:val="auto"/>
                <w:spacing w:val="-1"/>
                <w:highlight w:val="none"/>
              </w:rPr>
              <w:t>供应商为自然人的提供</w:t>
            </w:r>
            <w:r>
              <w:rPr>
                <w:rFonts w:hint="eastAsia" w:asciiTheme="minorEastAsia" w:hAnsiTheme="minorEastAsia" w:eastAsiaTheme="minorEastAsia" w:cstheme="minorEastAsia"/>
                <w:color w:val="auto"/>
                <w:spacing w:val="-6"/>
                <w:highlight w:val="none"/>
              </w:rPr>
              <w:t>其身份证复印件</w:t>
            </w:r>
            <w:r>
              <w:rPr>
                <w:rFonts w:hint="eastAsia" w:asciiTheme="minorEastAsia" w:hAnsiTheme="minorEastAsia" w:eastAsiaTheme="minorEastAsia" w:cstheme="minorEastAsia"/>
                <w:color w:val="auto"/>
                <w:spacing w:val="-7"/>
                <w:highlight w:val="none"/>
              </w:rPr>
              <w:t>；</w:t>
            </w:r>
            <w:r>
              <w:rPr>
                <w:rFonts w:hint="eastAsia" w:asciiTheme="minorEastAsia" w:hAnsiTheme="minorEastAsia" w:eastAsiaTheme="minorEastAsia" w:cstheme="minorEastAsia"/>
                <w:b/>
                <w:bCs/>
                <w:color w:val="auto"/>
                <w:spacing w:val="-7"/>
                <w:highlight w:val="none"/>
              </w:rPr>
              <w:t>（</w:t>
            </w:r>
            <w:r>
              <w:rPr>
                <w:rFonts w:hint="eastAsia" w:asciiTheme="minorEastAsia" w:hAnsiTheme="minorEastAsia" w:eastAsiaTheme="minorEastAsia" w:cstheme="minorEastAsia"/>
                <w:b/>
                <w:bCs/>
                <w:color w:val="auto"/>
                <w:spacing w:val="-6"/>
                <w:highlight w:val="none"/>
              </w:rPr>
              <w:t>必须提供，否则响应文件按无效响应处理）</w:t>
            </w:r>
          </w:p>
          <w:p>
            <w:pPr>
              <w:spacing w:before="124" w:line="360" w:lineRule="auto"/>
              <w:ind w:left="108" w:right="100" w:firstLine="3"/>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pacing w:val="-1"/>
                <w:highlight w:val="none"/>
              </w:rPr>
              <w:t>2、供应商依法缴纳税收的相关材料（</w:t>
            </w:r>
            <w:r>
              <w:rPr>
                <w:rFonts w:hint="eastAsia" w:ascii="宋体" w:hAnsi="宋体" w:cs="宋体" w:eastAsiaTheme="minorEastAsia"/>
                <w:color w:val="auto"/>
                <w:highlight w:val="none"/>
              </w:rPr>
              <w:t>半年内</w:t>
            </w:r>
            <w:r>
              <w:rPr>
                <w:rFonts w:hint="eastAsia" w:ascii="宋体" w:hAnsi="宋体" w:cs="宋体"/>
                <w:color w:val="auto"/>
                <w:highlight w:val="none"/>
              </w:rPr>
              <w:t>连续</w:t>
            </w:r>
            <w:r>
              <w:rPr>
                <w:rFonts w:hint="eastAsia" w:ascii="宋体" w:hAnsi="宋体" w:cs="宋体" w:eastAsiaTheme="minorEastAsia"/>
                <w:color w:val="auto"/>
                <w:highlight w:val="none"/>
                <w:u w:val="single"/>
              </w:rPr>
              <w:t>3</w:t>
            </w:r>
            <w:r>
              <w:rPr>
                <w:rFonts w:hint="eastAsia" w:ascii="宋体" w:hAnsi="宋体" w:cs="宋体"/>
                <w:color w:val="auto"/>
                <w:highlight w:val="none"/>
              </w:rPr>
              <w:t>个</w:t>
            </w:r>
            <w:r>
              <w:rPr>
                <w:rFonts w:hint="eastAsia" w:ascii="宋体" w:hAnsi="宋体" w:cs="宋体" w:eastAsiaTheme="minorEastAsia"/>
                <w:color w:val="auto"/>
                <w:highlight w:val="none"/>
              </w:rPr>
              <w:t>月</w:t>
            </w:r>
            <w:r>
              <w:rPr>
                <w:rFonts w:hint="eastAsia" w:asciiTheme="minorEastAsia" w:hAnsiTheme="minorEastAsia" w:eastAsiaTheme="minorEastAsia" w:cstheme="minorEastAsia"/>
                <w:color w:val="auto"/>
                <w:spacing w:val="-1"/>
                <w:highlight w:val="none"/>
              </w:rPr>
              <w:t>依法缴纳税收的凭据复印件，按月申报纳税的提供上一个月的依法缴纳税收的凭据复印件，按季申报纳税的提供上一个季度的依法缴纳税收的凭据复印</w:t>
            </w:r>
            <w:r>
              <w:rPr>
                <w:rFonts w:hint="eastAsia" w:asciiTheme="minorEastAsia" w:hAnsiTheme="minorEastAsia" w:eastAsiaTheme="minorEastAsia" w:cstheme="minorEastAsia"/>
                <w:color w:val="auto"/>
                <w:spacing w:val="-8"/>
                <w:highlight w:val="none"/>
              </w:rPr>
              <w:t>件</w:t>
            </w:r>
            <w:r>
              <w:rPr>
                <w:rFonts w:hint="eastAsia" w:asciiTheme="minorEastAsia" w:hAnsiTheme="minorEastAsia" w:eastAsiaTheme="minorEastAsia" w:cstheme="minorEastAsia"/>
                <w:color w:val="auto"/>
                <w:spacing w:val="-1"/>
                <w:highlight w:val="none"/>
              </w:rPr>
              <w:t>）；</w:t>
            </w:r>
            <w:r>
              <w:rPr>
                <w:rFonts w:hint="eastAsia" w:asciiTheme="minorEastAsia" w:hAnsiTheme="minorEastAsia" w:eastAsiaTheme="minorEastAsia" w:cstheme="minorEastAsia"/>
                <w:color w:val="auto"/>
                <w:spacing w:val="-8"/>
                <w:highlight w:val="none"/>
              </w:rPr>
              <w:t>依法免税的供应商，必须提供相应文件证明其依法免税。从取得营</w:t>
            </w:r>
            <w:r>
              <w:rPr>
                <w:rFonts w:hint="eastAsia" w:asciiTheme="minorEastAsia" w:hAnsiTheme="minorEastAsia" w:eastAsiaTheme="minorEastAsia" w:cstheme="minorEastAsia"/>
                <w:color w:val="auto"/>
                <w:spacing w:val="-6"/>
                <w:highlight w:val="none"/>
              </w:rPr>
              <w:t>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color w:val="auto"/>
                <w:spacing w:val="-1"/>
                <w:highlight w:val="none"/>
              </w:rPr>
              <w:t>）；</w:t>
            </w:r>
            <w:r>
              <w:rPr>
                <w:rFonts w:hint="eastAsia" w:asciiTheme="minorEastAsia" w:hAnsiTheme="minorEastAsia" w:eastAsiaTheme="minorEastAsia" w:cstheme="minorEastAsia"/>
                <w:b/>
                <w:bCs/>
                <w:color w:val="auto"/>
                <w:spacing w:val="-1"/>
                <w:highlight w:val="none"/>
              </w:rPr>
              <w:t>（</w:t>
            </w:r>
            <w:r>
              <w:rPr>
                <w:rFonts w:hint="eastAsia" w:asciiTheme="minorEastAsia" w:hAnsiTheme="minorEastAsia" w:eastAsiaTheme="minorEastAsia" w:cstheme="minorEastAsia"/>
                <w:b/>
                <w:bCs/>
                <w:color w:val="auto"/>
                <w:spacing w:val="-6"/>
                <w:highlight w:val="none"/>
              </w:rPr>
              <w:t>必须提供，否则</w:t>
            </w:r>
            <w:r>
              <w:rPr>
                <w:rFonts w:hint="eastAsia" w:asciiTheme="minorEastAsia" w:hAnsiTheme="minorEastAsia" w:eastAsiaTheme="minorEastAsia" w:cstheme="minorEastAsia"/>
                <w:b/>
                <w:bCs/>
                <w:color w:val="auto"/>
                <w:spacing w:val="-1"/>
                <w:highlight w:val="none"/>
              </w:rPr>
              <w:t>作无效竞标处理）</w:t>
            </w:r>
          </w:p>
          <w:p>
            <w:pPr>
              <w:spacing w:before="4" w:line="360" w:lineRule="auto"/>
              <w:ind w:left="109" w:right="100" w:firstLine="4"/>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pacing w:val="-5"/>
                <w:highlight w:val="none"/>
              </w:rPr>
              <w:t>3、供应商依法缴纳社会保障资金的相关材料（</w:t>
            </w:r>
            <w:r>
              <w:rPr>
                <w:rFonts w:hint="eastAsia" w:ascii="宋体" w:hAnsi="宋体" w:cs="宋体" w:eastAsiaTheme="minorEastAsia"/>
                <w:color w:val="auto"/>
                <w:highlight w:val="none"/>
              </w:rPr>
              <w:t>半年内</w:t>
            </w:r>
            <w:r>
              <w:rPr>
                <w:rFonts w:hint="eastAsia" w:asciiTheme="minorEastAsia" w:hAnsiTheme="minorEastAsia" w:eastAsiaTheme="minorEastAsia" w:cstheme="minorEastAsia"/>
                <w:color w:val="auto"/>
                <w:spacing w:val="-1"/>
                <w:highlight w:val="none"/>
              </w:rPr>
              <w:t>连续三个月（一般为三个月）的依法缴纳社会保障资金的缴费凭证</w:t>
            </w:r>
            <w:r>
              <w:rPr>
                <w:rFonts w:hint="eastAsia" w:asciiTheme="minorEastAsia" w:hAnsiTheme="minorEastAsia" w:eastAsiaTheme="minorEastAsia" w:cstheme="minorEastAsia"/>
                <w:color w:val="auto"/>
                <w:spacing w:val="-4"/>
                <w:highlight w:val="none"/>
              </w:rPr>
              <w:t>（专用收据或者社会保险缴纳清单）复印件；依法不需要缴纳社会保障</w:t>
            </w:r>
            <w:r>
              <w:rPr>
                <w:rFonts w:hint="eastAsia" w:asciiTheme="minorEastAsia" w:hAnsiTheme="minorEastAsia" w:eastAsiaTheme="minorEastAsia" w:cstheme="minorEastAsia"/>
                <w:color w:val="auto"/>
                <w:spacing w:val="-8"/>
                <w:highlight w:val="none"/>
              </w:rPr>
              <w:t>资金的供应商，必须提供相应文件证明不需要缴纳社会保障资金。从取得</w:t>
            </w:r>
            <w:r>
              <w:rPr>
                <w:rFonts w:hint="eastAsia" w:asciiTheme="minorEastAsia" w:hAnsiTheme="minorEastAsia" w:eastAsiaTheme="minorEastAsia" w:cstheme="minorEastAsia"/>
                <w:color w:val="auto"/>
                <w:spacing w:val="-1"/>
                <w:highlight w:val="none"/>
              </w:rPr>
              <w:t>营业执照时间起到响应文件提交截止时间为止不足要求月数的只需提供</w:t>
            </w:r>
            <w:r>
              <w:rPr>
                <w:rFonts w:hint="eastAsia" w:asciiTheme="minorEastAsia" w:hAnsiTheme="minorEastAsia" w:eastAsiaTheme="minorEastAsia" w:cstheme="minorEastAsia"/>
                <w:color w:val="auto"/>
                <w:highlight w:val="none"/>
              </w:rPr>
              <w:t>从取得营业执照起的依法缴纳社会保障资金的相应证明文件]</w:t>
            </w:r>
            <w:r>
              <w:rPr>
                <w:rFonts w:hint="eastAsia" w:asciiTheme="minorEastAsia" w:hAnsiTheme="minorEastAsia" w:eastAsiaTheme="minorEastAsia" w:cstheme="minorEastAsia"/>
                <w:color w:val="auto"/>
                <w:spacing w:val="-5"/>
                <w:highlight w:val="none"/>
              </w:rPr>
              <w:t>；</w:t>
            </w:r>
            <w:r>
              <w:rPr>
                <w:rFonts w:hint="eastAsia" w:asciiTheme="minorEastAsia" w:hAnsiTheme="minorEastAsia" w:eastAsiaTheme="minorEastAsia" w:cstheme="minorEastAsia"/>
                <w:b/>
                <w:bCs/>
                <w:color w:val="auto"/>
                <w:spacing w:val="-5"/>
                <w:highlight w:val="none"/>
              </w:rPr>
              <w:t>（</w:t>
            </w:r>
            <w:r>
              <w:rPr>
                <w:rFonts w:hint="eastAsia" w:asciiTheme="minorEastAsia" w:hAnsiTheme="minorEastAsia" w:eastAsiaTheme="minorEastAsia" w:cstheme="minorEastAsia"/>
                <w:b/>
                <w:bCs/>
                <w:color w:val="auto"/>
                <w:highlight w:val="none"/>
              </w:rPr>
              <w:t>必须提</w:t>
            </w:r>
            <w:r>
              <w:rPr>
                <w:rFonts w:hint="eastAsia" w:asciiTheme="minorEastAsia" w:hAnsiTheme="minorEastAsia" w:eastAsiaTheme="minorEastAsia" w:cstheme="minorEastAsia"/>
                <w:b/>
                <w:bCs/>
                <w:color w:val="auto"/>
                <w:spacing w:val="-14"/>
                <w:highlight w:val="none"/>
              </w:rPr>
              <w:t>供，否则作无效竞标处理）</w:t>
            </w:r>
          </w:p>
          <w:p>
            <w:pPr>
              <w:spacing w:before="170" w:line="360" w:lineRule="auto"/>
              <w:ind w:left="126" w:right="101" w:hanging="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4、供应商财务状况报告[</w:t>
            </w:r>
            <w:r>
              <w:rPr>
                <w:rFonts w:hint="eastAsia" w:ascii="宋体" w:hAnsi="宋体" w:eastAsia="宋体" w:cs="宋体"/>
                <w:color w:val="auto"/>
                <w:highlight w:val="none"/>
                <w:shd w:val="clear" w:color="auto"/>
              </w:rPr>
              <w:t>提供</w:t>
            </w:r>
            <w:r>
              <w:rPr>
                <w:rFonts w:hint="eastAsia" w:ascii="宋体" w:hAnsi="宋体" w:cs="宋体"/>
                <w:color w:val="auto"/>
                <w:highlight w:val="none"/>
                <w:u w:val="single"/>
                <w:shd w:val="clear" w:color="auto"/>
              </w:rPr>
              <w:t>2020</w:t>
            </w:r>
            <w:r>
              <w:rPr>
                <w:rFonts w:hint="eastAsia" w:ascii="宋体" w:hAnsi="宋体" w:eastAsia="宋体" w:cs="宋体"/>
                <w:color w:val="auto"/>
                <w:highlight w:val="none"/>
                <w:shd w:val="clear" w:color="auto"/>
              </w:rPr>
              <w:t>度</w:t>
            </w:r>
            <w:r>
              <w:rPr>
                <w:rFonts w:hint="eastAsia" w:ascii="宋体" w:hAnsi="宋体" w:eastAsia="宋体" w:cs="宋体"/>
                <w:color w:val="auto"/>
                <w:highlight w:val="none"/>
                <w:shd w:val="clear" w:color="auto"/>
                <w:lang w:val="en-US" w:eastAsia="zh-CN"/>
              </w:rPr>
              <w:t>或</w:t>
            </w:r>
            <w:r>
              <w:rPr>
                <w:rFonts w:hint="eastAsia" w:ascii="宋体" w:hAnsi="宋体" w:eastAsia="宋体" w:cs="宋体"/>
                <w:color w:val="auto"/>
                <w:highlight w:val="none"/>
                <w:u w:val="single"/>
                <w:shd w:val="clear" w:color="auto"/>
                <w:lang w:val="en-US" w:eastAsia="zh-CN"/>
              </w:rPr>
              <w:t>2021年</w:t>
            </w:r>
            <w:r>
              <w:rPr>
                <w:rFonts w:hint="eastAsia" w:ascii="宋体" w:hAnsi="宋体" w:eastAsia="宋体" w:cs="宋体"/>
                <w:color w:val="auto"/>
                <w:highlight w:val="none"/>
                <w:shd w:val="clear" w:color="auto"/>
                <w:lang w:val="en-US" w:eastAsia="zh-CN"/>
              </w:rPr>
              <w:t>度</w:t>
            </w:r>
            <w:r>
              <w:rPr>
                <w:rFonts w:hint="eastAsia" w:ascii="宋体" w:hAnsi="宋体" w:eastAsia="宋体" w:cs="宋体"/>
                <w:color w:val="auto"/>
                <w:highlight w:val="none"/>
                <w:shd w:val="clear" w:color="auto"/>
              </w:rPr>
              <w:t>的财务报告复印件或者其基本开户银行出具的资信证明或者</w:t>
            </w:r>
            <w:r>
              <w:rPr>
                <w:rFonts w:hint="eastAsia" w:ascii="宋体" w:hAnsi="宋体" w:eastAsia="宋体" w:cs="宋体"/>
                <w:color w:val="auto"/>
                <w:highlight w:val="none"/>
                <w:shd w:val="clear" w:color="auto"/>
              </w:rPr>
              <w:t>截标时间前半年内至少一个月能反映财务状况的报表</w:t>
            </w:r>
            <w:r>
              <w:rPr>
                <w:rFonts w:hint="eastAsia" w:ascii="宋体" w:hAnsi="宋体" w:eastAsia="宋体" w:cs="宋体"/>
                <w:color w:val="auto"/>
                <w:highlight w:val="none"/>
                <w:shd w:val="clear" w:color="auto"/>
              </w:rPr>
              <w:t>或者供应商自拟的截标时间前半年内至少一个月的财务情况说明</w:t>
            </w:r>
            <w:r>
              <w:rPr>
                <w:rFonts w:hint="eastAsia" w:ascii="宋体" w:hAnsi="宋体" w:cs="宋体"/>
                <w:color w:val="auto"/>
                <w:highlight w:val="none"/>
                <w:shd w:val="clear" w:color="auto"/>
                <w:lang w:val="en"/>
              </w:rPr>
              <w:t>或者</w:t>
            </w:r>
            <w:r>
              <w:rPr>
                <w:rFonts w:hint="eastAsia" w:ascii="宋体" w:hAnsi="宋体" w:cs="宋体"/>
                <w:color w:val="auto"/>
                <w:highlight w:val="none"/>
                <w:shd w:val="clear" w:color="auto"/>
              </w:rPr>
              <w:t>事业单位部门决算报表复印件</w:t>
            </w:r>
            <w:r>
              <w:rPr>
                <w:rFonts w:hint="eastAsia" w:asciiTheme="minorEastAsia" w:hAnsiTheme="minorEastAsia" w:eastAsiaTheme="minorEastAsia" w:cstheme="minorEastAsia"/>
                <w:color w:val="auto"/>
                <w:spacing w:val="-1"/>
                <w:highlight w:val="none"/>
              </w:rPr>
              <w:t>；供应商是其他组织或者自然人的，应提供财务报告</w:t>
            </w:r>
            <w:r>
              <w:rPr>
                <w:rFonts w:hint="eastAsia" w:asciiTheme="minorEastAsia" w:hAnsiTheme="minorEastAsia" w:eastAsiaTheme="minorEastAsia" w:cstheme="minorEastAsia"/>
                <w:color w:val="auto"/>
                <w:spacing w:val="8"/>
                <w:highlight w:val="none"/>
              </w:rPr>
              <w:t>（</w:t>
            </w:r>
            <w:r>
              <w:rPr>
                <w:rFonts w:hint="eastAsia" w:asciiTheme="minorEastAsia" w:hAnsiTheme="minorEastAsia" w:eastAsiaTheme="minorEastAsia" w:cstheme="minorEastAsia"/>
                <w:color w:val="auto"/>
                <w:spacing w:val="-9"/>
                <w:highlight w:val="none"/>
              </w:rPr>
              <w:t>包括资产负债表、利润表、现金流量表</w:t>
            </w:r>
            <w:r>
              <w:rPr>
                <w:rFonts w:hint="eastAsia" w:asciiTheme="minorEastAsia" w:hAnsiTheme="minorEastAsia" w:eastAsiaTheme="minorEastAsia" w:cstheme="minorEastAsia"/>
                <w:color w:val="auto"/>
                <w:spacing w:val="-1"/>
                <w:highlight w:val="none"/>
              </w:rPr>
              <w:t>)或者银行出具的资信证明]</w:t>
            </w:r>
            <w:r>
              <w:rPr>
                <w:rFonts w:hint="eastAsia" w:asciiTheme="minorEastAsia" w:hAnsiTheme="minorEastAsia" w:eastAsiaTheme="minorEastAsia" w:cstheme="minorEastAsia"/>
                <w:color w:val="auto"/>
                <w:spacing w:val="-7"/>
                <w:highlight w:val="none"/>
              </w:rPr>
              <w:t>；</w:t>
            </w:r>
            <w:r>
              <w:rPr>
                <w:rFonts w:hint="eastAsia" w:asciiTheme="minorEastAsia" w:hAnsiTheme="minorEastAsia" w:eastAsiaTheme="minorEastAsia" w:cstheme="minorEastAsia"/>
                <w:b/>
                <w:bCs/>
                <w:color w:val="auto"/>
                <w:spacing w:val="-7"/>
                <w:highlight w:val="none"/>
              </w:rPr>
              <w:t>（</w:t>
            </w:r>
            <w:r>
              <w:rPr>
                <w:rFonts w:hint="eastAsia" w:asciiTheme="minorEastAsia" w:hAnsiTheme="minorEastAsia" w:eastAsiaTheme="minorEastAsia" w:cstheme="minorEastAsia"/>
                <w:b/>
                <w:bCs/>
                <w:color w:val="auto"/>
                <w:spacing w:val="-1"/>
                <w:highlight w:val="none"/>
              </w:rPr>
              <w:t>必须提供，</w:t>
            </w:r>
            <w:r>
              <w:rPr>
                <w:rFonts w:hint="eastAsia" w:asciiTheme="minorEastAsia" w:hAnsiTheme="minorEastAsia" w:eastAsiaTheme="minorEastAsia" w:cstheme="minorEastAsia"/>
                <w:b/>
                <w:bCs/>
                <w:color w:val="auto"/>
                <w:spacing w:val="-2"/>
                <w:highlight w:val="none"/>
              </w:rPr>
              <w:t>否则作无效竞标处理）</w:t>
            </w:r>
          </w:p>
          <w:p>
            <w:pPr>
              <w:spacing w:before="170" w:line="360" w:lineRule="auto"/>
              <w:ind w:left="126" w:right="101" w:hanging="18"/>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pacing w:val="-8"/>
                <w:highlight w:val="none"/>
              </w:rPr>
              <w:t>5.供应商直接控股、管理关系信息表</w:t>
            </w:r>
            <w:r>
              <w:rPr>
                <w:rFonts w:hint="eastAsia" w:asciiTheme="minorEastAsia" w:hAnsiTheme="minorEastAsia" w:eastAsiaTheme="minorEastAsia" w:cstheme="minorEastAsia"/>
                <w:color w:val="auto"/>
                <w:spacing w:val="-1"/>
                <w:highlight w:val="none"/>
              </w:rPr>
              <w:t>；</w:t>
            </w:r>
            <w:r>
              <w:rPr>
                <w:rFonts w:hint="eastAsia" w:asciiTheme="minorEastAsia" w:hAnsiTheme="minorEastAsia" w:eastAsiaTheme="minorEastAsia" w:cstheme="minorEastAsia"/>
                <w:b/>
                <w:bCs/>
                <w:color w:val="auto"/>
                <w:spacing w:val="-1"/>
                <w:highlight w:val="none"/>
              </w:rPr>
              <w:t>（</w:t>
            </w:r>
            <w:r>
              <w:rPr>
                <w:rFonts w:hint="eastAsia" w:asciiTheme="minorEastAsia" w:hAnsiTheme="minorEastAsia" w:eastAsiaTheme="minorEastAsia" w:cstheme="minorEastAsia"/>
                <w:b/>
                <w:bCs/>
                <w:color w:val="auto"/>
                <w:spacing w:val="-8"/>
                <w:highlight w:val="none"/>
              </w:rPr>
              <w:t>必须提供，否则响应文件按无效</w:t>
            </w:r>
            <w:r>
              <w:rPr>
                <w:rFonts w:hint="eastAsia" w:asciiTheme="minorEastAsia" w:hAnsiTheme="minorEastAsia" w:eastAsiaTheme="minorEastAsia" w:cstheme="minorEastAsia"/>
                <w:b/>
                <w:bCs/>
                <w:color w:val="auto"/>
                <w:spacing w:val="-3"/>
                <w:highlight w:val="none"/>
              </w:rPr>
              <w:t>响应处理）</w:t>
            </w:r>
          </w:p>
          <w:p>
            <w:pPr>
              <w:spacing w:before="28" w:line="360" w:lineRule="auto"/>
              <w:ind w:left="106" w:right="237" w:firstLine="4"/>
              <w:rPr>
                <w:rFonts w:asciiTheme="minorEastAsia" w:hAnsiTheme="minorEastAsia" w:eastAsiaTheme="minorEastAsia" w:cstheme="minorEastAsia"/>
                <w:b/>
                <w:bCs/>
                <w:color w:val="auto"/>
                <w:spacing w:val="-7"/>
                <w:highlight w:val="none"/>
              </w:rPr>
            </w:pPr>
            <w:r>
              <w:rPr>
                <w:rFonts w:hint="eastAsia" w:asciiTheme="minorEastAsia" w:hAnsiTheme="minorEastAsia" w:eastAsiaTheme="minorEastAsia" w:cstheme="minorEastAsia"/>
                <w:color w:val="auto"/>
                <w:spacing w:val="-7"/>
                <w:highlight w:val="none"/>
              </w:rPr>
              <w:t>6.资格声明</w:t>
            </w:r>
            <w:r>
              <w:rPr>
                <w:rFonts w:hint="eastAsia" w:asciiTheme="minorEastAsia" w:hAnsiTheme="minorEastAsia" w:eastAsiaTheme="minorEastAsia" w:cstheme="minorEastAsia"/>
                <w:color w:val="auto"/>
                <w:spacing w:val="1"/>
                <w:highlight w:val="none"/>
              </w:rPr>
              <w:t>；</w:t>
            </w:r>
            <w:r>
              <w:rPr>
                <w:rFonts w:hint="eastAsia" w:asciiTheme="minorEastAsia" w:hAnsiTheme="minorEastAsia" w:eastAsiaTheme="minorEastAsia" w:cstheme="minorEastAsia"/>
                <w:b/>
                <w:bCs/>
                <w:color w:val="auto"/>
                <w:spacing w:val="1"/>
                <w:highlight w:val="none"/>
              </w:rPr>
              <w:t>（</w:t>
            </w:r>
            <w:r>
              <w:rPr>
                <w:rFonts w:hint="eastAsia" w:asciiTheme="minorEastAsia" w:hAnsiTheme="minorEastAsia" w:eastAsiaTheme="minorEastAsia" w:cstheme="minorEastAsia"/>
                <w:b/>
                <w:bCs/>
                <w:color w:val="auto"/>
                <w:spacing w:val="-7"/>
                <w:highlight w:val="none"/>
              </w:rPr>
              <w:t>必须提供，否则响应文件按无效响应处理）</w:t>
            </w:r>
          </w:p>
          <w:p>
            <w:pPr>
              <w:pStyle w:val="10"/>
              <w:ind w:firstLine="196" w:firstLineChars="100"/>
              <w:rPr>
                <w:rFonts w:hint="eastAsia" w:eastAsiaTheme="minorEastAsia"/>
                <w:color w:val="auto"/>
                <w:highlight w:val="none"/>
                <w:lang w:eastAsia="zh-CN"/>
              </w:rPr>
            </w:pPr>
            <w:r>
              <w:rPr>
                <w:rFonts w:hint="eastAsia" w:asciiTheme="minorEastAsia" w:hAnsiTheme="minorEastAsia" w:eastAsiaTheme="minorEastAsia" w:cstheme="minorEastAsia"/>
                <w:color w:val="auto"/>
                <w:spacing w:val="-7"/>
                <w:sz w:val="21"/>
                <w:highlight w:val="none"/>
              </w:rPr>
              <w:t>7.</w:t>
            </w:r>
            <w:r>
              <w:rPr>
                <w:rFonts w:hint="eastAsia" w:asciiTheme="minorEastAsia" w:hAnsiTheme="minorEastAsia" w:eastAsiaTheme="minorEastAsia" w:cstheme="minorEastAsia"/>
                <w:color w:val="auto"/>
                <w:spacing w:val="-7"/>
                <w:sz w:val="21"/>
                <w:highlight w:val="none"/>
                <w:lang w:eastAsia="zh-CN"/>
              </w:rPr>
              <w:t>服务需求一览表中要求提供的证明材料； （必须提供）</w:t>
            </w:r>
          </w:p>
          <w:p>
            <w:pPr>
              <w:spacing w:before="28" w:line="360" w:lineRule="auto"/>
              <w:ind w:left="106" w:right="237" w:firstLine="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8.</w:t>
            </w:r>
            <w:r>
              <w:rPr>
                <w:rFonts w:hint="eastAsia" w:asciiTheme="minorEastAsia" w:hAnsiTheme="minorEastAsia" w:eastAsiaTheme="minorEastAsia" w:cstheme="minorEastAsia"/>
                <w:color w:val="auto"/>
                <w:spacing w:val="-1"/>
                <w:highlight w:val="none"/>
              </w:rPr>
              <w:t>除磋商文件规定必须提供以外，供应商认为需要提供的其他证明材</w:t>
            </w:r>
            <w:r>
              <w:rPr>
                <w:rFonts w:hint="eastAsia" w:asciiTheme="minorEastAsia" w:hAnsiTheme="minorEastAsia" w:eastAsiaTheme="minorEastAsia" w:cstheme="minorEastAsia"/>
                <w:color w:val="auto"/>
                <w:spacing w:val="-3"/>
                <w:highlight w:val="none"/>
              </w:rPr>
              <w:t>料；（如有，请提供）</w:t>
            </w:r>
          </w:p>
          <w:p>
            <w:pPr>
              <w:spacing w:before="1" w:line="360" w:lineRule="auto"/>
              <w:ind w:firstLine="10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14"/>
                <w:highlight w:val="none"/>
              </w:rPr>
              <w:t>注：</w:t>
            </w:r>
            <w:r>
              <w:rPr>
                <w:rFonts w:hint="eastAsia" w:asciiTheme="minorEastAsia" w:hAnsiTheme="minorEastAsia" w:eastAsiaTheme="minorEastAsia" w:cstheme="minorEastAsia"/>
                <w:b/>
                <w:bCs/>
                <w:color w:val="auto"/>
                <w:spacing w:val="-6"/>
                <w:highlight w:val="none"/>
              </w:rPr>
              <w:t>1.以上标明“必须提供”的材料属于复印件的扫描件的，必须加盖</w:t>
            </w:r>
            <w:r>
              <w:rPr>
                <w:rFonts w:hint="eastAsia" w:asciiTheme="minorEastAsia" w:hAnsiTheme="minorEastAsia" w:eastAsiaTheme="minorEastAsia" w:cstheme="minorEastAsia"/>
                <w:b/>
                <w:bCs/>
                <w:color w:val="auto"/>
                <w:spacing w:val="-9"/>
                <w:highlight w:val="none"/>
              </w:rPr>
              <w:t>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3" w:hRule="atLeast"/>
        </w:trPr>
        <w:tc>
          <w:tcPr>
            <w:tcW w:w="1238" w:type="dxa"/>
            <w:vMerge w:val="restart"/>
            <w:vAlign w:val="center"/>
          </w:tcPr>
          <w:p>
            <w:pPr>
              <w:spacing w:before="37" w:line="360" w:lineRule="auto"/>
              <w:ind w:firstLine="173"/>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12.1.2</w:t>
            </w:r>
          </w:p>
          <w:p>
            <w:pPr>
              <w:spacing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drawing>
                <wp:anchor distT="0" distB="0" distL="0" distR="0" simplePos="0" relativeHeight="251669504" behindDoc="0" locked="0" layoutInCell="0" allowOverlap="1">
                  <wp:simplePos x="0" y="0"/>
                  <wp:positionH relativeFrom="page">
                    <wp:posOffset>4709795</wp:posOffset>
                  </wp:positionH>
                  <wp:positionV relativeFrom="page">
                    <wp:posOffset>6917690</wp:posOffset>
                  </wp:positionV>
                  <wp:extent cx="199390" cy="6350"/>
                  <wp:effectExtent l="0" t="0" r="0" b="0"/>
                  <wp:wrapNone/>
                  <wp:docPr id="19" name="IM 7"/>
                  <wp:cNvGraphicFramePr/>
                  <a:graphic xmlns:a="http://schemas.openxmlformats.org/drawingml/2006/main">
                    <a:graphicData uri="http://schemas.openxmlformats.org/drawingml/2006/picture">
                      <pic:pic xmlns:pic="http://schemas.openxmlformats.org/drawingml/2006/picture">
                        <pic:nvPicPr>
                          <pic:cNvPr id="19" name="IM 7"/>
                          <pic:cNvPicPr/>
                        </pic:nvPicPr>
                        <pic:blipFill>
                          <a:blip r:embed="rId65" cstate="print"/>
                          <a:stretch>
                            <a:fillRect/>
                          </a:stretch>
                        </pic:blipFill>
                        <pic:spPr>
                          <a:xfrm>
                            <a:off x="0" y="0"/>
                            <a:ext cx="199390" cy="6350"/>
                          </a:xfrm>
                          <a:prstGeom prst="rect">
                            <a:avLst/>
                          </a:prstGeom>
                        </pic:spPr>
                      </pic:pic>
                    </a:graphicData>
                  </a:graphic>
                </wp:anchor>
              </w:drawing>
            </w:r>
          </w:p>
        </w:tc>
        <w:tc>
          <w:tcPr>
            <w:tcW w:w="1932" w:type="dxa"/>
            <w:tcBorders>
              <w:bottom w:val="single" w:color="000000" w:sz="4" w:space="0"/>
            </w:tcBorders>
            <w:vAlign w:val="center"/>
          </w:tcPr>
          <w:p>
            <w:pPr>
              <w:spacing w:before="3"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商务文件组成</w:t>
            </w:r>
          </w:p>
        </w:tc>
        <w:tc>
          <w:tcPr>
            <w:tcW w:w="6837" w:type="dxa"/>
            <w:tcBorders>
              <w:bottom w:val="single" w:color="000000" w:sz="4" w:space="0"/>
            </w:tcBorders>
          </w:tcPr>
          <w:p>
            <w:pPr>
              <w:numPr>
                <w:ilvl w:val="0"/>
                <w:numId w:val="1"/>
              </w:numPr>
              <w:spacing w:before="5" w:line="360" w:lineRule="auto"/>
              <w:ind w:left="111" w:right="111" w:firstLine="13"/>
              <w:rPr>
                <w:color w:val="auto"/>
                <w:highlight w:val="none"/>
              </w:rPr>
            </w:pPr>
            <w:r>
              <w:rPr>
                <w:rFonts w:hint="eastAsia"/>
                <w:color w:val="auto"/>
                <w:highlight w:val="none"/>
              </w:rPr>
              <w:t>无串通竞标行为的承诺函；（必须提供，否则响应文件按无效响应处理）</w:t>
            </w:r>
          </w:p>
          <w:p>
            <w:pPr>
              <w:spacing w:before="5" w:line="360" w:lineRule="auto"/>
              <w:ind w:left="124" w:right="111"/>
              <w:rPr>
                <w:color w:val="auto"/>
                <w:highlight w:val="none"/>
              </w:rPr>
            </w:pPr>
            <w:r>
              <w:rPr>
                <w:rFonts w:hint="eastAsia"/>
                <w:color w:val="auto"/>
                <w:highlight w:val="none"/>
              </w:rPr>
              <w:t>2.法定代表人身份证明书及法定代表人有效身份证正反面复印件；（除自然人竞标外必须提供，否则响应文件按无效响应处理）</w:t>
            </w:r>
          </w:p>
          <w:p>
            <w:pPr>
              <w:spacing w:line="360" w:lineRule="auto"/>
              <w:ind w:left="108" w:right="101" w:firstLine="5"/>
              <w:rPr>
                <w:color w:val="auto"/>
                <w:highlight w:val="none"/>
              </w:rPr>
            </w:pPr>
            <w:r>
              <w:rPr>
                <w:rFonts w:hint="eastAsia"/>
                <w:color w:val="auto"/>
                <w:highlight w:val="none"/>
              </w:rPr>
              <w:t>3.法定代表人授权委托书及委托代理人有效身份证正反面复印件；（委托时必须提供，否则响应文件按无效响应处理）</w:t>
            </w:r>
          </w:p>
          <w:p>
            <w:pPr>
              <w:spacing w:line="360" w:lineRule="auto"/>
              <w:ind w:left="108" w:right="101" w:firstLine="5"/>
              <w:rPr>
                <w:color w:val="auto"/>
                <w:highlight w:val="none"/>
              </w:rPr>
            </w:pPr>
            <w:r>
              <w:rPr>
                <w:rFonts w:hint="eastAsia"/>
                <w:color w:val="auto"/>
                <w:highlight w:val="none"/>
              </w:rPr>
              <w:t>4.商务条款偏离表；（必须提供，否则响应文件按无效响应处理）</w:t>
            </w:r>
          </w:p>
          <w:p>
            <w:pPr>
              <w:spacing w:line="360" w:lineRule="auto"/>
              <w:ind w:left="108" w:right="101" w:firstLine="5"/>
              <w:rPr>
                <w:rFonts w:eastAsia="宋体"/>
                <w:color w:val="auto"/>
                <w:highlight w:val="none"/>
              </w:rPr>
            </w:pPr>
            <w:r>
              <w:rPr>
                <w:rFonts w:hint="eastAsia"/>
                <w:color w:val="auto"/>
                <w:highlight w:val="none"/>
              </w:rPr>
              <w:t>5.竞标人情况介绍；</w:t>
            </w:r>
            <w:r>
              <w:rPr>
                <w:rFonts w:hint="eastAsia" w:eastAsia="宋体"/>
                <w:color w:val="auto"/>
                <w:highlight w:val="none"/>
              </w:rPr>
              <w:t>（如有请提供）</w:t>
            </w:r>
          </w:p>
          <w:p>
            <w:pPr>
              <w:spacing w:before="1" w:line="360" w:lineRule="auto"/>
              <w:ind w:firstLine="110"/>
              <w:rPr>
                <w:color w:val="auto"/>
                <w:highlight w:val="none"/>
              </w:rPr>
            </w:pPr>
            <w:r>
              <w:rPr>
                <w:rFonts w:hint="eastAsia"/>
                <w:color w:val="auto"/>
                <w:highlight w:val="none"/>
              </w:rPr>
              <w:t>6.供应商认为需要提供的其他有关资料。</w:t>
            </w:r>
          </w:p>
          <w:p>
            <w:pPr>
              <w:spacing w:before="84" w:line="360" w:lineRule="auto"/>
              <w:ind w:firstLine="108"/>
              <w:rPr>
                <w:b/>
                <w:bCs/>
                <w:color w:val="auto"/>
                <w:highlight w:val="none"/>
              </w:rPr>
            </w:pPr>
            <w:r>
              <w:rPr>
                <w:rFonts w:hint="eastAsia"/>
                <w:b/>
                <w:bCs/>
                <w:color w:val="auto"/>
                <w:highlight w:val="none"/>
              </w:rPr>
              <w:t>注：1.法定代表人授权委托书必须由法定代表人及委托代理人签字，并加盖供应商公章，否则响应文件按无效响应处理。</w:t>
            </w:r>
          </w:p>
          <w:p>
            <w:pPr>
              <w:numPr>
                <w:ilvl w:val="0"/>
                <w:numId w:val="2"/>
              </w:numPr>
              <w:spacing w:before="1" w:line="360" w:lineRule="auto"/>
              <w:ind w:left="109" w:right="105" w:firstLine="414"/>
              <w:rPr>
                <w:b/>
                <w:bCs/>
                <w:color w:val="auto"/>
                <w:highlight w:val="none"/>
              </w:rPr>
            </w:pPr>
            <w:r>
              <w:rPr>
                <w:rFonts w:hint="eastAsia"/>
                <w:b/>
                <w:bCs/>
                <w:color w:val="auto"/>
                <w:highlight w:val="none"/>
              </w:rPr>
              <w:t>以上标明“必须提供”的材料属于复印件的扫描件的，必须加盖供应商电子公章，否则响应文件按无效响应处理。</w:t>
            </w:r>
          </w:p>
          <w:p>
            <w:pPr>
              <w:pStyle w:val="10"/>
              <w:rPr>
                <w:color w:val="auto"/>
                <w:highlight w:val="none"/>
              </w:rPr>
            </w:pPr>
            <w:r>
              <w:rPr>
                <w:rFonts w:hint="eastAsia"/>
                <w:b/>
                <w:bCs/>
                <w:color w:val="auto"/>
                <w:sz w:val="21"/>
                <w:highlight w:val="none"/>
              </w:rPr>
              <w:t xml:space="preserve">         3.电子响应文件中所须加盖公章部分均 采用 CA 签章。若竞争性磋商文件中有专门标注的某关联点，并要求供应商在电子竞标系统中作出竞标响应的， 如供应商未对关联点进行响应或者在响应文件其它内容进行描述，造成电子评审不能查询的责任由供应商自行承担。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trPr>
        <w:tc>
          <w:tcPr>
            <w:tcW w:w="1238" w:type="dxa"/>
            <w:vMerge w:val="continue"/>
          </w:tcPr>
          <w:p>
            <w:pPr>
              <w:spacing w:line="360" w:lineRule="auto"/>
              <w:rPr>
                <w:rFonts w:asciiTheme="minorEastAsia" w:hAnsiTheme="minorEastAsia" w:eastAsiaTheme="minorEastAsia" w:cstheme="minorEastAsia"/>
                <w:color w:val="auto"/>
                <w:highlight w:val="none"/>
              </w:rPr>
            </w:pPr>
          </w:p>
        </w:tc>
        <w:tc>
          <w:tcPr>
            <w:tcW w:w="1932"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技术文件组成</w:t>
            </w:r>
          </w:p>
        </w:tc>
        <w:tc>
          <w:tcPr>
            <w:tcW w:w="6837" w:type="dxa"/>
          </w:tcPr>
          <w:p>
            <w:pPr>
              <w:spacing w:before="4" w:line="360" w:lineRule="auto"/>
              <w:ind w:left="124" w:right="671"/>
              <w:rPr>
                <w:rFonts w:asciiTheme="minorEastAsia" w:hAnsiTheme="minorEastAsia" w:eastAsiaTheme="minorEastAsia" w:cstheme="minorEastAsia"/>
                <w:b/>
                <w:bCs/>
                <w:color w:val="auto"/>
                <w:spacing w:val="-6"/>
                <w:highlight w:val="none"/>
              </w:rPr>
            </w:pPr>
            <w:r>
              <w:rPr>
                <w:rFonts w:hint="eastAsia" w:asciiTheme="minorEastAsia" w:hAnsiTheme="minorEastAsia" w:eastAsiaTheme="minorEastAsia" w:cstheme="minorEastAsia"/>
                <w:color w:val="auto"/>
                <w:spacing w:val="-7"/>
                <w:highlight w:val="none"/>
              </w:rPr>
              <w:t>1.服务需求偏离表</w:t>
            </w:r>
            <w:r>
              <w:rPr>
                <w:rFonts w:hint="eastAsia" w:asciiTheme="minorEastAsia" w:hAnsiTheme="minorEastAsia" w:eastAsiaTheme="minorEastAsia" w:cstheme="minorEastAsia"/>
                <w:color w:val="auto"/>
                <w:spacing w:val="-2"/>
                <w:highlight w:val="none"/>
              </w:rPr>
              <w:t>；（</w:t>
            </w:r>
            <w:r>
              <w:rPr>
                <w:rFonts w:hint="eastAsia" w:asciiTheme="minorEastAsia" w:hAnsiTheme="minorEastAsia" w:eastAsiaTheme="minorEastAsia" w:cstheme="minorEastAsia"/>
                <w:color w:val="auto"/>
                <w:spacing w:val="-7"/>
                <w:highlight w:val="none"/>
              </w:rPr>
              <w:t>必须提供，否则响应文件按无效响应处理）</w:t>
            </w:r>
            <w:r>
              <w:rPr>
                <w:rFonts w:hint="eastAsia" w:asciiTheme="minorEastAsia" w:hAnsiTheme="minorEastAsia" w:eastAsiaTheme="minorEastAsia" w:cstheme="minorEastAsia"/>
                <w:color w:val="auto"/>
                <w:spacing w:val="-6"/>
                <w:highlight w:val="none"/>
              </w:rPr>
              <w:t>2.项目实施方案</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b w:val="0"/>
                <w:bCs w:val="0"/>
                <w:color w:val="auto"/>
                <w:spacing w:val="-4"/>
                <w:highlight w:val="none"/>
              </w:rPr>
              <w:t>（</w:t>
            </w:r>
            <w:r>
              <w:rPr>
                <w:rFonts w:hint="eastAsia" w:asciiTheme="minorEastAsia" w:hAnsiTheme="minorEastAsia" w:eastAsiaTheme="minorEastAsia" w:cstheme="minorEastAsia"/>
                <w:b w:val="0"/>
                <w:bCs w:val="0"/>
                <w:color w:val="auto"/>
                <w:spacing w:val="-6"/>
                <w:highlight w:val="none"/>
              </w:rPr>
              <w:t>必须提供，否则响应文件按无效响应处理）</w:t>
            </w:r>
          </w:p>
          <w:p>
            <w:pPr>
              <w:spacing w:before="4" w:line="360" w:lineRule="auto"/>
              <w:ind w:left="124" w:right="671"/>
              <w:rPr>
                <w:rFonts w:asciiTheme="minorEastAsia" w:hAnsiTheme="minorEastAsia" w:eastAsiaTheme="minorEastAsia" w:cstheme="minorEastAsia"/>
                <w:b/>
                <w:bCs/>
                <w:color w:val="auto"/>
                <w:spacing w:val="-6"/>
                <w:highlight w:val="none"/>
              </w:rPr>
            </w:pPr>
            <w:r>
              <w:rPr>
                <w:rFonts w:hint="eastAsia" w:asciiTheme="minorEastAsia" w:hAnsiTheme="minorEastAsia" w:eastAsiaTheme="minorEastAsia" w:cstheme="minorEastAsia"/>
                <w:color w:val="auto"/>
                <w:spacing w:val="-6"/>
                <w:highlight w:val="none"/>
              </w:rPr>
              <w:t>3.服务承诺</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b w:val="0"/>
                <w:bCs w:val="0"/>
                <w:color w:val="auto"/>
                <w:spacing w:val="-4"/>
                <w:highlight w:val="none"/>
              </w:rPr>
              <w:t>（</w:t>
            </w:r>
            <w:r>
              <w:rPr>
                <w:rFonts w:hint="eastAsia" w:asciiTheme="minorEastAsia" w:hAnsiTheme="minorEastAsia" w:eastAsiaTheme="minorEastAsia" w:cstheme="minorEastAsia"/>
                <w:b w:val="0"/>
                <w:bCs w:val="0"/>
                <w:color w:val="auto"/>
                <w:spacing w:val="-6"/>
                <w:highlight w:val="none"/>
              </w:rPr>
              <w:t>必须提供，否则响应文件按无效响应处理）</w:t>
            </w:r>
          </w:p>
          <w:p>
            <w:pPr>
              <w:spacing w:before="4" w:line="360" w:lineRule="auto"/>
              <w:ind w:left="124" w:right="671"/>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4.项目实施人员一览表；</w:t>
            </w:r>
          </w:p>
          <w:p>
            <w:pPr>
              <w:spacing w:before="4" w:line="360" w:lineRule="auto"/>
              <w:ind w:left="124" w:right="671"/>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5.对应采购需求的服务需求、商务条款提供的其他文件资料；</w:t>
            </w:r>
          </w:p>
          <w:p>
            <w:pPr>
              <w:spacing w:before="4" w:line="360" w:lineRule="auto"/>
              <w:ind w:left="124" w:right="67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6.供应商认为需要提供的其他有关资料。</w:t>
            </w:r>
          </w:p>
          <w:p>
            <w:pPr>
              <w:spacing w:before="104" w:line="360" w:lineRule="auto"/>
              <w:ind w:left="108" w:right="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注：1.以上标明“必须提供”的材料属于复印件的扫描件的，必须加盖</w:t>
            </w:r>
            <w:r>
              <w:rPr>
                <w:rFonts w:hint="eastAsia" w:asciiTheme="minorEastAsia" w:hAnsiTheme="minorEastAsia" w:eastAsiaTheme="minorEastAsia" w:cstheme="minorEastAsia"/>
                <w:color w:val="auto"/>
                <w:spacing w:val="-9"/>
                <w:highlight w:val="none"/>
              </w:rPr>
              <w:t>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38" w:type="dxa"/>
            <w:vMerge w:val="continue"/>
          </w:tcPr>
          <w:p>
            <w:pPr>
              <w:spacing w:line="360" w:lineRule="auto"/>
              <w:ind w:firstLine="267"/>
              <w:rPr>
                <w:rFonts w:asciiTheme="minorEastAsia" w:hAnsiTheme="minorEastAsia" w:eastAsiaTheme="minorEastAsia" w:cstheme="minorEastAsia"/>
                <w:color w:val="auto"/>
                <w:highlight w:val="none"/>
              </w:rPr>
            </w:pPr>
          </w:p>
        </w:tc>
        <w:tc>
          <w:tcPr>
            <w:tcW w:w="1932" w:type="dxa"/>
          </w:tcPr>
          <w:p>
            <w:pPr>
              <w:spacing w:before="331"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报价文件组成</w:t>
            </w:r>
          </w:p>
        </w:tc>
        <w:tc>
          <w:tcPr>
            <w:tcW w:w="6837" w:type="dxa"/>
          </w:tcPr>
          <w:p>
            <w:pPr>
              <w:numPr>
                <w:ilvl w:val="0"/>
                <w:numId w:val="3"/>
              </w:numPr>
              <w:spacing w:before="107" w:line="360" w:lineRule="auto"/>
              <w:ind w:left="111" w:right="1091" w:firstLine="13"/>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响应函；（必须提供，否则作无效响应处理）</w:t>
            </w:r>
          </w:p>
          <w:p>
            <w:pPr>
              <w:spacing w:before="107" w:line="360" w:lineRule="auto"/>
              <w:ind w:left="124" w:right="109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2.响应报价表</w:t>
            </w:r>
            <w:r>
              <w:rPr>
                <w:rFonts w:hint="eastAsia" w:asciiTheme="minorEastAsia" w:hAnsiTheme="minorEastAsia" w:eastAsiaTheme="minorEastAsia" w:cstheme="minorEastAsia"/>
                <w:color w:val="auto"/>
                <w:spacing w:val="-16"/>
                <w:highlight w:val="none"/>
              </w:rPr>
              <w:t>；（</w:t>
            </w:r>
            <w:r>
              <w:rPr>
                <w:rFonts w:hint="eastAsia" w:asciiTheme="minorEastAsia" w:hAnsiTheme="minorEastAsia" w:eastAsiaTheme="minorEastAsia" w:cstheme="minorEastAsia"/>
                <w:color w:val="auto"/>
                <w:spacing w:val="-6"/>
                <w:highlight w:val="none"/>
              </w:rPr>
              <w:t>必须提供，否则响应文件按无效响应处理）</w:t>
            </w:r>
          </w:p>
          <w:p>
            <w:pPr>
              <w:spacing w:before="55"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1238"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9" w:line="360" w:lineRule="auto"/>
              <w:ind w:firstLine="17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12.2</w:t>
            </w:r>
          </w:p>
        </w:tc>
        <w:tc>
          <w:tcPr>
            <w:tcW w:w="1932"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9"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响应文件电子版要求</w:t>
            </w:r>
          </w:p>
        </w:tc>
        <w:tc>
          <w:tcPr>
            <w:tcW w:w="6837" w:type="dxa"/>
          </w:tcPr>
          <w:p>
            <w:pPr>
              <w:numPr>
                <w:ilvl w:val="0"/>
                <w:numId w:val="4"/>
              </w:numPr>
              <w:spacing w:before="1" w:line="360" w:lineRule="auto"/>
              <w:ind w:left="92" w:right="101" w:firstLine="31"/>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2"/>
                <w:highlight w:val="none"/>
              </w:rPr>
              <w:t>响应文件电子版要求：按照本采购文件“第五章响应文件格式”编写</w:t>
            </w:r>
            <w:r>
              <w:rPr>
                <w:rFonts w:hint="eastAsia" w:asciiTheme="minorEastAsia" w:hAnsiTheme="minorEastAsia" w:eastAsiaTheme="minorEastAsia" w:cstheme="minorEastAsia"/>
                <w:color w:val="auto"/>
                <w:highlight w:val="none"/>
              </w:rPr>
              <w:t>（第五章未附格式的，由供应商自行拟定</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color w:val="auto"/>
                <w:highlight w:val="none"/>
              </w:rPr>
              <w:t>不可涂改并在规定加盖公</w:t>
            </w:r>
            <w:r>
              <w:rPr>
                <w:rFonts w:hint="eastAsia" w:asciiTheme="minorEastAsia" w:hAnsiTheme="minorEastAsia" w:eastAsiaTheme="minorEastAsia" w:cstheme="minorEastAsia"/>
                <w:color w:val="auto"/>
                <w:spacing w:val="-6"/>
                <w:highlight w:val="none"/>
              </w:rPr>
              <w:t>章处加盖电子公章，否则响应文件按无效响应处理。</w:t>
            </w:r>
          </w:p>
          <w:p>
            <w:pPr>
              <w:spacing w:before="1" w:line="360" w:lineRule="auto"/>
              <w:ind w:left="123" w:right="10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2.响应文件电子版密封方式：电子响应文件通过平台有效CA加密后在</w:t>
            </w:r>
            <w:r>
              <w:rPr>
                <w:rFonts w:hint="eastAsia" w:asciiTheme="minorEastAsia" w:hAnsiTheme="minorEastAsia" w:eastAsiaTheme="minorEastAsia" w:cstheme="minorEastAsia"/>
                <w:color w:val="auto"/>
                <w:spacing w:val="-3"/>
                <w:highlight w:val="none"/>
              </w:rPr>
              <w:t>“政采云”平台投送。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238" w:type="dxa"/>
          </w:tcPr>
          <w:p>
            <w:pPr>
              <w:spacing w:line="360" w:lineRule="auto"/>
              <w:rPr>
                <w:rFonts w:asciiTheme="minorEastAsia" w:hAnsiTheme="minorEastAsia" w:eastAsiaTheme="minorEastAsia" w:cstheme="minorEastAsia"/>
                <w:color w:val="auto"/>
                <w:highlight w:val="none"/>
              </w:rPr>
            </w:pPr>
          </w:p>
          <w:p>
            <w:pPr>
              <w:spacing w:before="69" w:line="360" w:lineRule="auto"/>
              <w:ind w:firstLine="17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15.2</w:t>
            </w:r>
          </w:p>
        </w:tc>
        <w:tc>
          <w:tcPr>
            <w:tcW w:w="1932" w:type="dxa"/>
          </w:tcPr>
          <w:p>
            <w:pPr>
              <w:spacing w:line="360" w:lineRule="auto"/>
              <w:rPr>
                <w:rFonts w:asciiTheme="minorEastAsia" w:hAnsiTheme="minorEastAsia" w:eastAsiaTheme="minorEastAsia" w:cstheme="minorEastAsia"/>
                <w:color w:val="auto"/>
                <w:highlight w:val="none"/>
              </w:rPr>
            </w:pPr>
          </w:p>
          <w:p>
            <w:pPr>
              <w:spacing w:before="69"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响应报价要求</w:t>
            </w:r>
          </w:p>
        </w:tc>
        <w:tc>
          <w:tcPr>
            <w:tcW w:w="6837" w:type="dxa"/>
          </w:tcPr>
          <w:p>
            <w:pPr>
              <w:spacing w:line="360" w:lineRule="auto"/>
              <w:ind w:left="108" w:right="100" w:firstLine="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响应报价必须包含满足本次竞标全部采购需求所应提供的服务，以及伴</w:t>
            </w:r>
            <w:r>
              <w:rPr>
                <w:rFonts w:hint="eastAsia" w:asciiTheme="minorEastAsia" w:hAnsiTheme="minorEastAsia" w:eastAsiaTheme="minorEastAsia" w:cstheme="minorEastAsia"/>
                <w:color w:val="auto"/>
                <w:spacing w:val="-10"/>
                <w:highlight w:val="none"/>
              </w:rPr>
              <w:t>随的货物和工程（如有）的价格；包含竞标服务、货物、工程的成本、运</w:t>
            </w:r>
            <w:r>
              <w:rPr>
                <w:rFonts w:hint="eastAsia" w:asciiTheme="minorEastAsia" w:hAnsiTheme="minorEastAsia" w:eastAsiaTheme="minorEastAsia" w:cstheme="minorEastAsia"/>
                <w:color w:val="auto"/>
                <w:spacing w:val="-17"/>
                <w:highlight w:val="none"/>
              </w:rPr>
              <w:t>输（含保险）、安装（如有）、调试、检验、技术服务、培训、税费等所有费</w:t>
            </w:r>
            <w:r>
              <w:rPr>
                <w:rFonts w:hint="eastAsia" w:asciiTheme="minorEastAsia" w:hAnsiTheme="minorEastAsia" w:eastAsiaTheme="minorEastAsia" w:cstheme="minorEastAsia"/>
                <w:color w:val="auto"/>
                <w:spacing w:val="-21"/>
                <w:highlight w:val="none"/>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238" w:type="dxa"/>
          </w:tcPr>
          <w:p>
            <w:pPr>
              <w:spacing w:before="43" w:line="360" w:lineRule="auto"/>
              <w:ind w:firstLine="17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16.2</w:t>
            </w:r>
          </w:p>
        </w:tc>
        <w:tc>
          <w:tcPr>
            <w:tcW w:w="1932" w:type="dxa"/>
          </w:tcPr>
          <w:p>
            <w:pPr>
              <w:spacing w:before="9" w:line="360" w:lineRule="auto"/>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竞标有效期</w:t>
            </w:r>
          </w:p>
        </w:tc>
        <w:tc>
          <w:tcPr>
            <w:tcW w:w="6837" w:type="dxa"/>
          </w:tcPr>
          <w:p>
            <w:pPr>
              <w:spacing w:line="360" w:lineRule="auto"/>
              <w:ind w:firstLine="150"/>
              <w:rPr>
                <w:rFonts w:asciiTheme="minorEastAsia" w:hAnsiTheme="minorEastAsia" w:eastAsiaTheme="minorEastAsia" w:cstheme="minorEastAsia"/>
                <w:color w:val="auto"/>
                <w:sz w:val="19"/>
                <w:szCs w:val="19"/>
                <w:highlight w:val="none"/>
              </w:rPr>
            </w:pPr>
            <w:r>
              <w:rPr>
                <w:rFonts w:hint="eastAsia" w:asciiTheme="minorEastAsia" w:hAnsiTheme="minorEastAsia" w:eastAsiaTheme="minorEastAsia" w:cstheme="minorEastAsia"/>
                <w:color w:val="auto"/>
                <w:spacing w:val="-1"/>
                <w:highlight w:val="none"/>
              </w:rPr>
              <w:t>自首次响应文件提交截止之日起60日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38" w:type="dxa"/>
            <w:tcBorders>
              <w:bottom w:val="single" w:color="auto" w:sz="4" w:space="0"/>
            </w:tcBorders>
          </w:tcPr>
          <w:p>
            <w:pPr>
              <w:spacing w:before="19" w:line="360" w:lineRule="auto"/>
              <w:ind w:firstLine="17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17.1</w:t>
            </w:r>
          </w:p>
        </w:tc>
        <w:tc>
          <w:tcPr>
            <w:tcW w:w="1932" w:type="dxa"/>
            <w:tcBorders>
              <w:bottom w:val="single" w:color="auto" w:sz="4" w:space="0"/>
            </w:tcBorders>
          </w:tcPr>
          <w:p>
            <w:pPr>
              <w:spacing w:before="1" w:line="360" w:lineRule="auto"/>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磋商保证金</w:t>
            </w:r>
          </w:p>
        </w:tc>
        <w:tc>
          <w:tcPr>
            <w:tcW w:w="6837" w:type="dxa"/>
          </w:tcPr>
          <w:p>
            <w:pPr>
              <w:spacing w:before="1" w:line="360" w:lineRule="auto"/>
              <w:ind w:firstLine="110"/>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38" w:type="dxa"/>
            <w:vMerge w:val="restart"/>
            <w:tcBorders>
              <w:top w:val="single" w:color="auto" w:sz="4" w:space="0"/>
              <w:left w:val="single" w:color="auto" w:sz="4" w:space="0"/>
              <w:bottom w:val="single" w:color="auto" w:sz="4" w:space="0"/>
            </w:tcBorders>
          </w:tcPr>
          <w:p>
            <w:pPr>
              <w:spacing w:line="360" w:lineRule="auto"/>
              <w:rPr>
                <w:rFonts w:asciiTheme="minorEastAsia" w:hAnsiTheme="minorEastAsia" w:eastAsiaTheme="minorEastAsia" w:cstheme="minorEastAsia"/>
                <w:color w:val="auto"/>
                <w:highlight w:val="none"/>
              </w:rPr>
            </w:pPr>
          </w:p>
          <w:p>
            <w:pPr>
              <w:spacing w:before="69" w:line="360" w:lineRule="auto"/>
              <w:ind w:firstLine="16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20.1</w:t>
            </w:r>
          </w:p>
        </w:tc>
        <w:tc>
          <w:tcPr>
            <w:tcW w:w="1932" w:type="dxa"/>
            <w:tcBorders>
              <w:top w:val="single" w:color="auto" w:sz="4" w:space="0"/>
              <w:bottom w:val="single" w:color="auto" w:sz="4" w:space="0"/>
              <w:right w:val="single" w:color="auto" w:sz="4" w:space="0"/>
            </w:tcBorders>
          </w:tcPr>
          <w:p>
            <w:pPr>
              <w:spacing w:before="107"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电子备份响应文件提交时间及首次响应文件提交起止时间</w:t>
            </w:r>
          </w:p>
        </w:tc>
        <w:tc>
          <w:tcPr>
            <w:tcW w:w="6837" w:type="dxa"/>
            <w:tcBorders>
              <w:left w:val="single" w:color="auto" w:sz="4" w:space="0"/>
            </w:tcBorders>
          </w:tcPr>
          <w:p>
            <w:pPr>
              <w:spacing w:before="107" w:line="360" w:lineRule="auto"/>
              <w:ind w:firstLine="10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38" w:type="dxa"/>
            <w:vMerge w:val="continue"/>
            <w:tcBorders>
              <w:top w:val="single" w:color="auto" w:sz="4" w:space="0"/>
              <w:left w:val="single" w:color="auto" w:sz="4" w:space="0"/>
            </w:tcBorders>
          </w:tcPr>
          <w:p>
            <w:pPr>
              <w:spacing w:line="360" w:lineRule="auto"/>
              <w:rPr>
                <w:rFonts w:asciiTheme="minorEastAsia" w:hAnsiTheme="minorEastAsia" w:eastAsiaTheme="minorEastAsia" w:cstheme="minorEastAsia"/>
                <w:color w:val="auto"/>
                <w:highlight w:val="none"/>
              </w:rPr>
            </w:pPr>
          </w:p>
        </w:tc>
        <w:tc>
          <w:tcPr>
            <w:tcW w:w="1932" w:type="dxa"/>
            <w:tcBorders>
              <w:top w:val="single" w:color="auto" w:sz="4" w:space="0"/>
            </w:tcBorders>
          </w:tcPr>
          <w:p>
            <w:pPr>
              <w:spacing w:before="91"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首次响应文件提交地点</w:t>
            </w:r>
          </w:p>
        </w:tc>
        <w:tc>
          <w:tcPr>
            <w:tcW w:w="6837" w:type="dxa"/>
          </w:tcPr>
          <w:p>
            <w:pPr>
              <w:spacing w:before="91" w:line="360" w:lineRule="auto"/>
              <w:ind w:firstLine="10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38" w:type="dxa"/>
            <w:vAlign w:val="center"/>
          </w:tcPr>
          <w:p>
            <w:pPr>
              <w:spacing w:before="126" w:line="360" w:lineRule="auto"/>
              <w:ind w:firstLine="16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20.6</w:t>
            </w:r>
          </w:p>
        </w:tc>
        <w:tc>
          <w:tcPr>
            <w:tcW w:w="1932" w:type="dxa"/>
            <w:vAlign w:val="center"/>
          </w:tcPr>
          <w:p>
            <w:pPr>
              <w:spacing w:before="92" w:line="360" w:lineRule="auto"/>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电子标书解密不成功的</w:t>
            </w:r>
            <w:r>
              <w:rPr>
                <w:rFonts w:hint="eastAsia" w:asciiTheme="minorEastAsia" w:hAnsiTheme="minorEastAsia" w:eastAsiaTheme="minorEastAsia" w:cstheme="minorEastAsia"/>
                <w:color w:val="auto"/>
                <w:highlight w:val="none"/>
              </w:rPr>
              <w:t>处理预案</w:t>
            </w:r>
          </w:p>
        </w:tc>
        <w:tc>
          <w:tcPr>
            <w:tcW w:w="6837" w:type="dxa"/>
          </w:tcPr>
          <w:p>
            <w:pPr>
              <w:spacing w:before="92" w:line="360" w:lineRule="auto"/>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备份响应文件：</w:t>
            </w:r>
            <w:r>
              <w:rPr>
                <w:rFonts w:asciiTheme="minorEastAsia" w:hAnsiTheme="minorEastAsia" w:eastAsiaTheme="minorEastAsia" w:cstheme="minorEastAsia"/>
                <w:color w:val="auto"/>
                <w:highlight w:val="none"/>
              </w:rPr>
              <w:t>供应商解密不成功</w:t>
            </w:r>
            <w:r>
              <w:rPr>
                <w:rFonts w:hint="eastAsia" w:asciiTheme="minorEastAsia" w:hAnsiTheme="minorEastAsia" w:eastAsiaTheme="minorEastAsia" w:cstheme="minorEastAsia"/>
                <w:color w:val="auto"/>
                <w:highlight w:val="none"/>
              </w:rPr>
              <w:t>时</w:t>
            </w:r>
            <w:r>
              <w:rPr>
                <w:rFonts w:asciiTheme="minorEastAsia" w:hAnsiTheme="minorEastAsia" w:eastAsiaTheme="minorEastAsia" w:cstheme="minorEastAsia"/>
                <w:color w:val="auto"/>
                <w:highlight w:val="none"/>
              </w:rPr>
              <w:t>，请与代理机构</w:t>
            </w:r>
            <w:r>
              <w:rPr>
                <w:rFonts w:hint="eastAsia" w:asciiTheme="minorEastAsia" w:hAnsiTheme="minorEastAsia" w:eastAsiaTheme="minorEastAsia" w:cstheme="minorEastAsia"/>
                <w:color w:val="auto"/>
                <w:highlight w:val="none"/>
              </w:rPr>
              <w:t>联系，有代理机构向</w:t>
            </w:r>
            <w:r>
              <w:rPr>
                <w:rFonts w:asciiTheme="minorEastAsia" w:hAnsiTheme="minorEastAsia" w:eastAsiaTheme="minorEastAsia" w:cstheme="minorEastAsia"/>
                <w:color w:val="auto"/>
                <w:highlight w:val="none"/>
              </w:rPr>
              <w:t>项目归属监督部门备案后</w:t>
            </w:r>
            <w:r>
              <w:rPr>
                <w:rFonts w:hint="eastAsia" w:asciiTheme="minorEastAsia" w:hAnsiTheme="minorEastAsia" w:eastAsiaTheme="minorEastAsia" w:cstheme="minorEastAsia"/>
                <w:color w:val="auto"/>
                <w:highlight w:val="none"/>
              </w:rPr>
              <w:t>可以</w:t>
            </w:r>
            <w:r>
              <w:rPr>
                <w:rFonts w:asciiTheme="minorEastAsia" w:hAnsiTheme="minorEastAsia" w:eastAsiaTheme="minorEastAsia" w:cstheme="minorEastAsia"/>
                <w:color w:val="auto"/>
                <w:highlight w:val="none"/>
              </w:rPr>
              <w:t>通过邮件或者其他方式提交电子备份文件</w:t>
            </w:r>
            <w:r>
              <w:rPr>
                <w:rFonts w:hint="eastAsia" w:asciiTheme="minorEastAsia" w:hAnsiTheme="minorEastAsia" w:eastAsiaTheme="minorEastAsia" w:cstheme="minorEastAsia"/>
                <w:color w:val="auto"/>
                <w:highlight w:val="none"/>
              </w:rPr>
              <w:t>；注：能够异常解密的前提是有投标供应商已上传了电子响应文件且未按时解密标书；系统生成电子响应文件时，生成两份，一个是投标用的电子响应文件，一个是备份电子响应文件；提供的备份电子响应文件要跟上传的电子响应文件是同一份，否则系统也不支持进行异常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38" w:type="dxa"/>
          </w:tcPr>
          <w:p>
            <w:pPr>
              <w:spacing w:before="128" w:line="360" w:lineRule="auto"/>
              <w:ind w:firstLine="26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21</w:t>
            </w:r>
          </w:p>
        </w:tc>
        <w:tc>
          <w:tcPr>
            <w:tcW w:w="1932" w:type="dxa"/>
          </w:tcPr>
          <w:p>
            <w:pPr>
              <w:spacing w:before="94"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首次响应文件的退回</w:t>
            </w:r>
          </w:p>
        </w:tc>
        <w:tc>
          <w:tcPr>
            <w:tcW w:w="6837" w:type="dxa"/>
          </w:tcPr>
          <w:p>
            <w:pPr>
              <w:spacing w:before="94" w:line="360" w:lineRule="auto"/>
              <w:ind w:firstLine="10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38" w:type="dxa"/>
            <w:vMerge w:val="restart"/>
            <w:vAlign w:val="center"/>
          </w:tcPr>
          <w:p>
            <w:pPr>
              <w:spacing w:before="28" w:line="360" w:lineRule="auto"/>
              <w:ind w:firstLine="16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26.2</w:t>
            </w:r>
          </w:p>
        </w:tc>
        <w:tc>
          <w:tcPr>
            <w:tcW w:w="1932" w:type="dxa"/>
            <w:vAlign w:val="center"/>
          </w:tcPr>
          <w:p>
            <w:pPr>
              <w:spacing w:before="152" w:line="360" w:lineRule="auto"/>
              <w:jc w:val="both"/>
              <w:rPr>
                <w:rFonts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负偏离要求</w:t>
            </w:r>
          </w:p>
        </w:tc>
        <w:tc>
          <w:tcPr>
            <w:tcW w:w="6837" w:type="dxa"/>
          </w:tcPr>
          <w:p>
            <w:pPr>
              <w:spacing w:line="360" w:lineRule="auto"/>
              <w:ind w:firstLine="112"/>
              <w:rPr>
                <w:rFonts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商务条款评审中允许负偏离的条款数为</w:t>
            </w:r>
            <w:r>
              <w:rPr>
                <w:rFonts w:hint="eastAsia" w:ascii="宋体" w:hAnsi="宋体"/>
                <w:color w:val="auto"/>
                <w:highlight w:val="none"/>
                <w:u w:val="single"/>
              </w:rPr>
              <w:t>（商务条款中未标注</w:t>
            </w:r>
            <w:r>
              <w:rPr>
                <w:rFonts w:hint="eastAsia" w:ascii="宋体" w:hAnsi="宋体" w:eastAsia="宋体" w:cs="宋体"/>
                <w:bCs/>
                <w:color w:val="auto"/>
                <w:sz w:val="22"/>
                <w:szCs w:val="22"/>
                <w:highlight w:val="none"/>
                <w:lang w:val="en-US" w:eastAsia="zh-CN"/>
              </w:rPr>
              <w:t>★</w:t>
            </w:r>
            <w:r>
              <w:rPr>
                <w:rFonts w:hint="eastAsia" w:ascii="宋体" w:hAnsi="宋体"/>
                <w:color w:val="auto"/>
                <w:highlight w:val="none"/>
                <w:u w:val="single"/>
              </w:rPr>
              <w:t>）</w:t>
            </w:r>
            <w:r>
              <w:rPr>
                <w:rFonts w:hint="eastAsia" w:asciiTheme="minorEastAsia" w:hAnsiTheme="minorEastAsia" w:eastAsiaTheme="minorEastAsia" w:cstheme="minorEastAsia"/>
                <w:color w:val="auto"/>
                <w:spacing w:val="-4"/>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1238" w:type="dxa"/>
            <w:vMerge w:val="continue"/>
            <w:vAlign w:val="center"/>
          </w:tcPr>
          <w:p>
            <w:pPr>
              <w:spacing w:line="360" w:lineRule="auto"/>
              <w:jc w:val="both"/>
              <w:rPr>
                <w:rFonts w:asciiTheme="minorEastAsia" w:hAnsiTheme="minorEastAsia" w:eastAsiaTheme="minorEastAsia" w:cstheme="minorEastAsia"/>
                <w:color w:val="auto"/>
                <w:highlight w:val="none"/>
              </w:rPr>
            </w:pPr>
          </w:p>
        </w:tc>
        <w:tc>
          <w:tcPr>
            <w:tcW w:w="1932" w:type="dxa"/>
            <w:vAlign w:val="center"/>
          </w:tcPr>
          <w:p>
            <w:pPr>
              <w:spacing w:before="12"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磋商的顺序</w:t>
            </w:r>
          </w:p>
        </w:tc>
        <w:tc>
          <w:tcPr>
            <w:tcW w:w="6837" w:type="dxa"/>
          </w:tcPr>
          <w:p>
            <w:pPr>
              <w:spacing w:before="11" w:line="360" w:lineRule="auto"/>
              <w:ind w:left="108" w:right="107" w:firstLine="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□按照提交首次响应文件的顺序，通知磋商时，若某供应商不在通知现</w:t>
            </w:r>
            <w:r>
              <w:rPr>
                <w:rFonts w:hint="eastAsia" w:asciiTheme="minorEastAsia" w:hAnsiTheme="minorEastAsia" w:eastAsiaTheme="minorEastAsia" w:cstheme="minorEastAsia"/>
                <w:color w:val="auto"/>
                <w:spacing w:val="-6"/>
                <w:highlight w:val="none"/>
              </w:rPr>
              <w:t>场时，该供应商排序到最后磋商，按照签到的顺序由其下一位供应商先参与磋商。</w:t>
            </w:r>
          </w:p>
          <w:p>
            <w:pPr>
              <w:spacing w:before="104" w:line="360" w:lineRule="auto"/>
              <w:ind w:firstLine="1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☑随机排序。</w:t>
            </w:r>
          </w:p>
          <w:p>
            <w:pPr>
              <w:spacing w:before="106" w:line="360" w:lineRule="auto"/>
              <w:ind w:left="107" w:right="134" w:firstLine="3"/>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w:t>
            </w:r>
          </w:p>
          <w:p>
            <w:pPr>
              <w:spacing w:before="2" w:line="360" w:lineRule="auto"/>
              <w:ind w:left="108" w:right="237" w:firstLine="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响应文件中授权的委托代理人时，必须同时出示有效的法定代表人授权</w:t>
            </w:r>
            <w:r>
              <w:rPr>
                <w:rFonts w:hint="eastAsia" w:asciiTheme="minorEastAsia" w:hAnsiTheme="minorEastAsia" w:eastAsiaTheme="minorEastAsia" w:cstheme="minorEastAsia"/>
                <w:color w:val="auto"/>
                <w:spacing w:val="-10"/>
                <w:highlight w:val="none"/>
              </w:rPr>
              <w:t>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38" w:type="dxa"/>
          </w:tcPr>
          <w:p>
            <w:pPr>
              <w:spacing w:before="28" w:line="360" w:lineRule="auto"/>
              <w:ind w:firstLine="26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28</w:t>
            </w:r>
          </w:p>
        </w:tc>
        <w:tc>
          <w:tcPr>
            <w:tcW w:w="1932" w:type="dxa"/>
          </w:tcPr>
          <w:p>
            <w:pPr>
              <w:spacing w:line="360" w:lineRule="auto"/>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履约保证金</w:t>
            </w:r>
          </w:p>
        </w:tc>
        <w:tc>
          <w:tcPr>
            <w:tcW w:w="6837" w:type="dxa"/>
          </w:tcPr>
          <w:p>
            <w:pPr>
              <w:spacing w:line="360" w:lineRule="auto"/>
              <w:ind w:firstLine="110"/>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38" w:type="dxa"/>
            <w:tcBorders>
              <w:bottom w:val="single" w:color="auto" w:sz="4" w:space="0"/>
            </w:tcBorders>
          </w:tcPr>
          <w:p>
            <w:pPr>
              <w:spacing w:before="29" w:line="360" w:lineRule="auto"/>
              <w:ind w:firstLine="16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w:t>
            </w:r>
          </w:p>
        </w:tc>
        <w:tc>
          <w:tcPr>
            <w:tcW w:w="1932" w:type="dxa"/>
            <w:tcBorders>
              <w:bottom w:val="single" w:color="auto" w:sz="4" w:space="0"/>
            </w:tcBorders>
          </w:tcPr>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签订合同携带的材料</w:t>
            </w:r>
          </w:p>
        </w:tc>
        <w:tc>
          <w:tcPr>
            <w:tcW w:w="6837" w:type="dxa"/>
          </w:tcPr>
          <w:p>
            <w:pPr>
              <w:spacing w:line="360" w:lineRule="auto"/>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38" w:type="dxa"/>
            <w:vMerge w:val="restart"/>
            <w:tcBorders>
              <w:top w:val="single" w:color="auto" w:sz="4" w:space="0"/>
              <w:left w:val="single" w:color="auto" w:sz="4" w:space="0"/>
              <w:bottom w:val="single" w:color="auto" w:sz="4" w:space="0"/>
            </w:tcBorders>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6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31.2</w:t>
            </w:r>
          </w:p>
        </w:tc>
        <w:tc>
          <w:tcPr>
            <w:tcW w:w="1932" w:type="dxa"/>
            <w:tcBorders>
              <w:top w:val="single" w:color="auto" w:sz="4" w:space="0"/>
              <w:bottom w:val="single" w:color="auto" w:sz="4" w:space="0"/>
              <w:right w:val="single" w:color="auto" w:sz="4" w:space="0"/>
            </w:tcBorders>
          </w:tcPr>
          <w:p>
            <w:pPr>
              <w:spacing w:before="121"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接收质疑函方式</w:t>
            </w:r>
          </w:p>
        </w:tc>
        <w:tc>
          <w:tcPr>
            <w:tcW w:w="6837" w:type="dxa"/>
            <w:tcBorders>
              <w:left w:val="single" w:color="auto" w:sz="4" w:space="0"/>
              <w:bottom w:val="single" w:color="000000" w:sz="2" w:space="0"/>
            </w:tcBorders>
          </w:tcPr>
          <w:p>
            <w:pPr>
              <w:spacing w:before="121" w:line="360" w:lineRule="auto"/>
              <w:ind w:firstLine="1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1238" w:type="dxa"/>
            <w:vMerge w:val="continue"/>
            <w:tcBorders>
              <w:top w:val="single" w:color="auto" w:sz="4" w:space="0"/>
              <w:left w:val="single" w:color="auto" w:sz="4" w:space="0"/>
              <w:bottom w:val="nil"/>
            </w:tcBorders>
          </w:tcPr>
          <w:p>
            <w:pPr>
              <w:spacing w:line="360" w:lineRule="auto"/>
              <w:rPr>
                <w:rFonts w:asciiTheme="minorEastAsia" w:hAnsiTheme="minorEastAsia" w:eastAsiaTheme="minorEastAsia" w:cstheme="minorEastAsia"/>
                <w:color w:val="auto"/>
                <w:highlight w:val="none"/>
              </w:rPr>
            </w:pPr>
          </w:p>
        </w:tc>
        <w:tc>
          <w:tcPr>
            <w:tcW w:w="1932" w:type="dxa"/>
            <w:tcBorders>
              <w:top w:val="single" w:color="auto" w:sz="4" w:space="0"/>
              <w:right w:val="single" w:color="000000" w:sz="2" w:space="0"/>
            </w:tcBorders>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质疑联系部门及联系方式</w:t>
            </w:r>
          </w:p>
        </w:tc>
        <w:tc>
          <w:tcPr>
            <w:tcW w:w="6837" w:type="dxa"/>
          </w:tcPr>
          <w:p>
            <w:pPr>
              <w:spacing w:line="360" w:lineRule="auto"/>
              <w:rPr>
                <w:rFonts w:ascii="宋体" w:hAnsi="宋体"/>
                <w:color w:val="auto"/>
                <w:highlight w:val="none"/>
              </w:rPr>
            </w:pPr>
            <w:r>
              <w:rPr>
                <w:rFonts w:hint="eastAsia" w:ascii="宋体" w:hAnsi="宋体"/>
                <w:color w:val="auto"/>
                <w:highlight w:val="none"/>
                <w:u w:val="single"/>
              </w:rPr>
              <w:t>（1）广西振弘建设管理有限公司</w:t>
            </w:r>
            <w:r>
              <w:rPr>
                <w:rFonts w:hint="eastAsia" w:ascii="宋体" w:hAnsi="宋体"/>
                <w:color w:val="auto"/>
                <w:highlight w:val="none"/>
              </w:rPr>
              <w:t>；</w:t>
            </w:r>
          </w:p>
          <w:p>
            <w:pPr>
              <w:spacing w:line="360" w:lineRule="auto"/>
              <w:rPr>
                <w:rFonts w:ascii="宋体" w:hAnsi="宋体"/>
                <w:color w:val="auto"/>
                <w:highlight w:val="none"/>
              </w:rPr>
            </w:pPr>
            <w:r>
              <w:rPr>
                <w:rFonts w:ascii="宋体" w:hAnsi="宋体"/>
                <w:color w:val="auto"/>
                <w:highlight w:val="none"/>
              </w:rPr>
              <w:t>联系电话</w:t>
            </w:r>
            <w:r>
              <w:rPr>
                <w:rFonts w:hint="eastAsia" w:ascii="宋体" w:hAnsi="宋体"/>
                <w:color w:val="auto"/>
                <w:highlight w:val="none"/>
              </w:rPr>
              <w:t>：0778-2302888，</w:t>
            </w:r>
          </w:p>
          <w:p>
            <w:pPr>
              <w:spacing w:line="360" w:lineRule="auto"/>
              <w:rPr>
                <w:rFonts w:ascii="宋体" w:hAnsi="宋体"/>
                <w:color w:val="auto"/>
                <w:highlight w:val="none"/>
              </w:rPr>
            </w:pPr>
            <w:r>
              <w:rPr>
                <w:rFonts w:ascii="宋体" w:hAnsi="宋体"/>
                <w:color w:val="auto"/>
                <w:highlight w:val="none"/>
              </w:rPr>
              <w:t>通</w:t>
            </w:r>
            <w:r>
              <w:rPr>
                <w:rFonts w:hint="eastAsia" w:ascii="宋体" w:hAnsi="宋体"/>
                <w:color w:val="auto"/>
                <w:highlight w:val="none"/>
              </w:rPr>
              <w:t>讯地址：河池市金城江区城西大道西城铭苑一栋一单元4楼</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eastAsia="宋体"/>
                <w:color w:val="auto"/>
                <w:highlight w:val="none"/>
                <w:lang w:eastAsia="zh-CN"/>
              </w:rPr>
              <w:t>罗城仫佬族自治县糖业发展中心</w:t>
            </w:r>
            <w:r>
              <w:rPr>
                <w:rFonts w:hint="eastAsia" w:ascii="宋体" w:hAnsi="宋体"/>
                <w:color w:val="auto"/>
                <w:highlight w:val="none"/>
              </w:rPr>
              <w:t>；</w:t>
            </w:r>
          </w:p>
          <w:p>
            <w:pPr>
              <w:spacing w:after="33"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eastAsia="宋体" w:cs="宋体"/>
                <w:color w:val="auto"/>
                <w:highlight w:val="none"/>
                <w:lang w:val="en-US" w:eastAsia="zh-CN"/>
              </w:rPr>
              <w:t xml:space="preserve"> 吴薇   联系电话：0778-8212249</w:t>
            </w:r>
          </w:p>
          <w:p>
            <w:pPr>
              <w:spacing w:line="360" w:lineRule="auto"/>
              <w:rPr>
                <w:rFonts w:hint="eastAsia" w:eastAsia="宋体" w:asciiTheme="minorEastAsia" w:hAnsiTheme="minorEastAsia" w:cstheme="minorEastAsia"/>
                <w:color w:val="auto"/>
                <w:highlight w:val="none"/>
                <w:lang w:eastAsia="zh-CN"/>
              </w:rPr>
            </w:pPr>
            <w:r>
              <w:rPr>
                <w:rFonts w:hint="eastAsia" w:ascii="宋体" w:hAnsi="宋体"/>
                <w:color w:val="auto"/>
                <w:highlight w:val="none"/>
              </w:rPr>
              <w:t>通讯地址：</w:t>
            </w:r>
            <w:r>
              <w:rPr>
                <w:rFonts w:hint="eastAsia" w:ascii="宋体" w:hAnsi="宋体" w:eastAsia="宋体"/>
                <w:color w:val="auto"/>
                <w:highlight w:val="none"/>
                <w:lang w:eastAsia="zh-CN"/>
              </w:rPr>
              <w:t>罗城仫佬族自治县朝阳路169号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238" w:type="dxa"/>
            <w:vMerge w:val="continue"/>
            <w:tcBorders>
              <w:top w:val="nil"/>
              <w:left w:val="single" w:color="auto" w:sz="4" w:space="0"/>
            </w:tcBorders>
          </w:tcPr>
          <w:p>
            <w:pPr>
              <w:spacing w:line="360" w:lineRule="auto"/>
              <w:rPr>
                <w:rFonts w:asciiTheme="minorEastAsia" w:hAnsiTheme="minorEastAsia" w:eastAsiaTheme="minorEastAsia" w:cstheme="minorEastAsia"/>
                <w:color w:val="auto"/>
                <w:highlight w:val="none"/>
              </w:rPr>
            </w:pPr>
          </w:p>
        </w:tc>
        <w:tc>
          <w:tcPr>
            <w:tcW w:w="1932" w:type="dxa"/>
          </w:tcPr>
          <w:p>
            <w:pPr>
              <w:spacing w:before="156" w:line="360" w:lineRule="auto"/>
              <w:ind w:firstLine="1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现场提交质疑办理业务时间</w:t>
            </w:r>
          </w:p>
        </w:tc>
        <w:tc>
          <w:tcPr>
            <w:tcW w:w="6837" w:type="dxa"/>
            <w:tcBorders>
              <w:top w:val="single" w:color="000000" w:sz="2" w:space="0"/>
            </w:tcBorders>
          </w:tcPr>
          <w:p>
            <w:pPr>
              <w:spacing w:before="156" w:line="360" w:lineRule="auto"/>
              <w:ind w:firstLine="108"/>
              <w:rPr>
                <w:rFonts w:asciiTheme="minorEastAsia" w:hAnsiTheme="minorEastAsia" w:eastAsiaTheme="minorEastAsia" w:cstheme="minorEastAsia"/>
                <w:color w:val="auto"/>
                <w:highlight w:val="none"/>
              </w:rPr>
            </w:pPr>
            <w:r>
              <w:rPr>
                <w:rFonts w:hint="eastAsia" w:hAnsi="宋体"/>
                <w:color w:val="auto"/>
                <w:highlight w:val="none"/>
              </w:rPr>
              <w:t>质疑期内每个工作日</w:t>
            </w:r>
            <w:r>
              <w:rPr>
                <w:rFonts w:hAnsi="宋体"/>
                <w:color w:val="auto"/>
                <w:highlight w:val="none"/>
                <w:u w:val="single"/>
              </w:rPr>
              <w:t>8</w:t>
            </w:r>
            <w:r>
              <w:rPr>
                <w:rFonts w:hint="eastAsia" w:hAnsi="宋体"/>
                <w:color w:val="auto"/>
                <w:highlight w:val="none"/>
              </w:rPr>
              <w:t>时</w:t>
            </w:r>
            <w:r>
              <w:rPr>
                <w:rFonts w:hAnsi="宋体"/>
                <w:color w:val="auto"/>
                <w:highlight w:val="none"/>
                <w:u w:val="single"/>
              </w:rPr>
              <w:t>.</w:t>
            </w:r>
            <w:r>
              <w:rPr>
                <w:rFonts w:hint="eastAsia" w:hAnsi="宋体"/>
                <w:color w:val="auto"/>
                <w:highlight w:val="none"/>
                <w:u w:val="single"/>
              </w:rPr>
              <w:t>30</w:t>
            </w:r>
            <w:r>
              <w:rPr>
                <w:rFonts w:hAnsi="宋体"/>
                <w:color w:val="auto"/>
                <w:highlight w:val="none"/>
                <w:u w:val="single"/>
              </w:rPr>
              <w:t>.</w:t>
            </w:r>
            <w:r>
              <w:rPr>
                <w:rFonts w:hint="eastAsia" w:hAnsi="宋体"/>
                <w:color w:val="auto"/>
                <w:highlight w:val="none"/>
              </w:rPr>
              <w:t>分到</w:t>
            </w:r>
            <w:r>
              <w:rPr>
                <w:rFonts w:hAnsi="宋体"/>
                <w:color w:val="auto"/>
                <w:highlight w:val="none"/>
                <w:u w:val="single"/>
              </w:rPr>
              <w:t>12</w:t>
            </w:r>
            <w:r>
              <w:rPr>
                <w:rFonts w:hint="eastAsia" w:hAnsi="宋体"/>
                <w:color w:val="auto"/>
                <w:highlight w:val="none"/>
              </w:rPr>
              <w:t>时</w:t>
            </w:r>
            <w:r>
              <w:rPr>
                <w:rFonts w:hAnsi="宋体"/>
                <w:color w:val="auto"/>
                <w:highlight w:val="none"/>
                <w:u w:val="single"/>
              </w:rPr>
              <w:t>00</w:t>
            </w:r>
            <w:r>
              <w:rPr>
                <w:rFonts w:hint="eastAsia" w:hAnsi="宋体"/>
                <w:color w:val="auto"/>
                <w:highlight w:val="none"/>
              </w:rPr>
              <w:t>分，</w:t>
            </w:r>
            <w:r>
              <w:rPr>
                <w:rFonts w:hAnsi="宋体"/>
                <w:color w:val="auto"/>
                <w:highlight w:val="none"/>
                <w:u w:val="single"/>
              </w:rPr>
              <w:t>15</w:t>
            </w:r>
            <w:r>
              <w:rPr>
                <w:rFonts w:hint="eastAsia" w:hAnsi="宋体"/>
                <w:color w:val="auto"/>
                <w:highlight w:val="none"/>
              </w:rPr>
              <w:t>时</w:t>
            </w:r>
            <w:r>
              <w:rPr>
                <w:rFonts w:hAnsi="宋体"/>
                <w:color w:val="auto"/>
                <w:highlight w:val="none"/>
                <w:u w:val="single"/>
              </w:rPr>
              <w:t>00</w:t>
            </w:r>
            <w:r>
              <w:rPr>
                <w:rFonts w:hint="eastAsia" w:hAnsi="宋体"/>
                <w:color w:val="auto"/>
                <w:highlight w:val="none"/>
              </w:rPr>
              <w:t>分到</w:t>
            </w:r>
            <w:r>
              <w:rPr>
                <w:rFonts w:hAnsi="宋体"/>
                <w:color w:val="auto"/>
                <w:highlight w:val="none"/>
                <w:u w:val="single"/>
              </w:rPr>
              <w:t>18</w:t>
            </w:r>
            <w:r>
              <w:rPr>
                <w:rFonts w:hint="eastAsia" w:hAnsi="宋体"/>
                <w:color w:val="auto"/>
                <w:highlight w:val="none"/>
              </w:rPr>
              <w:t>时</w:t>
            </w:r>
            <w:r>
              <w:rPr>
                <w:rFonts w:hAnsi="宋体"/>
                <w:color w:val="auto"/>
                <w:highlight w:val="none"/>
                <w:u w:val="single"/>
              </w:rPr>
              <w:t>00</w:t>
            </w:r>
            <w:r>
              <w:rPr>
                <w:rFonts w:hint="eastAsia" w:hAnsi="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1238"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6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31.6</w:t>
            </w:r>
          </w:p>
        </w:tc>
        <w:tc>
          <w:tcPr>
            <w:tcW w:w="1932"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受理投诉方式</w:t>
            </w:r>
          </w:p>
        </w:tc>
        <w:tc>
          <w:tcPr>
            <w:tcW w:w="6837" w:type="dxa"/>
            <w:tcBorders>
              <w:bottom w:val="single" w:color="000000" w:sz="2" w:space="0"/>
            </w:tcBorders>
          </w:tcPr>
          <w:p>
            <w:pPr>
              <w:spacing w:line="360" w:lineRule="auto"/>
              <w:rPr>
                <w:color w:val="auto"/>
                <w:highlight w:val="none"/>
              </w:rPr>
            </w:pPr>
            <w:r>
              <w:rPr>
                <w:rFonts w:hint="eastAsia"/>
                <w:color w:val="auto"/>
                <w:highlight w:val="none"/>
              </w:rPr>
              <w:t>1、受理方式：纸质方式受理，投诉书正、副本（经过质疑的事项才可投诉）。</w:t>
            </w:r>
          </w:p>
          <w:p>
            <w:pPr>
              <w:spacing w:line="360" w:lineRule="auto"/>
              <w:rPr>
                <w:rFonts w:hint="eastAsia" w:eastAsia="宋体"/>
                <w:color w:val="auto"/>
                <w:highlight w:val="none"/>
                <w:lang w:eastAsia="zh-CN"/>
              </w:rPr>
            </w:pPr>
            <w:r>
              <w:rPr>
                <w:rFonts w:hint="eastAsia"/>
                <w:color w:val="auto"/>
                <w:highlight w:val="none"/>
              </w:rPr>
              <w:t>名称：</w:t>
            </w:r>
            <w:r>
              <w:rPr>
                <w:rFonts w:hint="eastAsia" w:eastAsia="宋体"/>
                <w:color w:val="auto"/>
                <w:highlight w:val="none"/>
                <w:lang w:eastAsia="zh-CN"/>
              </w:rPr>
              <w:t>罗城仫佬族自治县财政局政府采购监督管理股</w:t>
            </w:r>
          </w:p>
          <w:p>
            <w:pPr>
              <w:spacing w:before="111" w:line="360" w:lineRule="auto"/>
              <w:rPr>
                <w:rFonts w:hint="eastAsia" w:eastAsia="宋体"/>
                <w:color w:val="auto"/>
                <w:highlight w:val="none"/>
                <w:lang w:eastAsia="zh-CN"/>
              </w:rPr>
            </w:pPr>
            <w:r>
              <w:rPr>
                <w:rFonts w:hint="eastAsia"/>
                <w:color w:val="auto"/>
                <w:highlight w:val="none"/>
              </w:rPr>
              <w:t>联系电话：</w:t>
            </w:r>
            <w:r>
              <w:rPr>
                <w:rFonts w:hint="eastAsia" w:eastAsia="宋体"/>
                <w:color w:val="auto"/>
                <w:highlight w:val="none"/>
                <w:lang w:eastAsia="zh-CN"/>
              </w:rPr>
              <w:t>0778-8221879</w:t>
            </w:r>
          </w:p>
          <w:p>
            <w:pPr>
              <w:pStyle w:val="32"/>
              <w:spacing w:line="360" w:lineRule="auto"/>
              <w:rPr>
                <w:color w:val="auto"/>
                <w:highlight w:val="none"/>
              </w:rPr>
            </w:pPr>
            <w:r>
              <w:rPr>
                <w:rFonts w:hint="eastAsia"/>
                <w:color w:val="auto"/>
                <w:sz w:val="21"/>
                <w:szCs w:val="21"/>
                <w:highlight w:val="none"/>
              </w:rPr>
              <w:t>地址：</w:t>
            </w:r>
            <w:r>
              <w:rPr>
                <w:rFonts w:hint="eastAsia"/>
                <w:color w:val="auto"/>
                <w:sz w:val="21"/>
                <w:szCs w:val="21"/>
                <w:highlight w:val="none"/>
                <w:lang w:eastAsia="zh-CN"/>
              </w:rPr>
              <w:t>罗城仫佬族自治县</w:t>
            </w:r>
            <w:r>
              <w:rPr>
                <w:rFonts w:hint="eastAsia"/>
                <w:color w:val="auto"/>
                <w:sz w:val="21"/>
                <w:szCs w:val="21"/>
                <w:highlight w:val="none"/>
                <w:lang w:val="en-US" w:eastAsia="zh-CN"/>
              </w:rPr>
              <w:t>长春路27号</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38" w:type="dxa"/>
            <w:vAlign w:val="center"/>
          </w:tcPr>
          <w:p>
            <w:pPr>
              <w:spacing w:line="360" w:lineRule="auto"/>
              <w:jc w:val="cente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highlight w:val="none"/>
              </w:rPr>
            </w:pPr>
          </w:p>
          <w:p>
            <w:pPr>
              <w:spacing w:before="68" w:line="360" w:lineRule="auto"/>
              <w:ind w:firstLine="26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33</w:t>
            </w:r>
          </w:p>
        </w:tc>
        <w:tc>
          <w:tcPr>
            <w:tcW w:w="1932" w:type="dxa"/>
            <w:tcBorders>
              <w:right w:val="single" w:color="000000" w:sz="2" w:space="0"/>
            </w:tcBorders>
            <w:vAlign w:val="center"/>
          </w:tcPr>
          <w:p>
            <w:pPr>
              <w:spacing w:line="360" w:lineRule="auto"/>
              <w:jc w:val="cente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highlight w:val="none"/>
              </w:rPr>
            </w:pPr>
          </w:p>
          <w:p>
            <w:pPr>
              <w:spacing w:before="68"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采购代理费</w:t>
            </w:r>
          </w:p>
        </w:tc>
        <w:tc>
          <w:tcPr>
            <w:tcW w:w="6837" w:type="dxa"/>
          </w:tcPr>
          <w:p>
            <w:pPr>
              <w:spacing w:before="105" w:line="360" w:lineRule="auto"/>
              <w:ind w:firstLine="108"/>
              <w:rPr>
                <w:rFonts w:asciiTheme="minorEastAsia" w:hAnsiTheme="minorEastAsia" w:eastAsiaTheme="minorEastAsia" w:cstheme="minorEastAsia"/>
                <w:color w:val="auto"/>
                <w:highlight w:val="none"/>
              </w:rPr>
            </w:pPr>
            <w:r>
              <w:rPr>
                <w:rFonts w:hint="eastAsia" w:ascii="宋体" w:hAnsi="宋体" w:eastAsia="宋体" w:cs="Courier New"/>
                <w:color w:val="auto"/>
                <w:highlight w:val="none"/>
              </w:rPr>
              <w:t>1.</w:t>
            </w:r>
            <w:r>
              <w:rPr>
                <w:rFonts w:ascii="宋体" w:hAnsi="宋体" w:cs="Courier New"/>
                <w:color w:val="auto"/>
                <w:highlight w:val="none"/>
              </w:rPr>
              <w:t>本项目代理服务费：本项目采购代理服务费按</w:t>
            </w:r>
            <w:r>
              <w:rPr>
                <w:rFonts w:hint="eastAsia" w:ascii="宋体" w:hAnsi="宋体" w:cs="Courier New"/>
                <w:color w:val="auto"/>
                <w:highlight w:val="none"/>
              </w:rPr>
              <w:t>代理服务费按国家发展计划委员会文件计价格（2002）1980号“国家计委关于印发《招标代理服务收费管理暂行办法》的通知规定的采购类型收费</w:t>
            </w:r>
            <w:r>
              <w:rPr>
                <w:rFonts w:ascii="宋体" w:hAnsi="宋体" w:cs="Courier New"/>
                <w:color w:val="auto"/>
                <w:highlight w:val="none"/>
              </w:rPr>
              <w:t>标准执行</w:t>
            </w:r>
            <w:r>
              <w:rPr>
                <w:rFonts w:hint="eastAsia" w:ascii="宋体" w:hAnsi="宋体" w:eastAsia="宋体" w:cs="Courier New"/>
                <w:color w:val="auto"/>
                <w:highlight w:val="none"/>
                <w:lang w:eastAsia="zh-CN"/>
              </w:rPr>
              <w:t>（上述费用不包含评标委员会评审费用）</w:t>
            </w:r>
            <w:r>
              <w:rPr>
                <w:rFonts w:ascii="宋体" w:hAnsi="宋体" w:cs="Courier New"/>
                <w:color w:val="auto"/>
                <w:highlight w:val="none"/>
              </w:rPr>
              <w:t>。由中</w:t>
            </w:r>
            <w:r>
              <w:rPr>
                <w:rFonts w:hint="eastAsia" w:ascii="宋体" w:hAnsi="宋体" w:cs="Courier New"/>
                <w:color w:val="auto"/>
                <w:highlight w:val="none"/>
              </w:rPr>
              <w:t>标人</w:t>
            </w:r>
            <w:r>
              <w:rPr>
                <w:rFonts w:ascii="宋体" w:hAnsi="宋体" w:cs="Courier New"/>
                <w:color w:val="auto"/>
                <w:highlight w:val="none"/>
              </w:rPr>
              <w:t>在领取中标通知书前向</w:t>
            </w:r>
            <w:r>
              <w:rPr>
                <w:rFonts w:hint="eastAsia" w:ascii="宋体" w:hAnsi="宋体" w:cs="Courier New"/>
                <w:color w:val="auto"/>
                <w:highlight w:val="none"/>
              </w:rPr>
              <w:t>采购代理机构一次性支付</w:t>
            </w:r>
            <w:r>
              <w:rPr>
                <w:rFonts w:hint="eastAsia" w:ascii="宋体" w:hAnsi="宋体" w:eastAsia="宋体" w:cs="Courier New"/>
                <w:color w:val="auto"/>
                <w:highlight w:val="none"/>
                <w:lang w:val="en-US" w:eastAsia="zh-CN"/>
              </w:rPr>
              <w:t>相关费用</w:t>
            </w:r>
            <w:r>
              <w:rPr>
                <w:rFonts w:hint="eastAsia" w:ascii="宋体" w:hAnsi="宋体" w:cs="Courier New"/>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1238" w:type="dxa"/>
            <w:vAlign w:val="center"/>
          </w:tcPr>
          <w:p>
            <w:pPr>
              <w:spacing w:before="45" w:line="360" w:lineRule="auto"/>
              <w:ind w:firstLine="16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34.1</w:t>
            </w:r>
          </w:p>
        </w:tc>
        <w:tc>
          <w:tcPr>
            <w:tcW w:w="1932" w:type="dxa"/>
            <w:vAlign w:val="center"/>
          </w:tcPr>
          <w:p>
            <w:pPr>
              <w:spacing w:before="11" w:line="360" w:lineRule="auto"/>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解释</w:t>
            </w:r>
          </w:p>
        </w:tc>
        <w:tc>
          <w:tcPr>
            <w:tcW w:w="6837" w:type="dxa"/>
            <w:tcBorders>
              <w:top w:val="single" w:color="000000" w:sz="2" w:space="0"/>
            </w:tcBorders>
          </w:tcPr>
          <w:p>
            <w:pPr>
              <w:spacing w:before="6" w:line="360" w:lineRule="auto"/>
              <w:ind w:left="108" w:right="5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解释权：构成本磋商文件的各个组成文件应互为解释，互为说明；除磋商文件中有特别规定外，仅适用于竞标阶段的规定，按更正公告（澄清</w:t>
            </w:r>
            <w:r>
              <w:rPr>
                <w:rFonts w:hint="eastAsia" w:asciiTheme="minorEastAsia" w:hAnsiTheme="minorEastAsia" w:eastAsiaTheme="minorEastAsia" w:cstheme="minorEastAsia"/>
                <w:color w:val="auto"/>
                <w:spacing w:val="-15"/>
                <w:highlight w:val="none"/>
              </w:rPr>
              <w:t>公告）、竞争性磋商公告、供应商须知、采购需求、评审程序、评审方法和</w:t>
            </w:r>
            <w:r>
              <w:rPr>
                <w:rFonts w:hint="eastAsia" w:asciiTheme="minorEastAsia" w:hAnsiTheme="minorEastAsia" w:eastAsiaTheme="minorEastAsia" w:cstheme="minorEastAsia"/>
                <w:color w:val="auto"/>
                <w:spacing w:val="-3"/>
                <w:highlight w:val="none"/>
              </w:rPr>
              <w:t>评审标准、响应文件格式、合同文本的先后顺序解释；同一组成文件中就</w:t>
            </w:r>
            <w:r>
              <w:rPr>
                <w:rFonts w:hint="eastAsia" w:asciiTheme="minorEastAsia" w:hAnsiTheme="minorEastAsia" w:eastAsiaTheme="minorEastAsia" w:cstheme="minorEastAsia"/>
                <w:color w:val="auto"/>
                <w:spacing w:val="-8"/>
                <w:highlight w:val="none"/>
              </w:rPr>
              <w:t>同一事项的规定或者约定不一致的，以编排顺序在后者为准；同一组成</w:t>
            </w:r>
            <w:r>
              <w:rPr>
                <w:rFonts w:hint="eastAsia" w:asciiTheme="minorEastAsia" w:hAnsiTheme="minorEastAsia" w:eastAsiaTheme="minorEastAsia" w:cstheme="minorEastAsia"/>
                <w:color w:val="auto"/>
                <w:spacing w:val="-7"/>
                <w:highlight w:val="none"/>
              </w:rPr>
              <w:t>文件不同版本之间有不一致的，以形成时间在后者为准；更正公告（澄</w:t>
            </w:r>
            <w:r>
              <w:rPr>
                <w:rFonts w:hint="eastAsia" w:asciiTheme="minorEastAsia" w:hAnsiTheme="minorEastAsia" w:eastAsiaTheme="minorEastAsia" w:cstheme="minorEastAsia"/>
                <w:color w:val="auto"/>
                <w:spacing w:val="-10"/>
                <w:highlight w:val="none"/>
              </w:rPr>
              <w:t>清公告）与同步更新的磋商文件不一致时以更正公告（澄清公告）为准。</w:t>
            </w:r>
            <w:r>
              <w:rPr>
                <w:rFonts w:hint="eastAsia" w:asciiTheme="minorEastAsia" w:hAnsiTheme="minorEastAsia" w:eastAsiaTheme="minorEastAsia" w:cstheme="minorEastAsia"/>
                <w:color w:val="auto"/>
                <w:spacing w:val="-3"/>
                <w:highlight w:val="none"/>
              </w:rPr>
              <w:t>按本款前述规定仍不能形成结论的，由采购人或者采购代理机构负责解</w:t>
            </w:r>
            <w:r>
              <w:rPr>
                <w:rFonts w:hint="eastAsia" w:asciiTheme="minorEastAsia" w:hAnsiTheme="minorEastAsia" w:eastAsiaTheme="minorEastAsia" w:cstheme="minorEastAsia"/>
                <w:color w:val="auto"/>
                <w:spacing w:val="-4"/>
                <w:highlight w:val="none"/>
              </w:rPr>
              <w:t>释。</w:t>
            </w:r>
          </w:p>
          <w:p>
            <w:pPr>
              <w:spacing w:before="104" w:line="360" w:lineRule="auto"/>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4"/>
                <w:highlight w:val="none"/>
              </w:rPr>
              <w:t>法律责任：本采购文件根据《中华人民共和国政府采购法》、《中华人民共</w:t>
            </w:r>
            <w:r>
              <w:rPr>
                <w:rFonts w:hint="eastAsia" w:asciiTheme="minorEastAsia" w:hAnsiTheme="minorEastAsia" w:eastAsiaTheme="minorEastAsia" w:cstheme="minorEastAsia"/>
                <w:color w:val="auto"/>
                <w:spacing w:val="-15"/>
                <w:highlight w:val="none"/>
              </w:rPr>
              <w:t>和国民法典》；《中华人民共和国政府采购法实施条例》、《政府采购竞争</w:t>
            </w:r>
            <w:r>
              <w:rPr>
                <w:rFonts w:hint="eastAsia" w:asciiTheme="minorEastAsia" w:hAnsiTheme="minorEastAsia" w:eastAsiaTheme="minorEastAsia" w:cstheme="minorEastAsia"/>
                <w:color w:val="auto"/>
                <w:spacing w:val="-3"/>
                <w:highlight w:val="none"/>
              </w:rPr>
              <w:t>性磋商采购方式管理暂行办法》等有关法律、法规编制，参与本项目的各</w:t>
            </w:r>
            <w:r>
              <w:rPr>
                <w:rFonts w:hint="eastAsia" w:asciiTheme="minorEastAsia" w:hAnsiTheme="minorEastAsia" w:eastAsiaTheme="minorEastAsia" w:cstheme="minorEastAsia"/>
                <w:color w:val="auto"/>
                <w:spacing w:val="-2"/>
                <w:highlight w:val="none"/>
              </w:rPr>
              <w:t>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238"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6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34.2</w:t>
            </w:r>
          </w:p>
        </w:tc>
        <w:tc>
          <w:tcPr>
            <w:tcW w:w="1932"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其他</w:t>
            </w:r>
          </w:p>
        </w:tc>
        <w:tc>
          <w:tcPr>
            <w:tcW w:w="6837" w:type="dxa"/>
          </w:tcPr>
          <w:p>
            <w:pPr>
              <w:spacing w:line="360" w:lineRule="auto"/>
              <w:ind w:left="110" w:right="100" w:firstLine="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1.本磋商文件中描述供应商的“公章”是指根据我国对公章的管理规</w:t>
            </w:r>
            <w:r>
              <w:rPr>
                <w:rFonts w:hint="eastAsia" w:asciiTheme="minorEastAsia" w:hAnsiTheme="minorEastAsia" w:eastAsiaTheme="minorEastAsia" w:cstheme="minorEastAsia"/>
                <w:color w:val="auto"/>
                <w:spacing w:val="-2"/>
                <w:highlight w:val="none"/>
              </w:rPr>
              <w:t>定，用供应商法定主体行为名称制作的印章，除本磋商文件有特殊规定外，供应商的财务章、部门章、分公司章、工会章、合同章、竞标/投标专用章、业务专用章及银行的转账章、现金收讫章、现金付讫章等其他形式印章均不能代</w:t>
            </w:r>
            <w:r>
              <w:rPr>
                <w:rFonts w:hint="eastAsia" w:asciiTheme="minorEastAsia" w:hAnsiTheme="minorEastAsia" w:eastAsiaTheme="minorEastAsia" w:cstheme="minorEastAsia"/>
                <w:color w:val="auto"/>
                <w:spacing w:val="-4"/>
                <w:highlight w:val="none"/>
              </w:rPr>
              <w:t>替公章。</w:t>
            </w:r>
          </w:p>
          <w:p>
            <w:pPr>
              <w:spacing w:before="100" w:line="360" w:lineRule="auto"/>
              <w:ind w:left="108" w:right="100" w:firstLine="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2.供应商为其他组织或者自然人时，本磋商文件规定的法定代表人指负</w:t>
            </w:r>
            <w:r>
              <w:rPr>
                <w:rFonts w:hint="eastAsia" w:asciiTheme="minorEastAsia" w:hAnsiTheme="minorEastAsia" w:eastAsiaTheme="minorEastAsia" w:cstheme="minorEastAsia"/>
                <w:color w:val="auto"/>
                <w:spacing w:val="-3"/>
                <w:highlight w:val="none"/>
              </w:rPr>
              <w:t>责人或者自然人。本磋商文件所称负责人是指参加竞标的其他组织营业执</w:t>
            </w:r>
            <w:r>
              <w:rPr>
                <w:rFonts w:hint="eastAsia" w:asciiTheme="minorEastAsia" w:hAnsiTheme="minorEastAsia" w:eastAsiaTheme="minorEastAsia" w:cstheme="minorEastAsia"/>
                <w:color w:val="auto"/>
                <w:spacing w:val="-2"/>
                <w:highlight w:val="none"/>
              </w:rPr>
              <w:t>照上的负责人，本磋商文件所称自然人指参与竞标的自然人本人。</w:t>
            </w:r>
            <w:r>
              <w:rPr>
                <w:rFonts w:hint="eastAsia" w:asciiTheme="minorEastAsia" w:hAnsiTheme="minorEastAsia" w:eastAsiaTheme="minorEastAsia" w:cstheme="minorEastAsia"/>
                <w:color w:val="auto"/>
                <w:spacing w:val="3"/>
                <w:highlight w:val="none"/>
              </w:rPr>
              <w:t>3.本磋商文件中描述供应商的“签字”是指供应商的法定代表人或者委</w:t>
            </w:r>
            <w:r>
              <w:rPr>
                <w:rFonts w:hint="eastAsia" w:asciiTheme="minorEastAsia" w:hAnsiTheme="minorEastAsia" w:eastAsiaTheme="minorEastAsia" w:cstheme="minorEastAsia"/>
                <w:color w:val="auto"/>
                <w:spacing w:val="-3"/>
                <w:highlight w:val="none"/>
              </w:rPr>
              <w:t>托代理人亲自在文件规定签署处亲笔写上个人的名字的行为，私章、签字</w:t>
            </w:r>
            <w:r>
              <w:rPr>
                <w:rFonts w:hint="eastAsia" w:asciiTheme="minorEastAsia" w:hAnsiTheme="minorEastAsia" w:eastAsiaTheme="minorEastAsia" w:cstheme="minorEastAsia"/>
                <w:color w:val="auto"/>
                <w:spacing w:val="-2"/>
                <w:highlight w:val="none"/>
              </w:rPr>
              <w:t>章、印鉴、影印等其他形式均不能代替亲笔签字。</w:t>
            </w:r>
            <w:r>
              <w:rPr>
                <w:rFonts w:hint="eastAsia" w:asciiTheme="minorEastAsia" w:hAnsiTheme="minorEastAsia" w:eastAsiaTheme="minorEastAsia" w:cstheme="minorEastAsia"/>
                <w:color w:val="auto"/>
                <w:spacing w:val="-4"/>
                <w:highlight w:val="none"/>
              </w:rPr>
              <w:t>4.自然人竞标的，磋商文件规定盖公章处由自然人摁手指指印。</w:t>
            </w:r>
            <w:r>
              <w:rPr>
                <w:rFonts w:hint="eastAsia" w:asciiTheme="minorEastAsia" w:hAnsiTheme="minorEastAsia" w:eastAsiaTheme="minorEastAsia" w:cstheme="minorEastAsia"/>
                <w:color w:val="auto"/>
                <w:spacing w:val="-3"/>
                <w:highlight w:val="none"/>
              </w:rPr>
              <w:t>5.本磋商文件所称的“以上”“以下”“以内”“届满”，包括本数；</w:t>
            </w:r>
            <w:r>
              <w:rPr>
                <w:rFonts w:hint="eastAsia" w:asciiTheme="minorEastAsia" w:hAnsiTheme="minorEastAsia" w:eastAsiaTheme="minorEastAsia" w:cstheme="minorEastAsia"/>
                <w:color w:val="auto"/>
                <w:spacing w:val="-2"/>
                <w:highlight w:val="none"/>
              </w:rPr>
              <w:t>所称的“不满”“超过”“以外”，不包括本数。</w:t>
            </w:r>
          </w:p>
        </w:tc>
      </w:tr>
    </w:tbl>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sectPr>
          <w:headerReference r:id="rId7" w:type="default"/>
          <w:footerReference r:id="rId8" w:type="default"/>
          <w:pgSz w:w="11906" w:h="16838"/>
          <w:pgMar w:top="935" w:right="1134" w:bottom="1073" w:left="1134" w:header="704" w:footer="954" w:gutter="0"/>
          <w:cols w:space="720" w:num="1"/>
        </w:sectPr>
      </w:pPr>
    </w:p>
    <w:p>
      <w:pPr>
        <w:spacing w:line="360" w:lineRule="auto"/>
        <w:rPr>
          <w:rFonts w:asciiTheme="minorEastAsia" w:hAnsiTheme="minorEastAsia" w:eastAsiaTheme="minorEastAsia" w:cstheme="minorEastAsia"/>
          <w:color w:val="auto"/>
          <w:highlight w:val="none"/>
        </w:rPr>
      </w:pPr>
    </w:p>
    <w:p>
      <w:pPr>
        <w:spacing w:before="105" w:line="360" w:lineRule="auto"/>
        <w:ind w:firstLine="2733"/>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第二节  供应商须知正文</w:t>
      </w:r>
    </w:p>
    <w:p>
      <w:pPr>
        <w:spacing w:before="301" w:line="360" w:lineRule="auto"/>
        <w:ind w:firstLine="693"/>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29"/>
          <w:w w:val="91"/>
          <w:sz w:val="32"/>
          <w:szCs w:val="32"/>
          <w:highlight w:val="none"/>
        </w:rPr>
        <w:t>一、总则</w:t>
      </w:r>
    </w:p>
    <w:p>
      <w:pPr>
        <w:spacing w:before="159" w:line="360" w:lineRule="auto"/>
        <w:ind w:firstLine="54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1.适用范围</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1.2本竞争性磋商文件（以下简称磋商文件）适用于本项目的所有采购程序和环节（法律、法规另有规定的，从其规定）。</w:t>
      </w:r>
    </w:p>
    <w:p>
      <w:pPr>
        <w:spacing w:before="121" w:line="360" w:lineRule="auto"/>
        <w:ind w:firstLine="480"/>
        <w:rPr>
          <w:rFonts w:asciiTheme="minorEastAsia" w:hAnsiTheme="minorEastAsia" w:eastAsiaTheme="minorEastAsia" w:cstheme="minorEastAsia"/>
          <w:b/>
          <w:bCs/>
          <w:color w:val="auto"/>
          <w:spacing w:val="-7"/>
          <w:highlight w:val="none"/>
        </w:rPr>
      </w:pPr>
      <w:r>
        <w:rPr>
          <w:rFonts w:hint="eastAsia" w:asciiTheme="minorEastAsia" w:hAnsiTheme="minorEastAsia" w:eastAsiaTheme="minorEastAsia" w:cstheme="minorEastAsia"/>
          <w:b/>
          <w:bCs/>
          <w:color w:val="auto"/>
          <w:spacing w:val="-7"/>
          <w:highlight w:val="none"/>
        </w:rPr>
        <w:t>2.定义</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2.1“采购人”是指依法进行政府采购的国家机关、事业单位、团体组织。</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2.2“采购代理机构”是指政府采购集中采购机构和集中采购机构以外的采购代理机构。</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2.3“供应商”是指向采购人提供货物、工程或者服务的法人、其他组织或者自然人。</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2.4“服务”是指除货物和工程以外的其他政府采购对象。</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2.5“竞标”是指供应商按照本项目竞争性磋商公告或者邀请函规定的方式获取磋商文件、提交响应文件并希望获得标的的行为。</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2.6“响应文件”是指：供应商根据本磋商文件要求，编制包含资格证明、报价商务技术等所有内容的文件。</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pacing w:val="-7"/>
          <w:highlight w:val="none"/>
          <w:lang w:eastAsia="zh-CN"/>
        </w:rPr>
        <w:t>★</w:t>
      </w:r>
      <w:r>
        <w:rPr>
          <w:rFonts w:hint="eastAsia" w:asciiTheme="minorEastAsia" w:hAnsiTheme="minorEastAsia" w:eastAsiaTheme="minorEastAsia" w:cstheme="minorEastAsia"/>
          <w:color w:val="auto"/>
          <w:spacing w:val="-7"/>
          <w:highlight w:val="none"/>
        </w:rPr>
        <w:t>”的条款。</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2.8“正偏离”，是指响应文件对磋商文件“采购需求”中有关条款作出的响应优于条款要求并有利于采购人的情形。</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2.9“负偏离”，是指响应文件对磋商文件“采购需求”中有关条款作出的响应不满足条款要求，导致采购人要求不能得到满足的情形。</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2.10“允许负偏离的条款”是指采购需求中的不属于“实质性要求”的条款。</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2.11“书面形式”是指合同书、信件和数据电文（包括电报、电传、传真、电子数据交换和电子邮件）等可以有形地表现所载内容的形式。</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2.12“首次报价”是指供应商提交的首次响应文件中的报价。</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2.13“评审报价”是指供应商提交的最后报价并经修正（如有）和政策功能价格扣除（如有）后的价格。</w:t>
      </w:r>
    </w:p>
    <w:p>
      <w:pPr>
        <w:spacing w:before="121" w:line="360" w:lineRule="auto"/>
        <w:ind w:firstLine="480"/>
        <w:rPr>
          <w:rFonts w:asciiTheme="minorEastAsia" w:hAnsiTheme="minorEastAsia" w:eastAsiaTheme="minorEastAsia" w:cstheme="minorEastAsia"/>
          <w:b/>
          <w:bCs/>
          <w:color w:val="auto"/>
          <w:spacing w:val="-7"/>
          <w:highlight w:val="none"/>
        </w:rPr>
      </w:pPr>
      <w:r>
        <w:rPr>
          <w:rFonts w:hint="eastAsia" w:asciiTheme="minorEastAsia" w:hAnsiTheme="minorEastAsia" w:eastAsiaTheme="minorEastAsia" w:cstheme="minorEastAsia"/>
          <w:b/>
          <w:bCs/>
          <w:color w:val="auto"/>
          <w:spacing w:val="-7"/>
          <w:highlight w:val="none"/>
        </w:rPr>
        <w:t>3.供应商的资格条件</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供应商的资格条件详见“供应商须知前附表”。</w:t>
      </w:r>
    </w:p>
    <w:p>
      <w:pPr>
        <w:spacing w:before="121" w:line="360" w:lineRule="auto"/>
        <w:ind w:firstLine="480"/>
        <w:rPr>
          <w:rFonts w:asciiTheme="minorEastAsia" w:hAnsiTheme="minorEastAsia" w:eastAsiaTheme="minorEastAsia" w:cstheme="minorEastAsia"/>
          <w:b/>
          <w:bCs/>
          <w:color w:val="auto"/>
          <w:spacing w:val="-7"/>
          <w:highlight w:val="none"/>
        </w:rPr>
      </w:pPr>
      <w:r>
        <w:rPr>
          <w:rFonts w:hint="eastAsia" w:asciiTheme="minorEastAsia" w:hAnsiTheme="minorEastAsia" w:eastAsiaTheme="minorEastAsia" w:cstheme="minorEastAsia"/>
          <w:b/>
          <w:bCs/>
          <w:color w:val="auto"/>
          <w:spacing w:val="-7"/>
          <w:highlight w:val="none"/>
        </w:rPr>
        <w:t>4.磋商费用</w:t>
      </w:r>
    </w:p>
    <w:p>
      <w:pPr>
        <w:spacing w:before="121" w:line="360" w:lineRule="auto"/>
        <w:ind w:firstLine="480"/>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供应商应承担参与本次采购活动有关的所有费用，包括但不限于、勘查现场、编制和提交响应文件、参加磋商与应答、签订合同等，不论竞标结果如何，均应自行承担。</w:t>
      </w:r>
    </w:p>
    <w:p>
      <w:pPr>
        <w:spacing w:before="121" w:line="360" w:lineRule="auto"/>
        <w:ind w:firstLine="480"/>
        <w:rPr>
          <w:rFonts w:asciiTheme="minorEastAsia" w:hAnsiTheme="minorEastAsia" w:eastAsiaTheme="minorEastAsia" w:cstheme="minorEastAsia"/>
          <w:b/>
          <w:bCs/>
          <w:color w:val="auto"/>
          <w:spacing w:val="-7"/>
          <w:highlight w:val="none"/>
        </w:rPr>
      </w:pPr>
      <w:r>
        <w:rPr>
          <w:rFonts w:hint="eastAsia" w:asciiTheme="minorEastAsia" w:hAnsiTheme="minorEastAsia" w:eastAsiaTheme="minorEastAsia" w:cstheme="minorEastAsia"/>
          <w:b/>
          <w:bCs/>
          <w:color w:val="auto"/>
          <w:spacing w:val="-7"/>
          <w:highlight w:val="none"/>
        </w:rPr>
        <w:t>5.联合体竞标</w:t>
      </w:r>
    </w:p>
    <w:p>
      <w:pPr>
        <w:spacing w:before="105" w:line="360" w:lineRule="auto"/>
        <w:ind w:firstLine="497"/>
        <w:rPr>
          <w:rFonts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本项目不接受联合体投标</w:t>
      </w:r>
    </w:p>
    <w:p>
      <w:pPr>
        <w:spacing w:before="105" w:line="360" w:lineRule="auto"/>
        <w:ind w:firstLine="49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6.转包与分包</w:t>
      </w:r>
    </w:p>
    <w:p>
      <w:pPr>
        <w:spacing w:before="120" w:line="360" w:lineRule="auto"/>
        <w:ind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6.1本项目是否允许分包详见“供应商须知前附表”，本项目不允许违法分包。</w:t>
      </w:r>
    </w:p>
    <w:p>
      <w:pPr>
        <w:spacing w:before="108" w:line="360" w:lineRule="auto"/>
        <w:ind w:left="9" w:right="162"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6.2根据《政府采购促进中小企业发展暂行办法》（财库[2020]46号第九条规定，允许大</w:t>
      </w:r>
      <w:r>
        <w:rPr>
          <w:rFonts w:hint="eastAsia" w:asciiTheme="minorEastAsia" w:hAnsiTheme="minorEastAsia" w:eastAsiaTheme="minorEastAsia" w:cstheme="minorEastAsia"/>
          <w:color w:val="auto"/>
          <w:spacing w:val="-2"/>
          <w:highlight w:val="none"/>
        </w:rPr>
        <w:t>中型企业向一家或者多家小微企业分包的采购项目，对于分包意向协议约定小微企业的合同份额占到合同总金额30%以上的，采购人、采购代理机构应当对大中型企业的报价给予2%-3%的</w:t>
      </w:r>
      <w:r>
        <w:rPr>
          <w:rFonts w:hint="eastAsia" w:asciiTheme="minorEastAsia" w:hAnsiTheme="minorEastAsia" w:eastAsiaTheme="minorEastAsia" w:cstheme="minorEastAsia"/>
          <w:color w:val="auto"/>
          <w:spacing w:val="-3"/>
          <w:highlight w:val="none"/>
        </w:rPr>
        <w:t>扣除，用扣除后的价格参加评审。接受分包的小微企业与分包企业之间存在直接控股、管理关系</w:t>
      </w:r>
      <w:r>
        <w:rPr>
          <w:rFonts w:hint="eastAsia" w:asciiTheme="minorEastAsia" w:hAnsiTheme="minorEastAsia" w:eastAsiaTheme="minorEastAsia" w:cstheme="minorEastAsia"/>
          <w:color w:val="auto"/>
          <w:spacing w:val="-1"/>
          <w:highlight w:val="none"/>
        </w:rPr>
        <w:t>的，不享受价格扣除优惠政策。</w:t>
      </w:r>
    </w:p>
    <w:p>
      <w:pPr>
        <w:spacing w:before="105" w:line="360" w:lineRule="auto"/>
        <w:ind w:firstLine="49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7.特别说明</w:t>
      </w:r>
    </w:p>
    <w:p>
      <w:pPr>
        <w:spacing w:before="120" w:line="360" w:lineRule="auto"/>
        <w:ind w:left="18" w:firstLine="41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7.1如果本磋商文件要求提供供应商或制造商的资格、信誉、荣誉、业绩与企业认证等材料的，</w:t>
      </w:r>
      <w:r>
        <w:rPr>
          <w:rFonts w:hint="eastAsia" w:asciiTheme="minorEastAsia" w:hAnsiTheme="minorEastAsia" w:eastAsiaTheme="minorEastAsia" w:cstheme="minorEastAsia"/>
          <w:color w:val="auto"/>
          <w:spacing w:val="-1"/>
          <w:highlight w:val="none"/>
        </w:rPr>
        <w:t>资格、信誉、荣誉、业绩与企业认证等必须为供应商或者制造商所拥有或自身获得。</w:t>
      </w:r>
    </w:p>
    <w:p>
      <w:pPr>
        <w:spacing w:before="104" w:line="360" w:lineRule="auto"/>
        <w:ind w:left="9" w:right="195"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7.2供应商应仔细阅读磋商文件的所有内容，按照磋商文件的要求提交响应文件，并对所</w:t>
      </w:r>
      <w:r>
        <w:rPr>
          <w:rFonts w:hint="eastAsia" w:asciiTheme="minorEastAsia" w:hAnsiTheme="minorEastAsia" w:eastAsiaTheme="minorEastAsia" w:cstheme="minorEastAsia"/>
          <w:color w:val="auto"/>
          <w:spacing w:val="-1"/>
          <w:highlight w:val="none"/>
        </w:rPr>
        <w:t>提供的全部资料的真实性承担法律责任。</w:t>
      </w:r>
    </w:p>
    <w:p>
      <w:pPr>
        <w:spacing w:before="105" w:line="360" w:lineRule="auto"/>
        <w:ind w:left="9"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7.3供应商在竞标活动中提供任何疑似虚假材料，将报监管部门查处；签订合同后发现的，</w:t>
      </w:r>
      <w:r>
        <w:rPr>
          <w:rFonts w:hint="eastAsia" w:asciiTheme="minorEastAsia" w:hAnsiTheme="minorEastAsia" w:eastAsiaTheme="minorEastAsia" w:cstheme="minorEastAsia"/>
          <w:color w:val="auto"/>
          <w:spacing w:val="-7"/>
          <w:highlight w:val="none"/>
        </w:rPr>
        <w:t>成交供应商须依照《中华人民共和国消费者权益保护法》规定赔偿采购人，且民事赔偿并不免除</w:t>
      </w:r>
      <w:r>
        <w:rPr>
          <w:rFonts w:hint="eastAsia" w:asciiTheme="minorEastAsia" w:hAnsiTheme="minorEastAsia" w:eastAsiaTheme="minorEastAsia" w:cstheme="minorEastAsia"/>
          <w:color w:val="auto"/>
          <w:spacing w:val="-1"/>
          <w:highlight w:val="none"/>
        </w:rPr>
        <w:t>违法供应商的行政与刑事责任。</w:t>
      </w:r>
    </w:p>
    <w:p>
      <w:pPr>
        <w:spacing w:before="1"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7.4在政府采购活动中，采购人员及相关人员与供应商有下列利害关系之一的，应当回避：</w:t>
      </w:r>
    </w:p>
    <w:p>
      <w:pPr>
        <w:spacing w:before="8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（1）参加采购活动前3年内与供应商存在劳动关系；</w:t>
      </w:r>
    </w:p>
    <w:p>
      <w:pPr>
        <w:spacing w:before="106"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（2）参加采购活动前3年内担任供应商的董事、监事；</w:t>
      </w:r>
    </w:p>
    <w:p>
      <w:pPr>
        <w:spacing w:before="10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（3）参加采购活动前3年内是供应商的控股股东或者实际控制人；</w:t>
      </w:r>
    </w:p>
    <w:p>
      <w:pPr>
        <w:spacing w:before="107" w:line="360" w:lineRule="auto"/>
        <w:ind w:left="13" w:right="174"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（4）与供应商的法定代表人或者负责人有夫妻、直系血亲、三代以内旁系血亲或者近姻亲</w:t>
      </w:r>
      <w:r>
        <w:rPr>
          <w:rFonts w:hint="eastAsia" w:asciiTheme="minorEastAsia" w:hAnsiTheme="minorEastAsia" w:eastAsiaTheme="minorEastAsia" w:cstheme="minorEastAsia"/>
          <w:color w:val="auto"/>
          <w:spacing w:val="-4"/>
          <w:highlight w:val="none"/>
        </w:rPr>
        <w:t>关系；</w:t>
      </w:r>
    </w:p>
    <w:p>
      <w:pPr>
        <w:spacing w:before="3"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（5）与供应商有其他可能影响政府采购活动公平、公正进行的关系。</w:t>
      </w:r>
    </w:p>
    <w:p>
      <w:pPr>
        <w:spacing w:before="84" w:line="360" w:lineRule="auto"/>
        <w:ind w:left="9"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供应商认为采购人员及相关人员与其他供应商有利害关系的，可以向采购人或者采购代理</w:t>
      </w:r>
      <w:r>
        <w:rPr>
          <w:rFonts w:hint="eastAsia" w:asciiTheme="minorEastAsia" w:hAnsiTheme="minorEastAsia" w:eastAsiaTheme="minorEastAsia" w:cstheme="minorEastAsia"/>
          <w:color w:val="auto"/>
          <w:spacing w:val="-3"/>
          <w:highlight w:val="none"/>
        </w:rPr>
        <w:t>机构书面提出回避申请，并说明理由。采购人或者采购代理机构应当及时询问被申请回避人员，</w:t>
      </w:r>
      <w:r>
        <w:rPr>
          <w:rFonts w:hint="eastAsia" w:asciiTheme="minorEastAsia" w:hAnsiTheme="minorEastAsia" w:eastAsiaTheme="minorEastAsia" w:cstheme="minorEastAsia"/>
          <w:color w:val="auto"/>
          <w:spacing w:val="-1"/>
          <w:highlight w:val="none"/>
        </w:rPr>
        <w:t>有利害关系的被申请回避人员应当回避。</w:t>
      </w:r>
    </w:p>
    <w:p>
      <w:pPr>
        <w:spacing w:before="2"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7.5有下列情形之一的视为供应商相互串通竞标，响应文件将被视为无效：</w:t>
      </w:r>
    </w:p>
    <w:p>
      <w:pPr>
        <w:spacing w:before="8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（1）不同供应商的响应文件由同一单位或者个人编制；</w:t>
      </w:r>
    </w:p>
    <w:p>
      <w:pPr>
        <w:spacing w:before="107"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（2）不同供应商委托同一单位或者个人办理竞标事宜；</w:t>
      </w:r>
    </w:p>
    <w:p>
      <w:pPr>
        <w:spacing w:before="10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（3）不同的供应商的响应文件载明的项目管理员为同一个人；</w:t>
      </w:r>
    </w:p>
    <w:p>
      <w:pPr>
        <w:spacing w:before="107"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（4）不同供应商的响应文件异常一致或者报价呈规律性差异；</w:t>
      </w:r>
    </w:p>
    <w:p>
      <w:pPr>
        <w:spacing w:before="10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（5）不同供应商的响应文件相互混装；</w:t>
      </w:r>
    </w:p>
    <w:p>
      <w:pPr>
        <w:spacing w:before="107"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（6）不同供应商的磋商保证金从同一单位或者个人账户转出。</w:t>
      </w:r>
    </w:p>
    <w:p>
      <w:pPr>
        <w:spacing w:before="10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7.6供应商有下列情形之一的，属于恶意串通行为，将报同级监督管理部门：</w:t>
      </w:r>
    </w:p>
    <w:p>
      <w:pPr>
        <w:spacing w:before="107" w:line="360" w:lineRule="auto"/>
        <w:ind w:left="9" w:right="174" w:firstLine="4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（1）供应商直接或者间接从采购人或者采购代理机构处获得其他供应商的相关信息并修改</w:t>
      </w:r>
      <w:r>
        <w:rPr>
          <w:rFonts w:hint="eastAsia" w:asciiTheme="minorEastAsia" w:hAnsiTheme="minorEastAsia" w:eastAsiaTheme="minorEastAsia" w:cstheme="minorEastAsia"/>
          <w:color w:val="auto"/>
          <w:spacing w:val="-8"/>
          <w:highlight w:val="none"/>
        </w:rPr>
        <w:t>其响应文件；</w:t>
      </w:r>
    </w:p>
    <w:p>
      <w:pPr>
        <w:spacing w:before="2"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（2）供应商按照采购人或者采购代理机构的授意撤换、修改响应文件；</w:t>
      </w:r>
    </w:p>
    <w:p>
      <w:pPr>
        <w:spacing w:before="8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（3）供应商之间协商报价、技术方案等响应文件或者响应文件的实质性内容；</w:t>
      </w:r>
    </w:p>
    <w:p>
      <w:pPr>
        <w:spacing w:before="107" w:line="360" w:lineRule="auto"/>
        <w:ind w:left="11" w:right="174"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（4）属于同一集团、协会、商会等组织成员的供应商按照该组织要求协同参加政府采购活</w:t>
      </w:r>
      <w:r>
        <w:rPr>
          <w:rFonts w:hint="eastAsia" w:asciiTheme="minorEastAsia" w:hAnsiTheme="minorEastAsia" w:eastAsiaTheme="minorEastAsia" w:cstheme="minorEastAsia"/>
          <w:color w:val="auto"/>
          <w:spacing w:val="-5"/>
          <w:highlight w:val="none"/>
        </w:rPr>
        <w:t>动；</w:t>
      </w:r>
    </w:p>
    <w:p>
      <w:pPr>
        <w:spacing w:before="2" w:line="360" w:lineRule="auto"/>
        <w:ind w:left="15" w:right="174"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（5）供应商之间事先约定一致抬高或者压低报价，或者在政府采购活动中事先约定轮流以</w:t>
      </w:r>
      <w:r>
        <w:rPr>
          <w:rFonts w:hint="eastAsia" w:asciiTheme="minorEastAsia" w:hAnsiTheme="minorEastAsia" w:eastAsiaTheme="minorEastAsia" w:cstheme="minorEastAsia"/>
          <w:color w:val="auto"/>
          <w:spacing w:val="-6"/>
          <w:highlight w:val="none"/>
        </w:rPr>
        <w:t>高价位或者低价位成交，或者事先约定由某一特定供应商成交，然后再参加竞标；</w:t>
      </w:r>
    </w:p>
    <w:p>
      <w:pPr>
        <w:spacing w:before="2"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（6）供应商之间商定部分供应商放弃参加政府采购活动或者放弃成交；</w:t>
      </w:r>
    </w:p>
    <w:p>
      <w:pPr>
        <w:spacing w:before="85" w:line="360" w:lineRule="auto"/>
        <w:ind w:left="11" w:right="174"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（7）供应商与采购人或者采购代理机构之间、供应商相互之间，为谋求特定供应商成交或</w:t>
      </w:r>
      <w:r>
        <w:rPr>
          <w:rFonts w:hint="eastAsia" w:asciiTheme="minorEastAsia" w:hAnsiTheme="minorEastAsia" w:eastAsiaTheme="minorEastAsia" w:cstheme="minorEastAsia"/>
          <w:color w:val="auto"/>
          <w:spacing w:val="-1"/>
          <w:highlight w:val="none"/>
        </w:rPr>
        <w:t>者排斥其他供应商的其他串通行为。</w:t>
      </w:r>
    </w:p>
    <w:p>
      <w:pPr>
        <w:spacing w:before="104" w:line="360" w:lineRule="auto"/>
        <w:ind w:firstLine="659"/>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二、磋商文件</w:t>
      </w:r>
    </w:p>
    <w:p>
      <w:pPr>
        <w:spacing w:before="159" w:line="360" w:lineRule="auto"/>
        <w:ind w:firstLine="494"/>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8.磋商文件的构成</w:t>
      </w:r>
    </w:p>
    <w:p>
      <w:pPr>
        <w:spacing w:before="122"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position w:val="7"/>
          <w:highlight w:val="none"/>
        </w:rPr>
        <w:t>第一章竞争性磋商公告；</w:t>
      </w:r>
    </w:p>
    <w:p>
      <w:pPr>
        <w:spacing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第二章服务需求；</w:t>
      </w:r>
    </w:p>
    <w:p>
      <w:pPr>
        <w:spacing w:before="83"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第三章供应商须知；</w:t>
      </w:r>
    </w:p>
    <w:p>
      <w:pPr>
        <w:spacing w:before="105"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position w:val="7"/>
          <w:highlight w:val="none"/>
        </w:rPr>
        <w:t>第四章评审程序、评审方法和评审标准；</w:t>
      </w:r>
    </w:p>
    <w:p>
      <w:pPr>
        <w:spacing w:before="1"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第五章响应文件格式；</w:t>
      </w:r>
    </w:p>
    <w:p>
      <w:pPr>
        <w:spacing w:before="81"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第六章合同文本；</w:t>
      </w:r>
    </w:p>
    <w:p>
      <w:pPr>
        <w:spacing w:before="107"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第七章质疑、投诉材料格式。</w:t>
      </w:r>
    </w:p>
    <w:p>
      <w:pPr>
        <w:spacing w:before="105" w:line="360" w:lineRule="auto"/>
        <w:ind w:firstLine="496"/>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9.供应商的询问</w:t>
      </w:r>
    </w:p>
    <w:p>
      <w:pPr>
        <w:spacing w:before="120" w:line="360" w:lineRule="auto"/>
        <w:ind w:left="9" w:right="137"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供应商应认真阅读磋商文件的采购需求，如供应商对磋商文件有疑问的，如要求采购人作出澄清或者修改的，供应商尽应在提交首次响应文件截止之日前，以书面形式向采购人、采购</w:t>
      </w:r>
      <w:r>
        <w:rPr>
          <w:rFonts w:hint="eastAsia" w:asciiTheme="minorEastAsia" w:hAnsiTheme="minorEastAsia" w:eastAsiaTheme="minorEastAsia" w:cstheme="minorEastAsia"/>
          <w:color w:val="auto"/>
          <w:spacing w:val="-2"/>
          <w:highlight w:val="none"/>
        </w:rPr>
        <w:t>代理机构提出。</w:t>
      </w:r>
    </w:p>
    <w:p>
      <w:pPr>
        <w:spacing w:before="105" w:line="360" w:lineRule="auto"/>
        <w:ind w:firstLine="50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10.磋商文件的澄清和修改</w:t>
      </w:r>
    </w:p>
    <w:p>
      <w:pPr>
        <w:spacing w:before="122" w:line="360" w:lineRule="auto"/>
        <w:ind w:left="12" w:right="134" w:firstLine="43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10.1已获取磋商文件的潜在供应商，若有问题需要澄清，应于应标截止时间前，以书面形</w:t>
      </w:r>
      <w:r>
        <w:rPr>
          <w:rFonts w:hint="eastAsia" w:asciiTheme="minorEastAsia" w:hAnsiTheme="minorEastAsia" w:eastAsiaTheme="minorEastAsia" w:cstheme="minorEastAsia"/>
          <w:color w:val="auto"/>
          <w:spacing w:val="-10"/>
          <w:highlight w:val="none"/>
        </w:rPr>
        <w:t>式向采购代理机构提出，采购代理机构与采购人研究后，对认为有必要回答的问题，按照本章</w:t>
      </w:r>
      <w:r>
        <w:rPr>
          <w:rFonts w:hint="eastAsia" w:asciiTheme="minorEastAsia" w:hAnsiTheme="minorEastAsia" w:eastAsiaTheme="minorEastAsia" w:cstheme="minorEastAsia"/>
          <w:color w:val="auto"/>
          <w:spacing w:val="-5"/>
          <w:highlight w:val="none"/>
        </w:rPr>
        <w:t>10.3的内容处理。</w:t>
      </w:r>
    </w:p>
    <w:p>
      <w:pPr>
        <w:spacing w:before="105" w:line="360" w:lineRule="auto"/>
        <w:ind w:left="17" w:right="131"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10.2采购人或者采购代理机构可以对已发出的磋商文件进行必要的澄清或者修改，但不得</w:t>
      </w:r>
      <w:r>
        <w:rPr>
          <w:rFonts w:hint="eastAsia" w:asciiTheme="minorEastAsia" w:hAnsiTheme="minorEastAsia" w:eastAsiaTheme="minorEastAsia" w:cstheme="minorEastAsia"/>
          <w:color w:val="auto"/>
          <w:spacing w:val="-7"/>
          <w:highlight w:val="none"/>
        </w:rPr>
        <w:t>改变采购标的和资格条件。澄清或者修改应当在原公告发布媒体上发布澄清公告。澄清或者修改</w:t>
      </w:r>
      <w:r>
        <w:rPr>
          <w:rFonts w:hint="eastAsia" w:asciiTheme="minorEastAsia" w:hAnsiTheme="minorEastAsia" w:eastAsiaTheme="minorEastAsia" w:cstheme="minorEastAsia"/>
          <w:color w:val="auto"/>
          <w:spacing w:val="-3"/>
          <w:highlight w:val="none"/>
        </w:rPr>
        <w:t>的内容为磋商文件的组成部分。</w:t>
      </w:r>
    </w:p>
    <w:p>
      <w:pPr>
        <w:spacing w:before="3" w:line="360" w:lineRule="auto"/>
        <w:ind w:left="9" w:right="133" w:firstLine="43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10.3提交首次响应文件截止之日前，采购人、采购代理机构或者磋商小组可以对已发出的</w:t>
      </w:r>
      <w:r>
        <w:rPr>
          <w:rFonts w:hint="eastAsia" w:asciiTheme="minorEastAsia" w:hAnsiTheme="minorEastAsia" w:eastAsiaTheme="minorEastAsia" w:cstheme="minorEastAsia"/>
          <w:color w:val="auto"/>
          <w:spacing w:val="-6"/>
          <w:highlight w:val="none"/>
        </w:rPr>
        <w:t>磋商文件进行必要的澄清或者修改，澄清或者修改的内容作为磋商文件的组成部分。澄清或者</w:t>
      </w:r>
      <w:r>
        <w:rPr>
          <w:rFonts w:hint="eastAsia" w:asciiTheme="minorEastAsia" w:hAnsiTheme="minorEastAsia" w:eastAsiaTheme="minorEastAsia" w:cstheme="minorEastAsia"/>
          <w:color w:val="auto"/>
          <w:spacing w:val="-2"/>
          <w:highlight w:val="none"/>
        </w:rPr>
        <w:t>修改的内容可能影响响应文件编制的，</w:t>
      </w:r>
      <w:r>
        <w:rPr>
          <w:rFonts w:hint="eastAsia" w:asciiTheme="minorEastAsia" w:hAnsiTheme="minorEastAsia" w:eastAsiaTheme="minorEastAsia" w:cstheme="minorEastAsia"/>
          <w:color w:val="auto"/>
          <w:spacing w:val="49"/>
          <w:highlight w:val="none"/>
        </w:rPr>
        <w:t>采</w:t>
      </w:r>
      <w:r>
        <w:rPr>
          <w:rFonts w:hint="eastAsia" w:asciiTheme="minorEastAsia" w:hAnsiTheme="minorEastAsia" w:eastAsiaTheme="minorEastAsia" w:cstheme="minorEastAsia"/>
          <w:color w:val="auto"/>
          <w:spacing w:val="-2"/>
          <w:highlight w:val="none"/>
        </w:rPr>
        <w:t>购人、采购代理机构或者磋商小组在提交首次响应文</w:t>
      </w:r>
      <w:r>
        <w:rPr>
          <w:rFonts w:hint="eastAsia" w:asciiTheme="minorEastAsia" w:hAnsiTheme="minorEastAsia" w:eastAsiaTheme="minorEastAsia" w:cstheme="minorEastAsia"/>
          <w:color w:val="auto"/>
          <w:spacing w:val="-5"/>
          <w:highlight w:val="none"/>
        </w:rPr>
        <w:t>件截止之日</w:t>
      </w:r>
      <w:r>
        <w:rPr>
          <w:rFonts w:hint="eastAsia" w:asciiTheme="minorEastAsia" w:hAnsiTheme="minorEastAsia" w:eastAsiaTheme="minorEastAsia" w:cstheme="minorEastAsia"/>
          <w:color w:val="auto"/>
          <w:spacing w:val="-5"/>
          <w:highlight w:val="none"/>
          <w:lang w:val="en-US" w:eastAsia="zh-CN"/>
        </w:rPr>
        <w:t>5个</w:t>
      </w:r>
      <w:r>
        <w:rPr>
          <w:rFonts w:hint="eastAsia" w:asciiTheme="minorEastAsia" w:hAnsiTheme="minorEastAsia" w:eastAsiaTheme="minorEastAsia" w:cstheme="minorEastAsia"/>
          <w:color w:val="auto"/>
          <w:spacing w:val="-5"/>
          <w:highlight w:val="none"/>
        </w:rPr>
        <w:t>工作日前，以书面形式（目前为网上公告和系统短信等形式）通知所有获取磋</w:t>
      </w:r>
      <w:r>
        <w:rPr>
          <w:rFonts w:hint="eastAsia" w:asciiTheme="minorEastAsia" w:hAnsiTheme="minorEastAsia" w:eastAsiaTheme="minorEastAsia" w:cstheme="minorEastAsia"/>
          <w:color w:val="auto"/>
          <w:spacing w:val="-1"/>
          <w:highlight w:val="none"/>
        </w:rPr>
        <w:t>商文件的供应商，不足5个工作日的，应当顺延提交首次响应文件截止之日。</w:t>
      </w:r>
    </w:p>
    <w:p>
      <w:pPr>
        <w:spacing w:before="104"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10.4</w:t>
      </w:r>
      <w:r>
        <w:rPr>
          <w:rFonts w:hint="eastAsia" w:asciiTheme="minorEastAsia" w:hAnsiTheme="minorEastAsia" w:eastAsiaTheme="minorEastAsia" w:cstheme="minorEastAsia"/>
          <w:color w:val="auto"/>
          <w:spacing w:val="-8"/>
          <w:highlight w:val="none"/>
          <w:shd w:val="clear" w:color="auto" w:fill="FFFFFE"/>
        </w:rPr>
        <w:t>采购信息更正公告的内容应当包括采购人和采购代理机构名称、地址、联系方式，原公</w:t>
      </w:r>
      <w:r>
        <w:rPr>
          <w:rFonts w:hint="eastAsia" w:asciiTheme="minorEastAsia" w:hAnsiTheme="minorEastAsia" w:eastAsiaTheme="minorEastAsia" w:cstheme="minorEastAsia"/>
          <w:color w:val="auto"/>
          <w:spacing w:val="-4"/>
          <w:highlight w:val="none"/>
          <w:shd w:val="clear" w:color="auto" w:fill="FFFFFE"/>
        </w:rPr>
        <w:t>告的采购项目名称及首次公告日期，更正事项、内容及日期，采购项目联系人和电话。</w:t>
      </w:r>
    </w:p>
    <w:p>
      <w:pPr>
        <w:spacing w:before="111" w:line="360" w:lineRule="auto"/>
        <w:ind w:left="8" w:right="133"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10.5采购人和采购代理机构可以视采购具体情况，变更提交首次响应文件截止时间和竞谈</w:t>
      </w:r>
      <w:r>
        <w:rPr>
          <w:rFonts w:hint="eastAsia" w:asciiTheme="minorEastAsia" w:hAnsiTheme="minorEastAsia" w:eastAsiaTheme="minorEastAsia" w:cstheme="minorEastAsia"/>
          <w:color w:val="auto"/>
          <w:spacing w:val="-10"/>
          <w:highlight w:val="none"/>
        </w:rPr>
        <w:t>时间，将变更时间将在“采购文件公告”中“七、其他补充事宜3.网上查询地址”规定的政府采</w:t>
      </w:r>
      <w:r>
        <w:rPr>
          <w:rFonts w:hint="eastAsia" w:asciiTheme="minorEastAsia" w:hAnsiTheme="minorEastAsia" w:eastAsiaTheme="minorEastAsia" w:cstheme="minorEastAsia"/>
          <w:color w:val="auto"/>
          <w:spacing w:val="-2"/>
          <w:highlight w:val="none"/>
        </w:rPr>
        <w:t>购信息发布媒体上发布更正公告。</w:t>
      </w:r>
    </w:p>
    <w:p>
      <w:pPr>
        <w:spacing w:before="111" w:line="360" w:lineRule="auto"/>
        <w:ind w:left="8" w:right="133" w:firstLine="431"/>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lang w:eastAsia="zh-CN"/>
        </w:rPr>
        <w:t>★</w:t>
      </w:r>
      <w:r>
        <w:rPr>
          <w:rFonts w:hint="eastAsia" w:asciiTheme="minorEastAsia" w:hAnsiTheme="minorEastAsia" w:eastAsiaTheme="minorEastAsia" w:cstheme="minorEastAsia"/>
          <w:color w:val="auto"/>
          <w:spacing w:val="-5"/>
          <w:highlight w:val="none"/>
        </w:rPr>
        <w:t>响应文件未按磋商文件的澄清、修改的内容编制，又不符合实质性要求的，其响应文件作无效处理。</w:t>
      </w:r>
    </w:p>
    <w:p>
      <w:pPr>
        <w:spacing w:before="100" w:line="360" w:lineRule="auto"/>
        <w:ind w:firstLine="973"/>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27"/>
          <w:sz w:val="32"/>
          <w:szCs w:val="32"/>
          <w:highlight w:val="none"/>
        </w:rPr>
        <w:t>三、响应文件的编制</w:t>
      </w:r>
    </w:p>
    <w:p>
      <w:pPr>
        <w:spacing w:before="161" w:line="360" w:lineRule="auto"/>
        <w:ind w:firstLine="50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11.响应文件的编制原则</w:t>
      </w:r>
    </w:p>
    <w:p>
      <w:pPr>
        <w:spacing w:before="120" w:line="360" w:lineRule="auto"/>
        <w:ind w:left="11" w:right="136"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2"/>
          <w:highlight w:val="none"/>
        </w:rPr>
        <w:t>1.供应商必须按照磋商文件的要求编制响应文件，并对其提交的响应文件的真实性、合法性</w:t>
      </w:r>
      <w:r>
        <w:rPr>
          <w:rFonts w:hint="eastAsia" w:asciiTheme="minorEastAsia" w:hAnsiTheme="minorEastAsia" w:eastAsiaTheme="minorEastAsia" w:cstheme="minorEastAsia"/>
          <w:color w:val="auto"/>
          <w:spacing w:val="-1"/>
          <w:highlight w:val="none"/>
        </w:rPr>
        <w:t>承担法律责任。响应文件必须对磋商文件作出实质性响应。</w:t>
      </w:r>
    </w:p>
    <w:p>
      <w:pPr>
        <w:spacing w:before="252" w:line="360" w:lineRule="auto"/>
        <w:ind w:firstLine="431"/>
        <w:rPr>
          <w:rFonts w:ascii="宋体" w:hAnsi="宋体" w:eastAsia="宋体" w:cs="宋体"/>
          <w:b/>
          <w:bCs/>
          <w:color w:val="auto"/>
          <w:highlight w:val="none"/>
        </w:rPr>
      </w:pPr>
      <w:r>
        <w:rPr>
          <w:rFonts w:hint="eastAsia" w:ascii="宋体" w:hAnsi="宋体" w:eastAsia="宋体" w:cs="宋体"/>
          <w:b/>
          <w:bCs/>
          <w:color w:val="auto"/>
          <w:spacing w:val="-2"/>
          <w:highlight w:val="none"/>
        </w:rPr>
        <w:t>2.</w:t>
      </w:r>
      <w:r>
        <w:rPr>
          <w:rFonts w:ascii="宋体" w:hAnsi="宋体" w:eastAsia="宋体" w:cs="宋体"/>
          <w:b/>
          <w:bCs/>
          <w:color w:val="auto"/>
          <w:spacing w:val="-2"/>
          <w:highlight w:val="none"/>
        </w:rPr>
        <w:t>响应文件编制基本要求</w:t>
      </w:r>
    </w:p>
    <w:p>
      <w:pPr>
        <w:spacing w:before="188" w:line="360" w:lineRule="auto"/>
        <w:ind w:left="11" w:right="3" w:firstLine="409"/>
        <w:rPr>
          <w:rFonts w:ascii="宋体" w:hAnsi="宋体" w:eastAsia="宋体" w:cs="宋体"/>
          <w:color w:val="auto"/>
          <w:highlight w:val="none"/>
        </w:rPr>
      </w:pPr>
      <w:r>
        <w:rPr>
          <w:rFonts w:hint="eastAsia" w:ascii="宋体" w:hAnsi="宋体" w:eastAsia="宋体" w:cs="宋体"/>
          <w:color w:val="auto"/>
          <w:spacing w:val="-3"/>
          <w:highlight w:val="none"/>
        </w:rPr>
        <w:t>2.1</w:t>
      </w:r>
      <w:r>
        <w:rPr>
          <w:rFonts w:ascii="宋体" w:hAnsi="宋体" w:eastAsia="宋体" w:cs="宋体"/>
          <w:color w:val="auto"/>
          <w:spacing w:val="-3"/>
          <w:highlight w:val="none"/>
        </w:rPr>
        <w:t>本项目实行电子竞标，供应商应准备电子响应文件</w:t>
      </w:r>
    </w:p>
    <w:p>
      <w:pPr>
        <w:spacing w:before="188" w:line="360" w:lineRule="auto"/>
        <w:ind w:left="2" w:firstLine="442"/>
        <w:rPr>
          <w:rFonts w:ascii="宋体" w:hAnsi="宋体" w:eastAsia="宋体" w:cs="宋体"/>
          <w:color w:val="auto"/>
          <w:highlight w:val="none"/>
        </w:rPr>
      </w:pPr>
      <w:r>
        <w:rPr>
          <w:rFonts w:hint="eastAsia" w:ascii="宋体" w:hAnsi="宋体" w:eastAsia="宋体" w:cs="宋体"/>
          <w:color w:val="auto"/>
          <w:spacing w:val="-3"/>
          <w:highlight w:val="none"/>
        </w:rPr>
        <w:t>2.2</w:t>
      </w:r>
      <w:r>
        <w:rPr>
          <w:rFonts w:ascii="宋体" w:hAnsi="宋体" w:eastAsia="宋体" w:cs="宋体"/>
          <w:color w:val="auto"/>
          <w:spacing w:val="-3"/>
          <w:highlight w:val="none"/>
        </w:rPr>
        <w:t>电子响应文件按政采云平台要求及本竞争性磋商文件要求制作、加密并递交。具体操作流程</w:t>
      </w:r>
      <w:r>
        <w:rPr>
          <w:rFonts w:ascii="宋体" w:hAnsi="宋体" w:eastAsia="宋体" w:cs="宋体"/>
          <w:color w:val="auto"/>
          <w:spacing w:val="20"/>
          <w:highlight w:val="none"/>
        </w:rPr>
        <w:t>可参考《政府采购项目电子交易管理操作指南-供应商》，指南可在“政府采购云平台</w:t>
      </w:r>
      <w:r>
        <w:rPr>
          <w:rFonts w:ascii="宋体" w:hAnsi="宋体" w:eastAsia="宋体" w:cs="宋体"/>
          <w:color w:val="auto"/>
          <w:spacing w:val="-1"/>
          <w:highlight w:val="none"/>
        </w:rPr>
        <w:t>（https://www.zcygov.cn/）服务中心-帮助文档-最新指南”下载。</w:t>
      </w:r>
    </w:p>
    <w:p>
      <w:pPr>
        <w:spacing w:before="1" w:line="360" w:lineRule="auto"/>
        <w:ind w:firstLine="445"/>
        <w:rPr>
          <w:rFonts w:ascii="宋体" w:hAnsi="宋体" w:eastAsia="宋体" w:cs="宋体"/>
          <w:color w:val="auto"/>
          <w:highlight w:val="none"/>
        </w:rPr>
      </w:pPr>
      <w:r>
        <w:rPr>
          <w:rFonts w:hint="eastAsia" w:ascii="宋体" w:hAnsi="宋体" w:eastAsia="宋体" w:cs="宋体"/>
          <w:color w:val="auto"/>
          <w:spacing w:val="-5"/>
          <w:highlight w:val="none"/>
        </w:rPr>
        <w:t>2.3</w:t>
      </w:r>
      <w:r>
        <w:rPr>
          <w:rFonts w:ascii="宋体" w:hAnsi="宋体" w:eastAsia="宋体" w:cs="宋体"/>
          <w:color w:val="auto"/>
          <w:spacing w:val="-5"/>
          <w:highlight w:val="none"/>
        </w:rPr>
        <w:t>电子备份响应文件系上传政采云平台的响应文件电子版，</w:t>
      </w:r>
      <w:r>
        <w:rPr>
          <w:rFonts w:ascii="宋体" w:hAnsi="宋体" w:eastAsia="宋体" w:cs="宋体"/>
          <w:color w:val="auto"/>
          <w:spacing w:val="55"/>
          <w:highlight w:val="none"/>
        </w:rPr>
        <w:t xml:space="preserve"> </w:t>
      </w:r>
      <w:r>
        <w:rPr>
          <w:rFonts w:ascii="宋体" w:hAnsi="宋体" w:eastAsia="宋体" w:cs="宋体"/>
          <w:color w:val="auto"/>
          <w:spacing w:val="-5"/>
          <w:highlight w:val="none"/>
        </w:rPr>
        <w:t>按照本竞争性磋商文件要求制作。</w:t>
      </w:r>
    </w:p>
    <w:p>
      <w:pPr>
        <w:spacing w:before="168" w:line="360" w:lineRule="auto"/>
        <w:ind w:firstLine="428"/>
        <w:rPr>
          <w:rFonts w:asciiTheme="minorEastAsia" w:hAnsiTheme="minorEastAsia" w:eastAsiaTheme="minorEastAsia" w:cstheme="minorEastAsia"/>
          <w:color w:val="auto"/>
          <w:highlight w:val="none"/>
        </w:rPr>
      </w:pPr>
      <w:r>
        <w:rPr>
          <w:rFonts w:hint="eastAsia" w:ascii="宋体" w:hAnsi="宋体" w:eastAsia="宋体" w:cs="宋体"/>
          <w:color w:val="auto"/>
          <w:spacing w:val="-3"/>
          <w:highlight w:val="none"/>
        </w:rPr>
        <w:t>2.4</w:t>
      </w:r>
      <w:r>
        <w:rPr>
          <w:rFonts w:ascii="宋体" w:hAnsi="宋体" w:eastAsia="宋体" w:cs="宋体"/>
          <w:color w:val="auto"/>
          <w:spacing w:val="-3"/>
          <w:highlight w:val="none"/>
        </w:rPr>
        <w:t>响应文件启用顺序和效力：响应文件的启用，</w:t>
      </w:r>
      <w:r>
        <w:rPr>
          <w:rFonts w:ascii="宋体" w:hAnsi="宋体" w:eastAsia="宋体" w:cs="宋体"/>
          <w:color w:val="auto"/>
          <w:spacing w:val="62"/>
          <w:highlight w:val="none"/>
        </w:rPr>
        <w:t xml:space="preserve"> </w:t>
      </w:r>
      <w:r>
        <w:rPr>
          <w:rFonts w:ascii="宋体" w:hAnsi="宋体" w:eastAsia="宋体" w:cs="宋体"/>
          <w:color w:val="auto"/>
          <w:spacing w:val="-3"/>
          <w:highlight w:val="none"/>
        </w:rPr>
        <w:t>按先后顺位分别为电子响应文件、</w:t>
      </w:r>
      <w:r>
        <w:rPr>
          <w:rFonts w:ascii="宋体" w:hAnsi="宋体" w:eastAsia="宋体" w:cs="宋体"/>
          <w:color w:val="auto"/>
          <w:spacing w:val="1"/>
          <w:highlight w:val="none"/>
        </w:rPr>
        <w:t>电子备份响应文件。全部供应商的电子响应文件均已按时解密的，电子备份响应文件自动失效。如果某位供应商的电子响应文件无法按时解密</w:t>
      </w:r>
      <w:r>
        <w:rPr>
          <w:rFonts w:ascii="宋体" w:hAnsi="宋体" w:eastAsia="宋体" w:cs="宋体"/>
          <w:color w:val="auto"/>
          <w:spacing w:val="-3"/>
          <w:highlight w:val="none"/>
        </w:rPr>
        <w:t>的，</w:t>
      </w:r>
      <w:r>
        <w:rPr>
          <w:rFonts w:asciiTheme="minorEastAsia" w:hAnsiTheme="minorEastAsia" w:eastAsiaTheme="minorEastAsia" w:cstheme="minorEastAsia"/>
          <w:color w:val="auto"/>
          <w:highlight w:val="none"/>
        </w:rPr>
        <w:t>请与代理机构</w:t>
      </w:r>
      <w:r>
        <w:rPr>
          <w:rFonts w:hint="eastAsia" w:asciiTheme="minorEastAsia" w:hAnsiTheme="minorEastAsia" w:eastAsiaTheme="minorEastAsia" w:cstheme="minorEastAsia"/>
          <w:color w:val="auto"/>
          <w:highlight w:val="none"/>
        </w:rPr>
        <w:t>联系，有代理机构向</w:t>
      </w:r>
      <w:r>
        <w:rPr>
          <w:rFonts w:asciiTheme="minorEastAsia" w:hAnsiTheme="minorEastAsia" w:eastAsiaTheme="minorEastAsia" w:cstheme="minorEastAsia"/>
          <w:color w:val="auto"/>
          <w:highlight w:val="none"/>
        </w:rPr>
        <w:t>项目归属监督部门备案后</w:t>
      </w:r>
      <w:r>
        <w:rPr>
          <w:rFonts w:hint="eastAsia" w:asciiTheme="minorEastAsia" w:hAnsiTheme="minorEastAsia" w:eastAsiaTheme="minorEastAsia" w:cstheme="minorEastAsia"/>
          <w:color w:val="auto"/>
          <w:highlight w:val="none"/>
        </w:rPr>
        <w:t>可以</w:t>
      </w:r>
      <w:r>
        <w:rPr>
          <w:rFonts w:asciiTheme="minorEastAsia" w:hAnsiTheme="minorEastAsia" w:eastAsiaTheme="minorEastAsia" w:cstheme="minorEastAsia"/>
          <w:color w:val="auto"/>
          <w:highlight w:val="none"/>
        </w:rPr>
        <w:t>通过邮件或者其他方式提交电子备份文件</w:t>
      </w:r>
      <w:r>
        <w:rPr>
          <w:rFonts w:hint="eastAsia" w:asciiTheme="minorEastAsia" w:hAnsiTheme="minorEastAsia" w:eastAsiaTheme="minorEastAsia" w:cstheme="minorEastAsia"/>
          <w:color w:val="auto"/>
          <w:highlight w:val="none"/>
        </w:rPr>
        <w:t>；</w:t>
      </w:r>
    </w:p>
    <w:p>
      <w:pPr>
        <w:spacing w:before="168" w:line="360" w:lineRule="auto"/>
        <w:ind w:firstLine="428"/>
        <w:rPr>
          <w:color w:val="auto"/>
          <w:highlight w:val="none"/>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color w:val="auto"/>
          <w:highlight w:val="none"/>
        </w:rPr>
        <w:t>能够异常解密的前提是有投标供应商已上传了电子响应文件且未按时解密标书；系统生成电子响应文件时，生成两份，一个是投标用的电子响应文件，一个是备份电子响应文件；提供的备份电子响应文件要跟上传的电子响应文件是同一份，否则系统也不支持进行异常解密。</w:t>
      </w:r>
      <w:r>
        <w:rPr>
          <w:rFonts w:ascii="宋体" w:hAnsi="宋体" w:eastAsia="宋体" w:cs="宋体"/>
          <w:b/>
          <w:bCs/>
          <w:color w:val="auto"/>
          <w:spacing w:val="79"/>
          <w:highlight w:val="none"/>
        </w:rPr>
        <w:t xml:space="preserve"> </w:t>
      </w:r>
      <w:r>
        <w:rPr>
          <w:rFonts w:ascii="宋体" w:hAnsi="宋体" w:eastAsia="宋体" w:cs="宋体"/>
          <w:b/>
          <w:bCs/>
          <w:color w:val="auto"/>
          <w:spacing w:val="-3"/>
          <w:highlight w:val="none"/>
          <w:u w:val="single"/>
        </w:rPr>
        <w:t>供应商仅递</w:t>
      </w:r>
      <w:r>
        <w:rPr>
          <w:rFonts w:ascii="宋体" w:hAnsi="宋体" w:eastAsia="宋体" w:cs="宋体"/>
          <w:b/>
          <w:bCs/>
          <w:color w:val="auto"/>
          <w:spacing w:val="-18"/>
          <w:highlight w:val="none"/>
          <w:u w:val="single"/>
        </w:rPr>
        <w:t>交电子备份响应文件的，磋商无效。</w:t>
      </w:r>
      <w:r>
        <w:rPr>
          <w:rFonts w:ascii="宋体" w:hAnsi="宋体" w:eastAsia="宋体" w:cs="宋体"/>
          <w:b/>
          <w:bCs/>
          <w:color w:val="auto"/>
          <w:highlight w:val="none"/>
          <w:u w:val="single"/>
        </w:rPr>
        <w:t xml:space="preserve">  </w:t>
      </w:r>
    </w:p>
    <w:p>
      <w:pPr>
        <w:spacing w:before="105" w:line="360" w:lineRule="auto"/>
        <w:ind w:firstLine="50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12.响应文件的组成</w:t>
      </w:r>
    </w:p>
    <w:p>
      <w:pPr>
        <w:spacing w:before="121"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12.1响应文件由资格证明文件、报价文件、商务和技术文件三部分组成。</w:t>
      </w:r>
    </w:p>
    <w:p>
      <w:pPr>
        <w:spacing w:before="107" w:line="360" w:lineRule="auto"/>
        <w:ind w:firstLine="86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position w:val="7"/>
          <w:highlight w:val="none"/>
        </w:rPr>
        <w:t>12.1.1资格证明文件：详见须知前附表</w:t>
      </w:r>
    </w:p>
    <w:p>
      <w:pPr>
        <w:spacing w:before="120" w:line="360" w:lineRule="auto"/>
        <w:ind w:left="11" w:right="136" w:firstLine="821" w:firstLineChars="399"/>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12.1.2商务技术文件：详见须知前附表</w:t>
      </w:r>
    </w:p>
    <w:p>
      <w:pPr>
        <w:spacing w:before="120" w:line="360" w:lineRule="auto"/>
        <w:ind w:left="11" w:right="136" w:firstLine="821" w:firstLineChars="399"/>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12.1.3报价文件：详见须知前附表</w:t>
      </w:r>
    </w:p>
    <w:p>
      <w:pPr>
        <w:spacing w:before="120" w:line="360" w:lineRule="auto"/>
        <w:ind w:left="11" w:right="136" w:firstLine="821" w:firstLineChars="399"/>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12.2响应文件电子版：详见须知前附表</w:t>
      </w:r>
    </w:p>
    <w:p>
      <w:pPr>
        <w:spacing w:before="105" w:line="360" w:lineRule="auto"/>
        <w:ind w:firstLine="50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13.计量单位</w:t>
      </w:r>
    </w:p>
    <w:p>
      <w:pPr>
        <w:spacing w:before="69" w:line="360" w:lineRule="auto"/>
        <w:ind w:left="34" w:right="169" w:firstLine="40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磋商文件已有明确规定的，使用磋商文件规定的计量单位；磋商文件没有规定的，应采用</w:t>
      </w:r>
      <w:r>
        <w:rPr>
          <w:rFonts w:hint="eastAsia" w:asciiTheme="minorEastAsia" w:hAnsiTheme="minorEastAsia" w:eastAsiaTheme="minorEastAsia" w:cstheme="minorEastAsia"/>
          <w:color w:val="auto"/>
          <w:spacing w:val="-7"/>
          <w:highlight w:val="none"/>
        </w:rPr>
        <w:t>中华人民共和国法定计量单位，货币种类为人民币，否则视同未响应。</w:t>
      </w:r>
    </w:p>
    <w:p>
      <w:pPr>
        <w:spacing w:before="105" w:line="360" w:lineRule="auto"/>
        <w:ind w:firstLine="507"/>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14.竞标的风险</w:t>
      </w:r>
    </w:p>
    <w:p>
      <w:pPr>
        <w:spacing w:before="98" w:line="360" w:lineRule="auto"/>
        <w:ind w:left="15" w:right="166"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供应商没有按照磋商文件要求提供全部资料，或者供应商没有对磋商文件在各方面作出实</w:t>
      </w:r>
      <w:r>
        <w:rPr>
          <w:rFonts w:hint="eastAsia" w:asciiTheme="minorEastAsia" w:hAnsiTheme="minorEastAsia" w:eastAsiaTheme="minorEastAsia" w:cstheme="minorEastAsia"/>
          <w:color w:val="auto"/>
          <w:spacing w:val="-1"/>
          <w:highlight w:val="none"/>
        </w:rPr>
        <w:t>质性响应可能导致其响应无效，是供应商应当考虑的风险。</w:t>
      </w:r>
    </w:p>
    <w:p>
      <w:pPr>
        <w:spacing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15.响应报价要求和构成</w:t>
      </w:r>
    </w:p>
    <w:p>
      <w:pPr>
        <w:spacing w:before="99" w:line="360" w:lineRule="auto"/>
        <w:ind w:left="451" w:right="16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15.1响应报价应按“第五章响应文件格式”中“响应报价表”格式填写。</w:t>
      </w:r>
      <w:r>
        <w:rPr>
          <w:rFonts w:hint="eastAsia" w:asciiTheme="minorEastAsia" w:hAnsiTheme="minorEastAsia" w:eastAsiaTheme="minorEastAsia" w:cstheme="minorEastAsia"/>
          <w:color w:val="auto"/>
          <w:spacing w:val="-7"/>
          <w:highlight w:val="none"/>
        </w:rPr>
        <w:t>15.2响应报价的价格构成见“供应商须知前附表”。</w:t>
      </w:r>
    </w:p>
    <w:p>
      <w:pPr>
        <w:spacing w:before="2" w:line="360" w:lineRule="auto"/>
        <w:ind w:firstLine="45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15.3响应报价要求</w:t>
      </w:r>
    </w:p>
    <w:p>
      <w:pPr>
        <w:spacing w:before="85" w:line="360" w:lineRule="auto"/>
        <w:ind w:firstLine="45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15.3.1供应商的响应报价应符合以下要求，否则响应文件按无效响应处理：</w:t>
      </w:r>
    </w:p>
    <w:p>
      <w:pPr>
        <w:spacing w:before="107" w:line="360" w:lineRule="auto"/>
        <w:ind w:left="19"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（1）供应商必须就“采购需求”中所竞标的每个分标的全部内容分别作完整唯一总价报价，</w:t>
      </w:r>
      <w:r>
        <w:rPr>
          <w:rFonts w:hint="eastAsia" w:asciiTheme="minorEastAsia" w:hAnsiTheme="minorEastAsia" w:eastAsiaTheme="minorEastAsia" w:cstheme="minorEastAsia"/>
          <w:color w:val="auto"/>
          <w:spacing w:val="-6"/>
          <w:highlight w:val="none"/>
        </w:rPr>
        <w:t>不得存在漏项报价；</w:t>
      </w:r>
    </w:p>
    <w:p>
      <w:pPr>
        <w:spacing w:before="2" w:line="360" w:lineRule="auto"/>
        <w:ind w:firstLine="44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（2）供应商必须就所竞标的分标的单项内容作唯一报价。</w:t>
      </w:r>
    </w:p>
    <w:p>
      <w:pPr>
        <w:spacing w:before="84" w:line="360" w:lineRule="auto"/>
        <w:ind w:left="22" w:right="167"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15.3.2响应报价（包含首次报价、最后报价）超过所竞标分标规定的采购预算金额或者最</w:t>
      </w:r>
      <w:r>
        <w:rPr>
          <w:rFonts w:hint="eastAsia" w:asciiTheme="minorEastAsia" w:hAnsiTheme="minorEastAsia" w:eastAsiaTheme="minorEastAsia" w:cstheme="minorEastAsia"/>
          <w:color w:val="auto"/>
          <w:spacing w:val="-2"/>
          <w:highlight w:val="none"/>
        </w:rPr>
        <w:t>高限价的，其响应文件将作无效处理。</w:t>
      </w:r>
    </w:p>
    <w:p>
      <w:pPr>
        <w:spacing w:before="105" w:line="360" w:lineRule="auto"/>
        <w:ind w:left="29" w:right="167"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15.3.3响应报价（包含首次报价、最后报价）超过分项采购预算金额或者最高限价的，其</w:t>
      </w:r>
      <w:r>
        <w:rPr>
          <w:rFonts w:hint="eastAsia" w:asciiTheme="minorEastAsia" w:hAnsiTheme="minorEastAsia" w:eastAsiaTheme="minorEastAsia" w:cstheme="minorEastAsia"/>
          <w:color w:val="auto"/>
          <w:spacing w:val="-4"/>
          <w:highlight w:val="none"/>
        </w:rPr>
        <w:t>响应文件将作无效处理。</w:t>
      </w:r>
    </w:p>
    <w:p>
      <w:pPr>
        <w:spacing w:before="105"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16.竞标有效期</w:t>
      </w:r>
    </w:p>
    <w:p>
      <w:pPr>
        <w:spacing w:before="120" w:line="360" w:lineRule="auto"/>
        <w:ind w:left="16" w:right="165"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16.1竞标有效期是指为保证采购人有足够的时间在提交响应文件后完成评审、确定成交供</w:t>
      </w:r>
      <w:r>
        <w:rPr>
          <w:rFonts w:hint="eastAsia" w:asciiTheme="minorEastAsia" w:hAnsiTheme="minorEastAsia" w:eastAsiaTheme="minorEastAsia" w:cstheme="minorEastAsia"/>
          <w:color w:val="auto"/>
          <w:spacing w:val="-1"/>
          <w:highlight w:val="none"/>
        </w:rPr>
        <w:t>应商、合同签订等工作而要求供应商提交的响应文件在一定时间内保持有效的期限。</w:t>
      </w:r>
    </w:p>
    <w:p>
      <w:pPr>
        <w:spacing w:before="105" w:line="360" w:lineRule="auto"/>
        <w:ind w:firstLine="45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16.2竞标有效期应由供应商按“供应商须知前附表”规定的期限作出响应。</w:t>
      </w:r>
    </w:p>
    <w:p>
      <w:pPr>
        <w:spacing w:before="107" w:line="360" w:lineRule="auto"/>
        <w:ind w:firstLine="45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16.3供应商的响应文件在竞标有效期内均保持有效。</w:t>
      </w:r>
    </w:p>
    <w:p>
      <w:pPr>
        <w:spacing w:before="105"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17.磋商保证金</w:t>
      </w:r>
    </w:p>
    <w:p>
      <w:pPr>
        <w:spacing w:before="120" w:line="360" w:lineRule="auto"/>
        <w:ind w:firstLine="43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本项目不收取磋商保证金。</w:t>
      </w:r>
    </w:p>
    <w:p>
      <w:pPr>
        <w:spacing w:before="105"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18.响应文件编制的要求</w:t>
      </w:r>
    </w:p>
    <w:p>
      <w:pPr>
        <w:spacing w:before="123" w:line="360" w:lineRule="auto"/>
        <w:ind w:firstLine="45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18.1各供应商在编制响应文件时请按照磋商文件“第五章响应文件格式”规定的格式进</w:t>
      </w:r>
      <w:r>
        <w:rPr>
          <w:rFonts w:hint="eastAsia" w:asciiTheme="minorEastAsia" w:hAnsiTheme="minorEastAsia" w:eastAsiaTheme="minorEastAsia" w:cstheme="minorEastAsia"/>
          <w:color w:val="auto"/>
          <w:spacing w:val="-6"/>
          <w:highlight w:val="none"/>
        </w:rPr>
        <w:t>行，混乱的编排导致响应文件被误读或磋商小组查找不到有效文件是供应商的风险。不完整、编</w:t>
      </w:r>
      <w:r>
        <w:rPr>
          <w:rFonts w:hint="eastAsia" w:asciiTheme="minorEastAsia" w:hAnsiTheme="minorEastAsia" w:eastAsiaTheme="minorEastAsia" w:cstheme="minorEastAsia"/>
          <w:color w:val="auto"/>
          <w:spacing w:val="-5"/>
          <w:highlight w:val="none"/>
        </w:rPr>
        <w:t>排混乱导致响应文件被误读、漏读或者查找不到相关内容的，由此引发的后果由供应商承担。</w:t>
      </w:r>
    </w:p>
    <w:p>
      <w:pPr>
        <w:spacing w:before="105" w:line="360" w:lineRule="auto"/>
        <w:ind w:left="17" w:right="164" w:firstLine="43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18.2响应文件应按资格证明、报价分别编制，商务技术文件合并编制，本磋商接受电子</w:t>
      </w:r>
      <w:r>
        <w:rPr>
          <w:rFonts w:hint="eastAsia" w:asciiTheme="minorEastAsia" w:hAnsiTheme="minorEastAsia" w:eastAsiaTheme="minorEastAsia" w:cstheme="minorEastAsia"/>
          <w:color w:val="auto"/>
          <w:spacing w:val="-3"/>
          <w:highlight w:val="none"/>
        </w:rPr>
        <w:t>版响应文件及备份响应文件，要求见本章“12.2响应文件电子版要求”。</w:t>
      </w:r>
    </w:p>
    <w:p>
      <w:pPr>
        <w:spacing w:before="104" w:line="360" w:lineRule="auto"/>
        <w:ind w:left="16" w:right="164"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18.3响应文件须由供应商在“第五章响应文件格式”规定位置进行签署、盖章，否则其响</w:t>
      </w:r>
      <w:r>
        <w:rPr>
          <w:rFonts w:hint="eastAsia" w:asciiTheme="minorEastAsia" w:hAnsiTheme="minorEastAsia" w:eastAsiaTheme="minorEastAsia" w:cstheme="minorEastAsia"/>
          <w:color w:val="auto"/>
          <w:spacing w:val="-7"/>
          <w:highlight w:val="none"/>
        </w:rPr>
        <w:t>应文件按无效响应处理。骑缝盖公章不视为在规定位置盖章。</w:t>
      </w:r>
    </w:p>
    <w:p>
      <w:pPr>
        <w:spacing w:before="105" w:line="360" w:lineRule="auto"/>
        <w:ind w:left="22" w:right="162"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18.4响应文件中标注的供应商名称应与营业执照（事业单位法人证书、执业许可证、自然人</w:t>
      </w:r>
      <w:r>
        <w:rPr>
          <w:rFonts w:hint="eastAsia" w:asciiTheme="minorEastAsia" w:hAnsiTheme="minorEastAsia" w:eastAsiaTheme="minorEastAsia" w:cstheme="minorEastAsia"/>
          <w:color w:val="auto"/>
          <w:spacing w:val="-8"/>
          <w:highlight w:val="none"/>
        </w:rPr>
        <w:t>身份证）及电子公章一致，否则其响应文件按无效响应处理。</w:t>
      </w:r>
    </w:p>
    <w:p>
      <w:pPr>
        <w:spacing w:before="104" w:line="360" w:lineRule="auto"/>
        <w:ind w:firstLine="451"/>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18.5响应文件应避免涂改、行间插字或者删除，否则其响应文件按无效响应处理。</w:t>
      </w:r>
    </w:p>
    <w:p>
      <w:pPr>
        <w:spacing w:before="123" w:line="360" w:lineRule="auto"/>
        <w:ind w:firstLine="451"/>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 xml:space="preserve">18.6 </w:t>
      </w:r>
      <w:r>
        <w:rPr>
          <w:rFonts w:hint="eastAsia" w:asciiTheme="minorEastAsia" w:hAnsiTheme="minorEastAsia" w:eastAsiaTheme="minorEastAsia" w:cstheme="minorEastAsia"/>
          <w:color w:val="auto"/>
          <w:spacing w:val="2"/>
          <w:highlight w:val="none"/>
        </w:rPr>
        <w:t>电子响应文件中须加盖供应商公章部分均采用 CA 签章， 并根据“政府采购项目电子交易管理操作指南-供应商” 及本竞争性磋商文件规定的格式和顺序编制电子响应文件并进行关联定位，以便评标委员会在评审时，点击评分项可直接定位到该评分项内容。如对竞争性磋商文件的 某项要求，供应商的电子响应文件未能关联定位提供相应的内容与其对应，则磋商小组在评审时 如做出对供应商不利的评审由供应商自行承担。电子响应文件如内容不完整、编排混乱导致响应 文件被误读、漏读，或者在按采购文件规定的部位查找不到相关内容的，由供应商自行承担。</w:t>
      </w:r>
    </w:p>
    <w:p>
      <w:pPr>
        <w:spacing w:before="123" w:line="360" w:lineRule="auto"/>
        <w:ind w:firstLine="451"/>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18.7 .CA 签章上关于法人（负责人） 或授权代表签字信息，供应商在响应文件中涉及到签字的位置线下【签好字然后扫描或者拍照做成 PDF 的格式】或【通过政采云电子交易客户端使用 CA 法人（负责人）或授权代表签章】亦可。响应文件中涉及到签字的位置未按要求签字的，提供的材料视为无效。</w:t>
      </w:r>
    </w:p>
    <w:p>
      <w:pPr>
        <w:spacing w:before="123" w:line="360" w:lineRule="auto"/>
        <w:ind w:firstLine="451"/>
        <w:rPr>
          <w:rFonts w:asciiTheme="minorEastAsia" w:hAnsiTheme="minorEastAsia" w:eastAsiaTheme="minorEastAsia" w:cstheme="minorEastAsia"/>
          <w:color w:val="auto"/>
          <w:spacing w:val="-5"/>
          <w:highlight w:val="none"/>
        </w:rPr>
      </w:pPr>
      <w:r>
        <w:rPr>
          <w:rFonts w:hint="eastAsia" w:asciiTheme="minorEastAsia" w:hAnsiTheme="minorEastAsia" w:eastAsiaTheme="minorEastAsia" w:cstheme="minorEastAsia"/>
          <w:color w:val="auto"/>
          <w:spacing w:val="-5"/>
          <w:highlight w:val="none"/>
        </w:rPr>
        <w:t>18.8  响应文件不得涂改， 若有修改错漏处， 须加盖单位公章或者法定代表人（负责人） 或授权委托人签字或盖章。响应文件因字迹潦草或表达不清所引起的后果由供应商负责。</w:t>
      </w:r>
    </w:p>
    <w:p>
      <w:pPr>
        <w:spacing w:before="105"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19.响应文件的密封和标记</w:t>
      </w:r>
    </w:p>
    <w:p>
      <w:pPr>
        <w:spacing w:before="123" w:line="360" w:lineRule="auto"/>
        <w:ind w:left="15" w:right="165" w:firstLine="43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19.1供应商进行电子交易应安装客户端软件—“政采云电子交易客户端”，并按照磋商文</w:t>
      </w:r>
      <w:r>
        <w:rPr>
          <w:rFonts w:hint="eastAsia" w:asciiTheme="minorEastAsia" w:hAnsiTheme="minorEastAsia" w:eastAsiaTheme="minorEastAsia" w:cstheme="minorEastAsia"/>
          <w:color w:val="auto"/>
          <w:spacing w:val="-3"/>
          <w:highlight w:val="none"/>
        </w:rPr>
        <w:t>件和电子交易平台的要求编制并加密响应文件。供应商未按规定加密的响应文件，电子交易平</w:t>
      </w:r>
      <w:r>
        <w:rPr>
          <w:rFonts w:hint="eastAsia" w:asciiTheme="minorEastAsia" w:hAnsiTheme="minorEastAsia" w:eastAsiaTheme="minorEastAsia" w:cstheme="minorEastAsia"/>
          <w:color w:val="auto"/>
          <w:spacing w:val="-4"/>
          <w:highlight w:val="none"/>
        </w:rPr>
        <w:t>台将拒收并提示。</w:t>
      </w:r>
    </w:p>
    <w:p>
      <w:pPr>
        <w:spacing w:before="104" w:line="360" w:lineRule="auto"/>
        <w:ind w:left="22" w:right="173"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19.2使用“政采云电子交易客户端”需要提前申领CA数字证书</w:t>
      </w:r>
      <w:r>
        <w:rPr>
          <w:rFonts w:hint="eastAsia" w:asciiTheme="minorEastAsia" w:hAnsiTheme="minorEastAsia" w:eastAsiaTheme="minorEastAsia" w:cstheme="minorEastAsia"/>
          <w:color w:val="auto"/>
          <w:spacing w:val="-6"/>
          <w:highlight w:val="none"/>
        </w:rPr>
        <w:t>。</w:t>
      </w:r>
    </w:p>
    <w:p>
      <w:pPr>
        <w:spacing w:before="105" w:line="360" w:lineRule="auto"/>
        <w:ind w:right="197" w:firstLine="451"/>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1"/>
          <w:highlight w:val="none"/>
        </w:rPr>
        <w:t>19.3为确保网上操作合法、有效和安全，供应商应当在响应文件提交截止时间前完成在</w:t>
      </w:r>
      <w:r>
        <w:rPr>
          <w:rFonts w:hint="eastAsia" w:asciiTheme="minorEastAsia" w:hAnsiTheme="minorEastAsia" w:eastAsiaTheme="minorEastAsia" w:cstheme="minorEastAsia"/>
          <w:color w:val="auto"/>
          <w:spacing w:val="-2"/>
          <w:highlight w:val="none"/>
        </w:rPr>
        <w:t>“政府采购云平台”的身份认证，确保在电子交易过程中能够对相关数据电文进行加密和使用电子签名。</w:t>
      </w:r>
    </w:p>
    <w:p>
      <w:pPr>
        <w:spacing w:before="105" w:line="360" w:lineRule="auto"/>
        <w:ind w:firstLine="50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2"/>
          <w:sz w:val="24"/>
          <w:szCs w:val="24"/>
          <w:highlight w:val="none"/>
        </w:rPr>
        <w:t>20.响应文件的提交</w:t>
      </w:r>
    </w:p>
    <w:p>
      <w:pPr>
        <w:spacing w:before="69" w:line="360" w:lineRule="auto"/>
        <w:ind w:left="432" w:right="818"/>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20.1供应商必须在“供应商须知前附表”规定的时间和地点提交响应文件及备份响应文件。</w:t>
      </w:r>
    </w:p>
    <w:p>
      <w:pPr>
        <w:spacing w:before="69" w:line="360" w:lineRule="auto"/>
        <w:ind w:left="432" w:right="146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20.2在响应文件提交截止时间以后，不能补充、修改响应文件。</w:t>
      </w:r>
    </w:p>
    <w:p>
      <w:pPr>
        <w:spacing w:before="2"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20.3在提交“最后报价”后，供应商不能退出谈判。</w:t>
      </w:r>
    </w:p>
    <w:p>
      <w:pPr>
        <w:spacing w:before="84" w:line="360" w:lineRule="auto"/>
        <w:ind w:left="9" w:right="116"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20.4电子交易平台收到响应文件，将妥善保存并即时向供应商发出确认回执通知。在响应</w:t>
      </w:r>
      <w:r>
        <w:rPr>
          <w:rFonts w:hint="eastAsia" w:asciiTheme="minorEastAsia" w:hAnsiTheme="minorEastAsia" w:eastAsiaTheme="minorEastAsia" w:cstheme="minorEastAsia"/>
          <w:color w:val="auto"/>
          <w:spacing w:val="-6"/>
          <w:highlight w:val="none"/>
        </w:rPr>
        <w:t>文件提交截止时间前，除供应商补充、修改或者撤回响应文件外，任何单位和个人不得解密或</w:t>
      </w:r>
      <w:r>
        <w:rPr>
          <w:rFonts w:hint="eastAsia" w:asciiTheme="minorEastAsia" w:hAnsiTheme="minorEastAsia" w:eastAsiaTheme="minorEastAsia" w:cstheme="minorEastAsia"/>
          <w:color w:val="auto"/>
          <w:spacing w:val="-5"/>
          <w:highlight w:val="none"/>
        </w:rPr>
        <w:t>提取响应文件。</w:t>
      </w:r>
    </w:p>
    <w:p>
      <w:pPr>
        <w:spacing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position w:val="7"/>
          <w:highlight w:val="none"/>
        </w:rPr>
        <w:t>20.5采购机构不可视情况延长提交响应文件的截止时间。</w:t>
      </w:r>
    </w:p>
    <w:p>
      <w:pPr>
        <w:spacing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20.6备份响应文件。详见在“供应商须知前附表”。</w:t>
      </w:r>
    </w:p>
    <w:p>
      <w:pPr>
        <w:spacing w:before="81"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21.首次响应文件的补充、修改与撤回</w:t>
      </w:r>
    </w:p>
    <w:p>
      <w:pPr>
        <w:spacing w:before="122"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详见“供应商须知前附表”。</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22.首次响应文件的退回</w:t>
      </w:r>
    </w:p>
    <w:p>
      <w:pPr>
        <w:spacing w:before="120" w:line="360" w:lineRule="auto"/>
        <w:ind w:left="11" w:right="113" w:firstLine="4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在首次响应文件提交截止时间止提交响应文件的供应商不足3家时电子响应文件由代理机</w:t>
      </w:r>
      <w:r>
        <w:rPr>
          <w:rFonts w:hint="eastAsia" w:asciiTheme="minorEastAsia" w:hAnsiTheme="minorEastAsia" w:eastAsiaTheme="minorEastAsia" w:cstheme="minorEastAsia"/>
          <w:color w:val="auto"/>
          <w:spacing w:val="-3"/>
          <w:highlight w:val="none"/>
        </w:rPr>
        <w:t>构在“政采云”平台操作退回，除此之外采购人和采购代理机构对已提交的电子响应文件概不退回。</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23.截止时间后的撤回</w:t>
      </w:r>
    </w:p>
    <w:p>
      <w:pPr>
        <w:spacing w:before="123" w:line="360" w:lineRule="auto"/>
        <w:ind w:left="9" w:right="109"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本项目不收取磋商保证金，供应商在首次响应文件提交截止时间后可向采购人、采购代理机构书面申请撤回电子响应文件。</w:t>
      </w:r>
    </w:p>
    <w:p>
      <w:pPr>
        <w:spacing w:before="3" w:line="360" w:lineRule="auto"/>
        <w:ind w:firstLine="1004"/>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7"/>
          <w:sz w:val="32"/>
          <w:szCs w:val="32"/>
          <w:highlight w:val="none"/>
        </w:rPr>
        <w:t>四、评审及磋商</w:t>
      </w:r>
    </w:p>
    <w:p>
      <w:pPr>
        <w:spacing w:before="129"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24.磋商小组成立</w:t>
      </w:r>
    </w:p>
    <w:p>
      <w:pPr>
        <w:spacing w:before="124" w:line="360" w:lineRule="auto"/>
        <w:ind w:left="8" w:right="104"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24.1磋商小组由采购人代表和评审专家共3人以上单数组成，其中评审专家人数不得少于</w:t>
      </w:r>
      <w:r>
        <w:rPr>
          <w:rFonts w:hint="eastAsia" w:asciiTheme="minorEastAsia" w:hAnsiTheme="minorEastAsia" w:eastAsiaTheme="minorEastAsia" w:cstheme="minorEastAsia"/>
          <w:color w:val="auto"/>
          <w:spacing w:val="-2"/>
          <w:highlight w:val="none"/>
        </w:rPr>
        <w:t>磋商小组成员总数的2/3。采购人代表不得以评审专家身份参加本部门或者本单位采购项目的评</w:t>
      </w:r>
      <w:r>
        <w:rPr>
          <w:rFonts w:hint="eastAsia" w:asciiTheme="minorEastAsia" w:hAnsiTheme="minorEastAsia" w:eastAsiaTheme="minorEastAsia" w:cstheme="minorEastAsia"/>
          <w:color w:val="auto"/>
          <w:spacing w:val="-3"/>
          <w:highlight w:val="none"/>
        </w:rPr>
        <w:t>审。采购代理机构人员不得参加本机构代理的采购项目的评审。达到公开招标数额标准的货物或</w:t>
      </w:r>
      <w:r>
        <w:rPr>
          <w:rFonts w:hint="eastAsia" w:asciiTheme="minorEastAsia" w:hAnsiTheme="minorEastAsia" w:eastAsiaTheme="minorEastAsia" w:cstheme="minorEastAsia"/>
          <w:color w:val="auto"/>
          <w:spacing w:val="-6"/>
          <w:highlight w:val="none"/>
        </w:rPr>
        <w:t>者服务采购项目，或者达到公开招标规模标准的政府采购工程，经批准采用竞争性磋商方式采</w:t>
      </w:r>
      <w:r>
        <w:rPr>
          <w:rFonts w:hint="eastAsia" w:asciiTheme="minorEastAsia" w:hAnsiTheme="minorEastAsia" w:eastAsiaTheme="minorEastAsia" w:cstheme="minorEastAsia"/>
          <w:color w:val="auto"/>
          <w:spacing w:val="-3"/>
          <w:highlight w:val="none"/>
        </w:rPr>
        <w:t>购的，磋商小组由5人以上单数组成。</w:t>
      </w:r>
    </w:p>
    <w:p>
      <w:pPr>
        <w:spacing w:before="105" w:line="360" w:lineRule="auto"/>
        <w:ind w:left="9" w:right="104"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24.2评审专家应当从政府采购评审专家库内相关专业的专家名单中随机抽取。市场竞争不</w:t>
      </w:r>
      <w:r>
        <w:rPr>
          <w:rFonts w:hint="eastAsia" w:asciiTheme="minorEastAsia" w:hAnsiTheme="minorEastAsia" w:eastAsiaTheme="minorEastAsia" w:cstheme="minorEastAsia"/>
          <w:color w:val="auto"/>
          <w:spacing w:val="-7"/>
          <w:highlight w:val="none"/>
        </w:rPr>
        <w:t>充分的科研项目，以及需要扶持的科技成果转化项目，以及情况特殊、通过随机方式难以确定</w:t>
      </w:r>
      <w:r>
        <w:rPr>
          <w:rFonts w:hint="eastAsia" w:asciiTheme="minorEastAsia" w:hAnsiTheme="minorEastAsia" w:eastAsiaTheme="minorEastAsia" w:cstheme="minorEastAsia"/>
          <w:color w:val="auto"/>
          <w:spacing w:val="-5"/>
          <w:highlight w:val="none"/>
        </w:rPr>
        <w:t>合适的评审专家的项目，经主管预算单位同意，可以自行选定评审专家。技术复杂、专业性强的</w:t>
      </w:r>
      <w:r>
        <w:rPr>
          <w:rFonts w:hint="eastAsia" w:asciiTheme="minorEastAsia" w:hAnsiTheme="minorEastAsia" w:eastAsiaTheme="minorEastAsia" w:cstheme="minorEastAsia"/>
          <w:color w:val="auto"/>
          <w:spacing w:val="-3"/>
          <w:highlight w:val="none"/>
        </w:rPr>
        <w:t>采购项目，评审专家中应当包含1名法律专家。</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25.首次响应文件的开启</w:t>
      </w:r>
    </w:p>
    <w:p>
      <w:pPr>
        <w:spacing w:before="120" w:line="360" w:lineRule="auto"/>
        <w:ind w:left="432"/>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25.1首次响应文件由磋商小组或者采购代理机构在“供应商须知前附表”规定的时间开启。</w:t>
      </w:r>
    </w:p>
    <w:p>
      <w:pPr>
        <w:spacing w:before="120" w:line="360" w:lineRule="auto"/>
        <w:ind w:left="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25.2响应文件解密</w:t>
      </w:r>
    </w:p>
    <w:p>
      <w:pPr>
        <w:spacing w:before="104" w:line="360" w:lineRule="auto"/>
        <w:ind w:left="7" w:right="108" w:firstLine="421"/>
        <w:rPr>
          <w:rFonts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spacing w:val="2"/>
          <w:highlight w:val="none"/>
        </w:rPr>
        <w:t>采购代理机构将在“供应商须知前附表”规定的时间通过电子交易平台组织响应文件开启采购机构依托电子交易平台发起开始解密指令，供应商的法定代表人或其委托代理人须携带加</w:t>
      </w:r>
      <w:r>
        <w:rPr>
          <w:rFonts w:hint="eastAsia" w:asciiTheme="minorEastAsia" w:hAnsiTheme="minorEastAsia" w:eastAsiaTheme="minorEastAsia" w:cstheme="minorEastAsia"/>
          <w:color w:val="auto"/>
          <w:spacing w:val="-2"/>
          <w:highlight w:val="none"/>
        </w:rPr>
        <w:t>密时所用的CA锁按平台提示和采购文件的规定登录到“政采云”平台电子开标大厅签到并在发</w:t>
      </w:r>
      <w:r>
        <w:rPr>
          <w:rFonts w:hint="eastAsia" w:asciiTheme="minorEastAsia" w:hAnsiTheme="minorEastAsia" w:eastAsiaTheme="minorEastAsia" w:cstheme="minorEastAsia"/>
          <w:color w:val="auto"/>
          <w:spacing w:val="-1"/>
          <w:highlight w:val="none"/>
        </w:rPr>
        <w:t>起解密指令之时起30分钟内完成对电子响应文件在线解密。发起解密指令之时起5分钟内供应</w:t>
      </w:r>
      <w:r>
        <w:rPr>
          <w:rFonts w:hint="eastAsia" w:asciiTheme="minorEastAsia" w:hAnsiTheme="minorEastAsia" w:eastAsiaTheme="minorEastAsia" w:cstheme="minorEastAsia"/>
          <w:color w:val="auto"/>
          <w:spacing w:val="-2"/>
          <w:highlight w:val="none"/>
        </w:rPr>
        <w:t>商还未进行解密的，代理机构要通知供应商，供应商没预留联系方式或预留联系方式无效，导</w:t>
      </w:r>
      <w:r>
        <w:rPr>
          <w:rFonts w:hint="eastAsia" w:asciiTheme="minorEastAsia" w:hAnsiTheme="minorEastAsia" w:eastAsiaTheme="minorEastAsia" w:cstheme="minorEastAsia"/>
          <w:color w:val="auto"/>
          <w:spacing w:val="-5"/>
          <w:highlight w:val="none"/>
        </w:rPr>
        <w:t>致代理机构无法联系到供应商进行解密的，视为响应文件无效。（解密异常情况处理：详见本</w:t>
      </w:r>
      <w:r>
        <w:rPr>
          <w:rFonts w:hint="eastAsia" w:asciiTheme="minorEastAsia" w:hAnsiTheme="minorEastAsia" w:eastAsiaTheme="minorEastAsia" w:cstheme="minorEastAsia"/>
          <w:color w:val="auto"/>
          <w:spacing w:val="-3"/>
          <w:highlight w:val="none"/>
        </w:rPr>
        <w:t>章26.3电子交易活动的中止。）</w:t>
      </w:r>
    </w:p>
    <w:p>
      <w:pPr>
        <w:spacing w:before="104" w:line="360" w:lineRule="auto"/>
        <w:ind w:left="7" w:right="108" w:firstLine="421"/>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磋商供应商在规定的时间内无法完成已递交的“电子加密响应文件”解密的</w:t>
      </w:r>
      <w:r>
        <w:rPr>
          <w:rFonts w:ascii="宋体" w:hAnsi="宋体" w:eastAsia="宋体" w:cs="宋体"/>
          <w:color w:val="auto"/>
          <w:spacing w:val="-3"/>
          <w:highlight w:val="none"/>
        </w:rPr>
        <w:t>，</w:t>
      </w:r>
      <w:r>
        <w:rPr>
          <w:rFonts w:asciiTheme="minorEastAsia" w:hAnsiTheme="minorEastAsia" w:eastAsiaTheme="minorEastAsia" w:cstheme="minorEastAsia"/>
          <w:color w:val="auto"/>
          <w:highlight w:val="none"/>
        </w:rPr>
        <w:t>请与代理机构</w:t>
      </w:r>
      <w:r>
        <w:rPr>
          <w:rFonts w:hint="eastAsia" w:asciiTheme="minorEastAsia" w:hAnsiTheme="minorEastAsia" w:eastAsiaTheme="minorEastAsia" w:cstheme="minorEastAsia"/>
          <w:color w:val="auto"/>
          <w:highlight w:val="none"/>
        </w:rPr>
        <w:t>联系，</w:t>
      </w:r>
      <w:r>
        <w:rPr>
          <w:rFonts w:hint="eastAsia" w:asciiTheme="minorEastAsia" w:hAnsiTheme="minorEastAsia" w:eastAsiaTheme="minorEastAsia" w:cstheme="minorEastAsia"/>
          <w:color w:val="auto"/>
          <w:highlight w:val="none"/>
          <w:lang w:val="en-US" w:eastAsia="zh-CN"/>
        </w:rPr>
        <w:t>由</w:t>
      </w:r>
      <w:r>
        <w:rPr>
          <w:rFonts w:hint="eastAsia" w:asciiTheme="minorEastAsia" w:hAnsiTheme="minorEastAsia" w:eastAsiaTheme="minorEastAsia" w:cstheme="minorEastAsia"/>
          <w:color w:val="auto"/>
          <w:highlight w:val="none"/>
        </w:rPr>
        <w:t>代理机构向</w:t>
      </w:r>
      <w:r>
        <w:rPr>
          <w:rFonts w:asciiTheme="minorEastAsia" w:hAnsiTheme="minorEastAsia" w:eastAsiaTheme="minorEastAsia" w:cstheme="minorEastAsia"/>
          <w:color w:val="auto"/>
          <w:highlight w:val="none"/>
        </w:rPr>
        <w:t>项目归属监督部门备案后</w:t>
      </w:r>
      <w:r>
        <w:rPr>
          <w:rFonts w:hint="eastAsia" w:asciiTheme="minorEastAsia" w:hAnsiTheme="minorEastAsia" w:eastAsiaTheme="minorEastAsia" w:cstheme="minorEastAsia"/>
          <w:color w:val="auto"/>
          <w:highlight w:val="none"/>
        </w:rPr>
        <w:t>可以</w:t>
      </w:r>
      <w:r>
        <w:rPr>
          <w:rFonts w:asciiTheme="minorEastAsia" w:hAnsiTheme="minorEastAsia" w:eastAsiaTheme="minorEastAsia" w:cstheme="minorEastAsia"/>
          <w:color w:val="auto"/>
          <w:highlight w:val="none"/>
        </w:rPr>
        <w:t>通过邮件或者其他方式提交电子备份文件</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1"/>
          <w:highlight w:val="none"/>
        </w:rPr>
        <w:t>如已按规定递交了电子备份响应文件的，将由采购组织机构按“政府 采购云平台”操作规范将备份响应文件上传至“政府采购云平台”，上传成功后，“电子加密响应文件”自动失效。如未提供备份电子响应文件，将不进行再次解密程序。 无法按时解密，供应商递交了电子备份响应文件的，以电子备份响应文件为依据，否则视为响应文件撤回。在线解密时间为 30 分钟。</w:t>
      </w:r>
    </w:p>
    <w:p>
      <w:pPr>
        <w:spacing w:before="1" w:line="360" w:lineRule="auto"/>
        <w:ind w:left="11" w:right="106"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如供应商成功解密响应文件，但未在“政采云”电子开标大厅参加谈判的，视同认可谈判</w:t>
      </w:r>
      <w:r>
        <w:rPr>
          <w:rFonts w:hint="eastAsia" w:asciiTheme="minorEastAsia" w:hAnsiTheme="minorEastAsia" w:eastAsiaTheme="minorEastAsia" w:cstheme="minorEastAsia"/>
          <w:color w:val="auto"/>
          <w:spacing w:val="-5"/>
          <w:highlight w:val="none"/>
        </w:rPr>
        <w:t>过程和结果，由此产生的后果由供应商自行负责。参与谈判的供应商不足3家的，不得谈判。</w:t>
      </w:r>
    </w:p>
    <w:p>
      <w:pPr>
        <w:spacing w:before="1"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26.评审程序、评审方法和评审标准</w:t>
      </w:r>
    </w:p>
    <w:p>
      <w:pPr>
        <w:spacing w:before="99" w:line="360" w:lineRule="auto"/>
        <w:ind w:left="10" w:right="104"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26.1磋商小组按照“第四章评审程序、评审方法和评审标准”规定的方法、评审因素、标准</w:t>
      </w:r>
      <w:r>
        <w:rPr>
          <w:rFonts w:hint="eastAsia" w:asciiTheme="minorEastAsia" w:hAnsiTheme="minorEastAsia" w:eastAsiaTheme="minorEastAsia" w:cstheme="minorEastAsia"/>
          <w:color w:val="auto"/>
          <w:spacing w:val="-1"/>
          <w:highlight w:val="none"/>
        </w:rPr>
        <w:t>和程序对响应文件进行评审。</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26.2采购需求负偏离要求及磋商顺序详见“供应商须知前附表”。</w:t>
      </w:r>
    </w:p>
    <w:p>
      <w:pPr>
        <w:spacing w:before="69" w:line="360" w:lineRule="auto"/>
        <w:ind w:left="12" w:right="69"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26.3电子交易活动的中止。采购过程中出现以下情形，导致电子交易平台无法正常运行，或者无法保证电子交易的公平、公正和安全时，采购机构可中止电子交易活动：</w:t>
      </w:r>
    </w:p>
    <w:p>
      <w:pPr>
        <w:spacing w:before="2"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（1）电子交易平台发生故障而无法登录访问的；</w:t>
      </w:r>
    </w:p>
    <w:p>
      <w:pPr>
        <w:spacing w:before="8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（2）电子交易平台应用或数据库出现错误，不能进行正常操作的；</w:t>
      </w:r>
    </w:p>
    <w:p>
      <w:pPr>
        <w:spacing w:before="106"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（3）电子交易平台发现严重安全漏洞，有潜在泄密危险的；</w:t>
      </w:r>
    </w:p>
    <w:p>
      <w:pPr>
        <w:spacing w:before="10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（4）病毒发作导致不能进行正常操作的；</w:t>
      </w:r>
    </w:p>
    <w:p>
      <w:pPr>
        <w:spacing w:before="107"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（4）其他无法保证电子交易的公平、公正和安全的情况。</w:t>
      </w:r>
    </w:p>
    <w:p>
      <w:pPr>
        <w:spacing w:before="104"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26.4出现以上情形，不影响采购公平、公正性的，采购组织机构可以待上述情形消除后继</w:t>
      </w:r>
      <w:r>
        <w:rPr>
          <w:rFonts w:hint="eastAsia" w:asciiTheme="minorEastAsia" w:hAnsiTheme="minorEastAsia" w:eastAsiaTheme="minorEastAsia" w:cstheme="minorEastAsia"/>
          <w:color w:val="auto"/>
          <w:spacing w:val="-10"/>
          <w:highlight w:val="none"/>
        </w:rPr>
        <w:t>续组织电子交易活动；影响或可能影响采购公平、公正性的，经采购代理机构确认后，应当重</w:t>
      </w:r>
      <w:r>
        <w:rPr>
          <w:rFonts w:hint="eastAsia" w:asciiTheme="minorEastAsia" w:hAnsiTheme="minorEastAsia" w:eastAsiaTheme="minorEastAsia" w:cstheme="minorEastAsia"/>
          <w:color w:val="auto"/>
          <w:spacing w:val="-5"/>
          <w:highlight w:val="none"/>
        </w:rPr>
        <w:t>新采购。采购代理机构必须对原有的资料及信息作出妥善保密处理，并报财政部门备案。</w:t>
      </w:r>
    </w:p>
    <w:p>
      <w:pPr>
        <w:spacing w:before="3" w:line="360" w:lineRule="auto"/>
        <w:ind w:firstLine="499"/>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五、成交及合同</w:t>
      </w:r>
    </w:p>
    <w:p>
      <w:pPr>
        <w:spacing w:before="129"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27.确定成交供应商及结果公告</w:t>
      </w:r>
    </w:p>
    <w:p>
      <w:pPr>
        <w:spacing w:before="123" w:line="360" w:lineRule="auto"/>
        <w:ind w:left="13" w:right="23" w:firstLine="4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27.1确定成交供应商。</w:t>
      </w:r>
      <w:r>
        <w:rPr>
          <w:rFonts w:hint="eastAsia" w:asciiTheme="minorEastAsia" w:hAnsiTheme="minorEastAsia" w:eastAsiaTheme="minorEastAsia" w:cstheme="minorEastAsia"/>
          <w:color w:val="auto"/>
          <w:spacing w:val="-5"/>
          <w:highlight w:val="none"/>
          <w:u w:val="single"/>
        </w:rPr>
        <w:t>由采购人直接委托评审专家确定，评审报告提出的排序第一的供应</w:t>
      </w:r>
      <w:r>
        <w:rPr>
          <w:rFonts w:hint="eastAsia" w:asciiTheme="minorEastAsia" w:hAnsiTheme="minorEastAsia" w:eastAsiaTheme="minorEastAsia" w:cstheme="minorEastAsia"/>
          <w:color w:val="auto"/>
          <w:spacing w:val="-19"/>
          <w:highlight w:val="none"/>
          <w:u w:val="single"/>
        </w:rPr>
        <w:t>商为成交供应商。</w:t>
      </w:r>
    </w:p>
    <w:p>
      <w:pPr>
        <w:spacing w:before="4" w:line="360" w:lineRule="auto"/>
        <w:ind w:left="9" w:right="21"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27.2成交通知及成交结果公告。成交供应商确定后2个工作日内，在省级以上财政部门指</w:t>
      </w:r>
      <w:r>
        <w:rPr>
          <w:rFonts w:hint="eastAsia" w:asciiTheme="minorEastAsia" w:hAnsiTheme="minorEastAsia" w:eastAsiaTheme="minorEastAsia" w:cstheme="minorEastAsia"/>
          <w:color w:val="auto"/>
          <w:spacing w:val="-2"/>
          <w:highlight w:val="none"/>
        </w:rPr>
        <w:t>定的媒体上公告成交结果（成交通知及成交结果公告应使用公告模板进行公告，公告内容除</w:t>
      </w:r>
      <w:r>
        <w:rPr>
          <w:rFonts w:hint="eastAsia" w:asciiTheme="minorEastAsia" w:hAnsiTheme="minorEastAsia" w:eastAsiaTheme="minorEastAsia" w:cstheme="minorEastAsia"/>
          <w:color w:val="auto"/>
          <w:spacing w:val="-7"/>
          <w:highlight w:val="none"/>
        </w:rPr>
        <w:t>包含《政府采购公告和公示信息格式规范（2020年版）》要求内容外，还应包含采购人专门面向</w:t>
      </w:r>
      <w:r>
        <w:rPr>
          <w:rFonts w:hint="eastAsia" w:asciiTheme="minorEastAsia" w:hAnsiTheme="minorEastAsia" w:eastAsiaTheme="minorEastAsia" w:cstheme="minorEastAsia"/>
          <w:color w:val="auto"/>
          <w:spacing w:val="-3"/>
          <w:highlight w:val="none"/>
        </w:rPr>
        <w:t>中小企业预留份额情况及成交供应商评审价格、优惠率等内容</w:t>
      </w:r>
      <w:r>
        <w:rPr>
          <w:rFonts w:hint="eastAsia" w:asciiTheme="minorEastAsia" w:hAnsiTheme="minorEastAsia" w:eastAsiaTheme="minorEastAsia" w:cstheme="minorEastAsia"/>
          <w:color w:val="auto"/>
          <w:spacing w:val="-58"/>
          <w:highlight w:val="none"/>
        </w:rPr>
        <w:t>），</w:t>
      </w:r>
      <w:r>
        <w:rPr>
          <w:rFonts w:hint="eastAsia" w:asciiTheme="minorEastAsia" w:hAnsiTheme="minorEastAsia" w:eastAsiaTheme="minorEastAsia" w:cstheme="minorEastAsia"/>
          <w:color w:val="auto"/>
          <w:spacing w:val="-3"/>
          <w:highlight w:val="none"/>
        </w:rPr>
        <w:t>同时向成交供应商发出成交通知书，成交通知书规定签订合同的时间不得超过25日。</w:t>
      </w:r>
    </w:p>
    <w:p>
      <w:pPr>
        <w:spacing w:before="108" w:line="360" w:lineRule="auto"/>
        <w:ind w:left="9"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27.3采购人或者采购代理机构发出成交通知书前，应当对成交供应商信用进行查询核实，</w:t>
      </w:r>
      <w:r>
        <w:rPr>
          <w:rFonts w:hint="eastAsia" w:asciiTheme="minorEastAsia" w:hAnsiTheme="minorEastAsia" w:eastAsiaTheme="minorEastAsia" w:cstheme="minorEastAsia"/>
          <w:color w:val="auto"/>
          <w:spacing w:val="-5"/>
          <w:highlight w:val="none"/>
        </w:rPr>
        <w:t>对列入失信被执行人、重大税收违法案件当事人名单、政府采购严重违法失信行为记录名单及其</w:t>
      </w:r>
      <w:r>
        <w:rPr>
          <w:rFonts w:hint="eastAsia" w:asciiTheme="minorEastAsia" w:hAnsiTheme="minorEastAsia" w:eastAsiaTheme="minorEastAsia" w:cstheme="minorEastAsia"/>
          <w:color w:val="auto"/>
          <w:spacing w:val="-12"/>
          <w:highlight w:val="none"/>
        </w:rPr>
        <w:t>他不符合《中华人民共和国政府采购法》第二十二条规定条件的供应商，取消其成交资格，并确</w:t>
      </w:r>
      <w:r>
        <w:rPr>
          <w:rFonts w:hint="eastAsia" w:asciiTheme="minorEastAsia" w:hAnsiTheme="minorEastAsia" w:eastAsiaTheme="minorEastAsia" w:cstheme="minorEastAsia"/>
          <w:color w:val="auto"/>
          <w:spacing w:val="-2"/>
          <w:highlight w:val="none"/>
        </w:rPr>
        <w:t>定排名第二的成交候选人为成交供应商。排名第二的成交候选人因上述规定的同样原因被取消</w:t>
      </w:r>
      <w:r>
        <w:rPr>
          <w:rFonts w:hint="eastAsia" w:asciiTheme="minorEastAsia" w:hAnsiTheme="minorEastAsia" w:eastAsiaTheme="minorEastAsia" w:cstheme="minorEastAsia"/>
          <w:color w:val="auto"/>
          <w:spacing w:val="-7"/>
          <w:highlight w:val="none"/>
        </w:rPr>
        <w:t>成交资格的，采购人可以确定排名第三的成交候选人为成交供应商，以此类推。以上信息查询</w:t>
      </w:r>
      <w:r>
        <w:rPr>
          <w:rFonts w:hint="eastAsia" w:asciiTheme="minorEastAsia" w:hAnsiTheme="minorEastAsia" w:eastAsiaTheme="minorEastAsia" w:cstheme="minorEastAsia"/>
          <w:color w:val="auto"/>
          <w:spacing w:val="-4"/>
          <w:highlight w:val="none"/>
        </w:rPr>
        <w:t>记录及相关证据与竞磋文件一并保存。成交供应商享受《政府采购促进中小企业发展管理办法》</w:t>
      </w:r>
      <w:r>
        <w:rPr>
          <w:rFonts w:hint="eastAsia" w:asciiTheme="minorEastAsia" w:hAnsiTheme="minorEastAsia" w:eastAsiaTheme="minorEastAsia" w:cstheme="minorEastAsia"/>
          <w:color w:val="auto"/>
          <w:spacing w:val="-6"/>
          <w:highlight w:val="none"/>
        </w:rPr>
        <w:t>（财库〔2020〕46号）规定的中小企业扶持政策的，采购人、采购代理机构应当随成交结果公开</w:t>
      </w:r>
      <w:r>
        <w:rPr>
          <w:rFonts w:hint="eastAsia" w:asciiTheme="minorEastAsia" w:hAnsiTheme="minorEastAsia" w:eastAsiaTheme="minorEastAsia" w:cstheme="minorEastAsia"/>
          <w:color w:val="auto"/>
          <w:spacing w:val="-2"/>
          <w:highlight w:val="none"/>
        </w:rPr>
        <w:t>成交供应商的《中小企业声明函》。</w:t>
      </w:r>
    </w:p>
    <w:p>
      <w:pPr>
        <w:spacing w:before="105" w:line="360" w:lineRule="auto"/>
        <w:ind w:left="10" w:right="21"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27.4采购人、采购代理机构认为供应商对采购过程、成交结果提出的质疑成立且影响或者可</w:t>
      </w:r>
      <w:r>
        <w:rPr>
          <w:rFonts w:hint="eastAsia" w:asciiTheme="minorEastAsia" w:hAnsiTheme="minorEastAsia" w:eastAsiaTheme="minorEastAsia" w:cstheme="minorEastAsia"/>
          <w:color w:val="auto"/>
          <w:spacing w:val="-6"/>
          <w:highlight w:val="none"/>
        </w:rPr>
        <w:t>能影响成交结果的，合格供应商符合法定数量时，可以从合格的成交候选人中另行确定成交供应商的，应当依法另行确定成交供应商；否则应当重新开展采购活动。</w:t>
      </w:r>
    </w:p>
    <w:p>
      <w:pPr>
        <w:spacing w:line="360" w:lineRule="auto"/>
        <w:ind w:left="12" w:right="23"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27.5排名第一的成交候选人放弃成交、因不可抗力提出不能履行合同，采购人可以确定排</w:t>
      </w:r>
      <w:r>
        <w:rPr>
          <w:rFonts w:hint="eastAsia" w:asciiTheme="minorEastAsia" w:hAnsiTheme="minorEastAsia" w:eastAsiaTheme="minorEastAsia" w:cstheme="minorEastAsia"/>
          <w:color w:val="auto"/>
          <w:spacing w:val="-2"/>
          <w:highlight w:val="none"/>
        </w:rPr>
        <w:t>名第二的成交候选人为成交供应商。排名第二的成交候选人因前款规定的同样原因不能签订合同的，采购人可以确定排名第三的成交候选人为成交供应商。</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28.履约保证金</w:t>
      </w:r>
    </w:p>
    <w:p>
      <w:pPr>
        <w:spacing w:before="121"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详见“供应商须知前附表”</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29.签订合同</w:t>
      </w:r>
    </w:p>
    <w:p>
      <w:pPr>
        <w:spacing w:before="122" w:line="360" w:lineRule="auto"/>
        <w:ind w:left="12" w:right="23"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29.1采购人与成交供应商应当在成交通知书规定的时间内，按照磋商文件确定的合同文本</w:t>
      </w:r>
      <w:r>
        <w:rPr>
          <w:rFonts w:hint="eastAsia" w:asciiTheme="minorEastAsia" w:hAnsiTheme="minorEastAsia" w:eastAsiaTheme="minorEastAsia" w:cstheme="minorEastAsia"/>
          <w:color w:val="auto"/>
          <w:spacing w:val="-12"/>
          <w:highlight w:val="none"/>
        </w:rPr>
        <w:t>以及采购标的、服务技术、采购金额、采购数量、技术和服务要求等事项签订政府采购合同。如成</w:t>
      </w:r>
      <w:r>
        <w:rPr>
          <w:rFonts w:hint="eastAsia" w:asciiTheme="minorEastAsia" w:hAnsiTheme="minorEastAsia" w:eastAsiaTheme="minorEastAsia" w:cstheme="minorEastAsia"/>
          <w:color w:val="auto"/>
          <w:spacing w:val="-1"/>
          <w:highlight w:val="none"/>
        </w:rPr>
        <w:t>交供应商为联合体的，由联合体成员各方法定代表人或其授权代表与采购人代表签订合同。</w:t>
      </w:r>
    </w:p>
    <w:p>
      <w:pPr>
        <w:spacing w:before="105" w:line="360" w:lineRule="auto"/>
        <w:ind w:left="10" w:right="21"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29.2采购人不得向成交供应商提出超出磋商文件以外的任何要求作为签订合同的条件，不得与成交供应商订立背离磋商文件确定的合同文本以及采购标的、服务技术、采购金额、采购数</w:t>
      </w:r>
      <w:r>
        <w:rPr>
          <w:rFonts w:hint="eastAsia" w:asciiTheme="minorEastAsia" w:hAnsiTheme="minorEastAsia" w:eastAsiaTheme="minorEastAsia" w:cstheme="minorEastAsia"/>
          <w:color w:val="auto"/>
          <w:spacing w:val="-8"/>
          <w:highlight w:val="none"/>
        </w:rPr>
        <w:t>量、技术和服务要求等实质性内容的协议。</w:t>
      </w:r>
    </w:p>
    <w:p>
      <w:pPr>
        <w:spacing w:line="360" w:lineRule="auto"/>
        <w:ind w:left="11" w:right="24"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29.3成交供应商拒绝签订政府采购合同的，采购人可以按照评审报告推荐的成交候选人名</w:t>
      </w:r>
      <w:r>
        <w:rPr>
          <w:rFonts w:hint="eastAsia" w:asciiTheme="minorEastAsia" w:hAnsiTheme="minorEastAsia" w:eastAsiaTheme="minorEastAsia" w:cstheme="minorEastAsia"/>
          <w:color w:val="auto"/>
          <w:spacing w:val="-6"/>
          <w:highlight w:val="none"/>
        </w:rPr>
        <w:t>单排序，确定下一候选人为成交供应商，也可以重新开展采购活动。拒绝签订政府采购合同的</w:t>
      </w:r>
      <w:r>
        <w:rPr>
          <w:rFonts w:hint="eastAsia" w:asciiTheme="minorEastAsia" w:hAnsiTheme="minorEastAsia" w:eastAsiaTheme="minorEastAsia" w:cstheme="minorEastAsia"/>
          <w:color w:val="auto"/>
          <w:spacing w:val="-1"/>
          <w:highlight w:val="none"/>
        </w:rPr>
        <w:t>成交供应商不得参加对该项目重新开展的采购活动。</w:t>
      </w:r>
    </w:p>
    <w:p>
      <w:pPr>
        <w:spacing w:line="360" w:lineRule="auto"/>
        <w:ind w:left="11" w:right="24" w:firstLine="420"/>
        <w:rPr>
          <w:rFonts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spacing w:val="-3"/>
          <w:highlight w:val="none"/>
        </w:rPr>
        <w:t>29.4如签订合同并生效后，供应商无故拒绝或延期，除按照合同条款处理外，列入不良行为记录，并给予通报。</w:t>
      </w:r>
    </w:p>
    <w:p>
      <w:pPr>
        <w:spacing w:before="2" w:line="360" w:lineRule="auto"/>
        <w:ind w:left="18" w:right="165" w:firstLine="4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29.5采购合同由采购人与成交供应商根据磋商文件、响应文件等内容通过政府采购电子交</w:t>
      </w:r>
      <w:r>
        <w:rPr>
          <w:rFonts w:hint="eastAsia" w:asciiTheme="minorEastAsia" w:hAnsiTheme="minorEastAsia" w:eastAsiaTheme="minorEastAsia" w:cstheme="minorEastAsia"/>
          <w:color w:val="auto"/>
          <w:spacing w:val="-2"/>
          <w:highlight w:val="none"/>
        </w:rPr>
        <w:t>易平台在线签订，自动备案，在线签订须携带的材料见“供应商须知前附表”。</w:t>
      </w:r>
    </w:p>
    <w:p>
      <w:pPr>
        <w:spacing w:before="27" w:line="360" w:lineRule="auto"/>
        <w:ind w:firstLine="494"/>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30.政府采购合同公告</w:t>
      </w:r>
    </w:p>
    <w:p>
      <w:pPr>
        <w:spacing w:before="127" w:line="360" w:lineRule="auto"/>
        <w:ind w:left="8" w:right="171"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采购人或者受托采购代理机构应当自政府采购合同签订之日起2个工作日内，将政府采购</w:t>
      </w:r>
      <w:r>
        <w:rPr>
          <w:rFonts w:hint="eastAsia" w:asciiTheme="minorEastAsia" w:hAnsiTheme="minorEastAsia" w:eastAsiaTheme="minorEastAsia" w:cstheme="minorEastAsia"/>
          <w:color w:val="auto"/>
          <w:spacing w:val="-4"/>
          <w:highlight w:val="none"/>
        </w:rPr>
        <w:t>合同在以下媒体上发布“广西政府采购网”（http://zfcg.gxzf.gov.cn）上公告，但政府采</w:t>
      </w:r>
      <w:r>
        <w:rPr>
          <w:rFonts w:hint="eastAsia" w:asciiTheme="minorEastAsia" w:hAnsiTheme="minorEastAsia" w:eastAsiaTheme="minorEastAsia" w:cstheme="minorEastAsia"/>
          <w:color w:val="auto"/>
          <w:spacing w:val="-2"/>
          <w:highlight w:val="none"/>
        </w:rPr>
        <w:t>购合同中涉及国家秘密、商业秘密的内容除外。</w:t>
      </w:r>
    </w:p>
    <w:p>
      <w:pPr>
        <w:spacing w:before="105" w:line="360" w:lineRule="auto"/>
        <w:ind w:firstLine="494"/>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31.询问、质疑和投诉</w:t>
      </w:r>
    </w:p>
    <w:p>
      <w:pPr>
        <w:spacing w:before="122" w:line="360" w:lineRule="auto"/>
        <w:ind w:left="11" w:right="165"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31.1供应商对政府采购活动事项有疑问的，可以向采购人、采购代理机构提出询问，采购</w:t>
      </w:r>
      <w:r>
        <w:rPr>
          <w:rFonts w:hint="eastAsia" w:asciiTheme="minorEastAsia" w:hAnsiTheme="minorEastAsia" w:eastAsiaTheme="minorEastAsia" w:cstheme="minorEastAsia"/>
          <w:color w:val="auto"/>
          <w:spacing w:val="-1"/>
          <w:highlight w:val="none"/>
        </w:rPr>
        <w:t>人或者采购代理机构应当在3个工作日内对供应商依法提出的询问作出答复。</w:t>
      </w:r>
    </w:p>
    <w:p>
      <w:pPr>
        <w:spacing w:line="360" w:lineRule="auto"/>
        <w:ind w:left="11" w:right="162"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31.2供应商认为磋商文件、采购过程或者成交结果使自己的合法权益受到损害的，应当在知道或者应知其权益受到损害之日起7个工作日内，以书面形式向采购人、采购代理机构提出质</w:t>
      </w:r>
      <w:r>
        <w:rPr>
          <w:rFonts w:hint="eastAsia" w:asciiTheme="minorEastAsia" w:hAnsiTheme="minorEastAsia" w:eastAsiaTheme="minorEastAsia" w:cstheme="minorEastAsia"/>
          <w:color w:val="auto"/>
          <w:spacing w:val="-8"/>
          <w:highlight w:val="none"/>
        </w:rPr>
        <w:t>疑，</w:t>
      </w:r>
      <w:r>
        <w:rPr>
          <w:rFonts w:hint="eastAsia" w:asciiTheme="minorEastAsia" w:hAnsiTheme="minorEastAsia" w:eastAsiaTheme="minorEastAsia" w:cstheme="minorEastAsia"/>
          <w:color w:val="auto"/>
          <w:spacing w:val="-8"/>
          <w:highlight w:val="none"/>
          <w:shd w:val="clear" w:color="auto" w:fill="FFFFFE"/>
        </w:rPr>
        <w:t>接收质疑函的方式、联系部门、联系电话和通讯地址等信息详见</w:t>
      </w:r>
      <w:r>
        <w:rPr>
          <w:rFonts w:hint="eastAsia" w:asciiTheme="minorEastAsia" w:hAnsiTheme="minorEastAsia" w:eastAsiaTheme="minorEastAsia" w:cstheme="minorEastAsia"/>
          <w:color w:val="auto"/>
          <w:spacing w:val="-8"/>
          <w:highlight w:val="none"/>
        </w:rPr>
        <w:t>“供应商须知前附表”。具</w:t>
      </w:r>
      <w:r>
        <w:rPr>
          <w:rFonts w:hint="eastAsia" w:asciiTheme="minorEastAsia" w:hAnsiTheme="minorEastAsia" w:eastAsiaTheme="minorEastAsia" w:cstheme="minorEastAsia"/>
          <w:color w:val="auto"/>
          <w:spacing w:val="-1"/>
          <w:highlight w:val="none"/>
        </w:rPr>
        <w:t>体质疑起算时间及处理方式如下：</w:t>
      </w:r>
    </w:p>
    <w:p>
      <w:pPr>
        <w:spacing w:before="7" w:line="360" w:lineRule="auto"/>
        <w:ind w:left="10" w:right="164"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（1）潜在供应商依法获取采购文件后，认为采购文件使自己的权益受到损害的，应当在竞争性磋商采购文件公告期限届满之日起7个工作日内提出质疑。委托代理协议无特殊约定的，对</w:t>
      </w:r>
      <w:r>
        <w:rPr>
          <w:rFonts w:hint="eastAsia" w:asciiTheme="minorEastAsia" w:hAnsiTheme="minorEastAsia" w:eastAsiaTheme="minorEastAsia" w:cstheme="minorEastAsia"/>
          <w:color w:val="auto"/>
          <w:spacing w:val="-2"/>
          <w:highlight w:val="none"/>
        </w:rPr>
        <w:t>竞争性磋商文件中采购需求（含资格要求、采购预算和评分办法）的质疑由采购人受理并负责</w:t>
      </w:r>
      <w:r>
        <w:rPr>
          <w:rFonts w:hint="eastAsia" w:asciiTheme="minorEastAsia" w:hAnsiTheme="minorEastAsia" w:eastAsiaTheme="minorEastAsia" w:cstheme="minorEastAsia"/>
          <w:color w:val="auto"/>
          <w:spacing w:val="-1"/>
          <w:highlight w:val="none"/>
        </w:rPr>
        <w:t>答复；对竞争性磋商文件中的采购执行程序的质疑由采购代理机构受理并负责答复。</w:t>
      </w:r>
    </w:p>
    <w:p>
      <w:pPr>
        <w:spacing w:before="110" w:line="360" w:lineRule="auto"/>
        <w:ind w:left="8" w:right="162" w:firstLine="42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Theme="minorEastAsia" w:hAnsiTheme="minorEastAsia" w:eastAsiaTheme="minorEastAsia" w:cstheme="minorEastAsia"/>
          <w:color w:val="auto"/>
          <w:spacing w:val="-6"/>
          <w:highlight w:val="none"/>
        </w:rPr>
        <w:t>代理机构提出，由采购人或代理机构受理并负责答复；对采购过程中采购执行程序的质疑由采</w:t>
      </w:r>
      <w:r>
        <w:rPr>
          <w:rFonts w:hint="eastAsia" w:asciiTheme="minorEastAsia" w:hAnsiTheme="minorEastAsia" w:eastAsiaTheme="minorEastAsia" w:cstheme="minorEastAsia"/>
          <w:color w:val="auto"/>
          <w:spacing w:val="-1"/>
          <w:highlight w:val="none"/>
        </w:rPr>
        <w:t>购代理机构受理并负责答复。</w:t>
      </w:r>
    </w:p>
    <w:p>
      <w:pPr>
        <w:spacing w:before="2"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（3）供应商认为成交结果使自己的权益受到损害的，应当在成交结果公告期限届满之日起7个工作日内提出质疑，由采购人受理并负责答复。</w:t>
      </w:r>
    </w:p>
    <w:p>
      <w:pPr>
        <w:spacing w:before="134" w:line="360" w:lineRule="auto"/>
        <w:ind w:left="10" w:right="165"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31.3供应商提出的询问或者质疑超出采购人对采购代理机构委托授权范围的，采购代理机</w:t>
      </w:r>
      <w:r>
        <w:rPr>
          <w:rFonts w:hint="eastAsia" w:asciiTheme="minorEastAsia" w:hAnsiTheme="minorEastAsia" w:eastAsiaTheme="minorEastAsia" w:cstheme="minorEastAsia"/>
          <w:color w:val="auto"/>
          <w:spacing w:val="1"/>
          <w:highlight w:val="none"/>
        </w:rPr>
        <w:t>构应当告知供应商向采购人提出。政府采购评审专家应当配合采购人或者采购代理机构答复供</w:t>
      </w:r>
      <w:r>
        <w:rPr>
          <w:rFonts w:hint="eastAsia" w:asciiTheme="minorEastAsia" w:hAnsiTheme="minorEastAsia" w:eastAsiaTheme="minorEastAsia" w:cstheme="minorEastAsia"/>
          <w:color w:val="auto"/>
          <w:spacing w:val="-1"/>
          <w:highlight w:val="none"/>
        </w:rPr>
        <w:t>应商的询问和质疑。</w:t>
      </w:r>
    </w:p>
    <w:p>
      <w:pPr>
        <w:spacing w:before="105" w:line="360" w:lineRule="auto"/>
        <w:ind w:left="12" w:right="174"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31.4供应商提出质疑应当提交质疑函和必要的证明材料，针对同一采购程序环节的质疑必</w:t>
      </w:r>
      <w:r>
        <w:rPr>
          <w:rFonts w:hint="eastAsia" w:asciiTheme="minorEastAsia" w:hAnsiTheme="minorEastAsia" w:eastAsiaTheme="minorEastAsia" w:cstheme="minorEastAsia"/>
          <w:color w:val="auto"/>
          <w:spacing w:val="-2"/>
          <w:highlight w:val="none"/>
        </w:rPr>
        <w:t>须在法定质疑期内一次性提出。质疑函应当包括下列内容</w:t>
      </w:r>
      <w:r>
        <w:rPr>
          <w:rFonts w:hint="eastAsia" w:asciiTheme="minorEastAsia" w:hAnsiTheme="minorEastAsia" w:eastAsiaTheme="minorEastAsia" w:cstheme="minorEastAsia"/>
          <w:color w:val="auto"/>
          <w:spacing w:val="-60"/>
          <w:highlight w:val="none"/>
        </w:rPr>
        <w:t>：</w:t>
      </w:r>
    </w:p>
    <w:p>
      <w:pPr>
        <w:spacing w:before="10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（1）供应商的姓名或者名称、地址、邮编、联系人及联系电话；</w:t>
      </w:r>
    </w:p>
    <w:p>
      <w:pPr>
        <w:spacing w:before="104" w:line="360" w:lineRule="auto"/>
        <w:ind w:firstLine="43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（2）质疑项目的名称、编号；</w:t>
      </w:r>
    </w:p>
    <w:p>
      <w:pPr>
        <w:spacing w:before="104" w:line="360" w:lineRule="auto"/>
        <w:ind w:firstLine="43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（3）具体、明确的质疑事项和与质疑事项相关的请求；</w:t>
      </w:r>
    </w:p>
    <w:p>
      <w:pPr>
        <w:spacing w:before="104" w:line="360" w:lineRule="auto"/>
        <w:ind w:firstLine="43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（4）事实依据；</w:t>
      </w:r>
    </w:p>
    <w:p>
      <w:pPr>
        <w:spacing w:before="104" w:line="360" w:lineRule="auto"/>
        <w:ind w:firstLine="43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（5）必要的法律依据；</w:t>
      </w:r>
    </w:p>
    <w:p>
      <w:pPr>
        <w:spacing w:before="104" w:line="360" w:lineRule="auto"/>
        <w:ind w:firstLine="43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（6）提出质疑的日期。</w:t>
      </w:r>
    </w:p>
    <w:p>
      <w:pPr>
        <w:spacing w:before="104" w:line="360" w:lineRule="auto"/>
        <w:ind w:left="11" w:right="166" w:firstLine="4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供应商为自然人的，应当由本人签字；供应商为法人或者其他组织的，应当由法定代表人</w:t>
      </w:r>
      <w:r>
        <w:rPr>
          <w:rFonts w:hint="eastAsia" w:asciiTheme="minorEastAsia" w:hAnsiTheme="minorEastAsia" w:eastAsiaTheme="minorEastAsia" w:cstheme="minorEastAsia"/>
          <w:color w:val="auto"/>
          <w:spacing w:val="-8"/>
          <w:highlight w:val="none"/>
        </w:rPr>
        <w:t>主要负责人，或者其委托代理人签字或者盖章，并加盖公章。</w:t>
      </w:r>
    </w:p>
    <w:p>
      <w:pPr>
        <w:spacing w:before="105" w:line="360" w:lineRule="auto"/>
        <w:ind w:left="12"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31.5采购人、采购代理机构认为供应商质疑不成立，或者成立但未对成交结果构成影响的，</w:t>
      </w:r>
      <w:r>
        <w:rPr>
          <w:rFonts w:hint="eastAsia" w:asciiTheme="minorEastAsia" w:hAnsiTheme="minorEastAsia" w:eastAsiaTheme="minorEastAsia" w:cstheme="minorEastAsia"/>
          <w:color w:val="auto"/>
          <w:spacing w:val="-4"/>
          <w:highlight w:val="none"/>
        </w:rPr>
        <w:t>继续开展采购活动；认为供应商质疑成立且影响或者可能影响成交结果的，按照下列情况处理：</w:t>
      </w:r>
    </w:p>
    <w:p>
      <w:pPr>
        <w:spacing w:before="104" w:line="360" w:lineRule="auto"/>
        <w:ind w:left="11" w:right="166"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（一）对采购文件提出的质疑，依法通过澄清或者修改可以继续开展采购活动的，澄清或</w:t>
      </w:r>
      <w:r>
        <w:rPr>
          <w:rFonts w:hint="eastAsia" w:asciiTheme="minorEastAsia" w:hAnsiTheme="minorEastAsia" w:eastAsiaTheme="minorEastAsia" w:cstheme="minorEastAsia"/>
          <w:color w:val="auto"/>
          <w:spacing w:val="-5"/>
          <w:highlight w:val="none"/>
        </w:rPr>
        <w:t>者修改采购文件后继续开展采购活动；否则应当修改采购文件后重新开展采购活动。</w:t>
      </w:r>
    </w:p>
    <w:p>
      <w:pPr>
        <w:spacing w:before="105" w:line="360" w:lineRule="auto"/>
        <w:ind w:left="11" w:right="167"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（二）对采购过程或者成交结果提出的质疑，合格供应商符合法定数量时，可以从合格的</w:t>
      </w:r>
      <w:r>
        <w:rPr>
          <w:rFonts w:hint="eastAsia" w:asciiTheme="minorEastAsia" w:hAnsiTheme="minorEastAsia" w:eastAsiaTheme="minorEastAsia" w:cstheme="minorEastAsia"/>
          <w:color w:val="auto"/>
          <w:spacing w:val="-6"/>
          <w:highlight w:val="none"/>
        </w:rPr>
        <w:t>成交候选人中另行确定成交供应商的，应当依法另行确定成交供应商；否则应当重新开展采购</w:t>
      </w:r>
      <w:r>
        <w:rPr>
          <w:rFonts w:hint="eastAsia" w:asciiTheme="minorEastAsia" w:hAnsiTheme="minorEastAsia" w:eastAsiaTheme="minorEastAsia" w:cstheme="minorEastAsia"/>
          <w:color w:val="auto"/>
          <w:spacing w:val="-4"/>
          <w:highlight w:val="none"/>
        </w:rPr>
        <w:t>活动。</w:t>
      </w:r>
    </w:p>
    <w:p>
      <w:pPr>
        <w:spacing w:before="69" w:line="360" w:lineRule="auto"/>
        <w:ind w:left="30" w:right="4" w:firstLine="4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质疑答复导致成交结果改变的，采购人或者采购代理机构应当将有关情况书面报告本级财</w:t>
      </w:r>
      <w:r>
        <w:rPr>
          <w:rFonts w:hint="eastAsia" w:asciiTheme="minorEastAsia" w:hAnsiTheme="minorEastAsia" w:eastAsiaTheme="minorEastAsia" w:cstheme="minorEastAsia"/>
          <w:color w:val="auto"/>
          <w:spacing w:val="-3"/>
          <w:highlight w:val="none"/>
        </w:rPr>
        <w:t>政部门。</w:t>
      </w:r>
    </w:p>
    <w:p>
      <w:pPr>
        <w:spacing w:line="360" w:lineRule="auto"/>
        <w:ind w:left="31"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r>
        <w:rPr>
          <w:rFonts w:hint="eastAsia" w:asciiTheme="minorEastAsia" w:hAnsiTheme="minorEastAsia" w:eastAsiaTheme="minorEastAsia" w:cstheme="minorEastAsia"/>
          <w:color w:val="auto"/>
          <w:spacing w:val="-60"/>
          <w:highlight w:val="none"/>
        </w:rPr>
        <w:t>，</w:t>
      </w:r>
      <w:r>
        <w:rPr>
          <w:rFonts w:hint="eastAsia" w:asciiTheme="minorEastAsia" w:hAnsiTheme="minorEastAsia" w:eastAsiaTheme="minorEastAsia" w:cstheme="minorEastAsia"/>
          <w:color w:val="auto"/>
          <w:spacing w:val="-4"/>
          <w:highlight w:val="none"/>
        </w:rPr>
        <w:t>受理投诉方</w:t>
      </w:r>
      <w:r>
        <w:rPr>
          <w:rFonts w:hint="eastAsia" w:asciiTheme="minorEastAsia" w:hAnsiTheme="minorEastAsia" w:eastAsiaTheme="minorEastAsia" w:cstheme="minorEastAsia"/>
          <w:color w:val="auto"/>
          <w:spacing w:val="-10"/>
          <w:highlight w:val="none"/>
        </w:rPr>
        <w:t>式见“供应商须知前附表”。</w:t>
      </w:r>
    </w:p>
    <w:p>
      <w:pPr>
        <w:spacing w:before="1" w:line="360" w:lineRule="auto"/>
        <w:ind w:firstLine="349"/>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2"/>
          <w:sz w:val="32"/>
          <w:szCs w:val="32"/>
          <w:highlight w:val="none"/>
        </w:rPr>
        <w:t>六、验收</w:t>
      </w:r>
    </w:p>
    <w:p>
      <w:pPr>
        <w:spacing w:before="129"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32.验收</w:t>
      </w:r>
    </w:p>
    <w:p>
      <w:pPr>
        <w:spacing w:before="121" w:line="360" w:lineRule="auto"/>
        <w:ind w:left="30" w:right="2"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32.1采购人会同实际使用人组织对供应商履约的验收。大型或者复杂的政府采购项目，应</w:t>
      </w:r>
      <w:r>
        <w:rPr>
          <w:rFonts w:hint="eastAsia" w:asciiTheme="minorEastAsia" w:hAnsiTheme="minorEastAsia" w:eastAsiaTheme="minorEastAsia" w:cstheme="minorEastAsia"/>
          <w:color w:val="auto"/>
          <w:spacing w:val="-6"/>
          <w:highlight w:val="none"/>
        </w:rPr>
        <w:t>当邀请国家认可的质量检测机构参加验收工作。验收方成员应当在验收书上签字，并承担相应的法律责任。如果发现与合同中要求不符，供应商须承担由此发生的一切损失和费用，并接受</w:t>
      </w:r>
      <w:r>
        <w:rPr>
          <w:rFonts w:hint="eastAsia" w:asciiTheme="minorEastAsia" w:hAnsiTheme="minorEastAsia" w:eastAsiaTheme="minorEastAsia" w:cstheme="minorEastAsia"/>
          <w:color w:val="auto"/>
          <w:spacing w:val="-4"/>
          <w:highlight w:val="none"/>
        </w:rPr>
        <w:t>相应的处理。</w:t>
      </w:r>
    </w:p>
    <w:p>
      <w:pPr>
        <w:spacing w:before="1" w:line="360" w:lineRule="auto"/>
        <w:ind w:left="32" w:right="2"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32.2采购人可以邀请参加本项目的其他供应商或者第三方机构参与验收。参与验收的供应</w:t>
      </w:r>
      <w:r>
        <w:rPr>
          <w:rFonts w:hint="eastAsia" w:asciiTheme="minorEastAsia" w:hAnsiTheme="minorEastAsia" w:eastAsiaTheme="minorEastAsia" w:cstheme="minorEastAsia"/>
          <w:color w:val="auto"/>
          <w:spacing w:val="-1"/>
          <w:highlight w:val="none"/>
        </w:rPr>
        <w:t>商或者第三方机构的意见作为验收书的参考资料一并存档。</w:t>
      </w:r>
    </w:p>
    <w:p>
      <w:pPr>
        <w:spacing w:before="3" w:line="360" w:lineRule="auto"/>
        <w:ind w:left="27"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32.3严格按照采购合同开展履约验收。采购人成立验收小组，按照采购合同的约定对供应</w:t>
      </w:r>
      <w:r>
        <w:rPr>
          <w:rFonts w:hint="eastAsia" w:asciiTheme="minorEastAsia" w:hAnsiTheme="minorEastAsia" w:eastAsiaTheme="minorEastAsia" w:cstheme="minorEastAsia"/>
          <w:color w:val="auto"/>
          <w:spacing w:val="-6"/>
          <w:highlight w:val="none"/>
        </w:rPr>
        <w:t>商履约情况进行验收。验收时，按照采购合同的约定对每一项技术、服务、安全标准的履约情况</w:t>
      </w:r>
      <w:r>
        <w:rPr>
          <w:rFonts w:hint="eastAsia" w:asciiTheme="minorEastAsia" w:hAnsiTheme="minorEastAsia" w:eastAsiaTheme="minorEastAsia" w:cstheme="minorEastAsia"/>
          <w:color w:val="auto"/>
          <w:spacing w:val="-7"/>
          <w:highlight w:val="none"/>
        </w:rPr>
        <w:t>进行确认。验收结束后，应当出具验收书，列明各项标准的验收情况及项目总体评价，由验收</w:t>
      </w:r>
      <w:r>
        <w:rPr>
          <w:rFonts w:hint="eastAsia" w:asciiTheme="minorEastAsia" w:hAnsiTheme="minorEastAsia" w:eastAsiaTheme="minorEastAsia" w:cstheme="minorEastAsia"/>
          <w:color w:val="auto"/>
          <w:spacing w:val="-3"/>
          <w:highlight w:val="none"/>
        </w:rPr>
        <w:t>双方共同签署。验收结果与采购合同约定的资金支付及履约保证金返还条件挂钩。履约验收的各</w:t>
      </w:r>
      <w:r>
        <w:rPr>
          <w:rFonts w:hint="eastAsia" w:asciiTheme="minorEastAsia" w:hAnsiTheme="minorEastAsia" w:eastAsiaTheme="minorEastAsia" w:cstheme="minorEastAsia"/>
          <w:color w:val="auto"/>
          <w:spacing w:val="-1"/>
          <w:highlight w:val="none"/>
        </w:rPr>
        <w:t>项资料应当存档备查。</w:t>
      </w:r>
    </w:p>
    <w:p>
      <w:pPr>
        <w:spacing w:before="104" w:line="360" w:lineRule="auto"/>
        <w:ind w:firstLine="45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32.4验收合格的项目，实际使用人将根据采购合同的约定及时向供应商支付采购资金。验</w:t>
      </w:r>
      <w:r>
        <w:rPr>
          <w:rFonts w:hint="eastAsia" w:asciiTheme="minorEastAsia" w:hAnsiTheme="minorEastAsia" w:eastAsiaTheme="minorEastAsia" w:cstheme="minorEastAsia"/>
          <w:color w:val="auto"/>
          <w:spacing w:val="-4"/>
          <w:highlight w:val="none"/>
        </w:rPr>
        <w:t>收不合格的项目，采购人将依法及时处理。采购合同的履行、违约责任和解决争议的方式等适用</w:t>
      </w:r>
      <w:r>
        <w:rPr>
          <w:rFonts w:hint="eastAsia" w:asciiTheme="minorEastAsia" w:hAnsiTheme="minorEastAsia" w:eastAsiaTheme="minorEastAsia" w:cstheme="minorEastAsia"/>
          <w:color w:val="auto"/>
          <w:spacing w:val="-3"/>
          <w:highlight w:val="none"/>
        </w:rPr>
        <w:t>《中华人民共和国民法典》。供应商在履约过程中有政府采购法律法规规定的违法违规情形的，</w:t>
      </w:r>
      <w:r>
        <w:rPr>
          <w:rFonts w:hint="eastAsia" w:asciiTheme="minorEastAsia" w:hAnsiTheme="minorEastAsia" w:eastAsiaTheme="minorEastAsia" w:cstheme="minorEastAsia"/>
          <w:color w:val="auto"/>
          <w:spacing w:val="1"/>
          <w:highlight w:val="none"/>
        </w:rPr>
        <w:t>采购人应当及时报告本级财政部门。</w:t>
      </w:r>
    </w:p>
    <w:p>
      <w:pPr>
        <w:spacing w:before="105" w:line="360" w:lineRule="auto"/>
        <w:ind w:firstLine="353"/>
        <w:outlineLvl w:val="2"/>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5"/>
          <w:sz w:val="32"/>
          <w:szCs w:val="32"/>
          <w:highlight w:val="none"/>
        </w:rPr>
        <w:t>七、其他事项</w:t>
      </w:r>
    </w:p>
    <w:p>
      <w:pPr>
        <w:spacing w:before="161"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33.代理服务费</w:t>
      </w:r>
    </w:p>
    <w:p>
      <w:pPr>
        <w:spacing w:before="121" w:line="360" w:lineRule="auto"/>
        <w:ind w:left="30" w:right="4" w:firstLine="4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代理服务收费标准及缴费账户详见“供应商须知前附表”，供应商为联合体的，可以由联</w:t>
      </w:r>
      <w:r>
        <w:rPr>
          <w:rFonts w:hint="eastAsia" w:asciiTheme="minorEastAsia" w:hAnsiTheme="minorEastAsia" w:eastAsiaTheme="minorEastAsia" w:cstheme="minorEastAsia"/>
          <w:color w:val="auto"/>
          <w:spacing w:val="-1"/>
          <w:highlight w:val="none"/>
        </w:rPr>
        <w:t>合体中的一方或者多方共同交纳代理服务费。</w:t>
      </w:r>
    </w:p>
    <w:p>
      <w:pPr>
        <w:spacing w:before="105" w:line="360" w:lineRule="auto"/>
        <w:ind w:firstLine="513"/>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34.需要补充的其他内容</w:t>
      </w:r>
    </w:p>
    <w:p>
      <w:pPr>
        <w:spacing w:before="120" w:line="360" w:lineRule="auto"/>
        <w:ind w:firstLine="45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position w:val="7"/>
          <w:highlight w:val="none"/>
        </w:rPr>
        <w:t>34.1本磋商文件解释规则详见“供应商须知前附表”。</w:t>
      </w:r>
    </w:p>
    <w:p>
      <w:pPr>
        <w:spacing w:before="1" w:line="360" w:lineRule="auto"/>
        <w:ind w:firstLine="45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34.2其他事项详见“供应商须知前附表”。</w:t>
      </w:r>
    </w:p>
    <w:p>
      <w:pPr>
        <w:spacing w:before="78" w:line="360" w:lineRule="auto"/>
        <w:ind w:left="31"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34.3本文件所称中小企业，是指在中华人民共和国境内依法设立，依据国务院批准的中小</w:t>
      </w:r>
      <w:r>
        <w:rPr>
          <w:rFonts w:hint="eastAsia" w:asciiTheme="minorEastAsia" w:hAnsiTheme="minorEastAsia" w:eastAsiaTheme="minorEastAsia" w:cstheme="minorEastAsia"/>
          <w:color w:val="auto"/>
          <w:spacing w:val="-6"/>
          <w:highlight w:val="none"/>
        </w:rPr>
        <w:t>企业划分标准确定的中型企业、小型企业和微型企业，但与大企业的负责人为同一人，或者与</w:t>
      </w:r>
      <w:r>
        <w:rPr>
          <w:rFonts w:hint="eastAsia" w:asciiTheme="minorEastAsia" w:hAnsiTheme="minorEastAsia" w:eastAsiaTheme="minorEastAsia" w:cstheme="minorEastAsia"/>
          <w:color w:val="auto"/>
          <w:spacing w:val="-3"/>
          <w:highlight w:val="none"/>
        </w:rPr>
        <w:t>大企业存在直接控股、管理关系的除外。符合中小企业划分标准的个体工商户，在政府采购活动</w:t>
      </w:r>
      <w:r>
        <w:rPr>
          <w:rFonts w:hint="eastAsia" w:asciiTheme="minorEastAsia" w:hAnsiTheme="minorEastAsia" w:eastAsiaTheme="minorEastAsia" w:cstheme="minorEastAsia"/>
          <w:color w:val="auto"/>
          <w:spacing w:val="-6"/>
          <w:highlight w:val="none"/>
        </w:rPr>
        <w:t>中视同中小企业。在政府采购活动中，供应商提供的服务由中小企业承接，即提供服务的人员</w:t>
      </w:r>
      <w:r>
        <w:rPr>
          <w:rFonts w:hint="eastAsia" w:asciiTheme="minorEastAsia" w:hAnsiTheme="minorEastAsia" w:eastAsiaTheme="minorEastAsia" w:cstheme="minorEastAsia"/>
          <w:color w:val="auto"/>
          <w:spacing w:val="-3"/>
          <w:highlight w:val="none"/>
        </w:rPr>
        <w:t>为中小企业依照《中华人民共和国劳动合同法》订立劳动合同的从业人员，不对其中涉及的货物</w:t>
      </w:r>
      <w:r>
        <w:rPr>
          <w:rFonts w:hint="eastAsia" w:asciiTheme="minorEastAsia" w:hAnsiTheme="minorEastAsia" w:eastAsiaTheme="minorEastAsia" w:cstheme="minorEastAsia"/>
          <w:color w:val="auto"/>
          <w:spacing w:val="-1"/>
          <w:highlight w:val="none"/>
        </w:rPr>
        <w:t>的制造商和工程承建商作出要求的，享受本文件规定的中小企业扶持政策。</w:t>
      </w:r>
    </w:p>
    <w:p>
      <w:pPr>
        <w:spacing w:before="105" w:line="360" w:lineRule="auto"/>
        <w:ind w:firstLine="47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以联合体形式参加政府采购活动，联合体各方均为中小企业的，联合体视同中小企业。其</w:t>
      </w:r>
    </w:p>
    <w:p>
      <w:pPr>
        <w:spacing w:before="107" w:line="360" w:lineRule="auto"/>
        <w:ind w:firstLine="4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3"/>
          <w:highlight w:val="none"/>
        </w:rPr>
        <w:t>中，联合体各方均为小微企业的，联合体视同小微企业。</w:t>
      </w:r>
    </w:p>
    <w:p>
      <w:pPr>
        <w:spacing w:before="104" w:line="360" w:lineRule="auto"/>
        <w:ind w:left="28" w:right="4"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依据本文件规定享受扶持政策获得政府采购合同的，小微企业不得将合同分包给大中型企</w:t>
      </w:r>
      <w:r>
        <w:rPr>
          <w:rFonts w:hint="eastAsia" w:asciiTheme="minorEastAsia" w:hAnsiTheme="minorEastAsia" w:eastAsiaTheme="minorEastAsia" w:cstheme="minorEastAsia"/>
          <w:color w:val="auto"/>
          <w:spacing w:val="-1"/>
          <w:highlight w:val="none"/>
        </w:rPr>
        <w:t>业，中型企业不得将合同分包给大型企业。</w:t>
      </w:r>
    </w:p>
    <w:p>
      <w:pPr>
        <w:spacing w:line="360" w:lineRule="auto"/>
        <w:rPr>
          <w:rFonts w:asciiTheme="minorEastAsia" w:hAnsiTheme="minorEastAsia" w:eastAsiaTheme="minorEastAsia" w:cstheme="minorEastAsia"/>
          <w:color w:val="auto"/>
          <w:highlight w:val="none"/>
        </w:rPr>
      </w:pPr>
    </w:p>
    <w:p>
      <w:pPr>
        <w:pStyle w:val="8"/>
        <w:rPr>
          <w:rFonts w:asciiTheme="minorEastAsia" w:hAnsiTheme="minorEastAsia" w:eastAsiaTheme="minorEastAsia" w:cstheme="minorEastAsia"/>
          <w:color w:val="auto"/>
          <w:highlight w:val="none"/>
        </w:rPr>
      </w:pPr>
    </w:p>
    <w:p>
      <w:pPr>
        <w:rPr>
          <w:color w:val="auto"/>
          <w:highlight w:val="none"/>
        </w:rPr>
      </w:pPr>
      <w:r>
        <w:rPr>
          <w:color w:val="auto"/>
          <w:highlight w:val="none"/>
        </w:rPr>
        <w:br w:type="page"/>
      </w:r>
    </w:p>
    <w:p>
      <w:pPr>
        <w:rPr>
          <w:color w:val="auto"/>
          <w:highlight w:val="none"/>
        </w:rPr>
      </w:pPr>
    </w:p>
    <w:p>
      <w:pPr>
        <w:spacing w:before="104" w:line="360" w:lineRule="auto"/>
        <w:ind w:firstLine="3232"/>
        <w:outlineLvl w:val="0"/>
        <w:rPr>
          <w:rFonts w:asciiTheme="minorEastAsia" w:hAnsiTheme="minorEastAsia" w:eastAsiaTheme="minorEastAsia" w:cstheme="minorEastAsia"/>
          <w:b/>
          <w:bCs/>
          <w:color w:val="auto"/>
          <w:spacing w:val="-3"/>
          <w:sz w:val="32"/>
          <w:szCs w:val="32"/>
          <w:highlight w:val="none"/>
        </w:rPr>
      </w:pPr>
      <w:bookmarkStart w:id="15" w:name="_Toc25615"/>
      <w:r>
        <w:rPr>
          <w:rFonts w:hint="eastAsia" w:asciiTheme="minorEastAsia" w:hAnsiTheme="minorEastAsia" w:eastAsiaTheme="minorEastAsia" w:cstheme="minorEastAsia"/>
          <w:b/>
          <w:bCs/>
          <w:color w:val="auto"/>
          <w:spacing w:val="-3"/>
          <w:sz w:val="32"/>
          <w:szCs w:val="32"/>
          <w:highlight w:val="none"/>
        </w:rPr>
        <w:t>第三章  服务需求</w:t>
      </w:r>
      <w:bookmarkEnd w:id="15"/>
    </w:p>
    <w:p>
      <w:pPr>
        <w:pStyle w:val="8"/>
        <w:rPr>
          <w:color w:val="auto"/>
          <w:highlight w:val="none"/>
        </w:rPr>
      </w:pPr>
    </w:p>
    <w:tbl>
      <w:tblPr>
        <w:tblStyle w:val="18"/>
        <w:tblW w:w="9913" w:type="dxa"/>
        <w:tblInd w:w="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30"/>
        <w:gridCol w:w="712"/>
        <w:gridCol w:w="660"/>
        <w:gridCol w:w="6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tcBorders>
              <w:left w:val="single" w:color="000000" w:sz="4" w:space="0"/>
            </w:tcBorders>
          </w:tcPr>
          <w:p>
            <w:pPr>
              <w:pStyle w:val="40"/>
              <w:spacing w:before="124" w:line="360" w:lineRule="auto"/>
              <w:ind w:left="146" w:right="137"/>
              <w:jc w:val="center"/>
              <w:rPr>
                <w:b/>
                <w:bCs/>
                <w:color w:val="auto"/>
                <w:sz w:val="21"/>
                <w:szCs w:val="21"/>
                <w:highlight w:val="none"/>
              </w:rPr>
            </w:pPr>
            <w:r>
              <w:rPr>
                <w:rFonts w:hint="eastAsia"/>
                <w:b/>
                <w:bCs/>
                <w:color w:val="auto"/>
                <w:sz w:val="21"/>
                <w:szCs w:val="21"/>
                <w:highlight w:val="none"/>
              </w:rPr>
              <w:t>序号</w:t>
            </w:r>
          </w:p>
        </w:tc>
        <w:tc>
          <w:tcPr>
            <w:tcW w:w="1230" w:type="dxa"/>
          </w:tcPr>
          <w:p>
            <w:pPr>
              <w:pStyle w:val="40"/>
              <w:spacing w:before="124" w:line="360" w:lineRule="auto"/>
              <w:ind w:left="147"/>
              <w:rPr>
                <w:b/>
                <w:bCs/>
                <w:color w:val="auto"/>
                <w:sz w:val="21"/>
                <w:szCs w:val="21"/>
                <w:highlight w:val="none"/>
              </w:rPr>
            </w:pPr>
            <w:r>
              <w:rPr>
                <w:rFonts w:hint="eastAsia"/>
                <w:b/>
                <w:bCs/>
                <w:color w:val="auto"/>
                <w:sz w:val="21"/>
                <w:szCs w:val="21"/>
                <w:highlight w:val="none"/>
              </w:rPr>
              <w:t>服务名称</w:t>
            </w:r>
          </w:p>
        </w:tc>
        <w:tc>
          <w:tcPr>
            <w:tcW w:w="712" w:type="dxa"/>
          </w:tcPr>
          <w:p>
            <w:pPr>
              <w:pStyle w:val="40"/>
              <w:spacing w:before="124" w:line="360" w:lineRule="auto"/>
              <w:ind w:left="128" w:right="124"/>
              <w:jc w:val="center"/>
              <w:rPr>
                <w:b/>
                <w:bCs/>
                <w:color w:val="auto"/>
                <w:sz w:val="21"/>
                <w:szCs w:val="21"/>
                <w:highlight w:val="none"/>
              </w:rPr>
            </w:pPr>
            <w:r>
              <w:rPr>
                <w:rFonts w:hint="eastAsia"/>
                <w:b/>
                <w:bCs/>
                <w:color w:val="auto"/>
                <w:sz w:val="21"/>
                <w:szCs w:val="21"/>
                <w:highlight w:val="none"/>
              </w:rPr>
              <w:t>数量</w:t>
            </w:r>
          </w:p>
        </w:tc>
        <w:tc>
          <w:tcPr>
            <w:tcW w:w="660" w:type="dxa"/>
          </w:tcPr>
          <w:p>
            <w:pPr>
              <w:pStyle w:val="40"/>
              <w:spacing w:before="124" w:line="360" w:lineRule="auto"/>
              <w:ind w:left="99" w:right="94"/>
              <w:jc w:val="center"/>
              <w:rPr>
                <w:b/>
                <w:bCs/>
                <w:color w:val="auto"/>
                <w:sz w:val="21"/>
                <w:szCs w:val="21"/>
                <w:highlight w:val="none"/>
              </w:rPr>
            </w:pPr>
            <w:r>
              <w:rPr>
                <w:rFonts w:hint="eastAsia"/>
                <w:b/>
                <w:bCs/>
                <w:color w:val="auto"/>
                <w:sz w:val="21"/>
                <w:szCs w:val="21"/>
                <w:highlight w:val="none"/>
              </w:rPr>
              <w:t>单位</w:t>
            </w:r>
          </w:p>
        </w:tc>
        <w:tc>
          <w:tcPr>
            <w:tcW w:w="6546" w:type="dxa"/>
          </w:tcPr>
          <w:p>
            <w:pPr>
              <w:pStyle w:val="40"/>
              <w:spacing w:before="124" w:line="360" w:lineRule="auto"/>
              <w:ind w:right="1171" w:firstLine="420" w:firstLineChars="200"/>
              <w:jc w:val="both"/>
              <w:rPr>
                <w:b/>
                <w:bCs/>
                <w:color w:val="auto"/>
                <w:sz w:val="21"/>
                <w:szCs w:val="21"/>
                <w:highlight w:val="none"/>
              </w:rPr>
            </w:pPr>
            <w:r>
              <w:rPr>
                <w:rFonts w:hint="eastAsia"/>
                <w:b/>
                <w:bCs/>
                <w:color w:val="auto"/>
                <w:sz w:val="21"/>
                <w:szCs w:val="21"/>
                <w:highlight w:val="none"/>
              </w:rPr>
              <w:t>服务内容及要求（包含功能目标、技术指标）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6" w:hRule="atLeast"/>
        </w:trPr>
        <w:tc>
          <w:tcPr>
            <w:tcW w:w="765" w:type="dxa"/>
            <w:tcBorders>
              <w:left w:val="single" w:color="000000" w:sz="4" w:space="0"/>
            </w:tcBorders>
            <w:vAlign w:val="center"/>
          </w:tcPr>
          <w:p>
            <w:pPr>
              <w:pStyle w:val="40"/>
              <w:spacing w:line="360" w:lineRule="auto"/>
              <w:ind w:left="12"/>
              <w:jc w:val="center"/>
              <w:rPr>
                <w:color w:val="auto"/>
                <w:sz w:val="21"/>
                <w:szCs w:val="21"/>
                <w:highlight w:val="none"/>
              </w:rPr>
            </w:pPr>
            <w:r>
              <w:rPr>
                <w:rFonts w:hint="eastAsia"/>
                <w:color w:val="auto"/>
                <w:sz w:val="21"/>
                <w:szCs w:val="21"/>
                <w:highlight w:val="none"/>
              </w:rPr>
              <w:t>1</w:t>
            </w:r>
          </w:p>
        </w:tc>
        <w:tc>
          <w:tcPr>
            <w:tcW w:w="1230" w:type="dxa"/>
            <w:vAlign w:val="center"/>
          </w:tcPr>
          <w:p>
            <w:pPr>
              <w:pStyle w:val="40"/>
              <w:spacing w:before="7" w:line="360" w:lineRule="auto"/>
              <w:ind w:left="121" w:right="114" w:firstLine="26"/>
              <w:jc w:val="center"/>
              <w:rPr>
                <w:rFonts w:hint="eastAsia" w:eastAsia="宋体"/>
                <w:color w:val="auto"/>
                <w:sz w:val="21"/>
                <w:szCs w:val="21"/>
                <w:highlight w:val="none"/>
                <w:lang w:eastAsia="zh-CN"/>
              </w:rPr>
            </w:pPr>
            <w:r>
              <w:rPr>
                <w:rFonts w:hint="eastAsia" w:eastAsia="宋体"/>
                <w:color w:val="auto"/>
                <w:sz w:val="21"/>
                <w:szCs w:val="21"/>
                <w:highlight w:val="none"/>
                <w:lang w:eastAsia="zh-CN"/>
              </w:rPr>
              <w:t>罗城仫佬族自治县测土配方有机肥料采购及服务项目</w:t>
            </w:r>
          </w:p>
        </w:tc>
        <w:tc>
          <w:tcPr>
            <w:tcW w:w="712" w:type="dxa"/>
            <w:vAlign w:val="center"/>
          </w:tcPr>
          <w:p>
            <w:pPr>
              <w:pStyle w:val="40"/>
              <w:spacing w:line="360" w:lineRule="auto"/>
              <w:ind w:left="8"/>
              <w:jc w:val="center"/>
              <w:rPr>
                <w:color w:val="auto"/>
                <w:sz w:val="21"/>
                <w:szCs w:val="21"/>
                <w:highlight w:val="none"/>
              </w:rPr>
            </w:pPr>
            <w:r>
              <w:rPr>
                <w:rFonts w:hint="eastAsia"/>
                <w:color w:val="auto"/>
                <w:w w:val="99"/>
                <w:sz w:val="21"/>
                <w:szCs w:val="21"/>
                <w:highlight w:val="none"/>
              </w:rPr>
              <w:t>1</w:t>
            </w:r>
          </w:p>
        </w:tc>
        <w:tc>
          <w:tcPr>
            <w:tcW w:w="660" w:type="dxa"/>
            <w:vAlign w:val="center"/>
          </w:tcPr>
          <w:p>
            <w:pPr>
              <w:pStyle w:val="40"/>
              <w:spacing w:line="360" w:lineRule="auto"/>
              <w:ind w:left="7"/>
              <w:jc w:val="center"/>
              <w:rPr>
                <w:rFonts w:eastAsia="宋体"/>
                <w:color w:val="auto"/>
                <w:sz w:val="21"/>
                <w:szCs w:val="21"/>
                <w:highlight w:val="none"/>
              </w:rPr>
            </w:pPr>
            <w:r>
              <w:rPr>
                <w:rFonts w:hint="eastAsia" w:eastAsia="宋体"/>
                <w:color w:val="auto"/>
                <w:w w:val="99"/>
                <w:sz w:val="21"/>
                <w:szCs w:val="21"/>
                <w:highlight w:val="none"/>
              </w:rPr>
              <w:t>项</w:t>
            </w:r>
          </w:p>
        </w:tc>
        <w:tc>
          <w:tcPr>
            <w:tcW w:w="6546" w:type="dxa"/>
          </w:tcPr>
          <w:p>
            <w:pPr>
              <w:numPr>
                <w:ilvl w:val="0"/>
                <w:numId w:val="5"/>
              </w:numPr>
              <w:spacing w:line="360" w:lineRule="auto"/>
              <w:ind w:right="-1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项目概况：</w:t>
            </w:r>
            <w:r>
              <w:rPr>
                <w:rFonts w:hint="eastAsia" w:ascii="宋体" w:hAnsi="宋体" w:eastAsia="宋体" w:cs="宋体"/>
                <w:color w:val="auto"/>
                <w:highlight w:val="none"/>
              </w:rPr>
              <w:t>全面开展糖料蔗测土配方增施有机肥项目工作，积极探索并形成适合本区域的可复制推广的糖料蔗测土配方增施有机肥技术模式。进行测产、验收和项目验收评审等工作，及时宣传、推广成功模式和经验。</w:t>
            </w:r>
          </w:p>
          <w:p>
            <w:pPr>
              <w:numPr>
                <w:ilvl w:val="0"/>
                <w:numId w:val="5"/>
              </w:numPr>
              <w:spacing w:line="360" w:lineRule="auto"/>
              <w:ind w:right="-1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目标任务</w:t>
            </w:r>
            <w:r>
              <w:rPr>
                <w:rFonts w:hint="default" w:ascii="宋体" w:hAnsi="宋体" w:eastAsia="宋体" w:cs="宋体"/>
                <w:color w:val="auto"/>
                <w:highlight w:val="none"/>
                <w:lang w:eastAsia="zh-Hans"/>
              </w:rPr>
              <w:t>：</w:t>
            </w:r>
            <w:r>
              <w:rPr>
                <w:rFonts w:hint="eastAsia" w:ascii="宋体" w:hAnsi="宋体" w:eastAsia="宋体" w:cs="宋体"/>
                <w:color w:val="auto"/>
                <w:highlight w:val="none"/>
                <w:lang w:val="en-US" w:eastAsia="zh-CN"/>
              </w:rPr>
              <w:t>为鼓励和支持蔗农结合测土配方增施有机肥,有效土壤改良,培肥地力,有效调理土壤酸性问题,提高肥料利用率促进出苗率,增产增收,进一步促进我县糖料蔗支柱产业持续稳定发展,加快巩固拓展脱贫攻坚成果同乡村振兴有效衔接</w:t>
            </w:r>
            <w:r>
              <w:rPr>
                <w:rFonts w:hint="default" w:ascii="宋体" w:hAnsi="宋体" w:eastAsia="宋体" w:cs="宋体"/>
                <w:color w:val="auto"/>
                <w:highlight w:val="none"/>
                <w:lang w:eastAsia="zh-CN"/>
              </w:rPr>
              <w:t>，</w:t>
            </w:r>
            <w:r>
              <w:rPr>
                <w:rFonts w:hint="eastAsia" w:ascii="宋体" w:hAnsi="宋体" w:eastAsia="宋体" w:cs="宋体"/>
                <w:snapToGrid w:val="0"/>
                <w:color w:val="auto"/>
                <w:sz w:val="21"/>
                <w:szCs w:val="21"/>
                <w:highlight w:val="none"/>
                <w:lang w:val="en-US" w:eastAsia="zh-CN" w:bidi="ar-SA"/>
              </w:rPr>
              <w:t>以糖料蔗实施测土配方增施有机肥技术达到增产增收为目标,重点打造罗城县域1万亩糖料蔗测土配方有机肥推广示范基地建设,平均亩产达4.5吨以上(比上年度全县平均亩产增0.3吨),蔗糖分达14.4%以上(比上年度全县平均蔗糖分增0.3%),形成全县可复制</w:t>
            </w:r>
            <w:r>
              <w:rPr>
                <w:rFonts w:hint="eastAsia" w:ascii="宋体" w:hAnsi="宋体" w:eastAsia="宋体" w:cs="宋体"/>
                <w:color w:val="auto"/>
                <w:highlight w:val="none"/>
                <w:lang w:val="en-US" w:eastAsia="zh-CN"/>
              </w:rPr>
              <w:t>推广的测土配方精准施肥增产增收的生产模式。</w:t>
            </w:r>
          </w:p>
          <w:p>
            <w:pPr>
              <w:numPr>
                <w:ilvl w:val="0"/>
                <w:numId w:val="5"/>
              </w:numPr>
              <w:spacing w:line="360" w:lineRule="auto"/>
              <w:ind w:right="-14"/>
              <w:rPr>
                <w:rFonts w:hint="eastAsia" w:ascii="宋体" w:hAnsi="宋体" w:eastAsia="宋体" w:cs="宋体"/>
                <w:b w:val="0"/>
                <w:bCs w:val="0"/>
                <w:snapToGrid w:val="0"/>
                <w:color w:val="auto"/>
                <w:sz w:val="21"/>
                <w:szCs w:val="21"/>
                <w:highlight w:val="none"/>
                <w:lang w:val="en-US" w:eastAsia="zh-CN" w:bidi="ar-SA"/>
              </w:rPr>
            </w:pPr>
            <w:r>
              <w:rPr>
                <w:rFonts w:hint="eastAsia" w:ascii="宋体" w:hAnsi="宋体" w:eastAsia="宋体" w:cs="宋体"/>
                <w:color w:val="auto"/>
                <w:highlight w:val="none"/>
                <w:lang w:val="en-US" w:eastAsia="zh-Hans"/>
              </w:rPr>
              <w:t>实施内容</w:t>
            </w:r>
            <w:r>
              <w:rPr>
                <w:rFonts w:hint="default" w:ascii="宋体" w:hAnsi="宋体" w:eastAsia="宋体" w:cs="宋体"/>
                <w:color w:val="auto"/>
                <w:highlight w:val="none"/>
                <w:lang w:eastAsia="zh-Hans"/>
              </w:rPr>
              <w:t>：</w:t>
            </w:r>
            <w:r>
              <w:rPr>
                <w:rFonts w:hint="eastAsia" w:ascii="宋体" w:hAnsi="宋体" w:eastAsia="宋体" w:cs="宋体"/>
                <w:color w:val="auto"/>
                <w:highlight w:val="none"/>
                <w:lang w:val="en-US" w:eastAsia="zh-CN"/>
              </w:rPr>
              <w:t>以示范引领糖料蔗高质高效发展。围绕示范基地建设,倡导测土配方精准施肥的生产理念,以示范片为平台,开展实地指导、技术培训、现场观摩等,展示测土配方增施有机肥技术模式产生的经济、社会、环境效益和成果,辐射带动全县糖料蔗绿色高质量发展。在我县蔗区内2022年新种植糖料蔗示范片，选择相对连片20亩以上给予每亩测土配方补贴，全县补1万亩</w:t>
            </w:r>
            <w:r>
              <w:rPr>
                <w:rFonts w:hint="default" w:ascii="宋体" w:hAnsi="宋体" w:eastAsia="宋体" w:cs="宋体"/>
                <w:color w:val="auto"/>
                <w:highlight w:val="none"/>
                <w:lang w:eastAsia="zh-CN"/>
              </w:rPr>
              <w:t>。</w:t>
            </w:r>
          </w:p>
          <w:p>
            <w:pPr>
              <w:numPr>
                <w:ilvl w:val="0"/>
                <w:numId w:val="0"/>
              </w:numPr>
              <w:spacing w:line="360" w:lineRule="auto"/>
              <w:ind w:right="-14" w:rightChars="0"/>
              <w:rPr>
                <w:rFonts w:hint="eastAsia" w:ascii="宋体" w:hAnsi="宋体" w:eastAsia="宋体" w:cs="宋体"/>
                <w:b w:val="0"/>
                <w:bCs w:val="0"/>
                <w:snapToGrid w:val="0"/>
                <w:color w:val="auto"/>
                <w:sz w:val="21"/>
                <w:szCs w:val="21"/>
                <w:highlight w:val="none"/>
                <w:lang w:val="en-US" w:eastAsia="zh-CN" w:bidi="ar-SA"/>
              </w:rPr>
            </w:pPr>
            <w:r>
              <w:rPr>
                <w:rFonts w:hint="eastAsia" w:ascii="宋体" w:hAnsi="宋体" w:eastAsia="宋体" w:cs="宋体"/>
                <w:bCs/>
                <w:color w:val="auto"/>
                <w:sz w:val="22"/>
                <w:szCs w:val="22"/>
                <w:highlight w:val="none"/>
                <w:lang w:val="en-US" w:eastAsia="zh-CN"/>
              </w:rPr>
              <w:t>★</w:t>
            </w:r>
            <w:r>
              <w:rPr>
                <w:rFonts w:hint="eastAsia" w:ascii="宋体" w:hAnsi="宋体" w:eastAsia="宋体" w:cs="宋体"/>
                <w:b w:val="0"/>
                <w:bCs w:val="0"/>
                <w:snapToGrid w:val="0"/>
                <w:color w:val="auto"/>
                <w:sz w:val="21"/>
                <w:szCs w:val="21"/>
                <w:highlight w:val="none"/>
                <w:lang w:val="en-US" w:eastAsia="zh-Hans" w:bidi="ar-SA"/>
              </w:rPr>
              <w:t>四</w:t>
            </w:r>
            <w:r>
              <w:rPr>
                <w:rFonts w:hint="default" w:ascii="宋体" w:hAnsi="宋体" w:eastAsia="宋体" w:cs="宋体"/>
                <w:b w:val="0"/>
                <w:bCs w:val="0"/>
                <w:snapToGrid w:val="0"/>
                <w:color w:val="auto"/>
                <w:sz w:val="21"/>
                <w:szCs w:val="21"/>
                <w:highlight w:val="none"/>
                <w:lang w:eastAsia="zh-Hans" w:bidi="ar-SA"/>
              </w:rPr>
              <w:t>、</w:t>
            </w:r>
            <w:r>
              <w:rPr>
                <w:rFonts w:hint="eastAsia" w:ascii="宋体" w:hAnsi="宋体" w:eastAsia="宋体" w:cs="宋体"/>
                <w:b w:val="0"/>
                <w:bCs w:val="0"/>
                <w:snapToGrid w:val="0"/>
                <w:color w:val="auto"/>
                <w:sz w:val="21"/>
                <w:szCs w:val="21"/>
                <w:highlight w:val="none"/>
                <w:lang w:val="en-US" w:eastAsia="zh-CN" w:bidi="ar-SA"/>
              </w:rPr>
              <w:t>测土配方有机肥料产品规格与技术参数：有效活菌数≥0.2亿/g，有机质≥40%，含中微量元素，包装规格40kg，产品形态：柱状颗粒</w:t>
            </w:r>
            <w:r>
              <w:rPr>
                <w:rFonts w:hint="default" w:ascii="宋体" w:hAnsi="宋体" w:eastAsia="宋体" w:cs="宋体"/>
                <w:b w:val="0"/>
                <w:bCs w:val="0"/>
                <w:snapToGrid w:val="0"/>
                <w:color w:val="auto"/>
                <w:sz w:val="21"/>
                <w:szCs w:val="21"/>
                <w:highlight w:val="none"/>
                <w:lang w:eastAsia="zh-CN" w:bidi="ar-SA"/>
              </w:rPr>
              <w:t>，</w:t>
            </w:r>
            <w:r>
              <w:rPr>
                <w:rFonts w:hint="eastAsia" w:ascii="宋体" w:hAnsi="宋体" w:eastAsia="宋体" w:cs="宋体"/>
                <w:b w:val="0"/>
                <w:bCs w:val="0"/>
                <w:snapToGrid w:val="0"/>
                <w:color w:val="auto"/>
                <w:sz w:val="21"/>
                <w:szCs w:val="21"/>
                <w:highlight w:val="none"/>
                <w:lang w:val="en-US" w:eastAsia="zh-Hans" w:bidi="ar-SA"/>
              </w:rPr>
              <w:t>需求量</w:t>
            </w:r>
            <w:r>
              <w:rPr>
                <w:rFonts w:hint="default" w:ascii="宋体" w:hAnsi="宋体" w:eastAsia="宋体" w:cs="宋体"/>
                <w:b w:val="0"/>
                <w:bCs w:val="0"/>
                <w:snapToGrid w:val="0"/>
                <w:color w:val="auto"/>
                <w:sz w:val="21"/>
                <w:szCs w:val="21"/>
                <w:highlight w:val="none"/>
                <w:lang w:eastAsia="zh-Hans" w:bidi="ar-SA"/>
              </w:rPr>
              <w:t>：400</w:t>
            </w:r>
            <w:r>
              <w:rPr>
                <w:rFonts w:hint="eastAsia" w:ascii="宋体" w:hAnsi="宋体" w:eastAsia="宋体" w:cs="宋体"/>
                <w:b w:val="0"/>
                <w:bCs w:val="0"/>
                <w:snapToGrid w:val="0"/>
                <w:color w:val="auto"/>
                <w:sz w:val="21"/>
                <w:szCs w:val="21"/>
                <w:highlight w:val="none"/>
                <w:lang w:val="en-US" w:eastAsia="zh-Hans" w:bidi="ar-SA"/>
              </w:rPr>
              <w:t>吨</w:t>
            </w:r>
            <w:r>
              <w:rPr>
                <w:rFonts w:hint="eastAsia" w:ascii="宋体" w:hAnsi="宋体" w:eastAsia="宋体" w:cs="宋体"/>
                <w:b w:val="0"/>
                <w:bCs w:val="0"/>
                <w:snapToGrid w:val="0"/>
                <w:color w:val="auto"/>
                <w:sz w:val="21"/>
                <w:szCs w:val="21"/>
                <w:highlight w:val="none"/>
                <w:lang w:val="en-US" w:eastAsia="zh-CN" w:bidi="ar-SA"/>
              </w:rPr>
              <w:t>。货物技术参数、指标含量等，必须达国家限量要求，竞标人竞标时必须提供产品CMA检验报告或第三方检测机构出具的检验报告。</w:t>
            </w:r>
          </w:p>
          <w:p>
            <w:pPr>
              <w:spacing w:line="360" w:lineRule="auto"/>
              <w:ind w:right="-14"/>
              <w:rPr>
                <w:rFonts w:ascii="宋体" w:hAnsi="宋体" w:eastAsia="宋体" w:cs="宋体"/>
                <w:color w:val="auto"/>
                <w:highlight w:val="none"/>
              </w:rPr>
            </w:pPr>
            <w:r>
              <w:rPr>
                <w:rFonts w:hint="eastAsia" w:ascii="宋体" w:hAnsi="宋体" w:eastAsia="宋体" w:cs="宋体"/>
                <w:bCs/>
                <w:color w:val="auto"/>
                <w:sz w:val="22"/>
                <w:szCs w:val="22"/>
                <w:highlight w:val="none"/>
                <w:lang w:val="en-US" w:eastAsia="zh-CN"/>
              </w:rPr>
              <w:t>★</w:t>
            </w:r>
            <w:r>
              <w:rPr>
                <w:rFonts w:hint="eastAsia" w:ascii="宋体" w:hAnsi="宋体" w:eastAsia="宋体" w:cs="宋体"/>
                <w:color w:val="auto"/>
                <w:highlight w:val="none"/>
                <w:lang w:val="en-US" w:eastAsia="zh-Hans"/>
              </w:rPr>
              <w:t>五</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技术措施</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要求，围绕“测土、配方、配肥、供肥、施肥”五个环节工作开展十项技术措施。</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（一）前期调查。在前期，采集项目区土样检测的同时，组织进行项目实施区取样地块蔗农施肥情况和土壤立地条件调查，掌握项目区农田土壤立地条件与施肥管理水平。</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二）土壤测试。在项目实施区域内统筹规划，合理确定土样采集点并采集土样，根据需要采集植株样和水样。在此基础上，进行分析化验，为制定配方和田间试验提供基础数据。选择有代表性的采样点，对测土配方施肥效果进行跟踪监测调查，分析土壤有机质、碱解氮、有效磷、速效钾、pH等指标。同时免费接受农民主动送样测试，满足农民个性化测土服务需求。</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（三）田间实验。设计有机肥料对比实验。结合我县糖料蔗生产的实际情况，分别设置糖料蔗示范试验点进行随机布区试验。</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（四）配方设计。总结田间试验、土壤养分数据等，划分不同区域施肥分区；根据气候、地貌、土壤、耕作制度等相似性和差异性，结合专家意见，提出不同作物的施肥配方。</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五）校正试验。在每个施肥分区单元设置配方施肥、农户习惯施肥、空白施肥3个处理，以当地糖料蔗主栽品种为研究对象，对比配方施肥的增产增糖效果，校验施肥参数，验证并完善肥料配方，改进测土配方施肥技术参数。</w:t>
            </w:r>
          </w:p>
          <w:p>
            <w:pPr>
              <w:spacing w:line="360" w:lineRule="auto"/>
              <w:ind w:right="-14"/>
              <w:rPr>
                <w:rFonts w:hint="eastAsia" w:ascii="宋体" w:hAnsi="宋体" w:eastAsia="宋体" w:cs="宋体"/>
                <w:color w:val="auto"/>
                <w:highlight w:val="none"/>
              </w:rPr>
            </w:pPr>
            <w:r>
              <w:rPr>
                <w:rFonts w:hint="eastAsia" w:ascii="宋体" w:hAnsi="宋体" w:eastAsia="宋体" w:cs="宋体"/>
                <w:color w:val="auto"/>
                <w:highlight w:val="none"/>
              </w:rPr>
              <w:t>（六）肥料定制与施用</w:t>
            </w:r>
            <w:r>
              <w:rPr>
                <w:rFonts w:hint="default" w:ascii="宋体" w:hAnsi="宋体" w:eastAsia="宋体" w:cs="宋体"/>
                <w:color w:val="auto"/>
                <w:highlight w:val="none"/>
              </w:rPr>
              <w:t>。</w:t>
            </w:r>
            <w:r>
              <w:rPr>
                <w:rFonts w:hint="eastAsia" w:ascii="宋体" w:hAnsi="宋体" w:eastAsia="宋体" w:cs="宋体"/>
                <w:color w:val="auto"/>
                <w:highlight w:val="none"/>
                <w:lang w:val="en-US" w:eastAsia="zh-CN"/>
              </w:rPr>
              <w:t>按配方定制生产测土配方有机肥,并向蔗农供应。建立健全配方肥质量追溯制度,依法组织肥料市场抽查,防止肥料企业生产不符合配方要求和产品质量标准的肥料。同时运用互联网、物联网、大数据、传感器等现代信息化技术手段,实现从肥料前端定制、自动化生产,到后端肥料运输、精准施用全过程把控。</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（七）示范推广。建立测土配方施肥示范区，为蔗农创建窗口，树立样板，全面展示测土配方施肥技术效果。</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（八）宣传培训。向蔗农传授科学施肥方法和模式。加强对各级技术人员、肥料经销商的系统培训，逐步建立技术人员和肥料商持证上岗制度。</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九）效果评价。对项目区施肥效益动态监测和蔗农反馈的信息进行综合分析，客观评价测土配方施肥实际效果，不断完善管理体系、技术体系和服务体系。跟踪调查了解蔗农施肥情况，及时汇总上报肥料需求和使用信息。</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（十）技术创新。重点开展田间试验方法、土壤养分测试技术、肥料配制方法、数据处理方法等方面的创新研究工作，不断提升测土配方施肥技术水平。</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lang w:val="en-US" w:eastAsia="zh-Hans"/>
              </w:rPr>
              <w:t>六</w:t>
            </w:r>
            <w:r>
              <w:rPr>
                <w:rFonts w:hint="eastAsia" w:ascii="宋体" w:hAnsi="宋体" w:eastAsia="宋体" w:cs="宋体"/>
                <w:color w:val="auto"/>
                <w:highlight w:val="none"/>
              </w:rPr>
              <w:t>、验收方法</w:t>
            </w:r>
          </w:p>
          <w:p>
            <w:pPr>
              <w:spacing w:line="360" w:lineRule="auto"/>
              <w:ind w:right="-14"/>
              <w:rPr>
                <w:rFonts w:ascii="宋体" w:hAnsi="宋体" w:eastAsia="宋体" w:cs="宋体"/>
                <w:b/>
                <w:bCs/>
                <w:color w:val="auto"/>
                <w:highlight w:val="none"/>
              </w:rPr>
            </w:pPr>
            <w:r>
              <w:rPr>
                <w:rFonts w:hint="eastAsia" w:ascii="宋体" w:hAnsi="宋体" w:eastAsia="宋体" w:cs="宋体"/>
                <w:b/>
                <w:bCs/>
                <w:color w:val="auto"/>
                <w:highlight w:val="none"/>
              </w:rPr>
              <w:t>测产验收时间要求在11月底完成。</w:t>
            </w:r>
          </w:p>
          <w:p>
            <w:pPr>
              <w:spacing w:line="360" w:lineRule="auto"/>
              <w:ind w:right="-14" w:firstLine="420" w:firstLineChars="200"/>
              <w:rPr>
                <w:rFonts w:ascii="宋体" w:hAnsi="宋体" w:eastAsia="宋体" w:cs="宋体"/>
                <w:color w:val="auto"/>
                <w:highlight w:val="none"/>
              </w:rPr>
            </w:pPr>
            <w:r>
              <w:rPr>
                <w:rFonts w:hint="eastAsia" w:ascii="宋体" w:hAnsi="宋体" w:eastAsia="宋体" w:cs="宋体"/>
                <w:color w:val="auto"/>
                <w:highlight w:val="none"/>
              </w:rPr>
              <w:t>(一)选取样本：把万亩示范片分为10个片，每片随机选取3个样本田，每个样本田抽取选取5个样点，每个样点为连续5行10米长的甘蔗。</w:t>
            </w:r>
          </w:p>
          <w:p>
            <w:pPr>
              <w:spacing w:line="360" w:lineRule="auto"/>
              <w:ind w:right="-14" w:firstLine="420"/>
              <w:rPr>
                <w:rFonts w:hint="eastAsia" w:ascii="宋体" w:hAnsi="宋体" w:eastAsia="宋体" w:cs="宋体"/>
                <w:color w:val="auto"/>
                <w:highlight w:val="none"/>
              </w:rPr>
            </w:pPr>
            <w:r>
              <w:rPr>
                <w:rFonts w:hint="eastAsia" w:ascii="宋体" w:hAnsi="宋体" w:eastAsia="宋体" w:cs="宋体"/>
                <w:color w:val="auto"/>
                <w:highlight w:val="none"/>
              </w:rPr>
              <w:t>(二)测亩有效茎：每个样点测量5行甘蔗的平均行距，每行选10米行长计数总有效茎数，</w:t>
            </w:r>
            <w:r>
              <w:rPr>
                <w:rFonts w:hint="eastAsia" w:ascii="宋体" w:hAnsi="宋体" w:eastAsia="宋体" w:cs="宋体"/>
                <w:color w:val="auto"/>
                <w:highlight w:val="none"/>
              </w:rPr>
              <w:t>按公式计算亩有效茎。</w:t>
            </w:r>
          </w:p>
          <w:p>
            <w:pPr>
              <w:spacing w:line="360" w:lineRule="auto"/>
              <w:ind w:right="-14"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(三)测单茎重：在样点内随机选1行顺序测量20株甘蔗的株高(cm)，计算平均株高;用游标卡尺量取蔗株茎中部节间茎径，</w:t>
            </w:r>
            <w:r>
              <w:rPr>
                <w:rFonts w:hint="eastAsia" w:ascii="宋体" w:hAnsi="宋体" w:eastAsia="宋体" w:cs="宋体"/>
                <w:color w:val="auto"/>
                <w:highlight w:val="none"/>
              </w:rPr>
              <w:t>计算平均茎径(cm)，按公式计算单茎重。</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(四)测理论糖分：从测单茎重的甘蔗中随机选取10株，在其中部钻取蔗茎汁，采用手持锤度计观察锤度，计算平均锤度</w:t>
            </w:r>
            <w:r>
              <w:rPr>
                <w:rFonts w:hint="eastAsia" w:ascii="宋体" w:hAnsi="宋体" w:eastAsia="宋体" w:cs="宋体"/>
                <w:color w:val="auto"/>
                <w:highlight w:val="none"/>
              </w:rPr>
              <w:t>，按公式计算蔗糖分。</w:t>
            </w:r>
          </w:p>
          <w:p>
            <w:pPr>
              <w:spacing w:line="360" w:lineRule="auto"/>
              <w:ind w:right="-14" w:firstLine="420"/>
              <w:rPr>
                <w:rFonts w:hint="eastAsia" w:ascii="宋体" w:hAnsi="宋体" w:eastAsia="宋体" w:cs="宋体"/>
                <w:color w:val="auto"/>
                <w:highlight w:val="none"/>
              </w:rPr>
            </w:pPr>
            <w:r>
              <w:rPr>
                <w:rFonts w:hint="eastAsia" w:ascii="宋体" w:hAnsi="宋体" w:eastAsia="宋体" w:cs="宋体"/>
                <w:color w:val="auto"/>
                <w:highlight w:val="none"/>
              </w:rPr>
              <w:t>(五)计算理论产量和含糖量：</w:t>
            </w:r>
            <w:r>
              <w:rPr>
                <w:rFonts w:hint="eastAsia" w:ascii="宋体" w:hAnsi="宋体" w:eastAsia="宋体" w:cs="宋体"/>
                <w:color w:val="auto"/>
                <w:highlight w:val="none"/>
              </w:rPr>
              <w:t>按公式计算理论产量和含糖量。</w:t>
            </w:r>
          </w:p>
          <w:p>
            <w:pPr>
              <w:spacing w:line="360" w:lineRule="auto"/>
              <w:ind w:right="-14" w:firstLine="420"/>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从测单茎重的甘蔗样中随机抽连续10株，在其中部钻取蔗茎汁，采用手持锤度计观察锤度，计算平均锤度，按公式计算蔗糖分。</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　　(六)测实际产量：将样点的全部甘蔗收获，计量重量。</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　　(七)测实际糖份：每个样品随机选6株甘蔗，其中主茎4株，分蘖茎2株，压榨后，室内化验检测其甘蔗蔗糖分。</w:t>
            </w:r>
          </w:p>
          <w:p>
            <w:pPr>
              <w:spacing w:line="360" w:lineRule="auto"/>
              <w:ind w:right="-14"/>
              <w:rPr>
                <w:rFonts w:ascii="宋体" w:hAnsi="宋体" w:eastAsia="宋体" w:cs="宋体"/>
                <w:color w:val="auto"/>
                <w:highlight w:val="none"/>
              </w:rPr>
            </w:pPr>
            <w:r>
              <w:rPr>
                <w:rFonts w:hint="eastAsia" w:ascii="宋体" w:hAnsi="宋体" w:eastAsia="宋体" w:cs="宋体"/>
                <w:color w:val="auto"/>
                <w:highlight w:val="none"/>
              </w:rPr>
              <w:t>　　(八)根据理论测产和实际测产数据按公式分别计算万亩示范片平均亩蔗茎产量、甘蔗蔗糖分和亩含糖量。</w:t>
            </w:r>
          </w:p>
          <w:p>
            <w:pPr>
              <w:spacing w:line="360" w:lineRule="auto"/>
              <w:ind w:right="-14" w:firstLine="420" w:firstLineChars="200"/>
              <w:rPr>
                <w:rFonts w:ascii="宋体" w:hAnsi="宋体" w:eastAsia="宋体" w:cs="宋体"/>
                <w:color w:val="auto"/>
                <w:highlight w:val="none"/>
              </w:rPr>
            </w:pPr>
            <w:r>
              <w:rPr>
                <w:rFonts w:hint="eastAsia" w:ascii="宋体" w:hAnsi="宋体" w:eastAsia="宋体" w:cs="宋体"/>
                <w:color w:val="auto"/>
                <w:highlight w:val="none"/>
              </w:rPr>
              <w:t>计算理论万亩示范片平均亩蔗茎产量、甘蔗蔗糖分和亩含糖量时亩蔗茎产量和甘蔗蔗糖分用理论测产数据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计算实际万亩示范片平均亩蔗茎产量、甘蔗蔗糖分和亩含糖量时亩蔗茎产量和甘蔗蔗糖分用实际测产数据。</w:t>
            </w:r>
          </w:p>
          <w:p>
            <w:pPr>
              <w:spacing w:line="360" w:lineRule="auto"/>
              <w:ind w:right="-14" w:firstLine="420" w:firstLineChars="200"/>
              <w:rPr>
                <w:rFonts w:ascii="宋体" w:hAnsi="宋体" w:eastAsia="宋体" w:cs="宋体"/>
                <w:color w:val="auto"/>
                <w:highlight w:val="none"/>
              </w:rPr>
            </w:pPr>
            <w:r>
              <w:rPr>
                <w:rFonts w:hint="eastAsia" w:ascii="宋体" w:hAnsi="宋体" w:eastAsia="宋体" w:cs="宋体"/>
                <w:color w:val="auto"/>
                <w:highlight w:val="none"/>
              </w:rPr>
              <w:t>测产验收后，被测产地块做好单独实收计量工作，并形成实收产量报告。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913" w:type="dxa"/>
            <w:gridSpan w:val="5"/>
            <w:tcBorders>
              <w:left w:val="single" w:color="000000" w:sz="4" w:space="0"/>
            </w:tcBorders>
          </w:tcPr>
          <w:p>
            <w:pPr>
              <w:tabs>
                <w:tab w:val="left" w:pos="1080"/>
                <w:tab w:val="left" w:pos="1140"/>
              </w:tabs>
              <w:spacing w:line="360" w:lineRule="auto"/>
              <w:rPr>
                <w:rFonts w:hint="eastAsia" w:ascii="宋体" w:hAnsi="宋体" w:eastAsia="宋体" w:cs="宋体"/>
                <w:b/>
                <w:bCs/>
                <w:color w:val="auto"/>
                <w:sz w:val="22"/>
                <w:szCs w:val="22"/>
                <w:highlight w:val="none"/>
              </w:rPr>
            </w:pPr>
            <w:bookmarkStart w:id="16" w:name="三、商务条款"/>
            <w:bookmarkEnd w:id="16"/>
            <w:bookmarkStart w:id="17" w:name="其他技术及服务要求"/>
            <w:bookmarkEnd w:id="17"/>
            <w:bookmarkStart w:id="18" w:name="为落实政府采购政策需满足的要求"/>
            <w:bookmarkEnd w:id="18"/>
            <w:r>
              <w:rPr>
                <w:rFonts w:hint="eastAsia" w:ascii="宋体" w:hAnsi="宋体" w:eastAsia="宋体" w:cs="宋体"/>
                <w:b/>
                <w:bCs/>
                <w:color w:val="auto"/>
                <w:sz w:val="22"/>
                <w:szCs w:val="22"/>
                <w:highlight w:val="none"/>
              </w:rPr>
              <w:t>商务要求：</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一、确定成交人后，中标后的单价不随时间、市场价格等因素的变动而改变，直至采购人完成采购任务为止。</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r>
              <w:rPr>
                <w:rFonts w:hint="eastAsia" w:ascii="宋体" w:hAnsi="宋体" w:eastAsia="宋体" w:cs="宋体"/>
                <w:b/>
                <w:bCs/>
                <w:color w:val="auto"/>
                <w:sz w:val="22"/>
                <w:szCs w:val="22"/>
                <w:highlight w:val="none"/>
              </w:rPr>
              <w:t>签订合同日期</w:t>
            </w:r>
            <w:r>
              <w:rPr>
                <w:rFonts w:hint="eastAsia" w:ascii="宋体" w:hAnsi="宋体" w:eastAsia="宋体" w:cs="宋体"/>
                <w:color w:val="auto"/>
                <w:sz w:val="22"/>
                <w:szCs w:val="22"/>
                <w:highlight w:val="none"/>
              </w:rPr>
              <w:t>：</w:t>
            </w:r>
            <w:r>
              <w:rPr>
                <w:rFonts w:hint="eastAsia"/>
                <w:color w:val="auto"/>
                <w:sz w:val="21"/>
                <w:szCs w:val="21"/>
                <w:highlight w:val="none"/>
                <w:lang w:val="en-US" w:eastAsia="zh-CN"/>
              </w:rPr>
              <w:t>成交通知书发出之日起</w:t>
            </w:r>
            <w:r>
              <w:rPr>
                <w:rFonts w:hint="default"/>
                <w:color w:val="auto"/>
                <w:sz w:val="21"/>
                <w:szCs w:val="21"/>
                <w:highlight w:val="none"/>
                <w:lang w:val="en-US" w:eastAsia="zh-CN"/>
              </w:rPr>
              <w:t>15</w:t>
            </w:r>
            <w:r>
              <w:rPr>
                <w:rFonts w:hint="eastAsia"/>
                <w:color w:val="auto"/>
                <w:sz w:val="21"/>
                <w:szCs w:val="21"/>
                <w:highlight w:val="none"/>
                <w:lang w:eastAsia="zh-CN"/>
              </w:rPr>
              <w:t>日历天内</w:t>
            </w:r>
            <w:r>
              <w:rPr>
                <w:rFonts w:hint="eastAsia"/>
                <w:color w:val="auto"/>
                <w:sz w:val="21"/>
                <w:szCs w:val="21"/>
                <w:highlight w:val="none"/>
                <w:lang w:val="en-US" w:eastAsia="zh-CN"/>
              </w:rPr>
              <w:t>签订</w:t>
            </w:r>
            <w:r>
              <w:rPr>
                <w:rFonts w:hint="eastAsia" w:ascii="宋体" w:hAnsi="宋体" w:eastAsia="宋体" w:cs="宋体"/>
                <w:color w:val="auto"/>
                <w:sz w:val="22"/>
                <w:szCs w:val="22"/>
                <w:highlight w:val="none"/>
              </w:rPr>
              <w:t>。</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三、服务时间：</w:t>
            </w:r>
            <w:r>
              <w:rPr>
                <w:rFonts w:hint="eastAsia"/>
                <w:color w:val="auto"/>
                <w:sz w:val="21"/>
                <w:szCs w:val="21"/>
                <w:highlight w:val="none"/>
                <w:lang w:eastAsia="zh-CN"/>
              </w:rPr>
              <w:t>自签订合同之日起15日历天内供货完毕，11月底完成测产验收。</w:t>
            </w:r>
          </w:p>
          <w:p>
            <w:pPr>
              <w:tabs>
                <w:tab w:val="left" w:pos="1080"/>
                <w:tab w:val="left" w:pos="1140"/>
              </w:tabs>
              <w:spacing w:line="360" w:lineRule="auto"/>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交货地点：</w:t>
            </w:r>
            <w:r>
              <w:rPr>
                <w:rFonts w:hint="eastAsia" w:ascii="宋体" w:hAnsi="宋体" w:eastAsia="宋体" w:cs="宋体"/>
                <w:color w:val="auto"/>
                <w:sz w:val="22"/>
                <w:szCs w:val="22"/>
                <w:highlight w:val="none"/>
              </w:rPr>
              <w:t>采购单位指定地点</w:t>
            </w:r>
            <w:r>
              <w:rPr>
                <w:rFonts w:hint="eastAsia" w:ascii="宋体" w:hAnsi="宋体" w:cs="宋体"/>
                <w:color w:val="auto"/>
                <w:sz w:val="22"/>
                <w:szCs w:val="22"/>
                <w:highlight w:val="none"/>
                <w:lang w:eastAsia="zh-CN"/>
              </w:rPr>
              <w:t>。</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cs="宋体"/>
                <w:bCs/>
                <w:color w:val="auto"/>
                <w:sz w:val="22"/>
                <w:szCs w:val="22"/>
                <w:highlight w:val="none"/>
                <w:lang w:val="en-US" w:eastAsia="zh-CN"/>
              </w:rPr>
              <w:t>★</w:t>
            </w:r>
            <w:r>
              <w:rPr>
                <w:rFonts w:hint="eastAsia" w:ascii="宋体" w:hAnsi="宋体" w:eastAsia="宋体" w:cs="宋体"/>
                <w:color w:val="auto"/>
                <w:sz w:val="22"/>
                <w:szCs w:val="22"/>
                <w:highlight w:val="none"/>
              </w:rPr>
              <w:t>五、</w:t>
            </w:r>
            <w:r>
              <w:rPr>
                <w:rFonts w:hint="eastAsia" w:ascii="宋体" w:hAnsi="宋体" w:eastAsia="宋体" w:cs="宋体"/>
                <w:b/>
                <w:bCs/>
                <w:color w:val="auto"/>
                <w:sz w:val="22"/>
                <w:szCs w:val="22"/>
                <w:highlight w:val="none"/>
              </w:rPr>
              <w:t>交货方式：</w:t>
            </w:r>
            <w:r>
              <w:rPr>
                <w:rFonts w:hint="eastAsia" w:ascii="宋体" w:hAnsi="宋体" w:eastAsia="宋体" w:cs="宋体"/>
                <w:color w:val="auto"/>
                <w:sz w:val="22"/>
                <w:szCs w:val="22"/>
                <w:highlight w:val="none"/>
              </w:rPr>
              <w:t>采购人指定地点为罗城仫佬族自治县</w:t>
            </w:r>
            <w:r>
              <w:rPr>
                <w:rFonts w:hint="default" w:ascii="宋体" w:hAnsi="宋体" w:eastAsia="宋体" w:cs="宋体"/>
                <w:color w:val="auto"/>
                <w:sz w:val="22"/>
                <w:szCs w:val="22"/>
                <w:highlight w:val="none"/>
                <w:lang w:val="en-US"/>
              </w:rPr>
              <w:t>11</w:t>
            </w:r>
            <w:r>
              <w:rPr>
                <w:rFonts w:hint="eastAsia" w:ascii="宋体" w:hAnsi="宋体" w:eastAsia="宋体" w:cs="宋体"/>
                <w:color w:val="auto"/>
                <w:sz w:val="22"/>
                <w:szCs w:val="22"/>
                <w:highlight w:val="none"/>
                <w:lang w:val="en-US" w:eastAsia="zh-CN"/>
              </w:rPr>
              <w:t>个乡镇</w:t>
            </w:r>
            <w:r>
              <w:rPr>
                <w:rFonts w:hint="eastAsia" w:ascii="宋体" w:hAnsi="宋体" w:eastAsia="宋体" w:cs="宋体"/>
                <w:color w:val="auto"/>
                <w:sz w:val="22"/>
                <w:szCs w:val="22"/>
                <w:highlight w:val="none"/>
              </w:rPr>
              <w:t>现场交货，竞标人报价时需自己综合考虑运距问题。</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cs="宋体"/>
                <w:bCs/>
                <w:color w:val="auto"/>
                <w:sz w:val="22"/>
                <w:szCs w:val="22"/>
                <w:highlight w:val="none"/>
                <w:lang w:val="en-US" w:eastAsia="zh-CN"/>
              </w:rPr>
              <w:t>★</w:t>
            </w:r>
            <w:r>
              <w:rPr>
                <w:rFonts w:hint="eastAsia" w:ascii="宋体" w:hAnsi="宋体" w:eastAsia="宋体" w:cs="宋体"/>
                <w:b/>
                <w:bCs/>
                <w:color w:val="auto"/>
                <w:sz w:val="22"/>
                <w:szCs w:val="22"/>
                <w:highlight w:val="none"/>
              </w:rPr>
              <w:t>六、</w:t>
            </w:r>
            <w:r>
              <w:rPr>
                <w:rFonts w:hint="eastAsia" w:ascii="宋体" w:hAnsi="宋体" w:eastAsia="宋体" w:cs="宋体"/>
                <w:color w:val="auto"/>
                <w:sz w:val="22"/>
                <w:szCs w:val="22"/>
                <w:highlight w:val="none"/>
              </w:rPr>
              <w:t>确定中标人后，中标供应商需</w:t>
            </w:r>
            <w:r>
              <w:rPr>
                <w:rFonts w:hint="eastAsia" w:ascii="宋体" w:hAnsi="宋体" w:cs="宋体"/>
                <w:bCs/>
                <w:color w:val="auto"/>
                <w:sz w:val="22"/>
                <w:szCs w:val="22"/>
                <w:highlight w:val="none"/>
                <w:lang w:val="en-US" w:eastAsia="zh-CN"/>
              </w:rPr>
              <w:t>根据采购人提供的农户信息，自行收集各乡镇农户化肥供货量，并按时按量发放给农户，让农户签收货物并填写《签收单》；供货、</w:t>
            </w:r>
            <w:r>
              <w:rPr>
                <w:rFonts w:hint="eastAsia" w:ascii="宋体" w:hAnsi="宋体" w:eastAsia="宋体" w:cs="宋体"/>
                <w:color w:val="auto"/>
                <w:sz w:val="22"/>
                <w:szCs w:val="22"/>
                <w:highlight w:val="none"/>
              </w:rPr>
              <w:t>装车</w:t>
            </w:r>
            <w:r>
              <w:rPr>
                <w:rFonts w:hint="eastAsia" w:ascii="宋体" w:hAnsi="宋体" w:cs="宋体"/>
                <w:color w:val="auto"/>
                <w:sz w:val="22"/>
                <w:szCs w:val="22"/>
                <w:highlight w:val="none"/>
                <w:lang w:val="en-US" w:eastAsia="zh-CN"/>
              </w:rPr>
              <w:t>过程</w:t>
            </w:r>
            <w:r>
              <w:rPr>
                <w:rFonts w:hint="eastAsia" w:ascii="宋体" w:hAnsi="宋体" w:eastAsia="宋体" w:cs="宋体"/>
                <w:color w:val="auto"/>
                <w:sz w:val="22"/>
                <w:szCs w:val="22"/>
                <w:highlight w:val="none"/>
              </w:rPr>
              <w:t>必须有全程视频，并且必须满足确定所供货的需求，</w:t>
            </w:r>
            <w:r>
              <w:rPr>
                <w:rFonts w:hint="eastAsia" w:ascii="宋体" w:hAnsi="宋体" w:cs="宋体"/>
                <w:color w:val="auto"/>
                <w:sz w:val="22"/>
                <w:szCs w:val="22"/>
                <w:highlight w:val="none"/>
                <w:lang w:val="en-US" w:eastAsia="zh-CN"/>
              </w:rPr>
              <w:t>货物发放行程须向采购人报备，</w:t>
            </w:r>
            <w:r>
              <w:rPr>
                <w:rFonts w:hint="eastAsia" w:ascii="宋体" w:hAnsi="宋体" w:eastAsia="宋体" w:cs="宋体"/>
                <w:color w:val="auto"/>
                <w:sz w:val="22"/>
                <w:szCs w:val="22"/>
                <w:highlight w:val="none"/>
              </w:rPr>
              <w:t>如不能响应，作无效标处理。</w:t>
            </w:r>
          </w:p>
          <w:p>
            <w:pPr>
              <w:tabs>
                <w:tab w:val="left" w:pos="1080"/>
                <w:tab w:val="left" w:pos="1140"/>
              </w:tabs>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七、</w:t>
            </w:r>
            <w:r>
              <w:rPr>
                <w:rFonts w:hint="eastAsia" w:ascii="宋体" w:hAnsi="宋体" w:cs="宋体"/>
                <w:b/>
                <w:bCs/>
                <w:color w:val="auto"/>
                <w:sz w:val="22"/>
                <w:szCs w:val="22"/>
                <w:highlight w:val="none"/>
                <w:lang w:val="en-US" w:eastAsia="zh-CN"/>
              </w:rPr>
              <w:t>项目服务</w:t>
            </w:r>
            <w:r>
              <w:rPr>
                <w:rFonts w:hint="eastAsia" w:ascii="宋体" w:hAnsi="宋体" w:cs="宋体"/>
                <w:b/>
                <w:bCs/>
                <w:color w:val="auto"/>
                <w:sz w:val="22"/>
                <w:szCs w:val="22"/>
                <w:highlight w:val="none"/>
                <w:lang w:eastAsia="zh-CN"/>
              </w:rPr>
              <w:t>要求：</w:t>
            </w:r>
          </w:p>
          <w:p>
            <w:pPr>
              <w:tabs>
                <w:tab w:val="left" w:pos="1080"/>
                <w:tab w:val="left" w:pos="1140"/>
              </w:tabs>
              <w:spacing w:line="360" w:lineRule="auto"/>
              <w:rPr>
                <w:rFonts w:hint="eastAsia" w:ascii="宋体" w:hAnsi="宋体" w:eastAsia="宋体" w:cs="宋体"/>
                <w:bCs/>
                <w:color w:val="auto"/>
                <w:sz w:val="22"/>
                <w:szCs w:val="22"/>
                <w:highlight w:val="none"/>
              </w:rPr>
            </w:pPr>
            <w:r>
              <w:rPr>
                <w:rFonts w:hint="eastAsia" w:ascii="宋体" w:hAnsi="宋体" w:cs="宋体"/>
                <w:color w:val="auto"/>
                <w:kern w:val="0"/>
                <w:sz w:val="22"/>
                <w:szCs w:val="22"/>
                <w:highlight w:val="none"/>
                <w:lang w:val="en-US" w:eastAsia="zh-CN" w:bidi="ar"/>
              </w:rPr>
              <w:t>1.</w:t>
            </w:r>
            <w:r>
              <w:rPr>
                <w:rFonts w:hint="eastAsia" w:ascii="宋体" w:hAnsi="宋体" w:eastAsia="宋体" w:cs="宋体"/>
                <w:bCs/>
                <w:color w:val="auto"/>
                <w:sz w:val="22"/>
                <w:szCs w:val="22"/>
                <w:highlight w:val="none"/>
              </w:rPr>
              <w:t>出具生产厂家的营业执照</w:t>
            </w:r>
            <w:r>
              <w:rPr>
                <w:rFonts w:hint="eastAsia" w:ascii="宋体" w:hAnsi="宋体" w:cs="宋体"/>
                <w:bCs/>
                <w:color w:val="auto"/>
                <w:sz w:val="22"/>
                <w:szCs w:val="22"/>
                <w:highlight w:val="none"/>
                <w:lang w:val="en-US" w:eastAsia="zh-CN"/>
              </w:rPr>
              <w:t>副本</w:t>
            </w:r>
            <w:r>
              <w:rPr>
                <w:rFonts w:hint="eastAsia" w:ascii="宋体" w:hAnsi="宋体" w:cs="宋体"/>
                <w:bCs/>
                <w:color w:val="auto"/>
                <w:sz w:val="22"/>
                <w:szCs w:val="22"/>
                <w:highlight w:val="none"/>
                <w:lang w:eastAsia="zh-CN"/>
              </w:rPr>
              <w:t>复印件，</w:t>
            </w:r>
            <w:r>
              <w:rPr>
                <w:rFonts w:hint="eastAsia" w:ascii="宋体" w:hAnsi="宋体" w:eastAsia="宋体" w:cs="宋体"/>
                <w:bCs/>
                <w:color w:val="auto"/>
                <w:sz w:val="22"/>
                <w:szCs w:val="22"/>
                <w:highlight w:val="none"/>
              </w:rPr>
              <w:t>如不提供，作无效</w:t>
            </w:r>
            <w:r>
              <w:rPr>
                <w:rFonts w:hint="eastAsia" w:ascii="宋体" w:hAnsi="宋体" w:cs="宋体"/>
                <w:bCs/>
                <w:color w:val="auto"/>
                <w:sz w:val="22"/>
                <w:szCs w:val="22"/>
                <w:highlight w:val="none"/>
                <w:lang w:eastAsia="zh-CN"/>
              </w:rPr>
              <w:t>竞</w:t>
            </w:r>
            <w:r>
              <w:rPr>
                <w:rFonts w:hint="eastAsia" w:ascii="宋体" w:hAnsi="宋体" w:eastAsia="宋体" w:cs="宋体"/>
                <w:bCs/>
                <w:color w:val="auto"/>
                <w:sz w:val="22"/>
                <w:szCs w:val="22"/>
                <w:highlight w:val="none"/>
              </w:rPr>
              <w:t>标处理。</w:t>
            </w:r>
          </w:p>
          <w:p>
            <w:pPr>
              <w:pStyle w:val="32"/>
              <w:numPr>
                <w:ilvl w:val="0"/>
                <w:numId w:val="0"/>
              </w:numPr>
              <w:tabs>
                <w:tab w:val="left" w:pos="1080"/>
                <w:tab w:val="left" w:pos="1140"/>
              </w:tabs>
              <w:spacing w:line="360" w:lineRule="auto"/>
              <w:rPr>
                <w:rFonts w:hint="eastAsia" w:ascii="宋体" w:hAnsi="宋体" w:eastAsia="宋体" w:cs="宋体"/>
                <w:bCs/>
                <w:color w:val="auto"/>
                <w:sz w:val="22"/>
                <w:szCs w:val="22"/>
                <w:highlight w:val="none"/>
              </w:rPr>
            </w:pPr>
            <w:r>
              <w:rPr>
                <w:rFonts w:hint="eastAsia"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eastAsia="zh-CN"/>
              </w:rPr>
              <w:t>人员要求</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eastAsia="zh-CN"/>
              </w:rPr>
              <w:t>项目技术</w:t>
            </w:r>
            <w:r>
              <w:rPr>
                <w:rFonts w:hint="eastAsia" w:ascii="宋体" w:hAnsi="宋体" w:eastAsia="宋体" w:cs="宋体"/>
                <w:bCs/>
                <w:color w:val="auto"/>
                <w:sz w:val="22"/>
                <w:szCs w:val="22"/>
                <w:highlight w:val="none"/>
                <w:lang w:val="en-US" w:eastAsia="zh-CN"/>
              </w:rPr>
              <w:t>负责人</w:t>
            </w:r>
            <w:r>
              <w:rPr>
                <w:rFonts w:hint="eastAsia" w:cs="宋体"/>
                <w:bCs/>
                <w:color w:val="auto"/>
                <w:sz w:val="22"/>
                <w:szCs w:val="22"/>
                <w:highlight w:val="none"/>
                <w:lang w:val="en-US" w:eastAsia="zh-CN"/>
              </w:rPr>
              <w:t>须</w:t>
            </w:r>
            <w:r>
              <w:rPr>
                <w:rFonts w:hint="eastAsia" w:ascii="宋体" w:hAnsi="宋体" w:eastAsia="宋体" w:cs="宋体"/>
                <w:bCs/>
                <w:color w:val="auto"/>
                <w:sz w:val="22"/>
                <w:szCs w:val="22"/>
                <w:highlight w:val="none"/>
                <w:lang w:val="en-US" w:eastAsia="zh-CN"/>
              </w:rPr>
              <w:t>具备</w:t>
            </w:r>
            <w:r>
              <w:rPr>
                <w:rFonts w:hint="eastAsia" w:cs="宋体"/>
                <w:bCs/>
                <w:color w:val="auto"/>
                <w:sz w:val="22"/>
                <w:szCs w:val="22"/>
                <w:highlight w:val="none"/>
                <w:lang w:val="en-US" w:eastAsia="zh-CN"/>
              </w:rPr>
              <w:t>植保或土壤与</w:t>
            </w:r>
            <w:r>
              <w:rPr>
                <w:rFonts w:hint="eastAsia" w:ascii="宋体" w:hAnsi="宋体" w:eastAsia="宋体" w:cs="宋体"/>
                <w:bCs/>
                <w:color w:val="auto"/>
                <w:sz w:val="22"/>
                <w:szCs w:val="22"/>
                <w:highlight w:val="none"/>
                <w:lang w:val="en-US" w:eastAsia="zh-CN"/>
              </w:rPr>
              <w:t>植物营养学</w:t>
            </w:r>
            <w:r>
              <w:rPr>
                <w:rFonts w:hint="eastAsia" w:cs="宋体"/>
                <w:bCs/>
                <w:color w:val="auto"/>
                <w:sz w:val="22"/>
                <w:szCs w:val="22"/>
                <w:highlight w:val="none"/>
                <w:lang w:val="en-US" w:eastAsia="zh-CN"/>
              </w:rPr>
              <w:t>或</w:t>
            </w:r>
            <w:r>
              <w:rPr>
                <w:rFonts w:hint="eastAsia" w:cs="宋体"/>
                <w:bCs/>
                <w:color w:val="auto"/>
                <w:sz w:val="22"/>
                <w:szCs w:val="22"/>
                <w:highlight w:val="none"/>
                <w:lang w:val="en-US" w:eastAsia="zh-CN"/>
              </w:rPr>
              <w:t>土壤与农业化学</w:t>
            </w:r>
            <w:r>
              <w:rPr>
                <w:rFonts w:hint="eastAsia" w:ascii="宋体" w:hAnsi="宋体" w:eastAsia="宋体" w:cs="宋体"/>
                <w:bCs/>
                <w:color w:val="auto"/>
                <w:sz w:val="22"/>
                <w:szCs w:val="22"/>
                <w:highlight w:val="none"/>
                <w:lang w:val="en-US" w:eastAsia="zh-CN"/>
              </w:rPr>
              <w:t>或土壤学或栽培学相关专业</w:t>
            </w:r>
            <w:r>
              <w:rPr>
                <w:rFonts w:hint="eastAsia" w:cs="宋体"/>
                <w:bCs/>
                <w:color w:val="auto"/>
                <w:sz w:val="22"/>
                <w:szCs w:val="22"/>
                <w:highlight w:val="none"/>
                <w:lang w:val="en-US" w:eastAsia="zh-CN"/>
              </w:rPr>
              <w:t>中级或</w:t>
            </w:r>
            <w:r>
              <w:rPr>
                <w:rFonts w:hint="eastAsia" w:ascii="宋体" w:hAnsi="宋体" w:eastAsia="宋体" w:cs="宋体"/>
                <w:bCs/>
                <w:color w:val="auto"/>
                <w:sz w:val="22"/>
                <w:szCs w:val="22"/>
                <w:highlight w:val="none"/>
                <w:lang w:val="en-US" w:eastAsia="zh-CN"/>
              </w:rPr>
              <w:t>以上职称；</w:t>
            </w:r>
          </w:p>
          <w:p>
            <w:pPr>
              <w:tabs>
                <w:tab w:val="left" w:pos="1080"/>
                <w:tab w:val="left" w:pos="1140"/>
              </w:tabs>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w:t>
            </w:r>
            <w:r>
              <w:rPr>
                <w:rFonts w:hint="eastAsia" w:ascii="宋体" w:hAnsi="宋体" w:cs="宋体"/>
                <w:color w:val="auto"/>
                <w:sz w:val="22"/>
                <w:szCs w:val="22"/>
                <w:highlight w:val="none"/>
                <w:lang w:val="en-US" w:eastAsia="zh-CN"/>
              </w:rPr>
              <w:t>八</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供货时</w:t>
            </w:r>
            <w:r>
              <w:rPr>
                <w:rFonts w:hint="eastAsia" w:ascii="宋体" w:hAnsi="宋体" w:cs="宋体"/>
                <w:bCs/>
                <w:color w:val="auto"/>
                <w:sz w:val="22"/>
                <w:szCs w:val="22"/>
                <w:highlight w:val="none"/>
                <w:lang w:val="en-US" w:eastAsia="zh-CN"/>
              </w:rPr>
              <w:t>采购人可对中标人所提供的货物进行随机抽样</w:t>
            </w:r>
            <w:r>
              <w:rPr>
                <w:rFonts w:hint="eastAsia" w:ascii="宋体" w:hAnsi="宋体" w:cs="宋体"/>
                <w:color w:val="auto"/>
                <w:kern w:val="0"/>
                <w:sz w:val="22"/>
                <w:szCs w:val="22"/>
                <w:highlight w:val="none"/>
                <w:lang w:bidi="ar"/>
              </w:rPr>
              <w:t>检测</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如</w:t>
            </w:r>
            <w:r>
              <w:rPr>
                <w:rFonts w:hint="eastAsia" w:ascii="宋体" w:hAnsi="宋体" w:cs="宋体"/>
                <w:color w:val="auto"/>
                <w:kern w:val="0"/>
                <w:sz w:val="22"/>
                <w:szCs w:val="22"/>
                <w:highlight w:val="none"/>
                <w:lang w:bidi="ar"/>
              </w:rPr>
              <w:t>含量</w:t>
            </w:r>
            <w:r>
              <w:rPr>
                <w:rFonts w:hint="eastAsia" w:ascii="宋体" w:hAnsi="宋体" w:cs="宋体"/>
                <w:color w:val="auto"/>
                <w:kern w:val="0"/>
                <w:sz w:val="22"/>
                <w:szCs w:val="22"/>
                <w:highlight w:val="none"/>
                <w:lang w:eastAsia="zh-CN" w:bidi="ar"/>
              </w:rPr>
              <w:t>及成分与指标</w:t>
            </w:r>
            <w:r>
              <w:rPr>
                <w:rFonts w:hint="eastAsia" w:ascii="宋体" w:hAnsi="宋体" w:cs="宋体"/>
                <w:color w:val="auto"/>
                <w:kern w:val="0"/>
                <w:sz w:val="22"/>
                <w:szCs w:val="22"/>
                <w:highlight w:val="none"/>
                <w:lang w:val="en-US" w:eastAsia="zh-CN" w:bidi="ar"/>
              </w:rPr>
              <w:t>不符或不达到本次采购要求的货物需求，采购人有权拒绝签订本次采购合同，并且一切费用由中标人自行承担。</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九</w:t>
            </w:r>
            <w:r>
              <w:rPr>
                <w:rFonts w:hint="eastAsia" w:ascii="宋体" w:hAnsi="宋体" w:eastAsia="宋体" w:cs="宋体"/>
                <w:color w:val="auto"/>
                <w:sz w:val="22"/>
                <w:szCs w:val="22"/>
                <w:highlight w:val="none"/>
              </w:rPr>
              <w:t>、竞标报价为采购人指定地点的现场交货价，包括含货物设计、制造、包装、运输装卸、保险、安装、调试及验收合格之前保管、专用工具、伴随服务、技术图纸资料、人员培训发生的所有含税费用的总和等。</w:t>
            </w:r>
          </w:p>
          <w:p>
            <w:pPr>
              <w:pStyle w:val="47"/>
              <w:spacing w:line="360" w:lineRule="auto"/>
              <w:rPr>
                <w:rFonts w:hint="eastAsia"/>
                <w:color w:val="auto"/>
                <w:sz w:val="21"/>
                <w:szCs w:val="21"/>
                <w:highlight w:val="none"/>
              </w:rPr>
            </w:pPr>
            <w:r>
              <w:rPr>
                <w:rFonts w:hint="eastAsia" w:hAnsi="宋体" w:cs="宋体"/>
                <w:color w:val="auto"/>
                <w:sz w:val="22"/>
                <w:szCs w:val="22"/>
                <w:highlight w:val="none"/>
              </w:rPr>
              <w:t>十、</w:t>
            </w:r>
            <w:r>
              <w:rPr>
                <w:color w:val="auto"/>
                <w:sz w:val="21"/>
                <w:szCs w:val="21"/>
                <w:highlight w:val="none"/>
              </w:rPr>
              <w:t>采购单位提前通知供</w:t>
            </w:r>
            <w:r>
              <w:rPr>
                <w:rFonts w:hint="eastAsia"/>
                <w:color w:val="auto"/>
                <w:sz w:val="21"/>
                <w:szCs w:val="21"/>
                <w:highlight w:val="none"/>
              </w:rPr>
              <w:t>货</w:t>
            </w:r>
            <w:r>
              <w:rPr>
                <w:color w:val="auto"/>
                <w:sz w:val="21"/>
                <w:szCs w:val="21"/>
                <w:highlight w:val="none"/>
              </w:rPr>
              <w:t>时间与</w:t>
            </w:r>
            <w:r>
              <w:rPr>
                <w:rFonts w:hint="eastAsia"/>
                <w:color w:val="auto"/>
                <w:sz w:val="21"/>
                <w:szCs w:val="21"/>
                <w:highlight w:val="none"/>
              </w:rPr>
              <w:t>所需要求</w:t>
            </w:r>
            <w:r>
              <w:rPr>
                <w:color w:val="auto"/>
                <w:sz w:val="21"/>
                <w:szCs w:val="21"/>
                <w:highlight w:val="none"/>
              </w:rPr>
              <w:t>，中标人按通知要求负责供</w:t>
            </w:r>
            <w:r>
              <w:rPr>
                <w:rFonts w:hint="eastAsia"/>
                <w:color w:val="auto"/>
                <w:sz w:val="21"/>
                <w:szCs w:val="21"/>
                <w:highlight w:val="none"/>
              </w:rPr>
              <w:t>应</w:t>
            </w:r>
            <w:r>
              <w:rPr>
                <w:color w:val="auto"/>
                <w:sz w:val="21"/>
                <w:szCs w:val="21"/>
                <w:highlight w:val="none"/>
              </w:rPr>
              <w:t>，采购单位、中标人、</w:t>
            </w:r>
            <w:r>
              <w:rPr>
                <w:rFonts w:hint="eastAsia"/>
                <w:color w:val="auto"/>
                <w:sz w:val="21"/>
                <w:szCs w:val="21"/>
                <w:highlight w:val="none"/>
              </w:rPr>
              <w:t>双</w:t>
            </w:r>
            <w:r>
              <w:rPr>
                <w:color w:val="auto"/>
                <w:sz w:val="21"/>
                <w:szCs w:val="21"/>
                <w:highlight w:val="none"/>
              </w:rPr>
              <w:t>方共同清点数量，并填写《验收单》予以确认，如不按要求交货到，则视为竞标人违约，采购方可解除合同，由此造成的损失由竞标人承担。</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color w:val="auto"/>
                <w:szCs w:val="21"/>
                <w:highlight w:val="none"/>
                <w:lang w:val="en-US" w:eastAsia="zh-CN"/>
              </w:rPr>
              <w:t>十一、</w:t>
            </w:r>
            <w:r>
              <w:rPr>
                <w:color w:val="auto"/>
                <w:szCs w:val="21"/>
                <w:highlight w:val="none"/>
              </w:rPr>
              <w:t>提供全新产品，免费送货上门；货物发现质量问题时接到通知后</w:t>
            </w:r>
            <w:r>
              <w:rPr>
                <w:rFonts w:hint="eastAsia"/>
                <w:color w:val="auto"/>
                <w:szCs w:val="21"/>
                <w:highlight w:val="none"/>
              </w:rPr>
              <w:t>1</w:t>
            </w:r>
            <w:r>
              <w:rPr>
                <w:color w:val="auto"/>
                <w:szCs w:val="21"/>
                <w:highlight w:val="none"/>
              </w:rPr>
              <w:t>小时内响应，</w:t>
            </w:r>
            <w:r>
              <w:rPr>
                <w:rFonts w:hint="eastAsia"/>
                <w:color w:val="auto"/>
                <w:szCs w:val="21"/>
                <w:highlight w:val="none"/>
              </w:rPr>
              <w:t>5</w:t>
            </w:r>
            <w:r>
              <w:rPr>
                <w:color w:val="auto"/>
                <w:szCs w:val="21"/>
                <w:highlight w:val="none"/>
              </w:rPr>
              <w:t>小时内到达现场处理。</w:t>
            </w:r>
          </w:p>
          <w:p>
            <w:pPr>
              <w:tabs>
                <w:tab w:val="left" w:pos="1080"/>
                <w:tab w:val="left" w:pos="11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cs="宋体"/>
                <w:color w:val="auto"/>
                <w:sz w:val="22"/>
                <w:szCs w:val="22"/>
                <w:highlight w:val="none"/>
                <w:lang w:val="en-US" w:eastAsia="zh-CN"/>
              </w:rPr>
              <w:t>二</w:t>
            </w:r>
            <w:r>
              <w:rPr>
                <w:rFonts w:hint="eastAsia" w:ascii="宋体" w:hAnsi="宋体" w:eastAsia="宋体" w:cs="宋体"/>
                <w:color w:val="auto"/>
                <w:sz w:val="22"/>
                <w:szCs w:val="22"/>
                <w:highlight w:val="none"/>
              </w:rPr>
              <w:t>、响应要求：要求提供派技术员定期现场巡查服务、提供7×24小时电话服务，中标方接到通知后在1小时内响应。按照事故程度，一般问题在2小时内通过远程方式解决；</w:t>
            </w:r>
            <w:r>
              <w:rPr>
                <w:rFonts w:hint="eastAsia"/>
                <w:color w:val="auto"/>
                <w:szCs w:val="21"/>
                <w:highlight w:val="none"/>
              </w:rPr>
              <w:t>5</w:t>
            </w:r>
            <w:r>
              <w:rPr>
                <w:color w:val="auto"/>
                <w:szCs w:val="21"/>
                <w:highlight w:val="none"/>
              </w:rPr>
              <w:t>小时内到达现场处理</w:t>
            </w:r>
            <w:r>
              <w:rPr>
                <w:rFonts w:hint="eastAsia" w:ascii="宋体" w:hAnsi="宋体" w:eastAsia="宋体" w:cs="宋体"/>
                <w:color w:val="auto"/>
                <w:sz w:val="22"/>
                <w:szCs w:val="22"/>
                <w:highlight w:val="none"/>
              </w:rPr>
              <w:t>；遇到大故障8小时内派技术人员到达现场</w:t>
            </w:r>
            <w:r>
              <w:rPr>
                <w:color w:val="auto"/>
                <w:szCs w:val="21"/>
                <w:highlight w:val="none"/>
              </w:rPr>
              <w:t>处理</w:t>
            </w:r>
            <w:r>
              <w:rPr>
                <w:rFonts w:hint="eastAsia" w:ascii="宋体" w:hAnsi="宋体" w:eastAsia="宋体" w:cs="宋体"/>
                <w:color w:val="auto"/>
                <w:sz w:val="22"/>
                <w:szCs w:val="22"/>
                <w:highlight w:val="none"/>
              </w:rPr>
              <w:t>，竞标人技术指标参数等必须达到原产品的标准）；如果中标方不能实现上述要求，每次按合同金额3‰扣除（从质量保证金中扣除）。</w:t>
            </w:r>
          </w:p>
          <w:p>
            <w:pPr>
              <w:tabs>
                <w:tab w:val="left" w:pos="1080"/>
                <w:tab w:val="left" w:pos="1140"/>
              </w:tabs>
              <w:spacing w:line="360" w:lineRule="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、验收方式：</w:t>
            </w:r>
            <w:r>
              <w:rPr>
                <w:rFonts w:hint="default" w:ascii="宋体" w:hAnsi="宋体" w:eastAsia="宋体" w:cs="宋体"/>
                <w:color w:val="auto"/>
                <w:sz w:val="22"/>
                <w:szCs w:val="22"/>
                <w:highlight w:val="none"/>
              </w:rPr>
              <w:t>采购人指定地点，由采购人及成交单位双方验。为确保货物质量，中标供应商必须在正式供货时提供生产厂家针对此项目的售后服务保证原件、供货证明原件，否则采购人有权拒绝收本次项目采购货物及验收。</w:t>
            </w:r>
          </w:p>
          <w:p>
            <w:pPr>
              <w:tabs>
                <w:tab w:val="left" w:pos="1080"/>
                <w:tab w:val="left" w:pos="1140"/>
              </w:tabs>
              <w:spacing w:line="360" w:lineRule="auto"/>
              <w:rPr>
                <w:b/>
                <w:color w:val="auto"/>
                <w:sz w:val="21"/>
                <w:szCs w:val="21"/>
                <w:highlight w:val="none"/>
              </w:rPr>
            </w:pPr>
            <w:r>
              <w:rPr>
                <w:rFonts w:hint="eastAsia" w:ascii="宋体" w:hAnsi="宋体" w:cs="宋体"/>
                <w:color w:val="auto"/>
                <w:sz w:val="22"/>
                <w:szCs w:val="22"/>
                <w:highlight w:val="none"/>
                <w:lang w:val="en-US" w:eastAsia="zh-CN"/>
              </w:rPr>
              <w:t>十四、</w:t>
            </w:r>
            <w:r>
              <w:rPr>
                <w:rFonts w:hint="eastAsia" w:ascii="宋体" w:hAnsi="宋体" w:eastAsia="宋体" w:cs="宋体"/>
                <w:color w:val="auto"/>
                <w:sz w:val="22"/>
                <w:szCs w:val="22"/>
                <w:highlight w:val="none"/>
              </w:rPr>
              <w:t>付款方式：</w:t>
            </w:r>
            <w:r>
              <w:rPr>
                <w:rFonts w:hint="eastAsia" w:ascii="宋体" w:hAnsi="宋体" w:cs="宋体"/>
                <w:b w:val="0"/>
                <w:bCs/>
                <w:color w:val="auto"/>
                <w:sz w:val="22"/>
                <w:szCs w:val="22"/>
                <w:highlight w:val="none"/>
                <w:lang w:eastAsia="zh-CN"/>
              </w:rPr>
              <w:t>项目供货完毕</w:t>
            </w:r>
            <w:r>
              <w:rPr>
                <w:rFonts w:hint="eastAsia" w:cs="宋体"/>
                <w:b w:val="0"/>
                <w:bCs/>
                <w:color w:val="auto"/>
                <w:sz w:val="22"/>
                <w:szCs w:val="22"/>
                <w:highlight w:val="none"/>
                <w:lang w:val="en-US" w:eastAsia="zh-CN"/>
              </w:rPr>
              <w:t>后支付</w:t>
            </w:r>
            <w:r>
              <w:rPr>
                <w:rFonts w:hint="default" w:cs="宋体"/>
                <w:b w:val="0"/>
                <w:bCs/>
                <w:color w:val="auto"/>
                <w:sz w:val="22"/>
                <w:szCs w:val="22"/>
                <w:highlight w:val="none"/>
                <w:lang w:eastAsia="zh-CN"/>
              </w:rPr>
              <w:t>9</w:t>
            </w:r>
            <w:r>
              <w:rPr>
                <w:rFonts w:hint="eastAsia" w:cs="宋体"/>
                <w:b w:val="0"/>
                <w:bCs/>
                <w:color w:val="auto"/>
                <w:sz w:val="22"/>
                <w:szCs w:val="22"/>
                <w:highlight w:val="none"/>
                <w:lang w:val="en-US" w:eastAsia="zh-CN"/>
              </w:rPr>
              <w:t>0%</w:t>
            </w:r>
            <w:r>
              <w:rPr>
                <w:rFonts w:hint="eastAsia" w:cs="宋体"/>
                <w:b w:val="0"/>
                <w:bCs/>
                <w:color w:val="auto"/>
                <w:sz w:val="22"/>
                <w:szCs w:val="22"/>
                <w:highlight w:val="none"/>
                <w:lang w:eastAsia="zh-CN"/>
              </w:rPr>
              <w:t>，</w:t>
            </w:r>
            <w:r>
              <w:rPr>
                <w:rFonts w:hint="eastAsia" w:cs="宋体"/>
                <w:b w:val="0"/>
                <w:bCs/>
                <w:color w:val="auto"/>
                <w:sz w:val="22"/>
                <w:szCs w:val="22"/>
                <w:highlight w:val="none"/>
                <w:lang w:val="en-US" w:eastAsia="zh-CN"/>
              </w:rPr>
              <w:t>测产</w:t>
            </w:r>
            <w:r>
              <w:rPr>
                <w:rFonts w:hint="eastAsia" w:ascii="宋体" w:hAnsi="宋体" w:cs="宋体"/>
                <w:b w:val="0"/>
                <w:bCs/>
                <w:color w:val="auto"/>
                <w:sz w:val="22"/>
                <w:szCs w:val="22"/>
                <w:highlight w:val="none"/>
                <w:lang w:eastAsia="zh-CN"/>
              </w:rPr>
              <w:t>验收合格之日起</w:t>
            </w:r>
            <w:r>
              <w:rPr>
                <w:rFonts w:hint="default" w:ascii="宋体" w:hAnsi="宋体" w:cs="宋体"/>
                <w:b w:val="0"/>
                <w:bCs/>
                <w:color w:val="auto"/>
                <w:sz w:val="22"/>
                <w:szCs w:val="22"/>
                <w:highlight w:val="none"/>
                <w:lang w:eastAsia="zh-CN"/>
              </w:rPr>
              <w:t>1</w:t>
            </w:r>
            <w:r>
              <w:rPr>
                <w:rFonts w:hint="eastAsia" w:ascii="宋体" w:hAnsi="宋体" w:cs="宋体"/>
                <w:b w:val="0"/>
                <w:bCs/>
                <w:color w:val="auto"/>
                <w:sz w:val="22"/>
                <w:szCs w:val="22"/>
                <w:highlight w:val="none"/>
                <w:lang w:eastAsia="zh-CN"/>
              </w:rPr>
              <w:t>0个工作日内</w:t>
            </w:r>
            <w:r>
              <w:rPr>
                <w:rFonts w:hint="eastAsia" w:ascii="宋体" w:hAnsi="宋体" w:eastAsia="宋体" w:cs="宋体"/>
                <w:b w:val="0"/>
                <w:bCs/>
                <w:color w:val="auto"/>
                <w:sz w:val="22"/>
                <w:szCs w:val="22"/>
                <w:highlight w:val="none"/>
                <w:lang w:eastAsia="zh-CN"/>
              </w:rPr>
              <w:t>，采购人向中标人付清</w:t>
            </w:r>
            <w:r>
              <w:rPr>
                <w:rFonts w:hint="eastAsia" w:eastAsia="宋体" w:cs="宋体"/>
                <w:b w:val="0"/>
                <w:bCs/>
                <w:color w:val="auto"/>
                <w:sz w:val="22"/>
                <w:szCs w:val="22"/>
                <w:highlight w:val="none"/>
                <w:lang w:val="en-US" w:eastAsia="zh-CN"/>
              </w:rPr>
              <w:t>剩余</w:t>
            </w:r>
            <w:r>
              <w:rPr>
                <w:rFonts w:hint="eastAsia" w:ascii="宋体" w:hAnsi="宋体" w:eastAsia="宋体" w:cs="宋体"/>
                <w:b w:val="0"/>
                <w:bCs/>
                <w:color w:val="auto"/>
                <w:sz w:val="22"/>
                <w:szCs w:val="22"/>
                <w:highlight w:val="none"/>
                <w:lang w:eastAsia="zh-CN"/>
              </w:rPr>
              <w:t>合同金额。</w:t>
            </w:r>
          </w:p>
        </w:tc>
      </w:tr>
    </w:tbl>
    <w:p>
      <w:pPr>
        <w:rPr>
          <w:color w:val="auto"/>
          <w:highlight w:val="none"/>
        </w:rPr>
      </w:pPr>
    </w:p>
    <w:p>
      <w:pPr>
        <w:pStyle w:val="10"/>
        <w:rPr>
          <w:color w:val="auto"/>
          <w:highlight w:val="none"/>
        </w:rPr>
      </w:pPr>
    </w:p>
    <w:p>
      <w:pPr>
        <w:rPr>
          <w:color w:val="auto"/>
          <w:highlight w:val="none"/>
        </w:rPr>
      </w:pPr>
      <w:r>
        <w:rPr>
          <w:color w:val="auto"/>
          <w:highlight w:val="none"/>
        </w:rPr>
        <w:br w:type="page"/>
      </w:r>
    </w:p>
    <w:p>
      <w:pPr>
        <w:rPr>
          <w:color w:val="auto"/>
          <w:highlight w:val="none"/>
        </w:rPr>
      </w:pPr>
    </w:p>
    <w:p>
      <w:pPr>
        <w:spacing w:before="143" w:line="360" w:lineRule="auto"/>
        <w:ind w:firstLine="533"/>
        <w:outlineLvl w:val="0"/>
        <w:rPr>
          <w:rFonts w:asciiTheme="minorEastAsia" w:hAnsiTheme="minorEastAsia" w:eastAsiaTheme="minorEastAsia" w:cstheme="minorEastAsia"/>
          <w:color w:val="auto"/>
          <w:highlight w:val="none"/>
        </w:rPr>
      </w:pPr>
      <w:bookmarkStart w:id="19" w:name="_Toc31433"/>
      <w:r>
        <w:rPr>
          <w:rFonts w:hint="eastAsia" w:asciiTheme="minorEastAsia" w:hAnsiTheme="minorEastAsia" w:eastAsiaTheme="minorEastAsia" w:cstheme="minorEastAsia"/>
          <w:b/>
          <w:bCs/>
          <w:color w:val="auto"/>
          <w:spacing w:val="-2"/>
          <w:sz w:val="44"/>
          <w:szCs w:val="44"/>
          <w:highlight w:val="none"/>
        </w:rPr>
        <w:t>第四章  评审程序、评审方法和评审标准</w:t>
      </w:r>
      <w:bookmarkEnd w:id="19"/>
    </w:p>
    <w:p>
      <w:pPr>
        <w:spacing w:before="105" w:line="360" w:lineRule="auto"/>
        <w:ind w:firstLine="2378"/>
        <w:outlineLvl w:val="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2"/>
          <w:sz w:val="32"/>
          <w:szCs w:val="32"/>
          <w:highlight w:val="none"/>
        </w:rPr>
        <w:t>第一节评审程序和评审方法</w:t>
      </w:r>
    </w:p>
    <w:p>
      <w:pPr>
        <w:spacing w:before="78" w:line="360" w:lineRule="auto"/>
        <w:ind w:firstLine="50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1.确认磋商文件</w:t>
      </w:r>
    </w:p>
    <w:p>
      <w:pPr>
        <w:spacing w:before="122" w:line="360" w:lineRule="auto"/>
        <w:ind w:firstLine="45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由磋商小组确认磋商文件。</w:t>
      </w:r>
    </w:p>
    <w:p>
      <w:pPr>
        <w:spacing w:before="105" w:line="360" w:lineRule="auto"/>
        <w:ind w:firstLine="495"/>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2.资格审查</w:t>
      </w:r>
    </w:p>
    <w:p>
      <w:pPr>
        <w:spacing w:before="120"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2.1响应文件开启后，磋商小组依法对供应商的资格证明文件进行审查。</w:t>
      </w:r>
    </w:p>
    <w:p>
      <w:pPr>
        <w:spacing w:before="106" w:line="360" w:lineRule="auto"/>
        <w:ind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注：采购人代表或者采购代理机构在资格审查结束前，对供应商进行信用查询。</w:t>
      </w:r>
    </w:p>
    <w:p>
      <w:pPr>
        <w:spacing w:before="84" w:line="360" w:lineRule="auto"/>
        <w:ind w:left="8" w:right="253" w:firstLine="42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（1）查询渠道：“政采云”平台“信用中国”网站(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cstheme="minorEastAsia"/>
          <w:color w:val="auto"/>
          <w:spacing w:val="-10"/>
          <w:highlight w:val="none"/>
          <w:u w:val="single"/>
        </w:rPr>
        <w:t>www.creditchina.gov.cn</w:t>
      </w:r>
      <w:r>
        <w:rPr>
          <w:rFonts w:hint="eastAsia" w:asciiTheme="minorEastAsia" w:hAnsiTheme="minorEastAsia" w:eastAsiaTheme="minorEastAsia" w:cstheme="minorEastAsia"/>
          <w:color w:val="auto"/>
          <w:spacing w:val="-10"/>
          <w:highlight w:val="none"/>
          <w:u w:val="single"/>
        </w:rPr>
        <w:fldChar w:fldCharType="end"/>
      </w:r>
      <w:r>
        <w:rPr>
          <w:rFonts w:hint="eastAsia" w:asciiTheme="minorEastAsia" w:hAnsiTheme="minorEastAsia" w:eastAsiaTheme="minorEastAsia" w:cstheme="minorEastAsia"/>
          <w:color w:val="auto"/>
          <w:spacing w:val="-10"/>
          <w:highlight w:val="none"/>
        </w:rPr>
        <w:t>)、中国政府采</w:t>
      </w:r>
      <w:r>
        <w:rPr>
          <w:rFonts w:hint="eastAsia" w:asciiTheme="minorEastAsia" w:hAnsiTheme="minorEastAsia" w:eastAsiaTheme="minorEastAsia" w:cstheme="minorEastAsia"/>
          <w:color w:val="auto"/>
          <w:spacing w:val="-4"/>
          <w:highlight w:val="none"/>
        </w:rPr>
        <w:t>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Theme="minorEastAsia" w:hAnsiTheme="minorEastAsia" w:eastAsiaTheme="minorEastAsia" w:cstheme="minorEastAsia"/>
          <w:color w:val="auto"/>
          <w:spacing w:val="-4"/>
          <w:highlight w:val="none"/>
          <w:u w:val="single"/>
        </w:rPr>
        <w:t>www.ccgp.gov.cn</w:t>
      </w:r>
      <w:r>
        <w:rPr>
          <w:rFonts w:hint="eastAsia" w:asciiTheme="minorEastAsia" w:hAnsiTheme="minorEastAsia" w:eastAsiaTheme="minorEastAsia" w:cstheme="minorEastAsia"/>
          <w:color w:val="auto"/>
          <w:spacing w:val="-4"/>
          <w:highlight w:val="none"/>
          <w:u w:val="single"/>
        </w:rPr>
        <w:fldChar w:fldCharType="end"/>
      </w:r>
      <w:r>
        <w:rPr>
          <w:rFonts w:hint="eastAsia" w:asciiTheme="minorEastAsia" w:hAnsiTheme="minorEastAsia" w:eastAsiaTheme="minorEastAsia" w:cstheme="minorEastAsia"/>
          <w:color w:val="auto"/>
          <w:spacing w:val="-4"/>
          <w:highlight w:val="none"/>
        </w:rPr>
        <w:t>)链接入口。</w:t>
      </w:r>
    </w:p>
    <w:p>
      <w:pPr>
        <w:spacing w:before="18"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（2）信用查询截止时点：资格审查结束前。</w:t>
      </w:r>
    </w:p>
    <w:p>
      <w:pPr>
        <w:spacing w:before="104" w:line="360" w:lineRule="auto"/>
        <w:ind w:left="15" w:right="166" w:firstLine="4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查询记录和证据留存方式：在查询网站中直接打印查询记录，截图另存为电子文档作为评</w:t>
      </w:r>
      <w:r>
        <w:rPr>
          <w:rFonts w:hint="eastAsia" w:asciiTheme="minorEastAsia" w:hAnsiTheme="minorEastAsia" w:eastAsiaTheme="minorEastAsia" w:cstheme="minorEastAsia"/>
          <w:color w:val="auto"/>
          <w:spacing w:val="-3"/>
          <w:highlight w:val="none"/>
        </w:rPr>
        <w:t>审资料保存。</w:t>
      </w:r>
    </w:p>
    <w:p>
      <w:pPr>
        <w:spacing w:line="360" w:lineRule="auto"/>
        <w:ind w:left="9" w:right="162" w:firstLine="4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（3）信用信息使用规则：对在“信用中国”网站(www.creditchina.gov.cn)、中国政府</w:t>
      </w:r>
      <w:r>
        <w:rPr>
          <w:rFonts w:hint="eastAsia" w:asciiTheme="minorEastAsia" w:hAnsiTheme="minorEastAsia" w:eastAsiaTheme="minorEastAsia" w:cstheme="minorEastAsia"/>
          <w:color w:val="auto"/>
          <w:spacing w:val="-1"/>
          <w:highlight w:val="none"/>
        </w:rPr>
        <w:t>采购网(www.ccgp.gov.cn)被列入失信被执行人、重大税收违法案件当事人名单、政府采购严重</w:t>
      </w:r>
      <w:r>
        <w:rPr>
          <w:rFonts w:hint="eastAsia" w:asciiTheme="minorEastAsia" w:hAnsiTheme="minorEastAsia" w:eastAsiaTheme="minorEastAsia" w:cstheme="minorEastAsia"/>
          <w:color w:val="auto"/>
          <w:spacing w:val="-5"/>
          <w:highlight w:val="none"/>
        </w:rPr>
        <w:t>违法失信行为记录名单及其他不符合《中华人民共和国政府采购法》第二十二条规定条件的供应</w:t>
      </w:r>
      <w:r>
        <w:rPr>
          <w:rFonts w:hint="eastAsia" w:asciiTheme="minorEastAsia" w:hAnsiTheme="minorEastAsia" w:eastAsiaTheme="minorEastAsia" w:cstheme="minorEastAsia"/>
          <w:color w:val="auto"/>
          <w:spacing w:val="-3"/>
          <w:highlight w:val="none"/>
        </w:rPr>
        <w:t>商，资格审查不通过，不得参与政府采购活动。两个以上的自然人、法人或者其他组织组成一个</w:t>
      </w:r>
      <w:r>
        <w:rPr>
          <w:rFonts w:hint="eastAsia" w:asciiTheme="minorEastAsia" w:hAnsiTheme="minorEastAsia" w:eastAsiaTheme="minorEastAsia" w:cstheme="minorEastAsia"/>
          <w:color w:val="auto"/>
          <w:spacing w:val="-6"/>
          <w:highlight w:val="none"/>
        </w:rPr>
        <w:t>联合体，以一个供应商的身份共同参加政府采购活动的，应当对所有联合体成员进行信用记录</w:t>
      </w:r>
      <w:r>
        <w:rPr>
          <w:rFonts w:hint="eastAsia" w:asciiTheme="minorEastAsia" w:hAnsiTheme="minorEastAsia" w:eastAsiaTheme="minorEastAsia" w:cstheme="minorEastAsia"/>
          <w:color w:val="auto"/>
          <w:spacing w:val="-5"/>
          <w:highlight w:val="none"/>
        </w:rPr>
        <w:t>查询，联合体成员存在不良信用记录的，视同联合体存在不良信用记录。</w:t>
      </w:r>
    </w:p>
    <w:p>
      <w:pPr>
        <w:spacing w:before="1" w:line="360" w:lineRule="auto"/>
        <w:ind w:left="11" w:right="162"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2.2资格审查标准为本磋商文件中载明对供应商资格要求的条件。资格审查采用合格制，凡</w:t>
      </w:r>
      <w:r>
        <w:rPr>
          <w:rFonts w:hint="eastAsia" w:asciiTheme="minorEastAsia" w:hAnsiTheme="minorEastAsia" w:eastAsiaTheme="minorEastAsia" w:cstheme="minorEastAsia"/>
          <w:color w:val="auto"/>
          <w:spacing w:val="-1"/>
          <w:highlight w:val="none"/>
        </w:rPr>
        <w:t>符合磋商文件规定的供应商资格要求的响应文件均通过资格审查。</w:t>
      </w:r>
    </w:p>
    <w:p>
      <w:pPr>
        <w:spacing w:before="3"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2.3供应商有下列情形之一的，资格审查不通过，其响应文件按无效响应处理：</w:t>
      </w:r>
    </w:p>
    <w:p>
      <w:pPr>
        <w:spacing w:before="8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（1）不具备磋商文件中规定的资格要求的；</w:t>
      </w:r>
    </w:p>
    <w:p>
      <w:pPr>
        <w:spacing w:before="107" w:line="360" w:lineRule="auto"/>
        <w:ind w:left="9" w:right="174" w:firstLine="4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（2）响应文件未提供任一项“供应商须知前附表”资格证明文件规定的“必须提供”的文</w:t>
      </w:r>
      <w:r>
        <w:rPr>
          <w:rFonts w:hint="eastAsia" w:asciiTheme="minorEastAsia" w:hAnsiTheme="minorEastAsia" w:eastAsiaTheme="minorEastAsia" w:cstheme="minorEastAsia"/>
          <w:color w:val="auto"/>
          <w:spacing w:val="-7"/>
          <w:highlight w:val="none"/>
        </w:rPr>
        <w:t>件资料的；</w:t>
      </w:r>
    </w:p>
    <w:p>
      <w:pPr>
        <w:spacing w:before="3" w:line="360" w:lineRule="auto"/>
        <w:ind w:left="11" w:right="174"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（3）响应文件提供的资格证明文件出现任一项不符合“供应商须知前附表”资格证明文件</w:t>
      </w:r>
      <w:r>
        <w:rPr>
          <w:rFonts w:hint="eastAsia" w:asciiTheme="minorEastAsia" w:hAnsiTheme="minorEastAsia" w:eastAsiaTheme="minorEastAsia" w:cstheme="minorEastAsia"/>
          <w:color w:val="auto"/>
          <w:spacing w:val="-2"/>
          <w:highlight w:val="none"/>
        </w:rPr>
        <w:t>规定的“必须提供”的文件资料要求或者无效的。</w:t>
      </w:r>
    </w:p>
    <w:p>
      <w:pPr>
        <w:spacing w:before="3" w:line="360" w:lineRule="auto"/>
        <w:ind w:left="11" w:right="174" w:firstLine="424"/>
        <w:rPr>
          <w:rFonts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（4）同一合同项下的不同供应商，单位负责人为同一人或者存在直接控股、管理关系的；</w:t>
      </w:r>
    </w:p>
    <w:p>
      <w:pPr>
        <w:spacing w:before="3" w:line="360" w:lineRule="auto"/>
        <w:ind w:left="11" w:right="174" w:firstLine="424"/>
        <w:rPr>
          <w:rFonts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为本项目提供过整体设计、规范编制或者项目管理、监理、检测等服务的。</w:t>
      </w:r>
    </w:p>
    <w:p>
      <w:pPr>
        <w:spacing w:before="3" w:line="360" w:lineRule="auto"/>
        <w:ind w:left="11" w:right="174"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2.4通过资格审查的合格供应商不足3家的，不得进入符合性审查环节，</w:t>
      </w:r>
      <w:r>
        <w:rPr>
          <w:rFonts w:hint="eastAsia" w:asciiTheme="minorEastAsia" w:hAnsiTheme="minorEastAsia" w:eastAsiaTheme="minorEastAsia" w:cstheme="minorEastAsia"/>
          <w:color w:val="auto"/>
          <w:spacing w:val="-5"/>
          <w:highlight w:val="none"/>
        </w:rPr>
        <w:t>采购人或者采购</w:t>
      </w:r>
      <w:r>
        <w:rPr>
          <w:rFonts w:hint="eastAsia" w:asciiTheme="minorEastAsia" w:hAnsiTheme="minorEastAsia" w:eastAsiaTheme="minorEastAsia" w:cstheme="minorEastAsia"/>
          <w:color w:val="auto"/>
          <w:spacing w:val="-1"/>
          <w:highlight w:val="none"/>
        </w:rPr>
        <w:t>代理机构应当重新开展采购活动。</w:t>
      </w:r>
    </w:p>
    <w:p>
      <w:pPr>
        <w:spacing w:line="360" w:lineRule="auto"/>
        <w:ind w:firstLine="494"/>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3.符合性审查</w:t>
      </w:r>
    </w:p>
    <w:p>
      <w:pPr>
        <w:spacing w:before="99" w:line="360" w:lineRule="auto"/>
        <w:ind w:left="11" w:right="162"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3.1由磋商小组对通过资格审查的合格供应商的响应文件的响应报价、商务、技术等实质性</w:t>
      </w:r>
      <w:r>
        <w:rPr>
          <w:rFonts w:hint="eastAsia" w:asciiTheme="minorEastAsia" w:hAnsiTheme="minorEastAsia" w:eastAsiaTheme="minorEastAsia" w:cstheme="minorEastAsia"/>
          <w:color w:val="auto"/>
          <w:spacing w:val="-2"/>
          <w:highlight w:val="none"/>
        </w:rPr>
        <w:t>要求进行符合性审查，以确定其是否满足磋商文件的实质性要求。</w:t>
      </w:r>
    </w:p>
    <w:p>
      <w:pPr>
        <w:spacing w:before="2" w:line="360" w:lineRule="auto"/>
        <w:ind w:left="13" w:right="162"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3.2磋商小组在对响应文件进行符合性审查时，可以要求供应商对响应文件中含义不明确、</w:t>
      </w:r>
      <w:r>
        <w:rPr>
          <w:rFonts w:hint="eastAsia" w:asciiTheme="minorEastAsia" w:hAnsiTheme="minorEastAsia" w:eastAsiaTheme="minorEastAsia" w:cstheme="minorEastAsia"/>
          <w:color w:val="auto"/>
          <w:spacing w:val="-3"/>
          <w:highlight w:val="none"/>
        </w:rPr>
        <w:t>同类问题表述不一致或者有明显文字和计算错误的内容等作出必要的澄清、说明或者更正。供应</w:t>
      </w:r>
      <w:r>
        <w:rPr>
          <w:rFonts w:hint="eastAsia" w:asciiTheme="minorEastAsia" w:hAnsiTheme="minorEastAsia" w:eastAsiaTheme="minorEastAsia" w:cstheme="minorEastAsia"/>
          <w:color w:val="auto"/>
          <w:spacing w:val="-2"/>
          <w:highlight w:val="none"/>
        </w:rPr>
        <w:t>商的澄清、说明或者更正不得超出响应文件的范围或者改变响应文件的实质性内容。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3.3磋商小组要求供应商澄清、说明或者更正响应文件应当以电子澄清函形式作出。供应商</w:t>
      </w:r>
      <w:r>
        <w:rPr>
          <w:rFonts w:hint="eastAsia" w:asciiTheme="minorEastAsia" w:hAnsiTheme="minorEastAsia" w:eastAsiaTheme="minorEastAsia" w:cstheme="minorEastAsia"/>
          <w:color w:val="auto"/>
          <w:spacing w:val="-4"/>
          <w:highlight w:val="none"/>
        </w:rPr>
        <w:t>的澄清、说明或者更正应当已电子回函形式按照磋商小组的要求作出明确的澄清、说明或者更正，</w:t>
      </w:r>
      <w:r>
        <w:rPr>
          <w:rFonts w:hint="eastAsia" w:asciiTheme="minorEastAsia" w:hAnsiTheme="minorEastAsia" w:eastAsiaTheme="minorEastAsia" w:cstheme="minorEastAsia"/>
          <w:color w:val="auto"/>
          <w:spacing w:val="1"/>
          <w:highlight w:val="none"/>
        </w:rPr>
        <w:t>未按磋商小组的要求作出明确澄清、说明或者更正的供应商的响应文件将按照有利于采购人的</w:t>
      </w:r>
      <w:r>
        <w:rPr>
          <w:rFonts w:hint="eastAsia" w:asciiTheme="minorEastAsia" w:hAnsiTheme="minorEastAsia" w:eastAsiaTheme="minorEastAsia" w:cstheme="minorEastAsia"/>
          <w:color w:val="auto"/>
          <w:spacing w:val="-9"/>
          <w:highlight w:val="none"/>
        </w:rPr>
        <w:t>原则由磋商小组进行判定。供应商的澄清、说明或者更正必须加盖电子公章。供应商为自然人的，</w:t>
      </w:r>
      <w:r>
        <w:rPr>
          <w:rFonts w:hint="eastAsia" w:asciiTheme="minorEastAsia" w:hAnsiTheme="minorEastAsia" w:eastAsiaTheme="minorEastAsia" w:cstheme="minorEastAsia"/>
          <w:color w:val="auto"/>
          <w:spacing w:val="-6"/>
          <w:highlight w:val="none"/>
        </w:rPr>
        <w:t>必须由本人签字并附身份证明。</w:t>
      </w:r>
    </w:p>
    <w:p>
      <w:pPr>
        <w:spacing w:before="104" w:line="360" w:lineRule="auto"/>
        <w:ind w:firstLine="4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3.4首次响应文件报价出现前后不一致的，按照下列规定修正：</w:t>
      </w:r>
    </w:p>
    <w:p>
      <w:pPr>
        <w:spacing w:before="106"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（1）响应文件中报价表内容与响应文件中相应内容不一致的，以报价表为准；</w:t>
      </w:r>
    </w:p>
    <w:p>
      <w:pPr>
        <w:spacing w:before="10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（2）大写金额和小写金额不一致的，以大写金额为准；</w:t>
      </w:r>
    </w:p>
    <w:p>
      <w:pPr>
        <w:spacing w:before="107"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（3）单价金额小数点或者百分比有明显错位的，以报价表的总价为准，并修改单价；</w:t>
      </w:r>
    </w:p>
    <w:p>
      <w:pPr>
        <w:spacing w:before="104"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（4）总价金额与按单价汇总金额不一致的，以单价金额计算结果为准。</w:t>
      </w:r>
    </w:p>
    <w:p>
      <w:pPr>
        <w:spacing w:before="108" w:line="360" w:lineRule="auto"/>
        <w:ind w:left="11" w:right="185" w:firstLine="43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同时出现两种以上不一致的，按照以上（1）-（4）规定的顺序逐条进行修正。修正后的报</w:t>
      </w:r>
      <w:r>
        <w:rPr>
          <w:rFonts w:hint="eastAsia" w:asciiTheme="minorEastAsia" w:hAnsiTheme="minorEastAsia" w:eastAsiaTheme="minorEastAsia" w:cstheme="minorEastAsia"/>
          <w:color w:val="auto"/>
          <w:spacing w:val="-1"/>
          <w:highlight w:val="none"/>
        </w:rPr>
        <w:t>价经供应商确认后产生约束力，供应商不确认的，其响应文件按无效响应处理。</w:t>
      </w:r>
    </w:p>
    <w:p>
      <w:pPr>
        <w:spacing w:before="2" w:line="360" w:lineRule="auto"/>
        <w:ind w:firstLine="43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3.5商务技术、报价评审</w:t>
      </w:r>
    </w:p>
    <w:p>
      <w:pPr>
        <w:spacing w:before="85" w:line="360" w:lineRule="auto"/>
        <w:ind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在评审时，如发现下列情形之一的，将被视为响应文件无效处理：</w:t>
      </w:r>
    </w:p>
    <w:p>
      <w:pPr>
        <w:spacing w:before="106"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（1）商务技术评审</w:t>
      </w:r>
    </w:p>
    <w:p>
      <w:pPr>
        <w:spacing w:before="105"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1）响应文件未按磋商文件要求签署、盖章；</w:t>
      </w:r>
    </w:p>
    <w:p>
      <w:pPr>
        <w:spacing w:before="107"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2）委托代理人未能出具有效身份证明或者出具的身份证明与授权委托书中的信息不符；</w:t>
      </w:r>
    </w:p>
    <w:p>
      <w:pPr>
        <w:spacing w:before="104" w:line="360" w:lineRule="auto"/>
        <w:ind w:left="11" w:right="189"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3）响应文件未提供任一项“供应商须知前附表”商务技术文件中“必须提供”或者“委</w:t>
      </w:r>
      <w:r>
        <w:rPr>
          <w:rFonts w:hint="eastAsia" w:asciiTheme="minorEastAsia" w:hAnsiTheme="minorEastAsia" w:eastAsiaTheme="minorEastAsia" w:cstheme="minorEastAsia"/>
          <w:color w:val="auto"/>
          <w:spacing w:val="-3"/>
          <w:highlight w:val="none"/>
        </w:rPr>
        <w:t>托时必须提供”的文件资料；响应文件提供的商务技术文件出现任一项不符合“供应商须知前</w:t>
      </w:r>
      <w:r>
        <w:rPr>
          <w:rFonts w:hint="eastAsia" w:asciiTheme="minorEastAsia" w:hAnsiTheme="minorEastAsia" w:eastAsiaTheme="minorEastAsia" w:cstheme="minorEastAsia"/>
          <w:color w:val="auto"/>
          <w:spacing w:val="-1"/>
          <w:highlight w:val="none"/>
        </w:rPr>
        <w:t>附表”商务技术文件中“必须提供”或者“委托时必须提供”文件资料要求的规定或者提供的</w:t>
      </w:r>
      <w:r>
        <w:rPr>
          <w:rFonts w:hint="eastAsia" w:asciiTheme="minorEastAsia" w:hAnsiTheme="minorEastAsia" w:eastAsiaTheme="minorEastAsia" w:cstheme="minorEastAsia"/>
          <w:color w:val="auto"/>
          <w:spacing w:val="-2"/>
          <w:highlight w:val="none"/>
        </w:rPr>
        <w:t>商务技术文件无效。</w:t>
      </w:r>
    </w:p>
    <w:p>
      <w:pPr>
        <w:spacing w:before="104" w:line="360" w:lineRule="auto"/>
        <w:ind w:left="26" w:right="189" w:firstLine="4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4）商务条款中标“</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3"/>
          <w:highlight w:val="none"/>
        </w:rPr>
        <w:t>”的条款发生负偏离的或者允许负偏离的条款数超过“供应商须知前</w:t>
      </w:r>
      <w:r>
        <w:rPr>
          <w:rFonts w:hint="eastAsia" w:asciiTheme="minorEastAsia" w:hAnsiTheme="minorEastAsia" w:eastAsiaTheme="minorEastAsia" w:cstheme="minorEastAsia"/>
          <w:color w:val="auto"/>
          <w:spacing w:val="-2"/>
          <w:highlight w:val="none"/>
        </w:rPr>
        <w:t>附表”规定项数的或者标明实质性的要求发生负偏离；</w:t>
      </w:r>
    </w:p>
    <w:p>
      <w:pPr>
        <w:spacing w:before="105" w:line="360" w:lineRule="auto"/>
        <w:ind w:firstLine="43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5）未对竞标有效期作出响应或者响应文件承诺的竞标有效期不满足磋商文件要求；</w:t>
      </w:r>
    </w:p>
    <w:p>
      <w:pPr>
        <w:spacing w:before="107" w:line="360" w:lineRule="auto"/>
        <w:ind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6）响应文件的实质性内容未使用中文表述、使用计量单位不符合磋商文件要求；</w:t>
      </w:r>
    </w:p>
    <w:p>
      <w:pPr>
        <w:spacing w:before="104" w:line="360" w:lineRule="auto"/>
        <w:ind w:left="10" w:right="189"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7）响应文件中的文件资料因填写不齐全或者内容虚假或者出现其他情形而导致被磋商小组</w:t>
      </w:r>
      <w:r>
        <w:rPr>
          <w:rFonts w:hint="eastAsia" w:asciiTheme="minorEastAsia" w:hAnsiTheme="minorEastAsia" w:eastAsiaTheme="minorEastAsia" w:cstheme="minorEastAsia"/>
          <w:color w:val="auto"/>
          <w:spacing w:val="-2"/>
          <w:highlight w:val="none"/>
        </w:rPr>
        <w:t>认定无效；</w:t>
      </w:r>
    </w:p>
    <w:p>
      <w:pPr>
        <w:spacing w:before="105" w:line="360" w:lineRule="auto"/>
        <w:ind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8）响应文件含有采购人不能接受的附加条件；</w:t>
      </w:r>
    </w:p>
    <w:p>
      <w:pPr>
        <w:spacing w:before="107" w:line="360" w:lineRule="auto"/>
        <w:ind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9）属于“供应商须知正文”第7.5条情形；</w:t>
      </w:r>
    </w:p>
    <w:p>
      <w:pPr>
        <w:spacing w:before="104"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10）技术需求允许负偏离的条款数超过“供应商须知前附表”规定项数；</w:t>
      </w:r>
    </w:p>
    <w:p>
      <w:pPr>
        <w:spacing w:before="107"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11）虚假竞标，或者出现其他情形而导致被磋商小组认定无效；</w:t>
      </w:r>
    </w:p>
    <w:p>
      <w:pPr>
        <w:spacing w:before="105" w:line="360" w:lineRule="auto"/>
        <w:ind w:left="9" w:right="181" w:firstLine="43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12）竞标技术方案不明确，磋商文件未允许但响应文件中存在一个或者一个以上备选（替</w:t>
      </w:r>
      <w:r>
        <w:rPr>
          <w:rFonts w:hint="eastAsia" w:asciiTheme="minorEastAsia" w:hAnsiTheme="minorEastAsia" w:eastAsiaTheme="minorEastAsia" w:cstheme="minorEastAsia"/>
          <w:color w:val="auto"/>
          <w:spacing w:val="-7"/>
          <w:highlight w:val="none"/>
        </w:rPr>
        <w:t>代）竞标方案；</w:t>
      </w:r>
    </w:p>
    <w:p>
      <w:pPr>
        <w:spacing w:before="104" w:line="360" w:lineRule="auto"/>
        <w:ind w:left="15" w:right="187" w:firstLine="43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13）响应文件标注的项目名称或者项目编号与竞争性磋商文件标注的项目名称或者项目编</w:t>
      </w:r>
      <w:r>
        <w:rPr>
          <w:rFonts w:hint="eastAsia" w:asciiTheme="minorEastAsia" w:hAnsiTheme="minorEastAsia" w:eastAsiaTheme="minorEastAsia" w:cstheme="minorEastAsia"/>
          <w:color w:val="auto"/>
          <w:spacing w:val="-9"/>
          <w:highlight w:val="none"/>
        </w:rPr>
        <w:t>号不一致的；</w:t>
      </w:r>
    </w:p>
    <w:p>
      <w:pPr>
        <w:spacing w:before="104" w:line="360" w:lineRule="auto"/>
        <w:ind w:left="15" w:right="187" w:firstLine="430"/>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14）未响应磋商文件实质性要求；</w:t>
      </w:r>
    </w:p>
    <w:p>
      <w:pPr>
        <w:spacing w:before="106"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15）法律、法规和磋商文件规定的其他无效情形。</w:t>
      </w:r>
    </w:p>
    <w:p>
      <w:pPr>
        <w:spacing w:before="105" w:line="360" w:lineRule="auto"/>
        <w:ind w:firstLine="4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（2）报价评审</w:t>
      </w:r>
    </w:p>
    <w:p>
      <w:pPr>
        <w:spacing w:before="107" w:line="360" w:lineRule="auto"/>
        <w:ind w:firstLine="4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1)响应文件未提供“供应商须知前附表”报价文件中规定的“响应报价表”；</w:t>
      </w:r>
    </w:p>
    <w:p>
      <w:pPr>
        <w:spacing w:before="105" w:line="360" w:lineRule="auto"/>
        <w:ind w:firstLine="43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2）未采用人民币报价或者未按照磋商文件标明的币种报价；</w:t>
      </w:r>
    </w:p>
    <w:p>
      <w:pPr>
        <w:spacing w:before="106" w:line="360" w:lineRule="auto"/>
        <w:ind w:left="9" w:right="189"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3）供应商未就所竞标分标进行报价或者存在漏项报价；供应商未就所竞标分标的单项内容</w:t>
      </w:r>
      <w:r>
        <w:rPr>
          <w:rFonts w:hint="eastAsia" w:asciiTheme="minorEastAsia" w:hAnsiTheme="minorEastAsia" w:eastAsiaTheme="minorEastAsia" w:cstheme="minorEastAsia"/>
          <w:color w:val="auto"/>
          <w:spacing w:val="-6"/>
          <w:highlight w:val="none"/>
        </w:rPr>
        <w:t>作唯一报价；供应商未就所竞标分标的全部内容作唯一总价报价；供应商响应文件中存在有选</w:t>
      </w:r>
      <w:r>
        <w:rPr>
          <w:rFonts w:hint="eastAsia" w:asciiTheme="minorEastAsia" w:hAnsiTheme="minorEastAsia" w:eastAsiaTheme="minorEastAsia" w:cstheme="minorEastAsia"/>
          <w:color w:val="auto"/>
          <w:spacing w:val="-2"/>
          <w:highlight w:val="none"/>
        </w:rPr>
        <w:t>择、有条件报价的（磋商文件允许有备选方案或者其他约定的除外</w:t>
      </w:r>
      <w:r>
        <w:rPr>
          <w:rFonts w:hint="eastAsia" w:asciiTheme="minorEastAsia" w:hAnsiTheme="minorEastAsia" w:eastAsiaTheme="minorEastAsia" w:cstheme="minorEastAsia"/>
          <w:color w:val="auto"/>
          <w:spacing w:val="5"/>
          <w:highlight w:val="none"/>
        </w:rPr>
        <w:t>）；</w:t>
      </w:r>
    </w:p>
    <w:p>
      <w:pPr>
        <w:spacing w:before="105" w:line="360" w:lineRule="auto"/>
        <w:ind w:left="9" w:right="189"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4）响应报价（包含首次报价、最后报价）超过所竞标分标规定的采购预算金额或者最高限</w:t>
      </w:r>
      <w:r>
        <w:rPr>
          <w:rFonts w:hint="eastAsia" w:asciiTheme="minorEastAsia" w:hAnsiTheme="minorEastAsia" w:eastAsiaTheme="minorEastAsia" w:cstheme="minorEastAsia"/>
          <w:color w:val="auto"/>
          <w:spacing w:val="-2"/>
          <w:highlight w:val="none"/>
        </w:rPr>
        <w:t>价的（如本项目公布了最高限价</w:t>
      </w:r>
      <w:r>
        <w:rPr>
          <w:rFonts w:hint="eastAsia" w:asciiTheme="minorEastAsia" w:hAnsiTheme="minorEastAsia" w:eastAsiaTheme="minorEastAsia" w:cstheme="minorEastAsia"/>
          <w:color w:val="auto"/>
          <w:spacing w:val="-51"/>
          <w:highlight w:val="none"/>
        </w:rPr>
        <w:t>）；</w:t>
      </w:r>
      <w:r>
        <w:rPr>
          <w:rFonts w:hint="eastAsia" w:asciiTheme="minorEastAsia" w:hAnsiTheme="minorEastAsia" w:eastAsiaTheme="minorEastAsia" w:cstheme="minorEastAsia"/>
          <w:color w:val="auto"/>
          <w:spacing w:val="-2"/>
          <w:highlight w:val="none"/>
        </w:rPr>
        <w:t>响应报价（包含首次报价、最后报价）超过磋商文件分项采购预算金额或者最高限价的（如本项目公布了最高限价</w:t>
      </w:r>
      <w:r>
        <w:rPr>
          <w:rFonts w:hint="eastAsia" w:asciiTheme="minorEastAsia" w:hAnsiTheme="minorEastAsia" w:eastAsiaTheme="minorEastAsia" w:cstheme="minorEastAsia"/>
          <w:color w:val="auto"/>
          <w:spacing w:val="1"/>
          <w:highlight w:val="none"/>
        </w:rPr>
        <w:t>）；</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5）修正后的报价，供应商不确认的；或者经供应商确认修正后的响应报价（包含首次报价、</w:t>
      </w:r>
      <w:r>
        <w:rPr>
          <w:rFonts w:hint="eastAsia" w:asciiTheme="minorEastAsia" w:hAnsiTheme="minorEastAsia" w:eastAsiaTheme="minorEastAsia" w:cstheme="minorEastAsia"/>
          <w:color w:val="auto"/>
          <w:spacing w:val="-2"/>
          <w:highlight w:val="none"/>
        </w:rPr>
        <w:t>最后报价）超过所竞标分标规定的采购预算金额或者最高限价（如本项目公布了最高限价</w:t>
      </w:r>
      <w:r>
        <w:rPr>
          <w:rFonts w:hint="eastAsia" w:asciiTheme="minorEastAsia" w:hAnsiTheme="minorEastAsia" w:eastAsiaTheme="minorEastAsia" w:cstheme="minorEastAsia"/>
          <w:color w:val="auto"/>
          <w:spacing w:val="-56"/>
          <w:highlight w:val="none"/>
        </w:rPr>
        <w:t>）；</w:t>
      </w:r>
      <w:r>
        <w:rPr>
          <w:rFonts w:hint="eastAsia" w:asciiTheme="minorEastAsia" w:hAnsiTheme="minorEastAsia" w:eastAsiaTheme="minorEastAsia" w:cstheme="minorEastAsia"/>
          <w:color w:val="auto"/>
          <w:spacing w:val="-2"/>
          <w:highlight w:val="none"/>
        </w:rPr>
        <w:t>或者经供应商确认修正后响应报价（包含首次报价、最后报价）超过磋商文件分项采购预算金额或者最高限价的（如本项目公布了最高限价）。</w:t>
      </w:r>
    </w:p>
    <w:p>
      <w:pPr>
        <w:spacing w:before="104" w:line="360" w:lineRule="auto"/>
        <w:ind w:firstLine="43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6）响应文件响应的标的数量及单位与竞争性磋商采购文件要求实质性不一致的。</w:t>
      </w:r>
    </w:p>
    <w:p>
      <w:pPr>
        <w:spacing w:before="106" w:line="360" w:lineRule="auto"/>
        <w:ind w:left="16" w:right="211" w:firstLine="4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3.6磋商小组对响应文件进行评审，未实质性响应磋商文件的响应文件按无效处理，磋商</w:t>
      </w:r>
      <w:r>
        <w:rPr>
          <w:rFonts w:hint="eastAsia" w:asciiTheme="minorEastAsia" w:hAnsiTheme="minorEastAsia" w:eastAsiaTheme="minorEastAsia" w:cstheme="minorEastAsia"/>
          <w:color w:val="auto"/>
          <w:spacing w:val="1"/>
          <w:highlight w:val="none"/>
        </w:rPr>
        <w:t>小组应当将资格和符合性不通过的情况告知有关供应商。磋商小组从符合磋商文件规定的相应</w:t>
      </w:r>
      <w:r>
        <w:rPr>
          <w:rFonts w:hint="eastAsia" w:asciiTheme="minorEastAsia" w:hAnsiTheme="minorEastAsia" w:eastAsiaTheme="minorEastAsia" w:cstheme="minorEastAsia"/>
          <w:color w:val="auto"/>
          <w:spacing w:val="-3"/>
          <w:highlight w:val="none"/>
        </w:rPr>
        <w:t>资格条件的供应商名单中确定不少于3家的供应商参加磋商。</w:t>
      </w:r>
    </w:p>
    <w:p>
      <w:pPr>
        <w:spacing w:before="104" w:line="360" w:lineRule="auto"/>
        <w:ind w:left="9" w:right="15" w:firstLine="4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3.7非政府购买服务项目，通过符合性审查的合格供应商不足3家的，不得进入磋商环节，</w:t>
      </w:r>
      <w:r>
        <w:rPr>
          <w:rFonts w:hint="eastAsia" w:asciiTheme="minorEastAsia" w:hAnsiTheme="minorEastAsia" w:eastAsiaTheme="minorEastAsia" w:cstheme="minorEastAsia"/>
          <w:color w:val="auto"/>
          <w:spacing w:val="-3"/>
          <w:highlight w:val="none"/>
        </w:rPr>
        <w:t>采购人或者采购代理机构应当重新开展采购活动。政府购买服务项目，按《财政部关于政府采购</w:t>
      </w:r>
      <w:r>
        <w:rPr>
          <w:rFonts w:hint="eastAsia" w:asciiTheme="minorEastAsia" w:hAnsiTheme="minorEastAsia" w:eastAsiaTheme="minorEastAsia" w:cstheme="minorEastAsia"/>
          <w:color w:val="auto"/>
          <w:spacing w:val="-8"/>
          <w:highlight w:val="none"/>
        </w:rPr>
        <w:t>竞争性磋商采购方式管理暂行办法有关问题的补充通知》（财库〔2015〕124号）规定，采购过程</w:t>
      </w:r>
      <w:r>
        <w:rPr>
          <w:rFonts w:hint="eastAsia" w:asciiTheme="minorEastAsia" w:hAnsiTheme="minorEastAsia" w:eastAsiaTheme="minorEastAsia" w:cstheme="minorEastAsia"/>
          <w:color w:val="auto"/>
          <w:spacing w:val="-5"/>
          <w:highlight w:val="none"/>
        </w:rPr>
        <w:t>中通过符合性审查的供应商（社会资本）只有2家的，磋商采购活动可以继续进行。</w:t>
      </w:r>
    </w:p>
    <w:p>
      <w:pPr>
        <w:spacing w:before="105" w:line="360" w:lineRule="auto"/>
        <w:ind w:firstLine="491"/>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rPr>
        <w:t>4.磋商程序</w:t>
      </w:r>
    </w:p>
    <w:p>
      <w:pPr>
        <w:spacing w:line="360" w:lineRule="auto"/>
        <w:ind w:left="11" w:right="216" w:firstLine="41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4.1磋商小组按照“供应商须知前附表”确定的顺序，集中与单一供应商分别进行磋商，</w:t>
      </w:r>
      <w:r>
        <w:rPr>
          <w:rFonts w:hint="eastAsia" w:asciiTheme="minorEastAsia" w:hAnsiTheme="minorEastAsia" w:eastAsiaTheme="minorEastAsia" w:cstheme="minorEastAsia"/>
          <w:color w:val="auto"/>
          <w:spacing w:val="1"/>
          <w:highlight w:val="none"/>
        </w:rPr>
        <w:t>并给予所有参加磋商的供应商平等的磋商机会。符合磋商资格的供应商必须在接到磋商通知后</w:t>
      </w:r>
      <w:r>
        <w:rPr>
          <w:rFonts w:hint="eastAsia" w:asciiTheme="minorEastAsia" w:hAnsiTheme="minorEastAsia" w:eastAsiaTheme="minorEastAsia" w:cstheme="minorEastAsia"/>
          <w:color w:val="auto"/>
          <w:spacing w:val="-6"/>
          <w:highlight w:val="none"/>
        </w:rPr>
        <w:t>规定时间内参加磋商，未在规定时间内参加磋商的视同放弃参加磋商权利，其响应文件按无效</w:t>
      </w:r>
      <w:r>
        <w:rPr>
          <w:rFonts w:hint="eastAsia" w:asciiTheme="minorEastAsia" w:hAnsiTheme="minorEastAsia" w:eastAsiaTheme="minorEastAsia" w:cstheme="minorEastAsia"/>
          <w:color w:val="auto"/>
          <w:spacing w:val="-5"/>
          <w:highlight w:val="none"/>
        </w:rPr>
        <w:t>响应处理。</w:t>
      </w:r>
    </w:p>
    <w:p>
      <w:pPr>
        <w:spacing w:before="104" w:line="360" w:lineRule="auto"/>
        <w:ind w:left="8" w:right="178"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4.2在磋商过程中，磋商小组可以根据磋商文件和磋商情况实质性变动采购需求中的技术、</w:t>
      </w:r>
      <w:r>
        <w:rPr>
          <w:rFonts w:hint="eastAsia" w:asciiTheme="minorEastAsia" w:hAnsiTheme="minorEastAsia" w:eastAsiaTheme="minorEastAsia" w:cstheme="minorEastAsia"/>
          <w:color w:val="auto"/>
          <w:spacing w:val="-6"/>
          <w:highlight w:val="none"/>
        </w:rPr>
        <w:t>服务要求以及合同草案条款，但不得变动磋商文件中的其他内容。实质性变动的内容，须经采</w:t>
      </w:r>
      <w:r>
        <w:rPr>
          <w:rFonts w:hint="eastAsia" w:asciiTheme="minorEastAsia" w:hAnsiTheme="minorEastAsia" w:eastAsiaTheme="minorEastAsia" w:cstheme="minorEastAsia"/>
          <w:color w:val="auto"/>
          <w:spacing w:val="-1"/>
          <w:highlight w:val="none"/>
        </w:rPr>
        <w:t>购人代表确认。可能实质性变动的内容为采购需求中的技术、服务要求以及合同草案条款。</w:t>
      </w:r>
    </w:p>
    <w:p>
      <w:pPr>
        <w:spacing w:before="1" w:line="360" w:lineRule="auto"/>
        <w:ind w:left="9" w:right="210"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4.3对磋商文件作出的实质性变动是磋商文件的有效组成部分，由磋商小组及时以电子澄清函形式同时通知所有参加磋商的供应商。</w:t>
      </w:r>
    </w:p>
    <w:p>
      <w:pPr>
        <w:spacing w:before="3" w:line="360" w:lineRule="auto"/>
        <w:ind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4.4供应商必须按照磋商文件的变动情况和磋商小组的要求以回函的形式重新提交响应文</w:t>
      </w:r>
    </w:p>
    <w:p>
      <w:pPr>
        <w:spacing w:before="84" w:line="360" w:lineRule="auto"/>
        <w:ind w:left="9" w:right="17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件，并加盖电子公章。供应商为自然人的，必须由本人签字并附身份证明。参加磋商的供应商未</w:t>
      </w:r>
      <w:r>
        <w:rPr>
          <w:rFonts w:hint="eastAsia" w:asciiTheme="minorEastAsia" w:hAnsiTheme="minorEastAsia" w:eastAsiaTheme="minorEastAsia" w:cstheme="minorEastAsia"/>
          <w:color w:val="auto"/>
          <w:spacing w:val="-9"/>
          <w:highlight w:val="none"/>
        </w:rPr>
        <w:t>在规定时间内重新提交响应文件的，视同退出磋商。</w:t>
      </w:r>
    </w:p>
    <w:p>
      <w:pPr>
        <w:spacing w:before="107" w:line="360" w:lineRule="auto"/>
        <w:ind w:left="10" w:right="358"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4.5磋商中，磋商的任何一方不得透露与磋商有关的其他供应商的技术资料、价格和其他信息。</w:t>
      </w:r>
    </w:p>
    <w:p>
      <w:pPr>
        <w:spacing w:before="107" w:line="360" w:lineRule="auto"/>
        <w:ind w:left="10" w:right="358"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4.6磋商小组应对磋商过程和重要磋商内容进行记录，作为评标报告一部分，磋商小组在记录上签字确认。主要内容包括：</w:t>
      </w:r>
    </w:p>
    <w:p>
      <w:pPr>
        <w:spacing w:before="107" w:line="360" w:lineRule="auto"/>
        <w:ind w:left="10" w:right="358"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（1）按照相关规定进行公示的，公示情况说明；</w:t>
      </w:r>
    </w:p>
    <w:p>
      <w:pPr>
        <w:spacing w:before="107" w:line="360" w:lineRule="auto"/>
        <w:ind w:left="10" w:right="358"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（2）磋商日期和地点，磋商人员名单；</w:t>
      </w:r>
    </w:p>
    <w:p>
      <w:pPr>
        <w:spacing w:before="107" w:line="360" w:lineRule="auto"/>
        <w:ind w:left="10" w:right="358" w:firstLine="419"/>
        <w:rPr>
          <w:rFonts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1"/>
          <w:highlight w:val="none"/>
        </w:rPr>
        <w:t>（3）合同主要条款及价格商定情况。</w:t>
      </w:r>
    </w:p>
    <w:p>
      <w:pPr>
        <w:spacing w:before="105" w:line="360" w:lineRule="auto"/>
        <w:ind w:firstLine="4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4.7磋商过程中重新提交的响应文件，供应商可以在开启前补充、修改。</w:t>
      </w:r>
    </w:p>
    <w:p>
      <w:pPr>
        <w:spacing w:before="107" w:line="360" w:lineRule="auto"/>
        <w:ind w:left="13" w:right="178" w:firstLine="4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4.8对磋商过程提交的响应文件进行有效性、完整性和响应程度审查，通过审查的合格供应商不足3家的，采购人或者采购代理机构应当重新开展采购活动。</w:t>
      </w:r>
    </w:p>
    <w:p>
      <w:pPr>
        <w:spacing w:line="360" w:lineRule="auto"/>
        <w:ind w:firstLine="21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5.最后报价</w:t>
      </w:r>
    </w:p>
    <w:p>
      <w:pPr>
        <w:spacing w:before="3" w:line="360" w:lineRule="auto"/>
        <w:ind w:left="11" w:right="178"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5.1磋商文件能够详细列明采购标的的技术、服务要求的，磋商结束后，由磋商小组要求所</w:t>
      </w:r>
      <w:r>
        <w:rPr>
          <w:rFonts w:hint="eastAsia" w:asciiTheme="minorEastAsia" w:hAnsiTheme="minorEastAsia" w:eastAsiaTheme="minorEastAsia" w:cstheme="minorEastAsia"/>
          <w:color w:val="auto"/>
          <w:spacing w:val="-6"/>
          <w:highlight w:val="none"/>
        </w:rPr>
        <w:t>有继续参加磋商的供应商在规定时间内密</w:t>
      </w:r>
      <w:r>
        <w:rPr>
          <w:rFonts w:hint="eastAsia" w:asciiTheme="minorEastAsia" w:hAnsiTheme="minorEastAsia" w:eastAsiaTheme="minorEastAsia" w:cstheme="minorEastAsia"/>
          <w:color w:val="auto"/>
          <w:spacing w:val="-2"/>
          <w:highlight w:val="none"/>
        </w:rPr>
        <w:t>封提交最后报价，除本章第5.3条外，提交最后报价的供应商不得少于3家，否则必须重新采购。</w:t>
      </w:r>
    </w:p>
    <w:p>
      <w:pPr>
        <w:spacing w:before="105" w:line="360" w:lineRule="auto"/>
        <w:ind w:left="11" w:right="178"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5.2磋商文件不能详细列明采购标的的技术、服务要求，需经磋商由供应商提供最后设计方</w:t>
      </w:r>
      <w:r>
        <w:rPr>
          <w:rFonts w:hint="eastAsia" w:asciiTheme="minorEastAsia" w:hAnsiTheme="minorEastAsia" w:eastAsiaTheme="minorEastAsia" w:cstheme="minorEastAsia"/>
          <w:color w:val="auto"/>
          <w:spacing w:val="-7"/>
          <w:highlight w:val="none"/>
        </w:rPr>
        <w:t>案或者解决方案的，磋商结束后，由磋商小组按照少数服从多数的原则投票推荐3家以上供应商的设计方案或者解决方案，并要求其在规定时间内密封提交最后报价。</w:t>
      </w:r>
    </w:p>
    <w:p>
      <w:pPr>
        <w:spacing w:line="360" w:lineRule="auto"/>
        <w:ind w:left="10" w:right="178"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5.3最后报价是供应商响应文件的有效组成部分。符合《政府采购竞争性磋商采购方式管理</w:t>
      </w:r>
      <w:r>
        <w:rPr>
          <w:rFonts w:hint="eastAsia" w:asciiTheme="minorEastAsia" w:hAnsiTheme="minorEastAsia" w:eastAsiaTheme="minorEastAsia" w:cstheme="minorEastAsia"/>
          <w:color w:val="auto"/>
          <w:spacing w:val="-10"/>
          <w:highlight w:val="none"/>
        </w:rPr>
        <w:t>暂行办法》（财库〔2014〕214号）第三条第四项“市场竞争不充分的科研项目，以及需要扶持的</w:t>
      </w:r>
      <w:r>
        <w:rPr>
          <w:rFonts w:hint="eastAsia" w:asciiTheme="minorEastAsia" w:hAnsiTheme="minorEastAsia" w:eastAsiaTheme="minorEastAsia" w:cstheme="minorEastAsia"/>
          <w:color w:val="auto"/>
          <w:spacing w:val="-2"/>
          <w:highlight w:val="none"/>
        </w:rPr>
        <w:t>科技成果转化项目”的，提交最后报价的供应商可以为2家。</w:t>
      </w:r>
    </w:p>
    <w:p>
      <w:pPr>
        <w:spacing w:before="105" w:line="360" w:lineRule="auto"/>
        <w:ind w:left="28" w:right="210" w:firstLine="40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5.4已经提交响应文件的供应商，在提交最后报价之前，可以根据磋商情况退出磋商，退</w:t>
      </w:r>
      <w:r>
        <w:rPr>
          <w:rFonts w:hint="eastAsia" w:asciiTheme="minorEastAsia" w:hAnsiTheme="minorEastAsia" w:eastAsiaTheme="minorEastAsia" w:cstheme="minorEastAsia"/>
          <w:color w:val="auto"/>
          <w:spacing w:val="-3"/>
          <w:highlight w:val="none"/>
        </w:rPr>
        <w:t>出磋商的供应商的响应文件按无效响应处理。</w:t>
      </w:r>
    </w:p>
    <w:p>
      <w:pPr>
        <w:spacing w:before="105" w:line="360" w:lineRule="auto"/>
        <w:ind w:firstLine="43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5.5供应商未在规定时间内提交最后报价的，视同退出磋商。</w:t>
      </w:r>
    </w:p>
    <w:p>
      <w:pPr>
        <w:spacing w:line="360" w:lineRule="auto"/>
        <w:rPr>
          <w:rFonts w:asciiTheme="minorEastAsia" w:hAnsiTheme="minorEastAsia" w:eastAsiaTheme="minorEastAsia" w:cstheme="minorEastAsia"/>
          <w:color w:val="auto"/>
          <w:highlight w:val="none"/>
        </w:rPr>
        <w:sectPr>
          <w:headerReference r:id="rId9" w:type="default"/>
          <w:footerReference r:id="rId10" w:type="default"/>
          <w:pgSz w:w="11906" w:h="16838"/>
          <w:pgMar w:top="935" w:right="1134" w:bottom="1073" w:left="1134"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before="69" w:line="360" w:lineRule="auto"/>
        <w:ind w:left="200" w:right="190" w:firstLine="4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5.6磋商小组收齐某一分标最后报价后统一开启，磋商小组对最后报价进行有效性、完整性</w:t>
      </w:r>
      <w:r>
        <w:rPr>
          <w:rFonts w:hint="eastAsia" w:asciiTheme="minorEastAsia" w:hAnsiTheme="minorEastAsia" w:eastAsiaTheme="minorEastAsia" w:cstheme="minorEastAsia"/>
          <w:color w:val="auto"/>
          <w:spacing w:val="-1"/>
          <w:highlight w:val="none"/>
        </w:rPr>
        <w:t>和响应程度的审查。</w:t>
      </w:r>
    </w:p>
    <w:p>
      <w:pPr>
        <w:spacing w:before="1" w:line="360" w:lineRule="auto"/>
        <w:ind w:left="624" w:right="147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5.7最终响应文件的报价出现前后不一致的，按照本章第3.4条的规定修正。</w:t>
      </w:r>
      <w:r>
        <w:rPr>
          <w:rFonts w:hint="eastAsia" w:asciiTheme="minorEastAsia" w:hAnsiTheme="minorEastAsia" w:eastAsiaTheme="minorEastAsia" w:cstheme="minorEastAsia"/>
          <w:color w:val="auto"/>
          <w:spacing w:val="-2"/>
          <w:highlight w:val="none"/>
        </w:rPr>
        <w:t>5.8修正后的最终报价出现下列情形的，按无效响应处理：</w:t>
      </w:r>
    </w:p>
    <w:p>
      <w:pPr>
        <w:spacing w:before="106" w:line="360" w:lineRule="auto"/>
        <w:ind w:firstLine="6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（1）供应商不确认的（全流程电子化评标采取在线确认</w:t>
      </w:r>
      <w:r>
        <w:rPr>
          <w:rFonts w:hint="eastAsia" w:asciiTheme="minorEastAsia" w:hAnsiTheme="minorEastAsia" w:eastAsiaTheme="minorEastAsia" w:cstheme="minorEastAsia"/>
          <w:color w:val="auto"/>
          <w:spacing w:val="-7"/>
          <w:highlight w:val="none"/>
        </w:rPr>
        <w:t>）；</w:t>
      </w:r>
    </w:p>
    <w:p>
      <w:pPr>
        <w:spacing w:before="104" w:line="360" w:lineRule="auto"/>
        <w:ind w:left="199" w:right="201" w:firstLine="4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（2）经供应商确认修正后的响应报价（包含首次报价、最后报价）超过所竞标分标规定的</w:t>
      </w:r>
      <w:r>
        <w:rPr>
          <w:rFonts w:hint="eastAsia" w:asciiTheme="minorEastAsia" w:hAnsiTheme="minorEastAsia" w:eastAsiaTheme="minorEastAsia" w:cstheme="minorEastAsia"/>
          <w:color w:val="auto"/>
          <w:spacing w:val="-2"/>
          <w:highlight w:val="none"/>
        </w:rPr>
        <w:t>采购预算金额或者最高限价的（如本项目公布了最高限价</w:t>
      </w:r>
      <w:r>
        <w:rPr>
          <w:rFonts w:hint="eastAsia" w:asciiTheme="minorEastAsia" w:hAnsiTheme="minorEastAsia" w:eastAsiaTheme="minorEastAsia" w:cstheme="minorEastAsia"/>
          <w:color w:val="auto"/>
          <w:spacing w:val="1"/>
          <w:highlight w:val="none"/>
        </w:rPr>
        <w:t>）；</w:t>
      </w:r>
    </w:p>
    <w:p>
      <w:pPr>
        <w:spacing w:before="104" w:line="360" w:lineRule="auto"/>
        <w:ind w:left="202" w:right="201" w:firstLine="4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（3）经供应商确认修正后的响应报价（包含首次报价、最后报价）超过分项采购预算金额</w:t>
      </w:r>
      <w:r>
        <w:rPr>
          <w:rFonts w:hint="eastAsia" w:asciiTheme="minorEastAsia" w:hAnsiTheme="minorEastAsia" w:eastAsiaTheme="minorEastAsia" w:cstheme="minorEastAsia"/>
          <w:color w:val="auto"/>
          <w:spacing w:val="-2"/>
          <w:highlight w:val="none"/>
        </w:rPr>
        <w:t>或者最高限价的（如本项目公布了最高限价）。</w:t>
      </w:r>
    </w:p>
    <w:p>
      <w:pPr>
        <w:spacing w:before="105" w:line="360" w:lineRule="auto"/>
        <w:ind w:firstLine="6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5.9经供应商确认修正后的最后报价作为评审及签订合同的依据。</w:t>
      </w:r>
    </w:p>
    <w:p>
      <w:pPr>
        <w:spacing w:before="106" w:line="360" w:lineRule="auto"/>
        <w:ind w:left="204" w:right="196" w:firstLine="4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5.10供应商出现最后报价按无效响应处理或者响应文件按无效处理时</w:t>
      </w:r>
      <w:r>
        <w:rPr>
          <w:rFonts w:hint="eastAsia" w:asciiTheme="minorEastAsia" w:hAnsiTheme="minorEastAsia" w:eastAsiaTheme="minorEastAsia" w:cstheme="minorEastAsia"/>
          <w:color w:val="auto"/>
          <w:spacing w:val="4"/>
          <w:sz w:val="22"/>
          <w:szCs w:val="22"/>
          <w:highlight w:val="none"/>
        </w:rPr>
        <w:t>，磋商小组应当告</w:t>
      </w:r>
      <w:r>
        <w:rPr>
          <w:rFonts w:hint="eastAsia" w:asciiTheme="minorEastAsia" w:hAnsiTheme="minorEastAsia" w:eastAsiaTheme="minorEastAsia" w:cstheme="minorEastAsia"/>
          <w:color w:val="auto"/>
          <w:spacing w:val="-2"/>
          <w:sz w:val="22"/>
          <w:szCs w:val="22"/>
          <w:highlight w:val="none"/>
        </w:rPr>
        <w:t>知有关供应商</w:t>
      </w:r>
      <w:r>
        <w:rPr>
          <w:rFonts w:hint="eastAsia" w:asciiTheme="minorEastAsia" w:hAnsiTheme="minorEastAsia" w:eastAsiaTheme="minorEastAsia" w:cstheme="minorEastAsia"/>
          <w:color w:val="auto"/>
          <w:spacing w:val="-2"/>
          <w:highlight w:val="none"/>
        </w:rPr>
        <w:t>。</w:t>
      </w:r>
    </w:p>
    <w:p>
      <w:pPr>
        <w:spacing w:before="1" w:line="360" w:lineRule="auto"/>
        <w:ind w:firstLine="6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5.11最后报价结束后，磋商小组不得再与供应商进行任何形式的商谈。</w:t>
      </w:r>
    </w:p>
    <w:p>
      <w:pPr>
        <w:spacing w:before="85" w:line="360" w:lineRule="auto"/>
        <w:ind w:firstLine="40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6.比较与评价</w:t>
      </w:r>
    </w:p>
    <w:p>
      <w:pPr>
        <w:spacing w:before="87" w:line="360" w:lineRule="auto"/>
        <w:ind w:left="199" w:right="222" w:firstLine="422"/>
        <w:rPr>
          <w:rFonts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6.1评审方法：综合评分法。</w:t>
      </w:r>
    </w:p>
    <w:p>
      <w:pPr>
        <w:spacing w:before="87" w:line="360" w:lineRule="auto"/>
        <w:ind w:left="199" w:right="222"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6.2经磋商确定最终采购需求和提交最后报价的供应商后，由磋商小组采用综合评分法对提交最后报价的供应商的响应文件和最后报价进行综合评分。</w:t>
      </w:r>
    </w:p>
    <w:p>
      <w:pPr>
        <w:spacing w:before="2" w:line="360" w:lineRule="auto"/>
        <w:ind w:left="200" w:right="190" w:firstLine="4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6.3评审时，磋商小组各成员应当独立对每个有效响应的文件进行评价、打分，然后汇总每</w:t>
      </w:r>
      <w:r>
        <w:rPr>
          <w:rFonts w:hint="eastAsia" w:asciiTheme="minorEastAsia" w:hAnsiTheme="minorEastAsia" w:eastAsiaTheme="minorEastAsia" w:cstheme="minorEastAsia"/>
          <w:color w:val="auto"/>
          <w:spacing w:val="-3"/>
          <w:highlight w:val="none"/>
        </w:rPr>
        <w:t>个供应商每项评分因素的得分。</w:t>
      </w:r>
    </w:p>
    <w:p>
      <w:pPr>
        <w:spacing w:before="2" w:line="360" w:lineRule="auto"/>
        <w:ind w:left="203" w:right="27"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（1）磋商小组按照磋商文件中规定的评审标准计算各供应商的报价得分。项目评审过程中，不得去掉最后报价中的最高报价和最低报价。</w:t>
      </w:r>
    </w:p>
    <w:p>
      <w:pPr>
        <w:spacing w:before="3" w:line="360" w:lineRule="auto"/>
        <w:ind w:firstLine="6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（2）各供应商的得分为磋商小组所有成员的有效评分的算术平均数。</w:t>
      </w:r>
    </w:p>
    <w:p>
      <w:pPr>
        <w:spacing w:before="84" w:line="360" w:lineRule="auto"/>
        <w:ind w:left="205" w:right="190" w:firstLine="41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6.4评审价为供应商的最后报价进行政策性扣除后的价格，评审价只是作为评审时使用。最</w:t>
      </w:r>
      <w:r>
        <w:rPr>
          <w:rFonts w:hint="eastAsia" w:asciiTheme="minorEastAsia" w:hAnsiTheme="minorEastAsia" w:eastAsiaTheme="minorEastAsia" w:cstheme="minorEastAsia"/>
          <w:color w:val="auto"/>
          <w:spacing w:val="-1"/>
          <w:highlight w:val="none"/>
        </w:rPr>
        <w:t>终成交供应商的成交金额等于最后报价（如有修正，以确认修正后的最后报价为准）。</w:t>
      </w:r>
    </w:p>
    <w:p>
      <w:pPr>
        <w:spacing w:before="104" w:line="360" w:lineRule="auto"/>
        <w:ind w:left="199" w:right="190"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6.5由磋商小组根据综合评分情况，按照评审得分由高到低顺序推荐3名以上成交候选供</w:t>
      </w:r>
      <w:r>
        <w:rPr>
          <w:rFonts w:hint="eastAsia" w:asciiTheme="minorEastAsia" w:hAnsiTheme="minorEastAsia" w:eastAsiaTheme="minorEastAsia" w:cstheme="minorEastAsia"/>
          <w:color w:val="auto"/>
          <w:spacing w:val="-6"/>
          <w:highlight w:val="none"/>
        </w:rPr>
        <w:t>应商，并编写评审报告。符合本章第4.3条情形的，可以推荐2家成交候选供应商。评审得分相同的，按照最后报价由低到高的顺序推荐。评审得分且最后报价相同的，按照技术指标优劣顺</w:t>
      </w:r>
      <w:r>
        <w:rPr>
          <w:rFonts w:hint="eastAsia" w:asciiTheme="minorEastAsia" w:hAnsiTheme="minorEastAsia" w:eastAsiaTheme="minorEastAsia" w:cstheme="minorEastAsia"/>
          <w:color w:val="auto"/>
          <w:spacing w:val="-2"/>
          <w:highlight w:val="none"/>
        </w:rPr>
        <w:t>序推荐。</w:t>
      </w:r>
    </w:p>
    <w:p>
      <w:pPr>
        <w:spacing w:before="105" w:line="360" w:lineRule="auto"/>
        <w:ind w:left="199" w:right="190" w:firstLine="4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6.6评审报告应当由磋商小组全体人员签字认可。磋商小组成员对评审报告有异议的，磋商小组按照少数服从多数的原则推荐成交候选供应商，采购程序继续进行。对评审报告有异议的</w:t>
      </w:r>
      <w:r>
        <w:rPr>
          <w:rFonts w:hint="eastAsia" w:asciiTheme="minorEastAsia" w:hAnsiTheme="minorEastAsia" w:eastAsiaTheme="minorEastAsia" w:cstheme="minorEastAsia"/>
          <w:color w:val="auto"/>
          <w:spacing w:val="-7"/>
          <w:highlight w:val="none"/>
        </w:rPr>
        <w:t>磋商小组成员，应当在报告上签署不同意见并说明理由，由磋商小组书面记录相关情况。磋商</w:t>
      </w:r>
      <w:r>
        <w:rPr>
          <w:rFonts w:hint="eastAsia" w:asciiTheme="minorEastAsia" w:hAnsiTheme="minorEastAsia" w:eastAsiaTheme="minorEastAsia" w:cstheme="minorEastAsia"/>
          <w:color w:val="auto"/>
          <w:spacing w:val="-6"/>
          <w:highlight w:val="none"/>
        </w:rPr>
        <w:t>小组成员拒绝在报告上签字又不书面说明其不同意见和理由的，视为同意评审报告。</w:t>
      </w:r>
    </w:p>
    <w:p>
      <w:pPr>
        <w:spacing w:before="105" w:line="360" w:lineRule="auto"/>
        <w:rPr>
          <w:rFonts w:asciiTheme="minorEastAsia" w:hAnsiTheme="minorEastAsia" w:eastAsiaTheme="minorEastAsia" w:cstheme="minorEastAsia"/>
          <w:color w:val="auto"/>
          <w:spacing w:val="-3"/>
          <w:sz w:val="24"/>
          <w:szCs w:val="24"/>
          <w:highlight w:val="none"/>
        </w:rPr>
      </w:pPr>
    </w:p>
    <w:p>
      <w:pPr>
        <w:spacing w:before="105"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7.评审标准</w:t>
      </w:r>
    </w:p>
    <w:p>
      <w:pPr>
        <w:spacing w:line="360" w:lineRule="auto"/>
        <w:ind w:left="201" w:right="189" w:firstLine="4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7.1评审依据：磋商小组将以磋商响应文件为评审依据，对供应商的报价、技术、商务等方</w:t>
      </w:r>
      <w:r>
        <w:rPr>
          <w:rFonts w:hint="eastAsia" w:asciiTheme="minorEastAsia" w:hAnsiTheme="minorEastAsia" w:eastAsiaTheme="minorEastAsia" w:cstheme="minorEastAsia"/>
          <w:color w:val="auto"/>
          <w:spacing w:val="-1"/>
          <w:highlight w:val="none"/>
        </w:rPr>
        <w:t>面内容按百分制打分。（计分方法按四舍五入取至百分位）</w:t>
      </w:r>
    </w:p>
    <w:p>
      <w:pPr>
        <w:pStyle w:val="11"/>
        <w:spacing w:line="360" w:lineRule="auto"/>
        <w:rPr>
          <w:rFonts w:hAnsi="宋体"/>
          <w:b/>
          <w:bCs/>
          <w:color w:val="auto"/>
          <w:highlight w:val="none"/>
        </w:rPr>
      </w:pPr>
      <w:r>
        <w:rPr>
          <w:rFonts w:hint="eastAsia" w:hAnsi="宋体"/>
          <w:b/>
          <w:bCs/>
          <w:color w:val="auto"/>
          <w:highlight w:val="none"/>
        </w:rPr>
        <w:t>一、评标原则</w:t>
      </w:r>
    </w:p>
    <w:p>
      <w:pPr>
        <w:pStyle w:val="11"/>
        <w:spacing w:line="420" w:lineRule="exact"/>
        <w:ind w:firstLine="412" w:firstLineChars="196"/>
        <w:rPr>
          <w:rFonts w:hint="eastAsia" w:hAnsi="宋体"/>
          <w:b/>
          <w:color w:val="auto"/>
          <w:highlight w:val="none"/>
        </w:rPr>
      </w:pPr>
      <w:r>
        <w:rPr>
          <w:rFonts w:hint="eastAsia" w:hAnsi="宋体"/>
          <w:b/>
          <w:color w:val="auto"/>
          <w:highlight w:val="none"/>
        </w:rPr>
        <w:t>一、评标原则</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（一）评委构成：本招标采购项目的评委分别由依法组成的评审专家、采购单位代表共</w:t>
      </w:r>
      <w:r>
        <w:rPr>
          <w:rFonts w:hint="eastAsia" w:hAnsi="宋体"/>
          <w:bCs/>
          <w:color w:val="auto"/>
          <w:highlight w:val="none"/>
          <w:u w:val="single"/>
        </w:rPr>
        <w:t xml:space="preserve"> </w:t>
      </w:r>
      <w:r>
        <w:rPr>
          <w:rFonts w:hint="eastAsia" w:hAnsi="宋体" w:eastAsia="宋体"/>
          <w:bCs/>
          <w:color w:val="auto"/>
          <w:highlight w:val="none"/>
          <w:u w:val="single"/>
          <w:lang w:val="en-US" w:eastAsia="zh-CN"/>
        </w:rPr>
        <w:t>3</w:t>
      </w:r>
      <w:r>
        <w:rPr>
          <w:rFonts w:hint="eastAsia" w:hAnsi="宋体"/>
          <w:bCs/>
          <w:color w:val="auto"/>
          <w:highlight w:val="none"/>
          <w:u w:val="single"/>
        </w:rPr>
        <w:t xml:space="preserve"> </w:t>
      </w:r>
      <w:r>
        <w:rPr>
          <w:rFonts w:hint="eastAsia" w:hAnsi="宋体"/>
          <w:bCs/>
          <w:color w:val="auto"/>
          <w:highlight w:val="none"/>
        </w:rPr>
        <w:t>人以上单数构成，其中专家人数不少于成员总数的三分之二。</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（二）评标依据：评委将以招标文件为评标依据，对投标人的投标报价、技术、售后服务、信誉业绩等方面内容按百分制打分。</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（三）评标方式：以封闭方式进行。</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（四）按照</w:t>
      </w:r>
      <w:r>
        <w:rPr>
          <w:rFonts w:hint="eastAsia" w:hAnsi="宋体" w:cs="宋体"/>
          <w:color w:val="auto"/>
          <w:highlight w:val="none"/>
        </w:rPr>
        <w:t>《政府采购促进中小企业发展管理办法》财库（2020）46号</w:t>
      </w:r>
      <w:r>
        <w:rPr>
          <w:rFonts w:hint="eastAsia" w:hAnsi="宋体"/>
          <w:bCs/>
          <w:color w:val="auto"/>
          <w:highlight w:val="none"/>
        </w:rPr>
        <w:t>的规定，投标人认定为小型和微型企业的（以投标文件提供的符合规定的有关证明材料为准），对投标报价给予10%的扣除，扣除后的价格为评标价，即评标价=投标报价×（1-10%）；大中型企业与小型、微型企业组成联合体投标，其中小型、微型企业的协议合同金额占到联合体协议合同总金额30%以上的，联合体投标报价给予2%的扣除，扣除后的价格为评标价，即评标价=投标报价×（1-2%）；除上述情况外，评标价=投标报价。</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根据财政部、司法部《关于政府采购支持监狱企业发展有关问题的通知》（财库[2014]68号）的而规定，监狱企业视同小型、微型企业，享受小型、微型企业评审中价格扣除的政府采购政策。</w:t>
      </w:r>
    </w:p>
    <w:p>
      <w:pPr>
        <w:pStyle w:val="11"/>
        <w:spacing w:line="420" w:lineRule="exact"/>
        <w:ind w:firstLine="412" w:firstLineChars="196"/>
        <w:outlineLvl w:val="0"/>
        <w:rPr>
          <w:rFonts w:hint="eastAsia" w:hAnsi="宋体"/>
          <w:b/>
          <w:color w:val="auto"/>
          <w:highlight w:val="none"/>
        </w:rPr>
      </w:pPr>
      <w:r>
        <w:rPr>
          <w:rFonts w:hint="eastAsia" w:hAnsi="宋体"/>
          <w:b/>
          <w:color w:val="auto"/>
          <w:highlight w:val="none"/>
        </w:rPr>
        <w:t>二、评定方法</w:t>
      </w:r>
    </w:p>
    <w:p>
      <w:pPr>
        <w:widowControl/>
        <w:spacing w:line="420" w:lineRule="exact"/>
        <w:ind w:firstLine="420" w:firstLineChars="200"/>
        <w:jc w:val="left"/>
        <w:outlineLvl w:val="0"/>
        <w:rPr>
          <w:rFonts w:hint="eastAsia"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pPr>
        <w:pStyle w:val="11"/>
        <w:spacing w:line="420" w:lineRule="exact"/>
        <w:ind w:firstLine="411" w:firstLineChars="196"/>
        <w:outlineLvl w:val="0"/>
        <w:rPr>
          <w:rFonts w:hint="eastAsia" w:hAnsi="宋体"/>
          <w:bCs/>
          <w:color w:val="auto"/>
          <w:highlight w:val="none"/>
        </w:rPr>
      </w:pPr>
      <w:r>
        <w:rPr>
          <w:rFonts w:hint="eastAsia" w:hAnsi="宋体"/>
          <w:bCs/>
          <w:color w:val="auto"/>
          <w:highlight w:val="none"/>
        </w:rPr>
        <w:t>（二）计分办法（按四舍五入取至百分位）。</w:t>
      </w:r>
    </w:p>
    <w:p>
      <w:pPr>
        <w:pStyle w:val="11"/>
        <w:spacing w:line="420" w:lineRule="exact"/>
        <w:ind w:firstLine="412" w:firstLineChars="196"/>
        <w:outlineLvl w:val="0"/>
        <w:rPr>
          <w:rFonts w:hint="eastAsia" w:hAnsi="宋体"/>
          <w:b/>
          <w:color w:val="auto"/>
          <w:highlight w:val="none"/>
        </w:rPr>
      </w:pPr>
      <w:r>
        <w:rPr>
          <w:rFonts w:hint="eastAsia" w:hAnsi="宋体"/>
          <w:b/>
          <w:color w:val="auto"/>
          <w:highlight w:val="none"/>
        </w:rPr>
        <w:t>1、价格分………………………………………………………………………………………………</w:t>
      </w:r>
      <w:r>
        <w:rPr>
          <w:rFonts w:hint="eastAsia" w:hAnsi="宋体" w:eastAsia="宋体"/>
          <w:b/>
          <w:color w:val="auto"/>
          <w:highlight w:val="none"/>
          <w:lang w:val="en-US" w:eastAsia="zh-CN"/>
        </w:rPr>
        <w:t>20</w:t>
      </w:r>
      <w:r>
        <w:rPr>
          <w:rFonts w:hint="eastAsia" w:hAnsi="宋体"/>
          <w:b/>
          <w:color w:val="auto"/>
          <w:highlight w:val="none"/>
        </w:rPr>
        <w:t>分</w:t>
      </w:r>
    </w:p>
    <w:p>
      <w:pPr>
        <w:pStyle w:val="11"/>
        <w:spacing w:line="420" w:lineRule="exact"/>
        <w:ind w:firstLine="420" w:firstLineChars="200"/>
        <w:outlineLvl w:val="0"/>
        <w:rPr>
          <w:rFonts w:hint="eastAsia" w:hAnsi="宋体"/>
          <w:color w:val="auto"/>
          <w:highlight w:val="none"/>
        </w:rPr>
      </w:pPr>
      <w:r>
        <w:rPr>
          <w:rFonts w:hint="eastAsia" w:hAnsi="宋体"/>
          <w:color w:val="auto"/>
          <w:highlight w:val="none"/>
        </w:rPr>
        <w:t>价格分计算公式：</w:t>
      </w:r>
    </w:p>
    <w:p>
      <w:pPr>
        <w:pStyle w:val="11"/>
        <w:spacing w:line="260" w:lineRule="exact"/>
        <w:rPr>
          <w:rFonts w:hint="eastAsia" w:hAnsi="宋体"/>
          <w:color w:val="auto"/>
          <w:highlight w:val="none"/>
        </w:rPr>
      </w:pPr>
      <w:r>
        <w:rPr>
          <w:rFonts w:hint="eastAsia" w:hAnsi="宋体"/>
          <w:color w:val="auto"/>
          <w:sz w:val="24"/>
          <w:highlight w:val="none"/>
        </w:rPr>
        <w:t xml:space="preserve">                   </w:t>
      </w:r>
      <w:r>
        <w:rPr>
          <w:rFonts w:hint="eastAsia" w:hAnsi="宋体"/>
          <w:color w:val="auto"/>
          <w:highlight w:val="none"/>
        </w:rPr>
        <w:t xml:space="preserve">    </w:t>
      </w:r>
      <w:r>
        <w:rPr>
          <w:rFonts w:hint="eastAsia" w:hAnsi="宋体"/>
          <w:color w:val="auto"/>
          <w:sz w:val="24"/>
          <w:highlight w:val="none"/>
        </w:rPr>
        <w:t xml:space="preserve">      </w:t>
      </w:r>
      <w:r>
        <w:rPr>
          <w:rFonts w:hint="eastAsia" w:hAnsi="宋体"/>
          <w:color w:val="auto"/>
          <w:highlight w:val="none"/>
        </w:rPr>
        <w:t xml:space="preserve"> 有效投标人最低</w:t>
      </w:r>
      <w:r>
        <w:rPr>
          <w:rFonts w:hint="eastAsia" w:hAnsi="宋体"/>
          <w:bCs/>
          <w:color w:val="auto"/>
          <w:highlight w:val="none"/>
        </w:rPr>
        <w:t>评标</w:t>
      </w:r>
      <w:r>
        <w:rPr>
          <w:rFonts w:hint="eastAsia" w:hAnsi="宋体"/>
          <w:color w:val="auto"/>
          <w:highlight w:val="none"/>
        </w:rPr>
        <w:t>价（金额）</w:t>
      </w:r>
    </w:p>
    <w:p>
      <w:pPr>
        <w:pStyle w:val="11"/>
        <w:spacing w:line="260" w:lineRule="exact"/>
        <w:ind w:right="386" w:rightChars="184" w:firstLine="1169" w:firstLineChars="557"/>
        <w:rPr>
          <w:rFonts w:hint="eastAsia" w:hAnsi="宋体"/>
          <w:color w:val="auto"/>
          <w:highlight w:val="none"/>
        </w:rPr>
      </w:pPr>
      <w:r>
        <w:rPr>
          <w:rFonts w:hint="eastAsia" w:hAnsi="宋体"/>
          <w:color w:val="auto"/>
          <w:highlight w:val="none"/>
        </w:rPr>
        <w:t xml:space="preserve">某有效投标人价格分 =  </w:t>
      </w:r>
      <w:r>
        <w:rPr>
          <w:rFonts w:hint="eastAsia" w:hAnsi="宋体"/>
          <w:b/>
          <w:bCs/>
          <w:color w:val="auto"/>
          <w:highlight w:val="none"/>
        </w:rPr>
        <w:t>----------------------------</w:t>
      </w:r>
      <w:r>
        <w:rPr>
          <w:rFonts w:hint="eastAsia" w:hAnsi="宋体"/>
          <w:color w:val="auto"/>
          <w:highlight w:val="none"/>
        </w:rPr>
        <w:t xml:space="preserve">  × </w:t>
      </w:r>
      <w:r>
        <w:rPr>
          <w:rFonts w:hint="eastAsia" w:hAnsi="宋体" w:eastAsia="宋体"/>
          <w:color w:val="auto"/>
          <w:highlight w:val="none"/>
          <w:lang w:val="en-US" w:eastAsia="zh-CN"/>
        </w:rPr>
        <w:t>20</w:t>
      </w:r>
      <w:r>
        <w:rPr>
          <w:rFonts w:hint="eastAsia" w:hAnsi="宋体"/>
          <w:color w:val="auto"/>
          <w:highlight w:val="none"/>
        </w:rPr>
        <w:t>分</w:t>
      </w:r>
    </w:p>
    <w:p>
      <w:pPr>
        <w:pStyle w:val="11"/>
        <w:spacing w:after="240" w:afterLines="100" w:line="260" w:lineRule="exact"/>
        <w:ind w:right="386" w:rightChars="184"/>
        <w:rPr>
          <w:rFonts w:hint="eastAsia" w:hAnsi="宋体"/>
          <w:color w:val="auto"/>
          <w:highlight w:val="none"/>
        </w:rPr>
      </w:pPr>
      <w:r>
        <w:rPr>
          <w:rFonts w:hint="eastAsia" w:hAnsi="宋体"/>
          <w:color w:val="auto"/>
          <w:highlight w:val="none"/>
        </w:rPr>
        <w:t xml:space="preserve">                                   某有效投标人</w:t>
      </w:r>
      <w:r>
        <w:rPr>
          <w:rFonts w:hint="eastAsia" w:hAnsi="宋体"/>
          <w:bCs/>
          <w:color w:val="auto"/>
          <w:highlight w:val="none"/>
        </w:rPr>
        <w:t>评标</w:t>
      </w:r>
      <w:r>
        <w:rPr>
          <w:rFonts w:hint="eastAsia" w:hAnsi="宋体"/>
          <w:color w:val="auto"/>
          <w:highlight w:val="none"/>
        </w:rPr>
        <w:t>价（金额）</w:t>
      </w:r>
    </w:p>
    <w:p>
      <w:pPr>
        <w:pStyle w:val="11"/>
        <w:spacing w:line="420" w:lineRule="exact"/>
        <w:ind w:firstLine="412" w:firstLineChars="196"/>
        <w:rPr>
          <w:rFonts w:hAnsi="宋体"/>
          <w:b/>
          <w:color w:val="auto"/>
          <w:highlight w:val="none"/>
        </w:rPr>
      </w:pPr>
      <w:r>
        <w:rPr>
          <w:rFonts w:hint="eastAsia" w:hAnsi="宋体"/>
          <w:b/>
          <w:color w:val="auto"/>
          <w:highlight w:val="none"/>
        </w:rPr>
        <w:t>2、技术分………………………………………………………………………………………………</w:t>
      </w:r>
      <w:r>
        <w:rPr>
          <w:rFonts w:hint="eastAsia" w:hAnsi="宋体" w:eastAsia="宋体"/>
          <w:b/>
          <w:color w:val="auto"/>
          <w:highlight w:val="none"/>
          <w:lang w:val="en-US" w:eastAsia="zh-CN"/>
        </w:rPr>
        <w:t>5</w:t>
      </w:r>
      <w:r>
        <w:rPr>
          <w:rFonts w:hAnsi="宋体"/>
          <w:b/>
          <w:color w:val="auto"/>
          <w:highlight w:val="none"/>
        </w:rPr>
        <w:t>5</w:t>
      </w:r>
      <w:r>
        <w:rPr>
          <w:rFonts w:hint="eastAsia" w:hAnsi="宋体"/>
          <w:b/>
          <w:color w:val="auto"/>
          <w:highlight w:val="none"/>
        </w:rPr>
        <w:t>分</w:t>
      </w:r>
    </w:p>
    <w:p>
      <w:pPr>
        <w:pStyle w:val="11"/>
        <w:spacing w:line="420" w:lineRule="exact"/>
        <w:ind w:firstLine="412" w:firstLineChars="196"/>
        <w:rPr>
          <w:rFonts w:hint="eastAsia" w:hAnsi="宋体"/>
          <w:bCs/>
          <w:color w:val="auto"/>
          <w:highlight w:val="none"/>
        </w:rPr>
      </w:pPr>
      <w:r>
        <w:rPr>
          <w:rFonts w:hint="eastAsia" w:hAnsi="宋体"/>
          <w:b/>
          <w:bCs/>
          <w:color w:val="auto"/>
          <w:highlight w:val="none"/>
        </w:rPr>
        <w:t>（1）项目实施方案（满分</w:t>
      </w:r>
      <w:r>
        <w:rPr>
          <w:rFonts w:hint="eastAsia" w:hAnsi="宋体" w:eastAsia="宋体"/>
          <w:b/>
          <w:bCs/>
          <w:color w:val="auto"/>
          <w:highlight w:val="none"/>
          <w:lang w:val="en-US" w:eastAsia="zh-CN"/>
        </w:rPr>
        <w:t>55</w:t>
      </w:r>
      <w:r>
        <w:rPr>
          <w:rFonts w:hint="eastAsia" w:hAnsi="宋体"/>
          <w:b/>
          <w:bCs/>
          <w:color w:val="auto"/>
          <w:highlight w:val="none"/>
        </w:rPr>
        <w:t>分</w:t>
      </w:r>
      <w:r>
        <w:rPr>
          <w:rFonts w:hint="eastAsia" w:hAnsi="宋体"/>
          <w:bCs/>
          <w:color w:val="auto"/>
          <w:highlight w:val="none"/>
        </w:rPr>
        <w:t>）</w:t>
      </w:r>
    </w:p>
    <w:p>
      <w:pPr>
        <w:pStyle w:val="11"/>
        <w:spacing w:line="420" w:lineRule="exact"/>
        <w:ind w:firstLine="422" w:firstLineChars="200"/>
        <w:outlineLvl w:val="0"/>
        <w:rPr>
          <w:b/>
          <w:bCs/>
          <w:color w:val="auto"/>
          <w:highlight w:val="none"/>
        </w:rPr>
      </w:pPr>
      <w:r>
        <w:rPr>
          <w:rFonts w:hint="eastAsia" w:eastAsia="宋体"/>
          <w:b/>
          <w:bCs/>
          <w:color w:val="auto"/>
          <w:highlight w:val="none"/>
          <w:lang w:val="en-US" w:eastAsia="zh-CN"/>
        </w:rPr>
        <w:t>1</w:t>
      </w:r>
      <w:r>
        <w:rPr>
          <w:b/>
          <w:bCs/>
          <w:color w:val="auto"/>
          <w:highlight w:val="none"/>
        </w:rPr>
        <w:t xml:space="preserve">) </w:t>
      </w:r>
      <w:r>
        <w:rPr>
          <w:rFonts w:hint="eastAsia"/>
          <w:b/>
          <w:bCs/>
          <w:color w:val="auto"/>
          <w:highlight w:val="none"/>
        </w:rPr>
        <w:t>实施技术方案(满分2</w:t>
      </w:r>
      <w:r>
        <w:rPr>
          <w:b/>
          <w:bCs/>
          <w:color w:val="auto"/>
          <w:highlight w:val="none"/>
        </w:rPr>
        <w:t>0</w:t>
      </w:r>
      <w:r>
        <w:rPr>
          <w:rFonts w:hint="eastAsia"/>
          <w:b/>
          <w:bCs/>
          <w:color w:val="auto"/>
          <w:highlight w:val="none"/>
        </w:rPr>
        <w:t>分</w:t>
      </w:r>
      <w:r>
        <w:rPr>
          <w:b/>
          <w:bCs/>
          <w:color w:val="auto"/>
          <w:highlight w:val="none"/>
        </w:rPr>
        <w:t>)</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一档（</w:t>
      </w:r>
      <w:r>
        <w:rPr>
          <w:rFonts w:hint="eastAsia" w:hAnsi="宋体"/>
          <w:bCs/>
          <w:color w:val="auto"/>
          <w:highlight w:val="none"/>
          <w:lang w:val="en-US" w:eastAsia="zh-CN"/>
        </w:rPr>
        <w:t>6</w:t>
      </w:r>
      <w:r>
        <w:rPr>
          <w:rFonts w:hint="eastAsia" w:hAnsi="宋体"/>
          <w:bCs/>
          <w:color w:val="auto"/>
          <w:highlight w:val="none"/>
        </w:rPr>
        <w:t>分）：基本能够理解本项目的建设背景、</w:t>
      </w:r>
      <w:r>
        <w:rPr>
          <w:rFonts w:hint="eastAsia" w:hAnsi="宋体" w:eastAsia="宋体"/>
          <w:bCs/>
          <w:color w:val="auto"/>
          <w:highlight w:val="none"/>
          <w:lang w:val="en-US" w:eastAsia="zh-CN"/>
        </w:rPr>
        <w:t>增产增糖</w:t>
      </w:r>
      <w:r>
        <w:rPr>
          <w:rFonts w:hint="eastAsia" w:hAnsi="宋体"/>
          <w:bCs/>
          <w:color w:val="auto"/>
          <w:highlight w:val="none"/>
        </w:rPr>
        <w:t>目标、</w:t>
      </w:r>
      <w:r>
        <w:rPr>
          <w:rFonts w:hint="eastAsia" w:hAnsi="宋体" w:eastAsia="宋体"/>
          <w:bCs/>
          <w:color w:val="auto"/>
          <w:highlight w:val="none"/>
          <w:lang w:val="en-US" w:eastAsia="zh-CN"/>
        </w:rPr>
        <w:t>示范建设内容、示范地布局与测产、验收技术要求</w:t>
      </w:r>
      <w:r>
        <w:rPr>
          <w:rFonts w:hint="eastAsia" w:hAnsi="宋体"/>
          <w:bCs/>
          <w:color w:val="auto"/>
          <w:highlight w:val="none"/>
        </w:rPr>
        <w:t>；能够把握本项目的技术重点、难点和要点；提出了基本可行的“</w:t>
      </w:r>
      <w:r>
        <w:rPr>
          <w:rFonts w:hint="eastAsia" w:hAnsi="宋体" w:eastAsia="宋体"/>
          <w:bCs/>
          <w:color w:val="auto"/>
          <w:highlight w:val="none"/>
          <w:lang w:val="en-US" w:eastAsia="zh-CN"/>
        </w:rPr>
        <w:t>糖料蔗测土配方施肥</w:t>
      </w:r>
      <w:r>
        <w:rPr>
          <w:rFonts w:hint="eastAsia" w:hAnsi="宋体"/>
          <w:bCs/>
          <w:color w:val="auto"/>
          <w:highlight w:val="none"/>
        </w:rPr>
        <w:t>”的具体措施和方法。</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12</w:t>
      </w:r>
      <w:r>
        <w:rPr>
          <w:rFonts w:hint="eastAsia" w:hAnsi="宋体"/>
          <w:bCs/>
          <w:color w:val="auto"/>
          <w:highlight w:val="none"/>
        </w:rPr>
        <w:t>分）：较准确解本项目的建设背景、</w:t>
      </w:r>
      <w:r>
        <w:rPr>
          <w:rFonts w:hint="eastAsia" w:hAnsi="宋体" w:eastAsia="宋体"/>
          <w:bCs/>
          <w:color w:val="auto"/>
          <w:highlight w:val="none"/>
          <w:lang w:val="en-US" w:eastAsia="zh-CN"/>
        </w:rPr>
        <w:t>增产增糖</w:t>
      </w:r>
      <w:r>
        <w:rPr>
          <w:rFonts w:hint="eastAsia" w:hAnsi="宋体"/>
          <w:bCs/>
          <w:color w:val="auto"/>
          <w:highlight w:val="none"/>
        </w:rPr>
        <w:t>目标、</w:t>
      </w:r>
      <w:r>
        <w:rPr>
          <w:rFonts w:hint="eastAsia" w:hAnsi="宋体" w:eastAsia="宋体"/>
          <w:bCs/>
          <w:color w:val="auto"/>
          <w:highlight w:val="none"/>
          <w:lang w:val="en-US" w:eastAsia="zh-CN"/>
        </w:rPr>
        <w:t>示范建设内容、示范地布局与测产、验收技术要求</w:t>
      </w:r>
      <w:r>
        <w:rPr>
          <w:rFonts w:hint="eastAsia" w:hAnsi="宋体"/>
          <w:bCs/>
          <w:color w:val="auto"/>
          <w:highlight w:val="none"/>
        </w:rPr>
        <w:t>；较好地把握本项目的技术重点、难点和要点；提出了较完整可行的“</w:t>
      </w:r>
      <w:r>
        <w:rPr>
          <w:rFonts w:hint="eastAsia" w:hAnsi="宋体" w:eastAsia="宋体"/>
          <w:bCs/>
          <w:color w:val="auto"/>
          <w:highlight w:val="none"/>
          <w:lang w:val="en-US" w:eastAsia="zh-CN"/>
        </w:rPr>
        <w:t>糖料蔗测土配方施肥</w:t>
      </w:r>
      <w:r>
        <w:rPr>
          <w:rFonts w:hint="eastAsia" w:hAnsi="宋体"/>
          <w:bCs/>
          <w:color w:val="auto"/>
          <w:highlight w:val="none"/>
        </w:rPr>
        <w:t>”的具体措施和方法。</w:t>
      </w:r>
    </w:p>
    <w:p>
      <w:pPr>
        <w:pStyle w:val="11"/>
        <w:spacing w:line="420" w:lineRule="exact"/>
        <w:ind w:firstLine="420" w:firstLineChars="200"/>
        <w:outlineLvl w:val="0"/>
        <w:rPr>
          <w:rFonts w:hint="eastAsia" w:hAnsi="宋体"/>
          <w:bCs/>
          <w:color w:val="auto"/>
          <w:highlight w:val="none"/>
        </w:rPr>
      </w:pPr>
      <w:r>
        <w:rPr>
          <w:rFonts w:hint="eastAsia" w:hAnsi="宋体"/>
          <w:bCs/>
          <w:color w:val="auto"/>
          <w:highlight w:val="none"/>
        </w:rPr>
        <w:t>三档（</w:t>
      </w:r>
      <w:r>
        <w:rPr>
          <w:rFonts w:hAnsi="宋体"/>
          <w:bCs/>
          <w:color w:val="auto"/>
          <w:highlight w:val="none"/>
        </w:rPr>
        <w:t>20</w:t>
      </w:r>
      <w:r>
        <w:rPr>
          <w:rFonts w:hint="eastAsia" w:hAnsi="宋体"/>
          <w:bCs/>
          <w:color w:val="auto"/>
          <w:highlight w:val="none"/>
        </w:rPr>
        <w:t>分）：准确理解本项目的建设背景、</w:t>
      </w:r>
      <w:r>
        <w:rPr>
          <w:rFonts w:hint="eastAsia" w:hAnsi="宋体" w:eastAsia="宋体"/>
          <w:bCs/>
          <w:color w:val="auto"/>
          <w:highlight w:val="none"/>
          <w:lang w:val="en-US" w:eastAsia="zh-CN"/>
        </w:rPr>
        <w:t>增产增糖</w:t>
      </w:r>
      <w:r>
        <w:rPr>
          <w:rFonts w:hint="eastAsia" w:hAnsi="宋体"/>
          <w:bCs/>
          <w:color w:val="auto"/>
          <w:highlight w:val="none"/>
        </w:rPr>
        <w:t>目标、</w:t>
      </w:r>
      <w:r>
        <w:rPr>
          <w:rFonts w:hint="eastAsia" w:hAnsi="宋体" w:eastAsia="宋体"/>
          <w:bCs/>
          <w:color w:val="auto"/>
          <w:highlight w:val="none"/>
          <w:lang w:val="en-US" w:eastAsia="zh-CN"/>
        </w:rPr>
        <w:t>示范建设内容、示范地布局与测产、验收技术要求</w:t>
      </w:r>
      <w:r>
        <w:rPr>
          <w:rFonts w:hint="eastAsia" w:hAnsi="宋体"/>
          <w:bCs/>
          <w:color w:val="auto"/>
          <w:highlight w:val="none"/>
        </w:rPr>
        <w:t>；完全把握本项目的技术重点、难点和要点；提出了完整可行的“</w:t>
      </w:r>
      <w:r>
        <w:rPr>
          <w:rFonts w:hint="eastAsia" w:hAnsi="宋体" w:eastAsia="宋体"/>
          <w:bCs/>
          <w:color w:val="auto"/>
          <w:highlight w:val="none"/>
          <w:lang w:val="en-US" w:eastAsia="zh-CN"/>
        </w:rPr>
        <w:t>糖料蔗测土配方施肥</w:t>
      </w:r>
      <w:r>
        <w:rPr>
          <w:rFonts w:hint="eastAsia" w:hAnsi="宋体"/>
          <w:bCs/>
          <w:color w:val="auto"/>
          <w:highlight w:val="none"/>
        </w:rPr>
        <w:t>”的具体措施和方法。</w:t>
      </w:r>
    </w:p>
    <w:p>
      <w:pPr>
        <w:pStyle w:val="11"/>
        <w:spacing w:line="420" w:lineRule="exact"/>
        <w:ind w:firstLine="422" w:firstLineChars="200"/>
        <w:outlineLvl w:val="0"/>
        <w:rPr>
          <w:b/>
          <w:bCs/>
          <w:color w:val="auto"/>
          <w:highlight w:val="none"/>
        </w:rPr>
      </w:pPr>
      <w:r>
        <w:rPr>
          <w:rFonts w:hint="eastAsia" w:eastAsia="宋体"/>
          <w:b/>
          <w:bCs/>
          <w:color w:val="auto"/>
          <w:highlight w:val="none"/>
          <w:lang w:val="en-US" w:eastAsia="zh-CN"/>
        </w:rPr>
        <w:t>2</w:t>
      </w:r>
      <w:r>
        <w:rPr>
          <w:b/>
          <w:bCs/>
          <w:color w:val="auto"/>
          <w:highlight w:val="none"/>
        </w:rPr>
        <w:t xml:space="preserve">) </w:t>
      </w:r>
      <w:r>
        <w:rPr>
          <w:rFonts w:hint="eastAsia"/>
          <w:b/>
          <w:bCs/>
          <w:color w:val="auto"/>
          <w:highlight w:val="none"/>
        </w:rPr>
        <w:t>质量保障措施(满分</w:t>
      </w:r>
      <w:r>
        <w:rPr>
          <w:b/>
          <w:bCs/>
          <w:color w:val="auto"/>
          <w:highlight w:val="none"/>
        </w:rPr>
        <w:t>10</w:t>
      </w:r>
      <w:r>
        <w:rPr>
          <w:rFonts w:hint="eastAsia"/>
          <w:b/>
          <w:bCs/>
          <w:color w:val="auto"/>
          <w:highlight w:val="none"/>
        </w:rPr>
        <w:t>分</w:t>
      </w:r>
      <w:r>
        <w:rPr>
          <w:b/>
          <w:bCs/>
          <w:color w:val="auto"/>
          <w:highlight w:val="none"/>
        </w:rPr>
        <w:t>)</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一档（</w:t>
      </w:r>
      <w:r>
        <w:rPr>
          <w:rFonts w:hint="eastAsia" w:hAnsi="宋体"/>
          <w:bCs/>
          <w:color w:val="auto"/>
          <w:highlight w:val="none"/>
          <w:lang w:val="en-US" w:eastAsia="zh-CN"/>
        </w:rPr>
        <w:t>3</w:t>
      </w:r>
      <w:r>
        <w:rPr>
          <w:rFonts w:hint="eastAsia" w:hAnsi="宋体"/>
          <w:bCs/>
          <w:color w:val="auto"/>
          <w:highlight w:val="none"/>
        </w:rPr>
        <w:t>分）：提供的项目进度计划安排不合理，质量保障措施不到位；</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6</w:t>
      </w:r>
      <w:r>
        <w:rPr>
          <w:rFonts w:hint="eastAsia" w:hAnsi="宋体"/>
          <w:bCs/>
          <w:color w:val="auto"/>
          <w:highlight w:val="none"/>
        </w:rPr>
        <w:t>分）：提供了合理的项目季度计划安排，质量保障措施比较到位；</w:t>
      </w:r>
    </w:p>
    <w:p>
      <w:pPr>
        <w:pStyle w:val="11"/>
        <w:spacing w:line="420" w:lineRule="exact"/>
        <w:ind w:firstLine="420" w:firstLineChars="200"/>
        <w:outlineLvl w:val="0"/>
        <w:rPr>
          <w:rFonts w:hAnsi="宋体"/>
          <w:bCs/>
          <w:color w:val="auto"/>
          <w:highlight w:val="none"/>
        </w:rPr>
      </w:pPr>
      <w:r>
        <w:rPr>
          <w:rFonts w:hint="eastAsia" w:hAnsi="宋体"/>
          <w:bCs/>
          <w:color w:val="auto"/>
          <w:highlight w:val="none"/>
        </w:rPr>
        <w:t>三档（</w:t>
      </w:r>
      <w:r>
        <w:rPr>
          <w:rFonts w:hAnsi="宋体"/>
          <w:bCs/>
          <w:color w:val="auto"/>
          <w:highlight w:val="none"/>
        </w:rPr>
        <w:t>1</w:t>
      </w:r>
      <w:r>
        <w:rPr>
          <w:rFonts w:hint="eastAsia" w:hAnsi="宋体"/>
          <w:bCs/>
          <w:color w:val="auto"/>
          <w:highlight w:val="none"/>
        </w:rPr>
        <w:t>0分）：提供了详细合理的项目进度计划安排，质量保障措施完全符合项目要求。</w:t>
      </w:r>
    </w:p>
    <w:p>
      <w:pPr>
        <w:pStyle w:val="11"/>
        <w:spacing w:line="420" w:lineRule="exact"/>
        <w:ind w:firstLine="422" w:firstLineChars="200"/>
        <w:outlineLvl w:val="0"/>
        <w:rPr>
          <w:b/>
          <w:bCs/>
          <w:color w:val="auto"/>
          <w:highlight w:val="none"/>
        </w:rPr>
      </w:pPr>
      <w:r>
        <w:rPr>
          <w:rFonts w:hint="eastAsia" w:eastAsia="宋体"/>
          <w:b/>
          <w:bCs/>
          <w:color w:val="auto"/>
          <w:highlight w:val="none"/>
          <w:lang w:val="en-US" w:eastAsia="zh-CN"/>
        </w:rPr>
        <w:t>3</w:t>
      </w:r>
      <w:r>
        <w:rPr>
          <w:b/>
          <w:bCs/>
          <w:color w:val="auto"/>
          <w:highlight w:val="none"/>
        </w:rPr>
        <w:t xml:space="preserve">) </w:t>
      </w:r>
      <w:r>
        <w:rPr>
          <w:rFonts w:hint="eastAsia" w:eastAsia="宋体"/>
          <w:b/>
          <w:bCs/>
          <w:color w:val="auto"/>
          <w:highlight w:val="none"/>
          <w:lang w:val="en-US" w:eastAsia="zh-CN"/>
        </w:rPr>
        <w:t>售后</w:t>
      </w:r>
      <w:r>
        <w:rPr>
          <w:rFonts w:hint="eastAsia"/>
          <w:b/>
          <w:bCs/>
          <w:color w:val="auto"/>
          <w:highlight w:val="none"/>
        </w:rPr>
        <w:t>服务承诺(满分</w:t>
      </w:r>
      <w:r>
        <w:rPr>
          <w:rFonts w:hint="eastAsia" w:eastAsia="宋体"/>
          <w:b/>
          <w:bCs/>
          <w:color w:val="auto"/>
          <w:highlight w:val="none"/>
          <w:lang w:val="en-US" w:eastAsia="zh-CN"/>
        </w:rPr>
        <w:t>10</w:t>
      </w:r>
      <w:r>
        <w:rPr>
          <w:rFonts w:hint="eastAsia"/>
          <w:b/>
          <w:bCs/>
          <w:color w:val="auto"/>
          <w:highlight w:val="none"/>
        </w:rPr>
        <w:t>分</w:t>
      </w:r>
      <w:r>
        <w:rPr>
          <w:b/>
          <w:bCs/>
          <w:color w:val="auto"/>
          <w:highlight w:val="none"/>
        </w:rPr>
        <w:t>)</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一档（</w:t>
      </w:r>
      <w:r>
        <w:rPr>
          <w:rFonts w:hint="default" w:hAnsi="宋体"/>
          <w:bCs/>
          <w:color w:val="auto"/>
          <w:highlight w:val="none"/>
        </w:rPr>
        <w:t>3</w:t>
      </w:r>
      <w:r>
        <w:rPr>
          <w:rFonts w:hint="eastAsia" w:hAnsi="宋体"/>
          <w:bCs/>
          <w:color w:val="auto"/>
          <w:highlight w:val="none"/>
        </w:rPr>
        <w:t>分）：服务承诺不完整，不能完全满足要求；</w:t>
      </w:r>
    </w:p>
    <w:p>
      <w:pPr>
        <w:pStyle w:val="11"/>
        <w:spacing w:line="420" w:lineRule="exact"/>
        <w:ind w:firstLine="420" w:firstLineChars="200"/>
        <w:rPr>
          <w:rFonts w:hint="eastAsia" w:hAnsi="宋体"/>
          <w:bCs/>
          <w:color w:val="auto"/>
          <w:highlight w:val="none"/>
        </w:rPr>
      </w:pPr>
      <w:r>
        <w:rPr>
          <w:rFonts w:hint="eastAsia" w:hAnsi="宋体"/>
          <w:bCs/>
          <w:color w:val="auto"/>
          <w:highlight w:val="none"/>
        </w:rPr>
        <w:t>二档（</w:t>
      </w:r>
      <w:r>
        <w:rPr>
          <w:rFonts w:hint="default" w:hAnsi="宋体"/>
          <w:bCs/>
          <w:color w:val="auto"/>
          <w:highlight w:val="none"/>
        </w:rPr>
        <w:t>6</w:t>
      </w:r>
      <w:r>
        <w:rPr>
          <w:rFonts w:hint="eastAsia" w:hAnsi="宋体"/>
          <w:bCs/>
          <w:color w:val="auto"/>
          <w:highlight w:val="none"/>
        </w:rPr>
        <w:t>分）：服务承诺较完整，基本满足要求；</w:t>
      </w:r>
    </w:p>
    <w:p>
      <w:pPr>
        <w:pStyle w:val="11"/>
        <w:spacing w:line="420" w:lineRule="exact"/>
        <w:ind w:firstLine="420" w:firstLineChars="200"/>
        <w:outlineLvl w:val="0"/>
        <w:rPr>
          <w:rFonts w:hAnsi="宋体"/>
          <w:bCs/>
          <w:color w:val="auto"/>
          <w:highlight w:val="none"/>
        </w:rPr>
      </w:pPr>
      <w:r>
        <w:rPr>
          <w:rFonts w:hint="eastAsia" w:hAnsi="宋体"/>
          <w:bCs/>
          <w:color w:val="auto"/>
          <w:highlight w:val="none"/>
        </w:rPr>
        <w:t>三档（</w:t>
      </w:r>
      <w:r>
        <w:rPr>
          <w:rFonts w:hint="eastAsia" w:hAnsi="宋体" w:eastAsia="宋体"/>
          <w:bCs/>
          <w:color w:val="auto"/>
          <w:highlight w:val="none"/>
          <w:lang w:val="en-US" w:eastAsia="zh-CN"/>
        </w:rPr>
        <w:t>1</w:t>
      </w:r>
      <w:r>
        <w:rPr>
          <w:rFonts w:hint="default" w:hAnsi="宋体" w:eastAsia="宋体"/>
          <w:bCs/>
          <w:color w:val="auto"/>
          <w:highlight w:val="none"/>
          <w:lang w:eastAsia="zh-CN"/>
        </w:rPr>
        <w:t>0</w:t>
      </w:r>
      <w:r>
        <w:rPr>
          <w:rFonts w:hint="eastAsia" w:hAnsi="宋体"/>
          <w:bCs/>
          <w:color w:val="auto"/>
          <w:highlight w:val="none"/>
        </w:rPr>
        <w:t>分）：服务承诺完整，完全满足或优于要求。</w:t>
      </w:r>
    </w:p>
    <w:p>
      <w:pPr>
        <w:snapToGrid w:val="0"/>
        <w:spacing w:line="360" w:lineRule="auto"/>
        <w:ind w:firstLine="413" w:firstLineChars="196"/>
        <w:jc w:val="left"/>
        <w:rPr>
          <w:rFonts w:hint="eastAsia" w:ascii="宋体" w:hAnsi="宋体"/>
          <w:b/>
          <w:bCs/>
          <w:color w:val="auto"/>
          <w:highlight w:val="none"/>
        </w:rPr>
      </w:pPr>
      <w:r>
        <w:rPr>
          <w:rFonts w:hint="eastAsia" w:ascii="宋体" w:hAnsi="宋体" w:eastAsia="宋体"/>
          <w:b/>
          <w:color w:val="auto"/>
          <w:highlight w:val="none"/>
          <w:lang w:val="en-US" w:eastAsia="zh-CN"/>
        </w:rPr>
        <w:t>4</w:t>
      </w:r>
      <w:r>
        <w:rPr>
          <w:rFonts w:hint="eastAsia" w:ascii="宋体" w:hAnsi="宋体"/>
          <w:b/>
          <w:color w:val="auto"/>
          <w:highlight w:val="none"/>
        </w:rPr>
        <w:t>）组织配置分</w:t>
      </w:r>
      <w:r>
        <w:rPr>
          <w:rFonts w:hint="eastAsia" w:ascii="宋体" w:hAnsi="宋体"/>
          <w:b/>
          <w:bCs/>
          <w:color w:val="auto"/>
          <w:highlight w:val="none"/>
        </w:rPr>
        <w:t>（满分</w:t>
      </w:r>
      <w:r>
        <w:rPr>
          <w:rFonts w:ascii="宋体" w:hAnsi="宋体"/>
          <w:b/>
          <w:bCs/>
          <w:color w:val="auto"/>
          <w:highlight w:val="none"/>
        </w:rPr>
        <w:t>1</w:t>
      </w:r>
      <w:r>
        <w:rPr>
          <w:rFonts w:hint="eastAsia" w:ascii="宋体" w:hAnsi="宋体" w:eastAsia="宋体"/>
          <w:b/>
          <w:bCs/>
          <w:color w:val="auto"/>
          <w:highlight w:val="none"/>
          <w:lang w:val="en-US" w:eastAsia="zh-CN"/>
        </w:rPr>
        <w:t>5</w:t>
      </w:r>
      <w:r>
        <w:rPr>
          <w:rFonts w:hint="eastAsia" w:ascii="宋体" w:hAnsi="宋体"/>
          <w:b/>
          <w:bCs/>
          <w:color w:val="auto"/>
          <w:highlight w:val="none"/>
        </w:rPr>
        <w:t>分）</w:t>
      </w:r>
    </w:p>
    <w:p>
      <w:pPr>
        <w:pStyle w:val="11"/>
        <w:spacing w:line="360" w:lineRule="auto"/>
        <w:ind w:right="267" w:rightChars="127" w:firstLine="420" w:firstLineChars="200"/>
        <w:outlineLvl w:val="0"/>
        <w:rPr>
          <w:rFonts w:hint="eastAsia" w:hAnsi="宋体"/>
          <w:bCs/>
          <w:color w:val="auto"/>
          <w:highlight w:val="none"/>
        </w:rPr>
      </w:pPr>
      <w:r>
        <w:rPr>
          <w:rFonts w:hint="eastAsia" w:hAnsi="宋体"/>
          <w:bCs/>
          <w:color w:val="auto"/>
          <w:highlight w:val="none"/>
        </w:rPr>
        <w:t>一档（</w:t>
      </w:r>
      <w:r>
        <w:rPr>
          <w:rFonts w:hint="default" w:hAnsi="宋体"/>
          <w:bCs/>
          <w:color w:val="auto"/>
          <w:highlight w:val="none"/>
        </w:rPr>
        <w:t>5</w:t>
      </w:r>
      <w:r>
        <w:rPr>
          <w:rFonts w:hint="eastAsia" w:hAnsi="宋体"/>
          <w:bCs/>
          <w:color w:val="auto"/>
          <w:highlight w:val="none"/>
        </w:rPr>
        <w:t>分）：方案基本完整，组织机构及全职人员职能基本满足项目要求。</w:t>
      </w:r>
    </w:p>
    <w:p>
      <w:pPr>
        <w:pStyle w:val="11"/>
        <w:spacing w:line="360" w:lineRule="auto"/>
        <w:ind w:right="267" w:rightChars="127" w:firstLine="420" w:firstLineChars="200"/>
        <w:outlineLvl w:val="0"/>
        <w:rPr>
          <w:rFonts w:hint="eastAsia" w:hAnsi="宋体"/>
          <w:bCs/>
          <w:color w:val="auto"/>
          <w:highlight w:val="none"/>
        </w:rPr>
      </w:pPr>
      <w:r>
        <w:rPr>
          <w:rFonts w:hint="eastAsia" w:hAnsi="宋体"/>
          <w:bCs/>
          <w:color w:val="auto"/>
          <w:highlight w:val="none"/>
        </w:rPr>
        <w:t>二档（</w:t>
      </w:r>
      <w:r>
        <w:rPr>
          <w:rFonts w:hint="default" w:hAnsi="宋体"/>
          <w:bCs/>
          <w:color w:val="auto"/>
          <w:highlight w:val="none"/>
        </w:rPr>
        <w:t>10</w:t>
      </w:r>
      <w:r>
        <w:rPr>
          <w:rFonts w:hint="eastAsia" w:hAnsi="宋体"/>
          <w:bCs/>
          <w:color w:val="auto"/>
          <w:highlight w:val="none"/>
        </w:rPr>
        <w:t>分）：方案较完整、可行，组织机构及全职人员职能明确。</w:t>
      </w:r>
    </w:p>
    <w:p>
      <w:pPr>
        <w:pStyle w:val="11"/>
        <w:spacing w:line="360" w:lineRule="auto"/>
        <w:ind w:right="267" w:rightChars="127" w:firstLine="420" w:firstLineChars="200"/>
        <w:outlineLvl w:val="0"/>
        <w:rPr>
          <w:rFonts w:hint="eastAsia" w:hAnsi="宋体"/>
          <w:color w:val="auto"/>
          <w:highlight w:val="none"/>
        </w:rPr>
      </w:pPr>
      <w:r>
        <w:rPr>
          <w:rFonts w:hint="eastAsia" w:hAnsi="宋体"/>
          <w:bCs/>
          <w:color w:val="auto"/>
          <w:highlight w:val="none"/>
        </w:rPr>
        <w:t>三档（</w:t>
      </w:r>
      <w:r>
        <w:rPr>
          <w:rFonts w:hAnsi="宋体"/>
          <w:bCs/>
          <w:color w:val="auto"/>
          <w:highlight w:val="none"/>
        </w:rPr>
        <w:t>15</w:t>
      </w:r>
      <w:r>
        <w:rPr>
          <w:rFonts w:hint="eastAsia" w:hAnsi="宋体"/>
          <w:bCs/>
          <w:color w:val="auto"/>
          <w:highlight w:val="none"/>
        </w:rPr>
        <w:t>分）：方案完整、清晰，针对性强，组织机构及全职人员职能清晰可控、技术能力强的。</w:t>
      </w:r>
    </w:p>
    <w:p>
      <w:pPr>
        <w:pStyle w:val="11"/>
        <w:spacing w:line="360" w:lineRule="auto"/>
        <w:ind w:firstLine="412" w:firstLineChars="196"/>
        <w:rPr>
          <w:rFonts w:hAnsi="宋体"/>
          <w:b/>
          <w:color w:val="auto"/>
          <w:highlight w:val="none"/>
        </w:rPr>
      </w:pPr>
      <w:r>
        <w:rPr>
          <w:rFonts w:hint="eastAsia" w:hAnsi="宋体"/>
          <w:b/>
          <w:color w:val="auto"/>
          <w:highlight w:val="none"/>
        </w:rPr>
        <w:t>3、信誉业绩分……………………………………………………………………………………………</w:t>
      </w:r>
      <w:r>
        <w:rPr>
          <w:rFonts w:hint="eastAsia" w:hAnsi="宋体" w:eastAsia="宋体"/>
          <w:b/>
          <w:color w:val="auto"/>
          <w:highlight w:val="none"/>
          <w:lang w:val="en-US" w:eastAsia="zh-CN"/>
        </w:rPr>
        <w:t>25</w:t>
      </w:r>
      <w:r>
        <w:rPr>
          <w:rFonts w:hint="eastAsia" w:hAnsi="宋体"/>
          <w:b/>
          <w:color w:val="auto"/>
          <w:highlight w:val="none"/>
        </w:rPr>
        <w:t>分</w:t>
      </w:r>
    </w:p>
    <w:p>
      <w:pPr>
        <w:pStyle w:val="11"/>
        <w:spacing w:line="360" w:lineRule="auto"/>
        <w:ind w:firstLine="420" w:firstLineChars="200"/>
        <w:rPr>
          <w:rFonts w:hAnsi="宋体"/>
          <w:b/>
          <w:bCs/>
          <w:color w:val="auto"/>
          <w:highlight w:val="none"/>
        </w:rPr>
      </w:pPr>
      <w:r>
        <w:rPr>
          <w:rFonts w:hint="eastAsia" w:ascii="宋体" w:hAnsi="宋体" w:eastAsia="Arial" w:cs="Arial"/>
          <w:b/>
          <w:bCs w:val="0"/>
          <w:snapToGrid w:val="0"/>
          <w:color w:val="auto"/>
          <w:sz w:val="21"/>
          <w:szCs w:val="20"/>
          <w:highlight w:val="none"/>
          <w:lang w:val="en-US" w:eastAsia="zh-CN" w:bidi="ar-SA"/>
        </w:rPr>
        <w:t>（</w:t>
      </w:r>
      <w:r>
        <w:rPr>
          <w:rFonts w:hint="eastAsia" w:hAnsi="宋体" w:cs="Arial"/>
          <w:b/>
          <w:bCs w:val="0"/>
          <w:snapToGrid w:val="0"/>
          <w:color w:val="auto"/>
          <w:sz w:val="21"/>
          <w:szCs w:val="20"/>
          <w:highlight w:val="none"/>
          <w:lang w:val="en-US" w:eastAsia="zh-CN" w:bidi="ar-SA"/>
        </w:rPr>
        <w:t>1</w:t>
      </w:r>
      <w:r>
        <w:rPr>
          <w:rFonts w:hint="eastAsia" w:ascii="宋体" w:hAnsi="宋体" w:eastAsia="Arial" w:cs="Arial"/>
          <w:b/>
          <w:bCs w:val="0"/>
          <w:snapToGrid w:val="0"/>
          <w:color w:val="auto"/>
          <w:sz w:val="21"/>
          <w:szCs w:val="20"/>
          <w:highlight w:val="none"/>
          <w:lang w:val="en-US" w:eastAsia="zh-CN" w:bidi="ar-SA"/>
        </w:rPr>
        <w:t>）</w:t>
      </w:r>
      <w:r>
        <w:rPr>
          <w:rFonts w:hint="eastAsia" w:hAnsi="宋体"/>
          <w:b/>
          <w:bCs/>
          <w:color w:val="auto"/>
          <w:highlight w:val="none"/>
        </w:rPr>
        <w:t>实施人员资质分（满分</w:t>
      </w:r>
      <w:r>
        <w:rPr>
          <w:rFonts w:hint="eastAsia" w:hAnsi="宋体" w:eastAsia="宋体"/>
          <w:b/>
          <w:bCs/>
          <w:color w:val="auto"/>
          <w:highlight w:val="none"/>
          <w:lang w:val="en-US" w:eastAsia="zh-CN"/>
        </w:rPr>
        <w:t>6</w:t>
      </w:r>
      <w:r>
        <w:rPr>
          <w:rFonts w:hint="eastAsia" w:hAnsi="宋体"/>
          <w:b/>
          <w:bCs/>
          <w:color w:val="auto"/>
          <w:highlight w:val="none"/>
        </w:rPr>
        <w:t>分）</w:t>
      </w:r>
    </w:p>
    <w:p>
      <w:pPr>
        <w:spacing w:line="360" w:lineRule="auto"/>
        <w:ind w:firstLine="420" w:firstLineChars="200"/>
        <w:rPr>
          <w:rFonts w:hint="eastAsia" w:ascii="宋体" w:hAnsi="宋体" w:eastAsia="Arial" w:cs="Arial"/>
          <w:bCs/>
          <w:snapToGrid w:val="0"/>
          <w:color w:val="auto"/>
          <w:sz w:val="21"/>
          <w:szCs w:val="20"/>
          <w:highlight w:val="none"/>
          <w:lang w:val="en-US" w:eastAsia="zh-CN" w:bidi="ar-SA"/>
        </w:rPr>
      </w:pPr>
      <w:r>
        <w:rPr>
          <w:rFonts w:hint="eastAsia" w:ascii="宋体" w:hAnsi="宋体" w:cs="Courier New"/>
          <w:color w:val="auto"/>
          <w:szCs w:val="21"/>
          <w:highlight w:val="none"/>
        </w:rPr>
        <w:t>项目</w:t>
      </w:r>
      <w:r>
        <w:rPr>
          <w:rFonts w:hint="eastAsia" w:ascii="宋体" w:hAnsi="宋体" w:eastAsia="宋体" w:cs="Courier New"/>
          <w:color w:val="auto"/>
          <w:szCs w:val="21"/>
          <w:highlight w:val="none"/>
          <w:lang w:val="en-US" w:eastAsia="zh-CN"/>
        </w:rPr>
        <w:t>实施人员</w:t>
      </w:r>
      <w:r>
        <w:rPr>
          <w:rFonts w:hint="eastAsia" w:ascii="宋体" w:hAnsi="宋体" w:cs="Courier New"/>
          <w:color w:val="auto"/>
          <w:szCs w:val="21"/>
          <w:highlight w:val="none"/>
        </w:rPr>
        <w:t>具有农林系列</w:t>
      </w:r>
      <w:r>
        <w:rPr>
          <w:rFonts w:hint="eastAsia" w:ascii="宋体" w:hAnsi="宋体" w:eastAsia="宋体" w:cs="Courier New"/>
          <w:color w:val="auto"/>
          <w:szCs w:val="21"/>
          <w:highlight w:val="none"/>
          <w:lang w:val="en-US" w:eastAsia="zh-CN"/>
        </w:rPr>
        <w:t>或化学工程系列高</w:t>
      </w:r>
      <w:r>
        <w:rPr>
          <w:rFonts w:hint="eastAsia" w:ascii="宋体" w:hAnsi="宋体" w:cs="Courier New"/>
          <w:color w:val="auto"/>
          <w:szCs w:val="21"/>
          <w:highlight w:val="none"/>
        </w:rPr>
        <w:t>级</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lang w:val="en-US" w:eastAsia="zh-CN"/>
        </w:rPr>
        <w:t>含副高</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lang w:val="en-US" w:eastAsia="zh-CN"/>
        </w:rPr>
        <w:t>以上</w:t>
      </w:r>
      <w:r>
        <w:rPr>
          <w:rFonts w:hint="eastAsia" w:ascii="宋体" w:hAnsi="宋体" w:cs="Courier New"/>
          <w:color w:val="auto"/>
          <w:szCs w:val="21"/>
          <w:highlight w:val="none"/>
        </w:rPr>
        <w:t>职称且在公司缴纳社保的全职人员</w:t>
      </w:r>
      <w:r>
        <w:rPr>
          <w:rFonts w:hint="eastAsia" w:ascii="宋体" w:hAnsi="宋体" w:eastAsia="宋体" w:cs="Courier New"/>
          <w:color w:val="auto"/>
          <w:szCs w:val="21"/>
          <w:highlight w:val="none"/>
          <w:lang w:val="en-US" w:eastAsia="zh-CN"/>
        </w:rPr>
        <w:t>，每人得2分，最高</w:t>
      </w:r>
      <w:r>
        <w:rPr>
          <w:rFonts w:hint="eastAsia" w:ascii="宋体" w:hAnsi="宋体" w:cs="Courier New"/>
          <w:color w:val="auto"/>
          <w:szCs w:val="21"/>
          <w:highlight w:val="none"/>
        </w:rPr>
        <w:t>得</w:t>
      </w:r>
      <w:r>
        <w:rPr>
          <w:rFonts w:hint="eastAsia" w:ascii="宋体" w:hAnsi="宋体" w:eastAsia="宋体" w:cs="Courier New"/>
          <w:color w:val="auto"/>
          <w:szCs w:val="21"/>
          <w:highlight w:val="none"/>
          <w:lang w:val="en-US" w:eastAsia="zh-CN"/>
        </w:rPr>
        <w:t>6</w:t>
      </w:r>
      <w:r>
        <w:rPr>
          <w:rFonts w:hint="eastAsia" w:ascii="宋体" w:hAnsi="宋体" w:cs="Courier New"/>
          <w:color w:val="auto"/>
          <w:szCs w:val="21"/>
          <w:highlight w:val="none"/>
        </w:rPr>
        <w:t>分；</w:t>
      </w:r>
      <w:r>
        <w:rPr>
          <w:rFonts w:hint="eastAsia" w:ascii="宋体" w:hAnsi="宋体" w:cs="Courier New"/>
          <w:b/>
          <w:bCs/>
          <w:color w:val="auto"/>
          <w:szCs w:val="21"/>
          <w:highlight w:val="none"/>
        </w:rPr>
        <w:t>（以相关职称证、身份证、</w:t>
      </w:r>
      <w:r>
        <w:rPr>
          <w:rFonts w:hint="eastAsia" w:ascii="宋体" w:hAnsi="宋体" w:eastAsia="宋体" w:cs="Courier New"/>
          <w:b/>
          <w:bCs/>
          <w:color w:val="auto"/>
          <w:szCs w:val="21"/>
          <w:highlight w:val="none"/>
          <w:lang w:val="en-US" w:eastAsia="zh-CN"/>
        </w:rPr>
        <w:t>半年内连续3个月缴纳</w:t>
      </w:r>
      <w:r>
        <w:rPr>
          <w:rFonts w:hint="eastAsia" w:ascii="宋体" w:hAnsi="宋体" w:cs="Courier New"/>
          <w:b/>
          <w:bCs/>
          <w:color w:val="auto"/>
          <w:szCs w:val="21"/>
          <w:highlight w:val="none"/>
        </w:rPr>
        <w:t>社保</w:t>
      </w:r>
      <w:r>
        <w:rPr>
          <w:rFonts w:hint="eastAsia" w:ascii="宋体" w:hAnsi="宋体" w:eastAsia="宋体" w:cs="Courier New"/>
          <w:b/>
          <w:bCs/>
          <w:color w:val="auto"/>
          <w:szCs w:val="21"/>
          <w:highlight w:val="none"/>
          <w:lang w:val="en-US" w:eastAsia="zh-CN"/>
        </w:rPr>
        <w:t>人员名单</w:t>
      </w:r>
      <w:r>
        <w:rPr>
          <w:rFonts w:hint="eastAsia" w:ascii="宋体" w:hAnsi="宋体" w:cs="Courier New"/>
          <w:b/>
          <w:bCs/>
          <w:color w:val="auto"/>
          <w:szCs w:val="21"/>
          <w:highlight w:val="none"/>
        </w:rPr>
        <w:t>证明为准）</w:t>
      </w:r>
    </w:p>
    <w:p>
      <w:pPr>
        <w:pStyle w:val="11"/>
        <w:spacing w:line="360" w:lineRule="auto"/>
        <w:ind w:firstLine="372" w:firstLineChars="200"/>
        <w:rPr>
          <w:rFonts w:hAnsi="宋体"/>
          <w:b/>
          <w:bCs/>
          <w:color w:val="auto"/>
          <w:highlight w:val="none"/>
        </w:rPr>
      </w:pPr>
      <w:r>
        <w:rPr>
          <w:rFonts w:hint="eastAsia" w:hAnsi="宋体"/>
          <w:b/>
          <w:bCs/>
          <w:color w:val="auto"/>
          <w:spacing w:val="-12"/>
          <w:highlight w:val="none"/>
        </w:rPr>
        <w:t>（</w:t>
      </w:r>
      <w:r>
        <w:rPr>
          <w:rFonts w:hint="eastAsia" w:hAnsi="宋体" w:eastAsia="宋体"/>
          <w:b/>
          <w:bCs/>
          <w:color w:val="auto"/>
          <w:spacing w:val="-12"/>
          <w:highlight w:val="none"/>
          <w:lang w:val="en-US" w:eastAsia="zh-CN"/>
        </w:rPr>
        <w:t>2</w:t>
      </w:r>
      <w:r>
        <w:rPr>
          <w:rFonts w:hint="eastAsia" w:hAnsi="宋体"/>
          <w:b/>
          <w:bCs/>
          <w:color w:val="auto"/>
          <w:spacing w:val="-12"/>
          <w:highlight w:val="none"/>
        </w:rPr>
        <w:t>）</w:t>
      </w:r>
      <w:r>
        <w:rPr>
          <w:rFonts w:hint="eastAsia" w:hAnsi="宋体" w:eastAsia="宋体"/>
          <w:b/>
          <w:bCs/>
          <w:color w:val="auto"/>
          <w:highlight w:val="none"/>
          <w:lang w:val="en-US" w:eastAsia="zh-CN"/>
        </w:rPr>
        <w:t>成果应用推广</w:t>
      </w:r>
      <w:r>
        <w:rPr>
          <w:rFonts w:hint="eastAsia" w:hAnsi="宋体"/>
          <w:b/>
          <w:bCs/>
          <w:color w:val="auto"/>
          <w:highlight w:val="none"/>
        </w:rPr>
        <w:t>分（满分</w:t>
      </w:r>
      <w:r>
        <w:rPr>
          <w:rFonts w:hint="eastAsia" w:hAnsi="宋体" w:eastAsia="宋体"/>
          <w:b/>
          <w:bCs/>
          <w:color w:val="auto"/>
          <w:highlight w:val="none"/>
          <w:lang w:val="en-US" w:eastAsia="zh-CN"/>
        </w:rPr>
        <w:t>4</w:t>
      </w:r>
      <w:r>
        <w:rPr>
          <w:rFonts w:hint="eastAsia" w:hAnsi="宋体"/>
          <w:b/>
          <w:bCs/>
          <w:color w:val="auto"/>
          <w:highlight w:val="none"/>
        </w:rPr>
        <w:t>分）</w:t>
      </w:r>
    </w:p>
    <w:p>
      <w:pPr>
        <w:spacing w:line="360" w:lineRule="auto"/>
        <w:ind w:firstLine="420" w:firstLineChars="200"/>
        <w:rPr>
          <w:rFonts w:hint="eastAsia" w:ascii="宋体" w:hAnsi="宋体" w:eastAsia="宋体" w:cs="Courier New"/>
          <w:b w:val="0"/>
          <w:bCs w:val="0"/>
          <w:color w:val="auto"/>
          <w:szCs w:val="21"/>
          <w:highlight w:val="none"/>
          <w:lang w:val="en-US" w:eastAsia="zh-CN"/>
        </w:rPr>
      </w:pPr>
      <w:r>
        <w:rPr>
          <w:rFonts w:hint="eastAsia" w:ascii="宋体" w:hAnsi="宋体" w:cs="Courier New"/>
          <w:b w:val="0"/>
          <w:bCs w:val="0"/>
          <w:color w:val="auto"/>
          <w:szCs w:val="21"/>
          <w:highlight w:val="none"/>
        </w:rPr>
        <w:t>投标人</w:t>
      </w:r>
      <w:r>
        <w:rPr>
          <w:rFonts w:hint="eastAsia" w:ascii="宋体" w:hAnsi="宋体" w:eastAsia="宋体" w:cs="Courier New"/>
          <w:b w:val="0"/>
          <w:bCs w:val="0"/>
          <w:color w:val="auto"/>
          <w:szCs w:val="21"/>
          <w:highlight w:val="none"/>
          <w:lang w:val="en-US" w:eastAsia="zh-CN"/>
        </w:rPr>
        <w:t>承担过蔗糖产业测土配方施肥或蔗糖产业智能化施肥相关政府科研项目的，每项得4分；</w:t>
      </w:r>
      <w:r>
        <w:rPr>
          <w:rFonts w:hint="eastAsia" w:hAnsi="宋体"/>
          <w:bCs/>
          <w:color w:val="auto"/>
          <w:szCs w:val="21"/>
          <w:highlight w:val="none"/>
          <w:lang w:val="en-US" w:eastAsia="zh-CN"/>
        </w:rPr>
        <w:t>最高得4分。</w:t>
      </w:r>
      <w:r>
        <w:rPr>
          <w:rFonts w:hint="eastAsia" w:ascii="宋体" w:hAnsi="宋体" w:cs="Courier New"/>
          <w:b w:val="0"/>
          <w:bCs w:val="0"/>
          <w:color w:val="auto"/>
          <w:szCs w:val="21"/>
          <w:highlight w:val="none"/>
        </w:rPr>
        <w:t>（</w:t>
      </w:r>
      <w:r>
        <w:rPr>
          <w:rFonts w:hint="eastAsia" w:ascii="宋体" w:hAnsi="宋体" w:cs="Courier New"/>
          <w:b/>
          <w:bCs/>
          <w:color w:val="auto"/>
          <w:szCs w:val="21"/>
          <w:highlight w:val="none"/>
        </w:rPr>
        <w:t>以有关主管部门发布的通知或</w:t>
      </w:r>
      <w:r>
        <w:rPr>
          <w:rFonts w:hint="eastAsia" w:ascii="宋体" w:hAnsi="宋体" w:eastAsia="宋体" w:cs="Courier New"/>
          <w:b/>
          <w:bCs/>
          <w:color w:val="auto"/>
          <w:szCs w:val="21"/>
          <w:highlight w:val="none"/>
          <w:lang w:val="en-US" w:eastAsia="zh-CN"/>
        </w:rPr>
        <w:t>下达</w:t>
      </w:r>
      <w:r>
        <w:rPr>
          <w:rFonts w:hint="eastAsia" w:ascii="宋体" w:hAnsi="宋体" w:cs="Courier New"/>
          <w:b/>
          <w:bCs/>
          <w:color w:val="auto"/>
          <w:szCs w:val="21"/>
          <w:highlight w:val="none"/>
        </w:rPr>
        <w:t>文件为准</w:t>
      </w:r>
      <w:r>
        <w:rPr>
          <w:rFonts w:hint="eastAsia" w:ascii="宋体" w:hAnsi="宋体" w:eastAsia="宋体" w:cs="Courier New"/>
          <w:b/>
          <w:bCs/>
          <w:color w:val="auto"/>
          <w:szCs w:val="21"/>
          <w:highlight w:val="none"/>
          <w:lang w:val="en-US" w:eastAsia="zh-CN"/>
        </w:rPr>
        <w:t>)</w:t>
      </w:r>
    </w:p>
    <w:p>
      <w:pPr>
        <w:spacing w:line="360" w:lineRule="auto"/>
        <w:ind w:firstLine="372" w:firstLineChars="200"/>
        <w:rPr>
          <w:rFonts w:hint="eastAsia" w:hAnsi="宋体"/>
          <w:b/>
          <w:bCs/>
          <w:color w:val="auto"/>
          <w:highlight w:val="none"/>
        </w:rPr>
      </w:pPr>
      <w:r>
        <w:rPr>
          <w:rFonts w:hint="eastAsia" w:hAnsi="宋体"/>
          <w:b/>
          <w:bCs/>
          <w:color w:val="auto"/>
          <w:spacing w:val="-12"/>
          <w:highlight w:val="none"/>
        </w:rPr>
        <w:t>（</w:t>
      </w:r>
      <w:r>
        <w:rPr>
          <w:rFonts w:hint="eastAsia" w:hAnsi="宋体" w:eastAsia="宋体"/>
          <w:b/>
          <w:bCs/>
          <w:color w:val="auto"/>
          <w:spacing w:val="-12"/>
          <w:highlight w:val="none"/>
          <w:lang w:val="en-US" w:eastAsia="zh-CN"/>
        </w:rPr>
        <w:t>3</w:t>
      </w:r>
      <w:r>
        <w:rPr>
          <w:rFonts w:hint="eastAsia" w:hAnsi="宋体"/>
          <w:b/>
          <w:bCs/>
          <w:color w:val="auto"/>
          <w:spacing w:val="-12"/>
          <w:highlight w:val="none"/>
        </w:rPr>
        <w:t>）</w:t>
      </w:r>
      <w:r>
        <w:rPr>
          <w:rFonts w:hint="eastAsia" w:hAnsi="宋体" w:eastAsia="宋体"/>
          <w:b/>
          <w:bCs/>
          <w:color w:val="auto"/>
          <w:highlight w:val="none"/>
          <w:lang w:val="en-US" w:eastAsia="zh-CN"/>
        </w:rPr>
        <w:t>企业荣誉资质</w:t>
      </w:r>
      <w:r>
        <w:rPr>
          <w:rFonts w:hint="eastAsia" w:hAnsi="宋体"/>
          <w:b/>
          <w:bCs/>
          <w:color w:val="auto"/>
          <w:highlight w:val="none"/>
        </w:rPr>
        <w:t>分（满分</w:t>
      </w:r>
      <w:r>
        <w:rPr>
          <w:rFonts w:hint="eastAsia" w:hAnsi="宋体" w:eastAsia="宋体"/>
          <w:b/>
          <w:bCs/>
          <w:color w:val="auto"/>
          <w:highlight w:val="none"/>
          <w:lang w:val="en-US" w:eastAsia="zh-CN"/>
        </w:rPr>
        <w:t>15</w:t>
      </w:r>
      <w:r>
        <w:rPr>
          <w:rFonts w:hint="eastAsia" w:hAnsi="宋体"/>
          <w:b/>
          <w:bCs/>
          <w:color w:val="auto"/>
          <w:highlight w:val="none"/>
        </w:rPr>
        <w:t>分）</w:t>
      </w:r>
    </w:p>
    <w:p>
      <w:pPr>
        <w:pStyle w:val="11"/>
        <w:spacing w:line="360" w:lineRule="auto"/>
        <w:ind w:firstLine="420" w:firstLineChars="200"/>
        <w:jc w:val="left"/>
        <w:rPr>
          <w:rFonts w:hint="eastAsia" w:hAnsi="宋体"/>
          <w:bCs/>
          <w:color w:val="auto"/>
          <w:szCs w:val="21"/>
          <w:highlight w:val="none"/>
          <w:lang w:val="en-US" w:eastAsia="zh-CN"/>
        </w:rPr>
      </w:pPr>
      <w:r>
        <w:rPr>
          <w:rFonts w:hint="eastAsia" w:hAnsi="宋体"/>
          <w:bCs/>
          <w:color w:val="auto"/>
          <w:szCs w:val="21"/>
          <w:highlight w:val="none"/>
          <w:lang w:val="en-US" w:eastAsia="zh-CN"/>
        </w:rPr>
        <w:t>a.投标人建立有省级研发机构的，每个得2分，最高得2分。</w:t>
      </w:r>
    </w:p>
    <w:p>
      <w:pPr>
        <w:pStyle w:val="11"/>
        <w:spacing w:line="360" w:lineRule="auto"/>
        <w:ind w:firstLine="420" w:firstLineChars="200"/>
        <w:jc w:val="left"/>
        <w:rPr>
          <w:rFonts w:hint="default" w:hAnsi="宋体"/>
          <w:bCs/>
          <w:color w:val="auto"/>
          <w:szCs w:val="21"/>
          <w:highlight w:val="none"/>
          <w:lang w:val="en-US" w:eastAsia="zh-CN"/>
        </w:rPr>
      </w:pPr>
      <w:r>
        <w:rPr>
          <w:rFonts w:hint="eastAsia" w:hAnsi="宋体"/>
          <w:bCs/>
          <w:color w:val="auto"/>
          <w:szCs w:val="21"/>
          <w:highlight w:val="none"/>
          <w:lang w:val="en-US" w:eastAsia="zh-CN"/>
        </w:rPr>
        <w:t>b.投标人在投标产品及生产工艺、生产设备方面获得过省级相关政府部门科技进步、发明专利奖项的，每个得2分，最高得4分；获得过国家科技进步奖、发明专利奖的，每个得3分，最高得3分。本条款最高得7分。</w:t>
      </w:r>
    </w:p>
    <w:p>
      <w:pPr>
        <w:pStyle w:val="11"/>
        <w:spacing w:line="360" w:lineRule="auto"/>
        <w:ind w:firstLine="420" w:firstLineChars="200"/>
        <w:jc w:val="left"/>
        <w:rPr>
          <w:rFonts w:hint="default" w:hAnsi="宋体"/>
          <w:bCs/>
          <w:color w:val="auto"/>
          <w:szCs w:val="21"/>
          <w:highlight w:val="none"/>
          <w:lang w:val="en-US" w:eastAsia="zh-CN"/>
        </w:rPr>
      </w:pPr>
      <w:r>
        <w:rPr>
          <w:rFonts w:hint="eastAsia" w:hAnsi="宋体"/>
          <w:bCs/>
          <w:color w:val="auto"/>
          <w:szCs w:val="21"/>
          <w:highlight w:val="none"/>
          <w:lang w:val="en-US" w:eastAsia="zh-CN"/>
        </w:rPr>
        <w:t>c.投标人在农林业、糖业循环利用、甘蔗测土配方施肥土壤施肥与制糖滤泥生产有机肥等领域拥有丰富自主知识产权技术成果，荣获省级知识产权示范企业荣誉的得1分，国家级知识产权示范企业荣誉的得2分，本条款最高得2分。</w:t>
      </w:r>
    </w:p>
    <w:p>
      <w:pPr>
        <w:pStyle w:val="11"/>
        <w:spacing w:line="360" w:lineRule="auto"/>
        <w:ind w:firstLine="420" w:firstLineChars="200"/>
        <w:jc w:val="left"/>
        <w:rPr>
          <w:rFonts w:hint="eastAsia" w:hAnsi="宋体"/>
          <w:bCs/>
          <w:color w:val="auto"/>
          <w:szCs w:val="21"/>
          <w:highlight w:val="none"/>
          <w:lang w:val="en-US" w:eastAsia="zh-CN"/>
        </w:rPr>
      </w:pPr>
      <w:r>
        <w:rPr>
          <w:rFonts w:hint="eastAsia" w:hAnsi="宋体"/>
          <w:bCs/>
          <w:color w:val="auto"/>
          <w:szCs w:val="21"/>
          <w:highlight w:val="none"/>
          <w:lang w:val="en-US" w:eastAsia="zh-CN"/>
        </w:rPr>
        <w:t>d.投标人获得有省级农业主管部门认定的“广西农业产业化重点龙头企业”的得2分，最高得2分。</w:t>
      </w:r>
    </w:p>
    <w:p>
      <w:pPr>
        <w:pStyle w:val="11"/>
        <w:spacing w:line="360" w:lineRule="auto"/>
        <w:ind w:firstLine="420" w:firstLineChars="200"/>
        <w:jc w:val="left"/>
        <w:rPr>
          <w:rFonts w:hint="eastAsia" w:hAnsi="宋体"/>
          <w:bCs/>
          <w:color w:val="auto"/>
          <w:szCs w:val="21"/>
          <w:highlight w:val="none"/>
          <w:lang w:val="en-US" w:eastAsia="zh-CN"/>
        </w:rPr>
      </w:pPr>
      <w:r>
        <w:rPr>
          <w:rFonts w:hint="eastAsia" w:hAnsi="宋体"/>
          <w:bCs/>
          <w:color w:val="auto"/>
          <w:szCs w:val="21"/>
          <w:highlight w:val="none"/>
          <w:lang w:val="en-US" w:eastAsia="zh-CN"/>
        </w:rPr>
        <w:t>e.投标人获得有国家发改委认定的围绕“(糖业)固废循环利用”的荣誉资质的得2分，最高得2分。</w:t>
      </w:r>
    </w:p>
    <w:p>
      <w:pPr>
        <w:pStyle w:val="11"/>
        <w:spacing w:line="360" w:lineRule="auto"/>
        <w:ind w:firstLine="420" w:firstLineChars="200"/>
        <w:jc w:val="left"/>
        <w:rPr>
          <w:rFonts w:hint="eastAsia" w:hAnsi="宋体"/>
          <w:bCs/>
          <w:color w:val="auto"/>
          <w:szCs w:val="21"/>
          <w:highlight w:val="none"/>
          <w:lang w:val="en-US" w:eastAsia="zh-CN"/>
        </w:rPr>
      </w:pPr>
      <w:r>
        <w:rPr>
          <w:rFonts w:hint="eastAsia" w:hAnsi="宋体"/>
          <w:bCs/>
          <w:color w:val="auto"/>
          <w:szCs w:val="21"/>
          <w:highlight w:val="none"/>
          <w:lang w:val="en-US" w:eastAsia="zh-CN"/>
        </w:rPr>
        <w:t>以上荣誉资质均需在投标文件中提供的有效证明材料复印件。</w:t>
      </w:r>
    </w:p>
    <w:p>
      <w:pPr>
        <w:pStyle w:val="11"/>
        <w:spacing w:line="360" w:lineRule="auto"/>
        <w:ind w:firstLine="420" w:firstLineChars="200"/>
        <w:jc w:val="left"/>
        <w:rPr>
          <w:rFonts w:hint="eastAsia" w:hAnsi="宋体"/>
          <w:color w:val="auto"/>
          <w:highlight w:val="none"/>
        </w:rPr>
      </w:pPr>
      <w:r>
        <w:rPr>
          <w:rFonts w:hint="eastAsia" w:hAnsi="宋体"/>
          <w:b/>
          <w:color w:val="auto"/>
          <w:highlight w:val="none"/>
        </w:rPr>
        <w:t xml:space="preserve">5、总得分 = 1 + 2 + 3 </w:t>
      </w:r>
    </w:p>
    <w:p>
      <w:pPr>
        <w:spacing w:line="42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注：本评标办法中标注了</w:t>
      </w:r>
      <w:r>
        <w:rPr>
          <w:rFonts w:hint="eastAsia" w:ascii="宋体" w:hAnsi="宋体" w:eastAsia="宋体" w:cs="宋体"/>
          <w:b/>
          <w:color w:val="auto"/>
          <w:highlight w:val="none"/>
        </w:rPr>
        <w:t>“原件现场核查”的证明材料原件需另行装入文件袋，并于投标文件递交截止时间前与投标文件一同递交，供评标时核查，相关原件于评标工作结束后二个工作日内退还（投标代理人凭身份证领取）。投标文件中无证明材料或未能提供相关原件现场核查的，相应加分项不予计分。</w:t>
      </w:r>
    </w:p>
    <w:p>
      <w:pPr>
        <w:pStyle w:val="12"/>
        <w:ind w:left="5250"/>
        <w:rPr>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ind w:firstLine="6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7.2.终止竞争性磋商采购活动</w:t>
      </w:r>
    </w:p>
    <w:p>
      <w:pPr>
        <w:spacing w:before="81" w:line="360" w:lineRule="auto"/>
        <w:ind w:left="199" w:right="195"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磋商小组发现竞争性磋商文件存在歧义、重大缺陷导致评审工作无法进行，或者竞争性磋</w:t>
      </w:r>
      <w:r>
        <w:rPr>
          <w:rFonts w:hint="eastAsia" w:asciiTheme="minorEastAsia" w:hAnsiTheme="minorEastAsia" w:eastAsiaTheme="minorEastAsia" w:cstheme="minorEastAsia"/>
          <w:color w:val="auto"/>
          <w:spacing w:val="-3"/>
          <w:highlight w:val="none"/>
        </w:rPr>
        <w:t>商文件内容违反国家有关规定的，要停止评审工作并向采购人或采购代理机构书面说明情况，采购人或采购代理机构应当修改竞争性磋商文件后重新组织采购活动；发现供应商提供虚假材</w:t>
      </w:r>
      <w:r>
        <w:rPr>
          <w:rFonts w:hint="eastAsia" w:asciiTheme="minorEastAsia" w:hAnsiTheme="minorEastAsia" w:eastAsiaTheme="minorEastAsia" w:cstheme="minorEastAsia"/>
          <w:color w:val="auto"/>
          <w:spacing w:val="-2"/>
          <w:highlight w:val="none"/>
        </w:rPr>
        <w:t>料、串通等违法违规行为的，要及时向采购人或采购代理机构报告。</w:t>
      </w:r>
    </w:p>
    <w:p>
      <w:pPr>
        <w:spacing w:line="360" w:lineRule="auto"/>
        <w:rPr>
          <w:rFonts w:asciiTheme="minorEastAsia" w:hAnsiTheme="minorEastAsia" w:eastAsiaTheme="minorEastAsia" w:cstheme="minorEastAsia"/>
          <w:color w:val="auto"/>
          <w:highlight w:val="none"/>
        </w:rPr>
      </w:pPr>
    </w:p>
    <w:p>
      <w:pPr>
        <w:spacing w:before="104" w:line="360" w:lineRule="auto"/>
        <w:ind w:firstLine="368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第二节评标报告</w:t>
      </w:r>
    </w:p>
    <w:p>
      <w:pPr>
        <w:spacing w:before="159" w:line="360" w:lineRule="auto"/>
        <w:ind w:firstLine="69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1.成交标准</w:t>
      </w:r>
    </w:p>
    <w:p>
      <w:pPr>
        <w:spacing w:before="124" w:line="360" w:lineRule="auto"/>
        <w:ind w:left="201" w:right="189" w:firstLine="44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由磋商小组根据综合评分情况，按照评审得分由高到低顺序推荐3名以上成交候选供应商,</w:t>
      </w:r>
      <w:r>
        <w:rPr>
          <w:rFonts w:hint="eastAsia" w:asciiTheme="minorEastAsia" w:hAnsiTheme="minorEastAsia" w:eastAsiaTheme="minorEastAsia" w:cstheme="minorEastAsia"/>
          <w:color w:val="auto"/>
          <w:spacing w:val="-3"/>
          <w:highlight w:val="none"/>
        </w:rPr>
        <w:t>并在线编写电子评审报告。符合本章第一节第5.3条情形的，可以推荐2家成交候选供应商。评</w:t>
      </w:r>
      <w:r>
        <w:rPr>
          <w:rFonts w:hint="eastAsia" w:asciiTheme="minorEastAsia" w:hAnsiTheme="minorEastAsia" w:eastAsiaTheme="minorEastAsia" w:cstheme="minorEastAsia"/>
          <w:color w:val="auto"/>
          <w:spacing w:val="-6"/>
          <w:highlight w:val="none"/>
        </w:rPr>
        <w:t>审得分相同的，按照最后报价（不计算价格折扣）由低到高的顺序推荐。评审得分且最后报价</w:t>
      </w:r>
      <w:r>
        <w:rPr>
          <w:rFonts w:hint="eastAsia" w:asciiTheme="minorEastAsia" w:hAnsiTheme="minorEastAsia" w:eastAsiaTheme="minorEastAsia" w:cstheme="minorEastAsia"/>
          <w:color w:val="auto"/>
          <w:spacing w:val="-5"/>
          <w:highlight w:val="none"/>
        </w:rPr>
        <w:t>（不计算价格折扣）相同的，按照技术指标优劣顺序推荐（按技术得分由高到低排序，技术得</w:t>
      </w:r>
      <w:r>
        <w:rPr>
          <w:rFonts w:hint="eastAsia" w:asciiTheme="minorEastAsia" w:hAnsiTheme="minorEastAsia" w:eastAsiaTheme="minorEastAsia" w:cstheme="minorEastAsia"/>
          <w:color w:val="auto"/>
          <w:spacing w:val="-6"/>
          <w:highlight w:val="none"/>
        </w:rPr>
        <w:t>分相同的按照服务需求偏离分由高到低排序）。评审得分、最后报价（不计算价格折扣）、技术</w:t>
      </w:r>
      <w:r>
        <w:rPr>
          <w:rFonts w:hint="eastAsia" w:asciiTheme="minorEastAsia" w:hAnsiTheme="minorEastAsia" w:eastAsiaTheme="minorEastAsia" w:cstheme="minorEastAsia"/>
          <w:color w:val="auto"/>
          <w:spacing w:val="-1"/>
          <w:highlight w:val="none"/>
        </w:rPr>
        <w:t>得分、服务需求偏离分均相同的，由磋商小组随机抽取推荐。</w:t>
      </w:r>
    </w:p>
    <w:p>
      <w:pPr>
        <w:spacing w:before="105" w:line="360" w:lineRule="auto"/>
        <w:ind w:firstLine="6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2.评标争议事项处理</w:t>
      </w:r>
    </w:p>
    <w:p>
      <w:pPr>
        <w:spacing w:before="123" w:line="360" w:lineRule="auto"/>
        <w:ind w:left="202" w:right="194" w:firstLine="41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磋商小组成员对需要共同认定的事项存在争议的，应当按照少数服从多数的原则作出结论</w:t>
      </w:r>
      <w:r>
        <w:rPr>
          <w:rFonts w:hint="eastAsia" w:asciiTheme="minorEastAsia" w:hAnsiTheme="minorEastAsia" w:eastAsiaTheme="minorEastAsia" w:cstheme="minorEastAsia"/>
          <w:color w:val="auto"/>
          <w:spacing w:val="-5"/>
          <w:highlight w:val="none"/>
        </w:rPr>
        <w:t>持不同意见的磋商小组成员应当在评标报告上签署不同意见及理由，否则视为同意评标报告。</w:t>
      </w:r>
    </w:p>
    <w:p>
      <w:pPr>
        <w:spacing w:before="3" w:line="360" w:lineRule="auto"/>
        <w:ind w:firstLine="2728"/>
        <w:outlineLvl w:val="1"/>
        <w:rPr>
          <w:rFonts w:hint="eastAsia" w:asciiTheme="minorEastAsia" w:hAnsiTheme="minorEastAsia" w:eastAsiaTheme="minorEastAsia" w:cstheme="minorEastAsia"/>
          <w:b/>
          <w:bCs/>
          <w:color w:val="auto"/>
          <w:spacing w:val="-2"/>
          <w:sz w:val="32"/>
          <w:szCs w:val="32"/>
          <w:highlight w:val="none"/>
        </w:rPr>
      </w:pPr>
    </w:p>
    <w:p>
      <w:pPr>
        <w:spacing w:before="3" w:line="360" w:lineRule="auto"/>
        <w:ind w:firstLine="272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2"/>
          <w:sz w:val="32"/>
          <w:szCs w:val="32"/>
          <w:highlight w:val="none"/>
        </w:rPr>
        <w:t>第三节评审过程的保密与录像</w:t>
      </w:r>
    </w:p>
    <w:p>
      <w:pPr>
        <w:spacing w:before="129" w:line="360" w:lineRule="auto"/>
        <w:ind w:firstLine="69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1.保密。</w:t>
      </w:r>
    </w:p>
    <w:p>
      <w:pPr>
        <w:spacing w:before="122" w:line="360" w:lineRule="auto"/>
        <w:ind w:left="200" w:right="189" w:firstLine="4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评审活动在严格保密的情况下进行。评审过程中凡是与采购响应文件评审和比较、中标成交</w:t>
      </w:r>
      <w:r>
        <w:rPr>
          <w:rFonts w:hint="eastAsia" w:asciiTheme="minorEastAsia" w:hAnsiTheme="minorEastAsia" w:eastAsiaTheme="minorEastAsia" w:cstheme="minorEastAsia"/>
          <w:color w:val="auto"/>
          <w:spacing w:val="-6"/>
          <w:highlight w:val="none"/>
        </w:rPr>
        <w:t>供应商推荐等评审有关的情况，以及涉及国家秘密和商业秘密等信息，评审委员会成员、采购</w:t>
      </w:r>
      <w:r>
        <w:rPr>
          <w:rFonts w:hint="eastAsia" w:asciiTheme="minorEastAsia" w:hAnsiTheme="minorEastAsia" w:eastAsiaTheme="minorEastAsia" w:cstheme="minorEastAsia"/>
          <w:color w:val="auto"/>
          <w:spacing w:val="-1"/>
          <w:highlight w:val="none"/>
        </w:rPr>
        <w:t>人和采购机构工作人员、相关监督人员等与评审有关的人员应当予以保密。</w:t>
      </w:r>
    </w:p>
    <w:p>
      <w:pPr>
        <w:spacing w:before="105" w:line="360" w:lineRule="auto"/>
        <w:ind w:firstLine="6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2.录音录像。</w:t>
      </w:r>
    </w:p>
    <w:p>
      <w:pPr>
        <w:spacing w:before="121" w:line="360" w:lineRule="auto"/>
        <w:ind w:left="240" w:right="194" w:firstLine="37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采购代理机构对评审工作现场及操作屏幕进行全过程录音录像，录音录像资料作为采购项</w:t>
      </w:r>
      <w:r>
        <w:rPr>
          <w:rFonts w:hint="eastAsia" w:asciiTheme="minorEastAsia" w:hAnsiTheme="minorEastAsia" w:eastAsiaTheme="minorEastAsia" w:cstheme="minorEastAsia"/>
          <w:color w:val="auto"/>
          <w:spacing w:val="-4"/>
          <w:highlight w:val="none"/>
        </w:rPr>
        <w:t>目文件随其他文件一并存档。</w:t>
      </w:r>
    </w:p>
    <w:p>
      <w:pPr>
        <w:spacing w:line="360" w:lineRule="auto"/>
        <w:rPr>
          <w:rFonts w:asciiTheme="minorEastAsia" w:hAnsiTheme="minorEastAsia" w:eastAsiaTheme="minorEastAsia" w:cstheme="minorEastAsia"/>
          <w:color w:val="auto"/>
          <w:highlight w:val="none"/>
        </w:rPr>
        <w:sectPr>
          <w:headerReference r:id="rId11" w:type="default"/>
          <w:footerReference r:id="rId12" w:type="default"/>
          <w:pgSz w:w="11906" w:h="16838"/>
          <w:pgMar w:top="935" w:right="1134" w:bottom="1073" w:left="1134"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2347"/>
        <w:outlineLvl w:val="0"/>
        <w:rPr>
          <w:rFonts w:asciiTheme="minorEastAsia" w:hAnsiTheme="minorEastAsia" w:eastAsiaTheme="minorEastAsia" w:cstheme="minorEastAsia"/>
          <w:color w:val="auto"/>
          <w:sz w:val="44"/>
          <w:szCs w:val="44"/>
          <w:highlight w:val="none"/>
        </w:rPr>
      </w:pPr>
      <w:bookmarkStart w:id="20" w:name="_Toc3391"/>
      <w:r>
        <w:rPr>
          <w:rFonts w:hint="eastAsia" w:asciiTheme="minorEastAsia" w:hAnsiTheme="minorEastAsia" w:eastAsiaTheme="minorEastAsia" w:cstheme="minorEastAsia"/>
          <w:color w:val="auto"/>
          <w:spacing w:val="-7"/>
          <w:sz w:val="44"/>
          <w:szCs w:val="44"/>
          <w:highlight w:val="none"/>
        </w:rPr>
        <w:t>第五章响应文件格式</w:t>
      </w:r>
      <w:bookmarkEnd w:id="20"/>
    </w:p>
    <w:p>
      <w:pPr>
        <w:spacing w:line="360" w:lineRule="auto"/>
        <w:rPr>
          <w:rFonts w:asciiTheme="minorEastAsia" w:hAnsiTheme="minorEastAsia" w:eastAsiaTheme="minorEastAsia" w:cstheme="minorEastAsia"/>
          <w:color w:val="auto"/>
          <w:highlight w:val="none"/>
        </w:rPr>
        <w:sectPr>
          <w:headerReference r:id="rId13" w:type="default"/>
          <w:footerReference r:id="rId14" w:type="default"/>
          <w:pgSz w:w="11906" w:h="16838"/>
          <w:pgMar w:top="935" w:right="1501" w:bottom="1073" w:left="1680"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317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4"/>
          <w:sz w:val="32"/>
          <w:szCs w:val="32"/>
          <w:highlight w:val="none"/>
        </w:rPr>
        <w:t>第一节封面格式</w:t>
      </w:r>
    </w:p>
    <w:p>
      <w:pPr>
        <w:spacing w:line="360" w:lineRule="auto"/>
        <w:rPr>
          <w:rFonts w:asciiTheme="minorEastAsia" w:hAnsiTheme="minorEastAsia" w:eastAsiaTheme="minorEastAsia" w:cstheme="minorEastAsia"/>
          <w:color w:val="auto"/>
          <w:highlight w:val="none"/>
        </w:rPr>
      </w:pPr>
    </w:p>
    <w:p>
      <w:pPr>
        <w:spacing w:before="104" w:line="360" w:lineRule="auto"/>
        <w:ind w:firstLine="23"/>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2"/>
          <w:sz w:val="32"/>
          <w:szCs w:val="32"/>
          <w:highlight w:val="none"/>
        </w:rPr>
        <w:t>（响应文件外层包装封面格式）</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2869"/>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26"/>
          <w:sz w:val="44"/>
          <w:szCs w:val="44"/>
          <w:highlight w:val="none"/>
        </w:rPr>
        <w:t>响应文件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position w:val="42"/>
          <w:sz w:val="32"/>
          <w:szCs w:val="32"/>
          <w:highlight w:val="none"/>
        </w:rPr>
        <w:t>项目名称：</w:t>
      </w:r>
    </w:p>
    <w:p>
      <w:pPr>
        <w:spacing w:before="1"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项目编号：</w:t>
      </w:r>
    </w:p>
    <w:p>
      <w:pPr>
        <w:spacing w:line="360" w:lineRule="auto"/>
        <w:rPr>
          <w:rFonts w:asciiTheme="minorEastAsia" w:hAnsiTheme="minorEastAsia" w:eastAsiaTheme="minorEastAsia" w:cstheme="minorEastAsia"/>
          <w:color w:val="auto"/>
          <w:highlight w:val="none"/>
        </w:rPr>
      </w:pPr>
    </w:p>
    <w:p>
      <w:pPr>
        <w:spacing w:before="104" w:line="360" w:lineRule="auto"/>
        <w:ind w:left="654"/>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8"/>
          <w:sz w:val="32"/>
          <w:szCs w:val="32"/>
          <w:highlight w:val="none"/>
        </w:rPr>
        <w:t>所竞分标（如有则填写，无分标时填写“无”或者留空</w:t>
      </w:r>
      <w:r>
        <w:rPr>
          <w:rFonts w:hint="eastAsia" w:asciiTheme="minorEastAsia" w:hAnsiTheme="minorEastAsia" w:eastAsiaTheme="minorEastAsia" w:cstheme="minorEastAsia"/>
          <w:color w:val="auto"/>
          <w:spacing w:val="-38"/>
          <w:sz w:val="32"/>
          <w:szCs w:val="32"/>
          <w:highlight w:val="none"/>
        </w:rPr>
        <w:t>）：</w:t>
      </w:r>
      <w:r>
        <w:rPr>
          <w:rFonts w:hint="eastAsia" w:asciiTheme="minorEastAsia" w:hAnsiTheme="minorEastAsia" w:eastAsiaTheme="minorEastAsia" w:cstheme="minorEastAsia"/>
          <w:color w:val="auto"/>
          <w:spacing w:val="-12"/>
          <w:sz w:val="32"/>
          <w:szCs w:val="32"/>
          <w:highlight w:val="none"/>
        </w:rPr>
        <w:t>供应商名称：</w:t>
      </w:r>
    </w:p>
    <w:p>
      <w:pPr>
        <w:spacing w:before="2" w:line="360" w:lineRule="auto"/>
        <w:ind w:left="3580" w:right="1562" w:hanging="1676"/>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2"/>
          <w:sz w:val="32"/>
          <w:szCs w:val="32"/>
          <w:highlight w:val="none"/>
        </w:rPr>
        <w:t>首次响应文件提交截止时间前不得解密</w:t>
      </w:r>
      <w:r>
        <w:rPr>
          <w:rFonts w:hint="eastAsia" w:asciiTheme="minorEastAsia" w:hAnsiTheme="minorEastAsia" w:eastAsiaTheme="minorEastAsia" w:cstheme="minorEastAsia"/>
          <w:color w:val="auto"/>
          <w:spacing w:val="-14"/>
          <w:sz w:val="32"/>
          <w:szCs w:val="32"/>
          <w:highlight w:val="none"/>
        </w:rPr>
        <w:t>年月日</w:t>
      </w:r>
    </w:p>
    <w:p>
      <w:pPr>
        <w:spacing w:line="360" w:lineRule="auto"/>
        <w:rPr>
          <w:rFonts w:asciiTheme="minorEastAsia" w:hAnsiTheme="minorEastAsia" w:eastAsiaTheme="minorEastAsia" w:cstheme="minorEastAsia"/>
          <w:color w:val="auto"/>
          <w:highlight w:val="none"/>
        </w:rPr>
        <w:sectPr>
          <w:headerReference r:id="rId15" w:type="default"/>
          <w:footerReference r:id="rId16" w:type="default"/>
          <w:pgSz w:w="11906" w:h="16838"/>
          <w:pgMar w:top="935" w:right="1134" w:bottom="1134" w:left="1680"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253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4"/>
          <w:sz w:val="32"/>
          <w:szCs w:val="32"/>
          <w:highlight w:val="none"/>
        </w:rPr>
        <w:t>第二节资格证明文件格式</w:t>
      </w:r>
    </w:p>
    <w:p>
      <w:pPr>
        <w:spacing w:line="360" w:lineRule="auto"/>
        <w:rPr>
          <w:rFonts w:asciiTheme="minorEastAsia" w:hAnsiTheme="minorEastAsia" w:eastAsiaTheme="minorEastAsia" w:cstheme="minorEastAsia"/>
          <w:color w:val="auto"/>
          <w:highlight w:val="none"/>
        </w:rPr>
      </w:pPr>
    </w:p>
    <w:p>
      <w:pPr>
        <w:spacing w:before="69" w:line="360" w:lineRule="auto"/>
        <w:ind w:firstLine="6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全流程电子文件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1117"/>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24"/>
          <w:sz w:val="44"/>
          <w:szCs w:val="44"/>
          <w:highlight w:val="none"/>
        </w:rPr>
        <w:t>资格证明文件（封面）</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项目名称：</w:t>
      </w:r>
    </w:p>
    <w:p>
      <w:pPr>
        <w:spacing w:line="360" w:lineRule="auto"/>
        <w:rPr>
          <w:rFonts w:asciiTheme="minorEastAsia" w:hAnsiTheme="minorEastAsia" w:eastAsiaTheme="minorEastAsia" w:cstheme="minorEastAsia"/>
          <w:color w:val="auto"/>
          <w:highlight w:val="none"/>
        </w:rPr>
      </w:pPr>
    </w:p>
    <w:p>
      <w:pPr>
        <w:spacing w:before="104" w:line="360" w:lineRule="auto"/>
        <w:ind w:firstLine="73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项目编号：</w:t>
      </w:r>
    </w:p>
    <w:p>
      <w:pPr>
        <w:spacing w:line="360" w:lineRule="auto"/>
        <w:rPr>
          <w:rFonts w:asciiTheme="minorEastAsia" w:hAnsiTheme="minorEastAsia" w:eastAsiaTheme="minorEastAsia" w:cstheme="minorEastAsia"/>
          <w:color w:val="auto"/>
          <w:highlight w:val="none"/>
        </w:rPr>
      </w:pPr>
    </w:p>
    <w:p>
      <w:pPr>
        <w:spacing w:before="104" w:line="360" w:lineRule="auto"/>
        <w:ind w:left="734"/>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8"/>
          <w:sz w:val="32"/>
          <w:szCs w:val="32"/>
          <w:highlight w:val="none"/>
        </w:rPr>
        <w:t>所竞分标（如有则填写，无分标时填写“无”或者留空</w:t>
      </w:r>
      <w:r>
        <w:rPr>
          <w:rFonts w:hint="eastAsia" w:asciiTheme="minorEastAsia" w:hAnsiTheme="minorEastAsia" w:eastAsiaTheme="minorEastAsia" w:cstheme="minorEastAsia"/>
          <w:color w:val="auto"/>
          <w:spacing w:val="-38"/>
          <w:sz w:val="32"/>
          <w:szCs w:val="32"/>
          <w:highlight w:val="none"/>
        </w:rPr>
        <w:t>）：</w:t>
      </w:r>
      <w:r>
        <w:rPr>
          <w:rFonts w:hint="eastAsia" w:asciiTheme="minorEastAsia" w:hAnsiTheme="minorEastAsia" w:eastAsiaTheme="minorEastAsia" w:cstheme="minorEastAsia"/>
          <w:color w:val="auto"/>
          <w:spacing w:val="-12"/>
          <w:sz w:val="32"/>
          <w:szCs w:val="32"/>
          <w:highlight w:val="none"/>
        </w:rPr>
        <w:t>供应商名称：</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5" w:line="360" w:lineRule="auto"/>
        <w:ind w:firstLine="325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年月日</w:t>
      </w:r>
    </w:p>
    <w:p>
      <w:pPr>
        <w:spacing w:line="360" w:lineRule="auto"/>
        <w:rPr>
          <w:rFonts w:asciiTheme="minorEastAsia" w:hAnsiTheme="minorEastAsia" w:eastAsiaTheme="minorEastAsia" w:cstheme="minorEastAsia"/>
          <w:color w:val="auto"/>
          <w:highlight w:val="none"/>
        </w:rPr>
        <w:sectPr>
          <w:headerReference r:id="rId17" w:type="default"/>
          <w:footerReference r:id="rId18" w:type="default"/>
          <w:pgSz w:w="11906" w:h="16838"/>
          <w:pgMar w:top="935" w:right="1257" w:bottom="1073" w:left="1134"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17" w:line="360" w:lineRule="auto"/>
        <w:ind w:firstLine="2955"/>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
          <w:sz w:val="36"/>
          <w:szCs w:val="36"/>
          <w:highlight w:val="none"/>
        </w:rPr>
        <w:t>资格证明文件目录</w:t>
      </w:r>
    </w:p>
    <w:p>
      <w:pPr>
        <w:spacing w:line="360" w:lineRule="auto"/>
        <w:rPr>
          <w:rFonts w:asciiTheme="minorEastAsia" w:hAnsiTheme="minorEastAsia" w:eastAsiaTheme="minorEastAsia" w:cstheme="minorEastAsia"/>
          <w:color w:val="auto"/>
          <w:highlight w:val="none"/>
        </w:rPr>
      </w:pPr>
    </w:p>
    <w:p>
      <w:pPr>
        <w:spacing w:before="79" w:line="360" w:lineRule="auto"/>
        <w:ind w:firstLine="2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一、营业执照(或事业法人登记证或其他工商等登记证明材料)复印件（供应商为自</w:t>
      </w:r>
    </w:p>
    <w:p>
      <w:pPr>
        <w:spacing w:before="120" w:line="360" w:lineRule="auto"/>
        <w:ind w:firstLine="2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然人的，须提供自然人的身份证明）…………………………………………（页码）</w:t>
      </w:r>
    </w:p>
    <w:p>
      <w:pPr>
        <w:spacing w:before="120" w:line="360" w:lineRule="auto"/>
        <w:ind w:firstLine="4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二、供应商依法缴纳税收的相关材料</w:t>
      </w:r>
      <w:r>
        <w:rPr>
          <w:rFonts w:hint="eastAsia" w:asciiTheme="minorEastAsia" w:hAnsiTheme="minorEastAsia" w:eastAsiaTheme="minorEastAsia" w:cstheme="minorEastAsia"/>
          <w:color w:val="auto"/>
          <w:spacing w:val="-2"/>
          <w:sz w:val="24"/>
          <w:szCs w:val="24"/>
          <w:highlight w:val="none"/>
        </w:rPr>
        <w:t>………………………………… ……（页码）</w:t>
      </w:r>
    </w:p>
    <w:p>
      <w:pPr>
        <w:spacing w:before="121" w:line="360" w:lineRule="auto"/>
        <w:ind w:firstLine="2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三、供应商依法缴纳社会保障资金的相关材料……………………………（页码）</w:t>
      </w:r>
    </w:p>
    <w:p>
      <w:pPr>
        <w:spacing w:before="121" w:line="360" w:lineRule="auto"/>
        <w:ind w:firstLine="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四、供应商财务状况报告……………………………………………………（页码）</w:t>
      </w:r>
    </w:p>
    <w:p>
      <w:pPr>
        <w:spacing w:before="121" w:line="360" w:lineRule="auto"/>
        <w:ind w:firstLine="1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五、供应商直接控股、管理关系信息表……………………………………（页码）</w:t>
      </w:r>
    </w:p>
    <w:p>
      <w:pPr>
        <w:spacing w:before="121" w:line="360" w:lineRule="auto"/>
        <w:ind w:firstLine="21"/>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六、资格声明函………………………………………………………………（页码）</w:t>
      </w:r>
    </w:p>
    <w:p>
      <w:pPr>
        <w:pStyle w:val="10"/>
        <w:rPr>
          <w:color w:val="auto"/>
          <w:highlight w:val="none"/>
        </w:rPr>
      </w:pPr>
      <w:r>
        <w:rPr>
          <w:rFonts w:hint="eastAsia"/>
          <w:color w:val="auto"/>
          <w:highlight w:val="none"/>
        </w:rPr>
        <w:t xml:space="preserve">七、（采购人或采购代理机构根据竞争性谈判公告对应的特定资格要求及特定条件设置供应商提供的资格证明材料）； </w:t>
      </w:r>
      <w:r>
        <w:rPr>
          <w:rFonts w:hint="eastAsia" w:asciiTheme="minorEastAsia" w:hAnsiTheme="minorEastAsia" w:eastAsiaTheme="minorEastAsia" w:cstheme="minorEastAsia"/>
          <w:color w:val="auto"/>
          <w:spacing w:val="-1"/>
          <w:szCs w:val="24"/>
          <w:highlight w:val="none"/>
        </w:rPr>
        <w:t>…………………………………………（页码）</w:t>
      </w:r>
    </w:p>
    <w:p>
      <w:pPr>
        <w:spacing w:before="120" w:line="360" w:lineRule="auto"/>
        <w:ind w:firstLine="16"/>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1"/>
          <w:sz w:val="24"/>
          <w:szCs w:val="24"/>
          <w:highlight w:val="none"/>
        </w:rPr>
        <w:t>八、</w:t>
      </w:r>
      <w:r>
        <w:rPr>
          <w:rFonts w:hint="eastAsia" w:asciiTheme="minorEastAsia" w:hAnsiTheme="minorEastAsia" w:eastAsiaTheme="minorEastAsia" w:cstheme="minorEastAsia"/>
          <w:color w:val="auto"/>
          <w:spacing w:val="-1"/>
          <w:sz w:val="24"/>
          <w:szCs w:val="24"/>
          <w:highlight w:val="none"/>
        </w:rPr>
        <w:t>除磋商文件规定必须提供以外，供应商认为需要提供的其他证明材料</w:t>
      </w:r>
      <w:r>
        <w:rPr>
          <w:rFonts w:hint="eastAsia" w:asciiTheme="minorEastAsia" w:hAnsiTheme="minorEastAsia" w:eastAsiaTheme="minorEastAsia" w:cstheme="minorEastAsia"/>
          <w:color w:val="auto"/>
          <w:spacing w:val="-5"/>
          <w:sz w:val="24"/>
          <w:szCs w:val="24"/>
          <w:highlight w:val="none"/>
        </w:rPr>
        <w:t>…（页码）</w:t>
      </w:r>
    </w:p>
    <w:p>
      <w:pPr>
        <w:spacing w:line="360" w:lineRule="auto"/>
        <w:rPr>
          <w:rFonts w:asciiTheme="minorEastAsia" w:hAnsiTheme="minorEastAsia" w:eastAsiaTheme="minorEastAsia" w:cstheme="minorEastAsia"/>
          <w:color w:val="auto"/>
          <w:highlight w:val="none"/>
        </w:rPr>
      </w:pPr>
    </w:p>
    <w:p>
      <w:pPr>
        <w:spacing w:before="79" w:line="360" w:lineRule="auto"/>
        <w:ind w:left="26" w:right="17" w:hanging="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注：以上目录是编制供应商响应文件的基本格式要求，各供应商可根据自身情况进</w:t>
      </w:r>
      <w:r>
        <w:rPr>
          <w:rFonts w:hint="eastAsia" w:asciiTheme="minorEastAsia" w:hAnsiTheme="minorEastAsia" w:eastAsiaTheme="minorEastAsia" w:cstheme="minorEastAsia"/>
          <w:color w:val="auto"/>
          <w:spacing w:val="-13"/>
          <w:sz w:val="24"/>
          <w:szCs w:val="24"/>
          <w:highlight w:val="none"/>
        </w:rPr>
        <w:t>一步细化。</w:t>
      </w:r>
    </w:p>
    <w:p>
      <w:pPr>
        <w:spacing w:line="360" w:lineRule="auto"/>
        <w:rPr>
          <w:rFonts w:asciiTheme="minorEastAsia" w:hAnsiTheme="minorEastAsia" w:eastAsiaTheme="minorEastAsia" w:cstheme="minorEastAsia"/>
          <w:color w:val="auto"/>
          <w:highlight w:val="none"/>
        </w:rPr>
      </w:pPr>
    </w:p>
    <w:p>
      <w:pPr>
        <w:pStyle w:val="10"/>
        <w:rPr>
          <w:color w:val="auto"/>
          <w:highlight w:val="none"/>
        </w:rPr>
        <w:sectPr>
          <w:headerReference r:id="rId19" w:type="default"/>
          <w:footerReference r:id="rId20" w:type="default"/>
          <w:pgSz w:w="11906" w:h="16838"/>
          <w:pgMar w:top="935" w:right="1495" w:bottom="1072" w:left="1680" w:header="704" w:footer="954" w:gutter="0"/>
          <w:cols w:space="720" w:num="1"/>
        </w:sectPr>
      </w:pPr>
    </w:p>
    <w:p>
      <w:pPr>
        <w:spacing w:line="360" w:lineRule="auto"/>
        <w:rPr>
          <w:rFonts w:asciiTheme="minorEastAsia" w:hAnsiTheme="minorEastAsia" w:eastAsiaTheme="minorEastAsia" w:cstheme="minorEastAsia"/>
          <w:color w:val="auto"/>
          <w:highlight w:val="none"/>
        </w:rPr>
      </w:pPr>
    </w:p>
    <w:p>
      <w:pPr>
        <w:spacing w:before="98" w:line="360" w:lineRule="auto"/>
        <w:ind w:left="753" w:right="718" w:firstLine="690"/>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4"/>
          <w:sz w:val="30"/>
          <w:szCs w:val="30"/>
          <w:highlight w:val="none"/>
        </w:rPr>
        <w:t>一、营业执照(或事业法人登记证或其他工商等登记证明材料)</w:t>
      </w:r>
      <w:r>
        <w:rPr>
          <w:rFonts w:hint="eastAsia" w:asciiTheme="minorEastAsia" w:hAnsiTheme="minorEastAsia" w:eastAsiaTheme="minorEastAsia" w:cstheme="minorEastAsia"/>
          <w:b/>
          <w:bCs/>
          <w:color w:val="auto"/>
          <w:spacing w:val="-3"/>
          <w:sz w:val="30"/>
          <w:szCs w:val="30"/>
          <w:highlight w:val="none"/>
        </w:rPr>
        <w:t>复印件（供应商为自然人的，提供自然人的身份证明）</w:t>
      </w:r>
    </w:p>
    <w:p>
      <w:pPr>
        <w:spacing w:line="360" w:lineRule="auto"/>
        <w:rPr>
          <w:rFonts w:asciiTheme="minorEastAsia" w:hAnsiTheme="minorEastAsia" w:eastAsiaTheme="minorEastAsia" w:cstheme="minorEastAsia"/>
          <w:color w:val="auto"/>
          <w:highlight w:val="none"/>
        </w:rPr>
      </w:pPr>
    </w:p>
    <w:p>
      <w:pPr>
        <w:spacing w:before="78" w:line="360" w:lineRule="auto"/>
        <w:ind w:firstLine="46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610"/>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numPr>
          <w:ilvl w:val="0"/>
          <w:numId w:val="6"/>
        </w:numPr>
        <w:spacing w:before="98" w:line="360" w:lineRule="auto"/>
        <w:ind w:left="756" w:right="13" w:firstLine="595"/>
        <w:rPr>
          <w:rFonts w:asciiTheme="minorEastAsia" w:hAnsiTheme="minorEastAsia" w:eastAsiaTheme="minorEastAsia" w:cstheme="minorEastAsia"/>
          <w:b/>
          <w:bCs/>
          <w:color w:val="auto"/>
          <w:spacing w:val="-4"/>
          <w:sz w:val="30"/>
          <w:szCs w:val="30"/>
          <w:highlight w:val="none"/>
        </w:rPr>
      </w:pPr>
      <w:r>
        <w:rPr>
          <w:rFonts w:hint="eastAsia" w:asciiTheme="minorEastAsia" w:hAnsiTheme="minorEastAsia" w:eastAsiaTheme="minorEastAsia" w:cstheme="minorEastAsia"/>
          <w:b/>
          <w:bCs/>
          <w:color w:val="auto"/>
          <w:spacing w:val="-4"/>
          <w:sz w:val="30"/>
          <w:szCs w:val="30"/>
          <w:highlight w:val="none"/>
        </w:rPr>
        <w:t>供应商依法缴纳税收的相关材料</w:t>
      </w:r>
    </w:p>
    <w:p>
      <w:pPr>
        <w:spacing w:before="78" w:line="360" w:lineRule="auto"/>
        <w:ind w:firstLine="46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610"/>
        <w:rPr>
          <w:color w:val="auto"/>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spacing w:before="299" w:line="360" w:lineRule="auto"/>
        <w:ind w:firstLine="886" w:firstLineChars="300"/>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三、供应商依法缴纳社会保障资金的相关材料</w:t>
      </w:r>
    </w:p>
    <w:p>
      <w:pPr>
        <w:spacing w:line="360" w:lineRule="auto"/>
        <w:rPr>
          <w:rFonts w:asciiTheme="minorEastAsia" w:hAnsiTheme="minorEastAsia" w:eastAsiaTheme="minorEastAsia" w:cstheme="minorEastAsia"/>
          <w:color w:val="auto"/>
          <w:highlight w:val="none"/>
        </w:rPr>
      </w:pPr>
    </w:p>
    <w:p>
      <w:pPr>
        <w:spacing w:before="78" w:line="360" w:lineRule="auto"/>
        <w:ind w:firstLine="46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610"/>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before="78" w:line="360" w:lineRule="auto"/>
        <w:ind w:left="6893" w:right="48" w:hanging="2283"/>
        <w:rPr>
          <w:rFonts w:asciiTheme="minorEastAsia" w:hAnsiTheme="minorEastAsia" w:eastAsiaTheme="minorEastAsia" w:cstheme="minorEastAsia"/>
          <w:color w:val="auto"/>
          <w:sz w:val="24"/>
          <w:szCs w:val="24"/>
          <w:highlight w:val="none"/>
        </w:rPr>
      </w:pPr>
    </w:p>
    <w:p>
      <w:pPr>
        <w:spacing w:before="299" w:line="360" w:lineRule="auto"/>
        <w:ind w:firstLine="886" w:firstLineChars="300"/>
        <w:rPr>
          <w:rFonts w:asciiTheme="minorEastAsia" w:hAnsiTheme="minorEastAsia" w:eastAsiaTheme="minorEastAsia" w:cstheme="minorEastAsia"/>
          <w:b/>
          <w:bCs/>
          <w:color w:val="auto"/>
          <w:spacing w:val="-3"/>
          <w:sz w:val="30"/>
          <w:szCs w:val="30"/>
          <w:highlight w:val="none"/>
        </w:rPr>
      </w:pPr>
      <w:r>
        <w:rPr>
          <w:rFonts w:hint="eastAsia" w:asciiTheme="minorEastAsia" w:hAnsiTheme="minorEastAsia" w:eastAsiaTheme="minorEastAsia" w:cstheme="minorEastAsia"/>
          <w:b/>
          <w:bCs/>
          <w:color w:val="auto"/>
          <w:spacing w:val="-3"/>
          <w:sz w:val="30"/>
          <w:szCs w:val="30"/>
          <w:highlight w:val="none"/>
        </w:rPr>
        <w:t>四、供应商财务状况报告</w:t>
      </w:r>
    </w:p>
    <w:p>
      <w:pPr>
        <w:spacing w:before="98" w:line="360" w:lineRule="auto"/>
        <w:ind w:firstLine="1371"/>
        <w:rPr>
          <w:rFonts w:asciiTheme="minorEastAsia" w:hAnsiTheme="minorEastAsia" w:eastAsiaTheme="minorEastAsia" w:cstheme="minorEastAsia"/>
          <w:b/>
          <w:bCs/>
          <w:color w:val="auto"/>
          <w:spacing w:val="-4"/>
          <w:sz w:val="30"/>
          <w:szCs w:val="30"/>
          <w:highlight w:val="none"/>
        </w:rPr>
      </w:pPr>
    </w:p>
    <w:p>
      <w:pPr>
        <w:rPr>
          <w:rFonts w:asciiTheme="minorEastAsia" w:hAnsiTheme="minorEastAsia" w:eastAsiaTheme="minorEastAsia" w:cstheme="minorEastAsia"/>
          <w:b/>
          <w:bCs/>
          <w:color w:val="auto"/>
          <w:spacing w:val="-4"/>
          <w:sz w:val="30"/>
          <w:szCs w:val="30"/>
          <w:highlight w:val="none"/>
        </w:rPr>
      </w:pPr>
      <w:r>
        <w:rPr>
          <w:rFonts w:hint="eastAsia" w:asciiTheme="minorEastAsia" w:hAnsiTheme="minorEastAsia" w:eastAsiaTheme="minorEastAsia" w:cstheme="minorEastAsia"/>
          <w:b/>
          <w:bCs/>
          <w:color w:val="auto"/>
          <w:spacing w:val="-4"/>
          <w:sz w:val="30"/>
          <w:szCs w:val="30"/>
          <w:highlight w:val="none"/>
        </w:rPr>
        <w:br w:type="page"/>
      </w:r>
    </w:p>
    <w:p>
      <w:pPr>
        <w:spacing w:before="98" w:line="360" w:lineRule="auto"/>
        <w:ind w:firstLine="1371"/>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4"/>
          <w:sz w:val="30"/>
          <w:szCs w:val="30"/>
          <w:highlight w:val="none"/>
        </w:rPr>
        <w:t>四、供应商直接控股、管理关系信息表</w:t>
      </w:r>
    </w:p>
    <w:p>
      <w:pPr>
        <w:spacing w:line="360" w:lineRule="auto"/>
        <w:ind w:firstLine="2932" w:firstLineChars="10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4"/>
          <w:sz w:val="30"/>
          <w:szCs w:val="30"/>
          <w:highlight w:val="none"/>
        </w:rPr>
        <w:t>（1）供应商直接控股</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tbl>
      <w:tblPr>
        <w:tblStyle w:val="34"/>
        <w:tblW w:w="10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653"/>
        <w:gridCol w:w="1453"/>
        <w:gridCol w:w="4284"/>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84" w:type="dxa"/>
          </w:tcPr>
          <w:p>
            <w:pPr>
              <w:spacing w:before="120" w:line="360" w:lineRule="auto"/>
              <w:ind w:firstLine="20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2653" w:type="dxa"/>
          </w:tcPr>
          <w:p>
            <w:pPr>
              <w:spacing w:before="120" w:line="360" w:lineRule="auto"/>
              <w:ind w:firstLine="36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直接控股股东名称</w:t>
            </w:r>
          </w:p>
        </w:tc>
        <w:tc>
          <w:tcPr>
            <w:tcW w:w="1453" w:type="dxa"/>
          </w:tcPr>
          <w:p>
            <w:pPr>
              <w:spacing w:before="120" w:line="360" w:lineRule="auto"/>
              <w:ind w:firstLine="27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出资比例</w:t>
            </w:r>
          </w:p>
        </w:tc>
        <w:tc>
          <w:tcPr>
            <w:tcW w:w="4284" w:type="dxa"/>
          </w:tcPr>
          <w:p>
            <w:pPr>
              <w:spacing w:before="120" w:line="360" w:lineRule="auto"/>
              <w:ind w:firstLine="35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身份证号码或者统一社会信用代码</w:t>
            </w:r>
          </w:p>
        </w:tc>
        <w:tc>
          <w:tcPr>
            <w:tcW w:w="882" w:type="dxa"/>
          </w:tcPr>
          <w:p>
            <w:pPr>
              <w:spacing w:before="120" w:line="360" w:lineRule="auto"/>
              <w:ind w:firstLine="2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84" w:type="dxa"/>
          </w:tcPr>
          <w:p>
            <w:pPr>
              <w:spacing w:before="153" w:line="360" w:lineRule="auto"/>
              <w:ind w:firstLine="40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653" w:type="dxa"/>
          </w:tcPr>
          <w:p>
            <w:pPr>
              <w:spacing w:line="360" w:lineRule="auto"/>
              <w:rPr>
                <w:rFonts w:asciiTheme="minorEastAsia" w:hAnsiTheme="minorEastAsia" w:eastAsiaTheme="minorEastAsia" w:cstheme="minorEastAsia"/>
                <w:color w:val="auto"/>
                <w:highlight w:val="none"/>
              </w:rPr>
            </w:pPr>
          </w:p>
        </w:tc>
        <w:tc>
          <w:tcPr>
            <w:tcW w:w="1453" w:type="dxa"/>
          </w:tcPr>
          <w:p>
            <w:pPr>
              <w:spacing w:line="360" w:lineRule="auto"/>
              <w:rPr>
                <w:rFonts w:asciiTheme="minorEastAsia" w:hAnsiTheme="minorEastAsia" w:eastAsiaTheme="minorEastAsia" w:cstheme="minorEastAsia"/>
                <w:color w:val="auto"/>
                <w:highlight w:val="none"/>
              </w:rPr>
            </w:pPr>
          </w:p>
        </w:tc>
        <w:tc>
          <w:tcPr>
            <w:tcW w:w="4284" w:type="dxa"/>
          </w:tcPr>
          <w:p>
            <w:pPr>
              <w:spacing w:line="360" w:lineRule="auto"/>
              <w:rPr>
                <w:rFonts w:asciiTheme="minorEastAsia" w:hAnsiTheme="minorEastAsia" w:eastAsiaTheme="minorEastAsia" w:cstheme="minorEastAsia"/>
                <w:color w:val="auto"/>
                <w:highlight w:val="none"/>
              </w:rPr>
            </w:pPr>
          </w:p>
        </w:tc>
        <w:tc>
          <w:tcPr>
            <w:tcW w:w="882"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84" w:type="dxa"/>
          </w:tcPr>
          <w:p>
            <w:pPr>
              <w:spacing w:before="156" w:line="360" w:lineRule="auto"/>
              <w:ind w:firstLine="38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653" w:type="dxa"/>
          </w:tcPr>
          <w:p>
            <w:pPr>
              <w:spacing w:line="360" w:lineRule="auto"/>
              <w:rPr>
                <w:rFonts w:asciiTheme="minorEastAsia" w:hAnsiTheme="minorEastAsia" w:eastAsiaTheme="minorEastAsia" w:cstheme="minorEastAsia"/>
                <w:color w:val="auto"/>
                <w:highlight w:val="none"/>
              </w:rPr>
            </w:pPr>
          </w:p>
        </w:tc>
        <w:tc>
          <w:tcPr>
            <w:tcW w:w="1453" w:type="dxa"/>
          </w:tcPr>
          <w:p>
            <w:pPr>
              <w:spacing w:line="360" w:lineRule="auto"/>
              <w:rPr>
                <w:rFonts w:asciiTheme="minorEastAsia" w:hAnsiTheme="minorEastAsia" w:eastAsiaTheme="minorEastAsia" w:cstheme="minorEastAsia"/>
                <w:color w:val="auto"/>
                <w:highlight w:val="none"/>
              </w:rPr>
            </w:pPr>
          </w:p>
        </w:tc>
        <w:tc>
          <w:tcPr>
            <w:tcW w:w="4284" w:type="dxa"/>
          </w:tcPr>
          <w:p>
            <w:pPr>
              <w:spacing w:line="360" w:lineRule="auto"/>
              <w:rPr>
                <w:rFonts w:asciiTheme="minorEastAsia" w:hAnsiTheme="minorEastAsia" w:eastAsiaTheme="minorEastAsia" w:cstheme="minorEastAsia"/>
                <w:color w:val="auto"/>
                <w:highlight w:val="none"/>
              </w:rPr>
            </w:pPr>
          </w:p>
        </w:tc>
        <w:tc>
          <w:tcPr>
            <w:tcW w:w="882"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84" w:type="dxa"/>
          </w:tcPr>
          <w:p>
            <w:pPr>
              <w:spacing w:before="159" w:line="360" w:lineRule="auto"/>
              <w:ind w:firstLine="39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653" w:type="dxa"/>
          </w:tcPr>
          <w:p>
            <w:pPr>
              <w:spacing w:line="360" w:lineRule="auto"/>
              <w:rPr>
                <w:rFonts w:asciiTheme="minorEastAsia" w:hAnsiTheme="minorEastAsia" w:eastAsiaTheme="minorEastAsia" w:cstheme="minorEastAsia"/>
                <w:color w:val="auto"/>
                <w:highlight w:val="none"/>
              </w:rPr>
            </w:pPr>
          </w:p>
        </w:tc>
        <w:tc>
          <w:tcPr>
            <w:tcW w:w="1453" w:type="dxa"/>
          </w:tcPr>
          <w:p>
            <w:pPr>
              <w:spacing w:line="360" w:lineRule="auto"/>
              <w:rPr>
                <w:rFonts w:asciiTheme="minorEastAsia" w:hAnsiTheme="minorEastAsia" w:eastAsiaTheme="minorEastAsia" w:cstheme="minorEastAsia"/>
                <w:color w:val="auto"/>
                <w:highlight w:val="none"/>
              </w:rPr>
            </w:pPr>
          </w:p>
        </w:tc>
        <w:tc>
          <w:tcPr>
            <w:tcW w:w="4284" w:type="dxa"/>
          </w:tcPr>
          <w:p>
            <w:pPr>
              <w:spacing w:line="360" w:lineRule="auto"/>
              <w:rPr>
                <w:rFonts w:asciiTheme="minorEastAsia" w:hAnsiTheme="minorEastAsia" w:eastAsiaTheme="minorEastAsia" w:cstheme="minorEastAsia"/>
                <w:color w:val="auto"/>
                <w:highlight w:val="none"/>
              </w:rPr>
            </w:pPr>
          </w:p>
        </w:tc>
        <w:tc>
          <w:tcPr>
            <w:tcW w:w="882"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84" w:type="dxa"/>
          </w:tcPr>
          <w:p>
            <w:pPr>
              <w:spacing w:before="123" w:line="360" w:lineRule="auto"/>
              <w:ind w:firstLine="2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w:t>
            </w:r>
          </w:p>
        </w:tc>
        <w:tc>
          <w:tcPr>
            <w:tcW w:w="2653" w:type="dxa"/>
          </w:tcPr>
          <w:p>
            <w:pPr>
              <w:spacing w:line="360" w:lineRule="auto"/>
              <w:rPr>
                <w:rFonts w:asciiTheme="minorEastAsia" w:hAnsiTheme="minorEastAsia" w:eastAsiaTheme="minorEastAsia" w:cstheme="minorEastAsia"/>
                <w:color w:val="auto"/>
                <w:highlight w:val="none"/>
              </w:rPr>
            </w:pPr>
          </w:p>
        </w:tc>
        <w:tc>
          <w:tcPr>
            <w:tcW w:w="1453" w:type="dxa"/>
          </w:tcPr>
          <w:p>
            <w:pPr>
              <w:spacing w:line="360" w:lineRule="auto"/>
              <w:rPr>
                <w:rFonts w:asciiTheme="minorEastAsia" w:hAnsiTheme="minorEastAsia" w:eastAsiaTheme="minorEastAsia" w:cstheme="minorEastAsia"/>
                <w:color w:val="auto"/>
                <w:highlight w:val="none"/>
              </w:rPr>
            </w:pPr>
          </w:p>
        </w:tc>
        <w:tc>
          <w:tcPr>
            <w:tcW w:w="4284" w:type="dxa"/>
          </w:tcPr>
          <w:p>
            <w:pPr>
              <w:spacing w:line="360" w:lineRule="auto"/>
              <w:rPr>
                <w:rFonts w:asciiTheme="minorEastAsia" w:hAnsiTheme="minorEastAsia" w:eastAsiaTheme="minorEastAsia" w:cstheme="minorEastAsia"/>
                <w:color w:val="auto"/>
                <w:highlight w:val="none"/>
              </w:rPr>
            </w:pPr>
          </w:p>
        </w:tc>
        <w:tc>
          <w:tcPr>
            <w:tcW w:w="882" w:type="dxa"/>
          </w:tcPr>
          <w:p>
            <w:pPr>
              <w:spacing w:line="360" w:lineRule="auto"/>
              <w:rPr>
                <w:rFonts w:asciiTheme="minorEastAsia" w:hAnsiTheme="minorEastAsia" w:eastAsiaTheme="minorEastAsia" w:cstheme="minorEastAsia"/>
                <w:color w:val="auto"/>
                <w:highlight w:val="none"/>
              </w:rPr>
            </w:pPr>
          </w:p>
        </w:tc>
      </w:tr>
    </w:tbl>
    <w:p>
      <w:pPr>
        <w:spacing w:before="1" w:line="360" w:lineRule="auto"/>
        <w:ind w:firstLine="73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注：</w:t>
      </w:r>
    </w:p>
    <w:p>
      <w:pPr>
        <w:spacing w:before="93" w:line="360" w:lineRule="auto"/>
        <w:ind w:left="726" w:right="806" w:firstLine="49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1.直接控股股东：是指其出资额占有限责任公司资本总额百分之五十以上或者其持有的股份占股份有限公司股份总额百分之五十以上的股东；出资额或者持有股</w:t>
      </w:r>
      <w:r>
        <w:rPr>
          <w:rFonts w:hint="eastAsia" w:asciiTheme="minorEastAsia" w:hAnsiTheme="minorEastAsia" w:eastAsiaTheme="minorEastAsia" w:cstheme="minorEastAsia"/>
          <w:color w:val="auto"/>
          <w:spacing w:val="-1"/>
          <w:sz w:val="24"/>
          <w:szCs w:val="24"/>
          <w:highlight w:val="none"/>
        </w:rPr>
        <w:t>份的比例虽然不足百分之五十，但依其出资额或者持有的股份所享有的表决权已足以对股东会、股东大会的决议产生重大影响的股东。</w:t>
      </w:r>
    </w:p>
    <w:p>
      <w:pPr>
        <w:spacing w:before="1" w:line="360" w:lineRule="auto"/>
        <w:ind w:firstLine="121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2.本表所指的控股关系仅限于直接控股关系，不包括间接的控股关系。公司实</w:t>
      </w:r>
    </w:p>
    <w:p>
      <w:pPr>
        <w:spacing w:before="94" w:line="360" w:lineRule="auto"/>
        <w:ind w:firstLine="74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8"/>
          <w:sz w:val="24"/>
          <w:szCs w:val="24"/>
          <w:highlight w:val="none"/>
        </w:rPr>
        <w:t>际控制人与公司之间的关系不属于本表所指的直接控股关系。</w:t>
      </w:r>
    </w:p>
    <w:p>
      <w:pPr>
        <w:spacing w:before="1" w:line="360" w:lineRule="auto"/>
        <w:ind w:firstLine="122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3.供应商不存在直接控股股东的，则填“无”。</w:t>
      </w:r>
    </w:p>
    <w:p>
      <w:pPr>
        <w:spacing w:line="360" w:lineRule="auto"/>
        <w:rPr>
          <w:rFonts w:asciiTheme="minorEastAsia" w:hAnsiTheme="minorEastAsia" w:eastAsiaTheme="minorEastAsia" w:cstheme="minorEastAsia"/>
          <w:color w:val="auto"/>
          <w:highlight w:val="none"/>
        </w:rPr>
      </w:pPr>
    </w:p>
    <w:p>
      <w:pPr>
        <w:spacing w:before="78" w:line="360" w:lineRule="auto"/>
        <w:ind w:firstLine="436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364"/>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spacing w:val="-2"/>
          <w:sz w:val="30"/>
          <w:szCs w:val="30"/>
          <w:highlight w:val="none"/>
        </w:rPr>
      </w:pPr>
      <w:r>
        <w:rPr>
          <w:rFonts w:hint="eastAsia" w:asciiTheme="minorEastAsia" w:hAnsiTheme="minorEastAsia" w:eastAsiaTheme="minorEastAsia" w:cstheme="minorEastAsia"/>
          <w:color w:val="auto"/>
          <w:spacing w:val="-2"/>
          <w:sz w:val="30"/>
          <w:szCs w:val="30"/>
          <w:highlight w:val="none"/>
        </w:rPr>
        <w:br w:type="page"/>
      </w:r>
    </w:p>
    <w:p>
      <w:pPr>
        <w:spacing w:before="98" w:line="360" w:lineRule="auto"/>
        <w:ind w:firstLine="2434" w:firstLineChars="819"/>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2"/>
          <w:sz w:val="30"/>
          <w:szCs w:val="30"/>
          <w:highlight w:val="none"/>
        </w:rPr>
        <w:t>（2）供应商直接管理关系信息表</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tbl>
      <w:tblPr>
        <w:tblStyle w:val="34"/>
        <w:tblW w:w="96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3596"/>
        <w:gridCol w:w="3552"/>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14" w:type="dxa"/>
          </w:tcPr>
          <w:p>
            <w:pPr>
              <w:spacing w:before="120" w:line="360" w:lineRule="auto"/>
              <w:ind w:firstLine="16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3596" w:type="dxa"/>
          </w:tcPr>
          <w:p>
            <w:pPr>
              <w:spacing w:before="120" w:line="360" w:lineRule="auto"/>
              <w:ind w:firstLine="59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直接管理关系单位名称</w:t>
            </w:r>
          </w:p>
        </w:tc>
        <w:tc>
          <w:tcPr>
            <w:tcW w:w="3552" w:type="dxa"/>
          </w:tcPr>
          <w:p>
            <w:pPr>
              <w:spacing w:before="120" w:line="360" w:lineRule="auto"/>
              <w:ind w:firstLine="82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统一社会信用代码</w:t>
            </w:r>
          </w:p>
        </w:tc>
        <w:tc>
          <w:tcPr>
            <w:tcW w:w="1700" w:type="dxa"/>
          </w:tcPr>
          <w:p>
            <w:pPr>
              <w:spacing w:before="120" w:line="360" w:lineRule="auto"/>
              <w:ind w:firstLine="6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14" w:type="dxa"/>
          </w:tcPr>
          <w:p>
            <w:pPr>
              <w:spacing w:before="153" w:line="360" w:lineRule="auto"/>
              <w:ind w:firstLine="36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596" w:type="dxa"/>
          </w:tcPr>
          <w:p>
            <w:pPr>
              <w:spacing w:line="360" w:lineRule="auto"/>
              <w:rPr>
                <w:rFonts w:asciiTheme="minorEastAsia" w:hAnsiTheme="minorEastAsia" w:eastAsiaTheme="minorEastAsia" w:cstheme="minorEastAsia"/>
                <w:color w:val="auto"/>
                <w:highlight w:val="none"/>
              </w:rPr>
            </w:pPr>
          </w:p>
        </w:tc>
        <w:tc>
          <w:tcPr>
            <w:tcW w:w="3552" w:type="dxa"/>
          </w:tcPr>
          <w:p>
            <w:pPr>
              <w:spacing w:line="360" w:lineRule="auto"/>
              <w:rPr>
                <w:rFonts w:asciiTheme="minorEastAsia" w:hAnsiTheme="minorEastAsia" w:eastAsiaTheme="minorEastAsia" w:cstheme="minorEastAsia"/>
                <w:color w:val="auto"/>
                <w:highlight w:val="none"/>
              </w:rPr>
            </w:pPr>
          </w:p>
        </w:tc>
        <w:tc>
          <w:tcPr>
            <w:tcW w:w="1700"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14" w:type="dxa"/>
          </w:tcPr>
          <w:p>
            <w:pPr>
              <w:spacing w:before="156" w:line="360" w:lineRule="auto"/>
              <w:ind w:firstLine="35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596" w:type="dxa"/>
          </w:tcPr>
          <w:p>
            <w:pPr>
              <w:spacing w:line="360" w:lineRule="auto"/>
              <w:rPr>
                <w:rFonts w:asciiTheme="minorEastAsia" w:hAnsiTheme="minorEastAsia" w:eastAsiaTheme="minorEastAsia" w:cstheme="minorEastAsia"/>
                <w:color w:val="auto"/>
                <w:highlight w:val="none"/>
              </w:rPr>
            </w:pPr>
          </w:p>
        </w:tc>
        <w:tc>
          <w:tcPr>
            <w:tcW w:w="3552" w:type="dxa"/>
          </w:tcPr>
          <w:p>
            <w:pPr>
              <w:spacing w:line="360" w:lineRule="auto"/>
              <w:rPr>
                <w:rFonts w:asciiTheme="minorEastAsia" w:hAnsiTheme="minorEastAsia" w:eastAsiaTheme="minorEastAsia" w:cstheme="minorEastAsia"/>
                <w:color w:val="auto"/>
                <w:highlight w:val="none"/>
              </w:rPr>
            </w:pPr>
          </w:p>
        </w:tc>
        <w:tc>
          <w:tcPr>
            <w:tcW w:w="1700"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14" w:type="dxa"/>
          </w:tcPr>
          <w:p>
            <w:pPr>
              <w:spacing w:before="159" w:line="360" w:lineRule="auto"/>
              <w:ind w:firstLine="35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596" w:type="dxa"/>
          </w:tcPr>
          <w:p>
            <w:pPr>
              <w:spacing w:line="360" w:lineRule="auto"/>
              <w:rPr>
                <w:rFonts w:asciiTheme="minorEastAsia" w:hAnsiTheme="minorEastAsia" w:eastAsiaTheme="minorEastAsia" w:cstheme="minorEastAsia"/>
                <w:color w:val="auto"/>
                <w:highlight w:val="none"/>
              </w:rPr>
            </w:pPr>
          </w:p>
        </w:tc>
        <w:tc>
          <w:tcPr>
            <w:tcW w:w="3552" w:type="dxa"/>
          </w:tcPr>
          <w:p>
            <w:pPr>
              <w:spacing w:line="360" w:lineRule="auto"/>
              <w:rPr>
                <w:rFonts w:asciiTheme="minorEastAsia" w:hAnsiTheme="minorEastAsia" w:eastAsiaTheme="minorEastAsia" w:cstheme="minorEastAsia"/>
                <w:color w:val="auto"/>
                <w:highlight w:val="none"/>
              </w:rPr>
            </w:pPr>
          </w:p>
        </w:tc>
        <w:tc>
          <w:tcPr>
            <w:tcW w:w="1700"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14" w:type="dxa"/>
          </w:tcPr>
          <w:p>
            <w:pPr>
              <w:spacing w:before="123" w:line="360" w:lineRule="auto"/>
              <w:ind w:firstLine="18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w:t>
            </w:r>
          </w:p>
        </w:tc>
        <w:tc>
          <w:tcPr>
            <w:tcW w:w="3596" w:type="dxa"/>
          </w:tcPr>
          <w:p>
            <w:pPr>
              <w:spacing w:line="360" w:lineRule="auto"/>
              <w:rPr>
                <w:rFonts w:asciiTheme="minorEastAsia" w:hAnsiTheme="minorEastAsia" w:eastAsiaTheme="minorEastAsia" w:cstheme="minorEastAsia"/>
                <w:color w:val="auto"/>
                <w:highlight w:val="none"/>
              </w:rPr>
            </w:pPr>
          </w:p>
        </w:tc>
        <w:tc>
          <w:tcPr>
            <w:tcW w:w="3552" w:type="dxa"/>
          </w:tcPr>
          <w:p>
            <w:pPr>
              <w:spacing w:line="360" w:lineRule="auto"/>
              <w:rPr>
                <w:rFonts w:asciiTheme="minorEastAsia" w:hAnsiTheme="minorEastAsia" w:eastAsiaTheme="minorEastAsia" w:cstheme="minorEastAsia"/>
                <w:color w:val="auto"/>
                <w:highlight w:val="none"/>
              </w:rPr>
            </w:pPr>
          </w:p>
        </w:tc>
        <w:tc>
          <w:tcPr>
            <w:tcW w:w="1700" w:type="dxa"/>
          </w:tcPr>
          <w:p>
            <w:pPr>
              <w:spacing w:line="360" w:lineRule="auto"/>
              <w:rPr>
                <w:rFonts w:asciiTheme="minorEastAsia" w:hAnsiTheme="minorEastAsia" w:eastAsiaTheme="minorEastAsia" w:cstheme="minorEastAsia"/>
                <w:color w:val="auto"/>
                <w:highlight w:val="none"/>
              </w:rPr>
            </w:pPr>
          </w:p>
        </w:tc>
      </w:tr>
    </w:tbl>
    <w:p>
      <w:pPr>
        <w:spacing w:line="360" w:lineRule="auto"/>
        <w:ind w:firstLine="96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注：</w:t>
      </w:r>
    </w:p>
    <w:p>
      <w:pPr>
        <w:spacing w:before="93" w:line="360" w:lineRule="auto"/>
        <w:ind w:firstLine="97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1.管理关系：是指不具有出资持股关系的其他单位之间存在的管理与被管理关</w:t>
      </w:r>
    </w:p>
    <w:p>
      <w:pPr>
        <w:spacing w:before="121" w:line="360" w:lineRule="auto"/>
        <w:ind w:firstLine="4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系，如一些上下级关系的事业单位和团体组织。</w:t>
      </w:r>
    </w:p>
    <w:p>
      <w:pPr>
        <w:spacing w:before="121" w:line="360" w:lineRule="auto"/>
        <w:ind w:left="981" w:right="1326" w:hanging="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2.本表所指的管理关系仅限于直接管理关系，不包括间接的管理关系。</w:t>
      </w:r>
      <w:r>
        <w:rPr>
          <w:rFonts w:hint="eastAsia" w:asciiTheme="minorEastAsia" w:hAnsiTheme="minorEastAsia" w:eastAsiaTheme="minorEastAsia" w:cstheme="minorEastAsia"/>
          <w:color w:val="auto"/>
          <w:spacing w:val="-4"/>
          <w:sz w:val="24"/>
          <w:szCs w:val="24"/>
          <w:highlight w:val="none"/>
        </w:rPr>
        <w:t>3.供应商不存在直接管理关系的，则填“无”。</w:t>
      </w:r>
    </w:p>
    <w:p>
      <w:pPr>
        <w:spacing w:line="360" w:lineRule="auto"/>
        <w:rPr>
          <w:rFonts w:asciiTheme="minorEastAsia" w:hAnsiTheme="minorEastAsia" w:eastAsiaTheme="minorEastAsia" w:cstheme="minorEastAsia"/>
          <w:color w:val="auto"/>
          <w:highlight w:val="none"/>
        </w:rPr>
      </w:pPr>
    </w:p>
    <w:p>
      <w:pPr>
        <w:spacing w:before="79" w:line="360" w:lineRule="auto"/>
        <w:ind w:firstLine="436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9" w:line="360" w:lineRule="auto"/>
        <w:ind w:firstLine="4364"/>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sectPr>
          <w:headerReference r:id="rId21" w:type="default"/>
          <w:footerReference r:id="rId22" w:type="default"/>
          <w:pgSz w:w="11906" w:h="16838"/>
          <w:pgMar w:top="935" w:right="1025" w:bottom="1073" w:left="1208"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before="97" w:line="360" w:lineRule="auto"/>
        <w:ind w:firstLine="584"/>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六、资格声明函</w:t>
      </w:r>
    </w:p>
    <w:p>
      <w:pPr>
        <w:spacing w:before="316" w:line="360" w:lineRule="auto"/>
        <w:ind w:firstLine="359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5"/>
          <w:sz w:val="32"/>
          <w:szCs w:val="32"/>
          <w:highlight w:val="none"/>
        </w:rPr>
        <w:t>资格声明函</w:t>
      </w:r>
    </w:p>
    <w:p>
      <w:pPr>
        <w:spacing w:before="339" w:line="360" w:lineRule="auto"/>
        <w:ind w:firstLine="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2"/>
          <w:sz w:val="24"/>
          <w:szCs w:val="24"/>
          <w:highlight w:val="none"/>
        </w:rPr>
        <w:t>致</w:t>
      </w:r>
      <w:r>
        <w:rPr>
          <w:rFonts w:hint="eastAsia" w:asciiTheme="minorEastAsia" w:hAnsiTheme="minorEastAsia" w:eastAsiaTheme="minorEastAsia" w:cstheme="minorEastAsia"/>
          <w:color w:val="auto"/>
          <w:spacing w:val="-58"/>
          <w:sz w:val="24"/>
          <w:szCs w:val="24"/>
          <w:highlight w:val="none"/>
        </w:rPr>
        <w:t>：</w:t>
      </w:r>
      <w:r>
        <w:rPr>
          <w:rFonts w:hint="eastAsia" w:asciiTheme="minorEastAsia" w:hAnsiTheme="minorEastAsia" w:eastAsiaTheme="minorEastAsia" w:cstheme="minorEastAsia"/>
          <w:color w:val="auto"/>
          <w:spacing w:val="-58"/>
          <w:sz w:val="24"/>
          <w:szCs w:val="24"/>
          <w:highlight w:val="none"/>
          <w:u w:val="single"/>
        </w:rPr>
        <w:t>（</w:t>
      </w:r>
      <w:r>
        <w:rPr>
          <w:rFonts w:hint="eastAsia" w:asciiTheme="minorEastAsia" w:hAnsiTheme="minorEastAsia" w:eastAsiaTheme="minorEastAsia" w:cstheme="minorEastAsia"/>
          <w:color w:val="auto"/>
          <w:spacing w:val="-22"/>
          <w:sz w:val="24"/>
          <w:szCs w:val="24"/>
          <w:highlight w:val="none"/>
          <w:u w:val="single"/>
        </w:rPr>
        <w:t>采购代理机构名称</w:t>
      </w:r>
      <w:r>
        <w:rPr>
          <w:rFonts w:hint="eastAsia" w:asciiTheme="minorEastAsia" w:hAnsiTheme="minorEastAsia" w:eastAsiaTheme="minorEastAsia" w:cstheme="minorEastAsia"/>
          <w:color w:val="auto"/>
          <w:spacing w:val="-58"/>
          <w:sz w:val="24"/>
          <w:szCs w:val="24"/>
          <w:highlight w:val="none"/>
          <w:u w:val="single"/>
        </w:rPr>
        <w:t>）</w:t>
      </w:r>
      <w:r>
        <w:rPr>
          <w:rFonts w:hint="eastAsia" w:asciiTheme="minorEastAsia" w:hAnsiTheme="minorEastAsia" w:eastAsiaTheme="minorEastAsia" w:cstheme="minorEastAsia"/>
          <w:color w:val="auto"/>
          <w:spacing w:val="-58"/>
          <w:sz w:val="24"/>
          <w:szCs w:val="24"/>
          <w:highlight w:val="none"/>
        </w:rPr>
        <w:t>：</w:t>
      </w:r>
    </w:p>
    <w:p>
      <w:pPr>
        <w:tabs>
          <w:tab w:val="left" w:pos="600"/>
        </w:tabs>
        <w:spacing w:before="120"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spacing w:val="-22"/>
          <w:sz w:val="24"/>
          <w:szCs w:val="24"/>
          <w:highlight w:val="none"/>
          <w:u w:val="single"/>
        </w:rPr>
        <w:t>（供应商名称）</w:t>
      </w:r>
      <w:r>
        <w:rPr>
          <w:rFonts w:hint="eastAsia" w:asciiTheme="minorEastAsia" w:hAnsiTheme="minorEastAsia" w:eastAsiaTheme="minorEastAsia" w:cstheme="minorEastAsia"/>
          <w:color w:val="auto"/>
          <w:spacing w:val="-22"/>
          <w:sz w:val="24"/>
          <w:szCs w:val="24"/>
          <w:highlight w:val="none"/>
        </w:rPr>
        <w:t>系中华人民共和国合法供应商，经营地址</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before="51" w:line="360" w:lineRule="auto"/>
        <w:ind w:left="12" w:right="11" w:firstLine="49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我方愿意参加贵方组织的</w:t>
      </w:r>
      <w:r>
        <w:rPr>
          <w:rFonts w:hint="eastAsia" w:asciiTheme="minorEastAsia" w:hAnsiTheme="minorEastAsia" w:eastAsiaTheme="minorEastAsia" w:cstheme="minorEastAsia"/>
          <w:color w:val="auto"/>
          <w:spacing w:val="-12"/>
          <w:sz w:val="24"/>
          <w:szCs w:val="24"/>
          <w:highlight w:val="none"/>
          <w:u w:val="single"/>
        </w:rPr>
        <w:t>（项目名称）</w:t>
      </w:r>
      <w:r>
        <w:rPr>
          <w:rFonts w:hint="eastAsia" w:asciiTheme="minorEastAsia" w:hAnsiTheme="minorEastAsia" w:eastAsiaTheme="minorEastAsia" w:cstheme="minorEastAsia"/>
          <w:color w:val="auto"/>
          <w:spacing w:val="-12"/>
          <w:sz w:val="24"/>
          <w:szCs w:val="24"/>
          <w:highlight w:val="none"/>
        </w:rPr>
        <w:t>项目的竞标，为便于贵方公正、择优地</w:t>
      </w:r>
      <w:r>
        <w:rPr>
          <w:rFonts w:hint="eastAsia" w:asciiTheme="minorEastAsia" w:hAnsiTheme="minorEastAsia" w:eastAsiaTheme="minorEastAsia" w:cstheme="minorEastAsia"/>
          <w:color w:val="auto"/>
          <w:spacing w:val="-7"/>
          <w:sz w:val="24"/>
          <w:szCs w:val="24"/>
          <w:highlight w:val="none"/>
        </w:rPr>
        <w:t>确定成交供应商及其竞标产品和服务，我方就本次竞标有关事项郑重声明如下：</w:t>
      </w:r>
    </w:p>
    <w:p>
      <w:pPr>
        <w:spacing w:before="1" w:line="360" w:lineRule="auto"/>
        <w:ind w:firstLine="50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1.我方向贵方提交的所有响应文件、资料都是准确的和真实的。</w:t>
      </w:r>
    </w:p>
    <w:p>
      <w:pPr>
        <w:spacing w:before="94" w:line="360" w:lineRule="auto"/>
        <w:ind w:left="11" w:firstLine="48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2.我方不是采购人的附属机构；不是为本次采购项目提供整体设计、规范编制</w:t>
      </w:r>
      <w:r>
        <w:rPr>
          <w:rFonts w:hint="eastAsia" w:asciiTheme="minorEastAsia" w:hAnsiTheme="minorEastAsia" w:eastAsiaTheme="minorEastAsia" w:cstheme="minorEastAsia"/>
          <w:color w:val="auto"/>
          <w:spacing w:val="-15"/>
          <w:sz w:val="24"/>
          <w:szCs w:val="24"/>
          <w:highlight w:val="none"/>
        </w:rPr>
        <w:t>或者项目管理、监理、检测等服务的供应商；在获知本项目采购信息后，与采购人聘</w:t>
      </w:r>
      <w:r>
        <w:rPr>
          <w:rFonts w:hint="eastAsia" w:asciiTheme="minorEastAsia" w:hAnsiTheme="minorEastAsia" w:eastAsiaTheme="minorEastAsia" w:cstheme="minorEastAsia"/>
          <w:color w:val="auto"/>
          <w:spacing w:val="-1"/>
          <w:sz w:val="24"/>
          <w:szCs w:val="24"/>
          <w:highlight w:val="none"/>
        </w:rPr>
        <w:t>请的为此项目提供咨询服务的公司及其附属机构没有任何联系。</w:t>
      </w:r>
    </w:p>
    <w:p>
      <w:pPr>
        <w:spacing w:before="94" w:line="360" w:lineRule="auto"/>
        <w:ind w:left="11" w:firstLine="489"/>
        <w:rPr>
          <w:rFonts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3.在此，我方宣布同意如下：</w:t>
      </w:r>
    </w:p>
    <w:p>
      <w:pPr>
        <w:spacing w:before="93"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（1）将按磋商文件的约定履行合同责任和义务；</w:t>
      </w:r>
    </w:p>
    <w:p>
      <w:pPr>
        <w:spacing w:before="121" w:line="360" w:lineRule="auto"/>
        <w:ind w:left="481" w:right="99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（2）已详细审查全部磋商文件，包括澄清或者更正公告（如有</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4"/>
          <w:sz w:val="24"/>
          <w:szCs w:val="24"/>
          <w:highlight w:val="none"/>
        </w:rPr>
        <w:t>（3）同意提供按照贵方可能要求的与谈判有关的一切数据或者资料；</w:t>
      </w:r>
      <w:r>
        <w:rPr>
          <w:rFonts w:hint="eastAsia" w:asciiTheme="minorEastAsia" w:hAnsiTheme="minorEastAsia" w:eastAsiaTheme="minorEastAsia" w:cstheme="minorEastAsia"/>
          <w:color w:val="auto"/>
          <w:spacing w:val="-6"/>
          <w:sz w:val="24"/>
          <w:szCs w:val="24"/>
          <w:highlight w:val="none"/>
        </w:rPr>
        <w:t>（4）响应磋商文件规定的竞标有效期。</w:t>
      </w:r>
      <w:r>
        <w:rPr>
          <w:rFonts w:hint="eastAsia" w:asciiTheme="minorEastAsia" w:hAnsiTheme="minorEastAsia" w:eastAsiaTheme="minorEastAsia" w:cstheme="minorEastAsia"/>
          <w:color w:val="auto"/>
          <w:spacing w:val="-7"/>
          <w:sz w:val="24"/>
          <w:szCs w:val="24"/>
          <w:highlight w:val="none"/>
        </w:rPr>
        <w:t>4.我方承诺符合《中华人民共和国政府采购法》第二十二条规定：</w:t>
      </w:r>
    </w:p>
    <w:p>
      <w:pPr>
        <w:spacing w:before="1"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（1）具有独立承担民事责任的能力；</w:t>
      </w:r>
    </w:p>
    <w:p>
      <w:pPr>
        <w:spacing w:before="93"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（2）具有良好的商业信誉和健全的财务会计制度；</w:t>
      </w:r>
    </w:p>
    <w:p>
      <w:pPr>
        <w:spacing w:before="121"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（3）具有履行合同所必需的设备和专业技术能力；</w:t>
      </w:r>
    </w:p>
    <w:p>
      <w:pPr>
        <w:spacing w:before="121"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（4）有依法缴纳税收和社会保障资金的良好记录；</w:t>
      </w:r>
    </w:p>
    <w:p>
      <w:pPr>
        <w:spacing w:before="121"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（5）参加政府采购活动前三年内，在经营活动中没有重大违法记录；</w:t>
      </w:r>
    </w:p>
    <w:p>
      <w:pPr>
        <w:spacing w:before="120"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（6）法律、行政法规规定的其他条件。</w:t>
      </w:r>
    </w:p>
    <w:p>
      <w:pPr>
        <w:spacing w:before="121" w:line="360" w:lineRule="auto"/>
        <w:ind w:left="11" w:firstLine="49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5.我方在此声明，我方在参加本项目的政府采购活动前三年内，在经营活动中</w:t>
      </w:r>
      <w:r>
        <w:rPr>
          <w:rFonts w:hint="eastAsia" w:asciiTheme="minorEastAsia" w:hAnsiTheme="minorEastAsia" w:eastAsiaTheme="minorEastAsia" w:cstheme="minorEastAsia"/>
          <w:color w:val="auto"/>
          <w:spacing w:val="1"/>
          <w:sz w:val="24"/>
          <w:szCs w:val="24"/>
          <w:highlight w:val="none"/>
        </w:rPr>
        <w:t>没有重大违法记录（重大违法记录是指供应商因违法经营受到刑事处罚或者责令停</w:t>
      </w:r>
      <w:r>
        <w:rPr>
          <w:rFonts w:hint="eastAsia" w:asciiTheme="minorEastAsia" w:hAnsiTheme="minorEastAsia" w:eastAsiaTheme="minorEastAsia" w:cstheme="minorEastAsia"/>
          <w:color w:val="auto"/>
          <w:spacing w:val="-11"/>
          <w:sz w:val="24"/>
          <w:szCs w:val="24"/>
          <w:highlight w:val="none"/>
        </w:rPr>
        <w:t>产停业、吊销许可证或者执照、较大数额罚款等行政处罚</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11"/>
          <w:sz w:val="24"/>
          <w:szCs w:val="24"/>
          <w:highlight w:val="none"/>
        </w:rPr>
        <w:t>未被列入失信被执行人重大税收违法案件当事人名单、政府采购严重违法失信行为记录名单，完全符合《中</w:t>
      </w:r>
      <w:r>
        <w:rPr>
          <w:rFonts w:hint="eastAsia" w:asciiTheme="minorEastAsia" w:hAnsiTheme="minorEastAsia" w:eastAsiaTheme="minorEastAsia" w:cstheme="minorEastAsia"/>
          <w:color w:val="auto"/>
          <w:spacing w:val="-8"/>
          <w:sz w:val="24"/>
          <w:szCs w:val="24"/>
          <w:highlight w:val="none"/>
        </w:rPr>
        <w:t>华人民共和国政府采购法》第二十二条规定的供应商资格条件，我方对此声明负全部法律责任。</w:t>
      </w:r>
    </w:p>
    <w:p>
      <w:pPr>
        <w:spacing w:before="4" w:line="360" w:lineRule="auto"/>
        <w:ind w:left="11" w:firstLine="49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6.根据《中华人民共和国政府采购法实施条例》第五十条要求对政府采购合同进</w:t>
      </w:r>
      <w:r>
        <w:rPr>
          <w:rFonts w:hint="eastAsia" w:asciiTheme="minorEastAsia" w:hAnsiTheme="minorEastAsia" w:eastAsiaTheme="minorEastAsia" w:cstheme="minorEastAsia"/>
          <w:color w:val="auto"/>
          <w:spacing w:val="-10"/>
          <w:sz w:val="24"/>
          <w:szCs w:val="24"/>
          <w:highlight w:val="none"/>
        </w:rPr>
        <w:t>行公告，但政府采购合同中涉及国家秘密、商业秘密的内容除外。我方就对本次响应</w:t>
      </w:r>
      <w:r>
        <w:rPr>
          <w:rFonts w:hint="eastAsia" w:asciiTheme="minorEastAsia" w:hAnsiTheme="minorEastAsia" w:eastAsiaTheme="minorEastAsia" w:cstheme="minorEastAsia"/>
          <w:color w:val="auto"/>
          <w:spacing w:val="1"/>
          <w:sz w:val="24"/>
          <w:szCs w:val="24"/>
          <w:highlight w:val="none"/>
        </w:rPr>
        <w:t>文件进行注明如下</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1"/>
          <w:sz w:val="24"/>
          <w:szCs w:val="24"/>
          <w:highlight w:val="none"/>
        </w:rPr>
        <w:t>两项内容中必须选择一项）</w:t>
      </w:r>
    </w:p>
    <w:p>
      <w:pPr>
        <w:spacing w:before="1" w:line="360" w:lineRule="auto"/>
        <w:ind w:firstLine="51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□我方本次响应文件内容中未涉及商业秘密；</w:t>
      </w:r>
    </w:p>
    <w:p>
      <w:pPr>
        <w:spacing w:before="93" w:line="360" w:lineRule="auto"/>
        <w:ind w:left="502" w:right="270" w:firstLine="16"/>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□我方本次响应文件涉及商业秘密的内容有：；</w:t>
      </w:r>
    </w:p>
    <w:p>
      <w:pPr>
        <w:numPr>
          <w:ilvl w:val="0"/>
          <w:numId w:val="7"/>
        </w:numPr>
        <w:spacing w:before="93" w:line="360" w:lineRule="auto"/>
        <w:ind w:left="502" w:right="270" w:firstLine="16"/>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与本磋商有关的一切正式往来信函请寄：</w:t>
      </w:r>
    </w:p>
    <w:p>
      <w:pPr>
        <w:spacing w:before="93" w:line="360" w:lineRule="auto"/>
        <w:ind w:left="518" w:right="270"/>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邮政编号：</w:t>
      </w:r>
    </w:p>
    <w:p>
      <w:pPr>
        <w:spacing w:before="93" w:line="360" w:lineRule="auto"/>
        <w:ind w:left="518" w:right="270"/>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电话/传真：</w:t>
      </w:r>
    </w:p>
    <w:p>
      <w:pPr>
        <w:spacing w:before="93" w:line="360" w:lineRule="auto"/>
        <w:ind w:left="518" w:right="270"/>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电子函件：</w:t>
      </w:r>
    </w:p>
    <w:p>
      <w:pPr>
        <w:spacing w:before="93" w:line="360" w:lineRule="auto"/>
        <w:ind w:left="502" w:right="270" w:firstLine="16"/>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开户银行：帐号：</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8.以</w:t>
      </w:r>
      <w:r>
        <w:rPr>
          <w:rFonts w:hint="eastAsia" w:asciiTheme="minorEastAsia" w:hAnsiTheme="minorEastAsia" w:eastAsiaTheme="minorEastAsia" w:cstheme="minorEastAsia"/>
          <w:color w:val="auto"/>
          <w:spacing w:val="1"/>
          <w:sz w:val="24"/>
          <w:szCs w:val="24"/>
          <w:highlight w:val="none"/>
        </w:rPr>
        <w:t>上事项如有虚假或者隐瞒，我方愿意承担一切后果，并不再寻求任何旨在</w:t>
      </w:r>
      <w:r>
        <w:rPr>
          <w:rFonts w:hint="eastAsia" w:asciiTheme="minorEastAsia" w:hAnsiTheme="minorEastAsia" w:eastAsiaTheme="minorEastAsia" w:cstheme="minorEastAsia"/>
          <w:color w:val="auto"/>
          <w:spacing w:val="-3"/>
          <w:sz w:val="24"/>
          <w:szCs w:val="24"/>
          <w:highlight w:val="none"/>
        </w:rPr>
        <w:t>减轻或者免除法律责任的辩解。</w:t>
      </w:r>
    </w:p>
    <w:p>
      <w:pPr>
        <w:spacing w:before="120" w:line="360" w:lineRule="auto"/>
        <w:ind w:firstLine="51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特此承诺。</w:t>
      </w:r>
    </w:p>
    <w:p>
      <w:pPr>
        <w:spacing w:before="120" w:line="360" w:lineRule="auto"/>
        <w:ind w:left="13" w:right="17" w:firstLine="4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注：如为联合体竞标，盖章处须加盖联合体各方公章并由联合体各方法定代表</w:t>
      </w:r>
      <w:r>
        <w:rPr>
          <w:rFonts w:hint="eastAsia" w:asciiTheme="minorEastAsia" w:hAnsiTheme="minorEastAsia" w:eastAsiaTheme="minorEastAsia" w:cstheme="minorEastAsia"/>
          <w:color w:val="auto"/>
          <w:spacing w:val="-1"/>
          <w:sz w:val="24"/>
          <w:szCs w:val="24"/>
          <w:highlight w:val="none"/>
        </w:rPr>
        <w:t>人签署，否则其响应文件按无效响应处理。</w:t>
      </w:r>
    </w:p>
    <w:p>
      <w:pPr>
        <w:spacing w:line="360" w:lineRule="auto"/>
        <w:rPr>
          <w:rFonts w:asciiTheme="minorEastAsia" w:hAnsiTheme="minorEastAsia" w:eastAsiaTheme="minorEastAsia" w:cstheme="minorEastAsia"/>
          <w:color w:val="auto"/>
          <w:highlight w:val="none"/>
        </w:rPr>
      </w:pPr>
    </w:p>
    <w:p>
      <w:pPr>
        <w:spacing w:before="78" w:line="360" w:lineRule="auto"/>
        <w:ind w:firstLine="389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3892"/>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sectPr>
          <w:headerReference r:id="rId23" w:type="default"/>
          <w:footerReference r:id="rId24" w:type="default"/>
          <w:pgSz w:w="11906" w:h="16838"/>
          <w:pgMar w:top="935" w:right="1134" w:bottom="1072" w:left="1134" w:header="704" w:footer="952" w:gutter="0"/>
          <w:cols w:space="720" w:num="1"/>
        </w:sectPr>
      </w:pPr>
    </w:p>
    <w:p>
      <w:pPr>
        <w:spacing w:line="360" w:lineRule="auto"/>
        <w:rPr>
          <w:rFonts w:asciiTheme="minorEastAsia" w:hAnsiTheme="minorEastAsia" w:eastAsiaTheme="minorEastAsia" w:cstheme="minorEastAsia"/>
          <w:b/>
          <w:bCs/>
          <w:color w:val="auto"/>
          <w:spacing w:val="-1"/>
          <w:sz w:val="30"/>
          <w:szCs w:val="30"/>
          <w:highlight w:val="none"/>
        </w:rPr>
      </w:pPr>
      <w:r>
        <w:rPr>
          <w:rFonts w:hint="eastAsia" w:asciiTheme="minorEastAsia" w:hAnsiTheme="minorEastAsia" w:eastAsiaTheme="minorEastAsia" w:cstheme="minorEastAsia"/>
          <w:b/>
          <w:bCs/>
          <w:color w:val="auto"/>
          <w:spacing w:val="-4"/>
          <w:sz w:val="30"/>
          <w:szCs w:val="30"/>
          <w:highlight w:val="none"/>
        </w:rPr>
        <w:t>七、</w:t>
      </w:r>
      <w:r>
        <w:rPr>
          <w:rFonts w:hint="eastAsia" w:asciiTheme="minorEastAsia" w:hAnsiTheme="minorEastAsia" w:eastAsiaTheme="minorEastAsia" w:cstheme="minorEastAsia"/>
          <w:b/>
          <w:bCs/>
          <w:color w:val="auto"/>
          <w:spacing w:val="-1"/>
          <w:sz w:val="30"/>
          <w:szCs w:val="30"/>
          <w:highlight w:val="none"/>
        </w:rPr>
        <w:t>服务需求一览表中要求提供的证明材料； （必须提供）</w:t>
      </w:r>
    </w:p>
    <w:p>
      <w:pPr>
        <w:spacing w:before="28" w:line="360" w:lineRule="auto"/>
        <w:ind w:left="106" w:right="237" w:firstLine="4"/>
        <w:rPr>
          <w:rFonts w:asciiTheme="minorEastAsia" w:hAnsiTheme="minorEastAsia" w:eastAsiaTheme="minorEastAsia" w:cstheme="minorEastAsia"/>
          <w:b/>
          <w:bCs/>
          <w:color w:val="auto"/>
          <w:spacing w:val="-1"/>
          <w:sz w:val="30"/>
          <w:szCs w:val="30"/>
          <w:highlight w:val="none"/>
        </w:rPr>
      </w:pPr>
    </w:p>
    <w:p>
      <w:pPr>
        <w:spacing w:before="78" w:line="360" w:lineRule="auto"/>
        <w:ind w:firstLine="41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102"/>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before="28" w:line="360" w:lineRule="auto"/>
        <w:ind w:left="106" w:right="237" w:firstLine="4"/>
        <w:rPr>
          <w:rFonts w:asciiTheme="minorEastAsia" w:hAnsiTheme="minorEastAsia" w:eastAsiaTheme="minorEastAsia" w:cstheme="minorEastAsia"/>
          <w:b/>
          <w:bCs/>
          <w:color w:val="auto"/>
          <w:spacing w:val="-1"/>
          <w:sz w:val="30"/>
          <w:szCs w:val="30"/>
          <w:highlight w:val="none"/>
        </w:rPr>
      </w:pPr>
    </w:p>
    <w:p>
      <w:pPr>
        <w:spacing w:before="28" w:line="360" w:lineRule="auto"/>
        <w:ind w:left="106" w:right="237" w:firstLine="4"/>
        <w:rPr>
          <w:rFonts w:asciiTheme="minorEastAsia" w:hAnsiTheme="minorEastAsia" w:eastAsiaTheme="minorEastAsia" w:cstheme="minorEastAsia"/>
          <w:b/>
          <w:bCs/>
          <w:color w:val="auto"/>
          <w:spacing w:val="-1"/>
          <w:sz w:val="30"/>
          <w:szCs w:val="30"/>
          <w:highlight w:val="none"/>
        </w:rPr>
      </w:pPr>
    </w:p>
    <w:p>
      <w:pPr>
        <w:spacing w:before="28" w:line="360" w:lineRule="auto"/>
        <w:ind w:left="106" w:right="237" w:firstLine="4"/>
        <w:rPr>
          <w:rFonts w:asciiTheme="minorEastAsia" w:hAnsiTheme="minorEastAsia" w:eastAsiaTheme="minorEastAsia" w:cstheme="minorEastAsia"/>
          <w:b/>
          <w:bCs/>
          <w:color w:val="auto"/>
          <w:spacing w:val="-1"/>
          <w:sz w:val="30"/>
          <w:szCs w:val="30"/>
          <w:highlight w:val="none"/>
        </w:rPr>
      </w:pPr>
      <w:r>
        <w:rPr>
          <w:rFonts w:hint="eastAsia" w:asciiTheme="minorEastAsia" w:hAnsiTheme="minorEastAsia" w:eastAsiaTheme="minorEastAsia" w:cstheme="minorEastAsia"/>
          <w:b/>
          <w:bCs/>
          <w:color w:val="auto"/>
          <w:spacing w:val="-1"/>
          <w:sz w:val="30"/>
          <w:szCs w:val="30"/>
          <w:highlight w:val="none"/>
        </w:rPr>
        <w:t>八、除磋商文件规定必须提供以外，供应商认为需要提供的其他证明材料；</w:t>
      </w:r>
    </w:p>
    <w:p>
      <w:pPr>
        <w:spacing w:before="97" w:line="360" w:lineRule="auto"/>
        <w:ind w:left="45" w:right="20" w:firstLine="577"/>
        <w:rPr>
          <w:rFonts w:asciiTheme="minorEastAsia" w:hAnsiTheme="minorEastAsia" w:eastAsiaTheme="minorEastAsia" w:cstheme="minorEastAsia"/>
          <w:color w:val="auto"/>
          <w:sz w:val="30"/>
          <w:szCs w:val="30"/>
          <w:highlight w:val="none"/>
        </w:rPr>
      </w:pPr>
    </w:p>
    <w:p>
      <w:pPr>
        <w:spacing w:line="360" w:lineRule="auto"/>
        <w:rPr>
          <w:rFonts w:asciiTheme="minorEastAsia" w:hAnsiTheme="minorEastAsia" w:eastAsiaTheme="minorEastAsia" w:cstheme="minorEastAsia"/>
          <w:color w:val="auto"/>
          <w:highlight w:val="none"/>
        </w:rPr>
      </w:pPr>
    </w:p>
    <w:p>
      <w:pPr>
        <w:spacing w:before="78" w:line="360" w:lineRule="auto"/>
        <w:ind w:firstLine="41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102"/>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before="120" w:line="360" w:lineRule="auto"/>
        <w:ind w:firstLine="6536"/>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highlight w:val="none"/>
        </w:rPr>
        <w:sectPr>
          <w:headerReference r:id="rId25" w:type="default"/>
          <w:footerReference r:id="rId26" w:type="default"/>
          <w:pgSz w:w="11906" w:h="16838"/>
          <w:pgMar w:top="935" w:right="1501" w:bottom="1072" w:left="1680" w:header="704" w:footer="954"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253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第三节商务技术文件格式</w:t>
      </w:r>
    </w:p>
    <w:p>
      <w:pPr>
        <w:spacing w:line="360" w:lineRule="auto"/>
        <w:rPr>
          <w:rFonts w:asciiTheme="minorEastAsia" w:hAnsiTheme="minorEastAsia" w:eastAsiaTheme="minorEastAsia" w:cstheme="minorEastAsia"/>
          <w:color w:val="auto"/>
          <w:highlight w:val="none"/>
        </w:rPr>
      </w:pPr>
    </w:p>
    <w:p>
      <w:pPr>
        <w:spacing w:before="69" w:line="360" w:lineRule="auto"/>
        <w:ind w:firstLine="6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全流程电子文件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111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23"/>
          <w:sz w:val="44"/>
          <w:szCs w:val="44"/>
          <w:highlight w:val="none"/>
        </w:rPr>
        <w:t>商务技术文件（封面）</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5"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position w:val="42"/>
          <w:sz w:val="32"/>
          <w:szCs w:val="32"/>
          <w:highlight w:val="none"/>
        </w:rPr>
        <w:t>项目名称：</w:t>
      </w:r>
    </w:p>
    <w:p>
      <w:pPr>
        <w:spacing w:before="1"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项目编号：</w:t>
      </w:r>
    </w:p>
    <w:p>
      <w:pPr>
        <w:spacing w:line="360" w:lineRule="auto"/>
        <w:rPr>
          <w:rFonts w:asciiTheme="minorEastAsia" w:hAnsiTheme="minorEastAsia" w:eastAsiaTheme="minorEastAsia" w:cstheme="minorEastAsia"/>
          <w:color w:val="auto"/>
          <w:highlight w:val="none"/>
        </w:rPr>
      </w:pPr>
    </w:p>
    <w:p>
      <w:pPr>
        <w:spacing w:before="104" w:line="360" w:lineRule="auto"/>
        <w:ind w:left="654"/>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8"/>
          <w:sz w:val="32"/>
          <w:szCs w:val="32"/>
          <w:highlight w:val="none"/>
        </w:rPr>
        <w:t>所竞分标（如有则填写，无分标时填写“无”或者留空</w:t>
      </w:r>
      <w:r>
        <w:rPr>
          <w:rFonts w:hint="eastAsia" w:asciiTheme="minorEastAsia" w:hAnsiTheme="minorEastAsia" w:eastAsiaTheme="minorEastAsia" w:cstheme="minorEastAsia"/>
          <w:color w:val="auto"/>
          <w:spacing w:val="-38"/>
          <w:sz w:val="32"/>
          <w:szCs w:val="32"/>
          <w:highlight w:val="none"/>
        </w:rPr>
        <w:t>）：</w:t>
      </w:r>
      <w:r>
        <w:rPr>
          <w:rFonts w:hint="eastAsia" w:asciiTheme="minorEastAsia" w:hAnsiTheme="minorEastAsia" w:eastAsiaTheme="minorEastAsia" w:cstheme="minorEastAsia"/>
          <w:color w:val="auto"/>
          <w:spacing w:val="-12"/>
          <w:sz w:val="32"/>
          <w:szCs w:val="32"/>
          <w:highlight w:val="none"/>
        </w:rPr>
        <w:t>供应商名称：</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325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年</w:t>
      </w:r>
      <w:r>
        <w:rPr>
          <w:rFonts w:hint="eastAsia" w:asciiTheme="minorEastAsia" w:hAnsiTheme="minorEastAsia" w:eastAsiaTheme="minorEastAsia" w:cstheme="minorEastAsia"/>
          <w:color w:val="auto"/>
          <w:spacing w:val="-14"/>
          <w:sz w:val="32"/>
          <w:szCs w:val="32"/>
          <w:highlight w:val="none"/>
          <w:lang w:val="en-US" w:eastAsia="zh-CN"/>
        </w:rPr>
        <w:t xml:space="preserve">  </w:t>
      </w:r>
      <w:r>
        <w:rPr>
          <w:rFonts w:hint="eastAsia" w:asciiTheme="minorEastAsia" w:hAnsiTheme="minorEastAsia" w:eastAsiaTheme="minorEastAsia" w:cstheme="minorEastAsia"/>
          <w:color w:val="auto"/>
          <w:spacing w:val="-14"/>
          <w:sz w:val="32"/>
          <w:szCs w:val="32"/>
          <w:highlight w:val="none"/>
        </w:rPr>
        <w:t>月</w:t>
      </w:r>
      <w:r>
        <w:rPr>
          <w:rFonts w:hint="eastAsia" w:asciiTheme="minorEastAsia" w:hAnsiTheme="minorEastAsia" w:eastAsiaTheme="minorEastAsia" w:cstheme="minorEastAsia"/>
          <w:color w:val="auto"/>
          <w:spacing w:val="-14"/>
          <w:sz w:val="32"/>
          <w:szCs w:val="32"/>
          <w:highlight w:val="none"/>
          <w:lang w:val="en-US" w:eastAsia="zh-CN"/>
        </w:rPr>
        <w:t xml:space="preserve"> </w:t>
      </w:r>
      <w:r>
        <w:rPr>
          <w:rFonts w:hint="eastAsia" w:asciiTheme="minorEastAsia" w:hAnsiTheme="minorEastAsia" w:eastAsiaTheme="minorEastAsia" w:cstheme="minorEastAsia"/>
          <w:color w:val="auto"/>
          <w:spacing w:val="-14"/>
          <w:sz w:val="32"/>
          <w:szCs w:val="32"/>
          <w:highlight w:val="none"/>
        </w:rPr>
        <w:t>日</w:t>
      </w:r>
    </w:p>
    <w:p>
      <w:pPr>
        <w:spacing w:line="360" w:lineRule="auto"/>
        <w:rPr>
          <w:rFonts w:asciiTheme="minorEastAsia" w:hAnsiTheme="minorEastAsia" w:eastAsiaTheme="minorEastAsia" w:cstheme="minorEastAsia"/>
          <w:color w:val="auto"/>
          <w:highlight w:val="none"/>
        </w:rPr>
        <w:sectPr>
          <w:headerReference r:id="rId27" w:type="default"/>
          <w:footerReference r:id="rId28" w:type="default"/>
          <w:pgSz w:w="11906" w:h="16838"/>
          <w:pgMar w:top="935" w:right="1337" w:bottom="1073" w:left="1680"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before="91" w:line="360" w:lineRule="auto"/>
        <w:ind w:firstLine="3268"/>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3"/>
          <w:sz w:val="28"/>
          <w:szCs w:val="28"/>
          <w:highlight w:val="none"/>
        </w:rPr>
        <w:t>商务技术文件目录</w:t>
      </w:r>
    </w:p>
    <w:p>
      <w:pPr>
        <w:spacing w:before="279" w:line="360" w:lineRule="auto"/>
        <w:ind w:firstLine="50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一、无串标行为承诺函………………………………………………（页</w:t>
      </w:r>
      <w:r>
        <w:rPr>
          <w:rFonts w:hint="eastAsia" w:asciiTheme="minorEastAsia" w:hAnsiTheme="minorEastAsia" w:eastAsiaTheme="minorEastAsia" w:cstheme="minorEastAsia"/>
          <w:color w:val="auto"/>
          <w:spacing w:val="-4"/>
          <w:sz w:val="24"/>
          <w:szCs w:val="24"/>
          <w:highlight w:val="none"/>
        </w:rPr>
        <w:t>码）</w:t>
      </w:r>
    </w:p>
    <w:p>
      <w:pPr>
        <w:spacing w:before="120" w:line="360" w:lineRule="auto"/>
        <w:ind w:left="17" w:right="7" w:firstLine="48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二、法定代表人身份证明及法定代表人有效身份证正反面复印件……（页</w:t>
      </w:r>
      <w:r>
        <w:rPr>
          <w:rFonts w:hint="eastAsia" w:asciiTheme="minorEastAsia" w:hAnsiTheme="minorEastAsia" w:eastAsiaTheme="minorEastAsia" w:cstheme="minorEastAsia"/>
          <w:color w:val="auto"/>
          <w:spacing w:val="-4"/>
          <w:sz w:val="24"/>
          <w:szCs w:val="24"/>
          <w:highlight w:val="none"/>
        </w:rPr>
        <w:t>码）</w:t>
      </w:r>
    </w:p>
    <w:p>
      <w:pPr>
        <w:spacing w:before="1" w:line="360" w:lineRule="auto"/>
        <w:ind w:firstLine="51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三、法定代表人授权委托书（如有委托时）………………………………（页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52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四、商务条款偏离表………………………………………</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3"/>
          <w:sz w:val="24"/>
          <w:szCs w:val="24"/>
          <w:highlight w:val="none"/>
        </w:rPr>
        <w:t>……………（页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5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五、竞标人情况介绍…………………………………………………………（页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50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六、供应商类似业绩的证明文件（如有要求）……………………………（页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49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七、服务需求偏离表………………………………………………………（页</w:t>
      </w:r>
      <w:r>
        <w:rPr>
          <w:rFonts w:hint="eastAsia" w:asciiTheme="minorEastAsia" w:hAnsiTheme="minorEastAsia" w:eastAsiaTheme="minorEastAsia" w:cstheme="minorEastAsia"/>
          <w:color w:val="auto"/>
          <w:spacing w:val="-4"/>
          <w:sz w:val="24"/>
          <w:szCs w:val="24"/>
          <w:highlight w:val="none"/>
        </w:rPr>
        <w:t>码）</w:t>
      </w:r>
    </w:p>
    <w:p>
      <w:pPr>
        <w:spacing w:before="120" w:line="360" w:lineRule="auto"/>
        <w:ind w:firstLine="49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八、项目实施方案…………………………………………………………（页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49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九、售后服务方案…………………………………………………………（页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50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十、项目实施人员一览表…………………………………………………（页</w:t>
      </w:r>
      <w:r>
        <w:rPr>
          <w:rFonts w:hint="eastAsia" w:asciiTheme="minorEastAsia" w:hAnsiTheme="minorEastAsia" w:eastAsiaTheme="minorEastAsia" w:cstheme="minorEastAsia"/>
          <w:color w:val="auto"/>
          <w:spacing w:val="-4"/>
          <w:sz w:val="24"/>
          <w:szCs w:val="24"/>
          <w:highlight w:val="none"/>
        </w:rPr>
        <w:t>码）</w:t>
      </w:r>
    </w:p>
    <w:p>
      <w:pPr>
        <w:spacing w:before="121" w:line="360" w:lineRule="auto"/>
        <w:ind w:firstLine="503"/>
        <w:rPr>
          <w:rFonts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十一、服务需求、商务条款要求提供的其他材料……………………</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5"/>
          <w:sz w:val="24"/>
          <w:szCs w:val="24"/>
          <w:highlight w:val="none"/>
        </w:rPr>
        <w:t>……（页码）</w:t>
      </w:r>
    </w:p>
    <w:p>
      <w:pPr>
        <w:spacing w:before="121" w:line="360" w:lineRule="auto"/>
        <w:ind w:firstLine="50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注：以上目录是基本格式要求，各供应商可根据自身情况进一步向下增加内容或细</w:t>
      </w:r>
      <w:r>
        <w:rPr>
          <w:rFonts w:hint="eastAsia" w:asciiTheme="minorEastAsia" w:hAnsiTheme="minorEastAsia" w:eastAsiaTheme="minorEastAsia" w:cstheme="minorEastAsia"/>
          <w:color w:val="auto"/>
          <w:spacing w:val="-17"/>
          <w:sz w:val="24"/>
          <w:szCs w:val="24"/>
          <w:highlight w:val="none"/>
        </w:rPr>
        <w:t>化。</w:t>
      </w:r>
    </w:p>
    <w:p>
      <w:pPr>
        <w:spacing w:line="360" w:lineRule="auto"/>
        <w:rPr>
          <w:rFonts w:asciiTheme="minorEastAsia" w:hAnsiTheme="minorEastAsia" w:eastAsiaTheme="minorEastAsia" w:cstheme="minorEastAsia"/>
          <w:color w:val="auto"/>
          <w:highlight w:val="none"/>
        </w:rPr>
        <w:sectPr>
          <w:headerReference r:id="rId29" w:type="default"/>
          <w:footerReference r:id="rId30" w:type="default"/>
          <w:pgSz w:w="11906" w:h="16838"/>
          <w:pgMar w:top="935" w:right="1134" w:bottom="1073" w:left="1134" w:header="704" w:footer="952" w:gutter="0"/>
          <w:cols w:space="720" w:num="1"/>
        </w:sectPr>
      </w:pPr>
    </w:p>
    <w:p>
      <w:pPr>
        <w:spacing w:before="98" w:line="360" w:lineRule="auto"/>
        <w:ind w:firstLine="90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3"/>
          <w:sz w:val="30"/>
          <w:szCs w:val="30"/>
          <w:highlight w:val="none"/>
        </w:rPr>
        <w:t>一、无串标行为承诺函</w:t>
      </w:r>
    </w:p>
    <w:p>
      <w:pPr>
        <w:spacing w:before="143" w:line="360" w:lineRule="auto"/>
        <w:ind w:firstLine="198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3"/>
          <w:sz w:val="44"/>
          <w:szCs w:val="44"/>
          <w:highlight w:val="none"/>
        </w:rPr>
        <w:t>无串通竞标行为的承诺函</w:t>
      </w:r>
    </w:p>
    <w:p>
      <w:pPr>
        <w:spacing w:line="360" w:lineRule="auto"/>
        <w:rPr>
          <w:rFonts w:asciiTheme="minorEastAsia" w:hAnsiTheme="minorEastAsia" w:eastAsiaTheme="minorEastAsia" w:cstheme="minorEastAsia"/>
          <w:color w:val="auto"/>
          <w:highlight w:val="none"/>
        </w:rPr>
      </w:pPr>
    </w:p>
    <w:p>
      <w:pPr>
        <w:spacing w:before="79" w:line="360" w:lineRule="auto"/>
        <w:ind w:firstLine="49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一、我方承诺无下列相互串通竞标的情形：</w:t>
      </w:r>
    </w:p>
    <w:p>
      <w:pPr>
        <w:spacing w:before="120" w:line="360" w:lineRule="auto"/>
        <w:ind w:left="490" w:right="1733" w:firstLine="18"/>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4"/>
          <w:sz w:val="24"/>
          <w:szCs w:val="24"/>
          <w:highlight w:val="none"/>
        </w:rPr>
        <w:t>1.不同供应商</w:t>
      </w:r>
      <w:r>
        <w:rPr>
          <w:rFonts w:hint="eastAsia" w:asciiTheme="minorEastAsia" w:hAnsiTheme="minorEastAsia" w:eastAsiaTheme="minorEastAsia" w:cstheme="minorEastAsia"/>
          <w:color w:val="auto"/>
          <w:spacing w:val="-3"/>
          <w:sz w:val="24"/>
          <w:szCs w:val="24"/>
          <w:highlight w:val="none"/>
        </w:rPr>
        <w:t>的响应文件由同一单位或者个人编制；</w:t>
      </w:r>
    </w:p>
    <w:p>
      <w:pPr>
        <w:spacing w:before="120" w:line="360" w:lineRule="auto"/>
        <w:ind w:left="490" w:right="1733" w:firstLine="18"/>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2.不同供应商委托同一单位或者个人办理竞标事宜；</w:t>
      </w:r>
    </w:p>
    <w:p>
      <w:pPr>
        <w:spacing w:before="120" w:line="360" w:lineRule="auto"/>
        <w:ind w:left="490" w:right="1733" w:firstLine="18"/>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3.不同供应商的响应文件载明的项目管理员为同一个人；</w:t>
      </w:r>
    </w:p>
    <w:p>
      <w:pPr>
        <w:spacing w:before="120" w:line="360" w:lineRule="auto"/>
        <w:ind w:left="490" w:right="1733" w:firstLine="18"/>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4.不同供应商的响应文件异常一致或者响应报价呈规律性差异；</w:t>
      </w:r>
    </w:p>
    <w:p>
      <w:pPr>
        <w:spacing w:before="120" w:line="360" w:lineRule="auto"/>
        <w:ind w:left="490" w:right="1733" w:firstLine="18"/>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5.不同供应商的响应文件相互混装；</w:t>
      </w:r>
    </w:p>
    <w:p>
      <w:pPr>
        <w:spacing w:before="120" w:line="360" w:lineRule="auto"/>
        <w:ind w:left="490" w:right="1733" w:firstLine="1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6.不同供应商的磋商保证金从同一单位或者个人账户转出。</w:t>
      </w:r>
    </w:p>
    <w:p>
      <w:pPr>
        <w:spacing w:line="360" w:lineRule="auto"/>
        <w:ind w:firstLine="4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二、我方承诺无下列恶意串通的情形：</w:t>
      </w:r>
    </w:p>
    <w:p>
      <w:pPr>
        <w:spacing w:before="94" w:line="360" w:lineRule="auto"/>
        <w:ind w:left="17" w:right="24" w:firstLine="49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1.供应商直接或者间接从采购人或者采购代理机构处获得其他供应商的相关信</w:t>
      </w:r>
      <w:r>
        <w:rPr>
          <w:rFonts w:hint="eastAsia" w:asciiTheme="minorEastAsia" w:hAnsiTheme="minorEastAsia" w:eastAsiaTheme="minorEastAsia" w:cstheme="minorEastAsia"/>
          <w:color w:val="auto"/>
          <w:spacing w:val="-6"/>
          <w:sz w:val="24"/>
          <w:szCs w:val="24"/>
          <w:highlight w:val="none"/>
        </w:rPr>
        <w:t>息并修改其响应文件；</w:t>
      </w:r>
    </w:p>
    <w:p>
      <w:pPr>
        <w:spacing w:before="2" w:line="360" w:lineRule="auto"/>
        <w:ind w:left="495" w:right="1103" w:hanging="1"/>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2.供应商按照采购人或者采购代理机构的授意撤换、修改响应文件；</w:t>
      </w:r>
    </w:p>
    <w:p>
      <w:pPr>
        <w:spacing w:before="2" w:line="360" w:lineRule="auto"/>
        <w:ind w:left="495" w:right="1103" w:hanging="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3.供应商之间协商报价、技术方案等响应文件的实质性内容；</w:t>
      </w:r>
    </w:p>
    <w:p>
      <w:pPr>
        <w:spacing w:before="3" w:line="360" w:lineRule="auto"/>
        <w:ind w:left="10"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4.属于同一集团、协会、商会等组织成员的供应商按照该组织要求协同参加政府</w:t>
      </w:r>
      <w:r>
        <w:rPr>
          <w:rFonts w:hint="eastAsia" w:asciiTheme="minorEastAsia" w:hAnsiTheme="minorEastAsia" w:eastAsiaTheme="minorEastAsia" w:cstheme="minorEastAsia"/>
          <w:color w:val="auto"/>
          <w:spacing w:val="-2"/>
          <w:sz w:val="24"/>
          <w:szCs w:val="24"/>
          <w:highlight w:val="none"/>
        </w:rPr>
        <w:t>采购活动；</w:t>
      </w:r>
    </w:p>
    <w:p>
      <w:pPr>
        <w:spacing w:before="3" w:line="360" w:lineRule="auto"/>
        <w:ind w:left="13" w:right="18"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5.供应商之间事先约定一致抬高或者压低响应报价，或者在竞争性磋商项目中</w:t>
      </w:r>
      <w:r>
        <w:rPr>
          <w:rFonts w:hint="eastAsia" w:asciiTheme="minorEastAsia" w:hAnsiTheme="minorEastAsia" w:eastAsiaTheme="minorEastAsia" w:cstheme="minorEastAsia"/>
          <w:color w:val="auto"/>
          <w:spacing w:val="-9"/>
          <w:sz w:val="24"/>
          <w:szCs w:val="24"/>
          <w:highlight w:val="none"/>
        </w:rPr>
        <w:t>事先约定轮流以高价位或者低价位成交，或者事先约定由某一特定供应商成交，然</w:t>
      </w:r>
      <w:r>
        <w:rPr>
          <w:rFonts w:hint="eastAsia" w:asciiTheme="minorEastAsia" w:hAnsiTheme="minorEastAsia" w:eastAsiaTheme="minorEastAsia" w:cstheme="minorEastAsia"/>
          <w:color w:val="auto"/>
          <w:spacing w:val="-8"/>
          <w:sz w:val="24"/>
          <w:szCs w:val="24"/>
          <w:highlight w:val="none"/>
        </w:rPr>
        <w:t>后再参加竞标；</w:t>
      </w:r>
    </w:p>
    <w:p>
      <w:pPr>
        <w:spacing w:before="1" w:line="360" w:lineRule="auto"/>
        <w:ind w:firstLine="49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6.供应商之间商定部分供应商放弃参加政府采购活动或者放弃成交；</w:t>
      </w:r>
    </w:p>
    <w:p>
      <w:pPr>
        <w:spacing w:before="94" w:line="360" w:lineRule="auto"/>
        <w:ind w:left="15" w:right="4" w:firstLine="48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sz w:val="24"/>
          <w:szCs w:val="24"/>
          <w:highlight w:val="none"/>
        </w:rPr>
        <w:t>7.供应商与采购人或者采购代理机构之间、供应商相互之间，为谋求特定供应</w:t>
      </w:r>
      <w:r>
        <w:rPr>
          <w:rFonts w:hint="eastAsia" w:asciiTheme="minorEastAsia" w:hAnsiTheme="minorEastAsia" w:eastAsiaTheme="minorEastAsia" w:cstheme="minorEastAsia"/>
          <w:color w:val="auto"/>
          <w:spacing w:val="-7"/>
          <w:sz w:val="24"/>
          <w:szCs w:val="24"/>
          <w:highlight w:val="none"/>
        </w:rPr>
        <w:t>商成交或者排斥其他供应商的其他串通行为。</w:t>
      </w:r>
    </w:p>
    <w:p>
      <w:pPr>
        <w:spacing w:before="79" w:line="360" w:lineRule="auto"/>
        <w:ind w:left="13" w:right="20" w:firstLine="50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以上情形一经核查属实，我方愿意承担一切后果，并不再寻求任何旨在减轻或</w:t>
      </w:r>
      <w:r>
        <w:rPr>
          <w:rFonts w:hint="eastAsia" w:asciiTheme="minorEastAsia" w:hAnsiTheme="minorEastAsia" w:eastAsiaTheme="minorEastAsia" w:cstheme="minorEastAsia"/>
          <w:color w:val="auto"/>
          <w:spacing w:val="-2"/>
          <w:sz w:val="24"/>
          <w:szCs w:val="24"/>
          <w:highlight w:val="none"/>
        </w:rPr>
        <w:t>者免除法律责任的辩解。</w:t>
      </w:r>
    </w:p>
    <w:p>
      <w:pPr>
        <w:spacing w:before="1" w:line="360" w:lineRule="auto"/>
        <w:ind w:firstLine="41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303" w:line="360" w:lineRule="auto"/>
        <w:ind w:firstLine="4142" w:firstLineChars="19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sectPr>
          <w:headerReference r:id="rId31" w:type="default"/>
          <w:footerReference r:id="rId32" w:type="default"/>
          <w:pgSz w:w="11906" w:h="16838"/>
          <w:pgMar w:top="935" w:right="1134" w:bottom="1073" w:left="1134" w:header="704" w:footer="952" w:gutter="0"/>
          <w:cols w:space="720" w:num="1"/>
        </w:sectPr>
      </w:pPr>
    </w:p>
    <w:p>
      <w:pPr>
        <w:spacing w:line="36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0" allowOverlap="1">
                <wp:simplePos x="0" y="0"/>
                <wp:positionH relativeFrom="page">
                  <wp:posOffset>2172970</wp:posOffset>
                </wp:positionH>
                <wp:positionV relativeFrom="page">
                  <wp:posOffset>2512695</wp:posOffset>
                </wp:positionV>
                <wp:extent cx="4267200" cy="5715"/>
                <wp:effectExtent l="0" t="0" r="0" b="0"/>
                <wp:wrapNone/>
                <wp:docPr id="1" name="矩形 19"/>
                <wp:cNvGraphicFramePr/>
                <a:graphic xmlns:a="http://schemas.openxmlformats.org/drawingml/2006/main">
                  <a:graphicData uri="http://schemas.microsoft.com/office/word/2010/wordprocessingShape">
                    <wps:wsp>
                      <wps:cNvSpPr/>
                      <wps:spPr>
                        <a:xfrm>
                          <a:off x="0" y="0"/>
                          <a:ext cx="4267200" cy="5715"/>
                        </a:xfrm>
                        <a:prstGeom prst="rect">
                          <a:avLst/>
                        </a:prstGeom>
                        <a:solidFill>
                          <a:srgbClr val="000000">
                            <a:alpha val="70197"/>
                          </a:srgbClr>
                        </a:solidFill>
                        <a:ln>
                          <a:noFill/>
                        </a:ln>
                      </wps:spPr>
                      <wps:txbx>
                        <w:txbxContent>
                          <w:p/>
                        </w:txbxContent>
                      </wps:txbx>
                      <wps:bodyPr upright="1"/>
                    </wps:wsp>
                  </a:graphicData>
                </a:graphic>
              </wp:anchor>
            </w:drawing>
          </mc:Choice>
          <mc:Fallback>
            <w:pict>
              <v:rect id="矩形 19" o:spid="_x0000_s1026" o:spt="1" style="position:absolute;left:0pt;margin-left:171.1pt;margin-top:197.85pt;height:0.45pt;width:336pt;mso-position-horizontal-relative:page;mso-position-vertical-relative:page;z-index:251663360;mso-width-relative:page;mso-height-relative:page;" fillcolor="#000000" filled="t" stroked="f" coordsize="21600,21600" o:allowincell="f" o:gfxdata="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zKEK52QAAAAwBAAAPAAAAAAAAAAEAIAAAACIAAABkcnMvZG93bnJl&#10;di54bWxQSwECFAAUAAAACACHTuJABFkM88MBAACKAwAADgAAAAAAAAABACAAAAAoAQAAZHJzL2Uy&#10;b0RvYy54bWxQSwUGAAAAAAYABgBZAQAAXQUAAAAA&#10;">
                <v:fill on="t" opacity="46004f" focussize="0,0"/>
                <v:stroke on="f"/>
                <v:imagedata o:title=""/>
                <o:lock v:ext="edit" aspectratio="f"/>
                <v:textbox>
                  <w:txbxContent>
                    <w:p/>
                  </w:txbxContent>
                </v:textbox>
              </v:rect>
            </w:pict>
          </mc:Fallback>
        </mc:AlternateContent>
      </w:r>
    </w:p>
    <w:p>
      <w:pPr>
        <w:spacing w:before="98" w:line="360" w:lineRule="auto"/>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8"/>
          <w:sz w:val="30"/>
          <w:szCs w:val="30"/>
          <w:highlight w:val="none"/>
        </w:rPr>
        <w:t>二、法定代表人身</w:t>
      </w:r>
      <w:r>
        <w:rPr>
          <w:rFonts w:hint="eastAsia" w:asciiTheme="minorEastAsia" w:hAnsiTheme="minorEastAsia" w:eastAsiaTheme="minorEastAsia" w:cstheme="minorEastAsia"/>
          <w:b/>
          <w:bCs/>
          <w:color w:val="auto"/>
          <w:spacing w:val="-1"/>
          <w:sz w:val="30"/>
          <w:szCs w:val="30"/>
          <w:highlight w:val="none"/>
        </w:rPr>
        <w:t>份证明及法定代表人有效身份证正反面复印件</w:t>
      </w:r>
    </w:p>
    <w:p>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ascii="宋体" w:hAnsi="宋体"/>
          <w:color w:val="auto"/>
          <w:sz w:val="24"/>
          <w:highlight w:val="none"/>
        </w:rPr>
      </w:pPr>
      <w:r>
        <w:rPr>
          <w:rFonts w:hint="eastAsia" w:ascii="宋体" w:hAnsi="宋体" w:eastAsia="宋体"/>
          <w:color w:val="auto"/>
          <w:sz w:val="24"/>
          <w:highlight w:val="none"/>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eastAsia="宋体"/>
          <w:color w:val="auto"/>
          <w:sz w:val="24"/>
          <w:highlight w:val="none"/>
          <w:u w:val="single"/>
        </w:rPr>
        <w:t>供应商</w:t>
      </w:r>
      <w:r>
        <w:rPr>
          <w:rFonts w:hint="eastAsia" w:ascii="宋体" w:hAnsi="宋体"/>
          <w:color w:val="auto"/>
          <w:sz w:val="24"/>
          <w:highlight w:val="none"/>
          <w:u w:val="single"/>
        </w:rPr>
        <w:t xml:space="preserve">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360" w:lineRule="auto"/>
        <w:ind w:firstLine="5040" w:firstLineChars="2100"/>
        <w:rPr>
          <w:rFonts w:ascii="宋体" w:hAnsi="宋体" w:cs="仿宋_GB2312"/>
          <w:bCs/>
          <w:color w:val="auto"/>
          <w:sz w:val="24"/>
          <w:highlight w:val="none"/>
        </w:rPr>
      </w:pPr>
      <w:r>
        <w:rPr>
          <w:rFonts w:hint="eastAsia" w:ascii="宋体" w:hAnsi="宋体" w:cs="仿宋_GB2312"/>
          <w:bCs/>
          <w:color w:val="auto"/>
          <w:sz w:val="24"/>
          <w:highlight w:val="none"/>
          <w:lang w:val="zh-CN"/>
        </w:rPr>
        <w:t>供应商名称(电子签章)：</w:t>
      </w:r>
    </w:p>
    <w:p>
      <w:pPr>
        <w:spacing w:line="360" w:lineRule="auto"/>
        <w:ind w:firstLine="5160" w:firstLineChars="2150"/>
        <w:rPr>
          <w:rFonts w:ascii="宋体" w:hAnsi="宋体" w:cs="仿宋_GB2312"/>
          <w:bCs/>
          <w:color w:val="auto"/>
          <w:sz w:val="24"/>
          <w:highlight w:val="none"/>
          <w:lang w:val="zh-CN"/>
        </w:rPr>
      </w:pPr>
      <w:r>
        <w:rPr>
          <w:rFonts w:hint="eastAsia" w:ascii="宋体" w:hAnsi="宋体" w:cs="仿宋_GB2312"/>
          <w:bCs/>
          <w:color w:val="auto"/>
          <w:sz w:val="24"/>
          <w:highlight w:val="none"/>
          <w:lang w:val="zh-CN"/>
        </w:rPr>
        <w:t>日期</w:t>
      </w:r>
      <w:r>
        <w:rPr>
          <w:rFonts w:hint="eastAsia" w:ascii="宋体" w:hAnsi="宋体" w:cs="仿宋_GB2312"/>
          <w:bCs/>
          <w:color w:val="auto"/>
          <w:sz w:val="24"/>
          <w:highlight w:val="none"/>
        </w:rPr>
        <w:t xml:space="preserve">：  年  </w:t>
      </w:r>
      <w:r>
        <w:rPr>
          <w:rFonts w:hint="eastAsia" w:ascii="宋体" w:hAnsi="宋体" w:cs="仿宋_GB2312"/>
          <w:bCs/>
          <w:color w:val="auto"/>
          <w:sz w:val="24"/>
          <w:highlight w:val="none"/>
          <w:lang w:val="zh-CN"/>
        </w:rPr>
        <w:t>月</w:t>
      </w:r>
      <w:r>
        <w:rPr>
          <w:rFonts w:hint="eastAsia" w:ascii="宋体" w:hAnsi="宋体" w:cs="仿宋_GB2312"/>
          <w:bCs/>
          <w:color w:val="auto"/>
          <w:sz w:val="24"/>
          <w:highlight w:val="none"/>
        </w:rPr>
        <w:t xml:space="preserve">   </w:t>
      </w:r>
      <w:r>
        <w:rPr>
          <w:rFonts w:hint="eastAsia" w:ascii="宋体" w:hAnsi="宋体" w:cs="仿宋_GB2312"/>
          <w:bCs/>
          <w:color w:val="auto"/>
          <w:sz w:val="24"/>
          <w:highlight w:val="none"/>
          <w:lang w:val="zh-CN"/>
        </w:rPr>
        <w:t>日</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78" w:line="360" w:lineRule="auto"/>
        <w:ind w:firstLine="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注：1.自然人竞标的无需提供，联合体竞标的只需牵头人出具。</w:t>
      </w:r>
    </w:p>
    <w:p>
      <w:pPr>
        <w:spacing w:before="121" w:line="360" w:lineRule="auto"/>
        <w:ind w:left="12" w:right="87"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2.供应商为其他组织或者自然人时，本磋商文件规定的法定代表人指负责人或</w:t>
      </w:r>
      <w:r>
        <w:rPr>
          <w:rFonts w:hint="eastAsia" w:asciiTheme="minorEastAsia" w:hAnsiTheme="minorEastAsia" w:eastAsiaTheme="minorEastAsia" w:cstheme="minorEastAsia"/>
          <w:color w:val="auto"/>
          <w:spacing w:val="-2"/>
          <w:sz w:val="24"/>
          <w:szCs w:val="24"/>
          <w:highlight w:val="none"/>
        </w:rPr>
        <w:t>者自然人。本磋商文件所称负责人是指参加竞标的其他组织营业执照上的负责人，本磋商文件所称自然人指参与竞标的自然人本人。</w:t>
      </w:r>
    </w:p>
    <w:p>
      <w:pPr>
        <w:spacing w:line="360" w:lineRule="auto"/>
        <w:rPr>
          <w:rFonts w:asciiTheme="minorEastAsia" w:hAnsiTheme="minorEastAsia" w:eastAsiaTheme="minorEastAsia" w:cstheme="minorEastAsia"/>
          <w:color w:val="auto"/>
          <w:highlight w:val="none"/>
        </w:rPr>
        <w:sectPr>
          <w:headerReference r:id="rId33" w:type="default"/>
          <w:footerReference r:id="rId34" w:type="default"/>
          <w:type w:val="continuous"/>
          <w:pgSz w:w="11906" w:h="16838"/>
          <w:pgMar w:top="935" w:right="1134" w:bottom="1072" w:left="1134" w:header="704" w:footer="952" w:gutter="0"/>
          <w:cols w:equalWidth="0" w:num="1">
            <w:col w:w="8730"/>
          </w:cols>
        </w:sectPr>
      </w:pPr>
    </w:p>
    <w:p>
      <w:pPr>
        <w:spacing w:line="360" w:lineRule="auto"/>
        <w:rPr>
          <w:rFonts w:asciiTheme="minorEastAsia" w:hAnsiTheme="minorEastAsia" w:eastAsiaTheme="minorEastAsia" w:cstheme="minorEastAsia"/>
          <w:color w:val="auto"/>
          <w:highlight w:val="none"/>
        </w:rPr>
      </w:pPr>
    </w:p>
    <w:p>
      <w:pPr>
        <w:spacing w:before="78" w:line="360" w:lineRule="auto"/>
        <w:ind w:firstLine="62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附件：</w:t>
      </w:r>
    </w:p>
    <w:p>
      <w:pPr>
        <w:spacing w:line="360" w:lineRule="auto"/>
        <w:rPr>
          <w:rFonts w:asciiTheme="minorEastAsia" w:hAnsiTheme="minorEastAsia" w:eastAsiaTheme="minorEastAsia" w:cstheme="minorEastAsia"/>
          <w:color w:val="auto"/>
          <w:highlight w:val="none"/>
        </w:rPr>
      </w:pPr>
    </w:p>
    <w:tbl>
      <w:tblPr>
        <w:tblStyle w:val="34"/>
        <w:tblW w:w="847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95" w:hRule="atLeast"/>
        </w:trPr>
        <w:tc>
          <w:tcPr>
            <w:tcW w:w="8470" w:type="dxa"/>
          </w:tcPr>
          <w:p>
            <w:pPr>
              <w:spacing w:line="360" w:lineRule="auto"/>
              <w:rPr>
                <w:rFonts w:asciiTheme="minorEastAsia" w:hAnsiTheme="minorEastAsia" w:eastAsiaTheme="minorEastAsia" w:cstheme="minorEastAsia"/>
                <w:color w:val="auto"/>
                <w:highlight w:val="none"/>
              </w:rPr>
            </w:pPr>
          </w:p>
          <w:p>
            <w:pPr>
              <w:spacing w:before="78" w:line="360" w:lineRule="auto"/>
              <w:ind w:firstLine="11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法定代表身份证复印件粘帖处（正、反面）</w:t>
            </w:r>
          </w:p>
        </w:tc>
      </w:tr>
    </w:tbl>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sectPr>
          <w:headerReference r:id="rId35" w:type="default"/>
          <w:footerReference r:id="rId36" w:type="default"/>
          <w:pgSz w:w="11906" w:h="16838"/>
          <w:pgMar w:top="935" w:right="1134" w:bottom="1073" w:left="1563" w:header="704" w:footer="952" w:gutter="0"/>
          <w:cols w:space="720" w:num="1"/>
        </w:sectPr>
      </w:pPr>
    </w:p>
    <w:p>
      <w:pPr>
        <w:spacing w:before="98" w:line="360" w:lineRule="auto"/>
        <w:ind w:firstLine="910"/>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三、法定代表人授权委托书</w:t>
      </w:r>
    </w:p>
    <w:p>
      <w:pPr>
        <w:spacing w:line="360" w:lineRule="auto"/>
        <w:rPr>
          <w:rFonts w:asciiTheme="minorEastAsia" w:hAnsiTheme="minorEastAsia" w:eastAsiaTheme="minorEastAsia" w:cstheme="minorEastAsia"/>
          <w:color w:val="auto"/>
          <w:highlight w:val="none"/>
        </w:rPr>
      </w:pPr>
    </w:p>
    <w:p>
      <w:pPr>
        <w:spacing w:before="143" w:line="360" w:lineRule="auto"/>
        <w:ind w:firstLine="1095"/>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pacing w:val="-4"/>
          <w:sz w:val="36"/>
          <w:szCs w:val="36"/>
          <w:highlight w:val="none"/>
        </w:rPr>
        <w:t>授权委托书（非联合体竞标格式）</w:t>
      </w:r>
    </w:p>
    <w:p>
      <w:pPr>
        <w:spacing w:before="69" w:line="360" w:lineRule="auto"/>
        <w:ind w:firstLine="2855"/>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pacing w:val="-8"/>
          <w:sz w:val="36"/>
          <w:szCs w:val="36"/>
          <w:highlight w:val="none"/>
        </w:rPr>
        <w:t>（如有委托时）</w:t>
      </w:r>
    </w:p>
    <w:p>
      <w:pPr>
        <w:spacing w:line="360" w:lineRule="auto"/>
        <w:rPr>
          <w:rFonts w:asciiTheme="minorEastAsia" w:hAnsiTheme="minorEastAsia" w:eastAsiaTheme="minorEastAsia" w:cstheme="minorEastAsia"/>
          <w:color w:val="auto"/>
          <w:highlight w:val="none"/>
        </w:rPr>
      </w:pPr>
    </w:p>
    <w:p>
      <w:pPr>
        <w:spacing w:before="79" w:line="360" w:lineRule="auto"/>
        <w:ind w:firstLine="1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1"/>
          <w:w w:val="89"/>
          <w:sz w:val="24"/>
          <w:szCs w:val="24"/>
          <w:highlight w:val="none"/>
        </w:rPr>
        <w:t>致</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31"/>
          <w:sz w:val="24"/>
          <w:szCs w:val="24"/>
          <w:highlight w:val="none"/>
          <w:u w:val="single"/>
        </w:rPr>
        <w:t>（</w:t>
      </w:r>
      <w:r>
        <w:rPr>
          <w:rFonts w:hint="eastAsia" w:asciiTheme="minorEastAsia" w:hAnsiTheme="minorEastAsia" w:eastAsiaTheme="minorEastAsia" w:cstheme="minorEastAsia"/>
          <w:color w:val="auto"/>
          <w:spacing w:val="-21"/>
          <w:w w:val="89"/>
          <w:sz w:val="24"/>
          <w:szCs w:val="24"/>
          <w:highlight w:val="none"/>
          <w:u w:val="single"/>
        </w:rPr>
        <w:t>采购人名称</w:t>
      </w:r>
      <w:r>
        <w:rPr>
          <w:rFonts w:hint="eastAsia" w:asciiTheme="minorEastAsia" w:hAnsiTheme="minorEastAsia" w:eastAsiaTheme="minorEastAsia" w:cstheme="minorEastAsia"/>
          <w:color w:val="auto"/>
          <w:spacing w:val="-31"/>
          <w:sz w:val="24"/>
          <w:szCs w:val="24"/>
          <w:highlight w:val="none"/>
          <w:u w:val="single"/>
        </w:rPr>
        <w:t>）</w:t>
      </w:r>
      <w:r>
        <w:rPr>
          <w:rFonts w:hint="eastAsia" w:asciiTheme="minorEastAsia" w:hAnsiTheme="minorEastAsia" w:eastAsiaTheme="minorEastAsia" w:cstheme="minorEastAsia"/>
          <w:color w:val="auto"/>
          <w:spacing w:val="-31"/>
          <w:sz w:val="24"/>
          <w:szCs w:val="24"/>
          <w:highlight w:val="none"/>
        </w:rPr>
        <w:t>：</w:t>
      </w:r>
    </w:p>
    <w:p>
      <w:pPr>
        <w:spacing w:before="120" w:line="360" w:lineRule="auto"/>
        <w:ind w:left="10" w:right="86"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我</w:t>
      </w:r>
      <w:r>
        <w:rPr>
          <w:rFonts w:hint="eastAsia" w:asciiTheme="minorEastAsia" w:hAnsiTheme="minorEastAsia" w:eastAsiaTheme="minorEastAsia" w:cstheme="minorEastAsia"/>
          <w:color w:val="auto"/>
          <w:spacing w:val="-7"/>
          <w:sz w:val="24"/>
          <w:szCs w:val="24"/>
          <w:highlight w:val="none"/>
          <w:u w:val="single"/>
        </w:rPr>
        <w:t>（姓名）</w:t>
      </w:r>
      <w:r>
        <w:rPr>
          <w:rFonts w:hint="eastAsia" w:asciiTheme="minorEastAsia" w:hAnsiTheme="minorEastAsia" w:eastAsiaTheme="minorEastAsia" w:cstheme="minorEastAsia"/>
          <w:color w:val="auto"/>
          <w:spacing w:val="-7"/>
          <w:sz w:val="24"/>
          <w:szCs w:val="24"/>
          <w:highlight w:val="none"/>
        </w:rPr>
        <w:t>系</w:t>
      </w:r>
      <w:r>
        <w:rPr>
          <w:rFonts w:hint="eastAsia" w:asciiTheme="minorEastAsia" w:hAnsiTheme="minorEastAsia" w:eastAsiaTheme="minorEastAsia" w:cstheme="minorEastAsia"/>
          <w:color w:val="auto"/>
          <w:spacing w:val="-7"/>
          <w:sz w:val="24"/>
          <w:szCs w:val="24"/>
          <w:highlight w:val="none"/>
          <w:u w:val="single"/>
        </w:rPr>
        <w:t>（供应商名称）</w:t>
      </w:r>
      <w:r>
        <w:rPr>
          <w:rFonts w:hint="eastAsia" w:asciiTheme="minorEastAsia" w:hAnsiTheme="minorEastAsia" w:eastAsiaTheme="minorEastAsia" w:cstheme="minorEastAsia"/>
          <w:color w:val="auto"/>
          <w:spacing w:val="-7"/>
          <w:sz w:val="24"/>
          <w:szCs w:val="24"/>
          <w:highlight w:val="none"/>
        </w:rPr>
        <w:t>的（</w:t>
      </w:r>
      <w:r>
        <w:rPr>
          <w:rFonts w:hint="eastAsia" w:asciiTheme="minorEastAsia" w:hAnsiTheme="minorEastAsia" w:eastAsiaTheme="minorEastAsia" w:cstheme="minorEastAsia"/>
          <w:color w:val="auto"/>
          <w:spacing w:val="-7"/>
          <w:sz w:val="24"/>
          <w:szCs w:val="24"/>
          <w:highlight w:val="none"/>
          <w:u w:val="single"/>
        </w:rPr>
        <w:t>□法定代表人/□负责人/□自然人</w:t>
      </w:r>
      <w:r>
        <w:rPr>
          <w:rFonts w:hint="eastAsia" w:asciiTheme="minorEastAsia" w:hAnsiTheme="minorEastAsia" w:eastAsiaTheme="minorEastAsia" w:cstheme="minorEastAsia"/>
          <w:color w:val="auto"/>
          <w:spacing w:val="-5"/>
          <w:sz w:val="24"/>
          <w:szCs w:val="24"/>
          <w:highlight w:val="none"/>
          <w:u w:val="single"/>
        </w:rPr>
        <w:t>本人</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pacing w:val="-5"/>
          <w:sz w:val="24"/>
          <w:szCs w:val="24"/>
          <w:highlight w:val="none"/>
        </w:rPr>
        <w:t>现授权</w:t>
      </w:r>
      <w:r>
        <w:rPr>
          <w:rFonts w:hint="eastAsia" w:asciiTheme="minorEastAsia" w:hAnsiTheme="minorEastAsia" w:eastAsiaTheme="minorEastAsia" w:cstheme="minorEastAsia"/>
          <w:color w:val="auto"/>
          <w:spacing w:val="-5"/>
          <w:sz w:val="24"/>
          <w:szCs w:val="24"/>
          <w:highlight w:val="none"/>
          <w:u w:val="single"/>
        </w:rPr>
        <w:t>（姓名）</w:t>
      </w:r>
      <w:r>
        <w:rPr>
          <w:rFonts w:hint="eastAsia" w:asciiTheme="minorEastAsia" w:hAnsiTheme="minorEastAsia" w:eastAsiaTheme="minorEastAsia" w:cstheme="minorEastAsia"/>
          <w:color w:val="auto"/>
          <w:spacing w:val="-5"/>
          <w:sz w:val="24"/>
          <w:szCs w:val="24"/>
          <w:highlight w:val="none"/>
        </w:rPr>
        <w:t>以我方的名义参加项目的竞标活动，并</w:t>
      </w:r>
      <w:r>
        <w:rPr>
          <w:rFonts w:hint="eastAsia" w:asciiTheme="minorEastAsia" w:hAnsiTheme="minorEastAsia" w:eastAsiaTheme="minorEastAsia" w:cstheme="minorEastAsia"/>
          <w:color w:val="auto"/>
          <w:spacing w:val="-2"/>
          <w:sz w:val="24"/>
          <w:szCs w:val="24"/>
          <w:highlight w:val="none"/>
        </w:rPr>
        <w:t>代表我方全权办理针对上述项目的所有采购程序和环节的具体事务和签署相关文件。</w:t>
      </w:r>
    </w:p>
    <w:p>
      <w:pPr>
        <w:spacing w:line="360" w:lineRule="auto"/>
        <w:ind w:firstLine="49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我方对委托代理人的签字事项负全部责任。</w:t>
      </w:r>
    </w:p>
    <w:p>
      <w:pPr>
        <w:spacing w:before="94" w:line="360" w:lineRule="auto"/>
        <w:ind w:left="10"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本授权书自签署之日起生效，在撤销授权的书面通知以前，本授权书一直有效。</w:t>
      </w:r>
      <w:r>
        <w:rPr>
          <w:rFonts w:hint="eastAsia" w:asciiTheme="minorEastAsia" w:hAnsiTheme="minorEastAsia" w:eastAsiaTheme="minorEastAsia" w:cstheme="minorEastAsia"/>
          <w:color w:val="auto"/>
          <w:spacing w:val="-1"/>
          <w:sz w:val="24"/>
          <w:szCs w:val="24"/>
          <w:highlight w:val="none"/>
        </w:rPr>
        <w:t>委托代理人在授权书有效期内签署的所有文件不因授权的撤销而失效。</w:t>
      </w:r>
    </w:p>
    <w:p>
      <w:pPr>
        <w:spacing w:before="1" w:line="360" w:lineRule="auto"/>
        <w:ind w:firstLine="49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委托代理人无转委托权，特此委托。</w:t>
      </w:r>
    </w:p>
    <w:p>
      <w:pPr>
        <w:spacing w:before="93" w:line="360" w:lineRule="auto"/>
        <w:ind w:firstLine="5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附：法定代表人身份证明书及委托代理人有效身份证正反面复印件</w:t>
      </w:r>
    </w:p>
    <w:p>
      <w:pPr>
        <w:spacing w:line="360" w:lineRule="auto"/>
        <w:rPr>
          <w:rFonts w:asciiTheme="minorEastAsia" w:hAnsiTheme="minorEastAsia" w:eastAsiaTheme="minorEastAsia" w:cstheme="minorEastAsia"/>
          <w:color w:val="auto"/>
          <w:highlight w:val="none"/>
        </w:rPr>
      </w:pPr>
    </w:p>
    <w:p>
      <w:pPr>
        <w:spacing w:before="79" w:line="360" w:lineRule="auto"/>
        <w:ind w:firstLine="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委托代理人（签字</w:t>
      </w:r>
      <w:r>
        <w:rPr>
          <w:rFonts w:hint="eastAsia" w:asciiTheme="minorEastAsia" w:hAnsiTheme="minorEastAsia" w:eastAsiaTheme="minorEastAsia" w:cstheme="minorEastAsia"/>
          <w:color w:val="auto"/>
          <w:spacing w:val="-33"/>
          <w:sz w:val="24"/>
          <w:szCs w:val="24"/>
          <w:highlight w:val="none"/>
        </w:rPr>
        <w:t>）：</w:t>
      </w:r>
      <w:r>
        <w:rPr>
          <w:rFonts w:hint="eastAsia" w:asciiTheme="minorEastAsia" w:hAnsiTheme="minorEastAsia" w:eastAsiaTheme="minorEastAsia" w:cstheme="minorEastAsia"/>
          <w:color w:val="auto"/>
          <w:spacing w:val="-5"/>
          <w:sz w:val="24"/>
          <w:szCs w:val="24"/>
          <w:highlight w:val="none"/>
        </w:rPr>
        <w:t>法定代表人（签字或盖章</w:t>
      </w:r>
      <w:r>
        <w:rPr>
          <w:rFonts w:hint="eastAsia" w:asciiTheme="minorEastAsia" w:hAnsiTheme="minorEastAsia" w:eastAsiaTheme="minorEastAsia" w:cstheme="minorEastAsia"/>
          <w:color w:val="auto"/>
          <w:spacing w:val="-33"/>
          <w:sz w:val="24"/>
          <w:szCs w:val="24"/>
          <w:highlight w:val="none"/>
        </w:rPr>
        <w:t>）：</w:t>
      </w:r>
    </w:p>
    <w:p>
      <w:pPr>
        <w:spacing w:before="120" w:line="360" w:lineRule="auto"/>
        <w:ind w:firstLine="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委托代理人身份证号码：</w:t>
      </w:r>
    </w:p>
    <w:p>
      <w:pPr>
        <w:spacing w:line="360" w:lineRule="auto"/>
        <w:rPr>
          <w:rFonts w:asciiTheme="minorEastAsia" w:hAnsiTheme="minorEastAsia" w:eastAsiaTheme="minorEastAsia" w:cstheme="minorEastAsia"/>
          <w:color w:val="auto"/>
          <w:highlight w:val="none"/>
        </w:rPr>
      </w:pPr>
    </w:p>
    <w:p>
      <w:pPr>
        <w:spacing w:before="79" w:line="360" w:lineRule="auto"/>
        <w:ind w:firstLine="300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9" w:line="360" w:lineRule="auto"/>
        <w:ind w:firstLine="3006"/>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spacing w:before="79" w:line="360" w:lineRule="auto"/>
        <w:ind w:left="10" w:right="2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注：1.法定代表人必须在授权委托书上亲笔签字或盖章，委托代理人必须在授权</w:t>
      </w:r>
      <w:r>
        <w:rPr>
          <w:rFonts w:hint="eastAsia" w:asciiTheme="minorEastAsia" w:hAnsiTheme="minorEastAsia" w:eastAsiaTheme="minorEastAsia" w:cstheme="minorEastAsia"/>
          <w:color w:val="auto"/>
          <w:spacing w:val="-9"/>
          <w:sz w:val="24"/>
          <w:szCs w:val="24"/>
          <w:highlight w:val="none"/>
        </w:rPr>
        <w:t>委托书上亲笔签字，否则其响应文件按无效响应处理。</w:t>
      </w:r>
    </w:p>
    <w:p>
      <w:pPr>
        <w:spacing w:before="3" w:line="360" w:lineRule="auto"/>
        <w:ind w:left="12" w:right="292"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2.供应商为其他组织或者自然人时，本磋商文件规定的法定代表人指负责人或</w:t>
      </w:r>
      <w:r>
        <w:rPr>
          <w:rFonts w:hint="eastAsia" w:asciiTheme="minorEastAsia" w:hAnsiTheme="minorEastAsia" w:eastAsiaTheme="minorEastAsia" w:cstheme="minorEastAsia"/>
          <w:color w:val="auto"/>
          <w:spacing w:val="-2"/>
          <w:sz w:val="24"/>
          <w:szCs w:val="24"/>
          <w:highlight w:val="none"/>
        </w:rPr>
        <w:t>者自然人。本磋商文件所称负责人是指参加竞标的其他组织营业执照上的负责人，本磋商文件所称自然人指参与竞标的自然人本人。</w:t>
      </w:r>
    </w:p>
    <w:p>
      <w:pPr>
        <w:spacing w:before="3" w:line="360" w:lineRule="auto"/>
        <w:ind w:left="12" w:right="204" w:firstLine="4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3.法人、其他组织竞标时“我方”是指“我单位”，自然人竞标时“我方”是</w:t>
      </w:r>
      <w:r>
        <w:rPr>
          <w:rFonts w:hint="eastAsia" w:asciiTheme="minorEastAsia" w:hAnsiTheme="minorEastAsia" w:eastAsiaTheme="minorEastAsia" w:cstheme="minorEastAsia"/>
          <w:color w:val="auto"/>
          <w:spacing w:val="-7"/>
          <w:sz w:val="24"/>
          <w:szCs w:val="24"/>
          <w:highlight w:val="none"/>
        </w:rPr>
        <w:t>指“本人”。</w:t>
      </w:r>
    </w:p>
    <w:p>
      <w:pPr>
        <w:spacing w:line="360" w:lineRule="auto"/>
        <w:rPr>
          <w:rFonts w:asciiTheme="minorEastAsia" w:hAnsiTheme="minorEastAsia" w:eastAsiaTheme="minorEastAsia" w:cstheme="minorEastAsia"/>
          <w:color w:val="auto"/>
          <w:highlight w:val="none"/>
        </w:rPr>
        <w:sectPr>
          <w:headerReference r:id="rId37" w:type="default"/>
          <w:footerReference r:id="rId38" w:type="default"/>
          <w:pgSz w:w="11906" w:h="16838"/>
          <w:pgMar w:top="935" w:right="1134" w:bottom="1073" w:left="1134" w:header="704" w:footer="952" w:gutter="0"/>
          <w:cols w:space="720" w:num="1"/>
        </w:sectPr>
      </w:pPr>
    </w:p>
    <w:p>
      <w:pPr>
        <w:spacing w:before="98" w:line="360" w:lineRule="auto"/>
        <w:ind w:firstLine="813"/>
        <w:rPr>
          <w:rFonts w:ascii="Times New Roman"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6"/>
          <w:sz w:val="30"/>
          <w:szCs w:val="30"/>
          <w:highlight w:val="none"/>
        </w:rPr>
        <w:t>四、商务条款偏离表</w:t>
      </w:r>
    </w:p>
    <w:p>
      <w:pPr>
        <w:spacing w:before="76" w:line="360" w:lineRule="auto"/>
        <w:ind w:firstLine="2986"/>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6"/>
          <w:sz w:val="44"/>
          <w:szCs w:val="44"/>
          <w:highlight w:val="none"/>
        </w:rPr>
        <w:t>商务条款偏离表</w:t>
      </w:r>
    </w:p>
    <w:p>
      <w:pPr>
        <w:spacing w:before="94" w:line="360" w:lineRule="auto"/>
        <w:ind w:firstLine="130"/>
        <w:rPr>
          <w:rFonts w:asciiTheme="minorEastAsia" w:hAnsiTheme="minorEastAsia" w:eastAsiaTheme="minorEastAsia" w:cstheme="minorEastAsia"/>
          <w:color w:val="auto"/>
          <w:spacing w:val="-6"/>
          <w:sz w:val="24"/>
          <w:szCs w:val="24"/>
          <w:highlight w:val="none"/>
          <w:u w:val="single"/>
        </w:rPr>
      </w:pPr>
      <w:r>
        <w:rPr>
          <w:rFonts w:hint="eastAsia" w:asciiTheme="minorEastAsia" w:hAnsiTheme="minorEastAsia" w:eastAsiaTheme="minorEastAsia" w:cstheme="minorEastAsia"/>
          <w:color w:val="auto"/>
          <w:spacing w:val="-6"/>
          <w:sz w:val="24"/>
          <w:szCs w:val="24"/>
          <w:highlight w:val="none"/>
          <w:u w:val="single"/>
        </w:rPr>
        <w:t>采购项目编号：</w:t>
      </w:r>
    </w:p>
    <w:p>
      <w:pPr>
        <w:spacing w:before="94" w:line="360" w:lineRule="auto"/>
        <w:ind w:firstLine="13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u w:val="single"/>
        </w:rPr>
        <w:t>采购项目名称</w:t>
      </w:r>
      <w:r>
        <w:rPr>
          <w:rFonts w:hint="eastAsia" w:asciiTheme="minorEastAsia" w:hAnsiTheme="minorEastAsia" w:eastAsiaTheme="minorEastAsia" w:cstheme="minorEastAsia"/>
          <w:color w:val="auto"/>
          <w:spacing w:val="-23"/>
          <w:w w:val="98"/>
          <w:sz w:val="24"/>
          <w:szCs w:val="24"/>
          <w:highlight w:val="none"/>
        </w:rPr>
        <w:t>：</w:t>
      </w:r>
    </w:p>
    <w:tbl>
      <w:tblPr>
        <w:tblStyle w:val="34"/>
        <w:tblW w:w="100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4148"/>
        <w:gridCol w:w="3794"/>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36" w:type="dxa"/>
          </w:tcPr>
          <w:p>
            <w:pPr>
              <w:spacing w:before="92" w:line="360" w:lineRule="auto"/>
              <w:ind w:firstLine="14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项号</w:t>
            </w:r>
          </w:p>
        </w:tc>
        <w:tc>
          <w:tcPr>
            <w:tcW w:w="4148" w:type="dxa"/>
          </w:tcPr>
          <w:p>
            <w:pPr>
              <w:spacing w:before="92" w:line="360" w:lineRule="auto"/>
              <w:ind w:firstLine="4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竞争性磋商采购文件的商务需求</w:t>
            </w:r>
          </w:p>
        </w:tc>
        <w:tc>
          <w:tcPr>
            <w:tcW w:w="3794" w:type="dxa"/>
          </w:tcPr>
          <w:p>
            <w:pPr>
              <w:spacing w:before="92" w:line="360" w:lineRule="auto"/>
              <w:ind w:firstLine="65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响应文件承诺的商务条款</w:t>
            </w:r>
          </w:p>
        </w:tc>
        <w:tc>
          <w:tcPr>
            <w:tcW w:w="1360" w:type="dxa"/>
          </w:tcPr>
          <w:p>
            <w:pPr>
              <w:spacing w:before="92" w:line="360" w:lineRule="auto"/>
              <w:ind w:firstLine="2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736" w:type="dxa"/>
          </w:tcPr>
          <w:p>
            <w:pPr>
              <w:spacing w:before="167"/>
              <w:ind w:firstLine="114"/>
              <w:rPr>
                <w:rFonts w:asciiTheme="minorEastAsia" w:hAnsiTheme="minorEastAsia" w:eastAsiaTheme="minorEastAsia" w:cstheme="minorEastAsia"/>
                <w:color w:val="auto"/>
                <w:sz w:val="10"/>
                <w:szCs w:val="10"/>
                <w:highlight w:val="none"/>
              </w:rPr>
            </w:pPr>
            <w:r>
              <w:rPr>
                <w:rFonts w:hint="eastAsia" w:asciiTheme="minorEastAsia" w:hAnsiTheme="minorEastAsia" w:eastAsiaTheme="minorEastAsia" w:cstheme="minorEastAsia"/>
                <w:color w:val="auto"/>
                <w:spacing w:val="30"/>
                <w:w w:val="169"/>
                <w:sz w:val="10"/>
                <w:szCs w:val="10"/>
                <w:highlight w:val="none"/>
              </w:rPr>
              <w:t>一</w:t>
            </w:r>
          </w:p>
        </w:tc>
        <w:tc>
          <w:tcPr>
            <w:tcW w:w="4148" w:type="dxa"/>
          </w:tcPr>
          <w:p>
            <w:pPr>
              <w:spacing w:before="86"/>
              <w:ind w:firstLine="1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0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3794" w:type="dxa"/>
          </w:tcPr>
          <w:p>
            <w:pPr>
              <w:spacing w:before="86"/>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60"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7" w:hRule="atLeast"/>
        </w:trPr>
        <w:tc>
          <w:tcPr>
            <w:tcW w:w="736" w:type="dxa"/>
          </w:tcPr>
          <w:p>
            <w:pPr>
              <w:spacing w:before="128"/>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w:t>
            </w:r>
          </w:p>
        </w:tc>
        <w:tc>
          <w:tcPr>
            <w:tcW w:w="4148" w:type="dxa"/>
          </w:tcPr>
          <w:p>
            <w:pPr>
              <w:spacing w:before="90"/>
              <w:ind w:firstLine="1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0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3794" w:type="dxa"/>
          </w:tcPr>
          <w:p>
            <w:pPr>
              <w:spacing w:before="90"/>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60"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8" w:hRule="atLeast"/>
        </w:trPr>
        <w:tc>
          <w:tcPr>
            <w:tcW w:w="736" w:type="dxa"/>
          </w:tcPr>
          <w:p>
            <w:pPr>
              <w:spacing w:before="93"/>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w:t>
            </w:r>
          </w:p>
        </w:tc>
        <w:tc>
          <w:tcPr>
            <w:tcW w:w="4148" w:type="dxa"/>
          </w:tcPr>
          <w:p>
            <w:pPr>
              <w:spacing w:before="93"/>
              <w:ind w:firstLine="1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0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3794" w:type="dxa"/>
          </w:tcPr>
          <w:p>
            <w:pPr>
              <w:spacing w:before="93"/>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position w:val="9"/>
                <w:highlight w:val="none"/>
              </w:rPr>
              <w:t>1……</w:t>
            </w:r>
          </w:p>
          <w:p>
            <w:pPr>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before="106"/>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before="130"/>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60" w:type="dxa"/>
          </w:tcPr>
          <w:p>
            <w:pPr>
              <w:spacing w:line="360" w:lineRule="auto"/>
              <w:rPr>
                <w:rFonts w:asciiTheme="minorEastAsia" w:hAnsiTheme="minorEastAsia" w:eastAsiaTheme="minorEastAsia" w:cstheme="minorEastAsia"/>
                <w:color w:val="auto"/>
                <w:highlight w:val="none"/>
              </w:rPr>
            </w:pPr>
          </w:p>
        </w:tc>
      </w:tr>
    </w:tbl>
    <w:p>
      <w:pPr>
        <w:spacing w:before="112" w:line="360" w:lineRule="auto"/>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highlight w:val="none"/>
        </w:rPr>
        <w:t>注：</w:t>
      </w:r>
    </w:p>
    <w:p>
      <w:pPr>
        <w:spacing w:before="161" w:line="360" w:lineRule="auto"/>
        <w:ind w:left="133" w:right="717" w:firstLine="1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1.说明：应对照磋商文件“第二章采购需求”中的商务条款逐条作出明确响应，</w:t>
      </w:r>
      <w:r>
        <w:rPr>
          <w:rFonts w:hint="eastAsia" w:asciiTheme="minorEastAsia" w:hAnsiTheme="minorEastAsia" w:eastAsiaTheme="minorEastAsia" w:cstheme="minorEastAsia"/>
          <w:color w:val="auto"/>
          <w:spacing w:val="-5"/>
          <w:highlight w:val="none"/>
        </w:rPr>
        <w:t>并作出偏离说明。</w:t>
      </w:r>
    </w:p>
    <w:p>
      <w:pPr>
        <w:spacing w:before="3" w:line="360" w:lineRule="auto"/>
        <w:ind w:left="108" w:right="654" w:firstLine="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2.供应商应根据自身的承诺，对照磋商文件要求，在“偏离说明”中注明“正偏</w:t>
      </w:r>
      <w:r>
        <w:rPr>
          <w:rFonts w:hint="eastAsia" w:asciiTheme="minorEastAsia" w:hAnsiTheme="minorEastAsia" w:eastAsiaTheme="minorEastAsia" w:cstheme="minorEastAsia"/>
          <w:color w:val="auto"/>
          <w:spacing w:val="-3"/>
          <w:highlight w:val="none"/>
        </w:rPr>
        <w:t>离”、“负偏离”或者“无偏离”。既不属于“正偏离”也不属于“负偏离”即为</w:t>
      </w:r>
      <w:r>
        <w:rPr>
          <w:rFonts w:hint="eastAsia" w:asciiTheme="minorEastAsia" w:hAnsiTheme="minorEastAsia" w:eastAsiaTheme="minorEastAsia" w:cstheme="minorEastAsia"/>
          <w:color w:val="auto"/>
          <w:spacing w:val="-6"/>
          <w:highlight w:val="none"/>
        </w:rPr>
        <w:t>“无偏离”。当响应文件的商务内容低于竞争性磋商采购文件要求时，竞标人应当</w:t>
      </w:r>
      <w:r>
        <w:rPr>
          <w:rFonts w:hint="eastAsia" w:asciiTheme="minorEastAsia" w:hAnsiTheme="minorEastAsia" w:eastAsiaTheme="minorEastAsia" w:cstheme="minorEastAsia"/>
          <w:color w:val="auto"/>
          <w:spacing w:val="-10"/>
          <w:highlight w:val="none"/>
        </w:rPr>
        <w:t>如实写明“负偏离”；</w:t>
      </w:r>
    </w:p>
    <w:p>
      <w:pPr>
        <w:spacing w:before="5" w:line="360" w:lineRule="auto"/>
        <w:ind w:left="126" w:right="654" w:firstLine="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9"/>
          <w:highlight w:val="none"/>
        </w:rPr>
        <w:t>3.表格内容均需按要求填写，不得留空</w:t>
      </w:r>
      <w:r>
        <w:rPr>
          <w:rFonts w:hint="eastAsia" w:asciiTheme="minorEastAsia" w:hAnsiTheme="minorEastAsia" w:eastAsiaTheme="minorEastAsia" w:cstheme="minorEastAsia"/>
          <w:color w:val="auto"/>
          <w:spacing w:val="-6"/>
          <w:highlight w:val="none"/>
        </w:rPr>
        <w:t>。</w:t>
      </w:r>
    </w:p>
    <w:p>
      <w:pPr>
        <w:spacing w:before="5" w:line="360" w:lineRule="auto"/>
        <w:ind w:left="126" w:right="654" w:firstLine="5"/>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4.采购需求中带“</w:t>
      </w: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”及的条款，也要分别在本表“投标文件的商务需求”、“投标文件承诺的商务条款”中标记。</w:t>
      </w:r>
    </w:p>
    <w:p>
      <w:pPr>
        <w:spacing w:before="5" w:line="360" w:lineRule="auto"/>
        <w:ind w:left="126" w:right="654" w:firstLine="5"/>
        <w:rPr>
          <w:rFonts w:asciiTheme="minorEastAsia" w:hAnsiTheme="minorEastAsia" w:eastAsiaTheme="minorEastAsia" w:cstheme="minorEastAsia"/>
          <w:color w:val="auto"/>
          <w:highlight w:val="none"/>
        </w:rPr>
      </w:pPr>
    </w:p>
    <w:p>
      <w:pPr>
        <w:spacing w:before="20" w:line="360" w:lineRule="auto"/>
        <w:ind w:firstLine="396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116" w:line="360" w:lineRule="auto"/>
        <w:ind w:firstLine="3924" w:firstLineChars="1800"/>
        <w:rPr>
          <w:rFonts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spacing w:val="-11"/>
          <w:sz w:val="24"/>
          <w:szCs w:val="24"/>
          <w:highlight w:val="none"/>
        </w:rPr>
        <w:t>日期：年月日</w:t>
      </w:r>
    </w:p>
    <w:p>
      <w:pPr>
        <w:spacing w:before="121" w:line="360" w:lineRule="auto"/>
        <w:ind w:firstLine="744"/>
        <w:rPr>
          <w:rFonts w:asciiTheme="minorEastAsia" w:hAnsiTheme="minorEastAsia" w:eastAsiaTheme="minorEastAsia" w:cstheme="minorEastAsia"/>
          <w:color w:val="auto"/>
          <w:spacing w:val="-3"/>
          <w:sz w:val="30"/>
          <w:szCs w:val="30"/>
          <w:highlight w:val="none"/>
        </w:rPr>
      </w:pPr>
    </w:p>
    <w:p>
      <w:pPr>
        <w:spacing w:before="121" w:line="360" w:lineRule="auto"/>
        <w:ind w:firstLine="744"/>
        <w:rPr>
          <w:rFonts w:asciiTheme="minorEastAsia" w:hAnsiTheme="minorEastAsia" w:eastAsiaTheme="minorEastAsia" w:cstheme="minorEastAsia"/>
          <w:color w:val="auto"/>
          <w:spacing w:val="-3"/>
          <w:sz w:val="30"/>
          <w:szCs w:val="30"/>
          <w:highlight w:val="none"/>
        </w:rPr>
      </w:pPr>
    </w:p>
    <w:p>
      <w:pPr>
        <w:spacing w:before="121" w:line="360" w:lineRule="auto"/>
        <w:ind w:firstLine="744"/>
        <w:rPr>
          <w:rFonts w:asciiTheme="minorEastAsia" w:hAnsiTheme="minorEastAsia" w:eastAsiaTheme="minorEastAsia" w:cstheme="minorEastAsia"/>
          <w:b/>
          <w:bCs/>
          <w:color w:val="auto"/>
          <w:spacing w:val="-3"/>
          <w:sz w:val="30"/>
          <w:szCs w:val="30"/>
          <w:highlight w:val="none"/>
        </w:rPr>
      </w:pPr>
    </w:p>
    <w:p>
      <w:pPr>
        <w:spacing w:before="121" w:line="360" w:lineRule="auto"/>
        <w:ind w:firstLine="744"/>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五、竞标人情况介绍</w:t>
      </w:r>
    </w:p>
    <w:p>
      <w:pPr>
        <w:spacing w:line="360" w:lineRule="auto"/>
        <w:rPr>
          <w:rFonts w:asciiTheme="minorEastAsia" w:hAnsiTheme="minorEastAsia" w:eastAsiaTheme="minorEastAsia" w:cstheme="minorEastAsia"/>
          <w:color w:val="auto"/>
          <w:highlight w:val="none"/>
        </w:rPr>
      </w:pPr>
    </w:p>
    <w:p>
      <w:pPr>
        <w:spacing w:before="78" w:line="360" w:lineRule="auto"/>
        <w:ind w:firstLine="4218"/>
        <w:rPr>
          <w:rFonts w:asciiTheme="minorEastAsia" w:hAnsiTheme="minorEastAsia" w:eastAsiaTheme="minorEastAsia" w:cstheme="minorEastAsia"/>
          <w:color w:val="auto"/>
          <w:spacing w:val="-11"/>
          <w:sz w:val="24"/>
          <w:szCs w:val="24"/>
          <w:highlight w:val="none"/>
        </w:rPr>
      </w:pPr>
    </w:p>
    <w:p>
      <w:pPr>
        <w:spacing w:before="78" w:line="360" w:lineRule="auto"/>
        <w:ind w:firstLine="4218"/>
        <w:rPr>
          <w:rFonts w:asciiTheme="minorEastAsia" w:hAnsiTheme="minorEastAsia" w:eastAsiaTheme="minorEastAsia" w:cstheme="minorEastAsia"/>
          <w:color w:val="auto"/>
          <w:spacing w:val="-11"/>
          <w:sz w:val="24"/>
          <w:szCs w:val="24"/>
          <w:highlight w:val="none"/>
        </w:rPr>
      </w:pPr>
    </w:p>
    <w:p>
      <w:pPr>
        <w:spacing w:before="78" w:line="360" w:lineRule="auto"/>
        <w:ind w:firstLine="4218"/>
        <w:rPr>
          <w:rFonts w:asciiTheme="minorEastAsia" w:hAnsiTheme="minorEastAsia" w:eastAsiaTheme="minorEastAsia" w:cstheme="minorEastAsia"/>
          <w:color w:val="auto"/>
          <w:spacing w:val="-11"/>
          <w:sz w:val="24"/>
          <w:szCs w:val="24"/>
          <w:highlight w:val="none"/>
        </w:rPr>
      </w:pPr>
    </w:p>
    <w:p>
      <w:pPr>
        <w:spacing w:before="78" w:line="360" w:lineRule="auto"/>
        <w:ind w:firstLine="421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120" w:line="360" w:lineRule="auto"/>
        <w:ind w:firstLine="4268" w:firstLineChars="2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3"/>
          <w:sz w:val="24"/>
          <w:szCs w:val="24"/>
          <w:highlight w:val="none"/>
        </w:rPr>
        <w:t xml:space="preserve">日期：  年   月   </w:t>
      </w:r>
      <w:r>
        <w:rPr>
          <w:rFonts w:hint="eastAsia" w:asciiTheme="minorEastAsia" w:hAnsiTheme="minorEastAsia" w:eastAsiaTheme="minorEastAsia" w:cstheme="minorEastAsia"/>
          <w:color w:val="auto"/>
          <w:sz w:val="24"/>
          <w:szCs w:val="24"/>
          <w:highlight w:val="none"/>
        </w:rPr>
        <w:t>日</w:t>
      </w:r>
    </w:p>
    <w:p>
      <w:pPr>
        <w:rPr>
          <w:rFonts w:asciiTheme="minorEastAsia" w:hAnsiTheme="minorEastAsia" w:eastAsiaTheme="minorEastAsia" w:cstheme="minorEastAsia"/>
          <w:color w:val="auto"/>
          <w:spacing w:val="-2"/>
          <w:sz w:val="30"/>
          <w:szCs w:val="30"/>
          <w:highlight w:val="none"/>
        </w:rPr>
      </w:pPr>
      <w:r>
        <w:rPr>
          <w:rFonts w:hint="eastAsia" w:asciiTheme="minorEastAsia" w:hAnsiTheme="minorEastAsia" w:eastAsiaTheme="minorEastAsia" w:cstheme="minorEastAsia"/>
          <w:color w:val="auto"/>
          <w:spacing w:val="-2"/>
          <w:sz w:val="30"/>
          <w:szCs w:val="30"/>
          <w:highlight w:val="none"/>
        </w:rPr>
        <w:br w:type="page"/>
      </w:r>
    </w:p>
    <w:p>
      <w:pPr>
        <w:spacing w:before="240" w:line="360" w:lineRule="auto"/>
        <w:ind w:firstLine="742"/>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2"/>
          <w:sz w:val="30"/>
          <w:szCs w:val="30"/>
          <w:highlight w:val="none"/>
        </w:rPr>
        <w:t>六、供应商类似的业绩证明文件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tbl>
      <w:tblPr>
        <w:tblStyle w:val="34"/>
        <w:tblW w:w="98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840"/>
        <w:gridCol w:w="1703"/>
        <w:gridCol w:w="3120"/>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389" w:type="dxa"/>
            <w:vMerge w:val="restart"/>
            <w:tcBorders>
              <w:bottom w:val="nil"/>
            </w:tcBorders>
          </w:tcPr>
          <w:p>
            <w:pPr>
              <w:spacing w:line="360" w:lineRule="auto"/>
              <w:rPr>
                <w:rFonts w:asciiTheme="minorEastAsia" w:hAnsiTheme="minorEastAsia" w:eastAsiaTheme="minorEastAsia" w:cstheme="minorEastAsia"/>
                <w:color w:val="auto"/>
                <w:highlight w:val="none"/>
              </w:rPr>
            </w:pPr>
          </w:p>
          <w:p>
            <w:pPr>
              <w:spacing w:before="78" w:line="360" w:lineRule="auto"/>
              <w:ind w:left="576" w:right="210" w:hanging="3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采购人名</w:t>
            </w:r>
            <w:r>
              <w:rPr>
                <w:rFonts w:hint="eastAsia" w:asciiTheme="minorEastAsia" w:hAnsiTheme="minorEastAsia" w:eastAsiaTheme="minorEastAsia" w:cstheme="minorEastAsia"/>
                <w:color w:val="auto"/>
                <w:sz w:val="24"/>
                <w:szCs w:val="24"/>
                <w:highlight w:val="none"/>
              </w:rPr>
              <w:t>称</w:t>
            </w:r>
          </w:p>
        </w:tc>
        <w:tc>
          <w:tcPr>
            <w:tcW w:w="1840" w:type="dxa"/>
            <w:vMerge w:val="restart"/>
            <w:tcBorders>
              <w:bottom w:val="nil"/>
            </w:tcBorders>
          </w:tcPr>
          <w:p>
            <w:pPr>
              <w:spacing w:line="360" w:lineRule="auto"/>
              <w:rPr>
                <w:rFonts w:asciiTheme="minorEastAsia" w:hAnsiTheme="minorEastAsia" w:eastAsiaTheme="minorEastAsia" w:cstheme="minorEastAsia"/>
                <w:color w:val="auto"/>
                <w:highlight w:val="none"/>
              </w:rPr>
            </w:pPr>
          </w:p>
          <w:p>
            <w:pPr>
              <w:spacing w:before="78" w:line="360" w:lineRule="auto"/>
              <w:ind w:firstLine="4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项目名称</w:t>
            </w:r>
          </w:p>
        </w:tc>
        <w:tc>
          <w:tcPr>
            <w:tcW w:w="1703" w:type="dxa"/>
            <w:vMerge w:val="restart"/>
            <w:tcBorders>
              <w:bottom w:val="nil"/>
            </w:tcBorders>
            <w:textDirection w:val="tbRlV"/>
          </w:tcPr>
          <w:p>
            <w:pPr>
              <w:spacing w:before="321" w:line="360" w:lineRule="auto"/>
              <w:ind w:firstLine="16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w w:val="102"/>
                <w:position w:val="1"/>
                <w:sz w:val="24"/>
                <w:szCs w:val="24"/>
                <w:highlight w:val="none"/>
              </w:rPr>
              <w:t>同额万</w:t>
            </w:r>
            <w:r>
              <w:rPr>
                <w:rFonts w:hint="eastAsia" w:asciiTheme="minorEastAsia" w:hAnsiTheme="minorEastAsia" w:eastAsiaTheme="minorEastAsia" w:cstheme="minorEastAsia"/>
                <w:color w:val="auto"/>
                <w:spacing w:val="24"/>
                <w:w w:val="102"/>
                <w:position w:val="-4"/>
                <w:sz w:val="24"/>
                <w:szCs w:val="24"/>
                <w:highlight w:val="none"/>
              </w:rPr>
              <w:t>）</w:t>
            </w:r>
          </w:p>
          <w:p>
            <w:pPr>
              <w:spacing w:line="360" w:lineRule="auto"/>
              <w:ind w:firstLine="16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合金</w:t>
            </w:r>
            <w:r>
              <w:rPr>
                <w:rFonts w:hint="eastAsia" w:asciiTheme="minorEastAsia" w:hAnsiTheme="minorEastAsia" w:eastAsiaTheme="minorEastAsia" w:cstheme="minorEastAsia"/>
                <w:color w:val="auto"/>
                <w:spacing w:val="-1"/>
                <w:position w:val="4"/>
                <w:sz w:val="24"/>
                <w:szCs w:val="24"/>
                <w:highlight w:val="none"/>
              </w:rPr>
              <w:t>（</w:t>
            </w:r>
            <w:r>
              <w:rPr>
                <w:rFonts w:hint="eastAsia" w:asciiTheme="minorEastAsia" w:hAnsiTheme="minorEastAsia" w:eastAsiaTheme="minorEastAsia" w:cstheme="minorEastAsia"/>
                <w:color w:val="auto"/>
                <w:spacing w:val="-1"/>
                <w:sz w:val="24"/>
                <w:szCs w:val="24"/>
                <w:highlight w:val="none"/>
              </w:rPr>
              <w:t>元</w:t>
            </w:r>
          </w:p>
        </w:tc>
        <w:tc>
          <w:tcPr>
            <w:tcW w:w="3120" w:type="dxa"/>
          </w:tcPr>
          <w:p>
            <w:pPr>
              <w:spacing w:before="104" w:line="360" w:lineRule="auto"/>
              <w:ind w:firstLine="468"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附件在响应文件中页码</w:t>
            </w:r>
          </w:p>
        </w:tc>
        <w:tc>
          <w:tcPr>
            <w:tcW w:w="1811" w:type="dxa"/>
            <w:vMerge w:val="restart"/>
            <w:tcBorders>
              <w:bottom w:val="nil"/>
            </w:tcBorders>
          </w:tcPr>
          <w:p>
            <w:pPr>
              <w:spacing w:line="360" w:lineRule="auto"/>
              <w:rPr>
                <w:rFonts w:asciiTheme="minorEastAsia" w:hAnsiTheme="minorEastAsia" w:eastAsiaTheme="minorEastAsia" w:cstheme="minorEastAsia"/>
                <w:color w:val="auto"/>
                <w:highlight w:val="none"/>
              </w:rPr>
            </w:pPr>
          </w:p>
          <w:p>
            <w:pPr>
              <w:spacing w:before="78" w:line="360" w:lineRule="auto"/>
              <w:ind w:left="332" w:right="199" w:hanging="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389" w:type="dxa"/>
            <w:vMerge w:val="continue"/>
            <w:tcBorders>
              <w:top w:val="nil"/>
            </w:tcBorders>
          </w:tcPr>
          <w:p>
            <w:pPr>
              <w:spacing w:line="360" w:lineRule="auto"/>
              <w:rPr>
                <w:rFonts w:asciiTheme="minorEastAsia" w:hAnsiTheme="minorEastAsia" w:eastAsiaTheme="minorEastAsia" w:cstheme="minorEastAsia"/>
                <w:color w:val="auto"/>
                <w:highlight w:val="none"/>
              </w:rPr>
            </w:pPr>
          </w:p>
        </w:tc>
        <w:tc>
          <w:tcPr>
            <w:tcW w:w="1840" w:type="dxa"/>
            <w:vMerge w:val="continue"/>
            <w:tcBorders>
              <w:top w:val="nil"/>
            </w:tcBorders>
          </w:tcPr>
          <w:p>
            <w:pPr>
              <w:spacing w:line="360" w:lineRule="auto"/>
              <w:rPr>
                <w:rFonts w:asciiTheme="minorEastAsia" w:hAnsiTheme="minorEastAsia" w:eastAsiaTheme="minorEastAsia" w:cstheme="minorEastAsia"/>
                <w:color w:val="auto"/>
                <w:highlight w:val="none"/>
              </w:rPr>
            </w:pPr>
          </w:p>
        </w:tc>
        <w:tc>
          <w:tcPr>
            <w:tcW w:w="1703" w:type="dxa"/>
            <w:vMerge w:val="continue"/>
            <w:tcBorders>
              <w:top w:val="nil"/>
            </w:tcBorders>
            <w:textDirection w:val="tbRlV"/>
          </w:tcPr>
          <w:p>
            <w:pPr>
              <w:spacing w:line="360" w:lineRule="auto"/>
              <w:rPr>
                <w:rFonts w:asciiTheme="minorEastAsia" w:hAnsiTheme="minorEastAsia" w:eastAsiaTheme="minorEastAsia" w:cstheme="minorEastAsia"/>
                <w:color w:val="auto"/>
                <w:highlight w:val="none"/>
              </w:rPr>
            </w:pPr>
          </w:p>
        </w:tc>
        <w:tc>
          <w:tcPr>
            <w:tcW w:w="3120" w:type="dxa"/>
            <w:vAlign w:val="center"/>
          </w:tcPr>
          <w:p>
            <w:pPr>
              <w:spacing w:before="272" w:line="360" w:lineRule="auto"/>
              <w:ind w:firstLine="16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中标/成交通知书或合同</w:t>
            </w:r>
          </w:p>
        </w:tc>
        <w:tc>
          <w:tcPr>
            <w:tcW w:w="1811" w:type="dxa"/>
            <w:vMerge w:val="continue"/>
            <w:tcBorders>
              <w:top w:val="nil"/>
            </w:tcBorders>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89" w:type="dxa"/>
          </w:tcPr>
          <w:p>
            <w:pPr>
              <w:spacing w:line="360" w:lineRule="auto"/>
              <w:rPr>
                <w:rFonts w:asciiTheme="minorEastAsia" w:hAnsiTheme="minorEastAsia" w:eastAsiaTheme="minorEastAsia" w:cstheme="minorEastAsia"/>
                <w:color w:val="auto"/>
                <w:highlight w:val="none"/>
              </w:rPr>
            </w:pPr>
          </w:p>
        </w:tc>
        <w:tc>
          <w:tcPr>
            <w:tcW w:w="1840" w:type="dxa"/>
          </w:tcPr>
          <w:p>
            <w:pPr>
              <w:spacing w:line="360" w:lineRule="auto"/>
              <w:rPr>
                <w:rFonts w:asciiTheme="minorEastAsia" w:hAnsiTheme="minorEastAsia" w:eastAsiaTheme="minorEastAsia" w:cstheme="minorEastAsia"/>
                <w:color w:val="auto"/>
                <w:highlight w:val="none"/>
              </w:rPr>
            </w:pPr>
          </w:p>
        </w:tc>
        <w:tc>
          <w:tcPr>
            <w:tcW w:w="1703" w:type="dxa"/>
          </w:tcPr>
          <w:p>
            <w:pPr>
              <w:spacing w:line="360" w:lineRule="auto"/>
              <w:rPr>
                <w:rFonts w:asciiTheme="minorEastAsia" w:hAnsiTheme="minorEastAsia" w:eastAsiaTheme="minorEastAsia" w:cstheme="minorEastAsia"/>
                <w:color w:val="auto"/>
                <w:highlight w:val="none"/>
              </w:rPr>
            </w:pPr>
          </w:p>
        </w:tc>
        <w:tc>
          <w:tcPr>
            <w:tcW w:w="3120" w:type="dxa"/>
            <w:vAlign w:val="center"/>
          </w:tcPr>
          <w:p>
            <w:pPr>
              <w:spacing w:line="360" w:lineRule="auto"/>
              <w:jc w:val="center"/>
              <w:rPr>
                <w:rFonts w:asciiTheme="minorEastAsia" w:hAnsiTheme="minorEastAsia" w:eastAsiaTheme="minorEastAsia" w:cstheme="minorEastAsia"/>
                <w:color w:val="auto"/>
                <w:highlight w:val="none"/>
              </w:rPr>
            </w:pPr>
          </w:p>
        </w:tc>
        <w:tc>
          <w:tcPr>
            <w:tcW w:w="1811"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89" w:type="dxa"/>
          </w:tcPr>
          <w:p>
            <w:pPr>
              <w:spacing w:line="360" w:lineRule="auto"/>
              <w:rPr>
                <w:rFonts w:asciiTheme="minorEastAsia" w:hAnsiTheme="minorEastAsia" w:eastAsiaTheme="minorEastAsia" w:cstheme="minorEastAsia"/>
                <w:color w:val="auto"/>
                <w:highlight w:val="none"/>
              </w:rPr>
            </w:pPr>
          </w:p>
        </w:tc>
        <w:tc>
          <w:tcPr>
            <w:tcW w:w="1840" w:type="dxa"/>
          </w:tcPr>
          <w:p>
            <w:pPr>
              <w:spacing w:line="360" w:lineRule="auto"/>
              <w:rPr>
                <w:rFonts w:asciiTheme="minorEastAsia" w:hAnsiTheme="minorEastAsia" w:eastAsiaTheme="minorEastAsia" w:cstheme="minorEastAsia"/>
                <w:color w:val="auto"/>
                <w:highlight w:val="none"/>
              </w:rPr>
            </w:pPr>
          </w:p>
        </w:tc>
        <w:tc>
          <w:tcPr>
            <w:tcW w:w="1703" w:type="dxa"/>
          </w:tcPr>
          <w:p>
            <w:pPr>
              <w:spacing w:line="360" w:lineRule="auto"/>
              <w:rPr>
                <w:rFonts w:asciiTheme="minorEastAsia" w:hAnsiTheme="minorEastAsia" w:eastAsiaTheme="minorEastAsia" w:cstheme="minorEastAsia"/>
                <w:color w:val="auto"/>
                <w:highlight w:val="none"/>
              </w:rPr>
            </w:pPr>
          </w:p>
        </w:tc>
        <w:tc>
          <w:tcPr>
            <w:tcW w:w="3120" w:type="dxa"/>
          </w:tcPr>
          <w:p>
            <w:pPr>
              <w:spacing w:line="360" w:lineRule="auto"/>
              <w:rPr>
                <w:rFonts w:asciiTheme="minorEastAsia" w:hAnsiTheme="minorEastAsia" w:eastAsiaTheme="minorEastAsia" w:cstheme="minorEastAsia"/>
                <w:color w:val="auto"/>
                <w:highlight w:val="none"/>
              </w:rPr>
            </w:pPr>
          </w:p>
        </w:tc>
        <w:tc>
          <w:tcPr>
            <w:tcW w:w="1811"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89" w:type="dxa"/>
          </w:tcPr>
          <w:p>
            <w:pPr>
              <w:spacing w:line="360" w:lineRule="auto"/>
              <w:rPr>
                <w:rFonts w:asciiTheme="minorEastAsia" w:hAnsiTheme="minorEastAsia" w:eastAsiaTheme="minorEastAsia" w:cstheme="minorEastAsia"/>
                <w:color w:val="auto"/>
                <w:highlight w:val="none"/>
              </w:rPr>
            </w:pPr>
          </w:p>
        </w:tc>
        <w:tc>
          <w:tcPr>
            <w:tcW w:w="1840" w:type="dxa"/>
          </w:tcPr>
          <w:p>
            <w:pPr>
              <w:spacing w:line="360" w:lineRule="auto"/>
              <w:rPr>
                <w:rFonts w:asciiTheme="minorEastAsia" w:hAnsiTheme="minorEastAsia" w:eastAsiaTheme="minorEastAsia" w:cstheme="minorEastAsia"/>
                <w:color w:val="auto"/>
                <w:highlight w:val="none"/>
              </w:rPr>
            </w:pPr>
          </w:p>
        </w:tc>
        <w:tc>
          <w:tcPr>
            <w:tcW w:w="1703" w:type="dxa"/>
          </w:tcPr>
          <w:p>
            <w:pPr>
              <w:spacing w:line="360" w:lineRule="auto"/>
              <w:rPr>
                <w:rFonts w:asciiTheme="minorEastAsia" w:hAnsiTheme="minorEastAsia" w:eastAsiaTheme="minorEastAsia" w:cstheme="minorEastAsia"/>
                <w:color w:val="auto"/>
                <w:highlight w:val="none"/>
              </w:rPr>
            </w:pPr>
          </w:p>
        </w:tc>
        <w:tc>
          <w:tcPr>
            <w:tcW w:w="3120" w:type="dxa"/>
          </w:tcPr>
          <w:p>
            <w:pPr>
              <w:spacing w:line="360" w:lineRule="auto"/>
              <w:rPr>
                <w:rFonts w:asciiTheme="minorEastAsia" w:hAnsiTheme="minorEastAsia" w:eastAsiaTheme="minorEastAsia" w:cstheme="minorEastAsia"/>
                <w:color w:val="auto"/>
                <w:highlight w:val="none"/>
              </w:rPr>
            </w:pPr>
          </w:p>
        </w:tc>
        <w:tc>
          <w:tcPr>
            <w:tcW w:w="1811"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89" w:type="dxa"/>
          </w:tcPr>
          <w:p>
            <w:pPr>
              <w:spacing w:line="360" w:lineRule="auto"/>
              <w:rPr>
                <w:rFonts w:asciiTheme="minorEastAsia" w:hAnsiTheme="minorEastAsia" w:eastAsiaTheme="minorEastAsia" w:cstheme="minorEastAsia"/>
                <w:color w:val="auto"/>
                <w:highlight w:val="none"/>
              </w:rPr>
            </w:pPr>
          </w:p>
        </w:tc>
        <w:tc>
          <w:tcPr>
            <w:tcW w:w="1840" w:type="dxa"/>
          </w:tcPr>
          <w:p>
            <w:pPr>
              <w:spacing w:line="360" w:lineRule="auto"/>
              <w:rPr>
                <w:rFonts w:asciiTheme="minorEastAsia" w:hAnsiTheme="minorEastAsia" w:eastAsiaTheme="minorEastAsia" w:cstheme="minorEastAsia"/>
                <w:color w:val="auto"/>
                <w:highlight w:val="none"/>
              </w:rPr>
            </w:pPr>
          </w:p>
        </w:tc>
        <w:tc>
          <w:tcPr>
            <w:tcW w:w="1703" w:type="dxa"/>
          </w:tcPr>
          <w:p>
            <w:pPr>
              <w:spacing w:line="360" w:lineRule="auto"/>
              <w:rPr>
                <w:rFonts w:asciiTheme="minorEastAsia" w:hAnsiTheme="minorEastAsia" w:eastAsiaTheme="minorEastAsia" w:cstheme="minorEastAsia"/>
                <w:color w:val="auto"/>
                <w:highlight w:val="none"/>
              </w:rPr>
            </w:pPr>
          </w:p>
        </w:tc>
        <w:tc>
          <w:tcPr>
            <w:tcW w:w="3120" w:type="dxa"/>
          </w:tcPr>
          <w:p>
            <w:pPr>
              <w:spacing w:line="360" w:lineRule="auto"/>
              <w:rPr>
                <w:rFonts w:asciiTheme="minorEastAsia" w:hAnsiTheme="minorEastAsia" w:eastAsiaTheme="minorEastAsia" w:cstheme="minorEastAsia"/>
                <w:color w:val="auto"/>
                <w:highlight w:val="none"/>
              </w:rPr>
            </w:pPr>
          </w:p>
        </w:tc>
        <w:tc>
          <w:tcPr>
            <w:tcW w:w="1811"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89" w:type="dxa"/>
          </w:tcPr>
          <w:p>
            <w:pPr>
              <w:spacing w:line="360" w:lineRule="auto"/>
              <w:rPr>
                <w:rFonts w:asciiTheme="minorEastAsia" w:hAnsiTheme="minorEastAsia" w:eastAsiaTheme="minorEastAsia" w:cstheme="minorEastAsia"/>
                <w:color w:val="auto"/>
                <w:highlight w:val="none"/>
              </w:rPr>
            </w:pPr>
          </w:p>
        </w:tc>
        <w:tc>
          <w:tcPr>
            <w:tcW w:w="1840" w:type="dxa"/>
          </w:tcPr>
          <w:p>
            <w:pPr>
              <w:spacing w:line="360" w:lineRule="auto"/>
              <w:rPr>
                <w:rFonts w:asciiTheme="minorEastAsia" w:hAnsiTheme="minorEastAsia" w:eastAsiaTheme="minorEastAsia" w:cstheme="minorEastAsia"/>
                <w:color w:val="auto"/>
                <w:highlight w:val="none"/>
              </w:rPr>
            </w:pPr>
          </w:p>
        </w:tc>
        <w:tc>
          <w:tcPr>
            <w:tcW w:w="1703" w:type="dxa"/>
          </w:tcPr>
          <w:p>
            <w:pPr>
              <w:spacing w:line="360" w:lineRule="auto"/>
              <w:rPr>
                <w:rFonts w:asciiTheme="minorEastAsia" w:hAnsiTheme="minorEastAsia" w:eastAsiaTheme="minorEastAsia" w:cstheme="minorEastAsia"/>
                <w:color w:val="auto"/>
                <w:highlight w:val="none"/>
              </w:rPr>
            </w:pPr>
          </w:p>
        </w:tc>
        <w:tc>
          <w:tcPr>
            <w:tcW w:w="3120" w:type="dxa"/>
          </w:tcPr>
          <w:p>
            <w:pPr>
              <w:spacing w:line="360" w:lineRule="auto"/>
              <w:rPr>
                <w:rFonts w:asciiTheme="minorEastAsia" w:hAnsiTheme="minorEastAsia" w:eastAsiaTheme="minorEastAsia" w:cstheme="minorEastAsia"/>
                <w:color w:val="auto"/>
                <w:highlight w:val="none"/>
              </w:rPr>
            </w:pPr>
          </w:p>
        </w:tc>
        <w:tc>
          <w:tcPr>
            <w:tcW w:w="1811" w:type="dxa"/>
          </w:tcPr>
          <w:p>
            <w:pPr>
              <w:spacing w:line="360" w:lineRule="auto"/>
              <w:rPr>
                <w:rFonts w:asciiTheme="minorEastAsia" w:hAnsiTheme="minorEastAsia" w:eastAsiaTheme="minorEastAsia" w:cstheme="minorEastAsia"/>
                <w:color w:val="auto"/>
                <w:highlight w:val="none"/>
              </w:rPr>
            </w:pPr>
          </w:p>
        </w:tc>
      </w:tr>
    </w:tbl>
    <w:p>
      <w:pPr>
        <w:spacing w:line="360" w:lineRule="auto"/>
        <w:rPr>
          <w:rFonts w:asciiTheme="minorEastAsia" w:hAnsiTheme="minorEastAsia" w:eastAsiaTheme="minorEastAsia" w:cstheme="minorEastAsia"/>
          <w:color w:val="auto"/>
          <w:highlight w:val="none"/>
        </w:rPr>
      </w:pPr>
    </w:p>
    <w:p>
      <w:pPr>
        <w:tabs>
          <w:tab w:val="left" w:pos="9240"/>
        </w:tabs>
        <w:spacing w:before="78" w:line="360" w:lineRule="auto"/>
        <w:ind w:left="127" w:right="398" w:firstLine="137"/>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附表:相关项目业绩一览表（供应商同类项目合同复印件格式自拟）</w:t>
      </w:r>
    </w:p>
    <w:p>
      <w:pPr>
        <w:spacing w:before="78" w:line="360" w:lineRule="auto"/>
        <w:ind w:left="127" w:right="398" w:firstLine="137"/>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注：供应商可按上述的格式自行编制，须随表提交相应的中标/成交通知书或合同复印件。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79" w:line="360" w:lineRule="auto"/>
        <w:ind w:firstLine="5845" w:firstLineChars="245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供应商名称(电子签章)：</w:t>
      </w:r>
    </w:p>
    <w:p>
      <w:pPr>
        <w:spacing w:before="315" w:line="360" w:lineRule="auto"/>
        <w:ind w:firstLine="65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日期：年 月 日</w:t>
      </w:r>
    </w:p>
    <w:p>
      <w:pPr>
        <w:spacing w:line="360" w:lineRule="auto"/>
        <w:rPr>
          <w:rFonts w:asciiTheme="minorEastAsia" w:hAnsiTheme="minorEastAsia" w:eastAsiaTheme="minorEastAsia" w:cstheme="minorEastAsia"/>
          <w:color w:val="auto"/>
          <w:highlight w:val="none"/>
        </w:rPr>
        <w:sectPr>
          <w:headerReference r:id="rId39" w:type="default"/>
          <w:footerReference r:id="rId40" w:type="default"/>
          <w:pgSz w:w="11906" w:h="16838"/>
          <w:pgMar w:top="935" w:right="1134" w:bottom="1073" w:left="1134" w:header="704" w:footer="952" w:gutter="0"/>
          <w:cols w:space="720" w:num="1"/>
        </w:sectPr>
      </w:pPr>
    </w:p>
    <w:p>
      <w:pPr>
        <w:spacing w:line="36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mc:AlternateContent>
          <mc:Choice Requires="wps">
            <w:drawing>
              <wp:anchor distT="0" distB="0" distL="114300" distR="114300" simplePos="0" relativeHeight="251665408" behindDoc="0" locked="0" layoutInCell="0" allowOverlap="1">
                <wp:simplePos x="0" y="0"/>
                <wp:positionH relativeFrom="page">
                  <wp:posOffset>1031875</wp:posOffset>
                </wp:positionH>
                <wp:positionV relativeFrom="page">
                  <wp:posOffset>4725670</wp:posOffset>
                </wp:positionV>
                <wp:extent cx="242570" cy="45466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242570" cy="454660"/>
                        </a:xfrm>
                        <a:prstGeom prst="rect">
                          <a:avLst/>
                        </a:prstGeom>
                        <a:noFill/>
                        <a:ln>
                          <a:noFill/>
                        </a:ln>
                      </wps:spPr>
                      <wps:txbx>
                        <w:txbxContent>
                          <w:p>
                            <w:pPr>
                              <w:spacing w:before="20" w:line="38" w:lineRule="exact"/>
                              <w:ind w:firstLine="20"/>
                              <w:rPr>
                                <w:rFonts w:ascii="宋体" w:hAnsi="宋体" w:eastAsia="宋体" w:cs="宋体"/>
                                <w:sz w:val="24"/>
                                <w:szCs w:val="24"/>
                              </w:rPr>
                            </w:pPr>
                            <w:r>
                              <w:rPr>
                                <w:rFonts w:ascii="宋体" w:hAnsi="宋体" w:eastAsia="宋体" w:cs="宋体"/>
                                <w:spacing w:val="49"/>
                                <w:w w:val="129"/>
                                <w:position w:val="-7"/>
                                <w:sz w:val="24"/>
                                <w:szCs w:val="24"/>
                              </w:rPr>
                              <w:t>：</w:t>
                            </w:r>
                          </w:p>
                          <w:p>
                            <w:pPr>
                              <w:spacing w:line="28" w:lineRule="exact"/>
                              <w:ind w:firstLine="381"/>
                              <w:rPr>
                                <w:rFonts w:ascii="宋体" w:hAnsi="宋体" w:eastAsia="宋体" w:cs="宋体"/>
                                <w:sz w:val="20"/>
                                <w:szCs w:val="20"/>
                              </w:rPr>
                            </w:pPr>
                            <w:r>
                              <w:rPr>
                                <w:rFonts w:ascii="宋体" w:hAnsi="宋体" w:eastAsia="宋体" w:cs="宋体"/>
                                <w:spacing w:val="40"/>
                                <w:w w:val="134"/>
                                <w:position w:val="-6"/>
                                <w:sz w:val="20"/>
                                <w:szCs w:val="20"/>
                              </w:rPr>
                              <w:t>：</w:t>
                            </w:r>
                          </w:p>
                          <w:p>
                            <w:pPr>
                              <w:spacing w:line="204" w:lineRule="auto"/>
                              <w:ind w:firstLine="20"/>
                              <w:rPr>
                                <w:rFonts w:ascii="宋体" w:hAnsi="宋体" w:eastAsia="宋体" w:cs="宋体"/>
                              </w:rPr>
                            </w:pPr>
                            <w:r>
                              <w:rPr>
                                <w:rFonts w:ascii="宋体" w:hAnsi="宋体" w:eastAsia="宋体" w:cs="宋体"/>
                                <w:spacing w:val="-1"/>
                                <w:sz w:val="24"/>
                                <w:szCs w:val="24"/>
                              </w:rPr>
                              <w:t>注</w:t>
                            </w:r>
                            <w:r>
                              <w:rPr>
                                <w:rFonts w:ascii="宋体" w:hAnsi="宋体" w:eastAsia="宋体" w:cs="宋体"/>
                                <w:spacing w:val="-1"/>
                              </w:rPr>
                              <w:t>注</w:t>
                            </w:r>
                          </w:p>
                        </w:txbxContent>
                      </wps:txbx>
                      <wps:bodyPr vert="eaVert" lIns="0" tIns="0" rIns="0" bIns="0" upright="1"/>
                    </wps:wsp>
                  </a:graphicData>
                </a:graphic>
              </wp:anchor>
            </w:drawing>
          </mc:Choice>
          <mc:Fallback>
            <w:pict>
              <v:shape id="文本框 22" o:spid="_x0000_s1026" o:spt="202" type="#_x0000_t202" style="position:absolute;left:0pt;margin-left:81.25pt;margin-top:372.1pt;height:35.8pt;width:19.1pt;mso-position-horizontal-relative:page;mso-position-vertical-relative:page;z-index:251665408;mso-width-relative:page;mso-height-relative:page;" filled="f" stroked="f" coordsize="21600,21600" o:allowincell="f" o:gfxdata="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ecrxfXAAAACwEAAA8AAAAAAAAAAQAgAAAAIgAAAGRycy9kb3ducmV2&#10;LnhtbFBLAQIUABQAAAAIAIdO4kAZw/MMxAEAAIADAAAOAAAAAAAAAAEAIAAAACYBAABkcnMvZTJv&#10;RG9jLnhtbFBLBQYAAAAABgAGAFkBAABcBQAAAAA=&#10;">
                <v:fill on="f" focussize="0,0"/>
                <v:stroke on="f"/>
                <v:imagedata o:title=""/>
                <o:lock v:ext="edit" aspectratio="f"/>
                <v:textbox inset="0mm,0mm,0mm,0mm" style="layout-flow:vertical-ideographic;">
                  <w:txbxContent>
                    <w:p>
                      <w:pPr>
                        <w:spacing w:before="20" w:line="38" w:lineRule="exact"/>
                        <w:ind w:firstLine="20"/>
                        <w:rPr>
                          <w:rFonts w:ascii="宋体" w:hAnsi="宋体" w:eastAsia="宋体" w:cs="宋体"/>
                          <w:sz w:val="24"/>
                          <w:szCs w:val="24"/>
                        </w:rPr>
                      </w:pPr>
                      <w:r>
                        <w:rPr>
                          <w:rFonts w:ascii="宋体" w:hAnsi="宋体" w:eastAsia="宋体" w:cs="宋体"/>
                          <w:spacing w:val="49"/>
                          <w:w w:val="129"/>
                          <w:position w:val="-7"/>
                          <w:sz w:val="24"/>
                          <w:szCs w:val="24"/>
                        </w:rPr>
                        <w:t>：</w:t>
                      </w:r>
                    </w:p>
                    <w:p>
                      <w:pPr>
                        <w:spacing w:line="28" w:lineRule="exact"/>
                        <w:ind w:firstLine="381"/>
                        <w:rPr>
                          <w:rFonts w:ascii="宋体" w:hAnsi="宋体" w:eastAsia="宋体" w:cs="宋体"/>
                          <w:sz w:val="20"/>
                          <w:szCs w:val="20"/>
                        </w:rPr>
                      </w:pPr>
                      <w:r>
                        <w:rPr>
                          <w:rFonts w:ascii="宋体" w:hAnsi="宋体" w:eastAsia="宋体" w:cs="宋体"/>
                          <w:spacing w:val="40"/>
                          <w:w w:val="134"/>
                          <w:position w:val="-6"/>
                          <w:sz w:val="20"/>
                          <w:szCs w:val="20"/>
                        </w:rPr>
                        <w:t>：</w:t>
                      </w:r>
                    </w:p>
                    <w:p>
                      <w:pPr>
                        <w:spacing w:line="204" w:lineRule="auto"/>
                        <w:ind w:firstLine="20"/>
                        <w:rPr>
                          <w:rFonts w:ascii="宋体" w:hAnsi="宋体" w:eastAsia="宋体" w:cs="宋体"/>
                        </w:rPr>
                      </w:pPr>
                      <w:r>
                        <w:rPr>
                          <w:rFonts w:ascii="宋体" w:hAnsi="宋体" w:eastAsia="宋体" w:cs="宋体"/>
                          <w:spacing w:val="-1"/>
                          <w:sz w:val="24"/>
                          <w:szCs w:val="24"/>
                        </w:rPr>
                        <w:t>注</w:t>
                      </w:r>
                      <w:r>
                        <w:rPr>
                          <w:rFonts w:ascii="宋体" w:hAnsi="宋体" w:eastAsia="宋体" w:cs="宋体"/>
                          <w:spacing w:val="-1"/>
                        </w:rPr>
                        <w:t>注</w:t>
                      </w:r>
                    </w:p>
                  </w:txbxContent>
                </v:textbox>
              </v:shape>
            </w:pict>
          </mc:Fallback>
        </mc:AlternateContent>
      </w:r>
    </w:p>
    <w:p>
      <w:pPr>
        <w:spacing w:before="98" w:line="360" w:lineRule="auto"/>
        <w:ind w:firstLine="629"/>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七、服务需求偏离表</w:t>
      </w:r>
    </w:p>
    <w:p>
      <w:pPr>
        <w:spacing w:line="36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mc:AlternateContent>
          <mc:Choice Requires="wps">
            <w:drawing>
              <wp:anchor distT="0" distB="0" distL="114300" distR="114300" simplePos="0" relativeHeight="251664384" behindDoc="0" locked="0" layoutInCell="0" allowOverlap="1">
                <wp:simplePos x="0" y="0"/>
                <wp:positionH relativeFrom="page">
                  <wp:posOffset>2315845</wp:posOffset>
                </wp:positionH>
                <wp:positionV relativeFrom="page">
                  <wp:posOffset>1347470</wp:posOffset>
                </wp:positionV>
                <wp:extent cx="3072765" cy="386715"/>
                <wp:effectExtent l="0" t="0" r="0" b="0"/>
                <wp:wrapNone/>
                <wp:docPr id="3" name="文本框 23"/>
                <wp:cNvGraphicFramePr/>
                <a:graphic xmlns:a="http://schemas.openxmlformats.org/drawingml/2006/main">
                  <a:graphicData uri="http://schemas.microsoft.com/office/word/2010/wordprocessingShape">
                    <wps:wsp>
                      <wps:cNvSpPr txBox="1"/>
                      <wps:spPr>
                        <a:xfrm>
                          <a:off x="0" y="0"/>
                          <a:ext cx="3072765" cy="386715"/>
                        </a:xfrm>
                        <a:prstGeom prst="rect">
                          <a:avLst/>
                        </a:prstGeom>
                        <a:noFill/>
                        <a:ln>
                          <a:noFill/>
                        </a:ln>
                      </wps:spPr>
                      <wps:txbx>
                        <w:txbxContent>
                          <w:p>
                            <w:pPr>
                              <w:spacing w:before="20" w:line="194" w:lineRule="auto"/>
                              <w:ind w:firstLine="20"/>
                              <w:rPr>
                                <w:rFonts w:ascii="仿宋" w:hAnsi="仿宋" w:eastAsia="仿宋" w:cs="仿宋"/>
                                <w:sz w:val="44"/>
                                <w:szCs w:val="44"/>
                              </w:rPr>
                            </w:pPr>
                            <w:r>
                              <w:rPr>
                                <w:rFonts w:ascii="仿宋" w:hAnsi="仿宋" w:eastAsia="仿宋" w:cs="仿宋"/>
                                <w:spacing w:val="-4"/>
                                <w:sz w:val="44"/>
                                <w:szCs w:val="44"/>
                              </w:rPr>
                              <w:t>竞标产品服务需求偏离表</w:t>
                            </w:r>
                          </w:p>
                        </w:txbxContent>
                      </wps:txbx>
                      <wps:bodyPr lIns="0" tIns="0" rIns="0" bIns="0" upright="1"/>
                    </wps:wsp>
                  </a:graphicData>
                </a:graphic>
              </wp:anchor>
            </w:drawing>
          </mc:Choice>
          <mc:Fallback>
            <w:pict>
              <v:shape id="文本框 23" o:spid="_x0000_s1026" o:spt="202" type="#_x0000_t202" style="position:absolute;left:0pt;margin-left:182.35pt;margin-top:106.1pt;height:30.45pt;width:241.95pt;mso-position-horizontal-relative:page;mso-position-vertical-relative:page;z-index:251664384;mso-width-relative:page;mso-height-relative:page;" filled="f" stroked="f" coordsize="21600,21600" o:allowincell="f" o:gfxdata="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vjPL2gAAAAsBAAAPAAAAAAAAAAEAIAAAACIAAABkcnMvZG93bnJldi54bWxQ&#10;SwECFAAUAAAACACHTuJA4/zwQLwBAABzAwAADgAAAAAAAAABACAAAAApAQAAZHJzL2Uyb0RvYy54&#10;bWxQSwUGAAAAAAYABgBZAQAAVwUAAAAA&#10;">
                <v:fill on="f" focussize="0,0"/>
                <v:stroke on="f"/>
                <v:imagedata o:title=""/>
                <o:lock v:ext="edit" aspectratio="f"/>
                <v:textbox inset="0mm,0mm,0mm,0mm">
                  <w:txbxContent>
                    <w:p>
                      <w:pPr>
                        <w:spacing w:before="20" w:line="194" w:lineRule="auto"/>
                        <w:ind w:firstLine="20"/>
                        <w:rPr>
                          <w:rFonts w:ascii="仿宋" w:hAnsi="仿宋" w:eastAsia="仿宋" w:cs="仿宋"/>
                          <w:sz w:val="44"/>
                          <w:szCs w:val="44"/>
                        </w:rPr>
                      </w:pPr>
                      <w:r>
                        <w:rPr>
                          <w:rFonts w:ascii="仿宋" w:hAnsi="仿宋" w:eastAsia="仿宋" w:cs="仿宋"/>
                          <w:spacing w:val="-4"/>
                          <w:sz w:val="44"/>
                          <w:szCs w:val="44"/>
                        </w:rPr>
                        <w:t>竞标产品服务需求偏离表</w:t>
                      </w:r>
                    </w:p>
                  </w:txbxContent>
                </v:textbox>
              </v:shape>
            </w:pict>
          </mc:Fallback>
        </mc:AlternateContent>
      </w:r>
    </w:p>
    <w:p>
      <w:pPr>
        <w:pStyle w:val="10"/>
        <w:rPr>
          <w:color w:val="auto"/>
          <w:highlight w:val="none"/>
        </w:rPr>
      </w:pPr>
    </w:p>
    <w:p>
      <w:pPr>
        <w:spacing w:before="143" w:line="360" w:lineRule="auto"/>
        <w:ind w:firstLine="1371"/>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6"/>
          <w:position w:val="6"/>
          <w:sz w:val="32"/>
          <w:szCs w:val="32"/>
          <w:highlight w:val="none"/>
        </w:rPr>
        <w:t>(注：按采购需求具体条款修改)</w:t>
      </w:r>
    </w:p>
    <w:p>
      <w:pPr>
        <w:spacing w:before="257" w:line="360" w:lineRule="auto"/>
        <w:ind w:firstLine="1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2"/>
          <w:w w:val="94"/>
          <w:sz w:val="24"/>
          <w:szCs w:val="24"/>
          <w:highlight w:val="none"/>
        </w:rPr>
        <w:t>所竞分标：</w:t>
      </w:r>
    </w:p>
    <w:p>
      <w:pPr>
        <w:spacing w:line="360" w:lineRule="auto"/>
        <w:rPr>
          <w:rFonts w:asciiTheme="minorEastAsia" w:hAnsiTheme="minorEastAsia" w:eastAsiaTheme="minorEastAsia" w:cstheme="minorEastAsia"/>
          <w:color w:val="auto"/>
          <w:highlight w:val="none"/>
        </w:rPr>
      </w:pPr>
    </w:p>
    <w:tbl>
      <w:tblPr>
        <w:tblStyle w:val="34"/>
        <w:tblW w:w="9678"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363"/>
        <w:gridCol w:w="878"/>
        <w:gridCol w:w="1883"/>
        <w:gridCol w:w="1362"/>
        <w:gridCol w:w="785"/>
        <w:gridCol w:w="1368"/>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5" w:type="dxa"/>
            <w:vMerge w:val="restart"/>
            <w:tcBorders>
              <w:bottom w:val="nil"/>
            </w:tcBorders>
          </w:tcPr>
          <w:p>
            <w:pPr>
              <w:spacing w:before="300"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w:t>
            </w:r>
          </w:p>
          <w:p>
            <w:pPr>
              <w:spacing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号</w:t>
            </w:r>
          </w:p>
        </w:tc>
        <w:tc>
          <w:tcPr>
            <w:tcW w:w="4124" w:type="dxa"/>
            <w:gridSpan w:val="3"/>
          </w:tcPr>
          <w:p>
            <w:pPr>
              <w:spacing w:before="96" w:line="360" w:lineRule="auto"/>
              <w:ind w:firstLine="57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竞争性磋商采购文件需求</w:t>
            </w:r>
          </w:p>
        </w:tc>
        <w:tc>
          <w:tcPr>
            <w:tcW w:w="3515" w:type="dxa"/>
            <w:gridSpan w:val="3"/>
          </w:tcPr>
          <w:p>
            <w:pPr>
              <w:spacing w:before="96" w:line="360" w:lineRule="auto"/>
              <w:ind w:firstLine="85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响应文件承诺</w:t>
            </w:r>
          </w:p>
        </w:tc>
        <w:tc>
          <w:tcPr>
            <w:tcW w:w="1324" w:type="dxa"/>
            <w:vMerge w:val="restart"/>
            <w:tcBorders>
              <w:bottom w:val="nil"/>
            </w:tcBorders>
          </w:tcPr>
          <w:p>
            <w:pPr>
              <w:spacing w:line="360" w:lineRule="auto"/>
              <w:rPr>
                <w:rFonts w:asciiTheme="minorEastAsia" w:hAnsiTheme="minorEastAsia" w:eastAsiaTheme="minorEastAsia" w:cstheme="minorEastAsia"/>
                <w:color w:val="auto"/>
                <w:highlight w:val="none"/>
              </w:rPr>
            </w:pPr>
          </w:p>
          <w:p>
            <w:pPr>
              <w:spacing w:before="68" w:line="360" w:lineRule="auto"/>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15" w:type="dxa"/>
            <w:vMerge w:val="continue"/>
            <w:tcBorders>
              <w:top w:val="nil"/>
            </w:tcBorders>
          </w:tcPr>
          <w:p>
            <w:pPr>
              <w:spacing w:line="360" w:lineRule="auto"/>
              <w:rPr>
                <w:rFonts w:asciiTheme="minorEastAsia" w:hAnsiTheme="minorEastAsia" w:eastAsiaTheme="minorEastAsia" w:cstheme="minorEastAsia"/>
                <w:color w:val="auto"/>
                <w:highlight w:val="none"/>
              </w:rPr>
            </w:pPr>
          </w:p>
        </w:tc>
        <w:tc>
          <w:tcPr>
            <w:tcW w:w="1363" w:type="dxa"/>
          </w:tcPr>
          <w:p>
            <w:pPr>
              <w:spacing w:before="196" w:line="360" w:lineRule="auto"/>
              <w:ind w:firstLine="10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服务名称</w:t>
            </w:r>
          </w:p>
        </w:tc>
        <w:tc>
          <w:tcPr>
            <w:tcW w:w="878" w:type="dxa"/>
          </w:tcPr>
          <w:p>
            <w:pPr>
              <w:spacing w:before="196" w:line="360" w:lineRule="auto"/>
              <w:ind w:firstLine="10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数量</w:t>
            </w:r>
          </w:p>
        </w:tc>
        <w:tc>
          <w:tcPr>
            <w:tcW w:w="1883" w:type="dxa"/>
          </w:tcPr>
          <w:p>
            <w:pPr>
              <w:spacing w:before="196" w:line="360" w:lineRule="auto"/>
              <w:ind w:firstLine="10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服务参数要求</w:t>
            </w:r>
          </w:p>
        </w:tc>
        <w:tc>
          <w:tcPr>
            <w:tcW w:w="1362" w:type="dxa"/>
          </w:tcPr>
          <w:p>
            <w:pPr>
              <w:spacing w:before="196" w:line="360" w:lineRule="auto"/>
              <w:ind w:firstLine="1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服务名称</w:t>
            </w:r>
          </w:p>
        </w:tc>
        <w:tc>
          <w:tcPr>
            <w:tcW w:w="785" w:type="dxa"/>
          </w:tcPr>
          <w:p>
            <w:pPr>
              <w:spacing w:before="196"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数量</w:t>
            </w:r>
          </w:p>
        </w:tc>
        <w:tc>
          <w:tcPr>
            <w:tcW w:w="1368" w:type="dxa"/>
          </w:tcPr>
          <w:p>
            <w:pPr>
              <w:spacing w:before="196"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服务参数</w:t>
            </w:r>
          </w:p>
        </w:tc>
        <w:tc>
          <w:tcPr>
            <w:tcW w:w="1324" w:type="dxa"/>
            <w:vMerge w:val="continue"/>
            <w:tcBorders>
              <w:top w:val="nil"/>
            </w:tcBorders>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715"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2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363"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878"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883" w:type="dxa"/>
          </w:tcPr>
          <w:p>
            <w:pPr>
              <w:spacing w:before="222" w:line="360" w:lineRule="auto"/>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highlight w:val="none"/>
              </w:rPr>
              <w:t>1……</w:t>
            </w:r>
          </w:p>
          <w:p>
            <w:pPr>
              <w:spacing w:line="360" w:lineRule="auto"/>
              <w:ind w:firstLine="1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line="360" w:lineRule="auto"/>
              <w:ind w:firstLine="1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62"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785"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368" w:type="dxa"/>
          </w:tcPr>
          <w:p>
            <w:pPr>
              <w:spacing w:before="222" w:line="360" w:lineRule="auto"/>
              <w:ind w:firstLine="1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highlight w:val="none"/>
              </w:rPr>
              <w:t>1……</w:t>
            </w:r>
          </w:p>
          <w:p>
            <w:pPr>
              <w:spacing w:line="360" w:lineRule="auto"/>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line="360" w:lineRule="auto"/>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24"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363"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1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878"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883" w:type="dxa"/>
          </w:tcPr>
          <w:p>
            <w:pPr>
              <w:spacing w:before="221" w:line="360" w:lineRule="auto"/>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highlight w:val="none"/>
              </w:rPr>
              <w:t>1……</w:t>
            </w:r>
          </w:p>
          <w:p>
            <w:pPr>
              <w:spacing w:line="360" w:lineRule="auto"/>
              <w:ind w:firstLine="1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line="360" w:lineRule="auto"/>
              <w:ind w:firstLine="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line="360" w:lineRule="auto"/>
              <w:ind w:firstLine="12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62" w:type="dxa"/>
          </w:tcPr>
          <w:p>
            <w:pPr>
              <w:spacing w:line="360" w:lineRule="auto"/>
              <w:rPr>
                <w:rFonts w:asciiTheme="minorEastAsia" w:hAnsiTheme="minorEastAsia" w:eastAsiaTheme="minorEastAsia" w:cstheme="minorEastAsia"/>
                <w:color w:val="auto"/>
                <w:highlight w:val="none"/>
              </w:rPr>
            </w:pPr>
          </w:p>
          <w:p>
            <w:pPr>
              <w:spacing w:before="68" w:line="360" w:lineRule="auto"/>
              <w:ind w:firstLine="1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785" w:type="dxa"/>
          </w:tcPr>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68" w:line="360" w:lineRule="auto"/>
              <w:ind w:firstLine="12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368" w:type="dxa"/>
          </w:tcPr>
          <w:p>
            <w:pPr>
              <w:spacing w:before="221" w:line="360" w:lineRule="auto"/>
              <w:ind w:firstLine="1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highlight w:val="none"/>
              </w:rPr>
              <w:t>1……</w:t>
            </w:r>
          </w:p>
          <w:p>
            <w:pPr>
              <w:spacing w:line="360" w:lineRule="auto"/>
              <w:ind w:firstLine="1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w:t>
            </w:r>
          </w:p>
          <w:p>
            <w:pPr>
              <w:spacing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w:t>
            </w:r>
          </w:p>
          <w:p>
            <w:pPr>
              <w:spacing w:line="360" w:lineRule="auto"/>
              <w:ind w:firstLine="12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w:t>
            </w:r>
          </w:p>
        </w:tc>
        <w:tc>
          <w:tcPr>
            <w:tcW w:w="1324"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15" w:type="dxa"/>
          </w:tcPr>
          <w:p>
            <w:pPr>
              <w:spacing w:before="50"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w:t>
            </w:r>
          </w:p>
        </w:tc>
        <w:tc>
          <w:tcPr>
            <w:tcW w:w="1363" w:type="dxa"/>
          </w:tcPr>
          <w:p>
            <w:pPr>
              <w:spacing w:line="360" w:lineRule="auto"/>
              <w:rPr>
                <w:rFonts w:asciiTheme="minorEastAsia" w:hAnsiTheme="minorEastAsia" w:eastAsiaTheme="minorEastAsia" w:cstheme="minorEastAsia"/>
                <w:color w:val="auto"/>
                <w:highlight w:val="none"/>
              </w:rPr>
            </w:pPr>
          </w:p>
        </w:tc>
        <w:tc>
          <w:tcPr>
            <w:tcW w:w="878" w:type="dxa"/>
          </w:tcPr>
          <w:p>
            <w:pPr>
              <w:spacing w:line="360" w:lineRule="auto"/>
              <w:rPr>
                <w:rFonts w:asciiTheme="minorEastAsia" w:hAnsiTheme="minorEastAsia" w:eastAsiaTheme="minorEastAsia" w:cstheme="minorEastAsia"/>
                <w:color w:val="auto"/>
                <w:highlight w:val="none"/>
              </w:rPr>
            </w:pPr>
          </w:p>
        </w:tc>
        <w:tc>
          <w:tcPr>
            <w:tcW w:w="1883" w:type="dxa"/>
          </w:tcPr>
          <w:p>
            <w:pPr>
              <w:spacing w:line="360" w:lineRule="auto"/>
              <w:rPr>
                <w:rFonts w:asciiTheme="minorEastAsia" w:hAnsiTheme="minorEastAsia" w:eastAsiaTheme="minorEastAsia" w:cstheme="minorEastAsia"/>
                <w:color w:val="auto"/>
                <w:highlight w:val="none"/>
              </w:rPr>
            </w:pPr>
          </w:p>
        </w:tc>
        <w:tc>
          <w:tcPr>
            <w:tcW w:w="1362" w:type="dxa"/>
          </w:tcPr>
          <w:p>
            <w:pPr>
              <w:spacing w:line="360" w:lineRule="auto"/>
              <w:rPr>
                <w:rFonts w:asciiTheme="minorEastAsia" w:hAnsiTheme="minorEastAsia" w:eastAsiaTheme="minorEastAsia" w:cstheme="minorEastAsia"/>
                <w:color w:val="auto"/>
                <w:highlight w:val="none"/>
              </w:rPr>
            </w:pPr>
          </w:p>
        </w:tc>
        <w:tc>
          <w:tcPr>
            <w:tcW w:w="785" w:type="dxa"/>
          </w:tcPr>
          <w:p>
            <w:pPr>
              <w:spacing w:line="360" w:lineRule="auto"/>
              <w:rPr>
                <w:rFonts w:asciiTheme="minorEastAsia" w:hAnsiTheme="minorEastAsia" w:eastAsiaTheme="minorEastAsia" w:cstheme="minorEastAsia"/>
                <w:color w:val="auto"/>
                <w:highlight w:val="none"/>
              </w:rPr>
            </w:pPr>
          </w:p>
        </w:tc>
        <w:tc>
          <w:tcPr>
            <w:tcW w:w="1368" w:type="dxa"/>
          </w:tcPr>
          <w:p>
            <w:pPr>
              <w:spacing w:line="360" w:lineRule="auto"/>
              <w:rPr>
                <w:rFonts w:asciiTheme="minorEastAsia" w:hAnsiTheme="minorEastAsia" w:eastAsiaTheme="minorEastAsia" w:cstheme="minorEastAsia"/>
                <w:color w:val="auto"/>
                <w:highlight w:val="none"/>
              </w:rPr>
            </w:pPr>
          </w:p>
        </w:tc>
        <w:tc>
          <w:tcPr>
            <w:tcW w:w="1324" w:type="dxa"/>
          </w:tcPr>
          <w:p>
            <w:pPr>
              <w:spacing w:line="360" w:lineRule="auto"/>
              <w:rPr>
                <w:rFonts w:asciiTheme="minorEastAsia" w:hAnsiTheme="minorEastAsia" w:eastAsiaTheme="minorEastAsia" w:cstheme="minorEastAsia"/>
                <w:color w:val="auto"/>
                <w:highlight w:val="none"/>
              </w:rPr>
            </w:pPr>
          </w:p>
        </w:tc>
      </w:tr>
    </w:tbl>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pStyle w:val="11"/>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pPr>
        <w:pStyle w:val="11"/>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pPr>
        <w:pStyle w:val="11"/>
        <w:spacing w:line="360" w:lineRule="auto"/>
        <w:rPr>
          <w:color w:val="auto"/>
          <w:highlight w:val="none"/>
        </w:rPr>
      </w:pPr>
      <w:r>
        <w:rPr>
          <w:rFonts w:hint="eastAsia"/>
          <w:color w:val="auto"/>
          <w:highlight w:val="none"/>
        </w:rPr>
        <w:t>3.</w:t>
      </w:r>
      <w:r>
        <w:rPr>
          <w:rFonts w:hint="eastAsia" w:hAnsi="宋体" w:cs="宋体"/>
          <w:color w:val="auto"/>
          <w:szCs w:val="21"/>
          <w:highlight w:val="none"/>
        </w:rPr>
        <w:t>采购需求中带“</w:t>
      </w:r>
      <w:r>
        <w:rPr>
          <w:rFonts w:hint="eastAsia" w:hAnsi="宋体" w:eastAsia="宋体" w:cs="宋体"/>
          <w:color w:val="auto"/>
          <w:szCs w:val="21"/>
          <w:highlight w:val="none"/>
          <w:lang w:eastAsia="zh-CN"/>
        </w:rPr>
        <w:t>★</w:t>
      </w:r>
      <w:r>
        <w:rPr>
          <w:rFonts w:hint="eastAsia" w:hAnsi="宋体" w:cs="宋体"/>
          <w:color w:val="auto"/>
          <w:szCs w:val="21"/>
          <w:highlight w:val="none"/>
        </w:rPr>
        <w:t>”</w:t>
      </w:r>
      <w:bookmarkStart w:id="23" w:name="_GoBack"/>
      <w:bookmarkEnd w:id="23"/>
      <w:r>
        <w:rPr>
          <w:rFonts w:hint="eastAsia" w:hAnsi="宋体" w:cs="宋体"/>
          <w:color w:val="auto"/>
          <w:szCs w:val="21"/>
          <w:highlight w:val="none"/>
        </w:rPr>
        <w:t>”的条款，也要分别在本表“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pPr>
        <w:spacing w:line="360" w:lineRule="auto"/>
        <w:rPr>
          <w:rFonts w:asciiTheme="minorEastAsia" w:hAnsiTheme="minorEastAsia" w:eastAsiaTheme="minorEastAsia" w:cstheme="minorEastAsia"/>
          <w:color w:val="auto"/>
          <w:highlight w:val="none"/>
        </w:rPr>
      </w:pPr>
    </w:p>
    <w:p>
      <w:pPr>
        <w:spacing w:before="79" w:line="360" w:lineRule="auto"/>
        <w:ind w:firstLine="41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9" w:line="360" w:lineRule="auto"/>
        <w:ind w:firstLine="4102"/>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spacing w:val="-6"/>
          <w:sz w:val="44"/>
          <w:szCs w:val="44"/>
          <w:highlight w:val="none"/>
        </w:rPr>
      </w:pPr>
      <w:r>
        <w:rPr>
          <w:rFonts w:hint="eastAsia" w:asciiTheme="minorEastAsia" w:hAnsiTheme="minorEastAsia" w:eastAsiaTheme="minorEastAsia" w:cstheme="minorEastAsia"/>
          <w:color w:val="auto"/>
          <w:spacing w:val="-6"/>
          <w:sz w:val="44"/>
          <w:szCs w:val="44"/>
          <w:highlight w:val="none"/>
        </w:rPr>
        <w:br w:type="page"/>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98" w:line="360" w:lineRule="auto"/>
        <w:ind w:firstLine="1274"/>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八、项目实施方案</w:t>
      </w:r>
    </w:p>
    <w:p>
      <w:pPr>
        <w:spacing w:before="143" w:line="360" w:lineRule="auto"/>
        <w:ind w:firstLine="1624" w:firstLineChars="7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（由供应商根据采购需求及采购文件要求编制）</w:t>
      </w:r>
    </w:p>
    <w:p>
      <w:pPr>
        <w:spacing w:before="78" w:line="360" w:lineRule="auto"/>
        <w:ind w:firstLine="4754"/>
        <w:rPr>
          <w:rFonts w:asciiTheme="minorEastAsia" w:hAnsiTheme="minorEastAsia" w:eastAsiaTheme="minorEastAsia" w:cstheme="minorEastAsia"/>
          <w:color w:val="auto"/>
          <w:spacing w:val="-11"/>
          <w:sz w:val="24"/>
          <w:szCs w:val="24"/>
          <w:highlight w:val="none"/>
        </w:rPr>
      </w:pPr>
    </w:p>
    <w:p>
      <w:pPr>
        <w:spacing w:before="78" w:line="360" w:lineRule="auto"/>
        <w:ind w:firstLine="475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754"/>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98" w:line="360" w:lineRule="auto"/>
        <w:ind w:firstLine="1424"/>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4"/>
          <w:sz w:val="30"/>
          <w:szCs w:val="30"/>
          <w:highlight w:val="none"/>
        </w:rPr>
        <w:t>九、售后服务方案</w:t>
      </w:r>
    </w:p>
    <w:p>
      <w:pPr>
        <w:spacing w:before="143" w:line="360" w:lineRule="auto"/>
        <w:ind w:firstLine="1624" w:firstLineChars="7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（由供应商根据采购需求及采购文件要求编制）</w:t>
      </w:r>
    </w:p>
    <w:p>
      <w:pPr>
        <w:spacing w:line="360" w:lineRule="auto"/>
        <w:textAlignment w:val="center"/>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78" w:line="360" w:lineRule="auto"/>
        <w:ind w:firstLine="475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754"/>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spacing w:before="98" w:line="360" w:lineRule="auto"/>
        <w:ind w:firstLine="1284"/>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3"/>
          <w:sz w:val="30"/>
          <w:szCs w:val="30"/>
          <w:highlight w:val="none"/>
        </w:rPr>
        <w:t>十、项目实施人员一览表</w:t>
      </w:r>
    </w:p>
    <w:p>
      <w:pPr>
        <w:spacing w:before="143" w:line="360" w:lineRule="auto"/>
        <w:ind w:firstLine="249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（由供应商根据采购需求及采购文件要求编制）</w:t>
      </w:r>
    </w:p>
    <w:p>
      <w:pPr>
        <w:spacing w:before="78" w:line="360" w:lineRule="auto"/>
        <w:ind w:firstLine="4754"/>
        <w:rPr>
          <w:rFonts w:asciiTheme="minorEastAsia" w:hAnsiTheme="minorEastAsia" w:eastAsiaTheme="minorEastAsia" w:cstheme="minorEastAsia"/>
          <w:color w:val="auto"/>
          <w:spacing w:val="-11"/>
          <w:sz w:val="24"/>
          <w:szCs w:val="24"/>
          <w:highlight w:val="none"/>
        </w:rPr>
      </w:pPr>
    </w:p>
    <w:p>
      <w:pPr>
        <w:spacing w:before="78" w:line="360" w:lineRule="auto"/>
        <w:ind w:firstLine="4754"/>
        <w:rPr>
          <w:rFonts w:asciiTheme="minorEastAsia" w:hAnsiTheme="minorEastAsia" w:eastAsiaTheme="minorEastAsia" w:cstheme="minorEastAsia"/>
          <w:color w:val="auto"/>
          <w:spacing w:val="-11"/>
          <w:sz w:val="24"/>
          <w:szCs w:val="24"/>
          <w:highlight w:val="none"/>
        </w:rPr>
      </w:pPr>
    </w:p>
    <w:p>
      <w:pPr>
        <w:spacing w:before="78" w:line="360" w:lineRule="auto"/>
        <w:ind w:firstLine="475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78" w:line="360" w:lineRule="auto"/>
        <w:ind w:firstLine="4754"/>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pStyle w:val="10"/>
        <w:rPr>
          <w:rFonts w:asciiTheme="minorEastAsia" w:hAnsiTheme="minorEastAsia" w:eastAsiaTheme="minorEastAsia" w:cstheme="minorEastAsia"/>
          <w:color w:val="auto"/>
          <w:highlight w:val="none"/>
        </w:rPr>
      </w:pPr>
    </w:p>
    <w:p>
      <w:pPr>
        <w:pStyle w:val="12"/>
        <w:ind w:left="5250"/>
        <w:rPr>
          <w:color w:val="auto"/>
          <w:highlight w:val="none"/>
        </w:rPr>
        <w:sectPr>
          <w:headerReference r:id="rId41" w:type="default"/>
          <w:footerReference r:id="rId42" w:type="default"/>
          <w:pgSz w:w="11906" w:h="16838"/>
          <w:pgMar w:top="935" w:right="1134" w:bottom="400" w:left="1134" w:header="704" w:footer="0"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97" w:line="360" w:lineRule="auto"/>
        <w:ind w:firstLine="632"/>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2"/>
          <w:sz w:val="30"/>
          <w:szCs w:val="30"/>
          <w:highlight w:val="none"/>
        </w:rPr>
        <w:t>十一、服务需求、商务条款要求提供的其他材料</w:t>
      </w:r>
    </w:p>
    <w:p>
      <w:pPr>
        <w:spacing w:line="360" w:lineRule="auto"/>
        <w:rPr>
          <w:rFonts w:asciiTheme="minorEastAsia" w:hAnsiTheme="minorEastAsia" w:eastAsiaTheme="minorEastAsia" w:cstheme="minorEastAsia"/>
          <w:color w:val="auto"/>
          <w:highlight w:val="none"/>
        </w:rPr>
      </w:pPr>
    </w:p>
    <w:p>
      <w:pPr>
        <w:spacing w:before="78" w:line="360" w:lineRule="auto"/>
        <w:ind w:firstLine="41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120" w:line="360" w:lineRule="auto"/>
        <w:ind w:firstLine="4725" w:firstLineChars="25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3"/>
          <w:w w:val="98"/>
          <w:sz w:val="24"/>
          <w:szCs w:val="24"/>
          <w:highlight w:val="none"/>
        </w:rPr>
        <w:t>日期：年月</w:t>
      </w:r>
      <w:r>
        <w:rPr>
          <w:rFonts w:hint="eastAsia" w:asciiTheme="minorEastAsia" w:hAnsiTheme="minorEastAsia" w:eastAsiaTheme="minorEastAsia" w:cstheme="minorEastAsia"/>
          <w:color w:val="auto"/>
          <w:sz w:val="24"/>
          <w:szCs w:val="24"/>
          <w:highlight w:val="none"/>
        </w:rPr>
        <w:t>日</w:t>
      </w:r>
    </w:p>
    <w:p>
      <w:pPr>
        <w:spacing w:line="360" w:lineRule="auto"/>
        <w:rPr>
          <w:rFonts w:asciiTheme="minorEastAsia" w:hAnsiTheme="minorEastAsia" w:eastAsiaTheme="minorEastAsia" w:cstheme="minorEastAsia"/>
          <w:color w:val="auto"/>
          <w:highlight w:val="none"/>
        </w:rPr>
        <w:sectPr>
          <w:headerReference r:id="rId43" w:type="default"/>
          <w:footerReference r:id="rId44" w:type="default"/>
          <w:pgSz w:w="11906" w:h="16838"/>
          <w:pgMar w:top="935" w:right="1501" w:bottom="1073" w:left="1680"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2858"/>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第四节报价文件格式</w:t>
      </w:r>
    </w:p>
    <w:p>
      <w:pPr>
        <w:spacing w:line="360" w:lineRule="auto"/>
        <w:rPr>
          <w:rFonts w:asciiTheme="minorEastAsia" w:hAnsiTheme="minorEastAsia" w:eastAsiaTheme="minorEastAsia" w:cstheme="minorEastAsia"/>
          <w:color w:val="auto"/>
          <w:highlight w:val="none"/>
        </w:rPr>
      </w:pPr>
    </w:p>
    <w:p>
      <w:pPr>
        <w:spacing w:before="69" w:line="360" w:lineRule="auto"/>
        <w:ind w:firstLine="6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全流程电子文件</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1975"/>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pacing w:val="-17"/>
          <w:sz w:val="44"/>
          <w:szCs w:val="44"/>
          <w:highlight w:val="none"/>
        </w:rPr>
        <w:t>报价文件（封面）</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5"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position w:val="42"/>
          <w:sz w:val="32"/>
          <w:szCs w:val="32"/>
          <w:highlight w:val="none"/>
        </w:rPr>
        <w:t>项目名称：</w:t>
      </w:r>
    </w:p>
    <w:p>
      <w:pPr>
        <w:spacing w:before="1" w:line="360" w:lineRule="auto"/>
        <w:ind w:firstLine="65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项目编号：</w:t>
      </w:r>
    </w:p>
    <w:p>
      <w:pPr>
        <w:spacing w:line="360" w:lineRule="auto"/>
        <w:rPr>
          <w:rFonts w:asciiTheme="minorEastAsia" w:hAnsiTheme="minorEastAsia" w:eastAsiaTheme="minorEastAsia" w:cstheme="minorEastAsia"/>
          <w:color w:val="auto"/>
          <w:highlight w:val="none"/>
        </w:rPr>
      </w:pPr>
    </w:p>
    <w:p>
      <w:pPr>
        <w:spacing w:before="104" w:line="360" w:lineRule="auto"/>
        <w:ind w:firstLine="592"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2"/>
          <w:sz w:val="32"/>
          <w:szCs w:val="32"/>
          <w:highlight w:val="none"/>
        </w:rPr>
        <w:t>供应商名称：</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04" w:line="360" w:lineRule="auto"/>
        <w:ind w:firstLine="325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14"/>
          <w:sz w:val="32"/>
          <w:szCs w:val="32"/>
          <w:highlight w:val="none"/>
        </w:rPr>
        <w:t>年月日</w:t>
      </w:r>
    </w:p>
    <w:p>
      <w:pPr>
        <w:spacing w:line="360" w:lineRule="auto"/>
        <w:rPr>
          <w:rFonts w:asciiTheme="minorEastAsia" w:hAnsiTheme="minorEastAsia" w:eastAsiaTheme="minorEastAsia" w:cstheme="minorEastAsia"/>
          <w:color w:val="auto"/>
          <w:highlight w:val="none"/>
        </w:rPr>
        <w:sectPr>
          <w:headerReference r:id="rId45" w:type="default"/>
          <w:footerReference r:id="rId46" w:type="default"/>
          <w:pgSz w:w="11906" w:h="16838"/>
          <w:pgMar w:top="935" w:right="1337" w:bottom="1073" w:left="1680"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before="104" w:line="360" w:lineRule="auto"/>
        <w:ind w:firstLine="341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pacing w:val="-2"/>
          <w:sz w:val="32"/>
          <w:szCs w:val="32"/>
          <w:highlight w:val="none"/>
        </w:rPr>
        <w:t>报价文件目录</w:t>
      </w:r>
    </w:p>
    <w:p>
      <w:pPr>
        <w:spacing w:line="360" w:lineRule="auto"/>
        <w:rPr>
          <w:rFonts w:asciiTheme="minorEastAsia" w:hAnsiTheme="minorEastAsia" w:eastAsiaTheme="minorEastAsia" w:cstheme="minorEastAsia"/>
          <w:color w:val="auto"/>
          <w:highlight w:val="none"/>
        </w:rPr>
      </w:pPr>
    </w:p>
    <w:p>
      <w:pPr>
        <w:spacing w:before="79" w:line="360" w:lineRule="auto"/>
        <w:ind w:firstLine="2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一、响应函………………………………………………………（页码）</w:t>
      </w:r>
    </w:p>
    <w:p>
      <w:pPr>
        <w:spacing w:line="360" w:lineRule="auto"/>
        <w:ind w:firstLine="2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二、响应报价表…………………………………………………（页码）</w:t>
      </w:r>
    </w:p>
    <w:p>
      <w:pPr>
        <w:spacing w:line="360" w:lineRule="auto"/>
        <w:ind w:firstLine="2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三、中小企业声明函……………………………………………（页码）</w:t>
      </w:r>
    </w:p>
    <w:p>
      <w:pPr>
        <w:spacing w:line="360" w:lineRule="auto"/>
        <w:rPr>
          <w:rFonts w:asciiTheme="minorEastAsia" w:hAnsiTheme="minorEastAsia" w:eastAsiaTheme="minorEastAsia" w:cstheme="minorEastAsia"/>
          <w:color w:val="auto"/>
          <w:highlight w:val="none"/>
        </w:rPr>
        <w:sectPr>
          <w:headerReference r:id="rId47" w:type="default"/>
          <w:footerReference r:id="rId48" w:type="default"/>
          <w:pgSz w:w="11906" w:h="16838"/>
          <w:pgMar w:top="935" w:right="1501" w:bottom="1073" w:left="1680" w:header="704" w:footer="952" w:gutter="0"/>
          <w:cols w:space="720" w:num="1"/>
        </w:sectPr>
      </w:pPr>
    </w:p>
    <w:p>
      <w:pPr>
        <w:spacing w:before="104" w:line="360" w:lineRule="auto"/>
        <w:ind w:firstLine="64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0"/>
          <w:w w:val="94"/>
          <w:sz w:val="32"/>
          <w:szCs w:val="32"/>
          <w:highlight w:val="none"/>
        </w:rPr>
        <w:t>一、响应函</w:t>
      </w:r>
    </w:p>
    <w:p>
      <w:pPr>
        <w:spacing w:before="352" w:line="360" w:lineRule="auto"/>
        <w:ind w:firstLine="3946"/>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11"/>
          <w:sz w:val="32"/>
          <w:szCs w:val="32"/>
          <w:highlight w:val="none"/>
        </w:rPr>
        <w:t>响应函</w:t>
      </w:r>
    </w:p>
    <w:p>
      <w:pPr>
        <w:spacing w:before="65" w:line="360" w:lineRule="auto"/>
        <w:ind w:firstLine="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8"/>
          <w:sz w:val="24"/>
          <w:szCs w:val="24"/>
          <w:highlight w:val="none"/>
        </w:rPr>
        <w:t>致</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18"/>
          <w:sz w:val="24"/>
          <w:szCs w:val="24"/>
          <w:highlight w:val="none"/>
        </w:rPr>
        <w:t>采购代理机构名称）</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我方已仔细阅读了贵方组织的项目（项目编号：）的竞争性磋商采购文件的全部内容，现正式递交下述文件参加贵方组织的本次政府采购活动：</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一、首次报价文件电子版份（包含按“第三章供应商须知”提交的全部文件）；</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二、技术文件电子版份（包含按“第三章供应商须知”提交的全部文件）；商务文件电子版份（包含按“第三章供应商须知”提交的全部文件）；（商务技术文件已合并装订成册）</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据此函，签字人兹宣布：</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1、我方愿意以（大写）人民币（￥元)的竞标总报价，提供服务期（无分标时填写），提供本项目竞争性磋商采购文件第二章“服务需求一览表”中相应的采购内容。</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2、我方同意自本项目竞争性磋商采购文件采购公告规定的递交响应文件截止时间起遵循本响应函，并承诺在“第三章供应商须知”规定的响应有效期内不修改、撤销响应文件。</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3、我方在此声明，所递交的响应文件及有关资料内容完整、真实和准确。</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4、如本项目采购内容涉及须符合国家强制规定的，我方承诺我方本次竞标均符合国家有关强制规定。</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（1）具有独立承担民事责任的能力；</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（2）具有良好的商业信誉和健全的财务会计制度；</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（3）具有履行合同所必需的设备和专业技术能力；</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（4）有依法缴纳税收和社会保障资金的良好记录；</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（5）参加政府采购活动前三年内，在经营活动中没有重大违法记录；</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（6）法律、行政法规规定的其他条件。</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7、我方已详细审核竞争性磋商采购文件，我方知道必须放弃提出含糊不清或误解问题的权利。</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8、我方承诺满足竞争性磋商采购文件第六章“合同文本”的条款，承担完成合同的责任和义务。</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9、我方同意应贵方要求提供与本竞标有关的任何数据或资料。若贵方需要，我方愿意提供我方作出的一切承诺的证明材料。</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10、我方完全理解贵方不一定接受响应报价最低的竞标人为成交供应商的行为。</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（1）提供虚假材料谋取中标、成交的；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（2）采取不正当手段诋毁、排挤其他供应商的；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（3）与采购人、其他供应商或者采购代理机构恶意串通的；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（4）向采购人、采购代理机构行贿或者提供其他不正当利益的；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（5）在采购过程中与采购人进行协商谈判的；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（6）拒绝有关部门监督检查或提供虚假情况的。</w:t>
      </w:r>
    </w:p>
    <w:p>
      <w:pPr>
        <w:spacing w:before="1" w:line="360" w:lineRule="auto"/>
        <w:ind w:left="23" w:right="10" w:firstLine="471"/>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12.与本磋商有关的一切正式往来信函请寄：</w:t>
      </w:r>
    </w:p>
    <w:p>
      <w:pPr>
        <w:pStyle w:val="11"/>
        <w:spacing w:line="36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地址：</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pStyle w:val="11"/>
        <w:spacing w:line="360" w:lineRule="auto"/>
        <w:ind w:firstLine="420"/>
        <w:rPr>
          <w:rFonts w:hAnsi="宋体" w:eastAsia="宋体" w:cs="宋体"/>
          <w:color w:val="auto"/>
          <w:sz w:val="24"/>
          <w:szCs w:val="24"/>
          <w:highlight w:val="none"/>
          <w:u w:val="single"/>
        </w:rPr>
      </w:pPr>
      <w:r>
        <w:rPr>
          <w:rFonts w:hint="eastAsia" w:hAnsi="宋体" w:eastAsia="宋体" w:cs="宋体"/>
          <w:color w:val="auto"/>
          <w:sz w:val="24"/>
          <w:szCs w:val="24"/>
          <w:highlight w:val="none"/>
        </w:rPr>
        <w:t>电话：</w:t>
      </w:r>
      <w:r>
        <w:rPr>
          <w:rFonts w:hint="eastAsia" w:hAnsi="宋体" w:eastAsia="宋体" w:cs="宋体"/>
          <w:color w:val="auto"/>
          <w:sz w:val="24"/>
          <w:szCs w:val="24"/>
          <w:highlight w:val="none"/>
          <w:u w:val="single"/>
        </w:rPr>
        <w:t xml:space="preserve">                                      　　　　　　　　　</w:t>
      </w:r>
    </w:p>
    <w:p>
      <w:pPr>
        <w:pStyle w:val="11"/>
        <w:spacing w:line="36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传真：</w:t>
      </w:r>
      <w:r>
        <w:rPr>
          <w:rFonts w:hint="eastAsia" w:hAnsi="宋体" w:eastAsia="宋体" w:cs="宋体"/>
          <w:color w:val="auto"/>
          <w:sz w:val="24"/>
          <w:szCs w:val="24"/>
          <w:highlight w:val="none"/>
          <w:u w:val="single"/>
        </w:rPr>
        <w:t>　　　　　　　　　　　　　　　　　　　　　　　　　　　　</w:t>
      </w:r>
    </w:p>
    <w:p>
      <w:pPr>
        <w:pStyle w:val="11"/>
        <w:spacing w:line="360" w:lineRule="auto"/>
        <w:ind w:firstLine="420"/>
        <w:rPr>
          <w:rFonts w:hAnsi="宋体" w:eastAsia="宋体" w:cs="宋体"/>
          <w:color w:val="auto"/>
          <w:sz w:val="24"/>
          <w:szCs w:val="24"/>
          <w:highlight w:val="none"/>
          <w:u w:val="single"/>
        </w:rPr>
      </w:pPr>
      <w:r>
        <w:rPr>
          <w:rFonts w:hint="eastAsia" w:hAnsi="宋体" w:eastAsia="宋体" w:cs="宋体"/>
          <w:color w:val="auto"/>
          <w:sz w:val="24"/>
          <w:szCs w:val="24"/>
          <w:highlight w:val="none"/>
        </w:rPr>
        <w:t>邮政编码：</w:t>
      </w:r>
      <w:r>
        <w:rPr>
          <w:rFonts w:hint="eastAsia" w:hAnsi="宋体" w:eastAsia="宋体" w:cs="宋体"/>
          <w:color w:val="auto"/>
          <w:sz w:val="24"/>
          <w:szCs w:val="24"/>
          <w:highlight w:val="none"/>
          <w:u w:val="single"/>
        </w:rPr>
        <w:t xml:space="preserve">                                                    </w:t>
      </w:r>
    </w:p>
    <w:p>
      <w:pPr>
        <w:pStyle w:val="11"/>
        <w:spacing w:line="360" w:lineRule="auto"/>
        <w:ind w:firstLine="420"/>
        <w:rPr>
          <w:rFonts w:hAnsi="宋体" w:eastAsia="宋体" w:cs="宋体"/>
          <w:color w:val="auto"/>
          <w:sz w:val="24"/>
          <w:szCs w:val="24"/>
          <w:highlight w:val="none"/>
          <w:u w:val="single"/>
        </w:rPr>
      </w:pPr>
      <w:r>
        <w:rPr>
          <w:rFonts w:hint="eastAsia" w:hAnsi="宋体" w:eastAsia="宋体" w:cs="宋体"/>
          <w:color w:val="auto"/>
          <w:sz w:val="24"/>
          <w:szCs w:val="24"/>
          <w:highlight w:val="none"/>
        </w:rPr>
        <w:t>开户名称：</w:t>
      </w:r>
      <w:r>
        <w:rPr>
          <w:rFonts w:hint="eastAsia" w:hAnsi="宋体" w:eastAsia="宋体" w:cs="宋体"/>
          <w:color w:val="auto"/>
          <w:sz w:val="24"/>
          <w:szCs w:val="24"/>
          <w:highlight w:val="none"/>
          <w:u w:val="single"/>
        </w:rPr>
        <w:t xml:space="preserve">                                                    </w:t>
      </w:r>
    </w:p>
    <w:p>
      <w:pPr>
        <w:pStyle w:val="11"/>
        <w:spacing w:line="360" w:lineRule="auto"/>
        <w:ind w:firstLine="420"/>
        <w:rPr>
          <w:rFonts w:hAnsi="宋体" w:eastAsia="宋体" w:cs="宋体"/>
          <w:color w:val="auto"/>
          <w:sz w:val="24"/>
          <w:szCs w:val="24"/>
          <w:highlight w:val="none"/>
          <w:u w:val="single"/>
        </w:rPr>
      </w:pPr>
      <w:r>
        <w:rPr>
          <w:rFonts w:hint="eastAsia" w:hAnsi="宋体" w:eastAsia="宋体" w:cs="宋体"/>
          <w:color w:val="auto"/>
          <w:sz w:val="24"/>
          <w:szCs w:val="24"/>
          <w:highlight w:val="none"/>
        </w:rPr>
        <w:t>开户银行：</w:t>
      </w:r>
      <w:r>
        <w:rPr>
          <w:rFonts w:hint="eastAsia" w:hAnsi="宋体" w:eastAsia="宋体" w:cs="宋体"/>
          <w:color w:val="auto"/>
          <w:sz w:val="24"/>
          <w:szCs w:val="24"/>
          <w:highlight w:val="none"/>
          <w:u w:val="single"/>
        </w:rPr>
        <w:t xml:space="preserve">                                                    </w:t>
      </w:r>
    </w:p>
    <w:p>
      <w:pPr>
        <w:pStyle w:val="11"/>
        <w:spacing w:line="360" w:lineRule="auto"/>
        <w:ind w:firstLine="420"/>
        <w:rPr>
          <w:rFonts w:hAnsi="宋体" w:eastAsia="宋体" w:cs="宋体"/>
          <w:color w:val="auto"/>
          <w:sz w:val="24"/>
          <w:szCs w:val="24"/>
          <w:highlight w:val="none"/>
          <w:u w:val="single"/>
        </w:rPr>
      </w:pPr>
      <w:r>
        <w:rPr>
          <w:rFonts w:hint="eastAsia" w:hAnsi="宋体" w:eastAsia="宋体" w:cs="宋体"/>
          <w:color w:val="auto"/>
          <w:sz w:val="24"/>
          <w:szCs w:val="24"/>
          <w:highlight w:val="none"/>
        </w:rPr>
        <w:t>银行账号：</w:t>
      </w:r>
      <w:r>
        <w:rPr>
          <w:rFonts w:hint="eastAsia" w:hAnsi="宋体" w:eastAsia="宋体" w:cs="宋体"/>
          <w:color w:val="auto"/>
          <w:sz w:val="24"/>
          <w:szCs w:val="24"/>
          <w:highlight w:val="none"/>
          <w:u w:val="single"/>
        </w:rPr>
        <w:t xml:space="preserve">                                                    </w:t>
      </w:r>
    </w:p>
    <w:p>
      <w:pPr>
        <w:spacing w:line="360" w:lineRule="auto"/>
        <w:rPr>
          <w:rFonts w:ascii="仿宋_GB2312" w:hAnsi="仿宋" w:eastAsia="仿宋_GB2312" w:cs="仿宋_GB2312"/>
          <w:color w:val="auto"/>
          <w:sz w:val="24"/>
          <w:highlight w:val="none"/>
          <w:lang w:val="zh-CN"/>
        </w:rPr>
      </w:pPr>
    </w:p>
    <w:p>
      <w:pPr>
        <w:spacing w:line="360" w:lineRule="auto"/>
        <w:ind w:firstLine="5040" w:firstLineChars="2100"/>
        <w:rPr>
          <w:rFonts w:ascii="宋体" w:hAnsi="宋体" w:eastAsia="宋体" w:cs="宋体"/>
          <w:color w:val="auto"/>
          <w:sz w:val="24"/>
          <w:highlight w:val="none"/>
        </w:rPr>
      </w:pPr>
      <w:r>
        <w:rPr>
          <w:rFonts w:hint="eastAsia" w:ascii="宋体" w:hAnsi="宋体" w:eastAsia="宋体" w:cs="宋体"/>
          <w:color w:val="auto"/>
          <w:sz w:val="24"/>
          <w:highlight w:val="none"/>
          <w:lang w:val="zh-CN"/>
        </w:rPr>
        <w:t>投标人名称(电子签章)：</w:t>
      </w:r>
    </w:p>
    <w:p>
      <w:pPr>
        <w:spacing w:line="360" w:lineRule="auto"/>
        <w:ind w:firstLine="5160" w:firstLineChars="215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pPr>
        <w:spacing w:line="360" w:lineRule="auto"/>
        <w:rPr>
          <w:rFonts w:asciiTheme="minorEastAsia" w:hAnsiTheme="minorEastAsia" w:eastAsiaTheme="minorEastAsia" w:cstheme="minorEastAsia"/>
          <w:color w:val="auto"/>
          <w:highlight w:val="none"/>
        </w:rPr>
      </w:pPr>
    </w:p>
    <w:p>
      <w:pPr>
        <w:pStyle w:val="10"/>
        <w:rPr>
          <w:color w:val="auto"/>
          <w:highlight w:val="none"/>
        </w:rPr>
        <w:sectPr>
          <w:headerReference r:id="rId49" w:type="default"/>
          <w:footerReference r:id="rId50" w:type="default"/>
          <w:pgSz w:w="11906" w:h="16838"/>
          <w:pgMar w:top="935" w:right="1134" w:bottom="1073" w:left="1134" w:header="704" w:footer="952" w:gutter="0"/>
          <w:cols w:equalWidth="0" w:num="1">
            <w:col w:w="8900"/>
          </w:cols>
        </w:sectPr>
      </w:pPr>
    </w:p>
    <w:p>
      <w:pPr>
        <w:spacing w:before="264" w:line="360" w:lineRule="auto"/>
        <w:ind w:left="12" w:right="480" w:firstLine="421"/>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32"/>
          <w:szCs w:val="32"/>
          <w:highlight w:val="none"/>
        </w:rPr>
        <w:t>二、响应报价表</w:t>
      </w:r>
    </w:p>
    <w:p>
      <w:pPr>
        <w:spacing w:before="50" w:after="50" w:line="360" w:lineRule="auto"/>
        <w:rPr>
          <w:rFonts w:hint="eastAsia" w:ascii="宋体" w:hAnsi="宋体"/>
          <w:color w:val="auto"/>
          <w:sz w:val="24"/>
          <w:highlight w:val="none"/>
        </w:rPr>
      </w:pPr>
    </w:p>
    <w:p>
      <w:pPr>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11"/>
        <w:spacing w:line="360" w:lineRule="auto"/>
        <w:rPr>
          <w:b/>
          <w:color w:val="auto"/>
          <w:sz w:val="32"/>
          <w:highlight w:val="none"/>
        </w:rPr>
      </w:pPr>
      <w:r>
        <w:rPr>
          <w:rFonts w:hint="eastAsia" w:hAnsi="宋体" w:eastAsia="宋体"/>
          <w:color w:val="auto"/>
          <w:sz w:val="24"/>
          <w:highlight w:val="none"/>
        </w:rPr>
        <w:t>供应商</w:t>
      </w: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rPr>
        <w:t xml:space="preserve">   </w:t>
      </w:r>
    </w:p>
    <w:p>
      <w:pPr>
        <w:spacing w:line="360" w:lineRule="auto"/>
        <w:rPr>
          <w:rFonts w:asciiTheme="minorEastAsia" w:hAnsiTheme="minorEastAsia" w:eastAsiaTheme="minorEastAsia" w:cstheme="minorEastAsia"/>
          <w:color w:val="auto"/>
          <w:highlight w:val="none"/>
        </w:rPr>
      </w:pPr>
    </w:p>
    <w:tbl>
      <w:tblPr>
        <w:tblStyle w:val="34"/>
        <w:tblW w:w="9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258"/>
        <w:gridCol w:w="2062"/>
        <w:gridCol w:w="1079"/>
        <w:gridCol w:w="1259"/>
        <w:gridCol w:w="1998"/>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724" w:type="dxa"/>
          </w:tcPr>
          <w:p>
            <w:pPr>
              <w:spacing w:before="316" w:line="360" w:lineRule="auto"/>
              <w:ind w:firstLine="1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序号</w:t>
            </w:r>
          </w:p>
        </w:tc>
        <w:tc>
          <w:tcPr>
            <w:tcW w:w="1258" w:type="dxa"/>
          </w:tcPr>
          <w:p>
            <w:pPr>
              <w:spacing w:before="316" w:line="360" w:lineRule="auto"/>
              <w:ind w:firstLine="10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服务名称</w:t>
            </w:r>
          </w:p>
        </w:tc>
        <w:tc>
          <w:tcPr>
            <w:tcW w:w="2062" w:type="dxa"/>
          </w:tcPr>
          <w:p>
            <w:pPr>
              <w:spacing w:before="316" w:line="360" w:lineRule="auto"/>
              <w:ind w:firstLine="40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具体服务内容</w:t>
            </w:r>
          </w:p>
        </w:tc>
        <w:tc>
          <w:tcPr>
            <w:tcW w:w="1079" w:type="dxa"/>
          </w:tcPr>
          <w:p>
            <w:pPr>
              <w:spacing w:before="316" w:line="360" w:lineRule="auto"/>
              <w:ind w:firstLine="2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数量①</w:t>
            </w:r>
          </w:p>
        </w:tc>
        <w:tc>
          <w:tcPr>
            <w:tcW w:w="1259" w:type="dxa"/>
          </w:tcPr>
          <w:p>
            <w:pPr>
              <w:spacing w:before="212" w:line="360" w:lineRule="auto"/>
              <w:ind w:firstLine="11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单价</w:t>
            </w:r>
          </w:p>
          <w:p>
            <w:pPr>
              <w:spacing w:before="1" w:line="360" w:lineRule="auto"/>
              <w:ind w:firstLine="14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w w:val="99"/>
                <w:highlight w:val="none"/>
              </w:rPr>
              <w:t>(元)②</w:t>
            </w:r>
          </w:p>
        </w:tc>
        <w:tc>
          <w:tcPr>
            <w:tcW w:w="1998" w:type="dxa"/>
          </w:tcPr>
          <w:p>
            <w:pPr>
              <w:spacing w:before="1" w:line="360" w:lineRule="auto"/>
              <w:ind w:left="116" w:right="100" w:hanging="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0"/>
                <w:highlight w:val="none"/>
              </w:rPr>
              <w:t>单项合价</w:t>
            </w:r>
            <w:r>
              <w:rPr>
                <w:rFonts w:hint="eastAsia" w:asciiTheme="minorEastAsia" w:hAnsiTheme="minorEastAsia" w:eastAsiaTheme="minorEastAsia" w:cstheme="minorEastAsia"/>
                <w:color w:val="auto"/>
                <w:spacing w:val="-5"/>
                <w:highlight w:val="none"/>
              </w:rPr>
              <w:t>（元）</w:t>
            </w:r>
          </w:p>
          <w:p>
            <w:pPr>
              <w:spacing w:line="360" w:lineRule="auto"/>
              <w:ind w:left="123" w:right="100" w:hanging="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4"/>
                <w:highlight w:val="none"/>
              </w:rPr>
              <w:t>③＝①×②/</w:t>
            </w:r>
            <w:r>
              <w:rPr>
                <w:rFonts w:hint="eastAsia" w:asciiTheme="minorEastAsia" w:hAnsiTheme="minorEastAsia" w:eastAsiaTheme="minorEastAsia" w:cstheme="minorEastAsia"/>
                <w:color w:val="auto"/>
                <w:spacing w:val="-10"/>
                <w:highlight w:val="none"/>
              </w:rPr>
              <w:t>费率</w:t>
            </w:r>
          </w:p>
        </w:tc>
        <w:tc>
          <w:tcPr>
            <w:tcW w:w="915" w:type="dxa"/>
          </w:tcPr>
          <w:p>
            <w:pPr>
              <w:spacing w:before="316"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24" w:type="dxa"/>
          </w:tcPr>
          <w:p>
            <w:pPr>
              <w:spacing w:before="144" w:line="360" w:lineRule="auto"/>
              <w:ind w:firstLine="12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58" w:type="dxa"/>
          </w:tcPr>
          <w:p>
            <w:pPr>
              <w:spacing w:line="360" w:lineRule="auto"/>
              <w:rPr>
                <w:rFonts w:asciiTheme="minorEastAsia" w:hAnsiTheme="minorEastAsia" w:eastAsiaTheme="minorEastAsia" w:cstheme="minorEastAsia"/>
                <w:color w:val="auto"/>
                <w:highlight w:val="none"/>
              </w:rPr>
            </w:pPr>
          </w:p>
        </w:tc>
        <w:tc>
          <w:tcPr>
            <w:tcW w:w="2062" w:type="dxa"/>
          </w:tcPr>
          <w:p>
            <w:pPr>
              <w:spacing w:line="360" w:lineRule="auto"/>
              <w:rPr>
                <w:rFonts w:asciiTheme="minorEastAsia" w:hAnsiTheme="minorEastAsia" w:eastAsiaTheme="minorEastAsia" w:cstheme="minorEastAsia"/>
                <w:color w:val="auto"/>
                <w:highlight w:val="none"/>
              </w:rPr>
            </w:pPr>
          </w:p>
        </w:tc>
        <w:tc>
          <w:tcPr>
            <w:tcW w:w="1079" w:type="dxa"/>
          </w:tcPr>
          <w:p>
            <w:pPr>
              <w:spacing w:line="360" w:lineRule="auto"/>
              <w:rPr>
                <w:rFonts w:asciiTheme="minorEastAsia" w:hAnsiTheme="minorEastAsia" w:eastAsiaTheme="minorEastAsia" w:cstheme="minorEastAsia"/>
                <w:color w:val="auto"/>
                <w:highlight w:val="none"/>
              </w:rPr>
            </w:pPr>
          </w:p>
        </w:tc>
        <w:tc>
          <w:tcPr>
            <w:tcW w:w="1259" w:type="dxa"/>
          </w:tcPr>
          <w:p>
            <w:pPr>
              <w:spacing w:line="360" w:lineRule="auto"/>
              <w:rPr>
                <w:rFonts w:asciiTheme="minorEastAsia" w:hAnsiTheme="minorEastAsia" w:eastAsiaTheme="minorEastAsia" w:cstheme="minorEastAsia"/>
                <w:color w:val="auto"/>
                <w:highlight w:val="none"/>
              </w:rPr>
            </w:pPr>
          </w:p>
        </w:tc>
        <w:tc>
          <w:tcPr>
            <w:tcW w:w="1998" w:type="dxa"/>
          </w:tcPr>
          <w:p>
            <w:pPr>
              <w:spacing w:line="360" w:lineRule="auto"/>
              <w:rPr>
                <w:rFonts w:asciiTheme="minorEastAsia" w:hAnsiTheme="minorEastAsia" w:eastAsiaTheme="minorEastAsia" w:cstheme="minorEastAsia"/>
                <w:color w:val="auto"/>
                <w:highlight w:val="none"/>
              </w:rPr>
            </w:pPr>
          </w:p>
        </w:tc>
        <w:tc>
          <w:tcPr>
            <w:tcW w:w="915"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4" w:type="dxa"/>
          </w:tcPr>
          <w:p>
            <w:pPr>
              <w:spacing w:before="148" w:line="360" w:lineRule="auto"/>
              <w:ind w:firstLine="1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58" w:type="dxa"/>
          </w:tcPr>
          <w:p>
            <w:pPr>
              <w:spacing w:line="360" w:lineRule="auto"/>
              <w:rPr>
                <w:rFonts w:asciiTheme="minorEastAsia" w:hAnsiTheme="minorEastAsia" w:eastAsiaTheme="minorEastAsia" w:cstheme="minorEastAsia"/>
                <w:color w:val="auto"/>
                <w:highlight w:val="none"/>
              </w:rPr>
            </w:pPr>
          </w:p>
        </w:tc>
        <w:tc>
          <w:tcPr>
            <w:tcW w:w="2062" w:type="dxa"/>
          </w:tcPr>
          <w:p>
            <w:pPr>
              <w:spacing w:line="360" w:lineRule="auto"/>
              <w:rPr>
                <w:rFonts w:asciiTheme="minorEastAsia" w:hAnsiTheme="minorEastAsia" w:eastAsiaTheme="minorEastAsia" w:cstheme="minorEastAsia"/>
                <w:color w:val="auto"/>
                <w:highlight w:val="none"/>
              </w:rPr>
            </w:pPr>
          </w:p>
        </w:tc>
        <w:tc>
          <w:tcPr>
            <w:tcW w:w="1079" w:type="dxa"/>
          </w:tcPr>
          <w:p>
            <w:pPr>
              <w:spacing w:line="360" w:lineRule="auto"/>
              <w:rPr>
                <w:rFonts w:asciiTheme="minorEastAsia" w:hAnsiTheme="minorEastAsia" w:eastAsiaTheme="minorEastAsia" w:cstheme="minorEastAsia"/>
                <w:color w:val="auto"/>
                <w:highlight w:val="none"/>
              </w:rPr>
            </w:pPr>
          </w:p>
        </w:tc>
        <w:tc>
          <w:tcPr>
            <w:tcW w:w="1259" w:type="dxa"/>
          </w:tcPr>
          <w:p>
            <w:pPr>
              <w:spacing w:line="360" w:lineRule="auto"/>
              <w:rPr>
                <w:rFonts w:asciiTheme="minorEastAsia" w:hAnsiTheme="minorEastAsia" w:eastAsiaTheme="minorEastAsia" w:cstheme="minorEastAsia"/>
                <w:color w:val="auto"/>
                <w:highlight w:val="none"/>
              </w:rPr>
            </w:pPr>
          </w:p>
        </w:tc>
        <w:tc>
          <w:tcPr>
            <w:tcW w:w="1998" w:type="dxa"/>
          </w:tcPr>
          <w:p>
            <w:pPr>
              <w:spacing w:line="360" w:lineRule="auto"/>
              <w:rPr>
                <w:rFonts w:asciiTheme="minorEastAsia" w:hAnsiTheme="minorEastAsia" w:eastAsiaTheme="minorEastAsia" w:cstheme="minorEastAsia"/>
                <w:color w:val="auto"/>
                <w:highlight w:val="none"/>
              </w:rPr>
            </w:pPr>
          </w:p>
        </w:tc>
        <w:tc>
          <w:tcPr>
            <w:tcW w:w="915"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4" w:type="dxa"/>
          </w:tcPr>
          <w:p>
            <w:pPr>
              <w:spacing w:before="36" w:line="360" w:lineRule="auto"/>
              <w:ind w:firstLine="1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w:t>
            </w:r>
          </w:p>
        </w:tc>
        <w:tc>
          <w:tcPr>
            <w:tcW w:w="1258" w:type="dxa"/>
          </w:tcPr>
          <w:p>
            <w:pPr>
              <w:spacing w:line="360" w:lineRule="auto"/>
              <w:rPr>
                <w:rFonts w:asciiTheme="minorEastAsia" w:hAnsiTheme="minorEastAsia" w:eastAsiaTheme="minorEastAsia" w:cstheme="minorEastAsia"/>
                <w:color w:val="auto"/>
                <w:highlight w:val="none"/>
              </w:rPr>
            </w:pPr>
          </w:p>
        </w:tc>
        <w:tc>
          <w:tcPr>
            <w:tcW w:w="2062" w:type="dxa"/>
          </w:tcPr>
          <w:p>
            <w:pPr>
              <w:spacing w:line="360" w:lineRule="auto"/>
              <w:rPr>
                <w:rFonts w:asciiTheme="minorEastAsia" w:hAnsiTheme="minorEastAsia" w:eastAsiaTheme="minorEastAsia" w:cstheme="minorEastAsia"/>
                <w:color w:val="auto"/>
                <w:highlight w:val="none"/>
              </w:rPr>
            </w:pPr>
          </w:p>
        </w:tc>
        <w:tc>
          <w:tcPr>
            <w:tcW w:w="1079" w:type="dxa"/>
          </w:tcPr>
          <w:p>
            <w:pPr>
              <w:spacing w:line="360" w:lineRule="auto"/>
              <w:rPr>
                <w:rFonts w:asciiTheme="minorEastAsia" w:hAnsiTheme="minorEastAsia" w:eastAsiaTheme="minorEastAsia" w:cstheme="minorEastAsia"/>
                <w:color w:val="auto"/>
                <w:highlight w:val="none"/>
              </w:rPr>
            </w:pPr>
          </w:p>
        </w:tc>
        <w:tc>
          <w:tcPr>
            <w:tcW w:w="1259" w:type="dxa"/>
          </w:tcPr>
          <w:p>
            <w:pPr>
              <w:spacing w:line="360" w:lineRule="auto"/>
              <w:rPr>
                <w:rFonts w:asciiTheme="minorEastAsia" w:hAnsiTheme="minorEastAsia" w:eastAsiaTheme="minorEastAsia" w:cstheme="minorEastAsia"/>
                <w:color w:val="auto"/>
                <w:highlight w:val="none"/>
              </w:rPr>
            </w:pPr>
          </w:p>
        </w:tc>
        <w:tc>
          <w:tcPr>
            <w:tcW w:w="1998" w:type="dxa"/>
          </w:tcPr>
          <w:p>
            <w:pPr>
              <w:spacing w:line="360" w:lineRule="auto"/>
              <w:rPr>
                <w:rFonts w:asciiTheme="minorEastAsia" w:hAnsiTheme="minorEastAsia" w:eastAsiaTheme="minorEastAsia" w:cstheme="minorEastAsia"/>
                <w:color w:val="auto"/>
                <w:highlight w:val="none"/>
              </w:rPr>
            </w:pPr>
          </w:p>
        </w:tc>
        <w:tc>
          <w:tcPr>
            <w:tcW w:w="915" w:type="dxa"/>
          </w:tcPr>
          <w:p>
            <w:pPr>
              <w:spacing w:line="360" w:lineRule="auto"/>
              <w:rPr>
                <w:rFonts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295" w:type="dxa"/>
            <w:gridSpan w:val="7"/>
          </w:tcPr>
          <w:p>
            <w:pPr>
              <w:spacing w:line="360" w:lineRule="auto"/>
              <w:ind w:firstLine="1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报价合计（包含税费等所有费用</w:t>
            </w:r>
            <w:r>
              <w:rPr>
                <w:rFonts w:hint="eastAsia" w:asciiTheme="minorEastAsia" w:hAnsiTheme="minorEastAsia" w:eastAsiaTheme="minorEastAsia" w:cstheme="minorEastAsia"/>
                <w:color w:val="auto"/>
                <w:spacing w:val="-44"/>
                <w:highlight w:val="none"/>
              </w:rPr>
              <w:t>）：（</w:t>
            </w:r>
            <w:r>
              <w:rPr>
                <w:rFonts w:hint="eastAsia" w:asciiTheme="minorEastAsia" w:hAnsiTheme="minorEastAsia" w:eastAsiaTheme="minorEastAsia" w:cstheme="minorEastAsia"/>
                <w:color w:val="auto"/>
                <w:spacing w:val="-3"/>
                <w:highlight w:val="none"/>
              </w:rPr>
              <w:t>大写）人民币（￥</w:t>
            </w:r>
            <w:r>
              <w:rPr>
                <w:rFonts w:hint="eastAsia" w:asciiTheme="minorEastAsia" w:hAnsiTheme="minorEastAsia" w:eastAsiaTheme="minorEastAsia" w:cstheme="minorEastAsia"/>
                <w:color w:val="auto"/>
                <w:spacing w:val="-5"/>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295" w:type="dxa"/>
            <w:gridSpan w:val="7"/>
          </w:tcPr>
          <w:p>
            <w:pPr>
              <w:spacing w:before="3" w:line="360" w:lineRule="auto"/>
              <w:ind w:firstLine="111"/>
              <w:rPr>
                <w:rFonts w:asciiTheme="minorEastAsia" w:hAnsiTheme="minorEastAsia" w:eastAsiaTheme="minorEastAsia" w:cstheme="minorEastAsia"/>
                <w:color w:val="auto"/>
                <w:highlight w:val="none"/>
              </w:rPr>
            </w:pPr>
            <w:r>
              <w:rPr>
                <w:rFonts w:hint="eastAsia" w:eastAsia="宋体"/>
                <w:color w:val="auto"/>
                <w:highlight w:val="none"/>
                <w:lang w:val="en-US" w:eastAsia="zh-CN"/>
              </w:rPr>
              <w:t>服务</w:t>
            </w:r>
            <w:r>
              <w:rPr>
                <w:rFonts w:hint="eastAsia"/>
                <w:color w:val="auto"/>
                <w:highlight w:val="none"/>
              </w:rPr>
              <w:t>期限</w:t>
            </w:r>
            <w:r>
              <w:rPr>
                <w:rFonts w:hint="eastAsia" w:asciiTheme="minorEastAsia" w:hAnsiTheme="minorEastAsia" w:eastAsiaTheme="minorEastAsia" w:cstheme="minorEastAsia"/>
                <w:color w:val="auto"/>
                <w:spacing w:val="-2"/>
                <w:highlight w:val="none"/>
              </w:rPr>
              <w:t>：</w:t>
            </w:r>
          </w:p>
        </w:tc>
      </w:tr>
    </w:tbl>
    <w:p>
      <w:pPr>
        <w:spacing w:before="48" w:line="360" w:lineRule="auto"/>
        <w:ind w:firstLine="613"/>
        <w:rPr>
          <w:rFonts w:hAnsi="Times New Roman" w:asciiTheme="minorEastAsia" w:eastAsiaTheme="minorEastAsia" w:cstheme="minorEastAsia"/>
          <w:color w:val="auto"/>
          <w:highlight w:val="none"/>
        </w:rPr>
      </w:pPr>
      <w:r>
        <w:rPr>
          <w:rFonts w:hint="eastAsia" w:asciiTheme="minorEastAsia" w:hAnsiTheme="minorEastAsia" w:eastAsiaTheme="minorEastAsia" w:cstheme="minorEastAsia"/>
          <w:color w:val="auto"/>
          <w:spacing w:val="-20"/>
          <w:sz w:val="24"/>
          <w:szCs w:val="24"/>
          <w:highlight w:val="none"/>
        </w:rPr>
        <w:t>注：</w:t>
      </w:r>
      <w:r>
        <w:rPr>
          <w:rFonts w:hint="eastAsia" w:asciiTheme="minorEastAsia" w:hAnsiTheme="minorEastAsia" w:eastAsiaTheme="minorEastAsia" w:cstheme="minorEastAsia"/>
          <w:color w:val="auto"/>
          <w:spacing w:val="-7"/>
          <w:highlight w:val="none"/>
        </w:rPr>
        <w:t>1、供应商需按本表格式填写，不得自行更改，也不得留空,如有多分标，按</w:t>
      </w:r>
      <w:r>
        <w:rPr>
          <w:rFonts w:hint="eastAsia" w:asciiTheme="minorEastAsia" w:hAnsiTheme="minorEastAsia" w:eastAsiaTheme="minorEastAsia" w:cstheme="minorEastAsia"/>
          <w:color w:val="auto"/>
          <w:spacing w:val="-1"/>
          <w:highlight w:val="none"/>
        </w:rPr>
        <w:t>分标分别提供响应报价表。</w:t>
      </w:r>
    </w:p>
    <w:p>
      <w:pPr>
        <w:spacing w:before="49" w:line="360" w:lineRule="auto"/>
        <w:ind w:left="130" w:right="985" w:firstLine="48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2、如为联合体响应的，“供应商名称”处必须列明联合体各方名称，并标注联</w:t>
      </w:r>
      <w:r>
        <w:rPr>
          <w:rFonts w:hint="eastAsia" w:asciiTheme="minorEastAsia" w:hAnsiTheme="minorEastAsia" w:eastAsiaTheme="minorEastAsia" w:cstheme="minorEastAsia"/>
          <w:color w:val="auto"/>
          <w:spacing w:val="-6"/>
          <w:highlight w:val="none"/>
        </w:rPr>
        <w:t>合体牵头人名称，且盖章处须加盖联合体各方公章，否则其响应作无效响应处理。</w:t>
      </w:r>
    </w:p>
    <w:p>
      <w:pPr>
        <w:spacing w:before="49" w:line="360" w:lineRule="auto"/>
        <w:ind w:left="132" w:right="1193" w:firstLine="49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3、以上表格要求细分项目及报价，在“具体服务内容”一栏中，填写具体服</w:t>
      </w:r>
      <w:r>
        <w:rPr>
          <w:rFonts w:hint="eastAsia" w:asciiTheme="minorEastAsia" w:hAnsiTheme="minorEastAsia" w:eastAsiaTheme="minorEastAsia" w:cstheme="minorEastAsia"/>
          <w:color w:val="auto"/>
          <w:spacing w:val="-5"/>
          <w:highlight w:val="none"/>
        </w:rPr>
        <w:t>务。</w:t>
      </w:r>
    </w:p>
    <w:p>
      <w:pPr>
        <w:spacing w:before="49" w:line="360" w:lineRule="auto"/>
        <w:ind w:left="135" w:right="985"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4、特别提示：采购机构将对项目名称和项目编号，成交供应商名称、地址和成</w:t>
      </w:r>
      <w:r>
        <w:rPr>
          <w:rFonts w:hint="eastAsia" w:asciiTheme="minorEastAsia" w:hAnsiTheme="minorEastAsia" w:eastAsiaTheme="minorEastAsia" w:cstheme="minorEastAsia"/>
          <w:color w:val="auto"/>
          <w:spacing w:val="-12"/>
          <w:highlight w:val="none"/>
        </w:rPr>
        <w:t>交金额，主要成交标的的名称、规格型号、数量、单价、服务要求等予以公示。</w:t>
      </w:r>
    </w:p>
    <w:p>
      <w:pPr>
        <w:spacing w:before="2" w:line="360" w:lineRule="auto"/>
        <w:ind w:left="125" w:right="985" w:firstLine="4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5、符合采购文件中列明的可享受中小企业扶持政策的供应商，请填写中小企业</w:t>
      </w:r>
      <w:r>
        <w:rPr>
          <w:rFonts w:hint="eastAsia" w:asciiTheme="minorEastAsia" w:hAnsiTheme="minorEastAsia" w:eastAsiaTheme="minorEastAsia" w:cstheme="minorEastAsia"/>
          <w:color w:val="auto"/>
          <w:spacing w:val="-1"/>
          <w:highlight w:val="none"/>
        </w:rPr>
        <w:t>声明函。注：供应商提供的中小企业声明函内容不实的，属于提供虚假材料谋取中</w:t>
      </w:r>
      <w:r>
        <w:rPr>
          <w:rFonts w:hint="eastAsia" w:asciiTheme="minorEastAsia" w:hAnsiTheme="minorEastAsia" w:eastAsiaTheme="minorEastAsia" w:cstheme="minorEastAsia"/>
          <w:color w:val="auto"/>
          <w:spacing w:val="-6"/>
          <w:highlight w:val="none"/>
        </w:rPr>
        <w:t>标、成交，依照《中华人民共和国政府采购法》等国家有关规定追究相应责任。</w:t>
      </w:r>
    </w:p>
    <w:p>
      <w:pPr>
        <w:spacing w:line="360" w:lineRule="auto"/>
        <w:ind w:firstLine="4218"/>
        <w:rPr>
          <w:rFonts w:asciiTheme="minorEastAsia" w:hAnsiTheme="minorEastAsia" w:eastAsiaTheme="minorEastAsia" w:cstheme="minorEastAsia"/>
          <w:color w:val="auto"/>
          <w:spacing w:val="-11"/>
          <w:sz w:val="24"/>
          <w:szCs w:val="24"/>
          <w:highlight w:val="none"/>
        </w:rPr>
      </w:pPr>
    </w:p>
    <w:p>
      <w:pPr>
        <w:spacing w:line="360" w:lineRule="auto"/>
        <w:ind w:firstLine="421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line="360" w:lineRule="auto"/>
        <w:ind w:firstLine="4218"/>
        <w:rPr>
          <w:rFonts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日期： 年  月  日</w:t>
      </w:r>
    </w:p>
    <w:p>
      <w:pPr>
        <w:spacing w:line="360" w:lineRule="auto"/>
        <w:rPr>
          <w:rFonts w:asciiTheme="minorEastAsia" w:hAnsiTheme="minorEastAsia" w:eastAsiaTheme="minorEastAsia" w:cstheme="minorEastAsia"/>
          <w:color w:val="auto"/>
          <w:highlight w:val="none"/>
        </w:rPr>
        <w:sectPr>
          <w:headerReference r:id="rId51" w:type="default"/>
          <w:footerReference r:id="rId52" w:type="default"/>
          <w:pgSz w:w="11906" w:h="16838"/>
          <w:pgMar w:top="935" w:right="1134" w:bottom="1073" w:left="1134" w:header="704" w:footer="952" w:gutter="0"/>
          <w:cols w:space="720" w:num="1"/>
        </w:sectPr>
      </w:pPr>
    </w:p>
    <w:p>
      <w:pPr>
        <w:spacing w:before="97" w:line="360" w:lineRule="auto"/>
        <w:ind w:firstLine="105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pacing w:val="-3"/>
          <w:sz w:val="36"/>
          <w:szCs w:val="36"/>
          <w:highlight w:val="none"/>
        </w:rPr>
        <w:t>三、中小企业声明函</w:t>
      </w:r>
    </w:p>
    <w:p>
      <w:pPr>
        <w:spacing w:before="50" w:line="360" w:lineRule="auto"/>
        <w:ind w:firstLine="2706"/>
        <w:rPr>
          <w:rFonts w:asciiTheme="minorEastAsia" w:hAnsiTheme="minorEastAsia" w:eastAsiaTheme="minorEastAsia" w:cstheme="minorEastAsia"/>
          <w:b/>
          <w:bCs/>
          <w:color w:val="auto"/>
          <w:spacing w:val="-8"/>
          <w:sz w:val="44"/>
          <w:szCs w:val="44"/>
          <w:highlight w:val="none"/>
        </w:rPr>
      </w:pPr>
    </w:p>
    <w:p>
      <w:pPr>
        <w:spacing w:before="50" w:line="360" w:lineRule="auto"/>
        <w:ind w:firstLine="2706"/>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pacing w:val="-8"/>
          <w:sz w:val="44"/>
          <w:szCs w:val="44"/>
          <w:highlight w:val="none"/>
        </w:rPr>
        <w:t>中小企业声明函（服务）</w:t>
      </w:r>
    </w:p>
    <w:p>
      <w:pPr>
        <w:spacing w:before="100" w:line="360" w:lineRule="auto"/>
        <w:ind w:right="291" w:firstLine="6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本公司（联合体）郑重声明，根据《政府采购促进中小企业发展管理办法》（财库﹝2020﹞46号）的规定，本公司（联合体）参加（单位名称）的（项目名称）采购活</w:t>
      </w:r>
      <w:r>
        <w:rPr>
          <w:rFonts w:hint="eastAsia" w:asciiTheme="minorEastAsia" w:hAnsiTheme="minorEastAsia" w:eastAsiaTheme="minorEastAsia" w:cstheme="minorEastAsia"/>
          <w:color w:val="auto"/>
          <w:spacing w:val="-3"/>
          <w:sz w:val="24"/>
          <w:szCs w:val="24"/>
          <w:highlight w:val="none"/>
        </w:rPr>
        <w:t>动，提供的服务全部由符合政策要求的中小企业制造。相关企业（含联合体中的中</w:t>
      </w:r>
      <w:r>
        <w:rPr>
          <w:rFonts w:hint="eastAsia" w:asciiTheme="minorEastAsia" w:hAnsiTheme="minorEastAsia" w:eastAsiaTheme="minorEastAsia" w:cstheme="minorEastAsia"/>
          <w:color w:val="auto"/>
          <w:spacing w:val="-8"/>
          <w:sz w:val="24"/>
          <w:szCs w:val="24"/>
          <w:highlight w:val="none"/>
        </w:rPr>
        <w:t>小企业、签订分包意向协议的中小企业）的具体情况如下：</w:t>
      </w:r>
    </w:p>
    <w:p>
      <w:pPr>
        <w:spacing w:before="3" w:line="360" w:lineRule="auto"/>
        <w:ind w:right="96" w:firstLine="23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u w:val="single"/>
        </w:rPr>
        <w:t>（标的名称</w:t>
      </w:r>
      <w:r>
        <w:rPr>
          <w:rFonts w:hint="eastAsia" w:asciiTheme="minorEastAsia" w:hAnsiTheme="minorEastAsia" w:eastAsiaTheme="minorEastAsia" w:cstheme="minorEastAsia"/>
          <w:color w:val="auto"/>
          <w:spacing w:val="-49"/>
          <w:sz w:val="24"/>
          <w:szCs w:val="24"/>
          <w:highlight w:val="none"/>
          <w:u w:val="single"/>
        </w:rPr>
        <w:t>）</w:t>
      </w:r>
      <w:r>
        <w:rPr>
          <w:rFonts w:hint="eastAsia" w:asciiTheme="minorEastAsia" w:hAnsiTheme="minorEastAsia" w:eastAsiaTheme="minorEastAsia" w:cstheme="minorEastAsia"/>
          <w:color w:val="auto"/>
          <w:spacing w:val="-49"/>
          <w:sz w:val="24"/>
          <w:szCs w:val="24"/>
          <w:highlight w:val="none"/>
        </w:rPr>
        <w:t>，</w:t>
      </w:r>
      <w:r>
        <w:rPr>
          <w:rFonts w:hint="eastAsia" w:asciiTheme="minorEastAsia" w:hAnsiTheme="minorEastAsia" w:eastAsiaTheme="minorEastAsia" w:cstheme="minorEastAsia"/>
          <w:color w:val="auto"/>
          <w:spacing w:val="-5"/>
          <w:sz w:val="24"/>
          <w:szCs w:val="24"/>
          <w:highlight w:val="none"/>
        </w:rPr>
        <w:t>属于</w:t>
      </w:r>
      <w:r>
        <w:rPr>
          <w:rFonts w:hint="eastAsia" w:asciiTheme="minorEastAsia" w:hAnsiTheme="minorEastAsia" w:eastAsiaTheme="minorEastAsia" w:cstheme="minorEastAsia"/>
          <w:color w:val="auto"/>
          <w:spacing w:val="-5"/>
          <w:sz w:val="24"/>
          <w:szCs w:val="24"/>
          <w:highlight w:val="none"/>
          <w:u w:val="single"/>
        </w:rPr>
        <w:t>（采购文件中明确的所属行业）</w:t>
      </w:r>
      <w:r>
        <w:rPr>
          <w:rFonts w:hint="eastAsia" w:asciiTheme="minorEastAsia" w:hAnsiTheme="minorEastAsia" w:eastAsiaTheme="minorEastAsia" w:cstheme="minorEastAsia"/>
          <w:color w:val="auto"/>
          <w:spacing w:val="-5"/>
          <w:sz w:val="24"/>
          <w:szCs w:val="24"/>
          <w:highlight w:val="none"/>
        </w:rPr>
        <w:t>行业；制造商为</w:t>
      </w:r>
      <w:r>
        <w:rPr>
          <w:rFonts w:hint="eastAsia" w:asciiTheme="minorEastAsia" w:hAnsiTheme="minorEastAsia" w:eastAsiaTheme="minorEastAsia" w:cstheme="minorEastAsia"/>
          <w:color w:val="auto"/>
          <w:spacing w:val="-5"/>
          <w:sz w:val="24"/>
          <w:szCs w:val="24"/>
          <w:highlight w:val="none"/>
          <w:u w:val="single"/>
        </w:rPr>
        <w:t>（企业名</w:t>
      </w:r>
      <w:r>
        <w:rPr>
          <w:rFonts w:hint="eastAsia" w:asciiTheme="minorEastAsia" w:hAnsiTheme="minorEastAsia" w:eastAsiaTheme="minorEastAsia" w:cstheme="minorEastAsia"/>
          <w:color w:val="auto"/>
          <w:spacing w:val="-9"/>
          <w:sz w:val="24"/>
          <w:szCs w:val="24"/>
          <w:highlight w:val="none"/>
          <w:u w:val="single"/>
        </w:rPr>
        <w:t>称</w:t>
      </w:r>
      <w:r>
        <w:rPr>
          <w:rFonts w:hint="eastAsia" w:asciiTheme="minorEastAsia" w:hAnsiTheme="minorEastAsia" w:eastAsiaTheme="minorEastAsia" w:cstheme="minorEastAsia"/>
          <w:color w:val="auto"/>
          <w:spacing w:val="-64"/>
          <w:sz w:val="24"/>
          <w:szCs w:val="24"/>
          <w:highlight w:val="none"/>
          <w:u w:val="single"/>
        </w:rPr>
        <w:t>）</w:t>
      </w:r>
      <w:r>
        <w:rPr>
          <w:rFonts w:hint="eastAsia" w:asciiTheme="minorEastAsia" w:hAnsiTheme="minorEastAsia" w:eastAsiaTheme="minorEastAsia" w:cstheme="minorEastAsia"/>
          <w:color w:val="auto"/>
          <w:spacing w:val="-64"/>
          <w:sz w:val="24"/>
          <w:szCs w:val="24"/>
          <w:highlight w:val="none"/>
        </w:rPr>
        <w:t>，</w:t>
      </w:r>
      <w:r>
        <w:rPr>
          <w:rFonts w:hint="eastAsia" w:asciiTheme="minorEastAsia" w:hAnsiTheme="minorEastAsia" w:eastAsiaTheme="minorEastAsia" w:cstheme="minorEastAsia"/>
          <w:color w:val="auto"/>
          <w:spacing w:val="-9"/>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9"/>
          <w:sz w:val="24"/>
          <w:szCs w:val="24"/>
          <w:highlight w:val="none"/>
          <w:u w:val="single"/>
        </w:rPr>
        <w:t>（中</w:t>
      </w:r>
      <w:r>
        <w:rPr>
          <w:rFonts w:hint="eastAsia" w:asciiTheme="minorEastAsia" w:hAnsiTheme="minorEastAsia" w:eastAsiaTheme="minorEastAsia" w:cstheme="minorEastAsia"/>
          <w:color w:val="auto"/>
          <w:spacing w:val="-10"/>
          <w:sz w:val="24"/>
          <w:szCs w:val="24"/>
          <w:highlight w:val="none"/>
          <w:u w:val="single"/>
        </w:rPr>
        <w:t>型企业、小型企业、微型企业</w:t>
      </w:r>
      <w:r>
        <w:rPr>
          <w:rFonts w:hint="eastAsia" w:asciiTheme="minorEastAsia" w:hAnsiTheme="minorEastAsia" w:eastAsiaTheme="minorEastAsia" w:cstheme="minorEastAsia"/>
          <w:color w:val="auto"/>
          <w:spacing w:val="-2"/>
          <w:sz w:val="24"/>
          <w:szCs w:val="24"/>
          <w:highlight w:val="none"/>
          <w:u w:val="single"/>
        </w:rPr>
        <w:t>）</w:t>
      </w:r>
      <w:r>
        <w:rPr>
          <w:rFonts w:hint="eastAsia" w:asciiTheme="minorEastAsia" w:hAnsiTheme="minorEastAsia" w:eastAsiaTheme="minorEastAsia" w:cstheme="minorEastAsia"/>
          <w:color w:val="auto"/>
          <w:spacing w:val="-2"/>
          <w:sz w:val="24"/>
          <w:szCs w:val="24"/>
          <w:highlight w:val="none"/>
        </w:rPr>
        <w:t>；</w:t>
      </w:r>
    </w:p>
    <w:p>
      <w:pPr>
        <w:spacing w:before="3" w:line="360" w:lineRule="auto"/>
        <w:ind w:right="96" w:firstLine="23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2.</w:t>
      </w:r>
      <w:r>
        <w:rPr>
          <w:rFonts w:hint="eastAsia" w:asciiTheme="minorEastAsia" w:hAnsiTheme="minorEastAsia" w:eastAsiaTheme="minorEastAsia" w:cstheme="minorEastAsia"/>
          <w:color w:val="auto"/>
          <w:spacing w:val="-5"/>
          <w:sz w:val="24"/>
          <w:szCs w:val="24"/>
          <w:highlight w:val="none"/>
          <w:u w:val="single"/>
        </w:rPr>
        <w:t>（标的名称</w:t>
      </w:r>
      <w:r>
        <w:rPr>
          <w:rFonts w:hint="eastAsia" w:asciiTheme="minorEastAsia" w:hAnsiTheme="minorEastAsia" w:eastAsiaTheme="minorEastAsia" w:cstheme="minorEastAsia"/>
          <w:color w:val="auto"/>
          <w:spacing w:val="-46"/>
          <w:sz w:val="24"/>
          <w:szCs w:val="24"/>
          <w:highlight w:val="none"/>
          <w:u w:val="single"/>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5"/>
          <w:sz w:val="24"/>
          <w:szCs w:val="24"/>
          <w:highlight w:val="none"/>
        </w:rPr>
        <w:t>属于</w:t>
      </w:r>
      <w:r>
        <w:rPr>
          <w:rFonts w:hint="eastAsia" w:asciiTheme="minorEastAsia" w:hAnsiTheme="minorEastAsia" w:eastAsiaTheme="minorEastAsia" w:cstheme="minorEastAsia"/>
          <w:color w:val="auto"/>
          <w:spacing w:val="-5"/>
          <w:sz w:val="24"/>
          <w:szCs w:val="24"/>
          <w:highlight w:val="none"/>
          <w:u w:val="single"/>
        </w:rPr>
        <w:t>（采购文件中明确的所属行业）</w:t>
      </w:r>
      <w:r>
        <w:rPr>
          <w:rFonts w:hint="eastAsia" w:asciiTheme="minorEastAsia" w:hAnsiTheme="minorEastAsia" w:eastAsiaTheme="minorEastAsia" w:cstheme="minorEastAsia"/>
          <w:color w:val="auto"/>
          <w:spacing w:val="-5"/>
          <w:sz w:val="24"/>
          <w:szCs w:val="24"/>
          <w:highlight w:val="none"/>
        </w:rPr>
        <w:t>行业；制造商为</w:t>
      </w:r>
      <w:r>
        <w:rPr>
          <w:rFonts w:hint="eastAsia" w:asciiTheme="minorEastAsia" w:hAnsiTheme="minorEastAsia" w:eastAsiaTheme="minorEastAsia" w:cstheme="minorEastAsia"/>
          <w:color w:val="auto"/>
          <w:spacing w:val="-5"/>
          <w:sz w:val="24"/>
          <w:szCs w:val="24"/>
          <w:highlight w:val="none"/>
          <w:u w:val="single"/>
        </w:rPr>
        <w:t>（企业名</w:t>
      </w:r>
      <w:r>
        <w:rPr>
          <w:rFonts w:hint="eastAsia" w:asciiTheme="minorEastAsia" w:hAnsiTheme="minorEastAsia" w:eastAsiaTheme="minorEastAsia" w:cstheme="minorEastAsia"/>
          <w:color w:val="auto"/>
          <w:spacing w:val="-9"/>
          <w:sz w:val="24"/>
          <w:szCs w:val="24"/>
          <w:highlight w:val="none"/>
          <w:u w:val="single"/>
        </w:rPr>
        <w:t>称</w:t>
      </w:r>
      <w:r>
        <w:rPr>
          <w:rFonts w:hint="eastAsia" w:asciiTheme="minorEastAsia" w:hAnsiTheme="minorEastAsia" w:eastAsiaTheme="minorEastAsia" w:cstheme="minorEastAsia"/>
          <w:color w:val="auto"/>
          <w:spacing w:val="-64"/>
          <w:sz w:val="24"/>
          <w:szCs w:val="24"/>
          <w:highlight w:val="none"/>
          <w:u w:val="single"/>
        </w:rPr>
        <w:t>）</w:t>
      </w:r>
      <w:r>
        <w:rPr>
          <w:rFonts w:hint="eastAsia" w:asciiTheme="minorEastAsia" w:hAnsiTheme="minorEastAsia" w:eastAsiaTheme="minorEastAsia" w:cstheme="minorEastAsia"/>
          <w:color w:val="auto"/>
          <w:spacing w:val="-64"/>
          <w:sz w:val="24"/>
          <w:szCs w:val="24"/>
          <w:highlight w:val="none"/>
        </w:rPr>
        <w:t>，</w:t>
      </w:r>
      <w:r>
        <w:rPr>
          <w:rFonts w:hint="eastAsia" w:asciiTheme="minorEastAsia" w:hAnsiTheme="minorEastAsia" w:eastAsiaTheme="minorEastAsia" w:cstheme="minorEastAsia"/>
          <w:color w:val="auto"/>
          <w:spacing w:val="-9"/>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9"/>
          <w:sz w:val="24"/>
          <w:szCs w:val="24"/>
          <w:highlight w:val="none"/>
          <w:u w:val="single"/>
        </w:rPr>
        <w:t>（中</w:t>
      </w:r>
      <w:r>
        <w:rPr>
          <w:rFonts w:hint="eastAsia" w:asciiTheme="minorEastAsia" w:hAnsiTheme="minorEastAsia" w:eastAsiaTheme="minorEastAsia" w:cstheme="minorEastAsia"/>
          <w:color w:val="auto"/>
          <w:spacing w:val="-10"/>
          <w:sz w:val="24"/>
          <w:szCs w:val="24"/>
          <w:highlight w:val="none"/>
          <w:u w:val="single"/>
        </w:rPr>
        <w:t>型企业、小型企业、微型企业</w:t>
      </w:r>
      <w:r>
        <w:rPr>
          <w:rFonts w:hint="eastAsia" w:asciiTheme="minorEastAsia" w:hAnsiTheme="minorEastAsia" w:eastAsiaTheme="minorEastAsia" w:cstheme="minorEastAsia"/>
          <w:color w:val="auto"/>
          <w:spacing w:val="-2"/>
          <w:sz w:val="24"/>
          <w:szCs w:val="24"/>
          <w:highlight w:val="none"/>
          <w:u w:val="single"/>
        </w:rPr>
        <w:t>）</w:t>
      </w:r>
      <w:r>
        <w:rPr>
          <w:rFonts w:hint="eastAsia" w:asciiTheme="minorEastAsia" w:hAnsiTheme="minorEastAsia" w:eastAsiaTheme="minorEastAsia" w:cstheme="minorEastAsia"/>
          <w:color w:val="auto"/>
          <w:spacing w:val="-2"/>
          <w:sz w:val="24"/>
          <w:szCs w:val="24"/>
          <w:highlight w:val="none"/>
        </w:rPr>
        <w:t>；</w:t>
      </w:r>
    </w:p>
    <w:p>
      <w:pPr>
        <w:spacing w:before="1" w:line="360" w:lineRule="auto"/>
        <w:ind w:firstLine="6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w:t>
      </w:r>
    </w:p>
    <w:p>
      <w:pPr>
        <w:spacing w:before="94" w:line="360" w:lineRule="auto"/>
        <w:ind w:left="28" w:right="292" w:firstLine="4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以上企业，不属于大企业的分支机构，不存在控股股东为大企业的情形，也不存</w:t>
      </w:r>
      <w:r>
        <w:rPr>
          <w:rFonts w:hint="eastAsia" w:asciiTheme="minorEastAsia" w:hAnsiTheme="minorEastAsia" w:eastAsiaTheme="minorEastAsia" w:cstheme="minorEastAsia"/>
          <w:color w:val="auto"/>
          <w:spacing w:val="-1"/>
          <w:sz w:val="24"/>
          <w:szCs w:val="24"/>
          <w:highlight w:val="none"/>
        </w:rPr>
        <w:t>在与大企业的负责人为同一人的情形。</w:t>
      </w:r>
    </w:p>
    <w:p>
      <w:pPr>
        <w:spacing w:before="1" w:line="360" w:lineRule="auto"/>
        <w:ind w:firstLine="57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本企业对上述声明内容的真实性负责。如有虚假，将依法承担相应责任。</w:t>
      </w:r>
    </w:p>
    <w:p>
      <w:pPr>
        <w:spacing w:line="360" w:lineRule="auto"/>
        <w:rPr>
          <w:rFonts w:asciiTheme="minorEastAsia" w:hAnsiTheme="minorEastAsia" w:eastAsiaTheme="minorEastAsia" w:cstheme="minorEastAsia"/>
          <w:color w:val="auto"/>
          <w:highlight w:val="none"/>
        </w:rPr>
      </w:pPr>
    </w:p>
    <w:p>
      <w:pPr>
        <w:spacing w:before="78" w:line="360" w:lineRule="auto"/>
        <w:ind w:firstLine="452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供应商名称（电子签章</w:t>
      </w:r>
      <w:r>
        <w:rPr>
          <w:rFonts w:hint="eastAsia" w:asciiTheme="minorEastAsia" w:hAnsiTheme="minorEastAsia" w:eastAsiaTheme="minorEastAsia" w:cstheme="minorEastAsia"/>
          <w:color w:val="auto"/>
          <w:spacing w:val="-16"/>
          <w:sz w:val="24"/>
          <w:szCs w:val="24"/>
          <w:highlight w:val="none"/>
        </w:rPr>
        <w:t>）：</w:t>
      </w:r>
    </w:p>
    <w:p>
      <w:pPr>
        <w:spacing w:before="121" w:line="360" w:lineRule="auto"/>
        <w:ind w:firstLine="4850" w:firstLineChars="25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3"/>
          <w:sz w:val="24"/>
          <w:szCs w:val="24"/>
          <w:highlight w:val="none"/>
        </w:rPr>
        <w:t>日期：年月</w:t>
      </w:r>
      <w:r>
        <w:rPr>
          <w:rFonts w:hint="eastAsia" w:asciiTheme="minorEastAsia" w:hAnsiTheme="minorEastAsia" w:eastAsiaTheme="minorEastAsia" w:cstheme="minorEastAsia"/>
          <w:color w:val="auto"/>
          <w:sz w:val="24"/>
          <w:szCs w:val="24"/>
          <w:highlight w:val="none"/>
        </w:rPr>
        <w:t>日</w:t>
      </w:r>
    </w:p>
    <w:p>
      <w:pPr>
        <w:spacing w:line="360" w:lineRule="auto"/>
        <w:rPr>
          <w:rFonts w:asciiTheme="minorEastAsia" w:hAnsiTheme="minorEastAsia" w:eastAsiaTheme="minorEastAsia" w:cstheme="minorEastAsia"/>
          <w:color w:val="auto"/>
          <w:highlight w:val="none"/>
        </w:rPr>
      </w:pPr>
    </w:p>
    <w:p>
      <w:pPr>
        <w:spacing w:before="79" w:line="360" w:lineRule="auto"/>
        <w:ind w:left="42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注：享受《政府采购促进中小企业发展管理办法》（财库〔2020〕46号）规定的中小</w:t>
      </w:r>
      <w:r>
        <w:rPr>
          <w:rFonts w:hint="eastAsia" w:asciiTheme="minorEastAsia" w:hAnsiTheme="minorEastAsia" w:eastAsiaTheme="minorEastAsia" w:cstheme="minorEastAsia"/>
          <w:color w:val="auto"/>
          <w:spacing w:val="-10"/>
          <w:sz w:val="24"/>
          <w:szCs w:val="24"/>
          <w:highlight w:val="none"/>
        </w:rPr>
        <w:t>企业扶持政策的，</w:t>
      </w:r>
      <w:r>
        <w:rPr>
          <w:rFonts w:hint="eastAsia" w:asciiTheme="minorEastAsia" w:hAnsiTheme="minorEastAsia" w:eastAsiaTheme="minorEastAsia" w:cstheme="minorEastAsia"/>
          <w:color w:val="auto"/>
          <w:spacing w:val="-15"/>
          <w:sz w:val="24"/>
          <w:szCs w:val="24"/>
          <w:highlight w:val="none"/>
        </w:rPr>
        <w:t>采购人、采购代理机构应当随成交结果公开成交供应商的《中小企业声明函》。从业</w:t>
      </w:r>
      <w:r>
        <w:rPr>
          <w:rFonts w:hint="eastAsia" w:asciiTheme="minorEastAsia" w:hAnsiTheme="minorEastAsia" w:eastAsiaTheme="minorEastAsia" w:cstheme="minorEastAsia"/>
          <w:color w:val="auto"/>
          <w:spacing w:val="-11"/>
          <w:sz w:val="24"/>
          <w:szCs w:val="24"/>
          <w:highlight w:val="none"/>
        </w:rPr>
        <w:t>人员、营业收入、资产总额填报上一年度数据，无上一年度数据的新</w:t>
      </w:r>
      <w:r>
        <w:rPr>
          <w:rFonts w:hint="eastAsia" w:asciiTheme="minorEastAsia" w:hAnsiTheme="minorEastAsia" w:eastAsiaTheme="minorEastAsia" w:cstheme="minorEastAsia"/>
          <w:color w:val="auto"/>
          <w:spacing w:val="-4"/>
          <w:sz w:val="24"/>
          <w:szCs w:val="24"/>
          <w:highlight w:val="none"/>
        </w:rPr>
        <w:t>成立企业可不填报。</w:t>
      </w:r>
    </w:p>
    <w:p>
      <w:pPr>
        <w:spacing w:line="360" w:lineRule="auto"/>
        <w:rPr>
          <w:rFonts w:asciiTheme="minorEastAsia" w:hAnsiTheme="minorEastAsia" w:eastAsiaTheme="minorEastAsia" w:cstheme="minorEastAsia"/>
          <w:color w:val="auto"/>
          <w:highlight w:val="none"/>
        </w:rPr>
        <w:sectPr>
          <w:headerReference r:id="rId53" w:type="default"/>
          <w:footerReference r:id="rId54" w:type="default"/>
          <w:pgSz w:w="11906" w:h="16838"/>
          <w:pgMar w:top="935" w:right="1345" w:bottom="1073" w:left="1261"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before="104" w:line="360" w:lineRule="auto"/>
        <w:ind w:firstLine="2834"/>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3"/>
          <w:sz w:val="32"/>
          <w:szCs w:val="32"/>
          <w:highlight w:val="none"/>
        </w:rPr>
        <w:t>第五节其他文书、文件格式</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2432"/>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pacing w:val="-3"/>
          <w:sz w:val="44"/>
          <w:szCs w:val="44"/>
          <w:highlight w:val="none"/>
        </w:rPr>
        <w:t>残疾人福利性单位声明函</w:t>
      </w:r>
    </w:p>
    <w:p>
      <w:pPr>
        <w:spacing w:line="360" w:lineRule="auto"/>
        <w:rPr>
          <w:rFonts w:asciiTheme="minorEastAsia" w:hAnsiTheme="minorEastAsia" w:eastAsiaTheme="minorEastAsia" w:cstheme="minorEastAsia"/>
          <w:color w:val="auto"/>
          <w:highlight w:val="none"/>
        </w:rPr>
      </w:pPr>
    </w:p>
    <w:p>
      <w:pPr>
        <w:spacing w:before="78" w:line="360" w:lineRule="auto"/>
        <w:ind w:firstLine="49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本单位郑重声明，根据《财政部民政部中国残疾人联合会关于促进残疾人就业政府采</w:t>
      </w:r>
    </w:p>
    <w:p>
      <w:pPr>
        <w:spacing w:before="257" w:line="360" w:lineRule="auto"/>
        <w:ind w:firstLine="1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9"/>
          <w:sz w:val="24"/>
          <w:szCs w:val="24"/>
          <w:highlight w:val="none"/>
        </w:rPr>
        <w:t>购政策的通知》（财库〔2017〕141号）的规定，本单位为符合条件的残疾人福利性单位，且</w:t>
      </w:r>
    </w:p>
    <w:p>
      <w:pPr>
        <w:spacing w:line="360" w:lineRule="auto"/>
        <w:ind w:firstLine="1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本单位参加单位的项目采购活动由本单位提供服务。</w:t>
      </w:r>
    </w:p>
    <w:p>
      <w:pPr>
        <w:spacing w:before="184" w:line="360" w:lineRule="auto"/>
        <w:ind w:firstLine="49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本单位对上述声明的真实性负责。如有虚假，将依法承担相应责任。</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78" w:line="360" w:lineRule="auto"/>
        <w:ind w:firstLine="241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供应商名称（电子签章</w:t>
      </w:r>
      <w:r>
        <w:rPr>
          <w:rFonts w:hint="eastAsia" w:asciiTheme="minorEastAsia" w:hAnsiTheme="minorEastAsia" w:eastAsiaTheme="minorEastAsia" w:cstheme="minorEastAsia"/>
          <w:color w:val="auto"/>
          <w:spacing w:val="-9"/>
          <w:sz w:val="24"/>
          <w:szCs w:val="24"/>
          <w:highlight w:val="none"/>
        </w:rPr>
        <w:t>）：</w:t>
      </w:r>
    </w:p>
    <w:p>
      <w:pPr>
        <w:spacing w:before="78" w:line="360" w:lineRule="auto"/>
        <w:ind w:firstLine="2411"/>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日期： 年 月 日</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79" w:line="360" w:lineRule="auto"/>
        <w:ind w:left="1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注：请根据自己的真实情况出具《残疾人福利性单位声明函》。依法享受中小企业优惠政策的</w:t>
      </w:r>
      <w:r>
        <w:rPr>
          <w:rFonts w:hint="eastAsia" w:asciiTheme="minorEastAsia" w:hAnsiTheme="minorEastAsia" w:eastAsiaTheme="minorEastAsia" w:cstheme="minorEastAsia"/>
          <w:color w:val="auto"/>
          <w:spacing w:val="-4"/>
          <w:sz w:val="24"/>
          <w:szCs w:val="24"/>
          <w:highlight w:val="none"/>
        </w:rPr>
        <w:t>采购人或者采购代理机构在公告中标结果时，同时公告其《残疾人福利性单位声明函》，接</w:t>
      </w:r>
      <w:r>
        <w:rPr>
          <w:rFonts w:hint="eastAsia" w:asciiTheme="minorEastAsia" w:hAnsiTheme="minorEastAsia" w:eastAsiaTheme="minorEastAsia" w:cstheme="minorEastAsia"/>
          <w:color w:val="auto"/>
          <w:spacing w:val="-2"/>
          <w:sz w:val="24"/>
          <w:szCs w:val="24"/>
          <w:highlight w:val="none"/>
        </w:rPr>
        <w:t>受社会监督。</w:t>
      </w:r>
    </w:p>
    <w:p>
      <w:pPr>
        <w:spacing w:line="360" w:lineRule="auto"/>
        <w:rPr>
          <w:rFonts w:asciiTheme="minorEastAsia" w:hAnsiTheme="minorEastAsia" w:eastAsiaTheme="minorEastAsia" w:cstheme="minorEastAsia"/>
          <w:color w:val="auto"/>
          <w:highlight w:val="none"/>
        </w:rPr>
        <w:sectPr>
          <w:headerReference r:id="rId55" w:type="default"/>
          <w:footerReference r:id="rId56" w:type="default"/>
          <w:pgSz w:w="11906" w:h="16838"/>
          <w:pgMar w:top="935" w:right="1134" w:bottom="1073" w:left="1133"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43" w:line="360" w:lineRule="auto"/>
        <w:ind w:firstLine="3079"/>
        <w:outlineLvl w:val="0"/>
        <w:rPr>
          <w:rFonts w:asciiTheme="minorEastAsia" w:hAnsiTheme="minorEastAsia" w:eastAsiaTheme="minorEastAsia" w:cstheme="minorEastAsia"/>
          <w:color w:val="auto"/>
          <w:sz w:val="44"/>
          <w:szCs w:val="44"/>
          <w:highlight w:val="none"/>
        </w:rPr>
      </w:pPr>
      <w:bookmarkStart w:id="21" w:name="_Toc16767"/>
      <w:r>
        <w:rPr>
          <w:rFonts w:hint="eastAsia" w:asciiTheme="minorEastAsia" w:hAnsiTheme="minorEastAsia" w:eastAsiaTheme="minorEastAsia" w:cstheme="minorEastAsia"/>
          <w:color w:val="auto"/>
          <w:spacing w:val="-5"/>
          <w:sz w:val="44"/>
          <w:szCs w:val="44"/>
          <w:highlight w:val="none"/>
        </w:rPr>
        <w:t>第六章合同文本</w:t>
      </w:r>
      <w:bookmarkEnd w:id="21"/>
    </w:p>
    <w:p>
      <w:pPr>
        <w:spacing w:line="360" w:lineRule="auto"/>
        <w:rPr>
          <w:rFonts w:asciiTheme="minorEastAsia" w:hAnsiTheme="minorEastAsia" w:eastAsiaTheme="minorEastAsia" w:cstheme="minorEastAsia"/>
          <w:color w:val="auto"/>
          <w:highlight w:val="none"/>
        </w:rPr>
        <w:sectPr>
          <w:headerReference r:id="rId57" w:type="default"/>
          <w:footerReference r:id="rId58" w:type="default"/>
          <w:pgSz w:w="11906" w:h="16838"/>
          <w:pgMar w:top="935" w:right="1135" w:bottom="1073" w:left="1133" w:header="704" w:footer="952" w:gutter="0"/>
          <w:cols w:space="720" w:num="1"/>
        </w:sectPr>
      </w:pPr>
    </w:p>
    <w:p>
      <w:pPr>
        <w:spacing w:before="78" w:line="360" w:lineRule="auto"/>
        <w:ind w:firstLine="27"/>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pacing w:val="-7"/>
          <w:sz w:val="30"/>
          <w:szCs w:val="30"/>
          <w:highlight w:val="none"/>
        </w:rPr>
        <w:t>“政采云”平台合同编号：</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tabs>
          <w:tab w:val="left" w:pos="3311"/>
        </w:tabs>
        <w:spacing w:before="144" w:line="360" w:lineRule="auto"/>
        <w:ind w:firstLine="108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spacing w:val="-42"/>
          <w:w w:val="96"/>
          <w:sz w:val="44"/>
          <w:szCs w:val="44"/>
          <w:highlight w:val="none"/>
          <w:u w:val="single"/>
        </w:rPr>
        <w:t>（项目名称）</w:t>
      </w:r>
      <w:r>
        <w:rPr>
          <w:rFonts w:hint="eastAsia" w:asciiTheme="minorEastAsia" w:hAnsiTheme="minorEastAsia" w:eastAsiaTheme="minorEastAsia" w:cstheme="minorEastAsia"/>
          <w:color w:val="auto"/>
          <w:spacing w:val="-42"/>
          <w:w w:val="96"/>
          <w:sz w:val="44"/>
          <w:szCs w:val="44"/>
          <w:highlight w:val="none"/>
        </w:rPr>
        <w:t>合同</w:t>
      </w: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118" w:line="360" w:lineRule="auto"/>
        <w:ind w:left="2010" w:right="1337"/>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5"/>
          <w:w w:val="98"/>
          <w:sz w:val="36"/>
          <w:szCs w:val="36"/>
          <w:highlight w:val="none"/>
        </w:rPr>
        <w:t>采购项目编号：采购计划编号：</w:t>
      </w:r>
    </w:p>
    <w:p>
      <w:pPr>
        <w:spacing w:line="360" w:lineRule="auto"/>
        <w:rPr>
          <w:rFonts w:asciiTheme="minorEastAsia" w:hAnsiTheme="minorEastAsia" w:eastAsiaTheme="minorEastAsia" w:cstheme="minorEastAsia"/>
          <w:color w:val="auto"/>
          <w:highlight w:val="none"/>
        </w:rPr>
      </w:pPr>
    </w:p>
    <w:p>
      <w:pPr>
        <w:spacing w:before="117" w:line="360" w:lineRule="auto"/>
        <w:ind w:firstLine="201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2"/>
          <w:w w:val="90"/>
          <w:position w:val="36"/>
          <w:sz w:val="36"/>
          <w:szCs w:val="36"/>
          <w:highlight w:val="none"/>
        </w:rPr>
        <w:t>采购人：</w:t>
      </w:r>
    </w:p>
    <w:p>
      <w:pPr>
        <w:spacing w:before="1" w:line="360" w:lineRule="auto"/>
        <w:ind w:firstLine="2043"/>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4"/>
          <w:w w:val="95"/>
          <w:sz w:val="36"/>
          <w:szCs w:val="36"/>
          <w:highlight w:val="none"/>
          <w:lang w:eastAsia="zh-CN"/>
        </w:rPr>
        <w:t>成交</w:t>
      </w:r>
      <w:r>
        <w:rPr>
          <w:rFonts w:hint="eastAsia" w:asciiTheme="minorEastAsia" w:hAnsiTheme="minorEastAsia" w:eastAsiaTheme="minorEastAsia" w:cstheme="minorEastAsia"/>
          <w:color w:val="auto"/>
          <w:spacing w:val="-34"/>
          <w:w w:val="95"/>
          <w:sz w:val="36"/>
          <w:szCs w:val="36"/>
          <w:highlight w:val="none"/>
        </w:rPr>
        <w:t>供应商：</w:t>
      </w:r>
    </w:p>
    <w:p>
      <w:pPr>
        <w:spacing w:line="360" w:lineRule="auto"/>
        <w:rPr>
          <w:rFonts w:asciiTheme="minorEastAsia" w:hAnsiTheme="minorEastAsia" w:eastAsiaTheme="minorEastAsia" w:cstheme="minorEastAsia"/>
          <w:color w:val="auto"/>
          <w:highlight w:val="none"/>
        </w:rPr>
        <w:sectPr>
          <w:headerReference r:id="rId59" w:type="default"/>
          <w:footerReference r:id="rId60" w:type="default"/>
          <w:pgSz w:w="11906" w:h="16838"/>
          <w:pgMar w:top="935" w:right="1135" w:bottom="1073" w:left="1133" w:header="704" w:footer="952" w:gutter="0"/>
          <w:cols w:space="720" w:num="1"/>
        </w:sectPr>
      </w:pPr>
    </w:p>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spacing w:before="91" w:line="360" w:lineRule="auto"/>
        <w:ind w:firstLine="3831"/>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pacing w:val="-5"/>
          <w:sz w:val="32"/>
          <w:szCs w:val="32"/>
          <w:highlight w:val="none"/>
        </w:rPr>
        <w:t>第一部分合同书</w:t>
      </w:r>
    </w:p>
    <w:p>
      <w:pPr>
        <w:spacing w:line="560" w:lineRule="exact"/>
        <w:ind w:firstLine="720" w:firstLineChars="200"/>
        <w:jc w:val="center"/>
        <w:rPr>
          <w:rFonts w:ascii="仿宋" w:hAnsi="仿宋" w:eastAsia="仿宋" w:cs="仿宋"/>
          <w:b/>
          <w:bCs/>
          <w:color w:val="auto"/>
          <w:sz w:val="32"/>
          <w:szCs w:val="32"/>
          <w:highlight w:val="none"/>
        </w:rPr>
      </w:pPr>
      <w:r>
        <w:rPr>
          <w:rFonts w:hint="eastAsia" w:ascii="宋体" w:hAnsi="宋体"/>
          <w:bCs/>
          <w:color w:val="auto"/>
          <w:sz w:val="36"/>
          <w:szCs w:val="36"/>
          <w:highlight w:val="none"/>
        </w:rPr>
        <w:t xml:space="preserve"> </w:t>
      </w:r>
      <w:r>
        <w:rPr>
          <w:rFonts w:hint="eastAsia" w:ascii="仿宋" w:hAnsi="仿宋" w:eastAsia="仿宋" w:cs="仿宋"/>
          <w:b/>
          <w:bCs/>
          <w:color w:val="auto"/>
          <w:sz w:val="32"/>
          <w:szCs w:val="32"/>
          <w:highlight w:val="none"/>
        </w:rPr>
        <w:t>广西壮族自治区政府采购合同</w:t>
      </w:r>
    </w:p>
    <w:p>
      <w:pPr>
        <w:spacing w:line="560" w:lineRule="exact"/>
        <w:ind w:firstLine="640" w:firstLineChars="200"/>
        <w:rPr>
          <w:rFonts w:ascii="仿宋" w:hAnsi="仿宋" w:eastAsia="仿宋" w:cs="仿宋"/>
          <w:color w:val="auto"/>
          <w:sz w:val="32"/>
          <w:szCs w:val="32"/>
          <w:highlight w:val="none"/>
        </w:rPr>
      </w:pPr>
    </w:p>
    <w:p>
      <w:pPr>
        <w:pStyle w:val="10"/>
        <w:tabs>
          <w:tab w:val="left" w:pos="3479"/>
        </w:tabs>
        <w:spacing w:line="360" w:lineRule="auto"/>
        <w:ind w:left="540"/>
        <w:rPr>
          <w:rFonts w:ascii="宋体" w:hAnsi="宋体" w:eastAsia="宋体" w:cs="宋体"/>
          <w:color w:val="auto"/>
          <w:sz w:val="21"/>
          <w:highlight w:val="none"/>
          <w:u w:val="single"/>
        </w:rPr>
      </w:pPr>
      <w:r>
        <w:rPr>
          <w:rFonts w:hint="eastAsia" w:ascii="宋体" w:hAnsi="宋体" w:eastAsia="宋体" w:cs="宋体"/>
          <w:color w:val="auto"/>
          <w:sz w:val="21"/>
          <w:highlight w:val="none"/>
          <w:u w:val="single"/>
        </w:rPr>
        <w:t xml:space="preserve">项目名称：                 </w:t>
      </w:r>
    </w:p>
    <w:p>
      <w:pPr>
        <w:pStyle w:val="10"/>
        <w:tabs>
          <w:tab w:val="left" w:pos="3479"/>
        </w:tabs>
        <w:spacing w:line="360" w:lineRule="auto"/>
        <w:ind w:left="540"/>
        <w:rPr>
          <w:rFonts w:ascii="宋体" w:hAnsi="宋体" w:eastAsia="宋体" w:cs="宋体"/>
          <w:color w:val="auto"/>
          <w:sz w:val="21"/>
          <w:highlight w:val="none"/>
        </w:rPr>
      </w:pPr>
      <w:r>
        <w:rPr>
          <w:rFonts w:hint="eastAsia" w:ascii="宋体" w:hAnsi="宋体" w:eastAsia="宋体" w:cs="宋体"/>
          <w:color w:val="auto"/>
          <w:sz w:val="21"/>
          <w:highlight w:val="none"/>
          <w:u w:val="single"/>
        </w:rPr>
        <w:t xml:space="preserve">项目编号： </w:t>
      </w:r>
      <w:r>
        <w:rPr>
          <w:rFonts w:hint="eastAsia" w:ascii="宋体" w:hAnsi="宋体" w:eastAsia="宋体" w:cs="宋体"/>
          <w:color w:val="auto"/>
          <w:sz w:val="21"/>
          <w:highlight w:val="none"/>
          <w:u w:val="single"/>
        </w:rPr>
        <w:tab/>
      </w:r>
    </w:p>
    <w:p>
      <w:pPr>
        <w:pStyle w:val="10"/>
        <w:tabs>
          <w:tab w:val="left" w:pos="3479"/>
        </w:tabs>
        <w:spacing w:line="268" w:lineRule="exact"/>
        <w:ind w:left="540"/>
        <w:rPr>
          <w:rFonts w:ascii="宋体" w:hAnsi="宋体" w:eastAsia="宋体" w:cs="宋体"/>
          <w:color w:val="auto"/>
          <w:sz w:val="21"/>
          <w:highlight w:val="none"/>
        </w:rPr>
      </w:pPr>
      <w:r>
        <w:rPr>
          <w:rFonts w:hint="eastAsia" w:ascii="宋体" w:hAnsi="宋体" w:eastAsia="宋体" w:cs="宋体"/>
          <w:color w:val="auto"/>
          <w:sz w:val="21"/>
          <w:highlight w:val="none"/>
        </w:rPr>
        <w:t>甲方：</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（采购人）</w:t>
      </w:r>
    </w:p>
    <w:p>
      <w:pPr>
        <w:pStyle w:val="10"/>
        <w:tabs>
          <w:tab w:val="left" w:pos="3479"/>
        </w:tabs>
        <w:spacing w:before="91"/>
        <w:ind w:left="540"/>
        <w:rPr>
          <w:rFonts w:ascii="宋体" w:hAnsi="宋体" w:eastAsia="宋体" w:cs="宋体"/>
          <w:color w:val="auto"/>
          <w:sz w:val="21"/>
          <w:highlight w:val="none"/>
        </w:rPr>
      </w:pPr>
      <w:r>
        <w:rPr>
          <w:rFonts w:hint="eastAsia" w:ascii="宋体" w:hAnsi="宋体" w:eastAsia="宋体" w:cs="宋体"/>
          <w:color w:val="auto"/>
          <w:sz w:val="21"/>
          <w:highlight w:val="none"/>
        </w:rPr>
        <w:t>乙方：</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（成交供应商）</w:t>
      </w:r>
    </w:p>
    <w:p>
      <w:pPr>
        <w:pStyle w:val="10"/>
        <w:spacing w:before="122" w:line="357" w:lineRule="auto"/>
        <w:ind w:right="260" w:firstLine="417"/>
        <w:jc w:val="both"/>
        <w:rPr>
          <w:rFonts w:ascii="宋体" w:hAnsi="宋体" w:eastAsia="宋体" w:cs="宋体"/>
          <w:color w:val="auto"/>
          <w:sz w:val="21"/>
          <w:highlight w:val="none"/>
        </w:rPr>
      </w:pPr>
      <w:r>
        <w:rPr>
          <w:rFonts w:hint="eastAsia" w:ascii="宋体" w:hAnsi="宋体" w:eastAsia="宋体" w:cs="宋体"/>
          <w:color w:val="auto"/>
          <w:sz w:val="21"/>
          <w:highlight w:val="none"/>
        </w:rPr>
        <w:t>根据《中华人民共和国政府采购法》、《中华人民共和国政府采购法实施条例》、《</w:t>
      </w:r>
      <w:r>
        <w:rPr>
          <w:rFonts w:hint="eastAsia" w:ascii="宋体" w:hAnsi="宋体" w:eastAsia="宋体" w:cs="宋体"/>
          <w:color w:val="auto"/>
          <w:sz w:val="21"/>
          <w:highlight w:val="none"/>
          <w:lang w:eastAsia="zh-CN"/>
        </w:rPr>
        <w:t>中华人民共和国民法典</w:t>
      </w:r>
      <w:r>
        <w:rPr>
          <w:rFonts w:hint="eastAsia" w:ascii="宋体" w:hAnsi="宋体" w:eastAsia="宋体" w:cs="宋体"/>
          <w:color w:val="auto"/>
          <w:sz w:val="21"/>
          <w:highlight w:val="none"/>
        </w:rPr>
        <w:t>》等法律、法规规定，按照竞争性磋商文件、报价文件规定条款和成交供应商的承诺、甲乙双方签订本采购合同。</w:t>
      </w:r>
    </w:p>
    <w:p>
      <w:pPr>
        <w:pStyle w:val="5"/>
        <w:spacing w:line="266" w:lineRule="exact"/>
        <w:ind w:left="537"/>
        <w:jc w:val="both"/>
        <w:rPr>
          <w:rFonts w:ascii="宋体" w:hAnsi="宋体" w:eastAsia="宋体" w:cs="宋体"/>
          <w:color w:val="auto"/>
          <w:highlight w:val="none"/>
        </w:rPr>
      </w:pPr>
      <w:r>
        <w:rPr>
          <w:rFonts w:hint="eastAsia" w:ascii="宋体" w:hAnsi="宋体" w:eastAsia="宋体" w:cs="宋体"/>
          <w:color w:val="auto"/>
          <w:highlight w:val="none"/>
        </w:rPr>
        <w:t>第一条 合同文件</w:t>
      </w:r>
    </w:p>
    <w:p>
      <w:pPr>
        <w:pStyle w:val="10"/>
        <w:spacing w:before="132"/>
        <w:ind w:left="540"/>
        <w:rPr>
          <w:rFonts w:ascii="宋体" w:hAnsi="宋体" w:eastAsia="宋体" w:cs="宋体"/>
          <w:color w:val="auto"/>
          <w:sz w:val="21"/>
          <w:highlight w:val="none"/>
        </w:rPr>
      </w:pPr>
      <w:r>
        <w:rPr>
          <w:rFonts w:hint="eastAsia" w:ascii="宋体" w:hAnsi="宋体" w:eastAsia="宋体" w:cs="宋体"/>
          <w:color w:val="auto"/>
          <w:sz w:val="21"/>
          <w:highlight w:val="none"/>
        </w:rPr>
        <w:t>1、本合同所附下列文件是构成本合同不可分割的部分：</w:t>
      </w:r>
    </w:p>
    <w:p>
      <w:pPr>
        <w:pStyle w:val="43"/>
        <w:numPr>
          <w:ilvl w:val="0"/>
          <w:numId w:val="8"/>
        </w:numPr>
        <w:tabs>
          <w:tab w:val="left" w:pos="960"/>
        </w:tabs>
        <w:spacing w:before="129"/>
        <w:ind w:firstLine="420"/>
        <w:rPr>
          <w:rFonts w:ascii="宋体" w:hAnsi="宋体" w:eastAsia="宋体" w:cs="宋体"/>
          <w:color w:val="auto"/>
          <w:highlight w:val="none"/>
        </w:rPr>
      </w:pPr>
      <w:r>
        <w:rPr>
          <w:rFonts w:hint="eastAsia" w:ascii="宋体" w:hAnsi="宋体" w:eastAsia="宋体" w:cs="宋体"/>
          <w:color w:val="auto"/>
          <w:highlight w:val="none"/>
        </w:rPr>
        <w:t>成交供应商提交的磋商报价表、针对本项目的实施方案及服务承诺书；</w:t>
      </w:r>
    </w:p>
    <w:p>
      <w:pPr>
        <w:pStyle w:val="43"/>
        <w:numPr>
          <w:ilvl w:val="0"/>
          <w:numId w:val="8"/>
        </w:numPr>
        <w:tabs>
          <w:tab w:val="left" w:pos="959"/>
        </w:tabs>
        <w:spacing w:before="132"/>
        <w:ind w:left="958" w:firstLine="420"/>
        <w:rPr>
          <w:rFonts w:ascii="宋体" w:hAnsi="宋体" w:eastAsia="宋体" w:cs="宋体"/>
          <w:color w:val="auto"/>
          <w:highlight w:val="none"/>
        </w:rPr>
      </w:pPr>
      <w:r>
        <w:rPr>
          <w:rFonts w:hint="eastAsia" w:ascii="宋体" w:hAnsi="宋体" w:eastAsia="宋体" w:cs="宋体"/>
          <w:color w:val="auto"/>
          <w:highlight w:val="none"/>
        </w:rPr>
        <w:t>成交通知书；</w:t>
      </w:r>
    </w:p>
    <w:p>
      <w:pPr>
        <w:pStyle w:val="43"/>
        <w:numPr>
          <w:ilvl w:val="0"/>
          <w:numId w:val="8"/>
        </w:numPr>
        <w:tabs>
          <w:tab w:val="left" w:pos="959"/>
        </w:tabs>
        <w:spacing w:before="131"/>
        <w:ind w:left="958" w:firstLine="420"/>
        <w:rPr>
          <w:rFonts w:ascii="宋体" w:hAnsi="宋体" w:eastAsia="宋体" w:cs="宋体"/>
          <w:color w:val="auto"/>
          <w:highlight w:val="none"/>
        </w:rPr>
      </w:pPr>
      <w:r>
        <w:rPr>
          <w:rFonts w:hint="eastAsia" w:ascii="宋体" w:hAnsi="宋体" w:eastAsia="宋体" w:cs="宋体"/>
          <w:color w:val="auto"/>
          <w:highlight w:val="none"/>
        </w:rPr>
        <w:t>本合同协议书及有关补充资料；</w:t>
      </w:r>
    </w:p>
    <w:p>
      <w:pPr>
        <w:pStyle w:val="43"/>
        <w:numPr>
          <w:ilvl w:val="0"/>
          <w:numId w:val="8"/>
        </w:numPr>
        <w:tabs>
          <w:tab w:val="left" w:pos="960"/>
        </w:tabs>
        <w:spacing w:before="130"/>
        <w:ind w:firstLine="420"/>
        <w:rPr>
          <w:rFonts w:ascii="宋体" w:hAnsi="宋体" w:eastAsia="宋体" w:cs="宋体"/>
          <w:color w:val="auto"/>
          <w:highlight w:val="none"/>
        </w:rPr>
      </w:pPr>
      <w:r>
        <w:rPr>
          <w:rFonts w:hint="eastAsia" w:ascii="宋体" w:hAnsi="宋体" w:eastAsia="宋体" w:cs="宋体"/>
          <w:color w:val="auto"/>
          <w:highlight w:val="none"/>
        </w:rPr>
        <w:t>竞争性磋商文件的条款要求。</w:t>
      </w:r>
    </w:p>
    <w:p>
      <w:pPr>
        <w:numPr>
          <w:ilvl w:val="0"/>
          <w:numId w:val="9"/>
        </w:numPr>
        <w:tabs>
          <w:tab w:val="left" w:pos="1375"/>
        </w:tabs>
        <w:spacing w:before="132" w:line="357" w:lineRule="auto"/>
        <w:ind w:left="532" w:right="3538" w:rightChars="0" w:hanging="99"/>
        <w:rPr>
          <w:rFonts w:hint="eastAsia" w:ascii="宋体" w:hAnsi="宋体" w:eastAsia="宋体" w:cs="宋体"/>
          <w:color w:val="auto"/>
          <w:highlight w:val="none"/>
        </w:rPr>
      </w:pPr>
      <w:r>
        <w:rPr>
          <w:rFonts w:hint="eastAsia" w:ascii="宋体" w:hAnsi="宋体" w:eastAsia="宋体" w:cs="宋体"/>
          <w:color w:val="auto"/>
          <w:highlight w:val="none"/>
        </w:rPr>
        <w:t xml:space="preserve">合同价金额包括：服务过程中相关的一切费用。 </w:t>
      </w:r>
    </w:p>
    <w:p>
      <w:pPr>
        <w:numPr>
          <w:ilvl w:val="0"/>
          <w:numId w:val="9"/>
        </w:numPr>
        <w:tabs>
          <w:tab w:val="left" w:pos="1375"/>
        </w:tabs>
        <w:spacing w:before="132" w:line="357" w:lineRule="auto"/>
        <w:ind w:left="532" w:right="3538" w:rightChars="0" w:hanging="99"/>
        <w:rPr>
          <w:rFonts w:ascii="宋体" w:hAnsi="宋体" w:eastAsia="宋体" w:cs="宋体"/>
          <w:b/>
          <w:color w:val="auto"/>
          <w:highlight w:val="none"/>
        </w:rPr>
      </w:pPr>
      <w:r>
        <w:rPr>
          <w:rFonts w:hint="eastAsia" w:ascii="宋体" w:hAnsi="宋体" w:eastAsia="宋体" w:cs="宋体"/>
          <w:b/>
          <w:color w:val="auto"/>
          <w:highlight w:val="none"/>
        </w:rPr>
        <w:t>第二条</w:t>
      </w:r>
      <w:r>
        <w:rPr>
          <w:rFonts w:hint="eastAsia" w:ascii="宋体" w:hAnsi="宋体" w:eastAsia="宋体" w:cs="宋体"/>
          <w:b/>
          <w:color w:val="auto"/>
          <w:highlight w:val="none"/>
        </w:rPr>
        <w:tab/>
      </w:r>
      <w:r>
        <w:rPr>
          <w:rFonts w:hint="eastAsia" w:ascii="宋体" w:hAnsi="宋体" w:eastAsia="宋体" w:cs="宋体"/>
          <w:b/>
          <w:color w:val="auto"/>
          <w:highlight w:val="none"/>
        </w:rPr>
        <w:t>合同金额</w:t>
      </w:r>
    </w:p>
    <w:tbl>
      <w:tblPr>
        <w:tblStyle w:val="19"/>
        <w:tblW w:w="894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9"/>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709" w:type="dxa"/>
            <w:vAlign w:val="center"/>
          </w:tcPr>
          <w:p>
            <w:pPr>
              <w:pStyle w:val="10"/>
              <w:jc w:val="center"/>
              <w:rPr>
                <w:rFonts w:ascii="宋体" w:hAnsi="宋体" w:eastAsia="宋体" w:cs="宋体"/>
                <w:b/>
                <w:color w:val="auto"/>
                <w:kern w:val="2"/>
                <w:sz w:val="21"/>
                <w:highlight w:val="none"/>
              </w:rPr>
            </w:pPr>
            <w:r>
              <w:rPr>
                <w:rFonts w:hint="eastAsia" w:ascii="宋体" w:hAnsi="宋体" w:eastAsia="宋体" w:cs="宋体"/>
                <w:b/>
                <w:color w:val="auto"/>
                <w:kern w:val="2"/>
                <w:sz w:val="21"/>
                <w:highlight w:val="none"/>
              </w:rPr>
              <w:t>服务名称</w:t>
            </w:r>
          </w:p>
        </w:tc>
        <w:tc>
          <w:tcPr>
            <w:tcW w:w="4236" w:type="dxa"/>
            <w:vAlign w:val="center"/>
          </w:tcPr>
          <w:p>
            <w:pPr>
              <w:pStyle w:val="10"/>
              <w:jc w:val="center"/>
              <w:rPr>
                <w:rFonts w:ascii="宋体" w:hAnsi="宋体" w:eastAsia="宋体" w:cs="宋体"/>
                <w:b/>
                <w:color w:val="auto"/>
                <w:kern w:val="2"/>
                <w:sz w:val="21"/>
                <w:highlight w:val="none"/>
              </w:rPr>
            </w:pPr>
            <w:r>
              <w:rPr>
                <w:rFonts w:hint="eastAsia" w:ascii="宋体" w:hAnsi="宋体" w:eastAsia="宋体" w:cs="宋体"/>
                <w:b/>
                <w:color w:val="auto"/>
                <w:kern w:val="2"/>
                <w:sz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709" w:type="dxa"/>
          </w:tcPr>
          <w:p>
            <w:pPr>
              <w:pStyle w:val="10"/>
              <w:jc w:val="both"/>
              <w:rPr>
                <w:rFonts w:ascii="宋体" w:hAnsi="宋体" w:eastAsia="宋体" w:cs="宋体"/>
                <w:b/>
                <w:color w:val="auto"/>
                <w:kern w:val="2"/>
                <w:sz w:val="21"/>
                <w:highlight w:val="none"/>
              </w:rPr>
            </w:pPr>
          </w:p>
        </w:tc>
        <w:tc>
          <w:tcPr>
            <w:tcW w:w="4236" w:type="dxa"/>
          </w:tcPr>
          <w:p>
            <w:pPr>
              <w:pStyle w:val="10"/>
              <w:jc w:val="both"/>
              <w:rPr>
                <w:rFonts w:ascii="宋体" w:hAnsi="宋体" w:eastAsia="宋体" w:cs="宋体"/>
                <w:b/>
                <w:color w:val="auto"/>
                <w:kern w:val="2"/>
                <w:sz w:val="21"/>
                <w:highlight w:val="none"/>
              </w:rPr>
            </w:pPr>
          </w:p>
        </w:tc>
      </w:tr>
    </w:tbl>
    <w:p>
      <w:pPr>
        <w:pStyle w:val="10"/>
        <w:spacing w:before="173"/>
        <w:ind w:firstLine="420" w:firstLineChars="200"/>
        <w:rPr>
          <w:rFonts w:ascii="宋体" w:hAnsi="宋体" w:eastAsia="宋体" w:cs="宋体"/>
          <w:color w:val="auto"/>
          <w:spacing w:val="-16"/>
          <w:sz w:val="21"/>
          <w:highlight w:val="none"/>
        </w:rPr>
      </w:pPr>
      <w:r>
        <w:rPr>
          <w:rFonts w:hint="eastAsia" w:ascii="宋体" w:hAnsi="宋体" w:eastAsia="宋体" w:cs="宋体"/>
          <w:color w:val="auto"/>
          <w:sz w:val="21"/>
          <w:highlight w:val="none"/>
        </w:rPr>
        <w:t>根据《成交通知书》的成交内容，合同的金额为人民币：（ 大 写 ）</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元）</w:t>
      </w:r>
      <w:r>
        <w:rPr>
          <w:rFonts w:hint="eastAsia" w:ascii="宋体" w:hAnsi="宋体" w:eastAsia="宋体" w:cs="宋体"/>
          <w:color w:val="auto"/>
          <w:spacing w:val="-16"/>
          <w:sz w:val="21"/>
          <w:highlight w:val="none"/>
        </w:rPr>
        <w:t>。</w:t>
      </w:r>
    </w:p>
    <w:p>
      <w:pPr>
        <w:pStyle w:val="10"/>
        <w:spacing w:before="173"/>
        <w:ind w:left="532"/>
        <w:rPr>
          <w:rFonts w:ascii="宋体" w:hAnsi="宋体" w:eastAsia="宋体" w:cs="宋体"/>
          <w:b/>
          <w:color w:val="auto"/>
          <w:sz w:val="21"/>
          <w:highlight w:val="none"/>
        </w:rPr>
      </w:pPr>
      <w:r>
        <w:rPr>
          <w:rFonts w:hint="eastAsia" w:ascii="宋体" w:hAnsi="宋体" w:eastAsia="宋体" w:cs="宋体"/>
          <w:b/>
          <w:color w:val="auto"/>
          <w:sz w:val="21"/>
          <w:highlight w:val="none"/>
        </w:rPr>
        <w:t>第三条</w:t>
      </w:r>
      <w:r>
        <w:rPr>
          <w:rFonts w:hint="eastAsia" w:ascii="宋体" w:hAnsi="宋体" w:eastAsia="宋体" w:cs="宋体"/>
          <w:b/>
          <w:color w:val="auto"/>
          <w:sz w:val="21"/>
          <w:highlight w:val="none"/>
        </w:rPr>
        <w:tab/>
      </w:r>
      <w:r>
        <w:rPr>
          <w:rFonts w:hint="eastAsia" w:ascii="宋体" w:hAnsi="宋体" w:eastAsia="宋体" w:cs="宋体"/>
          <w:b/>
          <w:color w:val="auto"/>
          <w:sz w:val="21"/>
          <w:highlight w:val="none"/>
        </w:rPr>
        <w:t>项目实施要求</w:t>
      </w:r>
    </w:p>
    <w:p>
      <w:pPr>
        <w:tabs>
          <w:tab w:val="left" w:pos="1375"/>
        </w:tabs>
        <w:spacing w:before="132" w:line="358" w:lineRule="auto"/>
        <w:ind w:left="527" w:hanging="96"/>
        <w:rPr>
          <w:rFonts w:ascii="宋体" w:hAnsi="宋体" w:eastAsia="宋体" w:cs="宋体"/>
          <w:color w:val="auto"/>
          <w:highlight w:val="none"/>
        </w:rPr>
      </w:pPr>
      <w:r>
        <w:rPr>
          <w:rFonts w:hint="eastAsia" w:ascii="宋体" w:hAnsi="宋体" w:eastAsia="宋体" w:cs="宋体"/>
          <w:color w:val="auto"/>
          <w:highlight w:val="none"/>
        </w:rPr>
        <w:t xml:space="preserve">乙方应按竞争性磋商文件规定的服务范围向甲方提供相应服务。 </w:t>
      </w:r>
    </w:p>
    <w:p>
      <w:pPr>
        <w:tabs>
          <w:tab w:val="left" w:pos="1372"/>
        </w:tabs>
        <w:spacing w:line="357" w:lineRule="auto"/>
        <w:ind w:left="532" w:right="3713"/>
        <w:rPr>
          <w:rFonts w:ascii="宋体" w:hAnsi="宋体" w:eastAsia="宋体" w:cs="宋体"/>
          <w:b/>
          <w:color w:val="auto"/>
          <w:highlight w:val="none"/>
        </w:rPr>
      </w:pPr>
      <w:r>
        <w:rPr>
          <w:rFonts w:hint="eastAsia" w:ascii="宋体" w:hAnsi="宋体" w:eastAsia="宋体" w:cs="宋体"/>
          <w:b/>
          <w:color w:val="auto"/>
          <w:highlight w:val="none"/>
        </w:rPr>
        <w:t>第四条</w:t>
      </w:r>
      <w:r>
        <w:rPr>
          <w:rFonts w:hint="eastAsia" w:ascii="宋体" w:hAnsi="宋体" w:eastAsia="宋体" w:cs="宋体"/>
          <w:b/>
          <w:color w:val="auto"/>
          <w:highlight w:val="none"/>
        </w:rPr>
        <w:tab/>
      </w:r>
      <w:r>
        <w:rPr>
          <w:rFonts w:hint="eastAsia" w:ascii="宋体" w:hAnsi="宋体" w:eastAsia="宋体" w:cs="宋体"/>
          <w:b/>
          <w:color w:val="auto"/>
          <w:highlight w:val="none"/>
        </w:rPr>
        <w:t>权力保证</w:t>
      </w:r>
    </w:p>
    <w:p>
      <w:pPr>
        <w:pStyle w:val="10"/>
        <w:tabs>
          <w:tab w:val="left" w:pos="1372"/>
        </w:tabs>
        <w:spacing w:line="355" w:lineRule="auto"/>
        <w:ind w:left="532" w:right="-22" w:rightChars="0" w:firstLine="7"/>
        <w:rPr>
          <w:rFonts w:ascii="宋体" w:hAnsi="宋体" w:eastAsia="宋体" w:cs="宋体"/>
          <w:color w:val="auto"/>
          <w:sz w:val="21"/>
          <w:highlight w:val="none"/>
        </w:rPr>
      </w:pPr>
      <w:r>
        <w:rPr>
          <w:rFonts w:hint="eastAsia" w:ascii="宋体" w:hAnsi="宋体" w:eastAsia="宋体" w:cs="宋体"/>
          <w:color w:val="auto"/>
          <w:sz w:val="21"/>
          <w:highlight w:val="none"/>
        </w:rPr>
        <w:t xml:space="preserve">乙方应保证所提供服务在使用时不会侵犯任何第三方的专利权、商标权、工业设计权或其他权利。  </w:t>
      </w:r>
    </w:p>
    <w:p>
      <w:pPr>
        <w:pStyle w:val="10"/>
        <w:tabs>
          <w:tab w:val="left" w:pos="1372"/>
        </w:tabs>
        <w:spacing w:line="355" w:lineRule="auto"/>
        <w:ind w:left="532" w:right="555" w:firstLine="7"/>
        <w:rPr>
          <w:rFonts w:ascii="宋体" w:hAnsi="宋体" w:eastAsia="宋体" w:cs="宋体"/>
          <w:b/>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b/>
          <w:color w:val="auto"/>
          <w:sz w:val="21"/>
          <w:highlight w:val="none"/>
        </w:rPr>
        <w:t>第五条</w:t>
      </w:r>
      <w:r>
        <w:rPr>
          <w:rFonts w:hint="eastAsia" w:ascii="宋体" w:hAnsi="宋体" w:eastAsia="宋体" w:cs="宋体"/>
          <w:b/>
          <w:color w:val="auto"/>
          <w:sz w:val="21"/>
          <w:highlight w:val="none"/>
        </w:rPr>
        <w:tab/>
      </w:r>
      <w:r>
        <w:rPr>
          <w:rFonts w:hint="eastAsia" w:ascii="宋体" w:hAnsi="宋体" w:eastAsia="宋体" w:cs="宋体"/>
          <w:b/>
          <w:color w:val="auto"/>
          <w:sz w:val="21"/>
          <w:highlight w:val="none"/>
        </w:rPr>
        <w:t>交付</w:t>
      </w:r>
    </w:p>
    <w:p>
      <w:pPr>
        <w:pStyle w:val="10"/>
        <w:tabs>
          <w:tab w:val="left" w:pos="3995"/>
        </w:tabs>
        <w:ind w:left="532"/>
        <w:rPr>
          <w:rFonts w:ascii="宋体" w:hAnsi="宋体" w:eastAsia="宋体" w:cs="宋体"/>
          <w:color w:val="auto"/>
          <w:sz w:val="21"/>
          <w:highlight w:val="none"/>
        </w:rPr>
      </w:pPr>
      <w:r>
        <w:rPr>
          <w:rFonts w:hint="eastAsia" w:ascii="宋体" w:hAnsi="宋体" w:eastAsia="宋体" w:cs="宋体"/>
          <w:color w:val="auto"/>
          <w:sz w:val="21"/>
          <w:highlight w:val="none"/>
        </w:rPr>
        <w:t>1、服务时间：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、地点：</w:t>
      </w:r>
      <w:r>
        <w:rPr>
          <w:rFonts w:hint="eastAsia" w:ascii="宋体" w:hAnsi="宋体" w:eastAsia="宋体" w:cs="宋体"/>
          <w:color w:val="auto"/>
          <w:sz w:val="21"/>
          <w:highlight w:val="none"/>
          <w:u w:val="single"/>
        </w:rPr>
        <w:t>采购人指定地点</w:t>
      </w:r>
      <w:r>
        <w:rPr>
          <w:rFonts w:hint="eastAsia" w:ascii="宋体" w:hAnsi="宋体" w:eastAsia="宋体" w:cs="宋体"/>
          <w:color w:val="auto"/>
          <w:sz w:val="21"/>
          <w:highlight w:val="none"/>
        </w:rPr>
        <w:t>。</w:t>
      </w:r>
    </w:p>
    <w:p>
      <w:pPr>
        <w:pStyle w:val="10"/>
        <w:tabs>
          <w:tab w:val="left" w:pos="1375"/>
        </w:tabs>
        <w:spacing w:before="131" w:line="355" w:lineRule="auto"/>
        <w:ind w:left="532" w:right="178"/>
        <w:rPr>
          <w:rFonts w:ascii="宋体" w:hAnsi="宋体" w:eastAsia="宋体" w:cs="宋体"/>
          <w:color w:val="auto"/>
          <w:sz w:val="21"/>
          <w:highlight w:val="none"/>
        </w:rPr>
      </w:pPr>
      <w:r>
        <w:rPr>
          <w:rFonts w:hint="eastAsia" w:ascii="宋体" w:hAnsi="宋体" w:eastAsia="宋体" w:cs="宋体"/>
          <w:color w:val="auto"/>
          <w:sz w:val="21"/>
          <w:highlight w:val="none"/>
        </w:rPr>
        <w:t xml:space="preserve">2、乙方提供不符合竞争性磋商文件和本合同规定的服务，甲方有权拒绝接受。  </w:t>
      </w:r>
    </w:p>
    <w:p>
      <w:pPr>
        <w:pStyle w:val="10"/>
        <w:tabs>
          <w:tab w:val="left" w:pos="1375"/>
        </w:tabs>
        <w:spacing w:before="131" w:line="355" w:lineRule="auto"/>
        <w:ind w:left="532" w:right="2347"/>
        <w:rPr>
          <w:rFonts w:ascii="宋体" w:hAnsi="宋体" w:eastAsia="宋体" w:cs="宋体"/>
          <w:b/>
          <w:color w:val="auto"/>
          <w:sz w:val="21"/>
          <w:highlight w:val="none"/>
        </w:rPr>
      </w:pPr>
      <w:r>
        <w:rPr>
          <w:rFonts w:hint="eastAsia" w:ascii="宋体" w:hAnsi="宋体" w:eastAsia="宋体" w:cs="宋体"/>
          <w:b/>
          <w:color w:val="auto"/>
          <w:sz w:val="21"/>
          <w:highlight w:val="none"/>
        </w:rPr>
        <w:t>第六条</w:t>
      </w:r>
      <w:r>
        <w:rPr>
          <w:rFonts w:hint="eastAsia" w:ascii="宋体" w:hAnsi="宋体" w:eastAsia="宋体" w:cs="宋体"/>
          <w:b/>
          <w:color w:val="auto"/>
          <w:sz w:val="21"/>
          <w:highlight w:val="none"/>
        </w:rPr>
        <w:tab/>
      </w:r>
      <w:r>
        <w:rPr>
          <w:rFonts w:hint="eastAsia" w:ascii="宋体" w:hAnsi="宋体" w:eastAsia="宋体" w:cs="宋体"/>
          <w:b/>
          <w:color w:val="auto"/>
          <w:sz w:val="21"/>
          <w:highlight w:val="none"/>
        </w:rPr>
        <w:t>税费</w:t>
      </w:r>
    </w:p>
    <w:p>
      <w:pPr>
        <w:tabs>
          <w:tab w:val="left" w:pos="1375"/>
        </w:tabs>
        <w:spacing w:before="3" w:line="357" w:lineRule="auto"/>
        <w:ind w:left="532" w:right="4798"/>
        <w:rPr>
          <w:rFonts w:ascii="宋体" w:hAnsi="宋体" w:eastAsia="宋体" w:cs="宋体"/>
          <w:color w:val="auto"/>
          <w:highlight w:val="none"/>
        </w:rPr>
      </w:pPr>
      <w:r>
        <w:rPr>
          <w:rFonts w:hint="eastAsia" w:ascii="宋体" w:hAnsi="宋体" w:eastAsia="宋体" w:cs="宋体"/>
          <w:color w:val="auto"/>
          <w:highlight w:val="none"/>
        </w:rPr>
        <w:t xml:space="preserve">本合同执行中相关的一切税费均由乙方负担。 </w:t>
      </w:r>
      <w:r>
        <w:rPr>
          <w:rFonts w:hint="eastAsia" w:ascii="宋体" w:hAnsi="宋体" w:eastAsia="宋体" w:cs="宋体"/>
          <w:b/>
          <w:color w:val="auto"/>
          <w:highlight w:val="none"/>
        </w:rPr>
        <w:t>第七条</w:t>
      </w:r>
      <w:r>
        <w:rPr>
          <w:rFonts w:hint="eastAsia" w:ascii="宋体" w:hAnsi="宋体" w:eastAsia="宋体" w:cs="宋体"/>
          <w:b/>
          <w:color w:val="auto"/>
          <w:highlight w:val="none"/>
        </w:rPr>
        <w:tab/>
      </w:r>
      <w:r>
        <w:rPr>
          <w:rFonts w:hint="eastAsia" w:ascii="宋体" w:hAnsi="宋体" w:eastAsia="宋体" w:cs="宋体"/>
          <w:b/>
          <w:color w:val="auto"/>
          <w:highlight w:val="none"/>
        </w:rPr>
        <w:t>付款方式</w:t>
      </w:r>
    </w:p>
    <w:p>
      <w:pPr>
        <w:pStyle w:val="10"/>
        <w:numPr>
          <w:ilvl w:val="0"/>
          <w:numId w:val="10"/>
        </w:numPr>
        <w:tabs>
          <w:tab w:val="left" w:pos="1375"/>
        </w:tabs>
        <w:spacing w:before="52" w:line="357" w:lineRule="auto"/>
        <w:ind w:left="538" w:leftChars="256" w:right="-22" w:rightChars="0" w:firstLine="26" w:firstLineChars="12"/>
        <w:rPr>
          <w:rFonts w:ascii="宋体" w:hAnsi="宋体" w:eastAsia="宋体" w:cs="宋体"/>
          <w:b/>
          <w:color w:val="auto"/>
          <w:sz w:val="21"/>
          <w:highlight w:val="none"/>
        </w:rPr>
      </w:pPr>
      <w:r>
        <w:rPr>
          <w:rFonts w:hint="eastAsia" w:ascii="宋体" w:hAnsi="宋体" w:cs="宋体"/>
          <w:b w:val="0"/>
          <w:bCs/>
          <w:color w:val="auto"/>
          <w:sz w:val="22"/>
          <w:szCs w:val="22"/>
          <w:highlight w:val="none"/>
          <w:lang w:eastAsia="zh-CN"/>
        </w:rPr>
        <w:t>项目供货完毕</w:t>
      </w:r>
      <w:r>
        <w:rPr>
          <w:rFonts w:hint="eastAsia" w:cs="宋体"/>
          <w:b w:val="0"/>
          <w:bCs/>
          <w:color w:val="auto"/>
          <w:sz w:val="22"/>
          <w:szCs w:val="22"/>
          <w:highlight w:val="none"/>
          <w:lang w:val="en-US" w:eastAsia="zh-CN"/>
        </w:rPr>
        <w:t>后支付</w:t>
      </w:r>
      <w:r>
        <w:rPr>
          <w:rFonts w:hint="default" w:cs="宋体"/>
          <w:b w:val="0"/>
          <w:bCs/>
          <w:color w:val="auto"/>
          <w:sz w:val="22"/>
          <w:szCs w:val="22"/>
          <w:highlight w:val="none"/>
          <w:lang w:eastAsia="zh-CN"/>
        </w:rPr>
        <w:t>9</w:t>
      </w:r>
      <w:r>
        <w:rPr>
          <w:rFonts w:hint="eastAsia" w:cs="宋体"/>
          <w:b w:val="0"/>
          <w:bCs/>
          <w:color w:val="auto"/>
          <w:sz w:val="22"/>
          <w:szCs w:val="22"/>
          <w:highlight w:val="none"/>
          <w:lang w:val="en-US" w:eastAsia="zh-CN"/>
        </w:rPr>
        <w:t>0%</w:t>
      </w:r>
      <w:r>
        <w:rPr>
          <w:rFonts w:hint="eastAsia" w:cs="宋体"/>
          <w:b w:val="0"/>
          <w:bCs/>
          <w:color w:val="auto"/>
          <w:sz w:val="22"/>
          <w:szCs w:val="22"/>
          <w:highlight w:val="none"/>
          <w:lang w:eastAsia="zh-CN"/>
        </w:rPr>
        <w:t>，</w:t>
      </w:r>
      <w:r>
        <w:rPr>
          <w:rFonts w:hint="eastAsia" w:cs="宋体"/>
          <w:b w:val="0"/>
          <w:bCs/>
          <w:color w:val="auto"/>
          <w:sz w:val="22"/>
          <w:szCs w:val="22"/>
          <w:highlight w:val="none"/>
          <w:lang w:val="en-US" w:eastAsia="zh-CN"/>
        </w:rPr>
        <w:t>测产</w:t>
      </w:r>
      <w:r>
        <w:rPr>
          <w:rFonts w:hint="eastAsia" w:ascii="宋体" w:hAnsi="宋体" w:cs="宋体"/>
          <w:b w:val="0"/>
          <w:bCs/>
          <w:color w:val="auto"/>
          <w:sz w:val="22"/>
          <w:szCs w:val="22"/>
          <w:highlight w:val="none"/>
          <w:lang w:eastAsia="zh-CN"/>
        </w:rPr>
        <w:t>验收合格之日起</w:t>
      </w:r>
      <w:r>
        <w:rPr>
          <w:rFonts w:hint="default" w:ascii="宋体" w:hAnsi="宋体" w:cs="宋体"/>
          <w:b w:val="0"/>
          <w:bCs/>
          <w:color w:val="auto"/>
          <w:sz w:val="22"/>
          <w:szCs w:val="22"/>
          <w:highlight w:val="none"/>
          <w:lang w:eastAsia="zh-CN"/>
        </w:rPr>
        <w:t>1</w:t>
      </w:r>
      <w:r>
        <w:rPr>
          <w:rFonts w:hint="eastAsia" w:ascii="宋体" w:hAnsi="宋体" w:cs="宋体"/>
          <w:b w:val="0"/>
          <w:bCs/>
          <w:color w:val="auto"/>
          <w:sz w:val="22"/>
          <w:szCs w:val="22"/>
          <w:highlight w:val="none"/>
          <w:lang w:eastAsia="zh-CN"/>
        </w:rPr>
        <w:t>0个工作日内</w:t>
      </w:r>
      <w:r>
        <w:rPr>
          <w:rFonts w:hint="eastAsia" w:ascii="宋体" w:hAnsi="宋体" w:eastAsia="宋体" w:cs="宋体"/>
          <w:b w:val="0"/>
          <w:bCs/>
          <w:color w:val="auto"/>
          <w:sz w:val="22"/>
          <w:szCs w:val="22"/>
          <w:highlight w:val="none"/>
          <w:lang w:eastAsia="zh-CN"/>
        </w:rPr>
        <w:t>，采购人向中标人付清</w:t>
      </w:r>
      <w:r>
        <w:rPr>
          <w:rFonts w:hint="eastAsia" w:eastAsia="宋体" w:cs="宋体"/>
          <w:b w:val="0"/>
          <w:bCs/>
          <w:color w:val="auto"/>
          <w:sz w:val="22"/>
          <w:szCs w:val="22"/>
          <w:highlight w:val="none"/>
          <w:lang w:val="en-US" w:eastAsia="zh-CN"/>
        </w:rPr>
        <w:t>剩余</w:t>
      </w:r>
      <w:r>
        <w:rPr>
          <w:rFonts w:hint="eastAsia" w:ascii="宋体" w:hAnsi="宋体" w:eastAsia="宋体" w:cs="宋体"/>
          <w:b w:val="0"/>
          <w:bCs/>
          <w:color w:val="auto"/>
          <w:sz w:val="22"/>
          <w:szCs w:val="22"/>
          <w:highlight w:val="none"/>
          <w:lang w:eastAsia="zh-CN"/>
        </w:rPr>
        <w:t>合同金额。</w:t>
      </w:r>
    </w:p>
    <w:p>
      <w:pPr>
        <w:pStyle w:val="10"/>
        <w:numPr>
          <w:numId w:val="0"/>
        </w:numPr>
        <w:tabs>
          <w:tab w:val="left" w:pos="1375"/>
        </w:tabs>
        <w:spacing w:before="52" w:line="357" w:lineRule="auto"/>
        <w:ind w:leftChars="268" w:right="1867" w:rightChars="0"/>
        <w:rPr>
          <w:rFonts w:ascii="宋体" w:hAnsi="宋体" w:eastAsia="宋体" w:cs="宋体"/>
          <w:b/>
          <w:color w:val="auto"/>
          <w:sz w:val="21"/>
          <w:highlight w:val="none"/>
        </w:rPr>
      </w:pPr>
      <w:r>
        <w:rPr>
          <w:rFonts w:hint="eastAsia" w:ascii="宋体" w:hAnsi="宋体" w:eastAsia="宋体" w:cs="宋体"/>
          <w:b/>
          <w:color w:val="auto"/>
          <w:sz w:val="21"/>
          <w:highlight w:val="none"/>
        </w:rPr>
        <w:t>第八条</w:t>
      </w:r>
      <w:r>
        <w:rPr>
          <w:rFonts w:hint="eastAsia" w:ascii="宋体" w:hAnsi="宋体" w:eastAsia="宋体" w:cs="宋体"/>
          <w:b/>
          <w:color w:val="auto"/>
          <w:sz w:val="21"/>
          <w:highlight w:val="none"/>
        </w:rPr>
        <w:tab/>
      </w:r>
      <w:r>
        <w:rPr>
          <w:rFonts w:hint="eastAsia" w:ascii="宋体" w:hAnsi="宋体" w:eastAsia="宋体" w:cs="宋体"/>
          <w:b/>
          <w:color w:val="auto"/>
          <w:sz w:val="21"/>
          <w:highlight w:val="none"/>
        </w:rPr>
        <w:t>违约责任</w:t>
      </w:r>
    </w:p>
    <w:p>
      <w:pPr>
        <w:pStyle w:val="43"/>
        <w:numPr>
          <w:ilvl w:val="1"/>
          <w:numId w:val="8"/>
        </w:numPr>
        <w:tabs>
          <w:tab w:val="left" w:pos="752"/>
          <w:tab w:val="left" w:pos="7573"/>
        </w:tabs>
        <w:spacing w:line="357" w:lineRule="auto"/>
        <w:ind w:right="260" w:firstLine="420"/>
        <w:rPr>
          <w:rFonts w:ascii="宋体" w:hAnsi="宋体" w:eastAsia="宋体" w:cs="宋体"/>
          <w:color w:val="auto"/>
          <w:highlight w:val="none"/>
        </w:rPr>
      </w:pPr>
      <w:r>
        <w:rPr>
          <w:rFonts w:hint="eastAsia" w:ascii="宋体" w:hAnsi="宋体" w:eastAsia="宋体" w:cs="宋体"/>
          <w:color w:val="auto"/>
          <w:highlight w:val="none"/>
        </w:rPr>
        <w:t>服</w:t>
      </w:r>
      <w:r>
        <w:rPr>
          <w:rFonts w:hint="eastAsia" w:ascii="宋体" w:hAnsi="宋体" w:eastAsia="宋体" w:cs="宋体"/>
          <w:color w:val="auto"/>
          <w:spacing w:val="4"/>
          <w:highlight w:val="none"/>
        </w:rPr>
        <w:t>务</w:t>
      </w:r>
      <w:r>
        <w:rPr>
          <w:rFonts w:hint="eastAsia" w:ascii="宋体" w:hAnsi="宋体" w:eastAsia="宋体" w:cs="宋体"/>
          <w:color w:val="auto"/>
          <w:highlight w:val="none"/>
        </w:rPr>
        <w:t>时间</w:t>
      </w:r>
      <w:r>
        <w:rPr>
          <w:rFonts w:hint="eastAsia" w:ascii="宋体" w:hAnsi="宋体" w:eastAsia="宋体" w:cs="宋体"/>
          <w:color w:val="auto"/>
          <w:spacing w:val="4"/>
          <w:highlight w:val="none"/>
        </w:rPr>
        <w:t>满</w:t>
      </w:r>
      <w:r>
        <w:rPr>
          <w:rFonts w:hint="eastAsia" w:ascii="宋体" w:hAnsi="宋体" w:eastAsia="宋体" w:cs="宋体"/>
          <w:color w:val="auto"/>
          <w:highlight w:val="none"/>
        </w:rPr>
        <w:t>后，</w:t>
      </w:r>
      <w:r>
        <w:rPr>
          <w:rFonts w:hint="eastAsia" w:ascii="宋体" w:hAnsi="宋体" w:eastAsia="宋体" w:cs="宋体"/>
          <w:color w:val="auto"/>
          <w:spacing w:val="4"/>
          <w:highlight w:val="none"/>
        </w:rPr>
        <w:t>甲</w:t>
      </w:r>
      <w:r>
        <w:rPr>
          <w:rFonts w:hint="eastAsia" w:ascii="宋体" w:hAnsi="宋体" w:eastAsia="宋体" w:cs="宋体"/>
          <w:color w:val="auto"/>
          <w:highlight w:val="none"/>
        </w:rPr>
        <w:t>方可</w:t>
      </w:r>
      <w:r>
        <w:rPr>
          <w:rFonts w:hint="eastAsia" w:ascii="宋体" w:hAnsi="宋体" w:eastAsia="宋体" w:cs="宋体"/>
          <w:color w:val="auto"/>
          <w:spacing w:val="4"/>
          <w:highlight w:val="none"/>
        </w:rPr>
        <w:t>对</w:t>
      </w:r>
      <w:r>
        <w:rPr>
          <w:rFonts w:hint="eastAsia" w:ascii="宋体" w:hAnsi="宋体" w:eastAsia="宋体" w:cs="宋体"/>
          <w:color w:val="auto"/>
          <w:highlight w:val="none"/>
        </w:rPr>
        <w:t>乙方</w:t>
      </w:r>
      <w:r>
        <w:rPr>
          <w:rFonts w:hint="eastAsia" w:ascii="宋体" w:hAnsi="宋体" w:eastAsia="宋体" w:cs="宋体"/>
          <w:color w:val="auto"/>
          <w:spacing w:val="4"/>
          <w:highlight w:val="none"/>
        </w:rPr>
        <w:t>提</w:t>
      </w:r>
      <w:r>
        <w:rPr>
          <w:rFonts w:hint="eastAsia" w:ascii="宋体" w:hAnsi="宋体" w:eastAsia="宋体" w:cs="宋体"/>
          <w:color w:val="auto"/>
          <w:highlight w:val="none"/>
        </w:rPr>
        <w:t>供的</w:t>
      </w:r>
      <w:r>
        <w:rPr>
          <w:rFonts w:hint="eastAsia" w:ascii="宋体" w:hAnsi="宋体" w:eastAsia="宋体" w:cs="宋体"/>
          <w:color w:val="auto"/>
          <w:spacing w:val="4"/>
          <w:highlight w:val="none"/>
        </w:rPr>
        <w:t>服</w:t>
      </w:r>
      <w:r>
        <w:rPr>
          <w:rFonts w:hint="eastAsia" w:ascii="宋体" w:hAnsi="宋体" w:eastAsia="宋体" w:cs="宋体"/>
          <w:color w:val="auto"/>
          <w:highlight w:val="none"/>
        </w:rPr>
        <w:t>务进</w:t>
      </w:r>
      <w:r>
        <w:rPr>
          <w:rFonts w:hint="eastAsia" w:ascii="宋体" w:hAnsi="宋体" w:eastAsia="宋体" w:cs="宋体"/>
          <w:color w:val="auto"/>
          <w:spacing w:val="4"/>
          <w:highlight w:val="none"/>
        </w:rPr>
        <w:t>行</w:t>
      </w:r>
      <w:r>
        <w:rPr>
          <w:rFonts w:hint="eastAsia" w:ascii="宋体" w:hAnsi="宋体" w:eastAsia="宋体" w:cs="宋体"/>
          <w:color w:val="auto"/>
          <w:highlight w:val="none"/>
        </w:rPr>
        <w:t>验收</w:t>
      </w:r>
      <w:r>
        <w:rPr>
          <w:rFonts w:hint="eastAsia" w:ascii="宋体" w:hAnsi="宋体" w:eastAsia="宋体" w:cs="宋体"/>
          <w:color w:val="auto"/>
          <w:spacing w:val="4"/>
          <w:highlight w:val="none"/>
        </w:rPr>
        <w:t>，</w:t>
      </w:r>
      <w:r>
        <w:rPr>
          <w:rFonts w:hint="eastAsia" w:ascii="宋体" w:hAnsi="宋体" w:eastAsia="宋体" w:cs="宋体"/>
          <w:color w:val="auto"/>
          <w:highlight w:val="none"/>
        </w:rPr>
        <w:t>如乙</w:t>
      </w:r>
      <w:r>
        <w:rPr>
          <w:rFonts w:hint="eastAsia" w:ascii="宋体" w:hAnsi="宋体" w:eastAsia="宋体" w:cs="宋体"/>
          <w:color w:val="auto"/>
          <w:spacing w:val="4"/>
          <w:highlight w:val="none"/>
        </w:rPr>
        <w:t>方</w:t>
      </w:r>
      <w:r>
        <w:rPr>
          <w:rFonts w:hint="eastAsia" w:ascii="宋体" w:hAnsi="宋体" w:eastAsia="宋体" w:cs="宋体"/>
          <w:color w:val="auto"/>
          <w:highlight w:val="none"/>
        </w:rPr>
        <w:t>未按</w:t>
      </w:r>
      <w:r>
        <w:rPr>
          <w:rFonts w:hint="eastAsia" w:ascii="宋体" w:hAnsi="宋体" w:eastAsia="宋体" w:cs="宋体"/>
          <w:color w:val="auto"/>
          <w:spacing w:val="4"/>
          <w:highlight w:val="none"/>
        </w:rPr>
        <w:t>本</w:t>
      </w:r>
      <w:r>
        <w:rPr>
          <w:rFonts w:hint="eastAsia" w:ascii="宋体" w:hAnsi="宋体" w:eastAsia="宋体" w:cs="宋体"/>
          <w:color w:val="auto"/>
          <w:highlight w:val="none"/>
        </w:rPr>
        <w:t>合同</w:t>
      </w:r>
      <w:r>
        <w:rPr>
          <w:rFonts w:hint="eastAsia" w:ascii="宋体" w:hAnsi="宋体" w:eastAsia="宋体" w:cs="宋体"/>
          <w:color w:val="auto"/>
          <w:spacing w:val="4"/>
          <w:highlight w:val="none"/>
        </w:rPr>
        <w:t>和</w:t>
      </w:r>
      <w:r>
        <w:rPr>
          <w:rFonts w:hint="eastAsia" w:ascii="宋体" w:hAnsi="宋体" w:eastAsia="宋体" w:cs="宋体"/>
          <w:color w:val="auto"/>
          <w:highlight w:val="none"/>
        </w:rPr>
        <w:t>响应</w:t>
      </w:r>
      <w:r>
        <w:rPr>
          <w:rFonts w:hint="eastAsia" w:ascii="宋体" w:hAnsi="宋体" w:eastAsia="宋体" w:cs="宋体"/>
          <w:color w:val="auto"/>
          <w:spacing w:val="4"/>
          <w:highlight w:val="none"/>
        </w:rPr>
        <w:t>文</w:t>
      </w:r>
      <w:r>
        <w:rPr>
          <w:rFonts w:hint="eastAsia" w:ascii="宋体" w:hAnsi="宋体" w:eastAsia="宋体" w:cs="宋体"/>
          <w:color w:val="auto"/>
          <w:highlight w:val="none"/>
        </w:rPr>
        <w:t>件中</w:t>
      </w:r>
      <w:r>
        <w:rPr>
          <w:rFonts w:hint="eastAsia" w:ascii="宋体" w:hAnsi="宋体" w:eastAsia="宋体" w:cs="宋体"/>
          <w:color w:val="auto"/>
          <w:spacing w:val="4"/>
          <w:highlight w:val="none"/>
        </w:rPr>
        <w:t>规</w:t>
      </w:r>
      <w:r>
        <w:rPr>
          <w:rFonts w:hint="eastAsia" w:ascii="宋体" w:hAnsi="宋体" w:eastAsia="宋体" w:cs="宋体"/>
          <w:color w:val="auto"/>
          <w:highlight w:val="none"/>
        </w:rPr>
        <w:t>定的</w:t>
      </w:r>
      <w:r>
        <w:rPr>
          <w:rFonts w:hint="eastAsia" w:ascii="宋体" w:hAnsi="宋体" w:eastAsia="宋体" w:cs="宋体"/>
          <w:color w:val="auto"/>
          <w:spacing w:val="4"/>
          <w:highlight w:val="none"/>
        </w:rPr>
        <w:t>实</w:t>
      </w:r>
      <w:r>
        <w:rPr>
          <w:rFonts w:hint="eastAsia" w:ascii="宋体" w:hAnsi="宋体" w:eastAsia="宋体" w:cs="宋体"/>
          <w:color w:val="auto"/>
          <w:highlight w:val="none"/>
        </w:rPr>
        <w:t>施方案及服务承诺书提供服务的，乙方应按本合同合计金额</w:t>
      </w:r>
      <w:r>
        <w:rPr>
          <w:rFonts w:hint="eastAsia" w:ascii="宋体" w:hAnsi="宋体" w:eastAsia="宋体" w:cs="宋体"/>
          <w:color w:val="auto"/>
          <w:spacing w:val="95"/>
          <w:highlight w:val="none"/>
          <w:u w:val="single"/>
        </w:rPr>
        <w:t xml:space="preserve"> </w:t>
      </w:r>
      <w:r>
        <w:rPr>
          <w:rFonts w:hint="eastAsia" w:ascii="宋体" w:hAnsi="宋体" w:eastAsia="宋体" w:cs="宋体"/>
          <w:color w:val="auto"/>
          <w:highlight w:val="none"/>
          <w:u w:val="single"/>
        </w:rPr>
        <w:t xml:space="preserve">1 </w:t>
      </w:r>
      <w:r>
        <w:rPr>
          <w:rFonts w:hint="eastAsia" w:ascii="宋体" w:hAnsi="宋体" w:eastAsia="宋体" w:cs="宋体"/>
          <w:color w:val="auto"/>
          <w:highlight w:val="none"/>
        </w:rPr>
        <w:t>%向甲方支付违约金。</w:t>
      </w:r>
    </w:p>
    <w:p>
      <w:pPr>
        <w:pStyle w:val="43"/>
        <w:numPr>
          <w:ilvl w:val="255"/>
          <w:numId w:val="0"/>
        </w:numPr>
        <w:tabs>
          <w:tab w:val="left" w:pos="752"/>
          <w:tab w:val="left" w:pos="1372"/>
          <w:tab w:val="left" w:pos="3584"/>
        </w:tabs>
        <w:spacing w:line="357" w:lineRule="auto"/>
        <w:ind w:left="420" w:leftChars="200" w:right="1990"/>
        <w:rPr>
          <w:rFonts w:ascii="宋体" w:hAnsi="宋体" w:eastAsia="宋体" w:cs="宋体"/>
          <w:b/>
          <w:color w:val="auto"/>
          <w:highlight w:val="none"/>
        </w:rPr>
      </w:pPr>
      <w:r>
        <w:rPr>
          <w:rFonts w:hint="eastAsia" w:ascii="宋体" w:hAnsi="宋体" w:eastAsia="宋体" w:cs="宋体"/>
          <w:color w:val="auto"/>
          <w:highlight w:val="none"/>
        </w:rPr>
        <w:t>2.双方其他违约行为均按合同总金额</w:t>
      </w:r>
      <w:r>
        <w:rPr>
          <w:rFonts w:hint="eastAsia" w:ascii="宋体" w:hAnsi="宋体" w:eastAsia="宋体" w:cs="宋体"/>
          <w:color w:val="auto"/>
          <w:spacing w:val="101"/>
          <w:highlight w:val="none"/>
          <w:u w:val="single"/>
        </w:rPr>
        <w:t xml:space="preserve"> </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rPr>
        <w:tab/>
      </w:r>
      <w:r>
        <w:rPr>
          <w:rFonts w:hint="eastAsia" w:ascii="宋体" w:hAnsi="宋体" w:eastAsia="宋体" w:cs="宋体"/>
          <w:color w:val="auto"/>
          <w:highlight w:val="none"/>
        </w:rPr>
        <w:t>%支付违约金并赔偿经济损失给对方。</w:t>
      </w:r>
    </w:p>
    <w:p>
      <w:pPr>
        <w:pStyle w:val="43"/>
        <w:tabs>
          <w:tab w:val="left" w:pos="752"/>
          <w:tab w:val="left" w:pos="1372"/>
          <w:tab w:val="left" w:pos="3584"/>
        </w:tabs>
        <w:spacing w:line="357" w:lineRule="auto"/>
        <w:ind w:right="3706" w:firstLine="422"/>
        <w:rPr>
          <w:rFonts w:ascii="宋体" w:hAnsi="宋体" w:eastAsia="宋体" w:cs="宋体"/>
          <w:b/>
          <w:color w:val="auto"/>
          <w:highlight w:val="none"/>
        </w:rPr>
      </w:pPr>
      <w:r>
        <w:rPr>
          <w:rFonts w:hint="eastAsia" w:ascii="宋体" w:hAnsi="宋体" w:eastAsia="宋体" w:cs="宋体"/>
          <w:b/>
          <w:color w:val="auto"/>
          <w:highlight w:val="none"/>
        </w:rPr>
        <w:t>第九条 不可抗力事件处理</w:t>
      </w:r>
    </w:p>
    <w:p>
      <w:pPr>
        <w:pStyle w:val="10"/>
        <w:spacing w:line="355" w:lineRule="auto"/>
        <w:ind w:right="195" w:firstLine="412"/>
        <w:rPr>
          <w:rFonts w:ascii="宋体" w:hAnsi="宋体" w:eastAsia="宋体" w:cs="宋体"/>
          <w:color w:val="auto"/>
          <w:sz w:val="21"/>
          <w:highlight w:val="none"/>
        </w:rPr>
      </w:pPr>
      <w:r>
        <w:rPr>
          <w:rFonts w:hint="eastAsia" w:ascii="宋体" w:hAnsi="宋体" w:eastAsia="宋体" w:cs="宋体"/>
          <w:color w:val="auto"/>
          <w:w w:val="95"/>
          <w:sz w:val="21"/>
          <w:highlight w:val="none"/>
        </w:rPr>
        <w:t>1、</w:t>
      </w:r>
      <w:r>
        <w:rPr>
          <w:rFonts w:hint="eastAsia" w:ascii="宋体" w:hAnsi="宋体" w:eastAsia="宋体" w:cs="宋体"/>
          <w:color w:val="auto"/>
          <w:sz w:val="21"/>
          <w:highlight w:val="none"/>
        </w:rPr>
        <w:t>在合同有效期内，乙方因不可抗力事件导致不能履行合同，则合同履行期可延长，其延长期与不可抗力影响期相同。</w:t>
      </w:r>
    </w:p>
    <w:p>
      <w:pPr>
        <w:pStyle w:val="10"/>
        <w:ind w:left="532"/>
        <w:rPr>
          <w:rFonts w:ascii="宋体" w:hAnsi="宋体" w:eastAsia="宋体" w:cs="宋体"/>
          <w:color w:val="auto"/>
          <w:sz w:val="21"/>
          <w:highlight w:val="none"/>
        </w:rPr>
      </w:pPr>
      <w:r>
        <w:rPr>
          <w:rFonts w:hint="eastAsia" w:ascii="宋体" w:hAnsi="宋体" w:eastAsia="宋体" w:cs="宋体"/>
          <w:color w:val="auto"/>
          <w:sz w:val="21"/>
          <w:highlight w:val="none"/>
        </w:rPr>
        <w:t>2、 不可抗力事件发生后，应立即通知对方，并寄送有关权威机构出具的证明。</w:t>
      </w:r>
    </w:p>
    <w:p>
      <w:pPr>
        <w:pStyle w:val="10"/>
        <w:tabs>
          <w:tab w:val="left" w:pos="1375"/>
        </w:tabs>
        <w:spacing w:before="129" w:line="355" w:lineRule="auto"/>
        <w:ind w:left="532" w:right="1018"/>
        <w:rPr>
          <w:rFonts w:ascii="宋体" w:hAnsi="宋体" w:eastAsia="宋体" w:cs="宋体"/>
          <w:b/>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pacing w:val="-9"/>
          <w:sz w:val="21"/>
          <w:highlight w:val="none"/>
        </w:rPr>
        <w:t xml:space="preserve"> </w:t>
      </w:r>
      <w:r>
        <w:rPr>
          <w:rFonts w:hint="eastAsia" w:ascii="宋体" w:hAnsi="宋体" w:eastAsia="宋体" w:cs="宋体"/>
          <w:color w:val="auto"/>
          <w:sz w:val="21"/>
          <w:highlight w:val="none"/>
        </w:rPr>
        <w:t>不可抗力事件延续一百二十天以上，双方应通过友好协商，确定是否继续履行合同。</w:t>
      </w:r>
      <w:r>
        <w:rPr>
          <w:rFonts w:hint="eastAsia" w:ascii="宋体" w:hAnsi="宋体" w:eastAsia="宋体" w:cs="宋体"/>
          <w:b/>
          <w:color w:val="auto"/>
          <w:sz w:val="21"/>
          <w:highlight w:val="none"/>
        </w:rPr>
        <w:t>第十条</w:t>
      </w:r>
      <w:r>
        <w:rPr>
          <w:rFonts w:hint="eastAsia" w:ascii="宋体" w:hAnsi="宋体" w:eastAsia="宋体" w:cs="宋体"/>
          <w:b/>
          <w:color w:val="auto"/>
          <w:sz w:val="21"/>
          <w:highlight w:val="none"/>
        </w:rPr>
        <w:tab/>
      </w:r>
      <w:r>
        <w:rPr>
          <w:rFonts w:hint="eastAsia" w:ascii="宋体" w:hAnsi="宋体" w:eastAsia="宋体" w:cs="宋体"/>
          <w:b/>
          <w:color w:val="auto"/>
          <w:sz w:val="21"/>
          <w:highlight w:val="none"/>
        </w:rPr>
        <w:t>合同争议解决</w:t>
      </w:r>
    </w:p>
    <w:p>
      <w:pPr>
        <w:pStyle w:val="10"/>
        <w:spacing w:before="3" w:line="357" w:lineRule="auto"/>
        <w:ind w:right="259" w:firstLine="420"/>
        <w:rPr>
          <w:rFonts w:ascii="宋体" w:hAnsi="宋体" w:eastAsia="宋体" w:cs="宋体"/>
          <w:color w:val="auto"/>
          <w:sz w:val="21"/>
          <w:highlight w:val="none"/>
        </w:rPr>
      </w:pPr>
      <w:r>
        <w:rPr>
          <w:rFonts w:hint="eastAsia" w:ascii="宋体" w:hAnsi="宋体" w:eastAsia="宋体" w:cs="宋体"/>
          <w:color w:val="auto"/>
          <w:w w:val="95"/>
          <w:sz w:val="21"/>
          <w:highlight w:val="none"/>
        </w:rPr>
        <w:t>1</w:t>
      </w:r>
      <w:r>
        <w:rPr>
          <w:rFonts w:hint="eastAsia" w:ascii="宋体" w:hAnsi="宋体" w:eastAsia="宋体" w:cs="宋体"/>
          <w:color w:val="auto"/>
          <w:spacing w:val="-5"/>
          <w:w w:val="95"/>
          <w:sz w:val="21"/>
          <w:highlight w:val="none"/>
        </w:rPr>
        <w:t>、</w:t>
      </w:r>
      <w:r>
        <w:rPr>
          <w:rFonts w:hint="eastAsia" w:ascii="宋体" w:hAnsi="宋体" w:eastAsia="宋体" w:cs="宋体"/>
          <w:color w:val="auto"/>
          <w:sz w:val="21"/>
          <w:highlight w:val="none"/>
        </w:rPr>
        <w:t>因服务问题发生争议的，应邀请国家认可的相关机构进行鉴定。服务符合要求的，鉴定费由甲方承</w:t>
      </w:r>
      <w:r>
        <w:rPr>
          <w:rFonts w:hint="eastAsia" w:ascii="宋体" w:hAnsi="宋体" w:eastAsia="宋体" w:cs="宋体"/>
          <w:color w:val="auto"/>
          <w:spacing w:val="-5"/>
          <w:sz w:val="21"/>
          <w:highlight w:val="none"/>
        </w:rPr>
        <w:t>担；服务不符合要求的，鉴定费由乙方承担。</w:t>
      </w:r>
    </w:p>
    <w:p>
      <w:pPr>
        <w:pStyle w:val="10"/>
        <w:spacing w:line="357" w:lineRule="auto"/>
        <w:ind w:right="257" w:firstLine="420"/>
        <w:rPr>
          <w:rFonts w:ascii="宋体" w:hAnsi="宋体" w:eastAsia="宋体" w:cs="宋体"/>
          <w:color w:val="auto"/>
          <w:sz w:val="21"/>
          <w:highlight w:val="none"/>
        </w:rPr>
      </w:pPr>
      <w:r>
        <w:rPr>
          <w:rFonts w:hint="eastAsia" w:ascii="宋体" w:hAnsi="宋体" w:eastAsia="宋体" w:cs="宋体"/>
          <w:color w:val="auto"/>
          <w:w w:val="95"/>
          <w:sz w:val="21"/>
          <w:highlight w:val="none"/>
        </w:rPr>
        <w:t>2</w:t>
      </w:r>
      <w:r>
        <w:rPr>
          <w:rFonts w:hint="eastAsia" w:ascii="宋体" w:hAnsi="宋体" w:eastAsia="宋体" w:cs="宋体"/>
          <w:color w:val="auto"/>
          <w:spacing w:val="-5"/>
          <w:w w:val="95"/>
          <w:sz w:val="21"/>
          <w:highlight w:val="none"/>
        </w:rPr>
        <w:t>、</w:t>
      </w:r>
      <w:r>
        <w:rPr>
          <w:rFonts w:hint="eastAsia" w:ascii="宋体" w:hAnsi="宋体" w:eastAsia="宋体" w:cs="宋体"/>
          <w:color w:val="auto"/>
          <w:spacing w:val="-5"/>
          <w:sz w:val="21"/>
          <w:highlight w:val="none"/>
        </w:rPr>
        <w:t>因履行本合同引起的或与本合同有关的争议，甲乙双方应首先通过友好协商解决，如果协商不能解决，可向</w:t>
      </w:r>
      <w:r>
        <w:rPr>
          <w:rFonts w:hint="eastAsia" w:ascii="宋体" w:hAnsi="宋体" w:eastAsia="宋体" w:cs="宋体"/>
          <w:color w:val="auto"/>
          <w:spacing w:val="-5"/>
          <w:sz w:val="21"/>
          <w:highlight w:val="none"/>
          <w:lang w:eastAsia="zh-CN"/>
        </w:rPr>
        <w:t>当地</w:t>
      </w:r>
      <w:r>
        <w:rPr>
          <w:rFonts w:hint="eastAsia" w:ascii="宋体" w:hAnsi="宋体" w:eastAsia="宋体" w:cs="宋体"/>
          <w:color w:val="auto"/>
          <w:spacing w:val="-5"/>
          <w:sz w:val="21"/>
          <w:highlight w:val="none"/>
        </w:rPr>
        <w:t>仲裁委员会申请仲裁或</w:t>
      </w:r>
      <w:r>
        <w:rPr>
          <w:rFonts w:hint="eastAsia" w:ascii="宋体" w:hAnsi="宋体" w:eastAsia="宋体" w:cs="宋体"/>
          <w:color w:val="auto"/>
          <w:spacing w:val="-5"/>
          <w:sz w:val="21"/>
          <w:highlight w:val="none"/>
          <w:lang w:eastAsia="zh-CN"/>
        </w:rPr>
        <w:t>当地</w:t>
      </w:r>
      <w:r>
        <w:rPr>
          <w:rFonts w:hint="eastAsia" w:ascii="宋体" w:hAnsi="宋体" w:eastAsia="宋体" w:cs="宋体"/>
          <w:color w:val="auto"/>
          <w:spacing w:val="-5"/>
          <w:sz w:val="21"/>
          <w:highlight w:val="none"/>
        </w:rPr>
        <w:t>人民法院提起诉讼。</w:t>
      </w:r>
    </w:p>
    <w:p>
      <w:pPr>
        <w:tabs>
          <w:tab w:val="left" w:pos="1586"/>
        </w:tabs>
        <w:spacing w:line="355" w:lineRule="auto"/>
        <w:ind w:left="532" w:right="6058" w:firstLine="7"/>
        <w:rPr>
          <w:rFonts w:ascii="宋体" w:hAnsi="宋体" w:eastAsia="宋体" w:cs="宋体"/>
          <w:b/>
          <w:color w:val="auto"/>
          <w:highlight w:val="none"/>
        </w:rPr>
      </w:pPr>
      <w:r>
        <w:rPr>
          <w:rFonts w:hint="eastAsia" w:ascii="宋体" w:hAnsi="宋体" w:eastAsia="宋体" w:cs="宋体"/>
          <w:color w:val="auto"/>
          <w:highlight w:val="none"/>
        </w:rPr>
        <w:t>3、诉讼期间，本合同继续履行。</w:t>
      </w:r>
      <w:r>
        <w:rPr>
          <w:rFonts w:hint="eastAsia" w:ascii="宋体" w:hAnsi="宋体" w:eastAsia="宋体" w:cs="宋体"/>
          <w:b/>
          <w:color w:val="auto"/>
          <w:highlight w:val="none"/>
        </w:rPr>
        <w:t>第十一条</w:t>
      </w:r>
      <w:r>
        <w:rPr>
          <w:rFonts w:hint="eastAsia" w:ascii="宋体" w:hAnsi="宋体" w:eastAsia="宋体" w:cs="宋体"/>
          <w:b/>
          <w:color w:val="auto"/>
          <w:highlight w:val="none"/>
        </w:rPr>
        <w:tab/>
      </w:r>
      <w:r>
        <w:rPr>
          <w:rFonts w:hint="eastAsia" w:ascii="宋体" w:hAnsi="宋体" w:eastAsia="宋体" w:cs="宋体"/>
          <w:b/>
          <w:color w:val="auto"/>
          <w:highlight w:val="none"/>
        </w:rPr>
        <w:t>合同生效及其它</w:t>
      </w:r>
    </w:p>
    <w:p>
      <w:pPr>
        <w:pStyle w:val="10"/>
        <w:ind w:left="540"/>
        <w:rPr>
          <w:rFonts w:ascii="宋体" w:hAnsi="宋体" w:eastAsia="宋体" w:cs="宋体"/>
          <w:color w:val="auto"/>
          <w:sz w:val="21"/>
          <w:highlight w:val="none"/>
        </w:rPr>
      </w:pPr>
      <w:r>
        <w:rPr>
          <w:rFonts w:hint="eastAsia" w:ascii="宋体" w:hAnsi="宋体" w:eastAsia="宋体" w:cs="宋体"/>
          <w:color w:val="auto"/>
          <w:sz w:val="21"/>
          <w:highlight w:val="none"/>
        </w:rPr>
        <w:t>1、合同经甲乙双方法定代表人或授权代表签字并加盖磋商供应商单位公章后生效。</w:t>
      </w:r>
    </w:p>
    <w:p>
      <w:pPr>
        <w:pStyle w:val="10"/>
        <w:spacing w:before="131" w:line="355" w:lineRule="auto"/>
        <w:ind w:right="257" w:firstLine="597" w:firstLineChars="300"/>
        <w:rPr>
          <w:rFonts w:ascii="宋体" w:hAnsi="宋体" w:eastAsia="宋体" w:cs="宋体"/>
          <w:color w:val="auto"/>
          <w:sz w:val="21"/>
          <w:highlight w:val="none"/>
        </w:rPr>
      </w:pPr>
      <w:r>
        <w:rPr>
          <w:rFonts w:hint="eastAsia" w:ascii="宋体" w:hAnsi="宋体" w:eastAsia="宋体" w:cs="宋体"/>
          <w:color w:val="auto"/>
          <w:w w:val="95"/>
          <w:sz w:val="21"/>
          <w:highlight w:val="none"/>
        </w:rPr>
        <w:t>2</w:t>
      </w:r>
      <w:r>
        <w:rPr>
          <w:rFonts w:hint="eastAsia" w:ascii="宋体" w:hAnsi="宋体" w:eastAsia="宋体" w:cs="宋体"/>
          <w:color w:val="auto"/>
          <w:spacing w:val="-5"/>
          <w:w w:val="95"/>
          <w:sz w:val="21"/>
          <w:highlight w:val="none"/>
        </w:rPr>
        <w:t>、</w:t>
      </w:r>
      <w:r>
        <w:rPr>
          <w:rFonts w:hint="eastAsia" w:ascii="宋体" w:hAnsi="宋体" w:eastAsia="宋体" w:cs="宋体"/>
          <w:color w:val="auto"/>
          <w:sz w:val="21"/>
          <w:highlight w:val="none"/>
        </w:rPr>
        <w:t>合同执行中涉及采购资金和采购内容修改或补充的，需经县财政局审批，并签订书面补充协</w:t>
      </w:r>
      <w:r>
        <w:rPr>
          <w:rFonts w:hint="eastAsia" w:ascii="宋体" w:hAnsi="宋体" w:eastAsia="宋体" w:cs="宋体"/>
          <w:color w:val="auto"/>
          <w:spacing w:val="-5"/>
          <w:sz w:val="21"/>
          <w:highlight w:val="none"/>
        </w:rPr>
        <w:t>议报</w:t>
      </w:r>
      <w:r>
        <w:rPr>
          <w:rFonts w:hint="eastAsia" w:ascii="宋体" w:hAnsi="宋体" w:eastAsia="宋体" w:cs="宋体"/>
          <w:color w:val="auto"/>
          <w:sz w:val="21"/>
          <w:highlight w:val="none"/>
        </w:rPr>
        <w:t>县财政局</w:t>
      </w:r>
      <w:r>
        <w:rPr>
          <w:rFonts w:hint="eastAsia" w:ascii="宋体" w:hAnsi="宋体" w:eastAsia="宋体" w:cs="宋体"/>
          <w:color w:val="auto"/>
          <w:spacing w:val="-5"/>
          <w:sz w:val="21"/>
          <w:highlight w:val="none"/>
        </w:rPr>
        <w:t>备案，方可作为主合同不可分割的一部分。</w:t>
      </w:r>
    </w:p>
    <w:p>
      <w:pPr>
        <w:tabs>
          <w:tab w:val="left" w:pos="1586"/>
        </w:tabs>
        <w:spacing w:before="3" w:line="357" w:lineRule="auto"/>
        <w:ind w:left="532" w:right="1438" w:rightChars="0" w:firstLine="21"/>
        <w:rPr>
          <w:rFonts w:ascii="宋体" w:hAnsi="宋体" w:eastAsia="宋体" w:cs="宋体"/>
          <w:color w:val="auto"/>
          <w:highlight w:val="none"/>
        </w:rPr>
      </w:pPr>
      <w:r>
        <w:rPr>
          <w:rFonts w:hint="eastAsia" w:ascii="宋体" w:hAnsi="宋体" w:eastAsia="宋体" w:cs="宋体"/>
          <w:color w:val="auto"/>
          <w:highlight w:val="none"/>
        </w:rPr>
        <w:t>3、本合同未尽事宜，遵照《中华人民共和国民法典》有关条文执行。</w:t>
      </w:r>
    </w:p>
    <w:p>
      <w:pPr>
        <w:tabs>
          <w:tab w:val="left" w:pos="1586"/>
        </w:tabs>
        <w:spacing w:before="3" w:line="357" w:lineRule="auto"/>
        <w:ind w:left="532" w:right="3758" w:firstLine="21"/>
        <w:rPr>
          <w:rFonts w:ascii="宋体" w:hAnsi="宋体" w:eastAsia="宋体" w:cs="宋体"/>
          <w:b/>
          <w:color w:val="auto"/>
          <w:highlight w:val="none"/>
        </w:rPr>
      </w:pPr>
      <w:r>
        <w:rPr>
          <w:rFonts w:hint="eastAsia" w:ascii="宋体" w:hAnsi="宋体" w:eastAsia="宋体" w:cs="宋体"/>
          <w:b/>
          <w:color w:val="auto"/>
          <w:highlight w:val="none"/>
        </w:rPr>
        <w:t>第十二条</w:t>
      </w:r>
      <w:r>
        <w:rPr>
          <w:rFonts w:hint="eastAsia" w:ascii="宋体" w:hAnsi="宋体" w:eastAsia="宋体" w:cs="宋体"/>
          <w:b/>
          <w:color w:val="auto"/>
          <w:highlight w:val="none"/>
        </w:rPr>
        <w:tab/>
      </w:r>
      <w:r>
        <w:rPr>
          <w:rFonts w:hint="eastAsia" w:ascii="宋体" w:hAnsi="宋体" w:eastAsia="宋体" w:cs="宋体"/>
          <w:b/>
          <w:color w:val="auto"/>
          <w:highlight w:val="none"/>
        </w:rPr>
        <w:t>合同的变更、终止、解除与转让</w:t>
      </w:r>
    </w:p>
    <w:p>
      <w:pPr>
        <w:pStyle w:val="10"/>
        <w:spacing w:line="266" w:lineRule="exact"/>
        <w:ind w:left="540"/>
        <w:rPr>
          <w:rFonts w:ascii="宋体" w:hAnsi="宋体" w:eastAsia="宋体" w:cs="宋体"/>
          <w:color w:val="auto"/>
          <w:sz w:val="21"/>
          <w:highlight w:val="none"/>
        </w:rPr>
      </w:pPr>
      <w:r>
        <w:rPr>
          <w:rFonts w:hint="eastAsia" w:ascii="宋体" w:hAnsi="宋体" w:eastAsia="宋体" w:cs="宋体"/>
          <w:color w:val="auto"/>
          <w:sz w:val="21"/>
          <w:highlight w:val="none"/>
        </w:rPr>
        <w:t>1、甲方和乙方协商一致，可以解除合同。</w:t>
      </w:r>
    </w:p>
    <w:p>
      <w:pPr>
        <w:pStyle w:val="10"/>
        <w:spacing w:before="132"/>
        <w:ind w:left="540"/>
        <w:rPr>
          <w:rFonts w:ascii="宋体" w:hAnsi="宋体" w:eastAsia="宋体" w:cs="宋体"/>
          <w:color w:val="auto"/>
          <w:sz w:val="21"/>
          <w:highlight w:val="none"/>
        </w:rPr>
      </w:pPr>
      <w:r>
        <w:rPr>
          <w:rFonts w:hint="eastAsia" w:ascii="宋体" w:hAnsi="宋体" w:eastAsia="宋体" w:cs="宋体"/>
          <w:color w:val="auto"/>
          <w:sz w:val="21"/>
          <w:highlight w:val="none"/>
        </w:rPr>
        <w:t>2、有下列情况之一，合同方可以解除合同：</w:t>
      </w:r>
    </w:p>
    <w:p>
      <w:pPr>
        <w:pStyle w:val="43"/>
        <w:numPr>
          <w:ilvl w:val="255"/>
          <w:numId w:val="0"/>
        </w:numPr>
        <w:tabs>
          <w:tab w:val="left" w:pos="1065"/>
        </w:tabs>
        <w:spacing w:before="132" w:line="360" w:lineRule="auto"/>
        <w:ind w:left="420" w:leftChars="200"/>
        <w:rPr>
          <w:rFonts w:ascii="宋体" w:hAnsi="宋体" w:eastAsia="宋体" w:cs="宋体"/>
          <w:color w:val="auto"/>
          <w:highlight w:val="none"/>
        </w:rPr>
      </w:pPr>
      <w:r>
        <w:rPr>
          <w:rFonts w:hint="eastAsia" w:ascii="宋体" w:hAnsi="宋体" w:eastAsia="宋体" w:cs="宋体"/>
          <w:color w:val="auto"/>
          <w:highlight w:val="none"/>
        </w:rPr>
        <w:t>（1）因不可抗力致使不能实现合同目的，未受不可抗力影响的一方有权解除合同；</w:t>
      </w:r>
    </w:p>
    <w:p>
      <w:pPr>
        <w:pStyle w:val="43"/>
        <w:numPr>
          <w:ilvl w:val="255"/>
          <w:numId w:val="0"/>
        </w:numPr>
        <w:tabs>
          <w:tab w:val="left" w:pos="1065"/>
        </w:tabs>
        <w:spacing w:before="129" w:line="360" w:lineRule="auto"/>
        <w:ind w:left="420" w:leftChars="200"/>
        <w:rPr>
          <w:rFonts w:ascii="宋体" w:hAnsi="宋体" w:eastAsia="宋体" w:cs="宋体"/>
          <w:color w:val="auto"/>
          <w:highlight w:val="none"/>
        </w:rPr>
      </w:pPr>
      <w:r>
        <w:rPr>
          <w:rFonts w:hint="eastAsia" w:ascii="宋体" w:hAnsi="宋体" w:eastAsia="宋体" w:cs="宋体"/>
          <w:color w:val="auto"/>
          <w:highlight w:val="none"/>
        </w:rPr>
        <w:t>（2）因合同一方违约导致合同不能履行，另一方有权解除合同，但在距合同履行期限届满未足两个月的，即使出现以上情形，乙方也不能单方解除合同。</w:t>
      </w:r>
      <w:bookmarkStart w:id="22" w:name="第六章__响应文件格式"/>
      <w:bookmarkEnd w:id="22"/>
    </w:p>
    <w:p>
      <w:pPr>
        <w:pStyle w:val="10"/>
        <w:spacing w:before="52" w:line="360" w:lineRule="auto"/>
        <w:ind w:right="217" w:firstLine="420"/>
        <w:rPr>
          <w:rFonts w:ascii="宋体" w:hAnsi="宋体" w:eastAsia="宋体" w:cs="宋体"/>
          <w:color w:val="auto"/>
          <w:sz w:val="21"/>
          <w:highlight w:val="none"/>
        </w:rPr>
      </w:pPr>
      <w:r>
        <w:rPr>
          <w:rFonts w:hint="eastAsia" w:ascii="宋体" w:hAnsi="宋体" w:eastAsia="宋体" w:cs="宋体"/>
          <w:color w:val="auto"/>
          <w:sz w:val="21"/>
          <w:highlight w:val="none"/>
        </w:rPr>
        <w:t>3、有权解除合同的一方，应当在违约事实或不可抗力发生之后 10 天内书面通知对方提出解除合同， 合同在书面通知到达对方时解除。</w:t>
      </w:r>
    </w:p>
    <w:p>
      <w:pPr>
        <w:pStyle w:val="10"/>
        <w:spacing w:line="357" w:lineRule="auto"/>
        <w:ind w:right="191" w:firstLine="420"/>
        <w:rPr>
          <w:rFonts w:ascii="宋体" w:hAnsi="宋体" w:eastAsia="宋体" w:cs="宋体"/>
          <w:color w:val="auto"/>
          <w:sz w:val="21"/>
          <w:highlight w:val="none"/>
        </w:rPr>
      </w:pPr>
      <w:r>
        <w:rPr>
          <w:rFonts w:hint="eastAsia" w:ascii="宋体" w:hAnsi="宋体" w:eastAsia="宋体" w:cs="宋体"/>
          <w:color w:val="auto"/>
          <w:w w:val="95"/>
          <w:sz w:val="21"/>
          <w:highlight w:val="none"/>
        </w:rPr>
        <w:t>4、</w:t>
      </w:r>
      <w:r>
        <w:rPr>
          <w:rFonts w:hint="eastAsia" w:ascii="宋体" w:hAnsi="宋体" w:eastAsia="宋体" w:cs="宋体"/>
          <w:color w:val="auto"/>
          <w:sz w:val="21"/>
          <w:highlight w:val="none"/>
        </w:rPr>
        <w:t>除《中华人民共和国政府采购法》第五十条规定的情形外，本合同一经签订，甲乙双方不得擅自变更，中止或终止。</w:t>
      </w:r>
    </w:p>
    <w:p>
      <w:pPr>
        <w:tabs>
          <w:tab w:val="left" w:pos="1593"/>
        </w:tabs>
        <w:spacing w:line="355" w:lineRule="auto"/>
        <w:ind w:left="540" w:right="4598"/>
        <w:rPr>
          <w:rFonts w:ascii="宋体" w:hAnsi="宋体" w:eastAsia="宋体" w:cs="宋体"/>
          <w:color w:val="auto"/>
          <w:highlight w:val="none"/>
        </w:rPr>
      </w:pPr>
      <w:r>
        <w:rPr>
          <w:rFonts w:hint="eastAsia" w:ascii="宋体" w:hAnsi="宋体" w:eastAsia="宋体" w:cs="宋体"/>
          <w:color w:val="auto"/>
          <w:highlight w:val="none"/>
        </w:rPr>
        <w:t>5、乙方不得擅自转让其应履行的合同义务。</w:t>
      </w:r>
    </w:p>
    <w:p>
      <w:pPr>
        <w:tabs>
          <w:tab w:val="left" w:pos="1593"/>
        </w:tabs>
        <w:spacing w:line="355" w:lineRule="auto"/>
        <w:ind w:left="540" w:right="5489"/>
        <w:rPr>
          <w:rFonts w:ascii="宋体" w:hAnsi="宋体" w:eastAsia="宋体" w:cs="宋体"/>
          <w:b/>
          <w:color w:val="auto"/>
          <w:highlight w:val="none"/>
        </w:rPr>
      </w:pPr>
      <w:r>
        <w:rPr>
          <w:rFonts w:hint="eastAsia" w:ascii="宋体" w:hAnsi="宋体" w:eastAsia="宋体" w:cs="宋体"/>
          <w:b/>
          <w:color w:val="auto"/>
          <w:highlight w:val="none"/>
        </w:rPr>
        <w:t>第十三条</w:t>
      </w:r>
      <w:r>
        <w:rPr>
          <w:rFonts w:hint="eastAsia" w:ascii="宋体" w:hAnsi="宋体" w:eastAsia="宋体" w:cs="宋体"/>
          <w:b/>
          <w:color w:val="auto"/>
          <w:highlight w:val="none"/>
        </w:rPr>
        <w:tab/>
      </w:r>
      <w:r>
        <w:rPr>
          <w:rFonts w:hint="eastAsia" w:ascii="宋体" w:hAnsi="宋体" w:eastAsia="宋体" w:cs="宋体"/>
          <w:b/>
          <w:color w:val="auto"/>
          <w:highlight w:val="none"/>
        </w:rPr>
        <w:t>签订本合同依据</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1、竞争性磋商文件；</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 xml:space="preserve">2、成交供应商的磋商报价表； </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3、实施方案；</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4、服务承诺书；</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5、成交通知书。</w:t>
      </w:r>
    </w:p>
    <w:p>
      <w:pPr>
        <w:pStyle w:val="10"/>
        <w:spacing w:before="99" w:line="321" w:lineRule="auto"/>
        <w:ind w:right="260"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本合同甲乙双方签字盖章后生效，一式六份，具有同等法律效力，甲、乙双方各一份。政府采购合同双方自签订之日起2日内将合同原件两份交采购代理机构。采购代理机构将一份合同原件送财政局备案，一份由采购代理机构存档。</w:t>
      </w:r>
    </w:p>
    <w:p>
      <w:pPr>
        <w:spacing w:line="480" w:lineRule="exact"/>
        <w:ind w:firstLine="420"/>
        <w:rPr>
          <w:rFonts w:ascii="宋体" w:hAnsi="宋体" w:cs="Courier New"/>
          <w:color w:val="auto"/>
          <w:highlight w:val="none"/>
        </w:rPr>
      </w:pPr>
    </w:p>
    <w:tbl>
      <w:tblPr>
        <w:tblStyle w:val="18"/>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3"/>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3" w:type="dxa"/>
          </w:tcPr>
          <w:p>
            <w:pPr>
              <w:spacing w:line="320" w:lineRule="exact"/>
              <w:rPr>
                <w:rFonts w:ascii="宋体" w:hAnsi="宋体" w:cs="Courier New"/>
                <w:color w:val="auto"/>
                <w:highlight w:val="none"/>
              </w:rPr>
            </w:pPr>
            <w:r>
              <w:rPr>
                <w:rFonts w:hint="eastAsia" w:ascii="宋体" w:hAnsi="宋体" w:cs="Courier New"/>
                <w:color w:val="auto"/>
                <w:highlight w:val="none"/>
              </w:rPr>
              <w:t>甲方（章）：</w:t>
            </w:r>
          </w:p>
          <w:p>
            <w:pPr>
              <w:spacing w:line="320" w:lineRule="exact"/>
              <w:rPr>
                <w:rFonts w:ascii="宋体" w:hAnsi="宋体" w:cs="Courier New"/>
                <w:color w:val="auto"/>
                <w:highlight w:val="none"/>
              </w:rPr>
            </w:pPr>
          </w:p>
          <w:p>
            <w:pPr>
              <w:spacing w:line="320" w:lineRule="exact"/>
              <w:rPr>
                <w:rFonts w:ascii="宋体" w:hAnsi="宋体" w:cs="Courier New"/>
                <w:color w:val="auto"/>
                <w:highlight w:val="none"/>
              </w:rPr>
            </w:pPr>
          </w:p>
          <w:p>
            <w:pPr>
              <w:spacing w:line="320" w:lineRule="exact"/>
              <w:rPr>
                <w:rFonts w:ascii="宋体" w:hAnsi="宋体" w:cs="Courier New"/>
                <w:color w:val="auto"/>
                <w:highlight w:val="none"/>
              </w:rPr>
            </w:pPr>
          </w:p>
          <w:p>
            <w:pPr>
              <w:spacing w:line="320" w:lineRule="exact"/>
              <w:jc w:val="right"/>
              <w:rPr>
                <w:rFonts w:ascii="宋体" w:hAnsi="宋体" w:cs="Courier New"/>
                <w:color w:val="auto"/>
                <w:highlight w:val="none"/>
              </w:rPr>
            </w:pPr>
            <w:r>
              <w:rPr>
                <w:rFonts w:hint="eastAsia" w:ascii="宋体" w:hAnsi="宋体" w:cs="Courier New"/>
                <w:color w:val="auto"/>
                <w:highlight w:val="none"/>
              </w:rPr>
              <w:t>年   月   日</w:t>
            </w:r>
          </w:p>
        </w:tc>
        <w:tc>
          <w:tcPr>
            <w:tcW w:w="4644" w:type="dxa"/>
          </w:tcPr>
          <w:p>
            <w:pPr>
              <w:spacing w:line="320" w:lineRule="exact"/>
              <w:rPr>
                <w:rFonts w:ascii="宋体" w:hAnsi="宋体" w:cs="Courier New"/>
                <w:color w:val="auto"/>
                <w:highlight w:val="none"/>
              </w:rPr>
            </w:pPr>
            <w:r>
              <w:rPr>
                <w:rFonts w:hint="eastAsia" w:ascii="宋体" w:hAnsi="宋体" w:cs="Courier New"/>
                <w:color w:val="auto"/>
                <w:highlight w:val="none"/>
              </w:rPr>
              <w:t>乙方（章）：</w:t>
            </w:r>
          </w:p>
          <w:p>
            <w:pPr>
              <w:spacing w:line="320" w:lineRule="exact"/>
              <w:rPr>
                <w:rFonts w:ascii="宋体" w:hAnsi="宋体" w:cs="Courier New"/>
                <w:color w:val="auto"/>
                <w:highlight w:val="none"/>
              </w:rPr>
            </w:pPr>
          </w:p>
          <w:p>
            <w:pPr>
              <w:spacing w:line="320" w:lineRule="exact"/>
              <w:rPr>
                <w:rFonts w:ascii="宋体" w:hAnsi="宋体" w:cs="Courier New"/>
                <w:color w:val="auto"/>
                <w:highlight w:val="none"/>
              </w:rPr>
            </w:pPr>
          </w:p>
          <w:p>
            <w:pPr>
              <w:spacing w:line="320" w:lineRule="exact"/>
              <w:rPr>
                <w:rFonts w:ascii="宋体" w:hAnsi="宋体" w:cs="Courier New"/>
                <w:color w:val="auto"/>
                <w:highlight w:val="none"/>
              </w:rPr>
            </w:pPr>
          </w:p>
          <w:p>
            <w:pPr>
              <w:spacing w:line="320" w:lineRule="exact"/>
              <w:jc w:val="right"/>
              <w:rPr>
                <w:rFonts w:ascii="宋体" w:hAnsi="宋体" w:cs="Courier New"/>
                <w:color w:val="auto"/>
                <w:highlight w:val="none"/>
              </w:rPr>
            </w:pPr>
            <w:r>
              <w:rPr>
                <w:rFonts w:hint="eastAsia" w:ascii="宋体" w:hAnsi="宋体" w:cs="Courier New"/>
                <w:color w:val="auto"/>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单位地址：</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法定代表人：</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委托代理人：</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电话：</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电子邮箱：</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开户银行：</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账号：</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643"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邮政编码：</w:t>
            </w:r>
          </w:p>
        </w:tc>
        <w:tc>
          <w:tcPr>
            <w:tcW w:w="4644" w:type="dxa"/>
            <w:vAlign w:val="center"/>
          </w:tcPr>
          <w:p>
            <w:pPr>
              <w:spacing w:line="320" w:lineRule="exact"/>
              <w:rPr>
                <w:rFonts w:ascii="宋体" w:hAnsi="宋体" w:cs="Courier New"/>
                <w:color w:val="auto"/>
                <w:highlight w:val="none"/>
              </w:rPr>
            </w:pPr>
            <w:r>
              <w:rPr>
                <w:rFonts w:hint="eastAsia" w:ascii="宋体" w:hAnsi="宋体" w:cs="Courier New"/>
                <w:color w:val="auto"/>
                <w:highlight w:val="none"/>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9287" w:type="dxa"/>
            <w:gridSpan w:val="2"/>
          </w:tcPr>
          <w:p>
            <w:pPr>
              <w:spacing w:line="320" w:lineRule="exact"/>
              <w:rPr>
                <w:rFonts w:ascii="宋体" w:hAnsi="宋体" w:cs="Courier New"/>
                <w:color w:val="auto"/>
                <w:highlight w:val="none"/>
              </w:rPr>
            </w:pPr>
            <w:r>
              <w:rPr>
                <w:rFonts w:hint="eastAsia" w:ascii="宋体" w:hAnsi="宋体" w:cs="Courier New"/>
                <w:color w:val="auto"/>
                <w:highlight w:val="none"/>
              </w:rPr>
              <w:t>经办人：</w:t>
            </w:r>
          </w:p>
          <w:p>
            <w:pPr>
              <w:spacing w:line="320" w:lineRule="exact"/>
              <w:ind w:firstLine="420"/>
              <w:rPr>
                <w:rFonts w:ascii="宋体" w:hAnsi="宋体" w:cs="Courier New"/>
                <w:color w:val="auto"/>
                <w:highlight w:val="none"/>
              </w:rPr>
            </w:pPr>
          </w:p>
          <w:p>
            <w:pPr>
              <w:spacing w:line="320" w:lineRule="exact"/>
              <w:jc w:val="right"/>
              <w:rPr>
                <w:rFonts w:ascii="宋体" w:hAnsi="宋体" w:cs="Courier New"/>
                <w:color w:val="auto"/>
                <w:highlight w:val="none"/>
              </w:rPr>
            </w:pPr>
          </w:p>
          <w:p>
            <w:pPr>
              <w:spacing w:line="320" w:lineRule="exact"/>
              <w:jc w:val="right"/>
              <w:rPr>
                <w:rFonts w:ascii="宋体" w:hAnsi="宋体" w:cs="Courier New"/>
                <w:color w:val="auto"/>
                <w:highlight w:val="none"/>
              </w:rPr>
            </w:pPr>
          </w:p>
          <w:p>
            <w:pPr>
              <w:spacing w:line="320" w:lineRule="exact"/>
              <w:jc w:val="right"/>
              <w:rPr>
                <w:rFonts w:ascii="宋体" w:hAnsi="宋体" w:cs="Courier New"/>
                <w:color w:val="auto"/>
                <w:highlight w:val="none"/>
              </w:rPr>
            </w:pPr>
          </w:p>
          <w:p>
            <w:pPr>
              <w:spacing w:line="320" w:lineRule="exact"/>
              <w:jc w:val="right"/>
              <w:rPr>
                <w:rFonts w:ascii="宋体" w:hAnsi="宋体" w:cs="Courier New"/>
                <w:color w:val="auto"/>
                <w:highlight w:val="none"/>
              </w:rPr>
            </w:pPr>
          </w:p>
          <w:p>
            <w:pPr>
              <w:spacing w:line="320" w:lineRule="exact"/>
              <w:jc w:val="right"/>
              <w:rPr>
                <w:rFonts w:ascii="宋体" w:hAnsi="宋体" w:cs="Courier New"/>
                <w:color w:val="auto"/>
                <w:highlight w:val="none"/>
              </w:rPr>
            </w:pPr>
            <w:r>
              <w:rPr>
                <w:rFonts w:hint="eastAsia" w:ascii="宋体" w:hAnsi="宋体" w:cs="Courier New"/>
                <w:color w:val="auto"/>
                <w:highlight w:val="none"/>
              </w:rPr>
              <w:t>年   月   日</w:t>
            </w:r>
          </w:p>
        </w:tc>
      </w:tr>
    </w:tbl>
    <w:p>
      <w:pPr>
        <w:spacing w:before="3" w:line="360" w:lineRule="auto"/>
        <w:rPr>
          <w:rFonts w:asciiTheme="minorEastAsia" w:hAnsiTheme="minorEastAsia" w:eastAsiaTheme="minorEastAsia" w:cstheme="minorEastAsia"/>
          <w:color w:val="auto"/>
          <w:sz w:val="24"/>
          <w:szCs w:val="24"/>
          <w:highlight w:val="none"/>
        </w:rPr>
      </w:pPr>
    </w:p>
    <w:sectPr>
      <w:headerReference r:id="rId61" w:type="default"/>
      <w:footerReference r:id="rId62" w:type="default"/>
      <w:pgSz w:w="11906" w:h="16838"/>
      <w:pgMar w:top="935" w:right="1134" w:bottom="1073" w:left="1134" w:header="704" w:footer="9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exact"/>
      <w:ind w:firstLine="4406"/>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75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7vI8oBAACb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e4CS8ocdzixC/fv11+/Lr8/Eqe&#10;v8oN6gPUmHcXMDMNb/yAybMf0Jl1Dyra/EVFBOPY3vO1vXJIRORH69V6XWFIYGy+ID67fx4ipLfS&#10;W5KNhkacX2krP72HNKbOKbma87famDJD4/5yIGb2sMx95JitNOyHSdDet2fU0+PoG+pw0ykx7xx2&#10;Nm/JbMTZ2M/GMUR96JDasvCC8PqYkEThliuMsFNhnFlRN+1XXoo/7yXr/p/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y7vI8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AGPcoBAACbAwAADgAAAGRycy9lMm9Eb2MueG1srVNLbtswEN0XyB0I&#10;7mPKRhA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DW7CLSWWG5z4+cf388/f51/f&#10;yE2ZGtR7qDDv0WNmHN65AZNnP6Az6R7aYNIXFRGMY3tPl/bKIRKRHpWrsiwwJDA2XxCfPT33AeJ7&#10;6QxJRk0Dzi+3lR8/QBxT55RUzbp7pXWeobZ/ORAzeVjiPnJMVhx2wyRo55oT6ulx9DW1uOmU6AeL&#10;nU1bMhthNnazcfBB7Tuktsy8wL89RCSRuaUKI+xUGGeW1U37lZbi+T1nPf1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rAGPc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WWsoBAACbAwAADgAAAGRycy9lMm9Eb2MueG1srVNLjtswDN0X6B0E&#10;7SdyAkw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4ya8p8RygxM//f51+vPv9Pcn&#10;uc4CdR5KzLvzmBn7j67H5CRc8gM6E+++CSZ9kRHBOMp7PMsr+0hEerRcLJcFhgTGpgvisMtzHyB+&#10;ks6QZFQ04PyyrPzwBeKQOqWkatbdKq3zDLV95EDM5GGXHpMV+20/Nr519RH5dDj6ilrcdEr0Z4vK&#10;pi2ZjDAZ28nY+6B2LbY2z32B/7CP2ETuLVUYYMfCOLPMbtyvtBQ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N0WW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kwu8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4Bzd9zixC/fv11+/Lr8/Epe&#10;L3OD+gA15j0EzEzDnR8wefYDOrPuQUWbv6iIYBzbe762Vw6JiPxovVqvKwwJjM0XxGePz0OE9FZ6&#10;S7LR0IjzK23lp/eQxtQ5JVdz/l4bU2Zo3F8OxMwelrmPHLOVhv0wCdr79ox6ehx9Qx1uOiXmncPO&#10;5i2ZjTgb+9k4hqgPHVJbFl4Qbo8JSRRuucIIOxXGmRV1037lpfjzXrIe/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ASTC7yQEAAJs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T3xX8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8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40js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S0pcdzixC/fv11+/Lr8/Epe&#10;vcwN6gPUmHcXMDMNb/2AazP7AZ1Z96CizV9URDCO7T1f2yuHRER+tF6t1xWGBMbmC+Kzh+chQnon&#10;vSXZaGjE+ZW28tMHSGPqnJKrOX+rjSkzNO4vB2JmD8vcR47ZSsN+mATtfXtGPT2OvqEON50S895h&#10;Z/OWzEacjf1sHEPUhw6pLQsvCG+OCUkUbrnCCDsVxpkVddN+5aX4816yHv6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40j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hHSssBAACbAwAADgAAAGRycy9lMm9Eb2MueG1srVPNjtMwEL4j7TtY&#10;vm+dRgu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OypMRygxM/f/92/vHr/PMr&#10;eX2TGtR7qDDvwWNmHN65Addm9gM6k+6hDSZ9URHBOLb3dGmvHCIR6dGqXK0K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oR0rLAQAAmw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4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uCm8oBAACbAwAADgAAAGRycy9lMm9Eb2MueG1srVPNjtMwEL4j8Q6W&#10;79Rp0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unpJieMWJ375/u3y49fl51dy&#10;c5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IuCm8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6"/>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8GrsoBAACbAwAADgAAAGRycy9lMm9Eb2MueG1srVPNjtMwEL4j8Q6W&#10;79RpB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b2kxHGLE798/3b58evy8yt5&#10;dZ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78Gr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4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h5csBAACbAwAADgAAAGRycy9lMm9Eb2MueG1srVNLbtswEN0XyB0I&#10;7mPKBlI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mpqubiix3ODEzz++n3/+Pv/6&#10;Rm7K1KDeQ4V5jx4z4/DeDbg2sx/QmXQPbTDpi4oIxrG9p0t75RCJSI/KVVkWGBIYmy+Iz56e+wDx&#10;g3SGJKOmAeeX28qPDxDH1DklVbPuTmmdZ6jtXw7ETB6WuI8ckxWH3TAJ2rnmhHp6HH1NLW46Jfre&#10;YmfTlsxGmI3dbBx8UPsOqS0zL/DvDh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Qv4eXLAQAAmw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169"/>
      </w:tabs>
      <w:spacing w:line="120" w:lineRule="exact"/>
      <w:ind w:firstLine="432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dQo8oBAACaAwAADgAAAGRycy9lMm9Eb2MueG1srVPNjtMwEL4j8Q6W&#10;79Rpkdg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Ly&#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AdQo8oBAACa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d5esoBAACbAwAADgAAAGRycy9lMm9Eb2MueG1srVPNjtMwEL4j8Q6W&#10;79RpJ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d1Q4rjFiV++f7v8+HX5+ZW8&#10;fJ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wd5e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3"/>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ugC6M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wkCc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XO3XGLE798/3b58evy8yu5&#10;WeYG9QFqzHsMmJmGez/g2sx+QGfWPaho8xcVEYxje8/X9sohEZEfrVfrdYUhgbH5gvjs6XmIkN5K&#10;b0k2GhpxfqWt/PQe0pg6p+Rqzj9oY8oMjfvLgZjZwzL3kWO20rAfJkF7355RT4+jb6jDTafEvHPY&#10;2bwlsxFnYz8bxxD1oUNqy8ILwt0xIYnCLVcYYafCOLOibtqvvBR/3kvW0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nwkCc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VR+7LAQAAmw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3"/>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1FGc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399"/>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xo+MoBAACb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bmkxHGLE798/3b58evy8yu5&#10;eZ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axo+M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TwZ8oBAACbAwAADgAAAGRycy9lMm9Eb2MueG1srVPNjtMwEL4j8Q6W&#10;79RpE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bmixHGLE798/3b58evy8yu5&#10;eZ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oTwZ8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39"/>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Btk4DLAQAAmw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739"/>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N07GDzAEAAJs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4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GBdPLAQAAmw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exact"/>
      <w:ind w:firstLine="511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BU2MkBAACa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xbE7bnHgl+/fLj9+XX5+JS9f&#10;5/70AWpMuwuYmIa3fsCtmf2Azix7UNHmLwoiGMfunq/dlUMiIj9ar9brCkMCY/MF8dnD8xAhvZPe&#10;kmw0NOL4Slf56QOkMXVOydWcv9XGlBEa95cDMbOHZe4jx2ylYT9Mgva+PaOeHiffUIeLTol577Cx&#10;eUlmI87GfjaOIepDh9SWhReEN8eEJAq3XGGEnQrjyIq6ab3yTvx5L1k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YFTYyQEAAJo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82"/>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ruzMoBAACb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XlDieMWJ375/u3y49fl51fy&#10;ap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KruzM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N8Vs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Jy&#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Q3xWyQEAAJo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47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dA8kBAACbAwAADgAAAGRycy9lMm9Eb2MueG1srVPNjtMwEL4j8Q6W&#10;79Rph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Wv&#10;V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z90DyQEAAJs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84"/>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wY0soBAACb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UtKHLc48cv3b5cfvy4/v5JX&#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awY0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firstLine="428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prFsoBAACb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7CixHGLE7/8+H75+fvy6xu5&#10;uck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BprF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mux8oBAACb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e4Cc8pcdzixC/fv11+/Lr8/Epe&#10;vMwN6gPUmHcXMDMNb/yAybMf0Jl1Dyra/EVFBOPY3vO1vXJIRORH69V6XWFIYGy+ID67fx4ipLfS&#10;W5KNhkacX2krP72HNKbOKbma87famDJD4/5yIGb2sMx95JitNOyHSdDet2fU0+PoG+pw0ykx7xx2&#10;Nm/JbMTZ2M/GMUR96JDasvCC8PqYkEThliuMsFNhnFlRN+1XXoo/7yXr/p/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Hmux8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27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0q8soBAACbAwAADgAAAGRycy9lMm9Eb2MueG1srVPNjtMwEL4j8Q6W&#10;79RptV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rFTbihxHGLE798/3b58evy8yu5&#10;uc0N6gPUmPcQMDMNb/yAybMf0Jl1Dyra/EVFBOPY3vO1vXJIRORH69V6XWFIYGy+ID57fB4ipLfS&#10;W5KNhkacX2krP72HNKbOKbma8/famDJD4/5yIGb2sMx95JitNOyHSdDet2fU0+PoG+pw0ykx7xx2&#10;Nm/JbMTZ2M/GMUR96JDasvCC8PqYkEThliuMsFNhnFlRN+1XXoo/7yXr8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00q8soBAACb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49"/>
      </w:tabs>
      <w:spacing w:line="237" w:lineRule="auto"/>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45"/>
      </w:tabs>
      <w:spacing w:line="237" w:lineRule="auto"/>
      <w:ind w:firstLine="471"/>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89"/>
      </w:tabs>
      <w:spacing w:line="237" w:lineRule="auto"/>
      <w:ind w:firstLine="116"/>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89"/>
      </w:tabs>
      <w:spacing w:line="237" w:lineRule="auto"/>
      <w:ind w:firstLine="116"/>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25"/>
      </w:tabs>
      <w:spacing w:line="237" w:lineRule="auto"/>
      <w:ind w:firstLine="651"/>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89"/>
      </w:tabs>
      <w:spacing w:line="237" w:lineRule="auto"/>
      <w:ind w:firstLine="116"/>
      <w:rPr>
        <w:rFonts w:ascii="宋体" w:hAnsi="宋体" w:eastAsia="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391"/>
      </w:tabs>
      <w:spacing w:line="237" w:lineRule="auto"/>
      <w:ind w:firstLine="418"/>
      <w:rPr>
        <w:rFonts w:ascii="宋体" w:hAnsi="宋体" w:eastAsia="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28"/>
      </w:tabs>
      <w:spacing w:line="237" w:lineRule="auto"/>
      <w:rPr>
        <w:rFonts w:ascii="宋体" w:hAnsi="宋体" w:eastAsia="宋体" w:cs="宋体"/>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28"/>
      </w:tabs>
      <w:spacing w:line="237" w:lineRule="auto"/>
      <w:rPr>
        <w:rFonts w:ascii="宋体" w:hAnsi="宋体" w:eastAsia="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28"/>
      </w:tabs>
      <w:spacing w:line="237" w:lineRule="auto"/>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01"/>
      </w:tabs>
      <w:spacing w:line="237" w:lineRule="auto"/>
      <w:ind w:firstLine="828"/>
      <w:rPr>
        <w:rFonts w:ascii="宋体" w:hAnsi="宋体" w:eastAsia="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63"/>
      </w:tabs>
      <w:spacing w:line="237" w:lineRule="auto"/>
      <w:ind w:firstLine="190"/>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73"/>
      </w:tabs>
      <w:spacing w:line="237"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9B19"/>
    <w:multiLevelType w:val="singleLevel"/>
    <w:tmpl w:val="855B9B19"/>
    <w:lvl w:ilvl="0" w:tentative="0">
      <w:start w:val="2"/>
      <w:numFmt w:val="decimal"/>
      <w:suff w:val="nothing"/>
      <w:lvlText w:val="%1、"/>
      <w:lvlJc w:val="left"/>
    </w:lvl>
  </w:abstractNum>
  <w:abstractNum w:abstractNumId="1">
    <w:nsid w:val="A0F49BB2"/>
    <w:multiLevelType w:val="singleLevel"/>
    <w:tmpl w:val="A0F49BB2"/>
    <w:lvl w:ilvl="0" w:tentative="0">
      <w:start w:val="1"/>
      <w:numFmt w:val="decimal"/>
      <w:lvlText w:val="%1."/>
      <w:lvlJc w:val="left"/>
      <w:pPr>
        <w:tabs>
          <w:tab w:val="left" w:pos="312"/>
        </w:tabs>
      </w:pPr>
    </w:lvl>
  </w:abstractNum>
  <w:abstractNum w:abstractNumId="2">
    <w:nsid w:val="EF439A80"/>
    <w:multiLevelType w:val="singleLevel"/>
    <w:tmpl w:val="EF439A80"/>
    <w:lvl w:ilvl="0" w:tentative="0">
      <w:start w:val="2"/>
      <w:numFmt w:val="decimal"/>
      <w:lvlText w:val="%1."/>
      <w:lvlJc w:val="left"/>
      <w:pPr>
        <w:tabs>
          <w:tab w:val="left" w:pos="312"/>
        </w:tabs>
      </w:pPr>
    </w:lvl>
  </w:abstractNum>
  <w:abstractNum w:abstractNumId="3">
    <w:nsid w:val="F6220173"/>
    <w:multiLevelType w:val="singleLevel"/>
    <w:tmpl w:val="F6220173"/>
    <w:lvl w:ilvl="0" w:tentative="0">
      <w:start w:val="1"/>
      <w:numFmt w:val="decimal"/>
      <w:lvlText w:val="%1."/>
      <w:lvlJc w:val="left"/>
      <w:pPr>
        <w:tabs>
          <w:tab w:val="left" w:pos="312"/>
        </w:tabs>
      </w:pPr>
    </w:lvl>
  </w:abstractNum>
  <w:abstractNum w:abstractNumId="4">
    <w:nsid w:val="00000015"/>
    <w:multiLevelType w:val="multilevel"/>
    <w:tmpl w:val="00000015"/>
    <w:lvl w:ilvl="0" w:tentative="0">
      <w:start w:val="1"/>
      <w:numFmt w:val="decimal"/>
      <w:lvlText w:val="（%1）"/>
      <w:lvlJc w:val="left"/>
      <w:pPr>
        <w:ind w:left="960" w:hanging="526"/>
      </w:pPr>
      <w:rPr>
        <w:rFonts w:hint="default" w:ascii="宋体" w:hAnsi="宋体" w:eastAsia="宋体" w:cs="宋体"/>
        <w:spacing w:val="-2"/>
        <w:w w:val="99"/>
        <w:sz w:val="19"/>
        <w:szCs w:val="19"/>
        <w:lang w:val="zh-CN" w:eastAsia="zh-CN" w:bidi="zh-CN"/>
      </w:rPr>
    </w:lvl>
    <w:lvl w:ilvl="1" w:tentative="0">
      <w:start w:val="1"/>
      <w:numFmt w:val="decimal"/>
      <w:lvlText w:val="%2."/>
      <w:lvlJc w:val="left"/>
      <w:pPr>
        <w:ind w:left="120" w:hanging="212"/>
      </w:pPr>
      <w:rPr>
        <w:rFonts w:hint="default" w:ascii="宋体" w:hAnsi="宋体" w:eastAsia="宋体" w:cs="宋体"/>
        <w:spacing w:val="1"/>
        <w:w w:val="99"/>
        <w:sz w:val="19"/>
        <w:szCs w:val="19"/>
        <w:lang w:val="zh-CN" w:eastAsia="zh-CN" w:bidi="zh-CN"/>
      </w:rPr>
    </w:lvl>
    <w:lvl w:ilvl="2" w:tentative="0">
      <w:start w:val="1"/>
      <w:numFmt w:val="bullet"/>
      <w:lvlText w:val="•"/>
      <w:lvlJc w:val="left"/>
      <w:pPr>
        <w:ind w:left="1978" w:hanging="212"/>
      </w:pPr>
      <w:rPr>
        <w:rFonts w:hint="default"/>
        <w:lang w:val="zh-CN" w:eastAsia="zh-CN" w:bidi="zh-CN"/>
      </w:rPr>
    </w:lvl>
    <w:lvl w:ilvl="3" w:tentative="0">
      <w:start w:val="1"/>
      <w:numFmt w:val="bullet"/>
      <w:lvlText w:val="•"/>
      <w:lvlJc w:val="left"/>
      <w:pPr>
        <w:ind w:left="2996" w:hanging="212"/>
      </w:pPr>
      <w:rPr>
        <w:rFonts w:hint="default"/>
        <w:lang w:val="zh-CN" w:eastAsia="zh-CN" w:bidi="zh-CN"/>
      </w:rPr>
    </w:lvl>
    <w:lvl w:ilvl="4" w:tentative="0">
      <w:start w:val="1"/>
      <w:numFmt w:val="bullet"/>
      <w:lvlText w:val="•"/>
      <w:lvlJc w:val="left"/>
      <w:pPr>
        <w:ind w:left="4015" w:hanging="212"/>
      </w:pPr>
      <w:rPr>
        <w:rFonts w:hint="default"/>
        <w:lang w:val="zh-CN" w:eastAsia="zh-CN" w:bidi="zh-CN"/>
      </w:rPr>
    </w:lvl>
    <w:lvl w:ilvl="5" w:tentative="0">
      <w:start w:val="1"/>
      <w:numFmt w:val="bullet"/>
      <w:lvlText w:val="•"/>
      <w:lvlJc w:val="left"/>
      <w:pPr>
        <w:ind w:left="5033" w:hanging="212"/>
      </w:pPr>
      <w:rPr>
        <w:rFonts w:hint="default"/>
        <w:lang w:val="zh-CN" w:eastAsia="zh-CN" w:bidi="zh-CN"/>
      </w:rPr>
    </w:lvl>
    <w:lvl w:ilvl="6" w:tentative="0">
      <w:start w:val="1"/>
      <w:numFmt w:val="bullet"/>
      <w:lvlText w:val="•"/>
      <w:lvlJc w:val="left"/>
      <w:pPr>
        <w:ind w:left="6052" w:hanging="212"/>
      </w:pPr>
      <w:rPr>
        <w:rFonts w:hint="default"/>
        <w:lang w:val="zh-CN" w:eastAsia="zh-CN" w:bidi="zh-CN"/>
      </w:rPr>
    </w:lvl>
    <w:lvl w:ilvl="7" w:tentative="0">
      <w:start w:val="1"/>
      <w:numFmt w:val="bullet"/>
      <w:lvlText w:val="•"/>
      <w:lvlJc w:val="left"/>
      <w:pPr>
        <w:ind w:left="7070" w:hanging="212"/>
      </w:pPr>
      <w:rPr>
        <w:rFonts w:hint="default"/>
        <w:lang w:val="zh-CN" w:eastAsia="zh-CN" w:bidi="zh-CN"/>
      </w:rPr>
    </w:lvl>
    <w:lvl w:ilvl="8" w:tentative="0">
      <w:start w:val="1"/>
      <w:numFmt w:val="bullet"/>
      <w:lvlText w:val="•"/>
      <w:lvlJc w:val="left"/>
      <w:pPr>
        <w:ind w:left="8089" w:hanging="212"/>
      </w:pPr>
      <w:rPr>
        <w:rFonts w:hint="default"/>
        <w:lang w:val="zh-CN" w:eastAsia="zh-CN" w:bidi="zh-CN"/>
      </w:rPr>
    </w:lvl>
  </w:abstractNum>
  <w:abstractNum w:abstractNumId="5">
    <w:nsid w:val="01EBF0F1"/>
    <w:multiLevelType w:val="singleLevel"/>
    <w:tmpl w:val="01EBF0F1"/>
    <w:lvl w:ilvl="0" w:tentative="0">
      <w:start w:val="2"/>
      <w:numFmt w:val="chineseCounting"/>
      <w:suff w:val="nothing"/>
      <w:lvlText w:val="%1、"/>
      <w:lvlJc w:val="left"/>
      <w:rPr>
        <w:rFonts w:hint="eastAsia"/>
      </w:rPr>
    </w:lvl>
  </w:abstractNum>
  <w:abstractNum w:abstractNumId="6">
    <w:nsid w:val="09D5D2D3"/>
    <w:multiLevelType w:val="singleLevel"/>
    <w:tmpl w:val="09D5D2D3"/>
    <w:lvl w:ilvl="0" w:tentative="0">
      <w:start w:val="1"/>
      <w:numFmt w:val="decimal"/>
      <w:lvlText w:val="%1."/>
      <w:lvlJc w:val="left"/>
      <w:pPr>
        <w:tabs>
          <w:tab w:val="left" w:pos="312"/>
        </w:tabs>
      </w:pPr>
    </w:lvl>
  </w:abstractNum>
  <w:abstractNum w:abstractNumId="7">
    <w:nsid w:val="1527C77D"/>
    <w:multiLevelType w:val="singleLevel"/>
    <w:tmpl w:val="1527C77D"/>
    <w:lvl w:ilvl="0" w:tentative="0">
      <w:start w:val="7"/>
      <w:numFmt w:val="decimal"/>
      <w:lvlText w:val="%1."/>
      <w:lvlJc w:val="left"/>
      <w:pPr>
        <w:tabs>
          <w:tab w:val="left" w:pos="312"/>
        </w:tabs>
      </w:pPr>
    </w:lvl>
  </w:abstractNum>
  <w:abstractNum w:abstractNumId="8">
    <w:nsid w:val="5DF9469F"/>
    <w:multiLevelType w:val="singleLevel"/>
    <w:tmpl w:val="5DF9469F"/>
    <w:lvl w:ilvl="0" w:tentative="0">
      <w:start w:val="1"/>
      <w:numFmt w:val="chineseCounting"/>
      <w:suff w:val="nothing"/>
      <w:lvlText w:val="%1、"/>
      <w:lvlJc w:val="left"/>
      <w:rPr>
        <w:rFonts w:hint="eastAsia"/>
      </w:rPr>
    </w:lvl>
  </w:abstractNum>
  <w:abstractNum w:abstractNumId="9">
    <w:nsid w:val="66F9DA63"/>
    <w:multiLevelType w:val="singleLevel"/>
    <w:tmpl w:val="66F9DA63"/>
    <w:lvl w:ilvl="0" w:tentative="0">
      <w:start w:val="1"/>
      <w:numFmt w:val="decimal"/>
      <w:suff w:val="nothing"/>
      <w:lvlText w:val="%1、"/>
      <w:lvlJc w:val="left"/>
    </w:lvl>
  </w:abstractNum>
  <w:num w:numId="1">
    <w:abstractNumId w:val="6"/>
  </w:num>
  <w:num w:numId="2">
    <w:abstractNumId w:val="2"/>
  </w:num>
  <w:num w:numId="3">
    <w:abstractNumId w:val="3"/>
  </w:num>
  <w:num w:numId="4">
    <w:abstractNumId w:val="1"/>
  </w:num>
  <w:num w:numId="5">
    <w:abstractNumId w:val="8"/>
  </w:num>
  <w:num w:numId="6">
    <w:abstractNumId w:val="5"/>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NWFmYmM0NDdlNThkNWIwNDFhZGIzYjllNjljNjcifQ=="/>
  </w:docVars>
  <w:rsids>
    <w:rsidRoot w:val="00570BAF"/>
    <w:rsid w:val="000031E9"/>
    <w:rsid w:val="00090D6A"/>
    <w:rsid w:val="001B300D"/>
    <w:rsid w:val="00271A8E"/>
    <w:rsid w:val="00570BAF"/>
    <w:rsid w:val="005B14A7"/>
    <w:rsid w:val="005D64D4"/>
    <w:rsid w:val="005F7C97"/>
    <w:rsid w:val="00726B5C"/>
    <w:rsid w:val="007530D2"/>
    <w:rsid w:val="0077651A"/>
    <w:rsid w:val="00777DA3"/>
    <w:rsid w:val="007D56AE"/>
    <w:rsid w:val="007E16F6"/>
    <w:rsid w:val="008610DD"/>
    <w:rsid w:val="00877FEE"/>
    <w:rsid w:val="00A53C01"/>
    <w:rsid w:val="00B26FFC"/>
    <w:rsid w:val="00BB24F0"/>
    <w:rsid w:val="00BF511A"/>
    <w:rsid w:val="00C85F20"/>
    <w:rsid w:val="00D00FC9"/>
    <w:rsid w:val="00D1703D"/>
    <w:rsid w:val="00D316BC"/>
    <w:rsid w:val="00D50192"/>
    <w:rsid w:val="00D5688F"/>
    <w:rsid w:val="00E9595B"/>
    <w:rsid w:val="00ED7881"/>
    <w:rsid w:val="01152508"/>
    <w:rsid w:val="02C2058F"/>
    <w:rsid w:val="02D63F9B"/>
    <w:rsid w:val="02EE139C"/>
    <w:rsid w:val="034D095E"/>
    <w:rsid w:val="042526BC"/>
    <w:rsid w:val="054D1796"/>
    <w:rsid w:val="059B00A7"/>
    <w:rsid w:val="06BA2D41"/>
    <w:rsid w:val="06CB0518"/>
    <w:rsid w:val="074B13CB"/>
    <w:rsid w:val="07593D76"/>
    <w:rsid w:val="079C0106"/>
    <w:rsid w:val="079F3753"/>
    <w:rsid w:val="07CC0BA8"/>
    <w:rsid w:val="081A35B3"/>
    <w:rsid w:val="085E5421"/>
    <w:rsid w:val="086A1B3A"/>
    <w:rsid w:val="090708A4"/>
    <w:rsid w:val="0943507A"/>
    <w:rsid w:val="0970405B"/>
    <w:rsid w:val="09756E61"/>
    <w:rsid w:val="09C91B1B"/>
    <w:rsid w:val="0A7279A9"/>
    <w:rsid w:val="0A765B9D"/>
    <w:rsid w:val="0A8A693C"/>
    <w:rsid w:val="0BA61872"/>
    <w:rsid w:val="0BEE3D62"/>
    <w:rsid w:val="0CB66873"/>
    <w:rsid w:val="0CEC2F96"/>
    <w:rsid w:val="0D301714"/>
    <w:rsid w:val="0DF540CC"/>
    <w:rsid w:val="0E0448D9"/>
    <w:rsid w:val="0E0634B4"/>
    <w:rsid w:val="0F2974FB"/>
    <w:rsid w:val="10853E2D"/>
    <w:rsid w:val="10B169D0"/>
    <w:rsid w:val="10D81477"/>
    <w:rsid w:val="10DA61F1"/>
    <w:rsid w:val="11DB0C82"/>
    <w:rsid w:val="123F000C"/>
    <w:rsid w:val="12C9266A"/>
    <w:rsid w:val="131A2F56"/>
    <w:rsid w:val="134B2B0A"/>
    <w:rsid w:val="134F427F"/>
    <w:rsid w:val="13824654"/>
    <w:rsid w:val="143C260D"/>
    <w:rsid w:val="14535BB2"/>
    <w:rsid w:val="156B7752"/>
    <w:rsid w:val="15B94712"/>
    <w:rsid w:val="161F2DA8"/>
    <w:rsid w:val="163F4A7E"/>
    <w:rsid w:val="1655175A"/>
    <w:rsid w:val="16640041"/>
    <w:rsid w:val="16AA77DC"/>
    <w:rsid w:val="16F22E6E"/>
    <w:rsid w:val="185C244B"/>
    <w:rsid w:val="18820C52"/>
    <w:rsid w:val="189D7F41"/>
    <w:rsid w:val="19055A71"/>
    <w:rsid w:val="191775ED"/>
    <w:rsid w:val="19183BAB"/>
    <w:rsid w:val="199A679B"/>
    <w:rsid w:val="19C37774"/>
    <w:rsid w:val="19C40026"/>
    <w:rsid w:val="1A305293"/>
    <w:rsid w:val="1B410951"/>
    <w:rsid w:val="1B527002"/>
    <w:rsid w:val="1B600056"/>
    <w:rsid w:val="1BED4D17"/>
    <w:rsid w:val="1BFE5EED"/>
    <w:rsid w:val="1CF05932"/>
    <w:rsid w:val="1CF21A74"/>
    <w:rsid w:val="1D295B40"/>
    <w:rsid w:val="1D5317A6"/>
    <w:rsid w:val="1F3D3B25"/>
    <w:rsid w:val="1FC4505B"/>
    <w:rsid w:val="1FE97E8D"/>
    <w:rsid w:val="204A48B9"/>
    <w:rsid w:val="209F6845"/>
    <w:rsid w:val="20C010B7"/>
    <w:rsid w:val="20C55B80"/>
    <w:rsid w:val="20CE0ED9"/>
    <w:rsid w:val="20DB4F73"/>
    <w:rsid w:val="213409A7"/>
    <w:rsid w:val="213760C2"/>
    <w:rsid w:val="21535882"/>
    <w:rsid w:val="21DC13D3"/>
    <w:rsid w:val="23152DEF"/>
    <w:rsid w:val="24032DD2"/>
    <w:rsid w:val="24EB5BD9"/>
    <w:rsid w:val="25137802"/>
    <w:rsid w:val="254C5846"/>
    <w:rsid w:val="257638ED"/>
    <w:rsid w:val="25AC730F"/>
    <w:rsid w:val="269B1E0E"/>
    <w:rsid w:val="26AC6C6E"/>
    <w:rsid w:val="26CC3174"/>
    <w:rsid w:val="27AE2A9B"/>
    <w:rsid w:val="27D62633"/>
    <w:rsid w:val="27F55C0B"/>
    <w:rsid w:val="28760B56"/>
    <w:rsid w:val="28764003"/>
    <w:rsid w:val="28776A3E"/>
    <w:rsid w:val="29207F2A"/>
    <w:rsid w:val="297D16EE"/>
    <w:rsid w:val="297E0FC2"/>
    <w:rsid w:val="2A1C2CB5"/>
    <w:rsid w:val="2A8E3487"/>
    <w:rsid w:val="2AB47391"/>
    <w:rsid w:val="2AED3710"/>
    <w:rsid w:val="2B133B57"/>
    <w:rsid w:val="2BA750A0"/>
    <w:rsid w:val="2BE33A5B"/>
    <w:rsid w:val="2C2B5641"/>
    <w:rsid w:val="2C9A60BB"/>
    <w:rsid w:val="2D1422B5"/>
    <w:rsid w:val="2DE01DB6"/>
    <w:rsid w:val="2E30330F"/>
    <w:rsid w:val="2E976DAE"/>
    <w:rsid w:val="2F2A5E74"/>
    <w:rsid w:val="2F3F2D87"/>
    <w:rsid w:val="30DF1933"/>
    <w:rsid w:val="3115377D"/>
    <w:rsid w:val="318A0E4C"/>
    <w:rsid w:val="31BE0AF5"/>
    <w:rsid w:val="31F664E1"/>
    <w:rsid w:val="321C7EA7"/>
    <w:rsid w:val="3230250B"/>
    <w:rsid w:val="32432DA9"/>
    <w:rsid w:val="3285695A"/>
    <w:rsid w:val="32C26828"/>
    <w:rsid w:val="32C91500"/>
    <w:rsid w:val="33770F5C"/>
    <w:rsid w:val="33997124"/>
    <w:rsid w:val="345117AD"/>
    <w:rsid w:val="349D3E26"/>
    <w:rsid w:val="34AA5361"/>
    <w:rsid w:val="350F1150"/>
    <w:rsid w:val="350F7A69"/>
    <w:rsid w:val="354266DE"/>
    <w:rsid w:val="35A26038"/>
    <w:rsid w:val="35E56A24"/>
    <w:rsid w:val="36316EB0"/>
    <w:rsid w:val="364523CC"/>
    <w:rsid w:val="371F5B92"/>
    <w:rsid w:val="376B35CE"/>
    <w:rsid w:val="37785E55"/>
    <w:rsid w:val="37BD53AB"/>
    <w:rsid w:val="37D01583"/>
    <w:rsid w:val="38611BD9"/>
    <w:rsid w:val="38C04B90"/>
    <w:rsid w:val="38D53666"/>
    <w:rsid w:val="38E73FCB"/>
    <w:rsid w:val="391151EF"/>
    <w:rsid w:val="39311C32"/>
    <w:rsid w:val="397B72CC"/>
    <w:rsid w:val="39923273"/>
    <w:rsid w:val="39F03816"/>
    <w:rsid w:val="3B556027"/>
    <w:rsid w:val="3C333E8E"/>
    <w:rsid w:val="3C4609E2"/>
    <w:rsid w:val="3C4A3E0D"/>
    <w:rsid w:val="3C9F54DE"/>
    <w:rsid w:val="3D3B124C"/>
    <w:rsid w:val="3D7F595D"/>
    <w:rsid w:val="3DB3026D"/>
    <w:rsid w:val="3DDC47DD"/>
    <w:rsid w:val="3DDE628B"/>
    <w:rsid w:val="3E530BDC"/>
    <w:rsid w:val="3FA06D96"/>
    <w:rsid w:val="3FA71C20"/>
    <w:rsid w:val="40175FA1"/>
    <w:rsid w:val="404C19F6"/>
    <w:rsid w:val="4095482F"/>
    <w:rsid w:val="40B051F3"/>
    <w:rsid w:val="40DA006C"/>
    <w:rsid w:val="413F5202"/>
    <w:rsid w:val="41586871"/>
    <w:rsid w:val="419015D3"/>
    <w:rsid w:val="41957C54"/>
    <w:rsid w:val="41E81F98"/>
    <w:rsid w:val="43027D37"/>
    <w:rsid w:val="436D7B00"/>
    <w:rsid w:val="437C65AB"/>
    <w:rsid w:val="44BD1E75"/>
    <w:rsid w:val="44EE3AEC"/>
    <w:rsid w:val="46886ED0"/>
    <w:rsid w:val="47550325"/>
    <w:rsid w:val="479565E8"/>
    <w:rsid w:val="48325131"/>
    <w:rsid w:val="48376180"/>
    <w:rsid w:val="48684EBF"/>
    <w:rsid w:val="48E02793"/>
    <w:rsid w:val="48E42798"/>
    <w:rsid w:val="4929082D"/>
    <w:rsid w:val="496E409A"/>
    <w:rsid w:val="49BE748D"/>
    <w:rsid w:val="49D43CF1"/>
    <w:rsid w:val="49FF574B"/>
    <w:rsid w:val="4A002D5F"/>
    <w:rsid w:val="4A1277D9"/>
    <w:rsid w:val="4A1C27D9"/>
    <w:rsid w:val="4A2517A1"/>
    <w:rsid w:val="4A4A2ACF"/>
    <w:rsid w:val="4A8A1BAF"/>
    <w:rsid w:val="4A8C758B"/>
    <w:rsid w:val="4A912C2C"/>
    <w:rsid w:val="4AF03B50"/>
    <w:rsid w:val="4B116E46"/>
    <w:rsid w:val="4B2C3BCA"/>
    <w:rsid w:val="4BAD77B9"/>
    <w:rsid w:val="4BF012F1"/>
    <w:rsid w:val="4C0A15BD"/>
    <w:rsid w:val="4D267C55"/>
    <w:rsid w:val="4D352FB6"/>
    <w:rsid w:val="4D4C5FE5"/>
    <w:rsid w:val="4DA31139"/>
    <w:rsid w:val="4EB86BA1"/>
    <w:rsid w:val="4FAE4707"/>
    <w:rsid w:val="4FC94127"/>
    <w:rsid w:val="502A2DBA"/>
    <w:rsid w:val="50526B81"/>
    <w:rsid w:val="50613368"/>
    <w:rsid w:val="506142B5"/>
    <w:rsid w:val="50742B67"/>
    <w:rsid w:val="5097520E"/>
    <w:rsid w:val="509B22D6"/>
    <w:rsid w:val="50CD748B"/>
    <w:rsid w:val="50F352E5"/>
    <w:rsid w:val="513E2590"/>
    <w:rsid w:val="52CB5D1A"/>
    <w:rsid w:val="535624E4"/>
    <w:rsid w:val="540930BB"/>
    <w:rsid w:val="547F6E9B"/>
    <w:rsid w:val="548D5B8D"/>
    <w:rsid w:val="54B05DCB"/>
    <w:rsid w:val="554051FA"/>
    <w:rsid w:val="559265BE"/>
    <w:rsid w:val="56496330"/>
    <w:rsid w:val="565D35A7"/>
    <w:rsid w:val="569457AE"/>
    <w:rsid w:val="56DE0B56"/>
    <w:rsid w:val="572D6376"/>
    <w:rsid w:val="57F06973"/>
    <w:rsid w:val="581D4BD1"/>
    <w:rsid w:val="58635BC7"/>
    <w:rsid w:val="589075B2"/>
    <w:rsid w:val="58982427"/>
    <w:rsid w:val="58F54BD6"/>
    <w:rsid w:val="59593360"/>
    <w:rsid w:val="5A2A343F"/>
    <w:rsid w:val="5BDE5985"/>
    <w:rsid w:val="5C006E5B"/>
    <w:rsid w:val="5C844972"/>
    <w:rsid w:val="5CE13766"/>
    <w:rsid w:val="5CEF5537"/>
    <w:rsid w:val="5CF154FC"/>
    <w:rsid w:val="5D955930"/>
    <w:rsid w:val="5DB23ED6"/>
    <w:rsid w:val="5E7D0911"/>
    <w:rsid w:val="5EFA0B0F"/>
    <w:rsid w:val="5F172874"/>
    <w:rsid w:val="60D84E80"/>
    <w:rsid w:val="612105D5"/>
    <w:rsid w:val="616709E2"/>
    <w:rsid w:val="61ED3E04"/>
    <w:rsid w:val="6206482C"/>
    <w:rsid w:val="62A233F5"/>
    <w:rsid w:val="63273E9D"/>
    <w:rsid w:val="63F35EC1"/>
    <w:rsid w:val="641E0DFC"/>
    <w:rsid w:val="64414AEB"/>
    <w:rsid w:val="647C3D75"/>
    <w:rsid w:val="652C7549"/>
    <w:rsid w:val="65525012"/>
    <w:rsid w:val="655A5E64"/>
    <w:rsid w:val="664221BE"/>
    <w:rsid w:val="665E4DC9"/>
    <w:rsid w:val="666A1C5C"/>
    <w:rsid w:val="66953F65"/>
    <w:rsid w:val="676255B0"/>
    <w:rsid w:val="67A33B68"/>
    <w:rsid w:val="67BB4C11"/>
    <w:rsid w:val="67D31EFE"/>
    <w:rsid w:val="694F7484"/>
    <w:rsid w:val="69F66377"/>
    <w:rsid w:val="6AC81AC2"/>
    <w:rsid w:val="6B0173F5"/>
    <w:rsid w:val="6C595268"/>
    <w:rsid w:val="6D077B3F"/>
    <w:rsid w:val="6D8C5028"/>
    <w:rsid w:val="6E7837FF"/>
    <w:rsid w:val="706B3710"/>
    <w:rsid w:val="708231A7"/>
    <w:rsid w:val="72D43850"/>
    <w:rsid w:val="731D77A2"/>
    <w:rsid w:val="740A6CA7"/>
    <w:rsid w:val="74237D69"/>
    <w:rsid w:val="74353360"/>
    <w:rsid w:val="743E2DF5"/>
    <w:rsid w:val="74F07936"/>
    <w:rsid w:val="753D663F"/>
    <w:rsid w:val="754B7577"/>
    <w:rsid w:val="7566231B"/>
    <w:rsid w:val="760F2C9B"/>
    <w:rsid w:val="7795724B"/>
    <w:rsid w:val="780705CB"/>
    <w:rsid w:val="78A74AFF"/>
    <w:rsid w:val="78FB0600"/>
    <w:rsid w:val="793B7C80"/>
    <w:rsid w:val="797108F3"/>
    <w:rsid w:val="79B14606"/>
    <w:rsid w:val="7A30672E"/>
    <w:rsid w:val="7A7E3F4B"/>
    <w:rsid w:val="7A9F6BD6"/>
    <w:rsid w:val="7B7F48E8"/>
    <w:rsid w:val="7BAD373F"/>
    <w:rsid w:val="7C186D38"/>
    <w:rsid w:val="7C710765"/>
    <w:rsid w:val="7C774B0B"/>
    <w:rsid w:val="7CA81753"/>
    <w:rsid w:val="7CF14EA8"/>
    <w:rsid w:val="7D76364F"/>
    <w:rsid w:val="7E100013"/>
    <w:rsid w:val="7E144F33"/>
    <w:rsid w:val="7E2273D2"/>
    <w:rsid w:val="7EB50157"/>
    <w:rsid w:val="7F212434"/>
    <w:rsid w:val="7F62208D"/>
    <w:rsid w:val="7F651459"/>
    <w:rsid w:val="7FA97757"/>
    <w:rsid w:val="7FB312CC"/>
    <w:rsid w:val="7FF79A32"/>
    <w:rsid w:val="B6BBB752"/>
    <w:rsid w:val="BEB79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33"/>
    <w:qFormat/>
    <w:uiPriority w:val="0"/>
    <w:pPr>
      <w:keepNext/>
      <w:keepLines/>
      <w:spacing w:line="576"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eastAsia="黑体"/>
      <w:b/>
      <w:bCs/>
      <w:sz w:val="32"/>
      <w:szCs w:val="32"/>
    </w:rPr>
  </w:style>
  <w:style w:type="paragraph" w:styleId="5">
    <w:name w:val="heading 6"/>
    <w:basedOn w:val="1"/>
    <w:next w:val="1"/>
    <w:qFormat/>
    <w:uiPriority w:val="1"/>
    <w:pPr>
      <w:ind w:left="532"/>
      <w:outlineLvl w:val="5"/>
    </w:pPr>
    <w:rPr>
      <w:b/>
      <w:bCs/>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footer"/>
    <w:basedOn w:val="1"/>
    <w:link w:val="37"/>
    <w:qFormat/>
    <w:uiPriority w:val="0"/>
    <w:pPr>
      <w:tabs>
        <w:tab w:val="center" w:pos="4153"/>
        <w:tab w:val="right" w:pos="8306"/>
      </w:tabs>
    </w:pPr>
    <w:rPr>
      <w:sz w:val="18"/>
      <w:szCs w:val="18"/>
    </w:rPr>
  </w:style>
  <w:style w:type="paragraph" w:styleId="6">
    <w:name w:val="table of authorities"/>
    <w:basedOn w:val="1"/>
    <w:next w:val="1"/>
    <w:unhideWhenUsed/>
    <w:qFormat/>
    <w:uiPriority w:val="99"/>
    <w:pPr>
      <w:ind w:left="420" w:leftChars="200"/>
    </w:pPr>
  </w:style>
  <w:style w:type="paragraph" w:styleId="7">
    <w:name w:val="index 8"/>
    <w:basedOn w:val="1"/>
    <w:next w:val="1"/>
    <w:qFormat/>
    <w:uiPriority w:val="0"/>
    <w:pPr>
      <w:ind w:left="2940"/>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style>
  <w:style w:type="paragraph" w:styleId="10">
    <w:name w:val="Body Text"/>
    <w:basedOn w:val="1"/>
    <w:next w:val="1"/>
    <w:qFormat/>
    <w:uiPriority w:val="0"/>
    <w:pPr>
      <w:spacing w:line="380" w:lineRule="exact"/>
    </w:pPr>
    <w:rPr>
      <w:sz w:val="24"/>
    </w:rPr>
  </w:style>
  <w:style w:type="paragraph" w:styleId="11">
    <w:name w:val="Plain Text"/>
    <w:basedOn w:val="1"/>
    <w:next w:val="3"/>
    <w:qFormat/>
    <w:uiPriority w:val="0"/>
    <w:rPr>
      <w:rFonts w:ascii="宋体" w:hAnsi="Courier New"/>
      <w:szCs w:val="20"/>
    </w:rPr>
  </w:style>
  <w:style w:type="paragraph" w:styleId="12">
    <w:name w:val="Date"/>
    <w:basedOn w:val="1"/>
    <w:next w:val="1"/>
    <w:qFormat/>
    <w:uiPriority w:val="99"/>
    <w:pPr>
      <w:ind w:left="100" w:leftChars="2500"/>
    </w:pPr>
    <w:rPr>
      <w:rFonts w:ascii="宋体" w:hAnsi="Courier New"/>
      <w:sz w:val="20"/>
    </w:rPr>
  </w:style>
  <w:style w:type="paragraph" w:styleId="13">
    <w:name w:val="Balloon Text"/>
    <w:basedOn w:val="1"/>
    <w:link w:val="35"/>
    <w:qFormat/>
    <w:uiPriority w:val="0"/>
    <w:rPr>
      <w:sz w:val="18"/>
      <w:szCs w:val="18"/>
    </w:rPr>
  </w:style>
  <w:style w:type="paragraph" w:styleId="14">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qFormat/>
    <w:uiPriority w:val="99"/>
    <w:pPr>
      <w:spacing w:beforeAutospacing="1" w:afterAutospacing="1"/>
    </w:pPr>
    <w:rPr>
      <w:rFonts w:ascii="宋体" w:hAnsi="宋体"/>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table" w:styleId="19">
    <w:name w:val="Table Grid"/>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bCs/>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99"/>
    <w:rPr>
      <w:color w:val="33333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Default"/>
    <w:qFormat/>
    <w:uiPriority w:val="6"/>
    <w:pPr>
      <w:widowControl w:val="0"/>
    </w:pPr>
    <w:rPr>
      <w:rFonts w:ascii="宋体" w:hAnsi="宋体" w:eastAsia="宋体" w:cs="宋体"/>
      <w:color w:val="000000"/>
      <w:sz w:val="24"/>
      <w:szCs w:val="24"/>
      <w:lang w:val="en-US" w:eastAsia="zh-CN" w:bidi="ar-SA"/>
    </w:rPr>
  </w:style>
  <w:style w:type="character" w:customStyle="1" w:styleId="33">
    <w:name w:val="标题 1 字符"/>
    <w:link w:val="3"/>
    <w:qFormat/>
    <w:uiPriority w:val="9"/>
    <w:rPr>
      <w:b/>
      <w:bCs/>
      <w:kern w:val="44"/>
      <w:sz w:val="44"/>
      <w:szCs w:val="44"/>
    </w:rPr>
  </w:style>
  <w:style w:type="table" w:customStyle="1" w:styleId="34">
    <w:name w:val="Table Normal"/>
    <w:unhideWhenUsed/>
    <w:qFormat/>
    <w:uiPriority w:val="0"/>
    <w:tblPr>
      <w:tblCellMar>
        <w:top w:w="0" w:type="dxa"/>
        <w:left w:w="0" w:type="dxa"/>
        <w:bottom w:w="0" w:type="dxa"/>
        <w:right w:w="0" w:type="dxa"/>
      </w:tblCellMar>
    </w:tblPr>
  </w:style>
  <w:style w:type="character" w:customStyle="1" w:styleId="35">
    <w:name w:val="批注框文本 字符"/>
    <w:basedOn w:val="20"/>
    <w:link w:val="13"/>
    <w:qFormat/>
    <w:uiPriority w:val="0"/>
    <w:rPr>
      <w:rFonts w:eastAsia="Arial"/>
      <w:snapToGrid w:val="0"/>
      <w:color w:val="000000"/>
      <w:sz w:val="18"/>
      <w:szCs w:val="18"/>
    </w:rPr>
  </w:style>
  <w:style w:type="character" w:customStyle="1" w:styleId="36">
    <w:name w:val="页眉 字符"/>
    <w:basedOn w:val="20"/>
    <w:link w:val="14"/>
    <w:qFormat/>
    <w:uiPriority w:val="0"/>
    <w:rPr>
      <w:rFonts w:eastAsia="Arial"/>
      <w:snapToGrid w:val="0"/>
      <w:color w:val="000000"/>
      <w:sz w:val="18"/>
      <w:szCs w:val="18"/>
    </w:rPr>
  </w:style>
  <w:style w:type="character" w:customStyle="1" w:styleId="37">
    <w:name w:val="页脚 字符"/>
    <w:basedOn w:val="20"/>
    <w:link w:val="2"/>
    <w:qFormat/>
    <w:uiPriority w:val="0"/>
    <w:rPr>
      <w:rFonts w:eastAsia="Arial"/>
      <w:snapToGrid w:val="0"/>
      <w:color w:val="000000"/>
      <w:sz w:val="18"/>
      <w:szCs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Table Paragraph"/>
    <w:basedOn w:val="1"/>
    <w:qFormat/>
    <w:uiPriority w:val="1"/>
    <w:rPr>
      <w:rFonts w:ascii="宋体" w:hAnsi="宋体" w:cs="宋体"/>
      <w:sz w:val="22"/>
      <w:szCs w:val="22"/>
      <w:lang w:val="zh-CN" w:bidi="zh-CN"/>
    </w:rPr>
  </w:style>
  <w:style w:type="character" w:customStyle="1" w:styleId="41">
    <w:name w:val="first-child"/>
    <w:basedOn w:val="20"/>
    <w:qFormat/>
    <w:uiPriority w:val="0"/>
  </w:style>
  <w:style w:type="character" w:customStyle="1" w:styleId="42">
    <w:name w:val="layui-layer-tabnow"/>
    <w:basedOn w:val="20"/>
    <w:qFormat/>
    <w:uiPriority w:val="0"/>
    <w:rPr>
      <w:bdr w:val="single" w:color="CCCCCC" w:sz="6" w:space="0"/>
      <w:shd w:val="clear" w:color="auto" w:fill="FFFFFF"/>
    </w:rPr>
  </w:style>
  <w:style w:type="paragraph" w:customStyle="1" w:styleId="43">
    <w:name w:val="列出段落1"/>
    <w:basedOn w:val="1"/>
    <w:qFormat/>
    <w:uiPriority w:val="0"/>
    <w:pPr>
      <w:ind w:firstLine="420" w:firstLineChars="200"/>
    </w:pPr>
  </w:style>
  <w:style w:type="character" w:customStyle="1" w:styleId="44">
    <w:name w:val="NormalCharacter"/>
    <w:qFormat/>
    <w:uiPriority w:val="99"/>
    <w:rPr>
      <w:rFonts w:ascii="Calibri" w:hAnsi="Calibri" w:eastAsia="宋体"/>
    </w:rPr>
  </w:style>
  <w:style w:type="paragraph" w:customStyle="1" w:styleId="45">
    <w:name w:val="p16"/>
    <w:basedOn w:val="1"/>
    <w:qFormat/>
    <w:uiPriority w:val="0"/>
    <w:rPr>
      <w:rFonts w:ascii="宋体" w:hAnsi="宋体" w:eastAsia="宋体"/>
    </w:rPr>
  </w:style>
  <w:style w:type="paragraph" w:customStyle="1" w:styleId="46">
    <w:name w:val="Revision"/>
    <w:hidden/>
    <w:unhideWhenUsed/>
    <w:qFormat/>
    <w:uiPriority w:val="99"/>
    <w:rPr>
      <w:rFonts w:ascii="Arial" w:hAnsi="Arial" w:eastAsia="Arial" w:cs="Arial"/>
      <w:snapToGrid w:val="0"/>
      <w:color w:val="000000"/>
      <w:sz w:val="21"/>
      <w:szCs w:val="21"/>
      <w:lang w:val="en-US" w:eastAsia="zh-CN" w:bidi="ar-SA"/>
    </w:rPr>
  </w:style>
  <w:style w:type="paragraph" w:customStyle="1" w:styleId="47">
    <w:name w:val="CM7"/>
    <w:basedOn w:val="1"/>
    <w:next w:val="1"/>
    <w:qFormat/>
    <w:uiPriority w:val="0"/>
    <w:pPr>
      <w:autoSpaceDE w:val="0"/>
      <w:autoSpaceDN w:val="0"/>
      <w:adjustRightInd w:val="0"/>
      <w:spacing w:line="383" w:lineRule="atLeast"/>
      <w:jc w:val="left"/>
    </w:pPr>
    <w:rPr>
      <w:rFonts w:ascii="宋体" w:hAnsi="Calibri" w:eastAsia="宋体" w:cs="Times New Roman"/>
      <w:kern w:val="0"/>
      <w:sz w:val="24"/>
    </w:rPr>
  </w:style>
  <w:style w:type="paragraph" w:customStyle="1" w:styleId="48">
    <w:name w:val="List Paragraph"/>
    <w:basedOn w:val="1"/>
    <w:qFormat/>
    <w:uiPriority w:val="1"/>
    <w:pPr>
      <w:spacing w:before="190"/>
      <w:ind w:left="153" w:firstLine="640"/>
      <w:jc w:val="both"/>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png"/><Relationship Id="rId64" Type="http://schemas.openxmlformats.org/officeDocument/2006/relationships/image" Target="media/image1.jpeg"/><Relationship Id="rId63" Type="http://schemas.openxmlformats.org/officeDocument/2006/relationships/theme" Target="theme/theme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37567</Words>
  <Characters>39230</Characters>
  <Lines>288</Lines>
  <Paragraphs>81</Paragraphs>
  <TotalTime>1</TotalTime>
  <ScaleCrop>false</ScaleCrop>
  <LinksUpToDate>false</LinksUpToDate>
  <CharactersWithSpaces>40635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2021-10-15T13:10:00Z</dcterms:created>
  <dc:creator>唐冰</dc:creator>
  <cp:lastModifiedBy>LHJ</cp:lastModifiedBy>
  <cp:lastPrinted>2022-04-29T04:26:46Z</cp:lastPrinted>
  <dcterms:modified xsi:type="dcterms:W3CDTF">2022-04-29T06:39:41Z</dcterms:modified>
  <dc:title>竞争性谈判文件规范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2021-10-14T13:11:00Z</vt:filetime>
  </property>
  <property fmtid="{D5CDD505-2E9C-101B-9397-08002B2CF9AE}" pid="4" name="KSOProductBuildVer">
    <vt:lpwstr>2052-11.1.0.11636</vt:lpwstr>
  </property>
  <property fmtid="{D5CDD505-2E9C-101B-9397-08002B2CF9AE}" pid="5" name="ICV">
    <vt:lpwstr>CC7A55ABA66F49E79109646BFA63B564</vt:lpwstr>
  </property>
  <property fmtid="{D5CDD505-2E9C-101B-9397-08002B2CF9AE}" pid="6" name="commondata">
    <vt:lpwstr>eyJoZGlkIjoiYTlhNWFmYmM0NDdlNThkNWIwNDFhZGIzYjllNjljNjcifQ==</vt:lpwstr>
  </property>
</Properties>
</file>